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eastAsia="黑体" w:cs="Calibri"/>
          <w:b/>
          <w:sz w:val="44"/>
          <w:szCs w:val="44"/>
        </w:rPr>
      </w:pPr>
      <w:bookmarkStart w:id="0" w:name="_GoBack"/>
      <w:bookmarkEnd w:id="0"/>
      <w:r>
        <w:rPr>
          <w:rFonts w:hint="eastAsia" w:eastAsia="黑体" w:cs="Calibri"/>
          <w:b/>
          <w:sz w:val="44"/>
          <w:szCs w:val="44"/>
        </w:rPr>
        <w:t>杭州萧山国际机场</w:t>
      </w:r>
    </w:p>
    <w:p>
      <w:pPr>
        <w:autoSpaceDE w:val="0"/>
        <w:autoSpaceDN w:val="0"/>
        <w:adjustRightInd w:val="0"/>
        <w:jc w:val="center"/>
        <w:rPr>
          <w:rFonts w:eastAsia="黑体" w:cs="Calibri"/>
          <w:b/>
          <w:sz w:val="44"/>
          <w:szCs w:val="44"/>
        </w:rPr>
      </w:pPr>
    </w:p>
    <w:p>
      <w:pPr>
        <w:autoSpaceDE w:val="0"/>
        <w:autoSpaceDN w:val="0"/>
        <w:adjustRightInd w:val="0"/>
        <w:jc w:val="center"/>
        <w:rPr>
          <w:rFonts w:eastAsia="黑体" w:cs="Calibri"/>
          <w:b/>
          <w:sz w:val="56"/>
          <w:szCs w:val="82"/>
        </w:rPr>
      </w:pPr>
      <w:r>
        <w:rPr>
          <w:rFonts w:hint="eastAsia" w:eastAsia="黑体" w:cs="Calibri"/>
          <w:b/>
          <w:sz w:val="56"/>
          <w:szCs w:val="82"/>
        </w:rPr>
        <w:t>自助登机门系统软硬件采购项目</w:t>
      </w:r>
    </w:p>
    <w:p>
      <w:pPr>
        <w:autoSpaceDE w:val="0"/>
        <w:autoSpaceDN w:val="0"/>
        <w:adjustRightInd w:val="0"/>
        <w:jc w:val="center"/>
        <w:rPr>
          <w:rFonts w:eastAsia="黑体" w:cs="Calibri"/>
          <w:b/>
          <w:bCs/>
          <w:spacing w:val="60"/>
          <w:sz w:val="82"/>
          <w:szCs w:val="82"/>
        </w:rPr>
      </w:pPr>
    </w:p>
    <w:p>
      <w:pPr>
        <w:autoSpaceDE w:val="0"/>
        <w:autoSpaceDN w:val="0"/>
        <w:adjustRightInd w:val="0"/>
        <w:jc w:val="center"/>
        <w:rPr>
          <w:rFonts w:eastAsia="黑体" w:cs="Calibri"/>
          <w:b/>
          <w:bCs/>
          <w:spacing w:val="60"/>
          <w:sz w:val="82"/>
          <w:szCs w:val="82"/>
        </w:rPr>
      </w:pPr>
      <w:r>
        <w:rPr>
          <w:rFonts w:eastAsia="黑体" w:cs="Calibri"/>
          <w:b/>
          <w:bCs/>
          <w:spacing w:val="60"/>
          <w:sz w:val="82"/>
          <w:szCs w:val="82"/>
        </w:rPr>
        <w:t>招标文件</w:t>
      </w:r>
    </w:p>
    <w:p>
      <w:pPr>
        <w:autoSpaceDE w:val="0"/>
        <w:autoSpaceDN w:val="0"/>
        <w:adjustRightInd w:val="0"/>
        <w:jc w:val="center"/>
        <w:rPr>
          <w:rFonts w:cs="Calibri"/>
          <w:b/>
          <w:kern w:val="0"/>
          <w:sz w:val="44"/>
          <w:szCs w:val="44"/>
        </w:rPr>
      </w:pPr>
    </w:p>
    <w:p>
      <w:pPr>
        <w:autoSpaceDE w:val="0"/>
        <w:autoSpaceDN w:val="0"/>
        <w:adjustRightInd w:val="0"/>
        <w:jc w:val="center"/>
        <w:rPr>
          <w:rFonts w:cs="Calibri"/>
          <w:b/>
          <w:kern w:val="0"/>
          <w:sz w:val="44"/>
          <w:szCs w:val="44"/>
        </w:rPr>
      </w:pPr>
    </w:p>
    <w:p>
      <w:pPr>
        <w:autoSpaceDE w:val="0"/>
        <w:autoSpaceDN w:val="0"/>
        <w:adjustRightInd w:val="0"/>
        <w:jc w:val="center"/>
        <w:rPr>
          <w:rFonts w:cs="Calibri"/>
          <w:kern w:val="0"/>
          <w:sz w:val="32"/>
          <w:szCs w:val="32"/>
        </w:rPr>
      </w:pPr>
    </w:p>
    <w:p>
      <w:pPr>
        <w:pStyle w:val="19"/>
        <w:spacing w:line="480" w:lineRule="auto"/>
        <w:jc w:val="center"/>
        <w:rPr>
          <w:rFonts w:ascii="Calibri" w:hAnsi="Calibri" w:eastAsia="隶书" w:cs="Calibri"/>
          <w:sz w:val="32"/>
        </w:rPr>
      </w:pPr>
    </w:p>
    <w:p>
      <w:pPr>
        <w:pStyle w:val="19"/>
        <w:spacing w:line="480" w:lineRule="auto"/>
        <w:jc w:val="center"/>
        <w:rPr>
          <w:rFonts w:ascii="Calibri" w:hAnsi="Calibri" w:eastAsia="隶书" w:cs="Calibri"/>
          <w:sz w:val="32"/>
        </w:rPr>
      </w:pPr>
    </w:p>
    <w:p>
      <w:pPr>
        <w:pStyle w:val="19"/>
        <w:spacing w:line="480" w:lineRule="auto"/>
        <w:rPr>
          <w:rFonts w:ascii="Calibri" w:hAnsi="Calibri" w:eastAsia="隶书" w:cs="Calibri"/>
          <w:sz w:val="32"/>
        </w:rPr>
      </w:pPr>
    </w:p>
    <w:p>
      <w:pPr>
        <w:pStyle w:val="19"/>
        <w:spacing w:line="480" w:lineRule="auto"/>
        <w:jc w:val="center"/>
        <w:rPr>
          <w:rFonts w:ascii="Calibri" w:hAnsi="Calibri" w:eastAsia="隶书" w:cs="Calibri"/>
          <w:sz w:val="32"/>
        </w:rPr>
      </w:pPr>
    </w:p>
    <w:p>
      <w:pPr>
        <w:snapToGrid w:val="0"/>
        <w:jc w:val="center"/>
        <w:rPr>
          <w:rFonts w:eastAsia="黑体" w:cs="Calibri"/>
          <w:sz w:val="32"/>
          <w:szCs w:val="32"/>
        </w:rPr>
      </w:pPr>
      <w:r>
        <w:rPr>
          <w:rFonts w:eastAsia="黑体" w:cs="Calibri"/>
          <w:sz w:val="32"/>
          <w:szCs w:val="32"/>
        </w:rPr>
        <w:t>杭州萧山国际机场有限公司</w:t>
      </w:r>
    </w:p>
    <w:p>
      <w:pPr>
        <w:rPr>
          <w:rFonts w:eastAsia="黑体" w:cs="Calibri"/>
          <w:sz w:val="32"/>
          <w:szCs w:val="32"/>
        </w:rPr>
      </w:pPr>
    </w:p>
    <w:p>
      <w:pPr>
        <w:pStyle w:val="19"/>
        <w:spacing w:line="480" w:lineRule="auto"/>
        <w:jc w:val="center"/>
        <w:rPr>
          <w:rFonts w:ascii="Calibri" w:hAnsi="Calibri" w:eastAsia="黑体" w:cs="Calibri"/>
          <w:sz w:val="32"/>
          <w:szCs w:val="32"/>
        </w:rPr>
      </w:pPr>
      <w:r>
        <w:rPr>
          <w:rFonts w:hint="eastAsia" w:ascii="Calibri" w:hAnsi="Calibri" w:eastAsia="黑体" w:cs="Calibri"/>
          <w:sz w:val="32"/>
          <w:szCs w:val="32"/>
        </w:rPr>
        <w:t>2019年</w:t>
      </w:r>
      <w:r>
        <w:rPr>
          <w:rFonts w:ascii="Calibri" w:hAnsi="Calibri" w:eastAsia="黑体" w:cs="Calibri"/>
          <w:sz w:val="32"/>
          <w:szCs w:val="32"/>
          <w:u w:val="single"/>
        </w:rPr>
        <w:t>10</w:t>
      </w:r>
      <w:r>
        <w:rPr>
          <w:rFonts w:ascii="Calibri" w:hAnsi="Calibri" w:eastAsia="黑体" w:cs="Calibri"/>
          <w:sz w:val="32"/>
          <w:szCs w:val="32"/>
        </w:rPr>
        <w:t>月</w:t>
      </w:r>
    </w:p>
    <w:p>
      <w:pPr>
        <w:pStyle w:val="19"/>
        <w:spacing w:line="480" w:lineRule="auto"/>
        <w:jc w:val="center"/>
        <w:rPr>
          <w:rFonts w:ascii="Calibri" w:hAnsi="Calibri" w:eastAsia="楷体_GB2312" w:cs="Calibri"/>
          <w:sz w:val="24"/>
          <w:szCs w:val="24"/>
          <w:u w:val="single"/>
        </w:rPr>
      </w:pPr>
      <w:r>
        <w:rPr>
          <w:rFonts w:ascii="Calibri" w:hAnsi="Calibri" w:eastAsia="黑体" w:cs="Calibri"/>
          <w:sz w:val="32"/>
          <w:szCs w:val="32"/>
        </w:rPr>
        <w:br w:type="page"/>
      </w:r>
    </w:p>
    <w:p>
      <w:pPr>
        <w:snapToGrid w:val="0"/>
        <w:spacing w:line="360" w:lineRule="auto"/>
        <w:jc w:val="center"/>
        <w:rPr>
          <w:rFonts w:cs="Calibri"/>
          <w:sz w:val="32"/>
          <w:szCs w:val="32"/>
        </w:rPr>
      </w:pPr>
    </w:p>
    <w:p>
      <w:pPr>
        <w:pStyle w:val="27"/>
        <w:rPr>
          <w:rFonts w:ascii="Calibri" w:cs="Calibri"/>
          <w:b/>
          <w:sz w:val="44"/>
        </w:rPr>
      </w:pPr>
      <w:bookmarkStart w:id="1" w:name="_Toc349007685"/>
      <w:bookmarkStart w:id="2" w:name="_Toc349011855"/>
      <w:bookmarkStart w:id="3" w:name="_Toc386359390"/>
      <w:bookmarkStart w:id="4" w:name="_Toc386363314"/>
      <w:r>
        <w:rPr>
          <w:rFonts w:hint="eastAsia" w:ascii="Calibri" w:cs="Calibri"/>
          <w:b/>
          <w:sz w:val="44"/>
        </w:rPr>
        <w:t xml:space="preserve"> </w:t>
      </w:r>
    </w:p>
    <w:p>
      <w:pPr>
        <w:pStyle w:val="27"/>
        <w:rPr>
          <w:rFonts w:ascii="Calibri" w:hAnsi="Calibri" w:cs="Calibri"/>
          <w:b/>
          <w:sz w:val="44"/>
        </w:rPr>
      </w:pPr>
      <w:bookmarkStart w:id="5" w:name="_Toc400369182"/>
      <w:bookmarkStart w:id="6" w:name="_Toc444173456"/>
      <w:bookmarkStart w:id="7" w:name="_Toc444174976"/>
      <w:bookmarkStart w:id="8" w:name="_Toc444811406"/>
      <w:bookmarkStart w:id="9" w:name="_Toc448002981"/>
      <w:bookmarkStart w:id="10" w:name="_Toc478453289"/>
      <w:r>
        <w:rPr>
          <w:rFonts w:ascii="Calibri" w:cs="Calibri"/>
          <w:b/>
          <w:sz w:val="44"/>
        </w:rPr>
        <w:t>目</w:t>
      </w:r>
      <w:r>
        <w:rPr>
          <w:rFonts w:ascii="Calibri" w:hAnsi="Calibri" w:cs="Calibri"/>
          <w:b/>
          <w:sz w:val="44"/>
        </w:rPr>
        <w:t xml:space="preserve">  </w:t>
      </w:r>
      <w:r>
        <w:rPr>
          <w:rFonts w:ascii="Calibri" w:cs="Calibri"/>
          <w:b/>
          <w:sz w:val="44"/>
        </w:rPr>
        <w:t>录</w:t>
      </w:r>
      <w:bookmarkEnd w:id="1"/>
      <w:bookmarkEnd w:id="2"/>
      <w:bookmarkEnd w:id="3"/>
      <w:bookmarkEnd w:id="4"/>
      <w:bookmarkEnd w:id="5"/>
      <w:bookmarkEnd w:id="6"/>
      <w:bookmarkEnd w:id="7"/>
      <w:bookmarkEnd w:id="8"/>
      <w:bookmarkEnd w:id="9"/>
      <w:bookmarkEnd w:id="10"/>
    </w:p>
    <w:p>
      <w:pPr>
        <w:pStyle w:val="27"/>
        <w:rPr>
          <w:rFonts w:ascii="Calibri" w:hAnsi="Calibri"/>
          <w:bCs w:val="0"/>
          <w:kern w:val="2"/>
          <w:szCs w:val="22"/>
        </w:rPr>
      </w:pPr>
      <w:r>
        <w:rPr>
          <w:rFonts w:hint="eastAsia" w:ascii="黑体" w:hAnsi="黑体" w:eastAsia="黑体" w:cs="Calibri"/>
          <w:sz w:val="22"/>
          <w:szCs w:val="22"/>
        </w:rPr>
        <w:fldChar w:fldCharType="begin"/>
      </w:r>
      <w:r>
        <w:rPr>
          <w:rFonts w:hint="eastAsia" w:ascii="黑体" w:hAnsi="黑体" w:eastAsia="黑体" w:cs="Calibri"/>
          <w:sz w:val="22"/>
          <w:szCs w:val="22"/>
        </w:rPr>
        <w:instrText xml:space="preserve"> TOC \o "1-3" \h \z \u </w:instrText>
      </w:r>
      <w:r>
        <w:rPr>
          <w:rFonts w:hint="eastAsia" w:ascii="黑体" w:hAnsi="黑体" w:eastAsia="黑体" w:cs="Calibri"/>
          <w:sz w:val="22"/>
          <w:szCs w:val="22"/>
        </w:rPr>
        <w:fldChar w:fldCharType="separate"/>
      </w:r>
      <w:r>
        <w:fldChar w:fldCharType="begin"/>
      </w:r>
      <w:r>
        <w:instrText xml:space="preserve"> HYPERLINK \l "_Toc478453290" </w:instrText>
      </w:r>
      <w:r>
        <w:fldChar w:fldCharType="separate"/>
      </w:r>
      <w:r>
        <w:rPr>
          <w:rStyle w:val="51"/>
          <w:rFonts w:hint="eastAsia" w:ascii="Calibri" w:eastAsia="黑体" w:cs="Calibri"/>
          <w:kern w:val="0"/>
        </w:rPr>
        <w:t>第一章</w:t>
      </w:r>
      <w:r>
        <w:rPr>
          <w:rStyle w:val="51"/>
          <w:rFonts w:ascii="Calibri" w:hAnsi="Calibri" w:eastAsia="黑体" w:cs="Calibri"/>
          <w:kern w:val="0"/>
        </w:rPr>
        <w:t xml:space="preserve">  </w:t>
      </w:r>
      <w:r>
        <w:rPr>
          <w:rStyle w:val="51"/>
          <w:rFonts w:hint="eastAsia" w:ascii="Calibri" w:eastAsia="黑体" w:cs="Calibri"/>
          <w:kern w:val="0"/>
        </w:rPr>
        <w:t>招标公告</w:t>
      </w:r>
      <w:r>
        <w:tab/>
      </w:r>
      <w:r>
        <w:fldChar w:fldCharType="begin"/>
      </w:r>
      <w:r>
        <w:instrText xml:space="preserve"> PAGEREF _Toc478453290 \h </w:instrText>
      </w:r>
      <w:r>
        <w:fldChar w:fldCharType="separate"/>
      </w:r>
      <w:r>
        <w:t>3</w:t>
      </w:r>
      <w:r>
        <w:fldChar w:fldCharType="end"/>
      </w:r>
      <w:r>
        <w:fldChar w:fldCharType="end"/>
      </w:r>
    </w:p>
    <w:p>
      <w:pPr>
        <w:pStyle w:val="27"/>
        <w:rPr>
          <w:rFonts w:ascii="Calibri" w:hAnsi="Calibri"/>
          <w:bCs w:val="0"/>
          <w:kern w:val="2"/>
          <w:szCs w:val="22"/>
        </w:rPr>
      </w:pPr>
      <w:r>
        <w:fldChar w:fldCharType="begin"/>
      </w:r>
      <w:r>
        <w:instrText xml:space="preserve"> HYPERLINK \l "_Toc478453291" </w:instrText>
      </w:r>
      <w:r>
        <w:fldChar w:fldCharType="separate"/>
      </w:r>
      <w:r>
        <w:rPr>
          <w:rStyle w:val="51"/>
          <w:rFonts w:hint="eastAsia" w:ascii="Calibri" w:eastAsia="黑体" w:cs="Calibri"/>
          <w:kern w:val="0"/>
        </w:rPr>
        <w:t>第二章</w:t>
      </w:r>
      <w:r>
        <w:rPr>
          <w:rStyle w:val="51"/>
          <w:rFonts w:ascii="Calibri" w:hAnsi="Calibri" w:eastAsia="黑体" w:cs="Calibri"/>
          <w:kern w:val="0"/>
        </w:rPr>
        <w:t xml:space="preserve">  </w:t>
      </w:r>
      <w:r>
        <w:rPr>
          <w:rStyle w:val="51"/>
          <w:rFonts w:hint="eastAsia" w:ascii="Calibri" w:eastAsia="黑体" w:cs="Calibri"/>
          <w:kern w:val="0"/>
        </w:rPr>
        <w:t>投标人须知</w:t>
      </w:r>
      <w:r>
        <w:tab/>
      </w:r>
      <w:r>
        <w:rPr>
          <w:rFonts w:hint="eastAsia"/>
        </w:rPr>
        <w:t>5</w:t>
      </w:r>
      <w:r>
        <w:fldChar w:fldCharType="end"/>
      </w:r>
    </w:p>
    <w:p>
      <w:pPr>
        <w:pStyle w:val="27"/>
        <w:rPr>
          <w:rFonts w:ascii="Calibri" w:hAnsi="Calibri"/>
          <w:bCs w:val="0"/>
          <w:kern w:val="2"/>
          <w:szCs w:val="22"/>
        </w:rPr>
      </w:pPr>
      <w:r>
        <w:fldChar w:fldCharType="begin"/>
      </w:r>
      <w:r>
        <w:instrText xml:space="preserve"> HYPERLINK \l "_Toc478453293" </w:instrText>
      </w:r>
      <w:r>
        <w:fldChar w:fldCharType="separate"/>
      </w:r>
      <w:r>
        <w:rPr>
          <w:rStyle w:val="51"/>
          <w:rFonts w:hint="eastAsia" w:ascii="Calibri" w:hAnsi="Calibri" w:eastAsia="黑体" w:cs="Calibri"/>
          <w:kern w:val="0"/>
        </w:rPr>
        <w:t>第三章</w:t>
      </w:r>
      <w:r>
        <w:rPr>
          <w:rStyle w:val="51"/>
          <w:rFonts w:ascii="Calibri" w:hAnsi="Calibri" w:eastAsia="黑体" w:cs="Calibri"/>
          <w:kern w:val="0"/>
        </w:rPr>
        <w:t xml:space="preserve">  </w:t>
      </w:r>
      <w:r>
        <w:rPr>
          <w:rStyle w:val="51"/>
          <w:rFonts w:hint="eastAsia" w:ascii="Calibri" w:hAnsi="Calibri" w:eastAsia="黑体" w:cs="Calibri"/>
          <w:kern w:val="0"/>
        </w:rPr>
        <w:t>采购内容、技术标准及要求</w:t>
      </w:r>
      <w:r>
        <w:tab/>
      </w:r>
      <w:r>
        <w:t>1</w:t>
      </w:r>
      <w:r>
        <w:rPr>
          <w:rFonts w:hint="eastAsia"/>
        </w:rPr>
        <w:t>5</w:t>
      </w:r>
      <w:r>
        <w:fldChar w:fldCharType="end"/>
      </w:r>
    </w:p>
    <w:p>
      <w:pPr>
        <w:pStyle w:val="27"/>
        <w:rPr>
          <w:rFonts w:ascii="Calibri" w:hAnsi="Calibri"/>
          <w:bCs w:val="0"/>
          <w:kern w:val="2"/>
          <w:szCs w:val="22"/>
        </w:rPr>
      </w:pPr>
      <w:r>
        <w:fldChar w:fldCharType="begin"/>
      </w:r>
      <w:r>
        <w:instrText xml:space="preserve"> HYPERLINK \l "_Toc478453294" </w:instrText>
      </w:r>
      <w:r>
        <w:fldChar w:fldCharType="separate"/>
      </w:r>
      <w:r>
        <w:rPr>
          <w:rStyle w:val="51"/>
          <w:rFonts w:hint="eastAsia" w:ascii="Calibri" w:hAnsi="Calibri" w:eastAsia="黑体" w:cs="Calibri"/>
          <w:kern w:val="0"/>
        </w:rPr>
        <w:t>第四章</w:t>
      </w:r>
      <w:r>
        <w:rPr>
          <w:rStyle w:val="51"/>
          <w:rFonts w:ascii="Calibri" w:hAnsi="Calibri" w:eastAsia="黑体" w:cs="Calibri"/>
          <w:kern w:val="0"/>
        </w:rPr>
        <w:t xml:space="preserve">  </w:t>
      </w:r>
      <w:r>
        <w:rPr>
          <w:rStyle w:val="51"/>
          <w:rFonts w:hint="eastAsia" w:ascii="Calibri" w:hAnsi="Calibri" w:eastAsia="黑体" w:cs="Calibri"/>
          <w:kern w:val="0"/>
        </w:rPr>
        <w:t>合同条款</w:t>
      </w:r>
      <w:r>
        <w:tab/>
      </w:r>
      <w:r>
        <w:t>1</w:t>
      </w:r>
      <w:r>
        <w:rPr>
          <w:rFonts w:hint="eastAsia"/>
        </w:rPr>
        <w:t>8</w:t>
      </w:r>
      <w:r>
        <w:fldChar w:fldCharType="end"/>
      </w:r>
    </w:p>
    <w:p>
      <w:pPr>
        <w:pStyle w:val="27"/>
        <w:rPr>
          <w:rStyle w:val="51"/>
        </w:rPr>
      </w:pPr>
      <w:r>
        <w:fldChar w:fldCharType="begin"/>
      </w:r>
      <w:r>
        <w:instrText xml:space="preserve"> HYPERLINK \l "_Toc478453303" </w:instrText>
      </w:r>
      <w:r>
        <w:fldChar w:fldCharType="separate"/>
      </w:r>
      <w:r>
        <w:rPr>
          <w:rStyle w:val="51"/>
          <w:rFonts w:hint="eastAsia" w:ascii="Calibri" w:hAnsi="Calibri" w:eastAsia="黑体" w:cs="Calibri"/>
          <w:kern w:val="0"/>
        </w:rPr>
        <w:t>第五章</w:t>
      </w:r>
      <w:r>
        <w:rPr>
          <w:rStyle w:val="51"/>
          <w:rFonts w:ascii="Calibri" w:hAnsi="Calibri" w:eastAsia="黑体" w:cs="Calibri"/>
          <w:kern w:val="0"/>
        </w:rPr>
        <w:t xml:space="preserve">  </w:t>
      </w:r>
      <w:r>
        <w:rPr>
          <w:rStyle w:val="51"/>
          <w:rFonts w:hint="eastAsia" w:ascii="Calibri" w:hAnsi="Calibri" w:eastAsia="黑体" w:cs="Calibri"/>
          <w:kern w:val="0"/>
        </w:rPr>
        <w:t>评标方法及标准</w:t>
      </w:r>
      <w:r>
        <w:tab/>
      </w:r>
      <w:r>
        <w:fldChar w:fldCharType="end"/>
      </w:r>
      <w:r>
        <w:rPr>
          <w:rStyle w:val="51"/>
        </w:rPr>
        <w:t>2</w:t>
      </w:r>
      <w:r>
        <w:rPr>
          <w:rStyle w:val="51"/>
          <w:rFonts w:hint="eastAsia"/>
        </w:rPr>
        <w:t>9</w:t>
      </w:r>
    </w:p>
    <w:p>
      <w:pPr>
        <w:pStyle w:val="27"/>
        <w:rPr>
          <w:rStyle w:val="51"/>
        </w:rPr>
      </w:pPr>
      <w:r>
        <w:fldChar w:fldCharType="begin"/>
      </w:r>
      <w:r>
        <w:instrText xml:space="preserve"> HYPERLINK \l "_Toc478453303" </w:instrText>
      </w:r>
      <w:r>
        <w:fldChar w:fldCharType="separate"/>
      </w:r>
      <w:r>
        <w:rPr>
          <w:rStyle w:val="51"/>
          <w:rFonts w:hint="eastAsia" w:ascii="Calibri" w:hAnsi="Calibri" w:eastAsia="黑体" w:cs="Calibri"/>
          <w:kern w:val="0"/>
        </w:rPr>
        <w:t>第六章</w:t>
      </w:r>
      <w:r>
        <w:rPr>
          <w:rStyle w:val="51"/>
          <w:rFonts w:ascii="Calibri" w:hAnsi="Calibri" w:eastAsia="黑体" w:cs="Calibri"/>
          <w:kern w:val="0"/>
        </w:rPr>
        <w:t xml:space="preserve">  </w:t>
      </w:r>
      <w:r>
        <w:rPr>
          <w:rStyle w:val="51"/>
          <w:rFonts w:hint="eastAsia" w:ascii="Calibri" w:hAnsi="Calibri" w:eastAsia="黑体" w:cs="Calibri"/>
          <w:kern w:val="0"/>
        </w:rPr>
        <w:t>投标文件格式</w:t>
      </w:r>
      <w:r>
        <w:rPr>
          <w:rStyle w:val="51"/>
          <w:rFonts w:hint="eastAsia" w:ascii="Calibri" w:hAnsi="Calibri" w:eastAsia="黑体" w:cs="Calibri"/>
          <w:kern w:val="0"/>
        </w:rPr>
        <w:tab/>
      </w:r>
      <w:r>
        <w:rPr>
          <w:rFonts w:ascii="Calibri" w:hAnsi="Calibri" w:eastAsia="黑体" w:cs="Calibri"/>
          <w:kern w:val="0"/>
        </w:rPr>
        <w:fldChar w:fldCharType="end"/>
      </w:r>
      <w:r>
        <w:rPr>
          <w:rStyle w:val="51"/>
          <w:rFonts w:hint="eastAsia"/>
        </w:rPr>
        <w:t>3</w:t>
      </w:r>
      <w:r>
        <w:rPr>
          <w:rStyle w:val="51"/>
        </w:rPr>
        <w:t>3</w:t>
      </w:r>
    </w:p>
    <w:p/>
    <w:p>
      <w:pPr>
        <w:spacing w:line="480" w:lineRule="auto"/>
        <w:jc w:val="center"/>
        <w:rPr>
          <w:rFonts w:eastAsia="黑体" w:cs="Calibri"/>
          <w:kern w:val="0"/>
          <w:sz w:val="32"/>
        </w:rPr>
      </w:pPr>
      <w:r>
        <w:rPr>
          <w:rFonts w:hint="eastAsia" w:ascii="黑体" w:hAnsi="黑体" w:eastAsia="黑体" w:cs="Calibri"/>
          <w:sz w:val="22"/>
        </w:rPr>
        <w:fldChar w:fldCharType="end"/>
      </w:r>
      <w:r>
        <w:rPr>
          <w:rFonts w:cs="Calibri"/>
        </w:rPr>
        <w:br w:type="page"/>
      </w:r>
      <w:bookmarkStart w:id="11" w:name="_Toc24784"/>
      <w:bookmarkStart w:id="12" w:name="_Toc7641"/>
      <w:bookmarkStart w:id="13" w:name="_Toc6832"/>
      <w:bookmarkStart w:id="14" w:name="_Toc8110"/>
      <w:bookmarkStart w:id="15" w:name="_Toc6581"/>
      <w:bookmarkStart w:id="16" w:name="_Toc22293"/>
      <w:bookmarkStart w:id="17" w:name="_Toc24932"/>
      <w:bookmarkStart w:id="18" w:name="_Toc14628"/>
      <w:bookmarkStart w:id="19" w:name="_Toc18642"/>
      <w:bookmarkStart w:id="20" w:name="_Toc478453290"/>
      <w:bookmarkStart w:id="21" w:name="_Toc248766631"/>
      <w:bookmarkStart w:id="22" w:name="_Toc249322950"/>
      <w:r>
        <w:rPr>
          <w:rFonts w:eastAsia="黑体" w:cs="Calibri"/>
          <w:kern w:val="0"/>
          <w:sz w:val="32"/>
        </w:rPr>
        <w:t xml:space="preserve">第一章 </w:t>
      </w:r>
      <w:bookmarkEnd w:id="11"/>
      <w:bookmarkEnd w:id="12"/>
      <w:bookmarkEnd w:id="13"/>
      <w:bookmarkEnd w:id="14"/>
      <w:bookmarkEnd w:id="15"/>
      <w:bookmarkEnd w:id="16"/>
      <w:bookmarkEnd w:id="17"/>
      <w:bookmarkEnd w:id="18"/>
      <w:bookmarkEnd w:id="19"/>
      <w:r>
        <w:rPr>
          <w:rFonts w:eastAsia="黑体" w:cs="Calibri"/>
          <w:kern w:val="0"/>
          <w:sz w:val="32"/>
        </w:rPr>
        <w:t xml:space="preserve"> </w:t>
      </w:r>
      <w:r>
        <w:rPr>
          <w:rFonts w:hint="eastAsia" w:eastAsia="黑体" w:cs="Calibri"/>
          <w:kern w:val="0"/>
          <w:sz w:val="32"/>
        </w:rPr>
        <w:t>招标公告</w:t>
      </w:r>
      <w:bookmarkEnd w:id="20"/>
    </w:p>
    <w:p>
      <w:pPr>
        <w:widowControl/>
        <w:snapToGrid w:val="0"/>
        <w:spacing w:line="340" w:lineRule="exact"/>
        <w:jc w:val="left"/>
        <w:rPr>
          <w:rFonts w:ascii="Arial" w:hAnsi="Arial" w:cs="Arial"/>
          <w:b/>
          <w:bCs/>
          <w:kern w:val="0"/>
          <w:sz w:val="22"/>
        </w:rPr>
      </w:pPr>
      <w:bookmarkStart w:id="127" w:name="_GoBack"/>
      <w:r>
        <w:rPr>
          <w:rFonts w:hint="eastAsia" w:ascii="Arial" w:hAnsi="Arial" w:cs="Arial"/>
          <w:b/>
          <w:bCs/>
          <w:kern w:val="0"/>
          <w:sz w:val="22"/>
        </w:rPr>
        <w:t>一、招标范围及内容</w:t>
      </w:r>
    </w:p>
    <w:p>
      <w:pPr>
        <w:widowControl/>
        <w:adjustRightInd w:val="0"/>
        <w:snapToGrid w:val="0"/>
        <w:spacing w:line="360" w:lineRule="exact"/>
        <w:ind w:firstLine="440" w:firstLineChars="200"/>
        <w:rPr>
          <w:rFonts w:cs="Arial"/>
          <w:kern w:val="0"/>
          <w:sz w:val="22"/>
        </w:rPr>
      </w:pPr>
      <w:r>
        <w:rPr>
          <w:rFonts w:hint="eastAsia" w:cs="Arial"/>
          <w:kern w:val="0"/>
          <w:sz w:val="22"/>
        </w:rPr>
        <w:t>杭州萧山国际机场有限公司就</w:t>
      </w:r>
      <w:r>
        <w:rPr>
          <w:rFonts w:cs="Arial"/>
          <w:kern w:val="0"/>
          <w:sz w:val="22"/>
        </w:rPr>
        <w:t>杭州萧山国际机场</w:t>
      </w:r>
      <w:r>
        <w:rPr>
          <w:rFonts w:hint="eastAsia" w:cs="Arial"/>
          <w:b/>
          <w:kern w:val="0"/>
          <w:sz w:val="22"/>
          <w:u w:val="single"/>
        </w:rPr>
        <w:t>自助登机门系统软硬件</w:t>
      </w:r>
      <w:r>
        <w:rPr>
          <w:rFonts w:cs="Arial"/>
          <w:kern w:val="0"/>
          <w:sz w:val="22"/>
        </w:rPr>
        <w:t>采购项</w:t>
      </w:r>
      <w:r>
        <w:rPr>
          <w:rFonts w:hint="eastAsia" w:cs="Arial"/>
          <w:kern w:val="0"/>
          <w:sz w:val="22"/>
        </w:rPr>
        <w:t>目进行公开招标，欢迎符合资格要求的供应商参与投标。</w:t>
      </w:r>
    </w:p>
    <w:p>
      <w:pPr>
        <w:widowControl/>
        <w:adjustRightInd w:val="0"/>
        <w:snapToGrid w:val="0"/>
        <w:spacing w:line="360" w:lineRule="exact"/>
        <w:ind w:firstLine="440" w:firstLineChars="200"/>
        <w:rPr>
          <w:rFonts w:cs="Arial"/>
          <w:kern w:val="0"/>
          <w:sz w:val="22"/>
        </w:rPr>
      </w:pPr>
      <w:r>
        <w:rPr>
          <w:rFonts w:hint="eastAsia" w:cs="Arial"/>
          <w:kern w:val="0"/>
          <w:sz w:val="22"/>
        </w:rPr>
        <w:t>招标货物名称、数量及主要技术规格</w:t>
      </w:r>
    </w:p>
    <w:tbl>
      <w:tblPr>
        <w:tblStyle w:val="46"/>
        <w:tblW w:w="954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4"/>
        <w:gridCol w:w="992"/>
        <w:gridCol w:w="2463"/>
        <w:gridCol w:w="2057"/>
        <w:gridCol w:w="1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noWrap w:val="0"/>
            <w:vAlign w:val="center"/>
          </w:tcPr>
          <w:p>
            <w:pPr>
              <w:adjustRightInd w:val="0"/>
              <w:snapToGrid w:val="0"/>
              <w:jc w:val="center"/>
              <w:rPr>
                <w:caps/>
                <w:sz w:val="22"/>
              </w:rPr>
            </w:pPr>
            <w:r>
              <w:rPr>
                <w:caps/>
                <w:sz w:val="22"/>
              </w:rPr>
              <w:t>货物名称</w:t>
            </w:r>
          </w:p>
        </w:tc>
        <w:tc>
          <w:tcPr>
            <w:tcW w:w="992" w:type="dxa"/>
            <w:noWrap w:val="0"/>
            <w:vAlign w:val="center"/>
          </w:tcPr>
          <w:p>
            <w:pPr>
              <w:adjustRightInd w:val="0"/>
              <w:snapToGrid w:val="0"/>
              <w:jc w:val="center"/>
              <w:rPr>
                <w:caps/>
                <w:sz w:val="22"/>
              </w:rPr>
            </w:pPr>
            <w:r>
              <w:rPr>
                <w:caps/>
                <w:sz w:val="22"/>
              </w:rPr>
              <w:t>数 量</w:t>
            </w:r>
          </w:p>
        </w:tc>
        <w:tc>
          <w:tcPr>
            <w:tcW w:w="2463" w:type="dxa"/>
            <w:noWrap w:val="0"/>
            <w:vAlign w:val="center"/>
          </w:tcPr>
          <w:p>
            <w:pPr>
              <w:adjustRightInd w:val="0"/>
              <w:snapToGrid w:val="0"/>
              <w:jc w:val="center"/>
              <w:rPr>
                <w:caps/>
                <w:sz w:val="22"/>
              </w:rPr>
            </w:pPr>
            <w:r>
              <w:rPr>
                <w:caps/>
                <w:sz w:val="22"/>
              </w:rPr>
              <w:t>主要技术规格</w:t>
            </w:r>
          </w:p>
        </w:tc>
        <w:tc>
          <w:tcPr>
            <w:tcW w:w="2057" w:type="dxa"/>
            <w:noWrap w:val="0"/>
            <w:vAlign w:val="center"/>
          </w:tcPr>
          <w:p>
            <w:pPr>
              <w:adjustRightInd w:val="0"/>
              <w:snapToGrid w:val="0"/>
              <w:jc w:val="center"/>
              <w:rPr>
                <w:caps/>
                <w:sz w:val="22"/>
              </w:rPr>
            </w:pPr>
            <w:r>
              <w:rPr>
                <w:caps/>
                <w:sz w:val="22"/>
              </w:rPr>
              <w:t>供货期</w:t>
            </w:r>
          </w:p>
        </w:tc>
        <w:tc>
          <w:tcPr>
            <w:tcW w:w="1340" w:type="dxa"/>
            <w:noWrap w:val="0"/>
            <w:vAlign w:val="center"/>
          </w:tcPr>
          <w:p>
            <w:pPr>
              <w:adjustRightInd w:val="0"/>
              <w:snapToGrid w:val="0"/>
              <w:jc w:val="center"/>
              <w:rPr>
                <w:caps/>
                <w:sz w:val="22"/>
              </w:rPr>
            </w:pPr>
            <w:r>
              <w:rPr>
                <w:caps/>
                <w:sz w:val="22"/>
              </w:rPr>
              <w:t>交货地点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2694" w:type="dxa"/>
            <w:noWrap w:val="0"/>
            <w:vAlign w:val="center"/>
          </w:tcPr>
          <w:p>
            <w:pPr>
              <w:snapToGrid w:val="0"/>
              <w:jc w:val="center"/>
              <w:rPr>
                <w:sz w:val="22"/>
              </w:rPr>
            </w:pPr>
            <w:r>
              <w:rPr>
                <w:rFonts w:hint="eastAsia" w:ascii="Arial" w:hAnsi="Arial" w:cs="Arial"/>
                <w:bCs/>
                <w:kern w:val="0"/>
                <w:sz w:val="22"/>
              </w:rPr>
              <w:t>单通道自助登机门系统的硬件及应用软件（含人脸识别）、离港工作站及离港应用软件授权、与本场安检信息系统接口、廊桥玻璃隔断。</w:t>
            </w:r>
          </w:p>
        </w:tc>
        <w:tc>
          <w:tcPr>
            <w:tcW w:w="992" w:type="dxa"/>
            <w:noWrap w:val="0"/>
            <w:vAlign w:val="center"/>
          </w:tcPr>
          <w:p>
            <w:pPr>
              <w:snapToGrid w:val="0"/>
              <w:jc w:val="center"/>
              <w:rPr>
                <w:sz w:val="22"/>
              </w:rPr>
            </w:pPr>
            <w:r>
              <w:rPr>
                <w:rFonts w:hint="eastAsia"/>
                <w:sz w:val="22"/>
              </w:rPr>
              <w:t>10套</w:t>
            </w:r>
          </w:p>
        </w:tc>
        <w:tc>
          <w:tcPr>
            <w:tcW w:w="2463" w:type="dxa"/>
            <w:noWrap w:val="0"/>
            <w:vAlign w:val="center"/>
          </w:tcPr>
          <w:p>
            <w:pPr>
              <w:widowControl/>
              <w:snapToGrid w:val="0"/>
              <w:spacing w:line="340" w:lineRule="exact"/>
              <w:jc w:val="left"/>
              <w:rPr>
                <w:sz w:val="22"/>
              </w:rPr>
            </w:pPr>
            <w:r>
              <w:rPr>
                <w:rFonts w:hint="eastAsia" w:ascii="Arial" w:hAnsi="Arial" w:cs="Arial"/>
                <w:bCs/>
                <w:kern w:val="0"/>
                <w:sz w:val="22"/>
              </w:rPr>
              <w:t>详见第三章货物需求一览表及技术规格</w:t>
            </w:r>
          </w:p>
        </w:tc>
        <w:tc>
          <w:tcPr>
            <w:tcW w:w="2057" w:type="dxa"/>
            <w:noWrap w:val="0"/>
            <w:vAlign w:val="center"/>
          </w:tcPr>
          <w:p>
            <w:pPr>
              <w:adjustRightInd w:val="0"/>
              <w:snapToGrid w:val="0"/>
              <w:jc w:val="center"/>
              <w:rPr>
                <w:sz w:val="22"/>
              </w:rPr>
            </w:pPr>
            <w:r>
              <w:rPr>
                <w:rFonts w:hint="eastAsia"/>
                <w:sz w:val="22"/>
              </w:rPr>
              <w:t>合同签订后</w:t>
            </w:r>
            <w:r>
              <w:rPr>
                <w:sz w:val="22"/>
              </w:rPr>
              <w:t>180</w:t>
            </w:r>
            <w:r>
              <w:rPr>
                <w:rFonts w:hint="eastAsia"/>
                <w:sz w:val="22"/>
              </w:rPr>
              <w:t>日历天</w:t>
            </w:r>
          </w:p>
        </w:tc>
        <w:tc>
          <w:tcPr>
            <w:tcW w:w="1340" w:type="dxa"/>
            <w:noWrap w:val="0"/>
            <w:vAlign w:val="center"/>
          </w:tcPr>
          <w:p>
            <w:pPr>
              <w:adjustRightInd w:val="0"/>
              <w:snapToGrid w:val="0"/>
              <w:jc w:val="center"/>
              <w:rPr>
                <w:sz w:val="22"/>
              </w:rPr>
            </w:pPr>
            <w:r>
              <w:rPr>
                <w:sz w:val="22"/>
              </w:rPr>
              <w:t>杭州萧山国际机场</w:t>
            </w:r>
          </w:p>
        </w:tc>
      </w:tr>
    </w:tbl>
    <w:p>
      <w:pPr>
        <w:widowControl/>
        <w:snapToGrid w:val="0"/>
        <w:spacing w:line="340" w:lineRule="exact"/>
        <w:ind w:firstLine="440" w:firstLineChars="200"/>
        <w:jc w:val="left"/>
        <w:rPr>
          <w:rFonts w:ascii="Arial" w:hAnsi="Arial" w:cs="Arial"/>
          <w:bCs/>
          <w:kern w:val="0"/>
          <w:sz w:val="22"/>
        </w:rPr>
      </w:pP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二、</w:t>
      </w:r>
      <w:r>
        <w:rPr>
          <w:rFonts w:ascii="Arial" w:hAnsi="Arial" w:cs="Arial"/>
          <w:b/>
          <w:bCs/>
          <w:kern w:val="0"/>
          <w:sz w:val="22"/>
        </w:rPr>
        <w:t> </w:t>
      </w:r>
      <w:r>
        <w:rPr>
          <w:rFonts w:hint="eastAsia" w:ascii="Arial" w:hAnsi="Arial" w:cs="Arial"/>
          <w:b/>
          <w:bCs/>
          <w:kern w:val="0"/>
          <w:sz w:val="22"/>
        </w:rPr>
        <w:t>投标人资格要求</w:t>
      </w:r>
      <w:r>
        <w:rPr>
          <w:rFonts w:ascii="Arial" w:hAnsi="Arial" w:cs="Arial"/>
          <w:b/>
          <w:bCs/>
          <w:kern w:val="0"/>
          <w:sz w:val="22"/>
        </w:rPr>
        <w:t>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（1）具有独立法人资格的制造商或代理商，制造商注册资金不少于人民币</w:t>
      </w:r>
      <w:r>
        <w:rPr>
          <w:rFonts w:ascii="宋体" w:hAnsi="宋体" w:cs="Arial"/>
          <w:kern w:val="0"/>
          <w:sz w:val="22"/>
        </w:rPr>
        <w:t>500万元或等值外币(按投标截止日当天中国银行公布的外汇牌价的中间价换算)，代理商注册资金不少于人民币500万元或等值外币(按投标截止日当天中国银行公布的外汇牌价的中间价换算)，需提供营业执照复印件并加盖投标人公章作为证明材料，原件备查。如营业执照未登记注册资本的，须另外提供企业在“全国企业信用信息公示系统”中自行公示的出资实缴情况，附相关公示网页复制件，并加盖投标人公章。</w:t>
      </w:r>
      <w:r>
        <w:rPr>
          <w:rFonts w:hint="eastAsia" w:ascii="宋体" w:hAnsi="宋体" w:cs="Arial"/>
          <w:kern w:val="0"/>
          <w:sz w:val="22"/>
        </w:rPr>
        <w:t>（2）依据最高人民法院等九部门《关于在招标投标活动中对失信被执行人实施联合惩戒的通知》，投标人不得为失信被执行人。（通过信用中国网站</w:t>
      </w:r>
      <w:r>
        <w:rPr>
          <w:rFonts w:ascii="宋体" w:hAnsi="宋体" w:cs="Arial"/>
          <w:kern w:val="0"/>
          <w:sz w:val="22"/>
        </w:rPr>
        <w:t>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（3）近年（</w:t>
      </w:r>
      <w:r>
        <w:rPr>
          <w:rFonts w:ascii="宋体" w:hAnsi="宋体" w:cs="Arial"/>
          <w:kern w:val="0"/>
          <w:sz w:val="22"/>
        </w:rPr>
        <w:t>2016年1月1日起至投标截止日止）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（4）具有一般纳税人资格，可提供增值税专用发票（需提供下列四项证明材料中任意一项并加盖公章，</w:t>
      </w:r>
      <w:r>
        <w:rPr>
          <w:rFonts w:ascii="宋体" w:hAnsi="宋体" w:cs="Arial"/>
          <w:kern w:val="0"/>
          <w:sz w:val="22"/>
        </w:rPr>
        <w:t>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r>
        <w:rPr>
          <w:rFonts w:hint="eastAsia" w:ascii="宋体" w:hAnsi="宋体" w:cs="Arial"/>
          <w:kern w:val="0"/>
          <w:sz w:val="22"/>
        </w:rPr>
        <w:t xml:space="preserve">（5）投标人所投的自助登机门系统产品，具有自2016年1月1日起至投标截止日期前在机场使用案例。投标时需提供系统案例证明（中标书或合同或验收材料的复印件，原件备查）。 </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（6）若投标人为自助登机门系统代理商，则需提供自助登机门系统硬件产品的制造商授权书</w:t>
      </w:r>
      <w:r>
        <w:rPr>
          <w:rFonts w:hint="eastAsia" w:cs="宋体"/>
        </w:rPr>
        <w:t>（需提供授权书复印件并加盖投标人公章作为证明材料，原件备查）</w:t>
      </w:r>
      <w:r>
        <w:rPr>
          <w:rFonts w:hint="eastAsia" w:ascii="宋体" w:hAnsi="宋体" w:cs="Arial"/>
          <w:kern w:val="0"/>
          <w:sz w:val="22"/>
        </w:rPr>
        <w:t>，</w:t>
      </w:r>
      <w:r>
        <w:rPr>
          <w:rFonts w:hint="eastAsia"/>
        </w:rPr>
        <w:t>同一品牌</w:t>
      </w:r>
      <w:r>
        <w:t>，仅能委托一个代理商参加投标</w:t>
      </w:r>
      <w:r>
        <w:rPr>
          <w:rFonts w:hint="eastAsia"/>
        </w:rPr>
        <w:t>，</w:t>
      </w:r>
      <w:r>
        <w:t>且</w:t>
      </w:r>
      <w:r>
        <w:rPr>
          <w:rFonts w:hint="eastAsia"/>
        </w:rPr>
        <w:t>制造商</w:t>
      </w:r>
      <w:r>
        <w:t>与其代理商不能同时参与本项目投标。</w:t>
      </w:r>
      <w:r>
        <w:rPr>
          <w:rFonts w:hint="eastAsia" w:ascii="宋体" w:hAnsi="宋体" w:cs="Arial"/>
          <w:kern w:val="0"/>
          <w:sz w:val="22"/>
        </w:rPr>
        <w:t>。</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（7）对于所投的自助登机门系统产品，投标人需提供中国航信第三方设备入网认证的证明材料(提供证明材料复印件并</w:t>
      </w:r>
      <w:r>
        <w:rPr>
          <w:rFonts w:ascii="宋体" w:hAnsi="宋体" w:cs="Arial"/>
          <w:kern w:val="0"/>
          <w:sz w:val="22"/>
        </w:rPr>
        <w:t>加盖投标人公章</w:t>
      </w:r>
      <w:r>
        <w:rPr>
          <w:rFonts w:hint="eastAsia" w:ascii="宋体" w:hAnsi="宋体" w:cs="Arial"/>
          <w:kern w:val="0"/>
          <w:sz w:val="22"/>
        </w:rPr>
        <w:t>，原件备查)；</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（8）</w:t>
      </w:r>
      <w:r>
        <w:rPr>
          <w:rFonts w:cs="Arial"/>
          <w:kern w:val="0"/>
          <w:sz w:val="22"/>
        </w:rPr>
        <w:t>本项目不接受联合</w:t>
      </w:r>
      <w:r>
        <w:rPr>
          <w:rFonts w:hint="eastAsia" w:cs="Arial"/>
          <w:kern w:val="0"/>
          <w:sz w:val="22"/>
        </w:rPr>
        <w:t>体</w:t>
      </w:r>
      <w:r>
        <w:rPr>
          <w:rFonts w:cs="Arial"/>
          <w:kern w:val="0"/>
          <w:sz w:val="22"/>
        </w:rPr>
        <w:t>投标</w:t>
      </w:r>
      <w:r>
        <w:rPr>
          <w:rFonts w:hint="eastAsia" w:cs="Arial"/>
          <w:kern w:val="0"/>
          <w:sz w:val="22"/>
        </w:rPr>
        <w:t>。</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三、招标文件获取</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凡符合资格条件并有投标意向的潜在投标人，请通过杭州萧山机场有限公司主页</w:t>
      </w:r>
      <w:r>
        <w:fldChar w:fldCharType="begin"/>
      </w:r>
      <w:r>
        <w:instrText xml:space="preserve"> HYPERLINK "http://www.hzairport.com/zbxx.aspx" </w:instrText>
      </w:r>
      <w:r>
        <w:fldChar w:fldCharType="separate"/>
      </w:r>
      <w:r>
        <w:rPr>
          <w:rFonts w:ascii="宋体" w:hAnsi="宋体" w:cs="Arial"/>
          <w:kern w:val="0"/>
          <w:sz w:val="22"/>
        </w:rPr>
        <w:t>http://www.hzairport.com/zbxx.aspx</w:t>
      </w:r>
      <w:r>
        <w:rPr>
          <w:rFonts w:ascii="宋体" w:hAnsi="宋体" w:cs="Arial"/>
          <w:kern w:val="0"/>
          <w:sz w:val="22"/>
        </w:rPr>
        <w:fldChar w:fldCharType="end"/>
      </w:r>
      <w:r>
        <w:rPr>
          <w:rFonts w:hint="eastAsia" w:ascii="宋体" w:hAnsi="宋体" w:cs="Arial"/>
          <w:kern w:val="0"/>
          <w:sz w:val="22"/>
        </w:rPr>
        <w:t>自行下载招标文件。</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招标文件下载</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四、投标文件的递交</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（1）投标文件递交截止时间：201</w:t>
      </w:r>
      <w:r>
        <w:rPr>
          <w:rFonts w:ascii="宋体" w:hAnsi="宋体" w:cs="Arial"/>
          <w:kern w:val="0"/>
          <w:sz w:val="22"/>
        </w:rPr>
        <w:t>9</w:t>
      </w:r>
      <w:r>
        <w:rPr>
          <w:rFonts w:hint="eastAsia" w:ascii="宋体" w:hAnsi="宋体" w:cs="Arial"/>
          <w:kern w:val="0"/>
          <w:sz w:val="22"/>
        </w:rPr>
        <w:t>年</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8</w:t>
      </w:r>
      <w:r>
        <w:rPr>
          <w:rFonts w:hint="eastAsia" w:ascii="宋体" w:hAnsi="宋体" w:cs="Arial"/>
          <w:kern w:val="0"/>
          <w:sz w:val="22"/>
        </w:rPr>
        <w:t>日</w:t>
      </w:r>
      <w:r>
        <w:rPr>
          <w:rFonts w:hint="eastAsia" w:ascii="宋体" w:hAnsi="宋体" w:cs="Arial"/>
          <w:kern w:val="0"/>
          <w:sz w:val="22"/>
          <w:lang w:eastAsia="zh-CN"/>
        </w:rPr>
        <w:t>上午</w:t>
      </w:r>
      <w:r>
        <w:rPr>
          <w:rFonts w:hint="eastAsia" w:ascii="宋体" w:hAnsi="宋体" w:cs="Arial"/>
          <w:kern w:val="0"/>
          <w:sz w:val="22"/>
          <w:lang w:val="en-US" w:eastAsia="zh-CN"/>
        </w:rPr>
        <w:t>9</w:t>
      </w:r>
      <w:r>
        <w:rPr>
          <w:rFonts w:hint="eastAsia" w:ascii="宋体" w:hAnsi="宋体" w:cs="Arial"/>
          <w:kern w:val="0"/>
          <w:sz w:val="22"/>
        </w:rPr>
        <w:t>时00分（北京时间）。投标文件在封口处加盖公章，并派专人于</w:t>
      </w:r>
      <w:r>
        <w:rPr>
          <w:rFonts w:hint="eastAsia" w:ascii="宋体" w:hAnsi="宋体" w:cs="Arial"/>
          <w:kern w:val="0"/>
          <w:sz w:val="22"/>
        </w:rPr>
        <w:t>201</w:t>
      </w:r>
      <w:r>
        <w:rPr>
          <w:rFonts w:ascii="宋体" w:hAnsi="宋体" w:cs="Arial"/>
          <w:kern w:val="0"/>
          <w:sz w:val="22"/>
        </w:rPr>
        <w:t>9</w:t>
      </w:r>
      <w:r>
        <w:rPr>
          <w:rFonts w:hint="eastAsia" w:ascii="宋体" w:hAnsi="宋体" w:cs="Arial"/>
          <w:kern w:val="0"/>
          <w:sz w:val="22"/>
        </w:rPr>
        <w:t>年</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8</w:t>
      </w:r>
      <w:r>
        <w:rPr>
          <w:rFonts w:hint="eastAsia" w:ascii="宋体" w:hAnsi="宋体" w:cs="Arial"/>
          <w:kern w:val="0"/>
          <w:sz w:val="22"/>
        </w:rPr>
        <w:t>日</w:t>
      </w:r>
      <w:r>
        <w:rPr>
          <w:rFonts w:hint="eastAsia" w:ascii="宋体" w:hAnsi="宋体" w:cs="Arial"/>
          <w:kern w:val="0"/>
          <w:sz w:val="22"/>
          <w:lang w:eastAsia="zh-CN"/>
        </w:rPr>
        <w:t>上午</w:t>
      </w:r>
      <w:r>
        <w:rPr>
          <w:rFonts w:hint="eastAsia" w:ascii="宋体" w:hAnsi="宋体" w:cs="Arial"/>
          <w:kern w:val="0"/>
          <w:sz w:val="22"/>
          <w:lang w:val="en-US" w:eastAsia="zh-CN"/>
        </w:rPr>
        <w:t>9</w:t>
      </w:r>
      <w:r>
        <w:rPr>
          <w:rFonts w:hint="eastAsia" w:ascii="宋体" w:hAnsi="宋体" w:cs="Arial"/>
          <w:kern w:val="0"/>
          <w:sz w:val="22"/>
        </w:rPr>
        <w:t>时00分</w:t>
      </w:r>
      <w:r>
        <w:rPr>
          <w:rFonts w:hint="eastAsia" w:ascii="宋体" w:hAnsi="宋体" w:cs="Arial"/>
          <w:kern w:val="0"/>
          <w:sz w:val="22"/>
        </w:rPr>
        <w:t>（北京时间）前送至杭州萧山国际机场翔越路综合服务楼园区招标中心，逾期无效；若采用投递（邮寄）方式的，请于</w:t>
      </w:r>
      <w:r>
        <w:rPr>
          <w:rFonts w:hint="eastAsia" w:ascii="宋体" w:hAnsi="宋体" w:cs="Arial"/>
          <w:kern w:val="0"/>
          <w:sz w:val="22"/>
        </w:rPr>
        <w:t>201</w:t>
      </w:r>
      <w:r>
        <w:rPr>
          <w:rFonts w:ascii="宋体" w:hAnsi="宋体" w:cs="Arial"/>
          <w:kern w:val="0"/>
          <w:sz w:val="22"/>
        </w:rPr>
        <w:t>9</w:t>
      </w:r>
      <w:r>
        <w:rPr>
          <w:rFonts w:hint="eastAsia" w:ascii="宋体" w:hAnsi="宋体" w:cs="Arial"/>
          <w:kern w:val="0"/>
          <w:sz w:val="22"/>
        </w:rPr>
        <w:t>年</w:t>
      </w:r>
      <w:r>
        <w:rPr>
          <w:rFonts w:hint="eastAsia" w:ascii="宋体" w:hAnsi="宋体" w:cs="Arial"/>
          <w:kern w:val="0"/>
          <w:sz w:val="22"/>
          <w:lang w:val="en-US" w:eastAsia="zh-CN"/>
        </w:rPr>
        <w:t>11</w:t>
      </w:r>
      <w:r>
        <w:rPr>
          <w:rFonts w:hint="eastAsia" w:ascii="宋体" w:hAnsi="宋体" w:cs="Arial"/>
          <w:kern w:val="0"/>
          <w:sz w:val="22"/>
        </w:rPr>
        <w:t>月</w:t>
      </w:r>
      <w:r>
        <w:rPr>
          <w:rFonts w:hint="eastAsia" w:ascii="宋体" w:hAnsi="宋体" w:cs="Arial"/>
          <w:kern w:val="0"/>
          <w:sz w:val="22"/>
          <w:lang w:val="en-US" w:eastAsia="zh-CN"/>
        </w:rPr>
        <w:t>8</w:t>
      </w:r>
      <w:r>
        <w:rPr>
          <w:rFonts w:hint="eastAsia" w:ascii="宋体" w:hAnsi="宋体" w:cs="Arial"/>
          <w:kern w:val="0"/>
          <w:sz w:val="22"/>
        </w:rPr>
        <w:t>日</w:t>
      </w:r>
      <w:r>
        <w:rPr>
          <w:rFonts w:hint="eastAsia" w:ascii="宋体" w:hAnsi="宋体" w:cs="Arial"/>
          <w:kern w:val="0"/>
          <w:sz w:val="22"/>
          <w:lang w:eastAsia="zh-CN"/>
        </w:rPr>
        <w:t>上午</w:t>
      </w:r>
      <w:r>
        <w:rPr>
          <w:rFonts w:hint="eastAsia" w:ascii="宋体" w:hAnsi="宋体" w:cs="Arial"/>
          <w:kern w:val="0"/>
          <w:sz w:val="22"/>
          <w:lang w:val="en-US" w:eastAsia="zh-CN"/>
        </w:rPr>
        <w:t>9</w:t>
      </w:r>
      <w:r>
        <w:rPr>
          <w:rFonts w:hint="eastAsia" w:ascii="宋体" w:hAnsi="宋体" w:cs="Arial"/>
          <w:kern w:val="0"/>
          <w:sz w:val="22"/>
        </w:rPr>
        <w:t>时00分</w:t>
      </w:r>
      <w:r>
        <w:rPr>
          <w:rFonts w:hint="eastAsia" w:ascii="宋体" w:hAnsi="宋体" w:cs="Arial"/>
          <w:kern w:val="0"/>
          <w:sz w:val="22"/>
        </w:rPr>
        <w:t>（北京时间）前投递至杭州萧山国际机场翔越路综合服务楼园区招标中心，逾期无效。</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（2）</w:t>
      </w:r>
      <w:r>
        <w:rPr>
          <w:rFonts w:hint="eastAsia" w:ascii="宋体" w:hAnsi="宋体"/>
          <w:szCs w:val="21"/>
        </w:rPr>
        <w:t>逾期送达或者未送达指定地点的投标文件，招标人不予受理。</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五、发布公告的媒介</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本次招标公告在</w:t>
      </w:r>
      <w:r>
        <w:rPr>
          <w:rFonts w:hint="eastAsia" w:ascii="宋体" w:hAnsi="宋体" w:cs="Arial"/>
          <w:b/>
          <w:kern w:val="0"/>
          <w:sz w:val="22"/>
        </w:rPr>
        <w:t>中国采购与招标网和杭州萧山机场有限公司</w:t>
      </w:r>
      <w:r>
        <w:rPr>
          <w:rFonts w:hint="eastAsia" w:ascii="宋体" w:hAnsi="宋体" w:cs="Arial"/>
          <w:kern w:val="0"/>
          <w:sz w:val="22"/>
        </w:rPr>
        <w:t>主页上发布</w:t>
      </w:r>
    </w:p>
    <w:p>
      <w:pPr>
        <w:widowControl/>
        <w:adjustRightInd w:val="0"/>
        <w:snapToGrid w:val="0"/>
        <w:spacing w:line="340" w:lineRule="exact"/>
        <w:ind w:firstLine="440" w:firstLineChars="200"/>
        <w:rPr>
          <w:rFonts w:ascii="宋体" w:hAnsi="宋体" w:cs="Arial"/>
          <w:kern w:val="0"/>
          <w:sz w:val="22"/>
        </w:rPr>
      </w:pPr>
      <w:r>
        <w:rPr>
          <w:rFonts w:hint="eastAsia" w:ascii="宋体" w:hAnsi="宋体"/>
          <w:sz w:val="22"/>
        </w:rPr>
        <w:t>中国采购与招标网</w:t>
      </w:r>
      <w:r>
        <w:rPr>
          <w:rFonts w:ascii="宋体" w:hAnsi="宋体"/>
          <w:sz w:val="22"/>
        </w:rPr>
        <w:t xml:space="preserve">  </w:t>
      </w:r>
      <w:r>
        <w:fldChar w:fldCharType="begin"/>
      </w:r>
      <w:r>
        <w:instrText xml:space="preserve"> HYPERLINK "http://www.chinabidding.com.cn" </w:instrText>
      </w:r>
      <w:r>
        <w:fldChar w:fldCharType="separate"/>
      </w:r>
      <w:r>
        <w:rPr>
          <w:rFonts w:ascii="宋体" w:hAnsi="宋体"/>
          <w:sz w:val="22"/>
        </w:rPr>
        <w:t>http://www.chinabidding.com.cn</w:t>
      </w:r>
      <w:r>
        <w:rPr>
          <w:rFonts w:ascii="宋体" w:hAnsi="宋体"/>
          <w:sz w:val="22"/>
        </w:rPr>
        <w:fldChar w:fldCharType="end"/>
      </w:r>
    </w:p>
    <w:p>
      <w:pPr>
        <w:widowControl/>
        <w:adjustRightInd w:val="0"/>
        <w:snapToGrid w:val="0"/>
        <w:spacing w:line="340" w:lineRule="exact"/>
        <w:ind w:firstLine="440" w:firstLineChars="200"/>
        <w:rPr>
          <w:rFonts w:ascii="宋体" w:hAnsi="宋体" w:cs="Arial"/>
          <w:kern w:val="0"/>
          <w:sz w:val="22"/>
        </w:rPr>
      </w:pPr>
      <w:r>
        <w:rPr>
          <w:rFonts w:hint="eastAsia" w:ascii="宋体" w:hAnsi="宋体" w:cs="Arial"/>
          <w:kern w:val="0"/>
          <w:sz w:val="22"/>
        </w:rPr>
        <w:t>杭州萧山机场有限公司主页http://www.hzairport.com</w:t>
      </w:r>
    </w:p>
    <w:p>
      <w:pPr>
        <w:widowControl/>
        <w:snapToGrid w:val="0"/>
        <w:spacing w:line="340" w:lineRule="exact"/>
        <w:jc w:val="left"/>
        <w:rPr>
          <w:rFonts w:ascii="Arial" w:hAnsi="Arial" w:cs="Arial"/>
          <w:b/>
          <w:bCs/>
          <w:kern w:val="0"/>
          <w:sz w:val="22"/>
        </w:rPr>
      </w:pPr>
      <w:r>
        <w:rPr>
          <w:rFonts w:hint="eastAsia" w:ascii="Arial" w:hAnsi="Arial" w:cs="Arial"/>
          <w:b/>
          <w:bCs/>
          <w:kern w:val="0"/>
          <w:sz w:val="22"/>
        </w:rPr>
        <w:t>六、联系方式</w:t>
      </w:r>
    </w:p>
    <w:p>
      <w:pPr>
        <w:widowControl/>
        <w:adjustRightInd w:val="0"/>
        <w:snapToGrid w:val="0"/>
        <w:spacing w:line="340" w:lineRule="exact"/>
        <w:ind w:firstLine="440" w:firstLineChars="200"/>
        <w:rPr>
          <w:sz w:val="22"/>
        </w:rPr>
      </w:pPr>
      <w:r>
        <w:rPr>
          <w:rFonts w:hint="eastAsia"/>
          <w:sz w:val="22"/>
        </w:rPr>
        <w:t xml:space="preserve">投标联系人：贾工       </w:t>
      </w:r>
      <w:r>
        <w:rPr>
          <w:sz w:val="22"/>
        </w:rPr>
        <w:t xml:space="preserve">   </w:t>
      </w:r>
      <w:r>
        <w:rPr>
          <w:rFonts w:hint="eastAsia"/>
          <w:sz w:val="22"/>
        </w:rPr>
        <w:t>联系电话： 0571-</w:t>
      </w:r>
      <w:r>
        <w:rPr>
          <w:sz w:val="22"/>
        </w:rPr>
        <w:t>83837612</w:t>
      </w:r>
    </w:p>
    <w:p>
      <w:pPr>
        <w:widowControl/>
        <w:adjustRightInd w:val="0"/>
        <w:snapToGrid w:val="0"/>
        <w:spacing w:line="340" w:lineRule="exact"/>
        <w:ind w:firstLine="440" w:firstLineChars="200"/>
        <w:rPr>
          <w:bCs/>
          <w:sz w:val="22"/>
        </w:rPr>
      </w:pPr>
      <w:r>
        <w:rPr>
          <w:rFonts w:hint="eastAsia"/>
          <w:bCs/>
          <w:sz w:val="22"/>
        </w:rPr>
        <w:t xml:space="preserve">招标监督人：阮工      </w:t>
      </w:r>
      <w:r>
        <w:rPr>
          <w:bCs/>
          <w:sz w:val="22"/>
        </w:rPr>
        <w:t xml:space="preserve"> </w:t>
      </w:r>
      <w:r>
        <w:rPr>
          <w:rFonts w:hint="eastAsia"/>
          <w:bCs/>
          <w:sz w:val="22"/>
        </w:rPr>
        <w:t xml:space="preserve">  </w:t>
      </w:r>
      <w:r>
        <w:rPr>
          <w:bCs/>
          <w:sz w:val="22"/>
        </w:rPr>
        <w:t xml:space="preserve"> </w:t>
      </w:r>
      <w:r>
        <w:rPr>
          <w:rFonts w:hint="eastAsia"/>
          <w:bCs/>
          <w:sz w:val="22"/>
        </w:rPr>
        <w:t>联系电话： 0</w:t>
      </w:r>
      <w:r>
        <w:rPr>
          <w:bCs/>
          <w:sz w:val="22"/>
        </w:rPr>
        <w:t>571-86662133</w:t>
      </w:r>
    </w:p>
    <w:bookmarkEnd w:id="127"/>
    <w:p>
      <w:pPr>
        <w:pStyle w:val="2"/>
        <w:spacing w:before="0" w:after="0" w:line="360" w:lineRule="auto"/>
        <w:jc w:val="center"/>
        <w:rPr>
          <w:rFonts w:ascii="Calibri" w:hAnsi="Calibri" w:eastAsia="黑体" w:cs="Calibri"/>
          <w:kern w:val="0"/>
          <w:sz w:val="32"/>
        </w:rPr>
      </w:pPr>
      <w:r>
        <w:rPr>
          <w:rFonts w:ascii="宋体" w:hAnsi="宋体" w:cs="Calibri"/>
          <w:kern w:val="0"/>
        </w:rPr>
        <w:br w:type="page"/>
      </w:r>
      <w:bookmarkStart w:id="23" w:name="_Toc478453291"/>
      <w:r>
        <w:rPr>
          <w:rFonts w:ascii="Calibri" w:eastAsia="黑体" w:cs="Calibri"/>
          <w:kern w:val="0"/>
          <w:sz w:val="32"/>
        </w:rPr>
        <w:t>第二章</w:t>
      </w:r>
      <w:r>
        <w:rPr>
          <w:rFonts w:ascii="Calibri" w:hAnsi="Calibri" w:eastAsia="黑体" w:cs="Calibri"/>
          <w:kern w:val="0"/>
          <w:sz w:val="32"/>
        </w:rPr>
        <w:t xml:space="preserve">  </w:t>
      </w:r>
      <w:r>
        <w:rPr>
          <w:rFonts w:ascii="Calibri" w:eastAsia="黑体" w:cs="Calibri"/>
          <w:kern w:val="0"/>
          <w:sz w:val="32"/>
        </w:rPr>
        <w:t>投标人须知</w:t>
      </w:r>
      <w:bookmarkEnd w:id="21"/>
      <w:bookmarkEnd w:id="22"/>
      <w:bookmarkEnd w:id="23"/>
      <w:bookmarkStart w:id="24" w:name="_Toc143421654"/>
    </w:p>
    <w:p>
      <w:pPr>
        <w:pStyle w:val="61"/>
        <w:jc w:val="center"/>
        <w:rPr>
          <w:rFonts w:ascii="Calibri" w:hAnsi="Calibri" w:eastAsia="黑体" w:cs="Calibri"/>
          <w:kern w:val="2"/>
          <w:sz w:val="28"/>
          <w:szCs w:val="32"/>
        </w:rPr>
      </w:pPr>
      <w:bookmarkStart w:id="25" w:name="_Toc478453292"/>
      <w:bookmarkStart w:id="26" w:name="_Toc11881"/>
      <w:bookmarkStart w:id="27" w:name="_Toc349007688"/>
      <w:bookmarkStart w:id="28" w:name="_Toc349011858"/>
      <w:bookmarkStart w:id="29" w:name="_Toc386359393"/>
      <w:bookmarkStart w:id="30" w:name="_Toc386363317"/>
      <w:bookmarkStart w:id="31" w:name="_Toc400369185"/>
      <w:bookmarkStart w:id="32" w:name="_Toc444173459"/>
      <w:bookmarkStart w:id="33" w:name="_Toc444174979"/>
      <w:bookmarkStart w:id="34" w:name="_Toc444811409"/>
      <w:bookmarkStart w:id="35" w:name="_Toc448002984"/>
      <w:r>
        <w:rPr>
          <w:rFonts w:ascii="Calibri" w:hAnsi="Arial" w:eastAsia="黑体" w:cs="Calibri"/>
          <w:kern w:val="2"/>
          <w:sz w:val="28"/>
          <w:szCs w:val="32"/>
        </w:rPr>
        <w:t>投标人须知前附表</w:t>
      </w:r>
      <w:bookmarkEnd w:id="24"/>
      <w:bookmarkEnd w:id="25"/>
      <w:bookmarkEnd w:id="26"/>
      <w:bookmarkEnd w:id="27"/>
      <w:bookmarkEnd w:id="28"/>
      <w:bookmarkEnd w:id="29"/>
      <w:bookmarkEnd w:id="30"/>
      <w:bookmarkEnd w:id="31"/>
      <w:bookmarkEnd w:id="32"/>
      <w:bookmarkEnd w:id="33"/>
      <w:bookmarkEnd w:id="34"/>
      <w:bookmarkEnd w:id="35"/>
    </w:p>
    <w:tbl>
      <w:tblPr>
        <w:tblStyle w:val="46"/>
        <w:tblW w:w="9442" w:type="dxa"/>
        <w:jc w:val="center"/>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1"/>
        <w:gridCol w:w="2004"/>
        <w:gridCol w:w="648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blHeader/>
          <w:jc w:val="center"/>
        </w:trPr>
        <w:tc>
          <w:tcPr>
            <w:tcW w:w="951" w:type="dxa"/>
            <w:tcBorders>
              <w:top w:val="single" w:color="auto" w:sz="12" w:space="0"/>
            </w:tcBorders>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条款号</w:t>
            </w:r>
          </w:p>
        </w:tc>
        <w:tc>
          <w:tcPr>
            <w:tcW w:w="2004" w:type="dxa"/>
            <w:tcBorders>
              <w:top w:val="single" w:color="auto" w:sz="12" w:space="0"/>
            </w:tcBorders>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条 款 名 称</w:t>
            </w:r>
          </w:p>
        </w:tc>
        <w:tc>
          <w:tcPr>
            <w:tcW w:w="6487" w:type="dxa"/>
            <w:tcBorders>
              <w:top w:val="single" w:color="auto" w:sz="12" w:space="0"/>
            </w:tcBorders>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编 列 内 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sz w:val="22"/>
              </w:rPr>
              <w:t>1.1</w:t>
            </w:r>
            <w:r>
              <w:rPr>
                <w:rFonts w:hint="eastAsia" w:ascii="宋体" w:hAnsi="宋体" w:cs="Calibri"/>
                <w:sz w:val="22"/>
              </w:rPr>
              <w:t>.1</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项目名称</w:t>
            </w:r>
          </w:p>
        </w:tc>
        <w:tc>
          <w:tcPr>
            <w:tcW w:w="6487" w:type="dxa"/>
            <w:noWrap w:val="0"/>
            <w:vAlign w:val="center"/>
          </w:tcPr>
          <w:p>
            <w:pPr>
              <w:autoSpaceDE w:val="0"/>
              <w:autoSpaceDN w:val="0"/>
              <w:adjustRightInd w:val="0"/>
              <w:snapToGrid w:val="0"/>
              <w:rPr>
                <w:rFonts w:ascii="宋体" w:hAnsi="宋体" w:cs="Calibri"/>
                <w:kern w:val="0"/>
                <w:sz w:val="22"/>
              </w:rPr>
            </w:pPr>
            <w:r>
              <w:rPr>
                <w:rFonts w:ascii="宋体" w:hAnsi="宋体" w:cs="Arial"/>
                <w:b/>
                <w:kern w:val="0"/>
                <w:sz w:val="22"/>
              </w:rPr>
              <w:t>杭州萧山国际机场</w:t>
            </w:r>
            <w:r>
              <w:rPr>
                <w:rFonts w:hint="eastAsia" w:ascii="宋体" w:hAnsi="宋体" w:cs="Arial"/>
                <w:b/>
                <w:kern w:val="0"/>
                <w:sz w:val="22"/>
              </w:rPr>
              <w:t>自助登机门系统软硬件采购</w:t>
            </w:r>
            <w:r>
              <w:rPr>
                <w:rFonts w:ascii="宋体" w:hAnsi="宋体" w:cs="Arial"/>
                <w:b/>
                <w:kern w:val="0"/>
                <w:sz w:val="22"/>
              </w:rPr>
              <w:t>项</w:t>
            </w:r>
            <w:r>
              <w:rPr>
                <w:rFonts w:hint="eastAsia" w:ascii="宋体" w:hAnsi="宋体" w:cs="Arial"/>
                <w:b/>
                <w:kern w:val="0"/>
                <w:sz w:val="22"/>
              </w:rPr>
              <w:t>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sz w:val="22"/>
              </w:rPr>
            </w:pPr>
            <w:r>
              <w:rPr>
                <w:rFonts w:ascii="宋体" w:hAnsi="宋体" w:cs="Calibri"/>
                <w:sz w:val="22"/>
              </w:rPr>
              <w:t>1.1.2</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实施</w:t>
            </w:r>
            <w:r>
              <w:rPr>
                <w:rFonts w:ascii="宋体" w:hAnsi="宋体" w:cs="Calibri"/>
                <w:kern w:val="0"/>
                <w:sz w:val="22"/>
              </w:rPr>
              <w:t>地点</w:t>
            </w:r>
          </w:p>
        </w:tc>
        <w:tc>
          <w:tcPr>
            <w:tcW w:w="6487" w:type="dxa"/>
            <w:noWrap w:val="0"/>
            <w:vAlign w:val="center"/>
          </w:tcPr>
          <w:p>
            <w:pPr>
              <w:autoSpaceDE w:val="0"/>
              <w:autoSpaceDN w:val="0"/>
              <w:adjustRightInd w:val="0"/>
              <w:snapToGrid w:val="0"/>
              <w:rPr>
                <w:rFonts w:ascii="宋体" w:hAnsi="宋体" w:cs="Calibri"/>
                <w:kern w:val="0"/>
                <w:sz w:val="22"/>
              </w:rPr>
            </w:pPr>
            <w:r>
              <w:rPr>
                <w:rFonts w:ascii="宋体" w:hAnsi="宋体" w:cs="Calibri"/>
                <w:kern w:val="0"/>
                <w:sz w:val="22"/>
              </w:rPr>
              <w:t>杭州萧山国际机场</w:t>
            </w:r>
            <w:r>
              <w:rPr>
                <w:rFonts w:ascii="宋体" w:hAnsi="宋体" w:cs="Calibri"/>
                <w:sz w:val="22"/>
              </w:rPr>
              <w:t>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2</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资金来源</w:t>
            </w:r>
          </w:p>
        </w:tc>
        <w:tc>
          <w:tcPr>
            <w:tcW w:w="6487" w:type="dxa"/>
            <w:noWrap w:val="0"/>
            <w:vAlign w:val="center"/>
          </w:tcPr>
          <w:p>
            <w:pPr>
              <w:autoSpaceDE w:val="0"/>
              <w:autoSpaceDN w:val="0"/>
              <w:adjustRightInd w:val="0"/>
              <w:snapToGrid w:val="0"/>
              <w:rPr>
                <w:rFonts w:ascii="宋体" w:hAnsi="宋体" w:cs="Calibri"/>
                <w:kern w:val="0"/>
                <w:sz w:val="22"/>
              </w:rPr>
            </w:pPr>
            <w:r>
              <w:rPr>
                <w:rStyle w:val="148"/>
                <w:rFonts w:hint="eastAsia" w:hAnsi="宋体" w:cs="Calibri"/>
                <w:sz w:val="22"/>
              </w:rPr>
              <w:t>自筹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3</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w:t>
            </w:r>
            <w:r>
              <w:rPr>
                <w:rFonts w:hint="eastAsia" w:ascii="宋体" w:hAnsi="宋体" w:cs="Calibri"/>
                <w:kern w:val="0"/>
                <w:sz w:val="22"/>
              </w:rPr>
              <w:t>内容</w:t>
            </w:r>
          </w:p>
        </w:tc>
        <w:tc>
          <w:tcPr>
            <w:tcW w:w="6487" w:type="dxa"/>
            <w:noWrap w:val="0"/>
            <w:vAlign w:val="center"/>
          </w:tcPr>
          <w:p>
            <w:pPr>
              <w:autoSpaceDE w:val="0"/>
              <w:autoSpaceDN w:val="0"/>
              <w:adjustRightInd w:val="0"/>
              <w:snapToGrid w:val="0"/>
              <w:rPr>
                <w:rFonts w:ascii="宋体" w:hAnsi="宋体" w:cs="Calibri"/>
                <w:kern w:val="0"/>
                <w:sz w:val="22"/>
              </w:rPr>
            </w:pPr>
            <w:r>
              <w:rPr>
                <w:rFonts w:ascii="宋体" w:hAnsi="宋体" w:cs="Calibri"/>
                <w:kern w:val="0"/>
                <w:sz w:val="22"/>
              </w:rPr>
              <w:t>见招标公告，具体要求详见第</w:t>
            </w:r>
            <w:r>
              <w:rPr>
                <w:rFonts w:hint="eastAsia" w:ascii="宋体" w:hAnsi="宋体" w:cs="Calibri"/>
                <w:kern w:val="0"/>
                <w:sz w:val="22"/>
              </w:rPr>
              <w:t>三</w:t>
            </w:r>
            <w:r>
              <w:rPr>
                <w:rFonts w:ascii="宋体" w:hAnsi="宋体" w:cs="Calibri"/>
                <w:kern w:val="0"/>
                <w:sz w:val="22"/>
              </w:rPr>
              <w:t>章“货物需求一览表及技术规格”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4</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招标方式</w:t>
            </w:r>
          </w:p>
        </w:tc>
        <w:tc>
          <w:tcPr>
            <w:tcW w:w="6487" w:type="dxa"/>
            <w:noWrap w:val="0"/>
            <w:vAlign w:val="center"/>
          </w:tcPr>
          <w:p>
            <w:pPr>
              <w:autoSpaceDE w:val="0"/>
              <w:autoSpaceDN w:val="0"/>
              <w:adjustRightInd w:val="0"/>
              <w:snapToGrid w:val="0"/>
              <w:rPr>
                <w:rFonts w:ascii="宋体" w:hAnsi="宋体" w:cs="Calibri"/>
                <w:kern w:val="0"/>
                <w:sz w:val="22"/>
              </w:rPr>
            </w:pPr>
            <w:r>
              <w:rPr>
                <w:rFonts w:ascii="宋体" w:hAnsi="宋体" w:cs="Calibri"/>
                <w:kern w:val="0"/>
                <w:sz w:val="22"/>
              </w:rPr>
              <w:t>公开招标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5</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资格审查</w:t>
            </w:r>
          </w:p>
        </w:tc>
        <w:tc>
          <w:tcPr>
            <w:tcW w:w="6487" w:type="dxa"/>
            <w:noWrap w:val="0"/>
            <w:vAlign w:val="center"/>
          </w:tcPr>
          <w:p>
            <w:pPr>
              <w:autoSpaceDE w:val="0"/>
              <w:autoSpaceDN w:val="0"/>
              <w:adjustRightInd w:val="0"/>
              <w:snapToGrid w:val="0"/>
              <w:rPr>
                <w:rFonts w:ascii="宋体" w:hAnsi="宋体" w:cs="Calibri"/>
                <w:kern w:val="0"/>
                <w:sz w:val="22"/>
              </w:rPr>
            </w:pPr>
            <w:r>
              <w:rPr>
                <w:rFonts w:ascii="宋体" w:hAnsi="宋体" w:cs="Calibri"/>
                <w:kern w:val="0"/>
                <w:sz w:val="22"/>
              </w:rPr>
              <w:t>采用资格后审</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6</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投标人资质条件、能力和信誉</w:t>
            </w:r>
          </w:p>
        </w:tc>
        <w:tc>
          <w:tcPr>
            <w:tcW w:w="6487" w:type="dxa"/>
            <w:noWrap w:val="0"/>
            <w:vAlign w:val="center"/>
          </w:tcPr>
          <w:p>
            <w:pPr>
              <w:autoSpaceDE w:val="0"/>
              <w:autoSpaceDN w:val="0"/>
              <w:adjustRightInd w:val="0"/>
              <w:snapToGrid w:val="0"/>
              <w:rPr>
                <w:rFonts w:ascii="宋体" w:hAnsi="宋体" w:cs="Calibri"/>
                <w:kern w:val="0"/>
                <w:sz w:val="22"/>
              </w:rPr>
            </w:pPr>
            <w:r>
              <w:rPr>
                <w:rFonts w:ascii="宋体" w:hAnsi="宋体" w:cs="Calibri"/>
                <w:kern w:val="0"/>
                <w:sz w:val="22"/>
              </w:rPr>
              <w:t>详见招标公告</w:t>
            </w:r>
            <w:r>
              <w:rPr>
                <w:rFonts w:hint="eastAsia" w:ascii="宋体" w:hAnsi="宋体" w:cs="Calibri"/>
                <w:kern w:val="0"/>
                <w:sz w:val="22"/>
              </w:rPr>
              <w:t>“</w:t>
            </w:r>
            <w:r>
              <w:rPr>
                <w:rFonts w:hint="eastAsia" w:ascii="宋体" w:hAnsi="宋体" w:cs="黑体"/>
                <w:kern w:val="0"/>
                <w:sz w:val="22"/>
              </w:rPr>
              <w:t>投标人资格要求”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7</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供货期</w:t>
            </w:r>
          </w:p>
        </w:tc>
        <w:tc>
          <w:tcPr>
            <w:tcW w:w="6487" w:type="dxa"/>
            <w:noWrap w:val="0"/>
            <w:vAlign w:val="center"/>
          </w:tcPr>
          <w:p>
            <w:pPr>
              <w:autoSpaceDE w:val="0"/>
              <w:autoSpaceDN w:val="0"/>
              <w:adjustRightInd w:val="0"/>
              <w:snapToGrid w:val="0"/>
              <w:rPr>
                <w:rFonts w:ascii="宋体" w:hAnsi="宋体" w:cs="Calibri"/>
                <w:b/>
                <w:kern w:val="0"/>
                <w:sz w:val="22"/>
              </w:rPr>
            </w:pPr>
            <w:r>
              <w:rPr>
                <w:rFonts w:hint="eastAsia" w:ascii="宋体" w:hAnsi="宋体" w:cs="Calibri"/>
                <w:b/>
                <w:kern w:val="0"/>
                <w:sz w:val="22"/>
              </w:rPr>
              <w:t>合同签订后</w:t>
            </w:r>
            <w:r>
              <w:rPr>
                <w:rFonts w:hint="eastAsia" w:ascii="宋体" w:hAnsi="宋体"/>
                <w:b/>
                <w:sz w:val="22"/>
                <w:u w:val="single"/>
              </w:rPr>
              <w:t xml:space="preserve">  180  </w:t>
            </w:r>
            <w:r>
              <w:rPr>
                <w:rFonts w:hint="eastAsia"/>
                <w:b/>
                <w:sz w:val="22"/>
              </w:rPr>
              <w:t>日历天</w:t>
            </w:r>
            <w:r>
              <w:rPr>
                <w:rFonts w:hint="eastAsia" w:ascii="宋体" w:hAnsi="宋体" w:cs="Calibri"/>
                <w:b/>
                <w:kern w:val="0"/>
                <w:sz w:val="22"/>
              </w:rPr>
              <w:t>内。</w:t>
            </w:r>
          </w:p>
          <w:p>
            <w:pPr>
              <w:rPr>
                <w:rFonts w:ascii="宋体" w:hAnsi="宋体"/>
                <w:b/>
                <w:sz w:val="22"/>
              </w:rPr>
            </w:pPr>
            <w:r>
              <w:rPr>
                <w:rFonts w:hint="eastAsia" w:ascii="宋体" w:hAnsi="宋体" w:cs="Calibri"/>
                <w:kern w:val="0"/>
                <w:sz w:val="22"/>
              </w:rPr>
              <w:t>投标人须在投标文件中提供最快交货时间和详细的供货计划。投标人可根据自身经验、技术水平及管理能力自报竞争性</w:t>
            </w:r>
            <w:r>
              <w:rPr>
                <w:rFonts w:ascii="宋体" w:hAnsi="宋体" w:cs="Calibri"/>
                <w:kern w:val="0"/>
                <w:sz w:val="22"/>
              </w:rPr>
              <w:t>供货期</w:t>
            </w:r>
            <w:r>
              <w:rPr>
                <w:rFonts w:hint="eastAsia" w:ascii="宋体" w:hAnsi="宋体" w:cs="Calibri"/>
                <w:kern w:val="0"/>
                <w:sz w:val="22"/>
              </w:rPr>
              <w:t>，但不得超过招标人明确的计划</w:t>
            </w:r>
            <w:r>
              <w:rPr>
                <w:rFonts w:ascii="宋体" w:hAnsi="宋体" w:cs="Calibri"/>
                <w:kern w:val="0"/>
                <w:sz w:val="22"/>
              </w:rPr>
              <w:t>供货期</w:t>
            </w:r>
            <w:r>
              <w:rPr>
                <w:rFonts w:hint="eastAsia" w:ascii="宋体" w:hAnsi="宋体" w:cs="Calibri"/>
                <w:kern w:val="0"/>
                <w:sz w:val="22"/>
              </w:rPr>
              <w:t>。一旦中标，该</w:t>
            </w:r>
            <w:r>
              <w:rPr>
                <w:rFonts w:ascii="宋体" w:hAnsi="宋体" w:cs="Calibri"/>
                <w:kern w:val="0"/>
                <w:sz w:val="22"/>
              </w:rPr>
              <w:t>供货期</w:t>
            </w:r>
            <w:r>
              <w:rPr>
                <w:rFonts w:hint="eastAsia" w:ascii="宋体" w:hAnsi="宋体" w:cs="Calibri"/>
                <w:kern w:val="0"/>
                <w:sz w:val="22"/>
              </w:rPr>
              <w:t>即为合同</w:t>
            </w:r>
            <w:r>
              <w:rPr>
                <w:rFonts w:ascii="宋体" w:hAnsi="宋体" w:cs="Calibri"/>
                <w:kern w:val="0"/>
                <w:sz w:val="22"/>
              </w:rPr>
              <w:t>供货期</w:t>
            </w:r>
            <w:r>
              <w:rPr>
                <w:rFonts w:hint="eastAsia" w:ascii="宋体" w:hAnsi="宋体" w:cs="Calibri"/>
                <w:kern w:val="0"/>
                <w:sz w:val="22"/>
              </w:rPr>
              <w:t>。整个项目</w:t>
            </w:r>
            <w:r>
              <w:rPr>
                <w:rFonts w:ascii="宋体" w:hAnsi="宋体" w:cs="Calibri"/>
                <w:kern w:val="0"/>
                <w:sz w:val="22"/>
              </w:rPr>
              <w:t>供货期</w:t>
            </w:r>
            <w:r>
              <w:rPr>
                <w:rFonts w:hint="eastAsia" w:ascii="宋体" w:hAnsi="宋体" w:cs="Calibri"/>
                <w:kern w:val="0"/>
                <w:sz w:val="22"/>
              </w:rPr>
              <w:t>安排应服从招标人要求。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1.8</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质量要求</w:t>
            </w:r>
          </w:p>
        </w:tc>
        <w:tc>
          <w:tcPr>
            <w:tcW w:w="6487" w:type="dxa"/>
            <w:noWrap w:val="0"/>
            <w:vAlign w:val="center"/>
          </w:tcPr>
          <w:p>
            <w:pPr>
              <w:rPr>
                <w:rFonts w:ascii="宋体" w:hAnsi="宋体"/>
                <w:sz w:val="22"/>
              </w:rPr>
            </w:pPr>
            <w:r>
              <w:rPr>
                <w:rFonts w:hint="eastAsia"/>
                <w:iCs/>
                <w:sz w:val="22"/>
              </w:rPr>
              <w:t>符</w:t>
            </w:r>
            <w:r>
              <w:rPr>
                <w:rFonts w:hint="eastAsia"/>
                <w:sz w:val="22"/>
              </w:rPr>
              <w:t>合国家现行</w:t>
            </w:r>
            <w:r>
              <w:rPr>
                <w:rFonts w:hint="eastAsia"/>
                <w:sz w:val="22"/>
                <w:u w:val="single"/>
              </w:rPr>
              <w:t xml:space="preserve">  行业   </w:t>
            </w:r>
            <w:r>
              <w:rPr>
                <w:rFonts w:hint="eastAsia"/>
                <w:sz w:val="22"/>
              </w:rPr>
              <w:t>标准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9</w:t>
            </w:r>
            <w:r>
              <w:rPr>
                <w:rFonts w:ascii="宋体" w:hAnsi="宋体" w:cs="Calibri"/>
                <w:kern w:val="0"/>
                <w:sz w:val="22"/>
              </w:rPr>
              <w:t>.1</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踏勘现场</w:t>
            </w:r>
          </w:p>
        </w:tc>
        <w:tc>
          <w:tcPr>
            <w:tcW w:w="6487" w:type="dxa"/>
            <w:noWrap w:val="0"/>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不组织</w:t>
            </w:r>
          </w:p>
          <w:p>
            <w:pPr>
              <w:autoSpaceDE w:val="0"/>
              <w:autoSpaceDN w:val="0"/>
              <w:adjustRightInd w:val="0"/>
              <w:snapToGrid w:val="0"/>
              <w:rPr>
                <w:rFonts w:ascii="宋体" w:hAnsi="宋体" w:cs="Calibri"/>
                <w:kern w:val="0"/>
                <w:sz w:val="22"/>
              </w:rPr>
            </w:pPr>
            <w:r>
              <w:rPr>
                <w:rFonts w:ascii="宋体" w:hAnsi="宋体" w:cs="Calibri"/>
                <w:kern w:val="0"/>
                <w:sz w:val="22"/>
              </w:rPr>
              <w:t>□组织，踏勘时间：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踏勘集中地点：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w:t>
            </w:r>
            <w:r>
              <w:rPr>
                <w:rFonts w:hint="eastAsia" w:ascii="宋体" w:hAnsi="宋体" w:cs="Calibri"/>
                <w:kern w:val="0"/>
                <w:sz w:val="22"/>
              </w:rPr>
              <w:t>10</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投标预备会</w:t>
            </w:r>
          </w:p>
        </w:tc>
        <w:tc>
          <w:tcPr>
            <w:tcW w:w="6487" w:type="dxa"/>
            <w:noWrap w:val="0"/>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不召开</w:t>
            </w:r>
          </w:p>
          <w:p>
            <w:pPr>
              <w:autoSpaceDE w:val="0"/>
              <w:autoSpaceDN w:val="0"/>
              <w:adjustRightInd w:val="0"/>
              <w:snapToGrid w:val="0"/>
              <w:rPr>
                <w:rFonts w:ascii="宋体" w:hAnsi="宋体" w:cs="Calibri"/>
                <w:kern w:val="0"/>
                <w:sz w:val="22"/>
              </w:rPr>
            </w:pPr>
            <w:r>
              <w:rPr>
                <w:rFonts w:ascii="宋体" w:hAnsi="宋体" w:cs="Calibri"/>
                <w:kern w:val="0"/>
                <w:sz w:val="22"/>
              </w:rPr>
              <w:t>□召开，召开时间：</w:t>
            </w:r>
          </w:p>
          <w:p>
            <w:pPr>
              <w:autoSpaceDE w:val="0"/>
              <w:autoSpaceDN w:val="0"/>
              <w:adjustRightInd w:val="0"/>
              <w:snapToGrid w:val="0"/>
              <w:rPr>
                <w:rFonts w:ascii="宋体" w:hAnsi="宋体" w:cs="Calibri"/>
                <w:kern w:val="0"/>
                <w:sz w:val="22"/>
              </w:rPr>
            </w:pPr>
            <w:r>
              <w:rPr>
                <w:rFonts w:ascii="宋体" w:hAnsi="宋体" w:cs="Calibri"/>
                <w:kern w:val="0"/>
                <w:sz w:val="22"/>
              </w:rPr>
              <w:t xml:space="preserve">召开地点：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2.2.1</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投标人提出问题的截止时间</w:t>
            </w:r>
          </w:p>
        </w:tc>
        <w:tc>
          <w:tcPr>
            <w:tcW w:w="6487" w:type="dxa"/>
            <w:noWrap w:val="0"/>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2019年</w:t>
            </w:r>
            <w:r>
              <w:rPr>
                <w:rFonts w:hint="eastAsia" w:ascii="宋体" w:hAnsi="宋体" w:cs="Calibri"/>
                <w:kern w:val="0"/>
                <w:sz w:val="22"/>
                <w:lang w:val="en-US" w:eastAsia="zh-CN"/>
              </w:rPr>
              <w:t>10</w:t>
            </w:r>
            <w:r>
              <w:rPr>
                <w:rFonts w:hint="eastAsia" w:ascii="宋体" w:hAnsi="宋体" w:cs="Calibri"/>
                <w:kern w:val="0"/>
                <w:sz w:val="22"/>
              </w:rPr>
              <w:t>月</w:t>
            </w:r>
            <w:r>
              <w:rPr>
                <w:rFonts w:hint="eastAsia" w:ascii="宋体" w:hAnsi="宋体" w:cs="Calibri"/>
                <w:kern w:val="0"/>
                <w:sz w:val="22"/>
                <w:lang w:val="en-US" w:eastAsia="zh-CN"/>
              </w:rPr>
              <w:t>31</w:t>
            </w:r>
            <w:r>
              <w:rPr>
                <w:rFonts w:hint="eastAsia" w:ascii="宋体" w:hAnsi="宋体" w:cs="Calibri"/>
                <w:kern w:val="0"/>
                <w:sz w:val="22"/>
              </w:rPr>
              <w:t>日11：30前，以书面加盖公章的形式通过E-mail或传真提交给招标人（投标联系人:贾工，电话0571-</w:t>
            </w:r>
            <w:r>
              <w:rPr>
                <w:rFonts w:ascii="宋体" w:hAnsi="宋体" w:cs="Calibri"/>
                <w:kern w:val="0"/>
                <w:sz w:val="22"/>
              </w:rPr>
              <w:t>83837612</w:t>
            </w:r>
            <w:r>
              <w:rPr>
                <w:rFonts w:hint="eastAsia" w:ascii="宋体" w:hAnsi="宋体" w:cs="Calibri"/>
                <w:kern w:val="0"/>
                <w:sz w:val="22"/>
              </w:rPr>
              <w:t>；传真：0571-</w:t>
            </w:r>
            <w:r>
              <w:rPr>
                <w:rFonts w:ascii="宋体" w:hAnsi="宋体" w:cs="Calibri"/>
                <w:kern w:val="0"/>
                <w:sz w:val="22"/>
              </w:rPr>
              <w:t>83837612</w:t>
            </w:r>
            <w:r>
              <w:rPr>
                <w:rFonts w:hint="eastAsia" w:ascii="宋体" w:hAnsi="宋体" w:cs="Calibri"/>
                <w:kern w:val="0"/>
                <w:sz w:val="22"/>
              </w:rPr>
              <w:t>；电子邮箱：zbzx@hzairport.com）投标人必须在规定时间前提出对招标文件的疑问，否则招标人有权拒绝接收和拒绝回答未在截止时间前提出的疑问</w:t>
            </w:r>
            <w:r>
              <w:rPr>
                <w:rFonts w:cs="Calibri"/>
                <w:kern w:val="0"/>
                <w:sz w:val="22"/>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2.2.2</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投标截止时间</w:t>
            </w:r>
          </w:p>
        </w:tc>
        <w:tc>
          <w:tcPr>
            <w:tcW w:w="6487" w:type="dxa"/>
            <w:noWrap w:val="0"/>
            <w:vAlign w:val="center"/>
          </w:tcPr>
          <w:p>
            <w:pPr>
              <w:autoSpaceDE w:val="0"/>
              <w:autoSpaceDN w:val="0"/>
              <w:adjustRightInd w:val="0"/>
              <w:snapToGrid w:val="0"/>
              <w:rPr>
                <w:rFonts w:ascii="宋体" w:hAnsi="宋体" w:cs="Calibri"/>
                <w:b/>
                <w:kern w:val="0"/>
                <w:sz w:val="22"/>
              </w:rPr>
            </w:pPr>
            <w:r>
              <w:rPr>
                <w:rFonts w:hint="eastAsia" w:cs="Calibri"/>
                <w:b/>
                <w:kern w:val="0"/>
                <w:sz w:val="22"/>
              </w:rPr>
              <w:t>2019年</w:t>
            </w:r>
            <w:r>
              <w:rPr>
                <w:rFonts w:hint="eastAsia" w:cs="Calibri"/>
                <w:b/>
                <w:kern w:val="0"/>
                <w:sz w:val="22"/>
                <w:lang w:val="en-US" w:eastAsia="zh-CN"/>
              </w:rPr>
              <w:t>11</w:t>
            </w:r>
            <w:r>
              <w:rPr>
                <w:rFonts w:hint="eastAsia" w:cs="Calibri"/>
                <w:b/>
                <w:kern w:val="0"/>
                <w:sz w:val="22"/>
              </w:rPr>
              <w:t>月</w:t>
            </w:r>
            <w:r>
              <w:rPr>
                <w:rFonts w:hint="eastAsia" w:cs="Calibri"/>
                <w:b/>
                <w:kern w:val="0"/>
                <w:sz w:val="22"/>
                <w:lang w:val="en-US" w:eastAsia="zh-CN"/>
              </w:rPr>
              <w:t>8</w:t>
            </w:r>
            <w:r>
              <w:rPr>
                <w:rFonts w:hint="eastAsia" w:cs="Calibri"/>
                <w:b/>
                <w:kern w:val="0"/>
                <w:sz w:val="22"/>
              </w:rPr>
              <w:t>日</w:t>
            </w:r>
            <w:r>
              <w:rPr>
                <w:rFonts w:hint="eastAsia" w:cs="Calibri"/>
                <w:b/>
                <w:kern w:val="0"/>
                <w:sz w:val="22"/>
                <w:lang w:eastAsia="zh-CN"/>
              </w:rPr>
              <w:t>上午</w:t>
            </w:r>
            <w:r>
              <w:rPr>
                <w:rFonts w:hint="eastAsia" w:cs="Calibri"/>
                <w:b/>
                <w:kern w:val="0"/>
                <w:sz w:val="22"/>
                <w:lang w:val="en-US" w:eastAsia="zh-CN"/>
              </w:rPr>
              <w:t>9</w:t>
            </w:r>
            <w:r>
              <w:rPr>
                <w:rFonts w:hint="eastAsia" w:cs="Calibri"/>
                <w:b/>
                <w:kern w:val="0"/>
                <w:sz w:val="22"/>
              </w:rPr>
              <w:t>时00分（北京时间）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2.2.3</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投标人确认收到招标文件澄清的时间</w:t>
            </w:r>
          </w:p>
        </w:tc>
        <w:tc>
          <w:tcPr>
            <w:tcW w:w="6487" w:type="dxa"/>
            <w:noWrap w:val="0"/>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w:t>
            </w:r>
            <w:bookmarkStart w:id="36" w:name="_Toc226175287"/>
            <w:bookmarkStart w:id="37" w:name="_Toc236586447"/>
            <w:r>
              <w:rPr>
                <w:rFonts w:hint="eastAsia" w:ascii="宋体" w:hAnsi="宋体" w:cs="Calibri"/>
                <w:kern w:val="0"/>
                <w:sz w:val="22"/>
              </w:rPr>
              <w:t>对招标文件的修改将以补充公告的形式发布，所有获得招标文件的投标人应自行关注网站公告，招标人不再一一通知。投标人因自身贻误行为导致投标失败的，责任自负。</w:t>
            </w:r>
            <w:bookmarkEnd w:id="36"/>
            <w:bookmarkEnd w:id="3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2.3.2</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投标人确认收到招标文件修改的时间</w:t>
            </w:r>
          </w:p>
        </w:tc>
        <w:tc>
          <w:tcPr>
            <w:tcW w:w="6487" w:type="dxa"/>
            <w:noWrap w:val="0"/>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3.4.1</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投标有效期</w:t>
            </w:r>
          </w:p>
        </w:tc>
        <w:tc>
          <w:tcPr>
            <w:tcW w:w="6487" w:type="dxa"/>
            <w:noWrap w:val="0"/>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12</w:t>
            </w:r>
            <w:r>
              <w:rPr>
                <w:rFonts w:ascii="宋体" w:hAnsi="宋体" w:cs="Calibri"/>
                <w:kern w:val="0"/>
                <w:sz w:val="22"/>
              </w:rPr>
              <w:t>0日历天（从投标截止之日算起）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8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3.5.1</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投标保证金</w:t>
            </w:r>
          </w:p>
        </w:tc>
        <w:tc>
          <w:tcPr>
            <w:tcW w:w="6487" w:type="dxa"/>
            <w:noWrap w:val="0"/>
            <w:vAlign w:val="center"/>
          </w:tcPr>
          <w:p>
            <w:pPr>
              <w:snapToGrid w:val="0"/>
              <w:rPr>
                <w:rFonts w:ascii="宋体" w:hAnsi="宋体"/>
                <w:sz w:val="22"/>
              </w:rPr>
            </w:pPr>
            <w:r>
              <w:rPr>
                <w:rFonts w:hint="eastAsia" w:ascii="宋体" w:hAnsi="宋体"/>
                <w:sz w:val="22"/>
              </w:rPr>
              <w:t>投标保证金的形式：支票、银行汇票或电汇</w:t>
            </w:r>
            <w:r>
              <w:rPr>
                <w:rFonts w:hint="eastAsia" w:ascii="宋体" w:hAnsi="宋体"/>
                <w:b/>
                <w:sz w:val="22"/>
              </w:rPr>
              <w:t>，必须在投标截止时间前通过投标人的基本账户以银行转账方式缴纳。</w:t>
            </w:r>
          </w:p>
          <w:p>
            <w:pPr>
              <w:snapToGrid w:val="0"/>
              <w:rPr>
                <w:rFonts w:ascii="宋体" w:hAnsi="宋体"/>
                <w:sz w:val="22"/>
              </w:rPr>
            </w:pPr>
            <w:r>
              <w:rPr>
                <w:rFonts w:hint="eastAsia" w:ascii="宋体" w:hAnsi="宋体"/>
                <w:sz w:val="22"/>
              </w:rPr>
              <w:t>投标保证金的金额：</w:t>
            </w:r>
            <w:r>
              <w:rPr>
                <w:rFonts w:hint="eastAsia" w:ascii="宋体" w:hAnsi="宋体"/>
                <w:b/>
                <w:sz w:val="22"/>
              </w:rPr>
              <w:t>人民币贰万元整（</w:t>
            </w:r>
            <w:r>
              <w:rPr>
                <w:rFonts w:ascii="宋体" w:hAnsi="宋体"/>
                <w:b/>
                <w:sz w:val="22"/>
              </w:rPr>
              <w:t>¥20,000.00</w:t>
            </w:r>
            <w:r>
              <w:rPr>
                <w:rFonts w:hint="eastAsia" w:ascii="宋体" w:hAnsi="宋体"/>
                <w:b/>
                <w:sz w:val="22"/>
              </w:rPr>
              <w:t>）</w:t>
            </w:r>
          </w:p>
          <w:p>
            <w:pPr>
              <w:snapToGrid w:val="0"/>
              <w:rPr>
                <w:rFonts w:ascii="宋体" w:hAnsi="宋体"/>
                <w:sz w:val="22"/>
              </w:rPr>
            </w:pPr>
            <w:r>
              <w:rPr>
                <w:rFonts w:hint="eastAsia" w:ascii="宋体" w:hAnsi="宋体"/>
                <w:sz w:val="22"/>
              </w:rPr>
              <w:t>投标保证金应在投标截止时间前汇入以下帐户：</w:t>
            </w:r>
          </w:p>
          <w:p>
            <w:pPr>
              <w:snapToGrid w:val="0"/>
              <w:rPr>
                <w:rFonts w:ascii="宋体" w:hAnsi="宋体"/>
                <w:sz w:val="22"/>
              </w:rPr>
            </w:pPr>
            <w:r>
              <w:rPr>
                <w:rFonts w:hint="eastAsia" w:ascii="宋体" w:hAnsi="宋体"/>
                <w:sz w:val="22"/>
              </w:rPr>
              <w:t>开户名：杭州萧山国际机场有限公司</w:t>
            </w:r>
          </w:p>
          <w:p>
            <w:pPr>
              <w:snapToGrid w:val="0"/>
              <w:rPr>
                <w:rFonts w:ascii="宋体" w:hAnsi="宋体"/>
                <w:sz w:val="22"/>
              </w:rPr>
            </w:pPr>
            <w:r>
              <w:rPr>
                <w:rFonts w:hint="eastAsia" w:ascii="宋体" w:hAnsi="宋体"/>
                <w:sz w:val="22"/>
              </w:rPr>
              <w:t xml:space="preserve">开户银行：工行杭州市空港城支行 </w:t>
            </w:r>
          </w:p>
          <w:p>
            <w:pPr>
              <w:snapToGrid w:val="0"/>
              <w:rPr>
                <w:rFonts w:ascii="宋体" w:hAnsi="宋体"/>
                <w:sz w:val="22"/>
                <w:lang w:val="zh-CN"/>
              </w:rPr>
            </w:pPr>
            <w:r>
              <w:rPr>
                <w:rFonts w:hint="eastAsia" w:ascii="宋体" w:hAnsi="宋体"/>
                <w:sz w:val="22"/>
              </w:rPr>
              <w:t>帐号：</w:t>
            </w:r>
            <w:r>
              <w:rPr>
                <w:rFonts w:hint="eastAsia" w:ascii="宋体" w:hAnsi="宋体"/>
                <w:sz w:val="22"/>
                <w:lang w:val="zh-CN"/>
              </w:rPr>
              <w:t>1202050209904601740</w:t>
            </w:r>
          </w:p>
          <w:p>
            <w:pPr>
              <w:autoSpaceDE w:val="0"/>
              <w:autoSpaceDN w:val="0"/>
              <w:adjustRightInd w:val="0"/>
              <w:snapToGrid w:val="0"/>
              <w:rPr>
                <w:rFonts w:ascii="宋体" w:hAnsi="宋体" w:cs="Calibri"/>
                <w:kern w:val="0"/>
                <w:sz w:val="22"/>
              </w:rPr>
            </w:pPr>
            <w:r>
              <w:rPr>
                <w:rFonts w:hint="eastAsia" w:ascii="宋体" w:hAnsi="宋体"/>
                <w:b/>
                <w:sz w:val="22"/>
                <w:highlight w:val="yellow"/>
              </w:rPr>
              <w:t>投标人提交投标保证金时需注明“</w:t>
            </w:r>
            <w:r>
              <w:rPr>
                <w:rFonts w:hint="eastAsia" w:ascii="宋体" w:hAnsi="宋体"/>
                <w:b/>
                <w:sz w:val="22"/>
              </w:rPr>
              <w:t>自助登机门采购</w:t>
            </w:r>
            <w:r>
              <w:rPr>
                <w:rFonts w:hint="eastAsia" w:ascii="宋体" w:hAnsi="宋体"/>
                <w:b/>
                <w:sz w:val="22"/>
                <w:highlight w:val="yellow"/>
              </w:rPr>
              <w:t>项目投标保证金”，基本账户开户许可证和银行回单复印件等信息随投标函单独封装，随投标文件一同递交。</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3.6.3</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签字或盖章要求</w:t>
            </w:r>
          </w:p>
        </w:tc>
        <w:tc>
          <w:tcPr>
            <w:tcW w:w="6487" w:type="dxa"/>
            <w:noWrap w:val="0"/>
            <w:vAlign w:val="center"/>
          </w:tcPr>
          <w:p>
            <w:pPr>
              <w:autoSpaceDE w:val="0"/>
              <w:autoSpaceDN w:val="0"/>
              <w:adjustRightInd w:val="0"/>
              <w:snapToGrid w:val="0"/>
              <w:rPr>
                <w:rFonts w:ascii="宋体" w:hAnsi="宋体" w:cs="Calibri"/>
                <w:kern w:val="0"/>
                <w:sz w:val="22"/>
              </w:rPr>
            </w:pPr>
            <w:r>
              <w:rPr>
                <w:rFonts w:ascii="宋体" w:hAnsi="宋体" w:cs="Calibri"/>
                <w:b/>
                <w:kern w:val="0"/>
                <w:sz w:val="22"/>
              </w:rPr>
              <w:t>投标文件封面（或扉页）、投标函以及各类报价表</w:t>
            </w:r>
            <w:r>
              <w:rPr>
                <w:rFonts w:ascii="宋体" w:hAnsi="宋体" w:cs="Calibri"/>
                <w:kern w:val="0"/>
                <w:sz w:val="22"/>
              </w:rPr>
              <w:t>均须加盖投标人单位章，并经法定代表人（或其委托代理人）签字或盖章。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3.6.4</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投标文件副本份数</w:t>
            </w:r>
          </w:p>
        </w:tc>
        <w:tc>
          <w:tcPr>
            <w:tcW w:w="6487" w:type="dxa"/>
            <w:noWrap w:val="0"/>
            <w:vAlign w:val="center"/>
          </w:tcPr>
          <w:p>
            <w:pPr>
              <w:autoSpaceDE w:val="0"/>
              <w:autoSpaceDN w:val="0"/>
              <w:adjustRightInd w:val="0"/>
              <w:snapToGrid w:val="0"/>
              <w:rPr>
                <w:rFonts w:ascii="宋体" w:hAnsi="宋体" w:cs="Calibri"/>
                <w:kern w:val="0"/>
                <w:sz w:val="22"/>
              </w:rPr>
            </w:pPr>
            <w:r>
              <w:rPr>
                <w:rFonts w:hint="eastAsia" w:ascii="宋体" w:hAnsi="宋体" w:cs="Calibri"/>
                <w:kern w:val="0"/>
                <w:sz w:val="22"/>
              </w:rPr>
              <w:t>正本一份，</w:t>
            </w:r>
            <w:r>
              <w:rPr>
                <w:rFonts w:ascii="宋体" w:hAnsi="宋体" w:cs="Calibri"/>
                <w:kern w:val="0"/>
                <w:sz w:val="22"/>
              </w:rPr>
              <w:t>副本</w:t>
            </w:r>
            <w:r>
              <w:rPr>
                <w:rFonts w:hint="eastAsia" w:ascii="宋体" w:hAnsi="宋体" w:cs="Calibri"/>
                <w:kern w:val="0"/>
                <w:sz w:val="22"/>
              </w:rPr>
              <w:t>二</w:t>
            </w:r>
            <w:r>
              <w:rPr>
                <w:rFonts w:ascii="宋体" w:hAnsi="宋体" w:cs="Calibri"/>
                <w:kern w:val="0"/>
                <w:sz w:val="22"/>
              </w:rPr>
              <w:t>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3.6.5</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装订要求</w:t>
            </w:r>
          </w:p>
        </w:tc>
        <w:tc>
          <w:tcPr>
            <w:tcW w:w="6487" w:type="dxa"/>
            <w:noWrap w:val="0"/>
            <w:vAlign w:val="center"/>
          </w:tcPr>
          <w:p>
            <w:pPr>
              <w:autoSpaceDE w:val="0"/>
              <w:autoSpaceDN w:val="0"/>
              <w:adjustRightInd w:val="0"/>
              <w:snapToGrid w:val="0"/>
              <w:rPr>
                <w:rFonts w:ascii="宋体" w:hAnsi="宋体" w:cs="Calibri"/>
                <w:kern w:val="0"/>
                <w:sz w:val="22"/>
              </w:rPr>
            </w:pPr>
            <w:r>
              <w:rPr>
                <w:rFonts w:ascii="宋体" w:hAnsi="宋体" w:cs="Calibri"/>
                <w:kern w:val="0"/>
                <w:sz w:val="22"/>
              </w:rPr>
              <w:t>按照投标人须知3.2项约定的投标文件组成内容，投标文件应按以下要求装订：</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不分册装订</w:t>
            </w:r>
          </w:p>
          <w:p>
            <w:pPr>
              <w:autoSpaceDE w:val="0"/>
              <w:autoSpaceDN w:val="0"/>
              <w:adjustRightInd w:val="0"/>
              <w:snapToGrid w:val="0"/>
              <w:rPr>
                <w:rFonts w:ascii="宋体" w:hAnsi="宋体" w:cs="Calibri"/>
                <w:kern w:val="0"/>
                <w:sz w:val="22"/>
              </w:rPr>
            </w:pPr>
            <w:r>
              <w:rPr>
                <w:rFonts w:ascii="宋体" w:hAnsi="宋体" w:cs="Calibri"/>
                <w:kern w:val="0"/>
                <w:sz w:val="22"/>
              </w:rPr>
              <w:t>□分册装订</w:t>
            </w:r>
          </w:p>
          <w:p>
            <w:pPr>
              <w:autoSpaceDE w:val="0"/>
              <w:autoSpaceDN w:val="0"/>
              <w:adjustRightInd w:val="0"/>
              <w:snapToGrid w:val="0"/>
              <w:rPr>
                <w:rFonts w:ascii="宋体" w:hAnsi="宋体" w:cs="Calibri"/>
                <w:kern w:val="0"/>
                <w:sz w:val="22"/>
              </w:rPr>
            </w:pPr>
            <w:r>
              <w:rPr>
                <w:rFonts w:ascii="宋体" w:hAnsi="宋体" w:cs="Calibri"/>
                <w:kern w:val="0"/>
                <w:sz w:val="22"/>
              </w:rPr>
              <w:t>每册采用</w:t>
            </w:r>
            <w:r>
              <w:rPr>
                <w:rFonts w:ascii="宋体" w:hAnsi="宋体" w:cs="Calibri"/>
                <w:kern w:val="0"/>
                <w:sz w:val="22"/>
                <w:u w:val="single"/>
              </w:rPr>
              <w:t xml:space="preserve"> 胶装 </w:t>
            </w:r>
            <w:r>
              <w:rPr>
                <w:rFonts w:ascii="宋体" w:hAnsi="宋体" w:cs="Calibri"/>
                <w:kern w:val="0"/>
                <w:sz w:val="22"/>
              </w:rPr>
              <w:t>方式装订，装订应牢固、不易拆散和换页，不得采用活页装订</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4.1.2</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封套上写明</w:t>
            </w:r>
          </w:p>
        </w:tc>
        <w:tc>
          <w:tcPr>
            <w:tcW w:w="6487" w:type="dxa"/>
            <w:noWrap w:val="0"/>
            <w:vAlign w:val="center"/>
          </w:tcPr>
          <w:p>
            <w:pPr>
              <w:autoSpaceDE w:val="0"/>
              <w:autoSpaceDN w:val="0"/>
              <w:adjustRightInd w:val="0"/>
              <w:snapToGrid w:val="0"/>
              <w:rPr>
                <w:rFonts w:ascii="宋体" w:hAnsi="宋体" w:cs="Calibri"/>
                <w:kern w:val="0"/>
                <w:sz w:val="22"/>
              </w:rPr>
            </w:pPr>
            <w:r>
              <w:rPr>
                <w:rFonts w:ascii="宋体" w:hAnsi="宋体" w:cs="Calibri"/>
                <w:kern w:val="0"/>
                <w:sz w:val="22"/>
              </w:rPr>
              <w:t>招标人的地址：</w:t>
            </w:r>
            <w:r>
              <w:rPr>
                <w:rFonts w:hint="eastAsia" w:ascii="宋体" w:hAnsi="宋体"/>
                <w:sz w:val="22"/>
                <w:u w:val="single"/>
              </w:rPr>
              <w:t>杭州萧山国际机场内</w:t>
            </w:r>
          </w:p>
          <w:p>
            <w:pPr>
              <w:autoSpaceDE w:val="0"/>
              <w:autoSpaceDN w:val="0"/>
              <w:adjustRightInd w:val="0"/>
              <w:snapToGrid w:val="0"/>
              <w:rPr>
                <w:rFonts w:ascii="宋体" w:hAnsi="宋体" w:cs="Calibri"/>
                <w:kern w:val="0"/>
                <w:sz w:val="22"/>
              </w:rPr>
            </w:pPr>
            <w:r>
              <w:rPr>
                <w:rFonts w:ascii="宋体" w:hAnsi="宋体" w:cs="Calibri"/>
                <w:kern w:val="0"/>
                <w:sz w:val="22"/>
              </w:rPr>
              <w:t>招标人名称：</w:t>
            </w:r>
            <w:r>
              <w:rPr>
                <w:rFonts w:ascii="宋体" w:hAnsi="宋体" w:cs="Calibri"/>
                <w:kern w:val="0"/>
                <w:sz w:val="22"/>
                <w:u w:val="single"/>
              </w:rPr>
              <w:t>杭州萧山国际机场有限公司</w:t>
            </w:r>
          </w:p>
          <w:p>
            <w:pPr>
              <w:autoSpaceDE w:val="0"/>
              <w:autoSpaceDN w:val="0"/>
              <w:adjustRightInd w:val="0"/>
              <w:snapToGrid w:val="0"/>
              <w:rPr>
                <w:rFonts w:ascii="宋体" w:hAnsi="宋体" w:cs="Calibri"/>
                <w:kern w:val="0"/>
                <w:sz w:val="22"/>
              </w:rPr>
            </w:pPr>
            <w:r>
              <w:rPr>
                <w:rFonts w:hint="eastAsia" w:ascii="宋体" w:hAnsi="宋体" w:cs="宋体"/>
                <w:sz w:val="22"/>
              </w:rPr>
              <w:t>项目名称：</w:t>
            </w:r>
            <w:r>
              <w:rPr>
                <w:rFonts w:hint="eastAsia" w:ascii="宋体" w:hAnsi="宋体" w:cs="Calibri"/>
                <w:kern w:val="0"/>
                <w:sz w:val="22"/>
                <w:u w:val="single"/>
              </w:rPr>
              <w:t>自助登机门系统软硬件采购项目</w:t>
            </w:r>
            <w:r>
              <w:rPr>
                <w:rFonts w:hint="eastAsia" w:ascii="宋体" w:hAnsi="宋体" w:cs="宋体"/>
                <w:sz w:val="22"/>
              </w:rPr>
              <w:t>投标文件</w:t>
            </w:r>
          </w:p>
          <w:p>
            <w:pPr>
              <w:autoSpaceDE w:val="0"/>
              <w:autoSpaceDN w:val="0"/>
              <w:adjustRightInd w:val="0"/>
              <w:snapToGrid w:val="0"/>
              <w:rPr>
                <w:rFonts w:ascii="宋体" w:hAnsi="宋体" w:cs="Calibri"/>
                <w:kern w:val="0"/>
                <w:sz w:val="22"/>
              </w:rPr>
            </w:pPr>
            <w:r>
              <w:rPr>
                <w:rFonts w:ascii="宋体" w:hAnsi="宋体" w:cs="Calibri"/>
                <w:kern w:val="0"/>
                <w:sz w:val="22"/>
              </w:rPr>
              <w:t>在</w:t>
            </w:r>
            <w:r>
              <w:rPr>
                <w:rFonts w:ascii="宋体" w:hAnsi="宋体" w:cs="Calibri"/>
                <w:kern w:val="0"/>
                <w:sz w:val="22"/>
                <w:u w:val="single"/>
              </w:rPr>
              <w:t xml:space="preserve"> </w:t>
            </w:r>
            <w:r>
              <w:rPr>
                <w:rFonts w:hint="eastAsia" w:ascii="宋体" w:hAnsi="宋体" w:cs="Calibri"/>
                <w:kern w:val="0"/>
                <w:sz w:val="22"/>
                <w:u w:val="single"/>
              </w:rPr>
              <w:t>201</w:t>
            </w:r>
            <w:r>
              <w:rPr>
                <w:rFonts w:ascii="宋体" w:hAnsi="宋体" w:cs="Calibri"/>
                <w:kern w:val="0"/>
                <w:sz w:val="22"/>
                <w:u w:val="single"/>
              </w:rPr>
              <w:t>9</w:t>
            </w:r>
            <w:r>
              <w:rPr>
                <w:rFonts w:hint="eastAsia" w:ascii="宋体" w:hAnsi="宋体" w:cs="Calibri"/>
                <w:kern w:val="0"/>
                <w:sz w:val="22"/>
                <w:u w:val="single"/>
              </w:rPr>
              <w:t>年</w:t>
            </w:r>
            <w:r>
              <w:rPr>
                <w:rFonts w:hint="eastAsia" w:ascii="宋体" w:hAnsi="宋体" w:cs="Calibri"/>
                <w:kern w:val="0"/>
                <w:sz w:val="22"/>
                <w:u w:val="single"/>
                <w:lang w:val="en-US" w:eastAsia="zh-CN"/>
              </w:rPr>
              <w:t>11</w:t>
            </w:r>
            <w:r>
              <w:rPr>
                <w:rFonts w:hint="eastAsia" w:ascii="宋体" w:hAnsi="宋体" w:cs="Calibri"/>
                <w:kern w:val="0"/>
                <w:sz w:val="22"/>
                <w:u w:val="single"/>
              </w:rPr>
              <w:t>月</w:t>
            </w:r>
            <w:r>
              <w:rPr>
                <w:rFonts w:hint="eastAsia" w:ascii="宋体" w:hAnsi="宋体" w:cs="Calibri"/>
                <w:kern w:val="0"/>
                <w:sz w:val="22"/>
                <w:u w:val="single"/>
                <w:lang w:val="en-US" w:eastAsia="zh-CN"/>
              </w:rPr>
              <w:t>8</w:t>
            </w:r>
            <w:r>
              <w:rPr>
                <w:rFonts w:hint="eastAsia" w:ascii="宋体" w:hAnsi="宋体" w:cs="Calibri"/>
                <w:kern w:val="0"/>
                <w:sz w:val="22"/>
                <w:u w:val="single"/>
              </w:rPr>
              <w:t>日</w:t>
            </w:r>
            <w:r>
              <w:rPr>
                <w:rFonts w:hint="eastAsia" w:ascii="宋体" w:hAnsi="宋体" w:cs="Calibri"/>
                <w:kern w:val="0"/>
                <w:sz w:val="22"/>
                <w:u w:val="single"/>
                <w:lang w:eastAsia="zh-CN"/>
              </w:rPr>
              <w:t>上午</w:t>
            </w:r>
            <w:r>
              <w:rPr>
                <w:rFonts w:hint="eastAsia" w:ascii="宋体" w:hAnsi="宋体" w:cs="Calibri"/>
                <w:kern w:val="0"/>
                <w:sz w:val="22"/>
                <w:u w:val="single"/>
                <w:lang w:val="en-US" w:eastAsia="zh-CN"/>
              </w:rPr>
              <w:t>9</w:t>
            </w:r>
            <w:r>
              <w:rPr>
                <w:rFonts w:hint="eastAsia" w:ascii="宋体" w:hAnsi="宋体" w:cs="Calibri"/>
                <w:kern w:val="0"/>
                <w:sz w:val="22"/>
                <w:u w:val="single"/>
              </w:rPr>
              <w:t>时00分</w:t>
            </w:r>
            <w:r>
              <w:rPr>
                <w:rFonts w:ascii="宋体" w:hAnsi="宋体" w:cs="Calibri"/>
                <w:kern w:val="0"/>
                <w:sz w:val="22"/>
              </w:rPr>
              <w:t>（即开标时间）前不得开启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4.2.2</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递交投标文件地点</w:t>
            </w:r>
          </w:p>
        </w:tc>
        <w:tc>
          <w:tcPr>
            <w:tcW w:w="6487" w:type="dxa"/>
            <w:noWrap w:val="0"/>
            <w:vAlign w:val="center"/>
          </w:tcPr>
          <w:p>
            <w:pPr>
              <w:autoSpaceDE w:val="0"/>
              <w:autoSpaceDN w:val="0"/>
              <w:adjustRightInd w:val="0"/>
              <w:snapToGrid w:val="0"/>
              <w:rPr>
                <w:rFonts w:ascii="宋体" w:hAnsi="宋体" w:cs="Calibri"/>
                <w:kern w:val="0"/>
                <w:sz w:val="22"/>
              </w:rPr>
            </w:pPr>
            <w:r>
              <w:rPr>
                <w:rFonts w:hint="eastAsia" w:ascii="宋体" w:hAnsi="宋体"/>
                <w:b/>
                <w:bCs/>
                <w:szCs w:val="21"/>
              </w:rPr>
              <w:t>杭州萧山国际机场翔越路综合服务楼园区招标中心</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4.2.3</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是否退还投标文件</w:t>
            </w:r>
          </w:p>
        </w:tc>
        <w:tc>
          <w:tcPr>
            <w:tcW w:w="6487" w:type="dxa"/>
            <w:noWrap w:val="0"/>
            <w:vAlign w:val="center"/>
          </w:tcPr>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w:t>
            </w:r>
          </w:p>
          <w:p>
            <w:pPr>
              <w:autoSpaceDE w:val="0"/>
              <w:autoSpaceDN w:val="0"/>
              <w:adjustRightInd w:val="0"/>
              <w:snapToGrid w:val="0"/>
              <w:rPr>
                <w:rFonts w:ascii="宋体" w:hAnsi="宋体" w:cs="Calibri"/>
                <w:kern w:val="0"/>
                <w:sz w:val="22"/>
              </w:rPr>
            </w:pPr>
            <w:r>
              <w:rPr>
                <w:rFonts w:ascii="宋体" w:hAnsi="宋体" w:cs="Calibri"/>
                <w:kern w:val="0"/>
                <w:sz w:val="22"/>
              </w:rPr>
              <w:t>□是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5.1.1</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开标时间和地点</w:t>
            </w:r>
          </w:p>
        </w:tc>
        <w:tc>
          <w:tcPr>
            <w:tcW w:w="6487" w:type="dxa"/>
            <w:noWrap w:val="0"/>
            <w:vAlign w:val="center"/>
          </w:tcPr>
          <w:p>
            <w:pPr>
              <w:autoSpaceDE w:val="0"/>
              <w:autoSpaceDN w:val="0"/>
              <w:adjustRightInd w:val="0"/>
              <w:snapToGrid w:val="0"/>
              <w:rPr>
                <w:rFonts w:ascii="宋体" w:hAnsi="宋体" w:cs="Calibri"/>
                <w:kern w:val="0"/>
                <w:sz w:val="22"/>
              </w:rPr>
            </w:pPr>
            <w:r>
              <w:rPr>
                <w:rFonts w:ascii="宋体" w:hAnsi="宋体" w:cs="Calibri"/>
                <w:kern w:val="0"/>
                <w:sz w:val="22"/>
              </w:rPr>
              <w:t>开标时间：同投标截止时间</w:t>
            </w:r>
          </w:p>
          <w:p>
            <w:pPr>
              <w:autoSpaceDE w:val="0"/>
              <w:autoSpaceDN w:val="0"/>
              <w:adjustRightInd w:val="0"/>
              <w:snapToGrid w:val="0"/>
              <w:rPr>
                <w:rFonts w:ascii="宋体" w:hAnsi="宋体" w:cs="Calibri"/>
                <w:kern w:val="0"/>
                <w:sz w:val="22"/>
              </w:rPr>
            </w:pPr>
            <w:r>
              <w:rPr>
                <w:rFonts w:ascii="宋体" w:hAnsi="宋体" w:cs="Calibri"/>
                <w:kern w:val="0"/>
                <w:sz w:val="22"/>
              </w:rPr>
              <w:t>开标地点：同递交投标文件地点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5.2</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开标程序</w:t>
            </w:r>
          </w:p>
        </w:tc>
        <w:tc>
          <w:tcPr>
            <w:tcW w:w="6487" w:type="dxa"/>
            <w:noWrap w:val="0"/>
            <w:vAlign w:val="center"/>
          </w:tcPr>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1</w:t>
            </w:r>
            <w:r>
              <w:rPr>
                <w:rFonts w:ascii="宋体" w:hAnsi="宋体" w:cs="Calibri"/>
                <w:kern w:val="0"/>
                <w:sz w:val="22"/>
              </w:rPr>
              <w:t>）密封情况检查：由投标人或者其集体推选的代表检查投标文件的密封情况。</w:t>
            </w:r>
          </w:p>
          <w:p>
            <w:pPr>
              <w:autoSpaceDE w:val="0"/>
              <w:autoSpaceDN w:val="0"/>
              <w:adjustRightInd w:val="0"/>
              <w:snapToGrid w:val="0"/>
              <w:rPr>
                <w:rFonts w:ascii="宋体" w:hAnsi="宋体" w:cs="Calibri"/>
                <w:kern w:val="0"/>
                <w:sz w:val="22"/>
              </w:rPr>
            </w:pPr>
            <w:r>
              <w:rPr>
                <w:rFonts w:ascii="宋体" w:hAnsi="宋体" w:cs="Calibri"/>
                <w:kern w:val="0"/>
                <w:sz w:val="22"/>
              </w:rPr>
              <w:t>（</w:t>
            </w:r>
            <w:r>
              <w:rPr>
                <w:rFonts w:hint="eastAsia" w:ascii="宋体" w:hAnsi="宋体" w:cs="Calibri"/>
                <w:kern w:val="0"/>
                <w:sz w:val="22"/>
              </w:rPr>
              <w:t>2</w:t>
            </w:r>
            <w:r>
              <w:rPr>
                <w:rFonts w:ascii="宋体" w:hAnsi="宋体" w:cs="Calibri"/>
                <w:kern w:val="0"/>
                <w:sz w:val="22"/>
              </w:rPr>
              <w:t>）开标顺序：按照后送达先开的顺序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6.1.1</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评标委员会的组建</w:t>
            </w:r>
          </w:p>
        </w:tc>
        <w:tc>
          <w:tcPr>
            <w:tcW w:w="6487" w:type="dxa"/>
            <w:noWrap w:val="0"/>
            <w:vAlign w:val="center"/>
          </w:tcPr>
          <w:p>
            <w:pPr>
              <w:autoSpaceDE w:val="0"/>
              <w:autoSpaceDN w:val="0"/>
              <w:adjustRightInd w:val="0"/>
              <w:snapToGrid w:val="0"/>
              <w:jc w:val="left"/>
              <w:rPr>
                <w:rFonts w:ascii="宋体" w:hAnsi="宋体"/>
                <w:sz w:val="22"/>
              </w:rPr>
            </w:pPr>
            <w:r>
              <w:rPr>
                <w:rFonts w:hint="eastAsia" w:ascii="宋体" w:hAnsi="宋体"/>
                <w:sz w:val="22"/>
              </w:rPr>
              <w:t>评标委员会构成</w:t>
            </w:r>
            <w:r>
              <w:rPr>
                <w:rFonts w:hint="eastAsia" w:ascii="宋体" w:hAnsi="宋体" w:cs="Calibri"/>
                <w:kern w:val="0"/>
                <w:sz w:val="22"/>
              </w:rPr>
              <w:t>：3</w:t>
            </w:r>
            <w:r>
              <w:rPr>
                <w:rFonts w:hint="eastAsia" w:ascii="宋体" w:hAnsi="宋体"/>
                <w:sz w:val="22"/>
              </w:rPr>
              <w:t>人及以上单数</w:t>
            </w:r>
          </w:p>
          <w:p>
            <w:pPr>
              <w:autoSpaceDE w:val="0"/>
              <w:autoSpaceDN w:val="0"/>
              <w:adjustRightInd w:val="0"/>
              <w:snapToGrid w:val="0"/>
              <w:jc w:val="left"/>
              <w:rPr>
                <w:rFonts w:ascii="宋体" w:hAnsi="宋体"/>
                <w:sz w:val="22"/>
              </w:rPr>
            </w:pPr>
            <w:r>
              <w:rPr>
                <w:rFonts w:hint="eastAsia" w:ascii="宋体" w:hAnsi="宋体"/>
                <w:sz w:val="22"/>
              </w:rPr>
              <w:t>评标专家确定方式：评标委员会招标人自行组建。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7.1</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是否授权评标委员会确定中标人</w:t>
            </w:r>
          </w:p>
        </w:tc>
        <w:tc>
          <w:tcPr>
            <w:tcW w:w="6487" w:type="dxa"/>
            <w:noWrap w:val="0"/>
            <w:vAlign w:val="center"/>
          </w:tcPr>
          <w:p>
            <w:pPr>
              <w:autoSpaceDE w:val="0"/>
              <w:autoSpaceDN w:val="0"/>
              <w:adjustRightInd w:val="0"/>
              <w:snapToGrid w:val="0"/>
              <w:rPr>
                <w:rFonts w:ascii="宋体" w:hAnsi="宋体" w:cs="Calibri"/>
                <w:kern w:val="0"/>
                <w:sz w:val="22"/>
              </w:rPr>
            </w:pPr>
            <w:r>
              <w:rPr>
                <w:rFonts w:ascii="宋体" w:hAnsi="宋体" w:cs="Calibri"/>
                <w:kern w:val="0"/>
                <w:sz w:val="22"/>
              </w:rPr>
              <w:t>□是</w:t>
            </w:r>
          </w:p>
          <w:p>
            <w:pPr>
              <w:autoSpaceDE w:val="0"/>
              <w:autoSpaceDN w:val="0"/>
              <w:adjustRightInd w:val="0"/>
              <w:snapToGrid w:val="0"/>
              <w:rPr>
                <w:rFonts w:ascii="宋体" w:hAnsi="宋体" w:cs="Calibri"/>
                <w:kern w:val="0"/>
                <w:sz w:val="22"/>
              </w:rPr>
            </w:pPr>
            <w:r>
              <w:rPr>
                <w:rFonts w:ascii="宋体" w:hAnsi="宋体" w:cs="Calibri"/>
                <w:kern w:val="0"/>
                <w:sz w:val="22"/>
              </w:rPr>
              <w:sym w:font="Wingdings" w:char="F0FE"/>
            </w:r>
            <w:r>
              <w:rPr>
                <w:rFonts w:ascii="宋体" w:hAnsi="宋体" w:cs="Calibri"/>
                <w:kern w:val="0"/>
                <w:sz w:val="22"/>
              </w:rPr>
              <w:t>否，推荐的中标候选人数：2人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7.3.1</w:t>
            </w:r>
          </w:p>
        </w:tc>
        <w:tc>
          <w:tcPr>
            <w:tcW w:w="2004"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履约担保</w:t>
            </w:r>
          </w:p>
        </w:tc>
        <w:tc>
          <w:tcPr>
            <w:tcW w:w="6487" w:type="dxa"/>
            <w:noWrap w:val="0"/>
            <w:vAlign w:val="center"/>
          </w:tcPr>
          <w:p>
            <w:pPr>
              <w:autoSpaceDE w:val="0"/>
              <w:autoSpaceDN w:val="0"/>
              <w:adjustRightInd w:val="0"/>
              <w:snapToGrid w:val="0"/>
              <w:jc w:val="left"/>
              <w:rPr>
                <w:rFonts w:ascii="宋体" w:hAnsi="宋体"/>
                <w:sz w:val="22"/>
              </w:rPr>
            </w:pPr>
            <w:r>
              <w:rPr>
                <w:rFonts w:ascii="宋体" w:hAnsi="宋体"/>
                <w:sz w:val="22"/>
              </w:rPr>
              <w:t>履约担保的形式：</w:t>
            </w:r>
            <w:r>
              <w:rPr>
                <w:rFonts w:hint="eastAsia" w:ascii="宋体" w:hAnsi="宋体"/>
                <w:sz w:val="22"/>
              </w:rPr>
              <w:t>银行转账</w:t>
            </w:r>
          </w:p>
          <w:p>
            <w:pPr>
              <w:autoSpaceDE w:val="0"/>
              <w:autoSpaceDN w:val="0"/>
              <w:adjustRightInd w:val="0"/>
              <w:snapToGrid w:val="0"/>
              <w:jc w:val="left"/>
              <w:rPr>
                <w:rFonts w:ascii="宋体" w:hAnsi="宋体"/>
                <w:sz w:val="22"/>
              </w:rPr>
            </w:pPr>
            <w:r>
              <w:rPr>
                <w:rFonts w:ascii="宋体" w:hAnsi="宋体"/>
                <w:sz w:val="22"/>
              </w:rPr>
              <w:t>履约担保的金额：</w:t>
            </w:r>
            <w:r>
              <w:rPr>
                <w:rFonts w:hint="eastAsia" w:ascii="宋体" w:hAnsi="宋体"/>
                <w:sz w:val="22"/>
              </w:rPr>
              <w:t>合同总价</w:t>
            </w:r>
            <w:r>
              <w:rPr>
                <w:rFonts w:hint="eastAsia" w:ascii="宋体" w:hAnsi="宋体"/>
                <w:b/>
                <w:sz w:val="22"/>
              </w:rPr>
              <w:t>的10%。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951" w:type="dxa"/>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p>
        </w:tc>
        <w:tc>
          <w:tcPr>
            <w:tcW w:w="8491" w:type="dxa"/>
            <w:gridSpan w:val="2"/>
            <w:noWrap w:val="0"/>
            <w:vAlign w:val="center"/>
          </w:tcPr>
          <w:p>
            <w:pPr>
              <w:autoSpaceDE w:val="0"/>
              <w:autoSpaceDN w:val="0"/>
              <w:adjustRightInd w:val="0"/>
              <w:snapToGrid w:val="0"/>
              <w:jc w:val="center"/>
              <w:rPr>
                <w:rFonts w:ascii="宋体" w:hAnsi="宋体" w:cs="Calibri"/>
                <w:snapToGrid w:val="0"/>
                <w:sz w:val="22"/>
              </w:rPr>
            </w:pPr>
            <w:r>
              <w:rPr>
                <w:rFonts w:ascii="宋体" w:hAnsi="宋体" w:cs="Calibri"/>
                <w:kern w:val="0"/>
                <w:sz w:val="22"/>
              </w:rPr>
              <w:t>需要补充的其他内容</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1380" w:hRule="atLeast"/>
          <w:jc w:val="center"/>
        </w:trPr>
        <w:tc>
          <w:tcPr>
            <w:tcW w:w="951" w:type="dxa"/>
            <w:shd w:val="clear" w:color="auto" w:fill="auto"/>
            <w:noWrap w:val="0"/>
            <w:vAlign w:val="center"/>
          </w:tcPr>
          <w:p>
            <w:pPr>
              <w:autoSpaceDE w:val="0"/>
              <w:autoSpaceDN w:val="0"/>
              <w:adjustRightInd w:val="0"/>
              <w:snapToGrid w:val="0"/>
              <w:jc w:val="center"/>
              <w:rPr>
                <w:rFonts w:ascii="宋体" w:hAnsi="宋体" w:cs="Calibri"/>
                <w:kern w:val="0"/>
                <w:sz w:val="22"/>
              </w:rPr>
            </w:pPr>
            <w:r>
              <w:rPr>
                <w:rFonts w:ascii="宋体" w:hAnsi="宋体" w:cs="Calibri"/>
                <w:kern w:val="0"/>
                <w:sz w:val="22"/>
              </w:rPr>
              <w:t>10.</w:t>
            </w:r>
            <w:r>
              <w:rPr>
                <w:rFonts w:hint="eastAsia" w:ascii="宋体" w:hAnsi="宋体" w:cs="Calibri"/>
                <w:kern w:val="0"/>
                <w:sz w:val="22"/>
              </w:rPr>
              <w:t>2</w:t>
            </w:r>
          </w:p>
        </w:tc>
        <w:tc>
          <w:tcPr>
            <w:tcW w:w="2004" w:type="dxa"/>
            <w:shd w:val="clear" w:color="auto" w:fill="auto"/>
            <w:noWrap w:val="0"/>
            <w:vAlign w:val="center"/>
          </w:tcPr>
          <w:p>
            <w:pPr>
              <w:pStyle w:val="40"/>
              <w:adjustRightInd w:val="0"/>
              <w:snapToGrid w:val="0"/>
              <w:spacing w:line="240" w:lineRule="auto"/>
              <w:jc w:val="center"/>
              <w:rPr>
                <w:rFonts w:ascii="宋体" w:hAnsi="宋体" w:cs="Calibri"/>
                <w:color w:val="auto"/>
                <w:sz w:val="22"/>
                <w:szCs w:val="22"/>
              </w:rPr>
            </w:pPr>
            <w:r>
              <w:rPr>
                <w:rFonts w:ascii="宋体" w:hAnsi="宋体" w:cs="Calibri"/>
                <w:color w:val="auto"/>
                <w:sz w:val="22"/>
                <w:szCs w:val="22"/>
              </w:rPr>
              <w:t>其他</w:t>
            </w:r>
          </w:p>
        </w:tc>
        <w:tc>
          <w:tcPr>
            <w:tcW w:w="6487" w:type="dxa"/>
            <w:shd w:val="clear" w:color="auto" w:fill="FFFFFF"/>
            <w:noWrap w:val="0"/>
            <w:vAlign w:val="center"/>
          </w:tcPr>
          <w:p>
            <w:pPr>
              <w:adjustRightInd w:val="0"/>
              <w:snapToGrid w:val="0"/>
              <w:rPr>
                <w:rFonts w:ascii="宋体" w:hAnsi="宋体" w:cs="Calibri"/>
                <w:snapToGrid w:val="0"/>
                <w:kern w:val="0"/>
                <w:sz w:val="22"/>
              </w:rPr>
            </w:pPr>
            <w:r>
              <w:rPr>
                <w:rFonts w:ascii="宋体" w:hAnsi="宋体" w:cs="Calibri"/>
                <w:snapToGrid w:val="0"/>
                <w:kern w:val="0"/>
                <w:sz w:val="22"/>
              </w:rPr>
              <w:t>1、投标人如发现招标文件及其评标办法中存在含糊不清、相互矛盾、多种含义以及歧视性不公正条款或违法违规等内容时，请在投标截止十日前向招标人书面反映，逾期不得再对招标文件的条款提出质疑。</w:t>
            </w:r>
          </w:p>
          <w:p>
            <w:pPr>
              <w:adjustRightInd w:val="0"/>
              <w:snapToGrid w:val="0"/>
              <w:rPr>
                <w:rFonts w:ascii="宋体" w:hAnsi="宋体" w:cs="Calibri"/>
                <w:snapToGrid w:val="0"/>
                <w:kern w:val="0"/>
                <w:sz w:val="22"/>
              </w:rPr>
            </w:pPr>
            <w:r>
              <w:rPr>
                <w:rFonts w:ascii="宋体" w:hAnsi="宋体" w:cs="Calibri"/>
                <w:snapToGrid w:val="0"/>
                <w:kern w:val="0"/>
                <w:sz w:val="22"/>
              </w:rPr>
              <w:t>2、本前附表内容与招标文件其他内容不一致之处，以本前附表为准。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jc w:val="center"/>
        </w:trPr>
        <w:tc>
          <w:tcPr>
            <w:tcW w:w="951" w:type="dxa"/>
            <w:shd w:val="clear" w:color="auto" w:fill="auto"/>
            <w:noWrap w:val="0"/>
            <w:vAlign w:val="center"/>
          </w:tcPr>
          <w:p>
            <w:pPr>
              <w:autoSpaceDE w:val="0"/>
              <w:autoSpaceDN w:val="0"/>
              <w:adjustRightInd w:val="0"/>
              <w:snapToGrid w:val="0"/>
              <w:jc w:val="center"/>
              <w:rPr>
                <w:rFonts w:ascii="宋体" w:hAnsi="宋体" w:cs="Calibri"/>
                <w:kern w:val="0"/>
                <w:sz w:val="22"/>
              </w:rPr>
            </w:pPr>
            <w:r>
              <w:rPr>
                <w:rFonts w:hint="eastAsia" w:ascii="宋体" w:hAnsi="宋体" w:cs="Calibri"/>
                <w:kern w:val="0"/>
                <w:sz w:val="22"/>
              </w:rPr>
              <w:t>10.3</w:t>
            </w:r>
          </w:p>
        </w:tc>
        <w:tc>
          <w:tcPr>
            <w:tcW w:w="2004" w:type="dxa"/>
            <w:shd w:val="clear" w:color="auto" w:fill="auto"/>
            <w:noWrap w:val="0"/>
            <w:vAlign w:val="center"/>
          </w:tcPr>
          <w:p>
            <w:pPr>
              <w:pStyle w:val="40"/>
              <w:spacing w:line="240" w:lineRule="auto"/>
              <w:jc w:val="center"/>
              <w:rPr>
                <w:rFonts w:ascii="宋体" w:hAnsi="宋体" w:cs="Calibri"/>
                <w:snapToGrid/>
                <w:color w:val="auto"/>
                <w:sz w:val="22"/>
                <w:szCs w:val="22"/>
              </w:rPr>
            </w:pPr>
            <w:r>
              <w:rPr>
                <w:rFonts w:hint="eastAsia" w:ascii="宋体" w:hAnsi="宋体" w:cs="Calibri"/>
                <w:snapToGrid/>
                <w:color w:val="auto"/>
                <w:sz w:val="22"/>
                <w:szCs w:val="22"/>
              </w:rPr>
              <w:t>备注</w:t>
            </w:r>
          </w:p>
        </w:tc>
        <w:tc>
          <w:tcPr>
            <w:tcW w:w="6487" w:type="dxa"/>
            <w:shd w:val="clear" w:color="auto" w:fill="FFFFFF"/>
            <w:noWrap w:val="0"/>
            <w:vAlign w:val="center"/>
          </w:tcPr>
          <w:p>
            <w:pPr>
              <w:adjustRightInd w:val="0"/>
              <w:snapToGrid w:val="0"/>
              <w:rPr>
                <w:rFonts w:ascii="宋体" w:hAnsi="宋体" w:cs="Calibri"/>
                <w:kern w:val="0"/>
                <w:sz w:val="22"/>
              </w:rPr>
            </w:pPr>
            <w:r>
              <w:rPr>
                <w:rFonts w:ascii="宋体" w:hAnsi="宋体" w:cs="Calibri"/>
                <w:kern w:val="0"/>
                <w:sz w:val="22"/>
              </w:rPr>
              <w:t>本前附表内容与招标文件其他内容不一致之处，以本前附表为准。</w:t>
            </w:r>
          </w:p>
        </w:tc>
      </w:tr>
    </w:tbl>
    <w:p>
      <w:pPr>
        <w:autoSpaceDE w:val="0"/>
        <w:autoSpaceDN w:val="0"/>
        <w:adjustRightInd w:val="0"/>
        <w:spacing w:line="360" w:lineRule="exact"/>
        <w:ind w:firstLine="422" w:firstLineChars="200"/>
        <w:rPr>
          <w:rFonts w:eastAsia="黑体" w:cs="Calibri"/>
          <w:b/>
          <w:bCs/>
          <w:kern w:val="0"/>
          <w:szCs w:val="21"/>
        </w:rPr>
      </w:pPr>
      <w:bookmarkStart w:id="38" w:name="_Toc143421656"/>
      <w:bookmarkStart w:id="39" w:name="_Toc11067"/>
    </w:p>
    <w:p>
      <w:pPr>
        <w:autoSpaceDE w:val="0"/>
        <w:autoSpaceDN w:val="0"/>
        <w:adjustRightInd w:val="0"/>
        <w:snapToGrid w:val="0"/>
        <w:spacing w:line="360" w:lineRule="exact"/>
        <w:rPr>
          <w:rFonts w:ascii="宋体" w:hAnsi="宋体" w:cs="Calibri"/>
          <w:b/>
          <w:bCs/>
          <w:kern w:val="0"/>
          <w:sz w:val="22"/>
        </w:rPr>
      </w:pPr>
      <w:r>
        <w:rPr>
          <w:rFonts w:eastAsia="黑体" w:cs="Calibri"/>
          <w:b/>
          <w:bCs/>
          <w:kern w:val="0"/>
          <w:szCs w:val="21"/>
        </w:rPr>
        <w:br w:type="page"/>
      </w:r>
      <w:r>
        <w:rPr>
          <w:rFonts w:ascii="宋体" w:hAnsi="宋体" w:cs="Calibri"/>
          <w:b/>
          <w:bCs/>
          <w:kern w:val="0"/>
          <w:sz w:val="22"/>
        </w:rPr>
        <w:t>1.</w:t>
      </w:r>
      <w:r>
        <w:rPr>
          <w:rFonts w:hint="eastAsia" w:ascii="宋体" w:hAnsi="宋体" w:cs="Calibri"/>
          <w:b/>
          <w:bCs/>
          <w:kern w:val="0"/>
          <w:sz w:val="22"/>
        </w:rPr>
        <w:t xml:space="preserve"> </w:t>
      </w:r>
      <w:r>
        <w:rPr>
          <w:rFonts w:ascii="宋体" w:hAnsi="宋体" w:cs="Calibri"/>
          <w:b/>
          <w:bCs/>
          <w:kern w:val="0"/>
          <w:sz w:val="22"/>
        </w:rPr>
        <w:t>总则</w:t>
      </w:r>
      <w:bookmarkEnd w:id="38"/>
      <w:bookmarkEnd w:id="39"/>
    </w:p>
    <w:p>
      <w:pPr>
        <w:autoSpaceDE w:val="0"/>
        <w:autoSpaceDN w:val="0"/>
        <w:adjustRightInd w:val="0"/>
        <w:snapToGrid w:val="0"/>
        <w:spacing w:line="360" w:lineRule="exact"/>
        <w:rPr>
          <w:rFonts w:ascii="宋体" w:hAnsi="宋体" w:cs="Calibri"/>
          <w:b/>
          <w:bCs/>
          <w:kern w:val="0"/>
          <w:sz w:val="22"/>
        </w:rPr>
      </w:pPr>
      <w:bookmarkStart w:id="40" w:name="_Toc26216"/>
      <w:r>
        <w:rPr>
          <w:rFonts w:ascii="宋体" w:hAnsi="宋体" w:cs="Calibri"/>
          <w:b/>
          <w:bCs/>
          <w:kern w:val="0"/>
          <w:sz w:val="22"/>
        </w:rPr>
        <w:t>1.1 项目</w:t>
      </w:r>
      <w:bookmarkEnd w:id="40"/>
      <w:r>
        <w:rPr>
          <w:rFonts w:ascii="宋体" w:hAnsi="宋体" w:cs="Calibri"/>
          <w:b/>
          <w:bCs/>
          <w:kern w:val="0"/>
          <w:sz w:val="22"/>
        </w:rPr>
        <w:t>概况</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1.1.1项目名称见投标人须知前附表。根据《中华人民共和国招标投标法》、《中华人民共和国招标投标法实施条例》、</w:t>
      </w:r>
      <w:r>
        <w:rPr>
          <w:rFonts w:hint="eastAsia" w:ascii="宋体" w:hAnsi="宋体" w:cs="Calibri"/>
          <w:kern w:val="0"/>
          <w:sz w:val="22"/>
        </w:rPr>
        <w:t>《浙江省招投标条例》</w:t>
      </w:r>
      <w:r>
        <w:rPr>
          <w:rFonts w:ascii="宋体" w:hAnsi="宋体" w:cs="Calibri"/>
          <w:kern w:val="0"/>
          <w:sz w:val="22"/>
        </w:rPr>
        <w:t>等有关法律、法规和规章的规定，本招标项目已具备招标条件，现对本项目进行招标。</w:t>
      </w:r>
    </w:p>
    <w:p>
      <w:pPr>
        <w:adjustRightInd w:val="0"/>
        <w:snapToGrid w:val="0"/>
        <w:spacing w:line="360" w:lineRule="exact"/>
        <w:ind w:firstLine="440" w:firstLineChars="200"/>
        <w:rPr>
          <w:rFonts w:ascii="宋体" w:hAnsi="宋体" w:cs="Calibri"/>
          <w:sz w:val="22"/>
        </w:rPr>
      </w:pPr>
      <w:r>
        <w:rPr>
          <w:rFonts w:ascii="宋体" w:hAnsi="宋体" w:cs="Calibri"/>
          <w:kern w:val="0"/>
          <w:sz w:val="22"/>
        </w:rPr>
        <w:t>1.1.2项目</w:t>
      </w:r>
      <w:r>
        <w:rPr>
          <w:rFonts w:hint="eastAsia" w:ascii="宋体" w:hAnsi="宋体" w:cs="Calibri"/>
          <w:kern w:val="0"/>
          <w:sz w:val="22"/>
        </w:rPr>
        <w:t>实施</w:t>
      </w:r>
      <w:r>
        <w:rPr>
          <w:rFonts w:ascii="宋体" w:hAnsi="宋体" w:cs="Calibri"/>
          <w:kern w:val="0"/>
          <w:sz w:val="22"/>
        </w:rPr>
        <w:t>地点见投标人须知前附表</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bookmarkStart w:id="41" w:name="_Toc9136"/>
      <w:r>
        <w:rPr>
          <w:rFonts w:ascii="宋体" w:hAnsi="宋体" w:cs="Calibri"/>
          <w:b/>
          <w:bCs/>
          <w:kern w:val="0"/>
          <w:sz w:val="22"/>
        </w:rPr>
        <w:t>1.</w:t>
      </w:r>
      <w:r>
        <w:rPr>
          <w:rFonts w:hint="eastAsia" w:ascii="宋体" w:hAnsi="宋体" w:cs="Calibri"/>
          <w:b/>
          <w:bCs/>
          <w:kern w:val="0"/>
          <w:sz w:val="22"/>
        </w:rPr>
        <w:t>2</w:t>
      </w:r>
      <w:r>
        <w:rPr>
          <w:rFonts w:ascii="宋体" w:hAnsi="宋体" w:cs="Calibri"/>
          <w:b/>
          <w:bCs/>
          <w:kern w:val="0"/>
          <w:sz w:val="22"/>
        </w:rPr>
        <w:t xml:space="preserve"> 资金来源</w:t>
      </w:r>
      <w:bookmarkEnd w:id="41"/>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2" w:name="_Toc10673"/>
      <w:r>
        <w:rPr>
          <w:rFonts w:ascii="宋体" w:hAnsi="宋体" w:cs="Calibri"/>
          <w:b/>
          <w:bCs/>
          <w:kern w:val="0"/>
          <w:sz w:val="22"/>
        </w:rPr>
        <w:t>1.</w:t>
      </w:r>
      <w:r>
        <w:rPr>
          <w:rFonts w:hint="eastAsia" w:ascii="宋体" w:hAnsi="宋体" w:cs="Calibri"/>
          <w:b/>
          <w:bCs/>
          <w:kern w:val="0"/>
          <w:sz w:val="22"/>
        </w:rPr>
        <w:t>3</w:t>
      </w:r>
      <w:r>
        <w:rPr>
          <w:rFonts w:ascii="宋体" w:hAnsi="宋体" w:cs="Calibri"/>
          <w:b/>
          <w:bCs/>
          <w:kern w:val="0"/>
          <w:sz w:val="22"/>
        </w:rPr>
        <w:t xml:space="preserve"> 招标</w:t>
      </w:r>
      <w:bookmarkEnd w:id="42"/>
      <w:r>
        <w:rPr>
          <w:rFonts w:hint="eastAsia" w:ascii="宋体" w:hAnsi="宋体" w:cs="Calibri"/>
          <w:b/>
          <w:bCs/>
          <w:kern w:val="0"/>
          <w:sz w:val="22"/>
        </w:rPr>
        <w:t>内容</w:t>
      </w:r>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3" w:name="_Toc718"/>
      <w:r>
        <w:rPr>
          <w:rFonts w:ascii="宋体" w:hAnsi="宋体" w:cs="Calibri"/>
          <w:b/>
          <w:bCs/>
          <w:kern w:val="0"/>
          <w:sz w:val="22"/>
        </w:rPr>
        <w:t>1.</w:t>
      </w:r>
      <w:r>
        <w:rPr>
          <w:rFonts w:hint="eastAsia" w:ascii="宋体" w:hAnsi="宋体" w:cs="Calibri"/>
          <w:b/>
          <w:bCs/>
          <w:kern w:val="0"/>
          <w:sz w:val="22"/>
        </w:rPr>
        <w:t>4</w:t>
      </w:r>
      <w:r>
        <w:rPr>
          <w:rFonts w:ascii="宋体" w:hAnsi="宋体" w:cs="Calibri"/>
          <w:b/>
          <w:bCs/>
          <w:kern w:val="0"/>
          <w:sz w:val="22"/>
        </w:rPr>
        <w:t xml:space="preserve"> 招标方式</w:t>
      </w:r>
      <w:bookmarkEnd w:id="43"/>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4" w:name="_Toc9161"/>
      <w:r>
        <w:rPr>
          <w:rFonts w:ascii="宋体" w:hAnsi="宋体" w:cs="Calibri"/>
          <w:b/>
          <w:bCs/>
          <w:kern w:val="0"/>
          <w:sz w:val="22"/>
        </w:rPr>
        <w:t>1.</w:t>
      </w:r>
      <w:r>
        <w:rPr>
          <w:rFonts w:hint="eastAsia" w:ascii="宋体" w:hAnsi="宋体" w:cs="Calibri"/>
          <w:b/>
          <w:bCs/>
          <w:kern w:val="0"/>
          <w:sz w:val="22"/>
        </w:rPr>
        <w:t xml:space="preserve">5 </w:t>
      </w:r>
      <w:r>
        <w:rPr>
          <w:rFonts w:ascii="宋体" w:hAnsi="宋体" w:cs="Calibri"/>
          <w:b/>
          <w:bCs/>
          <w:kern w:val="0"/>
          <w:sz w:val="22"/>
        </w:rPr>
        <w:t>资格审查</w:t>
      </w:r>
      <w:bookmarkEnd w:id="44"/>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5" w:name="_Toc13012"/>
      <w:r>
        <w:rPr>
          <w:rFonts w:ascii="宋体" w:hAnsi="宋体" w:cs="Calibri"/>
          <w:b/>
          <w:bCs/>
          <w:kern w:val="0"/>
          <w:sz w:val="22"/>
        </w:rPr>
        <w:t>1.</w:t>
      </w:r>
      <w:r>
        <w:rPr>
          <w:rFonts w:hint="eastAsia" w:ascii="宋体" w:hAnsi="宋体" w:cs="Calibri"/>
          <w:b/>
          <w:bCs/>
          <w:kern w:val="0"/>
          <w:sz w:val="22"/>
        </w:rPr>
        <w:t>6</w:t>
      </w:r>
      <w:r>
        <w:rPr>
          <w:rFonts w:ascii="宋体" w:hAnsi="宋体" w:cs="Calibri"/>
          <w:b/>
          <w:bCs/>
          <w:kern w:val="0"/>
          <w:sz w:val="22"/>
        </w:rPr>
        <w:t xml:space="preserve"> 投标人资质条件、能力和信誉</w:t>
      </w:r>
      <w:bookmarkEnd w:id="45"/>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6" w:name="_Toc2796"/>
      <w:r>
        <w:rPr>
          <w:rFonts w:ascii="宋体" w:hAnsi="宋体" w:cs="Calibri"/>
          <w:b/>
          <w:bCs/>
          <w:kern w:val="0"/>
          <w:sz w:val="22"/>
        </w:rPr>
        <w:t>1.</w:t>
      </w:r>
      <w:r>
        <w:rPr>
          <w:rFonts w:hint="eastAsia" w:ascii="宋体" w:hAnsi="宋体" w:cs="Calibri"/>
          <w:b/>
          <w:bCs/>
          <w:kern w:val="0"/>
          <w:sz w:val="22"/>
        </w:rPr>
        <w:t>7</w:t>
      </w:r>
      <w:r>
        <w:rPr>
          <w:rFonts w:ascii="宋体" w:hAnsi="宋体" w:cs="Calibri"/>
          <w:b/>
          <w:bCs/>
          <w:kern w:val="0"/>
          <w:sz w:val="22"/>
        </w:rPr>
        <w:t xml:space="preserve"> </w:t>
      </w:r>
      <w:r>
        <w:rPr>
          <w:rFonts w:hint="eastAsia" w:ascii="宋体" w:hAnsi="宋体" w:cs="Calibri"/>
          <w:b/>
          <w:bCs/>
          <w:kern w:val="0"/>
          <w:sz w:val="22"/>
        </w:rPr>
        <w:t>服务</w:t>
      </w:r>
      <w:r>
        <w:rPr>
          <w:rFonts w:ascii="宋体" w:hAnsi="宋体" w:cs="Calibri"/>
          <w:b/>
          <w:bCs/>
          <w:kern w:val="0"/>
          <w:sz w:val="22"/>
        </w:rPr>
        <w:t>期</w:t>
      </w:r>
      <w:bookmarkEnd w:id="46"/>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hint="eastAsia" w:ascii="宋体" w:hAnsi="宋体" w:cs="Calibri"/>
          <w:b/>
          <w:bCs/>
          <w:kern w:val="0"/>
          <w:sz w:val="22"/>
        </w:rPr>
        <w:t>1.8 质量要求</w:t>
      </w:r>
    </w:p>
    <w:p>
      <w:pPr>
        <w:adjustRightInd w:val="0"/>
        <w:snapToGrid w:val="0"/>
        <w:spacing w:line="360" w:lineRule="exact"/>
        <w:ind w:firstLine="440" w:firstLineChars="200"/>
        <w:rPr>
          <w:rFonts w:ascii="宋体" w:hAnsi="宋体" w:cs="Calibri"/>
          <w:sz w:val="22"/>
        </w:rPr>
      </w:pPr>
      <w:bookmarkStart w:id="47" w:name="_Toc13907"/>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9</w:t>
      </w:r>
      <w:r>
        <w:rPr>
          <w:rFonts w:ascii="宋体" w:hAnsi="宋体" w:cs="Calibri"/>
          <w:b/>
          <w:bCs/>
          <w:kern w:val="0"/>
          <w:sz w:val="22"/>
        </w:rPr>
        <w:t xml:space="preserve"> 踏勘现场</w:t>
      </w:r>
      <w:bookmarkEnd w:id="47"/>
    </w:p>
    <w:p>
      <w:pPr>
        <w:adjustRightInd w:val="0"/>
        <w:snapToGrid w:val="0"/>
        <w:spacing w:line="360" w:lineRule="exact"/>
        <w:ind w:firstLine="440" w:firstLineChars="200"/>
        <w:rPr>
          <w:rFonts w:ascii="宋体" w:hAnsi="宋体" w:cs="Calibri"/>
          <w:sz w:val="22"/>
        </w:rPr>
      </w:pPr>
      <w:bookmarkStart w:id="48" w:name="_Toc4199"/>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w:t>
      </w:r>
      <w:r>
        <w:rPr>
          <w:rFonts w:hint="eastAsia" w:ascii="宋体" w:hAnsi="宋体" w:cs="Calibri"/>
          <w:b/>
          <w:bCs/>
          <w:kern w:val="0"/>
          <w:sz w:val="22"/>
        </w:rPr>
        <w:t>10</w:t>
      </w:r>
      <w:r>
        <w:rPr>
          <w:rFonts w:ascii="宋体" w:hAnsi="宋体" w:cs="Calibri"/>
          <w:b/>
          <w:bCs/>
          <w:kern w:val="0"/>
          <w:sz w:val="22"/>
        </w:rPr>
        <w:t xml:space="preserve"> 投标预备会</w:t>
      </w:r>
      <w:bookmarkEnd w:id="48"/>
    </w:p>
    <w:p>
      <w:pPr>
        <w:adjustRightInd w:val="0"/>
        <w:snapToGrid w:val="0"/>
        <w:spacing w:line="360" w:lineRule="exact"/>
        <w:ind w:firstLine="440" w:firstLineChars="200"/>
        <w:rPr>
          <w:rFonts w:ascii="宋体" w:hAnsi="宋体" w:cs="Calibri"/>
          <w:sz w:val="22"/>
        </w:rPr>
      </w:pPr>
      <w:r>
        <w:rPr>
          <w:rFonts w:ascii="宋体" w:hAnsi="宋体" w:cs="Calibri"/>
          <w:sz w:val="22"/>
        </w:rPr>
        <w:t>见投标人须知前附表。</w:t>
      </w:r>
    </w:p>
    <w:p>
      <w:pPr>
        <w:autoSpaceDE w:val="0"/>
        <w:autoSpaceDN w:val="0"/>
        <w:adjustRightInd w:val="0"/>
        <w:snapToGrid w:val="0"/>
        <w:spacing w:line="360" w:lineRule="exact"/>
        <w:rPr>
          <w:rFonts w:ascii="宋体" w:hAnsi="宋体" w:cs="Calibri"/>
          <w:b/>
          <w:bCs/>
          <w:kern w:val="0"/>
          <w:sz w:val="22"/>
        </w:rPr>
      </w:pPr>
      <w:bookmarkStart w:id="49" w:name="_Toc4584"/>
      <w:r>
        <w:rPr>
          <w:rFonts w:ascii="宋体" w:hAnsi="宋体" w:cs="Calibri"/>
          <w:b/>
          <w:bCs/>
          <w:kern w:val="0"/>
          <w:sz w:val="22"/>
        </w:rPr>
        <w:t>1.1</w:t>
      </w:r>
      <w:r>
        <w:rPr>
          <w:rFonts w:hint="eastAsia" w:ascii="宋体" w:hAnsi="宋体" w:cs="Calibri"/>
          <w:b/>
          <w:bCs/>
          <w:kern w:val="0"/>
          <w:sz w:val="22"/>
        </w:rPr>
        <w:t>1</w:t>
      </w:r>
      <w:r>
        <w:rPr>
          <w:rFonts w:ascii="宋体" w:hAnsi="宋体" w:cs="Calibri"/>
          <w:b/>
          <w:bCs/>
          <w:kern w:val="0"/>
          <w:sz w:val="22"/>
        </w:rPr>
        <w:t xml:space="preserve"> 分包</w:t>
      </w:r>
      <w:bookmarkEnd w:id="49"/>
    </w:p>
    <w:p>
      <w:pPr>
        <w:adjustRightInd w:val="0"/>
        <w:snapToGrid w:val="0"/>
        <w:spacing w:line="360" w:lineRule="exact"/>
        <w:ind w:firstLine="440"/>
        <w:rPr>
          <w:rFonts w:cs="Calibri"/>
          <w:color w:val="000000"/>
          <w:sz w:val="22"/>
        </w:rPr>
      </w:pPr>
      <w:bookmarkStart w:id="50" w:name="_Toc3996"/>
      <w:r>
        <w:rPr>
          <w:rFonts w:cs="Calibri"/>
          <w:color w:val="000000"/>
          <w:sz w:val="22"/>
        </w:rPr>
        <w:t>本项目</w:t>
      </w:r>
      <w:r>
        <w:rPr>
          <w:rFonts w:hint="eastAsia" w:cs="Calibri"/>
          <w:color w:val="000000"/>
          <w:sz w:val="22"/>
        </w:rPr>
        <w:t>涉及到其它专业的部分分项工作</w:t>
      </w:r>
      <w:r>
        <w:rPr>
          <w:rFonts w:cs="Calibri"/>
          <w:color w:val="000000"/>
          <w:sz w:val="22"/>
        </w:rPr>
        <w:t>允许分包。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1.1</w:t>
      </w:r>
      <w:r>
        <w:rPr>
          <w:rFonts w:hint="eastAsia" w:ascii="宋体" w:hAnsi="宋体" w:cs="Calibri"/>
          <w:b/>
          <w:bCs/>
          <w:kern w:val="0"/>
          <w:sz w:val="22"/>
        </w:rPr>
        <w:t>2</w:t>
      </w:r>
      <w:r>
        <w:rPr>
          <w:rFonts w:ascii="宋体" w:hAnsi="宋体" w:cs="Calibri"/>
          <w:b/>
          <w:bCs/>
          <w:kern w:val="0"/>
          <w:sz w:val="22"/>
        </w:rPr>
        <w:t xml:space="preserve"> 投标费用</w:t>
      </w:r>
      <w:bookmarkEnd w:id="50"/>
    </w:p>
    <w:p>
      <w:pPr>
        <w:adjustRightInd w:val="0"/>
        <w:snapToGrid w:val="0"/>
        <w:spacing w:line="360" w:lineRule="exact"/>
        <w:ind w:firstLine="440" w:firstLineChars="200"/>
        <w:rPr>
          <w:rFonts w:ascii="宋体" w:hAnsi="宋体" w:cs="Calibri"/>
          <w:sz w:val="22"/>
        </w:rPr>
      </w:pPr>
      <w:r>
        <w:rPr>
          <w:rFonts w:ascii="宋体" w:hAnsi="宋体" w:cs="Calibri"/>
          <w:sz w:val="22"/>
        </w:rPr>
        <w:t>投标人在投标过程中的一切费用，不论中标与否，均由投标人自理。</w:t>
      </w:r>
    </w:p>
    <w:p>
      <w:pPr>
        <w:autoSpaceDE w:val="0"/>
        <w:autoSpaceDN w:val="0"/>
        <w:adjustRightInd w:val="0"/>
        <w:snapToGrid w:val="0"/>
        <w:spacing w:line="360" w:lineRule="exact"/>
        <w:rPr>
          <w:rFonts w:ascii="宋体" w:hAnsi="宋体" w:cs="Calibri"/>
          <w:b/>
          <w:bCs/>
          <w:kern w:val="0"/>
          <w:sz w:val="22"/>
        </w:rPr>
      </w:pPr>
      <w:bookmarkStart w:id="51" w:name="_Toc143421657"/>
      <w:bookmarkStart w:id="52" w:name="_Toc15241"/>
      <w:r>
        <w:rPr>
          <w:rFonts w:ascii="宋体" w:hAnsi="宋体" w:cs="Calibri"/>
          <w:b/>
          <w:bCs/>
          <w:kern w:val="0"/>
          <w:sz w:val="22"/>
        </w:rPr>
        <w:t>2.招标文件</w:t>
      </w:r>
      <w:bookmarkEnd w:id="51"/>
      <w:bookmarkEnd w:id="52"/>
    </w:p>
    <w:p>
      <w:pPr>
        <w:autoSpaceDE w:val="0"/>
        <w:autoSpaceDN w:val="0"/>
        <w:adjustRightInd w:val="0"/>
        <w:snapToGrid w:val="0"/>
        <w:spacing w:line="360" w:lineRule="exact"/>
        <w:rPr>
          <w:rFonts w:ascii="宋体" w:hAnsi="宋体" w:cs="Calibri"/>
          <w:b/>
          <w:bCs/>
          <w:kern w:val="0"/>
          <w:sz w:val="22"/>
        </w:rPr>
      </w:pPr>
      <w:bookmarkStart w:id="53" w:name="_Toc1426"/>
      <w:r>
        <w:rPr>
          <w:rFonts w:ascii="宋体" w:hAnsi="宋体" w:cs="Calibri"/>
          <w:b/>
          <w:bCs/>
          <w:kern w:val="0"/>
          <w:sz w:val="22"/>
        </w:rPr>
        <w:t>2.1 招标文件的组成</w:t>
      </w:r>
      <w:bookmarkEnd w:id="53"/>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本招标文件包括：</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（1）招标公告</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（2）投标人须知</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w:t>
      </w:r>
      <w:r>
        <w:rPr>
          <w:rFonts w:hint="eastAsia" w:ascii="宋体" w:hAnsi="宋体" w:cs="Calibri"/>
          <w:kern w:val="0"/>
          <w:sz w:val="22"/>
        </w:rPr>
        <w:t>采购内容、技术标准及要求</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w:t>
      </w:r>
      <w:r>
        <w:rPr>
          <w:rFonts w:hint="eastAsia" w:ascii="宋体" w:hAnsi="宋体" w:cs="Calibri"/>
          <w:kern w:val="0"/>
          <w:sz w:val="22"/>
        </w:rPr>
        <w:t>4</w:t>
      </w:r>
      <w:r>
        <w:rPr>
          <w:rFonts w:ascii="宋体" w:hAnsi="宋体" w:cs="Calibri"/>
          <w:kern w:val="0"/>
          <w:sz w:val="22"/>
        </w:rPr>
        <w:t>）合同条款</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w:t>
      </w:r>
      <w:r>
        <w:rPr>
          <w:rFonts w:hint="eastAsia" w:ascii="宋体" w:hAnsi="宋体" w:cs="Calibri"/>
          <w:kern w:val="0"/>
          <w:sz w:val="22"/>
        </w:rPr>
        <w:t>5</w:t>
      </w:r>
      <w:r>
        <w:rPr>
          <w:rFonts w:ascii="宋体" w:hAnsi="宋体" w:cs="Calibri"/>
          <w:kern w:val="0"/>
          <w:sz w:val="22"/>
        </w:rPr>
        <w:t>）评标办法及标准</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w:t>
      </w:r>
      <w:r>
        <w:rPr>
          <w:rFonts w:hint="eastAsia" w:ascii="宋体" w:hAnsi="宋体" w:cs="Calibri"/>
          <w:kern w:val="0"/>
          <w:sz w:val="22"/>
        </w:rPr>
        <w:t>6</w:t>
      </w:r>
      <w:r>
        <w:rPr>
          <w:rFonts w:ascii="宋体" w:hAnsi="宋体" w:cs="Calibri"/>
          <w:kern w:val="0"/>
          <w:sz w:val="22"/>
        </w:rPr>
        <w:t>）投标文件格式</w:t>
      </w:r>
    </w:p>
    <w:p>
      <w:pPr>
        <w:adjustRightInd w:val="0"/>
        <w:snapToGrid w:val="0"/>
        <w:spacing w:line="360" w:lineRule="exact"/>
        <w:ind w:firstLine="440" w:firstLineChars="200"/>
        <w:rPr>
          <w:rFonts w:ascii="宋体" w:hAnsi="宋体" w:cs="Calibri"/>
          <w:kern w:val="0"/>
          <w:sz w:val="22"/>
        </w:rPr>
      </w:pPr>
      <w:r>
        <w:rPr>
          <w:rFonts w:ascii="宋体" w:hAnsi="宋体" w:cs="Calibri"/>
          <w:sz w:val="22"/>
        </w:rPr>
        <w:t>根据本须知第2.2款和2.3款对招标文件做出的澄清、修改，构成招标文件的组成部分。</w:t>
      </w:r>
    </w:p>
    <w:p>
      <w:pPr>
        <w:autoSpaceDE w:val="0"/>
        <w:autoSpaceDN w:val="0"/>
        <w:adjustRightInd w:val="0"/>
        <w:snapToGrid w:val="0"/>
        <w:spacing w:line="360" w:lineRule="exact"/>
        <w:rPr>
          <w:rFonts w:ascii="宋体" w:hAnsi="宋体" w:cs="Calibri"/>
          <w:b/>
          <w:bCs/>
          <w:kern w:val="0"/>
          <w:sz w:val="22"/>
        </w:rPr>
      </w:pPr>
      <w:bookmarkStart w:id="54" w:name="_Toc18230"/>
      <w:r>
        <w:rPr>
          <w:rFonts w:ascii="宋体" w:hAnsi="宋体" w:cs="Calibri"/>
          <w:b/>
          <w:bCs/>
          <w:kern w:val="0"/>
          <w:sz w:val="22"/>
        </w:rPr>
        <w:t>2.2 招标文件的澄清</w:t>
      </w:r>
      <w:bookmarkEnd w:id="54"/>
    </w:p>
    <w:p>
      <w:pPr>
        <w:adjustRightInd w:val="0"/>
        <w:snapToGrid w:val="0"/>
        <w:spacing w:line="360" w:lineRule="exact"/>
        <w:ind w:firstLine="440"/>
        <w:rPr>
          <w:rFonts w:ascii="宋体" w:hAnsi="宋体" w:cs="Calibri"/>
          <w:sz w:val="22"/>
        </w:rPr>
      </w:pPr>
      <w:bookmarkStart w:id="55" w:name="_Toc18303"/>
      <w:r>
        <w:rPr>
          <w:rFonts w:ascii="宋体" w:hAnsi="宋体" w:cs="Calibri"/>
          <w:sz w:val="22"/>
        </w:rPr>
        <w:t>2.2.1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pPr>
        <w:adjustRightInd w:val="0"/>
        <w:snapToGrid w:val="0"/>
        <w:spacing w:line="360" w:lineRule="exact"/>
        <w:ind w:firstLine="440"/>
        <w:rPr>
          <w:rFonts w:ascii="宋体" w:hAnsi="宋体" w:cs="Calibri"/>
          <w:sz w:val="22"/>
        </w:rPr>
      </w:pPr>
      <w:r>
        <w:rPr>
          <w:rFonts w:ascii="宋体" w:hAnsi="宋体" w:cs="Calibri"/>
          <w:sz w:val="22"/>
        </w:rPr>
        <w:t>2.2.2</w:t>
      </w:r>
      <w:r>
        <w:rPr>
          <w:rFonts w:hint="eastAsia" w:ascii="宋体" w:hAnsi="宋体" w:cs="Calibri"/>
          <w:kern w:val="0"/>
          <w:sz w:val="22"/>
        </w:rPr>
        <w:t>招标人将视情况采用补充公告的方式予以澄清。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2.3 招标文件的修改</w:t>
      </w:r>
      <w:bookmarkEnd w:id="55"/>
    </w:p>
    <w:p>
      <w:pPr>
        <w:adjustRightInd w:val="0"/>
        <w:snapToGrid w:val="0"/>
        <w:spacing w:line="360" w:lineRule="exact"/>
        <w:ind w:firstLine="440"/>
        <w:rPr>
          <w:rFonts w:ascii="宋体" w:hAnsi="宋体" w:cs="Calibri"/>
          <w:sz w:val="22"/>
        </w:rPr>
      </w:pPr>
      <w:r>
        <w:rPr>
          <w:rFonts w:ascii="宋体" w:hAnsi="宋体" w:cs="Calibri"/>
          <w:kern w:val="0"/>
          <w:sz w:val="22"/>
        </w:rPr>
        <w:t>2.3.1</w:t>
      </w:r>
      <w:r>
        <w:rPr>
          <w:rFonts w:hint="eastAsia" w:ascii="宋体" w:hAnsi="宋体" w:cs="Calibri"/>
          <w:kern w:val="0"/>
          <w:sz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pPr>
        <w:adjustRightInd w:val="0"/>
        <w:snapToGrid w:val="0"/>
        <w:spacing w:line="360" w:lineRule="exact"/>
        <w:ind w:firstLine="440"/>
        <w:rPr>
          <w:rFonts w:ascii="宋体" w:hAnsi="宋体" w:cs="Calibri"/>
          <w:sz w:val="22"/>
        </w:rPr>
      </w:pPr>
      <w:r>
        <w:rPr>
          <w:rFonts w:ascii="宋体" w:hAnsi="宋体" w:cs="Calibri"/>
          <w:sz w:val="22"/>
        </w:rPr>
        <w:t>2.3.2</w:t>
      </w:r>
      <w:r>
        <w:rPr>
          <w:rFonts w:hint="eastAsia" w:ascii="宋体" w:hAnsi="宋体" w:cs="Calibri"/>
          <w:sz w:val="22"/>
        </w:rPr>
        <w:t>招标文件的修改为招标文件的组成部分，对投标人有约束力。</w:t>
      </w:r>
    </w:p>
    <w:p>
      <w:pPr>
        <w:autoSpaceDE w:val="0"/>
        <w:autoSpaceDN w:val="0"/>
        <w:adjustRightInd w:val="0"/>
        <w:snapToGrid w:val="0"/>
        <w:spacing w:line="360" w:lineRule="exact"/>
        <w:rPr>
          <w:rFonts w:ascii="宋体" w:hAnsi="宋体" w:cs="Calibri"/>
          <w:b/>
          <w:bCs/>
          <w:kern w:val="0"/>
          <w:sz w:val="22"/>
        </w:rPr>
      </w:pPr>
      <w:bookmarkStart w:id="56" w:name="_Toc143421658"/>
      <w:bookmarkStart w:id="57" w:name="_Toc18870"/>
      <w:r>
        <w:rPr>
          <w:rFonts w:ascii="宋体" w:hAnsi="宋体" w:cs="Calibri"/>
          <w:b/>
          <w:bCs/>
          <w:kern w:val="0"/>
          <w:sz w:val="22"/>
        </w:rPr>
        <w:t>3.投标文件</w:t>
      </w:r>
      <w:bookmarkEnd w:id="56"/>
      <w:bookmarkEnd w:id="57"/>
    </w:p>
    <w:p>
      <w:pPr>
        <w:autoSpaceDE w:val="0"/>
        <w:autoSpaceDN w:val="0"/>
        <w:adjustRightInd w:val="0"/>
        <w:snapToGrid w:val="0"/>
        <w:spacing w:line="360" w:lineRule="exact"/>
        <w:rPr>
          <w:rFonts w:ascii="宋体" w:hAnsi="宋体" w:cs="Calibri"/>
          <w:b/>
          <w:bCs/>
          <w:kern w:val="0"/>
          <w:sz w:val="22"/>
        </w:rPr>
      </w:pPr>
      <w:bookmarkStart w:id="58" w:name="_Toc461"/>
      <w:r>
        <w:rPr>
          <w:rFonts w:ascii="宋体" w:hAnsi="宋体" w:cs="Calibri"/>
          <w:b/>
          <w:bCs/>
          <w:kern w:val="0"/>
          <w:sz w:val="22"/>
        </w:rPr>
        <w:t>3.1 投标文件的语言和计量单位</w:t>
      </w:r>
      <w:bookmarkEnd w:id="58"/>
    </w:p>
    <w:p>
      <w:pPr>
        <w:adjustRightInd w:val="0"/>
        <w:snapToGrid w:val="0"/>
        <w:spacing w:line="360" w:lineRule="exact"/>
        <w:ind w:firstLine="440" w:firstLineChars="200"/>
        <w:rPr>
          <w:rFonts w:ascii="宋体" w:hAnsi="宋体" w:cs="Calibri"/>
          <w:kern w:val="0"/>
          <w:sz w:val="22"/>
        </w:rPr>
      </w:pPr>
      <w:r>
        <w:rPr>
          <w:rFonts w:ascii="宋体" w:hAnsi="宋体" w:cs="Calibri"/>
          <w:sz w:val="22"/>
        </w:rPr>
        <w:t>3.1.1投标文件与投标有关的所有文件均应使用中文。</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3.1.2除规范另有规定外，投标文件使用的度量衡单位，均采用中华人民共和国法定计量单位。</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3.1.3招标文件中的“天”除特别说明外，均为日历天。</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3.1.4招标文件中所指的“合同”除特别说明外，指 “</w:t>
      </w:r>
      <w:r>
        <w:rPr>
          <w:rFonts w:hint="eastAsia" w:ascii="宋体" w:hAnsi="宋体" w:cs="Calibri"/>
          <w:kern w:val="0"/>
          <w:sz w:val="22"/>
        </w:rPr>
        <w:t>采购</w:t>
      </w:r>
      <w:r>
        <w:rPr>
          <w:rFonts w:ascii="宋体" w:hAnsi="宋体" w:cs="Calibri"/>
          <w:kern w:val="0"/>
          <w:sz w:val="22"/>
        </w:rPr>
        <w:t>合同”。</w:t>
      </w:r>
    </w:p>
    <w:p>
      <w:pPr>
        <w:autoSpaceDE w:val="0"/>
        <w:autoSpaceDN w:val="0"/>
        <w:adjustRightInd w:val="0"/>
        <w:snapToGrid w:val="0"/>
        <w:spacing w:line="360" w:lineRule="exact"/>
        <w:rPr>
          <w:rFonts w:ascii="宋体" w:hAnsi="宋体" w:cs="Calibri"/>
          <w:b/>
          <w:bCs/>
          <w:kern w:val="0"/>
          <w:sz w:val="22"/>
        </w:rPr>
      </w:pPr>
      <w:bookmarkStart w:id="59" w:name="_Toc1411"/>
      <w:r>
        <w:rPr>
          <w:rFonts w:ascii="宋体" w:hAnsi="宋体" w:cs="Calibri"/>
          <w:b/>
          <w:bCs/>
          <w:kern w:val="0"/>
          <w:sz w:val="22"/>
        </w:rPr>
        <w:t>3.2 投标文件的组成</w:t>
      </w:r>
      <w:bookmarkEnd w:id="59"/>
    </w:p>
    <w:p>
      <w:pPr>
        <w:adjustRightInd w:val="0"/>
        <w:snapToGrid w:val="0"/>
        <w:spacing w:line="360" w:lineRule="exact"/>
        <w:ind w:firstLine="440" w:firstLineChars="200"/>
        <w:rPr>
          <w:rFonts w:ascii="宋体" w:hAnsi="宋体" w:cs="Calibri"/>
          <w:sz w:val="22"/>
        </w:rPr>
      </w:pPr>
      <w:bookmarkStart w:id="60" w:name="_Toc32225"/>
      <w:r>
        <w:rPr>
          <w:rFonts w:ascii="宋体" w:hAnsi="宋体" w:cs="Calibri"/>
          <w:sz w:val="22"/>
        </w:rPr>
        <w:t>3.2.1投标函；</w:t>
      </w:r>
    </w:p>
    <w:p>
      <w:pPr>
        <w:adjustRightInd w:val="0"/>
        <w:snapToGrid w:val="0"/>
        <w:spacing w:line="36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2</w:t>
      </w:r>
      <w:r>
        <w:rPr>
          <w:rFonts w:ascii="宋体" w:hAnsi="宋体" w:cs="Calibri"/>
          <w:sz w:val="22"/>
        </w:rPr>
        <w:t>法定代表人资格证明书；</w:t>
      </w:r>
    </w:p>
    <w:p>
      <w:pPr>
        <w:adjustRightInd w:val="0"/>
        <w:snapToGrid w:val="0"/>
        <w:spacing w:line="36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3</w:t>
      </w:r>
      <w:r>
        <w:rPr>
          <w:rFonts w:ascii="宋体" w:hAnsi="宋体" w:cs="Calibri"/>
          <w:sz w:val="22"/>
        </w:rPr>
        <w:t>授权委托书；</w:t>
      </w:r>
    </w:p>
    <w:p>
      <w:pPr>
        <w:adjustRightInd w:val="0"/>
        <w:snapToGrid w:val="0"/>
        <w:spacing w:line="360" w:lineRule="exact"/>
        <w:ind w:firstLine="440" w:firstLineChars="200"/>
        <w:rPr>
          <w:rFonts w:ascii="宋体" w:hAnsi="宋体" w:cs="Calibri"/>
          <w:sz w:val="22"/>
        </w:rPr>
      </w:pPr>
      <w:r>
        <w:rPr>
          <w:rFonts w:ascii="宋体" w:hAnsi="宋体" w:cs="Calibri"/>
          <w:sz w:val="22"/>
        </w:rPr>
        <w:t>3.2.</w:t>
      </w:r>
      <w:r>
        <w:rPr>
          <w:rFonts w:hint="eastAsia" w:ascii="宋体" w:hAnsi="宋体" w:cs="Calibri"/>
          <w:sz w:val="22"/>
        </w:rPr>
        <w:t>4</w:t>
      </w:r>
      <w:r>
        <w:rPr>
          <w:rFonts w:ascii="宋体" w:hAnsi="宋体" w:cs="Calibri"/>
          <w:sz w:val="22"/>
        </w:rPr>
        <w:t xml:space="preserve"> 投标报价表；</w:t>
      </w:r>
    </w:p>
    <w:p>
      <w:pPr>
        <w:adjustRightInd w:val="0"/>
        <w:snapToGrid w:val="0"/>
        <w:spacing w:line="360" w:lineRule="exact"/>
        <w:ind w:firstLine="440" w:firstLineChars="200"/>
        <w:rPr>
          <w:rFonts w:ascii="宋体" w:hAnsi="宋体" w:cs="Calibri"/>
          <w:sz w:val="22"/>
        </w:rPr>
      </w:pPr>
      <w:r>
        <w:rPr>
          <w:rFonts w:ascii="宋体" w:hAnsi="宋体" w:cs="Calibri"/>
          <w:sz w:val="22"/>
        </w:rPr>
        <w:t xml:space="preserve">3.2.5 </w:t>
      </w:r>
      <w:r>
        <w:rPr>
          <w:rFonts w:hint="eastAsia" w:ascii="宋体" w:hAnsi="宋体" w:cs="Calibri"/>
          <w:sz w:val="22"/>
        </w:rPr>
        <w:t>所投设备详细技术参数说明（含外观彩色图片）；</w:t>
      </w:r>
    </w:p>
    <w:p>
      <w:pPr>
        <w:adjustRightInd w:val="0"/>
        <w:snapToGrid w:val="0"/>
        <w:spacing w:line="360" w:lineRule="exact"/>
        <w:ind w:firstLine="440" w:firstLineChars="200"/>
        <w:rPr>
          <w:rFonts w:ascii="宋体" w:hAnsi="宋体" w:cs="Calibri"/>
          <w:sz w:val="22"/>
        </w:rPr>
      </w:pPr>
      <w:r>
        <w:rPr>
          <w:rFonts w:ascii="宋体" w:hAnsi="宋体" w:cs="Calibri"/>
          <w:sz w:val="22"/>
        </w:rPr>
        <w:t>3.2.6投标人资格证明文件：</w:t>
      </w:r>
    </w:p>
    <w:p>
      <w:pPr>
        <w:adjustRightInd w:val="0"/>
        <w:snapToGrid w:val="0"/>
        <w:spacing w:line="360" w:lineRule="exact"/>
        <w:ind w:firstLine="440" w:firstLineChars="200"/>
        <w:rPr>
          <w:rFonts w:ascii="宋体" w:hAnsi="宋体" w:cs="Calibri"/>
          <w:sz w:val="22"/>
        </w:rPr>
      </w:pPr>
      <w:r>
        <w:rPr>
          <w:rFonts w:ascii="宋体" w:hAnsi="宋体" w:cs="Calibri"/>
          <w:sz w:val="22"/>
        </w:rPr>
        <w:t>（1）投标人一般情况</w:t>
      </w:r>
      <w:r>
        <w:rPr>
          <w:rFonts w:hint="eastAsia" w:ascii="宋体" w:hAnsi="宋体" w:cs="Calibri"/>
          <w:sz w:val="22"/>
        </w:rPr>
        <w:t>及</w:t>
      </w:r>
      <w:r>
        <w:rPr>
          <w:rFonts w:ascii="宋体" w:hAnsi="宋体" w:cs="Calibri"/>
          <w:sz w:val="22"/>
        </w:rPr>
        <w:t>有关证明投标人法律地位的文件（包括营业执照</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ascii="宋体" w:hAnsi="宋体" w:cs="Calibri"/>
          <w:sz w:val="22"/>
        </w:rPr>
        <w:t>资质</w:t>
      </w:r>
      <w:r>
        <w:rPr>
          <w:rFonts w:hint="eastAsia" w:ascii="宋体" w:hAnsi="宋体" w:cs="Calibri"/>
          <w:sz w:val="22"/>
        </w:rPr>
        <w:t>证书</w:t>
      </w:r>
      <w:r>
        <w:rPr>
          <w:rFonts w:ascii="宋体" w:hAnsi="宋体" w:cs="Calibri"/>
          <w:sz w:val="22"/>
        </w:rPr>
        <w:t>等），说明投标人的注册地点和主要经营范围；</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（2）</w:t>
      </w:r>
      <w:r>
        <w:rPr>
          <w:rFonts w:ascii="宋体" w:hAnsi="宋体" w:cs="Calibri"/>
          <w:sz w:val="22"/>
        </w:rPr>
        <w:t>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adjustRightInd w:val="0"/>
        <w:snapToGrid w:val="0"/>
        <w:spacing w:line="360" w:lineRule="exact"/>
        <w:ind w:firstLine="440" w:firstLineChars="200"/>
        <w:rPr>
          <w:rFonts w:ascii="宋体" w:hAnsi="宋体" w:cs="Calibri"/>
          <w:sz w:val="22"/>
        </w:rPr>
      </w:pPr>
      <w:r>
        <w:rPr>
          <w:rFonts w:ascii="宋体" w:hAnsi="宋体" w:cs="Calibri"/>
          <w:sz w:val="22"/>
        </w:rPr>
        <w:t>（3）有关证明投标人的企业信誉及获得各种奖励等资料；</w:t>
      </w:r>
    </w:p>
    <w:p>
      <w:pPr>
        <w:adjustRightInd w:val="0"/>
        <w:snapToGrid w:val="0"/>
        <w:spacing w:line="360" w:lineRule="exact"/>
        <w:ind w:firstLine="440" w:firstLineChars="200"/>
        <w:rPr>
          <w:rFonts w:ascii="宋体" w:hAnsi="宋体" w:cs="Calibri"/>
          <w:sz w:val="22"/>
        </w:rPr>
      </w:pPr>
      <w:r>
        <w:rPr>
          <w:rFonts w:ascii="宋体" w:hAnsi="宋体" w:cs="Calibri"/>
          <w:sz w:val="22"/>
        </w:rPr>
        <w:t>（4）投标人经济实力：包括企业注册资金、财务报告与报表中反映的财务状况</w:t>
      </w:r>
      <w:r>
        <w:rPr>
          <w:rFonts w:hint="eastAsia" w:ascii="宋体" w:hAnsi="宋体" w:cs="Calibri"/>
          <w:sz w:val="22"/>
        </w:rPr>
        <w:t>；</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w:t>
      </w:r>
      <w:r>
        <w:rPr>
          <w:rFonts w:ascii="宋体" w:hAnsi="宋体" w:cs="Calibri"/>
          <w:sz w:val="22"/>
        </w:rPr>
        <w:t>5</w:t>
      </w:r>
      <w:r>
        <w:rPr>
          <w:rFonts w:hint="eastAsia" w:ascii="宋体" w:hAnsi="宋体" w:cs="Calibri"/>
          <w:sz w:val="22"/>
        </w:rPr>
        <w:t>）投标产品</w:t>
      </w:r>
      <w:r>
        <w:rPr>
          <w:rFonts w:ascii="宋体" w:hAnsi="宋体" w:cs="Calibri"/>
          <w:sz w:val="22"/>
        </w:rPr>
        <w:t>近三年的销售业绩一览表（</w:t>
      </w:r>
      <w:r>
        <w:rPr>
          <w:rFonts w:hint="eastAsia" w:ascii="宋体" w:hAnsi="宋体" w:cs="Calibri"/>
          <w:sz w:val="22"/>
        </w:rPr>
        <w:t>附业绩的</w:t>
      </w:r>
      <w:r>
        <w:rPr>
          <w:rFonts w:ascii="宋体" w:hAnsi="宋体" w:cs="Calibri"/>
          <w:sz w:val="22"/>
        </w:rPr>
        <w:t>合同）</w:t>
      </w:r>
      <w:r>
        <w:rPr>
          <w:rFonts w:hint="eastAsia" w:ascii="宋体" w:hAnsi="宋体" w:cs="Calibri"/>
          <w:sz w:val="22"/>
        </w:rPr>
        <w:t>；</w:t>
      </w:r>
    </w:p>
    <w:p>
      <w:pPr>
        <w:adjustRightInd w:val="0"/>
        <w:snapToGrid w:val="0"/>
        <w:spacing w:line="360" w:lineRule="exact"/>
        <w:ind w:firstLine="440" w:firstLineChars="200"/>
        <w:rPr>
          <w:rFonts w:ascii="宋体" w:hAnsi="宋体" w:cs="Arial"/>
          <w:kern w:val="0"/>
          <w:sz w:val="22"/>
        </w:rPr>
      </w:pPr>
      <w:r>
        <w:rPr>
          <w:rFonts w:ascii="宋体" w:hAnsi="宋体" w:cs="Calibri"/>
          <w:sz w:val="22"/>
        </w:rPr>
        <w:t>（6）</w:t>
      </w:r>
      <w:r>
        <w:rPr>
          <w:rFonts w:hint="eastAsia" w:ascii="宋体" w:hAnsi="宋体" w:cs="Arial"/>
          <w:kern w:val="0"/>
          <w:sz w:val="22"/>
        </w:rPr>
        <w:t>ISO9000质量体系认证；</w:t>
      </w:r>
    </w:p>
    <w:p>
      <w:pPr>
        <w:adjustRightInd w:val="0"/>
        <w:snapToGrid w:val="0"/>
        <w:spacing w:line="360" w:lineRule="exact"/>
        <w:ind w:firstLine="440" w:firstLineChars="200"/>
        <w:rPr>
          <w:rFonts w:ascii="宋体" w:hAnsi="宋体" w:cs="Arial"/>
          <w:kern w:val="0"/>
          <w:sz w:val="22"/>
        </w:rPr>
      </w:pPr>
      <w:r>
        <w:rPr>
          <w:rFonts w:ascii="宋体" w:hAnsi="宋体" w:cs="Arial"/>
          <w:kern w:val="0"/>
          <w:sz w:val="22"/>
        </w:rPr>
        <w:t>（7）</w:t>
      </w:r>
      <w:r>
        <w:rPr>
          <w:rFonts w:hint="eastAsia" w:ascii="宋体" w:hAnsi="宋体" w:cs="Calibri"/>
          <w:sz w:val="22"/>
        </w:rPr>
        <w:t>中航信第三方入网许可证</w:t>
      </w:r>
      <w:r>
        <w:rPr>
          <w:rFonts w:hint="eastAsia" w:ascii="宋体" w:hAnsi="宋体" w:cs="Arial"/>
          <w:kern w:val="0"/>
          <w:sz w:val="22"/>
        </w:rPr>
        <w:t>；</w:t>
      </w:r>
    </w:p>
    <w:p>
      <w:pPr>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rPr>
        <w:t>（8）制造商</w:t>
      </w:r>
      <w:r>
        <w:rPr>
          <w:rFonts w:ascii="宋体" w:hAnsi="宋体" w:cs="Arial"/>
          <w:kern w:val="0"/>
          <w:sz w:val="22"/>
        </w:rPr>
        <w:t>资格声明</w:t>
      </w:r>
      <w:r>
        <w:rPr>
          <w:rFonts w:hint="eastAsia" w:ascii="宋体" w:hAnsi="宋体" w:cs="Arial"/>
          <w:kern w:val="0"/>
          <w:sz w:val="22"/>
        </w:rPr>
        <w:t>；</w:t>
      </w:r>
    </w:p>
    <w:p>
      <w:pPr>
        <w:adjustRightInd w:val="0"/>
        <w:snapToGrid w:val="0"/>
        <w:spacing w:line="360" w:lineRule="exact"/>
        <w:ind w:firstLine="440" w:firstLineChars="200"/>
        <w:rPr>
          <w:rFonts w:ascii="宋体" w:hAnsi="宋体" w:cs="Arial"/>
          <w:kern w:val="0"/>
          <w:sz w:val="22"/>
        </w:rPr>
      </w:pPr>
      <w:r>
        <w:rPr>
          <w:rFonts w:hint="eastAsia" w:ascii="宋体" w:hAnsi="宋体" w:cs="Arial"/>
          <w:kern w:val="0"/>
          <w:sz w:val="22"/>
        </w:rPr>
        <w:t>（</w:t>
      </w:r>
      <w:r>
        <w:rPr>
          <w:rFonts w:ascii="宋体" w:hAnsi="宋体" w:cs="Arial"/>
          <w:kern w:val="0"/>
          <w:sz w:val="22"/>
        </w:rPr>
        <w:t>9</w:t>
      </w:r>
      <w:r>
        <w:rPr>
          <w:rFonts w:hint="eastAsia" w:ascii="宋体" w:hAnsi="宋体" w:cs="Arial"/>
          <w:kern w:val="0"/>
          <w:sz w:val="22"/>
        </w:rPr>
        <w:t>）设备</w:t>
      </w:r>
      <w:r>
        <w:rPr>
          <w:rFonts w:ascii="宋体" w:hAnsi="宋体" w:cs="Arial"/>
          <w:kern w:val="0"/>
          <w:sz w:val="22"/>
        </w:rPr>
        <w:t>制造商的授权书（</w:t>
      </w:r>
      <w:r>
        <w:rPr>
          <w:rFonts w:hint="eastAsia" w:ascii="宋体" w:hAnsi="宋体" w:cs="Arial"/>
          <w:kern w:val="0"/>
          <w:sz w:val="22"/>
        </w:rPr>
        <w:t>代理商</w:t>
      </w:r>
      <w:r>
        <w:rPr>
          <w:rFonts w:ascii="宋体" w:hAnsi="宋体" w:cs="Arial"/>
          <w:kern w:val="0"/>
          <w:sz w:val="22"/>
        </w:rPr>
        <w:t>投标时提供）</w:t>
      </w:r>
      <w:r>
        <w:rPr>
          <w:rFonts w:hint="eastAsia" w:ascii="宋体" w:hAnsi="宋体" w:cs="Arial"/>
          <w:kern w:val="0"/>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3.2.7</w:t>
      </w:r>
      <w:r>
        <w:rPr>
          <w:rFonts w:hint="eastAsia" w:ascii="宋体" w:hAnsi="宋体" w:cs="Calibri"/>
          <w:sz w:val="22"/>
        </w:rPr>
        <w:t xml:space="preserve"> </w:t>
      </w:r>
      <w:r>
        <w:rPr>
          <w:rFonts w:ascii="宋体" w:hAnsi="宋体" w:cs="Calibri"/>
          <w:sz w:val="22"/>
        </w:rPr>
        <w:t>服务大纲</w:t>
      </w:r>
    </w:p>
    <w:p>
      <w:pPr>
        <w:adjustRightInd w:val="0"/>
        <w:snapToGrid w:val="0"/>
        <w:spacing w:line="360" w:lineRule="exact"/>
        <w:ind w:firstLine="440" w:firstLineChars="200"/>
        <w:rPr>
          <w:rFonts w:ascii="宋体" w:hAnsi="宋体" w:cs="Calibri"/>
          <w:sz w:val="22"/>
        </w:rPr>
      </w:pPr>
      <w:r>
        <w:rPr>
          <w:rFonts w:ascii="宋体" w:hAnsi="宋体" w:cs="Calibri"/>
          <w:sz w:val="22"/>
        </w:rPr>
        <w:t>（1）本项目概况；</w:t>
      </w:r>
    </w:p>
    <w:p>
      <w:pPr>
        <w:adjustRightInd w:val="0"/>
        <w:snapToGrid w:val="0"/>
        <w:spacing w:line="360" w:lineRule="exact"/>
        <w:ind w:firstLine="440" w:firstLineChars="200"/>
        <w:rPr>
          <w:rFonts w:ascii="宋体" w:hAnsi="宋体" w:cs="Calibri"/>
          <w:sz w:val="22"/>
        </w:rPr>
      </w:pPr>
      <w:r>
        <w:rPr>
          <w:rFonts w:ascii="宋体" w:hAnsi="宋体" w:cs="Calibri"/>
          <w:sz w:val="22"/>
        </w:rPr>
        <w:t>（2）工作内容和依据；</w:t>
      </w:r>
    </w:p>
    <w:p>
      <w:pPr>
        <w:adjustRightInd w:val="0"/>
        <w:snapToGrid w:val="0"/>
        <w:spacing w:line="360" w:lineRule="exact"/>
        <w:ind w:firstLine="440" w:firstLineChars="200"/>
        <w:rPr>
          <w:rFonts w:ascii="宋体" w:hAnsi="宋体" w:cs="Calibri"/>
          <w:sz w:val="22"/>
        </w:rPr>
      </w:pPr>
      <w:r>
        <w:rPr>
          <w:rFonts w:ascii="宋体" w:hAnsi="宋体" w:cs="Calibri"/>
          <w:sz w:val="22"/>
        </w:rPr>
        <w:t>（3）服务管理班子的组织结构形式；</w:t>
      </w:r>
    </w:p>
    <w:p>
      <w:pPr>
        <w:adjustRightInd w:val="0"/>
        <w:snapToGrid w:val="0"/>
        <w:spacing w:line="360" w:lineRule="exact"/>
        <w:ind w:firstLine="440" w:firstLineChars="200"/>
        <w:rPr>
          <w:rFonts w:ascii="宋体" w:hAnsi="宋体" w:cs="Calibri"/>
          <w:sz w:val="22"/>
        </w:rPr>
      </w:pPr>
      <w:r>
        <w:rPr>
          <w:rFonts w:ascii="宋体" w:hAnsi="宋体" w:cs="Calibri"/>
          <w:sz w:val="22"/>
        </w:rPr>
        <w:t>（4）服务人员的作业安排和进场计划（</w:t>
      </w:r>
      <w:r>
        <w:rPr>
          <w:rFonts w:hint="eastAsia" w:ascii="宋体" w:hAnsi="宋体" w:cs="Calibri"/>
          <w:sz w:val="22"/>
        </w:rPr>
        <w:t>供货、培训、售后服务、质量保证等）</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（5）服务人员工作守则；</w:t>
      </w:r>
    </w:p>
    <w:p>
      <w:pPr>
        <w:adjustRightInd w:val="0"/>
        <w:snapToGrid w:val="0"/>
        <w:spacing w:line="360" w:lineRule="exact"/>
        <w:ind w:firstLine="440" w:firstLineChars="200"/>
        <w:rPr>
          <w:rFonts w:ascii="宋体" w:hAnsi="宋体" w:cs="Calibri"/>
          <w:sz w:val="22"/>
        </w:rPr>
      </w:pPr>
      <w:r>
        <w:rPr>
          <w:rFonts w:ascii="宋体" w:hAnsi="宋体" w:cs="Calibri"/>
          <w:sz w:val="22"/>
        </w:rPr>
        <w:t>（6）对本项目的实施意见及重点</w:t>
      </w:r>
      <w:r>
        <w:rPr>
          <w:rFonts w:hint="eastAsia" w:ascii="宋体" w:hAnsi="宋体" w:cs="Calibri"/>
          <w:sz w:val="22"/>
        </w:rPr>
        <w:t>、</w:t>
      </w:r>
      <w:r>
        <w:rPr>
          <w:rFonts w:ascii="宋体" w:hAnsi="宋体" w:cs="Calibri"/>
          <w:sz w:val="22"/>
        </w:rPr>
        <w:t>难点控制；</w:t>
      </w:r>
    </w:p>
    <w:p>
      <w:pPr>
        <w:adjustRightInd w:val="0"/>
        <w:snapToGrid w:val="0"/>
        <w:spacing w:line="360" w:lineRule="exact"/>
        <w:ind w:firstLine="440" w:firstLineChars="200"/>
        <w:rPr>
          <w:rFonts w:ascii="宋体" w:hAnsi="宋体" w:cs="Calibri"/>
          <w:sz w:val="22"/>
        </w:rPr>
      </w:pPr>
      <w:r>
        <w:rPr>
          <w:rFonts w:ascii="宋体" w:hAnsi="宋体" w:cs="Calibri"/>
          <w:sz w:val="22"/>
        </w:rPr>
        <w:t>（7）投入到本项目的项目负责人、其他人员的情况汇总表及业绩、经历、能力介绍、资格证明材料及人员到位率的承诺；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cs="Calibri"/>
          <w:sz w:val="22"/>
        </w:rPr>
      </w:pPr>
      <w:r>
        <w:rPr>
          <w:rFonts w:ascii="宋体" w:hAnsi="宋体" w:cs="Calibri"/>
          <w:sz w:val="22"/>
        </w:rPr>
        <w:t>（8）投入本项目服务的仪器、仪表、设备及交通工具汇总表</w:t>
      </w:r>
      <w:r>
        <w:rPr>
          <w:rFonts w:hint="eastAsia" w:ascii="宋体" w:hAnsi="宋体" w:cs="Calibri"/>
          <w:sz w:val="22"/>
        </w:rPr>
        <w:t>。</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3.2.8技术规格偏离表；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3.2.9商务条款响应偏离表；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3.2.10廉洁自律承诺书</w:t>
      </w:r>
    </w:p>
    <w:p>
      <w:pPr>
        <w:adjustRightInd w:val="0"/>
        <w:snapToGrid w:val="0"/>
        <w:spacing w:line="400" w:lineRule="exact"/>
        <w:ind w:firstLine="440" w:firstLineChars="200"/>
        <w:rPr>
          <w:rFonts w:ascii="宋体" w:hAnsi="宋体"/>
          <w:sz w:val="22"/>
        </w:rPr>
      </w:pPr>
      <w:r>
        <w:rPr>
          <w:rFonts w:hint="eastAsia" w:ascii="宋体" w:hAnsi="宋体" w:cs="Calibri"/>
          <w:sz w:val="22"/>
        </w:rPr>
        <w:t>3.2.11</w:t>
      </w:r>
      <w:r>
        <w:rPr>
          <w:rFonts w:hint="eastAsia" w:ascii="宋体" w:hAnsi="宋体" w:cs="Arial"/>
          <w:sz w:val="22"/>
        </w:rPr>
        <w:t>投标人认为</w:t>
      </w:r>
      <w:r>
        <w:rPr>
          <w:rFonts w:ascii="宋体" w:hAnsi="宋体" w:cs="Arial"/>
          <w:sz w:val="22"/>
        </w:rPr>
        <w:t>应该提供的其他材料</w:t>
      </w:r>
      <w:r>
        <w:rPr>
          <w:rFonts w:hint="eastAsia" w:ascii="宋体" w:hAnsi="宋体" w:cs="Arial"/>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3.3 投标报价</w:t>
      </w:r>
      <w:bookmarkEnd w:id="60"/>
    </w:p>
    <w:p>
      <w:pPr>
        <w:adjustRightInd w:val="0"/>
        <w:snapToGrid w:val="0"/>
        <w:spacing w:line="360" w:lineRule="exact"/>
        <w:ind w:firstLine="440"/>
        <w:rPr>
          <w:rFonts w:ascii="宋体" w:hAnsi="宋体" w:cs="Calibri"/>
          <w:sz w:val="22"/>
        </w:rPr>
      </w:pPr>
      <w:bookmarkStart w:id="61" w:name="_Toc13307"/>
      <w:r>
        <w:rPr>
          <w:rFonts w:ascii="宋体" w:hAnsi="宋体" w:cs="Calibri"/>
          <w:sz w:val="22"/>
        </w:rPr>
        <w:t>3.3.1</w:t>
      </w:r>
      <w:r>
        <w:rPr>
          <w:rFonts w:hint="eastAsia" w:ascii="宋体" w:hAnsi="宋体" w:cs="宋体"/>
          <w:sz w:val="22"/>
        </w:rPr>
        <w:t>投标人递交的投标函及投标报价表中的投标总价必须一致。</w:t>
      </w:r>
      <w:r>
        <w:rPr>
          <w:rFonts w:ascii="宋体" w:hAnsi="宋体" w:cs="Calibri"/>
          <w:sz w:val="22"/>
        </w:rPr>
        <w:t>投标人对该项目只允许有一个总报价，招标人不接受任何有选择的报价及修正报价；</w:t>
      </w:r>
    </w:p>
    <w:p>
      <w:pPr>
        <w:adjustRightInd w:val="0"/>
        <w:snapToGrid w:val="0"/>
        <w:spacing w:line="360" w:lineRule="exact"/>
        <w:ind w:firstLine="440"/>
        <w:rPr>
          <w:rFonts w:ascii="宋体" w:hAnsi="宋体" w:cs="宋体"/>
          <w:bCs/>
          <w:sz w:val="22"/>
        </w:rPr>
      </w:pPr>
      <w:r>
        <w:rPr>
          <w:rFonts w:ascii="宋体" w:hAnsi="宋体" w:cs="Calibri"/>
          <w:sz w:val="22"/>
        </w:rPr>
        <w:t>3.3.</w:t>
      </w:r>
      <w:r>
        <w:rPr>
          <w:rFonts w:hint="eastAsia" w:ascii="宋体" w:hAnsi="宋体" w:cs="Calibri"/>
          <w:sz w:val="22"/>
        </w:rPr>
        <w:t>2</w:t>
      </w:r>
      <w:r>
        <w:rPr>
          <w:rFonts w:hint="eastAsia" w:ascii="宋体" w:hAnsi="宋体" w:cs="宋体"/>
          <w:sz w:val="22"/>
        </w:rPr>
        <w:t>投标人所报投标总价应为投标人为完成本项目所发生的一切费用（包含并不限于货物</w:t>
      </w:r>
      <w:r>
        <w:rPr>
          <w:rFonts w:ascii="宋体" w:hAnsi="宋体" w:cs="宋体"/>
          <w:sz w:val="22"/>
        </w:rPr>
        <w:t>的</w:t>
      </w:r>
      <w:r>
        <w:rPr>
          <w:rFonts w:hint="eastAsia" w:ascii="宋体" w:hAnsi="宋体" w:cs="宋体"/>
          <w:sz w:val="22"/>
        </w:rPr>
        <w:t>供货、运输（包括送至招标人指定地点卸车）、包装费、保险费、税费、验收、技术培训及售后服务等）</w:t>
      </w:r>
      <w:r>
        <w:rPr>
          <w:rFonts w:ascii="宋体" w:hAnsi="宋体" w:cs="宋体"/>
          <w:sz w:val="22"/>
        </w:rPr>
        <w:t>，包括</w:t>
      </w:r>
      <w:r>
        <w:rPr>
          <w:rFonts w:hint="eastAsia" w:ascii="宋体" w:hAnsi="宋体" w:cs="宋体"/>
          <w:sz w:val="22"/>
        </w:rPr>
        <w:t>货物供货</w:t>
      </w:r>
      <w:r>
        <w:rPr>
          <w:rFonts w:ascii="宋体" w:hAnsi="宋体" w:cs="宋体"/>
          <w:sz w:val="22"/>
        </w:rPr>
        <w:t>及相关服务等全过程产生的所有成本和费用以及一切税费</w:t>
      </w:r>
      <w:r>
        <w:rPr>
          <w:rFonts w:ascii="宋体" w:hAnsi="宋体" w:cs="Calibri"/>
          <w:sz w:val="22"/>
        </w:rPr>
        <w:t>；</w:t>
      </w:r>
      <w:r>
        <w:rPr>
          <w:rFonts w:ascii="宋体" w:hAnsi="宋体" w:cs="宋体"/>
          <w:bCs/>
          <w:sz w:val="22"/>
        </w:rPr>
        <w:t xml:space="preserve"> </w:t>
      </w:r>
    </w:p>
    <w:p>
      <w:pPr>
        <w:adjustRightInd w:val="0"/>
        <w:snapToGrid w:val="0"/>
        <w:spacing w:line="360" w:lineRule="exact"/>
        <w:ind w:firstLine="440"/>
        <w:rPr>
          <w:rFonts w:ascii="宋体" w:hAnsi="宋体" w:cs="宋体"/>
          <w:sz w:val="22"/>
        </w:rPr>
      </w:pPr>
      <w:r>
        <w:rPr>
          <w:rFonts w:ascii="宋体" w:hAnsi="宋体" w:cs="Calibri"/>
          <w:sz w:val="22"/>
        </w:rPr>
        <w:t>3.3.</w:t>
      </w:r>
      <w:r>
        <w:rPr>
          <w:rFonts w:hint="eastAsia" w:ascii="宋体" w:hAnsi="宋体" w:cs="Calibri"/>
          <w:sz w:val="22"/>
        </w:rPr>
        <w:t>3</w:t>
      </w:r>
      <w:r>
        <w:rPr>
          <w:rFonts w:hint="eastAsia" w:ascii="宋体" w:hAnsi="宋体" w:cs="宋体"/>
          <w:sz w:val="22"/>
        </w:rPr>
        <w:t>投标人应按“投标报价表”的要求报价，在投标报价表上写明拟提供货物的单价和总价；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4</w:t>
      </w:r>
      <w:r>
        <w:rPr>
          <w:rFonts w:hint="eastAsia" w:ascii="宋体" w:hAnsi="宋体" w:cs="宋体"/>
          <w:sz w:val="22"/>
        </w:rPr>
        <w:t>如果投标人认为为圆满完成本项目还有其他需要单独计价的配合工作，则应列明具体的细目和金额。所有与本项目有关的未列入“投标报价表”的工作内容，均被认为已经包含在其他细目及投标总价中。</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5投标人(如中标)在投标文件中提供的货物清单和报价将是签订合同的唯一依据，其报价在本次投标有效期内不能发生改变（</w:t>
      </w:r>
      <w:r>
        <w:rPr>
          <w:rFonts w:hint="eastAsia" w:ascii="宋体" w:hAnsi="宋体" w:cs="宋体"/>
          <w:sz w:val="22"/>
        </w:rPr>
        <w:t>招标人变更除外）</w:t>
      </w:r>
      <w:r>
        <w:rPr>
          <w:rFonts w:hint="eastAsia" w:ascii="宋体" w:hAnsi="宋体" w:cs="Calibri"/>
          <w:sz w:val="22"/>
        </w:rPr>
        <w:t>。如有改变，招标人将拒绝与其签订合同。</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6投标人对每种货物只允许有一个报价。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7招标人不接受任何折扣优惠报价，不接受任何赠送和选择性报价。</w:t>
      </w:r>
    </w:p>
    <w:p>
      <w:pPr>
        <w:adjustRightInd w:val="0"/>
        <w:snapToGrid w:val="0"/>
        <w:spacing w:line="360" w:lineRule="exact"/>
        <w:ind w:firstLine="440"/>
        <w:rPr>
          <w:rFonts w:ascii="宋体" w:hAnsi="宋体" w:cs="Calibri"/>
          <w:sz w:val="22"/>
        </w:rPr>
      </w:pPr>
      <w:r>
        <w:rPr>
          <w:rFonts w:ascii="宋体" w:hAnsi="宋体" w:cs="Calibri"/>
          <w:sz w:val="22"/>
        </w:rPr>
        <w:t>3.3.</w:t>
      </w:r>
      <w:r>
        <w:rPr>
          <w:rFonts w:hint="eastAsia" w:ascii="宋体" w:hAnsi="宋体" w:cs="Calibri"/>
          <w:sz w:val="22"/>
        </w:rPr>
        <w:t>8所有根据合同或其它原因应由投标人支付的税款和其它应交纳的费用都要包括在投标人提交的投标价格中。</w:t>
      </w:r>
    </w:p>
    <w:p>
      <w:pPr>
        <w:adjustRightInd w:val="0"/>
        <w:snapToGrid w:val="0"/>
        <w:spacing w:line="360" w:lineRule="exact"/>
        <w:ind w:firstLine="440"/>
        <w:rPr>
          <w:rFonts w:ascii="宋体" w:hAnsi="宋体" w:cs="Calibri"/>
          <w:sz w:val="22"/>
        </w:rPr>
      </w:pPr>
      <w:r>
        <w:rPr>
          <w:rFonts w:hint="eastAsia" w:ascii="宋体" w:hAnsi="宋体" w:cs="Calibri"/>
          <w:sz w:val="22"/>
        </w:rPr>
        <w:t>3.3.9其它须在报价中考虑的因素：</w:t>
      </w:r>
    </w:p>
    <w:p>
      <w:pPr>
        <w:adjustRightInd w:val="0"/>
        <w:snapToGrid w:val="0"/>
        <w:spacing w:line="360" w:lineRule="exact"/>
        <w:ind w:firstLine="440"/>
        <w:rPr>
          <w:rFonts w:ascii="宋体" w:hAnsi="宋体" w:cs="Calibri"/>
          <w:sz w:val="22"/>
        </w:rPr>
      </w:pPr>
      <w:r>
        <w:rPr>
          <w:rFonts w:hint="eastAsia" w:ascii="宋体" w:hAnsi="宋体" w:cs="Calibri"/>
          <w:sz w:val="22"/>
        </w:rPr>
        <w:t>（1）本项目在安装期间，应注意保护好招标人现有成品，如有损坏，须无条件修复至招标人满意，各投标人须自行考虑相关费用并计入投标总价且一次性包干。</w:t>
      </w:r>
    </w:p>
    <w:p>
      <w:pPr>
        <w:adjustRightInd w:val="0"/>
        <w:snapToGrid w:val="0"/>
        <w:spacing w:line="360" w:lineRule="exact"/>
        <w:ind w:firstLine="440"/>
        <w:rPr>
          <w:rFonts w:ascii="宋体" w:hAnsi="宋体" w:cs="Calibri"/>
          <w:sz w:val="22"/>
        </w:rPr>
      </w:pPr>
      <w:r>
        <w:rPr>
          <w:rFonts w:hint="eastAsia" w:ascii="宋体" w:hAnsi="宋体" w:cs="Calibri"/>
          <w:sz w:val="22"/>
        </w:rPr>
        <w:t>（2）交付验收前产品的保护费由投标人自行考虑并计入总价。</w:t>
      </w:r>
    </w:p>
    <w:p>
      <w:pPr>
        <w:adjustRightInd w:val="0"/>
        <w:snapToGrid w:val="0"/>
        <w:spacing w:line="360" w:lineRule="exact"/>
        <w:ind w:firstLine="440"/>
        <w:rPr>
          <w:rFonts w:ascii="宋体" w:hAnsi="宋体" w:cs="Calibri"/>
          <w:sz w:val="22"/>
        </w:rPr>
      </w:pPr>
      <w:r>
        <w:rPr>
          <w:rFonts w:hint="eastAsia" w:ascii="宋体" w:hAnsi="宋体" w:cs="Calibri"/>
          <w:sz w:val="22"/>
        </w:rPr>
        <w:t>（3）投标人安装过程中需自行负责现场人员生命、财产安全，自行解决与现场人员的劳务关系纠纷，可能产生的费用计入投标总价。</w:t>
      </w:r>
    </w:p>
    <w:p>
      <w:pPr>
        <w:adjustRightInd w:val="0"/>
        <w:snapToGrid w:val="0"/>
        <w:spacing w:line="360" w:lineRule="exact"/>
        <w:ind w:firstLine="440"/>
        <w:rPr>
          <w:rFonts w:ascii="宋体" w:hAnsi="宋体" w:cs="Calibri"/>
          <w:sz w:val="22"/>
        </w:rPr>
      </w:pPr>
      <w:r>
        <w:rPr>
          <w:rFonts w:hint="eastAsia" w:ascii="宋体" w:hAnsi="宋体" w:cs="Calibri"/>
          <w:sz w:val="22"/>
        </w:rPr>
        <w:t>3.3.10</w:t>
      </w:r>
      <w:r>
        <w:rPr>
          <w:rFonts w:hint="eastAsia" w:cs="Calibri"/>
          <w:b/>
          <w:color w:val="000000"/>
          <w:kern w:val="0"/>
          <w:sz w:val="22"/>
          <w:u w:val="single"/>
        </w:rPr>
        <w:t>投标报价如有漏项，风险由投标人承担，即在评标时，按照最不利原则予以修正，但在签订合同时，认为这些漏项或者缺项已包含在投标报价的其他部分中，不再单独计价，也不因此增加合同价格</w:t>
      </w:r>
      <w:r>
        <w:rPr>
          <w:rFonts w:cs="Calibri"/>
          <w:b/>
          <w:color w:val="000000"/>
          <w:kern w:val="0"/>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3.4 投标有效期</w:t>
      </w:r>
      <w:bookmarkEnd w:id="61"/>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3.4.1在投标人须知前附表规定的投标有效期内，投标人不得要求撤销和修改其投标文件。</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3.4.2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pPr>
        <w:autoSpaceDE w:val="0"/>
        <w:autoSpaceDN w:val="0"/>
        <w:adjustRightInd w:val="0"/>
        <w:snapToGrid w:val="0"/>
        <w:spacing w:line="360" w:lineRule="exact"/>
        <w:rPr>
          <w:rFonts w:ascii="宋体" w:hAnsi="宋体" w:cs="Calibri"/>
          <w:b/>
          <w:bCs/>
          <w:kern w:val="0"/>
          <w:sz w:val="22"/>
        </w:rPr>
      </w:pPr>
      <w:bookmarkStart w:id="62" w:name="_Toc30464"/>
      <w:r>
        <w:rPr>
          <w:rFonts w:ascii="宋体" w:hAnsi="宋体" w:cs="Calibri"/>
          <w:b/>
          <w:bCs/>
          <w:kern w:val="0"/>
          <w:sz w:val="22"/>
        </w:rPr>
        <w:t>3.5 投标保证金</w:t>
      </w:r>
      <w:bookmarkEnd w:id="62"/>
      <w:r>
        <w:rPr>
          <w:rFonts w:ascii="宋体" w:hAnsi="宋体" w:cs="Calibri"/>
          <w:b/>
          <w:bCs/>
          <w:kern w:val="0"/>
          <w:sz w:val="22"/>
        </w:rPr>
        <w:t>（如有）</w:t>
      </w:r>
    </w:p>
    <w:p>
      <w:pPr>
        <w:adjustRightInd w:val="0"/>
        <w:snapToGrid w:val="0"/>
        <w:spacing w:line="360" w:lineRule="exact"/>
        <w:ind w:firstLine="440"/>
        <w:rPr>
          <w:rFonts w:ascii="宋体" w:hAnsi="宋体" w:cs="Calibri"/>
          <w:kern w:val="0"/>
          <w:sz w:val="22"/>
        </w:rPr>
      </w:pPr>
      <w:bookmarkStart w:id="63" w:name="_Toc29989"/>
      <w:r>
        <w:rPr>
          <w:rFonts w:ascii="宋体" w:hAnsi="宋体" w:cs="Calibri"/>
          <w:kern w:val="0"/>
          <w:sz w:val="22"/>
        </w:rPr>
        <w:t>3.5.1投标人在递交投标文件的同时，应按投标人须知前附表规定的金额、担保形式和第</w:t>
      </w:r>
      <w:r>
        <w:rPr>
          <w:rFonts w:hint="eastAsia" w:ascii="宋体" w:hAnsi="宋体" w:cs="Calibri"/>
          <w:kern w:val="0"/>
          <w:sz w:val="22"/>
        </w:rPr>
        <w:t>六</w:t>
      </w:r>
      <w:r>
        <w:rPr>
          <w:rFonts w:ascii="宋体" w:hAnsi="宋体" w:cs="Calibri"/>
          <w:kern w:val="0"/>
          <w:sz w:val="22"/>
        </w:rPr>
        <w:t>章</w:t>
      </w:r>
      <w:r>
        <w:rPr>
          <w:rFonts w:ascii="宋体" w:hAnsi="宋体" w:cs="Calibri"/>
          <w:sz w:val="22"/>
        </w:rPr>
        <w:t>“投标文件格式”</w:t>
      </w:r>
      <w:r>
        <w:rPr>
          <w:rFonts w:ascii="宋体" w:hAnsi="宋体" w:cs="Calibri"/>
          <w:kern w:val="0"/>
          <w:sz w:val="22"/>
        </w:rPr>
        <w:t>规定的投标保证金格式递交投标保证金，并作为其投标文件的组成部分。否则，视为投标人自动放弃投标资格。</w:t>
      </w:r>
    </w:p>
    <w:p>
      <w:pPr>
        <w:adjustRightInd w:val="0"/>
        <w:snapToGrid w:val="0"/>
        <w:spacing w:line="360" w:lineRule="exact"/>
        <w:ind w:firstLine="440"/>
        <w:rPr>
          <w:rFonts w:ascii="宋体" w:hAnsi="宋体" w:cs="Calibri"/>
          <w:kern w:val="0"/>
          <w:sz w:val="22"/>
        </w:rPr>
      </w:pPr>
      <w:r>
        <w:rPr>
          <w:rFonts w:ascii="宋体" w:hAnsi="宋体" w:cs="Calibri"/>
          <w:kern w:val="0"/>
          <w:sz w:val="22"/>
        </w:rPr>
        <w:t>3.5.2</w:t>
      </w:r>
      <w:r>
        <w:rPr>
          <w:rFonts w:hint="eastAsia" w:ascii="宋体" w:hAnsi="宋体" w:cs="Calibri"/>
          <w:kern w:val="0"/>
          <w:sz w:val="22"/>
        </w:rPr>
        <w:t>中标人的投标保证金，将在与招标人签订合同后</w:t>
      </w:r>
      <w:r>
        <w:rPr>
          <w:rFonts w:ascii="宋体" w:hAnsi="宋体" w:cs="Calibri"/>
          <w:kern w:val="0"/>
          <w:sz w:val="22"/>
        </w:rPr>
        <w:t>5</w:t>
      </w:r>
      <w:r>
        <w:rPr>
          <w:rFonts w:hint="eastAsia" w:ascii="宋体" w:hAnsi="宋体" w:cs="Calibri"/>
          <w:kern w:val="0"/>
          <w:sz w:val="22"/>
        </w:rPr>
        <w:t>日内无息退还（以银行转账方式）；未中标的投标保证金，将在中标公示结束后15个工作日后无息退还（以银行转账形式）。办理退保证金手续时需向招标人提供投标人开具的投标保证金收据，并同时提供书面的退款账户详细信息（包含所投标段名称、户名、开户行、账号），快递方式送达投标地址。</w:t>
      </w:r>
    </w:p>
    <w:p>
      <w:pPr>
        <w:adjustRightInd w:val="0"/>
        <w:snapToGrid w:val="0"/>
        <w:spacing w:line="360" w:lineRule="exact"/>
        <w:ind w:firstLine="440"/>
        <w:rPr>
          <w:rFonts w:ascii="宋体" w:hAnsi="宋体" w:cs="Calibri"/>
          <w:kern w:val="0"/>
          <w:sz w:val="22"/>
        </w:rPr>
      </w:pPr>
      <w:r>
        <w:rPr>
          <w:rFonts w:ascii="宋体" w:hAnsi="宋体" w:cs="Calibri"/>
          <w:kern w:val="0"/>
          <w:sz w:val="22"/>
        </w:rPr>
        <w:t>3.5.3投标人如有下列情形之一的，投标保证金将不予退还：</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（1）投标人在规定的投标有效期内撤销或修改其投标文件；</w:t>
      </w:r>
    </w:p>
    <w:p>
      <w:pPr>
        <w:adjustRightInd w:val="0"/>
        <w:snapToGrid w:val="0"/>
        <w:spacing w:line="360" w:lineRule="exact"/>
        <w:ind w:firstLine="440"/>
        <w:rPr>
          <w:rFonts w:ascii="宋体" w:hAnsi="宋体" w:cs="Calibri"/>
          <w:sz w:val="22"/>
        </w:rPr>
      </w:pPr>
      <w:r>
        <w:rPr>
          <w:rFonts w:ascii="宋体" w:hAnsi="宋体" w:cs="Calibri"/>
          <w:kern w:val="0"/>
          <w:sz w:val="22"/>
        </w:rPr>
        <w:t>（2）中标人在收到中标通知书后，</w:t>
      </w:r>
      <w:r>
        <w:rPr>
          <w:rFonts w:ascii="宋体" w:hAnsi="宋体" w:cs="Calibri"/>
          <w:sz w:val="22"/>
        </w:rPr>
        <w:t>无正当理由拒签合同协议书或未按招标文件规定提交履约担保，或因投标人在投标文件中未如实填报或隐瞒不报投标人的行贿犯罪记录导致取消中标资格的；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3.6 投标文件的编制</w:t>
      </w:r>
      <w:bookmarkEnd w:id="63"/>
    </w:p>
    <w:p>
      <w:pPr>
        <w:adjustRightInd w:val="0"/>
        <w:snapToGrid w:val="0"/>
        <w:spacing w:line="360" w:lineRule="exact"/>
        <w:ind w:firstLine="440" w:firstLineChars="200"/>
        <w:rPr>
          <w:rFonts w:ascii="宋体" w:hAnsi="宋体" w:cs="Calibri"/>
          <w:sz w:val="22"/>
        </w:rPr>
      </w:pPr>
      <w:r>
        <w:rPr>
          <w:rFonts w:ascii="宋体" w:hAnsi="宋体" w:cs="Calibri"/>
          <w:sz w:val="22"/>
        </w:rPr>
        <w:t>3.6.1 投标文件应按本须知第3.2款规定的内容和第</w:t>
      </w:r>
      <w:r>
        <w:rPr>
          <w:rFonts w:hint="eastAsia" w:ascii="宋体" w:hAnsi="宋体" w:cs="Calibri"/>
          <w:sz w:val="22"/>
        </w:rPr>
        <w:t>六</w:t>
      </w:r>
      <w:r>
        <w:rPr>
          <w:rFonts w:ascii="宋体" w:hAnsi="宋体" w:cs="Calibri"/>
          <w:sz w:val="22"/>
        </w:rPr>
        <w:t>章“投标文件格式”进行编写，如有必要，可以增加附页，作为投标文件的组成部分，“投标文件格式”中没有规定的可自行编制格式。其中，</w:t>
      </w:r>
      <w:r>
        <w:rPr>
          <w:rFonts w:hint="eastAsia" w:ascii="宋体" w:hAnsi="宋体" w:cs="Calibri"/>
          <w:sz w:val="22"/>
        </w:rPr>
        <w:t>服务期</w:t>
      </w:r>
      <w:r>
        <w:rPr>
          <w:rFonts w:ascii="宋体" w:hAnsi="宋体" w:cs="Calibri"/>
          <w:sz w:val="22"/>
        </w:rPr>
        <w:t>在满足招标文件实质性要求的基础上，可以提出比招标文件要求更有利于招标人的承诺。</w:t>
      </w:r>
    </w:p>
    <w:p>
      <w:pPr>
        <w:adjustRightInd w:val="0"/>
        <w:snapToGrid w:val="0"/>
        <w:spacing w:line="360" w:lineRule="exact"/>
        <w:ind w:firstLine="440" w:firstLineChars="200"/>
        <w:rPr>
          <w:rFonts w:ascii="宋体" w:hAnsi="宋体" w:cs="Calibri"/>
          <w:kern w:val="0"/>
          <w:sz w:val="22"/>
        </w:rPr>
      </w:pPr>
      <w:r>
        <w:rPr>
          <w:rFonts w:ascii="宋体" w:hAnsi="宋体" w:cs="Calibri"/>
          <w:sz w:val="22"/>
        </w:rPr>
        <w:t xml:space="preserve">3.6.2 </w:t>
      </w:r>
      <w:r>
        <w:rPr>
          <w:rFonts w:ascii="宋体" w:hAnsi="宋体" w:cs="Calibri"/>
          <w:kern w:val="0"/>
          <w:sz w:val="22"/>
        </w:rPr>
        <w:t>投标文件应对招标文件有关</w:t>
      </w:r>
      <w:r>
        <w:rPr>
          <w:rFonts w:hint="eastAsia" w:ascii="宋体" w:hAnsi="宋体" w:cs="Calibri"/>
          <w:kern w:val="0"/>
          <w:sz w:val="22"/>
        </w:rPr>
        <w:t>服务</w:t>
      </w:r>
      <w:r>
        <w:rPr>
          <w:rFonts w:ascii="宋体" w:hAnsi="宋体" w:cs="Calibri"/>
          <w:kern w:val="0"/>
          <w:sz w:val="22"/>
        </w:rPr>
        <w:t>期、投标有效期、招标</w:t>
      </w:r>
      <w:r>
        <w:rPr>
          <w:rFonts w:hint="eastAsia" w:ascii="宋体" w:hAnsi="宋体" w:cs="Calibri"/>
          <w:kern w:val="0"/>
          <w:sz w:val="22"/>
        </w:rPr>
        <w:t>内容</w:t>
      </w:r>
      <w:r>
        <w:rPr>
          <w:rFonts w:ascii="宋体" w:hAnsi="宋体" w:cs="Calibri"/>
          <w:kern w:val="0"/>
          <w:sz w:val="22"/>
        </w:rPr>
        <w:t>等实质性内容作出响应。</w:t>
      </w:r>
    </w:p>
    <w:p>
      <w:pPr>
        <w:adjustRightInd w:val="0"/>
        <w:snapToGrid w:val="0"/>
        <w:spacing w:line="360" w:lineRule="exact"/>
        <w:ind w:firstLine="440" w:firstLineChars="200"/>
        <w:rPr>
          <w:rFonts w:ascii="宋体" w:hAnsi="宋体" w:cs="Calibri"/>
          <w:sz w:val="22"/>
        </w:rPr>
      </w:pPr>
      <w:r>
        <w:rPr>
          <w:rFonts w:ascii="宋体" w:hAnsi="宋体" w:cs="Calibri"/>
          <w:sz w:val="22"/>
        </w:rPr>
        <w:t>3.6.3 投标文件应用不褪色的材料书写、打印或复印，并由投标人的法定代表人或其委托代理人签字或盖章。委托代理人签字的，投标文件应附法定代表人签署的授权委托书。投标文件应尽量避免涂改、行间插字或删除。如果出现上述情况，改动之处应加盖单位章或由投标人的法定代表人签字或其委托代理人签字。</w:t>
      </w:r>
      <w:r>
        <w:rPr>
          <w:rFonts w:ascii="宋体" w:hAnsi="宋体" w:cs="Calibri"/>
          <w:kern w:val="0"/>
          <w:sz w:val="22"/>
        </w:rPr>
        <w:t>签字或盖章的具体要求见投标人须知前附表。</w:t>
      </w:r>
    </w:p>
    <w:p>
      <w:pPr>
        <w:adjustRightInd w:val="0"/>
        <w:snapToGrid w:val="0"/>
        <w:spacing w:line="360" w:lineRule="exact"/>
        <w:ind w:firstLine="440" w:firstLineChars="200"/>
        <w:rPr>
          <w:rFonts w:ascii="宋体" w:hAnsi="宋体" w:cs="Calibri"/>
          <w:sz w:val="22"/>
        </w:rPr>
      </w:pPr>
      <w:r>
        <w:rPr>
          <w:rFonts w:ascii="宋体" w:hAnsi="宋体" w:cs="Calibri"/>
          <w:sz w:val="22"/>
        </w:rPr>
        <w:t>3.6.4投标文件正本一份， 副本份数见投标人须知前附表。正本、副本的封面上应清楚地标记</w:t>
      </w:r>
      <w:r>
        <w:rPr>
          <w:rFonts w:ascii="宋体" w:hAnsi="宋体" w:cs="Calibri"/>
          <w:b/>
          <w:bCs/>
          <w:sz w:val="22"/>
        </w:rPr>
        <w:t>“正本</w:t>
      </w:r>
      <w:r>
        <w:rPr>
          <w:rFonts w:ascii="宋体" w:hAnsi="宋体" w:cs="Calibri"/>
          <w:sz w:val="22"/>
        </w:rPr>
        <w:t>”或“</w:t>
      </w:r>
      <w:r>
        <w:rPr>
          <w:rFonts w:ascii="宋体" w:hAnsi="宋体" w:cs="Calibri"/>
          <w:b/>
          <w:bCs/>
          <w:sz w:val="22"/>
        </w:rPr>
        <w:t>副本</w:t>
      </w:r>
      <w:r>
        <w:rPr>
          <w:rFonts w:ascii="宋体" w:hAnsi="宋体" w:cs="Calibri"/>
          <w:sz w:val="22"/>
        </w:rPr>
        <w:t>”的字样。当副本和正本不一致时，以正本为准。</w:t>
      </w:r>
    </w:p>
    <w:p>
      <w:pPr>
        <w:adjustRightInd w:val="0"/>
        <w:snapToGrid w:val="0"/>
        <w:spacing w:line="360" w:lineRule="exact"/>
        <w:ind w:firstLine="440" w:firstLineChars="200"/>
        <w:rPr>
          <w:rFonts w:ascii="宋体" w:hAnsi="宋体" w:cs="Calibri"/>
          <w:sz w:val="22"/>
        </w:rPr>
      </w:pPr>
      <w:r>
        <w:rPr>
          <w:rFonts w:ascii="宋体" w:hAnsi="宋体" w:cs="Calibri"/>
          <w:sz w:val="22"/>
        </w:rPr>
        <w:t>3.6.5投标文件的正本与副本应分别按A4规格装订成册，具体装订要求见投标人须知前附表规定。</w:t>
      </w:r>
      <w:bookmarkStart w:id="64" w:name="_Toc143421659"/>
    </w:p>
    <w:p>
      <w:pPr>
        <w:autoSpaceDE w:val="0"/>
        <w:autoSpaceDN w:val="0"/>
        <w:adjustRightInd w:val="0"/>
        <w:snapToGrid w:val="0"/>
        <w:spacing w:line="360" w:lineRule="exact"/>
        <w:rPr>
          <w:rFonts w:ascii="宋体" w:hAnsi="宋体" w:cs="Calibri"/>
          <w:b/>
          <w:bCs/>
          <w:kern w:val="0"/>
          <w:sz w:val="22"/>
        </w:rPr>
      </w:pPr>
      <w:bookmarkStart w:id="65" w:name="_Toc32652"/>
      <w:r>
        <w:rPr>
          <w:rFonts w:ascii="宋体" w:hAnsi="宋体" w:cs="Calibri"/>
          <w:b/>
          <w:bCs/>
          <w:kern w:val="0"/>
          <w:sz w:val="22"/>
        </w:rPr>
        <w:t>4.投标</w:t>
      </w:r>
      <w:bookmarkEnd w:id="64"/>
      <w:bookmarkEnd w:id="65"/>
    </w:p>
    <w:p>
      <w:pPr>
        <w:autoSpaceDE w:val="0"/>
        <w:autoSpaceDN w:val="0"/>
        <w:adjustRightInd w:val="0"/>
        <w:snapToGrid w:val="0"/>
        <w:spacing w:line="360" w:lineRule="exact"/>
        <w:rPr>
          <w:rFonts w:ascii="宋体" w:hAnsi="宋体" w:cs="Calibri"/>
          <w:b/>
          <w:bCs/>
          <w:kern w:val="0"/>
          <w:sz w:val="22"/>
        </w:rPr>
      </w:pPr>
      <w:bookmarkStart w:id="66" w:name="_Toc649"/>
      <w:r>
        <w:rPr>
          <w:rFonts w:ascii="宋体" w:hAnsi="宋体" w:cs="Calibri"/>
          <w:b/>
          <w:bCs/>
          <w:kern w:val="0"/>
          <w:sz w:val="22"/>
        </w:rPr>
        <w:t>4.1 投标文件的密封和标识</w:t>
      </w:r>
      <w:bookmarkEnd w:id="66"/>
    </w:p>
    <w:p>
      <w:pPr>
        <w:adjustRightInd w:val="0"/>
        <w:snapToGrid w:val="0"/>
        <w:spacing w:line="360" w:lineRule="exact"/>
        <w:ind w:firstLine="440" w:firstLineChars="200"/>
        <w:rPr>
          <w:rFonts w:ascii="宋体" w:hAnsi="宋体" w:cs="Calibri"/>
          <w:kern w:val="0"/>
          <w:sz w:val="22"/>
        </w:rPr>
      </w:pPr>
      <w:r>
        <w:rPr>
          <w:rFonts w:ascii="宋体" w:hAnsi="宋体" w:cs="Calibri"/>
          <w:sz w:val="22"/>
        </w:rPr>
        <w:t>4.1.1</w:t>
      </w:r>
      <w:r>
        <w:rPr>
          <w:rFonts w:ascii="宋体" w:hAnsi="宋体" w:cs="Calibri"/>
          <w:kern w:val="0"/>
          <w:sz w:val="22"/>
        </w:rPr>
        <w:t>投标文件的正本、副本可一同</w:t>
      </w:r>
      <w:r>
        <w:rPr>
          <w:rFonts w:hint="eastAsia" w:ascii="宋体" w:hAnsi="宋体" w:cs="Calibri"/>
          <w:kern w:val="0"/>
          <w:sz w:val="22"/>
        </w:rPr>
        <w:t>密封</w:t>
      </w:r>
      <w:r>
        <w:rPr>
          <w:rFonts w:ascii="宋体" w:hAnsi="宋体" w:cs="Calibri"/>
          <w:kern w:val="0"/>
          <w:sz w:val="22"/>
        </w:rPr>
        <w:t>包装，并在封口处加盖投标人单位章或法定代表人盖章（或签字）或委托代理人盖章（或签字）。</w:t>
      </w:r>
    </w:p>
    <w:p>
      <w:pPr>
        <w:adjustRightInd w:val="0"/>
        <w:snapToGrid w:val="0"/>
        <w:spacing w:line="360" w:lineRule="exact"/>
        <w:ind w:firstLine="440" w:firstLineChars="200"/>
        <w:rPr>
          <w:rFonts w:ascii="宋体" w:hAnsi="宋体" w:cs="Calibri"/>
          <w:sz w:val="22"/>
        </w:rPr>
      </w:pPr>
      <w:r>
        <w:rPr>
          <w:rFonts w:ascii="宋体" w:hAnsi="宋体" w:cs="Calibri"/>
          <w:sz w:val="22"/>
        </w:rPr>
        <w:t>4.1.2 投标文件的封套上应清楚地标记“投标文件”字样，封套上应写明的其他内容见投标人须知前附表。</w:t>
      </w:r>
    </w:p>
    <w:p>
      <w:pPr>
        <w:adjustRightInd w:val="0"/>
        <w:snapToGrid w:val="0"/>
        <w:spacing w:line="360" w:lineRule="exact"/>
        <w:ind w:firstLine="440" w:firstLineChars="200"/>
        <w:rPr>
          <w:rFonts w:ascii="宋体" w:hAnsi="宋体" w:cs="Calibri"/>
          <w:sz w:val="22"/>
        </w:rPr>
      </w:pPr>
      <w:r>
        <w:rPr>
          <w:rFonts w:ascii="宋体" w:hAnsi="宋体" w:cs="Calibri"/>
          <w:sz w:val="22"/>
        </w:rPr>
        <w:t>4.1.3 未按本章第4.1.1项或第4.1.2项要求密封和加写标记的投标文件，招标人不予受理。</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4.1.</w:t>
      </w:r>
      <w:r>
        <w:rPr>
          <w:rFonts w:hint="eastAsia" w:ascii="宋体" w:hAnsi="宋体" w:cs="Calibri"/>
          <w:kern w:val="0"/>
          <w:sz w:val="22"/>
        </w:rPr>
        <w:t>4</w:t>
      </w:r>
      <w:r>
        <w:rPr>
          <w:rFonts w:ascii="宋体" w:hAnsi="宋体" w:cs="Calibri"/>
          <w:sz w:val="22"/>
        </w:rPr>
        <w:t>如果包封上没有按上述规定密封并加以标记，招标人将不承担投标文件错放或提前开封的责任。</w:t>
      </w:r>
    </w:p>
    <w:p>
      <w:pPr>
        <w:autoSpaceDE w:val="0"/>
        <w:autoSpaceDN w:val="0"/>
        <w:adjustRightInd w:val="0"/>
        <w:snapToGrid w:val="0"/>
        <w:spacing w:line="360" w:lineRule="exact"/>
        <w:rPr>
          <w:rFonts w:ascii="宋体" w:hAnsi="宋体" w:cs="Calibri"/>
          <w:b/>
          <w:bCs/>
          <w:kern w:val="0"/>
          <w:sz w:val="22"/>
        </w:rPr>
      </w:pPr>
      <w:bookmarkStart w:id="67" w:name="_Toc16616"/>
      <w:r>
        <w:rPr>
          <w:rFonts w:ascii="宋体" w:hAnsi="宋体" w:cs="Calibri"/>
          <w:b/>
          <w:bCs/>
          <w:kern w:val="0"/>
          <w:sz w:val="22"/>
        </w:rPr>
        <w:t xml:space="preserve">4.2 投标文件的递交 </w:t>
      </w:r>
      <w:bookmarkEnd w:id="67"/>
    </w:p>
    <w:p>
      <w:pPr>
        <w:autoSpaceDE w:val="0"/>
        <w:autoSpaceDN w:val="0"/>
        <w:adjustRightInd w:val="0"/>
        <w:snapToGrid w:val="0"/>
        <w:spacing w:line="360" w:lineRule="exact"/>
        <w:ind w:firstLine="440" w:firstLineChars="200"/>
        <w:rPr>
          <w:rFonts w:ascii="宋体" w:hAnsi="宋体" w:cs="Calibri"/>
          <w:b/>
          <w:bCs/>
          <w:kern w:val="0"/>
          <w:sz w:val="22"/>
        </w:rPr>
      </w:pPr>
      <w:r>
        <w:rPr>
          <w:rFonts w:ascii="宋体" w:hAnsi="宋体" w:cs="Calibri"/>
          <w:b/>
          <w:bCs/>
          <w:kern w:val="0"/>
          <w:sz w:val="22"/>
        </w:rPr>
        <w:t>4.2.1投标人应在本须知前附表规定的投标截止时间前递交投标文件。</w:t>
      </w:r>
    </w:p>
    <w:p>
      <w:pPr>
        <w:adjustRightInd w:val="0"/>
        <w:snapToGrid w:val="0"/>
        <w:spacing w:line="360" w:lineRule="exact"/>
        <w:ind w:firstLine="440" w:firstLineChars="200"/>
        <w:rPr>
          <w:rFonts w:ascii="宋体" w:hAnsi="宋体" w:cs="Calibri"/>
          <w:sz w:val="22"/>
        </w:rPr>
      </w:pPr>
      <w:r>
        <w:rPr>
          <w:rFonts w:ascii="宋体" w:hAnsi="宋体" w:cs="Calibri"/>
          <w:sz w:val="22"/>
        </w:rPr>
        <w:t>4.2.2投标人送达投标文件的地点：见投标人须知前附表。</w:t>
      </w:r>
    </w:p>
    <w:p>
      <w:pPr>
        <w:adjustRightInd w:val="0"/>
        <w:snapToGrid w:val="0"/>
        <w:spacing w:line="360" w:lineRule="exact"/>
        <w:ind w:firstLine="440" w:firstLineChars="200"/>
        <w:rPr>
          <w:rFonts w:ascii="宋体" w:hAnsi="宋体" w:cs="Calibri"/>
          <w:sz w:val="22"/>
        </w:rPr>
      </w:pPr>
      <w:r>
        <w:rPr>
          <w:rFonts w:ascii="宋体" w:hAnsi="宋体" w:cs="Calibri"/>
          <w:sz w:val="22"/>
        </w:rPr>
        <w:t>4.2.3除投标人须知前附表另有规定外，投标人所递交的投标文件不予退还。</w:t>
      </w:r>
    </w:p>
    <w:p>
      <w:pPr>
        <w:adjustRightInd w:val="0"/>
        <w:snapToGrid w:val="0"/>
        <w:spacing w:line="360" w:lineRule="exact"/>
        <w:ind w:firstLine="440" w:firstLineChars="200"/>
        <w:rPr>
          <w:rFonts w:ascii="宋体" w:hAnsi="宋体" w:cs="Calibri"/>
          <w:sz w:val="22"/>
        </w:rPr>
      </w:pPr>
      <w:r>
        <w:rPr>
          <w:rFonts w:ascii="宋体" w:hAnsi="宋体" w:cs="Calibri"/>
          <w:sz w:val="22"/>
        </w:rPr>
        <w:t>4.2.</w:t>
      </w:r>
      <w:r>
        <w:rPr>
          <w:rFonts w:hint="eastAsia" w:ascii="宋体" w:hAnsi="宋体" w:cs="Calibri"/>
          <w:sz w:val="22"/>
        </w:rPr>
        <w:t>4</w:t>
      </w:r>
      <w:r>
        <w:rPr>
          <w:rFonts w:ascii="宋体" w:hAnsi="宋体" w:cs="Calibri"/>
          <w:sz w:val="22"/>
        </w:rPr>
        <w:t>逾期送达的或者未送达指定地点的投标文件，招标人不予受理。</w:t>
      </w:r>
    </w:p>
    <w:p>
      <w:pPr>
        <w:autoSpaceDE w:val="0"/>
        <w:autoSpaceDN w:val="0"/>
        <w:adjustRightInd w:val="0"/>
        <w:snapToGrid w:val="0"/>
        <w:spacing w:line="360" w:lineRule="exact"/>
        <w:rPr>
          <w:rFonts w:ascii="宋体" w:hAnsi="宋体" w:cs="Calibri"/>
          <w:b/>
          <w:bCs/>
          <w:kern w:val="0"/>
          <w:sz w:val="22"/>
        </w:rPr>
      </w:pPr>
      <w:bookmarkStart w:id="68" w:name="_Toc26099"/>
      <w:r>
        <w:rPr>
          <w:rFonts w:ascii="宋体" w:hAnsi="宋体" w:cs="Calibri"/>
          <w:b/>
          <w:bCs/>
          <w:kern w:val="0"/>
          <w:sz w:val="22"/>
        </w:rPr>
        <w:t>4.3 投标文件的修改和撤回</w:t>
      </w:r>
      <w:bookmarkEnd w:id="68"/>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4.3.1在规定的投标截止时间前，投标人可以修改或撤回已递交的投标文件，但应以书面形式通知招标人。</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4.3.2投标人修改或撤回已递交投标文件的书面通知应按照规定的要求签字。招标人收到书面通知后，向投标人出具签收凭证。</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4.3.3修改的内容为投标文件的组成部分。修改的投标文件应按照本须知3、4规定进行编制、密封、标识和递交，并标明“修改”字样。</w:t>
      </w:r>
    </w:p>
    <w:p>
      <w:pPr>
        <w:autoSpaceDE w:val="0"/>
        <w:autoSpaceDN w:val="0"/>
        <w:adjustRightInd w:val="0"/>
        <w:snapToGrid w:val="0"/>
        <w:spacing w:line="360" w:lineRule="exact"/>
        <w:rPr>
          <w:rFonts w:ascii="宋体" w:hAnsi="宋体" w:cs="Calibri"/>
          <w:b/>
          <w:bCs/>
          <w:kern w:val="0"/>
          <w:sz w:val="22"/>
        </w:rPr>
      </w:pPr>
      <w:bookmarkStart w:id="69" w:name="_Toc29641"/>
      <w:r>
        <w:rPr>
          <w:rFonts w:ascii="宋体" w:hAnsi="宋体" w:cs="Calibri"/>
          <w:b/>
          <w:bCs/>
          <w:kern w:val="0"/>
          <w:sz w:val="22"/>
        </w:rPr>
        <w:t>5.开标</w:t>
      </w:r>
      <w:bookmarkEnd w:id="69"/>
    </w:p>
    <w:p>
      <w:pPr>
        <w:autoSpaceDE w:val="0"/>
        <w:autoSpaceDN w:val="0"/>
        <w:adjustRightInd w:val="0"/>
        <w:snapToGrid w:val="0"/>
        <w:spacing w:line="360" w:lineRule="exact"/>
        <w:rPr>
          <w:rFonts w:ascii="宋体" w:hAnsi="宋体" w:cs="Calibri"/>
          <w:b/>
          <w:bCs/>
          <w:kern w:val="0"/>
          <w:sz w:val="22"/>
        </w:rPr>
      </w:pPr>
      <w:bookmarkStart w:id="70" w:name="_Toc15123"/>
      <w:r>
        <w:rPr>
          <w:rFonts w:ascii="宋体" w:hAnsi="宋体" w:cs="Calibri"/>
          <w:b/>
          <w:bCs/>
          <w:kern w:val="0"/>
          <w:sz w:val="22"/>
        </w:rPr>
        <w:t>5.1 开标时间和地点</w:t>
      </w:r>
      <w:bookmarkEnd w:id="70"/>
    </w:p>
    <w:p>
      <w:pPr>
        <w:adjustRightInd w:val="0"/>
        <w:snapToGrid w:val="0"/>
        <w:spacing w:line="360" w:lineRule="exact"/>
        <w:ind w:firstLine="440" w:firstLineChars="200"/>
        <w:rPr>
          <w:rFonts w:ascii="宋体" w:hAnsi="宋体" w:cs="Calibri"/>
          <w:sz w:val="22"/>
        </w:rPr>
      </w:pPr>
      <w:r>
        <w:rPr>
          <w:rFonts w:ascii="宋体" w:hAnsi="宋体" w:cs="Calibri"/>
          <w:sz w:val="22"/>
        </w:rPr>
        <w:t>5.1.1招标人在投标人须知规定的投标截止时间（开标时间）和地点公开开标，并邀请所有投标人的法定代表人或其委托代理人准时参加</w:t>
      </w:r>
      <w:r>
        <w:rPr>
          <w:rFonts w:hint="eastAsia" w:ascii="宋体" w:hAnsi="宋体" w:cs="Calibri"/>
          <w:sz w:val="22"/>
        </w:rPr>
        <w:t>，参加开标的代表应签名报到以证明其出席，未参加开标的投标人视作默认开标结果。</w:t>
      </w:r>
    </w:p>
    <w:p>
      <w:pPr>
        <w:adjustRightInd w:val="0"/>
        <w:snapToGrid w:val="0"/>
        <w:spacing w:line="360" w:lineRule="exact"/>
        <w:ind w:firstLine="440" w:firstLineChars="200"/>
        <w:rPr>
          <w:rFonts w:ascii="宋体" w:hAnsi="宋体" w:cs="Calibri"/>
          <w:sz w:val="22"/>
        </w:rPr>
      </w:pPr>
      <w:r>
        <w:rPr>
          <w:rFonts w:ascii="宋体" w:hAnsi="宋体" w:cs="Calibri"/>
          <w:sz w:val="22"/>
        </w:rPr>
        <w:t>5.1.2投标人在投标时应随身携带下列资料提交招标人</w:t>
      </w:r>
    </w:p>
    <w:p>
      <w:pPr>
        <w:adjustRightInd w:val="0"/>
        <w:snapToGrid w:val="0"/>
        <w:spacing w:line="360" w:lineRule="exact"/>
        <w:ind w:firstLine="440" w:firstLineChars="200"/>
        <w:rPr>
          <w:rFonts w:ascii="宋体" w:hAnsi="宋体" w:cs="Calibri"/>
          <w:sz w:val="22"/>
        </w:rPr>
      </w:pPr>
      <w:bookmarkStart w:id="71" w:name="_Toc7101"/>
      <w:r>
        <w:rPr>
          <w:rFonts w:ascii="宋体" w:hAnsi="宋体" w:cs="Calibri"/>
          <w:sz w:val="22"/>
        </w:rPr>
        <w:t>（1）委托代理人的身份证、法定代表人授权委托书</w:t>
      </w:r>
      <w:r>
        <w:rPr>
          <w:rFonts w:hint="eastAsia" w:ascii="宋体" w:hAnsi="宋体" w:cs="Calibri"/>
          <w:sz w:val="22"/>
        </w:rPr>
        <w:t>（装订在投标文件内亦可）</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（2）投标保证金收执证明或汇款凭证或银行回单</w:t>
      </w:r>
      <w:r>
        <w:rPr>
          <w:rFonts w:hint="eastAsia" w:ascii="宋体" w:hAnsi="宋体" w:cs="Calibri"/>
          <w:sz w:val="22"/>
        </w:rPr>
        <w:t>（装订在投标文件内亦可）</w:t>
      </w:r>
      <w:r>
        <w:rPr>
          <w:rFonts w:ascii="宋体" w:hAnsi="宋体" w:cs="Calibri"/>
          <w:sz w:val="22"/>
        </w:rPr>
        <w:t>。</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5.2 开标程序</w:t>
      </w:r>
      <w:bookmarkEnd w:id="71"/>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主持人按下列程序进行开标：</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（1）宣布开标纪律；</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（2）公布在投标截止时间前递交投标文件的投标人名称，并点名确认投标人是否派人到场；</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（3）宣布开标人、唱标人、记录人、监标人等有关人员姓名；</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（4）按照投标人须知前附表规定检查投标文件的密封情况；</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（5）按照投标人须知前附表的规定确定并宣布投标文件开标顺序；</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（6）</w:t>
      </w:r>
      <w:r>
        <w:rPr>
          <w:rFonts w:ascii="宋体" w:hAnsi="宋体" w:cs="Calibri"/>
          <w:sz w:val="22"/>
        </w:rPr>
        <w:t>按照宣布的开标顺序当众开标，公布投标人名称、投标保证金的递交情况、投标报价、</w:t>
      </w:r>
      <w:r>
        <w:rPr>
          <w:rFonts w:hint="eastAsia" w:ascii="宋体" w:hAnsi="宋体" w:cs="Calibri"/>
          <w:sz w:val="22"/>
        </w:rPr>
        <w:t>服务期</w:t>
      </w:r>
      <w:r>
        <w:rPr>
          <w:rFonts w:ascii="宋体" w:hAnsi="宋体" w:cs="Calibri"/>
          <w:sz w:val="22"/>
        </w:rPr>
        <w:t>及其他内容，并记录在案；</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（7）投标人代表、招标人代表、监标人、记录人等有关人员在开标记录上签字确认；</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（8）开标结束。</w:t>
      </w:r>
    </w:p>
    <w:p>
      <w:pPr>
        <w:autoSpaceDE w:val="0"/>
        <w:autoSpaceDN w:val="0"/>
        <w:adjustRightInd w:val="0"/>
        <w:snapToGrid w:val="0"/>
        <w:spacing w:line="360" w:lineRule="exact"/>
        <w:rPr>
          <w:rFonts w:ascii="宋体" w:hAnsi="宋体" w:cs="Calibri"/>
          <w:b/>
          <w:bCs/>
          <w:kern w:val="0"/>
          <w:sz w:val="22"/>
        </w:rPr>
      </w:pPr>
      <w:bookmarkStart w:id="72" w:name="_Toc31578"/>
      <w:r>
        <w:rPr>
          <w:rFonts w:ascii="宋体" w:hAnsi="宋体" w:cs="Calibri"/>
          <w:b/>
          <w:bCs/>
          <w:kern w:val="0"/>
          <w:sz w:val="22"/>
        </w:rPr>
        <w:t>6.评标</w:t>
      </w:r>
      <w:bookmarkEnd w:id="72"/>
    </w:p>
    <w:p>
      <w:pPr>
        <w:autoSpaceDE w:val="0"/>
        <w:autoSpaceDN w:val="0"/>
        <w:adjustRightInd w:val="0"/>
        <w:snapToGrid w:val="0"/>
        <w:spacing w:line="360" w:lineRule="exact"/>
        <w:rPr>
          <w:rFonts w:ascii="宋体" w:hAnsi="宋体" w:cs="Calibri"/>
          <w:b/>
          <w:bCs/>
          <w:kern w:val="0"/>
          <w:sz w:val="22"/>
        </w:rPr>
      </w:pPr>
      <w:bookmarkStart w:id="73" w:name="_Toc10279"/>
      <w:r>
        <w:rPr>
          <w:rFonts w:ascii="宋体" w:hAnsi="宋体" w:cs="Calibri"/>
          <w:b/>
          <w:bCs/>
          <w:kern w:val="0"/>
          <w:sz w:val="22"/>
        </w:rPr>
        <w:t>6.1 评标委员会</w:t>
      </w:r>
      <w:bookmarkEnd w:id="73"/>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6.1.1评标由招标人依法组建的评标委员会负责。评标委员会成员人数以及技术、经济等方面专家的确定方式见投标人须知前附表。</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6.1.2评标委员会成员有下列情形之一的，应当回避：</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（1）招标人或投标人的主要负责人的近亲属；</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（2）项目主管部门或者行政监督部门的人员；</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（3）与投标人有经济利益关系，可能影响对投标公正评审的；</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rPr>
          <w:rFonts w:ascii="宋体" w:hAnsi="宋体" w:cs="Calibri"/>
          <w:b/>
          <w:bCs/>
          <w:kern w:val="0"/>
          <w:sz w:val="22"/>
        </w:rPr>
      </w:pPr>
      <w:bookmarkStart w:id="74" w:name="_Toc3460"/>
      <w:r>
        <w:rPr>
          <w:rFonts w:ascii="宋体" w:hAnsi="宋体" w:cs="Calibri"/>
          <w:b/>
          <w:bCs/>
          <w:kern w:val="0"/>
          <w:sz w:val="22"/>
        </w:rPr>
        <w:t>6.2 评标原则</w:t>
      </w:r>
      <w:bookmarkEnd w:id="74"/>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评标活动遵循公平、公正、科学和择优的原则。</w:t>
      </w:r>
    </w:p>
    <w:p>
      <w:pPr>
        <w:autoSpaceDE w:val="0"/>
        <w:autoSpaceDN w:val="0"/>
        <w:adjustRightInd w:val="0"/>
        <w:snapToGrid w:val="0"/>
        <w:spacing w:line="360" w:lineRule="exact"/>
        <w:rPr>
          <w:rFonts w:ascii="宋体" w:hAnsi="宋体" w:cs="Calibri"/>
          <w:b/>
          <w:bCs/>
          <w:kern w:val="0"/>
          <w:sz w:val="22"/>
        </w:rPr>
      </w:pPr>
      <w:bookmarkStart w:id="75" w:name="_Toc28178"/>
      <w:r>
        <w:rPr>
          <w:rFonts w:ascii="宋体" w:hAnsi="宋体" w:cs="Calibri"/>
          <w:b/>
          <w:bCs/>
          <w:kern w:val="0"/>
          <w:sz w:val="22"/>
        </w:rPr>
        <w:t>6.3 评标</w:t>
      </w:r>
      <w:bookmarkEnd w:id="75"/>
    </w:p>
    <w:p>
      <w:pPr>
        <w:adjustRightInd w:val="0"/>
        <w:snapToGrid w:val="0"/>
        <w:spacing w:line="360" w:lineRule="exact"/>
        <w:ind w:firstLine="440" w:firstLineChars="200"/>
        <w:rPr>
          <w:rFonts w:ascii="宋体" w:hAnsi="宋体" w:cs="Calibri"/>
          <w:kern w:val="0"/>
          <w:sz w:val="22"/>
        </w:rPr>
      </w:pPr>
      <w:r>
        <w:rPr>
          <w:rFonts w:ascii="宋体" w:hAnsi="宋体" w:cs="Calibri"/>
          <w:b/>
          <w:kern w:val="0"/>
          <w:sz w:val="22"/>
        </w:rPr>
        <w:t>评标委员会按照第</w:t>
      </w:r>
      <w:r>
        <w:rPr>
          <w:rFonts w:hint="eastAsia" w:ascii="宋体" w:hAnsi="宋体" w:cs="Calibri"/>
          <w:b/>
          <w:kern w:val="0"/>
          <w:sz w:val="22"/>
        </w:rPr>
        <w:t>五</w:t>
      </w:r>
      <w:r>
        <w:rPr>
          <w:rFonts w:ascii="宋体" w:hAnsi="宋体" w:cs="Calibri"/>
          <w:b/>
          <w:kern w:val="0"/>
          <w:sz w:val="22"/>
        </w:rPr>
        <w:t>章“评标方法及标准”对投标文件进行评审。</w:t>
      </w:r>
      <w:r>
        <w:rPr>
          <w:rFonts w:ascii="宋体" w:hAnsi="宋体" w:cs="Calibri"/>
          <w:kern w:val="0"/>
          <w:sz w:val="22"/>
        </w:rPr>
        <w:t>第</w:t>
      </w:r>
      <w:r>
        <w:rPr>
          <w:rFonts w:hint="eastAsia" w:ascii="宋体" w:hAnsi="宋体" w:cs="Calibri"/>
          <w:kern w:val="0"/>
          <w:sz w:val="22"/>
        </w:rPr>
        <w:t>五</w:t>
      </w:r>
      <w:r>
        <w:rPr>
          <w:rFonts w:ascii="宋体" w:hAnsi="宋体" w:cs="Calibri"/>
          <w:kern w:val="0"/>
          <w:sz w:val="22"/>
        </w:rPr>
        <w:t>章“评标方法及标准”没有规定的方法、评审因素和标准，不作为评标依据。</w:t>
      </w:r>
    </w:p>
    <w:p>
      <w:pPr>
        <w:autoSpaceDE w:val="0"/>
        <w:autoSpaceDN w:val="0"/>
        <w:adjustRightInd w:val="0"/>
        <w:snapToGrid w:val="0"/>
        <w:spacing w:line="360" w:lineRule="exact"/>
        <w:rPr>
          <w:rFonts w:ascii="宋体" w:hAnsi="宋体" w:cs="Calibri"/>
          <w:b/>
          <w:bCs/>
          <w:kern w:val="0"/>
          <w:sz w:val="22"/>
        </w:rPr>
      </w:pPr>
      <w:bookmarkStart w:id="76" w:name="_Toc24237"/>
      <w:r>
        <w:rPr>
          <w:rFonts w:ascii="宋体" w:hAnsi="宋体" w:cs="Calibri"/>
          <w:b/>
          <w:bCs/>
          <w:kern w:val="0"/>
          <w:sz w:val="22"/>
        </w:rPr>
        <w:t>7.合同授予</w:t>
      </w:r>
      <w:bookmarkEnd w:id="76"/>
    </w:p>
    <w:p>
      <w:pPr>
        <w:autoSpaceDE w:val="0"/>
        <w:autoSpaceDN w:val="0"/>
        <w:adjustRightInd w:val="0"/>
        <w:snapToGrid w:val="0"/>
        <w:spacing w:line="360" w:lineRule="exact"/>
        <w:rPr>
          <w:rFonts w:ascii="宋体" w:hAnsi="宋体" w:cs="Calibri"/>
          <w:b/>
          <w:bCs/>
          <w:kern w:val="0"/>
          <w:sz w:val="22"/>
        </w:rPr>
      </w:pPr>
      <w:bookmarkStart w:id="77" w:name="_Toc18809"/>
      <w:r>
        <w:rPr>
          <w:rFonts w:ascii="宋体" w:hAnsi="宋体" w:cs="Calibri"/>
          <w:b/>
          <w:bCs/>
          <w:kern w:val="0"/>
          <w:sz w:val="22"/>
        </w:rPr>
        <w:t>7.1 定标方式</w:t>
      </w:r>
      <w:bookmarkEnd w:id="77"/>
    </w:p>
    <w:p>
      <w:pPr>
        <w:adjustRightInd w:val="0"/>
        <w:snapToGrid w:val="0"/>
        <w:spacing w:line="360" w:lineRule="exact"/>
        <w:ind w:firstLine="440" w:firstLineChars="200"/>
        <w:rPr>
          <w:rFonts w:ascii="宋体" w:hAnsi="宋体" w:cs="Calibri"/>
          <w:sz w:val="22"/>
        </w:rPr>
      </w:pPr>
      <w:r>
        <w:rPr>
          <w:rFonts w:ascii="宋体" w:hAnsi="宋体" w:cs="Calibri"/>
          <w:sz w:val="22"/>
        </w:rPr>
        <w:t>除投标人须知前附表规定评标委员会直接确定中标人外，招标人依据评标委员会推荐的中标候选人确定中标人，评标委员会推荐中标候选人的人数见投标人须知前附表。</w:t>
      </w:r>
      <w:r>
        <w:rPr>
          <w:rFonts w:hint="eastAsia" w:ascii="宋体" w:hAnsi="宋体" w:cs="Calibri"/>
          <w:sz w:val="22"/>
        </w:rPr>
        <w:t>招标人对评标、定标结果不负责解释。</w:t>
      </w:r>
    </w:p>
    <w:p>
      <w:pPr>
        <w:autoSpaceDE w:val="0"/>
        <w:autoSpaceDN w:val="0"/>
        <w:adjustRightInd w:val="0"/>
        <w:snapToGrid w:val="0"/>
        <w:spacing w:line="360" w:lineRule="exact"/>
        <w:rPr>
          <w:rFonts w:ascii="宋体" w:hAnsi="宋体" w:cs="Calibri"/>
          <w:b/>
          <w:bCs/>
          <w:kern w:val="0"/>
          <w:sz w:val="22"/>
        </w:rPr>
      </w:pPr>
      <w:bookmarkStart w:id="78" w:name="_Toc14573"/>
      <w:r>
        <w:rPr>
          <w:rFonts w:ascii="宋体" w:hAnsi="宋体" w:cs="Calibri"/>
          <w:b/>
          <w:bCs/>
          <w:kern w:val="0"/>
          <w:sz w:val="22"/>
        </w:rPr>
        <w:t>7.2 中标通知</w:t>
      </w:r>
      <w:bookmarkEnd w:id="78"/>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在投标人须知第3.4款规定的投标有效期内，招标人以书面形式向中标人发出中标通知书。</w:t>
      </w:r>
    </w:p>
    <w:p>
      <w:pPr>
        <w:autoSpaceDE w:val="0"/>
        <w:autoSpaceDN w:val="0"/>
        <w:adjustRightInd w:val="0"/>
        <w:snapToGrid w:val="0"/>
        <w:spacing w:line="360" w:lineRule="exact"/>
        <w:rPr>
          <w:rFonts w:ascii="宋体" w:hAnsi="宋体" w:cs="Calibri"/>
          <w:b/>
          <w:bCs/>
          <w:kern w:val="0"/>
          <w:sz w:val="22"/>
        </w:rPr>
      </w:pPr>
      <w:bookmarkStart w:id="79" w:name="_Toc27132"/>
      <w:bookmarkStart w:id="80" w:name="_Toc27581"/>
      <w:r>
        <w:rPr>
          <w:rFonts w:ascii="宋体" w:hAnsi="宋体" w:cs="Calibri"/>
          <w:b/>
          <w:bCs/>
          <w:kern w:val="0"/>
          <w:sz w:val="22"/>
        </w:rPr>
        <w:t>7.3 履约</w:t>
      </w:r>
      <w:r>
        <w:rPr>
          <w:rFonts w:hint="eastAsia" w:ascii="宋体" w:hAnsi="宋体" w:cs="Calibri"/>
          <w:b/>
          <w:bCs/>
          <w:kern w:val="0"/>
          <w:sz w:val="22"/>
        </w:rPr>
        <w:t>保证金</w:t>
      </w:r>
      <w:bookmarkEnd w:id="79"/>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7.3.1在签订合同前，中标人应按投标人须知前附表规定的金额</w:t>
      </w:r>
      <w:r>
        <w:rPr>
          <w:rFonts w:hint="eastAsia" w:ascii="宋体" w:hAnsi="宋体" w:cs="Calibri"/>
          <w:kern w:val="0"/>
          <w:sz w:val="22"/>
        </w:rPr>
        <w:t>和</w:t>
      </w:r>
      <w:r>
        <w:rPr>
          <w:rFonts w:ascii="宋体" w:hAnsi="宋体" w:cs="Calibri"/>
          <w:kern w:val="0"/>
          <w:sz w:val="22"/>
        </w:rPr>
        <w:t>担保形式向招标人提交履约</w:t>
      </w:r>
      <w:r>
        <w:rPr>
          <w:rFonts w:hint="eastAsia" w:ascii="宋体" w:hAnsi="宋体" w:cs="Calibri"/>
          <w:kern w:val="0"/>
          <w:sz w:val="22"/>
        </w:rPr>
        <w:t>保证金</w:t>
      </w:r>
      <w:r>
        <w:rPr>
          <w:rFonts w:ascii="宋体" w:hAnsi="宋体" w:cs="Calibri"/>
          <w:kern w:val="0"/>
          <w:sz w:val="22"/>
        </w:rPr>
        <w:t>。</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7.3.2 中标人不能按本章第7.3.1项要求提交履约</w:t>
      </w:r>
      <w:r>
        <w:rPr>
          <w:rFonts w:hint="eastAsia" w:ascii="宋体" w:hAnsi="宋体" w:cs="Calibri"/>
          <w:kern w:val="0"/>
          <w:sz w:val="22"/>
        </w:rPr>
        <w:t>保证金</w:t>
      </w:r>
      <w:r>
        <w:rPr>
          <w:rFonts w:ascii="宋体" w:hAnsi="宋体" w:cs="Calibri"/>
          <w:kern w:val="0"/>
          <w:sz w:val="22"/>
        </w:rPr>
        <w:t>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7.4 签订合同</w:t>
      </w:r>
      <w:bookmarkEnd w:id="80"/>
    </w:p>
    <w:p>
      <w:pPr>
        <w:adjustRightInd w:val="0"/>
        <w:snapToGrid w:val="0"/>
        <w:spacing w:line="360" w:lineRule="exact"/>
        <w:ind w:firstLine="440" w:firstLineChars="200"/>
        <w:rPr>
          <w:rFonts w:ascii="宋体" w:hAnsi="宋体" w:cs="Calibri"/>
          <w:kern w:val="0"/>
          <w:sz w:val="22"/>
        </w:rPr>
      </w:pPr>
      <w:r>
        <w:rPr>
          <w:rFonts w:ascii="宋体" w:hAnsi="宋体" w:cs="Calibri"/>
          <w:sz w:val="22"/>
        </w:rPr>
        <w:t>7</w:t>
      </w:r>
      <w:bookmarkStart w:id="81" w:name="_Toc219809801"/>
      <w:bookmarkStart w:id="82" w:name="_Toc220123241"/>
      <w:bookmarkStart w:id="83" w:name="_Toc11806"/>
      <w:r>
        <w:rPr>
          <w:rFonts w:ascii="宋体" w:hAnsi="宋体" w:cs="Calibri"/>
          <w:kern w:val="0"/>
          <w:sz w:val="22"/>
        </w:rPr>
        <w:t>.4.1招标人和中标人应当自中标通知书发出之日起30个工作日内订立书面合同（合同条款按第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）。中标人无正当理由拒签协议的，招标人取消其中标资格，其投标保证金不予退还；给招标人造成的损失超过投标保证金数额的，中标人还应当对超过部分予以赔偿。</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7.4.2 发出中标通知书后，招标人无正当理由拒签合同的，招标人向中标人退还投标保证金；给中标人造成损失的，还应当赔偿损失。</w:t>
      </w:r>
    </w:p>
    <w:p>
      <w:pPr>
        <w:adjustRightInd w:val="0"/>
        <w:snapToGrid w:val="0"/>
        <w:spacing w:line="360" w:lineRule="exact"/>
        <w:ind w:firstLine="440" w:firstLineChars="200"/>
        <w:rPr>
          <w:rFonts w:cs="Calibri"/>
          <w:b/>
          <w:color w:val="000000"/>
          <w:kern w:val="0"/>
          <w:sz w:val="22"/>
        </w:rPr>
      </w:pPr>
      <w:r>
        <w:rPr>
          <w:rFonts w:hint="eastAsia" w:cs="Calibri"/>
          <w:color w:val="000000"/>
          <w:kern w:val="0"/>
          <w:sz w:val="22"/>
        </w:rPr>
        <w:t xml:space="preserve">7.4.3 </w:t>
      </w:r>
      <w:r>
        <w:rPr>
          <w:rFonts w:hint="eastAsia" w:cs="Calibri"/>
          <w:b/>
          <w:color w:val="000000"/>
          <w:kern w:val="0"/>
          <w:sz w:val="22"/>
        </w:rPr>
        <w:t>招标人在授予合同有权对本项目的服务内容等予以增加或者减少，中标人不得提出异议，否则招标人有权取消其中标资格。</w:t>
      </w:r>
    </w:p>
    <w:p>
      <w:pPr>
        <w:adjustRightInd w:val="0"/>
        <w:snapToGrid w:val="0"/>
        <w:spacing w:line="360" w:lineRule="exact"/>
        <w:ind w:firstLine="440"/>
        <w:rPr>
          <w:rFonts w:ascii="宋体" w:hAnsi="宋体" w:cs="Calibri"/>
          <w:kern w:val="0"/>
          <w:sz w:val="22"/>
        </w:rPr>
      </w:pPr>
      <w:r>
        <w:rPr>
          <w:rFonts w:hint="eastAsia" w:cs="Calibri"/>
          <w:color w:val="000000"/>
          <w:kern w:val="0"/>
          <w:sz w:val="22"/>
        </w:rPr>
        <w:t xml:space="preserve">7.4.4 </w:t>
      </w:r>
      <w:r>
        <w:rPr>
          <w:rFonts w:hint="eastAsia" w:cs="Calibri"/>
          <w:b/>
          <w:color w:val="000000"/>
          <w:kern w:val="0"/>
          <w:sz w:val="22"/>
        </w:rPr>
        <w:t>招标人在授予合同前的任何时候，仍保留接受或者拒绝任何投标和拒绝所有投标的权利。</w:t>
      </w:r>
    </w:p>
    <w:p>
      <w:pPr>
        <w:autoSpaceDE w:val="0"/>
        <w:autoSpaceDN w:val="0"/>
        <w:adjustRightInd w:val="0"/>
        <w:snapToGrid w:val="0"/>
        <w:spacing w:line="360" w:lineRule="exact"/>
        <w:rPr>
          <w:rFonts w:ascii="宋体" w:hAnsi="宋体" w:cs="Calibri"/>
          <w:b/>
          <w:bCs/>
          <w:kern w:val="0"/>
          <w:sz w:val="22"/>
        </w:rPr>
      </w:pPr>
      <w:r>
        <w:rPr>
          <w:rFonts w:ascii="宋体" w:hAnsi="宋体" w:cs="Calibri"/>
          <w:b/>
          <w:bCs/>
          <w:kern w:val="0"/>
          <w:sz w:val="22"/>
        </w:rPr>
        <w:t>8.重新招标和不再招标</w:t>
      </w:r>
      <w:bookmarkEnd w:id="81"/>
      <w:bookmarkEnd w:id="82"/>
      <w:bookmarkEnd w:id="83"/>
    </w:p>
    <w:p>
      <w:pPr>
        <w:autoSpaceDE w:val="0"/>
        <w:autoSpaceDN w:val="0"/>
        <w:adjustRightInd w:val="0"/>
        <w:snapToGrid w:val="0"/>
        <w:spacing w:line="360" w:lineRule="exact"/>
        <w:rPr>
          <w:rFonts w:ascii="宋体" w:hAnsi="宋体" w:cs="Calibri"/>
          <w:b/>
          <w:bCs/>
          <w:kern w:val="0"/>
          <w:sz w:val="22"/>
        </w:rPr>
      </w:pPr>
      <w:bookmarkStart w:id="84" w:name="_Toc219809802"/>
      <w:bookmarkStart w:id="85" w:name="_Toc220123242"/>
      <w:bookmarkStart w:id="86" w:name="_Toc15553"/>
      <w:r>
        <w:rPr>
          <w:rFonts w:ascii="宋体" w:hAnsi="宋体" w:cs="Calibri"/>
          <w:b/>
          <w:bCs/>
          <w:kern w:val="0"/>
          <w:sz w:val="22"/>
        </w:rPr>
        <w:t>8.1 重新招标</w:t>
      </w:r>
      <w:bookmarkEnd w:id="84"/>
      <w:bookmarkEnd w:id="85"/>
      <w:bookmarkEnd w:id="86"/>
    </w:p>
    <w:p>
      <w:pPr>
        <w:adjustRightInd w:val="0"/>
        <w:snapToGrid w:val="0"/>
        <w:spacing w:line="360" w:lineRule="exact"/>
        <w:ind w:firstLine="440" w:firstLineChars="20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firstLineChars="20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40" w:firstLineChars="200"/>
        <w:rPr>
          <w:rFonts w:ascii="宋体" w:hAnsi="宋体" w:cs="Calibri"/>
          <w:kern w:val="0"/>
          <w:sz w:val="22"/>
        </w:rPr>
      </w:pPr>
      <w:r>
        <w:rPr>
          <w:rFonts w:hint="eastAsia" w:ascii="宋体" w:hAnsi="宋体" w:cs="Calibri"/>
          <w:kern w:val="0"/>
          <w:sz w:val="22"/>
        </w:rPr>
        <w:t>（2）</w:t>
      </w:r>
      <w:r>
        <w:rPr>
          <w:rFonts w:hint="eastAsia" w:ascii="宋体" w:hAnsi="宋体"/>
          <w:b/>
          <w:bCs/>
          <w:sz w:val="22"/>
        </w:rPr>
        <w:t>所有投标人的报价均偏高，招标人无法接受的；</w:t>
      </w:r>
    </w:p>
    <w:p>
      <w:pPr>
        <w:adjustRightInd w:val="0"/>
        <w:snapToGrid w:val="0"/>
        <w:spacing w:line="360" w:lineRule="exact"/>
        <w:ind w:firstLine="440" w:firstLineChars="200"/>
        <w:rPr>
          <w:rFonts w:ascii="宋体" w:hAnsi="宋体" w:cs="Calibri"/>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utoSpaceDE w:val="0"/>
        <w:autoSpaceDN w:val="0"/>
        <w:adjustRightInd w:val="0"/>
        <w:snapToGrid w:val="0"/>
        <w:spacing w:line="360" w:lineRule="exact"/>
        <w:rPr>
          <w:rFonts w:ascii="宋体" w:hAnsi="宋体" w:cs="Calibri"/>
          <w:b/>
          <w:bCs/>
          <w:kern w:val="0"/>
          <w:sz w:val="22"/>
        </w:rPr>
      </w:pPr>
      <w:bookmarkStart w:id="87" w:name="_Toc219809803"/>
      <w:bookmarkStart w:id="88" w:name="_Toc220123243"/>
      <w:bookmarkStart w:id="89" w:name="_Toc18806"/>
      <w:r>
        <w:rPr>
          <w:rFonts w:ascii="宋体" w:hAnsi="宋体" w:cs="Calibri"/>
          <w:b/>
          <w:bCs/>
          <w:kern w:val="0"/>
          <w:sz w:val="22"/>
        </w:rPr>
        <w:t>8.2 不再招标</w:t>
      </w:r>
      <w:bookmarkEnd w:id="87"/>
      <w:bookmarkEnd w:id="88"/>
      <w:bookmarkEnd w:id="89"/>
    </w:p>
    <w:p>
      <w:pPr>
        <w:adjustRightInd w:val="0"/>
        <w:snapToGrid w:val="0"/>
        <w:spacing w:line="360" w:lineRule="exact"/>
        <w:ind w:firstLine="440" w:firstLineChars="200"/>
        <w:rPr>
          <w:rFonts w:ascii="宋体" w:hAnsi="宋体" w:cs="Calibri"/>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rPr>
          <w:rFonts w:ascii="宋体" w:hAnsi="宋体" w:cs="Calibri"/>
          <w:b/>
          <w:bCs/>
          <w:kern w:val="0"/>
          <w:sz w:val="22"/>
        </w:rPr>
      </w:pPr>
      <w:bookmarkStart w:id="90" w:name="_Toc215941254"/>
      <w:bookmarkStart w:id="91" w:name="_Toc219809804"/>
      <w:bookmarkStart w:id="92" w:name="_Toc220123244"/>
      <w:bookmarkStart w:id="93" w:name="_Toc2986"/>
      <w:r>
        <w:rPr>
          <w:rFonts w:ascii="宋体" w:hAnsi="宋体" w:cs="Calibri"/>
          <w:b/>
          <w:bCs/>
          <w:kern w:val="0"/>
          <w:sz w:val="22"/>
        </w:rPr>
        <w:t>9.纪律和监督</w:t>
      </w:r>
      <w:bookmarkEnd w:id="90"/>
      <w:bookmarkEnd w:id="91"/>
      <w:bookmarkEnd w:id="92"/>
      <w:bookmarkEnd w:id="93"/>
    </w:p>
    <w:p>
      <w:pPr>
        <w:autoSpaceDE w:val="0"/>
        <w:autoSpaceDN w:val="0"/>
        <w:adjustRightInd w:val="0"/>
        <w:snapToGrid w:val="0"/>
        <w:spacing w:line="360" w:lineRule="exact"/>
        <w:rPr>
          <w:rFonts w:ascii="宋体" w:hAnsi="宋体" w:cs="Calibri"/>
          <w:b/>
          <w:bCs/>
          <w:kern w:val="0"/>
          <w:sz w:val="22"/>
        </w:rPr>
      </w:pPr>
      <w:bookmarkStart w:id="94" w:name="_Toc219809805"/>
      <w:bookmarkStart w:id="95" w:name="_Toc220123245"/>
      <w:bookmarkStart w:id="96" w:name="_Toc5509"/>
      <w:r>
        <w:rPr>
          <w:rFonts w:ascii="宋体" w:hAnsi="宋体" w:cs="Calibri"/>
          <w:b/>
          <w:bCs/>
          <w:kern w:val="0"/>
          <w:sz w:val="22"/>
        </w:rPr>
        <w:t>9.1 对招标人的纪律要求</w:t>
      </w:r>
      <w:bookmarkEnd w:id="94"/>
      <w:bookmarkEnd w:id="95"/>
      <w:bookmarkEnd w:id="96"/>
    </w:p>
    <w:p>
      <w:pPr>
        <w:adjustRightInd w:val="0"/>
        <w:snapToGrid w:val="0"/>
        <w:spacing w:line="360" w:lineRule="exact"/>
        <w:ind w:firstLine="440" w:firstLineChars="200"/>
        <w:rPr>
          <w:rFonts w:ascii="宋体" w:hAnsi="宋体" w:cs="Calibri"/>
          <w:sz w:val="22"/>
        </w:rPr>
      </w:pPr>
      <w:r>
        <w:rPr>
          <w:rFonts w:ascii="宋体" w:hAnsi="宋体" w:cs="Calibri"/>
          <w:sz w:val="22"/>
        </w:rPr>
        <w:t>招标人不得泄漏招标投标活动中应当保密的情况和资料，不得与投标人串通损害国家利益、社会公共利益或者他人合法权益。</w:t>
      </w:r>
    </w:p>
    <w:p>
      <w:pPr>
        <w:autoSpaceDE w:val="0"/>
        <w:autoSpaceDN w:val="0"/>
        <w:adjustRightInd w:val="0"/>
        <w:snapToGrid w:val="0"/>
        <w:spacing w:line="360" w:lineRule="exact"/>
        <w:rPr>
          <w:rFonts w:ascii="宋体" w:hAnsi="宋体" w:cs="Calibri"/>
          <w:b/>
          <w:bCs/>
          <w:kern w:val="0"/>
          <w:sz w:val="22"/>
        </w:rPr>
      </w:pPr>
      <w:bookmarkStart w:id="97" w:name="_Toc219809806"/>
      <w:bookmarkStart w:id="98" w:name="_Toc220123246"/>
      <w:bookmarkStart w:id="99" w:name="_Toc10820"/>
      <w:r>
        <w:rPr>
          <w:rFonts w:ascii="宋体" w:hAnsi="宋体" w:cs="Calibri"/>
          <w:b/>
          <w:bCs/>
          <w:kern w:val="0"/>
          <w:sz w:val="22"/>
        </w:rPr>
        <w:t>9.2 对投标人的纪律要求</w:t>
      </w:r>
      <w:bookmarkEnd w:id="97"/>
      <w:bookmarkEnd w:id="98"/>
      <w:bookmarkEnd w:id="99"/>
    </w:p>
    <w:p>
      <w:pPr>
        <w:adjustRightInd w:val="0"/>
        <w:snapToGrid w:val="0"/>
        <w:spacing w:line="360" w:lineRule="exact"/>
        <w:ind w:firstLine="440" w:firstLineChars="200"/>
        <w:rPr>
          <w:rFonts w:ascii="宋体" w:hAnsi="宋体" w:cs="Calibri"/>
          <w:sz w:val="22"/>
        </w:rPr>
      </w:pPr>
      <w:r>
        <w:rPr>
          <w:rFonts w:ascii="宋体" w:hAnsi="宋体" w:cs="Calibri"/>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djustRightInd w:val="0"/>
        <w:snapToGrid w:val="0"/>
        <w:spacing w:line="360" w:lineRule="exact"/>
        <w:ind w:firstLine="440" w:firstLineChars="200"/>
        <w:rPr>
          <w:rFonts w:ascii="宋体" w:hAnsi="宋体" w:cs="Calibri"/>
          <w:b/>
          <w:sz w:val="22"/>
        </w:rPr>
      </w:pPr>
      <w:r>
        <w:rPr>
          <w:rFonts w:hint="eastAsia" w:ascii="宋体" w:hAnsi="宋体" w:cs="Calibri"/>
          <w:b/>
          <w:sz w:val="22"/>
        </w:rPr>
        <w:t>若投标人存在串通投标或弄虚作假或有其他违法行为的，招标人有权没收投标人的投标保证金，</w:t>
      </w:r>
      <w:r>
        <w:rPr>
          <w:rFonts w:ascii="宋体" w:hAnsi="宋体" w:cs="Calibri"/>
          <w:b/>
          <w:sz w:val="22"/>
        </w:rPr>
        <w:t>2年内禁止参与招标人所有招标项目的投标，给招标人造成损失的，还需承担赔偿责任。</w:t>
      </w:r>
    </w:p>
    <w:p>
      <w:pPr>
        <w:autoSpaceDE w:val="0"/>
        <w:autoSpaceDN w:val="0"/>
        <w:adjustRightInd w:val="0"/>
        <w:snapToGrid w:val="0"/>
        <w:spacing w:line="360" w:lineRule="exact"/>
        <w:rPr>
          <w:rFonts w:ascii="宋体" w:hAnsi="宋体" w:cs="Calibri"/>
          <w:b/>
          <w:bCs/>
          <w:kern w:val="0"/>
          <w:sz w:val="22"/>
        </w:rPr>
      </w:pPr>
      <w:bookmarkStart w:id="100" w:name="_Toc219809807"/>
      <w:bookmarkStart w:id="101" w:name="_Toc220123247"/>
      <w:bookmarkStart w:id="102" w:name="_Toc10756"/>
      <w:r>
        <w:rPr>
          <w:rFonts w:ascii="宋体" w:hAnsi="宋体" w:cs="Calibri"/>
          <w:b/>
          <w:bCs/>
          <w:kern w:val="0"/>
          <w:sz w:val="22"/>
        </w:rPr>
        <w:t>9.3 对评标委员会成员的纪律要求</w:t>
      </w:r>
      <w:bookmarkEnd w:id="100"/>
      <w:bookmarkEnd w:id="101"/>
      <w:bookmarkEnd w:id="102"/>
    </w:p>
    <w:p>
      <w:pPr>
        <w:adjustRightInd w:val="0"/>
        <w:snapToGrid w:val="0"/>
        <w:spacing w:line="360" w:lineRule="exact"/>
        <w:ind w:firstLine="440" w:firstLineChars="200"/>
        <w:rPr>
          <w:rFonts w:ascii="宋体" w:hAnsi="宋体" w:cs="Calibri"/>
          <w:sz w:val="22"/>
        </w:rPr>
      </w:pPr>
      <w:r>
        <w:rPr>
          <w:rFonts w:ascii="宋体" w:hAnsi="宋体" w:cs="Calibri"/>
          <w:sz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w:t>
      </w:r>
      <w:r>
        <w:rPr>
          <w:rFonts w:hint="eastAsia" w:ascii="宋体" w:hAnsi="宋体" w:cs="Calibri"/>
          <w:sz w:val="22"/>
        </w:rPr>
        <w:t>五</w:t>
      </w:r>
      <w:r>
        <w:rPr>
          <w:rFonts w:ascii="宋体" w:hAnsi="宋体" w:cs="Calibri"/>
          <w:sz w:val="22"/>
        </w:rPr>
        <w:t>章“评标办法及标准”没有规定的评审因素和标准进行评标。</w:t>
      </w:r>
    </w:p>
    <w:p>
      <w:pPr>
        <w:autoSpaceDE w:val="0"/>
        <w:autoSpaceDN w:val="0"/>
        <w:adjustRightInd w:val="0"/>
        <w:snapToGrid w:val="0"/>
        <w:spacing w:line="360" w:lineRule="exact"/>
        <w:rPr>
          <w:rFonts w:ascii="宋体" w:hAnsi="宋体" w:cs="Calibri"/>
          <w:b/>
          <w:bCs/>
          <w:kern w:val="0"/>
          <w:sz w:val="22"/>
        </w:rPr>
      </w:pPr>
      <w:bookmarkStart w:id="103" w:name="_Toc219809808"/>
      <w:bookmarkStart w:id="104" w:name="_Toc220123248"/>
      <w:bookmarkStart w:id="105" w:name="_Toc12792"/>
      <w:r>
        <w:rPr>
          <w:rFonts w:ascii="宋体" w:hAnsi="宋体" w:cs="Calibri"/>
          <w:b/>
          <w:bCs/>
          <w:kern w:val="0"/>
          <w:sz w:val="22"/>
        </w:rPr>
        <w:t>9.4 对评标活动有关的工作人员的纪律要求</w:t>
      </w:r>
      <w:bookmarkEnd w:id="103"/>
      <w:bookmarkEnd w:id="104"/>
      <w:bookmarkEnd w:id="105"/>
    </w:p>
    <w:p>
      <w:pPr>
        <w:adjustRightInd w:val="0"/>
        <w:snapToGrid w:val="0"/>
        <w:spacing w:line="360" w:lineRule="exact"/>
        <w:ind w:firstLine="440" w:firstLineChars="200"/>
        <w:rPr>
          <w:rFonts w:ascii="宋体" w:hAnsi="宋体" w:cs="Calibri"/>
          <w:sz w:val="22"/>
        </w:rPr>
      </w:pPr>
      <w:r>
        <w:rPr>
          <w:rFonts w:ascii="宋体" w:hAnsi="宋体" w:cs="Calibri"/>
          <w:sz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rPr>
          <w:rFonts w:ascii="宋体" w:hAnsi="宋体" w:cs="Calibri"/>
          <w:b/>
          <w:bCs/>
          <w:kern w:val="0"/>
          <w:sz w:val="22"/>
        </w:rPr>
      </w:pPr>
      <w:bookmarkStart w:id="106" w:name="_Toc219809809"/>
      <w:bookmarkStart w:id="107" w:name="_Toc220123249"/>
      <w:bookmarkStart w:id="108" w:name="_Toc239"/>
      <w:r>
        <w:rPr>
          <w:rFonts w:ascii="宋体" w:hAnsi="宋体" w:cs="Calibri"/>
          <w:b/>
          <w:bCs/>
          <w:kern w:val="0"/>
          <w:sz w:val="22"/>
        </w:rPr>
        <w:t>9.5 投诉</w:t>
      </w:r>
      <w:bookmarkEnd w:id="106"/>
      <w:bookmarkEnd w:id="107"/>
      <w:bookmarkEnd w:id="108"/>
    </w:p>
    <w:p>
      <w:pPr>
        <w:adjustRightInd w:val="0"/>
        <w:snapToGrid w:val="0"/>
        <w:spacing w:line="360" w:lineRule="exact"/>
        <w:ind w:firstLine="440" w:firstLineChars="200"/>
        <w:rPr>
          <w:rFonts w:ascii="宋体" w:hAnsi="宋体" w:cs="Calibri"/>
          <w:sz w:val="22"/>
        </w:rPr>
      </w:pPr>
      <w:r>
        <w:rPr>
          <w:rFonts w:ascii="宋体" w:hAnsi="宋体" w:cs="Calibri"/>
          <w:sz w:val="22"/>
        </w:rPr>
        <w:t>投标人和其他利害关系人认为本次招标活动违反法律、法规和规章规定的，有权向有关行政监督部门投诉。</w:t>
      </w:r>
    </w:p>
    <w:p>
      <w:pPr>
        <w:autoSpaceDE w:val="0"/>
        <w:autoSpaceDN w:val="0"/>
        <w:adjustRightInd w:val="0"/>
        <w:snapToGrid w:val="0"/>
        <w:spacing w:line="360" w:lineRule="exact"/>
        <w:rPr>
          <w:rFonts w:ascii="宋体" w:hAnsi="宋体" w:cs="Calibri"/>
          <w:b/>
          <w:bCs/>
          <w:kern w:val="0"/>
          <w:sz w:val="22"/>
        </w:rPr>
      </w:pPr>
      <w:bookmarkStart w:id="109" w:name="_Toc10817"/>
      <w:r>
        <w:rPr>
          <w:rFonts w:ascii="宋体" w:hAnsi="宋体" w:cs="Calibri"/>
          <w:b/>
          <w:bCs/>
          <w:kern w:val="0"/>
          <w:sz w:val="22"/>
        </w:rPr>
        <w:t>10. 需要补充的其他内容</w:t>
      </w:r>
      <w:bookmarkEnd w:id="109"/>
    </w:p>
    <w:p>
      <w:pPr>
        <w:autoSpaceDE w:val="0"/>
        <w:autoSpaceDN w:val="0"/>
        <w:adjustRightInd w:val="0"/>
        <w:snapToGrid w:val="0"/>
        <w:spacing w:line="360" w:lineRule="exact"/>
        <w:ind w:firstLine="440" w:firstLineChars="200"/>
        <w:jc w:val="left"/>
        <w:rPr>
          <w:rFonts w:ascii="宋体" w:hAnsi="宋体" w:cs="Calibri"/>
          <w:sz w:val="22"/>
        </w:rPr>
      </w:pPr>
      <w:r>
        <w:rPr>
          <w:rFonts w:ascii="宋体" w:hAnsi="宋体" w:cs="Calibri"/>
          <w:sz w:val="22"/>
        </w:rPr>
        <w:t>需要补充的其他内容：见投标人须知前附表。</w:t>
      </w:r>
    </w:p>
    <w:p>
      <w:pPr>
        <w:pStyle w:val="2"/>
        <w:snapToGrid w:val="0"/>
        <w:spacing w:before="0" w:after="0" w:line="360" w:lineRule="exact"/>
        <w:jc w:val="center"/>
        <w:rPr>
          <w:rFonts w:ascii="宋体" w:hAnsi="宋体"/>
          <w:sz w:val="22"/>
          <w:szCs w:val="22"/>
        </w:rPr>
        <w:sectPr>
          <w:footerReference r:id="rId6" w:type="first"/>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pPr>
    </w:p>
    <w:p>
      <w:pPr>
        <w:spacing w:line="440" w:lineRule="exact"/>
        <w:jc w:val="center"/>
        <w:rPr>
          <w:rFonts w:ascii="仿宋_GB2312" w:hAnsi="宋体" w:eastAsia="仿宋_GB2312"/>
          <w:b/>
          <w:sz w:val="28"/>
          <w:szCs w:val="28"/>
        </w:rPr>
      </w:pPr>
      <w:bookmarkStart w:id="110" w:name="_Toc223327527"/>
      <w:bookmarkStart w:id="111" w:name="_Toc213036227"/>
    </w:p>
    <w:p>
      <w:pPr>
        <w:pStyle w:val="2"/>
        <w:spacing w:before="0" w:after="0" w:line="360" w:lineRule="auto"/>
        <w:jc w:val="center"/>
        <w:rPr>
          <w:rFonts w:ascii="Calibri" w:hAnsi="Calibri" w:eastAsia="黑体" w:cs="Calibri"/>
          <w:kern w:val="0"/>
          <w:sz w:val="32"/>
        </w:rPr>
      </w:pPr>
      <w:bookmarkStart w:id="112" w:name="_Toc478453293"/>
      <w:r>
        <w:rPr>
          <w:rFonts w:ascii="Calibri" w:hAnsi="Calibri" w:eastAsia="黑体" w:cs="Calibri"/>
          <w:kern w:val="0"/>
          <w:sz w:val="32"/>
        </w:rPr>
        <w:t>第</w:t>
      </w:r>
      <w:r>
        <w:rPr>
          <w:rFonts w:hint="eastAsia" w:ascii="Calibri" w:hAnsi="Calibri" w:eastAsia="黑体" w:cs="Calibri"/>
          <w:kern w:val="0"/>
          <w:sz w:val="32"/>
        </w:rPr>
        <w:t>三</w:t>
      </w:r>
      <w:r>
        <w:rPr>
          <w:rFonts w:ascii="Calibri" w:hAnsi="Calibri" w:eastAsia="黑体" w:cs="Calibri"/>
          <w:kern w:val="0"/>
          <w:sz w:val="32"/>
        </w:rPr>
        <w:t xml:space="preserve">章  </w:t>
      </w:r>
      <w:bookmarkEnd w:id="110"/>
      <w:bookmarkEnd w:id="111"/>
      <w:bookmarkEnd w:id="112"/>
      <w:r>
        <w:rPr>
          <w:rFonts w:ascii="Calibri" w:hAnsi="Calibri" w:eastAsia="黑体" w:cs="Calibri"/>
          <w:kern w:val="0"/>
          <w:sz w:val="32"/>
        </w:rPr>
        <w:t>货物需求一览表及技术规格</w:t>
      </w:r>
    </w:p>
    <w:p>
      <w:pPr>
        <w:pStyle w:val="66"/>
        <w:spacing w:line="240" w:lineRule="auto"/>
        <w:ind w:firstLine="422"/>
        <w:rPr>
          <w:rFonts w:ascii="宋体" w:eastAsia="宋体"/>
          <w:sz w:val="21"/>
          <w:szCs w:val="21"/>
        </w:rPr>
      </w:pPr>
      <w:r>
        <w:rPr>
          <w:rFonts w:hint="eastAsia" w:ascii="宋体" w:eastAsia="宋体"/>
          <w:sz w:val="21"/>
          <w:szCs w:val="21"/>
        </w:rPr>
        <w:t>一、项目</w:t>
      </w:r>
      <w:r>
        <w:rPr>
          <w:rFonts w:ascii="宋体" w:eastAsia="宋体"/>
          <w:sz w:val="21"/>
          <w:szCs w:val="21"/>
        </w:rPr>
        <w:t>概况</w:t>
      </w:r>
    </w:p>
    <w:p>
      <w:pPr>
        <w:pStyle w:val="66"/>
        <w:spacing w:line="240" w:lineRule="auto"/>
        <w:ind w:firstLine="420"/>
        <w:rPr>
          <w:rFonts w:ascii="宋体" w:eastAsia="宋体"/>
          <w:b w:val="0"/>
          <w:snapToGrid w:val="0"/>
          <w:sz w:val="21"/>
          <w:szCs w:val="21"/>
        </w:rPr>
      </w:pPr>
      <w:r>
        <w:rPr>
          <w:rFonts w:hint="eastAsia" w:ascii="宋体" w:eastAsia="宋体"/>
          <w:b w:val="0"/>
          <w:snapToGrid w:val="0"/>
          <w:sz w:val="21"/>
          <w:szCs w:val="21"/>
        </w:rPr>
        <w:t>本次招标主要是为了在杭州萧山国际机场T3航站楼内建设完成单通道自助登机门系统10套，安装地点在B14、B</w:t>
      </w:r>
      <w:r>
        <w:rPr>
          <w:rFonts w:ascii="宋体" w:eastAsia="宋体"/>
          <w:b w:val="0"/>
          <w:snapToGrid w:val="0"/>
          <w:sz w:val="21"/>
          <w:szCs w:val="21"/>
        </w:rPr>
        <w:t>22</w:t>
      </w:r>
      <w:r>
        <w:rPr>
          <w:rFonts w:hint="eastAsia" w:ascii="宋体" w:eastAsia="宋体"/>
          <w:b w:val="0"/>
          <w:snapToGrid w:val="0"/>
          <w:sz w:val="21"/>
          <w:szCs w:val="21"/>
        </w:rPr>
        <w:t>、B26、B</w:t>
      </w:r>
      <w:r>
        <w:rPr>
          <w:rFonts w:ascii="宋体" w:eastAsia="宋体"/>
          <w:b w:val="0"/>
          <w:snapToGrid w:val="0"/>
          <w:sz w:val="21"/>
          <w:szCs w:val="21"/>
        </w:rPr>
        <w:t>36</w:t>
      </w:r>
      <w:r>
        <w:rPr>
          <w:rFonts w:hint="eastAsia" w:ascii="宋体" w:eastAsia="宋体"/>
          <w:b w:val="0"/>
          <w:snapToGrid w:val="0"/>
          <w:sz w:val="21"/>
          <w:szCs w:val="21"/>
        </w:rPr>
        <w:t>和B</w:t>
      </w:r>
      <w:r>
        <w:rPr>
          <w:rFonts w:ascii="宋体" w:eastAsia="宋体"/>
          <w:b w:val="0"/>
          <w:snapToGrid w:val="0"/>
          <w:sz w:val="21"/>
          <w:szCs w:val="21"/>
        </w:rPr>
        <w:t>42</w:t>
      </w:r>
      <w:r>
        <w:rPr>
          <w:rFonts w:hint="eastAsia" w:ascii="宋体" w:eastAsia="宋体"/>
          <w:b w:val="0"/>
          <w:snapToGrid w:val="0"/>
          <w:sz w:val="21"/>
          <w:szCs w:val="21"/>
        </w:rPr>
        <w:t>登机口（机场隔离区内）。每个登机口安装2套。本项目实施需保证不停航施工。</w:t>
      </w:r>
    </w:p>
    <w:p>
      <w:pPr>
        <w:pStyle w:val="66"/>
        <w:spacing w:line="240" w:lineRule="auto"/>
        <w:ind w:firstLine="420"/>
        <w:rPr>
          <w:rFonts w:ascii="宋体" w:eastAsia="宋体"/>
          <w:b w:val="0"/>
          <w:snapToGrid w:val="0"/>
          <w:sz w:val="21"/>
          <w:szCs w:val="21"/>
        </w:rPr>
      </w:pPr>
      <w:r>
        <w:rPr>
          <w:rFonts w:hint="eastAsia" w:ascii="宋体" w:eastAsia="宋体"/>
          <w:b w:val="0"/>
          <w:snapToGrid w:val="0"/>
          <w:sz w:val="21"/>
          <w:szCs w:val="21"/>
        </w:rPr>
        <w:t>机场新增10套自助登机门系统可进一步提升机场的服务品质，丰富旅客的乘机体验，推进智慧机场建设，并在一定程度上提升地面服务的效率，缓解一线工作人员的压力。</w:t>
      </w:r>
    </w:p>
    <w:p>
      <w:pPr>
        <w:pStyle w:val="66"/>
        <w:spacing w:line="240" w:lineRule="auto"/>
        <w:ind w:firstLine="420"/>
        <w:rPr>
          <w:rFonts w:ascii="宋体" w:eastAsia="宋体"/>
          <w:b w:val="0"/>
          <w:snapToGrid w:val="0"/>
          <w:sz w:val="21"/>
          <w:szCs w:val="21"/>
        </w:rPr>
      </w:pPr>
    </w:p>
    <w:p>
      <w:pPr>
        <w:pStyle w:val="66"/>
        <w:spacing w:line="240" w:lineRule="auto"/>
        <w:ind w:firstLine="422"/>
        <w:rPr>
          <w:rFonts w:ascii="宋体" w:eastAsia="宋体"/>
          <w:b w:val="0"/>
          <w:sz w:val="21"/>
          <w:szCs w:val="21"/>
        </w:rPr>
      </w:pPr>
      <w:r>
        <w:rPr>
          <w:rFonts w:hint="eastAsia" w:ascii="宋体" w:eastAsia="宋体"/>
          <w:sz w:val="21"/>
          <w:szCs w:val="21"/>
        </w:rPr>
        <w:t>二、采购内容及货物需求一览表</w:t>
      </w:r>
    </w:p>
    <w:p>
      <w:pPr>
        <w:pStyle w:val="66"/>
        <w:spacing w:line="240" w:lineRule="auto"/>
        <w:ind w:firstLine="422"/>
        <w:rPr>
          <w:rFonts w:ascii="宋体" w:eastAsia="宋体"/>
          <w:sz w:val="21"/>
          <w:szCs w:val="21"/>
        </w:rPr>
      </w:pPr>
      <w:r>
        <w:rPr>
          <w:rFonts w:ascii="宋体" w:eastAsia="宋体"/>
          <w:sz w:val="21"/>
          <w:szCs w:val="21"/>
        </w:rPr>
        <w:t>2</w:t>
      </w:r>
      <w:r>
        <w:rPr>
          <w:rFonts w:hint="eastAsia" w:ascii="宋体" w:eastAsia="宋体"/>
          <w:sz w:val="21"/>
          <w:szCs w:val="21"/>
        </w:rPr>
        <w:t>.</w:t>
      </w:r>
      <w:r>
        <w:rPr>
          <w:rFonts w:ascii="宋体" w:eastAsia="宋体"/>
          <w:sz w:val="21"/>
          <w:szCs w:val="21"/>
        </w:rPr>
        <w:t>1</w:t>
      </w:r>
      <w:r>
        <w:rPr>
          <w:rFonts w:hint="eastAsia" w:ascii="宋体" w:eastAsia="宋体"/>
          <w:sz w:val="21"/>
          <w:szCs w:val="21"/>
        </w:rPr>
        <w:t>、自助登机门系统 ：</w:t>
      </w:r>
    </w:p>
    <w:p>
      <w:pPr>
        <w:pStyle w:val="67"/>
        <w:tabs>
          <w:tab w:val="left" w:pos="360"/>
        </w:tabs>
        <w:spacing w:line="240" w:lineRule="auto"/>
        <w:ind w:firstLine="409" w:firstLineChars="195"/>
        <w:jc w:val="left"/>
        <w:rPr>
          <w:rFonts w:ascii="宋体" w:hAnsi="宋体" w:eastAsia="宋体"/>
          <w:sz w:val="21"/>
          <w:szCs w:val="21"/>
        </w:rPr>
      </w:pPr>
      <w:r>
        <w:rPr>
          <w:rFonts w:hint="eastAsia" w:ascii="宋体" w:hAnsi="宋体" w:eastAsia="宋体"/>
          <w:sz w:val="21"/>
          <w:szCs w:val="21"/>
        </w:rPr>
        <w:t>2.1.1自助登机门系统软件硬件需求见表1，投标人应根据机场的实际需要完全实现自助登机门系统应具有的功能</w:t>
      </w:r>
      <w:r>
        <w:rPr>
          <w:rFonts w:hint="eastAsia" w:ascii="宋体" w:hAnsi="宋体" w:eastAsia="宋体"/>
          <w:b/>
          <w:sz w:val="21"/>
          <w:szCs w:val="21"/>
        </w:rPr>
        <w:t>，若招标人进行系统增加时，要求投标人供货的，投标人所报产品单价应保持不变。</w:t>
      </w:r>
      <w:r>
        <w:rPr>
          <w:rFonts w:hint="eastAsia" w:ascii="宋体" w:hAnsi="宋体" w:eastAsia="宋体"/>
          <w:sz w:val="21"/>
          <w:szCs w:val="21"/>
        </w:rPr>
        <w:t>投标人所提供产品符合本次招标要求及国家相关产品，满足售后服务技术支持，具备知识产权保障的最新质量标准的产品。</w:t>
      </w:r>
    </w:p>
    <w:p>
      <w:pPr>
        <w:pStyle w:val="67"/>
        <w:tabs>
          <w:tab w:val="left" w:pos="360"/>
        </w:tabs>
        <w:spacing w:line="240" w:lineRule="auto"/>
        <w:ind w:firstLine="409" w:firstLineChars="195"/>
        <w:jc w:val="left"/>
        <w:rPr>
          <w:rFonts w:ascii="宋体" w:hAnsi="宋体" w:eastAsia="宋体"/>
          <w:sz w:val="21"/>
          <w:szCs w:val="21"/>
        </w:rPr>
      </w:pPr>
    </w:p>
    <w:p>
      <w:pPr>
        <w:pStyle w:val="67"/>
        <w:tabs>
          <w:tab w:val="left" w:pos="360"/>
        </w:tabs>
        <w:spacing w:line="240" w:lineRule="auto"/>
        <w:ind w:firstLine="409" w:firstLineChars="195"/>
        <w:jc w:val="left"/>
        <w:rPr>
          <w:rFonts w:ascii="宋体" w:hAnsi="宋体" w:eastAsia="宋体"/>
          <w:sz w:val="21"/>
          <w:szCs w:val="21"/>
        </w:rPr>
      </w:pPr>
      <w:r>
        <w:rPr>
          <w:rFonts w:hint="eastAsia" w:ascii="宋体" w:hAnsi="宋体" w:eastAsia="宋体"/>
          <w:sz w:val="21"/>
          <w:szCs w:val="21"/>
        </w:rPr>
        <w:t>表</w:t>
      </w:r>
      <w:r>
        <w:rPr>
          <w:rFonts w:ascii="宋体" w:hAnsi="宋体" w:eastAsia="宋体"/>
          <w:sz w:val="21"/>
          <w:szCs w:val="21"/>
        </w:rPr>
        <w:t>1</w:t>
      </w:r>
      <w:r>
        <w:rPr>
          <w:rFonts w:hint="eastAsia" w:ascii="宋体" w:hAnsi="宋体" w:eastAsia="宋体"/>
          <w:sz w:val="21"/>
          <w:szCs w:val="21"/>
        </w:rPr>
        <w:t>：自助登机门系统软件硬件产品</w:t>
      </w:r>
      <w:r>
        <w:rPr>
          <w:rFonts w:ascii="宋体" w:hAnsi="宋体" w:eastAsia="宋体"/>
          <w:sz w:val="21"/>
          <w:szCs w:val="21"/>
        </w:rPr>
        <w:t>清单</w:t>
      </w:r>
    </w:p>
    <w:tbl>
      <w:tblPr>
        <w:tblStyle w:val="46"/>
        <w:tblW w:w="9328" w:type="dxa"/>
        <w:tblInd w:w="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81"/>
        <w:gridCol w:w="3119"/>
        <w:gridCol w:w="1134"/>
        <w:gridCol w:w="708"/>
        <w:gridCol w:w="368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0" w:hRule="atLeast"/>
        </w:trPr>
        <w:tc>
          <w:tcPr>
            <w:tcW w:w="681" w:type="dxa"/>
            <w:tcBorders>
              <w:top w:val="single" w:color="000000" w:sz="4" w:space="0"/>
              <w:left w:val="single" w:color="000000" w:sz="4" w:space="0"/>
              <w:bottom w:val="single" w:color="000000" w:sz="4" w:space="0"/>
              <w:right w:val="single" w:color="000000" w:sz="4" w:space="0"/>
            </w:tcBorders>
            <w:shd w:val="clear" w:color="auto" w:fill="E7E6E6"/>
            <w:noWrap w:val="0"/>
            <w:vAlign w:val="center"/>
          </w:tcPr>
          <w:p>
            <w:pPr>
              <w:widowControl/>
              <w:jc w:val="center"/>
              <w:rPr>
                <w:rFonts w:ascii="宋体" w:hAnsi="宋体" w:cs="宋体"/>
                <w:b/>
                <w:kern w:val="0"/>
                <w:szCs w:val="21"/>
                <w:u w:val="none" w:color="000000"/>
                <w:lang w:val="zh-TW"/>
              </w:rPr>
            </w:pPr>
            <w:r>
              <w:rPr>
                <w:rFonts w:hint="eastAsia" w:ascii="宋体" w:hAnsi="宋体" w:cs="宋体"/>
                <w:b/>
                <w:kern w:val="0"/>
                <w:szCs w:val="21"/>
                <w:u w:val="none" w:color="000000"/>
                <w:lang w:val="zh-TW"/>
              </w:rPr>
              <w:t>序号</w:t>
            </w:r>
          </w:p>
        </w:tc>
        <w:tc>
          <w:tcPr>
            <w:tcW w:w="3119" w:type="dxa"/>
            <w:tcBorders>
              <w:top w:val="single" w:color="000000" w:sz="4" w:space="0"/>
              <w:left w:val="single" w:color="000000" w:sz="4" w:space="0"/>
              <w:bottom w:val="single" w:color="000000" w:sz="4" w:space="0"/>
              <w:right w:val="single" w:color="000000" w:sz="4" w:space="0"/>
            </w:tcBorders>
            <w:shd w:val="clear" w:color="auto" w:fill="E7E6E6"/>
            <w:noWrap w:val="0"/>
            <w:tcMar>
              <w:top w:w="80" w:type="dxa"/>
              <w:left w:w="80" w:type="dxa"/>
              <w:bottom w:w="80" w:type="dxa"/>
              <w:right w:w="80" w:type="dxa"/>
            </w:tcMar>
            <w:vAlign w:val="center"/>
          </w:tcPr>
          <w:p>
            <w:pPr>
              <w:widowControl/>
              <w:jc w:val="center"/>
              <w:rPr>
                <w:rFonts w:ascii="宋体" w:hAnsi="宋体"/>
                <w:b/>
                <w:szCs w:val="21"/>
              </w:rPr>
            </w:pPr>
            <w:r>
              <w:rPr>
                <w:rFonts w:hint="eastAsia" w:ascii="宋体" w:hAnsi="宋体" w:cs="宋体"/>
                <w:b/>
                <w:kern w:val="0"/>
                <w:szCs w:val="21"/>
                <w:u w:val="none" w:color="000000"/>
                <w:lang w:val="zh-TW" w:eastAsia="zh-TW"/>
              </w:rPr>
              <w:t>名</w:t>
            </w:r>
            <w:r>
              <w:rPr>
                <w:rFonts w:hint="eastAsia" w:ascii="宋体" w:hAnsi="宋体" w:cs="宋体"/>
                <w:b/>
                <w:kern w:val="0"/>
                <w:szCs w:val="21"/>
                <w:u w:val="none" w:color="000000"/>
                <w:lang w:val="zh-TW"/>
              </w:rPr>
              <w:t xml:space="preserve">   </w:t>
            </w:r>
            <w:r>
              <w:rPr>
                <w:rFonts w:hint="eastAsia" w:ascii="宋体" w:hAnsi="宋体" w:cs="宋体"/>
                <w:b/>
                <w:kern w:val="0"/>
                <w:szCs w:val="21"/>
                <w:u w:val="none" w:color="000000"/>
                <w:lang w:val="zh-TW" w:eastAsia="zh-TW"/>
              </w:rPr>
              <w:t>称</w:t>
            </w:r>
          </w:p>
        </w:tc>
        <w:tc>
          <w:tcPr>
            <w:tcW w:w="1134" w:type="dxa"/>
            <w:tcBorders>
              <w:top w:val="single" w:color="000000" w:sz="4" w:space="0"/>
              <w:left w:val="single" w:color="000000" w:sz="4" w:space="0"/>
              <w:bottom w:val="single" w:color="000000" w:sz="4" w:space="0"/>
              <w:right w:val="single" w:color="000000" w:sz="4" w:space="0"/>
            </w:tcBorders>
            <w:shd w:val="clear" w:color="auto" w:fill="E7E6E6"/>
            <w:noWrap w:val="0"/>
            <w:tcMar>
              <w:top w:w="80" w:type="dxa"/>
              <w:left w:w="80" w:type="dxa"/>
              <w:bottom w:w="80" w:type="dxa"/>
              <w:right w:w="80" w:type="dxa"/>
            </w:tcMar>
            <w:vAlign w:val="center"/>
          </w:tcPr>
          <w:p>
            <w:pPr>
              <w:widowControl/>
              <w:jc w:val="center"/>
              <w:rPr>
                <w:rFonts w:ascii="宋体" w:hAnsi="宋体"/>
                <w:b/>
                <w:szCs w:val="21"/>
              </w:rPr>
            </w:pPr>
            <w:r>
              <w:rPr>
                <w:rFonts w:hint="eastAsia" w:ascii="宋体" w:hAnsi="宋体"/>
                <w:b/>
                <w:szCs w:val="21"/>
              </w:rPr>
              <w:t>单位</w:t>
            </w:r>
          </w:p>
        </w:tc>
        <w:tc>
          <w:tcPr>
            <w:tcW w:w="708" w:type="dxa"/>
            <w:tcBorders>
              <w:top w:val="single" w:color="000000" w:sz="4" w:space="0"/>
              <w:left w:val="single" w:color="000000" w:sz="4" w:space="0"/>
              <w:bottom w:val="single" w:color="000000" w:sz="4" w:space="0"/>
              <w:right w:val="single" w:color="000000" w:sz="4" w:space="0"/>
            </w:tcBorders>
            <w:shd w:val="clear" w:color="auto" w:fill="E7E6E6"/>
            <w:noWrap w:val="0"/>
            <w:tcMar>
              <w:top w:w="80" w:type="dxa"/>
              <w:left w:w="80" w:type="dxa"/>
              <w:bottom w:w="80" w:type="dxa"/>
              <w:right w:w="80" w:type="dxa"/>
            </w:tcMar>
            <w:vAlign w:val="center"/>
          </w:tcPr>
          <w:p>
            <w:pPr>
              <w:widowControl/>
              <w:jc w:val="center"/>
              <w:rPr>
                <w:rFonts w:ascii="宋体" w:hAnsi="宋体"/>
                <w:b/>
                <w:szCs w:val="21"/>
              </w:rPr>
            </w:pPr>
            <w:r>
              <w:rPr>
                <w:rFonts w:hint="eastAsia" w:ascii="宋体" w:hAnsi="宋体" w:cs="宋体"/>
                <w:b/>
                <w:kern w:val="0"/>
                <w:szCs w:val="21"/>
                <w:u w:val="none" w:color="000000"/>
                <w:lang w:val="zh-TW"/>
              </w:rPr>
              <w:t>数量</w:t>
            </w:r>
          </w:p>
        </w:tc>
        <w:tc>
          <w:tcPr>
            <w:tcW w:w="3686" w:type="dxa"/>
            <w:tcBorders>
              <w:top w:val="single" w:color="000000" w:sz="4" w:space="0"/>
              <w:left w:val="single" w:color="000000" w:sz="4" w:space="0"/>
              <w:bottom w:val="single" w:color="000000" w:sz="4" w:space="0"/>
              <w:right w:val="single" w:color="000000" w:sz="4" w:space="0"/>
            </w:tcBorders>
            <w:shd w:val="clear" w:color="auto" w:fill="E7E6E6"/>
            <w:noWrap w:val="0"/>
            <w:tcMar>
              <w:top w:w="80" w:type="dxa"/>
              <w:left w:w="80" w:type="dxa"/>
              <w:bottom w:w="80" w:type="dxa"/>
              <w:right w:w="80" w:type="dxa"/>
            </w:tcMar>
            <w:vAlign w:val="center"/>
          </w:tcPr>
          <w:p>
            <w:pPr>
              <w:widowControl/>
              <w:jc w:val="center"/>
              <w:rPr>
                <w:rFonts w:ascii="宋体" w:hAnsi="宋体"/>
                <w:b/>
                <w:szCs w:val="21"/>
              </w:rPr>
            </w:pPr>
            <w:r>
              <w:rPr>
                <w:rFonts w:hint="eastAsia" w:ascii="宋体" w:hAnsi="宋体" w:cs="宋体"/>
                <w:b/>
                <w:kern w:val="0"/>
                <w:szCs w:val="21"/>
                <w:u w:val="none" w:color="000000"/>
                <w:lang w:val="zh-TW"/>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bCs/>
                <w:kern w:val="0"/>
                <w:szCs w:val="21"/>
                <w:u w:val="none" w:color="000000"/>
                <w:lang w:val="zh-TW"/>
              </w:rPr>
            </w:pPr>
            <w:r>
              <w:rPr>
                <w:rFonts w:hint="eastAsia" w:ascii="宋体" w:hAnsi="宋体" w:cs="宋体"/>
                <w:bCs/>
                <w:kern w:val="0"/>
                <w:szCs w:val="21"/>
                <w:u w:val="none" w:color="000000"/>
                <w:lang w:val="zh-TW"/>
              </w:rPr>
              <w:t>1</w:t>
            </w:r>
          </w:p>
        </w:tc>
        <w:tc>
          <w:tcPr>
            <w:tcW w:w="311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widowControl/>
              <w:jc w:val="center"/>
              <w:rPr>
                <w:rFonts w:ascii="宋体" w:hAnsi="宋体" w:cs="宋体"/>
                <w:kern w:val="0"/>
                <w:szCs w:val="21"/>
                <w:u w:val="none" w:color="000000"/>
                <w:lang w:val="zh-TW"/>
              </w:rPr>
            </w:pPr>
            <w:r>
              <w:rPr>
                <w:rFonts w:hint="eastAsia" w:ascii="宋体" w:hAnsi="宋体" w:cs="宋体"/>
                <w:kern w:val="0"/>
                <w:szCs w:val="21"/>
                <w:u w:val="none" w:color="000000"/>
                <w:lang w:val="zh-TW"/>
              </w:rPr>
              <w:t>前后双道门单通道</w:t>
            </w:r>
          </w:p>
          <w:p>
            <w:pPr>
              <w:widowControl/>
              <w:jc w:val="center"/>
              <w:rPr>
                <w:rFonts w:ascii="宋体" w:hAnsi="宋体"/>
                <w:szCs w:val="21"/>
              </w:rPr>
            </w:pPr>
            <w:r>
              <w:rPr>
                <w:rFonts w:hint="eastAsia" w:ascii="宋体" w:hAnsi="宋体" w:cs="宋体"/>
                <w:kern w:val="0"/>
                <w:szCs w:val="21"/>
                <w:u w:val="none" w:color="000000"/>
                <w:lang w:val="zh-TW"/>
              </w:rPr>
              <w:t>自助登机门硬件及应用软件</w:t>
            </w:r>
            <w:r>
              <w:rPr>
                <w:rFonts w:hint="eastAsia" w:ascii="宋体" w:hAnsi="宋体" w:cs="宋体"/>
                <w:kern w:val="0"/>
                <w:szCs w:val="21"/>
                <w:u w:val="none" w:color="000000"/>
              </w:rPr>
              <w:t xml:space="preserve">  </w:t>
            </w:r>
            <w:r>
              <w:rPr>
                <w:rFonts w:hint="eastAsia" w:ascii="宋体" w:hAnsi="宋体" w:cs="宋体"/>
                <w:kern w:val="0"/>
                <w:szCs w:val="21"/>
                <w:u w:val="none" w:color="000000"/>
                <w:lang w:val="zh-TW"/>
              </w:rPr>
              <w:t>（</w:t>
            </w:r>
            <w:r>
              <w:rPr>
                <w:rFonts w:hint="eastAsia" w:ascii="宋体" w:hAnsi="宋体" w:cs="宋体"/>
                <w:kern w:val="0"/>
                <w:szCs w:val="21"/>
                <w:u w:val="none" w:color="000000"/>
              </w:rPr>
              <w:t>含人脸识别</w:t>
            </w:r>
            <w:r>
              <w:rPr>
                <w:rFonts w:hint="eastAsia" w:ascii="宋体" w:hAnsi="宋体" w:cs="宋体"/>
                <w:kern w:val="0"/>
                <w:szCs w:val="21"/>
                <w:u w:val="none" w:color="000000"/>
                <w:lang w:val="zh-TW"/>
              </w:rPr>
              <w:t>）</w:t>
            </w:r>
          </w:p>
        </w:tc>
        <w:tc>
          <w:tcPr>
            <w:tcW w:w="113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widowControl/>
              <w:jc w:val="center"/>
              <w:rPr>
                <w:rFonts w:ascii="宋体" w:hAnsi="宋体"/>
                <w:szCs w:val="21"/>
              </w:rPr>
            </w:pPr>
            <w:r>
              <w:rPr>
                <w:rFonts w:hint="eastAsia" w:ascii="宋体" w:hAnsi="宋体"/>
                <w:szCs w:val="21"/>
              </w:rPr>
              <w:t>套</w:t>
            </w:r>
          </w:p>
        </w:tc>
        <w:tc>
          <w:tcPr>
            <w:tcW w:w="70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widowControl/>
              <w:jc w:val="center"/>
              <w:rPr>
                <w:rFonts w:ascii="宋体" w:hAnsi="宋体" w:eastAsia="PMingLiU"/>
                <w:szCs w:val="21"/>
                <w:lang w:eastAsia="zh-TW"/>
              </w:rPr>
            </w:pPr>
            <w:r>
              <w:rPr>
                <w:rFonts w:hint="eastAsia" w:cs="宋体"/>
                <w:kern w:val="0"/>
                <w:szCs w:val="21"/>
                <w:u w:val="none" w:color="000000"/>
                <w:lang w:val="zh-TW" w:eastAsia="zh-TW"/>
              </w:rPr>
              <w:t>10</w:t>
            </w:r>
          </w:p>
        </w:tc>
        <w:tc>
          <w:tcPr>
            <w:tcW w:w="3686"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widowControl/>
              <w:jc w:val="left"/>
              <w:rPr>
                <w:rFonts w:ascii="宋体" w:hAnsi="宋体"/>
                <w:szCs w:val="21"/>
              </w:rPr>
            </w:pPr>
            <w:r>
              <w:rPr>
                <w:rFonts w:hint="eastAsia" w:ascii="宋体" w:hAnsi="宋体"/>
                <w:szCs w:val="21"/>
              </w:rPr>
              <w:t>满足2.2项详细功能要求内的自助登机通行需求，提供人脸识别比对算法、授权及所需硬件。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Cs w:val="21"/>
                <w:u w:val="none" w:color="000000"/>
                <w:lang w:val="zh-TW"/>
              </w:rPr>
            </w:pPr>
            <w:r>
              <w:rPr>
                <w:rFonts w:hint="eastAsia" w:ascii="宋体" w:hAnsi="宋体" w:cs="宋体"/>
                <w:kern w:val="0"/>
                <w:szCs w:val="21"/>
                <w:u w:val="none" w:color="000000"/>
                <w:lang w:val="zh-TW"/>
              </w:rPr>
              <w:t>2</w:t>
            </w:r>
          </w:p>
        </w:tc>
        <w:tc>
          <w:tcPr>
            <w:tcW w:w="311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widowControl/>
              <w:jc w:val="center"/>
              <w:rPr>
                <w:rFonts w:ascii="宋体" w:hAnsi="宋体" w:cs="宋体"/>
                <w:kern w:val="0"/>
                <w:szCs w:val="21"/>
                <w:u w:val="none" w:color="000000"/>
                <w:lang w:val="zh-TW"/>
              </w:rPr>
            </w:pPr>
            <w:r>
              <w:rPr>
                <w:rFonts w:hint="eastAsia" w:ascii="宋体" w:hAnsi="宋体" w:cs="宋体"/>
                <w:kern w:val="0"/>
                <w:szCs w:val="21"/>
                <w:u w:val="none" w:color="000000"/>
                <w:lang w:val="zh-TW"/>
              </w:rPr>
              <w:t>离港工作站、自助登机门离港应用软件及软件授权</w:t>
            </w:r>
          </w:p>
        </w:tc>
        <w:tc>
          <w:tcPr>
            <w:tcW w:w="113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widowControl/>
              <w:jc w:val="center"/>
              <w:rPr>
                <w:rFonts w:ascii="宋体" w:hAnsi="宋体"/>
                <w:szCs w:val="21"/>
              </w:rPr>
            </w:pPr>
            <w:r>
              <w:rPr>
                <w:rFonts w:hint="eastAsia" w:ascii="宋体" w:hAnsi="宋体"/>
                <w:szCs w:val="21"/>
              </w:rPr>
              <w:t>套</w:t>
            </w:r>
          </w:p>
        </w:tc>
        <w:tc>
          <w:tcPr>
            <w:tcW w:w="70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widowControl/>
              <w:jc w:val="center"/>
              <w:rPr>
                <w:rFonts w:ascii="宋体" w:hAnsi="宋体"/>
                <w:szCs w:val="21"/>
              </w:rPr>
            </w:pPr>
            <w:r>
              <w:rPr>
                <w:rFonts w:hint="eastAsia" w:ascii="宋体" w:hAnsi="宋体" w:cs="宋体"/>
                <w:kern w:val="0"/>
                <w:szCs w:val="21"/>
                <w:u w:val="none" w:color="000000"/>
                <w:lang w:val="zh-TW"/>
              </w:rPr>
              <w:t>5</w:t>
            </w:r>
          </w:p>
        </w:tc>
        <w:tc>
          <w:tcPr>
            <w:tcW w:w="3686"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widowControl/>
              <w:jc w:val="left"/>
              <w:rPr>
                <w:rFonts w:ascii="宋体" w:hAnsi="宋体"/>
                <w:szCs w:val="21"/>
              </w:rPr>
            </w:pPr>
            <w:r>
              <w:rPr>
                <w:rFonts w:hint="eastAsia" w:ascii="宋体" w:hAnsi="宋体"/>
                <w:szCs w:val="21"/>
              </w:rPr>
              <w:t>包含离港电脑、自助登机门离港应用软件、I</w:t>
            </w:r>
            <w:r>
              <w:rPr>
                <w:rFonts w:ascii="宋体" w:hAnsi="宋体"/>
                <w:szCs w:val="21"/>
              </w:rPr>
              <w:t>P</w:t>
            </w:r>
            <w:r>
              <w:rPr>
                <w:rFonts w:hint="eastAsia" w:ascii="宋体" w:hAnsi="宋体"/>
                <w:szCs w:val="21"/>
              </w:rPr>
              <w:t>配置等，以及5年中航信离港应用软件授权。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宋体"/>
                <w:kern w:val="0"/>
                <w:szCs w:val="21"/>
                <w:u w:val="none" w:color="000000"/>
                <w:lang w:val="zh-TW"/>
              </w:rPr>
            </w:pPr>
            <w:r>
              <w:rPr>
                <w:rFonts w:hint="eastAsia" w:ascii="宋体" w:hAnsi="宋体" w:cs="宋体"/>
                <w:kern w:val="0"/>
                <w:szCs w:val="21"/>
                <w:u w:val="none" w:color="000000"/>
                <w:lang w:val="zh-TW"/>
              </w:rPr>
              <w:t>3</w:t>
            </w:r>
          </w:p>
        </w:tc>
        <w:tc>
          <w:tcPr>
            <w:tcW w:w="311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widowControl/>
              <w:jc w:val="center"/>
              <w:rPr>
                <w:rFonts w:ascii="宋体" w:hAnsi="宋体" w:cs="宋体"/>
                <w:kern w:val="0"/>
                <w:szCs w:val="21"/>
                <w:u w:val="none" w:color="000000"/>
                <w:lang w:val="zh-TW"/>
              </w:rPr>
            </w:pPr>
            <w:r>
              <w:rPr>
                <w:rFonts w:hint="eastAsia" w:ascii="宋体" w:hAnsi="宋体" w:cs="宋体"/>
                <w:kern w:val="0"/>
                <w:szCs w:val="21"/>
                <w:u w:val="none" w:color="000000"/>
                <w:lang w:val="zh-TW"/>
              </w:rPr>
              <w:t>与本场安检信息系统接口</w:t>
            </w:r>
          </w:p>
        </w:tc>
        <w:tc>
          <w:tcPr>
            <w:tcW w:w="113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widowControl/>
              <w:jc w:val="center"/>
              <w:rPr>
                <w:rFonts w:ascii="宋体" w:hAnsi="宋体"/>
                <w:szCs w:val="21"/>
              </w:rPr>
            </w:pPr>
            <w:r>
              <w:rPr>
                <w:rFonts w:hint="eastAsia" w:ascii="宋体" w:hAnsi="宋体"/>
                <w:szCs w:val="21"/>
              </w:rPr>
              <w:t>套</w:t>
            </w:r>
          </w:p>
        </w:tc>
        <w:tc>
          <w:tcPr>
            <w:tcW w:w="70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widowControl/>
              <w:jc w:val="center"/>
              <w:rPr>
                <w:rFonts w:ascii="宋体" w:hAnsi="宋体" w:cs="宋体"/>
                <w:kern w:val="0"/>
                <w:szCs w:val="21"/>
                <w:u w:val="none" w:color="000000"/>
                <w:lang w:val="zh-TW"/>
              </w:rPr>
            </w:pPr>
            <w:r>
              <w:rPr>
                <w:rFonts w:hint="eastAsia" w:ascii="宋体" w:hAnsi="宋体" w:cs="宋体"/>
                <w:kern w:val="0"/>
                <w:szCs w:val="21"/>
                <w:u w:val="none" w:color="000000"/>
                <w:lang w:val="zh-TW"/>
              </w:rPr>
              <w:t>1</w:t>
            </w:r>
          </w:p>
        </w:tc>
        <w:tc>
          <w:tcPr>
            <w:tcW w:w="3686"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widowControl/>
              <w:jc w:val="left"/>
              <w:rPr>
                <w:rFonts w:ascii="宋体" w:hAnsi="宋体"/>
                <w:snapToGrid w:val="0"/>
                <w:kern w:val="0"/>
                <w:szCs w:val="21"/>
              </w:rPr>
            </w:pPr>
            <w:r>
              <w:rPr>
                <w:rFonts w:hint="eastAsia" w:ascii="宋体" w:hAnsi="宋体"/>
                <w:snapToGrid w:val="0"/>
                <w:kern w:val="0"/>
                <w:szCs w:val="21"/>
              </w:rPr>
              <w:t>包含本系统和安检信息系统双方接口软件，须负责协调本场安检信息系统厂家配合实施。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kern w:val="0"/>
                <w:szCs w:val="21"/>
                <w:u w:val="none" w:color="000000"/>
              </w:rPr>
            </w:pPr>
            <w:r>
              <w:rPr>
                <w:rFonts w:hint="eastAsia" w:ascii="宋体" w:hAnsi="宋体" w:cs="宋体"/>
                <w:kern w:val="0"/>
                <w:szCs w:val="21"/>
                <w:u w:val="none" w:color="000000"/>
              </w:rPr>
              <w:t>4</w:t>
            </w:r>
          </w:p>
        </w:tc>
        <w:tc>
          <w:tcPr>
            <w:tcW w:w="311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widowControl/>
              <w:jc w:val="center"/>
              <w:rPr>
                <w:rFonts w:ascii="宋体" w:hAnsi="宋体" w:cs="宋体"/>
                <w:kern w:val="0"/>
                <w:szCs w:val="21"/>
                <w:u w:val="none" w:color="000000"/>
                <w:lang w:val="zh-TW"/>
              </w:rPr>
            </w:pPr>
            <w:r>
              <w:rPr>
                <w:rFonts w:hint="eastAsia" w:ascii="宋体" w:hAnsi="宋体" w:cs="宋体"/>
                <w:kern w:val="0"/>
                <w:szCs w:val="21"/>
                <w:u w:val="none" w:color="000000"/>
                <w:lang w:val="zh-TW"/>
              </w:rPr>
              <w:t>自助登机</w:t>
            </w:r>
            <w:r>
              <w:rPr>
                <w:rFonts w:ascii="宋体" w:hAnsi="宋体" w:cs="宋体"/>
                <w:kern w:val="0"/>
                <w:szCs w:val="21"/>
                <w:u w:val="none" w:color="000000"/>
                <w:lang w:val="zh-TW"/>
              </w:rPr>
              <w:t>门</w:t>
            </w:r>
            <w:r>
              <w:rPr>
                <w:rFonts w:hint="eastAsia" w:ascii="宋体" w:hAnsi="宋体" w:cs="宋体"/>
                <w:kern w:val="0"/>
                <w:szCs w:val="21"/>
                <w:u w:val="none" w:color="000000"/>
                <w:lang w:val="zh-TW"/>
              </w:rPr>
              <w:t>与廊</w:t>
            </w:r>
            <w:r>
              <w:rPr>
                <w:rFonts w:ascii="宋体" w:hAnsi="宋体" w:cs="宋体"/>
                <w:kern w:val="0"/>
                <w:szCs w:val="21"/>
                <w:u w:val="none" w:color="000000"/>
                <w:lang w:val="zh-TW"/>
              </w:rPr>
              <w:t>桥玻璃隔断</w:t>
            </w:r>
          </w:p>
        </w:tc>
        <w:tc>
          <w:tcPr>
            <w:tcW w:w="113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ascii="宋体" w:hAnsi="宋体"/>
                <w:szCs w:val="21"/>
              </w:rPr>
            </w:pPr>
            <w:r>
              <w:rPr>
                <w:rFonts w:hint="eastAsia" w:ascii="宋体" w:hAnsi="宋体"/>
                <w:szCs w:val="21"/>
              </w:rPr>
              <w:t>套</w:t>
            </w:r>
          </w:p>
        </w:tc>
        <w:tc>
          <w:tcPr>
            <w:tcW w:w="70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ascii="宋体" w:hAnsi="宋体" w:eastAsia="PMingLiU"/>
                <w:szCs w:val="21"/>
                <w:lang w:eastAsia="zh-TW"/>
              </w:rPr>
            </w:pPr>
            <w:r>
              <w:rPr>
                <w:rFonts w:hint="eastAsia" w:cs="宋体"/>
                <w:kern w:val="0"/>
                <w:szCs w:val="21"/>
                <w:u w:val="none" w:color="000000"/>
                <w:lang w:val="zh-TW" w:eastAsia="zh-TW"/>
              </w:rPr>
              <w:t>5</w:t>
            </w:r>
          </w:p>
        </w:tc>
        <w:tc>
          <w:tcPr>
            <w:tcW w:w="3686"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ascii="宋体" w:hAnsi="宋体"/>
                <w:szCs w:val="21"/>
              </w:rPr>
            </w:pPr>
            <w:r>
              <w:rPr>
                <w:rFonts w:hint="eastAsia" w:ascii="宋体" w:hAnsi="宋体"/>
                <w:szCs w:val="21"/>
              </w:rPr>
              <w:t>登机口区域增加玻璃隔断</w:t>
            </w:r>
            <w:r>
              <w:rPr>
                <w:rFonts w:hint="eastAsia" w:ascii="宋体" w:hAnsi="宋体" w:cs="宋体"/>
                <w:kern w:val="0"/>
                <w:szCs w:val="21"/>
                <w:u w:val="none" w:color="00000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kern w:val="0"/>
                <w:szCs w:val="21"/>
                <w:u w:val="none" w:color="000000"/>
              </w:rPr>
            </w:pPr>
            <w:r>
              <w:rPr>
                <w:rFonts w:hint="eastAsia" w:ascii="宋体" w:hAnsi="宋体" w:cs="宋体"/>
                <w:kern w:val="0"/>
                <w:szCs w:val="21"/>
                <w:u w:val="none" w:color="000000"/>
              </w:rPr>
              <w:t>5</w:t>
            </w:r>
          </w:p>
        </w:tc>
        <w:tc>
          <w:tcPr>
            <w:tcW w:w="311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widowControl/>
              <w:jc w:val="center"/>
              <w:rPr>
                <w:rFonts w:ascii="宋体" w:hAnsi="宋体" w:cs="宋体"/>
                <w:kern w:val="0"/>
                <w:szCs w:val="21"/>
                <w:u w:val="none" w:color="000000"/>
                <w:lang w:val="zh-TW"/>
              </w:rPr>
            </w:pPr>
            <w:r>
              <w:rPr>
                <w:rFonts w:hint="eastAsia" w:ascii="宋体" w:hAnsi="宋体" w:cs="宋体"/>
                <w:kern w:val="0"/>
                <w:szCs w:val="21"/>
                <w:u w:val="none" w:color="000000"/>
                <w:lang w:val="zh-TW"/>
              </w:rPr>
              <w:t>网络实施费</w:t>
            </w:r>
          </w:p>
        </w:tc>
        <w:tc>
          <w:tcPr>
            <w:tcW w:w="113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ascii="宋体" w:hAnsi="宋体"/>
                <w:szCs w:val="21"/>
              </w:rPr>
            </w:pPr>
            <w:r>
              <w:rPr>
                <w:rFonts w:hint="eastAsia" w:ascii="宋体" w:hAnsi="宋体"/>
                <w:szCs w:val="21"/>
              </w:rPr>
              <w:t>批</w:t>
            </w:r>
          </w:p>
        </w:tc>
        <w:tc>
          <w:tcPr>
            <w:tcW w:w="70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cs="宋体"/>
                <w:kern w:val="0"/>
                <w:szCs w:val="21"/>
                <w:u w:val="none" w:color="000000"/>
                <w:lang w:val="zh-TW" w:eastAsia="zh-TW"/>
              </w:rPr>
            </w:pPr>
            <w:r>
              <w:rPr>
                <w:rFonts w:hint="eastAsia" w:cs="宋体"/>
                <w:kern w:val="0"/>
                <w:szCs w:val="21"/>
                <w:u w:val="none" w:color="000000"/>
                <w:lang w:val="zh-TW" w:eastAsia="zh-TW"/>
              </w:rPr>
              <w:t>1</w:t>
            </w:r>
          </w:p>
        </w:tc>
        <w:tc>
          <w:tcPr>
            <w:tcW w:w="3686"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ascii="宋体" w:hAnsi="宋体" w:cs="宋体"/>
                <w:kern w:val="0"/>
                <w:szCs w:val="21"/>
                <w:u w:val="none" w:color="000000"/>
              </w:rPr>
            </w:pPr>
            <w:r>
              <w:rPr>
                <w:rFonts w:hint="eastAsia" w:ascii="宋体" w:hAnsi="宋体" w:cs="宋体"/>
                <w:kern w:val="0"/>
                <w:szCs w:val="21"/>
                <w:u w:val="none" w:color="000000"/>
              </w:rPr>
              <w:t>包括网络布线、信息点及网络交换机。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0" w:hRule="atLeast"/>
        </w:trPr>
        <w:tc>
          <w:tcPr>
            <w:tcW w:w="68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s="宋体"/>
                <w:kern w:val="0"/>
                <w:szCs w:val="21"/>
                <w:u w:val="none" w:color="000000"/>
              </w:rPr>
            </w:pPr>
            <w:r>
              <w:rPr>
                <w:rFonts w:hint="eastAsia" w:ascii="宋体" w:hAnsi="宋体" w:cs="宋体"/>
                <w:kern w:val="0"/>
                <w:szCs w:val="21"/>
                <w:u w:val="none" w:color="000000"/>
              </w:rPr>
              <w:t>6</w:t>
            </w:r>
          </w:p>
        </w:tc>
        <w:tc>
          <w:tcPr>
            <w:tcW w:w="3119"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widowControl/>
              <w:jc w:val="center"/>
              <w:rPr>
                <w:rFonts w:ascii="宋体" w:hAnsi="宋体" w:cs="宋体"/>
                <w:kern w:val="0"/>
                <w:szCs w:val="21"/>
                <w:u w:val="none" w:color="000000"/>
                <w:lang w:val="zh-TW"/>
              </w:rPr>
            </w:pPr>
            <w:r>
              <w:rPr>
                <w:rFonts w:hint="eastAsia" w:ascii="宋体" w:hAnsi="宋体" w:cs="宋体"/>
                <w:kern w:val="0"/>
                <w:szCs w:val="21"/>
                <w:u w:val="none" w:color="000000"/>
                <w:lang w:val="zh-TW"/>
              </w:rPr>
              <w:t>项目实施、培训及维保等费用</w:t>
            </w:r>
          </w:p>
        </w:tc>
        <w:tc>
          <w:tcPr>
            <w:tcW w:w="1134"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ascii="宋体" w:hAnsi="宋体"/>
                <w:szCs w:val="21"/>
              </w:rPr>
            </w:pPr>
            <w:r>
              <w:rPr>
                <w:rFonts w:hint="eastAsia" w:ascii="宋体" w:hAnsi="宋体"/>
                <w:szCs w:val="21"/>
              </w:rPr>
              <w:t>批</w:t>
            </w:r>
          </w:p>
        </w:tc>
        <w:tc>
          <w:tcPr>
            <w:tcW w:w="708"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center"/>
              <w:rPr>
                <w:rFonts w:ascii="宋体" w:hAnsi="宋体"/>
                <w:szCs w:val="21"/>
              </w:rPr>
            </w:pPr>
            <w:r>
              <w:rPr>
                <w:rFonts w:hint="eastAsia" w:ascii="宋体" w:hAnsi="宋体" w:cs="宋体"/>
                <w:kern w:val="0"/>
                <w:szCs w:val="21"/>
                <w:u w:val="none" w:color="000000"/>
                <w:lang w:val="zh-TW"/>
              </w:rPr>
              <w:t>1</w:t>
            </w:r>
          </w:p>
        </w:tc>
        <w:tc>
          <w:tcPr>
            <w:tcW w:w="3686" w:type="dxa"/>
            <w:tcBorders>
              <w:top w:val="single" w:color="000000" w:sz="4" w:space="0"/>
              <w:left w:val="single" w:color="000000" w:sz="4" w:space="0"/>
              <w:bottom w:val="single" w:color="000000" w:sz="4" w:space="0"/>
              <w:right w:val="single" w:color="000000" w:sz="4" w:space="0"/>
            </w:tcBorders>
            <w:noWrap w:val="0"/>
            <w:tcMar>
              <w:top w:w="80" w:type="dxa"/>
              <w:left w:w="80" w:type="dxa"/>
              <w:bottom w:w="80" w:type="dxa"/>
              <w:right w:w="80" w:type="dxa"/>
            </w:tcMar>
            <w:vAlign w:val="center"/>
          </w:tcPr>
          <w:p>
            <w:pPr>
              <w:jc w:val="left"/>
              <w:rPr>
                <w:rFonts w:ascii="宋体" w:hAnsi="宋体"/>
                <w:szCs w:val="21"/>
              </w:rPr>
            </w:pPr>
            <w:r>
              <w:rPr>
                <w:rFonts w:hint="eastAsia" w:ascii="宋体" w:hAnsi="宋体" w:cs="宋体"/>
                <w:kern w:val="0"/>
                <w:szCs w:val="21"/>
                <w:u w:val="none" w:color="000000"/>
              </w:rPr>
              <w:t>包括货物运送安装、现场实施费用、离港电脑机柜及维保费用（5年软硬件免费维保）。</w:t>
            </w:r>
          </w:p>
        </w:tc>
      </w:tr>
    </w:tbl>
    <w:p>
      <w:pPr>
        <w:pStyle w:val="67"/>
        <w:tabs>
          <w:tab w:val="left" w:pos="360"/>
        </w:tabs>
        <w:spacing w:line="240" w:lineRule="auto"/>
        <w:ind w:firstLine="0" w:firstLineChars="0"/>
        <w:rPr>
          <w:rFonts w:ascii="宋体" w:hAnsi="宋体" w:eastAsia="宋体"/>
          <w:b/>
          <w:sz w:val="21"/>
          <w:szCs w:val="21"/>
        </w:rPr>
      </w:pPr>
    </w:p>
    <w:p>
      <w:pPr>
        <w:pStyle w:val="67"/>
        <w:tabs>
          <w:tab w:val="left" w:pos="360"/>
        </w:tabs>
        <w:spacing w:line="240" w:lineRule="auto"/>
        <w:ind w:firstLine="411" w:firstLineChars="195"/>
        <w:rPr>
          <w:rFonts w:ascii="宋体" w:hAnsi="宋体" w:eastAsia="宋体"/>
          <w:b/>
          <w:sz w:val="21"/>
          <w:szCs w:val="21"/>
        </w:rPr>
      </w:pPr>
      <w:r>
        <w:rPr>
          <w:rFonts w:ascii="宋体" w:hAnsi="宋体" w:eastAsia="宋体"/>
          <w:b/>
          <w:sz w:val="21"/>
          <w:szCs w:val="21"/>
        </w:rPr>
        <w:t>2.2</w:t>
      </w:r>
      <w:r>
        <w:rPr>
          <w:rFonts w:hint="eastAsia" w:ascii="宋体" w:hAnsi="宋体" w:eastAsia="宋体"/>
          <w:b/>
          <w:sz w:val="21"/>
          <w:szCs w:val="21"/>
        </w:rPr>
        <w:t>、自助登机门系统详细功能要求：</w:t>
      </w:r>
    </w:p>
    <w:p>
      <w:pPr>
        <w:tabs>
          <w:tab w:val="left" w:pos="5985"/>
        </w:tabs>
        <w:snapToGrid w:val="0"/>
        <w:ind w:firstLine="420" w:firstLineChars="200"/>
        <w:rPr>
          <w:rFonts w:ascii="宋体" w:hAnsi="宋体"/>
          <w:snapToGrid w:val="0"/>
          <w:kern w:val="0"/>
          <w:szCs w:val="21"/>
        </w:rPr>
      </w:pPr>
      <w:r>
        <w:rPr>
          <w:rFonts w:ascii="宋体" w:hAnsi="宋体"/>
          <w:snapToGrid w:val="0"/>
          <w:kern w:val="0"/>
          <w:szCs w:val="21"/>
        </w:rPr>
        <w:t xml:space="preserve"> </w:t>
      </w:r>
    </w:p>
    <w:p>
      <w:pPr>
        <w:tabs>
          <w:tab w:val="left" w:pos="5985"/>
        </w:tabs>
        <w:snapToGrid w:val="0"/>
        <w:ind w:firstLine="420" w:firstLineChars="200"/>
        <w:rPr>
          <w:rFonts w:ascii="宋体" w:hAnsi="宋体" w:cs="宋体"/>
          <w:b/>
          <w:bCs/>
          <w:szCs w:val="21"/>
        </w:rPr>
      </w:pPr>
      <w:r>
        <w:rPr>
          <w:rFonts w:hint="eastAsia" w:ascii="宋体" w:hAnsi="宋体" w:cs="宋体"/>
          <w:b/>
          <w:bCs/>
          <w:szCs w:val="21"/>
        </w:rPr>
        <w:t>2.2.1、功能性要求</w:t>
      </w:r>
    </w:p>
    <w:p>
      <w:pPr>
        <w:tabs>
          <w:tab w:val="left" w:pos="5985"/>
        </w:tabs>
        <w:snapToGrid w:val="0"/>
        <w:ind w:firstLine="420" w:firstLineChars="200"/>
        <w:rPr>
          <w:rFonts w:ascii="宋体" w:hAnsi="宋体" w:cs="宋体"/>
          <w:b/>
          <w:bCs/>
          <w:szCs w:val="21"/>
        </w:rPr>
      </w:pPr>
      <w:r>
        <w:rPr>
          <w:rFonts w:hint="eastAsia" w:ascii="宋体" w:hAnsi="宋体" w:cs="宋体"/>
          <w:b/>
          <w:bCs/>
          <w:szCs w:val="21"/>
        </w:rPr>
        <w:t>2.2.1.1条码信息的读取</w:t>
      </w:r>
    </w:p>
    <w:p>
      <w:pPr>
        <w:tabs>
          <w:tab w:val="left" w:pos="5985"/>
        </w:tabs>
        <w:snapToGrid w:val="0"/>
        <w:ind w:firstLine="420" w:firstLineChars="200"/>
        <w:rPr>
          <w:rFonts w:ascii="宋体" w:hAnsi="宋体" w:cs="宋体"/>
          <w:bCs/>
          <w:szCs w:val="21"/>
        </w:rPr>
      </w:pPr>
      <w:r>
        <w:rPr>
          <w:rFonts w:hint="eastAsia" w:ascii="宋体" w:hAnsi="宋体" w:cs="宋体"/>
          <w:bCs/>
          <w:szCs w:val="21"/>
        </w:rPr>
        <w:t>2.2.1.1.1旅客可通过在登机门上扫描条码通过登机门，条码扫描装置需支持一维码、二维码等常用登机牌条码，并可识别条码类型；</w:t>
      </w:r>
    </w:p>
    <w:p>
      <w:pPr>
        <w:tabs>
          <w:tab w:val="left" w:pos="5985"/>
        </w:tabs>
        <w:snapToGrid w:val="0"/>
        <w:ind w:firstLine="420" w:firstLineChars="200"/>
        <w:rPr>
          <w:rFonts w:ascii="宋体" w:hAnsi="宋体" w:cs="宋体"/>
          <w:bCs/>
          <w:szCs w:val="21"/>
        </w:rPr>
      </w:pPr>
      <w:r>
        <w:rPr>
          <w:rFonts w:hint="eastAsia" w:ascii="宋体" w:hAnsi="宋体" w:cs="宋体"/>
          <w:bCs/>
          <w:szCs w:val="21"/>
        </w:rPr>
        <w:t>2.2.1.1.2为提高条码读取速度，阅读区域应大于标准登机牌一维条码长度，保证扫描区域内各个角度均可实现条码读取；</w:t>
      </w:r>
    </w:p>
    <w:p>
      <w:pPr>
        <w:tabs>
          <w:tab w:val="left" w:pos="5985"/>
        </w:tabs>
        <w:snapToGrid w:val="0"/>
        <w:ind w:firstLine="420" w:firstLineChars="200"/>
        <w:rPr>
          <w:rFonts w:ascii="宋体" w:hAnsi="宋体" w:cs="宋体"/>
          <w:bCs/>
          <w:szCs w:val="21"/>
        </w:rPr>
      </w:pPr>
      <w:r>
        <w:rPr>
          <w:rFonts w:hint="eastAsia" w:ascii="宋体" w:hAnsi="宋体" w:cs="宋体"/>
          <w:bCs/>
          <w:szCs w:val="21"/>
        </w:rPr>
        <w:t>2.2.1.1.3条码扫描识别时间：＜1S（即条码放上去即可被识别出来）；</w:t>
      </w:r>
    </w:p>
    <w:p>
      <w:pPr>
        <w:tabs>
          <w:tab w:val="left" w:pos="5985"/>
        </w:tabs>
        <w:snapToGrid w:val="0"/>
        <w:ind w:firstLine="420" w:firstLineChars="200"/>
        <w:rPr>
          <w:rFonts w:ascii="宋体" w:hAnsi="宋体" w:cs="宋体"/>
          <w:bCs/>
          <w:szCs w:val="21"/>
        </w:rPr>
      </w:pPr>
      <w:r>
        <w:rPr>
          <w:rFonts w:hint="eastAsia" w:ascii="宋体" w:hAnsi="宋体" w:cs="宋体"/>
          <w:bCs/>
          <w:szCs w:val="21"/>
        </w:rPr>
        <w:t>2.2.1.1.4条码扫描区域需有明显图片及文字提示；</w:t>
      </w:r>
    </w:p>
    <w:p>
      <w:pPr>
        <w:tabs>
          <w:tab w:val="left" w:pos="5985"/>
        </w:tabs>
        <w:snapToGrid w:val="0"/>
        <w:ind w:firstLine="420" w:firstLineChars="200"/>
        <w:rPr>
          <w:rFonts w:ascii="宋体" w:hAnsi="宋体" w:cs="宋体"/>
          <w:bCs/>
          <w:szCs w:val="21"/>
        </w:rPr>
      </w:pPr>
      <w:r>
        <w:rPr>
          <w:rFonts w:hint="eastAsia" w:ascii="宋体" w:hAnsi="宋体" w:cs="宋体"/>
          <w:bCs/>
          <w:szCs w:val="21"/>
        </w:rPr>
        <w:t>2.2.1.1.5扫描装置需在外观上与整体设备融入一体；</w:t>
      </w:r>
    </w:p>
    <w:p>
      <w:pPr>
        <w:tabs>
          <w:tab w:val="left" w:pos="5985"/>
        </w:tabs>
        <w:snapToGrid w:val="0"/>
        <w:ind w:firstLine="420" w:firstLineChars="200"/>
        <w:rPr>
          <w:rFonts w:ascii="宋体" w:hAnsi="宋体" w:cs="宋体"/>
          <w:bCs/>
          <w:szCs w:val="21"/>
        </w:rPr>
      </w:pPr>
      <w:r>
        <w:rPr>
          <w:rFonts w:hint="eastAsia" w:ascii="宋体" w:hAnsi="宋体" w:cs="宋体"/>
          <w:bCs/>
          <w:szCs w:val="21"/>
        </w:rPr>
        <w:t>2.2.1.1.6支持连续扫描；</w:t>
      </w:r>
    </w:p>
    <w:p>
      <w:pPr>
        <w:tabs>
          <w:tab w:val="left" w:pos="5985"/>
        </w:tabs>
        <w:snapToGrid w:val="0"/>
        <w:ind w:firstLine="420" w:firstLineChars="200"/>
        <w:rPr>
          <w:rFonts w:ascii="宋体" w:hAnsi="宋体" w:cs="宋体"/>
          <w:b/>
          <w:bCs/>
          <w:szCs w:val="21"/>
        </w:rPr>
      </w:pPr>
      <w:r>
        <w:rPr>
          <w:rFonts w:hint="eastAsia" w:ascii="宋体" w:hAnsi="宋体" w:cs="宋体"/>
          <w:b/>
          <w:bCs/>
          <w:szCs w:val="21"/>
        </w:rPr>
        <w:t>2.2.1.2证件读取</w:t>
      </w:r>
    </w:p>
    <w:p>
      <w:pPr>
        <w:tabs>
          <w:tab w:val="left" w:pos="5985"/>
        </w:tabs>
        <w:snapToGrid w:val="0"/>
        <w:ind w:firstLine="420" w:firstLineChars="200"/>
        <w:rPr>
          <w:rFonts w:ascii="宋体" w:hAnsi="宋体" w:cs="宋体"/>
          <w:bCs/>
          <w:szCs w:val="21"/>
        </w:rPr>
      </w:pPr>
      <w:r>
        <w:rPr>
          <w:rFonts w:hint="eastAsia" w:ascii="宋体" w:hAnsi="宋体" w:cs="宋体"/>
          <w:bCs/>
          <w:szCs w:val="21"/>
        </w:rPr>
        <w:t>2.2.1.2.1可支持读取二代身份证，旅客可扫描二代身份证进行自助登机；</w:t>
      </w:r>
    </w:p>
    <w:p>
      <w:pPr>
        <w:tabs>
          <w:tab w:val="left" w:pos="5985"/>
        </w:tabs>
        <w:snapToGrid w:val="0"/>
        <w:ind w:firstLine="420" w:firstLineChars="200"/>
        <w:rPr>
          <w:rFonts w:ascii="宋体" w:hAnsi="宋体" w:cs="宋体"/>
          <w:bCs/>
          <w:szCs w:val="21"/>
        </w:rPr>
      </w:pPr>
      <w:r>
        <w:rPr>
          <w:rFonts w:hint="eastAsia" w:ascii="宋体" w:hAnsi="宋体" w:cs="宋体"/>
          <w:bCs/>
          <w:szCs w:val="21"/>
        </w:rPr>
        <w:t>2.2.1.2.2扫描区域有明显图片及文字提示；</w:t>
      </w:r>
    </w:p>
    <w:p>
      <w:pPr>
        <w:tabs>
          <w:tab w:val="left" w:pos="5985"/>
        </w:tabs>
        <w:snapToGrid w:val="0"/>
        <w:ind w:firstLine="420" w:firstLineChars="200"/>
        <w:rPr>
          <w:rFonts w:ascii="宋体" w:hAnsi="宋体" w:cs="宋体"/>
          <w:bCs/>
          <w:szCs w:val="21"/>
        </w:rPr>
      </w:pPr>
      <w:r>
        <w:rPr>
          <w:rFonts w:hint="eastAsia" w:ascii="宋体" w:hAnsi="宋体" w:cs="宋体"/>
          <w:bCs/>
          <w:szCs w:val="21"/>
        </w:rPr>
        <w:t>2.2.1.2.3可支持读取港澳台居民居住证和外国人永久居留身份证；</w:t>
      </w:r>
    </w:p>
    <w:p>
      <w:pPr>
        <w:tabs>
          <w:tab w:val="left" w:pos="5985"/>
        </w:tabs>
        <w:snapToGrid w:val="0"/>
        <w:ind w:firstLine="420" w:firstLineChars="200"/>
        <w:rPr>
          <w:rFonts w:ascii="宋体" w:hAnsi="宋体" w:cs="宋体"/>
          <w:b/>
          <w:bCs/>
          <w:szCs w:val="21"/>
        </w:rPr>
      </w:pPr>
      <w:r>
        <w:rPr>
          <w:rFonts w:hint="eastAsia" w:ascii="宋体" w:hAnsi="宋体" w:cs="宋体"/>
          <w:b/>
          <w:bCs/>
          <w:szCs w:val="21"/>
        </w:rPr>
        <w:t>2.2.1.3打印登机凭证</w:t>
      </w:r>
    </w:p>
    <w:p>
      <w:pPr>
        <w:tabs>
          <w:tab w:val="left" w:pos="5985"/>
        </w:tabs>
        <w:snapToGrid w:val="0"/>
        <w:ind w:firstLine="420" w:firstLineChars="200"/>
        <w:rPr>
          <w:rFonts w:ascii="宋体" w:hAnsi="宋体" w:cs="宋体"/>
          <w:bCs/>
          <w:szCs w:val="21"/>
        </w:rPr>
      </w:pPr>
      <w:r>
        <w:rPr>
          <w:rFonts w:hint="eastAsia" w:ascii="宋体" w:hAnsi="宋体" w:cs="宋体"/>
          <w:bCs/>
          <w:szCs w:val="21"/>
        </w:rPr>
        <w:t>2.2.1.3.1要求配备微型热敏打印机，为旅客打印纸质登机凭证；</w:t>
      </w:r>
    </w:p>
    <w:p>
      <w:pPr>
        <w:tabs>
          <w:tab w:val="left" w:pos="5985"/>
        </w:tabs>
        <w:snapToGrid w:val="0"/>
        <w:ind w:firstLine="420" w:firstLineChars="200"/>
        <w:rPr>
          <w:rFonts w:ascii="宋体" w:hAnsi="宋体" w:cs="宋体"/>
          <w:bCs/>
          <w:szCs w:val="21"/>
        </w:rPr>
      </w:pPr>
      <w:r>
        <w:rPr>
          <w:rFonts w:hint="eastAsia" w:ascii="宋体" w:hAnsi="宋体" w:cs="宋体"/>
          <w:bCs/>
          <w:szCs w:val="21"/>
        </w:rPr>
        <w:t>2.2.1.3.2微型打印机可根据需求开启或关闭部分条码类型的打印功能；</w:t>
      </w:r>
    </w:p>
    <w:p>
      <w:pPr>
        <w:tabs>
          <w:tab w:val="left" w:pos="5985"/>
        </w:tabs>
        <w:snapToGrid w:val="0"/>
        <w:ind w:firstLine="420" w:firstLineChars="200"/>
        <w:rPr>
          <w:rFonts w:ascii="宋体" w:hAnsi="宋体" w:cs="宋体"/>
          <w:bCs/>
          <w:szCs w:val="21"/>
        </w:rPr>
      </w:pPr>
      <w:r>
        <w:rPr>
          <w:rFonts w:hint="eastAsia" w:ascii="宋体" w:hAnsi="宋体" w:cs="宋体"/>
          <w:bCs/>
          <w:szCs w:val="21"/>
        </w:rPr>
        <w:t>2.2.1.3.3微型打印机可根据客户需求自动汇总打印航班登机信息；</w:t>
      </w:r>
    </w:p>
    <w:p>
      <w:pPr>
        <w:tabs>
          <w:tab w:val="left" w:pos="5985"/>
        </w:tabs>
        <w:snapToGrid w:val="0"/>
        <w:ind w:firstLine="420" w:firstLineChars="200"/>
        <w:rPr>
          <w:rFonts w:ascii="宋体" w:hAnsi="宋体" w:cs="宋体"/>
          <w:b/>
          <w:bCs/>
          <w:szCs w:val="21"/>
        </w:rPr>
      </w:pPr>
      <w:r>
        <w:rPr>
          <w:rFonts w:hint="eastAsia" w:ascii="宋体" w:hAnsi="宋体" w:cs="宋体"/>
          <w:b/>
          <w:bCs/>
          <w:szCs w:val="21"/>
        </w:rPr>
        <w:t>2.2.1.4设备功能及状态显示</w:t>
      </w:r>
    </w:p>
    <w:p>
      <w:pPr>
        <w:tabs>
          <w:tab w:val="left" w:pos="5985"/>
        </w:tabs>
        <w:snapToGrid w:val="0"/>
        <w:ind w:firstLine="420" w:firstLineChars="200"/>
        <w:rPr>
          <w:rFonts w:ascii="宋体" w:hAnsi="宋体" w:cs="宋体"/>
          <w:bCs/>
          <w:szCs w:val="21"/>
        </w:rPr>
      </w:pPr>
      <w:r>
        <w:rPr>
          <w:rFonts w:hint="eastAsia" w:ascii="宋体" w:hAnsi="宋体" w:cs="宋体"/>
          <w:bCs/>
          <w:szCs w:val="21"/>
        </w:rPr>
        <w:t>2.2.1.4.1需配备显示屏，可同时显示人脸对比框和旅客登机相关提示信息，并可根据现场实际情况调整显示屏的角度位置；</w:t>
      </w:r>
    </w:p>
    <w:p>
      <w:pPr>
        <w:tabs>
          <w:tab w:val="left" w:pos="5985"/>
        </w:tabs>
        <w:snapToGrid w:val="0"/>
        <w:ind w:firstLine="420" w:firstLineChars="200"/>
        <w:rPr>
          <w:rFonts w:ascii="宋体" w:hAnsi="宋体" w:cs="宋体"/>
          <w:bCs/>
          <w:szCs w:val="21"/>
        </w:rPr>
      </w:pPr>
      <w:r>
        <w:rPr>
          <w:rFonts w:hint="eastAsia" w:ascii="宋体" w:hAnsi="宋体" w:cs="宋体"/>
          <w:bCs/>
          <w:szCs w:val="21"/>
        </w:rPr>
        <w:t>2.2.1.4.2可以给通关旅客提供指引，设备工作（可用）/休眠（不可用）状态提示；</w:t>
      </w:r>
    </w:p>
    <w:p>
      <w:pPr>
        <w:tabs>
          <w:tab w:val="left" w:pos="5985"/>
        </w:tabs>
        <w:snapToGrid w:val="0"/>
        <w:ind w:firstLine="420" w:firstLineChars="200"/>
        <w:rPr>
          <w:rFonts w:ascii="宋体" w:hAnsi="宋体" w:cs="宋体"/>
          <w:bCs/>
          <w:szCs w:val="21"/>
        </w:rPr>
      </w:pPr>
      <w:r>
        <w:rPr>
          <w:rFonts w:hint="eastAsia" w:ascii="宋体" w:hAnsi="宋体" w:cs="宋体"/>
          <w:bCs/>
          <w:szCs w:val="21"/>
        </w:rPr>
        <w:t>2.2.1.4.3根据2.2.1.3项的要求，可打印纸质登机凭证，并允许自定义打印模板；</w:t>
      </w:r>
    </w:p>
    <w:p>
      <w:pPr>
        <w:tabs>
          <w:tab w:val="left" w:pos="5985"/>
        </w:tabs>
        <w:snapToGrid w:val="0"/>
        <w:ind w:firstLine="420" w:firstLineChars="200"/>
        <w:rPr>
          <w:rFonts w:ascii="宋体" w:hAnsi="宋体" w:cs="宋体"/>
          <w:bCs/>
          <w:szCs w:val="21"/>
        </w:rPr>
      </w:pPr>
      <w:r>
        <w:rPr>
          <w:rFonts w:hint="eastAsia" w:ascii="宋体" w:hAnsi="宋体" w:cs="宋体"/>
          <w:bCs/>
          <w:szCs w:val="21"/>
        </w:rPr>
        <w:t>2.2.1.4.4双道门之间空间可保证携带行李箱旅客正常进入刷牌；</w:t>
      </w:r>
      <w:r>
        <w:rPr>
          <w:rFonts w:ascii="宋体" w:hAnsi="宋体" w:cs="宋体"/>
          <w:bCs/>
          <w:szCs w:val="21"/>
        </w:rPr>
        <w:t xml:space="preserve"> </w:t>
      </w:r>
    </w:p>
    <w:p>
      <w:pPr>
        <w:tabs>
          <w:tab w:val="left" w:pos="5985"/>
        </w:tabs>
        <w:snapToGrid w:val="0"/>
        <w:ind w:firstLine="420" w:firstLineChars="200"/>
        <w:rPr>
          <w:rFonts w:ascii="宋体" w:hAnsi="宋体" w:cs="宋体"/>
          <w:bCs/>
          <w:szCs w:val="21"/>
        </w:rPr>
      </w:pPr>
      <w:r>
        <w:rPr>
          <w:rFonts w:hint="eastAsia" w:ascii="宋体" w:hAnsi="宋体" w:cs="宋体"/>
          <w:bCs/>
          <w:szCs w:val="21"/>
        </w:rPr>
        <w:t>2.2.1.4.5</w:t>
      </w:r>
      <w:r>
        <w:rPr>
          <w:rFonts w:hint="eastAsia" w:ascii="宋体" w:hAnsi="宋体"/>
          <w:szCs w:val="21"/>
        </w:rPr>
        <w:t>具备语音提示组件，每个操作步骤可通过语音方式提醒</w:t>
      </w:r>
      <w:r>
        <w:rPr>
          <w:rFonts w:ascii="宋体" w:hAnsi="宋体" w:cs="宋体"/>
          <w:bCs/>
          <w:szCs w:val="21"/>
        </w:rPr>
        <w:t>；</w:t>
      </w:r>
    </w:p>
    <w:p>
      <w:pPr>
        <w:tabs>
          <w:tab w:val="left" w:pos="5985"/>
        </w:tabs>
        <w:snapToGrid w:val="0"/>
        <w:ind w:firstLine="420" w:firstLineChars="200"/>
        <w:rPr>
          <w:rFonts w:ascii="宋体" w:hAnsi="宋体" w:cs="宋体"/>
          <w:bCs/>
          <w:szCs w:val="21"/>
        </w:rPr>
      </w:pPr>
      <w:r>
        <w:rPr>
          <w:rFonts w:hint="eastAsia" w:ascii="宋体" w:hAnsi="宋体" w:cs="宋体"/>
          <w:bCs/>
          <w:szCs w:val="21"/>
        </w:rPr>
        <w:t>2.2.1.4.6可根据现场需求调整双道门的开关门逻辑，以满足现场自助登机流程需求；</w:t>
      </w:r>
    </w:p>
    <w:p>
      <w:pPr>
        <w:tabs>
          <w:tab w:val="left" w:pos="5985"/>
        </w:tabs>
        <w:snapToGrid w:val="0"/>
        <w:ind w:firstLine="420" w:firstLineChars="200"/>
        <w:rPr>
          <w:rFonts w:ascii="宋体" w:hAnsi="宋体" w:cs="宋体"/>
          <w:b/>
          <w:bCs/>
          <w:szCs w:val="21"/>
        </w:rPr>
      </w:pPr>
      <w:r>
        <w:rPr>
          <w:rFonts w:hint="eastAsia" w:ascii="宋体" w:hAnsi="宋体" w:cs="宋体"/>
          <w:b/>
          <w:bCs/>
          <w:szCs w:val="21"/>
        </w:rPr>
        <w:t>2.2.1.5具备人脸识别系统</w:t>
      </w:r>
    </w:p>
    <w:p>
      <w:pPr>
        <w:tabs>
          <w:tab w:val="left" w:pos="5985"/>
        </w:tabs>
        <w:snapToGrid w:val="0"/>
        <w:ind w:firstLine="420" w:firstLineChars="200"/>
        <w:rPr>
          <w:rFonts w:ascii="宋体" w:hAnsi="宋体"/>
          <w:snapToGrid w:val="0"/>
          <w:kern w:val="0"/>
          <w:szCs w:val="21"/>
        </w:rPr>
      </w:pPr>
      <w:r>
        <w:rPr>
          <w:rFonts w:hint="eastAsia" w:ascii="宋体" w:hAnsi="宋体" w:cs="宋体"/>
          <w:bCs/>
          <w:szCs w:val="21"/>
        </w:rPr>
        <w:t>2.2.1.5.1</w:t>
      </w:r>
      <w:r>
        <w:rPr>
          <w:rFonts w:hint="eastAsia" w:ascii="宋体" w:hAnsi="宋体"/>
          <w:snapToGrid w:val="0"/>
          <w:kern w:val="0"/>
          <w:szCs w:val="21"/>
        </w:rPr>
        <w:t>要求集成人脸识别系统，需要把人脸验证结果作为允许旅客通行的必要条件；</w:t>
      </w:r>
    </w:p>
    <w:p>
      <w:pPr>
        <w:tabs>
          <w:tab w:val="left" w:pos="5985"/>
        </w:tabs>
        <w:snapToGrid w:val="0"/>
        <w:ind w:firstLine="420" w:firstLineChars="200"/>
        <w:rPr>
          <w:rFonts w:ascii="宋体" w:hAnsi="宋体"/>
          <w:snapToGrid w:val="0"/>
          <w:kern w:val="0"/>
          <w:szCs w:val="21"/>
        </w:rPr>
      </w:pPr>
      <w:r>
        <w:rPr>
          <w:rFonts w:hint="eastAsia" w:ascii="宋体" w:hAnsi="宋体"/>
          <w:snapToGrid w:val="0"/>
          <w:kern w:val="0"/>
          <w:szCs w:val="21"/>
        </w:rPr>
        <w:t>2.2.1.5.2可在显示屏上给出人脸比对提示区域，并显示比对结果；</w:t>
      </w:r>
    </w:p>
    <w:p>
      <w:pPr>
        <w:tabs>
          <w:tab w:val="left" w:pos="5985"/>
        </w:tabs>
        <w:snapToGrid w:val="0"/>
        <w:ind w:firstLine="420" w:firstLineChars="200"/>
        <w:rPr>
          <w:rFonts w:ascii="宋体" w:hAnsi="宋体"/>
          <w:snapToGrid w:val="0"/>
          <w:kern w:val="0"/>
          <w:szCs w:val="21"/>
        </w:rPr>
      </w:pPr>
      <w:r>
        <w:rPr>
          <w:rFonts w:hint="eastAsia" w:ascii="宋体" w:hAnsi="宋体"/>
          <w:snapToGrid w:val="0"/>
          <w:kern w:val="0"/>
          <w:szCs w:val="21"/>
        </w:rPr>
        <w:t>2.2.1.5.3需与安检信息系统做接口，获取旅客过安检时的人脸照片；</w:t>
      </w:r>
      <w:r>
        <w:rPr>
          <w:rFonts w:ascii="宋体" w:hAnsi="宋体"/>
          <w:snapToGrid w:val="0"/>
          <w:kern w:val="0"/>
          <w:szCs w:val="21"/>
        </w:rPr>
        <w:t xml:space="preserve"> </w:t>
      </w:r>
    </w:p>
    <w:p>
      <w:pPr>
        <w:tabs>
          <w:tab w:val="left" w:pos="5985"/>
        </w:tabs>
        <w:snapToGrid w:val="0"/>
        <w:ind w:firstLine="420" w:firstLineChars="200"/>
        <w:rPr>
          <w:rFonts w:ascii="宋体" w:hAnsi="宋体" w:cs="宋体"/>
          <w:bCs/>
          <w:szCs w:val="21"/>
        </w:rPr>
      </w:pPr>
      <w:r>
        <w:rPr>
          <w:rFonts w:hint="eastAsia" w:ascii="宋体" w:hAnsi="宋体"/>
          <w:snapToGrid w:val="0"/>
          <w:kern w:val="0"/>
          <w:szCs w:val="21"/>
        </w:rPr>
        <w:t>2.2.1.5.4提供人脸比对算法及实现方案，</w:t>
      </w:r>
      <w:r>
        <w:rPr>
          <w:rFonts w:hint="eastAsia" w:ascii="宋体" w:hAnsi="宋体"/>
          <w:snapToGrid w:val="0"/>
          <w:color w:val="000000"/>
          <w:kern w:val="0"/>
          <w:szCs w:val="21"/>
        </w:rPr>
        <w:t>验证旅客现场照片与过安检照片是否一致</w:t>
      </w:r>
      <w:r>
        <w:rPr>
          <w:rFonts w:hint="eastAsia" w:ascii="宋体" w:hAnsi="宋体"/>
          <w:snapToGrid w:val="0"/>
          <w:kern w:val="0"/>
          <w:szCs w:val="21"/>
        </w:rPr>
        <w:t>；</w:t>
      </w:r>
    </w:p>
    <w:p>
      <w:pPr>
        <w:tabs>
          <w:tab w:val="left" w:pos="5985"/>
        </w:tabs>
        <w:snapToGrid w:val="0"/>
        <w:ind w:firstLine="420" w:firstLineChars="200"/>
        <w:rPr>
          <w:rFonts w:ascii="宋体" w:hAnsi="宋体" w:cs="宋体"/>
          <w:b/>
          <w:bCs/>
          <w:szCs w:val="21"/>
        </w:rPr>
      </w:pPr>
      <w:r>
        <w:rPr>
          <w:rFonts w:hint="eastAsia" w:ascii="宋体" w:hAnsi="宋体" w:cs="宋体"/>
          <w:b/>
          <w:bCs/>
          <w:szCs w:val="21"/>
        </w:rPr>
        <w:t>2.2.1.6安全防护</w:t>
      </w:r>
    </w:p>
    <w:p>
      <w:pPr>
        <w:tabs>
          <w:tab w:val="left" w:pos="5985"/>
        </w:tabs>
        <w:snapToGrid w:val="0"/>
        <w:ind w:firstLine="420" w:firstLineChars="200"/>
        <w:rPr>
          <w:rFonts w:ascii="宋体" w:hAnsi="宋体" w:cs="宋体"/>
          <w:bCs/>
          <w:szCs w:val="21"/>
        </w:rPr>
      </w:pPr>
      <w:r>
        <w:rPr>
          <w:rFonts w:hint="eastAsia" w:ascii="宋体" w:hAnsi="宋体" w:cs="宋体"/>
          <w:bCs/>
          <w:szCs w:val="21"/>
        </w:rPr>
        <w:t>2.2.1.6.1尾随检测：防止异常通行尾随。可监测多种尾随情况，尾随判断正确率达到95</w:t>
      </w:r>
      <w:r>
        <w:rPr>
          <w:rFonts w:ascii="宋体" w:hAnsi="宋体" w:cs="宋体"/>
          <w:bCs/>
          <w:szCs w:val="21"/>
        </w:rPr>
        <w:t>%</w:t>
      </w:r>
      <w:r>
        <w:rPr>
          <w:rFonts w:hint="eastAsia" w:ascii="宋体" w:hAnsi="宋体" w:cs="宋体"/>
          <w:bCs/>
          <w:szCs w:val="21"/>
        </w:rPr>
        <w:t xml:space="preserve">以上； </w:t>
      </w:r>
    </w:p>
    <w:p>
      <w:pPr>
        <w:tabs>
          <w:tab w:val="left" w:pos="5985"/>
        </w:tabs>
        <w:snapToGrid w:val="0"/>
        <w:ind w:firstLine="420" w:firstLineChars="200"/>
        <w:rPr>
          <w:rFonts w:ascii="宋体" w:hAnsi="宋体" w:cs="宋体"/>
          <w:bCs/>
          <w:szCs w:val="21"/>
        </w:rPr>
      </w:pPr>
      <w:r>
        <w:rPr>
          <w:rFonts w:hint="eastAsia" w:ascii="宋体" w:hAnsi="宋体" w:cs="宋体"/>
          <w:bCs/>
          <w:szCs w:val="21"/>
        </w:rPr>
        <w:t>2.2.1.6.2紧急疏散功能：断电状态下，门翼为非锁定状态，工作人员可调整门翼状态；</w:t>
      </w:r>
    </w:p>
    <w:p>
      <w:pPr>
        <w:tabs>
          <w:tab w:val="left" w:pos="5985"/>
        </w:tabs>
        <w:snapToGrid w:val="0"/>
        <w:ind w:firstLine="420" w:firstLineChars="200"/>
        <w:rPr>
          <w:rFonts w:ascii="宋体" w:hAnsi="宋体" w:cs="宋体"/>
          <w:bCs/>
          <w:szCs w:val="21"/>
        </w:rPr>
      </w:pPr>
      <w:r>
        <w:rPr>
          <w:rFonts w:hint="eastAsia" w:ascii="宋体" w:hAnsi="宋体" w:cs="宋体"/>
          <w:bCs/>
          <w:szCs w:val="21"/>
        </w:rPr>
        <w:t>2.2.1.6.3紧急疏散按钮：通道末端、通道前端外侧及登机口柜台内均需设置紧急疏散按钮；</w:t>
      </w:r>
    </w:p>
    <w:p>
      <w:pPr>
        <w:tabs>
          <w:tab w:val="left" w:pos="5985"/>
        </w:tabs>
        <w:snapToGrid w:val="0"/>
        <w:ind w:firstLine="420" w:firstLineChars="200"/>
        <w:rPr>
          <w:rFonts w:ascii="宋体" w:hAnsi="宋体" w:cs="宋体"/>
          <w:bCs/>
          <w:szCs w:val="21"/>
        </w:rPr>
      </w:pPr>
      <w:r>
        <w:rPr>
          <w:rFonts w:hint="eastAsia" w:ascii="宋体" w:hAnsi="宋体" w:cs="宋体"/>
          <w:bCs/>
          <w:szCs w:val="21"/>
        </w:rPr>
        <w:t>2.2.1.6.4禁止反向通行：具备反向预警功能；</w:t>
      </w:r>
    </w:p>
    <w:p>
      <w:pPr>
        <w:tabs>
          <w:tab w:val="left" w:pos="5985"/>
        </w:tabs>
        <w:snapToGrid w:val="0"/>
        <w:ind w:firstLine="420" w:firstLineChars="200"/>
        <w:rPr>
          <w:rFonts w:ascii="宋体" w:hAnsi="宋体" w:cs="宋体"/>
          <w:bCs/>
          <w:szCs w:val="21"/>
        </w:rPr>
      </w:pPr>
      <w:r>
        <w:rPr>
          <w:rFonts w:hint="eastAsia" w:ascii="宋体" w:hAnsi="宋体" w:cs="宋体"/>
          <w:bCs/>
          <w:szCs w:val="21"/>
        </w:rPr>
        <w:t>2.2.1.6.5防夹功能：具备防夹功能，请在标书中说明具体方案；</w:t>
      </w:r>
    </w:p>
    <w:p>
      <w:pPr>
        <w:tabs>
          <w:tab w:val="left" w:pos="5985"/>
        </w:tabs>
        <w:snapToGrid w:val="0"/>
        <w:ind w:firstLine="420" w:firstLineChars="200"/>
        <w:rPr>
          <w:rFonts w:ascii="宋体" w:hAnsi="宋体" w:cs="宋体"/>
          <w:bCs/>
          <w:szCs w:val="21"/>
        </w:rPr>
      </w:pPr>
      <w:r>
        <w:rPr>
          <w:rFonts w:hint="eastAsia" w:ascii="宋体" w:hAnsi="宋体" w:cs="宋体"/>
          <w:bCs/>
          <w:szCs w:val="21"/>
        </w:rPr>
        <w:t>2.2.1.6.6自助登机门与廊桥之间增加玻璃隔断，防止旅客绕过自助登机门直接进入廊桥区域，要求玻璃隔断整体外观与航站楼整体的建筑风格保持一致。</w:t>
      </w:r>
    </w:p>
    <w:p>
      <w:pPr>
        <w:tabs>
          <w:tab w:val="left" w:pos="5985"/>
        </w:tabs>
        <w:snapToGrid w:val="0"/>
        <w:ind w:firstLine="420" w:firstLineChars="200"/>
        <w:rPr>
          <w:rFonts w:ascii="宋体" w:hAnsi="宋体" w:cs="宋体"/>
          <w:b/>
          <w:bCs/>
          <w:szCs w:val="21"/>
        </w:rPr>
      </w:pPr>
      <w:r>
        <w:rPr>
          <w:rFonts w:hint="eastAsia" w:ascii="宋体" w:hAnsi="宋体" w:cs="宋体"/>
          <w:b/>
          <w:bCs/>
          <w:szCs w:val="21"/>
        </w:rPr>
        <w:t>2.2.1.7其他</w:t>
      </w:r>
    </w:p>
    <w:p>
      <w:pPr>
        <w:tabs>
          <w:tab w:val="left" w:pos="5985"/>
        </w:tabs>
        <w:snapToGrid w:val="0"/>
        <w:ind w:firstLine="420" w:firstLineChars="200"/>
        <w:rPr>
          <w:rFonts w:ascii="宋体" w:hAnsi="宋体" w:cs="宋体"/>
          <w:bCs/>
          <w:szCs w:val="21"/>
        </w:rPr>
      </w:pPr>
      <w:r>
        <w:rPr>
          <w:rFonts w:hint="eastAsia" w:ascii="宋体" w:hAnsi="宋体" w:cs="宋体"/>
          <w:bCs/>
          <w:szCs w:val="21"/>
        </w:rPr>
        <w:t>2.2.1.7.1不间断电源：UPS及其他形式的后备电源设备应保证掉电情况发生时的旅客安全、生产数据保留及快速查阅；</w:t>
      </w:r>
    </w:p>
    <w:p>
      <w:pPr>
        <w:tabs>
          <w:tab w:val="left" w:pos="5985"/>
        </w:tabs>
        <w:snapToGrid w:val="0"/>
        <w:ind w:firstLine="420" w:firstLineChars="200"/>
        <w:rPr>
          <w:rFonts w:ascii="宋体" w:hAnsi="宋体" w:cs="宋体"/>
          <w:bCs/>
          <w:szCs w:val="21"/>
        </w:rPr>
      </w:pPr>
      <w:r>
        <w:rPr>
          <w:rFonts w:hint="eastAsia" w:ascii="宋体" w:hAnsi="宋体" w:cs="宋体"/>
          <w:bCs/>
          <w:szCs w:val="21"/>
        </w:rPr>
        <w:t>2.2.1.7.2需配备1米警戒区域，防止旅客无序拥挤，提高登机效率；</w:t>
      </w:r>
    </w:p>
    <w:p>
      <w:pPr>
        <w:tabs>
          <w:tab w:val="left" w:pos="5985"/>
        </w:tabs>
        <w:snapToGrid w:val="0"/>
        <w:ind w:firstLine="420" w:firstLineChars="200"/>
        <w:rPr>
          <w:rFonts w:ascii="宋体" w:hAnsi="宋体" w:cs="宋体"/>
          <w:bCs/>
          <w:szCs w:val="21"/>
        </w:rPr>
      </w:pPr>
      <w:r>
        <w:rPr>
          <w:rFonts w:hint="eastAsia" w:ascii="宋体" w:hAnsi="宋体" w:cs="宋体"/>
          <w:bCs/>
          <w:szCs w:val="21"/>
        </w:rPr>
        <w:t>2.2.1.7.3可根据需求增加各种提示性图片及文字信息；</w:t>
      </w:r>
    </w:p>
    <w:p>
      <w:pPr>
        <w:tabs>
          <w:tab w:val="left" w:pos="5985"/>
        </w:tabs>
        <w:snapToGrid w:val="0"/>
        <w:ind w:firstLine="420" w:firstLineChars="200"/>
        <w:rPr>
          <w:rFonts w:ascii="宋体" w:hAnsi="宋体" w:cs="宋体"/>
          <w:bCs/>
          <w:szCs w:val="21"/>
        </w:rPr>
      </w:pPr>
      <w:r>
        <w:rPr>
          <w:rFonts w:hint="eastAsia" w:ascii="宋体" w:hAnsi="宋体"/>
          <w:szCs w:val="21"/>
        </w:rPr>
        <w:t>2.2.1.7.4</w:t>
      </w:r>
      <w:r>
        <w:rPr>
          <w:rFonts w:hint="eastAsia" w:ascii="宋体" w:hAnsi="宋体" w:cs="宋体"/>
          <w:bCs/>
          <w:szCs w:val="21"/>
        </w:rPr>
        <w:t>通行效率：单通道单人通行时间不高于6s；</w:t>
      </w:r>
    </w:p>
    <w:p>
      <w:pPr>
        <w:tabs>
          <w:tab w:val="left" w:pos="5985"/>
        </w:tabs>
        <w:snapToGrid w:val="0"/>
        <w:ind w:firstLine="420" w:firstLineChars="200"/>
        <w:rPr>
          <w:rFonts w:ascii="宋体" w:hAnsi="宋体" w:cs="宋体"/>
          <w:bCs/>
          <w:szCs w:val="21"/>
        </w:rPr>
      </w:pPr>
      <w:r>
        <w:rPr>
          <w:rFonts w:hint="eastAsia" w:ascii="宋体" w:hAnsi="宋体" w:cs="宋体"/>
          <w:bCs/>
          <w:szCs w:val="21"/>
        </w:rPr>
        <w:t>2.2.1.7.5自助登机门所配备的离港工作站须支持使用二代身份证进行验证和记录；</w:t>
      </w:r>
    </w:p>
    <w:p>
      <w:pPr>
        <w:tabs>
          <w:tab w:val="left" w:pos="5985"/>
        </w:tabs>
        <w:snapToGrid w:val="0"/>
        <w:ind w:firstLine="420" w:firstLineChars="200"/>
        <w:rPr>
          <w:rFonts w:hint="eastAsia" w:ascii="宋体" w:hAnsi="宋体" w:cs="宋体"/>
          <w:bCs/>
          <w:szCs w:val="21"/>
        </w:rPr>
      </w:pPr>
      <w:r>
        <w:rPr>
          <w:rFonts w:hint="eastAsia" w:ascii="宋体" w:hAnsi="宋体" w:cs="宋体"/>
          <w:bCs/>
          <w:szCs w:val="21"/>
        </w:rPr>
        <w:t>2.2.1.7.6工控机配置：I7处理器或以上，8G或以上内存，500G或以上硬盘空间；</w:t>
      </w:r>
    </w:p>
    <w:p>
      <w:pPr>
        <w:tabs>
          <w:tab w:val="left" w:pos="5985"/>
        </w:tabs>
        <w:snapToGrid w:val="0"/>
        <w:ind w:firstLine="420" w:firstLineChars="200"/>
        <w:rPr>
          <w:rFonts w:ascii="宋体" w:hAnsi="宋体" w:cs="宋体"/>
          <w:bCs/>
          <w:szCs w:val="21"/>
        </w:rPr>
      </w:pPr>
      <w:r>
        <w:rPr>
          <w:rFonts w:hint="eastAsia" w:ascii="宋体" w:hAnsi="宋体" w:cs="宋体"/>
          <w:bCs/>
          <w:szCs w:val="21"/>
        </w:rPr>
        <w:t>2.2.1.7.7后台须配备管理终端，用于监控所有硬件设备状态，实时统计自助登机旅客人数，并可根据旅客扫描凭证进行分类统计，包括二代身份证、一维码纸质登机牌、二维码电子登机牌等。</w:t>
      </w:r>
    </w:p>
    <w:p>
      <w:pPr>
        <w:tabs>
          <w:tab w:val="left" w:pos="5985"/>
        </w:tabs>
        <w:snapToGrid w:val="0"/>
        <w:ind w:firstLine="420" w:firstLineChars="200"/>
        <w:rPr>
          <w:rFonts w:ascii="宋体" w:hAnsi="宋体" w:cs="宋体"/>
          <w:b/>
          <w:bCs/>
          <w:szCs w:val="21"/>
        </w:rPr>
      </w:pPr>
      <w:r>
        <w:rPr>
          <w:rFonts w:hint="eastAsia" w:ascii="宋体" w:hAnsi="宋体" w:cs="宋体"/>
          <w:b/>
          <w:bCs/>
          <w:szCs w:val="21"/>
        </w:rPr>
        <w:t>2.2.2非功能性需求</w:t>
      </w:r>
    </w:p>
    <w:p>
      <w:pPr>
        <w:tabs>
          <w:tab w:val="left" w:pos="5985"/>
        </w:tabs>
        <w:snapToGrid w:val="0"/>
        <w:ind w:firstLine="420" w:firstLineChars="200"/>
        <w:rPr>
          <w:rFonts w:ascii="宋体" w:hAnsi="宋体" w:cs="宋体"/>
          <w:b/>
          <w:bCs/>
          <w:szCs w:val="21"/>
        </w:rPr>
      </w:pPr>
      <w:r>
        <w:rPr>
          <w:rFonts w:hint="eastAsia" w:ascii="宋体" w:hAnsi="宋体" w:cs="宋体"/>
          <w:b/>
          <w:bCs/>
          <w:szCs w:val="21"/>
        </w:rPr>
        <w:t>2.2.2.1自助登机门设备需具有“中航信”第</w:t>
      </w:r>
      <w:r>
        <w:rPr>
          <w:rFonts w:ascii="宋体" w:hAnsi="宋体" w:cs="宋体"/>
          <w:b/>
          <w:bCs/>
          <w:szCs w:val="21"/>
        </w:rPr>
        <w:t>三方入网认证</w:t>
      </w:r>
      <w:r>
        <w:rPr>
          <w:rFonts w:hint="eastAsia" w:ascii="宋体" w:hAnsi="宋体" w:cs="宋体"/>
          <w:b/>
          <w:bCs/>
          <w:szCs w:val="21"/>
        </w:rPr>
        <w:t>；</w:t>
      </w:r>
    </w:p>
    <w:p>
      <w:pPr>
        <w:tabs>
          <w:tab w:val="left" w:pos="5985"/>
        </w:tabs>
        <w:snapToGrid w:val="0"/>
        <w:ind w:firstLine="420" w:firstLineChars="200"/>
        <w:rPr>
          <w:rFonts w:ascii="宋体" w:hAnsi="宋体" w:cs="宋体"/>
          <w:bCs/>
          <w:szCs w:val="21"/>
        </w:rPr>
      </w:pPr>
      <w:r>
        <w:rPr>
          <w:rFonts w:hint="eastAsia" w:ascii="宋体" w:hAnsi="宋体" w:cs="宋体"/>
          <w:b/>
          <w:bCs/>
          <w:szCs w:val="21"/>
        </w:rPr>
        <w:t>2.2.2.2登机门外观应与机场风格相统一</w:t>
      </w:r>
      <w:r>
        <w:rPr>
          <w:rFonts w:hint="eastAsia" w:ascii="宋体" w:hAnsi="宋体" w:cs="宋体"/>
          <w:bCs/>
          <w:szCs w:val="21"/>
        </w:rPr>
        <w:t>：登机门外观风格应符合机场航站楼整体的建筑风格，登机门外观设计应尽量简约，登机门上应具备各类信息提示模块；</w:t>
      </w:r>
    </w:p>
    <w:p>
      <w:pPr>
        <w:tabs>
          <w:tab w:val="left" w:pos="5985"/>
        </w:tabs>
        <w:snapToGrid w:val="0"/>
        <w:ind w:firstLine="420" w:firstLineChars="200"/>
        <w:rPr>
          <w:rFonts w:ascii="宋体" w:hAnsi="宋体" w:cs="宋体"/>
          <w:bCs/>
          <w:szCs w:val="21"/>
        </w:rPr>
      </w:pPr>
      <w:r>
        <w:rPr>
          <w:rFonts w:hint="eastAsia" w:ascii="宋体" w:hAnsi="宋体" w:cs="宋体"/>
          <w:b/>
          <w:bCs/>
          <w:szCs w:val="21"/>
        </w:rPr>
        <w:t>2.2.2.3登机门不同功能区域间应分开</w:t>
      </w:r>
      <w:r>
        <w:rPr>
          <w:rFonts w:hint="eastAsia" w:ascii="宋体" w:hAnsi="宋体" w:cs="宋体"/>
          <w:bCs/>
          <w:szCs w:val="21"/>
        </w:rPr>
        <w:t>：登机门的不同功能区域，如信息采集区域（身份证阅读器，登机牌扫描等）、显示区域等在设计上应分开，方便工作人员和旅客进行操作和查看；</w:t>
      </w:r>
    </w:p>
    <w:p>
      <w:pPr>
        <w:tabs>
          <w:tab w:val="left" w:pos="5985"/>
        </w:tabs>
        <w:snapToGrid w:val="0"/>
        <w:ind w:firstLine="420" w:firstLineChars="200"/>
        <w:rPr>
          <w:rFonts w:ascii="宋体" w:hAnsi="宋体" w:cs="宋体"/>
          <w:bCs/>
          <w:szCs w:val="21"/>
        </w:rPr>
      </w:pPr>
      <w:r>
        <w:rPr>
          <w:rFonts w:hint="eastAsia" w:ascii="宋体" w:hAnsi="宋体" w:cs="宋体"/>
          <w:b/>
          <w:bCs/>
          <w:szCs w:val="21"/>
        </w:rPr>
        <w:t>2.2.2.4登机门设计选用的材质安全、可靠</w:t>
      </w:r>
      <w:r>
        <w:rPr>
          <w:rFonts w:hint="eastAsia" w:ascii="宋体" w:hAnsi="宋体" w:cs="宋体"/>
          <w:bCs/>
          <w:szCs w:val="21"/>
        </w:rPr>
        <w:t>：登机门设计时应使用安全可靠的材质，以防止在正常的业务流程中伤及旅客；</w:t>
      </w:r>
    </w:p>
    <w:p>
      <w:pPr>
        <w:tabs>
          <w:tab w:val="left" w:pos="5985"/>
        </w:tabs>
        <w:snapToGrid w:val="0"/>
        <w:ind w:firstLine="420" w:firstLineChars="200"/>
        <w:rPr>
          <w:rFonts w:ascii="宋体" w:hAnsi="宋体" w:cs="宋体"/>
          <w:bCs/>
          <w:szCs w:val="21"/>
        </w:rPr>
      </w:pPr>
      <w:r>
        <w:rPr>
          <w:rFonts w:hint="eastAsia" w:ascii="宋体" w:hAnsi="宋体" w:cs="宋体"/>
          <w:b/>
          <w:bCs/>
          <w:szCs w:val="21"/>
        </w:rPr>
        <w:t>2.2.2.5网络实施方案：</w:t>
      </w:r>
      <w:r>
        <w:rPr>
          <w:rFonts w:hint="eastAsia" w:ascii="宋体" w:hAnsi="宋体" w:cs="宋体"/>
          <w:bCs/>
          <w:szCs w:val="21"/>
        </w:rPr>
        <w:t>需根据现场实际情况给出网络实施方案，包括网络布线、信息点及交换机数量；</w:t>
      </w:r>
    </w:p>
    <w:p>
      <w:pPr>
        <w:pStyle w:val="66"/>
        <w:spacing w:line="240" w:lineRule="auto"/>
        <w:ind w:firstLine="422"/>
        <w:rPr>
          <w:rFonts w:ascii="宋体" w:eastAsia="宋体"/>
          <w:b w:val="0"/>
          <w:sz w:val="21"/>
          <w:szCs w:val="21"/>
        </w:rPr>
      </w:pPr>
      <w:r>
        <w:rPr>
          <w:rFonts w:hint="eastAsia" w:ascii="宋体" w:eastAsia="宋体"/>
          <w:sz w:val="21"/>
          <w:szCs w:val="21"/>
        </w:rPr>
        <w:t>三、培训、质保、维保</w:t>
      </w:r>
      <w:r>
        <w:rPr>
          <w:rFonts w:ascii="宋体" w:eastAsia="宋体"/>
          <w:sz w:val="21"/>
          <w:szCs w:val="21"/>
        </w:rPr>
        <w:t>服务：</w:t>
      </w:r>
    </w:p>
    <w:p>
      <w:pPr>
        <w:pStyle w:val="66"/>
        <w:spacing w:line="240" w:lineRule="auto"/>
        <w:ind w:firstLine="422"/>
        <w:rPr>
          <w:rFonts w:ascii="宋体" w:eastAsia="宋体"/>
          <w:sz w:val="21"/>
          <w:szCs w:val="21"/>
          <w:u w:val="single"/>
        </w:rPr>
      </w:pPr>
      <w:r>
        <w:rPr>
          <w:rFonts w:hint="eastAsia" w:ascii="宋体" w:eastAsia="宋体"/>
          <w:sz w:val="21"/>
          <w:szCs w:val="21"/>
          <w:u w:val="single"/>
        </w:rPr>
        <w:t>（1）</w:t>
      </w:r>
      <w:r>
        <w:rPr>
          <w:rFonts w:hint="eastAsia" w:ascii="宋体" w:eastAsia="宋体"/>
          <w:snapToGrid w:val="0"/>
          <w:sz w:val="21"/>
          <w:szCs w:val="21"/>
          <w:u w:val="single"/>
        </w:rPr>
        <w:t>提供原厂免费维保服务至少5</w:t>
      </w:r>
      <w:r>
        <w:rPr>
          <w:rFonts w:ascii="宋体" w:eastAsia="宋体"/>
          <w:snapToGrid w:val="0"/>
          <w:sz w:val="21"/>
          <w:szCs w:val="21"/>
          <w:u w:val="single"/>
        </w:rPr>
        <w:t>年</w:t>
      </w:r>
      <w:r>
        <w:rPr>
          <w:rFonts w:hint="eastAsia" w:ascii="宋体" w:eastAsia="宋体"/>
          <w:snapToGrid w:val="0"/>
          <w:sz w:val="21"/>
          <w:szCs w:val="21"/>
          <w:u w:val="single"/>
        </w:rPr>
        <w:t>。</w:t>
      </w:r>
    </w:p>
    <w:p>
      <w:pPr>
        <w:ind w:firstLine="420" w:firstLineChars="200"/>
        <w:textAlignment w:val="center"/>
        <w:rPr>
          <w:rFonts w:ascii="宋体" w:hAnsi="宋体" w:cs="Calibri"/>
          <w:szCs w:val="21"/>
        </w:rPr>
      </w:pPr>
      <w:r>
        <w:rPr>
          <w:rFonts w:hint="eastAsia" w:ascii="宋体" w:hAnsi="宋体" w:cs="Calibri"/>
          <w:szCs w:val="21"/>
        </w:rPr>
        <w:t>（2）投标人应确保自助登机门和项目实施过程中与其它厂家的密切配合，应用软件和各个其它系统厂家的接口和维护费用包含在本次投标报价之中。</w:t>
      </w:r>
    </w:p>
    <w:p>
      <w:pPr>
        <w:ind w:firstLine="420" w:firstLineChars="200"/>
        <w:textAlignment w:val="center"/>
        <w:rPr>
          <w:rFonts w:ascii="宋体" w:hAnsi="宋体" w:cs="Calibri"/>
          <w:szCs w:val="21"/>
        </w:rPr>
      </w:pPr>
      <w:r>
        <w:rPr>
          <w:rFonts w:hint="eastAsia" w:ascii="宋体" w:hAnsi="宋体" w:cs="Calibri"/>
          <w:szCs w:val="21"/>
        </w:rPr>
        <w:t>（3）投标人应提供对用户的维护操作、系统管理技术培训，培训包括现场培训，使用户能够掌握软件产品使用的基本要求，做好知识移交。</w:t>
      </w:r>
    </w:p>
    <w:p>
      <w:pPr>
        <w:ind w:firstLine="420" w:firstLineChars="200"/>
        <w:textAlignment w:val="center"/>
        <w:rPr>
          <w:rFonts w:ascii="宋体" w:hAnsi="宋体" w:cs="Calibri"/>
          <w:szCs w:val="21"/>
        </w:rPr>
      </w:pPr>
      <w:r>
        <w:rPr>
          <w:rFonts w:hint="eastAsia" w:ascii="宋体" w:hAnsi="宋体" w:cs="Calibri"/>
          <w:szCs w:val="21"/>
        </w:rPr>
        <w:t>（4）项目实施试运行期间，提供不少于30天的原厂现场技术支持服务。</w:t>
      </w:r>
    </w:p>
    <w:p>
      <w:pPr>
        <w:pStyle w:val="66"/>
        <w:spacing w:line="240" w:lineRule="auto"/>
        <w:ind w:firstLine="422"/>
        <w:rPr>
          <w:rFonts w:ascii="宋体" w:eastAsia="宋体"/>
          <w:sz w:val="21"/>
          <w:szCs w:val="21"/>
        </w:rPr>
      </w:pPr>
      <w:r>
        <w:rPr>
          <w:rFonts w:hint="eastAsia" w:ascii="宋体" w:eastAsia="宋体"/>
          <w:sz w:val="21"/>
          <w:szCs w:val="21"/>
        </w:rPr>
        <w:t>四、</w:t>
      </w:r>
      <w:r>
        <w:rPr>
          <w:rFonts w:ascii="宋体" w:eastAsia="宋体"/>
          <w:sz w:val="21"/>
          <w:szCs w:val="21"/>
        </w:rPr>
        <w:t>产品</w:t>
      </w:r>
      <w:r>
        <w:rPr>
          <w:rFonts w:hint="eastAsia" w:ascii="宋体" w:eastAsia="宋体"/>
          <w:sz w:val="21"/>
          <w:szCs w:val="21"/>
        </w:rPr>
        <w:t>需满足的</w:t>
      </w:r>
      <w:r>
        <w:rPr>
          <w:rFonts w:ascii="宋体" w:eastAsia="宋体"/>
          <w:sz w:val="21"/>
          <w:szCs w:val="21"/>
        </w:rPr>
        <w:t>标准和规范</w:t>
      </w:r>
    </w:p>
    <w:p>
      <w:pPr>
        <w:pStyle w:val="66"/>
        <w:spacing w:line="240" w:lineRule="auto"/>
        <w:ind w:firstLine="420"/>
        <w:rPr>
          <w:rFonts w:ascii="宋体" w:eastAsia="宋体"/>
          <w:b w:val="0"/>
          <w:sz w:val="21"/>
          <w:szCs w:val="21"/>
        </w:rPr>
      </w:pPr>
      <w:r>
        <w:rPr>
          <w:rFonts w:hint="eastAsia" w:ascii="宋体" w:eastAsia="宋体"/>
          <w:b w:val="0"/>
          <w:sz w:val="21"/>
          <w:szCs w:val="21"/>
        </w:rPr>
        <w:t>4.1正规渠道货源，不存在任何质量瑕疵或因质量瑕疵而导致的安全隐患，且规格型号符合招标文件的要求。</w:t>
      </w:r>
    </w:p>
    <w:p>
      <w:pPr>
        <w:pStyle w:val="66"/>
        <w:spacing w:line="240" w:lineRule="auto"/>
        <w:ind w:firstLine="420"/>
        <w:rPr>
          <w:rFonts w:ascii="宋体" w:eastAsia="宋体"/>
          <w:b w:val="0"/>
          <w:sz w:val="21"/>
          <w:szCs w:val="21"/>
        </w:rPr>
      </w:pPr>
      <w:r>
        <w:rPr>
          <w:rFonts w:hint="eastAsia" w:ascii="宋体" w:eastAsia="宋体"/>
          <w:b w:val="0"/>
          <w:sz w:val="21"/>
          <w:szCs w:val="21"/>
        </w:rPr>
        <w:t>4.2除特殊要求质保期外，产品均要求原厂标准质保。</w:t>
      </w:r>
    </w:p>
    <w:p>
      <w:pPr>
        <w:pStyle w:val="66"/>
        <w:spacing w:line="240" w:lineRule="auto"/>
        <w:ind w:firstLine="420"/>
        <w:rPr>
          <w:rFonts w:ascii="宋体" w:eastAsia="宋体"/>
          <w:sz w:val="21"/>
          <w:szCs w:val="21"/>
        </w:rPr>
      </w:pPr>
      <w:r>
        <w:rPr>
          <w:rFonts w:ascii="宋体" w:eastAsia="宋体"/>
          <w:b w:val="0"/>
          <w:sz w:val="21"/>
          <w:szCs w:val="21"/>
        </w:rPr>
        <w:t>4.3</w:t>
      </w:r>
      <w:r>
        <w:rPr>
          <w:rFonts w:hint="eastAsia" w:ascii="宋体" w:eastAsia="宋体"/>
          <w:b w:val="0"/>
          <w:sz w:val="21"/>
          <w:szCs w:val="21"/>
        </w:rPr>
        <w:t>投标人须保证所提供硬件产品包括相关附件为相应硬件厂家原装正品，软件产品为相关厂家正版软件，符合国家有关规定。投标人须保证所提供产品具有合法的版权或使用权，本项目采购的产品，如在本项目范围内使用过程中出现版权或使用权纠纷，应由中标人负责，招标人不承担责任。</w:t>
      </w:r>
    </w:p>
    <w:p>
      <w:pPr>
        <w:pStyle w:val="66"/>
        <w:spacing w:line="240" w:lineRule="auto"/>
        <w:ind w:firstLine="422"/>
        <w:rPr>
          <w:rFonts w:ascii="宋体" w:eastAsia="宋体"/>
          <w:sz w:val="21"/>
          <w:szCs w:val="21"/>
        </w:rPr>
      </w:pPr>
      <w:r>
        <w:rPr>
          <w:rFonts w:hint="eastAsia" w:ascii="宋体" w:eastAsia="宋体"/>
          <w:sz w:val="21"/>
          <w:szCs w:val="21"/>
        </w:rPr>
        <w:t>五、资料要求</w:t>
      </w:r>
    </w:p>
    <w:p>
      <w:pPr>
        <w:pStyle w:val="79"/>
        <w:spacing w:line="240" w:lineRule="auto"/>
        <w:ind w:firstLine="420"/>
        <w:rPr>
          <w:rFonts w:ascii="宋体" w:eastAsia="宋体"/>
          <w:sz w:val="21"/>
          <w:szCs w:val="21"/>
        </w:rPr>
      </w:pPr>
      <w:r>
        <w:rPr>
          <w:rFonts w:hint="eastAsia" w:ascii="宋体" w:eastAsia="宋体"/>
          <w:sz w:val="21"/>
          <w:szCs w:val="21"/>
        </w:rPr>
        <w:t>5.1使用说明书、质量检验证明书、随配附件和工具以及清单一并附于货物内。</w:t>
      </w:r>
    </w:p>
    <w:p>
      <w:pPr>
        <w:pStyle w:val="66"/>
        <w:spacing w:line="240" w:lineRule="auto"/>
        <w:ind w:firstLine="422"/>
        <w:rPr>
          <w:rFonts w:ascii="宋体" w:eastAsia="宋体"/>
          <w:sz w:val="21"/>
          <w:szCs w:val="21"/>
        </w:rPr>
      </w:pPr>
      <w:r>
        <w:rPr>
          <w:rFonts w:hint="eastAsia" w:ascii="宋体" w:eastAsia="宋体"/>
          <w:sz w:val="21"/>
          <w:szCs w:val="21"/>
        </w:rPr>
        <w:t>六、运输和包装要求</w:t>
      </w:r>
    </w:p>
    <w:p>
      <w:pPr>
        <w:pStyle w:val="79"/>
        <w:spacing w:line="240" w:lineRule="auto"/>
        <w:ind w:firstLine="420"/>
        <w:rPr>
          <w:rFonts w:ascii="宋体" w:eastAsia="宋体"/>
          <w:sz w:val="21"/>
          <w:szCs w:val="21"/>
        </w:rPr>
      </w:pPr>
      <w:r>
        <w:rPr>
          <w:rFonts w:hint="eastAsia" w:ascii="宋体" w:eastAsia="宋体"/>
          <w:sz w:val="21"/>
          <w:szCs w:val="21"/>
        </w:rPr>
        <w:t>6.1中标人负责将全部货物运送到杭州萧山国际机场内指定地点，并承担一切费用及风险。</w:t>
      </w:r>
    </w:p>
    <w:p>
      <w:pPr>
        <w:pStyle w:val="79"/>
        <w:spacing w:line="240" w:lineRule="auto"/>
        <w:ind w:firstLine="420"/>
        <w:rPr>
          <w:rFonts w:ascii="宋体" w:eastAsia="宋体"/>
          <w:sz w:val="21"/>
          <w:szCs w:val="21"/>
        </w:rPr>
      </w:pPr>
      <w:r>
        <w:rPr>
          <w:rFonts w:ascii="宋体" w:eastAsia="宋体"/>
          <w:sz w:val="21"/>
          <w:szCs w:val="21"/>
        </w:rPr>
        <w:t>6.2</w:t>
      </w:r>
      <w:r>
        <w:rPr>
          <w:rFonts w:hint="eastAsia" w:ascii="宋体" w:eastAsia="宋体"/>
          <w:sz w:val="21"/>
          <w:szCs w:val="21"/>
        </w:rPr>
        <w:t>运输方式中标人自定，但必须确保运输方式适合货物特性及质量要求。</w:t>
      </w:r>
    </w:p>
    <w:p>
      <w:pPr>
        <w:pStyle w:val="79"/>
        <w:spacing w:line="240" w:lineRule="auto"/>
        <w:ind w:firstLine="420"/>
        <w:rPr>
          <w:rFonts w:ascii="宋体" w:eastAsia="宋体"/>
          <w:sz w:val="21"/>
          <w:szCs w:val="21"/>
        </w:rPr>
      </w:pPr>
      <w:r>
        <w:rPr>
          <w:rFonts w:ascii="宋体" w:eastAsia="宋体"/>
          <w:sz w:val="21"/>
          <w:szCs w:val="21"/>
        </w:rPr>
        <w:t>6.3</w:t>
      </w:r>
      <w:r>
        <w:rPr>
          <w:rFonts w:hint="eastAsia" w:ascii="宋体" w:eastAsia="宋体"/>
          <w:sz w:val="21"/>
          <w:szCs w:val="21"/>
        </w:rPr>
        <w:t>包装：符合产品性质及质量要求的原厂包装，完好无破损、无刮痕。</w:t>
      </w:r>
    </w:p>
    <w:p>
      <w:pPr>
        <w:pStyle w:val="66"/>
        <w:spacing w:line="240" w:lineRule="auto"/>
        <w:ind w:firstLine="422"/>
        <w:rPr>
          <w:rFonts w:ascii="宋体" w:eastAsia="宋体"/>
          <w:sz w:val="21"/>
          <w:szCs w:val="21"/>
        </w:rPr>
      </w:pPr>
      <w:r>
        <w:rPr>
          <w:rFonts w:hint="eastAsia" w:ascii="宋体" w:eastAsia="宋体"/>
          <w:sz w:val="21"/>
          <w:szCs w:val="21"/>
        </w:rPr>
        <w:t>七、验收</w:t>
      </w:r>
    </w:p>
    <w:p>
      <w:pPr>
        <w:pStyle w:val="79"/>
        <w:spacing w:line="240" w:lineRule="auto"/>
        <w:ind w:firstLine="420"/>
        <w:rPr>
          <w:rFonts w:ascii="宋体" w:eastAsia="宋体"/>
          <w:sz w:val="21"/>
          <w:szCs w:val="21"/>
        </w:rPr>
      </w:pPr>
      <w:r>
        <w:rPr>
          <w:rFonts w:ascii="宋体" w:eastAsia="宋体"/>
          <w:sz w:val="21"/>
          <w:szCs w:val="21"/>
        </w:rPr>
        <w:t>7.1</w:t>
      </w:r>
      <w:r>
        <w:rPr>
          <w:rFonts w:hint="eastAsia" w:ascii="宋体" w:eastAsia="宋体"/>
          <w:sz w:val="21"/>
          <w:szCs w:val="21"/>
        </w:rPr>
        <w:t>招标人对中标人提交的货物依据招标文件上的技术规格要求和国家有关质量标准进行现场初步验收，外观、说明书符合招标文件技术要求的，给予签收，初步验收不合格的不予签收。货到后，招标人需在五个工作日内验收。</w:t>
      </w:r>
    </w:p>
    <w:p>
      <w:pPr>
        <w:pStyle w:val="79"/>
        <w:spacing w:line="240" w:lineRule="auto"/>
        <w:ind w:firstLine="420"/>
        <w:rPr>
          <w:rFonts w:ascii="宋体" w:eastAsia="宋体"/>
          <w:sz w:val="21"/>
          <w:szCs w:val="21"/>
        </w:rPr>
      </w:pPr>
      <w:r>
        <w:rPr>
          <w:rFonts w:ascii="宋体" w:eastAsia="宋体"/>
          <w:sz w:val="21"/>
          <w:szCs w:val="21"/>
        </w:rPr>
        <w:t>7.2</w:t>
      </w:r>
      <w:r>
        <w:rPr>
          <w:rFonts w:hint="eastAsia" w:ascii="宋体" w:eastAsia="宋体"/>
          <w:sz w:val="21"/>
          <w:szCs w:val="21"/>
        </w:rPr>
        <w:t>中标人交货前应对产品作出全面检查和对验收文件进行整理，并列出清单，作为招标人收货验收和使用的技术条件依据，中标人检验的结果应随货物交招标人。中标人交货产品应具有有产品原厂质保书或产品合格证书。</w:t>
      </w:r>
    </w:p>
    <w:p>
      <w:pPr>
        <w:pStyle w:val="79"/>
        <w:spacing w:line="240" w:lineRule="auto"/>
        <w:ind w:firstLine="420"/>
        <w:rPr>
          <w:rFonts w:ascii="宋体" w:eastAsia="宋体"/>
          <w:sz w:val="21"/>
          <w:szCs w:val="21"/>
        </w:rPr>
      </w:pPr>
      <w:r>
        <w:rPr>
          <w:rFonts w:ascii="宋体" w:eastAsia="宋体"/>
          <w:sz w:val="21"/>
          <w:szCs w:val="21"/>
        </w:rPr>
        <w:t>7.3</w:t>
      </w:r>
      <w:r>
        <w:rPr>
          <w:rFonts w:hint="eastAsia" w:ascii="宋体" w:eastAsia="宋体"/>
          <w:sz w:val="21"/>
          <w:szCs w:val="21"/>
        </w:rPr>
        <w:t xml:space="preserve"> 招标人对中标人提供的货物在使用前进行调试时，中标人需负责安装并培训招标人的使用操作人员，并协助招标人一起调试，直到符合技术要求，方可视为招标人完成最终验收。</w:t>
      </w:r>
    </w:p>
    <w:p>
      <w:pPr>
        <w:pStyle w:val="79"/>
        <w:spacing w:line="240" w:lineRule="auto"/>
        <w:ind w:firstLine="420"/>
        <w:rPr>
          <w:rFonts w:ascii="宋体" w:eastAsia="宋体"/>
          <w:sz w:val="21"/>
          <w:szCs w:val="21"/>
        </w:rPr>
      </w:pPr>
      <w:r>
        <w:rPr>
          <w:rFonts w:ascii="宋体" w:eastAsia="宋体"/>
          <w:sz w:val="21"/>
          <w:szCs w:val="21"/>
        </w:rPr>
        <w:t>7.4</w:t>
      </w:r>
      <w:r>
        <w:rPr>
          <w:rFonts w:hint="eastAsia" w:ascii="宋体" w:eastAsia="宋体"/>
          <w:sz w:val="21"/>
          <w:szCs w:val="21"/>
        </w:rPr>
        <w:t>对技术复杂的货物，招标人有权聘请国家认可的专业检测机构参与初步验收及最终验收，并由其出具质量检测报告，在此情况下，该等检测报告作为中标人提供货物的最终验收依据。</w:t>
      </w:r>
    </w:p>
    <w:p>
      <w:pPr>
        <w:pStyle w:val="79"/>
        <w:spacing w:line="240" w:lineRule="auto"/>
        <w:ind w:firstLine="420"/>
        <w:rPr>
          <w:rFonts w:ascii="宋体" w:eastAsia="宋体"/>
          <w:sz w:val="21"/>
          <w:szCs w:val="21"/>
        </w:rPr>
      </w:pPr>
      <w:r>
        <w:rPr>
          <w:rFonts w:ascii="宋体" w:eastAsia="宋体"/>
          <w:sz w:val="21"/>
          <w:szCs w:val="21"/>
        </w:rPr>
        <w:t>7.5</w:t>
      </w:r>
      <w:r>
        <w:rPr>
          <w:rFonts w:hint="eastAsia" w:ascii="宋体" w:eastAsia="宋体"/>
          <w:sz w:val="21"/>
          <w:szCs w:val="21"/>
        </w:rPr>
        <w:t xml:space="preserve"> 招标人或招标人聘请的专业机构对货物进行验收时中标人必须在现场，验收完毕后由招标人或招标人聘请的专业机构作出验收结果报告；验收费用由中标人负责。</w:t>
      </w:r>
    </w:p>
    <w:p>
      <w:pPr>
        <w:pStyle w:val="66"/>
        <w:spacing w:line="240" w:lineRule="auto"/>
        <w:ind w:firstLine="422"/>
        <w:rPr>
          <w:rFonts w:ascii="宋体" w:eastAsia="宋体"/>
          <w:sz w:val="21"/>
          <w:szCs w:val="21"/>
        </w:rPr>
      </w:pPr>
      <w:r>
        <w:rPr>
          <w:rFonts w:hint="eastAsia" w:ascii="宋体" w:eastAsia="宋体"/>
          <w:sz w:val="21"/>
          <w:szCs w:val="21"/>
        </w:rPr>
        <w:t>八、售后服务</w:t>
      </w:r>
    </w:p>
    <w:p>
      <w:pPr>
        <w:pStyle w:val="79"/>
        <w:spacing w:line="240" w:lineRule="auto"/>
        <w:ind w:firstLine="420"/>
        <w:rPr>
          <w:rFonts w:ascii="宋体" w:eastAsia="宋体"/>
          <w:sz w:val="21"/>
          <w:szCs w:val="21"/>
        </w:rPr>
      </w:pPr>
      <w:r>
        <w:rPr>
          <w:rFonts w:ascii="宋体" w:eastAsia="宋体"/>
          <w:sz w:val="21"/>
          <w:szCs w:val="21"/>
        </w:rPr>
        <w:t>8.1</w:t>
      </w:r>
      <w:r>
        <w:rPr>
          <w:rFonts w:hint="eastAsia" w:ascii="宋体" w:eastAsia="宋体"/>
          <w:sz w:val="21"/>
          <w:szCs w:val="21"/>
        </w:rPr>
        <w:t>中标人按招标文件规定的货物性能、技术要求、质量标准、数量要求等全部条件向招标人提供未经使用的全新产品。</w:t>
      </w:r>
    </w:p>
    <w:p>
      <w:pPr>
        <w:pStyle w:val="79"/>
        <w:spacing w:line="240" w:lineRule="auto"/>
        <w:ind w:firstLine="420"/>
        <w:rPr>
          <w:rFonts w:ascii="宋体" w:eastAsia="宋体"/>
          <w:sz w:val="21"/>
          <w:szCs w:val="21"/>
        </w:rPr>
      </w:pPr>
      <w:r>
        <w:rPr>
          <w:rFonts w:ascii="宋体" w:eastAsia="宋体"/>
          <w:sz w:val="21"/>
          <w:szCs w:val="21"/>
        </w:rPr>
        <w:t>8.2</w:t>
      </w:r>
      <w:r>
        <w:rPr>
          <w:rFonts w:hint="eastAsia" w:ascii="宋体" w:eastAsia="宋体"/>
          <w:sz w:val="21"/>
          <w:szCs w:val="21"/>
        </w:rPr>
        <w:t xml:space="preserve"> 中标人提供的货物在质保期内因货物本身的质量问题发生故障，中标人应负责免费更换。对达不到技术要求者，招标人有权退还投标人所供货物，投标人应退还招标人支付的合同款，同时应承担该货物的直接费用（运输、保险、检验、货款利息及银行手续费等）以及由此给招标人造成的损失。</w:t>
      </w:r>
    </w:p>
    <w:p>
      <w:pPr>
        <w:pStyle w:val="79"/>
        <w:spacing w:line="240" w:lineRule="auto"/>
        <w:ind w:firstLine="420"/>
        <w:rPr>
          <w:rFonts w:ascii="宋体" w:eastAsia="宋体"/>
          <w:sz w:val="21"/>
          <w:szCs w:val="21"/>
        </w:rPr>
      </w:pPr>
      <w:r>
        <w:rPr>
          <w:rFonts w:ascii="宋体" w:eastAsia="宋体"/>
          <w:sz w:val="21"/>
          <w:szCs w:val="21"/>
        </w:rPr>
        <w:t>8.3</w:t>
      </w:r>
      <w:r>
        <w:rPr>
          <w:rFonts w:hint="eastAsia" w:ascii="宋体" w:eastAsia="宋体"/>
          <w:sz w:val="21"/>
          <w:szCs w:val="21"/>
        </w:rPr>
        <w:t xml:space="preserve"> 如在使用过程中发生质量问题，投标人必须在接到用户通知后在24小时内到达现场予以解决。</w:t>
      </w:r>
    </w:p>
    <w:p>
      <w:pPr>
        <w:pStyle w:val="79"/>
        <w:spacing w:line="240" w:lineRule="auto"/>
        <w:ind w:firstLine="420"/>
        <w:rPr>
          <w:rFonts w:ascii="宋体" w:eastAsia="宋体"/>
          <w:sz w:val="21"/>
          <w:szCs w:val="21"/>
        </w:rPr>
      </w:pPr>
      <w:r>
        <w:rPr>
          <w:rFonts w:ascii="宋体" w:eastAsia="宋体"/>
          <w:sz w:val="21"/>
          <w:szCs w:val="21"/>
        </w:rPr>
        <w:t>8.4</w:t>
      </w:r>
      <w:r>
        <w:rPr>
          <w:rFonts w:hint="eastAsia" w:ascii="宋体" w:eastAsia="宋体"/>
          <w:sz w:val="21"/>
          <w:szCs w:val="21"/>
        </w:rPr>
        <w:t xml:space="preserve"> 在质保期内，投标人应对货物出现的质量及安全问题负责处理解决并承担一切费用。如对货物出现的质量及安全问题经处理仍不能解决的，则招标人有权退货或要求投标人更换货物。</w:t>
      </w:r>
    </w:p>
    <w:p>
      <w:pPr>
        <w:pStyle w:val="79"/>
        <w:spacing w:line="240" w:lineRule="auto"/>
        <w:ind w:firstLine="420"/>
        <w:rPr>
          <w:rFonts w:ascii="宋体" w:cs="Calibri"/>
          <w:bCs/>
          <w:kern w:val="0"/>
          <w:sz w:val="24"/>
          <w:szCs w:val="24"/>
        </w:rPr>
      </w:pPr>
      <w:r>
        <w:rPr>
          <w:rFonts w:ascii="宋体" w:eastAsia="宋体"/>
          <w:sz w:val="21"/>
          <w:szCs w:val="21"/>
        </w:rPr>
        <w:t>8.5</w:t>
      </w:r>
      <w:r>
        <w:rPr>
          <w:rFonts w:hint="eastAsia" w:ascii="宋体" w:eastAsia="宋体"/>
          <w:sz w:val="21"/>
          <w:szCs w:val="21"/>
        </w:rPr>
        <w:t>上述的货物免费保修期按照本文件要求，因招标人人为因素出现的故障不在免费保修范围内。对于超过保修期的机器设备，投标人仍负责终生维修，维修时只收部件成本费。</w:t>
      </w:r>
      <w:r>
        <w:rPr>
          <w:rFonts w:ascii="宋体" w:cs="Calibri"/>
          <w:bCs/>
          <w:kern w:val="0"/>
          <w:sz w:val="24"/>
          <w:szCs w:val="24"/>
        </w:rPr>
        <w:br w:type="page"/>
      </w:r>
    </w:p>
    <w:p>
      <w:pPr>
        <w:pStyle w:val="2"/>
        <w:spacing w:before="0" w:after="0" w:line="360" w:lineRule="auto"/>
        <w:jc w:val="center"/>
        <w:rPr>
          <w:rFonts w:ascii="Calibri" w:hAnsi="Calibri" w:eastAsia="黑体" w:cs="Calibri"/>
          <w:kern w:val="0"/>
          <w:sz w:val="32"/>
        </w:rPr>
      </w:pPr>
      <w:bookmarkStart w:id="113" w:name="_Toc478453294"/>
      <w:r>
        <w:rPr>
          <w:rFonts w:hint="eastAsia" w:ascii="Calibri" w:hAnsi="Calibri" w:eastAsia="黑体" w:cs="Calibri"/>
          <w:kern w:val="0"/>
          <w:sz w:val="32"/>
        </w:rPr>
        <w:t xml:space="preserve">第四章  </w:t>
      </w:r>
      <w:r>
        <w:rPr>
          <w:rFonts w:ascii="Calibri" w:hAnsi="Calibri" w:eastAsia="黑体" w:cs="Calibri"/>
          <w:kern w:val="0"/>
          <w:sz w:val="32"/>
        </w:rPr>
        <w:t>合同条款</w:t>
      </w:r>
      <w:bookmarkEnd w:id="113"/>
    </w:p>
    <w:p>
      <w:pPr>
        <w:adjustRightInd w:val="0"/>
        <w:snapToGrid w:val="0"/>
        <w:ind w:firstLine="452"/>
        <w:jc w:val="center"/>
        <w:rPr>
          <w:rFonts w:ascii="宋体" w:hAnsi="宋体"/>
          <w:b/>
          <w:sz w:val="22"/>
        </w:rPr>
      </w:pPr>
    </w:p>
    <w:p>
      <w:pPr>
        <w:adjustRightInd w:val="0"/>
        <w:snapToGrid w:val="0"/>
        <w:ind w:firstLine="452"/>
        <w:jc w:val="center"/>
        <w:rPr>
          <w:rFonts w:ascii="宋体" w:hAnsi="宋体"/>
          <w:b/>
          <w:sz w:val="32"/>
        </w:rPr>
      </w:pPr>
      <w:r>
        <w:rPr>
          <w:rFonts w:hint="eastAsia" w:ascii="宋体" w:hAnsi="宋体"/>
          <w:b/>
          <w:sz w:val="32"/>
        </w:rPr>
        <w:t>采购合同</w:t>
      </w:r>
    </w:p>
    <w:p>
      <w:pPr>
        <w:pStyle w:val="19"/>
        <w:ind w:right="200" w:firstLine="420"/>
        <w:jc w:val="right"/>
        <w:rPr>
          <w:rFonts w:hAnsi="宋体" w:cs="Calibri"/>
          <w:bCs/>
          <w:sz w:val="22"/>
          <w:szCs w:val="22"/>
        </w:rPr>
      </w:pPr>
    </w:p>
    <w:p>
      <w:pPr>
        <w:adjustRightInd w:val="0"/>
        <w:snapToGrid w:val="0"/>
        <w:ind w:firstLine="452"/>
        <w:jc w:val="left"/>
        <w:rPr>
          <w:rFonts w:ascii="宋体" w:hAnsi="宋体"/>
          <w:b/>
          <w:sz w:val="22"/>
          <w:u w:val="single"/>
        </w:rPr>
      </w:pPr>
      <w:r>
        <w:rPr>
          <w:rFonts w:hint="eastAsia" w:ascii="宋体" w:hAnsi="宋体"/>
          <w:b/>
          <w:sz w:val="22"/>
        </w:rPr>
        <w:t>甲方：</w:t>
      </w:r>
      <w:r>
        <w:rPr>
          <w:rFonts w:hint="eastAsia" w:ascii="宋体" w:hAnsi="宋体"/>
          <w:b/>
          <w:sz w:val="22"/>
          <w:u w:val="single"/>
        </w:rPr>
        <w:t>杭州萧山国际机场有限公司</w:t>
      </w:r>
    </w:p>
    <w:p>
      <w:pPr>
        <w:adjustRightInd w:val="0"/>
        <w:snapToGrid w:val="0"/>
        <w:ind w:firstLine="452"/>
        <w:jc w:val="left"/>
        <w:rPr>
          <w:rFonts w:ascii="宋体" w:hAnsi="宋体"/>
          <w:b/>
          <w:sz w:val="22"/>
        </w:rPr>
      </w:pPr>
      <w:r>
        <w:rPr>
          <w:rFonts w:hint="eastAsia" w:ascii="宋体" w:hAnsi="宋体"/>
          <w:b/>
          <w:sz w:val="22"/>
        </w:rPr>
        <w:t>住所地：</w:t>
      </w:r>
      <w:r>
        <w:rPr>
          <w:rFonts w:hint="eastAsia" w:ascii="宋体" w:hAnsi="宋体"/>
          <w:b/>
          <w:sz w:val="22"/>
          <w:u w:val="single"/>
        </w:rPr>
        <w:t xml:space="preserve">杭州萧山国际机场内    </w:t>
      </w:r>
    </w:p>
    <w:p>
      <w:pPr>
        <w:adjustRightInd w:val="0"/>
        <w:snapToGrid w:val="0"/>
        <w:ind w:firstLine="452"/>
        <w:jc w:val="left"/>
        <w:rPr>
          <w:rFonts w:ascii="宋体" w:hAnsi="宋体"/>
          <w:b/>
          <w:sz w:val="22"/>
        </w:rPr>
      </w:pPr>
    </w:p>
    <w:p>
      <w:pPr>
        <w:adjustRightInd w:val="0"/>
        <w:snapToGrid w:val="0"/>
        <w:ind w:firstLine="452"/>
        <w:jc w:val="left"/>
        <w:rPr>
          <w:rFonts w:ascii="宋体" w:hAnsi="宋体"/>
          <w:b/>
          <w:sz w:val="22"/>
        </w:rPr>
      </w:pPr>
      <w:r>
        <w:rPr>
          <w:rFonts w:hint="eastAsia" w:ascii="宋体" w:hAnsi="宋体"/>
          <w:b/>
          <w:sz w:val="22"/>
        </w:rPr>
        <w:t xml:space="preserve">乙方： </w:t>
      </w:r>
      <w:r>
        <w:rPr>
          <w:rFonts w:ascii="宋体" w:hAnsi="宋体"/>
          <w:b/>
          <w:sz w:val="22"/>
          <w:u w:val="single"/>
        </w:rPr>
        <w:t xml:space="preserve">                       </w:t>
      </w:r>
    </w:p>
    <w:p>
      <w:pPr>
        <w:adjustRightInd w:val="0"/>
        <w:snapToGrid w:val="0"/>
        <w:ind w:firstLine="452"/>
        <w:jc w:val="left"/>
        <w:rPr>
          <w:rFonts w:ascii="宋体" w:hAnsi="宋体"/>
          <w:sz w:val="22"/>
          <w:u w:val="single"/>
        </w:rPr>
      </w:pPr>
      <w:r>
        <w:rPr>
          <w:rFonts w:hint="eastAsia" w:ascii="宋体" w:hAnsi="宋体"/>
          <w:b/>
          <w:sz w:val="22"/>
        </w:rPr>
        <w:t>住所地：</w:t>
      </w:r>
      <w:r>
        <w:rPr>
          <w:rFonts w:ascii="宋体" w:hAnsi="宋体"/>
          <w:sz w:val="22"/>
          <w:u w:val="single"/>
        </w:rPr>
        <w:t xml:space="preserve">                      </w:t>
      </w:r>
    </w:p>
    <w:p>
      <w:pPr>
        <w:adjustRightInd w:val="0"/>
        <w:snapToGrid w:val="0"/>
        <w:ind w:firstLine="450"/>
        <w:jc w:val="left"/>
        <w:rPr>
          <w:rFonts w:ascii="宋体" w:hAnsi="宋体"/>
          <w:sz w:val="22"/>
        </w:rPr>
      </w:pPr>
    </w:p>
    <w:p>
      <w:pPr>
        <w:adjustRightInd w:val="0"/>
        <w:snapToGrid w:val="0"/>
        <w:ind w:firstLine="440" w:firstLineChars="200"/>
        <w:jc w:val="left"/>
        <w:rPr>
          <w:rFonts w:ascii="宋体" w:hAnsi="宋体"/>
          <w:sz w:val="22"/>
        </w:rPr>
      </w:pPr>
      <w:r>
        <w:rPr>
          <w:rFonts w:hint="eastAsia" w:ascii="宋体" w:hAnsi="宋体"/>
          <w:sz w:val="22"/>
        </w:rPr>
        <w:t>甲、乙双方根据《中华人民共和国合同法》等相关法律法规，就相关产品采购事宜，在互利、平等的原则基础上，经协商一致，特签订本合同，以共同遵守。</w:t>
      </w:r>
    </w:p>
    <w:p>
      <w:pPr>
        <w:ind w:firstLine="593"/>
        <w:jc w:val="left"/>
        <w:rPr>
          <w:rFonts w:ascii="宋体" w:hAnsi="宋体"/>
          <w:b/>
          <w:bCs/>
          <w:sz w:val="22"/>
        </w:rPr>
      </w:pPr>
      <w:r>
        <w:rPr>
          <w:rFonts w:hint="eastAsia" w:ascii="宋体" w:hAnsi="宋体"/>
          <w:b/>
          <w:bCs/>
          <w:sz w:val="22"/>
        </w:rPr>
        <w:t>一、产品规格型号及参数（以下简称“货物”）</w:t>
      </w:r>
    </w:p>
    <w:tbl>
      <w:tblPr>
        <w:tblStyle w:val="46"/>
        <w:tblW w:w="10781" w:type="dxa"/>
        <w:tblInd w:w="-8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6"/>
        <w:gridCol w:w="1694"/>
        <w:gridCol w:w="1661"/>
        <w:gridCol w:w="693"/>
        <w:gridCol w:w="561"/>
        <w:gridCol w:w="894"/>
        <w:gridCol w:w="1183"/>
        <w:gridCol w:w="1183"/>
        <w:gridCol w:w="1183"/>
        <w:gridCol w:w="11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7" w:hRule="atLeast"/>
        </w:trPr>
        <w:tc>
          <w:tcPr>
            <w:tcW w:w="546" w:type="dxa"/>
            <w:tcBorders>
              <w:top w:val="single" w:color="auto" w:sz="4" w:space="0"/>
              <w:left w:val="single" w:color="auto" w:sz="4" w:space="0"/>
              <w:bottom w:val="single" w:color="auto" w:sz="4" w:space="0"/>
              <w:right w:val="single" w:color="auto" w:sz="4" w:space="0"/>
            </w:tcBorders>
            <w:noWrap w:val="0"/>
            <w:vAlign w:val="center"/>
          </w:tcPr>
          <w:p>
            <w:pPr>
              <w:pStyle w:val="57"/>
              <w:jc w:val="left"/>
              <w:rPr>
                <w:rFonts w:ascii="宋体" w:hAnsi="宋体"/>
                <w:b/>
                <w:sz w:val="22"/>
              </w:rPr>
            </w:pPr>
            <w:r>
              <w:rPr>
                <w:rFonts w:hint="eastAsia" w:ascii="宋体" w:hAnsi="宋体"/>
                <w:b/>
                <w:sz w:val="22"/>
              </w:rPr>
              <w:t>序号</w:t>
            </w:r>
          </w:p>
        </w:tc>
        <w:tc>
          <w:tcPr>
            <w:tcW w:w="1694" w:type="dxa"/>
            <w:tcBorders>
              <w:top w:val="single" w:color="auto" w:sz="4" w:space="0"/>
              <w:left w:val="single" w:color="auto" w:sz="4" w:space="0"/>
              <w:bottom w:val="single" w:color="auto" w:sz="4" w:space="0"/>
              <w:right w:val="single" w:color="auto" w:sz="4" w:space="0"/>
            </w:tcBorders>
            <w:noWrap w:val="0"/>
            <w:vAlign w:val="center"/>
          </w:tcPr>
          <w:p>
            <w:pPr>
              <w:pStyle w:val="57"/>
              <w:jc w:val="left"/>
              <w:rPr>
                <w:rFonts w:ascii="宋体" w:hAnsi="宋体"/>
                <w:b/>
                <w:sz w:val="18"/>
              </w:rPr>
            </w:pPr>
            <w:r>
              <w:rPr>
                <w:rFonts w:hint="eastAsia" w:ascii="宋体" w:hAnsi="宋体"/>
                <w:b/>
                <w:sz w:val="18"/>
              </w:rPr>
              <w:t>产品名称</w:t>
            </w:r>
          </w:p>
        </w:tc>
        <w:tc>
          <w:tcPr>
            <w:tcW w:w="1661" w:type="dxa"/>
            <w:tcBorders>
              <w:top w:val="single" w:color="auto" w:sz="4" w:space="0"/>
              <w:left w:val="single" w:color="auto" w:sz="4" w:space="0"/>
              <w:bottom w:val="single" w:color="auto" w:sz="4" w:space="0"/>
              <w:right w:val="single" w:color="auto" w:sz="4" w:space="0"/>
            </w:tcBorders>
            <w:noWrap w:val="0"/>
            <w:vAlign w:val="center"/>
          </w:tcPr>
          <w:p>
            <w:pPr>
              <w:pStyle w:val="57"/>
              <w:jc w:val="left"/>
              <w:rPr>
                <w:rFonts w:ascii="宋体" w:hAnsi="宋体"/>
                <w:b/>
                <w:sz w:val="18"/>
              </w:rPr>
            </w:pPr>
            <w:r>
              <w:rPr>
                <w:rFonts w:hint="eastAsia" w:ascii="宋体" w:hAnsi="宋体"/>
                <w:b/>
                <w:sz w:val="18"/>
              </w:rPr>
              <w:t>品牌型号</w:t>
            </w:r>
          </w:p>
        </w:tc>
        <w:tc>
          <w:tcPr>
            <w:tcW w:w="693" w:type="dxa"/>
            <w:tcBorders>
              <w:top w:val="single" w:color="auto" w:sz="4" w:space="0"/>
              <w:left w:val="single" w:color="auto" w:sz="4" w:space="0"/>
              <w:bottom w:val="single" w:color="auto" w:sz="4" w:space="0"/>
              <w:right w:val="single" w:color="auto" w:sz="4" w:space="0"/>
            </w:tcBorders>
            <w:noWrap w:val="0"/>
            <w:vAlign w:val="center"/>
          </w:tcPr>
          <w:p>
            <w:pPr>
              <w:pStyle w:val="57"/>
              <w:jc w:val="center"/>
              <w:rPr>
                <w:rFonts w:ascii="宋体" w:hAnsi="宋体"/>
                <w:b/>
                <w:sz w:val="18"/>
              </w:rPr>
            </w:pPr>
            <w:r>
              <w:rPr>
                <w:rFonts w:hint="eastAsia" w:ascii="宋体" w:hAnsi="宋体"/>
                <w:b/>
                <w:sz w:val="18"/>
              </w:rPr>
              <w:t>单位</w:t>
            </w:r>
          </w:p>
        </w:tc>
        <w:tc>
          <w:tcPr>
            <w:tcW w:w="561" w:type="dxa"/>
            <w:tcBorders>
              <w:top w:val="single" w:color="auto" w:sz="4" w:space="0"/>
              <w:left w:val="single" w:color="auto" w:sz="4" w:space="0"/>
              <w:bottom w:val="single" w:color="auto" w:sz="4" w:space="0"/>
              <w:right w:val="single" w:color="auto" w:sz="4" w:space="0"/>
            </w:tcBorders>
            <w:noWrap w:val="0"/>
            <w:vAlign w:val="center"/>
          </w:tcPr>
          <w:p>
            <w:pPr>
              <w:pStyle w:val="57"/>
              <w:jc w:val="left"/>
              <w:rPr>
                <w:rFonts w:ascii="宋体" w:hAnsi="宋体"/>
                <w:b/>
                <w:sz w:val="18"/>
              </w:rPr>
            </w:pPr>
            <w:r>
              <w:rPr>
                <w:rFonts w:hint="eastAsia" w:ascii="宋体" w:hAnsi="宋体"/>
                <w:b/>
                <w:sz w:val="18"/>
              </w:rPr>
              <w:t>数量</w:t>
            </w:r>
          </w:p>
        </w:tc>
        <w:tc>
          <w:tcPr>
            <w:tcW w:w="894" w:type="dxa"/>
            <w:tcBorders>
              <w:top w:val="single" w:color="auto" w:sz="4" w:space="0"/>
              <w:left w:val="single" w:color="auto" w:sz="4" w:space="0"/>
              <w:bottom w:val="single" w:color="auto" w:sz="4" w:space="0"/>
              <w:right w:val="single" w:color="auto" w:sz="4" w:space="0"/>
            </w:tcBorders>
            <w:noWrap w:val="0"/>
            <w:vAlign w:val="center"/>
          </w:tcPr>
          <w:p>
            <w:pPr>
              <w:pStyle w:val="57"/>
              <w:jc w:val="center"/>
              <w:rPr>
                <w:rFonts w:ascii="宋体" w:hAnsi="宋体"/>
                <w:b/>
                <w:sz w:val="18"/>
              </w:rPr>
            </w:pPr>
            <w:r>
              <w:rPr>
                <w:rFonts w:hint="eastAsia" w:ascii="宋体" w:hAnsi="宋体" w:cs="宋体"/>
                <w:b/>
                <w:bCs/>
                <w:kern w:val="0"/>
                <w:sz w:val="20"/>
              </w:rPr>
              <w:t>单  价 (元，不含税)</w:t>
            </w:r>
          </w:p>
        </w:tc>
        <w:tc>
          <w:tcPr>
            <w:tcW w:w="1183" w:type="dxa"/>
            <w:tcBorders>
              <w:top w:val="single" w:color="auto" w:sz="4" w:space="0"/>
              <w:left w:val="single" w:color="auto" w:sz="4" w:space="0"/>
              <w:bottom w:val="single" w:color="auto" w:sz="4" w:space="0"/>
              <w:right w:val="single" w:color="auto" w:sz="4" w:space="0"/>
            </w:tcBorders>
            <w:noWrap w:val="0"/>
            <w:vAlign w:val="top"/>
          </w:tcPr>
          <w:p>
            <w:pPr>
              <w:pStyle w:val="57"/>
              <w:jc w:val="center"/>
              <w:rPr>
                <w:rFonts w:ascii="宋体" w:hAnsi="宋体"/>
                <w:b/>
                <w:sz w:val="18"/>
              </w:rPr>
            </w:pPr>
            <w:r>
              <w:rPr>
                <w:rFonts w:hint="eastAsia" w:ascii="宋体" w:hAnsi="宋体" w:cs="宋体"/>
                <w:b/>
                <w:bCs/>
                <w:kern w:val="0"/>
                <w:sz w:val="20"/>
              </w:rPr>
              <w:t>合价（元，不含税）</w:t>
            </w:r>
          </w:p>
        </w:tc>
        <w:tc>
          <w:tcPr>
            <w:tcW w:w="1183" w:type="dxa"/>
            <w:tcBorders>
              <w:top w:val="single" w:color="auto" w:sz="4" w:space="0"/>
              <w:left w:val="single" w:color="auto" w:sz="4" w:space="0"/>
              <w:bottom w:val="single" w:color="auto" w:sz="4" w:space="0"/>
              <w:right w:val="single" w:color="auto" w:sz="4" w:space="0"/>
            </w:tcBorders>
            <w:noWrap w:val="0"/>
            <w:vAlign w:val="top"/>
          </w:tcPr>
          <w:p>
            <w:pPr>
              <w:pStyle w:val="57"/>
              <w:jc w:val="center"/>
              <w:rPr>
                <w:rFonts w:ascii="宋体" w:hAnsi="宋体"/>
                <w:b/>
                <w:sz w:val="18"/>
              </w:rPr>
            </w:pPr>
            <w:r>
              <w:rPr>
                <w:rFonts w:hint="eastAsia" w:ascii="宋体" w:hAnsi="宋体" w:cs="宋体"/>
                <w:b/>
                <w:bCs/>
                <w:kern w:val="0"/>
                <w:sz w:val="20"/>
              </w:rPr>
              <w:t>增值税税率</w:t>
            </w:r>
          </w:p>
        </w:tc>
        <w:tc>
          <w:tcPr>
            <w:tcW w:w="1183" w:type="dxa"/>
            <w:tcBorders>
              <w:top w:val="single" w:color="auto" w:sz="4" w:space="0"/>
              <w:left w:val="single" w:color="auto" w:sz="4" w:space="0"/>
              <w:bottom w:val="single" w:color="auto" w:sz="4" w:space="0"/>
              <w:right w:val="single" w:color="auto" w:sz="4" w:space="0"/>
            </w:tcBorders>
            <w:noWrap w:val="0"/>
            <w:vAlign w:val="top"/>
          </w:tcPr>
          <w:p>
            <w:pPr>
              <w:pStyle w:val="57"/>
              <w:jc w:val="center"/>
              <w:rPr>
                <w:rFonts w:ascii="宋体" w:hAnsi="宋体"/>
                <w:b/>
                <w:sz w:val="18"/>
              </w:rPr>
            </w:pPr>
            <w:r>
              <w:rPr>
                <w:rFonts w:hint="eastAsia" w:ascii="宋体" w:hAnsi="宋体" w:cs="宋体"/>
                <w:b/>
                <w:bCs/>
                <w:kern w:val="0"/>
                <w:sz w:val="20"/>
              </w:rPr>
              <w:t>单价（元，含税）</w:t>
            </w:r>
          </w:p>
        </w:tc>
        <w:tc>
          <w:tcPr>
            <w:tcW w:w="118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pStyle w:val="57"/>
              <w:jc w:val="center"/>
              <w:rPr>
                <w:rFonts w:ascii="宋体" w:hAnsi="宋体"/>
                <w:b/>
                <w:sz w:val="18"/>
              </w:rPr>
            </w:pPr>
            <w:r>
              <w:rPr>
                <w:rFonts w:hint="eastAsia" w:ascii="宋体" w:hAnsi="宋体" w:cs="宋体"/>
                <w:b/>
                <w:bCs/>
                <w:kern w:val="0"/>
                <w:sz w:val="20"/>
              </w:rPr>
              <w:t>(元，含税)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trPr>
        <w:tc>
          <w:tcPr>
            <w:tcW w:w="546" w:type="dxa"/>
            <w:tcBorders>
              <w:top w:val="single" w:color="auto" w:sz="4" w:space="0"/>
              <w:left w:val="single" w:color="auto" w:sz="4" w:space="0"/>
              <w:bottom w:val="single" w:color="auto" w:sz="4" w:space="0"/>
              <w:right w:val="single" w:color="auto" w:sz="4" w:space="0"/>
            </w:tcBorders>
            <w:noWrap w:val="0"/>
            <w:vAlign w:val="center"/>
          </w:tcPr>
          <w:p>
            <w:pPr>
              <w:pStyle w:val="57"/>
              <w:ind w:firstLine="440" w:firstLineChars="200"/>
              <w:jc w:val="left"/>
              <w:rPr>
                <w:rFonts w:ascii="宋体" w:hAnsi="宋体"/>
                <w:sz w:val="22"/>
              </w:rPr>
            </w:pPr>
          </w:p>
        </w:tc>
        <w:tc>
          <w:tcPr>
            <w:tcW w:w="1694" w:type="dxa"/>
            <w:tcBorders>
              <w:top w:val="single" w:color="auto" w:sz="4" w:space="0"/>
              <w:left w:val="single" w:color="auto" w:sz="4" w:space="0"/>
              <w:bottom w:val="single" w:color="auto" w:sz="4" w:space="0"/>
              <w:right w:val="single" w:color="auto" w:sz="4" w:space="0"/>
            </w:tcBorders>
            <w:noWrap w:val="0"/>
            <w:vAlign w:val="center"/>
          </w:tcPr>
          <w:p>
            <w:pPr>
              <w:pStyle w:val="57"/>
              <w:ind w:firstLine="360" w:firstLineChars="200"/>
              <w:jc w:val="left"/>
              <w:rPr>
                <w:rFonts w:ascii="宋体" w:hAnsi="宋体"/>
                <w:sz w:val="18"/>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pPr>
              <w:pStyle w:val="57"/>
              <w:ind w:firstLine="360" w:firstLineChars="200"/>
              <w:jc w:val="left"/>
              <w:rPr>
                <w:rFonts w:ascii="宋体" w:hAnsi="宋体"/>
                <w:sz w:val="18"/>
              </w:rPr>
            </w:pPr>
          </w:p>
        </w:tc>
        <w:tc>
          <w:tcPr>
            <w:tcW w:w="693" w:type="dxa"/>
            <w:tcBorders>
              <w:top w:val="single" w:color="auto" w:sz="4" w:space="0"/>
              <w:left w:val="single" w:color="auto" w:sz="4" w:space="0"/>
              <w:bottom w:val="single" w:color="auto" w:sz="4" w:space="0"/>
              <w:right w:val="single" w:color="auto" w:sz="4" w:space="0"/>
            </w:tcBorders>
            <w:noWrap w:val="0"/>
            <w:vAlign w:val="center"/>
          </w:tcPr>
          <w:p>
            <w:pPr>
              <w:pStyle w:val="57"/>
              <w:ind w:firstLine="360" w:firstLineChars="200"/>
              <w:jc w:val="left"/>
              <w:rPr>
                <w:rFonts w:ascii="宋体" w:hAnsi="宋体"/>
                <w:sz w:val="18"/>
              </w:rPr>
            </w:pPr>
          </w:p>
        </w:tc>
        <w:tc>
          <w:tcPr>
            <w:tcW w:w="561" w:type="dxa"/>
            <w:tcBorders>
              <w:top w:val="single" w:color="auto" w:sz="4" w:space="0"/>
              <w:left w:val="single" w:color="auto" w:sz="4" w:space="0"/>
              <w:bottom w:val="single" w:color="auto" w:sz="4" w:space="0"/>
              <w:right w:val="single" w:color="auto" w:sz="4" w:space="0"/>
            </w:tcBorders>
            <w:noWrap w:val="0"/>
            <w:vAlign w:val="center"/>
          </w:tcPr>
          <w:p>
            <w:pPr>
              <w:pStyle w:val="57"/>
              <w:ind w:firstLine="360" w:firstLineChars="200"/>
              <w:jc w:val="left"/>
              <w:rPr>
                <w:rFonts w:ascii="宋体" w:hAnsi="宋体"/>
                <w:sz w:val="18"/>
              </w:rPr>
            </w:pPr>
          </w:p>
        </w:tc>
        <w:tc>
          <w:tcPr>
            <w:tcW w:w="894" w:type="dxa"/>
            <w:tcBorders>
              <w:top w:val="single" w:color="auto" w:sz="4" w:space="0"/>
              <w:left w:val="single" w:color="auto" w:sz="4" w:space="0"/>
              <w:bottom w:val="single" w:color="auto" w:sz="4" w:space="0"/>
              <w:right w:val="single" w:color="auto" w:sz="4" w:space="0"/>
            </w:tcBorders>
            <w:noWrap w:val="0"/>
            <w:vAlign w:val="center"/>
          </w:tcPr>
          <w:p>
            <w:pPr>
              <w:pStyle w:val="57"/>
              <w:ind w:firstLine="360" w:firstLineChars="200"/>
              <w:jc w:val="left"/>
              <w:rPr>
                <w:rFonts w:ascii="宋体" w:hAnsi="宋体"/>
                <w:sz w:val="18"/>
              </w:rPr>
            </w:pPr>
          </w:p>
        </w:tc>
        <w:tc>
          <w:tcPr>
            <w:tcW w:w="1183" w:type="dxa"/>
            <w:tcBorders>
              <w:top w:val="single" w:color="auto" w:sz="4" w:space="0"/>
              <w:left w:val="single" w:color="auto" w:sz="4" w:space="0"/>
              <w:bottom w:val="single" w:color="auto" w:sz="4" w:space="0"/>
              <w:right w:val="single" w:color="auto" w:sz="4" w:space="0"/>
            </w:tcBorders>
            <w:noWrap w:val="0"/>
            <w:vAlign w:val="top"/>
          </w:tcPr>
          <w:p>
            <w:pPr>
              <w:pStyle w:val="57"/>
              <w:ind w:firstLine="360" w:firstLineChars="200"/>
              <w:jc w:val="left"/>
              <w:rPr>
                <w:rFonts w:ascii="宋体" w:hAnsi="宋体"/>
                <w:sz w:val="18"/>
              </w:rPr>
            </w:pPr>
          </w:p>
        </w:tc>
        <w:tc>
          <w:tcPr>
            <w:tcW w:w="1183" w:type="dxa"/>
            <w:tcBorders>
              <w:top w:val="single" w:color="auto" w:sz="4" w:space="0"/>
              <w:left w:val="single" w:color="auto" w:sz="4" w:space="0"/>
              <w:bottom w:val="single" w:color="auto" w:sz="4" w:space="0"/>
              <w:right w:val="single" w:color="auto" w:sz="4" w:space="0"/>
            </w:tcBorders>
            <w:noWrap w:val="0"/>
            <w:vAlign w:val="top"/>
          </w:tcPr>
          <w:p>
            <w:pPr>
              <w:pStyle w:val="57"/>
              <w:ind w:firstLine="360" w:firstLineChars="200"/>
              <w:jc w:val="left"/>
              <w:rPr>
                <w:rFonts w:ascii="宋体" w:hAnsi="宋体"/>
                <w:sz w:val="18"/>
              </w:rPr>
            </w:pPr>
          </w:p>
        </w:tc>
        <w:tc>
          <w:tcPr>
            <w:tcW w:w="1183" w:type="dxa"/>
            <w:tcBorders>
              <w:top w:val="single" w:color="auto" w:sz="4" w:space="0"/>
              <w:left w:val="single" w:color="auto" w:sz="4" w:space="0"/>
              <w:bottom w:val="single" w:color="auto" w:sz="4" w:space="0"/>
              <w:right w:val="single" w:color="auto" w:sz="4" w:space="0"/>
            </w:tcBorders>
            <w:noWrap w:val="0"/>
            <w:vAlign w:val="top"/>
          </w:tcPr>
          <w:p>
            <w:pPr>
              <w:pStyle w:val="57"/>
              <w:ind w:firstLine="360" w:firstLineChars="200"/>
              <w:jc w:val="left"/>
              <w:rPr>
                <w:rFonts w:ascii="宋体" w:hAnsi="宋体"/>
                <w:sz w:val="18"/>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pStyle w:val="57"/>
              <w:ind w:firstLine="360" w:firstLineChars="200"/>
              <w:jc w:val="left"/>
              <w:rPr>
                <w:rFonts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trPr>
        <w:tc>
          <w:tcPr>
            <w:tcW w:w="546" w:type="dxa"/>
            <w:tcBorders>
              <w:top w:val="single" w:color="auto" w:sz="4" w:space="0"/>
              <w:left w:val="single" w:color="auto" w:sz="4" w:space="0"/>
              <w:bottom w:val="single" w:color="auto" w:sz="4" w:space="0"/>
              <w:right w:val="single" w:color="auto" w:sz="4" w:space="0"/>
            </w:tcBorders>
            <w:noWrap w:val="0"/>
            <w:vAlign w:val="center"/>
          </w:tcPr>
          <w:p>
            <w:pPr>
              <w:pStyle w:val="57"/>
              <w:ind w:firstLine="440" w:firstLineChars="200"/>
              <w:jc w:val="left"/>
              <w:rPr>
                <w:rFonts w:ascii="宋体" w:hAnsi="宋体"/>
                <w:sz w:val="22"/>
              </w:rPr>
            </w:pPr>
          </w:p>
        </w:tc>
        <w:tc>
          <w:tcPr>
            <w:tcW w:w="1694" w:type="dxa"/>
            <w:tcBorders>
              <w:top w:val="single" w:color="auto" w:sz="4" w:space="0"/>
              <w:left w:val="single" w:color="auto" w:sz="4" w:space="0"/>
              <w:bottom w:val="single" w:color="auto" w:sz="4" w:space="0"/>
              <w:right w:val="single" w:color="auto" w:sz="4" w:space="0"/>
            </w:tcBorders>
            <w:noWrap w:val="0"/>
            <w:vAlign w:val="center"/>
          </w:tcPr>
          <w:p>
            <w:pPr>
              <w:pStyle w:val="57"/>
              <w:ind w:firstLine="360" w:firstLineChars="200"/>
              <w:jc w:val="left"/>
              <w:rPr>
                <w:rFonts w:ascii="宋体" w:hAnsi="宋体"/>
                <w:sz w:val="18"/>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pPr>
              <w:pStyle w:val="57"/>
              <w:ind w:firstLine="360" w:firstLineChars="200"/>
              <w:jc w:val="left"/>
              <w:rPr>
                <w:rFonts w:ascii="宋体" w:hAnsi="宋体"/>
                <w:sz w:val="18"/>
              </w:rPr>
            </w:pPr>
          </w:p>
        </w:tc>
        <w:tc>
          <w:tcPr>
            <w:tcW w:w="693" w:type="dxa"/>
            <w:tcBorders>
              <w:top w:val="single" w:color="auto" w:sz="4" w:space="0"/>
              <w:left w:val="single" w:color="auto" w:sz="4" w:space="0"/>
              <w:bottom w:val="single" w:color="auto" w:sz="4" w:space="0"/>
              <w:right w:val="single" w:color="auto" w:sz="4" w:space="0"/>
            </w:tcBorders>
            <w:noWrap w:val="0"/>
            <w:vAlign w:val="center"/>
          </w:tcPr>
          <w:p>
            <w:pPr>
              <w:pStyle w:val="57"/>
              <w:ind w:firstLine="360" w:firstLineChars="200"/>
              <w:jc w:val="left"/>
              <w:rPr>
                <w:rFonts w:ascii="宋体" w:hAnsi="宋体"/>
                <w:sz w:val="18"/>
              </w:rPr>
            </w:pPr>
          </w:p>
        </w:tc>
        <w:tc>
          <w:tcPr>
            <w:tcW w:w="561" w:type="dxa"/>
            <w:tcBorders>
              <w:top w:val="single" w:color="auto" w:sz="4" w:space="0"/>
              <w:left w:val="single" w:color="auto" w:sz="4" w:space="0"/>
              <w:bottom w:val="single" w:color="auto" w:sz="4" w:space="0"/>
              <w:right w:val="single" w:color="auto" w:sz="4" w:space="0"/>
            </w:tcBorders>
            <w:noWrap w:val="0"/>
            <w:vAlign w:val="center"/>
          </w:tcPr>
          <w:p>
            <w:pPr>
              <w:pStyle w:val="57"/>
              <w:ind w:firstLine="360" w:firstLineChars="200"/>
              <w:jc w:val="left"/>
              <w:rPr>
                <w:rFonts w:ascii="宋体" w:hAnsi="宋体"/>
                <w:sz w:val="18"/>
              </w:rPr>
            </w:pPr>
          </w:p>
        </w:tc>
        <w:tc>
          <w:tcPr>
            <w:tcW w:w="894" w:type="dxa"/>
            <w:tcBorders>
              <w:top w:val="single" w:color="auto" w:sz="4" w:space="0"/>
              <w:left w:val="single" w:color="auto" w:sz="4" w:space="0"/>
              <w:bottom w:val="single" w:color="auto" w:sz="4" w:space="0"/>
              <w:right w:val="single" w:color="auto" w:sz="4" w:space="0"/>
            </w:tcBorders>
            <w:noWrap w:val="0"/>
            <w:vAlign w:val="center"/>
          </w:tcPr>
          <w:p>
            <w:pPr>
              <w:pStyle w:val="57"/>
              <w:ind w:firstLine="360" w:firstLineChars="200"/>
              <w:jc w:val="left"/>
              <w:rPr>
                <w:rFonts w:ascii="宋体" w:hAnsi="宋体"/>
                <w:sz w:val="18"/>
              </w:rPr>
            </w:pPr>
          </w:p>
        </w:tc>
        <w:tc>
          <w:tcPr>
            <w:tcW w:w="1183" w:type="dxa"/>
            <w:tcBorders>
              <w:top w:val="single" w:color="auto" w:sz="4" w:space="0"/>
              <w:left w:val="single" w:color="auto" w:sz="4" w:space="0"/>
              <w:bottom w:val="single" w:color="auto" w:sz="4" w:space="0"/>
              <w:right w:val="single" w:color="auto" w:sz="4" w:space="0"/>
            </w:tcBorders>
            <w:noWrap w:val="0"/>
            <w:vAlign w:val="top"/>
          </w:tcPr>
          <w:p>
            <w:pPr>
              <w:pStyle w:val="57"/>
              <w:ind w:firstLine="360" w:firstLineChars="200"/>
              <w:jc w:val="left"/>
              <w:rPr>
                <w:rFonts w:ascii="宋体" w:hAnsi="宋体"/>
                <w:sz w:val="18"/>
              </w:rPr>
            </w:pPr>
          </w:p>
        </w:tc>
        <w:tc>
          <w:tcPr>
            <w:tcW w:w="1183" w:type="dxa"/>
            <w:tcBorders>
              <w:top w:val="single" w:color="auto" w:sz="4" w:space="0"/>
              <w:left w:val="single" w:color="auto" w:sz="4" w:space="0"/>
              <w:bottom w:val="single" w:color="auto" w:sz="4" w:space="0"/>
              <w:right w:val="single" w:color="auto" w:sz="4" w:space="0"/>
            </w:tcBorders>
            <w:noWrap w:val="0"/>
            <w:vAlign w:val="top"/>
          </w:tcPr>
          <w:p>
            <w:pPr>
              <w:pStyle w:val="57"/>
              <w:ind w:firstLine="360" w:firstLineChars="200"/>
              <w:jc w:val="left"/>
              <w:rPr>
                <w:rFonts w:ascii="宋体" w:hAnsi="宋体"/>
                <w:sz w:val="18"/>
              </w:rPr>
            </w:pPr>
          </w:p>
        </w:tc>
        <w:tc>
          <w:tcPr>
            <w:tcW w:w="1183" w:type="dxa"/>
            <w:tcBorders>
              <w:top w:val="single" w:color="auto" w:sz="4" w:space="0"/>
              <w:left w:val="single" w:color="auto" w:sz="4" w:space="0"/>
              <w:bottom w:val="single" w:color="auto" w:sz="4" w:space="0"/>
              <w:right w:val="single" w:color="auto" w:sz="4" w:space="0"/>
            </w:tcBorders>
            <w:noWrap w:val="0"/>
            <w:vAlign w:val="top"/>
          </w:tcPr>
          <w:p>
            <w:pPr>
              <w:pStyle w:val="57"/>
              <w:ind w:firstLine="360" w:firstLineChars="200"/>
              <w:jc w:val="left"/>
              <w:rPr>
                <w:rFonts w:ascii="宋体" w:hAnsi="宋体"/>
                <w:sz w:val="18"/>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pStyle w:val="57"/>
              <w:ind w:firstLine="360" w:firstLineChars="200"/>
              <w:jc w:val="left"/>
              <w:rPr>
                <w:rFonts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0" w:hRule="atLeast"/>
        </w:trPr>
        <w:tc>
          <w:tcPr>
            <w:tcW w:w="546" w:type="dxa"/>
            <w:tcBorders>
              <w:top w:val="single" w:color="auto" w:sz="4" w:space="0"/>
              <w:left w:val="single" w:color="auto" w:sz="4" w:space="0"/>
              <w:bottom w:val="single" w:color="auto" w:sz="4" w:space="0"/>
              <w:right w:val="single" w:color="auto" w:sz="4" w:space="0"/>
            </w:tcBorders>
            <w:noWrap w:val="0"/>
            <w:vAlign w:val="center"/>
          </w:tcPr>
          <w:p>
            <w:pPr>
              <w:pStyle w:val="57"/>
              <w:ind w:firstLine="440" w:firstLineChars="200"/>
              <w:jc w:val="left"/>
              <w:rPr>
                <w:rFonts w:ascii="宋体" w:hAnsi="宋体"/>
                <w:sz w:val="22"/>
              </w:rPr>
            </w:pPr>
          </w:p>
        </w:tc>
        <w:tc>
          <w:tcPr>
            <w:tcW w:w="1694" w:type="dxa"/>
            <w:tcBorders>
              <w:top w:val="single" w:color="auto" w:sz="4" w:space="0"/>
              <w:left w:val="single" w:color="auto" w:sz="4" w:space="0"/>
              <w:bottom w:val="single" w:color="auto" w:sz="4" w:space="0"/>
              <w:right w:val="single" w:color="auto" w:sz="4" w:space="0"/>
            </w:tcBorders>
            <w:noWrap w:val="0"/>
            <w:vAlign w:val="center"/>
          </w:tcPr>
          <w:p>
            <w:pPr>
              <w:pStyle w:val="57"/>
              <w:ind w:firstLine="360" w:firstLineChars="200"/>
              <w:jc w:val="left"/>
              <w:rPr>
                <w:rFonts w:ascii="宋体" w:hAnsi="宋体"/>
                <w:sz w:val="18"/>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pPr>
              <w:pStyle w:val="57"/>
              <w:ind w:firstLine="360" w:firstLineChars="200"/>
              <w:jc w:val="left"/>
              <w:rPr>
                <w:rFonts w:ascii="宋体" w:hAnsi="宋体"/>
                <w:sz w:val="18"/>
              </w:rPr>
            </w:pPr>
          </w:p>
        </w:tc>
        <w:tc>
          <w:tcPr>
            <w:tcW w:w="693" w:type="dxa"/>
            <w:tcBorders>
              <w:top w:val="single" w:color="auto" w:sz="4" w:space="0"/>
              <w:left w:val="single" w:color="auto" w:sz="4" w:space="0"/>
              <w:bottom w:val="single" w:color="auto" w:sz="4" w:space="0"/>
              <w:right w:val="single" w:color="auto" w:sz="4" w:space="0"/>
            </w:tcBorders>
            <w:noWrap w:val="0"/>
            <w:vAlign w:val="center"/>
          </w:tcPr>
          <w:p>
            <w:pPr>
              <w:pStyle w:val="57"/>
              <w:ind w:firstLine="360" w:firstLineChars="200"/>
              <w:jc w:val="left"/>
              <w:rPr>
                <w:rFonts w:ascii="宋体" w:hAnsi="宋体"/>
                <w:sz w:val="18"/>
              </w:rPr>
            </w:pPr>
          </w:p>
        </w:tc>
        <w:tc>
          <w:tcPr>
            <w:tcW w:w="561" w:type="dxa"/>
            <w:tcBorders>
              <w:top w:val="single" w:color="auto" w:sz="4" w:space="0"/>
              <w:left w:val="single" w:color="auto" w:sz="4" w:space="0"/>
              <w:bottom w:val="single" w:color="auto" w:sz="4" w:space="0"/>
              <w:right w:val="single" w:color="auto" w:sz="4" w:space="0"/>
            </w:tcBorders>
            <w:noWrap w:val="0"/>
            <w:vAlign w:val="center"/>
          </w:tcPr>
          <w:p>
            <w:pPr>
              <w:pStyle w:val="57"/>
              <w:ind w:firstLine="360" w:firstLineChars="200"/>
              <w:jc w:val="left"/>
              <w:rPr>
                <w:rFonts w:ascii="宋体" w:hAnsi="宋体"/>
                <w:sz w:val="18"/>
              </w:rPr>
            </w:pPr>
          </w:p>
        </w:tc>
        <w:tc>
          <w:tcPr>
            <w:tcW w:w="894" w:type="dxa"/>
            <w:tcBorders>
              <w:top w:val="single" w:color="auto" w:sz="4" w:space="0"/>
              <w:left w:val="single" w:color="auto" w:sz="4" w:space="0"/>
              <w:bottom w:val="single" w:color="auto" w:sz="4" w:space="0"/>
              <w:right w:val="single" w:color="auto" w:sz="4" w:space="0"/>
            </w:tcBorders>
            <w:noWrap w:val="0"/>
            <w:vAlign w:val="center"/>
          </w:tcPr>
          <w:p>
            <w:pPr>
              <w:pStyle w:val="57"/>
              <w:ind w:firstLine="360" w:firstLineChars="200"/>
              <w:jc w:val="left"/>
              <w:rPr>
                <w:rFonts w:ascii="宋体" w:hAnsi="宋体"/>
                <w:sz w:val="18"/>
              </w:rPr>
            </w:pPr>
          </w:p>
        </w:tc>
        <w:tc>
          <w:tcPr>
            <w:tcW w:w="1183" w:type="dxa"/>
            <w:tcBorders>
              <w:top w:val="single" w:color="auto" w:sz="4" w:space="0"/>
              <w:left w:val="single" w:color="auto" w:sz="4" w:space="0"/>
              <w:bottom w:val="single" w:color="auto" w:sz="4" w:space="0"/>
              <w:right w:val="single" w:color="auto" w:sz="4" w:space="0"/>
            </w:tcBorders>
            <w:noWrap w:val="0"/>
            <w:vAlign w:val="top"/>
          </w:tcPr>
          <w:p>
            <w:pPr>
              <w:pStyle w:val="57"/>
              <w:ind w:firstLine="360" w:firstLineChars="200"/>
              <w:jc w:val="left"/>
              <w:rPr>
                <w:rFonts w:ascii="宋体" w:hAnsi="宋体"/>
                <w:sz w:val="18"/>
              </w:rPr>
            </w:pPr>
          </w:p>
        </w:tc>
        <w:tc>
          <w:tcPr>
            <w:tcW w:w="1183" w:type="dxa"/>
            <w:tcBorders>
              <w:top w:val="single" w:color="auto" w:sz="4" w:space="0"/>
              <w:left w:val="single" w:color="auto" w:sz="4" w:space="0"/>
              <w:bottom w:val="single" w:color="auto" w:sz="4" w:space="0"/>
              <w:right w:val="single" w:color="auto" w:sz="4" w:space="0"/>
            </w:tcBorders>
            <w:noWrap w:val="0"/>
            <w:vAlign w:val="top"/>
          </w:tcPr>
          <w:p>
            <w:pPr>
              <w:pStyle w:val="57"/>
              <w:ind w:firstLine="360" w:firstLineChars="200"/>
              <w:jc w:val="left"/>
              <w:rPr>
                <w:rFonts w:ascii="宋体" w:hAnsi="宋体"/>
                <w:sz w:val="18"/>
              </w:rPr>
            </w:pPr>
          </w:p>
        </w:tc>
        <w:tc>
          <w:tcPr>
            <w:tcW w:w="1183" w:type="dxa"/>
            <w:tcBorders>
              <w:top w:val="single" w:color="auto" w:sz="4" w:space="0"/>
              <w:left w:val="single" w:color="auto" w:sz="4" w:space="0"/>
              <w:bottom w:val="single" w:color="auto" w:sz="4" w:space="0"/>
              <w:right w:val="single" w:color="auto" w:sz="4" w:space="0"/>
            </w:tcBorders>
            <w:noWrap w:val="0"/>
            <w:vAlign w:val="top"/>
          </w:tcPr>
          <w:p>
            <w:pPr>
              <w:pStyle w:val="57"/>
              <w:ind w:firstLine="360" w:firstLineChars="200"/>
              <w:jc w:val="left"/>
              <w:rPr>
                <w:rFonts w:ascii="宋体" w:hAnsi="宋体"/>
                <w:sz w:val="18"/>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pStyle w:val="57"/>
              <w:ind w:firstLine="360" w:firstLineChars="200"/>
              <w:jc w:val="left"/>
              <w:rPr>
                <w:rFonts w:ascii="宋体" w:hAnsi="宋体"/>
                <w:sz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 w:hRule="atLeast"/>
        </w:trPr>
        <w:tc>
          <w:tcPr>
            <w:tcW w:w="546" w:type="dxa"/>
            <w:tcBorders>
              <w:top w:val="single" w:color="auto" w:sz="4" w:space="0"/>
              <w:left w:val="single" w:color="auto" w:sz="4" w:space="0"/>
              <w:bottom w:val="single" w:color="auto" w:sz="4" w:space="0"/>
              <w:right w:val="single" w:color="auto" w:sz="4" w:space="0"/>
            </w:tcBorders>
            <w:noWrap w:val="0"/>
            <w:vAlign w:val="center"/>
          </w:tcPr>
          <w:p>
            <w:pPr>
              <w:pStyle w:val="57"/>
              <w:jc w:val="left"/>
              <w:rPr>
                <w:rFonts w:ascii="宋体" w:hAnsi="宋体"/>
                <w:sz w:val="22"/>
              </w:rPr>
            </w:pPr>
            <w:r>
              <w:rPr>
                <w:rFonts w:hint="eastAsia" w:ascii="宋体" w:hAnsi="宋体"/>
                <w:sz w:val="22"/>
              </w:rPr>
              <w:t>合计</w:t>
            </w:r>
          </w:p>
        </w:tc>
        <w:tc>
          <w:tcPr>
            <w:tcW w:w="1694" w:type="dxa"/>
            <w:tcBorders>
              <w:top w:val="single" w:color="auto" w:sz="4" w:space="0"/>
              <w:left w:val="single" w:color="auto" w:sz="4" w:space="0"/>
              <w:bottom w:val="single" w:color="auto" w:sz="4" w:space="0"/>
              <w:right w:val="single" w:color="auto" w:sz="4" w:space="0"/>
            </w:tcBorders>
            <w:noWrap w:val="0"/>
            <w:vAlign w:val="center"/>
          </w:tcPr>
          <w:p>
            <w:pPr>
              <w:pStyle w:val="57"/>
              <w:ind w:firstLine="360" w:firstLineChars="200"/>
              <w:jc w:val="left"/>
              <w:rPr>
                <w:rFonts w:ascii="宋体" w:hAnsi="宋体"/>
                <w:sz w:val="18"/>
              </w:rPr>
            </w:pPr>
          </w:p>
        </w:tc>
        <w:tc>
          <w:tcPr>
            <w:tcW w:w="1661" w:type="dxa"/>
            <w:tcBorders>
              <w:top w:val="single" w:color="auto" w:sz="4" w:space="0"/>
              <w:left w:val="single" w:color="auto" w:sz="4" w:space="0"/>
              <w:bottom w:val="single" w:color="auto" w:sz="4" w:space="0"/>
              <w:right w:val="single" w:color="auto" w:sz="4" w:space="0"/>
            </w:tcBorders>
            <w:noWrap w:val="0"/>
            <w:vAlign w:val="center"/>
          </w:tcPr>
          <w:p>
            <w:pPr>
              <w:pStyle w:val="57"/>
              <w:ind w:firstLine="360" w:firstLineChars="200"/>
              <w:jc w:val="left"/>
              <w:rPr>
                <w:rFonts w:ascii="宋体" w:hAnsi="宋体"/>
                <w:sz w:val="18"/>
              </w:rPr>
            </w:pPr>
          </w:p>
        </w:tc>
        <w:tc>
          <w:tcPr>
            <w:tcW w:w="693" w:type="dxa"/>
            <w:tcBorders>
              <w:top w:val="single" w:color="auto" w:sz="4" w:space="0"/>
              <w:left w:val="single" w:color="auto" w:sz="4" w:space="0"/>
              <w:bottom w:val="single" w:color="auto" w:sz="4" w:space="0"/>
              <w:right w:val="single" w:color="auto" w:sz="4" w:space="0"/>
            </w:tcBorders>
            <w:noWrap w:val="0"/>
            <w:vAlign w:val="center"/>
          </w:tcPr>
          <w:p>
            <w:pPr>
              <w:pStyle w:val="57"/>
              <w:ind w:firstLine="360" w:firstLineChars="200"/>
              <w:jc w:val="left"/>
              <w:rPr>
                <w:rFonts w:ascii="宋体" w:hAnsi="宋体"/>
                <w:sz w:val="18"/>
              </w:rPr>
            </w:pPr>
          </w:p>
        </w:tc>
        <w:tc>
          <w:tcPr>
            <w:tcW w:w="561" w:type="dxa"/>
            <w:tcBorders>
              <w:top w:val="single" w:color="auto" w:sz="4" w:space="0"/>
              <w:left w:val="single" w:color="auto" w:sz="4" w:space="0"/>
              <w:bottom w:val="single" w:color="auto" w:sz="4" w:space="0"/>
              <w:right w:val="single" w:color="auto" w:sz="4" w:space="0"/>
            </w:tcBorders>
            <w:noWrap w:val="0"/>
            <w:vAlign w:val="center"/>
          </w:tcPr>
          <w:p>
            <w:pPr>
              <w:pStyle w:val="57"/>
              <w:ind w:firstLine="360" w:firstLineChars="200"/>
              <w:jc w:val="left"/>
              <w:rPr>
                <w:rFonts w:ascii="宋体" w:hAnsi="宋体"/>
                <w:sz w:val="18"/>
              </w:rPr>
            </w:pPr>
          </w:p>
        </w:tc>
        <w:tc>
          <w:tcPr>
            <w:tcW w:w="894" w:type="dxa"/>
            <w:tcBorders>
              <w:top w:val="single" w:color="auto" w:sz="4" w:space="0"/>
              <w:left w:val="single" w:color="auto" w:sz="4" w:space="0"/>
              <w:bottom w:val="single" w:color="auto" w:sz="4" w:space="0"/>
              <w:right w:val="single" w:color="auto" w:sz="4" w:space="0"/>
            </w:tcBorders>
            <w:noWrap w:val="0"/>
            <w:vAlign w:val="center"/>
          </w:tcPr>
          <w:p>
            <w:pPr>
              <w:pStyle w:val="57"/>
              <w:ind w:firstLine="360" w:firstLineChars="200"/>
              <w:jc w:val="left"/>
              <w:rPr>
                <w:rFonts w:ascii="宋体" w:hAnsi="宋体"/>
                <w:sz w:val="18"/>
              </w:rPr>
            </w:pPr>
          </w:p>
        </w:tc>
        <w:tc>
          <w:tcPr>
            <w:tcW w:w="1183" w:type="dxa"/>
            <w:tcBorders>
              <w:top w:val="single" w:color="auto" w:sz="4" w:space="0"/>
              <w:left w:val="single" w:color="auto" w:sz="4" w:space="0"/>
              <w:bottom w:val="single" w:color="auto" w:sz="4" w:space="0"/>
              <w:right w:val="single" w:color="auto" w:sz="4" w:space="0"/>
            </w:tcBorders>
            <w:noWrap w:val="0"/>
            <w:vAlign w:val="top"/>
          </w:tcPr>
          <w:p>
            <w:pPr>
              <w:pStyle w:val="57"/>
              <w:ind w:firstLine="360" w:firstLineChars="200"/>
              <w:jc w:val="left"/>
              <w:rPr>
                <w:rFonts w:ascii="宋体" w:hAnsi="宋体"/>
                <w:sz w:val="18"/>
              </w:rPr>
            </w:pPr>
          </w:p>
        </w:tc>
        <w:tc>
          <w:tcPr>
            <w:tcW w:w="1183" w:type="dxa"/>
            <w:tcBorders>
              <w:top w:val="single" w:color="auto" w:sz="4" w:space="0"/>
              <w:left w:val="single" w:color="auto" w:sz="4" w:space="0"/>
              <w:bottom w:val="single" w:color="auto" w:sz="4" w:space="0"/>
              <w:right w:val="single" w:color="auto" w:sz="4" w:space="0"/>
            </w:tcBorders>
            <w:noWrap w:val="0"/>
            <w:vAlign w:val="top"/>
          </w:tcPr>
          <w:p>
            <w:pPr>
              <w:pStyle w:val="57"/>
              <w:ind w:firstLine="360" w:firstLineChars="200"/>
              <w:jc w:val="left"/>
              <w:rPr>
                <w:rFonts w:ascii="宋体" w:hAnsi="宋体"/>
                <w:sz w:val="18"/>
              </w:rPr>
            </w:pPr>
          </w:p>
        </w:tc>
        <w:tc>
          <w:tcPr>
            <w:tcW w:w="1183" w:type="dxa"/>
            <w:tcBorders>
              <w:top w:val="single" w:color="auto" w:sz="4" w:space="0"/>
              <w:left w:val="single" w:color="auto" w:sz="4" w:space="0"/>
              <w:bottom w:val="single" w:color="auto" w:sz="4" w:space="0"/>
              <w:right w:val="single" w:color="auto" w:sz="4" w:space="0"/>
            </w:tcBorders>
            <w:noWrap w:val="0"/>
            <w:vAlign w:val="top"/>
          </w:tcPr>
          <w:p>
            <w:pPr>
              <w:pStyle w:val="57"/>
              <w:ind w:firstLine="360" w:firstLineChars="200"/>
              <w:jc w:val="left"/>
              <w:rPr>
                <w:rFonts w:ascii="宋体" w:hAnsi="宋体"/>
                <w:sz w:val="18"/>
              </w:rPr>
            </w:pPr>
          </w:p>
        </w:tc>
        <w:tc>
          <w:tcPr>
            <w:tcW w:w="1183" w:type="dxa"/>
            <w:tcBorders>
              <w:top w:val="single" w:color="auto" w:sz="4" w:space="0"/>
              <w:left w:val="single" w:color="auto" w:sz="4" w:space="0"/>
              <w:bottom w:val="single" w:color="auto" w:sz="4" w:space="0"/>
              <w:right w:val="single" w:color="auto" w:sz="4" w:space="0"/>
            </w:tcBorders>
            <w:noWrap w:val="0"/>
            <w:vAlign w:val="center"/>
          </w:tcPr>
          <w:p>
            <w:pPr>
              <w:pStyle w:val="57"/>
              <w:ind w:firstLine="360" w:firstLineChars="200"/>
              <w:jc w:val="left"/>
              <w:rPr>
                <w:rFonts w:ascii="宋体" w:hAnsi="宋体"/>
                <w:sz w:val="18"/>
              </w:rPr>
            </w:pPr>
          </w:p>
        </w:tc>
      </w:tr>
    </w:tbl>
    <w:p>
      <w:pPr>
        <w:adjustRightInd w:val="0"/>
        <w:snapToGrid w:val="0"/>
        <w:ind w:firstLine="602"/>
        <w:jc w:val="left"/>
        <w:rPr>
          <w:rFonts w:ascii="宋体" w:hAnsi="宋体"/>
          <w:b/>
          <w:sz w:val="22"/>
        </w:rPr>
      </w:pPr>
      <w:r>
        <w:rPr>
          <w:rFonts w:hint="eastAsia" w:ascii="宋体" w:hAnsi="宋体"/>
          <w:b/>
          <w:sz w:val="22"/>
        </w:rPr>
        <w:t>自助登机门系统详细功能要求：见招标文件 第三章</w:t>
      </w:r>
    </w:p>
    <w:p>
      <w:pPr>
        <w:adjustRightInd w:val="0"/>
        <w:snapToGrid w:val="0"/>
        <w:ind w:firstLine="602"/>
        <w:jc w:val="left"/>
        <w:rPr>
          <w:rFonts w:ascii="宋体" w:hAnsi="宋体"/>
          <w:b/>
          <w:sz w:val="22"/>
        </w:rPr>
      </w:pPr>
      <w:r>
        <w:rPr>
          <w:rFonts w:hint="eastAsia" w:ascii="宋体" w:hAnsi="宋体"/>
          <w:b/>
          <w:sz w:val="22"/>
        </w:rPr>
        <w:t>二、合同金额</w:t>
      </w:r>
    </w:p>
    <w:p>
      <w:pPr>
        <w:ind w:firstLine="422" w:firstLineChars="192"/>
        <w:jc w:val="left"/>
        <w:rPr>
          <w:rFonts w:ascii="宋体" w:hAnsi="宋体"/>
          <w:sz w:val="22"/>
        </w:rPr>
      </w:pPr>
      <w:r>
        <w:rPr>
          <w:rFonts w:hint="eastAsia" w:ascii="宋体" w:hAnsi="宋体"/>
          <w:sz w:val="22"/>
        </w:rPr>
        <w:t>本合同金额为（大写）：              元（</w:t>
      </w:r>
      <w:r>
        <w:rPr>
          <w:rFonts w:ascii="宋体" w:hAnsi="宋体"/>
          <w:sz w:val="22"/>
        </w:rPr>
        <w:t>¥</w:t>
      </w:r>
      <w:r>
        <w:rPr>
          <w:rFonts w:hint="eastAsia" w:ascii="宋体" w:hAnsi="宋体"/>
          <w:sz w:val="22"/>
          <w:u w:val="single"/>
        </w:rPr>
        <w:t xml:space="preserve">          </w:t>
      </w:r>
      <w:r>
        <w:rPr>
          <w:rFonts w:hint="eastAsia" w:ascii="宋体" w:hAnsi="宋体"/>
          <w:sz w:val="22"/>
        </w:rPr>
        <w:t>元）人民币。本合同价为杭州萧山国际机场内交货价，含产品价格、运输费、包装费、保险费、税费、</w:t>
      </w:r>
      <w:r>
        <w:rPr>
          <w:rFonts w:hint="eastAsia" w:ascii="宋体" w:hAnsi="宋体"/>
          <w:sz w:val="22"/>
          <w:u w:val="single"/>
        </w:rPr>
        <w:t>安装调试、应用软件和各个其它系统厂家的接口和【】年免费维护</w:t>
      </w:r>
      <w:r>
        <w:rPr>
          <w:rFonts w:hint="eastAsia" w:ascii="宋体" w:hAnsi="宋体"/>
          <w:sz w:val="22"/>
        </w:rPr>
        <w:t>等所有费用。甲方不再承担其他任何费用。</w:t>
      </w:r>
    </w:p>
    <w:p>
      <w:pPr>
        <w:spacing w:line="276" w:lineRule="auto"/>
        <w:ind w:firstLine="440" w:firstLineChars="200"/>
        <w:jc w:val="left"/>
        <w:rPr>
          <w:rFonts w:cs="仿宋_GB2312"/>
          <w:b/>
          <w:sz w:val="22"/>
          <w:u w:val="single"/>
        </w:rPr>
      </w:pPr>
      <w:r>
        <w:rPr>
          <w:rFonts w:hint="eastAsia" w:cs="仿宋_GB2312"/>
          <w:b/>
          <w:sz w:val="22"/>
          <w:u w:val="single"/>
        </w:rPr>
        <w:t>在合同有效期限内，若因国家税收政策调整而引起的增值税税率变化的，应按照国家税收政策调整，合同总金额变更为原合同不含增值税货物或劳务价格与调整后税率计算税额的合计金额。</w:t>
      </w:r>
    </w:p>
    <w:p>
      <w:pPr>
        <w:tabs>
          <w:tab w:val="left" w:pos="5985"/>
        </w:tabs>
        <w:snapToGrid w:val="0"/>
        <w:spacing w:line="276" w:lineRule="auto"/>
        <w:ind w:firstLine="440" w:firstLineChars="200"/>
        <w:rPr>
          <w:rFonts w:cs="仿宋_GB2312"/>
          <w:b/>
          <w:sz w:val="22"/>
        </w:rPr>
      </w:pPr>
      <w:r>
        <w:rPr>
          <w:rFonts w:hint="eastAsia" w:ascii="宋体" w:hAnsi="宋体"/>
          <w:b/>
          <w:sz w:val="22"/>
        </w:rPr>
        <w:t>三、</w:t>
      </w:r>
      <w:r>
        <w:rPr>
          <w:rFonts w:hint="eastAsia" w:cs="仿宋_GB2312"/>
          <w:b/>
          <w:sz w:val="22"/>
        </w:rPr>
        <w:t>技术要求</w:t>
      </w:r>
    </w:p>
    <w:p>
      <w:pPr>
        <w:tabs>
          <w:tab w:val="left" w:pos="5985"/>
        </w:tabs>
        <w:snapToGrid w:val="0"/>
        <w:spacing w:line="276" w:lineRule="auto"/>
        <w:ind w:firstLine="440" w:firstLineChars="200"/>
        <w:rPr>
          <w:rFonts w:cs="仿宋_GB2312"/>
          <w:snapToGrid w:val="0"/>
          <w:sz w:val="22"/>
        </w:rPr>
      </w:pPr>
      <w:r>
        <w:rPr>
          <w:rFonts w:hint="eastAsia" w:cs="仿宋_GB2312"/>
          <w:snapToGrid w:val="0"/>
          <w:sz w:val="22"/>
        </w:rPr>
        <w:t>3.1 总体目标</w:t>
      </w:r>
    </w:p>
    <w:p>
      <w:pPr>
        <w:spacing w:line="276" w:lineRule="auto"/>
        <w:ind w:firstLine="440" w:firstLineChars="200"/>
        <w:rPr>
          <w:rFonts w:cs="仿宋_GB2312"/>
          <w:snapToGrid w:val="0"/>
          <w:sz w:val="22"/>
        </w:rPr>
      </w:pPr>
      <w:r>
        <w:rPr>
          <w:rFonts w:hint="eastAsia" w:cs="仿宋_GB2312"/>
          <w:snapToGrid w:val="0"/>
          <w:sz w:val="22"/>
        </w:rPr>
        <w:t>3.2 功能要求</w:t>
      </w:r>
    </w:p>
    <w:p>
      <w:pPr>
        <w:tabs>
          <w:tab w:val="left" w:pos="5985"/>
        </w:tabs>
        <w:snapToGrid w:val="0"/>
        <w:spacing w:line="276" w:lineRule="auto"/>
        <w:ind w:firstLine="440" w:firstLineChars="200"/>
        <w:rPr>
          <w:rFonts w:cs="仿宋_GB2312"/>
          <w:snapToGrid w:val="0"/>
          <w:kern w:val="0"/>
          <w:sz w:val="22"/>
        </w:rPr>
      </w:pPr>
      <w:r>
        <w:rPr>
          <w:rFonts w:hint="eastAsia" w:cs="仿宋_GB2312"/>
          <w:sz w:val="22"/>
        </w:rPr>
        <w:t>3.4</w:t>
      </w:r>
      <w:r>
        <w:rPr>
          <w:rFonts w:hint="eastAsia" w:cs="仿宋_GB2312"/>
          <w:snapToGrid w:val="0"/>
          <w:kern w:val="0"/>
          <w:sz w:val="22"/>
        </w:rPr>
        <w:t>实施要求</w:t>
      </w:r>
    </w:p>
    <w:p>
      <w:pPr>
        <w:tabs>
          <w:tab w:val="left" w:pos="5985"/>
        </w:tabs>
        <w:snapToGrid w:val="0"/>
        <w:spacing w:line="276" w:lineRule="auto"/>
        <w:ind w:firstLine="440" w:firstLineChars="200"/>
        <w:rPr>
          <w:rFonts w:cs="仿宋_GB2312"/>
          <w:bCs/>
          <w:sz w:val="22"/>
        </w:rPr>
      </w:pPr>
      <w:r>
        <w:rPr>
          <w:rFonts w:hint="eastAsia" w:cs="仿宋_GB2312"/>
          <w:bCs/>
          <w:sz w:val="22"/>
        </w:rPr>
        <w:t>3.4.1实施工期要求</w:t>
      </w:r>
    </w:p>
    <w:p>
      <w:pPr>
        <w:tabs>
          <w:tab w:val="left" w:pos="5985"/>
        </w:tabs>
        <w:snapToGrid w:val="0"/>
        <w:spacing w:line="276" w:lineRule="auto"/>
        <w:ind w:firstLine="440" w:firstLineChars="200"/>
        <w:rPr>
          <w:rFonts w:cs="仿宋_GB2312"/>
          <w:bCs/>
          <w:sz w:val="22"/>
        </w:rPr>
      </w:pPr>
      <w:r>
        <w:rPr>
          <w:rFonts w:hint="eastAsia" w:cs="仿宋_GB2312"/>
          <w:bCs/>
          <w:sz w:val="22"/>
        </w:rPr>
        <w:t>本项目要求【180】日历天完成</w:t>
      </w:r>
      <w:r>
        <w:rPr>
          <w:rFonts w:hint="eastAsia" w:cs="仿宋_GB2312"/>
          <w:sz w:val="22"/>
          <w:u w:val="single"/>
        </w:rPr>
        <w:t>（含安装调试和试运行）</w:t>
      </w:r>
      <w:r>
        <w:rPr>
          <w:rFonts w:hint="eastAsia" w:cs="仿宋_GB2312"/>
          <w:bCs/>
          <w:sz w:val="22"/>
        </w:rPr>
        <w:t>。</w:t>
      </w:r>
    </w:p>
    <w:p>
      <w:pPr>
        <w:tabs>
          <w:tab w:val="left" w:pos="5985"/>
        </w:tabs>
        <w:snapToGrid w:val="0"/>
        <w:spacing w:line="276" w:lineRule="auto"/>
        <w:ind w:firstLine="440" w:firstLineChars="200"/>
        <w:rPr>
          <w:rFonts w:cs="仿宋_GB2312"/>
          <w:bCs/>
          <w:sz w:val="22"/>
        </w:rPr>
      </w:pPr>
      <w:r>
        <w:rPr>
          <w:rFonts w:hint="eastAsia" w:cs="仿宋_GB2312"/>
          <w:bCs/>
          <w:sz w:val="22"/>
        </w:rPr>
        <w:t>3.4.2项目实施人员要求</w:t>
      </w:r>
    </w:p>
    <w:p>
      <w:pPr>
        <w:tabs>
          <w:tab w:val="left" w:pos="5985"/>
        </w:tabs>
        <w:snapToGrid w:val="0"/>
        <w:spacing w:line="276" w:lineRule="auto"/>
        <w:ind w:firstLine="440" w:firstLineChars="200"/>
        <w:rPr>
          <w:rFonts w:cs="仿宋_GB2312"/>
          <w:bCs/>
          <w:sz w:val="22"/>
        </w:rPr>
      </w:pPr>
      <w:r>
        <w:rPr>
          <w:rFonts w:hint="eastAsia" w:cs="仿宋_GB2312"/>
          <w:bCs/>
          <w:sz w:val="22"/>
        </w:rPr>
        <w:t>1、</w:t>
      </w:r>
    </w:p>
    <w:p>
      <w:pPr>
        <w:tabs>
          <w:tab w:val="left" w:pos="5985"/>
        </w:tabs>
        <w:snapToGrid w:val="0"/>
        <w:spacing w:line="276" w:lineRule="auto"/>
        <w:ind w:firstLine="440" w:firstLineChars="200"/>
        <w:rPr>
          <w:rFonts w:cs="仿宋_GB2312"/>
          <w:bCs/>
          <w:sz w:val="22"/>
        </w:rPr>
      </w:pPr>
      <w:r>
        <w:rPr>
          <w:rFonts w:hint="eastAsia" w:cs="仿宋_GB2312"/>
          <w:bCs/>
          <w:sz w:val="22"/>
        </w:rPr>
        <w:t>2、</w:t>
      </w:r>
    </w:p>
    <w:p>
      <w:pPr>
        <w:tabs>
          <w:tab w:val="left" w:pos="5985"/>
        </w:tabs>
        <w:snapToGrid w:val="0"/>
        <w:spacing w:line="276" w:lineRule="auto"/>
        <w:ind w:firstLine="440" w:firstLineChars="200"/>
        <w:rPr>
          <w:rFonts w:cs="仿宋_GB2312"/>
          <w:bCs/>
          <w:sz w:val="22"/>
        </w:rPr>
      </w:pPr>
      <w:r>
        <w:rPr>
          <w:rFonts w:hint="eastAsia" w:cs="仿宋_GB2312"/>
          <w:bCs/>
          <w:sz w:val="22"/>
        </w:rPr>
        <w:t>3、</w:t>
      </w:r>
    </w:p>
    <w:p>
      <w:pPr>
        <w:tabs>
          <w:tab w:val="left" w:pos="5985"/>
        </w:tabs>
        <w:snapToGrid w:val="0"/>
        <w:spacing w:line="276" w:lineRule="auto"/>
        <w:ind w:firstLine="440" w:firstLineChars="200"/>
        <w:rPr>
          <w:rFonts w:cs="仿宋_GB2312"/>
          <w:bCs/>
          <w:sz w:val="22"/>
        </w:rPr>
      </w:pPr>
      <w:r>
        <w:rPr>
          <w:rFonts w:hint="eastAsia" w:cs="仿宋_GB2312"/>
          <w:bCs/>
          <w:sz w:val="22"/>
        </w:rPr>
        <w:t>3.4.2实施过程要求</w:t>
      </w:r>
    </w:p>
    <w:p>
      <w:pPr>
        <w:tabs>
          <w:tab w:val="left" w:pos="5985"/>
        </w:tabs>
        <w:snapToGrid w:val="0"/>
        <w:spacing w:line="276" w:lineRule="auto"/>
        <w:ind w:firstLine="440" w:firstLineChars="200"/>
        <w:rPr>
          <w:rFonts w:cs="仿宋_GB2312"/>
          <w:bCs/>
          <w:sz w:val="22"/>
        </w:rPr>
      </w:pPr>
      <w:r>
        <w:rPr>
          <w:rFonts w:hint="eastAsia" w:cs="仿宋_GB2312"/>
          <w:bCs/>
          <w:sz w:val="22"/>
        </w:rPr>
        <w:t>1、</w:t>
      </w:r>
    </w:p>
    <w:p>
      <w:pPr>
        <w:tabs>
          <w:tab w:val="left" w:pos="5985"/>
        </w:tabs>
        <w:snapToGrid w:val="0"/>
        <w:spacing w:line="276" w:lineRule="auto"/>
        <w:ind w:firstLine="440" w:firstLineChars="200"/>
        <w:rPr>
          <w:rFonts w:cs="仿宋_GB2312"/>
          <w:bCs/>
          <w:sz w:val="22"/>
        </w:rPr>
      </w:pPr>
      <w:r>
        <w:rPr>
          <w:rFonts w:hint="eastAsia" w:cs="仿宋_GB2312"/>
          <w:bCs/>
          <w:sz w:val="22"/>
        </w:rPr>
        <w:t>2、</w:t>
      </w:r>
    </w:p>
    <w:p>
      <w:pPr>
        <w:tabs>
          <w:tab w:val="left" w:pos="5985"/>
        </w:tabs>
        <w:snapToGrid w:val="0"/>
        <w:spacing w:line="276" w:lineRule="auto"/>
        <w:ind w:firstLine="440" w:firstLineChars="200"/>
        <w:rPr>
          <w:rFonts w:cs="仿宋_GB2312"/>
          <w:bCs/>
          <w:sz w:val="22"/>
        </w:rPr>
      </w:pPr>
      <w:r>
        <w:rPr>
          <w:rFonts w:hint="eastAsia" w:cs="仿宋_GB2312"/>
          <w:bCs/>
          <w:sz w:val="22"/>
        </w:rPr>
        <w:t>3、</w:t>
      </w:r>
    </w:p>
    <w:p>
      <w:pPr>
        <w:adjustRightInd w:val="0"/>
        <w:snapToGrid w:val="0"/>
        <w:ind w:firstLine="440" w:firstLineChars="200"/>
        <w:jc w:val="left"/>
        <w:rPr>
          <w:rFonts w:ascii="宋体" w:hAnsi="宋体"/>
          <w:b/>
          <w:sz w:val="22"/>
        </w:rPr>
      </w:pPr>
      <w:r>
        <w:rPr>
          <w:rFonts w:hint="eastAsia" w:ascii="宋体" w:hAnsi="宋体"/>
          <w:b/>
          <w:sz w:val="22"/>
        </w:rPr>
        <w:t>四、技术资料</w:t>
      </w:r>
    </w:p>
    <w:p>
      <w:pPr>
        <w:adjustRightInd w:val="0"/>
        <w:snapToGrid w:val="0"/>
        <w:spacing w:line="276" w:lineRule="auto"/>
        <w:ind w:firstLine="440" w:firstLineChars="200"/>
        <w:jc w:val="left"/>
        <w:rPr>
          <w:rFonts w:cs="仿宋_GB2312"/>
          <w:sz w:val="22"/>
        </w:rPr>
      </w:pPr>
      <w:r>
        <w:rPr>
          <w:rFonts w:hint="eastAsia" w:cs="仿宋_GB2312"/>
          <w:sz w:val="22"/>
        </w:rPr>
        <w:t>1.乙方应在</w:t>
      </w:r>
      <w:r>
        <w:rPr>
          <w:rFonts w:hint="eastAsia" w:cs="仿宋_GB2312"/>
          <w:sz w:val="22"/>
          <w:u w:val="single"/>
        </w:rPr>
        <w:t xml:space="preserve">项目最终验收前【3】日内 </w:t>
      </w:r>
      <w:r>
        <w:rPr>
          <w:rFonts w:hint="eastAsia" w:cs="仿宋_GB2312"/>
          <w:sz w:val="22"/>
        </w:rPr>
        <w:t>向甲方提供使用系统的有关技术资料。乙方按照本合同约定期间交付符合本合同规定的货物和服务以及全部技术资料的，方视为完成交付义务。</w:t>
      </w:r>
    </w:p>
    <w:p>
      <w:pPr>
        <w:adjustRightInd w:val="0"/>
        <w:snapToGrid w:val="0"/>
        <w:ind w:firstLine="440" w:firstLineChars="200"/>
        <w:jc w:val="left"/>
        <w:rPr>
          <w:rFonts w:ascii="宋体" w:hAnsi="宋体"/>
          <w:sz w:val="22"/>
        </w:rPr>
      </w:pPr>
      <w:r>
        <w:rPr>
          <w:rFonts w:hint="eastAsia" w:cs="仿宋_GB2312"/>
          <w:sz w:val="22"/>
        </w:rPr>
        <w:t>2.</w:t>
      </w:r>
      <w:r>
        <w:rPr>
          <w:rFonts w:hint="eastAsia" w:ascii="宋体" w:hAnsi="宋体"/>
          <w:sz w:val="22"/>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如因乙方或前述与履行本合同相关的人员违反本条规定的保密义务而导致甲方遭受损失的，则乙方应向甲方承担赔偿责任。</w:t>
      </w:r>
    </w:p>
    <w:p>
      <w:pPr>
        <w:adjustRightInd w:val="0"/>
        <w:snapToGrid w:val="0"/>
        <w:ind w:firstLine="440" w:firstLineChars="200"/>
        <w:jc w:val="left"/>
        <w:rPr>
          <w:rFonts w:ascii="宋体" w:hAnsi="宋体"/>
          <w:b/>
          <w:sz w:val="22"/>
        </w:rPr>
      </w:pPr>
      <w:r>
        <w:rPr>
          <w:rFonts w:hint="eastAsia" w:ascii="宋体" w:hAnsi="宋体"/>
          <w:b/>
          <w:sz w:val="22"/>
        </w:rPr>
        <w:t>五、知识产权</w:t>
      </w:r>
    </w:p>
    <w:p>
      <w:pPr>
        <w:adjustRightInd w:val="0"/>
        <w:snapToGrid w:val="0"/>
        <w:ind w:firstLine="440" w:firstLineChars="200"/>
        <w:jc w:val="left"/>
        <w:rPr>
          <w:rFonts w:ascii="宋体" w:hAnsi="宋体"/>
          <w:sz w:val="22"/>
        </w:rPr>
      </w:pPr>
      <w:r>
        <w:rPr>
          <w:rFonts w:hint="eastAsia" w:ascii="宋体" w:hAnsi="宋体"/>
          <w:sz w:val="22"/>
        </w:rPr>
        <w:t>乙方应保证所提供的货物或其任何一部分均不会侵犯任何第三方的知识产权。如因乙方违反本条保证并导致甲方遭受损失的，乙方须向甲方承担赔偿责任。</w:t>
      </w:r>
    </w:p>
    <w:p>
      <w:pPr>
        <w:adjustRightInd w:val="0"/>
        <w:snapToGrid w:val="0"/>
        <w:ind w:firstLine="420" w:firstLineChars="200"/>
        <w:jc w:val="left"/>
        <w:rPr>
          <w:rFonts w:ascii="宋体" w:hAnsi="宋体"/>
          <w:b/>
          <w:sz w:val="22"/>
        </w:rPr>
      </w:pPr>
      <w:r>
        <w:rPr>
          <w:rFonts w:hint="eastAsia" w:ascii="宋体" w:hAnsi="宋体"/>
          <w:b/>
          <w:szCs w:val="21"/>
        </w:rPr>
        <w:t>六</w:t>
      </w:r>
      <w:r>
        <w:rPr>
          <w:rFonts w:hint="eastAsia" w:ascii="宋体" w:hAnsi="宋体"/>
          <w:b/>
          <w:sz w:val="22"/>
        </w:rPr>
        <w:t>、产权担保</w:t>
      </w:r>
    </w:p>
    <w:p>
      <w:pPr>
        <w:adjustRightInd w:val="0"/>
        <w:snapToGrid w:val="0"/>
        <w:ind w:firstLine="440" w:firstLineChars="200"/>
        <w:jc w:val="left"/>
        <w:rPr>
          <w:rFonts w:ascii="宋体" w:hAnsi="宋体"/>
          <w:sz w:val="22"/>
        </w:rPr>
      </w:pPr>
      <w:r>
        <w:rPr>
          <w:rFonts w:hint="eastAsia" w:ascii="宋体" w:hAnsi="宋体"/>
          <w:sz w:val="22"/>
        </w:rPr>
        <w:t>乙方保证所交付的货物的所有权完全属于乙方，且无任何抵押、查封等产权障碍或瑕疵。如因乙方提供货物存在权属纠纷或担保物权的行使而导致甲方遭受任何损失的，乙方须就甲方遭受的该等损失承担赔偿责任。</w:t>
      </w:r>
    </w:p>
    <w:p>
      <w:pPr>
        <w:adjustRightInd w:val="0"/>
        <w:snapToGrid w:val="0"/>
        <w:ind w:firstLine="420" w:firstLineChars="200"/>
        <w:jc w:val="left"/>
        <w:rPr>
          <w:rFonts w:ascii="宋体" w:hAnsi="宋体"/>
          <w:b/>
          <w:szCs w:val="21"/>
        </w:rPr>
      </w:pPr>
      <w:r>
        <w:rPr>
          <w:rFonts w:hint="eastAsia" w:ascii="宋体" w:hAnsi="宋体"/>
          <w:b/>
          <w:szCs w:val="21"/>
        </w:rPr>
        <w:t>七、转包或分包</w:t>
      </w:r>
    </w:p>
    <w:p>
      <w:pPr>
        <w:adjustRightInd w:val="0"/>
        <w:snapToGrid w:val="0"/>
        <w:ind w:firstLine="420" w:firstLineChars="200"/>
        <w:jc w:val="left"/>
        <w:rPr>
          <w:rFonts w:ascii="宋体" w:hAnsi="宋体"/>
          <w:szCs w:val="21"/>
        </w:rPr>
      </w:pPr>
      <w:r>
        <w:rPr>
          <w:rFonts w:hint="eastAsia" w:ascii="宋体" w:hAnsi="宋体"/>
          <w:b/>
          <w:szCs w:val="21"/>
        </w:rPr>
        <w:t>1.</w:t>
      </w:r>
      <w:r>
        <w:rPr>
          <w:rFonts w:hint="eastAsia" w:ascii="宋体" w:hAnsi="宋体"/>
          <w:szCs w:val="21"/>
        </w:rPr>
        <w:t>本合同项下甲方采购的货物，必须由乙方直接供应；除非得到甲方的书面同意，乙方不得将本合同项下的货物全部或部分分包给第三方供应，不得将本合同项下权利义务转让给第三方；</w:t>
      </w:r>
    </w:p>
    <w:p>
      <w:pPr>
        <w:adjustRightInd w:val="0"/>
        <w:snapToGrid w:val="0"/>
        <w:ind w:firstLine="420" w:firstLineChars="200"/>
        <w:jc w:val="left"/>
        <w:rPr>
          <w:rFonts w:ascii="宋体" w:hAnsi="宋体"/>
          <w:szCs w:val="21"/>
        </w:rPr>
      </w:pPr>
      <w:r>
        <w:rPr>
          <w:rFonts w:hint="eastAsia" w:ascii="宋体" w:hAnsi="宋体"/>
          <w:b/>
          <w:szCs w:val="21"/>
        </w:rPr>
        <w:t>2.</w:t>
      </w:r>
      <w:r>
        <w:rPr>
          <w:rFonts w:hint="eastAsia" w:ascii="宋体" w:hAnsi="宋体"/>
          <w:szCs w:val="21"/>
        </w:rPr>
        <w:t>如有未经甲方书面同意的转让和分包行为，甲方有权解除合同，并追究乙方的违约责任。</w:t>
      </w:r>
    </w:p>
    <w:p>
      <w:pPr>
        <w:adjustRightInd w:val="0"/>
        <w:snapToGrid w:val="0"/>
        <w:ind w:firstLine="420" w:firstLineChars="200"/>
        <w:jc w:val="left"/>
        <w:outlineLvl w:val="0"/>
        <w:rPr>
          <w:rFonts w:ascii="宋体" w:hAnsi="宋体"/>
          <w:b/>
          <w:szCs w:val="21"/>
        </w:rPr>
      </w:pPr>
      <w:r>
        <w:rPr>
          <w:rFonts w:hint="eastAsia" w:ascii="宋体" w:hAnsi="宋体"/>
          <w:b/>
          <w:szCs w:val="21"/>
        </w:rPr>
        <w:t>八、货物包装、发运及运输</w:t>
      </w:r>
    </w:p>
    <w:p>
      <w:pPr>
        <w:adjustRightInd w:val="0"/>
        <w:snapToGrid w:val="0"/>
        <w:ind w:firstLine="420" w:firstLineChars="200"/>
        <w:jc w:val="left"/>
        <w:rPr>
          <w:rFonts w:ascii="宋体" w:hAnsi="宋体"/>
          <w:szCs w:val="21"/>
        </w:rPr>
      </w:pPr>
      <w:r>
        <w:rPr>
          <w:rFonts w:hint="eastAsia" w:ascii="宋体" w:hAnsi="宋体"/>
          <w:b/>
          <w:szCs w:val="21"/>
        </w:rPr>
        <w:t>1.</w:t>
      </w:r>
      <w:r>
        <w:rPr>
          <w:rFonts w:hint="eastAsia" w:ascii="宋体" w:hAnsi="宋体"/>
          <w:szCs w:val="21"/>
        </w:rPr>
        <w:t>乙方应在货物发运前对其按满足运输距离、防潮、防震、防锈和防破损装卸等要求进行包装，以保证货物安全运达甲方指定地点。</w:t>
      </w:r>
    </w:p>
    <w:p>
      <w:pPr>
        <w:adjustRightInd w:val="0"/>
        <w:snapToGrid w:val="0"/>
        <w:ind w:firstLine="420" w:firstLineChars="200"/>
        <w:jc w:val="left"/>
        <w:rPr>
          <w:rFonts w:ascii="宋体" w:hAnsi="宋体"/>
          <w:szCs w:val="21"/>
        </w:rPr>
      </w:pPr>
      <w:r>
        <w:rPr>
          <w:rFonts w:hint="eastAsia" w:ascii="宋体" w:hAnsi="宋体"/>
          <w:b/>
          <w:szCs w:val="21"/>
        </w:rPr>
        <w:t>2.</w:t>
      </w:r>
      <w:r>
        <w:rPr>
          <w:rFonts w:hint="eastAsia" w:ascii="宋体" w:hAnsi="宋体"/>
          <w:szCs w:val="21"/>
        </w:rPr>
        <w:t>使用说明书、质量检验证明书、随配附件和工具以及清单一并附于货物内。</w:t>
      </w:r>
    </w:p>
    <w:p>
      <w:pPr>
        <w:adjustRightInd w:val="0"/>
        <w:snapToGrid w:val="0"/>
        <w:ind w:firstLine="420" w:firstLineChars="200"/>
        <w:jc w:val="left"/>
        <w:rPr>
          <w:rFonts w:ascii="宋体" w:hAnsi="宋体"/>
          <w:szCs w:val="21"/>
        </w:rPr>
      </w:pPr>
      <w:r>
        <w:rPr>
          <w:rFonts w:hint="eastAsia" w:ascii="宋体" w:hAnsi="宋体"/>
          <w:b/>
          <w:szCs w:val="21"/>
        </w:rPr>
        <w:t>3.</w:t>
      </w:r>
      <w:r>
        <w:rPr>
          <w:rFonts w:hint="eastAsia" w:ascii="宋体" w:hAnsi="宋体"/>
          <w:szCs w:val="21"/>
        </w:rPr>
        <w:t>乙方在货物发运手续办理完毕后24小时内必须书面通知甲方，以便甲方准备接货。</w:t>
      </w:r>
    </w:p>
    <w:p>
      <w:pPr>
        <w:adjustRightInd w:val="0"/>
        <w:snapToGrid w:val="0"/>
        <w:ind w:firstLine="420" w:firstLineChars="200"/>
        <w:jc w:val="left"/>
        <w:rPr>
          <w:rFonts w:ascii="宋体" w:hAnsi="宋体"/>
          <w:szCs w:val="21"/>
        </w:rPr>
      </w:pPr>
      <w:r>
        <w:rPr>
          <w:rFonts w:hint="eastAsia" w:ascii="宋体" w:hAnsi="宋体"/>
          <w:b/>
          <w:szCs w:val="21"/>
        </w:rPr>
        <w:t>4.</w:t>
      </w:r>
      <w:r>
        <w:rPr>
          <w:rFonts w:hint="eastAsia" w:ascii="宋体" w:hAnsi="宋体"/>
          <w:szCs w:val="21"/>
        </w:rPr>
        <w:t>货物在本合同规定的交货地点交付甲方前发生的一切风险包括货物运输风险均由乙方负责。</w:t>
      </w:r>
    </w:p>
    <w:p>
      <w:pPr>
        <w:adjustRightInd w:val="0"/>
        <w:snapToGrid w:val="0"/>
        <w:ind w:firstLine="420" w:firstLineChars="200"/>
        <w:jc w:val="left"/>
        <w:rPr>
          <w:rFonts w:ascii="宋体" w:hAnsi="宋体"/>
          <w:szCs w:val="21"/>
        </w:rPr>
      </w:pPr>
      <w:r>
        <w:rPr>
          <w:rFonts w:hint="eastAsia" w:ascii="宋体" w:hAnsi="宋体"/>
          <w:b/>
          <w:szCs w:val="21"/>
        </w:rPr>
        <w:t>5.</w:t>
      </w:r>
      <w:r>
        <w:rPr>
          <w:rFonts w:hint="eastAsia" w:ascii="宋体" w:hAnsi="宋体"/>
          <w:szCs w:val="21"/>
        </w:rPr>
        <w:t>货物在规定的交付期限内由乙方送达甲方指定的交货地点并经甲方签收后视为交付，乙方同时必须在货物到达的当天立即通知甲方货物已送达。</w:t>
      </w:r>
    </w:p>
    <w:p>
      <w:pPr>
        <w:adjustRightInd w:val="0"/>
        <w:snapToGrid w:val="0"/>
        <w:ind w:firstLine="440" w:firstLineChars="200"/>
        <w:jc w:val="left"/>
        <w:outlineLvl w:val="0"/>
        <w:rPr>
          <w:rFonts w:ascii="宋体" w:hAnsi="宋体"/>
          <w:b/>
          <w:sz w:val="22"/>
        </w:rPr>
      </w:pPr>
      <w:bookmarkStart w:id="114" w:name="_Toc478453295"/>
      <w:r>
        <w:rPr>
          <w:rFonts w:hint="eastAsia" w:ascii="宋体" w:hAnsi="宋体"/>
          <w:b/>
          <w:sz w:val="22"/>
        </w:rPr>
        <w:t>九、交货期、交货方式</w:t>
      </w:r>
      <w:bookmarkEnd w:id="114"/>
    </w:p>
    <w:p>
      <w:pPr>
        <w:adjustRightInd w:val="0"/>
        <w:snapToGrid w:val="0"/>
        <w:ind w:firstLine="420" w:firstLineChars="200"/>
        <w:jc w:val="left"/>
        <w:rPr>
          <w:rFonts w:ascii="宋体" w:hAnsi="宋体"/>
          <w:szCs w:val="21"/>
        </w:rPr>
      </w:pPr>
      <w:bookmarkStart w:id="115" w:name="_Toc478453296"/>
      <w:r>
        <w:rPr>
          <w:rFonts w:hint="eastAsia" w:ascii="宋体" w:hAnsi="宋体"/>
          <w:szCs w:val="21"/>
        </w:rPr>
        <w:t>1.交货期：合同生效之日起    日历天。</w:t>
      </w:r>
    </w:p>
    <w:p>
      <w:pPr>
        <w:adjustRightInd w:val="0"/>
        <w:snapToGrid w:val="0"/>
        <w:ind w:firstLine="420" w:firstLineChars="200"/>
        <w:jc w:val="left"/>
        <w:rPr>
          <w:rFonts w:ascii="宋体" w:hAnsi="宋体"/>
          <w:szCs w:val="21"/>
        </w:rPr>
      </w:pPr>
      <w:r>
        <w:rPr>
          <w:rFonts w:hint="eastAsia" w:ascii="宋体" w:hAnsi="宋体"/>
          <w:szCs w:val="21"/>
        </w:rPr>
        <w:t>2.交货地点：杭州萧山国际机场内</w:t>
      </w:r>
    </w:p>
    <w:p>
      <w:pPr>
        <w:adjustRightInd w:val="0"/>
        <w:snapToGrid w:val="0"/>
        <w:ind w:firstLine="420" w:firstLineChars="200"/>
        <w:jc w:val="left"/>
        <w:rPr>
          <w:rFonts w:ascii="宋体" w:hAnsi="宋体"/>
          <w:szCs w:val="21"/>
        </w:rPr>
      </w:pPr>
      <w:r>
        <w:rPr>
          <w:rFonts w:hint="eastAsia" w:ascii="宋体" w:hAnsi="宋体"/>
          <w:szCs w:val="21"/>
        </w:rPr>
        <w:t>3.交货方式：乙方在甲方安装联调系统。</w:t>
      </w:r>
    </w:p>
    <w:p>
      <w:pPr>
        <w:adjustRightInd w:val="0"/>
        <w:snapToGrid w:val="0"/>
        <w:ind w:firstLine="440" w:firstLineChars="200"/>
        <w:jc w:val="left"/>
        <w:outlineLvl w:val="0"/>
        <w:rPr>
          <w:rFonts w:ascii="宋体" w:hAnsi="宋体"/>
          <w:b/>
          <w:sz w:val="22"/>
        </w:rPr>
      </w:pPr>
      <w:r>
        <w:rPr>
          <w:rFonts w:hint="eastAsia" w:ascii="宋体" w:hAnsi="宋体"/>
          <w:b/>
          <w:sz w:val="22"/>
        </w:rPr>
        <w:t>十、安装、调试及验收</w:t>
      </w:r>
      <w:bookmarkEnd w:id="115"/>
    </w:p>
    <w:p>
      <w:pPr>
        <w:adjustRightInd w:val="0"/>
        <w:snapToGrid w:val="0"/>
        <w:spacing w:line="276" w:lineRule="auto"/>
        <w:ind w:firstLine="420" w:firstLineChars="200"/>
        <w:jc w:val="left"/>
        <w:rPr>
          <w:rFonts w:cs="仿宋_GB2312"/>
          <w:sz w:val="22"/>
        </w:rPr>
      </w:pPr>
      <w:bookmarkStart w:id="116" w:name="_Toc478453297"/>
      <w:r>
        <w:rPr>
          <w:rFonts w:hint="eastAsia" w:ascii="宋体" w:hAnsi="宋体"/>
          <w:szCs w:val="21"/>
        </w:rPr>
        <w:t>1.</w:t>
      </w:r>
      <w:r>
        <w:rPr>
          <w:rFonts w:hint="eastAsia" w:cs="仿宋_GB2312"/>
          <w:sz w:val="22"/>
        </w:rPr>
        <w:t>乙方系统开发完成后，负责在甲方完成现场安装、调试，确保系统正常运行。系统安装、调试完毕由乙方提交甲方初验，甲方按本合同及招标文件的要求对系统进行初验，初验合格后，进入为期【3</w:t>
      </w:r>
      <w:r>
        <w:rPr>
          <w:rFonts w:cs="仿宋_GB2312"/>
          <w:sz w:val="22"/>
        </w:rPr>
        <w:t>0</w:t>
      </w:r>
      <w:r>
        <w:rPr>
          <w:rFonts w:hint="eastAsia" w:cs="仿宋_GB2312"/>
          <w:sz w:val="22"/>
        </w:rPr>
        <w:t>】天的试运行。</w:t>
      </w:r>
    </w:p>
    <w:p>
      <w:pPr>
        <w:adjustRightInd w:val="0"/>
        <w:snapToGrid w:val="0"/>
        <w:spacing w:line="276" w:lineRule="auto"/>
        <w:ind w:firstLine="440" w:firstLineChars="200"/>
        <w:jc w:val="left"/>
        <w:rPr>
          <w:rFonts w:cs="仿宋_GB2312"/>
          <w:sz w:val="22"/>
        </w:rPr>
      </w:pPr>
      <w:r>
        <w:rPr>
          <w:rFonts w:hint="eastAsia" w:cs="仿宋_GB2312"/>
          <w:sz w:val="22"/>
        </w:rPr>
        <w:t>初验的标准是：乙方已完成所有软硬件设备安装和调试工作，所提供的软硬件设备满足本合同及招标文件的所有要求，提交合同货物文件、现场安装报告并根据软硬件设备可能出现的问题拟订应急处理计划（方案），并在软硬件设备启用前进行营运测试和评估，测试合格后提交甲方设备软硬件的功能进行初验,满足甲方功能要求的，甲方签署《初验报告》视为初验通过，乙方提交系统上线试运行。</w:t>
      </w:r>
    </w:p>
    <w:p>
      <w:pPr>
        <w:snapToGrid w:val="0"/>
        <w:spacing w:line="276" w:lineRule="auto"/>
        <w:ind w:firstLine="440" w:firstLineChars="200"/>
        <w:jc w:val="left"/>
        <w:rPr>
          <w:rFonts w:cs="仿宋_GB2312"/>
          <w:sz w:val="22"/>
        </w:rPr>
      </w:pPr>
      <w:r>
        <w:rPr>
          <w:rFonts w:hint="eastAsia" w:cs="仿宋_GB2312"/>
          <w:sz w:val="22"/>
        </w:rPr>
        <w:t>2.试运行：</w:t>
      </w:r>
      <w:r>
        <w:rPr>
          <w:rFonts w:hint="eastAsia" w:ascii="宋体" w:hAnsi="宋体" w:cs="仿宋_GB2312"/>
          <w:kern w:val="0"/>
          <w:szCs w:val="21"/>
        </w:rPr>
        <w:t>初验合格后，进入为期【3</w:t>
      </w:r>
      <w:r>
        <w:rPr>
          <w:rFonts w:ascii="宋体" w:hAnsi="宋体" w:cs="仿宋_GB2312"/>
          <w:kern w:val="0"/>
          <w:szCs w:val="21"/>
        </w:rPr>
        <w:t>0</w:t>
      </w:r>
      <w:r>
        <w:rPr>
          <w:rFonts w:hint="eastAsia" w:ascii="宋体" w:hAnsi="宋体" w:cs="仿宋_GB2312"/>
          <w:kern w:val="0"/>
          <w:szCs w:val="21"/>
        </w:rPr>
        <w:t>】天的试运行。若试运行期间系统运行不稳定或存在功能缺陷，且试运行期间问题没有解决，则试运行结束日期顺延，直到解决所有问题。项目实施试运行期间，提供</w:t>
      </w:r>
      <w:r>
        <w:rPr>
          <w:rFonts w:hint="eastAsia" w:cs="仿宋_GB2312"/>
          <w:sz w:val="22"/>
        </w:rPr>
        <w:t xml:space="preserve">【 </w:t>
      </w:r>
      <w:r>
        <w:rPr>
          <w:rFonts w:cs="仿宋_GB2312"/>
          <w:sz w:val="22"/>
        </w:rPr>
        <w:t>30</w:t>
      </w:r>
      <w:r>
        <w:rPr>
          <w:rFonts w:hint="eastAsia" w:cs="仿宋_GB2312"/>
          <w:sz w:val="22"/>
        </w:rPr>
        <w:t xml:space="preserve"> 】人/天的原厂现场技术支持服务。</w:t>
      </w:r>
    </w:p>
    <w:p>
      <w:pPr>
        <w:adjustRightInd w:val="0"/>
        <w:snapToGrid w:val="0"/>
        <w:spacing w:line="276" w:lineRule="auto"/>
        <w:ind w:firstLine="440" w:firstLineChars="200"/>
        <w:jc w:val="left"/>
        <w:outlineLvl w:val="0"/>
        <w:rPr>
          <w:rFonts w:ascii="宋体" w:hAnsi="宋体" w:cs="仿宋_GB2312"/>
          <w:kern w:val="0"/>
          <w:szCs w:val="21"/>
        </w:rPr>
      </w:pPr>
      <w:r>
        <w:rPr>
          <w:rFonts w:hint="eastAsia" w:cs="仿宋_GB2312"/>
          <w:sz w:val="22"/>
        </w:rPr>
        <w:t>3.终验标准是：</w:t>
      </w:r>
      <w:r>
        <w:rPr>
          <w:rFonts w:hint="eastAsia" w:ascii="宋体" w:hAnsi="宋体" w:cs="仿宋_GB2312"/>
          <w:kern w:val="0"/>
          <w:szCs w:val="21"/>
        </w:rPr>
        <w:t>试运行期结束，乙方提交《试运行记录报告》和系统维护文档，系统性能、功能满足合同和需求分析确认文件的要求，且试运行期间的问题得到解决，提供合同规定的全部货物和资料后，乙方提交甲方进行项目终验，甲方签署《终验报告》视为终验合格。</w:t>
      </w:r>
    </w:p>
    <w:p>
      <w:pPr>
        <w:adjustRightInd w:val="0"/>
        <w:snapToGrid w:val="0"/>
        <w:spacing w:line="276" w:lineRule="auto"/>
        <w:ind w:firstLine="440" w:firstLineChars="200"/>
        <w:jc w:val="left"/>
        <w:outlineLvl w:val="0"/>
        <w:rPr>
          <w:rFonts w:cs="仿宋_GB2312"/>
          <w:sz w:val="22"/>
        </w:rPr>
      </w:pPr>
      <w:r>
        <w:rPr>
          <w:rFonts w:hint="eastAsia" w:cs="仿宋_GB2312"/>
          <w:sz w:val="22"/>
        </w:rPr>
        <w:t>4.乙方安装调试系统前应对产品做出全面检查和对验收文件进行整理，并列出清单，作为甲方验收和使用的技术条件依据，乙方检验的结果应随系统交甲方。</w:t>
      </w:r>
    </w:p>
    <w:p>
      <w:pPr>
        <w:adjustRightInd w:val="0"/>
        <w:snapToGrid w:val="0"/>
        <w:spacing w:line="276" w:lineRule="auto"/>
        <w:ind w:firstLine="440" w:firstLineChars="200"/>
        <w:jc w:val="left"/>
        <w:outlineLvl w:val="0"/>
        <w:rPr>
          <w:rFonts w:cs="仿宋_GB2312"/>
          <w:sz w:val="22"/>
        </w:rPr>
      </w:pPr>
      <w:r>
        <w:rPr>
          <w:rFonts w:hint="eastAsia" w:cs="仿宋_GB2312"/>
          <w:sz w:val="22"/>
        </w:rPr>
        <w:t>5.甲方在验收后如发现产品的品种、型号、规格、数量或质量不符合合同约定或相关质量要求，甲方应在验收之日起【7】日内以书面或电话形式向乙方提出异议；乙方应当在收到甲方异议之日起【3】日内作出答复或与甲方协商处理，并承担由此产生的相关费用。在上述异议期及产品质量问题的处理期间，甲方有权中止本合同项下的付款义务。</w:t>
      </w:r>
    </w:p>
    <w:p>
      <w:pPr>
        <w:adjustRightInd w:val="0"/>
        <w:snapToGrid w:val="0"/>
        <w:spacing w:line="276" w:lineRule="auto"/>
        <w:ind w:firstLine="440" w:firstLineChars="200"/>
        <w:jc w:val="left"/>
        <w:outlineLvl w:val="0"/>
        <w:rPr>
          <w:rFonts w:cs="仿宋_GB2312"/>
          <w:sz w:val="22"/>
        </w:rPr>
      </w:pPr>
      <w:r>
        <w:rPr>
          <w:rFonts w:hint="eastAsia" w:cs="仿宋_GB2312"/>
          <w:sz w:val="22"/>
        </w:rPr>
        <w:t>6如甲方未按上述规定期限提出质量异议的，视为乙方所交付的产品符合合同规定；乙方未按上述规定期限做出答复或负责处理的，则视为乙方同意甲方提出的异议和处理意见。</w:t>
      </w:r>
    </w:p>
    <w:p>
      <w:pPr>
        <w:adjustRightInd w:val="0"/>
        <w:snapToGrid w:val="0"/>
        <w:spacing w:line="276" w:lineRule="auto"/>
        <w:ind w:firstLine="440" w:firstLineChars="200"/>
        <w:jc w:val="left"/>
        <w:outlineLvl w:val="0"/>
        <w:rPr>
          <w:rFonts w:cs="仿宋_GB2312"/>
          <w:sz w:val="22"/>
        </w:rPr>
      </w:pPr>
      <w:r>
        <w:rPr>
          <w:rFonts w:hint="eastAsia" w:cs="仿宋_GB2312"/>
          <w:sz w:val="22"/>
        </w:rPr>
        <w:t>7.免费技术培训：应提供对甲方的维护操作技术培训，培训包括现场培训，使甲方能够掌握软件产品使用的基本要求，做好技术档案移交。</w:t>
      </w:r>
    </w:p>
    <w:p>
      <w:pPr>
        <w:adjustRightInd w:val="0"/>
        <w:snapToGrid w:val="0"/>
        <w:ind w:firstLine="440" w:firstLineChars="200"/>
        <w:jc w:val="left"/>
        <w:outlineLvl w:val="0"/>
        <w:rPr>
          <w:rFonts w:ascii="宋体" w:hAnsi="宋体"/>
          <w:b/>
          <w:sz w:val="22"/>
        </w:rPr>
      </w:pPr>
      <w:r>
        <w:rPr>
          <w:rFonts w:hint="eastAsia" w:ascii="宋体" w:hAnsi="宋体"/>
          <w:b/>
          <w:sz w:val="22"/>
        </w:rPr>
        <w:t>十一、货款支付</w:t>
      </w:r>
      <w:bookmarkEnd w:id="116"/>
    </w:p>
    <w:p>
      <w:pPr>
        <w:adjustRightInd w:val="0"/>
        <w:snapToGrid w:val="0"/>
        <w:ind w:firstLine="420" w:firstLineChars="200"/>
        <w:jc w:val="left"/>
        <w:rPr>
          <w:rFonts w:ascii="宋体" w:hAnsi="宋体"/>
          <w:b/>
          <w:szCs w:val="21"/>
        </w:rPr>
      </w:pPr>
      <w:bookmarkStart w:id="117" w:name="_Toc478453298"/>
      <w:r>
        <w:rPr>
          <w:rFonts w:ascii="宋体" w:hAnsi="宋体"/>
          <w:b/>
          <w:szCs w:val="21"/>
        </w:rPr>
        <w:t>1.预付款：合同签订后，乙方提交《项目进度计划》并经甲方书面确认后30日内，甲方凭乙方出具的增值税专用发票(发票含税金额为合同总金额的20%)，支付乙方合同总价的20%作为预付款；</w:t>
      </w:r>
    </w:p>
    <w:p>
      <w:pPr>
        <w:adjustRightInd w:val="0"/>
        <w:snapToGrid w:val="0"/>
        <w:ind w:firstLine="420" w:firstLineChars="200"/>
        <w:jc w:val="left"/>
        <w:rPr>
          <w:rFonts w:ascii="宋体" w:hAnsi="宋体"/>
          <w:b/>
          <w:szCs w:val="21"/>
        </w:rPr>
      </w:pPr>
      <w:r>
        <w:rPr>
          <w:rFonts w:ascii="宋体" w:hAnsi="宋体"/>
          <w:b/>
          <w:szCs w:val="21"/>
        </w:rPr>
        <w:t>2.终验款：自助登机门系统经甲方终验合格且甲方签署《项目终验报告》后30日内，甲方凭乙方出具的增值税专用发票(发票含税金额为合同总金额的80%)支付乙方合同总金额的75 %（累计甲方支付乙方合同总金额的95%，累计乙方开具100%全额发票）；</w:t>
      </w:r>
    </w:p>
    <w:p>
      <w:pPr>
        <w:snapToGrid w:val="0"/>
        <w:spacing w:line="276" w:lineRule="auto"/>
        <w:ind w:firstLine="420" w:firstLineChars="200"/>
        <w:jc w:val="left"/>
        <w:rPr>
          <w:rFonts w:ascii="宋体" w:hAnsi="宋体"/>
          <w:b/>
          <w:szCs w:val="21"/>
        </w:rPr>
      </w:pPr>
      <w:r>
        <w:rPr>
          <w:rFonts w:ascii="宋体" w:hAnsi="宋体"/>
          <w:b/>
          <w:szCs w:val="21"/>
        </w:rPr>
        <w:t>3.合同总价的5%作为质保金，结合质保服务考核表考核结果（详见附件4.质保服务考核表），自终验合格之日起，每满一年后的30日内支付合同总价的1%，在第5年满后30日内累计支付合同总价的100%。在每次付款前，乙方出具相应金额的收据作为质保金支付申请。</w:t>
      </w:r>
    </w:p>
    <w:p>
      <w:pPr>
        <w:snapToGrid w:val="0"/>
        <w:spacing w:line="276" w:lineRule="auto"/>
        <w:ind w:firstLine="440" w:firstLineChars="200"/>
        <w:jc w:val="left"/>
        <w:rPr>
          <w:rFonts w:hint="eastAsia" w:cs="仿宋_GB2312"/>
          <w:b/>
          <w:kern w:val="0"/>
          <w:sz w:val="22"/>
        </w:rPr>
      </w:pPr>
    </w:p>
    <w:p>
      <w:pPr>
        <w:adjustRightInd w:val="0"/>
        <w:snapToGrid w:val="0"/>
        <w:ind w:firstLine="440" w:firstLineChars="200"/>
        <w:jc w:val="left"/>
        <w:outlineLvl w:val="0"/>
        <w:rPr>
          <w:rFonts w:ascii="宋体" w:hAnsi="宋体"/>
          <w:b/>
          <w:szCs w:val="21"/>
        </w:rPr>
      </w:pPr>
      <w:r>
        <w:rPr>
          <w:rFonts w:hint="eastAsia" w:ascii="宋体" w:hAnsi="宋体"/>
          <w:b/>
          <w:sz w:val="22"/>
        </w:rPr>
        <w:t>十二、履约担保金</w:t>
      </w:r>
    </w:p>
    <w:p>
      <w:pPr>
        <w:adjustRightInd w:val="0"/>
        <w:snapToGrid w:val="0"/>
        <w:spacing w:line="276" w:lineRule="auto"/>
        <w:ind w:firstLine="440" w:firstLineChars="200"/>
        <w:jc w:val="left"/>
        <w:outlineLvl w:val="0"/>
        <w:rPr>
          <w:rFonts w:cs="仿宋_GB2312"/>
          <w:sz w:val="22"/>
        </w:rPr>
      </w:pPr>
      <w:r>
        <w:rPr>
          <w:rFonts w:hint="eastAsia" w:cs="仿宋_GB2312"/>
          <w:sz w:val="22"/>
        </w:rPr>
        <w:t xml:space="preserve">1.履约保证金金额（人民币）： </w:t>
      </w:r>
      <w:r>
        <w:rPr>
          <w:rFonts w:hint="eastAsia" w:ascii="宋体" w:hAnsi="宋体"/>
          <w:sz w:val="22"/>
        </w:rPr>
        <w:t>合同总价的【10%】。</w:t>
      </w:r>
    </w:p>
    <w:p>
      <w:pPr>
        <w:adjustRightInd w:val="0"/>
        <w:snapToGrid w:val="0"/>
        <w:spacing w:line="276" w:lineRule="auto"/>
        <w:ind w:firstLine="440" w:firstLineChars="200"/>
        <w:jc w:val="left"/>
        <w:outlineLvl w:val="0"/>
        <w:rPr>
          <w:rFonts w:cs="仿宋_GB2312"/>
          <w:sz w:val="22"/>
        </w:rPr>
      </w:pPr>
      <w:r>
        <w:rPr>
          <w:rFonts w:hint="eastAsia" w:cs="仿宋_GB2312"/>
          <w:sz w:val="22"/>
        </w:rPr>
        <w:t>2.履约保证金支付时间：</w:t>
      </w:r>
      <w:r>
        <w:rPr>
          <w:rFonts w:hint="eastAsia" w:ascii="宋体" w:hAnsi="宋体"/>
          <w:sz w:val="22"/>
        </w:rPr>
        <w:t>收到甲方中标通知书后【十】日内。</w:t>
      </w:r>
    </w:p>
    <w:p>
      <w:pPr>
        <w:adjustRightInd w:val="0"/>
        <w:snapToGrid w:val="0"/>
        <w:spacing w:line="276" w:lineRule="auto"/>
        <w:ind w:firstLine="440" w:firstLineChars="200"/>
        <w:jc w:val="left"/>
        <w:outlineLvl w:val="0"/>
        <w:rPr>
          <w:rFonts w:cs="仿宋_GB2312"/>
          <w:kern w:val="0"/>
          <w:sz w:val="22"/>
        </w:rPr>
      </w:pPr>
      <w:r>
        <w:rPr>
          <w:rFonts w:hint="eastAsia" w:cs="仿宋_GB2312"/>
          <w:sz w:val="22"/>
        </w:rPr>
        <w:t>3.该履约保证金在完成系统最终验收后[15]天内无息返还。若乙方未能及时缴纳履约保证金，视为乙方违约，甲方有权终止合同，并要求乙方承担由此给甲方造成的所有损失。在合同履行期间，如果乙方存在违约情形，甲方有权扣除相应款项，并书面通知乙方。乙方自收到书面通知之日起５个工作日内提出异议并补足履约保证金，如果逾期未提出，视为同意。如果乙方不及时补足履约保证金，经甲方通知后３个工作日内，仍未补足，视为乙方违约，甲方有权解除合同，并要求乙方承担由此给甲方造成的所有损失。</w:t>
      </w:r>
    </w:p>
    <w:bookmarkEnd w:id="117"/>
    <w:p>
      <w:pPr>
        <w:adjustRightInd w:val="0"/>
        <w:snapToGrid w:val="0"/>
        <w:ind w:firstLine="440" w:firstLineChars="200"/>
        <w:jc w:val="left"/>
        <w:outlineLvl w:val="0"/>
        <w:rPr>
          <w:rFonts w:ascii="宋体" w:hAnsi="宋体"/>
          <w:b/>
          <w:sz w:val="22"/>
        </w:rPr>
      </w:pPr>
      <w:bookmarkStart w:id="118" w:name="_Toc478453299"/>
      <w:r>
        <w:rPr>
          <w:rFonts w:hint="eastAsia" w:ascii="宋体" w:hAnsi="宋体"/>
          <w:b/>
          <w:sz w:val="22"/>
        </w:rPr>
        <w:t>十三、质量保证及售后服务</w:t>
      </w:r>
      <w:bookmarkEnd w:id="118"/>
    </w:p>
    <w:p>
      <w:pPr>
        <w:adjustRightInd w:val="0"/>
        <w:snapToGrid w:val="0"/>
        <w:spacing w:line="276" w:lineRule="auto"/>
        <w:ind w:firstLine="440" w:firstLineChars="200"/>
        <w:jc w:val="left"/>
        <w:rPr>
          <w:rFonts w:cs="仿宋_GB2312"/>
          <w:sz w:val="22"/>
        </w:rPr>
      </w:pPr>
      <w:bookmarkStart w:id="119" w:name="_Toc478453300"/>
      <w:r>
        <w:rPr>
          <w:rFonts w:hint="eastAsia" w:cs="仿宋_GB2312"/>
          <w:b/>
          <w:sz w:val="22"/>
        </w:rPr>
        <w:t>1.</w:t>
      </w:r>
      <w:r>
        <w:rPr>
          <w:rFonts w:cs="仿宋_GB2312"/>
          <w:b/>
          <w:sz w:val="22"/>
        </w:rPr>
        <w:t xml:space="preserve"> </w:t>
      </w:r>
      <w:r>
        <w:rPr>
          <w:rFonts w:hint="eastAsia" w:cs="仿宋_GB2312"/>
          <w:sz w:val="22"/>
        </w:rPr>
        <w:t>乙方保证其所供应的产品符合相关产品质量标准，不存在任何质量瑕疵或因质量瑕疵而导致的安全隐患，且为未经使用的全新产品，符合合同规定及招标文件的要求。</w:t>
      </w:r>
    </w:p>
    <w:p>
      <w:pPr>
        <w:adjustRightInd w:val="0"/>
        <w:snapToGrid w:val="0"/>
        <w:spacing w:line="276" w:lineRule="auto"/>
        <w:ind w:firstLine="440" w:firstLineChars="200"/>
        <w:jc w:val="left"/>
        <w:rPr>
          <w:rFonts w:cs="仿宋_GB2312"/>
          <w:sz w:val="22"/>
          <w:u w:val="single"/>
        </w:rPr>
      </w:pPr>
      <w:r>
        <w:rPr>
          <w:rFonts w:hint="eastAsia" w:cs="仿宋_GB2312"/>
          <w:b/>
          <w:sz w:val="22"/>
        </w:rPr>
        <w:t>2.</w:t>
      </w:r>
      <w:r>
        <w:rPr>
          <w:rFonts w:cs="仿宋_GB2312"/>
          <w:b/>
          <w:sz w:val="22"/>
        </w:rPr>
        <w:t xml:space="preserve"> </w:t>
      </w:r>
      <w:r>
        <w:rPr>
          <w:rFonts w:hint="eastAsia" w:cs="仿宋_GB2312"/>
          <w:sz w:val="22"/>
        </w:rPr>
        <w:t>乙方应为系统提供的免费质量保证期：</w:t>
      </w:r>
      <w:r>
        <w:rPr>
          <w:rFonts w:hint="eastAsia" w:cs="仿宋_GB2312"/>
          <w:sz w:val="22"/>
          <w:u w:val="single"/>
        </w:rPr>
        <w:t>自最终验收合格且双方签署最终验收合格报告之日起开始计算质保期，时间为【5年】。</w:t>
      </w:r>
    </w:p>
    <w:p>
      <w:pPr>
        <w:spacing w:line="276" w:lineRule="auto"/>
        <w:ind w:firstLine="440" w:firstLineChars="200"/>
        <w:jc w:val="left"/>
        <w:rPr>
          <w:rFonts w:cs="仿宋_GB2312"/>
          <w:sz w:val="22"/>
        </w:rPr>
      </w:pPr>
      <w:r>
        <w:rPr>
          <w:rFonts w:hint="eastAsia" w:cs="仿宋_GB2312"/>
          <w:b/>
          <w:sz w:val="22"/>
        </w:rPr>
        <w:t>3.</w:t>
      </w:r>
      <w:r>
        <w:rPr>
          <w:rFonts w:cs="仿宋_GB2312"/>
          <w:b/>
          <w:sz w:val="22"/>
        </w:rPr>
        <w:t xml:space="preserve"> </w:t>
      </w:r>
      <w:r>
        <w:rPr>
          <w:rFonts w:hint="eastAsia" w:cs="仿宋_GB2312"/>
          <w:sz w:val="22"/>
        </w:rPr>
        <w:t>免费质保期内，由于非甲方原因发生的系统问题，乙方免费提供维护直至系统性能、状态等达到正常标准，可以正常安全使用为止。如无法修复，乙方应负责免费更换或由甲方退还乙方所供系统，乙方退还甲方支付的合同款，同时应承担该系统的直接费用（运输、保险、检验、货款利息及银行手续费等）以及由此给甲方造成的损失。</w:t>
      </w:r>
    </w:p>
    <w:p>
      <w:pPr>
        <w:spacing w:line="276" w:lineRule="auto"/>
        <w:ind w:firstLine="440" w:firstLineChars="200"/>
        <w:jc w:val="left"/>
        <w:rPr>
          <w:rFonts w:cs="仿宋_GB2312"/>
          <w:sz w:val="22"/>
        </w:rPr>
      </w:pPr>
      <w:r>
        <w:rPr>
          <w:rFonts w:hint="eastAsia" w:cs="仿宋_GB2312"/>
          <w:b/>
          <w:sz w:val="22"/>
        </w:rPr>
        <w:t>4.</w:t>
      </w:r>
      <w:r>
        <w:rPr>
          <w:rFonts w:cs="仿宋_GB2312"/>
          <w:b/>
          <w:sz w:val="22"/>
        </w:rPr>
        <w:t xml:space="preserve"> </w:t>
      </w:r>
      <w:r>
        <w:rPr>
          <w:rFonts w:hint="eastAsia" w:cs="仿宋_GB2312"/>
          <w:sz w:val="22"/>
        </w:rPr>
        <w:t>免费质保期内，乙方提供【24】小时售后服务，在接到报修通知后，维修人员应在【24】小时内赶到杭州萧山国际机场，并连续进行维修，直到系统恢复正常。修复部分的质保期自修复之日起重新开始计算。</w:t>
      </w:r>
    </w:p>
    <w:p>
      <w:pPr>
        <w:spacing w:line="276" w:lineRule="auto"/>
        <w:ind w:firstLine="440" w:firstLineChars="200"/>
        <w:jc w:val="left"/>
        <w:rPr>
          <w:rFonts w:cs="仿宋_GB2312"/>
          <w:sz w:val="22"/>
        </w:rPr>
      </w:pPr>
      <w:r>
        <w:rPr>
          <w:rFonts w:hint="eastAsia" w:cs="仿宋_GB2312"/>
          <w:b/>
          <w:bCs/>
          <w:sz w:val="22"/>
        </w:rPr>
        <w:t xml:space="preserve">5. </w:t>
      </w:r>
      <w:r>
        <w:rPr>
          <w:rFonts w:hint="eastAsia" w:cs="仿宋_GB2312"/>
          <w:sz w:val="22"/>
        </w:rPr>
        <w:t>质保期内每季度进行一次现场巡检，内容包括设备性能调整、部件实用情况检查等，并提供巡检报告。每年对产品进行两次闸机设备精细化维护，内容包括设备除尘、添加润滑剂等内容，并提供维护报告。投标人在进行维护保养的同时，可根据用户的使用情况，对系统优化，包括但不限于程序、参数、传感器等。质保期内由于非招标人原因发生的故障或损坏，投标方免费提供维修和备件（包括易耗品，如果有）直至设备性能、状态等达到正常标准，可以正常安全使用为止。</w:t>
      </w:r>
    </w:p>
    <w:p>
      <w:pPr>
        <w:spacing w:line="276" w:lineRule="auto"/>
        <w:ind w:firstLine="440" w:firstLineChars="200"/>
        <w:jc w:val="left"/>
        <w:rPr>
          <w:rFonts w:cs="仿宋_GB2312"/>
          <w:sz w:val="22"/>
        </w:rPr>
      </w:pPr>
      <w:r>
        <w:rPr>
          <w:rFonts w:hint="eastAsia" w:cs="仿宋_GB2312"/>
          <w:b/>
          <w:sz w:val="22"/>
        </w:rPr>
        <w:t>6.</w:t>
      </w:r>
      <w:r>
        <w:rPr>
          <w:rFonts w:cs="仿宋_GB2312"/>
          <w:b/>
          <w:sz w:val="22"/>
        </w:rPr>
        <w:t xml:space="preserve"> </w:t>
      </w:r>
      <w:r>
        <w:rPr>
          <w:rFonts w:hint="eastAsia" w:cs="仿宋_GB2312"/>
          <w:sz w:val="22"/>
        </w:rPr>
        <w:t>免费质保期结束的【3】天前，乙方负责对系统进行一次全面的检查和维护，并由甲方验收认可。</w:t>
      </w:r>
    </w:p>
    <w:p>
      <w:pPr>
        <w:spacing w:line="276" w:lineRule="auto"/>
        <w:ind w:firstLine="440" w:firstLineChars="200"/>
        <w:jc w:val="left"/>
        <w:rPr>
          <w:rFonts w:cs="仿宋_GB2312"/>
          <w:sz w:val="22"/>
        </w:rPr>
      </w:pPr>
      <w:r>
        <w:rPr>
          <w:rFonts w:hint="eastAsia" w:cs="仿宋_GB2312"/>
          <w:b/>
          <w:sz w:val="22"/>
        </w:rPr>
        <w:t>7.</w:t>
      </w:r>
      <w:r>
        <w:rPr>
          <w:rFonts w:cs="仿宋_GB2312"/>
          <w:b/>
          <w:sz w:val="22"/>
        </w:rPr>
        <w:t xml:space="preserve"> </w:t>
      </w:r>
      <w:r>
        <w:rPr>
          <w:rFonts w:hint="eastAsia" w:cs="仿宋_GB2312"/>
          <w:sz w:val="22"/>
        </w:rPr>
        <w:t>乙方需提供项目负责人【】及团队人员【】人负责本合同项下约定的义务履行。合同履行过程中，乙方委派项目负责人不得更换，若因合理原因（包括但不限于正常调动、离职、时间冲突、回避、身体状况等）无法继续或暂时不能提供服务时，乙方应及时告知甲方，并由双方协商另行指派其他合适的项目接替；甲方不同意其他项目负责人接替的，视为甲方解除合同，合同终止履行，且甲方不承担任何违约责任。</w:t>
      </w:r>
    </w:p>
    <w:p>
      <w:pPr>
        <w:spacing w:line="276" w:lineRule="auto"/>
        <w:ind w:firstLine="440" w:firstLineChars="200"/>
        <w:jc w:val="left"/>
        <w:rPr>
          <w:rFonts w:cs="仿宋_GB2312"/>
          <w:sz w:val="22"/>
        </w:rPr>
      </w:pPr>
      <w:r>
        <w:rPr>
          <w:rFonts w:hint="eastAsia" w:cs="仿宋_GB2312"/>
          <w:b/>
          <w:sz w:val="22"/>
        </w:rPr>
        <w:t xml:space="preserve">8. </w:t>
      </w:r>
      <w:r>
        <w:rPr>
          <w:rFonts w:hint="eastAsia" w:cs="仿宋_GB2312"/>
          <w:sz w:val="22"/>
        </w:rPr>
        <w:t>项目团队人员不能履行合同规定的各项义务或不能胜任该项工作的，甲方有权提请乙方予以调换或商请其他同等资历及以上的项目团队人员担任。乙方应在收到甲方书面通知之日起【3】日内，更换新的项目团队人员。若乙方逾期未提供符合本合同及招标文件约定的相关项目团队人员，甲方有权终止本合同，并要求乙方承担合同总额【5%】的违约金。</w:t>
      </w:r>
    </w:p>
    <w:p>
      <w:pPr>
        <w:spacing w:line="276" w:lineRule="auto"/>
        <w:ind w:firstLine="440" w:firstLineChars="200"/>
        <w:jc w:val="left"/>
        <w:rPr>
          <w:rFonts w:ascii="宋体" w:hAnsi="宋体"/>
          <w:sz w:val="22"/>
        </w:rPr>
      </w:pPr>
      <w:r>
        <w:rPr>
          <w:rFonts w:hint="eastAsia" w:cs="仿宋_GB2312"/>
          <w:b/>
          <w:sz w:val="22"/>
        </w:rPr>
        <w:t xml:space="preserve">9. </w:t>
      </w:r>
      <w:r>
        <w:rPr>
          <w:rFonts w:ascii="宋体" w:hAnsi="宋体"/>
          <w:sz w:val="22"/>
        </w:rPr>
        <w:t>终身向用户免费提供系统控制软件的升级版本。</w:t>
      </w:r>
    </w:p>
    <w:p>
      <w:pPr>
        <w:spacing w:line="276" w:lineRule="auto"/>
        <w:ind w:firstLine="440" w:firstLineChars="200"/>
        <w:jc w:val="left"/>
        <w:rPr>
          <w:rFonts w:ascii="宋体" w:hAnsi="宋体"/>
          <w:sz w:val="22"/>
        </w:rPr>
      </w:pPr>
      <w:r>
        <w:rPr>
          <w:rFonts w:hint="eastAsia" w:cs="仿宋_GB2312"/>
          <w:b/>
          <w:sz w:val="22"/>
        </w:rPr>
        <w:t xml:space="preserve">10. </w:t>
      </w:r>
      <w:r>
        <w:rPr>
          <w:rFonts w:ascii="宋体" w:hAnsi="宋体"/>
          <w:sz w:val="22"/>
        </w:rPr>
        <w:t>需提供现场培训。包括用户操作培训和技术维护培训。</w:t>
      </w:r>
    </w:p>
    <w:p>
      <w:pPr>
        <w:adjustRightInd w:val="0"/>
        <w:snapToGrid w:val="0"/>
        <w:ind w:firstLine="440" w:firstLineChars="200"/>
        <w:jc w:val="left"/>
        <w:outlineLvl w:val="0"/>
        <w:rPr>
          <w:rFonts w:ascii="宋体" w:hAnsi="宋体"/>
          <w:b/>
          <w:sz w:val="22"/>
        </w:rPr>
      </w:pPr>
      <w:r>
        <w:rPr>
          <w:rFonts w:hint="eastAsia" w:ascii="宋体" w:hAnsi="宋体"/>
          <w:b/>
          <w:sz w:val="22"/>
        </w:rPr>
        <w:t>十四、违约责任</w:t>
      </w:r>
      <w:bookmarkEnd w:id="119"/>
    </w:p>
    <w:p>
      <w:pPr>
        <w:adjustRightInd w:val="0"/>
        <w:snapToGrid w:val="0"/>
        <w:spacing w:line="276" w:lineRule="auto"/>
        <w:ind w:firstLine="440" w:firstLineChars="200"/>
        <w:jc w:val="left"/>
        <w:rPr>
          <w:rFonts w:cs="仿宋_GB2312"/>
          <w:sz w:val="22"/>
        </w:rPr>
      </w:pPr>
      <w:bookmarkStart w:id="120" w:name="_Toc478453301"/>
      <w:r>
        <w:rPr>
          <w:rFonts w:hint="eastAsia" w:cs="仿宋_GB2312"/>
          <w:b/>
          <w:sz w:val="22"/>
        </w:rPr>
        <w:t>1.</w:t>
      </w:r>
      <w:r>
        <w:rPr>
          <w:rFonts w:hint="eastAsia" w:cs="仿宋_GB2312"/>
          <w:sz w:val="22"/>
        </w:rPr>
        <w:t xml:space="preserve"> 甲方无正当理由拒收系统的，甲方向乙方偿付</w:t>
      </w:r>
      <w:r>
        <w:rPr>
          <w:rFonts w:hint="eastAsia" w:cs="仿宋_GB2312"/>
          <w:sz w:val="22"/>
          <w:u w:val="single"/>
        </w:rPr>
        <w:t>合同款项百分之五作为违约金。</w:t>
      </w:r>
    </w:p>
    <w:p>
      <w:pPr>
        <w:adjustRightInd w:val="0"/>
        <w:snapToGrid w:val="0"/>
        <w:spacing w:line="276" w:lineRule="auto"/>
        <w:ind w:firstLine="440" w:firstLineChars="200"/>
        <w:jc w:val="left"/>
        <w:rPr>
          <w:rFonts w:cs="仿宋_GB2312"/>
          <w:sz w:val="22"/>
        </w:rPr>
      </w:pPr>
      <w:r>
        <w:rPr>
          <w:rFonts w:hint="eastAsia" w:cs="仿宋_GB2312"/>
          <w:b/>
          <w:sz w:val="22"/>
        </w:rPr>
        <w:t>2.</w:t>
      </w:r>
      <w:r>
        <w:rPr>
          <w:rFonts w:hint="eastAsia" w:cs="仿宋_GB2312"/>
          <w:sz w:val="22"/>
        </w:rPr>
        <w:t xml:space="preserve"> 甲方无故逾期支付本合同约定款项的,甲方应按逾期付款总额每日【0.05】%向乙方支付违约金。</w:t>
      </w:r>
    </w:p>
    <w:p>
      <w:pPr>
        <w:adjustRightInd w:val="0"/>
        <w:snapToGrid w:val="0"/>
        <w:spacing w:line="276" w:lineRule="auto"/>
        <w:ind w:firstLine="440" w:firstLineChars="200"/>
        <w:jc w:val="left"/>
        <w:rPr>
          <w:rFonts w:cs="仿宋_GB2312"/>
          <w:sz w:val="22"/>
        </w:rPr>
      </w:pPr>
      <w:r>
        <w:rPr>
          <w:rFonts w:hint="eastAsia" w:cs="仿宋_GB2312"/>
          <w:b/>
          <w:sz w:val="22"/>
        </w:rPr>
        <w:t xml:space="preserve">3. </w:t>
      </w:r>
      <w:r>
        <w:rPr>
          <w:rFonts w:hint="eastAsia" w:cs="仿宋_GB2312"/>
          <w:sz w:val="22"/>
        </w:rPr>
        <w:t xml:space="preserve">乙方责任原因逾期交付系统或提供服务（包含质保期内未按照本合同约定提供免费质保服务）的，乙方应按逾期交付部分每日【0.05】%向甲方支付违约金，由甲方从货款中扣除。逾期超过约定日期【10】个工作日的，甲方可解除本合同。乙方因逾期交货或提供服务，或因其他违约行为导致甲方解除合同的，乙方应向甲方支付合同总价5%的违约金，如造成甲方损失超过违约金的，超出部分由乙方继续承担赔偿责任。 </w:t>
      </w:r>
    </w:p>
    <w:p>
      <w:pPr>
        <w:adjustRightInd w:val="0"/>
        <w:snapToGrid w:val="0"/>
        <w:spacing w:line="276" w:lineRule="auto"/>
        <w:ind w:firstLine="440" w:firstLineChars="200"/>
        <w:jc w:val="left"/>
        <w:rPr>
          <w:rFonts w:cs="仿宋_GB2312"/>
          <w:sz w:val="22"/>
        </w:rPr>
      </w:pPr>
      <w:r>
        <w:rPr>
          <w:rFonts w:hint="eastAsia" w:cs="仿宋_GB2312"/>
          <w:b/>
          <w:sz w:val="22"/>
        </w:rPr>
        <w:t xml:space="preserve">4. </w:t>
      </w:r>
      <w:r>
        <w:rPr>
          <w:rFonts w:hint="eastAsia" w:cs="仿宋_GB2312"/>
          <w:sz w:val="22"/>
        </w:rPr>
        <w:t>乙方所交的系统品种、型号、规格、技术参数、质量不符合合同规定及招标文件规定标准的，甲方有权拒收该系统或服务，并要求乙方重新提供；乙方因重新提供而逾期交付的，按乙方逾期交货处理。乙方拒绝重新提供或重新提供的系统或服务仍然不符合本合同及招标文件规定的标准和要求的，甲方可单方面解除合同，并扣除乙方履约保证金。</w:t>
      </w:r>
    </w:p>
    <w:p>
      <w:pPr>
        <w:adjustRightInd w:val="0"/>
        <w:snapToGrid w:val="0"/>
        <w:spacing w:line="276" w:lineRule="auto"/>
        <w:ind w:firstLine="440" w:firstLineChars="200"/>
        <w:jc w:val="left"/>
        <w:rPr>
          <w:rFonts w:cs="仿宋_GB2312"/>
          <w:sz w:val="22"/>
        </w:rPr>
      </w:pPr>
      <w:r>
        <w:rPr>
          <w:rFonts w:hint="eastAsia" w:cs="仿宋_GB2312"/>
          <w:b/>
          <w:sz w:val="22"/>
        </w:rPr>
        <w:t>5．</w:t>
      </w:r>
      <w:r>
        <w:rPr>
          <w:rFonts w:hint="eastAsia" w:cs="仿宋_GB2312"/>
          <w:sz w:val="22"/>
        </w:rPr>
        <w:t>因乙方提供系统或服务导致甲方或第三方人身、财产损害的，乙方须依法承担全部赔偿责任；如因该等损害导致甲方向第三方承担赔偿责任的，乙方须在甲方赔偿范围内全额向甲方做出赔偿。</w:t>
      </w:r>
    </w:p>
    <w:p>
      <w:pPr>
        <w:adjustRightInd w:val="0"/>
        <w:snapToGrid w:val="0"/>
        <w:spacing w:line="276" w:lineRule="auto"/>
        <w:ind w:firstLine="440" w:firstLineChars="200"/>
        <w:jc w:val="left"/>
        <w:rPr>
          <w:rFonts w:cs="仿宋_GB2312"/>
          <w:sz w:val="22"/>
        </w:rPr>
      </w:pPr>
      <w:r>
        <w:rPr>
          <w:rFonts w:hint="eastAsia" w:cs="仿宋_GB2312"/>
          <w:b/>
          <w:sz w:val="22"/>
        </w:rPr>
        <w:t xml:space="preserve">6. </w:t>
      </w:r>
      <w:r>
        <w:rPr>
          <w:rFonts w:hint="eastAsia" w:cs="仿宋_GB2312"/>
          <w:sz w:val="22"/>
        </w:rPr>
        <w:t>初验、试运行、终验过程中，如果发现系统运行存在任何问题时，乙方接到甲方通知之日起，必须 【 4】小时内赶到现场，解决问题。经过三次修改，系统问题仍然得不到解决，甲方有权要求乙方重新部署系统（含安装软件）或更换产品，并且有权要求乙方承担由此给甲方造成的损失。</w:t>
      </w:r>
    </w:p>
    <w:p>
      <w:pPr>
        <w:adjustRightInd w:val="0"/>
        <w:snapToGrid w:val="0"/>
        <w:spacing w:line="276" w:lineRule="auto"/>
        <w:ind w:firstLine="440" w:firstLineChars="200"/>
        <w:jc w:val="left"/>
        <w:rPr>
          <w:rFonts w:cs="仿宋_GB2312"/>
          <w:sz w:val="22"/>
        </w:rPr>
      </w:pPr>
      <w:r>
        <w:rPr>
          <w:rFonts w:hint="eastAsia" w:cs="仿宋_GB2312"/>
          <w:b/>
          <w:sz w:val="22"/>
        </w:rPr>
        <w:t>7.</w:t>
      </w:r>
      <w:r>
        <w:rPr>
          <w:rFonts w:hint="eastAsia" w:cs="仿宋_GB2312"/>
          <w:sz w:val="22"/>
        </w:rPr>
        <w:t xml:space="preserve"> 在系统免费质量保证期内，乙方提供服务，详见本合同第十三条。质保期内，如果乙方不能及时解决故障，甲方有权扣除乙方质保金。 </w:t>
      </w:r>
    </w:p>
    <w:p>
      <w:pPr>
        <w:adjustRightInd w:val="0"/>
        <w:snapToGrid w:val="0"/>
        <w:spacing w:line="276" w:lineRule="auto"/>
        <w:ind w:firstLine="440" w:firstLineChars="200"/>
        <w:jc w:val="left"/>
        <w:rPr>
          <w:rFonts w:cs="仿宋_GB2312"/>
          <w:sz w:val="22"/>
        </w:rPr>
      </w:pPr>
      <w:r>
        <w:rPr>
          <w:rFonts w:hint="eastAsia" w:cs="仿宋_GB2312"/>
          <w:b/>
          <w:sz w:val="22"/>
        </w:rPr>
        <w:t>8．</w:t>
      </w:r>
      <w:r>
        <w:rPr>
          <w:rFonts w:hint="eastAsia" w:cs="仿宋_GB2312"/>
          <w:sz w:val="22"/>
        </w:rPr>
        <w:t>除本合同另有规定外，乙方违反其在本合同项下其他义务并给甲方造成损失的，须向甲方承担全部赔偿责任。</w:t>
      </w:r>
    </w:p>
    <w:p>
      <w:pPr>
        <w:adjustRightInd w:val="0"/>
        <w:snapToGrid w:val="0"/>
        <w:ind w:firstLine="440" w:firstLineChars="200"/>
        <w:jc w:val="left"/>
        <w:outlineLvl w:val="0"/>
        <w:rPr>
          <w:rFonts w:ascii="宋体" w:hAnsi="宋体"/>
          <w:b/>
          <w:sz w:val="22"/>
        </w:rPr>
      </w:pPr>
      <w:r>
        <w:rPr>
          <w:rFonts w:hint="eastAsia" w:ascii="宋体" w:hAnsi="宋体"/>
          <w:b/>
          <w:sz w:val="22"/>
        </w:rPr>
        <w:t>十五、不可抗力事件处理</w:t>
      </w:r>
      <w:bookmarkEnd w:id="120"/>
    </w:p>
    <w:p>
      <w:pPr>
        <w:adjustRightInd w:val="0"/>
        <w:snapToGrid w:val="0"/>
        <w:spacing w:line="276" w:lineRule="auto"/>
        <w:ind w:firstLine="440" w:firstLineChars="200"/>
        <w:jc w:val="left"/>
        <w:rPr>
          <w:rFonts w:cs="仿宋_GB2312"/>
          <w:sz w:val="22"/>
        </w:rPr>
      </w:pPr>
      <w:r>
        <w:rPr>
          <w:rFonts w:hint="eastAsia" w:cs="仿宋_GB2312"/>
          <w:sz w:val="22"/>
        </w:rPr>
        <w:t>甲乙双方的任何一方由于不能预见且不可避免的不可抗力事件而不能履行合同时，应在不可抗力发生之日起3日内向对方通报不能履行或不能完全履行的不可抗力事由，并向对方提供相关主管机关书面证明。在提供有关主管机关证明以后，双方可协商延期履行、部分履行或者不履行合同，并根据情况可部分或全部免予承担违约责任。如不可抗力延续达30日，除非双方就合同迟延履行另行达成一致，否则本合同自动终止，双方互不承担违约责任。本合同自动终止后，甲乙双方须本着诚实信用原则在合理时间内处理好未尽事宜。</w:t>
      </w:r>
    </w:p>
    <w:p>
      <w:pPr>
        <w:adjustRightInd w:val="0"/>
        <w:snapToGrid w:val="0"/>
        <w:ind w:firstLine="440" w:firstLineChars="200"/>
        <w:jc w:val="left"/>
        <w:rPr>
          <w:rFonts w:ascii="宋体" w:hAnsi="宋体"/>
          <w:b/>
          <w:sz w:val="22"/>
        </w:rPr>
      </w:pPr>
      <w:r>
        <w:rPr>
          <w:rFonts w:hint="eastAsia" w:ascii="宋体" w:hAnsi="宋体"/>
          <w:b/>
          <w:sz w:val="22"/>
        </w:rPr>
        <w:t>十六、争议解决</w:t>
      </w:r>
    </w:p>
    <w:p>
      <w:pPr>
        <w:adjustRightInd w:val="0"/>
        <w:snapToGrid w:val="0"/>
        <w:ind w:firstLine="440" w:firstLineChars="200"/>
        <w:jc w:val="left"/>
        <w:rPr>
          <w:rFonts w:ascii="宋体" w:hAnsi="宋体"/>
          <w:sz w:val="22"/>
        </w:rPr>
      </w:pPr>
      <w:r>
        <w:rPr>
          <w:rFonts w:hint="eastAsia" w:ascii="宋体" w:hAnsi="宋体"/>
          <w:sz w:val="22"/>
        </w:rPr>
        <w:t>双方在执行合同中所发生的一切争议，应通过协商解决。如协商不成，由甲方所在地的人民法院管辖审理。</w:t>
      </w:r>
    </w:p>
    <w:p>
      <w:pPr>
        <w:adjustRightInd w:val="0"/>
        <w:snapToGrid w:val="0"/>
        <w:ind w:firstLine="440" w:firstLineChars="200"/>
        <w:jc w:val="left"/>
        <w:rPr>
          <w:rFonts w:ascii="宋体" w:hAnsi="宋体"/>
          <w:b/>
          <w:sz w:val="22"/>
        </w:rPr>
      </w:pPr>
      <w:r>
        <w:rPr>
          <w:rFonts w:hint="eastAsia" w:ascii="宋体" w:hAnsi="宋体"/>
          <w:b/>
          <w:sz w:val="22"/>
        </w:rPr>
        <w:t>十七、合同组成文件包含下列内容，且解释顺序如下：</w:t>
      </w:r>
    </w:p>
    <w:p>
      <w:pPr>
        <w:adjustRightInd w:val="0"/>
        <w:snapToGrid w:val="0"/>
        <w:ind w:firstLine="440" w:firstLineChars="200"/>
        <w:jc w:val="left"/>
        <w:rPr>
          <w:rFonts w:ascii="宋体" w:hAnsi="宋体"/>
          <w:sz w:val="22"/>
        </w:rPr>
      </w:pPr>
      <w:r>
        <w:rPr>
          <w:rFonts w:hint="eastAsia" w:ascii="宋体" w:hAnsi="宋体"/>
          <w:b/>
          <w:sz w:val="22"/>
        </w:rPr>
        <w:t>1.</w:t>
      </w:r>
      <w:r>
        <w:rPr>
          <w:rFonts w:hint="eastAsia" w:ascii="宋体" w:hAnsi="宋体"/>
          <w:sz w:val="22"/>
        </w:rPr>
        <w:t>本合同协议书</w:t>
      </w:r>
    </w:p>
    <w:p>
      <w:pPr>
        <w:adjustRightInd w:val="0"/>
        <w:snapToGrid w:val="0"/>
        <w:ind w:firstLine="440" w:firstLineChars="200"/>
        <w:jc w:val="left"/>
        <w:rPr>
          <w:rFonts w:ascii="宋体" w:hAnsi="宋体"/>
          <w:sz w:val="22"/>
        </w:rPr>
      </w:pPr>
      <w:r>
        <w:rPr>
          <w:rFonts w:hint="eastAsia" w:ascii="宋体" w:hAnsi="宋体"/>
          <w:b/>
          <w:sz w:val="22"/>
        </w:rPr>
        <w:t>2.</w:t>
      </w:r>
      <w:r>
        <w:rPr>
          <w:rFonts w:hint="eastAsia" w:ascii="宋体" w:hAnsi="宋体"/>
          <w:sz w:val="22"/>
        </w:rPr>
        <w:t>中标通知书</w:t>
      </w:r>
    </w:p>
    <w:p>
      <w:pPr>
        <w:adjustRightInd w:val="0"/>
        <w:snapToGrid w:val="0"/>
        <w:ind w:firstLine="440" w:firstLineChars="200"/>
        <w:jc w:val="left"/>
        <w:rPr>
          <w:rFonts w:ascii="宋体" w:hAnsi="宋体"/>
          <w:sz w:val="22"/>
        </w:rPr>
      </w:pPr>
      <w:r>
        <w:rPr>
          <w:rFonts w:hint="eastAsia" w:ascii="宋体" w:hAnsi="宋体"/>
          <w:b/>
          <w:sz w:val="22"/>
        </w:rPr>
        <w:t>3.</w:t>
      </w:r>
      <w:r>
        <w:rPr>
          <w:rFonts w:hint="eastAsia" w:ascii="宋体" w:hAnsi="宋体"/>
          <w:sz w:val="22"/>
        </w:rPr>
        <w:t>招标文件</w:t>
      </w:r>
    </w:p>
    <w:p>
      <w:pPr>
        <w:adjustRightInd w:val="0"/>
        <w:snapToGrid w:val="0"/>
        <w:ind w:firstLine="440" w:firstLineChars="200"/>
        <w:jc w:val="left"/>
        <w:rPr>
          <w:rFonts w:ascii="宋体" w:hAnsi="宋体"/>
          <w:sz w:val="22"/>
        </w:rPr>
      </w:pPr>
      <w:r>
        <w:rPr>
          <w:rFonts w:hint="eastAsia" w:ascii="宋体" w:hAnsi="宋体"/>
          <w:b/>
          <w:sz w:val="22"/>
        </w:rPr>
        <w:t>4.</w:t>
      </w:r>
      <w:r>
        <w:rPr>
          <w:rFonts w:hint="eastAsia" w:ascii="宋体" w:hAnsi="宋体"/>
          <w:sz w:val="22"/>
        </w:rPr>
        <w:t>投标书及其附件</w:t>
      </w:r>
    </w:p>
    <w:p>
      <w:pPr>
        <w:adjustRightInd w:val="0"/>
        <w:snapToGrid w:val="0"/>
        <w:ind w:firstLine="440" w:firstLineChars="200"/>
        <w:jc w:val="left"/>
        <w:rPr>
          <w:rFonts w:ascii="宋体" w:hAnsi="宋体"/>
          <w:sz w:val="22"/>
        </w:rPr>
      </w:pPr>
      <w:r>
        <w:rPr>
          <w:rFonts w:hint="eastAsia" w:ascii="宋体" w:hAnsi="宋体"/>
          <w:b/>
          <w:sz w:val="22"/>
        </w:rPr>
        <w:t>5.</w:t>
      </w:r>
      <w:r>
        <w:rPr>
          <w:rFonts w:hint="eastAsia" w:ascii="宋体" w:hAnsi="宋体"/>
          <w:sz w:val="22"/>
        </w:rPr>
        <w:t>标准、规范及有关技术文件</w:t>
      </w:r>
    </w:p>
    <w:p>
      <w:pPr>
        <w:adjustRightInd w:val="0"/>
        <w:snapToGrid w:val="0"/>
        <w:ind w:firstLine="440" w:firstLineChars="200"/>
        <w:jc w:val="left"/>
        <w:outlineLvl w:val="0"/>
        <w:rPr>
          <w:rFonts w:ascii="宋体" w:hAnsi="宋体"/>
          <w:b/>
          <w:sz w:val="22"/>
        </w:rPr>
      </w:pPr>
      <w:bookmarkStart w:id="121" w:name="_Toc478453302"/>
      <w:r>
        <w:rPr>
          <w:rFonts w:hint="eastAsia" w:ascii="宋体" w:hAnsi="宋体"/>
          <w:b/>
          <w:sz w:val="22"/>
        </w:rPr>
        <w:t>十八、合同生效及其它</w:t>
      </w:r>
      <w:bookmarkEnd w:id="121"/>
    </w:p>
    <w:p>
      <w:pPr>
        <w:adjustRightInd w:val="0"/>
        <w:snapToGrid w:val="0"/>
        <w:ind w:firstLine="440" w:firstLineChars="200"/>
        <w:jc w:val="left"/>
        <w:rPr>
          <w:rFonts w:ascii="宋体" w:hAnsi="宋体"/>
          <w:sz w:val="22"/>
        </w:rPr>
      </w:pPr>
      <w:r>
        <w:rPr>
          <w:rFonts w:hint="eastAsia" w:ascii="宋体" w:hAnsi="宋体"/>
          <w:b/>
          <w:sz w:val="22"/>
        </w:rPr>
        <w:t>1.</w:t>
      </w:r>
      <w:r>
        <w:rPr>
          <w:rFonts w:hint="eastAsia" w:cs="仿宋_GB2312"/>
          <w:sz w:val="22"/>
        </w:rPr>
        <w:t>合同经双方法定代表人或授权代表签字/盖章，并加盖单位公章或者合同专用章之日起生效。</w:t>
      </w:r>
    </w:p>
    <w:p>
      <w:pPr>
        <w:adjustRightInd w:val="0"/>
        <w:snapToGrid w:val="0"/>
        <w:ind w:firstLine="440" w:firstLineChars="200"/>
        <w:jc w:val="left"/>
        <w:rPr>
          <w:rFonts w:ascii="宋体" w:hAnsi="宋体"/>
          <w:sz w:val="22"/>
        </w:rPr>
      </w:pPr>
      <w:r>
        <w:rPr>
          <w:rFonts w:hint="eastAsia" w:ascii="宋体" w:hAnsi="宋体"/>
          <w:b/>
          <w:sz w:val="22"/>
        </w:rPr>
        <w:t>2.</w:t>
      </w:r>
      <w:r>
        <w:rPr>
          <w:rFonts w:hint="eastAsia" w:ascii="宋体" w:hAnsi="宋体"/>
          <w:sz w:val="22"/>
        </w:rPr>
        <w:t>本合同未尽事宜，双方可签订补充协议予以执行；未达成补充协议的，遵照《合同法》及有关法律法规执行。</w:t>
      </w:r>
    </w:p>
    <w:p>
      <w:pPr>
        <w:tabs>
          <w:tab w:val="right" w:pos="8306"/>
        </w:tabs>
        <w:adjustRightInd w:val="0"/>
        <w:snapToGrid w:val="0"/>
        <w:ind w:firstLine="440" w:firstLineChars="200"/>
        <w:jc w:val="left"/>
        <w:rPr>
          <w:rFonts w:ascii="宋体" w:hAnsi="宋体"/>
          <w:sz w:val="22"/>
        </w:rPr>
      </w:pPr>
      <w:r>
        <w:rPr>
          <w:rFonts w:hint="eastAsia" w:ascii="宋体" w:hAnsi="宋体"/>
          <w:b/>
          <w:sz w:val="22"/>
        </w:rPr>
        <w:t>3.</w:t>
      </w:r>
      <w:r>
        <w:rPr>
          <w:rFonts w:hint="eastAsia" w:ascii="宋体" w:hAnsi="宋体"/>
          <w:sz w:val="22"/>
        </w:rPr>
        <w:t>本合同一式陆份，甲乙双方各持三份，具有同等法律效力。</w:t>
      </w:r>
    </w:p>
    <w:p>
      <w:pPr>
        <w:tabs>
          <w:tab w:val="right" w:pos="8306"/>
        </w:tabs>
        <w:adjustRightInd w:val="0"/>
        <w:snapToGrid w:val="0"/>
        <w:ind w:firstLine="440" w:firstLineChars="200"/>
        <w:jc w:val="left"/>
        <w:rPr>
          <w:rFonts w:ascii="宋体" w:hAnsi="宋体"/>
          <w:sz w:val="22"/>
        </w:rPr>
      </w:pPr>
      <w:r>
        <w:rPr>
          <w:rFonts w:ascii="宋体" w:hAnsi="宋体"/>
          <w:b/>
          <w:sz w:val="22"/>
        </w:rPr>
        <w:t>4.</w:t>
      </w:r>
      <w:r>
        <w:rPr>
          <w:rFonts w:hint="eastAsia" w:cs="仿宋_GB2312"/>
          <w:sz w:val="22"/>
        </w:rPr>
        <w:t>附件：（1）廉洁自律承诺书；（2）保密承诺书；（3）安全文明协议书；（4）质保服务考核表</w:t>
      </w:r>
    </w:p>
    <w:p>
      <w:pPr>
        <w:tabs>
          <w:tab w:val="right" w:pos="8306"/>
        </w:tabs>
        <w:adjustRightInd w:val="0"/>
        <w:snapToGrid w:val="0"/>
        <w:ind w:firstLine="440" w:firstLineChars="200"/>
        <w:jc w:val="left"/>
        <w:rPr>
          <w:rFonts w:ascii="宋体" w:hAnsi="宋体"/>
          <w:sz w:val="22"/>
        </w:rPr>
      </w:pPr>
      <w:r>
        <w:rPr>
          <w:rFonts w:hint="eastAsia" w:ascii="宋体" w:hAnsi="宋体"/>
          <w:sz w:val="22"/>
        </w:rPr>
        <w:tab/>
      </w:r>
    </w:p>
    <w:p>
      <w:pPr>
        <w:spacing w:line="440" w:lineRule="exact"/>
        <w:ind w:firstLine="420" w:firstLineChars="200"/>
        <w:rPr>
          <w:rFonts w:cs="仿宋_GB2312"/>
          <w:b/>
          <w:szCs w:val="21"/>
        </w:rPr>
      </w:pPr>
      <w:r>
        <w:rPr>
          <w:rFonts w:hint="eastAsia" w:cs="仿宋_GB2312"/>
          <w:b/>
          <w:szCs w:val="21"/>
        </w:rPr>
        <w:t xml:space="preserve">甲方：                                  乙方：  </w:t>
      </w:r>
    </w:p>
    <w:p>
      <w:pPr>
        <w:spacing w:line="440" w:lineRule="exact"/>
        <w:ind w:firstLine="420" w:firstLineChars="200"/>
        <w:rPr>
          <w:rFonts w:cs="仿宋_GB2312"/>
          <w:b/>
          <w:szCs w:val="21"/>
        </w:rPr>
      </w:pPr>
      <w:r>
        <w:rPr>
          <w:rFonts w:hint="eastAsia" w:cs="仿宋_GB2312"/>
          <w:b/>
          <w:szCs w:val="21"/>
        </w:rPr>
        <w:t>法定代表人或其委托代理人：              法定代表人或其委托代理人：</w:t>
      </w:r>
    </w:p>
    <w:p>
      <w:pPr>
        <w:spacing w:line="440" w:lineRule="exact"/>
        <w:ind w:firstLine="420" w:firstLineChars="200"/>
        <w:rPr>
          <w:rFonts w:cs="仿宋_GB2312"/>
          <w:b/>
          <w:szCs w:val="21"/>
        </w:rPr>
      </w:pPr>
      <w:r>
        <w:rPr>
          <w:rFonts w:hint="eastAsia" w:cs="仿宋_GB2312"/>
          <w:b/>
          <w:szCs w:val="21"/>
        </w:rPr>
        <w:t>签字日期：    年  月   日                     年    月    日</w:t>
      </w:r>
    </w:p>
    <w:p>
      <w:pPr>
        <w:pStyle w:val="19"/>
        <w:spacing w:line="360" w:lineRule="exact"/>
        <w:rPr>
          <w:rFonts w:hAnsi="宋体" w:cs="Calibri"/>
          <w:bCs/>
          <w:sz w:val="22"/>
          <w:szCs w:val="22"/>
        </w:rPr>
      </w:pPr>
    </w:p>
    <w:p>
      <w:pPr>
        <w:pStyle w:val="19"/>
        <w:spacing w:line="360" w:lineRule="exact"/>
        <w:rPr>
          <w:rFonts w:hAnsi="宋体" w:cs="Calibri"/>
          <w:bCs/>
          <w:sz w:val="22"/>
          <w:szCs w:val="22"/>
        </w:rPr>
      </w:pPr>
    </w:p>
    <w:p>
      <w:pPr>
        <w:pStyle w:val="19"/>
        <w:spacing w:line="360" w:lineRule="exact"/>
        <w:rPr>
          <w:rFonts w:hAnsi="宋体" w:cs="Calibri"/>
          <w:bCs/>
          <w:sz w:val="22"/>
          <w:szCs w:val="22"/>
        </w:rPr>
      </w:pPr>
    </w:p>
    <w:p>
      <w:pPr>
        <w:pStyle w:val="19"/>
        <w:spacing w:line="360" w:lineRule="exact"/>
        <w:rPr>
          <w:rFonts w:hAnsi="宋体" w:cs="Calibri"/>
          <w:bCs/>
          <w:sz w:val="22"/>
          <w:szCs w:val="22"/>
        </w:rPr>
      </w:pPr>
    </w:p>
    <w:p>
      <w:pPr>
        <w:pStyle w:val="19"/>
        <w:spacing w:line="360" w:lineRule="exact"/>
        <w:rPr>
          <w:rFonts w:hAnsi="宋体" w:cs="Calibri"/>
          <w:bCs/>
          <w:sz w:val="22"/>
          <w:szCs w:val="22"/>
        </w:rPr>
      </w:pPr>
    </w:p>
    <w:p>
      <w:pPr>
        <w:pStyle w:val="19"/>
        <w:spacing w:line="360" w:lineRule="exact"/>
        <w:rPr>
          <w:rFonts w:hAnsi="宋体" w:cs="Calibri"/>
          <w:bCs/>
          <w:sz w:val="22"/>
          <w:szCs w:val="22"/>
        </w:rPr>
      </w:pPr>
    </w:p>
    <w:p>
      <w:pPr>
        <w:pStyle w:val="19"/>
        <w:spacing w:line="360" w:lineRule="exact"/>
        <w:rPr>
          <w:rFonts w:hAnsi="宋体" w:cs="Calibri"/>
          <w:bCs/>
          <w:sz w:val="22"/>
          <w:szCs w:val="22"/>
        </w:rPr>
      </w:pPr>
    </w:p>
    <w:p>
      <w:pPr>
        <w:pStyle w:val="19"/>
        <w:spacing w:line="360" w:lineRule="exact"/>
        <w:rPr>
          <w:rFonts w:hAnsi="宋体" w:cs="Calibri"/>
          <w:bCs/>
          <w:sz w:val="22"/>
          <w:szCs w:val="22"/>
        </w:rPr>
        <w:sectPr>
          <w:headerReference r:id="rId7" w:type="first"/>
          <w:pgSz w:w="11906" w:h="16838"/>
          <w:pgMar w:top="1134" w:right="1247" w:bottom="1134" w:left="1247" w:header="851" w:footer="1134" w:gutter="0"/>
          <w:pgNumType w:fmt="numberInDash"/>
          <w:cols w:space="720" w:num="1"/>
          <w:docGrid w:linePitch="312" w:charSpace="0"/>
        </w:sectPr>
      </w:pPr>
    </w:p>
    <w:p>
      <w:pPr>
        <w:pStyle w:val="19"/>
        <w:spacing w:line="360" w:lineRule="exact"/>
        <w:rPr>
          <w:rFonts w:hAnsi="宋体" w:cs="Calibri"/>
          <w:bCs/>
          <w:sz w:val="22"/>
          <w:szCs w:val="22"/>
        </w:rPr>
      </w:pPr>
    </w:p>
    <w:p>
      <w:pPr>
        <w:pStyle w:val="19"/>
        <w:spacing w:line="360" w:lineRule="exact"/>
        <w:rPr>
          <w:rFonts w:hAnsi="宋体" w:cs="Calibri"/>
          <w:bCs/>
          <w:sz w:val="22"/>
          <w:szCs w:val="22"/>
        </w:rPr>
      </w:pPr>
      <w:r>
        <w:rPr>
          <w:rFonts w:hint="eastAsia" w:hAnsi="宋体" w:cs="Calibri"/>
          <w:bCs/>
          <w:sz w:val="22"/>
          <w:szCs w:val="22"/>
        </w:rPr>
        <w:t>附件1</w:t>
      </w:r>
      <w:r>
        <w:rPr>
          <w:rFonts w:hAnsi="宋体" w:cs="Calibri"/>
          <w:bCs/>
          <w:sz w:val="22"/>
          <w:szCs w:val="22"/>
        </w:rPr>
        <w:t>:</w:t>
      </w:r>
      <w:r>
        <w:rPr>
          <w:rFonts w:hint="eastAsia" w:hAnsi="宋体" w:cs="Calibri"/>
          <w:bCs/>
          <w:sz w:val="22"/>
          <w:szCs w:val="22"/>
        </w:rPr>
        <w:t>廉洁自律承诺书</w:t>
      </w:r>
    </w:p>
    <w:p>
      <w:pPr>
        <w:pStyle w:val="19"/>
        <w:spacing w:line="360" w:lineRule="exact"/>
        <w:ind w:firstLine="420"/>
        <w:rPr>
          <w:rFonts w:hAnsi="宋体" w:cs="Calibri"/>
          <w:bCs/>
          <w:sz w:val="22"/>
          <w:szCs w:val="22"/>
        </w:rPr>
      </w:pPr>
    </w:p>
    <w:p>
      <w:pPr>
        <w:pStyle w:val="19"/>
        <w:spacing w:line="360" w:lineRule="exact"/>
        <w:ind w:firstLine="420"/>
        <w:rPr>
          <w:rFonts w:hAnsi="宋体" w:cs="Calibri"/>
          <w:bCs/>
          <w:sz w:val="22"/>
          <w:szCs w:val="22"/>
        </w:rPr>
      </w:pPr>
      <w:r>
        <w:rPr>
          <w:rFonts w:hint="eastAsia" w:hAnsi="宋体" w:cs="Calibri"/>
          <w:bCs/>
          <w:sz w:val="22"/>
          <w:szCs w:val="22"/>
        </w:rPr>
        <w:t>（内容此处略，详见第六章投标文件格式“十、廉洁自律承诺书”）</w:t>
      </w:r>
    </w:p>
    <w:p>
      <w:pPr>
        <w:pStyle w:val="19"/>
        <w:spacing w:line="360" w:lineRule="exact"/>
        <w:rPr>
          <w:rFonts w:hAnsi="宋体" w:cs="Calibri"/>
          <w:bCs/>
          <w:sz w:val="22"/>
          <w:szCs w:val="22"/>
        </w:rPr>
      </w:pPr>
    </w:p>
    <w:p>
      <w:pPr>
        <w:pStyle w:val="19"/>
        <w:spacing w:line="360" w:lineRule="exact"/>
        <w:rPr>
          <w:rFonts w:hAnsi="宋体" w:cs="Calibri"/>
          <w:bCs/>
          <w:sz w:val="22"/>
          <w:szCs w:val="22"/>
        </w:rPr>
      </w:pPr>
      <w:r>
        <w:rPr>
          <w:rFonts w:hint="eastAsia" w:hAnsi="宋体" w:cs="Calibri"/>
          <w:bCs/>
          <w:sz w:val="22"/>
          <w:szCs w:val="22"/>
        </w:rPr>
        <w:t>附件2：保密承诺书</w:t>
      </w:r>
    </w:p>
    <w:p>
      <w:pPr>
        <w:tabs>
          <w:tab w:val="left" w:pos="540"/>
        </w:tabs>
        <w:topLinePunct/>
        <w:jc w:val="center"/>
        <w:rPr>
          <w:rFonts w:ascii="宋体" w:hAnsi="宋体" w:cs="宋体"/>
          <w:b/>
          <w:sz w:val="36"/>
        </w:rPr>
      </w:pPr>
      <w:r>
        <w:rPr>
          <w:rFonts w:hint="eastAsia" w:ascii="宋体" w:hAnsi="宋体" w:cs="宋体"/>
          <w:b/>
          <w:sz w:val="36"/>
        </w:rPr>
        <w:t>保密承诺书</w:t>
      </w:r>
    </w:p>
    <w:p>
      <w:pPr>
        <w:pStyle w:val="19"/>
        <w:spacing w:line="276" w:lineRule="auto"/>
        <w:ind w:firstLine="420"/>
        <w:rPr>
          <w:rFonts w:hAnsi="宋体" w:cs="Calibri"/>
          <w:bCs/>
          <w:sz w:val="22"/>
          <w:szCs w:val="22"/>
        </w:rPr>
      </w:pPr>
      <w:r>
        <w:rPr>
          <w:rFonts w:hint="eastAsia" w:hAnsi="宋体" w:cs="Calibri"/>
          <w:bCs/>
          <w:sz w:val="22"/>
          <w:szCs w:val="22"/>
        </w:rPr>
        <w:t>鉴于我方愿成为杭州萧山国际机场有限公司（以下简称“机场公司”）的供应商或潜在供应商候选人，为机场公司提供【】项目的货物供应。在上述业务来往过程中，机场公司可能向我方提供经营、业务、服务等有关的文件、资料、软件等信息，为维护机场公司的利益，我方就保密事宜做出如下承诺：</w:t>
      </w:r>
    </w:p>
    <w:p>
      <w:pPr>
        <w:pStyle w:val="19"/>
        <w:spacing w:line="276" w:lineRule="auto"/>
        <w:ind w:firstLine="420"/>
        <w:rPr>
          <w:rFonts w:hAnsi="宋体" w:cs="Calibri"/>
          <w:bCs/>
          <w:sz w:val="22"/>
          <w:szCs w:val="22"/>
        </w:rPr>
      </w:pPr>
      <w:r>
        <w:rPr>
          <w:rFonts w:hint="eastAsia" w:hAnsi="宋体" w:cs="Calibri"/>
          <w:bCs/>
          <w:sz w:val="22"/>
          <w:szCs w:val="22"/>
        </w:rPr>
        <w:t>1.商业秘密</w:t>
      </w:r>
    </w:p>
    <w:p>
      <w:pPr>
        <w:pStyle w:val="19"/>
        <w:spacing w:line="276" w:lineRule="auto"/>
        <w:ind w:firstLine="420"/>
        <w:rPr>
          <w:rFonts w:hAnsi="宋体" w:cs="Calibri"/>
          <w:bCs/>
          <w:sz w:val="22"/>
          <w:szCs w:val="22"/>
        </w:rPr>
      </w:pPr>
      <w:r>
        <w:rPr>
          <w:rFonts w:hint="eastAsia" w:hAnsi="宋体" w:cs="Calibri"/>
          <w:bCs/>
          <w:sz w:val="22"/>
          <w:szCs w:val="22"/>
        </w:rPr>
        <w:t>1.1商业秘密是指机场公司（包括机场公司关联公司）一切专有、不对外公开的资料和信息。包括但不限于以下方面：</w:t>
      </w:r>
    </w:p>
    <w:p>
      <w:pPr>
        <w:pStyle w:val="19"/>
        <w:spacing w:line="276" w:lineRule="auto"/>
        <w:ind w:firstLine="420"/>
        <w:rPr>
          <w:rFonts w:hAnsi="宋体" w:cs="Calibri"/>
          <w:bCs/>
          <w:sz w:val="22"/>
          <w:szCs w:val="22"/>
        </w:rPr>
      </w:pPr>
      <w:r>
        <w:rPr>
          <w:rFonts w:hint="eastAsia" w:hAnsi="宋体" w:cs="Calibri"/>
          <w:bCs/>
          <w:sz w:val="22"/>
          <w:szCs w:val="22"/>
        </w:rPr>
        <w:t>（1）经营信息（发展规划、运营状况、客户资源、货源情报、投融资计划、开发计划、标书等）；</w:t>
      </w:r>
    </w:p>
    <w:p>
      <w:pPr>
        <w:pStyle w:val="19"/>
        <w:spacing w:line="276" w:lineRule="auto"/>
        <w:ind w:firstLine="420"/>
        <w:rPr>
          <w:rFonts w:hAnsi="宋体" w:cs="Calibri"/>
          <w:bCs/>
          <w:sz w:val="22"/>
          <w:szCs w:val="22"/>
        </w:rPr>
      </w:pPr>
      <w:r>
        <w:rPr>
          <w:rFonts w:hint="eastAsia" w:hAnsi="宋体" w:cs="Calibri"/>
          <w:bCs/>
          <w:sz w:val="22"/>
          <w:szCs w:val="22"/>
        </w:rPr>
        <w:t>（2）管理信息（管理方法、管理制度、员工管理、合同管理、纠纷管理等）；</w:t>
      </w:r>
    </w:p>
    <w:p>
      <w:pPr>
        <w:pStyle w:val="19"/>
        <w:spacing w:line="276" w:lineRule="auto"/>
        <w:ind w:firstLine="420"/>
        <w:rPr>
          <w:rFonts w:hAnsi="宋体" w:cs="Calibri"/>
          <w:bCs/>
          <w:sz w:val="22"/>
          <w:szCs w:val="22"/>
        </w:rPr>
      </w:pPr>
      <w:r>
        <w:rPr>
          <w:rFonts w:hint="eastAsia" w:hAnsi="宋体" w:cs="Calibri"/>
          <w:bCs/>
          <w:sz w:val="22"/>
          <w:szCs w:val="22"/>
        </w:rPr>
        <w:t>（3）产品及技术信息（设计及图纸、样品及服务、技术方案、质量标准、技术标准、计算机程序等）；</w:t>
      </w:r>
    </w:p>
    <w:p>
      <w:pPr>
        <w:pStyle w:val="19"/>
        <w:spacing w:line="276" w:lineRule="auto"/>
        <w:ind w:firstLine="420"/>
        <w:rPr>
          <w:rFonts w:hAnsi="宋体" w:cs="Calibri"/>
          <w:bCs/>
          <w:sz w:val="22"/>
          <w:szCs w:val="22"/>
        </w:rPr>
      </w:pPr>
      <w:r>
        <w:rPr>
          <w:rFonts w:hint="eastAsia" w:hAnsi="宋体" w:cs="Calibri"/>
          <w:bCs/>
          <w:sz w:val="22"/>
          <w:szCs w:val="22"/>
        </w:rPr>
        <w:t>（4）财务信息（财务收支、固定资产、流动资金、成本核算等）；</w:t>
      </w:r>
    </w:p>
    <w:p>
      <w:pPr>
        <w:pStyle w:val="19"/>
        <w:spacing w:line="276" w:lineRule="auto"/>
        <w:ind w:firstLine="420"/>
        <w:rPr>
          <w:rFonts w:hAnsi="宋体" w:cs="Calibri"/>
          <w:bCs/>
          <w:sz w:val="22"/>
          <w:szCs w:val="22"/>
        </w:rPr>
      </w:pPr>
      <w:r>
        <w:rPr>
          <w:rFonts w:hint="eastAsia" w:hAnsi="宋体" w:cs="Calibri"/>
          <w:bCs/>
          <w:sz w:val="22"/>
          <w:szCs w:val="22"/>
        </w:rPr>
        <w:t>（5）我方单独或机场公司（包括机场公司关联公司）和我方共同为机场公司开发、设计、生产的产品、资料及相关信息；</w:t>
      </w:r>
    </w:p>
    <w:p>
      <w:pPr>
        <w:pStyle w:val="19"/>
        <w:spacing w:line="276" w:lineRule="auto"/>
        <w:ind w:firstLine="420"/>
        <w:rPr>
          <w:rFonts w:hAnsi="宋体" w:cs="Calibri"/>
          <w:bCs/>
          <w:sz w:val="22"/>
          <w:szCs w:val="22"/>
        </w:rPr>
      </w:pPr>
      <w:r>
        <w:rPr>
          <w:rFonts w:hint="eastAsia" w:hAnsi="宋体" w:cs="Calibri"/>
          <w:bCs/>
          <w:sz w:val="22"/>
          <w:szCs w:val="22"/>
        </w:rPr>
        <w:t>（6）其他机场公司未对外公开的有关营运、计划、航班数据、标准、开发、生产、经营、质量管理控制和租赁的资料和数据等信息以及对供应商的管理文件。</w:t>
      </w:r>
    </w:p>
    <w:p>
      <w:pPr>
        <w:pStyle w:val="19"/>
        <w:spacing w:line="276" w:lineRule="auto"/>
        <w:ind w:firstLine="420"/>
        <w:rPr>
          <w:rFonts w:hAnsi="宋体" w:cs="Calibri"/>
          <w:bCs/>
          <w:sz w:val="22"/>
          <w:szCs w:val="22"/>
        </w:rPr>
      </w:pPr>
      <w:r>
        <w:rPr>
          <w:rFonts w:hint="eastAsia" w:hAnsi="宋体" w:cs="Calibri"/>
          <w:bCs/>
          <w:sz w:val="22"/>
          <w:szCs w:val="22"/>
        </w:rPr>
        <w:t xml:space="preserve"> 1.2、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pPr>
        <w:pStyle w:val="19"/>
        <w:spacing w:line="276" w:lineRule="auto"/>
        <w:ind w:firstLine="420"/>
        <w:rPr>
          <w:rFonts w:hAnsi="宋体" w:cs="Calibri"/>
          <w:bCs/>
          <w:sz w:val="22"/>
          <w:szCs w:val="22"/>
        </w:rPr>
      </w:pPr>
      <w:r>
        <w:rPr>
          <w:rFonts w:hint="eastAsia" w:hAnsi="宋体" w:cs="Calibri"/>
          <w:bCs/>
          <w:sz w:val="22"/>
          <w:szCs w:val="22"/>
        </w:rPr>
        <w:t>1.3、对于上述提及的商业秘密，不能仅因为公开发表的文章或资讯中包含其内容，就认为是可对外公开的特殊情况。</w:t>
      </w:r>
    </w:p>
    <w:p>
      <w:pPr>
        <w:pStyle w:val="19"/>
        <w:spacing w:line="276" w:lineRule="auto"/>
        <w:ind w:firstLine="420"/>
        <w:rPr>
          <w:rFonts w:hAnsi="宋体" w:cs="Calibri"/>
          <w:bCs/>
          <w:sz w:val="22"/>
          <w:szCs w:val="22"/>
        </w:rPr>
      </w:pPr>
      <w:r>
        <w:rPr>
          <w:rFonts w:hint="eastAsia" w:hAnsi="宋体" w:cs="Calibri"/>
          <w:bCs/>
          <w:sz w:val="22"/>
          <w:szCs w:val="22"/>
        </w:rPr>
        <w:t>1.4、以下资料不属于本承诺所指的商业秘密：</w:t>
      </w:r>
    </w:p>
    <w:p>
      <w:pPr>
        <w:pStyle w:val="19"/>
        <w:spacing w:line="276" w:lineRule="auto"/>
        <w:ind w:firstLine="420"/>
        <w:rPr>
          <w:rFonts w:hAnsi="宋体" w:cs="Calibri"/>
          <w:bCs/>
          <w:sz w:val="22"/>
          <w:szCs w:val="22"/>
        </w:rPr>
      </w:pPr>
      <w:r>
        <w:rPr>
          <w:rFonts w:hint="eastAsia" w:hAnsi="宋体" w:cs="Calibri"/>
          <w:bCs/>
          <w:sz w:val="22"/>
          <w:szCs w:val="22"/>
        </w:rPr>
        <w:t>（1）我方从机场公司拟获悉之前已持有的我方无需承担保密义务的机场公司有关资料(但通过其它违约或侵权行为而获得的资料除外)；</w:t>
      </w:r>
    </w:p>
    <w:p>
      <w:pPr>
        <w:pStyle w:val="19"/>
        <w:spacing w:line="276" w:lineRule="auto"/>
        <w:ind w:firstLine="420"/>
        <w:rPr>
          <w:rFonts w:hAnsi="宋体" w:cs="Calibri"/>
          <w:bCs/>
          <w:sz w:val="22"/>
          <w:szCs w:val="22"/>
        </w:rPr>
      </w:pPr>
      <w:r>
        <w:rPr>
          <w:rFonts w:hint="eastAsia" w:hAnsi="宋体" w:cs="Calibri"/>
          <w:bCs/>
          <w:sz w:val="22"/>
          <w:szCs w:val="22"/>
        </w:rPr>
        <w:t>（2）已经公开或已成为常识性的资料，且该等公开并非因违反本承诺所致。</w:t>
      </w:r>
    </w:p>
    <w:p>
      <w:pPr>
        <w:pStyle w:val="19"/>
        <w:spacing w:line="276" w:lineRule="auto"/>
        <w:ind w:firstLine="420"/>
        <w:rPr>
          <w:rFonts w:hAnsi="宋体" w:cs="Calibri"/>
          <w:bCs/>
          <w:sz w:val="22"/>
          <w:szCs w:val="22"/>
        </w:rPr>
      </w:pPr>
    </w:p>
    <w:p>
      <w:pPr>
        <w:pStyle w:val="19"/>
        <w:spacing w:line="276" w:lineRule="auto"/>
        <w:ind w:firstLine="420"/>
        <w:rPr>
          <w:rFonts w:hAnsi="宋体" w:cs="Calibri"/>
          <w:bCs/>
          <w:sz w:val="22"/>
          <w:szCs w:val="22"/>
        </w:rPr>
      </w:pPr>
      <w:r>
        <w:rPr>
          <w:rFonts w:hint="eastAsia" w:hAnsi="宋体" w:cs="Calibri"/>
          <w:bCs/>
          <w:sz w:val="22"/>
          <w:szCs w:val="22"/>
        </w:rPr>
        <w:t>2、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本承诺所述的保密责任，则视为违反了本承诺。</w:t>
      </w:r>
    </w:p>
    <w:p>
      <w:pPr>
        <w:pStyle w:val="19"/>
        <w:spacing w:line="276" w:lineRule="auto"/>
        <w:ind w:firstLine="420"/>
        <w:rPr>
          <w:rFonts w:hAnsi="宋体" w:cs="Calibri"/>
          <w:bCs/>
          <w:sz w:val="22"/>
          <w:szCs w:val="22"/>
        </w:rPr>
      </w:pPr>
    </w:p>
    <w:p>
      <w:pPr>
        <w:pStyle w:val="19"/>
        <w:spacing w:line="276" w:lineRule="auto"/>
        <w:ind w:firstLine="420"/>
        <w:rPr>
          <w:rFonts w:hAnsi="宋体" w:cs="Calibri"/>
          <w:bCs/>
          <w:sz w:val="22"/>
          <w:szCs w:val="22"/>
        </w:rPr>
      </w:pPr>
      <w:r>
        <w:rPr>
          <w:rFonts w:hint="eastAsia" w:hAnsi="宋体" w:cs="Calibri"/>
          <w:bCs/>
          <w:sz w:val="22"/>
          <w:szCs w:val="22"/>
        </w:rPr>
        <w:t>3、当合同履行完毕、合同终止或经机场公司要求，我方应立即返还或根据机场公司书面要求销毁所有含有商业秘密或我方在接触商业秘密后而产生的资料，以及由我方持有的任何复制品。</w:t>
      </w:r>
    </w:p>
    <w:p>
      <w:pPr>
        <w:pStyle w:val="19"/>
        <w:spacing w:line="276" w:lineRule="auto"/>
        <w:ind w:firstLine="420"/>
        <w:rPr>
          <w:rFonts w:hAnsi="宋体" w:cs="Calibri"/>
          <w:bCs/>
          <w:sz w:val="22"/>
          <w:szCs w:val="22"/>
        </w:rPr>
      </w:pPr>
    </w:p>
    <w:p>
      <w:pPr>
        <w:pStyle w:val="19"/>
        <w:spacing w:line="276" w:lineRule="auto"/>
        <w:ind w:firstLine="420"/>
        <w:rPr>
          <w:rFonts w:hAnsi="宋体" w:cs="Calibri"/>
          <w:bCs/>
          <w:sz w:val="22"/>
          <w:szCs w:val="22"/>
        </w:rPr>
      </w:pPr>
      <w:r>
        <w:rPr>
          <w:rFonts w:hint="eastAsia" w:hAnsi="宋体" w:cs="Calibri"/>
          <w:bCs/>
          <w:sz w:val="22"/>
          <w:szCs w:val="22"/>
        </w:rPr>
        <w:t xml:space="preserve">4、无论在双方签订任何商务合同之前、存续期间及以后，我方均当遵守法律和本承诺约定，严格保守机场公司的商业秘密。未经机场公司同意，不得采用包括但不限于的以下方式泄露、公布、发布、出版、传授、转让或者其他任何方式，或以任何理由、任何目的非法侵犯机场公司的商业秘密：        </w:t>
      </w:r>
    </w:p>
    <w:p>
      <w:pPr>
        <w:pStyle w:val="19"/>
        <w:spacing w:line="276" w:lineRule="auto"/>
        <w:ind w:firstLine="420"/>
        <w:rPr>
          <w:rFonts w:hAnsi="宋体" w:cs="Calibri"/>
          <w:bCs/>
          <w:sz w:val="22"/>
          <w:szCs w:val="22"/>
        </w:rPr>
      </w:pPr>
      <w:r>
        <w:rPr>
          <w:rFonts w:hint="eastAsia" w:hAnsi="宋体" w:cs="Calibri"/>
          <w:bCs/>
          <w:sz w:val="22"/>
          <w:szCs w:val="22"/>
        </w:rPr>
        <w:t>（1）披露、使用或者允许他人以不正当手段获取的商业秘密；</w:t>
      </w:r>
    </w:p>
    <w:p>
      <w:pPr>
        <w:pStyle w:val="19"/>
        <w:spacing w:line="276" w:lineRule="auto"/>
        <w:ind w:firstLine="420"/>
        <w:rPr>
          <w:rFonts w:hAnsi="宋体" w:cs="Calibri"/>
          <w:bCs/>
          <w:sz w:val="22"/>
          <w:szCs w:val="22"/>
        </w:rPr>
      </w:pPr>
      <w:r>
        <w:rPr>
          <w:rFonts w:hint="eastAsia" w:hAnsi="宋体" w:cs="Calibri"/>
          <w:bCs/>
          <w:sz w:val="22"/>
          <w:szCs w:val="22"/>
        </w:rPr>
        <w:t>（2）为机场公司以外的第三人窃取、刺探、收买、非法提供商业秘密。</w:t>
      </w:r>
    </w:p>
    <w:p>
      <w:pPr>
        <w:pStyle w:val="19"/>
        <w:spacing w:line="276" w:lineRule="auto"/>
        <w:ind w:firstLine="420"/>
        <w:rPr>
          <w:rFonts w:hAnsi="宋体" w:cs="Calibri"/>
          <w:bCs/>
          <w:sz w:val="22"/>
          <w:szCs w:val="22"/>
        </w:rPr>
      </w:pPr>
      <w:r>
        <w:rPr>
          <w:rFonts w:hint="eastAsia" w:hAnsi="宋体" w:cs="Calibri"/>
          <w:bCs/>
          <w:sz w:val="22"/>
          <w:szCs w:val="22"/>
        </w:rPr>
        <w:t>（3）在电子公告系统、聊天系统、电子邮箱、论坛等计算机网络系统上传递、转发、抄送、发布、谈论和传播商业秘密；</w:t>
      </w:r>
    </w:p>
    <w:p>
      <w:pPr>
        <w:pStyle w:val="19"/>
        <w:spacing w:line="276" w:lineRule="auto"/>
        <w:ind w:firstLine="420"/>
        <w:rPr>
          <w:rFonts w:hAnsi="宋体" w:cs="Calibri"/>
          <w:bCs/>
          <w:sz w:val="22"/>
          <w:szCs w:val="22"/>
        </w:rPr>
      </w:pPr>
      <w:r>
        <w:rPr>
          <w:rFonts w:hint="eastAsia" w:hAnsi="宋体" w:cs="Calibri"/>
          <w:bCs/>
          <w:sz w:val="22"/>
          <w:szCs w:val="22"/>
        </w:rPr>
        <w:t xml:space="preserve">（4）在私人交往和通信中，向亲属、朋友以及与工作无关人员泄露商业秘密，或在公共场所谈论商业秘密； </w:t>
      </w:r>
    </w:p>
    <w:p>
      <w:pPr>
        <w:pStyle w:val="19"/>
        <w:spacing w:line="276" w:lineRule="auto"/>
        <w:ind w:firstLine="420"/>
        <w:rPr>
          <w:rFonts w:hAnsi="宋体" w:cs="Calibri"/>
          <w:bCs/>
          <w:sz w:val="22"/>
          <w:szCs w:val="22"/>
        </w:rPr>
      </w:pPr>
      <w:r>
        <w:rPr>
          <w:rFonts w:hint="eastAsia" w:hAnsi="宋体" w:cs="Calibri"/>
          <w:bCs/>
          <w:sz w:val="22"/>
          <w:szCs w:val="22"/>
        </w:rPr>
        <w:t>（5）擅自将属于商业秘密的文件、资料和其他物品携带、传递、寄运出机场公司办公场所或国（境）外。</w:t>
      </w:r>
    </w:p>
    <w:p>
      <w:pPr>
        <w:pStyle w:val="19"/>
        <w:spacing w:line="276" w:lineRule="auto"/>
        <w:ind w:firstLine="420"/>
        <w:rPr>
          <w:rFonts w:hAnsi="宋体" w:cs="Calibri"/>
          <w:bCs/>
          <w:sz w:val="22"/>
          <w:szCs w:val="22"/>
        </w:rPr>
      </w:pPr>
      <w:r>
        <w:rPr>
          <w:rFonts w:hint="eastAsia" w:hAnsi="宋体" w:cs="Calibri"/>
          <w:bCs/>
          <w:sz w:val="22"/>
          <w:szCs w:val="22"/>
        </w:rPr>
        <w:t>（6）未经机场公司同意就以任何方式私自保存、截留含有机场公司商业秘密的任何形式资料、文件和物品的复印件、复制品、副本。</w:t>
      </w:r>
    </w:p>
    <w:p>
      <w:pPr>
        <w:pStyle w:val="19"/>
        <w:spacing w:line="276" w:lineRule="auto"/>
        <w:ind w:firstLine="420"/>
        <w:rPr>
          <w:rFonts w:hAnsi="宋体" w:cs="Calibri"/>
          <w:bCs/>
          <w:sz w:val="22"/>
          <w:szCs w:val="22"/>
        </w:rPr>
      </w:pPr>
      <w:r>
        <w:rPr>
          <w:rFonts w:hint="eastAsia" w:hAnsi="宋体" w:cs="Calibri"/>
          <w:bCs/>
          <w:sz w:val="22"/>
          <w:szCs w:val="22"/>
        </w:rPr>
        <w:t>（7）将含有机场公司商业秘密的产品、技术或其他资料、信息向第三人销售、使用或以任何方式提供。</w:t>
      </w:r>
    </w:p>
    <w:p>
      <w:pPr>
        <w:pStyle w:val="19"/>
        <w:spacing w:line="276" w:lineRule="auto"/>
        <w:ind w:firstLine="420"/>
        <w:rPr>
          <w:rFonts w:hAnsi="宋体" w:cs="Calibri"/>
          <w:bCs/>
          <w:sz w:val="22"/>
          <w:szCs w:val="22"/>
        </w:rPr>
      </w:pPr>
    </w:p>
    <w:p>
      <w:pPr>
        <w:pStyle w:val="19"/>
        <w:spacing w:line="276" w:lineRule="auto"/>
        <w:ind w:firstLine="420"/>
        <w:rPr>
          <w:rFonts w:hAnsi="宋体" w:cs="Calibri"/>
          <w:bCs/>
          <w:sz w:val="22"/>
          <w:szCs w:val="22"/>
        </w:rPr>
      </w:pPr>
      <w:r>
        <w:rPr>
          <w:rFonts w:hint="eastAsia" w:hAnsi="宋体" w:cs="Calibri"/>
          <w:bCs/>
          <w:sz w:val="22"/>
          <w:szCs w:val="22"/>
        </w:rPr>
        <w:t>5、我方依法根据司法机关、侦查机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pPr>
        <w:pStyle w:val="19"/>
        <w:spacing w:line="276" w:lineRule="auto"/>
        <w:ind w:firstLine="420"/>
        <w:rPr>
          <w:rFonts w:hAnsi="宋体" w:cs="Calibri"/>
          <w:bCs/>
          <w:sz w:val="22"/>
          <w:szCs w:val="22"/>
        </w:rPr>
      </w:pPr>
    </w:p>
    <w:p>
      <w:pPr>
        <w:pStyle w:val="19"/>
        <w:spacing w:line="276" w:lineRule="auto"/>
        <w:ind w:firstLine="420"/>
        <w:rPr>
          <w:rFonts w:hAnsi="宋体" w:cs="Calibri"/>
          <w:bCs/>
          <w:sz w:val="22"/>
          <w:szCs w:val="22"/>
        </w:rPr>
      </w:pPr>
      <w:r>
        <w:rPr>
          <w:rFonts w:hint="eastAsia" w:hAnsi="宋体" w:cs="Calibri"/>
          <w:bCs/>
          <w:sz w:val="22"/>
          <w:szCs w:val="22"/>
        </w:rPr>
        <w:t>6、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pPr>
        <w:pStyle w:val="19"/>
        <w:spacing w:line="276" w:lineRule="auto"/>
        <w:ind w:firstLine="420"/>
        <w:rPr>
          <w:rFonts w:hAnsi="宋体" w:cs="Calibri"/>
          <w:bCs/>
          <w:sz w:val="22"/>
          <w:szCs w:val="22"/>
        </w:rPr>
      </w:pPr>
    </w:p>
    <w:p>
      <w:pPr>
        <w:pStyle w:val="19"/>
        <w:spacing w:line="276" w:lineRule="auto"/>
        <w:ind w:firstLine="420"/>
        <w:rPr>
          <w:rFonts w:hAnsi="宋体" w:cs="Calibri"/>
          <w:bCs/>
          <w:sz w:val="22"/>
          <w:szCs w:val="22"/>
        </w:rPr>
      </w:pPr>
      <w:r>
        <w:rPr>
          <w:rFonts w:hint="eastAsia" w:hAnsi="宋体" w:cs="Calibri"/>
          <w:bCs/>
          <w:sz w:val="22"/>
          <w:szCs w:val="22"/>
        </w:rPr>
        <w:t>7、我方已理解和承认，任何违反本承诺的对外泄露或擅自使用商业秘密，将对机场公司（包括机场公司关联公司）系统造成很难估计的、无法弥补的损害。该损失包括但不限于：（1）因我方侵权行为造成的机场公司利益减少，该等利益包括直接利益损失（指销量、利润减少及开发费用损失）与间接利益损失（指无形资产的价值减少）；（2）因我方侵权行为导致机场公司调查、维权等所花费的支出（包括但不限于差旅费、交通费、公证费、鉴定费、通讯费、律师费等）。</w:t>
      </w:r>
    </w:p>
    <w:p>
      <w:pPr>
        <w:pStyle w:val="19"/>
        <w:spacing w:line="276" w:lineRule="auto"/>
        <w:ind w:firstLine="420"/>
        <w:rPr>
          <w:rFonts w:hAnsi="宋体" w:cs="Calibri"/>
          <w:bCs/>
          <w:sz w:val="22"/>
          <w:szCs w:val="22"/>
        </w:rPr>
      </w:pPr>
    </w:p>
    <w:p>
      <w:pPr>
        <w:pStyle w:val="19"/>
        <w:spacing w:line="276" w:lineRule="auto"/>
        <w:ind w:firstLine="420"/>
        <w:rPr>
          <w:rFonts w:hAnsi="宋体" w:cs="Calibri"/>
          <w:bCs/>
          <w:sz w:val="22"/>
          <w:szCs w:val="22"/>
        </w:rPr>
      </w:pPr>
      <w:r>
        <w:rPr>
          <w:rFonts w:hint="eastAsia" w:hAnsi="宋体" w:cs="Calibri"/>
          <w:bCs/>
          <w:sz w:val="22"/>
          <w:szCs w:val="22"/>
        </w:rPr>
        <w:t>8、违约责任</w:t>
      </w:r>
    </w:p>
    <w:p>
      <w:pPr>
        <w:pStyle w:val="19"/>
        <w:spacing w:line="276" w:lineRule="auto"/>
        <w:ind w:firstLine="420"/>
        <w:rPr>
          <w:rFonts w:hAnsi="宋体" w:cs="Calibri"/>
          <w:bCs/>
          <w:sz w:val="22"/>
          <w:szCs w:val="22"/>
        </w:rPr>
      </w:pPr>
      <w:r>
        <w:rPr>
          <w:rFonts w:hint="eastAsia" w:hAnsi="宋体" w:cs="Calibri"/>
          <w:bCs/>
          <w:sz w:val="22"/>
          <w:szCs w:val="22"/>
        </w:rPr>
        <w:t>8.1因我方违反保密义务的行为造成机场公司的一切损失，我方应当全部予以赔偿。</w:t>
      </w:r>
    </w:p>
    <w:p>
      <w:pPr>
        <w:pStyle w:val="19"/>
        <w:spacing w:line="276" w:lineRule="auto"/>
        <w:ind w:firstLine="420"/>
        <w:rPr>
          <w:rFonts w:hAnsi="宋体" w:cs="Calibri"/>
          <w:bCs/>
          <w:sz w:val="22"/>
          <w:szCs w:val="22"/>
        </w:rPr>
      </w:pPr>
      <w:r>
        <w:rPr>
          <w:rFonts w:hint="eastAsia" w:hAnsi="宋体" w:cs="Calibri"/>
          <w:bCs/>
          <w:sz w:val="22"/>
          <w:szCs w:val="22"/>
        </w:rPr>
        <w:t>8.2如我方违反本承诺书下保密义务，应当承担违约责任，除赔偿损失外，还应依据合同向机场公司支付相应的违约金；</w:t>
      </w:r>
    </w:p>
    <w:p>
      <w:pPr>
        <w:pStyle w:val="19"/>
        <w:spacing w:line="276" w:lineRule="auto"/>
        <w:ind w:firstLine="420"/>
        <w:rPr>
          <w:rFonts w:hAnsi="宋体" w:cs="Calibri"/>
          <w:bCs/>
          <w:sz w:val="22"/>
          <w:szCs w:val="22"/>
        </w:rPr>
      </w:pPr>
      <w:r>
        <w:rPr>
          <w:rFonts w:hint="eastAsia" w:hAnsi="宋体" w:cs="Calibri"/>
          <w:bCs/>
          <w:sz w:val="22"/>
          <w:szCs w:val="22"/>
        </w:rPr>
        <w:t>9、本承诺书适用中华人民共和国法律，如因履行本承诺书发生争议，则双方均有权向机场公司所在地法院提起诉讼。</w:t>
      </w:r>
    </w:p>
    <w:p>
      <w:pPr>
        <w:pStyle w:val="19"/>
        <w:spacing w:line="276" w:lineRule="auto"/>
        <w:ind w:firstLine="3960" w:firstLineChars="1800"/>
        <w:rPr>
          <w:rFonts w:hAnsi="宋体" w:cs="Calibri"/>
          <w:bCs/>
          <w:sz w:val="22"/>
          <w:szCs w:val="22"/>
        </w:rPr>
      </w:pPr>
      <w:r>
        <w:rPr>
          <w:rFonts w:hint="eastAsia" w:hAnsi="宋体" w:cs="Calibri"/>
          <w:bCs/>
          <w:sz w:val="22"/>
          <w:szCs w:val="22"/>
        </w:rPr>
        <w:t>供应商(盖章):</w:t>
      </w:r>
    </w:p>
    <w:p>
      <w:pPr>
        <w:pStyle w:val="19"/>
        <w:spacing w:line="276" w:lineRule="auto"/>
        <w:ind w:firstLine="3960" w:firstLineChars="1800"/>
        <w:rPr>
          <w:rFonts w:hAnsi="宋体" w:cs="Calibri"/>
          <w:bCs/>
          <w:sz w:val="22"/>
          <w:szCs w:val="22"/>
        </w:rPr>
      </w:pPr>
      <w:r>
        <w:rPr>
          <w:rFonts w:hint="eastAsia" w:hAnsi="宋体" w:cs="Calibri"/>
          <w:bCs/>
          <w:sz w:val="22"/>
          <w:szCs w:val="22"/>
        </w:rPr>
        <w:t>法定代表人或授权代表：</w:t>
      </w:r>
    </w:p>
    <w:p>
      <w:pPr>
        <w:pStyle w:val="19"/>
        <w:spacing w:line="276" w:lineRule="auto"/>
        <w:ind w:firstLine="3960" w:firstLineChars="1800"/>
        <w:rPr>
          <w:rFonts w:hAnsi="宋体" w:cs="Calibri"/>
          <w:bCs/>
          <w:sz w:val="22"/>
          <w:szCs w:val="22"/>
        </w:rPr>
      </w:pPr>
      <w:r>
        <w:rPr>
          <w:rFonts w:hint="eastAsia" w:hAnsi="宋体" w:cs="Calibri"/>
          <w:bCs/>
          <w:sz w:val="22"/>
          <w:szCs w:val="22"/>
        </w:rPr>
        <w:t>电话/传真：</w:t>
      </w:r>
    </w:p>
    <w:p>
      <w:pPr>
        <w:pStyle w:val="19"/>
        <w:spacing w:line="276" w:lineRule="auto"/>
        <w:ind w:firstLine="3960" w:firstLineChars="1800"/>
        <w:rPr>
          <w:rFonts w:hAnsi="宋体" w:cs="Calibri"/>
          <w:bCs/>
          <w:sz w:val="22"/>
          <w:szCs w:val="22"/>
        </w:rPr>
      </w:pPr>
      <w:r>
        <w:rPr>
          <w:rFonts w:hint="eastAsia" w:hAnsi="宋体" w:cs="Calibri"/>
          <w:bCs/>
          <w:sz w:val="22"/>
          <w:szCs w:val="22"/>
        </w:rPr>
        <w:t>地址：</w:t>
      </w:r>
    </w:p>
    <w:p>
      <w:pPr>
        <w:pStyle w:val="19"/>
        <w:spacing w:line="276" w:lineRule="auto"/>
        <w:ind w:firstLine="3960" w:firstLineChars="1800"/>
        <w:rPr>
          <w:rFonts w:hAnsi="宋体" w:cs="Calibri"/>
          <w:bCs/>
          <w:sz w:val="22"/>
          <w:szCs w:val="22"/>
        </w:rPr>
      </w:pPr>
      <w:r>
        <w:rPr>
          <w:rFonts w:hint="eastAsia" w:hAnsi="宋体" w:cs="Calibri"/>
          <w:bCs/>
          <w:sz w:val="22"/>
          <w:szCs w:val="22"/>
        </w:rPr>
        <w:t>日期：     年   月   日</w:t>
      </w:r>
    </w:p>
    <w:p>
      <w:pPr>
        <w:pStyle w:val="19"/>
        <w:spacing w:line="360" w:lineRule="exact"/>
        <w:rPr>
          <w:rFonts w:hAnsi="宋体" w:cs="Calibri"/>
          <w:bCs/>
          <w:sz w:val="22"/>
          <w:szCs w:val="22"/>
        </w:rPr>
      </w:pPr>
    </w:p>
    <w:p>
      <w:pPr>
        <w:pStyle w:val="19"/>
        <w:spacing w:line="360" w:lineRule="exact"/>
        <w:rPr>
          <w:rFonts w:hAnsi="宋体" w:cs="Calibri"/>
          <w:bCs/>
          <w:sz w:val="22"/>
          <w:szCs w:val="22"/>
        </w:rPr>
      </w:pPr>
      <w:r>
        <w:br w:type="page"/>
      </w:r>
      <w:r>
        <w:rPr>
          <w:rFonts w:hint="eastAsia" w:hAnsi="宋体" w:cs="Calibri"/>
          <w:bCs/>
          <w:sz w:val="22"/>
          <w:szCs w:val="22"/>
        </w:rPr>
        <w:t>附件</w:t>
      </w:r>
      <w:r>
        <w:rPr>
          <w:rFonts w:hAnsi="宋体" w:cs="Calibri"/>
          <w:bCs/>
          <w:sz w:val="22"/>
          <w:szCs w:val="22"/>
        </w:rPr>
        <w:t>3</w:t>
      </w:r>
      <w:r>
        <w:rPr>
          <w:rFonts w:hint="eastAsia" w:hAnsi="宋体" w:cs="Calibri"/>
          <w:bCs/>
          <w:sz w:val="22"/>
          <w:szCs w:val="22"/>
        </w:rPr>
        <w:t>：安全文明施工协议书</w:t>
      </w:r>
    </w:p>
    <w:p>
      <w:pPr>
        <w:tabs>
          <w:tab w:val="left" w:pos="540"/>
        </w:tabs>
        <w:topLinePunct/>
        <w:ind w:firstLine="723"/>
        <w:jc w:val="center"/>
        <w:rPr>
          <w:rFonts w:ascii="宋体" w:hAnsi="宋体" w:cs="宋体"/>
          <w:b/>
          <w:sz w:val="36"/>
        </w:rPr>
      </w:pPr>
      <w:r>
        <w:rPr>
          <w:rFonts w:hint="eastAsia" w:ascii="宋体" w:hAnsi="宋体" w:cs="宋体"/>
          <w:b/>
          <w:sz w:val="36"/>
        </w:rPr>
        <w:t>安全文明施工协议书</w:t>
      </w:r>
    </w:p>
    <w:p>
      <w:pPr>
        <w:spacing w:line="360" w:lineRule="exact"/>
        <w:rPr>
          <w:rFonts w:ascii="宋体" w:hAnsi="宋体"/>
          <w:b/>
          <w:sz w:val="22"/>
        </w:rPr>
      </w:pPr>
      <w:r>
        <w:rPr>
          <w:rFonts w:hint="eastAsia" w:ascii="宋体" w:hAnsi="宋体"/>
          <w:b/>
          <w:sz w:val="22"/>
        </w:rPr>
        <w:t>发包人（甲方）：</w:t>
      </w:r>
      <w:r>
        <w:rPr>
          <w:rFonts w:hint="eastAsia" w:ascii="宋体" w:hAnsi="宋体"/>
          <w:b/>
          <w:sz w:val="22"/>
          <w:u w:val="single"/>
        </w:rPr>
        <w:t>杭州萧山国际机场有限公司</w:t>
      </w:r>
    </w:p>
    <w:p>
      <w:pPr>
        <w:spacing w:line="360" w:lineRule="exact"/>
        <w:rPr>
          <w:rFonts w:ascii="宋体" w:hAnsi="宋体"/>
          <w:b/>
          <w:sz w:val="22"/>
          <w:u w:val="single"/>
        </w:rPr>
      </w:pPr>
      <w:r>
        <w:rPr>
          <w:rFonts w:hint="eastAsia" w:ascii="宋体" w:hAnsi="宋体"/>
          <w:b/>
          <w:sz w:val="22"/>
        </w:rPr>
        <w:t>承包人（乙方）：</w:t>
      </w:r>
      <w:r>
        <w:rPr>
          <w:rFonts w:ascii="宋体" w:hAnsi="宋体" w:cs="Calibri"/>
          <w:b/>
          <w:sz w:val="22"/>
          <w:u w:val="single"/>
        </w:rPr>
        <w:t xml:space="preserve"> </w:t>
      </w:r>
      <w:r>
        <w:rPr>
          <w:rFonts w:hint="eastAsia" w:ascii="宋体" w:hAnsi="宋体" w:cs="Calibri"/>
          <w:b/>
          <w:sz w:val="22"/>
          <w:u w:val="single"/>
        </w:rPr>
        <w:t xml:space="preserve"> </w:t>
      </w:r>
      <w:r>
        <w:rPr>
          <w:rFonts w:ascii="宋体" w:hAnsi="宋体" w:cs="Calibri"/>
          <w:b/>
          <w:sz w:val="22"/>
          <w:u w:val="single"/>
        </w:rPr>
        <w:t xml:space="preserve">                  </w:t>
      </w:r>
    </w:p>
    <w:p>
      <w:pPr>
        <w:spacing w:line="360" w:lineRule="exact"/>
        <w:ind w:firstLine="440" w:firstLineChars="200"/>
        <w:rPr>
          <w:rFonts w:ascii="宋体" w:hAnsi="宋体"/>
          <w:sz w:val="22"/>
        </w:rPr>
      </w:pPr>
      <w:r>
        <w:rPr>
          <w:rFonts w:ascii="宋体" w:hAnsi="宋体"/>
          <w:sz w:val="22"/>
        </w:rPr>
        <w:t>为确保</w:t>
      </w:r>
      <w:r>
        <w:rPr>
          <w:rFonts w:hint="eastAsia" w:ascii="宋体" w:hAnsi="宋体"/>
          <w:b/>
          <w:sz w:val="22"/>
          <w:u w:val="single"/>
        </w:rPr>
        <w:t xml:space="preserve">杭州萧山国际机场 </w:t>
      </w:r>
      <w:r>
        <w:rPr>
          <w:rFonts w:ascii="宋体" w:hAnsi="宋体"/>
          <w:b/>
          <w:sz w:val="22"/>
          <w:u w:val="single"/>
        </w:rPr>
        <w:t xml:space="preserve">                    </w:t>
      </w:r>
      <w:r>
        <w:rPr>
          <w:rFonts w:ascii="宋体" w:hAnsi="宋体"/>
          <w:sz w:val="22"/>
        </w:rPr>
        <w:t xml:space="preserve">的顺利实施，保障机场安全、有序运行，保证工程质量和施工安全，保护国家财产和施工人员的安全与健康，维护甲乙双方的合法利益，明确双方责任，保持良好的施工、生活秩序和饮食、环境卫生。根据国家现行的有关法律、法规和安全生产规范、规程及标准，经双方协商，签订本《安全文明施工协议书》。 </w:t>
      </w:r>
    </w:p>
    <w:p>
      <w:pPr>
        <w:spacing w:line="360" w:lineRule="exact"/>
        <w:ind w:firstLine="440" w:firstLineChars="200"/>
        <w:rPr>
          <w:rFonts w:ascii="宋体" w:hAnsi="宋体"/>
          <w:bCs/>
          <w:sz w:val="22"/>
        </w:rPr>
      </w:pPr>
      <w:r>
        <w:rPr>
          <w:rFonts w:ascii="宋体" w:hAnsi="宋体"/>
          <w:b/>
          <w:sz w:val="22"/>
        </w:rPr>
        <w:t>一、甲方对乙方实行安全目标管理，安全目标的具体内容是</w:t>
      </w:r>
      <w:r>
        <w:rPr>
          <w:rFonts w:ascii="宋体" w:hAnsi="宋体"/>
          <w:sz w:val="22"/>
        </w:rPr>
        <w:t>：</w:t>
      </w:r>
    </w:p>
    <w:p>
      <w:pPr>
        <w:spacing w:line="360" w:lineRule="exact"/>
        <w:ind w:firstLine="440" w:firstLineChars="200"/>
        <w:rPr>
          <w:rFonts w:ascii="宋体" w:hAnsi="宋体"/>
          <w:sz w:val="22"/>
        </w:rPr>
      </w:pPr>
      <w:r>
        <w:rPr>
          <w:rFonts w:ascii="宋体" w:hAnsi="宋体"/>
          <w:sz w:val="22"/>
        </w:rPr>
        <w:t>1、无死亡事故和重大伤害事故(含道路交通事故)。</w:t>
      </w:r>
    </w:p>
    <w:p>
      <w:pPr>
        <w:spacing w:line="360" w:lineRule="exact"/>
        <w:ind w:firstLine="440" w:firstLineChars="200"/>
        <w:rPr>
          <w:rFonts w:ascii="宋体" w:hAnsi="宋体"/>
          <w:sz w:val="22"/>
        </w:rPr>
      </w:pPr>
      <w:r>
        <w:rPr>
          <w:rFonts w:ascii="宋体" w:hAnsi="宋体"/>
          <w:sz w:val="22"/>
        </w:rPr>
        <w:t>2、无重大责任事故。</w:t>
      </w:r>
    </w:p>
    <w:p>
      <w:pPr>
        <w:spacing w:line="360" w:lineRule="exact"/>
        <w:ind w:firstLine="440" w:firstLineChars="200"/>
        <w:rPr>
          <w:rFonts w:ascii="宋体" w:hAnsi="宋体"/>
          <w:sz w:val="22"/>
        </w:rPr>
      </w:pPr>
      <w:r>
        <w:rPr>
          <w:rFonts w:ascii="宋体" w:hAnsi="宋体"/>
          <w:sz w:val="22"/>
        </w:rPr>
        <w:t>3、无空防安全事故。</w:t>
      </w:r>
    </w:p>
    <w:p>
      <w:pPr>
        <w:spacing w:line="360" w:lineRule="exact"/>
        <w:ind w:firstLine="440" w:firstLineChars="200"/>
        <w:rPr>
          <w:rFonts w:ascii="宋体" w:hAnsi="宋体"/>
          <w:sz w:val="22"/>
        </w:rPr>
      </w:pPr>
      <w:r>
        <w:rPr>
          <w:rFonts w:ascii="宋体" w:hAnsi="宋体"/>
          <w:sz w:val="22"/>
        </w:rPr>
        <w:t>4、无七类重大刑事案件(杀人、绑架、强奸、放火、爆炸、劫持、故意伤害致死)及其它严重、恶性案件。</w:t>
      </w:r>
    </w:p>
    <w:p>
      <w:pPr>
        <w:spacing w:line="360" w:lineRule="exact"/>
        <w:ind w:firstLine="440" w:firstLineChars="200"/>
        <w:rPr>
          <w:rFonts w:ascii="宋体" w:hAnsi="宋体"/>
          <w:sz w:val="22"/>
        </w:rPr>
      </w:pPr>
      <w:r>
        <w:rPr>
          <w:rFonts w:ascii="宋体" w:hAnsi="宋体"/>
          <w:sz w:val="22"/>
        </w:rPr>
        <w:t>上述情况的认定按国家和行业的有关规定和标准执行。</w:t>
      </w:r>
    </w:p>
    <w:p>
      <w:pPr>
        <w:spacing w:line="360" w:lineRule="exact"/>
        <w:ind w:firstLine="440" w:firstLineChars="200"/>
        <w:rPr>
          <w:rFonts w:ascii="宋体" w:hAnsi="宋体"/>
          <w:b/>
          <w:sz w:val="22"/>
        </w:rPr>
      </w:pPr>
      <w:r>
        <w:rPr>
          <w:rFonts w:ascii="宋体" w:hAnsi="宋体"/>
          <w:b/>
          <w:sz w:val="22"/>
        </w:rPr>
        <w:t>二、甲方的协助责任和权利</w:t>
      </w:r>
    </w:p>
    <w:p>
      <w:pPr>
        <w:spacing w:line="360" w:lineRule="exact"/>
        <w:ind w:firstLine="440" w:firstLineChars="200"/>
        <w:rPr>
          <w:rFonts w:ascii="宋体" w:hAnsi="宋体"/>
          <w:sz w:val="22"/>
        </w:rPr>
      </w:pPr>
      <w:r>
        <w:rPr>
          <w:rFonts w:ascii="宋体" w:hAnsi="宋体"/>
          <w:sz w:val="22"/>
        </w:rPr>
        <w:t xml:space="preserve">5、不得对乙方提出违反国家法律、法规和强制性标准规定的要求。 </w:t>
      </w:r>
    </w:p>
    <w:p>
      <w:pPr>
        <w:spacing w:line="360" w:lineRule="exact"/>
        <w:ind w:firstLine="440" w:firstLineChars="200"/>
        <w:rPr>
          <w:rFonts w:ascii="宋体" w:hAnsi="宋体"/>
          <w:sz w:val="22"/>
        </w:rPr>
      </w:pPr>
      <w:r>
        <w:rPr>
          <w:rFonts w:ascii="宋体" w:hAnsi="宋体"/>
          <w:sz w:val="22"/>
        </w:rPr>
        <w:t xml:space="preserve">6、不得要求乙方购买、租赁、使用不符合安全施工要求的安全防护用具、机械设备、施工机具及配件、消防设施和器材等。 </w:t>
      </w:r>
    </w:p>
    <w:p>
      <w:pPr>
        <w:spacing w:line="360" w:lineRule="exact"/>
        <w:ind w:firstLine="440" w:firstLineChars="200"/>
        <w:rPr>
          <w:rFonts w:ascii="宋体" w:hAnsi="宋体"/>
          <w:sz w:val="22"/>
        </w:rPr>
      </w:pPr>
      <w:r>
        <w:rPr>
          <w:rFonts w:ascii="宋体" w:hAnsi="宋体"/>
          <w:sz w:val="22"/>
        </w:rPr>
        <w:t>7、由于民航行业的特殊性和空防安全的重要性，甲方对进出飞行区施工的人员和车辆实行通行证管理制度。为此，乙方成员必须参加甲方组织的专门安全教育培训和考试（主要是机场飞行、空防、不停航施工等安全方面知识）；同时甲方应协助乙方对全体施工人员进行安全教育培训和考核，并协助乙方办理相关人员和车辆的施工通行证。</w:t>
      </w:r>
    </w:p>
    <w:p>
      <w:pPr>
        <w:spacing w:line="360" w:lineRule="exact"/>
        <w:ind w:firstLine="440" w:firstLineChars="200"/>
        <w:rPr>
          <w:rFonts w:ascii="宋体" w:hAnsi="宋体"/>
          <w:sz w:val="22"/>
        </w:rPr>
      </w:pPr>
      <w:r>
        <w:rPr>
          <w:rFonts w:ascii="宋体" w:hAnsi="宋体"/>
          <w:sz w:val="22"/>
        </w:rPr>
        <w:t>8、联系和协调机场公安机关，督促施工单位按有关规定申报暂住登记和申领《暂住证》，并协助乙方联系机场公安局商定有关飞行区安全保卫事宜。</w:t>
      </w:r>
    </w:p>
    <w:p>
      <w:pPr>
        <w:spacing w:line="360" w:lineRule="exact"/>
        <w:ind w:firstLine="440" w:firstLineChars="200"/>
        <w:rPr>
          <w:rFonts w:ascii="宋体" w:hAnsi="宋体"/>
          <w:sz w:val="22"/>
        </w:rPr>
      </w:pPr>
      <w:r>
        <w:rPr>
          <w:rFonts w:ascii="宋体" w:hAnsi="宋体"/>
          <w:sz w:val="22"/>
        </w:rPr>
        <w:t>9、利用施工例会定期分析和掌握施工单位的治安情况，通报当前治安形势，交流工作经验，协助处理相关问题。</w:t>
      </w:r>
    </w:p>
    <w:p>
      <w:pPr>
        <w:spacing w:line="360" w:lineRule="exact"/>
        <w:ind w:firstLine="440" w:firstLineChars="200"/>
        <w:rPr>
          <w:rFonts w:ascii="宋体" w:hAnsi="宋体"/>
          <w:sz w:val="22"/>
        </w:rPr>
      </w:pPr>
      <w:r>
        <w:rPr>
          <w:rFonts w:ascii="宋体" w:hAnsi="宋体"/>
          <w:sz w:val="22"/>
        </w:rPr>
        <w:t>10、乙方拒不按照本协议条款规定组织安全文明施工的，甲方有权责令乙方停工整改直至终止合同。</w:t>
      </w:r>
    </w:p>
    <w:p>
      <w:pPr>
        <w:spacing w:line="360" w:lineRule="exact"/>
        <w:ind w:firstLine="440" w:firstLineChars="200"/>
        <w:rPr>
          <w:rFonts w:ascii="宋体" w:hAnsi="宋体"/>
          <w:sz w:val="22"/>
        </w:rPr>
      </w:pPr>
      <w:r>
        <w:rPr>
          <w:rFonts w:ascii="宋体" w:hAnsi="宋体"/>
          <w:sz w:val="22"/>
        </w:rPr>
        <w:t>11、甲方有权对乙方各项安全工作进行监督、检查。</w:t>
      </w:r>
    </w:p>
    <w:p>
      <w:pPr>
        <w:spacing w:line="360" w:lineRule="exact"/>
        <w:ind w:firstLine="440" w:firstLineChars="200"/>
        <w:rPr>
          <w:rFonts w:ascii="宋体" w:hAnsi="宋体"/>
          <w:sz w:val="22"/>
        </w:rPr>
      </w:pPr>
      <w:r>
        <w:rPr>
          <w:rFonts w:ascii="宋体" w:hAnsi="宋体"/>
          <w:sz w:val="22"/>
        </w:rPr>
        <w:t>12、对乙方因违反民航总局第191号令《民用机场运行安全管理规定》而发生不安全事件，甲方有权按照相关处罚条例对乙方予以处罚，造成严重后果或损失重大的，甲方有权将乙方清退出场并追偿由此而造成的损失。</w:t>
      </w:r>
    </w:p>
    <w:p>
      <w:pPr>
        <w:spacing w:line="360" w:lineRule="exact"/>
        <w:ind w:firstLine="440" w:firstLineChars="200"/>
        <w:rPr>
          <w:rFonts w:ascii="宋体" w:hAnsi="宋体"/>
          <w:b/>
          <w:sz w:val="22"/>
        </w:rPr>
      </w:pPr>
      <w:r>
        <w:rPr>
          <w:rFonts w:ascii="宋体" w:hAnsi="宋体"/>
          <w:b/>
          <w:sz w:val="22"/>
        </w:rPr>
        <w:t>三、乙方的安全责任和权利</w:t>
      </w:r>
    </w:p>
    <w:p>
      <w:pPr>
        <w:spacing w:line="360" w:lineRule="exact"/>
        <w:ind w:firstLine="440" w:firstLineChars="200"/>
        <w:rPr>
          <w:rFonts w:ascii="宋体" w:hAnsi="宋体"/>
          <w:sz w:val="22"/>
        </w:rPr>
      </w:pPr>
      <w:r>
        <w:rPr>
          <w:rFonts w:ascii="宋体" w:hAnsi="宋体"/>
          <w:sz w:val="22"/>
        </w:rPr>
        <w:t>（一）乙方应从事的施工安全管理</w:t>
      </w:r>
    </w:p>
    <w:p>
      <w:pPr>
        <w:spacing w:line="360" w:lineRule="exact"/>
        <w:ind w:firstLine="440" w:firstLineChars="200"/>
        <w:rPr>
          <w:rFonts w:ascii="宋体" w:hAnsi="宋体"/>
          <w:sz w:val="22"/>
        </w:rPr>
      </w:pPr>
      <w:r>
        <w:rPr>
          <w:rFonts w:ascii="宋体" w:hAnsi="宋体"/>
          <w:sz w:val="22"/>
        </w:rPr>
        <w:t xml:space="preserve">13、遵守《中华人民共和国安全生产法》、《建设工程安全管理条例》以及其他安全生产的法律、法规，遵守民航航空安全、空防管理的法律、法规，遵守机场有关安全管理的规章制度。 </w:t>
      </w:r>
    </w:p>
    <w:p>
      <w:pPr>
        <w:spacing w:line="360" w:lineRule="exact"/>
        <w:ind w:firstLine="440" w:firstLineChars="200"/>
        <w:rPr>
          <w:rFonts w:ascii="宋体" w:hAnsi="宋体"/>
          <w:sz w:val="22"/>
        </w:rPr>
      </w:pPr>
      <w:r>
        <w:rPr>
          <w:rFonts w:ascii="宋体" w:hAnsi="宋体"/>
          <w:sz w:val="22"/>
        </w:rPr>
        <w:t>14、对工程项目的施工安全负全责，根据工程特点制定安全施工措施，消除安全事故隐患，确保工程质量和安全。制定并完善各类突发事件的应急预案，一旦发生安全事故应及时、如实报告和积极应对。对工程依法实行总分包制，总包单位对施工安全负总责，并以安全责任书的方式确定各分包单位的安全责任。</w:t>
      </w:r>
    </w:p>
    <w:p>
      <w:pPr>
        <w:spacing w:line="360" w:lineRule="exact"/>
        <w:ind w:firstLine="440" w:firstLineChars="200"/>
        <w:rPr>
          <w:rFonts w:ascii="宋体" w:hAnsi="宋体"/>
          <w:sz w:val="22"/>
        </w:rPr>
      </w:pPr>
      <w:r>
        <w:rPr>
          <w:rFonts w:ascii="宋体" w:hAnsi="宋体"/>
          <w:sz w:val="22"/>
        </w:rPr>
        <w:t>15、工程开工前，应完成安全生产规章制度和操作规程等相应规章的制定工作；成立由项目经理为责任人的有效的安全保障网络；指定项目部专职安全员、班组安全员，并接受甲方的培训和考核，合格后方可上岗；对其他施工人员必须进行安全生产教育培训；保证安全生产条件所需资金的投入。开工后应对工程施工安全进行日常、定期和专项的检查，及时发现和消除安全隐患并做好记录。</w:t>
      </w:r>
    </w:p>
    <w:p>
      <w:pPr>
        <w:spacing w:line="360" w:lineRule="exact"/>
        <w:ind w:firstLine="440" w:firstLineChars="200"/>
        <w:rPr>
          <w:rFonts w:ascii="宋体" w:hAnsi="宋体"/>
          <w:sz w:val="22"/>
        </w:rPr>
      </w:pPr>
      <w:r>
        <w:rPr>
          <w:rFonts w:ascii="宋体" w:hAnsi="宋体"/>
          <w:sz w:val="22"/>
        </w:rPr>
        <w:t xml:space="preserve">16、对安全作业环境建设及安全施工措施制定、实行所需的费用，应当列入建设工程预算，专款专用，不得挪作他用。 </w:t>
      </w:r>
    </w:p>
    <w:p>
      <w:pPr>
        <w:spacing w:line="360" w:lineRule="exact"/>
        <w:ind w:firstLine="440" w:firstLineChars="200"/>
        <w:rPr>
          <w:rFonts w:ascii="宋体" w:hAnsi="宋体"/>
          <w:sz w:val="22"/>
        </w:rPr>
      </w:pPr>
      <w:r>
        <w:rPr>
          <w:rFonts w:ascii="宋体" w:hAnsi="宋体"/>
          <w:sz w:val="22"/>
        </w:rPr>
        <w:t>17、垂直运输作业人员、安装拆卸工、电工、焊接和切割工、爆破作业人员、消防工程从业人员、起重信号工、登高作业人员等特种行业从业人员，必须按照国家有关规定经过专门的作业培训，并取得相应操作资格后方可上岗作业,并严格遵守相关的操作规章规程。</w:t>
      </w:r>
    </w:p>
    <w:p>
      <w:pPr>
        <w:spacing w:line="360" w:lineRule="exact"/>
        <w:ind w:firstLine="440" w:firstLineChars="200"/>
        <w:rPr>
          <w:rFonts w:ascii="宋体" w:hAnsi="宋体"/>
          <w:sz w:val="22"/>
        </w:rPr>
      </w:pPr>
      <w:r>
        <w:rPr>
          <w:rFonts w:ascii="宋体" w:hAnsi="宋体"/>
          <w:sz w:val="22"/>
        </w:rPr>
        <w:t>18、在施工组织设计中应当制定安全技术措施和施工现场临时用电方案，对危险性较大的部分分项工程应当制定专项施工方案，并附安全验算计算书，经乙方技术负责人、总监理工程师阅览签字后实施，由专职安全生产管理人员进行现场监督。</w:t>
      </w:r>
    </w:p>
    <w:p>
      <w:pPr>
        <w:spacing w:line="360" w:lineRule="exact"/>
        <w:ind w:firstLine="440" w:firstLineChars="200"/>
        <w:rPr>
          <w:rFonts w:ascii="宋体" w:hAnsi="宋体"/>
          <w:sz w:val="22"/>
        </w:rPr>
      </w:pPr>
      <w:r>
        <w:rPr>
          <w:rFonts w:ascii="宋体" w:hAnsi="宋体"/>
          <w:sz w:val="22"/>
        </w:rPr>
        <w:t xml:space="preserve">19、在施工前，负责项目管理的技术人员应当对有关安全施工的技术要求向作业班组、作业人员做出书面交底，并由双方确认签字。 </w:t>
      </w:r>
    </w:p>
    <w:p>
      <w:pPr>
        <w:spacing w:line="360" w:lineRule="exact"/>
        <w:ind w:firstLine="440" w:firstLineChars="200"/>
        <w:rPr>
          <w:rFonts w:ascii="宋体" w:hAnsi="宋体"/>
          <w:sz w:val="22"/>
        </w:rPr>
      </w:pPr>
      <w:r>
        <w:rPr>
          <w:rFonts w:ascii="宋体" w:hAnsi="宋体"/>
          <w:sz w:val="22"/>
        </w:rPr>
        <w:t xml:space="preserve">20、应根据不同的施工阶段和环境及季节、气候的变化，在施工现场采取相应的安全防护措施；施工现场暂时停止施工的，乙方要做好现场防护工作，所需费用由乙方承担（合同有约定的除外）。 </w:t>
      </w:r>
    </w:p>
    <w:p>
      <w:pPr>
        <w:spacing w:line="360" w:lineRule="exact"/>
        <w:ind w:firstLine="440" w:firstLineChars="200"/>
        <w:rPr>
          <w:rFonts w:ascii="宋体" w:hAnsi="宋体"/>
          <w:sz w:val="22"/>
        </w:rPr>
      </w:pPr>
      <w:r>
        <w:rPr>
          <w:rFonts w:ascii="宋体" w:hAnsi="宋体"/>
          <w:sz w:val="22"/>
        </w:rPr>
        <w:t xml:space="preserve">21、应当向作业人员提供安全防护用具和安全防护服装，并书面告知危险岗位的操作规程以及违章操作所产生的危害。 </w:t>
      </w:r>
    </w:p>
    <w:p>
      <w:pPr>
        <w:spacing w:line="360" w:lineRule="exact"/>
        <w:ind w:firstLine="440" w:firstLineChars="200"/>
        <w:rPr>
          <w:rFonts w:ascii="宋体" w:hAnsi="宋体"/>
          <w:sz w:val="22"/>
        </w:rPr>
      </w:pPr>
      <w:r>
        <w:rPr>
          <w:rFonts w:ascii="宋体" w:hAnsi="宋体"/>
          <w:sz w:val="22"/>
        </w:rPr>
        <w:t xml:space="preserve">22、采购、租赁的安全防护用具、机械设备、施工机具及配件，应当具有生产许可证、产品合格证，并在进入施工现场前进行查验。 </w:t>
      </w:r>
    </w:p>
    <w:p>
      <w:pPr>
        <w:spacing w:line="360" w:lineRule="exact"/>
        <w:ind w:firstLine="440" w:firstLineChars="200"/>
        <w:rPr>
          <w:rFonts w:ascii="宋体" w:hAnsi="宋体"/>
          <w:sz w:val="22"/>
        </w:rPr>
      </w:pPr>
      <w:r>
        <w:rPr>
          <w:rFonts w:ascii="宋体" w:hAnsi="宋体"/>
          <w:sz w:val="22"/>
        </w:rPr>
        <w:t xml:space="preserve">23、施工现场的安全防护用具、机械设备、施工机具及配件必须由专人管理，并定期检查、维修和保养，建立相应的资料档案，并按照国家规定及时报废。 </w:t>
      </w:r>
    </w:p>
    <w:p>
      <w:pPr>
        <w:spacing w:line="360" w:lineRule="exact"/>
        <w:ind w:firstLine="440" w:firstLineChars="200"/>
        <w:rPr>
          <w:rFonts w:ascii="宋体" w:hAnsi="宋体"/>
          <w:sz w:val="22"/>
        </w:rPr>
      </w:pPr>
      <w:r>
        <w:rPr>
          <w:rFonts w:ascii="宋体" w:hAnsi="宋体"/>
          <w:sz w:val="22"/>
        </w:rPr>
        <w:t xml:space="preserve">24、在采用新技术、新工艺、新设备、新材料时，应当对作业人员进行相应的安全生产教育培训。 </w:t>
      </w:r>
    </w:p>
    <w:p>
      <w:pPr>
        <w:spacing w:line="360" w:lineRule="exact"/>
        <w:ind w:firstLine="440" w:firstLineChars="200"/>
        <w:rPr>
          <w:rFonts w:ascii="宋体" w:hAnsi="宋体"/>
          <w:sz w:val="22"/>
        </w:rPr>
      </w:pPr>
      <w:r>
        <w:rPr>
          <w:rFonts w:ascii="宋体" w:hAnsi="宋体"/>
          <w:sz w:val="22"/>
        </w:rPr>
        <w:t xml:space="preserve">25、应当为施工现场从事危险作业的人员办理意外伤害保险，并支付意外伤害保险费。意外伤害保险期自建设工程开工之日起至竣工验收合格止。 </w:t>
      </w:r>
    </w:p>
    <w:p>
      <w:pPr>
        <w:spacing w:line="360" w:lineRule="exact"/>
        <w:ind w:firstLine="440" w:firstLineChars="200"/>
        <w:rPr>
          <w:rFonts w:ascii="宋体" w:hAnsi="宋体"/>
          <w:sz w:val="22"/>
        </w:rPr>
      </w:pPr>
      <w:r>
        <w:rPr>
          <w:rFonts w:ascii="宋体" w:hAnsi="宋体"/>
          <w:sz w:val="22"/>
        </w:rPr>
        <w:t>26、乙方不得在机场和机场净空保护区范围内施放烟花、爆竹、气球等升空物体；不得随意焚烧垃圾等物品制造烟雾；不得饲养动物；不得随意丢弃飘浮物。</w:t>
      </w:r>
    </w:p>
    <w:p>
      <w:pPr>
        <w:spacing w:line="360" w:lineRule="exact"/>
        <w:ind w:firstLine="440" w:firstLineChars="200"/>
        <w:rPr>
          <w:rFonts w:ascii="宋体" w:hAnsi="宋体"/>
          <w:sz w:val="22"/>
        </w:rPr>
      </w:pPr>
      <w:r>
        <w:rPr>
          <w:rFonts w:ascii="宋体" w:hAnsi="宋体"/>
          <w:sz w:val="22"/>
        </w:rPr>
        <w:t>（二）乙方应从事的空防安全管理</w:t>
      </w:r>
    </w:p>
    <w:p>
      <w:pPr>
        <w:spacing w:line="360" w:lineRule="exact"/>
        <w:ind w:firstLine="440" w:firstLineChars="200"/>
        <w:rPr>
          <w:rFonts w:ascii="宋体" w:hAnsi="宋体"/>
          <w:sz w:val="22"/>
        </w:rPr>
      </w:pPr>
      <w:r>
        <w:rPr>
          <w:rFonts w:ascii="宋体" w:hAnsi="宋体"/>
          <w:sz w:val="22"/>
        </w:rPr>
        <w:t>27、必须严格遵守机场安全管理的各项规章制度。属于机场不停航施工项目或需进入机场控制区施工的项目，其人员和车辆实行机场控制区通行证管理制度，即上述区域施工的人员和车辆一律办理机场公安局统一制发的通行证，凭证进入施工现场。</w:t>
      </w:r>
    </w:p>
    <w:p>
      <w:pPr>
        <w:spacing w:line="360" w:lineRule="exact"/>
        <w:ind w:firstLine="440" w:firstLineChars="200"/>
        <w:rPr>
          <w:rFonts w:ascii="宋体" w:hAnsi="宋体"/>
          <w:sz w:val="22"/>
        </w:rPr>
      </w:pPr>
      <w:r>
        <w:rPr>
          <w:rFonts w:ascii="宋体" w:hAnsi="宋体"/>
          <w:sz w:val="22"/>
        </w:rPr>
        <w:t>28、通行证的办理遵从《杭州萧山国际机场控制区通行证管理办法》。在申请办理人员通行征时应当提供真实有效的身份证明、证照及其它相关资料，并进行背景调查，防止有违法、犯罪记录的人员进入施工队伍；在申请办理车辆通行证时应当提供车辆、设备的有效证件和检验记录，并对其真实性负责。上述通行证由乙方提出申请，报甲方备案，办证费用由乙方自理。</w:t>
      </w:r>
    </w:p>
    <w:p>
      <w:pPr>
        <w:spacing w:line="360" w:lineRule="exact"/>
        <w:ind w:firstLine="440" w:firstLineChars="200"/>
        <w:rPr>
          <w:rFonts w:ascii="宋体" w:hAnsi="宋体"/>
          <w:sz w:val="22"/>
        </w:rPr>
      </w:pPr>
      <w:r>
        <w:rPr>
          <w:rFonts w:ascii="宋体" w:hAnsi="宋体"/>
          <w:sz w:val="22"/>
        </w:rPr>
        <w:t>29、需进入机场控制区施工的人员和车辆需主动接受机场管理人员的检查，并服从机场相关职能部门的监管，无通行证者一律不得进入。</w:t>
      </w:r>
    </w:p>
    <w:p>
      <w:pPr>
        <w:spacing w:line="360" w:lineRule="exact"/>
        <w:ind w:firstLine="440" w:firstLineChars="200"/>
        <w:rPr>
          <w:rFonts w:ascii="宋体" w:hAnsi="宋体"/>
          <w:sz w:val="22"/>
        </w:rPr>
      </w:pPr>
      <w:r>
        <w:rPr>
          <w:rFonts w:ascii="宋体" w:hAnsi="宋体"/>
          <w:sz w:val="22"/>
        </w:rPr>
        <w:t>30、应当加强通行证的管理，建立管理台帐。通行证仅限持证本人、本车使用，严禁转借、涂改和冒用；持证人员发生调离、辞退、开除等情况的，应及时收回通行证交由甲方报机场公安机关注销；如发生人员和车辆通行证遗失的，应在第一时间向甲方报告；持证车辆重新调配或报废的，应及时将通行证交由甲方申报注销。上述环节因乙方管理不力发生问题的，乙方应承担由此引发的一切后果和责任。</w:t>
      </w:r>
    </w:p>
    <w:p>
      <w:pPr>
        <w:spacing w:line="360" w:lineRule="exact"/>
        <w:ind w:firstLine="440" w:firstLineChars="200"/>
        <w:rPr>
          <w:rFonts w:ascii="宋体" w:hAnsi="宋体"/>
          <w:sz w:val="22"/>
        </w:rPr>
      </w:pPr>
      <w:r>
        <w:rPr>
          <w:rFonts w:ascii="宋体" w:hAnsi="宋体"/>
          <w:sz w:val="22"/>
        </w:rPr>
        <w:t>（三）乙方应从事的不停航施工项目安全管理</w:t>
      </w:r>
    </w:p>
    <w:p>
      <w:pPr>
        <w:spacing w:line="360" w:lineRule="exact"/>
        <w:ind w:firstLine="440" w:firstLineChars="200"/>
        <w:rPr>
          <w:rFonts w:ascii="宋体" w:hAnsi="宋体"/>
          <w:sz w:val="22"/>
        </w:rPr>
      </w:pPr>
      <w:r>
        <w:rPr>
          <w:rFonts w:ascii="宋体" w:hAnsi="宋体"/>
          <w:sz w:val="22"/>
        </w:rPr>
        <w:t>31、不停航施工是指在机场不关闭并按照航班计划接受和放行航空器的情况下，在飞行区、部分航站区内实施工程作业。不停航施工的项目单位，必须严格遵守《民用机场运行安全管理规定》（CCAR－140）及杭州萧山国际机场有关安全管理规定进行施工。</w:t>
      </w:r>
    </w:p>
    <w:p>
      <w:pPr>
        <w:spacing w:line="360" w:lineRule="exact"/>
        <w:ind w:firstLine="440" w:firstLineChars="200"/>
        <w:rPr>
          <w:rFonts w:ascii="宋体" w:hAnsi="宋体"/>
          <w:sz w:val="22"/>
        </w:rPr>
      </w:pPr>
      <w:r>
        <w:rPr>
          <w:rFonts w:ascii="宋体" w:hAnsi="宋体"/>
          <w:sz w:val="22"/>
        </w:rPr>
        <w:t>32、在机场有飞行任务期间，禁止在跑道端之外300米以内、跑道中心线两侧75米以内的区域进行任何施工作业。如乙方需在跑道端300米以外、跑道中心线两侧75米以外区域施工的，机具、车辆的高度不得穿透障碍物限制面。除特别批准外，在滑行道、机坪道面边线以外施工的，应当与道（坪）边线保持7.5米加上本机场使用最大机型翼展宽度0.5倍的距离。</w:t>
      </w:r>
    </w:p>
    <w:p>
      <w:pPr>
        <w:spacing w:line="360" w:lineRule="exact"/>
        <w:ind w:firstLine="440" w:firstLineChars="200"/>
        <w:rPr>
          <w:rFonts w:ascii="宋体" w:hAnsi="宋体"/>
          <w:sz w:val="22"/>
        </w:rPr>
      </w:pPr>
      <w:r>
        <w:rPr>
          <w:rFonts w:ascii="宋体" w:hAnsi="宋体"/>
          <w:sz w:val="22"/>
        </w:rPr>
        <w:t>33、实行不停航施工的区域，开挖的明沟和施工材料堆放处，必须根据甲方要求用桔黄色小旗标识以示警告；在低能见度的白天和夜间，应当按照甲方要求加设红色恒定灯光；材料和临时堆放的施工垃圾应当采取防止被风或飞机尾流吹散的措施。</w:t>
      </w:r>
    </w:p>
    <w:p>
      <w:pPr>
        <w:spacing w:line="360" w:lineRule="exact"/>
        <w:ind w:firstLine="440" w:firstLineChars="200"/>
        <w:rPr>
          <w:rFonts w:ascii="宋体" w:hAnsi="宋体"/>
          <w:sz w:val="22"/>
        </w:rPr>
      </w:pPr>
      <w:r>
        <w:rPr>
          <w:rFonts w:ascii="宋体" w:hAnsi="宋体"/>
          <w:sz w:val="22"/>
        </w:rPr>
        <w:t>34、施工机具须停放在指定安全区域内。机场开放运行期间，必须严格控制施工机械的活动范围，杜绝出现机具、车辆侵入隔离区或超越机场净空限制面等情况。</w:t>
      </w:r>
    </w:p>
    <w:p>
      <w:pPr>
        <w:spacing w:line="360" w:lineRule="exact"/>
        <w:ind w:firstLine="440" w:firstLineChars="200"/>
        <w:rPr>
          <w:rFonts w:ascii="宋体" w:hAnsi="宋体"/>
          <w:sz w:val="22"/>
        </w:rPr>
      </w:pPr>
      <w:r>
        <w:rPr>
          <w:rFonts w:ascii="宋体" w:hAnsi="宋体"/>
          <w:sz w:val="22"/>
        </w:rPr>
        <w:t xml:space="preserve">（四）乙方的文明施工责任 </w:t>
      </w:r>
    </w:p>
    <w:p>
      <w:pPr>
        <w:spacing w:line="360" w:lineRule="exact"/>
        <w:ind w:firstLine="440" w:firstLineChars="200"/>
        <w:rPr>
          <w:rFonts w:ascii="宋体" w:hAnsi="宋体"/>
          <w:sz w:val="22"/>
        </w:rPr>
      </w:pPr>
      <w:r>
        <w:rPr>
          <w:rFonts w:ascii="宋体" w:hAnsi="宋体"/>
          <w:sz w:val="22"/>
        </w:rPr>
        <w:t>35、按照《建筑施工安全检查标准》JGJ59—99的标准和浙江省、杭州市有关文明施工检查评分标准做好文明施工，保证施工项目文明施工合格。</w:t>
      </w:r>
    </w:p>
    <w:p>
      <w:pPr>
        <w:spacing w:line="360" w:lineRule="exact"/>
        <w:ind w:firstLine="220" w:firstLineChars="100"/>
        <w:rPr>
          <w:rFonts w:ascii="宋体" w:hAnsi="宋体"/>
          <w:sz w:val="22"/>
        </w:rPr>
      </w:pPr>
      <w:r>
        <w:rPr>
          <w:rFonts w:ascii="宋体" w:hAnsi="宋体"/>
          <w:sz w:val="22"/>
        </w:rPr>
        <w:t xml:space="preserve">  36、建筑材料、构件、料具必须按施工现场总平面布置图堆放，布置合理，并有标识。如有易燃易爆物品应有专门场所分类堆放，专人负责，符合相关消防规定，确保安全。</w:t>
      </w:r>
    </w:p>
    <w:p>
      <w:pPr>
        <w:spacing w:line="360" w:lineRule="exact"/>
        <w:ind w:firstLine="440" w:firstLineChars="200"/>
        <w:rPr>
          <w:rFonts w:ascii="宋体" w:hAnsi="宋体"/>
          <w:sz w:val="22"/>
        </w:rPr>
      </w:pPr>
      <w:r>
        <w:rPr>
          <w:rFonts w:ascii="宋体" w:hAnsi="宋体"/>
          <w:sz w:val="22"/>
        </w:rPr>
        <w:t>37、在施工现场建立清扫制度，落实到人，做到工完料尽场地清，车辆进出场应有防泥带出措施。建筑垃圾及时清运，并堆放到甲方指定地点。土方外运过程，严格按程序操作，不得在机场内外遗洒，应有避免扬尘的措施。</w:t>
      </w:r>
    </w:p>
    <w:p>
      <w:pPr>
        <w:spacing w:line="360" w:lineRule="exact"/>
        <w:ind w:firstLine="440" w:firstLineChars="200"/>
        <w:rPr>
          <w:rFonts w:ascii="宋体" w:hAnsi="宋体"/>
          <w:sz w:val="22"/>
        </w:rPr>
      </w:pPr>
      <w:r>
        <w:rPr>
          <w:rFonts w:ascii="宋体" w:hAnsi="宋体"/>
          <w:sz w:val="22"/>
        </w:rPr>
        <w:t>（五）乙方应从事的社会治安综合治理</w:t>
      </w:r>
    </w:p>
    <w:p>
      <w:pPr>
        <w:spacing w:line="360" w:lineRule="exact"/>
        <w:ind w:firstLine="440" w:firstLineChars="200"/>
        <w:rPr>
          <w:rFonts w:ascii="宋体" w:hAnsi="宋体"/>
          <w:sz w:val="22"/>
        </w:rPr>
      </w:pPr>
      <w:r>
        <w:rPr>
          <w:rFonts w:ascii="宋体" w:hAnsi="宋体"/>
          <w:sz w:val="22"/>
        </w:rPr>
        <w:t>38、做好内部的治安防范工作，对重要部位和物资，要落实人防、物防和技防的措施，积极配合公安机关组织的治安联防活动。</w:t>
      </w:r>
    </w:p>
    <w:p>
      <w:pPr>
        <w:spacing w:line="360" w:lineRule="exact"/>
        <w:ind w:firstLine="440" w:firstLineChars="200"/>
        <w:rPr>
          <w:rFonts w:ascii="宋体" w:hAnsi="宋体"/>
          <w:sz w:val="22"/>
        </w:rPr>
      </w:pPr>
      <w:r>
        <w:rPr>
          <w:rFonts w:ascii="宋体" w:hAnsi="宋体"/>
          <w:sz w:val="22"/>
        </w:rPr>
        <w:t>39、认真排查、调处各类矛盾，及时消除隐患，杜绝各类社会矛盾引发的群体性事件的发生。</w:t>
      </w:r>
    </w:p>
    <w:p>
      <w:pPr>
        <w:spacing w:line="360" w:lineRule="exact"/>
        <w:ind w:firstLine="440" w:firstLineChars="200"/>
        <w:rPr>
          <w:rFonts w:ascii="宋体" w:hAnsi="宋体"/>
          <w:sz w:val="22"/>
        </w:rPr>
      </w:pPr>
      <w:r>
        <w:rPr>
          <w:rFonts w:ascii="宋体" w:hAnsi="宋体"/>
          <w:sz w:val="22"/>
        </w:rPr>
        <w:t>40、制定包括重大安全生产事故、重大道路交通事故、重大消防安全事故、重大刑事案件以及群体性事件等突发性事件在内的应急处置预案，一旦发生，及时报告甲方和上级主管部门并做好处置工作。</w:t>
      </w:r>
    </w:p>
    <w:p>
      <w:pPr>
        <w:spacing w:line="360" w:lineRule="exact"/>
        <w:ind w:firstLine="440" w:firstLineChars="200"/>
        <w:rPr>
          <w:rFonts w:ascii="宋体" w:hAnsi="宋体"/>
          <w:sz w:val="22"/>
        </w:rPr>
      </w:pPr>
      <w:r>
        <w:rPr>
          <w:rFonts w:ascii="宋体" w:hAnsi="宋体"/>
          <w:sz w:val="22"/>
        </w:rPr>
        <w:t>（六）乙方应从事的消防安全管理</w:t>
      </w:r>
    </w:p>
    <w:p>
      <w:pPr>
        <w:spacing w:line="360" w:lineRule="exact"/>
        <w:ind w:firstLine="440" w:firstLineChars="200"/>
        <w:rPr>
          <w:rFonts w:ascii="宋体" w:hAnsi="宋体"/>
          <w:sz w:val="22"/>
        </w:rPr>
      </w:pPr>
      <w:r>
        <w:rPr>
          <w:rFonts w:ascii="宋体" w:hAnsi="宋体"/>
          <w:sz w:val="22"/>
        </w:rPr>
        <w:t>41、遵守国家消防法律法规，建立和健全消防管理规章制度，明确消防安全责任人，健全消防安全网络（配备专职或兼职消防员），建立消防应急队伍，并报甲方和机场公安局消防部门备案。</w:t>
      </w:r>
    </w:p>
    <w:p>
      <w:pPr>
        <w:spacing w:line="360" w:lineRule="exact"/>
        <w:ind w:firstLine="440" w:firstLineChars="200"/>
        <w:rPr>
          <w:rFonts w:ascii="宋体" w:hAnsi="宋体"/>
          <w:sz w:val="22"/>
        </w:rPr>
      </w:pPr>
      <w:r>
        <w:rPr>
          <w:rFonts w:ascii="宋体" w:hAnsi="宋体"/>
          <w:sz w:val="22"/>
        </w:rPr>
        <w:t>42、制定用火、用电、使用易燃材料等各项消防安全操作规程，设置消防通道、消防水源、配备必须的消防设备和灭火器材，并在重点场所重点部位设置消防警示标志。</w:t>
      </w:r>
    </w:p>
    <w:p>
      <w:pPr>
        <w:spacing w:line="360" w:lineRule="exact"/>
        <w:ind w:firstLine="440" w:firstLineChars="200"/>
        <w:rPr>
          <w:rFonts w:ascii="宋体" w:hAnsi="宋体"/>
          <w:sz w:val="22"/>
        </w:rPr>
      </w:pPr>
      <w:r>
        <w:rPr>
          <w:rFonts w:ascii="宋体" w:hAnsi="宋体"/>
          <w:sz w:val="22"/>
        </w:rPr>
        <w:t>43、施工中使用明火，使用电、气进行焊接和切割作业，须经机场公安消防管理部门审查批准，未经批准一律不得使用。</w:t>
      </w:r>
    </w:p>
    <w:p>
      <w:pPr>
        <w:spacing w:line="360" w:lineRule="exact"/>
        <w:ind w:firstLine="440" w:firstLineChars="200"/>
        <w:rPr>
          <w:rFonts w:ascii="宋体" w:hAnsi="宋体"/>
          <w:sz w:val="22"/>
        </w:rPr>
      </w:pPr>
      <w:r>
        <w:rPr>
          <w:rFonts w:ascii="宋体" w:hAnsi="宋体"/>
          <w:sz w:val="22"/>
        </w:rPr>
        <w:t>44、加强对施工人员进行消防安全教育，使其熟悉本岗位防火措施、遇险报警、初期扑救及自救逃生的知识和技能。</w:t>
      </w:r>
    </w:p>
    <w:p>
      <w:pPr>
        <w:spacing w:line="360" w:lineRule="exact"/>
        <w:ind w:firstLine="440" w:firstLineChars="200"/>
        <w:rPr>
          <w:rFonts w:ascii="宋体" w:hAnsi="宋体"/>
          <w:sz w:val="22"/>
        </w:rPr>
      </w:pPr>
      <w:r>
        <w:rPr>
          <w:rFonts w:ascii="宋体" w:hAnsi="宋体"/>
          <w:sz w:val="22"/>
        </w:rPr>
        <w:t>（七）乙方应从事的交通安全管理</w:t>
      </w:r>
    </w:p>
    <w:p>
      <w:pPr>
        <w:spacing w:line="360" w:lineRule="exact"/>
        <w:ind w:firstLine="440" w:firstLineChars="200"/>
        <w:rPr>
          <w:rFonts w:ascii="宋体" w:hAnsi="宋体"/>
          <w:sz w:val="22"/>
        </w:rPr>
      </w:pPr>
      <w:r>
        <w:rPr>
          <w:rFonts w:ascii="宋体" w:hAnsi="宋体"/>
          <w:sz w:val="22"/>
        </w:rPr>
        <w:t>45、加强对下属员工、驾驶人员、承运单位的道路交通安全法律法规宣传教育，车辆进出机场和施工场地均应服从交警及其他交通管理人员的指挥和管理。</w:t>
      </w:r>
    </w:p>
    <w:p>
      <w:pPr>
        <w:spacing w:line="360" w:lineRule="exact"/>
        <w:ind w:firstLine="440" w:firstLineChars="200"/>
        <w:rPr>
          <w:rFonts w:ascii="宋体" w:hAnsi="宋体"/>
          <w:sz w:val="22"/>
        </w:rPr>
      </w:pPr>
      <w:r>
        <w:rPr>
          <w:rFonts w:ascii="宋体" w:hAnsi="宋体"/>
          <w:sz w:val="22"/>
        </w:rPr>
        <w:t>46、对驾驶人员和承运单位应实行交通安全检查考核制度，签订《交通安全责任书》，配备交通安全联络员对运输车辆驾驶员和施工人员进行交通安全教育，减少或控制交通违法行为地发生，禁止严重影响交通安全的违法行为（如超载、超速、酒后驾驶、逆向行驶等）。</w:t>
      </w:r>
    </w:p>
    <w:p>
      <w:pPr>
        <w:spacing w:line="360" w:lineRule="exact"/>
        <w:ind w:firstLine="440" w:firstLineChars="200"/>
        <w:rPr>
          <w:rFonts w:ascii="宋体" w:hAnsi="宋体"/>
          <w:sz w:val="22"/>
        </w:rPr>
      </w:pPr>
      <w:r>
        <w:rPr>
          <w:rFonts w:ascii="宋体" w:hAnsi="宋体"/>
          <w:sz w:val="22"/>
        </w:rPr>
        <w:t>47、确保各类运输车辆技术状况良好，不得使用无号牌、无行驶证、无保险和带故障、检验不合格的运输车辆，不得使用拖拉机和农用运输车。</w:t>
      </w:r>
    </w:p>
    <w:p>
      <w:pPr>
        <w:spacing w:line="360" w:lineRule="exact"/>
        <w:ind w:firstLine="440" w:firstLineChars="200"/>
        <w:rPr>
          <w:rFonts w:ascii="宋体" w:hAnsi="宋体"/>
          <w:sz w:val="22"/>
        </w:rPr>
      </w:pPr>
      <w:r>
        <w:rPr>
          <w:rFonts w:ascii="宋体" w:hAnsi="宋体"/>
          <w:sz w:val="22"/>
        </w:rPr>
        <w:t>48、所有运输车辆均应办理施工通行证并按指定路线和限定速度行驶，不得违反车辆装载规定：超载、超高、超宽。进入控制区施工车辆应开启黄色警示灯。</w:t>
      </w:r>
    </w:p>
    <w:p>
      <w:pPr>
        <w:spacing w:line="360" w:lineRule="exact"/>
        <w:ind w:firstLine="440" w:firstLineChars="200"/>
        <w:rPr>
          <w:rFonts w:ascii="宋体" w:hAnsi="宋体"/>
          <w:sz w:val="22"/>
        </w:rPr>
      </w:pPr>
      <w:r>
        <w:rPr>
          <w:rFonts w:ascii="宋体" w:hAnsi="宋体"/>
          <w:sz w:val="22"/>
        </w:rPr>
        <w:t>49、占用、挖掘道路，跨越道路架设、铺设管线以及大型机械进出机场须提前与甲方协商，征得甲方和机场公安局交警队同意，并采取防护措施和设置明显警示标志方可实施。</w:t>
      </w:r>
    </w:p>
    <w:p>
      <w:pPr>
        <w:spacing w:line="360" w:lineRule="exact"/>
        <w:ind w:firstLine="440" w:firstLineChars="200"/>
        <w:rPr>
          <w:rFonts w:ascii="宋体" w:hAnsi="宋体"/>
          <w:b/>
          <w:sz w:val="22"/>
        </w:rPr>
      </w:pPr>
      <w:r>
        <w:rPr>
          <w:rFonts w:ascii="宋体" w:hAnsi="宋体"/>
          <w:b/>
          <w:sz w:val="22"/>
        </w:rPr>
        <w:t>四、违约责任</w:t>
      </w:r>
    </w:p>
    <w:p>
      <w:pPr>
        <w:spacing w:line="360" w:lineRule="exact"/>
        <w:ind w:firstLine="440" w:firstLineChars="200"/>
        <w:rPr>
          <w:rFonts w:ascii="宋体" w:hAnsi="宋体"/>
          <w:sz w:val="22"/>
        </w:rPr>
      </w:pPr>
      <w:r>
        <w:rPr>
          <w:rFonts w:ascii="宋体" w:hAnsi="宋体"/>
          <w:sz w:val="22"/>
        </w:rPr>
        <w:t>50、本《安全文明施工协议书》是工程施工合同的重要组成部分，乙方必须严格遵守和履行，如有违反，甲方可以追究乙方责任；乙方违约情况严重，或是社会影响恶劣，又或是造成甲方或他方重大损失，甲方可解除施工合同且不须向乙方承担任何补偿、赔偿的责任。</w:t>
      </w:r>
    </w:p>
    <w:p>
      <w:pPr>
        <w:spacing w:line="360" w:lineRule="exact"/>
        <w:ind w:firstLine="440" w:firstLineChars="200"/>
        <w:rPr>
          <w:rFonts w:ascii="宋体" w:hAnsi="宋体"/>
          <w:sz w:val="22"/>
        </w:rPr>
      </w:pPr>
      <w:r>
        <w:rPr>
          <w:rFonts w:ascii="宋体" w:hAnsi="宋体"/>
          <w:sz w:val="22"/>
        </w:rPr>
        <w:t>51、严禁因乙方行为导致发生飞行事故征侯，违者扣合同总款的20%，如发生飞行事故扣合同年度总款50％，并追究法律责任。</w:t>
      </w:r>
    </w:p>
    <w:p>
      <w:pPr>
        <w:spacing w:line="360" w:lineRule="exact"/>
        <w:ind w:firstLine="440" w:firstLineChars="200"/>
        <w:rPr>
          <w:rFonts w:ascii="宋体" w:hAnsi="宋体"/>
          <w:sz w:val="22"/>
        </w:rPr>
      </w:pPr>
      <w:r>
        <w:rPr>
          <w:rFonts w:ascii="宋体" w:hAnsi="宋体"/>
          <w:sz w:val="22"/>
        </w:rPr>
        <w:t>五、</w:t>
      </w:r>
      <w:r>
        <w:rPr>
          <w:rFonts w:ascii="宋体" w:hAnsi="宋体"/>
          <w:b/>
          <w:sz w:val="22"/>
        </w:rPr>
        <w:t>本协议书附于《</w:t>
      </w:r>
      <w:r>
        <w:rPr>
          <w:rFonts w:hint="eastAsia" w:ascii="宋体" w:hAnsi="宋体"/>
          <w:b/>
          <w:sz w:val="22"/>
          <w:u w:val="single"/>
        </w:rPr>
        <w:t xml:space="preserve"> </w:t>
      </w:r>
      <w:r>
        <w:rPr>
          <w:rFonts w:ascii="宋体" w:hAnsi="宋体"/>
          <w:b/>
          <w:sz w:val="22"/>
          <w:u w:val="single"/>
        </w:rPr>
        <w:t xml:space="preserve">                                         </w:t>
      </w:r>
      <w:r>
        <w:rPr>
          <w:rFonts w:hint="eastAsia" w:ascii="宋体" w:hAnsi="宋体"/>
          <w:b/>
          <w:sz w:val="22"/>
          <w:u w:val="single"/>
        </w:rPr>
        <w:t>合同</w:t>
      </w:r>
      <w:r>
        <w:rPr>
          <w:rFonts w:ascii="宋体" w:hAnsi="宋体"/>
          <w:b/>
          <w:sz w:val="22"/>
        </w:rPr>
        <w:t>》后，</w:t>
      </w:r>
      <w:r>
        <w:rPr>
          <w:rFonts w:hint="eastAsia" w:ascii="宋体" w:hAnsi="宋体"/>
          <w:b/>
          <w:sz w:val="22"/>
        </w:rPr>
        <w:t>甲乙双方</w:t>
      </w:r>
      <w:r>
        <w:rPr>
          <w:rFonts w:ascii="宋体" w:hAnsi="宋体"/>
          <w:b/>
          <w:sz w:val="22"/>
        </w:rPr>
        <w:t>盖章后生效。</w:t>
      </w:r>
    </w:p>
    <w:p>
      <w:pPr>
        <w:adjustRightInd w:val="0"/>
        <w:snapToGrid w:val="0"/>
        <w:spacing w:line="360" w:lineRule="exact"/>
        <w:rPr>
          <w:rFonts w:ascii="宋体" w:hAnsi="宋体"/>
          <w:b/>
          <w:bCs/>
          <w:sz w:val="22"/>
        </w:rPr>
      </w:pPr>
      <w:r>
        <w:rPr>
          <w:rFonts w:ascii="宋体" w:hAnsi="宋体"/>
          <w:b/>
          <w:bCs/>
          <w:sz w:val="22"/>
        </w:rPr>
        <w:t>五、附则：</w:t>
      </w:r>
    </w:p>
    <w:p>
      <w:pPr>
        <w:adjustRightInd w:val="0"/>
        <w:snapToGrid w:val="0"/>
        <w:spacing w:line="360" w:lineRule="exact"/>
        <w:rPr>
          <w:rFonts w:ascii="宋体" w:hAnsi="宋体"/>
          <w:sz w:val="22"/>
        </w:rPr>
      </w:pPr>
      <w:r>
        <w:rPr>
          <w:rFonts w:ascii="宋体" w:hAnsi="宋体"/>
          <w:sz w:val="22"/>
        </w:rPr>
        <w:t>（一）由于乙方行为违反国家法律、法规和杭州萧山国际机场有限公司有关规章制度和责任书规定内容，甲方有权对乙方进行处罚。乙方触犯法律的，依法追究有关责任人的法律责任。</w:t>
      </w:r>
    </w:p>
    <w:p>
      <w:pPr>
        <w:adjustRightInd w:val="0"/>
        <w:snapToGrid w:val="0"/>
        <w:spacing w:line="360" w:lineRule="exact"/>
        <w:rPr>
          <w:rFonts w:ascii="宋体" w:hAnsi="宋体"/>
          <w:sz w:val="22"/>
        </w:rPr>
      </w:pPr>
      <w:r>
        <w:rPr>
          <w:rFonts w:ascii="宋体" w:hAnsi="宋体"/>
          <w:sz w:val="22"/>
        </w:rPr>
        <w:t>（二）本责任书解释权归甲方。</w:t>
      </w:r>
    </w:p>
    <w:p>
      <w:pPr>
        <w:adjustRightInd w:val="0"/>
        <w:snapToGrid w:val="0"/>
        <w:spacing w:line="360" w:lineRule="exact"/>
        <w:rPr>
          <w:rFonts w:ascii="宋体" w:hAnsi="宋体"/>
          <w:sz w:val="22"/>
        </w:rPr>
      </w:pPr>
    </w:p>
    <w:p>
      <w:pPr>
        <w:rPr>
          <w:rFonts w:ascii="宋体" w:hAnsi="宋体"/>
          <w:b/>
          <w:sz w:val="22"/>
        </w:rPr>
      </w:pPr>
      <w:r>
        <w:rPr>
          <w:rFonts w:hint="eastAsia" w:ascii="宋体" w:hAnsi="宋体"/>
          <w:b/>
          <w:sz w:val="22"/>
        </w:rPr>
        <w:t xml:space="preserve">发    包    人（盖章）：             </w:t>
      </w:r>
      <w:r>
        <w:rPr>
          <w:rFonts w:hint="eastAsia" w:ascii="宋体" w:hAnsi="宋体"/>
          <w:b/>
          <w:sz w:val="22"/>
        </w:rPr>
        <w:tab/>
      </w:r>
      <w:r>
        <w:rPr>
          <w:rFonts w:ascii="宋体" w:hAnsi="宋体"/>
          <w:b/>
          <w:sz w:val="22"/>
        </w:rPr>
        <w:t xml:space="preserve">  </w:t>
      </w:r>
      <w:r>
        <w:rPr>
          <w:rFonts w:hint="eastAsia" w:ascii="宋体" w:hAnsi="宋体"/>
          <w:b/>
          <w:sz w:val="22"/>
        </w:rPr>
        <w:t>承    包    人（盖章）：</w:t>
      </w:r>
    </w:p>
    <w:p>
      <w:pPr>
        <w:rPr>
          <w:rFonts w:ascii="宋体" w:hAnsi="宋体"/>
          <w:b/>
          <w:sz w:val="22"/>
        </w:rPr>
      </w:pPr>
    </w:p>
    <w:p>
      <w:pPr>
        <w:rPr>
          <w:rFonts w:ascii="宋体" w:hAnsi="宋体"/>
          <w:b/>
          <w:sz w:val="22"/>
        </w:rPr>
      </w:pPr>
    </w:p>
    <w:p>
      <w:pPr>
        <w:rPr>
          <w:rFonts w:ascii="宋体" w:hAnsi="宋体"/>
          <w:b/>
          <w:sz w:val="22"/>
        </w:rPr>
      </w:pPr>
    </w:p>
    <w:p>
      <w:pPr>
        <w:rPr>
          <w:rFonts w:ascii="宋体" w:hAnsi="宋体"/>
          <w:b/>
          <w:sz w:val="22"/>
        </w:rPr>
      </w:pPr>
    </w:p>
    <w:p>
      <w:pPr>
        <w:rPr>
          <w:rFonts w:ascii="宋体" w:hAnsi="宋体"/>
          <w:b/>
          <w:sz w:val="22"/>
        </w:rPr>
      </w:pPr>
    </w:p>
    <w:p>
      <w:pPr>
        <w:rPr>
          <w:rFonts w:ascii="宋体" w:hAnsi="宋体"/>
          <w:b/>
          <w:sz w:val="22"/>
        </w:rPr>
      </w:pPr>
    </w:p>
    <w:p>
      <w:pPr>
        <w:rPr>
          <w:rFonts w:ascii="宋体" w:hAnsi="宋体"/>
          <w:b/>
          <w:sz w:val="22"/>
        </w:rPr>
      </w:pPr>
    </w:p>
    <w:p>
      <w:pPr>
        <w:rPr>
          <w:rFonts w:ascii="宋体" w:hAnsi="宋体"/>
          <w:b/>
          <w:sz w:val="22"/>
        </w:rPr>
      </w:pPr>
    </w:p>
    <w:p>
      <w:pPr>
        <w:rPr>
          <w:rFonts w:ascii="宋体" w:hAnsi="宋体"/>
          <w:b/>
          <w:sz w:val="22"/>
        </w:rPr>
      </w:pPr>
    </w:p>
    <w:p>
      <w:pPr>
        <w:rPr>
          <w:rFonts w:ascii="宋体" w:hAnsi="宋体"/>
          <w:b/>
          <w:sz w:val="22"/>
        </w:rPr>
      </w:pPr>
    </w:p>
    <w:p>
      <w:pPr>
        <w:rPr>
          <w:rFonts w:ascii="宋体" w:hAnsi="宋体"/>
          <w:b/>
          <w:sz w:val="22"/>
        </w:rPr>
      </w:pPr>
    </w:p>
    <w:p>
      <w:pPr>
        <w:rPr>
          <w:rFonts w:ascii="宋体" w:hAnsi="宋体"/>
          <w:b/>
          <w:sz w:val="22"/>
        </w:rPr>
      </w:pPr>
      <w:r>
        <w:rPr>
          <w:rFonts w:hint="eastAsia" w:ascii="宋体" w:hAnsi="宋体"/>
          <w:b/>
          <w:sz w:val="22"/>
        </w:rPr>
        <w:t>附件4：质保服务考核表</w:t>
      </w:r>
    </w:p>
    <w:p>
      <w:pPr>
        <w:rPr>
          <w:rFonts w:ascii="宋体" w:hAnsi="宋体"/>
          <w:b/>
          <w:sz w:val="22"/>
        </w:rPr>
      </w:pPr>
    </w:p>
    <w:tbl>
      <w:tblPr>
        <w:tblStyle w:val="46"/>
        <w:tblW w:w="10463" w:type="dxa"/>
        <w:tblInd w:w="-432" w:type="dxa"/>
        <w:tblLayout w:type="fixed"/>
        <w:tblCellMar>
          <w:top w:w="0" w:type="dxa"/>
          <w:left w:w="108" w:type="dxa"/>
          <w:bottom w:w="0" w:type="dxa"/>
          <w:right w:w="108" w:type="dxa"/>
        </w:tblCellMar>
      </w:tblPr>
      <w:tblGrid>
        <w:gridCol w:w="462"/>
        <w:gridCol w:w="2326"/>
        <w:gridCol w:w="2579"/>
        <w:gridCol w:w="1127"/>
        <w:gridCol w:w="2835"/>
        <w:gridCol w:w="1134"/>
      </w:tblGrid>
      <w:tr>
        <w:tblPrEx>
          <w:tblLayout w:type="fixed"/>
          <w:tblCellMar>
            <w:top w:w="0" w:type="dxa"/>
            <w:left w:w="108" w:type="dxa"/>
            <w:bottom w:w="0" w:type="dxa"/>
            <w:right w:w="108" w:type="dxa"/>
          </w:tblCellMar>
        </w:tblPrEx>
        <w:trPr>
          <w:trHeight w:val="445" w:hRule="atLeast"/>
        </w:trPr>
        <w:tc>
          <w:tcPr>
            <w:tcW w:w="10463" w:type="dxa"/>
            <w:gridSpan w:val="6"/>
            <w:noWrap w:val="0"/>
            <w:vAlign w:val="center"/>
          </w:tcPr>
          <w:p>
            <w:pPr>
              <w:widowControl/>
              <w:jc w:val="center"/>
              <w:rPr>
                <w:rFonts w:ascii="方正小标宋简体" w:hAnsi="宋体" w:eastAsia="方正小标宋简体" w:cs="宋体"/>
                <w:bCs/>
                <w:kern w:val="0"/>
                <w:sz w:val="36"/>
                <w:szCs w:val="36"/>
              </w:rPr>
            </w:pPr>
            <w:r>
              <w:rPr>
                <w:rFonts w:hint="eastAsia" w:ascii="方正小标宋简体" w:hAnsi="宋体" w:eastAsia="方正小标宋简体"/>
                <w:sz w:val="36"/>
                <w:szCs w:val="36"/>
              </w:rPr>
              <w:t>质保</w:t>
            </w:r>
            <w:r>
              <w:rPr>
                <w:rFonts w:hint="eastAsia" w:ascii="方正小标宋简体" w:hAnsi="宋体" w:eastAsia="方正小标宋简体" w:cs="宋体"/>
                <w:bCs/>
                <w:kern w:val="0"/>
                <w:sz w:val="36"/>
                <w:szCs w:val="36"/>
              </w:rPr>
              <w:t>服务考核表　</w:t>
            </w:r>
          </w:p>
          <w:p>
            <w:pPr>
              <w:widowControl/>
              <w:jc w:val="center"/>
              <w:rPr>
                <w:rFonts w:ascii="方正小标宋简体" w:hAnsi="宋体" w:eastAsia="方正小标宋简体" w:cs="宋体"/>
                <w:bCs/>
                <w:kern w:val="0"/>
                <w:sz w:val="36"/>
                <w:szCs w:val="36"/>
              </w:rPr>
            </w:pPr>
          </w:p>
        </w:tc>
      </w:tr>
      <w:tr>
        <w:tblPrEx>
          <w:tblLayout w:type="fixed"/>
          <w:tblCellMar>
            <w:top w:w="0" w:type="dxa"/>
            <w:left w:w="108" w:type="dxa"/>
            <w:bottom w:w="0" w:type="dxa"/>
            <w:right w:w="108" w:type="dxa"/>
          </w:tblCellMar>
        </w:tblPrEx>
        <w:trPr>
          <w:trHeight w:val="458" w:hRule="atLeast"/>
        </w:trPr>
        <w:tc>
          <w:tcPr>
            <w:tcW w:w="4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Cs w:val="21"/>
              </w:rPr>
            </w:pPr>
            <w:r>
              <w:rPr>
                <w:rFonts w:hint="eastAsia" w:ascii="宋体" w:hAnsi="宋体" w:cs="宋体"/>
                <w:b/>
                <w:kern w:val="0"/>
                <w:szCs w:val="21"/>
              </w:rPr>
              <w:t>序号</w:t>
            </w:r>
          </w:p>
        </w:tc>
        <w:tc>
          <w:tcPr>
            <w:tcW w:w="2326"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Cs w:val="21"/>
              </w:rPr>
            </w:pPr>
            <w:r>
              <w:rPr>
                <w:rFonts w:hint="eastAsia" w:ascii="宋体" w:hAnsi="宋体" w:cs="宋体"/>
                <w:b/>
                <w:kern w:val="0"/>
                <w:szCs w:val="21"/>
              </w:rPr>
              <w:t>KPI指标</w:t>
            </w:r>
          </w:p>
        </w:tc>
        <w:tc>
          <w:tcPr>
            <w:tcW w:w="2579"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Cs w:val="21"/>
              </w:rPr>
            </w:pPr>
            <w:r>
              <w:rPr>
                <w:rFonts w:hint="eastAsia" w:ascii="宋体" w:hAnsi="宋体" w:cs="宋体"/>
                <w:b/>
                <w:kern w:val="0"/>
                <w:szCs w:val="21"/>
              </w:rPr>
              <w:t>目标值</w:t>
            </w:r>
          </w:p>
        </w:tc>
        <w:tc>
          <w:tcPr>
            <w:tcW w:w="11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Cs w:val="21"/>
              </w:rPr>
            </w:pPr>
            <w:r>
              <w:rPr>
                <w:rFonts w:hint="eastAsia" w:ascii="宋体" w:hAnsi="宋体" w:cs="宋体"/>
                <w:b/>
                <w:kern w:val="0"/>
                <w:szCs w:val="21"/>
              </w:rPr>
              <w:t>分值</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Cs w:val="21"/>
              </w:rPr>
            </w:pPr>
            <w:r>
              <w:rPr>
                <w:rFonts w:hint="eastAsia" w:ascii="宋体" w:hAnsi="宋体" w:cs="宋体"/>
                <w:b/>
                <w:kern w:val="0"/>
                <w:szCs w:val="21"/>
              </w:rPr>
              <w:t>外包单位加扣分办法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b/>
                <w:kern w:val="0"/>
                <w:szCs w:val="21"/>
              </w:rPr>
            </w:pPr>
            <w:r>
              <w:rPr>
                <w:rFonts w:hint="eastAsia" w:ascii="宋体" w:hAnsi="宋体" w:cs="宋体"/>
                <w:b/>
                <w:kern w:val="0"/>
                <w:szCs w:val="21"/>
              </w:rPr>
              <w:t>半年得分</w:t>
            </w:r>
          </w:p>
        </w:tc>
      </w:tr>
      <w:tr>
        <w:tblPrEx>
          <w:tblLayout w:type="fixed"/>
          <w:tblCellMar>
            <w:top w:w="0" w:type="dxa"/>
            <w:left w:w="108" w:type="dxa"/>
            <w:bottom w:w="0" w:type="dxa"/>
            <w:right w:w="108" w:type="dxa"/>
          </w:tblCellMar>
        </w:tblPrEx>
        <w:trPr>
          <w:trHeight w:val="70" w:hRule="atLeast"/>
        </w:trPr>
        <w:tc>
          <w:tcPr>
            <w:tcW w:w="462"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r>
              <w:rPr>
                <w:rFonts w:hint="eastAsia" w:ascii="宋体" w:hAnsi="宋体" w:cs="宋体"/>
                <w:kern w:val="0"/>
                <w:szCs w:val="21"/>
              </w:rPr>
              <w:t>1</w:t>
            </w:r>
          </w:p>
        </w:tc>
        <w:tc>
          <w:tcPr>
            <w:tcW w:w="232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r>
              <w:rPr>
                <w:rFonts w:hint="eastAsia" w:ascii="宋体" w:hAnsi="宋体" w:cs="宋体"/>
                <w:kern w:val="0"/>
                <w:szCs w:val="21"/>
              </w:rPr>
              <w:t>服务规范</w:t>
            </w:r>
          </w:p>
        </w:tc>
        <w:tc>
          <w:tcPr>
            <w:tcW w:w="2579"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Cs w:val="21"/>
              </w:rPr>
            </w:pPr>
            <w:r>
              <w:rPr>
                <w:rFonts w:hint="eastAsia" w:ascii="宋体" w:hAnsi="宋体" w:cs="宋体"/>
                <w:kern w:val="0"/>
                <w:szCs w:val="21"/>
              </w:rPr>
              <w:t>维保人员的服务行为规范要求是否达标</w:t>
            </w:r>
          </w:p>
        </w:tc>
        <w:tc>
          <w:tcPr>
            <w:tcW w:w="11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20分</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r>
              <w:rPr>
                <w:rFonts w:hint="eastAsia" w:ascii="宋体" w:hAnsi="宋体" w:cs="宋体"/>
                <w:kern w:val="0"/>
                <w:szCs w:val="21"/>
              </w:rPr>
              <w:t>每次违规扣1分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r>
      <w:tr>
        <w:tblPrEx>
          <w:tblLayout w:type="fixed"/>
          <w:tblCellMar>
            <w:top w:w="0" w:type="dxa"/>
            <w:left w:w="108" w:type="dxa"/>
            <w:bottom w:w="0" w:type="dxa"/>
            <w:right w:w="108" w:type="dxa"/>
          </w:tblCellMar>
        </w:tblPrEx>
        <w:trPr>
          <w:trHeight w:val="392" w:hRule="atLeast"/>
        </w:trPr>
        <w:tc>
          <w:tcPr>
            <w:tcW w:w="46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2</w:t>
            </w:r>
          </w:p>
        </w:tc>
        <w:tc>
          <w:tcPr>
            <w:tcW w:w="2326"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r>
              <w:rPr>
                <w:rFonts w:hint="eastAsia" w:ascii="宋体" w:hAnsi="宋体" w:cs="宋体"/>
                <w:kern w:val="0"/>
                <w:szCs w:val="21"/>
              </w:rPr>
              <w:t>故障处理及时率</w:t>
            </w:r>
          </w:p>
        </w:tc>
        <w:tc>
          <w:tcPr>
            <w:tcW w:w="2579"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r>
              <w:rPr>
                <w:rFonts w:hint="eastAsia" w:ascii="宋体" w:hAnsi="宋体" w:cs="宋体"/>
                <w:kern w:val="0"/>
                <w:szCs w:val="21"/>
              </w:rPr>
              <w:t>≥98%</w:t>
            </w:r>
          </w:p>
        </w:tc>
        <w:tc>
          <w:tcPr>
            <w:tcW w:w="112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40分</w:t>
            </w:r>
          </w:p>
        </w:tc>
        <w:tc>
          <w:tcPr>
            <w:tcW w:w="283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r>
              <w:rPr>
                <w:rFonts w:hint="eastAsia" w:ascii="宋体" w:hAnsi="宋体" w:cs="宋体"/>
                <w:kern w:val="0"/>
                <w:szCs w:val="21"/>
              </w:rPr>
              <w:t>无正当理由，没有在合同规定的时间内到达处理问题的，一次扣10分</w:t>
            </w:r>
          </w:p>
        </w:tc>
        <w:tc>
          <w:tcPr>
            <w:tcW w:w="113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884" w:hRule="atLeast"/>
        </w:trPr>
        <w:tc>
          <w:tcPr>
            <w:tcW w:w="46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c>
          <w:tcPr>
            <w:tcW w:w="2326"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c>
          <w:tcPr>
            <w:tcW w:w="2579"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Cs w:val="21"/>
              </w:rPr>
            </w:pPr>
            <w:r>
              <w:rPr>
                <w:rFonts w:hint="eastAsia" w:ascii="宋体" w:hAnsi="宋体" w:cs="宋体"/>
                <w:kern w:val="0"/>
                <w:szCs w:val="21"/>
              </w:rPr>
              <w:t>故障响应和解决时间见合同</w:t>
            </w:r>
          </w:p>
        </w:tc>
        <w:tc>
          <w:tcPr>
            <w:tcW w:w="112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c>
          <w:tcPr>
            <w:tcW w:w="283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c>
          <w:tcPr>
            <w:tcW w:w="113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r>
      <w:tr>
        <w:tblPrEx>
          <w:tblLayout w:type="fixed"/>
          <w:tblCellMar>
            <w:top w:w="0" w:type="dxa"/>
            <w:left w:w="108" w:type="dxa"/>
            <w:bottom w:w="0" w:type="dxa"/>
            <w:right w:w="108" w:type="dxa"/>
          </w:tblCellMar>
        </w:tblPrEx>
        <w:trPr>
          <w:trHeight w:val="895" w:hRule="atLeast"/>
        </w:trPr>
        <w:tc>
          <w:tcPr>
            <w:tcW w:w="4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3</w:t>
            </w:r>
          </w:p>
        </w:tc>
        <w:tc>
          <w:tcPr>
            <w:tcW w:w="232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r>
              <w:rPr>
                <w:rFonts w:hint="eastAsia" w:ascii="宋体" w:hAnsi="宋体" w:cs="宋体"/>
                <w:kern w:val="0"/>
                <w:szCs w:val="21"/>
              </w:rPr>
              <w:t>不发生因设备故障原因导致航班延误</w:t>
            </w:r>
          </w:p>
        </w:tc>
        <w:tc>
          <w:tcPr>
            <w:tcW w:w="2579"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Cs w:val="21"/>
              </w:rPr>
            </w:pPr>
            <w:r>
              <w:rPr>
                <w:rFonts w:hint="eastAsia" w:ascii="宋体" w:hAnsi="宋体" w:cs="宋体"/>
                <w:kern w:val="0"/>
                <w:szCs w:val="21"/>
              </w:rPr>
              <w:t>0架次/年</w:t>
            </w:r>
          </w:p>
        </w:tc>
        <w:tc>
          <w:tcPr>
            <w:tcW w:w="11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20分</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r>
              <w:rPr>
                <w:rFonts w:hint="eastAsia" w:ascii="宋体" w:hAnsi="宋体" w:cs="宋体"/>
                <w:kern w:val="0"/>
                <w:szCs w:val="21"/>
              </w:rPr>
              <w:t>发生一次扣10分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r>
              <w:rPr>
                <w:rFonts w:hint="eastAsia" w:ascii="宋体" w:hAnsi="宋体" w:cs="宋体"/>
                <w:kern w:val="0"/>
                <w:szCs w:val="21"/>
              </w:rPr>
              <w:t>　</w:t>
            </w:r>
          </w:p>
        </w:tc>
      </w:tr>
      <w:tr>
        <w:tblPrEx>
          <w:tblLayout w:type="fixed"/>
          <w:tblCellMar>
            <w:top w:w="0" w:type="dxa"/>
            <w:left w:w="108" w:type="dxa"/>
            <w:bottom w:w="0" w:type="dxa"/>
            <w:right w:w="108" w:type="dxa"/>
          </w:tblCellMar>
        </w:tblPrEx>
        <w:trPr>
          <w:trHeight w:val="1706" w:hRule="atLeast"/>
        </w:trPr>
        <w:tc>
          <w:tcPr>
            <w:tcW w:w="4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4</w:t>
            </w:r>
          </w:p>
        </w:tc>
        <w:tc>
          <w:tcPr>
            <w:tcW w:w="2326"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r>
              <w:rPr>
                <w:rFonts w:hint="eastAsia" w:ascii="宋体" w:hAnsi="宋体" w:cs="宋体"/>
                <w:kern w:val="0"/>
                <w:szCs w:val="21"/>
              </w:rPr>
              <w:t>维修质量、维护等表格记录等情况</w:t>
            </w:r>
          </w:p>
        </w:tc>
        <w:tc>
          <w:tcPr>
            <w:tcW w:w="2579" w:type="dxa"/>
            <w:tcBorders>
              <w:top w:val="single" w:color="auto" w:sz="4" w:space="0"/>
              <w:left w:val="single" w:color="auto" w:sz="4" w:space="0"/>
              <w:bottom w:val="single" w:color="auto" w:sz="4" w:space="0"/>
              <w:right w:val="single" w:color="auto" w:sz="4" w:space="0"/>
            </w:tcBorders>
            <w:noWrap w:val="0"/>
            <w:vAlign w:val="center"/>
          </w:tcPr>
          <w:p>
            <w:pPr>
              <w:widowControl/>
              <w:rPr>
                <w:rFonts w:ascii="宋体" w:hAnsi="宋体" w:cs="宋体"/>
                <w:kern w:val="0"/>
                <w:szCs w:val="21"/>
              </w:rPr>
            </w:pPr>
            <w:r>
              <w:rPr>
                <w:rFonts w:hint="eastAsia" w:ascii="宋体" w:hAnsi="宋体" w:cs="宋体"/>
                <w:kern w:val="0"/>
                <w:szCs w:val="21"/>
              </w:rPr>
              <w:t>达标</w:t>
            </w:r>
          </w:p>
        </w:tc>
        <w:tc>
          <w:tcPr>
            <w:tcW w:w="1127"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r>
              <w:rPr>
                <w:rFonts w:hint="eastAsia" w:ascii="宋体" w:hAnsi="宋体" w:cs="宋体"/>
                <w:kern w:val="0"/>
                <w:szCs w:val="21"/>
              </w:rPr>
              <w:t>20分</w:t>
            </w:r>
          </w:p>
        </w:tc>
        <w:tc>
          <w:tcPr>
            <w:tcW w:w="2835"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r>
              <w:rPr>
                <w:rFonts w:hint="eastAsia" w:ascii="宋体" w:hAnsi="宋体" w:cs="宋体"/>
                <w:kern w:val="0"/>
                <w:szCs w:val="21"/>
              </w:rPr>
              <w:t>不定期抽查方式：检查中没有达到规定要求的或未登记的,每次、每项扣1分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p>
        </w:tc>
      </w:tr>
      <w:tr>
        <w:tblPrEx>
          <w:tblLayout w:type="fixed"/>
          <w:tblCellMar>
            <w:top w:w="0" w:type="dxa"/>
            <w:left w:w="108" w:type="dxa"/>
            <w:bottom w:w="0" w:type="dxa"/>
            <w:right w:w="108" w:type="dxa"/>
          </w:tblCellMar>
        </w:tblPrEx>
        <w:trPr>
          <w:trHeight w:val="732" w:hRule="atLeast"/>
        </w:trPr>
        <w:tc>
          <w:tcPr>
            <w:tcW w:w="462"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cs="宋体"/>
                <w:kern w:val="0"/>
                <w:szCs w:val="21"/>
              </w:rPr>
            </w:pPr>
          </w:p>
        </w:tc>
        <w:tc>
          <w:tcPr>
            <w:tcW w:w="8867" w:type="dxa"/>
            <w:gridSpan w:val="4"/>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r>
              <w:rPr>
                <w:rFonts w:hint="eastAsia" w:ascii="宋体" w:hAnsi="宋体" w:cs="宋体"/>
                <w:kern w:val="0"/>
                <w:szCs w:val="21"/>
              </w:rPr>
              <w:t>合计得分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jc w:val="left"/>
              <w:rPr>
                <w:rFonts w:ascii="宋体" w:hAnsi="宋体" w:cs="宋体"/>
                <w:kern w:val="0"/>
                <w:szCs w:val="21"/>
              </w:rPr>
            </w:pPr>
            <w:r>
              <w:rPr>
                <w:rFonts w:hint="eastAsia" w:ascii="宋体" w:hAnsi="宋体" w:cs="宋体"/>
                <w:kern w:val="0"/>
                <w:szCs w:val="21"/>
              </w:rPr>
              <w:t>　</w:t>
            </w:r>
          </w:p>
        </w:tc>
      </w:tr>
    </w:tbl>
    <w:p>
      <w:pPr>
        <w:spacing w:line="360" w:lineRule="auto"/>
        <w:rPr>
          <w:rFonts w:ascii="宋体" w:hAnsi="宋体" w:cs="宋体"/>
          <w:kern w:val="0"/>
          <w:szCs w:val="21"/>
        </w:rPr>
      </w:pPr>
      <w:r>
        <w:rPr>
          <w:rFonts w:hint="eastAsia" w:ascii="宋体" w:hAnsi="宋体" w:cs="宋体"/>
          <w:kern w:val="0"/>
          <w:szCs w:val="21"/>
        </w:rPr>
        <w:t>说明：</w:t>
      </w:r>
    </w:p>
    <w:p>
      <w:pPr>
        <w:pStyle w:val="19"/>
        <w:spacing w:line="276" w:lineRule="auto"/>
        <w:ind w:firstLine="420"/>
        <w:rPr>
          <w:rFonts w:hAnsi="宋体" w:cs="Calibri"/>
          <w:bCs/>
          <w:sz w:val="22"/>
          <w:szCs w:val="22"/>
        </w:rPr>
      </w:pPr>
      <w:r>
        <w:rPr>
          <w:rFonts w:hint="eastAsia" w:hAnsi="宋体" w:cs="Calibri"/>
          <w:bCs/>
          <w:sz w:val="22"/>
          <w:szCs w:val="22"/>
        </w:rPr>
        <w:t>1、按半年内实行累计积分，在半年考核完成后全部恢复到初始值，积分初始值统一设定为100分。</w:t>
      </w:r>
    </w:p>
    <w:p>
      <w:pPr>
        <w:pStyle w:val="19"/>
        <w:spacing w:line="276" w:lineRule="auto"/>
        <w:ind w:firstLine="420"/>
        <w:rPr>
          <w:rFonts w:hAnsi="宋体" w:cs="Calibri"/>
          <w:bCs/>
          <w:sz w:val="22"/>
          <w:szCs w:val="22"/>
        </w:rPr>
      </w:pPr>
      <w:r>
        <w:rPr>
          <w:rFonts w:hint="eastAsia" w:hAnsi="宋体" w:cs="Calibri"/>
          <w:bCs/>
          <w:sz w:val="22"/>
          <w:szCs w:val="22"/>
        </w:rPr>
        <w:t>2、考核积分与质保挂钩:（1）一年内两次考核分数均≥90分为基本满意，不予扣罚；（2）一年内两次考核有一次或两次得分：90分&gt;考核得分≥80分，投标人应按当年应付款的2.5%向招标人支付违约金；（3）一年内两次考核有一次或两次得分：80分&gt;考核积分≥70分，乙方应按当年应付款的5%向招标人支付违约金；4)考核积分&lt;70分，投标人应按当年应付款的10%向招标人支付违约金，且招标人有权终止合同，不支付剩余款项。</w:t>
      </w:r>
    </w:p>
    <w:p>
      <w:pPr>
        <w:rPr>
          <w:rFonts w:ascii="宋体" w:hAnsi="宋体"/>
          <w:b/>
          <w:sz w:val="22"/>
        </w:rPr>
        <w:sectPr>
          <w:pgSz w:w="11906" w:h="16838"/>
          <w:pgMar w:top="1134" w:right="1247" w:bottom="1134" w:left="1247" w:header="851" w:footer="1134" w:gutter="0"/>
          <w:pgNumType w:fmt="numberInDash"/>
          <w:cols w:space="720" w:num="1"/>
          <w:docGrid w:linePitch="312" w:charSpace="0"/>
        </w:sectPr>
      </w:pPr>
    </w:p>
    <w:p>
      <w:pPr>
        <w:pStyle w:val="2"/>
        <w:spacing w:before="0" w:after="0"/>
        <w:jc w:val="center"/>
        <w:rPr>
          <w:rFonts w:ascii="Calibri" w:hAnsi="Calibri" w:eastAsia="黑体" w:cs="Calibri"/>
          <w:kern w:val="0"/>
          <w:sz w:val="32"/>
        </w:rPr>
      </w:pPr>
      <w:bookmarkStart w:id="122" w:name="_Toc321925456"/>
      <w:bookmarkStart w:id="123" w:name="_Toc478453303"/>
      <w:r>
        <w:rPr>
          <w:rFonts w:ascii="Calibri" w:hAnsi="Calibri" w:eastAsia="黑体" w:cs="Calibri"/>
          <w:kern w:val="0"/>
          <w:sz w:val="32"/>
        </w:rPr>
        <w:t>第</w:t>
      </w:r>
      <w:r>
        <w:rPr>
          <w:rFonts w:hint="eastAsia" w:ascii="Calibri" w:hAnsi="Calibri" w:eastAsia="黑体" w:cs="Calibri"/>
          <w:kern w:val="0"/>
          <w:sz w:val="32"/>
        </w:rPr>
        <w:t>五</w:t>
      </w:r>
      <w:r>
        <w:rPr>
          <w:rFonts w:ascii="Calibri" w:hAnsi="Calibri" w:eastAsia="黑体" w:cs="Calibri"/>
          <w:kern w:val="0"/>
          <w:sz w:val="32"/>
        </w:rPr>
        <w:t>章  评标方法及标准</w:t>
      </w:r>
      <w:bookmarkEnd w:id="122"/>
      <w:bookmarkEnd w:id="123"/>
    </w:p>
    <w:p>
      <w:pPr>
        <w:pStyle w:val="19"/>
        <w:spacing w:line="360" w:lineRule="exact"/>
        <w:ind w:firstLine="420"/>
        <w:rPr>
          <w:rFonts w:hAnsi="宋体" w:cs="Calibri"/>
          <w:bCs/>
          <w:sz w:val="22"/>
          <w:szCs w:val="22"/>
        </w:rPr>
      </w:pPr>
      <w:bookmarkStart w:id="124" w:name="_Toc29892"/>
      <w:r>
        <w:rPr>
          <w:rFonts w:hAnsi="宋体" w:cs="Calibri"/>
          <w:bCs/>
          <w:sz w:val="22"/>
          <w:szCs w:val="22"/>
        </w:rPr>
        <w:t>为保证本招标项目评标工作顺利进行，根据《中华人民共和国招标投标法》、《中华人民共和国招标投标法实施条例》、《评标委员会和评标方法暂行规定》（原国家发展计划委员会、建设部等七部委 第12号令）等有关规定，制定本办法。</w:t>
      </w:r>
    </w:p>
    <w:p>
      <w:pPr>
        <w:pStyle w:val="19"/>
        <w:spacing w:line="360" w:lineRule="exact"/>
        <w:rPr>
          <w:rFonts w:hAnsi="宋体" w:cs="Calibri"/>
          <w:b/>
          <w:bCs/>
          <w:sz w:val="22"/>
          <w:szCs w:val="22"/>
        </w:rPr>
      </w:pPr>
      <w:r>
        <w:rPr>
          <w:rFonts w:hAnsi="宋体" w:cs="Calibri"/>
          <w:b/>
          <w:bCs/>
          <w:sz w:val="22"/>
          <w:szCs w:val="22"/>
        </w:rPr>
        <w:t>一、评标原则</w:t>
      </w:r>
    </w:p>
    <w:p>
      <w:pPr>
        <w:pStyle w:val="19"/>
        <w:spacing w:line="360" w:lineRule="exact"/>
        <w:ind w:firstLine="420"/>
        <w:rPr>
          <w:rFonts w:hAnsi="宋体" w:cs="Calibri"/>
          <w:sz w:val="22"/>
          <w:szCs w:val="22"/>
        </w:rPr>
      </w:pPr>
      <w:r>
        <w:rPr>
          <w:rFonts w:hAnsi="宋体" w:cs="Calibri"/>
          <w:bCs/>
          <w:sz w:val="22"/>
          <w:szCs w:val="22"/>
        </w:rPr>
        <w:t>评标应遵循公平、公正、科学、择优的原则。</w:t>
      </w:r>
    </w:p>
    <w:p>
      <w:pPr>
        <w:pStyle w:val="19"/>
        <w:spacing w:line="360" w:lineRule="exact"/>
        <w:rPr>
          <w:rFonts w:hAnsi="宋体" w:cs="Calibri"/>
          <w:b/>
          <w:bCs/>
          <w:sz w:val="22"/>
          <w:szCs w:val="22"/>
        </w:rPr>
      </w:pPr>
      <w:r>
        <w:rPr>
          <w:rFonts w:hAnsi="宋体" w:cs="Calibri"/>
          <w:b/>
          <w:bCs/>
          <w:sz w:val="22"/>
          <w:szCs w:val="22"/>
        </w:rPr>
        <w:t>二、评标组织</w:t>
      </w:r>
    </w:p>
    <w:p>
      <w:pPr>
        <w:pStyle w:val="19"/>
        <w:spacing w:line="360" w:lineRule="exact"/>
        <w:ind w:firstLine="420"/>
        <w:rPr>
          <w:rFonts w:hAnsi="宋体" w:cs="Calibri"/>
          <w:sz w:val="22"/>
          <w:szCs w:val="22"/>
        </w:rPr>
      </w:pPr>
      <w:r>
        <w:rPr>
          <w:rFonts w:hAnsi="宋体" w:cs="Calibri"/>
          <w:sz w:val="22"/>
          <w:szCs w:val="22"/>
        </w:rPr>
        <w:t>评标工作由招标人依法组建的评标委员会（小组）负责。评标委员会成员为</w:t>
      </w:r>
      <w:r>
        <w:rPr>
          <w:rFonts w:hint="eastAsia" w:hAnsi="宋体" w:cs="Calibri"/>
          <w:sz w:val="22"/>
          <w:szCs w:val="22"/>
        </w:rPr>
        <w:t>3</w:t>
      </w:r>
      <w:r>
        <w:rPr>
          <w:rFonts w:hAnsi="宋体" w:cs="Calibri"/>
          <w:sz w:val="22"/>
          <w:szCs w:val="22"/>
        </w:rPr>
        <w:t>人及以上单数，</w:t>
      </w:r>
      <w:r>
        <w:rPr>
          <w:rFonts w:hint="eastAsia" w:hAnsi="宋体"/>
          <w:sz w:val="22"/>
          <w:szCs w:val="22"/>
        </w:rPr>
        <w:t>评标委员会由招标人自行组建。</w:t>
      </w:r>
    </w:p>
    <w:p>
      <w:pPr>
        <w:pStyle w:val="19"/>
        <w:spacing w:line="360" w:lineRule="exact"/>
        <w:rPr>
          <w:rFonts w:hAnsi="宋体" w:cs="Calibri"/>
          <w:b/>
          <w:bCs/>
          <w:sz w:val="22"/>
          <w:szCs w:val="22"/>
        </w:rPr>
      </w:pPr>
      <w:r>
        <w:rPr>
          <w:rFonts w:hAnsi="宋体" w:cs="Calibri"/>
          <w:b/>
          <w:bCs/>
          <w:sz w:val="22"/>
          <w:szCs w:val="22"/>
        </w:rPr>
        <w:t>三、投标文件的评审</w:t>
      </w:r>
    </w:p>
    <w:p>
      <w:pPr>
        <w:pStyle w:val="19"/>
        <w:spacing w:line="360" w:lineRule="exact"/>
        <w:ind w:firstLine="440" w:firstLineChars="200"/>
        <w:rPr>
          <w:rFonts w:hAnsi="宋体" w:cs="Calibri"/>
          <w:b/>
          <w:sz w:val="22"/>
          <w:szCs w:val="22"/>
        </w:rPr>
      </w:pPr>
      <w:r>
        <w:rPr>
          <w:rFonts w:hAnsi="宋体" w:cs="Calibri"/>
          <w:b/>
          <w:sz w:val="22"/>
          <w:szCs w:val="22"/>
        </w:rPr>
        <w:t>3.1 符合性评审</w:t>
      </w:r>
    </w:p>
    <w:p>
      <w:pPr>
        <w:widowControl/>
        <w:tabs>
          <w:tab w:val="left" w:pos="709"/>
        </w:tabs>
        <w:snapToGrid w:val="0"/>
        <w:spacing w:line="360" w:lineRule="exact"/>
        <w:ind w:firstLine="444" w:firstLineChars="202"/>
        <w:rPr>
          <w:rFonts w:ascii="宋体" w:hAnsi="宋体" w:cs="Calibri"/>
          <w:bCs/>
          <w:kern w:val="0"/>
          <w:sz w:val="22"/>
        </w:rPr>
      </w:pPr>
      <w:r>
        <w:rPr>
          <w:rFonts w:ascii="宋体" w:hAnsi="宋体" w:cs="Calibri"/>
          <w:bCs/>
          <w:kern w:val="0"/>
          <w:sz w:val="22"/>
        </w:rPr>
        <w:t>3.1.1评标委员会应依照招标文件的要求和规定首先对投标人的投标资格和投标文件进行符合性审查，</w:t>
      </w:r>
      <w:r>
        <w:rPr>
          <w:rFonts w:ascii="宋体" w:hAnsi="宋体" w:cs="Calibri"/>
          <w:b/>
          <w:kern w:val="0"/>
          <w:sz w:val="22"/>
        </w:rPr>
        <w:t>审查过程中评标委员会可以要求投标人提交下列审查项所需的有关证明和证件的原件，以便核验。</w:t>
      </w:r>
      <w:r>
        <w:rPr>
          <w:rFonts w:ascii="宋体" w:hAnsi="宋体" w:cs="Calibri"/>
          <w:bCs/>
          <w:kern w:val="0"/>
          <w:sz w:val="22"/>
        </w:rPr>
        <w:t>投标文件如存在以下情况之一的，经评标委员会三分之二以上的成员认定，符合性审查不予通过，</w:t>
      </w:r>
      <w:r>
        <w:rPr>
          <w:rFonts w:ascii="宋体" w:hAnsi="宋体" w:cs="Calibri"/>
          <w:b/>
          <w:bCs/>
          <w:kern w:val="0"/>
          <w:sz w:val="22"/>
        </w:rPr>
        <w:t>作</w:t>
      </w:r>
      <w:r>
        <w:rPr>
          <w:rFonts w:hint="eastAsia" w:ascii="宋体" w:hAnsi="宋体" w:cs="Calibri"/>
          <w:b/>
          <w:bCs/>
          <w:kern w:val="0"/>
          <w:sz w:val="22"/>
        </w:rPr>
        <w:t>否决投标</w:t>
      </w:r>
      <w:r>
        <w:rPr>
          <w:rFonts w:ascii="宋体" w:hAnsi="宋体" w:cs="Calibri"/>
          <w:b/>
          <w:bCs/>
          <w:kern w:val="0"/>
          <w:sz w:val="22"/>
        </w:rPr>
        <w:t>处理，</w:t>
      </w:r>
      <w:r>
        <w:rPr>
          <w:rFonts w:ascii="宋体" w:hAnsi="宋体" w:cs="Calibri"/>
          <w:bCs/>
          <w:kern w:val="0"/>
          <w:sz w:val="22"/>
        </w:rPr>
        <w:t>不再进行详细评审：</w:t>
      </w:r>
    </w:p>
    <w:p>
      <w:pPr>
        <w:spacing w:line="360" w:lineRule="exact"/>
        <w:ind w:firstLine="470" w:firstLineChars="214"/>
        <w:rPr>
          <w:rFonts w:ascii="宋体" w:hAnsi="宋体" w:cs="Calibri"/>
          <w:sz w:val="22"/>
        </w:rPr>
      </w:pPr>
      <w:r>
        <w:rPr>
          <w:rFonts w:ascii="宋体" w:hAnsi="宋体" w:cs="Calibri"/>
          <w:sz w:val="22"/>
        </w:rPr>
        <w:t>1、</w:t>
      </w:r>
      <w:r>
        <w:rPr>
          <w:rFonts w:ascii="宋体" w:hAnsi="宋体" w:cs="Calibri"/>
          <w:bCs/>
          <w:kern w:val="0"/>
          <w:sz w:val="22"/>
        </w:rPr>
        <w:t>投标人的投标资格不满足国家有关规定或招标文件载明的投标资格条件的；</w:t>
      </w:r>
    </w:p>
    <w:p>
      <w:pPr>
        <w:spacing w:line="360" w:lineRule="exact"/>
        <w:ind w:firstLine="470" w:firstLineChars="214"/>
        <w:rPr>
          <w:rFonts w:ascii="宋体" w:hAnsi="宋体" w:cs="Calibri"/>
          <w:sz w:val="22"/>
        </w:rPr>
      </w:pPr>
      <w:r>
        <w:rPr>
          <w:rFonts w:ascii="宋体" w:hAnsi="宋体" w:cs="Calibri"/>
          <w:sz w:val="22"/>
        </w:rPr>
        <w:t>2、投标文件未按招标文件的要求签署和盖章的（仅限于单位印章和法定代表人或其委托代理人签字或盖章）；</w:t>
      </w:r>
    </w:p>
    <w:p>
      <w:pPr>
        <w:spacing w:line="360" w:lineRule="exact"/>
        <w:ind w:firstLine="470" w:firstLineChars="214"/>
        <w:rPr>
          <w:rFonts w:ascii="宋体" w:hAnsi="宋体" w:cs="Calibri"/>
          <w:sz w:val="22"/>
        </w:rPr>
      </w:pPr>
      <w:r>
        <w:rPr>
          <w:rFonts w:ascii="宋体" w:hAnsi="宋体" w:cs="Calibri"/>
          <w:sz w:val="22"/>
        </w:rPr>
        <w:t>3、投标文件未按规定的格式填写，内容不全或关键字迹模糊、无法辨认的；</w:t>
      </w:r>
    </w:p>
    <w:p>
      <w:pPr>
        <w:spacing w:line="360" w:lineRule="exact"/>
        <w:ind w:firstLine="470" w:firstLineChars="214"/>
        <w:rPr>
          <w:rFonts w:ascii="宋体" w:hAnsi="宋体" w:cs="Calibri"/>
          <w:sz w:val="22"/>
        </w:rPr>
      </w:pPr>
      <w:r>
        <w:rPr>
          <w:rFonts w:ascii="宋体" w:hAnsi="宋体" w:cs="Calibri"/>
          <w:sz w:val="22"/>
        </w:rPr>
        <w:t>4、投标人递交两份或多份内容不同的投标文件，或在一份投标文件中对同一招标项目报有两个或多个报价，且未声明哪一个有效；</w:t>
      </w:r>
    </w:p>
    <w:p>
      <w:pPr>
        <w:spacing w:line="360" w:lineRule="exact"/>
        <w:ind w:firstLine="470" w:firstLineChars="214"/>
        <w:rPr>
          <w:rFonts w:ascii="宋体" w:hAnsi="宋体" w:cs="Calibri"/>
          <w:sz w:val="22"/>
        </w:rPr>
      </w:pPr>
      <w:r>
        <w:rPr>
          <w:rFonts w:ascii="宋体" w:hAnsi="宋体" w:cs="Calibri"/>
          <w:sz w:val="22"/>
        </w:rPr>
        <w:t>5、</w:t>
      </w:r>
      <w:r>
        <w:rPr>
          <w:rFonts w:hint="eastAsia" w:ascii="宋体" w:hAnsi="宋体" w:cs="Calibri"/>
          <w:sz w:val="22"/>
        </w:rPr>
        <w:t>供货</w:t>
      </w:r>
      <w:r>
        <w:rPr>
          <w:rFonts w:ascii="宋体" w:hAnsi="宋体" w:cs="Calibri"/>
          <w:sz w:val="22"/>
        </w:rPr>
        <w:t>期不满足招标文件要求的；</w:t>
      </w:r>
    </w:p>
    <w:p>
      <w:pPr>
        <w:spacing w:line="360" w:lineRule="exact"/>
        <w:ind w:firstLine="470" w:firstLineChars="214"/>
        <w:rPr>
          <w:rFonts w:ascii="宋体" w:hAnsi="宋体" w:cs="Calibri"/>
          <w:sz w:val="22"/>
        </w:rPr>
      </w:pPr>
      <w:r>
        <w:rPr>
          <w:rFonts w:ascii="宋体" w:hAnsi="宋体" w:cs="Calibri"/>
          <w:sz w:val="22"/>
        </w:rPr>
        <w:t>6、不</w:t>
      </w:r>
      <w:r>
        <w:rPr>
          <w:rFonts w:ascii="宋体" w:hAnsi="宋体" w:cs="Calibri"/>
          <w:kern w:val="0"/>
          <w:sz w:val="22"/>
        </w:rPr>
        <w:t>响应招标文件规定的实质性要求（包括具体条文前用“★”标示的）</w:t>
      </w:r>
    </w:p>
    <w:p>
      <w:pPr>
        <w:spacing w:line="360" w:lineRule="exact"/>
        <w:ind w:firstLine="470" w:firstLineChars="214"/>
        <w:rPr>
          <w:rFonts w:ascii="宋体" w:hAnsi="宋体" w:cs="Calibri"/>
          <w:sz w:val="22"/>
        </w:rPr>
      </w:pPr>
      <w:r>
        <w:rPr>
          <w:rFonts w:ascii="宋体" w:hAnsi="宋体" w:cs="Calibri"/>
          <w:sz w:val="22"/>
        </w:rPr>
        <w:t>7、投标人不以自己的名义或未按招标文件的要求提供投标保证金或提供的保证金有缺陷而不能接受的；</w:t>
      </w:r>
    </w:p>
    <w:p>
      <w:pPr>
        <w:spacing w:line="360" w:lineRule="exact"/>
        <w:ind w:firstLine="470" w:firstLineChars="214"/>
        <w:rPr>
          <w:rFonts w:ascii="宋体" w:hAnsi="宋体" w:cs="Calibri"/>
          <w:sz w:val="22"/>
        </w:rPr>
      </w:pPr>
      <w:r>
        <w:rPr>
          <w:rFonts w:ascii="宋体" w:hAnsi="宋体" w:cs="Calibri"/>
          <w:sz w:val="22"/>
        </w:rPr>
        <w:t>8、投标人以他人名义投标、或与他人串通投标、或以行贿手段谋取中标，或弄虚作假的；</w:t>
      </w:r>
    </w:p>
    <w:p>
      <w:pPr>
        <w:spacing w:line="360" w:lineRule="exact"/>
        <w:ind w:firstLine="470" w:firstLineChars="214"/>
        <w:rPr>
          <w:rFonts w:ascii="宋体" w:hAnsi="宋体" w:cs="Calibri"/>
          <w:sz w:val="22"/>
        </w:rPr>
      </w:pPr>
      <w:r>
        <w:rPr>
          <w:rFonts w:hint="eastAsia" w:ascii="宋体" w:hAnsi="宋体" w:cs="Calibri"/>
          <w:sz w:val="22"/>
        </w:rPr>
        <w:t>9</w:t>
      </w:r>
      <w:r>
        <w:rPr>
          <w:rFonts w:ascii="宋体" w:hAnsi="宋体" w:cs="Calibri"/>
          <w:sz w:val="22"/>
        </w:rPr>
        <w:t>、存在法律、法规、规章规定的其它无效投标情况的</w:t>
      </w:r>
      <w:r>
        <w:rPr>
          <w:rFonts w:hint="eastAsia" w:ascii="宋体" w:hAnsi="宋体" w:cs="Calibri"/>
          <w:sz w:val="22"/>
        </w:rPr>
        <w:t>。</w:t>
      </w:r>
    </w:p>
    <w:p>
      <w:pPr>
        <w:spacing w:line="360" w:lineRule="exact"/>
        <w:ind w:firstLine="470" w:firstLineChars="214"/>
        <w:rPr>
          <w:rFonts w:hint="eastAsia" w:ascii="宋体" w:hAnsi="宋体" w:cs="Calibri"/>
          <w:sz w:val="22"/>
        </w:rPr>
      </w:pPr>
      <w:r>
        <w:rPr>
          <w:rFonts w:hint="eastAsia" w:ascii="宋体" w:hAnsi="宋体" w:cs="Calibri"/>
          <w:sz w:val="22"/>
        </w:rPr>
        <w:t>涉及本文件投标人资格条件第（</w:t>
      </w:r>
      <w:r>
        <w:rPr>
          <w:rFonts w:ascii="宋体" w:hAnsi="宋体" w:cs="Calibri"/>
          <w:sz w:val="22"/>
        </w:rPr>
        <w:t>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widowControl/>
        <w:tabs>
          <w:tab w:val="left" w:pos="709"/>
        </w:tabs>
        <w:snapToGrid w:val="0"/>
        <w:spacing w:line="360" w:lineRule="exact"/>
        <w:ind w:firstLine="445" w:firstLineChars="202"/>
        <w:rPr>
          <w:rFonts w:ascii="宋体" w:hAnsi="宋体" w:cs="Calibri"/>
          <w:b/>
          <w:sz w:val="22"/>
        </w:rPr>
      </w:pPr>
      <w:r>
        <w:rPr>
          <w:rFonts w:ascii="宋体" w:hAnsi="宋体" w:cs="Calibri"/>
          <w:b/>
          <w:sz w:val="22"/>
        </w:rPr>
        <w:t>3.1.2 报价算术性修正</w:t>
      </w:r>
    </w:p>
    <w:p>
      <w:pPr>
        <w:pStyle w:val="19"/>
        <w:spacing w:line="360" w:lineRule="exact"/>
        <w:ind w:firstLine="440" w:firstLineChars="200"/>
        <w:rPr>
          <w:rFonts w:hAnsi="宋体" w:cs="Calibri"/>
          <w:sz w:val="22"/>
          <w:szCs w:val="22"/>
        </w:rPr>
      </w:pPr>
      <w:r>
        <w:rPr>
          <w:rFonts w:hAnsi="宋体" w:cs="Calibri"/>
          <w:sz w:val="22"/>
          <w:szCs w:val="22"/>
        </w:rPr>
        <w:t>评标委员会按以下原则对通过符合性审查的投标文件报价进行算术性修正：</w:t>
      </w:r>
    </w:p>
    <w:p>
      <w:pPr>
        <w:pStyle w:val="19"/>
        <w:numPr>
          <w:ilvl w:val="0"/>
          <w:numId w:val="1"/>
        </w:numPr>
        <w:adjustRightInd w:val="0"/>
        <w:spacing w:line="360" w:lineRule="exact"/>
        <w:ind w:left="0" w:firstLine="440" w:firstLineChars="200"/>
        <w:rPr>
          <w:rFonts w:hAnsi="宋体" w:cs="Calibri"/>
          <w:sz w:val="22"/>
          <w:szCs w:val="22"/>
        </w:rPr>
      </w:pPr>
      <w:r>
        <w:rPr>
          <w:rFonts w:hAnsi="宋体" w:cs="Calibri"/>
          <w:sz w:val="22"/>
          <w:szCs w:val="22"/>
        </w:rPr>
        <w:t>投标文件中的大写金额与小写金额不一致的，以大写金额为准；</w:t>
      </w:r>
    </w:p>
    <w:p>
      <w:pPr>
        <w:pStyle w:val="19"/>
        <w:numPr>
          <w:ilvl w:val="0"/>
          <w:numId w:val="1"/>
        </w:numPr>
        <w:adjustRightInd w:val="0"/>
        <w:spacing w:line="360" w:lineRule="exact"/>
        <w:ind w:left="0" w:firstLine="440" w:firstLineChars="200"/>
        <w:rPr>
          <w:rFonts w:hAnsi="宋体" w:cs="Calibri"/>
          <w:sz w:val="22"/>
          <w:szCs w:val="22"/>
        </w:rPr>
      </w:pPr>
      <w:r>
        <w:rPr>
          <w:rFonts w:hAnsi="宋体" w:cs="Calibri"/>
          <w:sz w:val="22"/>
          <w:szCs w:val="22"/>
        </w:rPr>
        <w:t>总价金额与依据单价（或各分项合计）计算出的结果不一致的，以单价金额（或各分项合计）为准修正总价，但单价金额小数点有明显错误的除外。</w:t>
      </w:r>
    </w:p>
    <w:p>
      <w:pPr>
        <w:pStyle w:val="19"/>
        <w:spacing w:line="360" w:lineRule="exact"/>
        <w:ind w:firstLine="440" w:firstLineChars="200"/>
        <w:rPr>
          <w:rFonts w:hAnsi="宋体" w:cs="Calibri"/>
          <w:b/>
          <w:sz w:val="22"/>
          <w:szCs w:val="22"/>
        </w:rPr>
      </w:pPr>
      <w:r>
        <w:rPr>
          <w:rFonts w:hAnsi="宋体" w:cs="Calibri"/>
          <w:sz w:val="22"/>
          <w:szCs w:val="22"/>
        </w:rPr>
        <w:t>★修正的价格经投标人书面确认后具有约束力。投标人不接受修正价格的，其投标作</w:t>
      </w:r>
      <w:r>
        <w:rPr>
          <w:rFonts w:hint="eastAsia" w:hAnsi="宋体" w:cs="Calibri"/>
          <w:b/>
          <w:sz w:val="22"/>
          <w:szCs w:val="22"/>
        </w:rPr>
        <w:t>否决投标</w:t>
      </w:r>
      <w:r>
        <w:rPr>
          <w:rFonts w:hAnsi="宋体" w:cs="Calibri"/>
          <w:b/>
          <w:sz w:val="22"/>
          <w:szCs w:val="22"/>
        </w:rPr>
        <w:t>处理</w:t>
      </w:r>
      <w:r>
        <w:rPr>
          <w:rFonts w:hAnsi="宋体" w:cs="Calibri"/>
          <w:sz w:val="22"/>
          <w:szCs w:val="22"/>
        </w:rPr>
        <w:t>。</w:t>
      </w:r>
    </w:p>
    <w:p>
      <w:pPr>
        <w:pStyle w:val="19"/>
        <w:spacing w:line="360" w:lineRule="exact"/>
        <w:ind w:firstLine="440" w:firstLineChars="200"/>
        <w:rPr>
          <w:rFonts w:hAnsi="宋体" w:cs="Calibri"/>
          <w:b/>
          <w:sz w:val="22"/>
          <w:szCs w:val="22"/>
        </w:rPr>
      </w:pPr>
      <w:r>
        <w:rPr>
          <w:rFonts w:hAnsi="宋体" w:cs="Calibri"/>
          <w:sz w:val="22"/>
          <w:szCs w:val="22"/>
        </w:rPr>
        <w:t>当通过符合性评审的单位少于三家时（不包括三家），应由评标委员会确认是否具有竞争性，如果有竞争性，则评标继续进行。</w:t>
      </w:r>
    </w:p>
    <w:p>
      <w:pPr>
        <w:pStyle w:val="19"/>
        <w:spacing w:line="360" w:lineRule="exact"/>
        <w:ind w:firstLine="440" w:firstLineChars="200"/>
        <w:rPr>
          <w:rFonts w:hAnsi="宋体" w:cs="Calibri"/>
          <w:b/>
          <w:sz w:val="22"/>
          <w:szCs w:val="22"/>
        </w:rPr>
      </w:pPr>
      <w:r>
        <w:rPr>
          <w:rFonts w:hAnsi="宋体" w:cs="Calibri"/>
          <w:b/>
          <w:sz w:val="22"/>
          <w:szCs w:val="22"/>
        </w:rPr>
        <w:t>3.2 投标文件的澄清和补正</w:t>
      </w:r>
    </w:p>
    <w:p>
      <w:pPr>
        <w:pStyle w:val="19"/>
        <w:adjustRightInd w:val="0"/>
        <w:snapToGrid w:val="0"/>
        <w:spacing w:line="360" w:lineRule="exact"/>
        <w:ind w:firstLine="440" w:firstLineChars="200"/>
        <w:rPr>
          <w:rFonts w:hAnsi="宋体" w:cs="Calibri"/>
          <w:sz w:val="22"/>
          <w:szCs w:val="22"/>
        </w:rPr>
      </w:pPr>
      <w:r>
        <w:rPr>
          <w:rFonts w:hAnsi="宋体" w:cs="Calibri"/>
          <w:sz w:val="22"/>
          <w:szCs w:val="22"/>
        </w:rPr>
        <w:t>3.2.1 在评标过程中，评标委员会可以书面形式要求投标人对所提交的投标文件中不明确的内容进行书面澄清、说明或者补正。评标委员会不接受投标人主动提出的澄清、说明或补正。</w:t>
      </w:r>
    </w:p>
    <w:p>
      <w:pPr>
        <w:pStyle w:val="19"/>
        <w:adjustRightInd w:val="0"/>
        <w:snapToGrid w:val="0"/>
        <w:spacing w:line="360" w:lineRule="exact"/>
        <w:ind w:firstLine="440" w:firstLineChars="200"/>
        <w:rPr>
          <w:rFonts w:hAnsi="宋体" w:cs="Calibri"/>
          <w:sz w:val="22"/>
          <w:szCs w:val="22"/>
        </w:rPr>
      </w:pPr>
      <w:r>
        <w:rPr>
          <w:rFonts w:hAnsi="宋体" w:cs="Calibri"/>
          <w:sz w:val="22"/>
          <w:szCs w:val="22"/>
        </w:rPr>
        <w:t>3.2.2澄清、说明和补正不得改变投标文件的实质性内容（算术性错误修正的除外）。投标人的书面澄清、说明和补正属于投标文件的组成部分。</w:t>
      </w:r>
    </w:p>
    <w:p>
      <w:pPr>
        <w:pStyle w:val="19"/>
        <w:adjustRightInd w:val="0"/>
        <w:snapToGrid w:val="0"/>
        <w:spacing w:line="360" w:lineRule="exact"/>
        <w:ind w:firstLine="440" w:firstLineChars="200"/>
        <w:rPr>
          <w:rFonts w:hAnsi="宋体" w:cs="Calibri"/>
          <w:sz w:val="22"/>
          <w:szCs w:val="22"/>
        </w:rPr>
      </w:pPr>
      <w:r>
        <w:rPr>
          <w:rFonts w:hAnsi="宋体" w:cs="Calibri"/>
          <w:sz w:val="22"/>
          <w:szCs w:val="22"/>
        </w:rPr>
        <w:t>3.2.3 评标委员会对投标人提交的澄清、说明或补正有疑问的，可以要求投标人进一步澄清、说明或补正，直至满足评标委员会的要求。</w:t>
      </w:r>
    </w:p>
    <w:p>
      <w:pPr>
        <w:adjustRightInd w:val="0"/>
        <w:snapToGrid w:val="0"/>
        <w:spacing w:line="360" w:lineRule="exact"/>
        <w:ind w:firstLine="440" w:firstLineChars="200"/>
        <w:rPr>
          <w:rFonts w:ascii="宋体" w:hAnsi="宋体"/>
          <w:b/>
          <w:sz w:val="22"/>
        </w:rPr>
      </w:pPr>
      <w:r>
        <w:rPr>
          <w:rFonts w:ascii="宋体" w:hAnsi="宋体" w:cs="Calibri"/>
          <w:b/>
          <w:sz w:val="22"/>
        </w:rPr>
        <w:t>3.3</w:t>
      </w:r>
      <w:r>
        <w:rPr>
          <w:rFonts w:hint="eastAsia" w:ascii="宋体" w:hAnsi="宋体"/>
          <w:b/>
          <w:sz w:val="22"/>
        </w:rPr>
        <w:t>评标细则</w:t>
      </w:r>
    </w:p>
    <w:p>
      <w:pPr>
        <w:pStyle w:val="19"/>
        <w:adjustRightInd w:val="0"/>
        <w:snapToGrid w:val="0"/>
        <w:spacing w:line="360" w:lineRule="exact"/>
        <w:ind w:firstLine="440" w:firstLineChars="200"/>
        <w:rPr>
          <w:rFonts w:hAnsi="宋体" w:cs="Calibri"/>
          <w:sz w:val="22"/>
          <w:szCs w:val="22"/>
        </w:rPr>
      </w:pPr>
      <w:r>
        <w:rPr>
          <w:rFonts w:hint="eastAsia" w:hAnsi="宋体" w:cs="Calibri"/>
          <w:sz w:val="22"/>
          <w:szCs w:val="22"/>
        </w:rPr>
        <w:t>本次评标采用综合评估法，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pStyle w:val="19"/>
        <w:adjustRightInd w:val="0"/>
        <w:snapToGrid w:val="0"/>
        <w:spacing w:line="360" w:lineRule="exact"/>
        <w:ind w:firstLine="440" w:firstLineChars="200"/>
        <w:rPr>
          <w:rFonts w:hAnsi="宋体" w:cs="Calibri"/>
          <w:sz w:val="22"/>
          <w:szCs w:val="22"/>
        </w:rPr>
      </w:pPr>
      <w:r>
        <w:rPr>
          <w:rFonts w:hint="eastAsia" w:hAnsi="宋体"/>
          <w:b/>
          <w:sz w:val="22"/>
          <w:szCs w:val="22"/>
        </w:rPr>
        <w:t>每个投标人最终得分=商务报价分+资信及技术分</w:t>
      </w:r>
    </w:p>
    <w:p>
      <w:pPr>
        <w:pStyle w:val="19"/>
        <w:adjustRightInd w:val="0"/>
        <w:snapToGrid w:val="0"/>
        <w:spacing w:line="360" w:lineRule="exact"/>
        <w:ind w:firstLine="440" w:firstLineChars="200"/>
        <w:rPr>
          <w:rFonts w:hAnsi="宋体" w:cs="Calibri"/>
          <w:b/>
          <w:sz w:val="22"/>
          <w:szCs w:val="22"/>
        </w:rPr>
      </w:pPr>
      <w:r>
        <w:rPr>
          <w:rFonts w:hint="eastAsia" w:hAnsi="宋体" w:cs="Calibri"/>
          <w:b/>
          <w:sz w:val="22"/>
          <w:szCs w:val="22"/>
        </w:rPr>
        <w:t>3.3.1商务报价分   40-60分</w:t>
      </w:r>
    </w:p>
    <w:p>
      <w:pPr>
        <w:pStyle w:val="19"/>
        <w:adjustRightInd w:val="0"/>
        <w:snapToGrid w:val="0"/>
        <w:spacing w:line="360" w:lineRule="exact"/>
        <w:ind w:firstLine="440" w:firstLineChars="200"/>
        <w:rPr>
          <w:rFonts w:hAnsi="宋体"/>
          <w:bCs/>
        </w:rPr>
      </w:pPr>
      <w:r>
        <w:rPr>
          <w:rFonts w:hint="eastAsia" w:hAnsi="宋体"/>
          <w:sz w:val="22"/>
          <w:szCs w:val="22"/>
        </w:rPr>
        <w:t>报价评分应在投标报价响应招标文件要求的基础上，</w:t>
      </w:r>
      <w:r>
        <w:rPr>
          <w:rFonts w:hint="eastAsia" w:hAnsi="宋体"/>
          <w:b/>
          <w:sz w:val="22"/>
          <w:szCs w:val="22"/>
        </w:rPr>
        <w:t>评标基准价的计算方式为：（1）若有效评标价少于四家（含）时，报价平均值与最低价的平均值作为基准价。（2）若有效评标价大于四家时，报价的平均值与次低价的平均值作为基准价。</w:t>
      </w:r>
      <w:r>
        <w:rPr>
          <w:rFonts w:hint="eastAsia" w:hAnsi="宋体"/>
          <w:sz w:val="22"/>
          <w:szCs w:val="22"/>
        </w:rPr>
        <w:t>。</w:t>
      </w:r>
    </w:p>
    <w:p>
      <w:pPr>
        <w:adjustRightInd w:val="0"/>
        <w:snapToGrid w:val="0"/>
        <w:ind w:firstLine="540" w:firstLineChars="257"/>
        <w:jc w:val="center"/>
        <w:rPr>
          <w:rFonts w:ascii="宋体" w:hAnsi="宋体"/>
          <w:b/>
          <w:szCs w:val="21"/>
        </w:rPr>
      </w:pPr>
      <w:r>
        <w:rPr>
          <w:rFonts w:hint="eastAsia" w:ascii="宋体" w:hAnsi="宋体"/>
          <w:b/>
          <w:szCs w:val="21"/>
        </w:rPr>
        <w:t>商务标评分细则</w:t>
      </w:r>
    </w:p>
    <w:tbl>
      <w:tblPr>
        <w:tblStyle w:val="46"/>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7"/>
        <w:gridCol w:w="1701"/>
        <w:gridCol w:w="513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497" w:type="dxa"/>
            <w:noWrap w:val="0"/>
            <w:vAlign w:val="center"/>
          </w:tcPr>
          <w:p>
            <w:pPr>
              <w:snapToGrid w:val="0"/>
              <w:jc w:val="center"/>
              <w:rPr>
                <w:rFonts w:ascii="宋体" w:hAnsi="宋体"/>
                <w:szCs w:val="21"/>
              </w:rPr>
            </w:pPr>
            <w:r>
              <w:rPr>
                <w:rFonts w:hint="eastAsia" w:ascii="宋体" w:hAnsi="宋体"/>
                <w:szCs w:val="21"/>
              </w:rPr>
              <w:t>评分因素</w:t>
            </w:r>
          </w:p>
          <w:p>
            <w:pPr>
              <w:snapToGrid w:val="0"/>
              <w:jc w:val="center"/>
              <w:rPr>
                <w:rFonts w:ascii="宋体" w:hAnsi="宋体"/>
                <w:szCs w:val="21"/>
              </w:rPr>
            </w:pPr>
            <w:r>
              <w:rPr>
                <w:rFonts w:hint="eastAsia" w:ascii="宋体" w:hAnsi="宋体"/>
                <w:szCs w:val="21"/>
              </w:rPr>
              <w:t>及分值权重</w:t>
            </w:r>
          </w:p>
        </w:tc>
        <w:tc>
          <w:tcPr>
            <w:tcW w:w="1701" w:type="dxa"/>
            <w:noWrap w:val="0"/>
            <w:vAlign w:val="center"/>
          </w:tcPr>
          <w:p>
            <w:pPr>
              <w:snapToGrid w:val="0"/>
              <w:jc w:val="center"/>
              <w:rPr>
                <w:rFonts w:ascii="宋体" w:hAnsi="宋体"/>
                <w:szCs w:val="21"/>
              </w:rPr>
            </w:pPr>
            <w:r>
              <w:rPr>
                <w:rFonts w:hint="eastAsia" w:ascii="宋体" w:hAnsi="宋体"/>
                <w:szCs w:val="21"/>
              </w:rPr>
              <w:t>评审因素子项</w:t>
            </w:r>
          </w:p>
        </w:tc>
        <w:tc>
          <w:tcPr>
            <w:tcW w:w="5132" w:type="dxa"/>
            <w:noWrap w:val="0"/>
            <w:vAlign w:val="center"/>
          </w:tcPr>
          <w:p>
            <w:pPr>
              <w:snapToGrid w:val="0"/>
              <w:jc w:val="center"/>
              <w:rPr>
                <w:rFonts w:ascii="宋体" w:hAnsi="宋体"/>
                <w:szCs w:val="21"/>
              </w:rPr>
            </w:pPr>
            <w:r>
              <w:rPr>
                <w:rFonts w:hint="eastAsia" w:ascii="宋体" w:hAnsi="宋体"/>
                <w:szCs w:val="21"/>
              </w:rPr>
              <w:t>评分标准</w:t>
            </w:r>
          </w:p>
        </w:tc>
        <w:tc>
          <w:tcPr>
            <w:tcW w:w="1276" w:type="dxa"/>
            <w:noWrap w:val="0"/>
            <w:vAlign w:val="center"/>
          </w:tcPr>
          <w:p>
            <w:pPr>
              <w:snapToGrid w:val="0"/>
              <w:jc w:val="center"/>
              <w:rPr>
                <w:rFonts w:ascii="宋体" w:hAnsi="宋体"/>
                <w:szCs w:val="21"/>
              </w:rPr>
            </w:pPr>
            <w:r>
              <w:rPr>
                <w:rFonts w:hint="eastAsia" w:ascii="宋体" w:hAnsi="宋体"/>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8" w:hRule="atLeast"/>
        </w:trPr>
        <w:tc>
          <w:tcPr>
            <w:tcW w:w="1497" w:type="dxa"/>
            <w:noWrap w:val="0"/>
            <w:vAlign w:val="center"/>
          </w:tcPr>
          <w:p>
            <w:pPr>
              <w:snapToGrid w:val="0"/>
              <w:jc w:val="center"/>
              <w:rPr>
                <w:rFonts w:ascii="宋体" w:hAnsi="宋体"/>
                <w:szCs w:val="21"/>
              </w:rPr>
            </w:pPr>
            <w:r>
              <w:rPr>
                <w:rFonts w:hint="eastAsia" w:ascii="宋体" w:hAnsi="宋体"/>
                <w:szCs w:val="21"/>
              </w:rPr>
              <w:t>商务评分</w:t>
            </w:r>
          </w:p>
          <w:p>
            <w:pPr>
              <w:snapToGrid w:val="0"/>
              <w:jc w:val="center"/>
              <w:rPr>
                <w:rFonts w:ascii="宋体" w:hAnsi="宋体"/>
                <w:szCs w:val="21"/>
              </w:rPr>
            </w:pPr>
            <w:r>
              <w:rPr>
                <w:rFonts w:hint="eastAsia" w:ascii="宋体" w:hAnsi="宋体"/>
                <w:szCs w:val="21"/>
              </w:rPr>
              <w:t>（</w:t>
            </w:r>
            <w:r>
              <w:rPr>
                <w:rFonts w:hint="eastAsia" w:ascii="宋体" w:hAnsi="宋体"/>
                <w:bCs/>
                <w:szCs w:val="21"/>
              </w:rPr>
              <w:t>满分</w:t>
            </w:r>
            <w:r>
              <w:rPr>
                <w:rFonts w:ascii="宋体" w:hAnsi="宋体"/>
                <w:bCs/>
                <w:szCs w:val="21"/>
              </w:rPr>
              <w:t>60</w:t>
            </w:r>
            <w:r>
              <w:rPr>
                <w:rFonts w:hint="eastAsia" w:ascii="宋体" w:hAnsi="宋体"/>
                <w:bCs/>
                <w:szCs w:val="21"/>
              </w:rPr>
              <w:t>分）</w:t>
            </w:r>
          </w:p>
        </w:tc>
        <w:tc>
          <w:tcPr>
            <w:tcW w:w="1701" w:type="dxa"/>
            <w:noWrap w:val="0"/>
            <w:vAlign w:val="center"/>
          </w:tcPr>
          <w:p>
            <w:pPr>
              <w:snapToGrid w:val="0"/>
              <w:jc w:val="center"/>
              <w:rPr>
                <w:rFonts w:ascii="宋体" w:hAnsi="宋体"/>
                <w:szCs w:val="21"/>
              </w:rPr>
            </w:pPr>
            <w:r>
              <w:rPr>
                <w:rFonts w:hint="eastAsia" w:ascii="宋体" w:hAnsi="宋体"/>
                <w:szCs w:val="21"/>
              </w:rPr>
              <w:t>投标报价</w:t>
            </w:r>
          </w:p>
          <w:p>
            <w:pPr>
              <w:snapToGrid w:val="0"/>
              <w:jc w:val="center"/>
              <w:rPr>
                <w:rFonts w:ascii="宋体" w:hAnsi="宋体"/>
                <w:szCs w:val="21"/>
              </w:rPr>
            </w:pPr>
            <w:r>
              <w:rPr>
                <w:rFonts w:hint="eastAsia" w:ascii="宋体" w:hAnsi="宋体"/>
                <w:szCs w:val="21"/>
              </w:rPr>
              <w:t>（</w:t>
            </w:r>
            <w:r>
              <w:rPr>
                <w:rFonts w:ascii="宋体" w:hAnsi="宋体"/>
                <w:szCs w:val="21"/>
              </w:rPr>
              <w:t>60</w:t>
            </w:r>
            <w:r>
              <w:rPr>
                <w:rFonts w:hint="eastAsia" w:ascii="宋体" w:hAnsi="宋体"/>
                <w:szCs w:val="21"/>
              </w:rPr>
              <w:t>分）</w:t>
            </w:r>
          </w:p>
        </w:tc>
        <w:tc>
          <w:tcPr>
            <w:tcW w:w="5132" w:type="dxa"/>
            <w:noWrap w:val="0"/>
            <w:vAlign w:val="center"/>
          </w:tcPr>
          <w:p>
            <w:pPr>
              <w:snapToGrid w:val="0"/>
              <w:jc w:val="left"/>
              <w:rPr>
                <w:rFonts w:ascii="宋体" w:hAnsi="宋体"/>
                <w:szCs w:val="21"/>
              </w:rPr>
            </w:pPr>
            <w:r>
              <w:rPr>
                <w:rFonts w:hint="eastAsia" w:ascii="宋体" w:hAnsi="宋体"/>
                <w:szCs w:val="21"/>
              </w:rPr>
              <w:t>与基准价相等的为满分</w:t>
            </w:r>
            <w:r>
              <w:rPr>
                <w:rFonts w:ascii="宋体" w:hAnsi="宋体"/>
                <w:szCs w:val="21"/>
              </w:rPr>
              <w:t>60</w:t>
            </w:r>
            <w:r>
              <w:rPr>
                <w:rFonts w:hint="eastAsia" w:ascii="宋体" w:hAnsi="宋体"/>
                <w:szCs w:val="21"/>
              </w:rPr>
              <w:t>分。</w:t>
            </w:r>
          </w:p>
          <w:p>
            <w:pPr>
              <w:snapToGrid w:val="0"/>
              <w:jc w:val="left"/>
              <w:rPr>
                <w:rFonts w:ascii="宋体" w:hAnsi="宋体"/>
                <w:szCs w:val="21"/>
              </w:rPr>
            </w:pPr>
            <w:r>
              <w:rPr>
                <w:rFonts w:hint="eastAsia" w:ascii="宋体" w:hAnsi="宋体"/>
                <w:szCs w:val="21"/>
              </w:rPr>
              <w:t>投标总价每高于基准价</w:t>
            </w:r>
            <w:r>
              <w:rPr>
                <w:rFonts w:ascii="宋体" w:hAnsi="宋体"/>
                <w:szCs w:val="21"/>
              </w:rPr>
              <w:t>1%,</w:t>
            </w:r>
            <w:r>
              <w:rPr>
                <w:rFonts w:hint="eastAsia" w:ascii="宋体" w:hAnsi="宋体"/>
                <w:szCs w:val="21"/>
              </w:rPr>
              <w:t>扣1分；</w:t>
            </w:r>
          </w:p>
          <w:p>
            <w:pPr>
              <w:snapToGrid w:val="0"/>
              <w:jc w:val="left"/>
              <w:rPr>
                <w:rFonts w:ascii="宋体" w:hAnsi="宋体"/>
                <w:szCs w:val="21"/>
              </w:rPr>
            </w:pPr>
            <w:r>
              <w:rPr>
                <w:rFonts w:hint="eastAsia" w:ascii="宋体" w:hAnsi="宋体"/>
                <w:szCs w:val="21"/>
              </w:rPr>
              <w:t>投标总价每低于基准价1%，扣0.5分。</w:t>
            </w:r>
          </w:p>
          <w:p>
            <w:pPr>
              <w:snapToGrid w:val="0"/>
              <w:jc w:val="left"/>
              <w:rPr>
                <w:rFonts w:ascii="宋体" w:hAnsi="宋体"/>
                <w:szCs w:val="21"/>
              </w:rPr>
            </w:pPr>
            <w:r>
              <w:rPr>
                <w:rFonts w:hint="eastAsia" w:ascii="宋体" w:hAnsi="宋体"/>
                <w:bCs/>
                <w:szCs w:val="21"/>
              </w:rPr>
              <w:t>投标报价分扣分至40分止。</w:t>
            </w:r>
          </w:p>
        </w:tc>
        <w:tc>
          <w:tcPr>
            <w:tcW w:w="1276" w:type="dxa"/>
            <w:noWrap w:val="0"/>
            <w:vAlign w:val="center"/>
          </w:tcPr>
          <w:p>
            <w:pPr>
              <w:snapToGrid w:val="0"/>
              <w:jc w:val="center"/>
              <w:rPr>
                <w:rFonts w:ascii="宋体" w:hAnsi="宋体"/>
                <w:b/>
                <w:szCs w:val="21"/>
              </w:rPr>
            </w:pPr>
            <w:r>
              <w:rPr>
                <w:rFonts w:hint="eastAsia" w:ascii="宋体" w:hAnsi="宋体"/>
                <w:b/>
                <w:szCs w:val="21"/>
              </w:rPr>
              <w:t>40-</w:t>
            </w:r>
            <w:r>
              <w:rPr>
                <w:rFonts w:ascii="宋体" w:hAnsi="宋体"/>
                <w:b/>
                <w:szCs w:val="21"/>
              </w:rPr>
              <w:t>60</w:t>
            </w:r>
            <w:r>
              <w:rPr>
                <w:rFonts w:hint="eastAsia" w:ascii="宋体" w:hAnsi="宋体"/>
                <w:b/>
                <w:szCs w:val="21"/>
              </w:rPr>
              <w:t>分</w:t>
            </w:r>
          </w:p>
        </w:tc>
      </w:tr>
    </w:tbl>
    <w:p>
      <w:pPr>
        <w:pStyle w:val="19"/>
        <w:adjustRightInd w:val="0"/>
        <w:snapToGrid w:val="0"/>
        <w:spacing w:line="360" w:lineRule="exact"/>
        <w:ind w:firstLine="440" w:firstLineChars="200"/>
        <w:rPr>
          <w:rFonts w:hAnsi="宋体" w:cs="Calibri"/>
          <w:sz w:val="22"/>
          <w:szCs w:val="22"/>
        </w:rPr>
      </w:pPr>
      <w:r>
        <w:rPr>
          <w:rFonts w:hint="eastAsia" w:hAnsi="宋体" w:cs="Calibri"/>
          <w:sz w:val="22"/>
          <w:szCs w:val="22"/>
        </w:rPr>
        <w:t>此项由评标委员会集体核实后统一打分。</w:t>
      </w:r>
    </w:p>
    <w:p>
      <w:pPr>
        <w:pStyle w:val="19"/>
        <w:adjustRightInd w:val="0"/>
        <w:snapToGrid w:val="0"/>
        <w:spacing w:line="360" w:lineRule="exact"/>
        <w:ind w:firstLine="440" w:firstLineChars="200"/>
        <w:rPr>
          <w:rFonts w:hAnsi="宋体" w:cs="Calibri"/>
          <w:b/>
          <w:sz w:val="22"/>
          <w:szCs w:val="22"/>
        </w:rPr>
      </w:pPr>
      <w:r>
        <w:rPr>
          <w:rFonts w:hint="eastAsia" w:hAnsi="宋体" w:cs="Calibri"/>
          <w:b/>
          <w:sz w:val="22"/>
          <w:szCs w:val="22"/>
        </w:rPr>
        <w:t>2、资信及技术评分   0-40分</w:t>
      </w:r>
    </w:p>
    <w:p>
      <w:pPr>
        <w:pStyle w:val="19"/>
        <w:adjustRightInd w:val="0"/>
        <w:snapToGrid w:val="0"/>
        <w:spacing w:line="360" w:lineRule="exact"/>
        <w:ind w:firstLine="440" w:firstLineChars="200"/>
        <w:rPr>
          <w:rFonts w:hAnsi="宋体" w:cs="Calibri"/>
          <w:sz w:val="22"/>
          <w:szCs w:val="22"/>
        </w:rPr>
      </w:pPr>
      <w:r>
        <w:rPr>
          <w:rFonts w:hint="eastAsia" w:hAnsi="宋体" w:cs="Calibri"/>
          <w:sz w:val="22"/>
          <w:szCs w:val="22"/>
        </w:rPr>
        <w:t>该评分分值由评标委员会成员独立打分（具体分值设定详见下表），小数点后保留</w:t>
      </w:r>
      <w:r>
        <w:rPr>
          <w:rFonts w:hAnsi="宋体" w:cs="Calibri"/>
          <w:sz w:val="22"/>
          <w:szCs w:val="22"/>
        </w:rPr>
        <w:t>1</w:t>
      </w:r>
      <w:r>
        <w:rPr>
          <w:rFonts w:hint="eastAsia" w:hAnsi="宋体" w:cs="Calibri"/>
          <w:sz w:val="22"/>
          <w:szCs w:val="22"/>
        </w:rPr>
        <w:t>位小数。每个投标人的最终资信及技术得分为评标委员会打分的算术平均值（小数点后保留</w:t>
      </w:r>
      <w:r>
        <w:rPr>
          <w:rFonts w:hAnsi="宋体" w:cs="Calibri"/>
          <w:sz w:val="22"/>
          <w:szCs w:val="22"/>
        </w:rPr>
        <w:t>2</w:t>
      </w:r>
      <w:r>
        <w:rPr>
          <w:rFonts w:hint="eastAsia" w:hAnsi="宋体" w:cs="Calibri"/>
          <w:sz w:val="22"/>
          <w:szCs w:val="22"/>
        </w:rPr>
        <w:t>位，第三位四舍五入）。</w:t>
      </w:r>
    </w:p>
    <w:p>
      <w:pPr>
        <w:pStyle w:val="19"/>
        <w:adjustRightInd w:val="0"/>
        <w:snapToGrid w:val="0"/>
        <w:spacing w:line="360" w:lineRule="exact"/>
        <w:ind w:firstLine="440" w:firstLineChars="200"/>
        <w:rPr>
          <w:rFonts w:hAnsi="宋体"/>
          <w:b/>
        </w:rPr>
      </w:pPr>
      <w:r>
        <w:rPr>
          <w:rFonts w:hint="eastAsia" w:hAnsi="宋体" w:cs="Calibri"/>
          <w:sz w:val="22"/>
          <w:szCs w:val="22"/>
        </w:rPr>
        <w:t>资信及技术评分分值设定标准</w:t>
      </w:r>
      <w:r>
        <w:rPr>
          <w:rFonts w:hAnsi="宋体"/>
          <w:b/>
        </w:rPr>
        <w:t xml:space="preserve">  </w:t>
      </w:r>
    </w:p>
    <w:tbl>
      <w:tblPr>
        <w:tblStyle w:val="46"/>
        <w:tblW w:w="10065"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2"/>
        <w:gridCol w:w="2119"/>
        <w:gridCol w:w="4966"/>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1562" w:type="dxa"/>
            <w:noWrap w:val="0"/>
            <w:vAlign w:val="center"/>
          </w:tcPr>
          <w:p>
            <w:pPr>
              <w:rPr>
                <w:rFonts w:ascii="宋体" w:hAnsi="宋体" w:eastAsia="宋体"/>
                <w:szCs w:val="21"/>
              </w:rPr>
            </w:pPr>
            <w:r>
              <w:rPr>
                <w:rFonts w:hint="eastAsia" w:ascii="宋体" w:hAnsi="宋体" w:eastAsia="宋体"/>
                <w:szCs w:val="21"/>
              </w:rPr>
              <w:t>评分因素</w:t>
            </w:r>
          </w:p>
          <w:p>
            <w:pPr>
              <w:rPr>
                <w:rFonts w:ascii="宋体" w:hAnsi="宋体" w:eastAsia="宋体"/>
                <w:szCs w:val="21"/>
              </w:rPr>
            </w:pPr>
            <w:r>
              <w:rPr>
                <w:rFonts w:hint="eastAsia" w:ascii="宋体" w:hAnsi="宋体" w:eastAsia="宋体"/>
                <w:szCs w:val="21"/>
              </w:rPr>
              <w:t>及分值权重</w:t>
            </w:r>
          </w:p>
        </w:tc>
        <w:tc>
          <w:tcPr>
            <w:tcW w:w="2119" w:type="dxa"/>
            <w:noWrap w:val="0"/>
            <w:vAlign w:val="center"/>
          </w:tcPr>
          <w:p>
            <w:pPr>
              <w:rPr>
                <w:rFonts w:ascii="宋体" w:hAnsi="宋体" w:eastAsia="宋体"/>
                <w:szCs w:val="21"/>
              </w:rPr>
            </w:pPr>
            <w:r>
              <w:rPr>
                <w:rFonts w:hint="eastAsia" w:ascii="宋体" w:hAnsi="宋体" w:eastAsia="宋体"/>
                <w:szCs w:val="21"/>
              </w:rPr>
              <w:t>评审因素子项</w:t>
            </w:r>
          </w:p>
        </w:tc>
        <w:tc>
          <w:tcPr>
            <w:tcW w:w="4966" w:type="dxa"/>
            <w:noWrap w:val="0"/>
            <w:vAlign w:val="center"/>
          </w:tcPr>
          <w:p>
            <w:pPr>
              <w:rPr>
                <w:rFonts w:ascii="宋体" w:hAnsi="宋体" w:eastAsia="宋体"/>
                <w:szCs w:val="21"/>
              </w:rPr>
            </w:pPr>
            <w:r>
              <w:rPr>
                <w:rFonts w:hint="eastAsia" w:ascii="宋体" w:hAnsi="宋体" w:eastAsia="宋体"/>
                <w:szCs w:val="21"/>
              </w:rPr>
              <w:t>评分标准</w:t>
            </w:r>
          </w:p>
        </w:tc>
        <w:tc>
          <w:tcPr>
            <w:tcW w:w="1418" w:type="dxa"/>
            <w:noWrap w:val="0"/>
            <w:vAlign w:val="center"/>
          </w:tcPr>
          <w:p>
            <w:pPr>
              <w:rPr>
                <w:rFonts w:ascii="宋体" w:hAnsi="宋体" w:eastAsia="宋体"/>
                <w:szCs w:val="21"/>
              </w:rPr>
            </w:pPr>
            <w:r>
              <w:rPr>
                <w:rFonts w:hint="eastAsia" w:ascii="宋体" w:hAnsi="宋体" w:eastAsia="宋体"/>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2" w:type="dxa"/>
            <w:vMerge w:val="restart"/>
            <w:noWrap w:val="0"/>
            <w:vAlign w:val="center"/>
          </w:tcPr>
          <w:p>
            <w:pPr>
              <w:rPr>
                <w:rFonts w:ascii="宋体" w:hAnsi="宋体" w:eastAsia="宋体"/>
                <w:szCs w:val="21"/>
              </w:rPr>
            </w:pPr>
            <w:r>
              <w:rPr>
                <w:rFonts w:hint="eastAsia" w:ascii="宋体" w:hAnsi="宋体" w:eastAsia="宋体"/>
                <w:szCs w:val="21"/>
              </w:rPr>
              <w:t>技术标评分（</w:t>
            </w:r>
            <w:r>
              <w:rPr>
                <w:rFonts w:hint="eastAsia" w:ascii="宋体" w:hAnsi="宋体" w:eastAsia="宋体"/>
                <w:bCs/>
                <w:szCs w:val="21"/>
              </w:rPr>
              <w:t>满分3</w:t>
            </w:r>
            <w:r>
              <w:rPr>
                <w:rFonts w:ascii="宋体" w:hAnsi="宋体" w:eastAsia="宋体"/>
                <w:bCs/>
                <w:szCs w:val="21"/>
              </w:rPr>
              <w:t>4</w:t>
            </w:r>
            <w:r>
              <w:rPr>
                <w:rFonts w:hint="eastAsia" w:ascii="宋体" w:hAnsi="宋体" w:eastAsia="宋体"/>
                <w:bCs/>
                <w:szCs w:val="21"/>
              </w:rPr>
              <w:t>分）</w:t>
            </w:r>
          </w:p>
        </w:tc>
        <w:tc>
          <w:tcPr>
            <w:tcW w:w="2119" w:type="dxa"/>
            <w:noWrap w:val="0"/>
            <w:vAlign w:val="center"/>
          </w:tcPr>
          <w:p>
            <w:pPr>
              <w:snapToGrid w:val="0"/>
              <w:jc w:val="left"/>
              <w:rPr>
                <w:rFonts w:ascii="宋体" w:hAnsi="宋体" w:eastAsia="宋体"/>
                <w:snapToGrid w:val="0"/>
                <w:kern w:val="0"/>
                <w:szCs w:val="21"/>
              </w:rPr>
            </w:pPr>
            <w:r>
              <w:rPr>
                <w:rFonts w:ascii="宋体" w:hAnsi="宋体" w:eastAsia="宋体"/>
                <w:snapToGrid w:val="0"/>
                <w:kern w:val="0"/>
                <w:szCs w:val="21"/>
              </w:rPr>
              <w:t>设备功能</w:t>
            </w:r>
            <w:r>
              <w:rPr>
                <w:rFonts w:hint="eastAsia" w:ascii="宋体" w:hAnsi="宋体" w:eastAsia="宋体"/>
                <w:snapToGrid w:val="0"/>
                <w:kern w:val="0"/>
                <w:szCs w:val="21"/>
              </w:rPr>
              <w:t>及</w:t>
            </w:r>
            <w:r>
              <w:rPr>
                <w:rFonts w:ascii="宋体" w:hAnsi="宋体" w:eastAsia="宋体"/>
                <w:snapToGrid w:val="0"/>
                <w:kern w:val="0"/>
                <w:szCs w:val="21"/>
              </w:rPr>
              <w:t>状态显示</w:t>
            </w:r>
          </w:p>
        </w:tc>
        <w:tc>
          <w:tcPr>
            <w:tcW w:w="4966" w:type="dxa"/>
            <w:noWrap w:val="0"/>
            <w:vAlign w:val="center"/>
          </w:tcPr>
          <w:p>
            <w:pPr>
              <w:snapToGrid w:val="0"/>
              <w:jc w:val="center"/>
              <w:rPr>
                <w:rFonts w:ascii="宋体" w:hAnsi="宋体" w:eastAsia="宋体"/>
                <w:snapToGrid w:val="0"/>
                <w:kern w:val="0"/>
                <w:szCs w:val="21"/>
              </w:rPr>
            </w:pPr>
            <w:r>
              <w:rPr>
                <w:rFonts w:hint="eastAsia" w:ascii="宋体" w:hAnsi="宋体" w:eastAsia="宋体"/>
                <w:snapToGrid w:val="0"/>
                <w:kern w:val="0"/>
                <w:szCs w:val="21"/>
              </w:rPr>
              <w:t>根据第三章2.2.1.4项中6条功能，一条不满足，扣</w:t>
            </w:r>
            <w:r>
              <w:rPr>
                <w:rFonts w:ascii="宋体" w:hAnsi="宋体" w:eastAsia="宋体"/>
                <w:snapToGrid w:val="0"/>
                <w:kern w:val="0"/>
                <w:szCs w:val="21"/>
              </w:rPr>
              <w:t>1</w:t>
            </w:r>
            <w:r>
              <w:rPr>
                <w:rFonts w:hint="eastAsia" w:ascii="宋体" w:hAnsi="宋体" w:eastAsia="宋体"/>
                <w:snapToGrid w:val="0"/>
                <w:kern w:val="0"/>
                <w:szCs w:val="21"/>
              </w:rPr>
              <w:t>分，最多扣</w:t>
            </w:r>
            <w:r>
              <w:rPr>
                <w:rFonts w:ascii="宋体" w:hAnsi="宋体" w:eastAsia="宋体"/>
                <w:snapToGrid w:val="0"/>
                <w:kern w:val="0"/>
                <w:szCs w:val="21"/>
              </w:rPr>
              <w:t>6</w:t>
            </w:r>
            <w:r>
              <w:rPr>
                <w:rFonts w:hint="eastAsia" w:ascii="宋体" w:hAnsi="宋体" w:eastAsia="宋体"/>
                <w:snapToGrid w:val="0"/>
                <w:kern w:val="0"/>
                <w:szCs w:val="21"/>
              </w:rPr>
              <w:t>分。</w:t>
            </w:r>
          </w:p>
        </w:tc>
        <w:tc>
          <w:tcPr>
            <w:tcW w:w="1418" w:type="dxa"/>
            <w:noWrap w:val="0"/>
            <w:vAlign w:val="center"/>
          </w:tcPr>
          <w:p>
            <w:pPr>
              <w:snapToGrid w:val="0"/>
              <w:jc w:val="center"/>
              <w:rPr>
                <w:rFonts w:ascii="宋体" w:hAnsi="宋体" w:eastAsia="宋体"/>
                <w:b/>
                <w:bCs/>
                <w:snapToGrid w:val="0"/>
                <w:kern w:val="0"/>
                <w:szCs w:val="21"/>
              </w:rPr>
            </w:pPr>
            <w:r>
              <w:rPr>
                <w:rFonts w:ascii="宋体" w:hAnsi="宋体" w:eastAsia="宋体"/>
                <w:b/>
                <w:bCs/>
                <w:snapToGrid w:val="0"/>
                <w:kern w:val="0"/>
                <w:szCs w:val="21"/>
              </w:rPr>
              <w:t>0-6</w:t>
            </w:r>
            <w:r>
              <w:rPr>
                <w:rFonts w:hint="eastAsia" w:ascii="宋体" w:hAnsi="宋体" w:eastAsia="宋体"/>
                <w:b/>
                <w:bCs/>
                <w:snapToGrid w:val="0"/>
                <w:kern w:val="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2" w:type="dxa"/>
            <w:vMerge w:val="continue"/>
            <w:noWrap w:val="0"/>
            <w:vAlign w:val="center"/>
          </w:tcPr>
          <w:p>
            <w:pPr>
              <w:rPr>
                <w:rFonts w:ascii="宋体" w:hAnsi="宋体" w:eastAsia="宋体"/>
                <w:szCs w:val="21"/>
              </w:rPr>
            </w:pPr>
          </w:p>
        </w:tc>
        <w:tc>
          <w:tcPr>
            <w:tcW w:w="2119" w:type="dxa"/>
            <w:noWrap w:val="0"/>
            <w:vAlign w:val="center"/>
          </w:tcPr>
          <w:p>
            <w:pPr>
              <w:snapToGrid w:val="0"/>
              <w:jc w:val="left"/>
              <w:rPr>
                <w:rFonts w:ascii="宋体" w:hAnsi="宋体" w:eastAsia="宋体"/>
                <w:snapToGrid w:val="0"/>
                <w:kern w:val="0"/>
                <w:szCs w:val="21"/>
              </w:rPr>
            </w:pPr>
            <w:r>
              <w:rPr>
                <w:rFonts w:hint="eastAsia" w:ascii="宋体" w:hAnsi="宋体" w:eastAsia="宋体"/>
                <w:snapToGrid w:val="0"/>
                <w:kern w:val="0"/>
                <w:szCs w:val="21"/>
              </w:rPr>
              <w:t>安全防护</w:t>
            </w:r>
          </w:p>
        </w:tc>
        <w:tc>
          <w:tcPr>
            <w:tcW w:w="4966" w:type="dxa"/>
            <w:noWrap w:val="0"/>
            <w:vAlign w:val="center"/>
          </w:tcPr>
          <w:p>
            <w:pPr>
              <w:snapToGrid w:val="0"/>
              <w:jc w:val="center"/>
              <w:rPr>
                <w:rFonts w:ascii="宋体" w:hAnsi="宋体" w:eastAsia="宋体"/>
                <w:snapToGrid w:val="0"/>
                <w:kern w:val="0"/>
                <w:szCs w:val="21"/>
              </w:rPr>
            </w:pPr>
            <w:r>
              <w:rPr>
                <w:rFonts w:hint="eastAsia" w:ascii="宋体" w:hAnsi="宋体" w:eastAsia="宋体"/>
                <w:snapToGrid w:val="0"/>
                <w:kern w:val="0"/>
                <w:szCs w:val="21"/>
              </w:rPr>
              <w:t>根据第三章2.2.1.6项中6条功能，一条不满足，扣0.5分，最多扣3分。</w:t>
            </w:r>
          </w:p>
        </w:tc>
        <w:tc>
          <w:tcPr>
            <w:tcW w:w="1418" w:type="dxa"/>
            <w:noWrap w:val="0"/>
            <w:vAlign w:val="center"/>
          </w:tcPr>
          <w:p>
            <w:pPr>
              <w:snapToGrid w:val="0"/>
              <w:jc w:val="center"/>
              <w:rPr>
                <w:rFonts w:ascii="宋体" w:hAnsi="宋体" w:eastAsia="宋体"/>
                <w:b/>
                <w:szCs w:val="21"/>
              </w:rPr>
            </w:pPr>
            <w:r>
              <w:rPr>
                <w:rFonts w:hint="eastAsia" w:ascii="宋体" w:hAnsi="宋体" w:eastAsia="宋体"/>
                <w:b/>
                <w:szCs w:val="21"/>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1562" w:type="dxa"/>
            <w:vMerge w:val="continue"/>
            <w:noWrap w:val="0"/>
            <w:vAlign w:val="center"/>
          </w:tcPr>
          <w:p>
            <w:pPr>
              <w:rPr>
                <w:rFonts w:ascii="宋体" w:hAnsi="宋体" w:eastAsia="宋体"/>
                <w:szCs w:val="21"/>
              </w:rPr>
            </w:pPr>
          </w:p>
        </w:tc>
        <w:tc>
          <w:tcPr>
            <w:tcW w:w="2119" w:type="dxa"/>
            <w:noWrap w:val="0"/>
            <w:vAlign w:val="center"/>
          </w:tcPr>
          <w:p>
            <w:pPr>
              <w:snapToGrid w:val="0"/>
              <w:jc w:val="left"/>
              <w:rPr>
                <w:rFonts w:ascii="宋体" w:hAnsi="宋体" w:eastAsia="宋体"/>
                <w:snapToGrid w:val="0"/>
                <w:kern w:val="0"/>
                <w:szCs w:val="21"/>
              </w:rPr>
            </w:pPr>
            <w:r>
              <w:rPr>
                <w:rFonts w:hint="eastAsia" w:ascii="宋体" w:hAnsi="宋体" w:eastAsia="宋体"/>
                <w:snapToGrid w:val="0"/>
                <w:kern w:val="0"/>
                <w:szCs w:val="21"/>
              </w:rPr>
              <w:t>与本场安检信息系统接口</w:t>
            </w:r>
          </w:p>
        </w:tc>
        <w:tc>
          <w:tcPr>
            <w:tcW w:w="4966" w:type="dxa"/>
            <w:noWrap w:val="0"/>
            <w:vAlign w:val="center"/>
          </w:tcPr>
          <w:p>
            <w:pPr>
              <w:snapToGrid w:val="0"/>
              <w:jc w:val="left"/>
              <w:rPr>
                <w:rFonts w:ascii="宋体" w:hAnsi="宋体" w:eastAsia="宋体"/>
                <w:snapToGrid w:val="0"/>
                <w:kern w:val="0"/>
                <w:szCs w:val="21"/>
              </w:rPr>
            </w:pPr>
            <w:r>
              <w:rPr>
                <w:rFonts w:hint="eastAsia" w:ascii="宋体" w:hAnsi="宋体" w:eastAsia="宋体"/>
                <w:snapToGrid w:val="0"/>
                <w:kern w:val="0"/>
                <w:szCs w:val="21"/>
              </w:rPr>
              <w:t>投标人提供与安检信息系统的接口实施方案，根据实施方案的可行性和系统性，由评委横向打分。</w:t>
            </w:r>
          </w:p>
        </w:tc>
        <w:tc>
          <w:tcPr>
            <w:tcW w:w="1418" w:type="dxa"/>
            <w:noWrap w:val="0"/>
            <w:vAlign w:val="center"/>
          </w:tcPr>
          <w:p>
            <w:pPr>
              <w:snapToGrid w:val="0"/>
              <w:jc w:val="center"/>
              <w:rPr>
                <w:rFonts w:ascii="宋体" w:hAnsi="宋体" w:eastAsia="宋体"/>
                <w:b/>
                <w:szCs w:val="21"/>
              </w:rPr>
            </w:pPr>
            <w:r>
              <w:rPr>
                <w:rFonts w:hint="eastAsia" w:ascii="宋体" w:hAnsi="宋体" w:eastAsia="宋体"/>
                <w:b/>
                <w:szCs w:val="21"/>
              </w:rPr>
              <w:t>0-6分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1562" w:type="dxa"/>
            <w:vMerge w:val="continue"/>
            <w:noWrap w:val="0"/>
            <w:vAlign w:val="center"/>
          </w:tcPr>
          <w:p>
            <w:pPr>
              <w:rPr>
                <w:rFonts w:ascii="宋体" w:hAnsi="宋体" w:eastAsia="宋体"/>
                <w:szCs w:val="21"/>
              </w:rPr>
            </w:pPr>
          </w:p>
        </w:tc>
        <w:tc>
          <w:tcPr>
            <w:tcW w:w="2119" w:type="dxa"/>
            <w:noWrap w:val="0"/>
            <w:vAlign w:val="center"/>
          </w:tcPr>
          <w:p>
            <w:pPr>
              <w:snapToGrid w:val="0"/>
              <w:jc w:val="left"/>
              <w:rPr>
                <w:rFonts w:ascii="宋体" w:hAnsi="宋体" w:eastAsia="宋体"/>
                <w:snapToGrid w:val="0"/>
                <w:kern w:val="0"/>
                <w:szCs w:val="21"/>
              </w:rPr>
            </w:pPr>
            <w:r>
              <w:rPr>
                <w:rFonts w:hint="eastAsia" w:ascii="宋体" w:hAnsi="宋体" w:eastAsia="宋体"/>
                <w:snapToGrid w:val="0"/>
                <w:kern w:val="0"/>
                <w:szCs w:val="21"/>
              </w:rPr>
              <w:t>人脸识别系统</w:t>
            </w:r>
          </w:p>
        </w:tc>
        <w:tc>
          <w:tcPr>
            <w:tcW w:w="4966" w:type="dxa"/>
            <w:noWrap w:val="0"/>
            <w:vAlign w:val="center"/>
          </w:tcPr>
          <w:p>
            <w:pPr>
              <w:snapToGrid w:val="0"/>
              <w:jc w:val="left"/>
              <w:rPr>
                <w:rFonts w:ascii="宋体" w:hAnsi="宋体" w:eastAsia="宋体"/>
                <w:snapToGrid w:val="0"/>
                <w:kern w:val="0"/>
                <w:szCs w:val="21"/>
              </w:rPr>
            </w:pPr>
            <w:r>
              <w:rPr>
                <w:rFonts w:hint="eastAsia" w:ascii="宋体" w:hAnsi="宋体" w:eastAsia="宋体"/>
                <w:snapToGrid w:val="0"/>
                <w:kern w:val="0"/>
                <w:szCs w:val="21"/>
              </w:rPr>
              <w:t>投标人提供人脸识别系统实施方案，根据实施方案的可行性和系统性，由评委横向打分。</w:t>
            </w:r>
          </w:p>
        </w:tc>
        <w:tc>
          <w:tcPr>
            <w:tcW w:w="1418" w:type="dxa"/>
            <w:noWrap w:val="0"/>
            <w:vAlign w:val="center"/>
          </w:tcPr>
          <w:p>
            <w:pPr>
              <w:snapToGrid w:val="0"/>
              <w:jc w:val="center"/>
              <w:rPr>
                <w:rFonts w:ascii="宋体" w:hAnsi="宋体" w:eastAsia="宋体"/>
                <w:b/>
                <w:bCs/>
                <w:snapToGrid w:val="0"/>
                <w:kern w:val="0"/>
                <w:szCs w:val="21"/>
              </w:rPr>
            </w:pPr>
            <w:r>
              <w:rPr>
                <w:rFonts w:hint="eastAsia" w:ascii="宋体" w:hAnsi="宋体" w:eastAsia="宋体"/>
                <w:b/>
                <w:szCs w:val="21"/>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1562" w:type="dxa"/>
            <w:vMerge w:val="continue"/>
            <w:noWrap w:val="0"/>
            <w:vAlign w:val="center"/>
          </w:tcPr>
          <w:p>
            <w:pPr>
              <w:rPr>
                <w:rFonts w:ascii="宋体" w:hAnsi="宋体" w:eastAsia="宋体"/>
                <w:szCs w:val="21"/>
              </w:rPr>
            </w:pPr>
          </w:p>
        </w:tc>
        <w:tc>
          <w:tcPr>
            <w:tcW w:w="2119" w:type="dxa"/>
            <w:noWrap w:val="0"/>
            <w:vAlign w:val="center"/>
          </w:tcPr>
          <w:p>
            <w:pPr>
              <w:snapToGrid w:val="0"/>
              <w:jc w:val="left"/>
              <w:rPr>
                <w:rFonts w:ascii="宋体" w:hAnsi="宋体" w:eastAsia="宋体"/>
                <w:snapToGrid w:val="0"/>
                <w:kern w:val="0"/>
                <w:szCs w:val="21"/>
              </w:rPr>
            </w:pPr>
            <w:r>
              <w:rPr>
                <w:rFonts w:hint="eastAsia" w:ascii="宋体" w:hAnsi="宋体" w:eastAsia="宋体"/>
                <w:snapToGrid w:val="0"/>
                <w:kern w:val="0"/>
                <w:szCs w:val="21"/>
              </w:rPr>
              <w:t>自助登机效率</w:t>
            </w:r>
          </w:p>
        </w:tc>
        <w:tc>
          <w:tcPr>
            <w:tcW w:w="4966" w:type="dxa"/>
            <w:noWrap w:val="0"/>
            <w:vAlign w:val="center"/>
          </w:tcPr>
          <w:p>
            <w:pPr>
              <w:snapToGrid w:val="0"/>
              <w:jc w:val="left"/>
              <w:rPr>
                <w:rFonts w:ascii="宋体" w:hAnsi="宋体" w:eastAsia="宋体"/>
                <w:snapToGrid w:val="0"/>
                <w:kern w:val="0"/>
                <w:szCs w:val="21"/>
              </w:rPr>
            </w:pPr>
            <w:r>
              <w:rPr>
                <w:rFonts w:hint="eastAsia" w:ascii="宋体" w:hAnsi="宋体" w:eastAsia="宋体"/>
                <w:snapToGrid w:val="0"/>
                <w:kern w:val="0"/>
                <w:szCs w:val="21"/>
              </w:rPr>
              <w:t>投标人需根据自助登机流程给出可实现的最高通行效率。根据投标人给出的最高通行效率，由评委</w:t>
            </w:r>
            <w:r>
              <w:rPr>
                <w:rFonts w:ascii="宋体" w:hAnsi="宋体" w:eastAsia="宋体"/>
                <w:snapToGrid w:val="0"/>
                <w:kern w:val="0"/>
                <w:szCs w:val="21"/>
              </w:rPr>
              <w:t>横向</w:t>
            </w:r>
            <w:r>
              <w:rPr>
                <w:rFonts w:hint="eastAsia" w:ascii="宋体" w:hAnsi="宋体" w:eastAsia="宋体"/>
                <w:snapToGrid w:val="0"/>
                <w:kern w:val="0"/>
                <w:szCs w:val="21"/>
              </w:rPr>
              <w:t>比较打分</w:t>
            </w:r>
            <w:r>
              <w:rPr>
                <w:rFonts w:ascii="宋体" w:hAnsi="宋体" w:eastAsia="宋体"/>
                <w:snapToGrid w:val="0"/>
                <w:kern w:val="0"/>
                <w:szCs w:val="21"/>
              </w:rPr>
              <w:t>。</w:t>
            </w:r>
          </w:p>
        </w:tc>
        <w:tc>
          <w:tcPr>
            <w:tcW w:w="1418" w:type="dxa"/>
            <w:noWrap w:val="0"/>
            <w:vAlign w:val="center"/>
          </w:tcPr>
          <w:p>
            <w:pPr>
              <w:snapToGrid w:val="0"/>
              <w:jc w:val="center"/>
              <w:rPr>
                <w:rFonts w:ascii="宋体" w:hAnsi="宋体" w:eastAsia="宋体"/>
                <w:b/>
                <w:szCs w:val="21"/>
              </w:rPr>
            </w:pPr>
            <w:r>
              <w:rPr>
                <w:rFonts w:ascii="宋体" w:hAnsi="宋体" w:eastAsia="宋体"/>
                <w:b/>
                <w:bCs/>
                <w:snapToGrid w:val="0"/>
                <w:kern w:val="0"/>
                <w:szCs w:val="21"/>
              </w:rPr>
              <w:t>0-</w:t>
            </w:r>
            <w:r>
              <w:rPr>
                <w:rFonts w:hint="eastAsia" w:ascii="宋体" w:hAnsi="宋体" w:eastAsia="宋体"/>
                <w:b/>
                <w:bCs/>
                <w:snapToGrid w:val="0"/>
                <w:kern w:val="0"/>
                <w:szCs w:val="21"/>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5" w:hRule="atLeast"/>
        </w:trPr>
        <w:tc>
          <w:tcPr>
            <w:tcW w:w="1562" w:type="dxa"/>
            <w:vMerge w:val="continue"/>
            <w:noWrap w:val="0"/>
            <w:vAlign w:val="center"/>
          </w:tcPr>
          <w:p>
            <w:pPr>
              <w:rPr>
                <w:rFonts w:ascii="宋体" w:hAnsi="宋体" w:eastAsia="宋体"/>
                <w:szCs w:val="21"/>
              </w:rPr>
            </w:pPr>
          </w:p>
        </w:tc>
        <w:tc>
          <w:tcPr>
            <w:tcW w:w="2119" w:type="dxa"/>
            <w:noWrap w:val="0"/>
            <w:vAlign w:val="center"/>
          </w:tcPr>
          <w:p>
            <w:pPr>
              <w:snapToGrid w:val="0"/>
              <w:jc w:val="left"/>
              <w:rPr>
                <w:rFonts w:ascii="宋体" w:hAnsi="宋体" w:eastAsia="宋体"/>
                <w:snapToGrid w:val="0"/>
                <w:kern w:val="0"/>
                <w:szCs w:val="21"/>
              </w:rPr>
            </w:pPr>
            <w:r>
              <w:rPr>
                <w:rFonts w:hint="eastAsia" w:ascii="宋体" w:hAnsi="宋体" w:eastAsia="宋体"/>
                <w:szCs w:val="21"/>
              </w:rPr>
              <w:t>闸机工控机配置</w:t>
            </w:r>
          </w:p>
        </w:tc>
        <w:tc>
          <w:tcPr>
            <w:tcW w:w="4966" w:type="dxa"/>
            <w:noWrap w:val="0"/>
            <w:vAlign w:val="center"/>
          </w:tcPr>
          <w:p>
            <w:pPr>
              <w:snapToGrid w:val="0"/>
              <w:jc w:val="left"/>
              <w:rPr>
                <w:rFonts w:ascii="宋体" w:hAnsi="宋体" w:eastAsia="宋体"/>
                <w:snapToGrid w:val="0"/>
                <w:kern w:val="0"/>
                <w:szCs w:val="21"/>
              </w:rPr>
            </w:pPr>
            <w:r>
              <w:rPr>
                <w:rFonts w:hint="eastAsia" w:ascii="宋体" w:hAnsi="宋体" w:eastAsia="宋体" w:cs="宋体"/>
                <w:bCs/>
                <w:szCs w:val="21"/>
              </w:rPr>
              <w:t>优于第三章2.2.1.7.6项配置要求的得1分。否则不得分。</w:t>
            </w:r>
          </w:p>
        </w:tc>
        <w:tc>
          <w:tcPr>
            <w:tcW w:w="1418" w:type="dxa"/>
            <w:noWrap w:val="0"/>
            <w:vAlign w:val="center"/>
          </w:tcPr>
          <w:p>
            <w:pPr>
              <w:snapToGrid w:val="0"/>
              <w:jc w:val="center"/>
              <w:rPr>
                <w:rFonts w:ascii="宋体" w:hAnsi="宋体" w:eastAsia="宋体"/>
                <w:b/>
                <w:bCs/>
                <w:snapToGrid w:val="0"/>
                <w:kern w:val="0"/>
                <w:szCs w:val="21"/>
              </w:rPr>
            </w:pPr>
            <w:r>
              <w:rPr>
                <w:rFonts w:hint="eastAsia" w:ascii="宋体" w:hAnsi="宋体" w:eastAsia="宋体"/>
                <w:b/>
                <w:szCs w:val="21"/>
              </w:rPr>
              <w:t>0-1分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2" w:type="dxa"/>
            <w:vMerge w:val="continue"/>
            <w:noWrap w:val="0"/>
            <w:vAlign w:val="center"/>
          </w:tcPr>
          <w:p>
            <w:pPr>
              <w:rPr>
                <w:rFonts w:ascii="宋体" w:hAnsi="宋体" w:eastAsia="宋体"/>
                <w:szCs w:val="21"/>
              </w:rPr>
            </w:pPr>
          </w:p>
        </w:tc>
        <w:tc>
          <w:tcPr>
            <w:tcW w:w="2119" w:type="dxa"/>
            <w:noWrap w:val="0"/>
            <w:vAlign w:val="center"/>
          </w:tcPr>
          <w:p>
            <w:pPr>
              <w:jc w:val="left"/>
              <w:rPr>
                <w:rFonts w:ascii="宋体" w:hAnsi="宋体" w:eastAsia="宋体"/>
                <w:snapToGrid w:val="0"/>
                <w:kern w:val="0"/>
                <w:szCs w:val="21"/>
              </w:rPr>
            </w:pPr>
            <w:r>
              <w:rPr>
                <w:rFonts w:hint="eastAsia" w:ascii="宋体" w:hAnsi="宋体" w:eastAsia="宋体"/>
                <w:szCs w:val="21"/>
              </w:rPr>
              <w:t>设备外观</w:t>
            </w:r>
          </w:p>
        </w:tc>
        <w:tc>
          <w:tcPr>
            <w:tcW w:w="4966" w:type="dxa"/>
            <w:noWrap w:val="0"/>
            <w:vAlign w:val="center"/>
          </w:tcPr>
          <w:p>
            <w:pPr>
              <w:jc w:val="left"/>
              <w:rPr>
                <w:rFonts w:ascii="宋体" w:hAnsi="宋体" w:eastAsia="宋体"/>
                <w:szCs w:val="21"/>
              </w:rPr>
            </w:pPr>
            <w:r>
              <w:rPr>
                <w:rFonts w:hint="eastAsia" w:ascii="宋体" w:hAnsi="宋体" w:eastAsia="宋体"/>
                <w:szCs w:val="21"/>
              </w:rPr>
              <w:t>投标人提供设备外观彩色图片。</w:t>
            </w:r>
          </w:p>
          <w:p>
            <w:pPr>
              <w:jc w:val="left"/>
              <w:rPr>
                <w:rFonts w:ascii="宋体" w:hAnsi="宋体" w:eastAsia="宋体"/>
                <w:szCs w:val="21"/>
              </w:rPr>
            </w:pPr>
            <w:r>
              <w:rPr>
                <w:rFonts w:hint="eastAsia" w:ascii="宋体" w:hAnsi="宋体" w:eastAsia="宋体"/>
                <w:szCs w:val="21"/>
              </w:rPr>
              <w:t>根据外形的美观度及与杭州机场氛围的契合度由评委横向打分。</w:t>
            </w:r>
            <w:r>
              <w:rPr>
                <w:rFonts w:ascii="宋体" w:hAnsi="宋体" w:eastAsia="宋体"/>
                <w:szCs w:val="21"/>
              </w:rPr>
              <w:t xml:space="preserve"> </w:t>
            </w:r>
          </w:p>
        </w:tc>
        <w:tc>
          <w:tcPr>
            <w:tcW w:w="1418" w:type="dxa"/>
            <w:noWrap w:val="0"/>
            <w:vAlign w:val="center"/>
          </w:tcPr>
          <w:p>
            <w:pPr>
              <w:snapToGrid w:val="0"/>
              <w:jc w:val="center"/>
              <w:rPr>
                <w:rFonts w:ascii="宋体" w:hAnsi="宋体" w:eastAsia="宋体"/>
                <w:b/>
                <w:szCs w:val="21"/>
              </w:rPr>
            </w:pPr>
            <w:r>
              <w:rPr>
                <w:rFonts w:hint="eastAsia" w:ascii="宋体" w:hAnsi="宋体" w:eastAsia="宋体"/>
                <w:b/>
                <w:szCs w:val="21"/>
              </w:rPr>
              <w:t>0-2分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62" w:type="dxa"/>
            <w:vMerge w:val="continue"/>
            <w:noWrap w:val="0"/>
            <w:vAlign w:val="center"/>
          </w:tcPr>
          <w:p>
            <w:pPr>
              <w:rPr>
                <w:rFonts w:ascii="宋体" w:hAnsi="宋体" w:eastAsia="宋体"/>
                <w:szCs w:val="21"/>
              </w:rPr>
            </w:pPr>
          </w:p>
        </w:tc>
        <w:tc>
          <w:tcPr>
            <w:tcW w:w="2119" w:type="dxa"/>
            <w:noWrap w:val="0"/>
            <w:vAlign w:val="center"/>
          </w:tcPr>
          <w:p>
            <w:pPr>
              <w:jc w:val="left"/>
              <w:rPr>
                <w:rFonts w:ascii="宋体" w:hAnsi="宋体" w:eastAsia="宋体"/>
                <w:szCs w:val="21"/>
              </w:rPr>
            </w:pPr>
            <w:r>
              <w:rPr>
                <w:rFonts w:hint="eastAsia" w:ascii="宋体" w:hAnsi="宋体" w:eastAsia="宋体"/>
                <w:szCs w:val="21"/>
              </w:rPr>
              <w:t>培训方案</w:t>
            </w:r>
          </w:p>
        </w:tc>
        <w:tc>
          <w:tcPr>
            <w:tcW w:w="4966" w:type="dxa"/>
            <w:noWrap w:val="0"/>
            <w:vAlign w:val="center"/>
          </w:tcPr>
          <w:p>
            <w:pPr>
              <w:jc w:val="left"/>
              <w:rPr>
                <w:rFonts w:ascii="宋体" w:hAnsi="宋体" w:eastAsia="宋体"/>
                <w:szCs w:val="21"/>
              </w:rPr>
            </w:pPr>
            <w:r>
              <w:rPr>
                <w:rFonts w:hint="eastAsia" w:ascii="宋体" w:hAnsi="宋体" w:eastAsia="宋体"/>
                <w:szCs w:val="21"/>
              </w:rPr>
              <w:t>具备完整且尽可能详细的操作人员和技术维护人员的培训方案，根据培训方案的完整性由评委横向打分。</w:t>
            </w:r>
          </w:p>
        </w:tc>
        <w:tc>
          <w:tcPr>
            <w:tcW w:w="1418" w:type="dxa"/>
            <w:noWrap w:val="0"/>
            <w:vAlign w:val="center"/>
          </w:tcPr>
          <w:p>
            <w:pPr>
              <w:snapToGrid w:val="0"/>
              <w:jc w:val="center"/>
              <w:rPr>
                <w:rFonts w:ascii="宋体" w:hAnsi="宋体" w:eastAsia="宋体"/>
                <w:b/>
                <w:szCs w:val="21"/>
              </w:rPr>
            </w:pPr>
            <w:r>
              <w:rPr>
                <w:rFonts w:hint="eastAsia" w:ascii="宋体" w:hAnsi="宋体" w:eastAsia="宋体"/>
                <w:b/>
                <w:szCs w:val="21"/>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trPr>
        <w:tc>
          <w:tcPr>
            <w:tcW w:w="1562" w:type="dxa"/>
            <w:vMerge w:val="continue"/>
            <w:noWrap w:val="0"/>
            <w:vAlign w:val="center"/>
          </w:tcPr>
          <w:p>
            <w:pPr>
              <w:rPr>
                <w:rFonts w:ascii="宋体" w:hAnsi="宋体" w:eastAsia="宋体"/>
                <w:szCs w:val="21"/>
              </w:rPr>
            </w:pPr>
          </w:p>
        </w:tc>
        <w:tc>
          <w:tcPr>
            <w:tcW w:w="2119" w:type="dxa"/>
            <w:noWrap w:val="0"/>
            <w:vAlign w:val="center"/>
          </w:tcPr>
          <w:p>
            <w:pPr>
              <w:jc w:val="left"/>
              <w:rPr>
                <w:rFonts w:ascii="宋体" w:hAnsi="宋体" w:eastAsia="宋体"/>
                <w:szCs w:val="21"/>
              </w:rPr>
            </w:pPr>
            <w:r>
              <w:rPr>
                <w:rFonts w:hint="eastAsia" w:ascii="宋体" w:hAnsi="宋体" w:eastAsia="宋体"/>
                <w:szCs w:val="21"/>
              </w:rPr>
              <w:t>质保服务</w:t>
            </w:r>
          </w:p>
        </w:tc>
        <w:tc>
          <w:tcPr>
            <w:tcW w:w="4966" w:type="dxa"/>
            <w:noWrap w:val="0"/>
            <w:vAlign w:val="center"/>
          </w:tcPr>
          <w:p>
            <w:pPr>
              <w:snapToGrid w:val="0"/>
              <w:jc w:val="left"/>
              <w:rPr>
                <w:rFonts w:ascii="宋体" w:hAnsi="宋体" w:eastAsia="宋体"/>
                <w:szCs w:val="21"/>
              </w:rPr>
            </w:pPr>
            <w:r>
              <w:rPr>
                <w:rFonts w:hint="eastAsia" w:ascii="宋体" w:hAnsi="宋体" w:eastAsia="宋体"/>
                <w:szCs w:val="21"/>
              </w:rPr>
              <w:t>根据投标人提供的质保服务期限，</w:t>
            </w:r>
            <w:r>
              <w:rPr>
                <w:rFonts w:hint="eastAsia" w:ascii="宋体" w:hAnsi="宋体" w:eastAsia="宋体"/>
                <w:color w:val="000000"/>
                <w:szCs w:val="21"/>
              </w:rPr>
              <w:t>由评委横向比较打分。</w:t>
            </w:r>
            <w:r>
              <w:rPr>
                <w:rFonts w:hint="eastAsia" w:ascii="宋体" w:hAnsi="宋体" w:eastAsia="宋体"/>
              </w:rPr>
              <w:t xml:space="preserve">      </w:t>
            </w:r>
          </w:p>
        </w:tc>
        <w:tc>
          <w:tcPr>
            <w:tcW w:w="1418" w:type="dxa"/>
            <w:noWrap w:val="0"/>
            <w:vAlign w:val="center"/>
          </w:tcPr>
          <w:p>
            <w:pPr>
              <w:snapToGrid w:val="0"/>
              <w:jc w:val="center"/>
              <w:rPr>
                <w:rFonts w:ascii="宋体" w:hAnsi="宋体" w:eastAsia="宋体"/>
                <w:b/>
                <w:szCs w:val="21"/>
              </w:rPr>
            </w:pPr>
            <w:r>
              <w:rPr>
                <w:rFonts w:hint="eastAsia" w:ascii="宋体" w:hAnsi="宋体" w:eastAsia="宋体"/>
                <w:b/>
                <w:szCs w:val="21"/>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1562" w:type="dxa"/>
            <w:vMerge w:val="continue"/>
            <w:noWrap w:val="0"/>
            <w:vAlign w:val="center"/>
          </w:tcPr>
          <w:p>
            <w:pPr>
              <w:rPr>
                <w:rFonts w:ascii="宋体" w:hAnsi="宋体" w:eastAsia="宋体"/>
                <w:szCs w:val="21"/>
              </w:rPr>
            </w:pPr>
          </w:p>
        </w:tc>
        <w:tc>
          <w:tcPr>
            <w:tcW w:w="2119" w:type="dxa"/>
            <w:noWrap w:val="0"/>
            <w:vAlign w:val="center"/>
          </w:tcPr>
          <w:p>
            <w:pPr>
              <w:jc w:val="left"/>
              <w:rPr>
                <w:rFonts w:ascii="宋体" w:hAnsi="宋体" w:eastAsia="宋体"/>
                <w:szCs w:val="21"/>
              </w:rPr>
            </w:pPr>
            <w:r>
              <w:rPr>
                <w:rFonts w:hint="eastAsia" w:ascii="宋体" w:hAnsi="宋体" w:eastAsia="宋体"/>
                <w:szCs w:val="21"/>
              </w:rPr>
              <w:t>售后服务</w:t>
            </w:r>
          </w:p>
        </w:tc>
        <w:tc>
          <w:tcPr>
            <w:tcW w:w="4966" w:type="dxa"/>
            <w:noWrap w:val="0"/>
            <w:vAlign w:val="center"/>
          </w:tcPr>
          <w:p>
            <w:pPr>
              <w:snapToGrid w:val="0"/>
              <w:jc w:val="left"/>
              <w:rPr>
                <w:rFonts w:ascii="宋体" w:hAnsi="宋体" w:eastAsia="宋体"/>
                <w:szCs w:val="21"/>
              </w:rPr>
            </w:pPr>
            <w:r>
              <w:rPr>
                <w:rFonts w:hint="eastAsia" w:ascii="宋体" w:hAnsi="宋体" w:eastAsia="宋体"/>
                <w:szCs w:val="21"/>
              </w:rPr>
              <w:t>根据投标人提供的故障保障响应时间进行横向比较。</w:t>
            </w:r>
          </w:p>
        </w:tc>
        <w:tc>
          <w:tcPr>
            <w:tcW w:w="1418" w:type="dxa"/>
            <w:noWrap w:val="0"/>
            <w:vAlign w:val="center"/>
          </w:tcPr>
          <w:p>
            <w:pPr>
              <w:snapToGrid w:val="0"/>
              <w:jc w:val="center"/>
              <w:rPr>
                <w:rFonts w:ascii="宋体" w:hAnsi="宋体" w:eastAsia="宋体"/>
                <w:b/>
                <w:szCs w:val="21"/>
              </w:rPr>
            </w:pPr>
            <w:r>
              <w:rPr>
                <w:rFonts w:hint="eastAsia" w:ascii="宋体" w:hAnsi="宋体" w:eastAsia="宋体"/>
                <w:b/>
                <w:szCs w:val="21"/>
              </w:rPr>
              <w:t>0-3分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4" w:hRule="atLeast"/>
        </w:trPr>
        <w:tc>
          <w:tcPr>
            <w:tcW w:w="1562" w:type="dxa"/>
            <w:noWrap w:val="0"/>
            <w:vAlign w:val="center"/>
          </w:tcPr>
          <w:p>
            <w:pPr>
              <w:rPr>
                <w:rFonts w:ascii="宋体" w:hAnsi="宋体" w:eastAsia="宋体"/>
                <w:szCs w:val="21"/>
              </w:rPr>
            </w:pPr>
            <w:r>
              <w:rPr>
                <w:rFonts w:hint="eastAsia" w:ascii="宋体" w:hAnsi="宋体" w:eastAsia="宋体"/>
                <w:szCs w:val="21"/>
              </w:rPr>
              <w:t>业绩评分（满分</w:t>
            </w:r>
            <w:r>
              <w:rPr>
                <w:rFonts w:ascii="宋体" w:hAnsi="宋体" w:eastAsia="宋体"/>
                <w:szCs w:val="21"/>
              </w:rPr>
              <w:t>6</w:t>
            </w:r>
            <w:r>
              <w:rPr>
                <w:rFonts w:hint="eastAsia" w:ascii="宋体" w:hAnsi="宋体" w:eastAsia="宋体"/>
                <w:szCs w:val="21"/>
              </w:rPr>
              <w:t>分）</w:t>
            </w:r>
          </w:p>
        </w:tc>
        <w:tc>
          <w:tcPr>
            <w:tcW w:w="2119" w:type="dxa"/>
            <w:noWrap w:val="0"/>
            <w:vAlign w:val="center"/>
          </w:tcPr>
          <w:p>
            <w:pPr>
              <w:rPr>
                <w:rFonts w:ascii="宋体" w:hAnsi="宋体" w:eastAsia="宋体"/>
                <w:szCs w:val="21"/>
              </w:rPr>
            </w:pPr>
            <w:r>
              <w:rPr>
                <w:rFonts w:hint="eastAsia" w:ascii="宋体" w:hAnsi="宋体" w:eastAsia="宋体"/>
                <w:szCs w:val="21"/>
              </w:rPr>
              <w:t>自助登机门系统在机场行业案例</w:t>
            </w:r>
          </w:p>
        </w:tc>
        <w:tc>
          <w:tcPr>
            <w:tcW w:w="4966" w:type="dxa"/>
            <w:noWrap w:val="0"/>
            <w:vAlign w:val="center"/>
          </w:tcPr>
          <w:p>
            <w:pPr>
              <w:snapToGrid w:val="0"/>
              <w:jc w:val="left"/>
              <w:rPr>
                <w:rFonts w:ascii="宋体" w:hAnsi="宋体" w:eastAsia="宋体"/>
                <w:szCs w:val="21"/>
              </w:rPr>
            </w:pPr>
            <w:r>
              <w:rPr>
                <w:rFonts w:hint="eastAsia" w:ascii="宋体" w:hAnsi="宋体" w:eastAsia="宋体"/>
                <w:szCs w:val="21"/>
              </w:rPr>
              <w:t>需提供自2016年1月1日至投标截止日的</w:t>
            </w:r>
            <w:r>
              <w:rPr>
                <w:rStyle w:val="175"/>
                <w:rFonts w:hint="eastAsia" w:ascii="宋体" w:hAnsi="宋体"/>
                <w:kern w:val="0"/>
                <w:szCs w:val="21"/>
              </w:rPr>
              <w:t>类似</w:t>
            </w:r>
            <w:r>
              <w:rPr>
                <w:rFonts w:hint="eastAsia" w:ascii="宋体" w:hAnsi="宋体" w:eastAsia="宋体"/>
                <w:szCs w:val="21"/>
              </w:rPr>
              <w:t>项目合同复印件或中标通知书作为证明材料，否则不得分。每增加一个</w:t>
            </w:r>
            <w:r>
              <w:rPr>
                <w:rStyle w:val="175"/>
                <w:rFonts w:hint="eastAsia" w:ascii="宋体" w:hAnsi="宋体"/>
                <w:kern w:val="0"/>
                <w:szCs w:val="21"/>
              </w:rPr>
              <w:t>类似</w:t>
            </w:r>
            <w:r>
              <w:rPr>
                <w:rFonts w:hint="eastAsia" w:ascii="宋体" w:hAnsi="宋体" w:eastAsia="宋体"/>
                <w:szCs w:val="21"/>
              </w:rPr>
              <w:t>项目金额大于500万人民币的案例得2分，每增加一个</w:t>
            </w:r>
            <w:r>
              <w:rPr>
                <w:rStyle w:val="175"/>
                <w:rFonts w:hint="eastAsia" w:ascii="宋体" w:hAnsi="宋体"/>
                <w:kern w:val="0"/>
                <w:szCs w:val="21"/>
              </w:rPr>
              <w:t>类似</w:t>
            </w:r>
            <w:r>
              <w:rPr>
                <w:rFonts w:hint="eastAsia" w:ascii="宋体" w:hAnsi="宋体" w:eastAsia="宋体"/>
                <w:szCs w:val="21"/>
              </w:rPr>
              <w:t>项目金额大于300万人民币小于500万人民币的案例得1分，每增加一个</w:t>
            </w:r>
            <w:r>
              <w:rPr>
                <w:rStyle w:val="175"/>
                <w:rFonts w:hint="eastAsia" w:ascii="宋体" w:hAnsi="宋体"/>
                <w:kern w:val="0"/>
                <w:szCs w:val="21"/>
              </w:rPr>
              <w:t>类似</w:t>
            </w:r>
            <w:r>
              <w:rPr>
                <w:rFonts w:hint="eastAsia" w:ascii="宋体" w:hAnsi="宋体" w:eastAsia="宋体"/>
                <w:szCs w:val="21"/>
              </w:rPr>
              <w:t>项目金额大于100万人民币小于300万人民币的案例得0.5分，低于100万人民币的案例不得分，</w:t>
            </w:r>
            <w:r>
              <w:rPr>
                <w:rStyle w:val="175"/>
                <w:rFonts w:hint="eastAsia" w:ascii="宋体" w:hAnsi="宋体"/>
                <w:kern w:val="0"/>
                <w:szCs w:val="21"/>
              </w:rPr>
              <w:t>类似</w:t>
            </w:r>
            <w:r>
              <w:rPr>
                <w:rFonts w:hint="eastAsia" w:ascii="宋体" w:hAnsi="宋体" w:eastAsia="宋体"/>
                <w:szCs w:val="21"/>
              </w:rPr>
              <w:t>项目金额仅计算自助登机门系统的软硬件采购价格，最高不超过</w:t>
            </w:r>
            <w:r>
              <w:rPr>
                <w:rFonts w:ascii="宋体" w:hAnsi="宋体" w:eastAsia="宋体"/>
                <w:szCs w:val="21"/>
              </w:rPr>
              <w:t>6</w:t>
            </w:r>
            <w:r>
              <w:rPr>
                <w:rFonts w:hint="eastAsia" w:ascii="宋体" w:hAnsi="宋体" w:eastAsia="宋体"/>
                <w:szCs w:val="21"/>
              </w:rPr>
              <w:t>分。</w:t>
            </w:r>
          </w:p>
        </w:tc>
        <w:tc>
          <w:tcPr>
            <w:tcW w:w="1418" w:type="dxa"/>
            <w:noWrap w:val="0"/>
            <w:vAlign w:val="center"/>
          </w:tcPr>
          <w:p>
            <w:pPr>
              <w:snapToGrid w:val="0"/>
              <w:jc w:val="center"/>
              <w:rPr>
                <w:rFonts w:ascii="宋体" w:hAnsi="宋体" w:eastAsia="宋体"/>
                <w:b/>
                <w:szCs w:val="21"/>
              </w:rPr>
            </w:pPr>
            <w:r>
              <w:rPr>
                <w:rFonts w:hint="eastAsia" w:ascii="宋体" w:hAnsi="宋体" w:eastAsia="宋体"/>
                <w:b/>
                <w:bCs/>
                <w:szCs w:val="21"/>
              </w:rPr>
              <w:t>0</w:t>
            </w:r>
            <w:r>
              <w:rPr>
                <w:rFonts w:ascii="宋体" w:hAnsi="宋体" w:eastAsia="宋体"/>
                <w:b/>
                <w:bCs/>
                <w:szCs w:val="21"/>
              </w:rPr>
              <w:t>-6</w:t>
            </w:r>
            <w:r>
              <w:rPr>
                <w:rFonts w:hint="eastAsia" w:ascii="宋体" w:hAnsi="宋体" w:eastAsia="宋体"/>
                <w:b/>
                <w:bCs/>
                <w:szCs w:val="21"/>
              </w:rPr>
              <w:t>分</w:t>
            </w:r>
          </w:p>
        </w:tc>
      </w:tr>
    </w:tbl>
    <w:p>
      <w:pPr>
        <w:pStyle w:val="19"/>
        <w:adjustRightInd w:val="0"/>
        <w:snapToGrid w:val="0"/>
        <w:spacing w:line="360" w:lineRule="exact"/>
        <w:ind w:firstLine="440" w:firstLineChars="200"/>
        <w:rPr>
          <w:rFonts w:hAnsi="宋体" w:cs="Calibri"/>
          <w:b/>
          <w:sz w:val="22"/>
          <w:szCs w:val="22"/>
        </w:rPr>
      </w:pPr>
      <w:r>
        <w:rPr>
          <w:rFonts w:hAnsi="宋体" w:cs="Calibri"/>
          <w:b/>
          <w:sz w:val="22"/>
          <w:szCs w:val="22"/>
        </w:rPr>
        <w:t>3.4推荐中标候选人</w:t>
      </w:r>
    </w:p>
    <w:p>
      <w:pPr>
        <w:pStyle w:val="19"/>
        <w:adjustRightInd w:val="0"/>
        <w:snapToGrid w:val="0"/>
        <w:spacing w:line="360" w:lineRule="exact"/>
        <w:ind w:firstLine="440" w:firstLineChars="200"/>
        <w:rPr>
          <w:rFonts w:hAnsi="宋体" w:cs="Calibri"/>
          <w:sz w:val="22"/>
          <w:szCs w:val="22"/>
        </w:rPr>
      </w:pPr>
      <w:r>
        <w:rPr>
          <w:rFonts w:hAnsi="宋体" w:cs="Calibri"/>
          <w:sz w:val="22"/>
          <w:szCs w:val="22"/>
        </w:rPr>
        <w:t>3.4.1当有效投标文件大于等于二名时，评标委员会推荐</w:t>
      </w:r>
      <w:r>
        <w:rPr>
          <w:rFonts w:hint="eastAsia" w:hAnsi="宋体" w:cs="Calibri"/>
          <w:sz w:val="22"/>
          <w:szCs w:val="22"/>
        </w:rPr>
        <w:t>得分最高、次高的投标人为中标候选人（如果得分相同则按投标人报价从低到高顺序推荐为中标候选人，如果投标报价也相同，则抽签决定）。</w:t>
      </w:r>
    </w:p>
    <w:p>
      <w:pPr>
        <w:pStyle w:val="19"/>
        <w:adjustRightInd w:val="0"/>
        <w:snapToGrid w:val="0"/>
        <w:spacing w:line="360" w:lineRule="exact"/>
        <w:ind w:firstLine="440" w:firstLineChars="200"/>
        <w:rPr>
          <w:rFonts w:hAnsi="宋体" w:cs="Calibri"/>
          <w:sz w:val="22"/>
          <w:szCs w:val="22"/>
        </w:rPr>
      </w:pPr>
      <w:r>
        <w:rPr>
          <w:rFonts w:hAnsi="宋体" w:cs="Calibri"/>
          <w:sz w:val="22"/>
          <w:szCs w:val="22"/>
        </w:rPr>
        <w:t>3.4.2当有效投标文件只有一名时，则由评标委员会确定是否推荐为中标候选人。</w:t>
      </w:r>
    </w:p>
    <w:p>
      <w:pPr>
        <w:pStyle w:val="19"/>
        <w:spacing w:line="360" w:lineRule="exact"/>
        <w:rPr>
          <w:rFonts w:hAnsi="宋体" w:cs="Calibri"/>
          <w:b/>
          <w:sz w:val="22"/>
          <w:szCs w:val="22"/>
        </w:rPr>
      </w:pPr>
      <w:r>
        <w:rPr>
          <w:rFonts w:hAnsi="宋体" w:cs="Calibri"/>
          <w:b/>
          <w:sz w:val="22"/>
          <w:szCs w:val="22"/>
        </w:rPr>
        <w:t>3.</w:t>
      </w:r>
      <w:r>
        <w:rPr>
          <w:rFonts w:hint="eastAsia" w:hAnsi="宋体" w:cs="Calibri"/>
          <w:b/>
          <w:sz w:val="22"/>
          <w:szCs w:val="22"/>
        </w:rPr>
        <w:t>5</w:t>
      </w:r>
      <w:r>
        <w:rPr>
          <w:rFonts w:hAnsi="宋体" w:cs="Calibri"/>
          <w:b/>
          <w:sz w:val="22"/>
          <w:szCs w:val="22"/>
        </w:rPr>
        <w:t>评标报告</w:t>
      </w:r>
    </w:p>
    <w:p>
      <w:pPr>
        <w:pStyle w:val="19"/>
        <w:adjustRightInd w:val="0"/>
        <w:snapToGrid w:val="0"/>
        <w:spacing w:line="360" w:lineRule="exact"/>
        <w:ind w:firstLine="440" w:firstLineChars="200"/>
        <w:rPr>
          <w:rFonts w:hAnsi="宋体" w:cs="Calibri"/>
          <w:sz w:val="22"/>
          <w:szCs w:val="22"/>
        </w:rPr>
      </w:pPr>
      <w:r>
        <w:rPr>
          <w:rFonts w:hAnsi="宋体" w:cs="Calibri"/>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pPr>
        <w:pStyle w:val="19"/>
        <w:spacing w:line="360" w:lineRule="exact"/>
        <w:rPr>
          <w:rFonts w:hAnsi="宋体" w:cs="Calibri"/>
          <w:b/>
          <w:sz w:val="22"/>
          <w:szCs w:val="22"/>
        </w:rPr>
      </w:pPr>
      <w:r>
        <w:rPr>
          <w:rFonts w:hAnsi="宋体" w:cs="Calibri"/>
          <w:b/>
          <w:sz w:val="22"/>
          <w:szCs w:val="22"/>
        </w:rPr>
        <w:t>四、</w:t>
      </w:r>
      <w:r>
        <w:rPr>
          <w:rFonts w:hint="eastAsia" w:hAnsi="宋体" w:cs="Calibri"/>
          <w:b/>
          <w:sz w:val="22"/>
          <w:szCs w:val="22"/>
        </w:rPr>
        <w:t>定</w:t>
      </w:r>
      <w:r>
        <w:rPr>
          <w:rFonts w:hAnsi="宋体" w:cs="Calibri"/>
          <w:b/>
          <w:sz w:val="22"/>
          <w:szCs w:val="22"/>
        </w:rPr>
        <w:t>标</w:t>
      </w:r>
    </w:p>
    <w:p>
      <w:pPr>
        <w:pStyle w:val="19"/>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1</w:t>
      </w:r>
      <w:r>
        <w:rPr>
          <w:rFonts w:hAnsi="宋体" w:cs="Calibri"/>
          <w:sz w:val="22"/>
          <w:szCs w:val="22"/>
        </w:rPr>
        <w:t>招标人将确定评标委员会推荐的</w:t>
      </w:r>
      <w:r>
        <w:rPr>
          <w:rFonts w:hint="eastAsia" w:hAnsi="宋体" w:cs="Calibri"/>
          <w:sz w:val="22"/>
          <w:szCs w:val="22"/>
        </w:rPr>
        <w:t>第一</w:t>
      </w:r>
      <w:r>
        <w:rPr>
          <w:rFonts w:hAnsi="宋体" w:cs="Calibri"/>
          <w:sz w:val="22"/>
          <w:szCs w:val="22"/>
        </w:rPr>
        <w:t>中标候选人为中标人。</w:t>
      </w:r>
      <w:r>
        <w:rPr>
          <w:rFonts w:hint="eastAsia" w:hAnsi="宋体" w:cs="Calibri"/>
          <w:sz w:val="22"/>
          <w:szCs w:val="22"/>
        </w:rPr>
        <w:t>第一</w:t>
      </w:r>
      <w:r>
        <w:rPr>
          <w:rFonts w:hAnsi="宋体" w:cs="Calibri"/>
          <w:sz w:val="22"/>
          <w:szCs w:val="22"/>
        </w:rPr>
        <w:t>中标候选人放弃中标、因不可抗力不能履行合同、不按照招标文件要求提交履约保证金，或者被查实存在影响中标结果的违法行为等情形，不符合中标条件的，招标人可以在其他中标候选人中按照推荐的排序确定中标人</w:t>
      </w:r>
      <w:r>
        <w:rPr>
          <w:rFonts w:hint="eastAsia" w:hAnsi="宋体" w:cs="Calibri"/>
          <w:sz w:val="22"/>
          <w:szCs w:val="22"/>
        </w:rPr>
        <w:t>或</w:t>
      </w:r>
      <w:r>
        <w:rPr>
          <w:rFonts w:hAnsi="宋体" w:cs="Calibri"/>
          <w:sz w:val="22"/>
          <w:szCs w:val="22"/>
        </w:rPr>
        <w:t>重新招标。</w:t>
      </w:r>
    </w:p>
    <w:p>
      <w:pPr>
        <w:pStyle w:val="19"/>
        <w:adjustRightInd w:val="0"/>
        <w:snapToGrid w:val="0"/>
        <w:spacing w:line="360" w:lineRule="exact"/>
        <w:ind w:firstLine="440" w:firstLineChars="200"/>
        <w:rPr>
          <w:rFonts w:hAnsi="宋体" w:cs="Calibri"/>
          <w:sz w:val="22"/>
          <w:szCs w:val="22"/>
        </w:rPr>
      </w:pPr>
      <w:r>
        <w:rPr>
          <w:rFonts w:hint="eastAsia" w:hAnsi="宋体" w:cs="Calibri"/>
          <w:sz w:val="22"/>
          <w:szCs w:val="22"/>
        </w:rPr>
        <w:t>4.2</w:t>
      </w:r>
      <w:r>
        <w:rPr>
          <w:rFonts w:hAnsi="宋体" w:cs="Calibri"/>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pPr>
        <w:pStyle w:val="19"/>
        <w:adjustRightInd w:val="0"/>
        <w:snapToGrid w:val="0"/>
        <w:spacing w:line="360" w:lineRule="exact"/>
        <w:ind w:firstLine="440" w:firstLineChars="200"/>
        <w:rPr>
          <w:rFonts w:hAnsi="宋体" w:cs="Calibri"/>
          <w:sz w:val="22"/>
          <w:szCs w:val="22"/>
        </w:rPr>
      </w:pPr>
      <w:r>
        <w:rPr>
          <w:rFonts w:hAnsi="宋体" w:cs="Calibri"/>
          <w:sz w:val="22"/>
          <w:szCs w:val="22"/>
        </w:rPr>
        <w:t>4.</w:t>
      </w:r>
      <w:r>
        <w:rPr>
          <w:rFonts w:hint="eastAsia" w:hAnsi="宋体" w:cs="Calibri"/>
          <w:sz w:val="22"/>
          <w:szCs w:val="22"/>
        </w:rPr>
        <w:t>3</w:t>
      </w:r>
      <w:r>
        <w:rPr>
          <w:rFonts w:hAnsi="宋体" w:cs="Calibri"/>
          <w:sz w:val="22"/>
          <w:szCs w:val="22"/>
        </w:rPr>
        <w:t xml:space="preserve"> 如发生投诉争议等情况时，经查实中标候选人存在违法、违规行为，不符合中标条件，且该行为在评标时是无法发现和确认的，招标人可以在其他中标候选人中按照推荐的排序确定中标人</w:t>
      </w:r>
      <w:r>
        <w:rPr>
          <w:rFonts w:hint="eastAsia" w:hAnsi="宋体" w:cs="Calibri"/>
          <w:sz w:val="22"/>
          <w:szCs w:val="22"/>
        </w:rPr>
        <w:t>或</w:t>
      </w:r>
      <w:r>
        <w:rPr>
          <w:rFonts w:hAnsi="宋体" w:cs="Calibri"/>
          <w:sz w:val="22"/>
          <w:szCs w:val="22"/>
        </w:rPr>
        <w:t>重新招标。</w:t>
      </w:r>
      <w:bookmarkEnd w:id="124"/>
    </w:p>
    <w:p>
      <w:pPr>
        <w:pStyle w:val="19"/>
        <w:adjustRightInd w:val="0"/>
        <w:snapToGrid w:val="0"/>
        <w:spacing w:line="360" w:lineRule="exact"/>
        <w:ind w:firstLine="440" w:firstLineChars="200"/>
        <w:rPr>
          <w:rFonts w:hAnsi="宋体" w:cs="Calibri"/>
          <w:b/>
          <w:sz w:val="22"/>
          <w:szCs w:val="22"/>
        </w:rPr>
      </w:pPr>
      <w:r>
        <w:rPr>
          <w:rFonts w:hint="eastAsia" w:hAnsi="宋体" w:cs="Calibri"/>
          <w:b/>
          <w:sz w:val="22"/>
          <w:szCs w:val="22"/>
        </w:rPr>
        <w:t>4.4招标人对评标、定标结果不负责解释。</w:t>
      </w:r>
    </w:p>
    <w:p>
      <w:pPr>
        <w:pStyle w:val="19"/>
        <w:adjustRightInd w:val="0"/>
        <w:snapToGrid w:val="0"/>
        <w:spacing w:line="360" w:lineRule="exact"/>
        <w:ind w:firstLine="420" w:firstLineChars="200"/>
        <w:rPr>
          <w:rFonts w:hAnsi="宋体"/>
        </w:rPr>
      </w:pPr>
    </w:p>
    <w:p>
      <w:pPr>
        <w:widowControl/>
        <w:jc w:val="center"/>
        <w:rPr>
          <w:rFonts w:ascii="Cambria" w:hAnsi="Cambria" w:eastAsia="黑体"/>
          <w:b/>
          <w:bCs/>
          <w:kern w:val="0"/>
          <w:sz w:val="32"/>
          <w:szCs w:val="32"/>
        </w:rPr>
      </w:pPr>
      <w:r>
        <w:br w:type="page"/>
      </w:r>
      <w:r>
        <w:rPr>
          <w:rFonts w:eastAsia="黑体" w:cs="Calibri"/>
          <w:kern w:val="0"/>
          <w:sz w:val="32"/>
        </w:rPr>
        <w:t>第</w:t>
      </w:r>
      <w:r>
        <w:rPr>
          <w:rFonts w:hint="eastAsia" w:eastAsia="黑体" w:cs="Calibri"/>
          <w:kern w:val="0"/>
          <w:sz w:val="32"/>
        </w:rPr>
        <w:t>六</w:t>
      </w:r>
      <w:r>
        <w:rPr>
          <w:rFonts w:eastAsia="黑体" w:cs="Calibri"/>
          <w:kern w:val="0"/>
          <w:sz w:val="32"/>
        </w:rPr>
        <w:t>章  投标文件格式</w:t>
      </w:r>
    </w:p>
    <w:p>
      <w:pPr>
        <w:spacing w:line="440" w:lineRule="exact"/>
        <w:rPr>
          <w:rFonts w:cs="Calibri"/>
          <w:sz w:val="24"/>
        </w:rPr>
      </w:pPr>
    </w:p>
    <w:p>
      <w:pPr>
        <w:spacing w:line="440" w:lineRule="exact"/>
        <w:jc w:val="center"/>
        <w:rPr>
          <w:rFonts w:cs="Calibri"/>
          <w:b/>
          <w:sz w:val="28"/>
          <w:szCs w:val="28"/>
        </w:rPr>
      </w:pPr>
      <w:r>
        <w:rPr>
          <w:rFonts w:cs="Calibri"/>
          <w:b/>
          <w:sz w:val="28"/>
          <w:szCs w:val="28"/>
        </w:rPr>
        <w:t>目   录</w:t>
      </w:r>
    </w:p>
    <w:p>
      <w:pPr>
        <w:spacing w:line="440" w:lineRule="exact"/>
        <w:ind w:firstLine="440" w:firstLineChars="200"/>
        <w:rPr>
          <w:rFonts w:ascii="宋体" w:hAnsi="宋体" w:cs="Calibri"/>
          <w:sz w:val="22"/>
        </w:rPr>
      </w:pPr>
      <w:r>
        <w:rPr>
          <w:rFonts w:ascii="宋体" w:hAnsi="宋体" w:cs="Calibri"/>
          <w:sz w:val="22"/>
        </w:rPr>
        <w:t>封面</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一、</w:t>
      </w:r>
      <w:r>
        <w:rPr>
          <w:rFonts w:ascii="宋体" w:hAnsi="宋体" w:cs="Calibri"/>
          <w:sz w:val="22"/>
        </w:rPr>
        <w:t>投标函；</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二、</w:t>
      </w:r>
      <w:r>
        <w:rPr>
          <w:rFonts w:ascii="宋体" w:hAnsi="宋体" w:cs="Calibri"/>
          <w:sz w:val="22"/>
        </w:rPr>
        <w:t>法定代表人资格证明书；</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三、</w:t>
      </w:r>
      <w:r>
        <w:rPr>
          <w:rFonts w:ascii="宋体" w:hAnsi="宋体" w:cs="Calibri"/>
          <w:sz w:val="22"/>
        </w:rPr>
        <w:t>授权委托书；</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四、</w:t>
      </w:r>
      <w:r>
        <w:rPr>
          <w:rFonts w:ascii="宋体" w:hAnsi="宋体" w:cs="Calibri"/>
          <w:sz w:val="22"/>
        </w:rPr>
        <w:t>投标报价表；</w:t>
      </w:r>
    </w:p>
    <w:p>
      <w:pPr>
        <w:adjustRightInd w:val="0"/>
        <w:snapToGrid w:val="0"/>
        <w:spacing w:line="360" w:lineRule="exact"/>
        <w:ind w:firstLine="440" w:firstLineChars="200"/>
        <w:rPr>
          <w:rFonts w:ascii="宋体" w:hAnsi="宋体" w:cs="Calibri"/>
          <w:sz w:val="22"/>
        </w:rPr>
      </w:pPr>
      <w:bookmarkStart w:id="125" w:name="_Hlk12066648"/>
      <w:r>
        <w:rPr>
          <w:rFonts w:hint="eastAsia" w:ascii="宋体" w:hAnsi="宋体" w:cs="Calibri"/>
          <w:sz w:val="22"/>
        </w:rPr>
        <w:t>五、所投设备详细技术参数说明（含设备外观彩色图片）；</w:t>
      </w:r>
    </w:p>
    <w:bookmarkEnd w:id="125"/>
    <w:p>
      <w:pPr>
        <w:adjustRightInd w:val="0"/>
        <w:snapToGrid w:val="0"/>
        <w:spacing w:line="360" w:lineRule="exact"/>
        <w:ind w:firstLine="440" w:firstLineChars="200"/>
        <w:rPr>
          <w:rFonts w:ascii="宋体" w:hAnsi="宋体" w:cs="Calibri"/>
          <w:sz w:val="22"/>
        </w:rPr>
      </w:pPr>
      <w:r>
        <w:rPr>
          <w:rFonts w:hint="eastAsia" w:ascii="宋体" w:hAnsi="宋体" w:cs="Calibri"/>
          <w:sz w:val="22"/>
        </w:rPr>
        <w:t>六、</w:t>
      </w:r>
      <w:r>
        <w:rPr>
          <w:rFonts w:ascii="宋体" w:hAnsi="宋体" w:cs="Calibri"/>
          <w:sz w:val="22"/>
        </w:rPr>
        <w:t>投标人资格证明文件：</w:t>
      </w:r>
    </w:p>
    <w:p>
      <w:pPr>
        <w:adjustRightInd w:val="0"/>
        <w:snapToGrid w:val="0"/>
        <w:spacing w:line="360" w:lineRule="exact"/>
        <w:ind w:firstLine="440" w:firstLineChars="200"/>
        <w:rPr>
          <w:rFonts w:ascii="宋体" w:hAnsi="宋体" w:cs="Calibri"/>
          <w:sz w:val="22"/>
        </w:rPr>
      </w:pPr>
      <w:r>
        <w:rPr>
          <w:rFonts w:ascii="宋体" w:hAnsi="宋体" w:cs="Calibri"/>
          <w:sz w:val="22"/>
        </w:rPr>
        <w:t>（1）投标人一般情况</w:t>
      </w:r>
      <w:r>
        <w:rPr>
          <w:rFonts w:hint="eastAsia" w:ascii="宋体" w:hAnsi="宋体" w:cs="Calibri"/>
          <w:sz w:val="22"/>
        </w:rPr>
        <w:t>及</w:t>
      </w:r>
      <w:r>
        <w:rPr>
          <w:rFonts w:ascii="宋体" w:hAnsi="宋体" w:cs="Calibri"/>
          <w:sz w:val="22"/>
        </w:rPr>
        <w:t>有关证明投标人法律地位的文件（包括营业执照</w:t>
      </w:r>
      <w:r>
        <w:rPr>
          <w:rFonts w:hint="eastAsia" w:ascii="宋体" w:hAnsi="宋体" w:cs="Calibri"/>
          <w:sz w:val="22"/>
        </w:rPr>
        <w:t>、税务登记证、</w:t>
      </w:r>
      <w:r>
        <w:rPr>
          <w:rFonts w:ascii="宋体" w:hAnsi="宋体" w:cs="Calibri"/>
          <w:sz w:val="22"/>
        </w:rPr>
        <w:t>一般纳税人证明材料</w:t>
      </w:r>
      <w:r>
        <w:rPr>
          <w:rFonts w:hint="eastAsia" w:ascii="宋体" w:hAnsi="宋体" w:cs="Calibri"/>
          <w:sz w:val="22"/>
        </w:rPr>
        <w:t>、</w:t>
      </w:r>
      <w:r>
        <w:rPr>
          <w:rFonts w:ascii="宋体" w:hAnsi="宋体" w:cs="Calibri"/>
          <w:sz w:val="22"/>
        </w:rPr>
        <w:t>资质</w:t>
      </w:r>
      <w:r>
        <w:rPr>
          <w:rFonts w:hint="eastAsia" w:ascii="宋体" w:hAnsi="宋体" w:cs="Calibri"/>
          <w:sz w:val="22"/>
        </w:rPr>
        <w:t>证书</w:t>
      </w:r>
      <w:r>
        <w:rPr>
          <w:rFonts w:ascii="宋体" w:hAnsi="宋体" w:cs="Calibri"/>
          <w:sz w:val="22"/>
        </w:rPr>
        <w:t>等），说明投标人的注册地点和主要经营范围；</w:t>
      </w:r>
    </w:p>
    <w:p>
      <w:pPr>
        <w:adjustRightInd w:val="0"/>
        <w:snapToGrid w:val="0"/>
        <w:spacing w:line="360" w:lineRule="exact"/>
        <w:ind w:firstLine="440" w:firstLineChars="200"/>
        <w:rPr>
          <w:rFonts w:hint="eastAsia" w:ascii="宋体" w:hAnsi="宋体" w:cs="Calibri"/>
          <w:sz w:val="22"/>
        </w:rPr>
      </w:pPr>
      <w:r>
        <w:rPr>
          <w:rFonts w:hint="eastAsia" w:ascii="宋体" w:hAnsi="宋体" w:cs="Calibri"/>
          <w:sz w:val="22"/>
        </w:rPr>
        <w:t>（</w:t>
      </w:r>
      <w:r>
        <w:rPr>
          <w:rFonts w:ascii="宋体" w:hAnsi="宋体" w:cs="Calibri"/>
          <w:sz w:val="22"/>
        </w:rPr>
        <w:t>2）信用中国网站www.creditchina.gov.cn 、中国裁判文书网http://wenshu.court.gov.cn查询结果以及主管税务部门出具的一般纳税人资格认定《税务事项通知书》或《增值税一般纳税人登记表》或投标人电子税务局一般纳税人资格查询网页；</w:t>
      </w:r>
    </w:p>
    <w:p>
      <w:pPr>
        <w:adjustRightInd w:val="0"/>
        <w:snapToGrid w:val="0"/>
        <w:spacing w:line="360" w:lineRule="exact"/>
        <w:ind w:firstLine="440" w:firstLineChars="200"/>
        <w:rPr>
          <w:rFonts w:ascii="宋体" w:hAnsi="宋体" w:cs="Calibri"/>
          <w:sz w:val="22"/>
        </w:rPr>
      </w:pPr>
      <w:r>
        <w:rPr>
          <w:rFonts w:ascii="宋体" w:hAnsi="宋体" w:cs="Calibri"/>
          <w:sz w:val="22"/>
        </w:rPr>
        <w:t>（3）有关证明投标人的企业信誉及获得各种奖励等资料；</w:t>
      </w:r>
    </w:p>
    <w:p>
      <w:pPr>
        <w:adjustRightInd w:val="0"/>
        <w:snapToGrid w:val="0"/>
        <w:spacing w:line="360" w:lineRule="exact"/>
        <w:ind w:firstLine="440" w:firstLineChars="200"/>
        <w:rPr>
          <w:rFonts w:ascii="宋体" w:hAnsi="宋体" w:cs="Calibri"/>
          <w:sz w:val="22"/>
        </w:rPr>
      </w:pPr>
      <w:r>
        <w:rPr>
          <w:rFonts w:ascii="宋体" w:hAnsi="宋体" w:cs="Calibri"/>
          <w:sz w:val="22"/>
        </w:rPr>
        <w:t>（4）投标人经济实力：包括企业注册资金、财务报告与报表中反映的财务状况</w:t>
      </w:r>
      <w:r>
        <w:rPr>
          <w:rFonts w:hint="eastAsia" w:ascii="宋体" w:hAnsi="宋体" w:cs="Calibri"/>
          <w:sz w:val="22"/>
        </w:rPr>
        <w:t>；</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w:t>
      </w:r>
      <w:r>
        <w:rPr>
          <w:rFonts w:ascii="宋体" w:hAnsi="宋体" w:cs="Calibri"/>
          <w:sz w:val="22"/>
        </w:rPr>
        <w:t>5</w:t>
      </w:r>
      <w:r>
        <w:rPr>
          <w:rFonts w:hint="eastAsia" w:ascii="宋体" w:hAnsi="宋体" w:cs="Calibri"/>
          <w:sz w:val="22"/>
        </w:rPr>
        <w:t>）</w:t>
      </w:r>
      <w:r>
        <w:rPr>
          <w:rFonts w:ascii="宋体" w:hAnsi="宋体" w:cs="Calibri"/>
          <w:sz w:val="22"/>
        </w:rPr>
        <w:t>类似项目业绩情况</w:t>
      </w:r>
      <w:r>
        <w:rPr>
          <w:rFonts w:hint="eastAsia" w:ascii="宋体" w:hAnsi="宋体" w:cs="Calibri"/>
          <w:sz w:val="22"/>
        </w:rPr>
        <w:t>。</w:t>
      </w:r>
    </w:p>
    <w:p>
      <w:pPr>
        <w:adjustRightInd w:val="0"/>
        <w:snapToGrid w:val="0"/>
        <w:spacing w:line="360" w:lineRule="exact"/>
        <w:ind w:firstLine="440" w:firstLineChars="200"/>
        <w:rPr>
          <w:rFonts w:ascii="宋体" w:hAnsi="宋体" w:cs="Arial"/>
          <w:kern w:val="0"/>
          <w:sz w:val="22"/>
        </w:rPr>
      </w:pPr>
      <w:r>
        <w:rPr>
          <w:rFonts w:hint="eastAsia" w:ascii="宋体" w:hAnsi="宋体" w:cs="Calibri"/>
          <w:sz w:val="22"/>
        </w:rPr>
        <w:t>（</w:t>
      </w:r>
      <w:r>
        <w:rPr>
          <w:rFonts w:ascii="宋体" w:hAnsi="宋体" w:cs="Calibri"/>
          <w:sz w:val="22"/>
        </w:rPr>
        <w:t>6</w:t>
      </w:r>
      <w:r>
        <w:rPr>
          <w:rFonts w:hint="eastAsia" w:ascii="宋体" w:hAnsi="宋体" w:cs="Calibri"/>
          <w:sz w:val="22"/>
        </w:rPr>
        <w:t>）I</w:t>
      </w:r>
      <w:r>
        <w:rPr>
          <w:rFonts w:hint="eastAsia" w:ascii="宋体" w:hAnsi="宋体" w:cs="Arial"/>
          <w:kern w:val="0"/>
          <w:sz w:val="22"/>
        </w:rPr>
        <w:t>SO9000质量体系认证。</w:t>
      </w:r>
    </w:p>
    <w:p>
      <w:pPr>
        <w:adjustRightInd w:val="0"/>
        <w:snapToGrid w:val="0"/>
        <w:spacing w:line="360" w:lineRule="exact"/>
        <w:ind w:firstLine="440" w:firstLineChars="200"/>
        <w:rPr>
          <w:rFonts w:ascii="宋体" w:hAnsi="宋体" w:cs="Calibri"/>
          <w:sz w:val="22"/>
        </w:rPr>
      </w:pPr>
      <w:r>
        <w:rPr>
          <w:rFonts w:hint="eastAsia" w:ascii="宋体" w:hAnsi="宋体" w:cs="Calibri"/>
          <w:sz w:val="22"/>
        </w:rPr>
        <w:t>（</w:t>
      </w:r>
      <w:r>
        <w:rPr>
          <w:rFonts w:ascii="宋体" w:hAnsi="宋体" w:cs="Calibri"/>
          <w:sz w:val="22"/>
        </w:rPr>
        <w:t>7</w:t>
      </w:r>
      <w:r>
        <w:rPr>
          <w:rFonts w:hint="eastAsia" w:ascii="宋体" w:hAnsi="宋体" w:cs="Calibri"/>
          <w:sz w:val="22"/>
        </w:rPr>
        <w:t>）中航信第三方入网许可证</w:t>
      </w:r>
      <w:r>
        <w:rPr>
          <w:rStyle w:val="52"/>
          <w:rFonts w:hint="eastAsia"/>
          <w:kern w:val="0"/>
        </w:rPr>
        <w:t>。</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七、</w:t>
      </w:r>
      <w:r>
        <w:rPr>
          <w:rFonts w:ascii="宋体" w:hAnsi="宋体" w:cs="Calibri"/>
          <w:sz w:val="22"/>
        </w:rPr>
        <w:t>服务大纲</w:t>
      </w:r>
    </w:p>
    <w:p>
      <w:pPr>
        <w:adjustRightInd w:val="0"/>
        <w:snapToGrid w:val="0"/>
        <w:spacing w:line="360" w:lineRule="exact"/>
        <w:ind w:firstLine="440" w:firstLineChars="200"/>
        <w:rPr>
          <w:rFonts w:ascii="宋体" w:hAnsi="宋体" w:cs="Calibri"/>
          <w:sz w:val="22"/>
        </w:rPr>
      </w:pPr>
      <w:r>
        <w:rPr>
          <w:rFonts w:ascii="宋体" w:hAnsi="宋体" w:cs="Calibri"/>
          <w:sz w:val="22"/>
        </w:rPr>
        <w:t>（1）本项目概况；</w:t>
      </w:r>
    </w:p>
    <w:p>
      <w:pPr>
        <w:adjustRightInd w:val="0"/>
        <w:snapToGrid w:val="0"/>
        <w:spacing w:line="360" w:lineRule="exact"/>
        <w:ind w:firstLine="440" w:firstLineChars="200"/>
        <w:rPr>
          <w:rFonts w:ascii="宋体" w:hAnsi="宋体" w:cs="Calibri"/>
          <w:sz w:val="22"/>
        </w:rPr>
      </w:pPr>
      <w:r>
        <w:rPr>
          <w:rFonts w:ascii="宋体" w:hAnsi="宋体" w:cs="Calibri"/>
          <w:sz w:val="22"/>
        </w:rPr>
        <w:t>（2）工作内容和依据；</w:t>
      </w:r>
    </w:p>
    <w:p>
      <w:pPr>
        <w:adjustRightInd w:val="0"/>
        <w:snapToGrid w:val="0"/>
        <w:spacing w:line="360" w:lineRule="exact"/>
        <w:ind w:firstLine="440" w:firstLineChars="200"/>
        <w:rPr>
          <w:rFonts w:ascii="宋体" w:hAnsi="宋体" w:cs="Calibri"/>
          <w:sz w:val="22"/>
        </w:rPr>
      </w:pPr>
      <w:r>
        <w:rPr>
          <w:rFonts w:ascii="宋体" w:hAnsi="宋体" w:cs="Calibri"/>
          <w:sz w:val="22"/>
        </w:rPr>
        <w:t>（3）服务管理班子的组织结构形式；</w:t>
      </w:r>
    </w:p>
    <w:p>
      <w:pPr>
        <w:adjustRightInd w:val="0"/>
        <w:snapToGrid w:val="0"/>
        <w:spacing w:line="360" w:lineRule="exact"/>
        <w:ind w:firstLine="440" w:firstLineChars="200"/>
        <w:rPr>
          <w:rFonts w:ascii="宋体" w:hAnsi="宋体" w:cs="Calibri"/>
          <w:sz w:val="22"/>
        </w:rPr>
      </w:pPr>
      <w:r>
        <w:rPr>
          <w:rFonts w:ascii="宋体" w:hAnsi="宋体" w:cs="Calibri"/>
          <w:sz w:val="22"/>
        </w:rPr>
        <w:t>（4）</w:t>
      </w:r>
      <w:r>
        <w:rPr>
          <w:rFonts w:hint="eastAsia" w:ascii="宋体" w:hAnsi="宋体" w:cs="Calibri"/>
          <w:sz w:val="22"/>
        </w:rPr>
        <w:t>服务人员的作业安排和进场计划（供货、售后服务、质量保证等）；</w:t>
      </w:r>
      <w:r>
        <w:rPr>
          <w:rFonts w:ascii="宋体" w:hAnsi="宋体" w:cs="Calibri"/>
          <w:sz w:val="22"/>
        </w:rPr>
        <w:t>；</w:t>
      </w:r>
    </w:p>
    <w:p>
      <w:pPr>
        <w:adjustRightInd w:val="0"/>
        <w:snapToGrid w:val="0"/>
        <w:spacing w:line="360" w:lineRule="exact"/>
        <w:ind w:firstLine="440" w:firstLineChars="200"/>
        <w:rPr>
          <w:rFonts w:ascii="宋体" w:hAnsi="宋体" w:cs="Calibri"/>
          <w:sz w:val="22"/>
        </w:rPr>
      </w:pPr>
      <w:r>
        <w:rPr>
          <w:rFonts w:ascii="宋体" w:hAnsi="宋体" w:cs="Calibri"/>
          <w:sz w:val="22"/>
        </w:rPr>
        <w:t>（5）服务人员工作守则；</w:t>
      </w:r>
    </w:p>
    <w:p>
      <w:pPr>
        <w:adjustRightInd w:val="0"/>
        <w:snapToGrid w:val="0"/>
        <w:spacing w:line="360" w:lineRule="exact"/>
        <w:ind w:firstLine="440" w:firstLineChars="200"/>
        <w:rPr>
          <w:rFonts w:ascii="宋体" w:hAnsi="宋体" w:cs="Calibri"/>
          <w:sz w:val="22"/>
        </w:rPr>
      </w:pPr>
      <w:r>
        <w:rPr>
          <w:rFonts w:ascii="宋体" w:hAnsi="宋体" w:cs="Calibri"/>
          <w:sz w:val="22"/>
        </w:rPr>
        <w:t>（6）对本项目的实施意见及重点</w:t>
      </w:r>
      <w:r>
        <w:rPr>
          <w:rFonts w:hint="eastAsia" w:ascii="宋体" w:hAnsi="宋体" w:cs="Calibri"/>
          <w:sz w:val="22"/>
        </w:rPr>
        <w:t>、</w:t>
      </w:r>
      <w:r>
        <w:rPr>
          <w:rFonts w:ascii="宋体" w:hAnsi="宋体" w:cs="Calibri"/>
          <w:sz w:val="22"/>
        </w:rPr>
        <w:t>难点控制；</w:t>
      </w:r>
    </w:p>
    <w:p>
      <w:pPr>
        <w:adjustRightInd w:val="0"/>
        <w:snapToGrid w:val="0"/>
        <w:spacing w:line="360" w:lineRule="exact"/>
        <w:ind w:firstLine="440" w:firstLineChars="200"/>
        <w:rPr>
          <w:rFonts w:ascii="宋体" w:hAnsi="宋体" w:cs="Calibri"/>
          <w:sz w:val="22"/>
        </w:rPr>
      </w:pPr>
      <w:r>
        <w:rPr>
          <w:rFonts w:ascii="宋体" w:hAnsi="宋体" w:cs="Calibri"/>
          <w:sz w:val="22"/>
        </w:rPr>
        <w:t>（7）投入到本项目的项目负责人、其他人员的情况汇总表及业绩、经历、能力介绍、资格证明材料及人员到位率的承诺；</w:t>
      </w:r>
    </w:p>
    <w:p>
      <w:pPr>
        <w:adjustRightInd w:val="0"/>
        <w:snapToGrid w:val="0"/>
        <w:spacing w:line="360" w:lineRule="exact"/>
        <w:ind w:firstLine="440" w:firstLineChars="200"/>
        <w:rPr>
          <w:rFonts w:ascii="宋体" w:hAnsi="宋体" w:cs="Calibri"/>
          <w:sz w:val="22"/>
        </w:rPr>
      </w:pPr>
      <w:r>
        <w:rPr>
          <w:rFonts w:ascii="宋体" w:hAnsi="宋体" w:cs="Calibri"/>
          <w:sz w:val="22"/>
        </w:rPr>
        <w:t>（8）投入本项目服务的仪器、仪表、设备及交通工具汇总表</w:t>
      </w:r>
      <w:r>
        <w:rPr>
          <w:rFonts w:hint="eastAsia" w:ascii="宋体" w:hAnsi="宋体" w:cs="Calibri"/>
          <w:sz w:val="22"/>
        </w:rPr>
        <w:t>。</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八、技术规格偏离表；</w:t>
      </w:r>
    </w:p>
    <w:p>
      <w:pPr>
        <w:adjustRightInd w:val="0"/>
        <w:snapToGrid w:val="0"/>
        <w:spacing w:line="400" w:lineRule="exact"/>
        <w:ind w:firstLine="440" w:firstLineChars="200"/>
        <w:rPr>
          <w:rFonts w:ascii="宋体" w:hAnsi="宋体" w:cs="Calibri"/>
          <w:sz w:val="22"/>
        </w:rPr>
      </w:pPr>
      <w:r>
        <w:rPr>
          <w:rFonts w:hint="eastAsia" w:ascii="宋体" w:hAnsi="宋体" w:cs="Calibri"/>
          <w:sz w:val="22"/>
        </w:rPr>
        <w:t>九、商务条款响应偏离表；</w:t>
      </w:r>
    </w:p>
    <w:p>
      <w:pPr>
        <w:spacing w:line="440" w:lineRule="exact"/>
        <w:ind w:right="420" w:firstLine="440" w:firstLineChars="200"/>
        <w:rPr>
          <w:rFonts w:ascii="宋体" w:hAnsi="宋体" w:cs="Calibri"/>
          <w:sz w:val="22"/>
        </w:rPr>
      </w:pPr>
      <w:r>
        <w:rPr>
          <w:rFonts w:hint="eastAsia" w:ascii="宋体" w:hAnsi="宋体" w:cs="Calibri"/>
          <w:sz w:val="22"/>
        </w:rPr>
        <w:t>十、廉洁自律承诺书</w:t>
      </w:r>
    </w:p>
    <w:p>
      <w:pPr>
        <w:spacing w:line="440" w:lineRule="exact"/>
        <w:ind w:right="420" w:firstLine="440" w:firstLineChars="200"/>
        <w:rPr>
          <w:rFonts w:ascii="宋体" w:hAnsi="宋体" w:cs="Calibri"/>
        </w:rPr>
      </w:pPr>
      <w:r>
        <w:rPr>
          <w:rFonts w:hint="eastAsia" w:ascii="宋体" w:hAnsi="宋体" w:cs="Calibri"/>
          <w:sz w:val="22"/>
        </w:rPr>
        <w:t>十一、</w:t>
      </w:r>
      <w:r>
        <w:rPr>
          <w:rFonts w:hint="eastAsia" w:ascii="宋体" w:hAnsi="宋体" w:cs="Arial"/>
          <w:sz w:val="22"/>
        </w:rPr>
        <w:t>投标人认为</w:t>
      </w:r>
      <w:r>
        <w:rPr>
          <w:rFonts w:ascii="宋体" w:hAnsi="宋体" w:cs="Arial"/>
          <w:sz w:val="22"/>
        </w:rPr>
        <w:t>应该提供的其他材料</w:t>
      </w:r>
      <w:r>
        <w:rPr>
          <w:rFonts w:hint="eastAsia" w:ascii="宋体" w:hAnsi="宋体" w:cs="Arial"/>
          <w:sz w:val="22"/>
        </w:rPr>
        <w:t>。</w:t>
      </w:r>
    </w:p>
    <w:p>
      <w:pPr>
        <w:rPr>
          <w:rFonts w:ascii="宋体" w:hAnsi="宋体" w:cs="Calibri"/>
          <w:sz w:val="22"/>
        </w:rPr>
      </w:pPr>
    </w:p>
    <w:p>
      <w:pPr>
        <w:spacing w:line="440" w:lineRule="exact"/>
        <w:rPr>
          <w:rFonts w:ascii="宋体" w:hAnsi="宋体" w:cs="Calibri"/>
          <w:sz w:val="22"/>
        </w:rPr>
      </w:pPr>
    </w:p>
    <w:p>
      <w:pPr>
        <w:spacing w:line="440" w:lineRule="exact"/>
        <w:ind w:right="420"/>
        <w:rPr>
          <w:rFonts w:ascii="宋体" w:hAnsi="宋体" w:cs="Calibri"/>
          <w:sz w:val="22"/>
        </w:rPr>
      </w:pPr>
      <w:r>
        <w:rPr>
          <w:rFonts w:hint="eastAsia" w:ascii="宋体" w:hAnsi="宋体" w:cs="Calibri"/>
          <w:sz w:val="22"/>
        </w:rPr>
        <w:t>注：未提供格式的由投标人自行拟定格式。</w:t>
      </w:r>
    </w:p>
    <w:p>
      <w:pPr>
        <w:spacing w:line="440" w:lineRule="exact"/>
        <w:ind w:right="420"/>
        <w:rPr>
          <w:rFonts w:cs="Calibri"/>
        </w:rPr>
      </w:pPr>
    </w:p>
    <w:p>
      <w:pPr>
        <w:spacing w:line="440" w:lineRule="exact"/>
        <w:ind w:right="420"/>
        <w:jc w:val="right"/>
        <w:rPr>
          <w:rFonts w:cs="Calibri"/>
        </w:rPr>
      </w:pPr>
      <w:r>
        <w:rPr>
          <w:rFonts w:cs="Calibri"/>
        </w:rPr>
        <w:br w:type="page"/>
      </w:r>
      <w:r>
        <w:rPr>
          <w:rFonts w:cs="Calibri"/>
        </w:rPr>
        <w:t>正本（或副本）</w:t>
      </w:r>
    </w:p>
    <w:p>
      <w:pPr>
        <w:spacing w:line="440" w:lineRule="exact"/>
        <w:rPr>
          <w:rFonts w:cs="Calibri"/>
          <w:sz w:val="24"/>
          <w:u w:val="single"/>
        </w:rPr>
      </w:pPr>
      <w:bookmarkStart w:id="126" w:name="_Toc171421958"/>
      <w:r>
        <w:rPr>
          <w:rFonts w:cs="Calibri"/>
        </w:rPr>
        <w:t>封面</w:t>
      </w:r>
      <w:bookmarkEnd w:id="126"/>
    </w:p>
    <w:p>
      <w:pPr>
        <w:autoSpaceDE w:val="0"/>
        <w:autoSpaceDN w:val="0"/>
        <w:adjustRightInd w:val="0"/>
        <w:jc w:val="center"/>
        <w:rPr>
          <w:rFonts w:cs="Calibri"/>
          <w:b/>
          <w:spacing w:val="20"/>
          <w:kern w:val="0"/>
          <w:sz w:val="48"/>
          <w:szCs w:val="48"/>
        </w:rPr>
      </w:pPr>
    </w:p>
    <w:p>
      <w:pPr>
        <w:autoSpaceDE w:val="0"/>
        <w:autoSpaceDN w:val="0"/>
        <w:adjustRightInd w:val="0"/>
        <w:jc w:val="center"/>
        <w:rPr>
          <w:rFonts w:eastAsia="黑体" w:cs="Calibri"/>
          <w:b/>
          <w:sz w:val="44"/>
          <w:szCs w:val="44"/>
        </w:rPr>
      </w:pPr>
      <w:r>
        <w:rPr>
          <w:rFonts w:hint="eastAsia" w:eastAsia="黑体" w:cs="Calibri"/>
          <w:b/>
          <w:sz w:val="44"/>
          <w:szCs w:val="44"/>
        </w:rPr>
        <w:t>杭州萧山国际机场</w:t>
      </w:r>
      <w:r>
        <w:rPr>
          <w:rFonts w:hint="eastAsia" w:eastAsia="黑体" w:cs="Calibri"/>
          <w:b/>
          <w:sz w:val="44"/>
          <w:szCs w:val="44"/>
          <w:u w:val="single"/>
        </w:rPr>
        <w:t xml:space="preserve">         </w:t>
      </w:r>
      <w:r>
        <w:rPr>
          <w:rFonts w:eastAsia="黑体" w:cs="Calibri"/>
          <w:b/>
          <w:sz w:val="44"/>
          <w:szCs w:val="44"/>
        </w:rPr>
        <w:t>项目</w:t>
      </w:r>
    </w:p>
    <w:p>
      <w:pPr>
        <w:spacing w:line="440" w:lineRule="exact"/>
        <w:rPr>
          <w:rFonts w:cs="Calibri"/>
          <w:sz w:val="36"/>
          <w:szCs w:val="36"/>
        </w:rPr>
      </w:pPr>
    </w:p>
    <w:p>
      <w:pPr>
        <w:spacing w:line="440" w:lineRule="exact"/>
        <w:ind w:firstLine="480" w:firstLineChars="200"/>
        <w:jc w:val="center"/>
        <w:rPr>
          <w:rFonts w:cs="Calibri"/>
          <w:sz w:val="24"/>
        </w:rPr>
      </w:pPr>
    </w:p>
    <w:p>
      <w:pPr>
        <w:spacing w:line="440" w:lineRule="exact"/>
        <w:rPr>
          <w:rFonts w:cs="Calibri"/>
          <w:sz w:val="44"/>
          <w:szCs w:val="44"/>
        </w:rPr>
      </w:pPr>
    </w:p>
    <w:p>
      <w:pPr>
        <w:spacing w:before="480" w:beforeLines="200" w:after="480" w:afterLines="200" w:line="440" w:lineRule="exact"/>
        <w:jc w:val="center"/>
        <w:rPr>
          <w:rFonts w:cs="Calibri"/>
          <w:b/>
          <w:bCs/>
          <w:sz w:val="84"/>
          <w:szCs w:val="84"/>
        </w:rPr>
      </w:pPr>
      <w:r>
        <w:rPr>
          <w:rFonts w:cs="Calibri"/>
          <w:b/>
          <w:bCs/>
          <w:sz w:val="84"/>
          <w:szCs w:val="84"/>
        </w:rPr>
        <w:t>投标文件</w:t>
      </w:r>
    </w:p>
    <w:p>
      <w:pPr>
        <w:spacing w:line="440" w:lineRule="exact"/>
        <w:ind w:firstLine="480" w:firstLineChars="200"/>
        <w:jc w:val="center"/>
        <w:rPr>
          <w:rFonts w:cs="Calibri"/>
          <w:sz w:val="24"/>
        </w:rPr>
      </w:pPr>
    </w:p>
    <w:p>
      <w:pPr>
        <w:spacing w:line="440" w:lineRule="exact"/>
        <w:ind w:firstLine="480" w:firstLineChars="200"/>
        <w:rPr>
          <w:rFonts w:cs="Calibri"/>
          <w:sz w:val="24"/>
        </w:rPr>
      </w:pPr>
      <w:r>
        <w:rPr>
          <w:rFonts w:cs="Calibri"/>
          <w:sz w:val="24"/>
        </w:rPr>
        <w:t xml:space="preserve">                  </w:t>
      </w: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440" w:lineRule="exact"/>
        <w:ind w:firstLine="480" w:firstLineChars="200"/>
        <w:jc w:val="center"/>
        <w:rPr>
          <w:rFonts w:cs="Calibri"/>
          <w:sz w:val="24"/>
        </w:rPr>
      </w:pPr>
    </w:p>
    <w:p>
      <w:pPr>
        <w:spacing w:line="360" w:lineRule="auto"/>
        <w:ind w:firstLine="1400" w:firstLineChars="500"/>
        <w:rPr>
          <w:rFonts w:cs="Calibri"/>
          <w:sz w:val="28"/>
          <w:szCs w:val="28"/>
          <w:u w:val="single"/>
        </w:rPr>
      </w:pPr>
      <w:r>
        <w:rPr>
          <w:rFonts w:cs="Calibri"/>
          <w:sz w:val="28"/>
          <w:szCs w:val="28"/>
        </w:rPr>
        <w:t>投标人：</w:t>
      </w:r>
      <w:r>
        <w:rPr>
          <w:rFonts w:cs="Calibri"/>
          <w:sz w:val="28"/>
          <w:szCs w:val="28"/>
          <w:u w:val="single"/>
        </w:rPr>
        <w:t xml:space="preserve">                （盖单位章）           </w:t>
      </w:r>
    </w:p>
    <w:p>
      <w:pPr>
        <w:spacing w:line="360" w:lineRule="auto"/>
        <w:ind w:firstLine="1400" w:firstLineChars="500"/>
        <w:rPr>
          <w:rFonts w:cs="Calibri"/>
          <w:sz w:val="28"/>
          <w:szCs w:val="28"/>
        </w:rPr>
      </w:pPr>
      <w:r>
        <w:rPr>
          <w:rFonts w:cs="Calibri"/>
          <w:sz w:val="28"/>
          <w:szCs w:val="28"/>
        </w:rPr>
        <w:t>法定代表人或其委托代理人：</w:t>
      </w:r>
      <w:r>
        <w:rPr>
          <w:rFonts w:cs="Calibri"/>
          <w:sz w:val="28"/>
          <w:szCs w:val="28"/>
          <w:u w:val="single"/>
        </w:rPr>
        <w:t xml:space="preserve">   （签字或盖章）   </w:t>
      </w:r>
    </w:p>
    <w:p>
      <w:pPr>
        <w:spacing w:line="360" w:lineRule="auto"/>
        <w:ind w:firstLine="1400" w:firstLineChars="500"/>
        <w:rPr>
          <w:rFonts w:cs="Calibri"/>
          <w:sz w:val="28"/>
          <w:szCs w:val="28"/>
        </w:rPr>
      </w:pPr>
      <w:r>
        <w:rPr>
          <w:rFonts w:cs="Calibri"/>
          <w:sz w:val="28"/>
          <w:szCs w:val="28"/>
        </w:rPr>
        <w:t>日  期：</w:t>
      </w:r>
      <w:r>
        <w:rPr>
          <w:rFonts w:cs="Calibri"/>
          <w:sz w:val="28"/>
          <w:szCs w:val="28"/>
          <w:u w:val="single"/>
        </w:rPr>
        <w:t xml:space="preserve">        </w:t>
      </w:r>
      <w:r>
        <w:rPr>
          <w:rFonts w:cs="Calibri"/>
          <w:sz w:val="28"/>
          <w:szCs w:val="28"/>
        </w:rPr>
        <w:t>年</w:t>
      </w:r>
      <w:r>
        <w:rPr>
          <w:rFonts w:cs="Calibri"/>
          <w:sz w:val="28"/>
          <w:szCs w:val="28"/>
          <w:u w:val="single"/>
        </w:rPr>
        <w:t xml:space="preserve">         </w:t>
      </w:r>
      <w:r>
        <w:rPr>
          <w:rFonts w:cs="Calibri"/>
          <w:sz w:val="28"/>
          <w:szCs w:val="28"/>
        </w:rPr>
        <w:t>月</w:t>
      </w:r>
      <w:r>
        <w:rPr>
          <w:rFonts w:cs="Calibri"/>
          <w:sz w:val="28"/>
          <w:szCs w:val="28"/>
          <w:u w:val="single"/>
        </w:rPr>
        <w:t xml:space="preserve">        </w:t>
      </w:r>
      <w:r>
        <w:rPr>
          <w:rFonts w:cs="Calibri"/>
          <w:sz w:val="28"/>
          <w:szCs w:val="28"/>
        </w:rPr>
        <w:t>日</w:t>
      </w:r>
    </w:p>
    <w:p>
      <w:pPr>
        <w:spacing w:line="360" w:lineRule="auto"/>
        <w:ind w:firstLine="1400" w:firstLineChars="500"/>
        <w:rPr>
          <w:rFonts w:cs="Calibri"/>
          <w:sz w:val="28"/>
          <w:szCs w:val="28"/>
        </w:rPr>
      </w:pPr>
    </w:p>
    <w:p>
      <w:pPr>
        <w:spacing w:line="360" w:lineRule="auto"/>
        <w:jc w:val="center"/>
        <w:rPr>
          <w:rFonts w:eastAsia="黑体" w:cs="Calibri"/>
          <w:bCs/>
          <w:sz w:val="32"/>
          <w:szCs w:val="32"/>
        </w:rPr>
      </w:pPr>
      <w:r>
        <w:rPr>
          <w:rFonts w:cs="Calibri"/>
          <w:sz w:val="24"/>
        </w:rPr>
        <w:br w:type="page"/>
      </w:r>
      <w:r>
        <w:rPr>
          <w:rFonts w:eastAsia="黑体" w:cs="Calibri"/>
          <w:bCs/>
          <w:sz w:val="32"/>
          <w:szCs w:val="32"/>
        </w:rPr>
        <w:t>一、投 标 函</w:t>
      </w:r>
    </w:p>
    <w:p>
      <w:pPr>
        <w:spacing w:line="440" w:lineRule="exact"/>
        <w:jc w:val="center"/>
        <w:rPr>
          <w:rFonts w:cs="Calibri"/>
          <w:b/>
          <w:bCs/>
          <w:sz w:val="28"/>
          <w:szCs w:val="28"/>
        </w:rPr>
      </w:pPr>
    </w:p>
    <w:p>
      <w:pPr>
        <w:spacing w:line="440" w:lineRule="exact"/>
        <w:rPr>
          <w:rFonts w:ascii="宋体" w:hAnsi="宋体"/>
          <w:sz w:val="22"/>
        </w:rPr>
      </w:pPr>
      <w:r>
        <w:rPr>
          <w:rFonts w:hint="eastAsia" w:ascii="宋体" w:hAnsi="宋体"/>
          <w:sz w:val="22"/>
        </w:rPr>
        <w:t>致：杭州萧山国际机场有限公司</w:t>
      </w:r>
    </w:p>
    <w:p>
      <w:pPr>
        <w:overflowPunct w:val="0"/>
        <w:autoSpaceDE w:val="0"/>
        <w:autoSpaceDN w:val="0"/>
        <w:spacing w:line="440" w:lineRule="exact"/>
        <w:ind w:firstLine="440" w:firstLineChars="200"/>
        <w:rPr>
          <w:rFonts w:hint="eastAsia" w:ascii="宋体" w:hAnsi="宋体"/>
          <w:sz w:val="22"/>
        </w:rPr>
      </w:pPr>
      <w:r>
        <w:rPr>
          <w:rFonts w:hint="eastAsia" w:ascii="宋体" w:hAnsi="宋体"/>
          <w:sz w:val="22"/>
        </w:rPr>
        <w:t>根据贵方杭州萧山国际机场</w:t>
      </w:r>
      <w:r>
        <w:rPr>
          <w:rFonts w:hint="eastAsia" w:ascii="宋体" w:hAnsi="宋体"/>
          <w:sz w:val="22"/>
          <w:u w:val="single"/>
        </w:rPr>
        <w:t xml:space="preserve">             </w:t>
      </w:r>
      <w:r>
        <w:rPr>
          <w:rFonts w:hint="eastAsia" w:ascii="宋体" w:hAnsi="宋体"/>
          <w:sz w:val="22"/>
        </w:rPr>
        <w:t>采购项目的招标文件，授权代表</w:t>
      </w:r>
      <w:r>
        <w:rPr>
          <w:rFonts w:hint="eastAsia" w:ascii="宋体" w:hAnsi="宋体" w:cs="Arial"/>
          <w:sz w:val="22"/>
          <w:u w:val="single"/>
        </w:rPr>
        <w:t xml:space="preserve">        </w:t>
      </w:r>
      <w:r>
        <w:rPr>
          <w:rFonts w:hint="eastAsia" w:ascii="宋体" w:hAnsi="宋体"/>
          <w:sz w:val="22"/>
        </w:rPr>
        <w:t>(全名、职务)经正式授权，代表投标人</w:t>
      </w:r>
      <w:r>
        <w:rPr>
          <w:rFonts w:hint="eastAsia" w:ascii="宋体" w:hAnsi="宋体" w:cs="Arial"/>
          <w:sz w:val="22"/>
          <w:u w:val="single"/>
        </w:rPr>
        <w:t xml:space="preserve">                    </w:t>
      </w:r>
      <w:r>
        <w:rPr>
          <w:rFonts w:hint="eastAsia" w:ascii="宋体" w:hAnsi="宋体"/>
          <w:sz w:val="22"/>
        </w:rPr>
        <w:t>(投标人名称、地址)递交下述文件正本一份、副本二份。</w:t>
      </w:r>
    </w:p>
    <w:p>
      <w:pPr>
        <w:overflowPunct w:val="0"/>
        <w:autoSpaceDE w:val="0"/>
        <w:autoSpaceDN w:val="0"/>
        <w:spacing w:line="440" w:lineRule="exact"/>
        <w:ind w:firstLine="440" w:firstLineChars="200"/>
        <w:rPr>
          <w:rFonts w:hint="eastAsia" w:ascii="宋体" w:hAnsi="宋体" w:cs="Arial"/>
          <w:sz w:val="22"/>
        </w:rPr>
      </w:pPr>
      <w:r>
        <w:rPr>
          <w:rFonts w:hint="eastAsia" w:ascii="宋体" w:hAnsi="宋体" w:cs="Arial"/>
          <w:sz w:val="22"/>
        </w:rPr>
        <w:t>据此函，本授权代表宣布同意如下：</w:t>
      </w:r>
    </w:p>
    <w:p>
      <w:pPr>
        <w:numPr>
          <w:ilvl w:val="0"/>
          <w:numId w:val="2"/>
        </w:numPr>
        <w:tabs>
          <w:tab w:val="left" w:pos="840"/>
        </w:tabs>
        <w:overflowPunct w:val="0"/>
        <w:autoSpaceDE w:val="0"/>
        <w:autoSpaceDN w:val="0"/>
        <w:spacing w:line="440" w:lineRule="exact"/>
        <w:rPr>
          <w:rFonts w:hint="eastAsia" w:ascii="宋体" w:hAnsi="宋体"/>
          <w:sz w:val="22"/>
        </w:rPr>
      </w:pPr>
      <w:r>
        <w:rPr>
          <w:rFonts w:hint="eastAsia" w:ascii="宋体" w:hAnsi="宋体"/>
          <w:sz w:val="22"/>
        </w:rPr>
        <w:t>所投标报价汇总表中规定的应提供的货物和服务，投标总价为人民币：</w:t>
      </w:r>
    </w:p>
    <w:p>
      <w:pPr>
        <w:overflowPunct w:val="0"/>
        <w:autoSpaceDE w:val="0"/>
        <w:autoSpaceDN w:val="0"/>
        <w:spacing w:line="440" w:lineRule="exact"/>
        <w:ind w:left="416" w:leftChars="198" w:firstLine="440" w:firstLineChars="200"/>
        <w:rPr>
          <w:rFonts w:hint="eastAsia" w:ascii="宋体" w:hAnsi="宋体"/>
          <w:sz w:val="22"/>
        </w:rPr>
      </w:pPr>
      <w:r>
        <w:rPr>
          <w:rFonts w:hint="eastAsia" w:ascii="宋体" w:hAnsi="宋体"/>
          <w:sz w:val="22"/>
        </w:rPr>
        <w:t>(大写)</w:t>
      </w:r>
      <w:r>
        <w:rPr>
          <w:rFonts w:hint="eastAsia" w:ascii="宋体" w:hAnsi="宋体"/>
          <w:sz w:val="22"/>
          <w:u w:val="single"/>
        </w:rPr>
        <w:t xml:space="preserve">                   </w:t>
      </w:r>
      <w:r>
        <w:rPr>
          <w:rFonts w:hint="eastAsia" w:ascii="宋体" w:hAnsi="宋体"/>
          <w:sz w:val="22"/>
        </w:rPr>
        <w:t>(小写)</w:t>
      </w:r>
      <w:r>
        <w:rPr>
          <w:rFonts w:hint="eastAsia" w:ascii="宋体" w:hAnsi="宋体"/>
          <w:sz w:val="22"/>
          <w:u w:val="single"/>
        </w:rPr>
        <w:t xml:space="preserve">             </w:t>
      </w:r>
      <w:r>
        <w:rPr>
          <w:rFonts w:hint="eastAsia" w:ascii="宋体" w:hAnsi="宋体"/>
          <w:sz w:val="22"/>
        </w:rPr>
        <w:t>。</w:t>
      </w:r>
    </w:p>
    <w:p>
      <w:pPr>
        <w:overflowPunct w:val="0"/>
        <w:autoSpaceDE w:val="0"/>
        <w:autoSpaceDN w:val="0"/>
        <w:spacing w:line="440" w:lineRule="exact"/>
        <w:ind w:left="416" w:leftChars="198" w:firstLine="440" w:firstLineChars="200"/>
        <w:rPr>
          <w:rFonts w:hint="eastAsia" w:ascii="宋体" w:hAnsi="宋体"/>
          <w:sz w:val="22"/>
        </w:rPr>
      </w:pPr>
      <w:r>
        <w:rPr>
          <w:rFonts w:hint="eastAsia" w:ascii="宋体" w:hAnsi="宋体"/>
          <w:sz w:val="22"/>
        </w:rPr>
        <w:t>供货期：合同签订后</w:t>
      </w:r>
      <w:r>
        <w:rPr>
          <w:rFonts w:hint="eastAsia" w:ascii="宋体" w:hAnsi="宋体"/>
          <w:sz w:val="22"/>
          <w:u w:val="single"/>
        </w:rPr>
        <w:t xml:space="preserve">      </w:t>
      </w:r>
      <w:r>
        <w:rPr>
          <w:rFonts w:hint="eastAsia" w:ascii="宋体" w:hAnsi="宋体"/>
          <w:sz w:val="22"/>
        </w:rPr>
        <w:t>日历天、投标品牌：</w:t>
      </w:r>
      <w:r>
        <w:rPr>
          <w:rFonts w:hint="eastAsia" w:ascii="宋体" w:hAnsi="宋体"/>
          <w:sz w:val="22"/>
          <w:u w:val="single"/>
        </w:rPr>
        <w:t xml:space="preserve">        </w:t>
      </w:r>
    </w:p>
    <w:p>
      <w:pPr>
        <w:numPr>
          <w:ilvl w:val="0"/>
          <w:numId w:val="2"/>
        </w:numPr>
        <w:tabs>
          <w:tab w:val="left" w:pos="840"/>
        </w:tabs>
        <w:overflowPunct w:val="0"/>
        <w:autoSpaceDE w:val="0"/>
        <w:autoSpaceDN w:val="0"/>
        <w:spacing w:line="440" w:lineRule="exact"/>
        <w:rPr>
          <w:rFonts w:hint="eastAsia" w:ascii="宋体" w:hAnsi="宋体"/>
          <w:sz w:val="22"/>
        </w:rPr>
      </w:pPr>
      <w:r>
        <w:rPr>
          <w:rFonts w:hint="eastAsia" w:ascii="宋体" w:hAnsi="宋体"/>
          <w:sz w:val="22"/>
        </w:rPr>
        <w:t>我方承诺：</w:t>
      </w:r>
    </w:p>
    <w:p>
      <w:pPr>
        <w:numPr>
          <w:ilvl w:val="0"/>
          <w:numId w:val="3"/>
        </w:numPr>
        <w:tabs>
          <w:tab w:val="left" w:pos="840"/>
          <w:tab w:val="left" w:pos="907"/>
        </w:tabs>
        <w:overflowPunct w:val="0"/>
        <w:autoSpaceDE w:val="0"/>
        <w:autoSpaceDN w:val="0"/>
        <w:spacing w:line="440" w:lineRule="exact"/>
        <w:rPr>
          <w:rFonts w:hint="eastAsia" w:ascii="宋体" w:hAnsi="宋体"/>
          <w:sz w:val="22"/>
        </w:rPr>
      </w:pPr>
      <w:r>
        <w:rPr>
          <w:rFonts w:hint="eastAsia" w:ascii="宋体" w:hAnsi="宋体"/>
          <w:sz w:val="22"/>
        </w:rPr>
        <w:t>我方不是失信被执行人；</w:t>
      </w:r>
    </w:p>
    <w:p>
      <w:pPr>
        <w:numPr>
          <w:ilvl w:val="0"/>
          <w:numId w:val="3"/>
        </w:numPr>
        <w:tabs>
          <w:tab w:val="left" w:pos="840"/>
          <w:tab w:val="left" w:pos="907"/>
        </w:tabs>
        <w:overflowPunct w:val="0"/>
        <w:autoSpaceDE w:val="0"/>
        <w:autoSpaceDN w:val="0"/>
        <w:spacing w:line="440" w:lineRule="exact"/>
        <w:rPr>
          <w:rFonts w:hint="eastAsia" w:ascii="宋体" w:hAnsi="宋体"/>
          <w:sz w:val="22"/>
        </w:rPr>
      </w:pPr>
      <w:r>
        <w:rPr>
          <w:rFonts w:hint="eastAsia" w:ascii="宋体" w:hAnsi="宋体"/>
          <w:sz w:val="22"/>
        </w:rPr>
        <w:t>我方在规定期限内无行贿犯罪记录；</w:t>
      </w:r>
    </w:p>
    <w:p>
      <w:pPr>
        <w:numPr>
          <w:ilvl w:val="0"/>
          <w:numId w:val="3"/>
        </w:numPr>
        <w:tabs>
          <w:tab w:val="left" w:pos="840"/>
          <w:tab w:val="left" w:pos="907"/>
        </w:tabs>
        <w:overflowPunct w:val="0"/>
        <w:autoSpaceDE w:val="0"/>
        <w:autoSpaceDN w:val="0"/>
        <w:spacing w:line="440" w:lineRule="exact"/>
        <w:rPr>
          <w:rFonts w:hint="eastAsia" w:ascii="宋体" w:hAnsi="宋体"/>
          <w:sz w:val="22"/>
        </w:rPr>
      </w:pPr>
      <w:r>
        <w:rPr>
          <w:rFonts w:hint="eastAsia" w:ascii="宋体" w:hAnsi="宋体"/>
          <w:sz w:val="22"/>
        </w:rPr>
        <w:t>我方具有一般纳税人资格，可提供增值税专用发票。</w:t>
      </w:r>
    </w:p>
    <w:p>
      <w:pPr>
        <w:numPr>
          <w:ilvl w:val="0"/>
          <w:numId w:val="3"/>
        </w:numPr>
        <w:tabs>
          <w:tab w:val="left" w:pos="840"/>
          <w:tab w:val="left" w:pos="907"/>
        </w:tabs>
        <w:overflowPunct w:val="0"/>
        <w:autoSpaceDE w:val="0"/>
        <w:autoSpaceDN w:val="0"/>
        <w:spacing w:line="440" w:lineRule="exact"/>
        <w:rPr>
          <w:rFonts w:hint="eastAsia" w:ascii="宋体" w:hAnsi="宋体"/>
          <w:sz w:val="22"/>
        </w:rPr>
      </w:pPr>
      <w:r>
        <w:rPr>
          <w:rFonts w:hint="eastAsia" w:ascii="宋体" w:hAnsi="宋体"/>
          <w:sz w:val="22"/>
        </w:rPr>
        <w:t>我方注册资金符合本项目招标文件资格条件要求。</w:t>
      </w:r>
    </w:p>
    <w:p>
      <w:pPr>
        <w:numPr>
          <w:ilvl w:val="0"/>
          <w:numId w:val="2"/>
        </w:numPr>
        <w:tabs>
          <w:tab w:val="left" w:pos="840"/>
        </w:tabs>
        <w:overflowPunct w:val="0"/>
        <w:autoSpaceDE w:val="0"/>
        <w:autoSpaceDN w:val="0"/>
        <w:spacing w:line="440" w:lineRule="exact"/>
        <w:rPr>
          <w:rFonts w:hint="eastAsia" w:ascii="宋体" w:hAnsi="宋体"/>
          <w:sz w:val="22"/>
        </w:rPr>
      </w:pPr>
      <w:r>
        <w:rPr>
          <w:rFonts w:hint="eastAsia" w:ascii="宋体" w:hAnsi="宋体"/>
          <w:sz w:val="22"/>
        </w:rPr>
        <w:t>如我方中标，我方承诺：</w:t>
      </w:r>
    </w:p>
    <w:p>
      <w:pPr>
        <w:numPr>
          <w:ilvl w:val="0"/>
          <w:numId w:val="4"/>
        </w:numPr>
        <w:tabs>
          <w:tab w:val="left" w:pos="840"/>
          <w:tab w:val="left" w:pos="907"/>
        </w:tabs>
        <w:overflowPunct w:val="0"/>
        <w:autoSpaceDE w:val="0"/>
        <w:autoSpaceDN w:val="0"/>
        <w:spacing w:line="440" w:lineRule="exact"/>
        <w:rPr>
          <w:rFonts w:hint="eastAsia" w:ascii="宋体" w:hAnsi="宋体"/>
          <w:sz w:val="22"/>
        </w:rPr>
      </w:pPr>
      <w:r>
        <w:rPr>
          <w:rFonts w:hint="eastAsia" w:ascii="宋体" w:hAnsi="宋体"/>
          <w:sz w:val="22"/>
        </w:rPr>
        <w:t>在收到中标通知书后，在中标通知书规定的期限内与你方签订合同；</w:t>
      </w:r>
    </w:p>
    <w:p>
      <w:pPr>
        <w:numPr>
          <w:ilvl w:val="0"/>
          <w:numId w:val="4"/>
        </w:numPr>
        <w:tabs>
          <w:tab w:val="left" w:pos="840"/>
          <w:tab w:val="left" w:pos="907"/>
        </w:tabs>
        <w:overflowPunct w:val="0"/>
        <w:autoSpaceDE w:val="0"/>
        <w:autoSpaceDN w:val="0"/>
        <w:spacing w:line="440" w:lineRule="exact"/>
        <w:rPr>
          <w:rFonts w:hint="eastAsia" w:ascii="宋体" w:hAnsi="宋体"/>
          <w:sz w:val="22"/>
        </w:rPr>
      </w:pPr>
      <w:r>
        <w:rPr>
          <w:rFonts w:hint="eastAsia" w:ascii="宋体" w:hAnsi="宋体"/>
          <w:sz w:val="22"/>
        </w:rPr>
        <w:t>在签订合同时不向你方提出附加条件；</w:t>
      </w:r>
    </w:p>
    <w:p>
      <w:pPr>
        <w:numPr>
          <w:ilvl w:val="0"/>
          <w:numId w:val="4"/>
        </w:numPr>
        <w:tabs>
          <w:tab w:val="left" w:pos="840"/>
          <w:tab w:val="left" w:pos="907"/>
        </w:tabs>
        <w:overflowPunct w:val="0"/>
        <w:autoSpaceDE w:val="0"/>
        <w:autoSpaceDN w:val="0"/>
        <w:spacing w:line="440" w:lineRule="exact"/>
        <w:rPr>
          <w:rFonts w:hint="eastAsia" w:ascii="宋体" w:hAnsi="宋体"/>
          <w:sz w:val="22"/>
        </w:rPr>
      </w:pPr>
      <w:r>
        <w:rPr>
          <w:rFonts w:hint="eastAsia" w:ascii="宋体" w:hAnsi="宋体"/>
          <w:sz w:val="22"/>
        </w:rPr>
        <w:t>按照招标文件要求提交履约保证金；</w:t>
      </w:r>
    </w:p>
    <w:p>
      <w:pPr>
        <w:tabs>
          <w:tab w:val="left" w:pos="840"/>
        </w:tabs>
        <w:overflowPunct w:val="0"/>
        <w:autoSpaceDE w:val="0"/>
        <w:autoSpaceDN w:val="0"/>
        <w:spacing w:line="440" w:lineRule="exact"/>
        <w:ind w:left="907"/>
        <w:rPr>
          <w:rFonts w:hint="eastAsia" w:ascii="宋体" w:hAnsi="宋体"/>
          <w:sz w:val="22"/>
        </w:rPr>
      </w:pPr>
      <w:r>
        <w:rPr>
          <w:rFonts w:hint="eastAsia" w:ascii="宋体" w:hAnsi="宋体"/>
          <w:sz w:val="22"/>
        </w:rPr>
        <w:t>④在合同约定的期限内完成合同规定的全部义务。</w:t>
      </w:r>
    </w:p>
    <w:p>
      <w:pPr>
        <w:numPr>
          <w:ilvl w:val="0"/>
          <w:numId w:val="2"/>
        </w:numPr>
        <w:tabs>
          <w:tab w:val="left" w:pos="840"/>
        </w:tabs>
        <w:overflowPunct w:val="0"/>
        <w:autoSpaceDE w:val="0"/>
        <w:autoSpaceDN w:val="0"/>
        <w:spacing w:line="440" w:lineRule="exact"/>
        <w:rPr>
          <w:rFonts w:hint="eastAsia" w:ascii="宋体" w:hAnsi="宋体"/>
          <w:sz w:val="22"/>
        </w:rPr>
      </w:pPr>
      <w:r>
        <w:rPr>
          <w:rFonts w:hint="eastAsia" w:ascii="宋体" w:hAnsi="宋体"/>
          <w:sz w:val="22"/>
        </w:rPr>
        <w:t>我方已详细审查招标文件包括澄清函和修改文件(若有)、所有已提供的资料以及有关附件，我司已完全理解上述文件的全部内容，并放弃提出任何误解或不明作为抗辩的权利。。</w:t>
      </w:r>
    </w:p>
    <w:p>
      <w:pPr>
        <w:numPr>
          <w:ilvl w:val="0"/>
          <w:numId w:val="2"/>
        </w:numPr>
        <w:tabs>
          <w:tab w:val="left" w:pos="840"/>
        </w:tabs>
        <w:overflowPunct w:val="0"/>
        <w:autoSpaceDE w:val="0"/>
        <w:autoSpaceDN w:val="0"/>
        <w:spacing w:line="440" w:lineRule="exact"/>
        <w:ind w:left="840" w:hanging="420"/>
        <w:rPr>
          <w:rFonts w:hint="eastAsia" w:ascii="宋体" w:hAnsi="宋体"/>
          <w:sz w:val="22"/>
        </w:rPr>
      </w:pPr>
      <w:r>
        <w:rPr>
          <w:rFonts w:hint="eastAsia" w:ascii="宋体" w:hAnsi="宋体"/>
          <w:sz w:val="22"/>
        </w:rPr>
        <w:t>本投标的投标有效期为自投标截止之日起120日内。</w:t>
      </w:r>
    </w:p>
    <w:p>
      <w:pPr>
        <w:numPr>
          <w:ilvl w:val="0"/>
          <w:numId w:val="2"/>
        </w:numPr>
        <w:tabs>
          <w:tab w:val="left" w:pos="840"/>
        </w:tabs>
        <w:overflowPunct w:val="0"/>
        <w:autoSpaceDE w:val="0"/>
        <w:autoSpaceDN w:val="0"/>
        <w:spacing w:line="440" w:lineRule="exact"/>
        <w:ind w:left="840" w:hanging="420"/>
        <w:rPr>
          <w:rFonts w:hint="eastAsia" w:ascii="宋体" w:hAnsi="宋体"/>
          <w:sz w:val="22"/>
        </w:rPr>
      </w:pPr>
      <w:r>
        <w:rPr>
          <w:rFonts w:hint="eastAsia" w:ascii="宋体" w:hAnsi="宋体"/>
          <w:sz w:val="22"/>
        </w:rPr>
        <w:t>我方完全清楚并理解在投标有效期期满之前撤回投标，招标人有权</w:t>
      </w:r>
      <w:r>
        <w:rPr>
          <w:rFonts w:hint="eastAsia" w:ascii="宋体" w:hAnsi="宋体" w:cs="宋体"/>
          <w:sz w:val="22"/>
        </w:rPr>
        <w:t>不予退还</w:t>
      </w:r>
      <w:r>
        <w:rPr>
          <w:rFonts w:hint="eastAsia" w:ascii="宋体" w:hAnsi="宋体"/>
          <w:sz w:val="22"/>
        </w:rPr>
        <w:t>投标人的投标保证金及银行同期存款利息。</w:t>
      </w:r>
    </w:p>
    <w:p>
      <w:pPr>
        <w:numPr>
          <w:ilvl w:val="0"/>
          <w:numId w:val="2"/>
        </w:numPr>
        <w:tabs>
          <w:tab w:val="left" w:pos="840"/>
        </w:tabs>
        <w:overflowPunct w:val="0"/>
        <w:autoSpaceDE w:val="0"/>
        <w:autoSpaceDN w:val="0"/>
        <w:spacing w:line="440" w:lineRule="exact"/>
        <w:ind w:left="840" w:hanging="420"/>
        <w:rPr>
          <w:rFonts w:hint="eastAsia" w:ascii="宋体" w:hAnsi="宋体"/>
          <w:sz w:val="22"/>
        </w:rPr>
      </w:pPr>
      <w:r>
        <w:rPr>
          <w:rFonts w:hint="eastAsia" w:ascii="宋体" w:hAnsi="宋体"/>
          <w:sz w:val="22"/>
        </w:rPr>
        <w:t>我方同意按照你方可能提出的要求，提供有关的任何其它数字或资料，并对贵方可能不接受最低报价及任何报价表示理解。</w:t>
      </w:r>
    </w:p>
    <w:p>
      <w:pPr>
        <w:numPr>
          <w:ilvl w:val="0"/>
          <w:numId w:val="5"/>
        </w:numPr>
        <w:tabs>
          <w:tab w:val="left" w:pos="840"/>
          <w:tab w:val="left" w:pos="907"/>
        </w:tabs>
        <w:overflowPunct w:val="0"/>
        <w:autoSpaceDE w:val="0"/>
        <w:autoSpaceDN w:val="0"/>
        <w:spacing w:line="440" w:lineRule="exact"/>
        <w:ind w:left="840" w:hanging="420"/>
        <w:rPr>
          <w:rFonts w:ascii="宋体" w:hAnsi="宋体"/>
          <w:sz w:val="22"/>
        </w:rPr>
      </w:pPr>
    </w:p>
    <w:p>
      <w:pPr>
        <w:snapToGrid w:val="0"/>
        <w:spacing w:line="440" w:lineRule="exact"/>
        <w:rPr>
          <w:rFonts w:ascii="宋体" w:hAnsi="宋体" w:cs="Calibri"/>
          <w:szCs w:val="21"/>
        </w:rPr>
      </w:pPr>
    </w:p>
    <w:p>
      <w:pPr>
        <w:snapToGrid w:val="0"/>
        <w:spacing w:line="440" w:lineRule="exact"/>
        <w:rPr>
          <w:rFonts w:ascii="宋体" w:hAnsi="宋体" w:cs="Calibri"/>
          <w:szCs w:val="21"/>
        </w:rPr>
      </w:pPr>
    </w:p>
    <w:p>
      <w:pPr>
        <w:snapToGrid w:val="0"/>
        <w:spacing w:line="440" w:lineRule="exact"/>
        <w:rPr>
          <w:rFonts w:ascii="宋体" w:hAnsi="宋体" w:cs="Calibri"/>
          <w:szCs w:val="21"/>
        </w:rPr>
      </w:pPr>
    </w:p>
    <w:p>
      <w:pPr>
        <w:snapToGrid w:val="0"/>
        <w:spacing w:line="440" w:lineRule="exact"/>
        <w:ind w:firstLine="3600" w:firstLineChars="1500"/>
        <w:rPr>
          <w:rFonts w:ascii="宋体" w:hAnsi="宋体" w:cs="Calibri"/>
          <w:sz w:val="24"/>
        </w:rPr>
      </w:pPr>
      <w:r>
        <w:rPr>
          <w:rFonts w:ascii="宋体" w:hAnsi="宋体" w:cs="Calibri"/>
          <w:sz w:val="24"/>
        </w:rPr>
        <w:t>投标人：（盖单位章）</w:t>
      </w:r>
    </w:p>
    <w:p>
      <w:pPr>
        <w:snapToGrid w:val="0"/>
        <w:spacing w:line="440" w:lineRule="exact"/>
        <w:ind w:firstLine="3600" w:firstLineChars="1500"/>
        <w:rPr>
          <w:rFonts w:ascii="宋体" w:hAnsi="宋体" w:cs="Calibri"/>
          <w:sz w:val="24"/>
        </w:rPr>
      </w:pPr>
      <w:r>
        <w:rPr>
          <w:rFonts w:ascii="宋体" w:hAnsi="宋体" w:cs="Calibri"/>
          <w:sz w:val="24"/>
        </w:rPr>
        <w:t>法定代表人或其委托代理人：（签字或盖章）</w:t>
      </w:r>
    </w:p>
    <w:p>
      <w:pPr>
        <w:snapToGrid w:val="0"/>
        <w:spacing w:line="440" w:lineRule="exact"/>
        <w:ind w:firstLine="3600" w:firstLineChars="1500"/>
        <w:rPr>
          <w:rFonts w:ascii="宋体" w:hAnsi="宋体" w:cs="Calibri"/>
          <w:sz w:val="24"/>
        </w:rPr>
      </w:pPr>
      <w:r>
        <w:rPr>
          <w:rFonts w:ascii="宋体" w:hAnsi="宋体" w:cs="Calibri"/>
          <w:sz w:val="24"/>
        </w:rPr>
        <w:t>地    址：</w:t>
      </w:r>
    </w:p>
    <w:p>
      <w:pPr>
        <w:snapToGrid w:val="0"/>
        <w:spacing w:line="440" w:lineRule="exact"/>
        <w:ind w:firstLine="3600" w:firstLineChars="1500"/>
        <w:rPr>
          <w:rFonts w:ascii="宋体" w:hAnsi="宋体" w:cs="Calibri"/>
          <w:sz w:val="24"/>
        </w:rPr>
      </w:pPr>
      <w:r>
        <w:rPr>
          <w:rFonts w:ascii="宋体" w:hAnsi="宋体" w:cs="Calibri"/>
          <w:sz w:val="24"/>
        </w:rPr>
        <w:t>邮政编码：</w:t>
      </w:r>
    </w:p>
    <w:p>
      <w:pPr>
        <w:snapToGrid w:val="0"/>
        <w:spacing w:line="440" w:lineRule="exact"/>
        <w:ind w:firstLine="3600" w:firstLineChars="1500"/>
        <w:rPr>
          <w:rFonts w:ascii="宋体" w:hAnsi="宋体" w:cs="Calibri"/>
          <w:sz w:val="24"/>
        </w:rPr>
      </w:pPr>
      <w:r>
        <w:rPr>
          <w:rFonts w:ascii="宋体" w:hAnsi="宋体" w:cs="Calibri"/>
          <w:sz w:val="24"/>
        </w:rPr>
        <w:t>电    话：</w:t>
      </w:r>
    </w:p>
    <w:p>
      <w:pPr>
        <w:snapToGrid w:val="0"/>
        <w:spacing w:line="440" w:lineRule="exact"/>
        <w:ind w:firstLine="3600" w:firstLineChars="1500"/>
        <w:rPr>
          <w:rFonts w:ascii="宋体" w:hAnsi="宋体" w:cs="Calibri"/>
          <w:sz w:val="24"/>
        </w:rPr>
      </w:pPr>
      <w:r>
        <w:rPr>
          <w:rFonts w:ascii="宋体" w:hAnsi="宋体" w:cs="Calibri"/>
          <w:sz w:val="24"/>
        </w:rPr>
        <w:t>传    真：</w:t>
      </w:r>
    </w:p>
    <w:p>
      <w:pPr>
        <w:snapToGrid w:val="0"/>
        <w:spacing w:line="440" w:lineRule="exact"/>
        <w:ind w:firstLine="3600" w:firstLineChars="1500"/>
        <w:rPr>
          <w:rFonts w:ascii="宋体" w:hAnsi="宋体" w:cs="Calibri"/>
          <w:sz w:val="24"/>
        </w:rPr>
      </w:pPr>
      <w:r>
        <w:rPr>
          <w:rFonts w:ascii="宋体" w:hAnsi="宋体" w:cs="Calibri"/>
          <w:sz w:val="24"/>
        </w:rPr>
        <w:t>开户银行：</w:t>
      </w:r>
    </w:p>
    <w:p>
      <w:pPr>
        <w:snapToGrid w:val="0"/>
        <w:spacing w:line="440" w:lineRule="exact"/>
        <w:ind w:firstLine="3600" w:firstLineChars="1500"/>
        <w:rPr>
          <w:rFonts w:ascii="宋体" w:hAnsi="宋体" w:cs="Calibri"/>
          <w:sz w:val="24"/>
        </w:rPr>
      </w:pPr>
      <w:r>
        <w:rPr>
          <w:rFonts w:ascii="宋体" w:hAnsi="宋体" w:cs="Calibri"/>
          <w:sz w:val="24"/>
        </w:rPr>
        <w:t>账    号：</w:t>
      </w:r>
    </w:p>
    <w:p>
      <w:pPr>
        <w:snapToGrid w:val="0"/>
        <w:spacing w:line="440" w:lineRule="exact"/>
        <w:ind w:firstLine="3600" w:firstLineChars="1500"/>
        <w:rPr>
          <w:rFonts w:ascii="宋体" w:hAnsi="宋体" w:cs="Calibri"/>
          <w:sz w:val="24"/>
        </w:rPr>
      </w:pPr>
      <w:r>
        <w:rPr>
          <w:rFonts w:ascii="宋体" w:hAnsi="宋体" w:cs="Calibri"/>
          <w:sz w:val="24"/>
        </w:rPr>
        <w:t>日    期：    年     月     日</w:t>
      </w:r>
    </w:p>
    <w:p>
      <w:pPr>
        <w:spacing w:line="440" w:lineRule="exact"/>
        <w:jc w:val="center"/>
        <w:rPr>
          <w:rFonts w:eastAsia="黑体" w:cs="Calibri"/>
          <w:sz w:val="32"/>
          <w:szCs w:val="32"/>
        </w:rPr>
      </w:pPr>
      <w:r>
        <w:rPr>
          <w:rFonts w:eastAsia="黑体" w:cs="Calibri"/>
          <w:sz w:val="32"/>
          <w:szCs w:val="32"/>
        </w:rPr>
        <w:br w:type="page"/>
      </w:r>
    </w:p>
    <w:p>
      <w:pPr>
        <w:adjustRightInd w:val="0"/>
        <w:snapToGrid w:val="0"/>
        <w:jc w:val="center"/>
        <w:rPr>
          <w:rFonts w:eastAsia="黑体" w:cs="Calibri"/>
          <w:sz w:val="32"/>
          <w:szCs w:val="32"/>
        </w:rPr>
      </w:pPr>
      <w:r>
        <w:rPr>
          <w:rFonts w:hint="eastAsia" w:eastAsia="黑体" w:cs="Calibri"/>
          <w:sz w:val="32"/>
          <w:szCs w:val="32"/>
        </w:rPr>
        <w:t>二</w:t>
      </w:r>
      <w:r>
        <w:rPr>
          <w:rFonts w:eastAsia="黑体" w:cs="Calibri"/>
          <w:sz w:val="32"/>
          <w:szCs w:val="32"/>
        </w:rPr>
        <w:t>、法定代表人身份证明</w:t>
      </w:r>
    </w:p>
    <w:p>
      <w:pPr>
        <w:spacing w:after="120" w:afterLines="50" w:line="440" w:lineRule="exact"/>
        <w:rPr>
          <w:rFonts w:cs="Calibri"/>
          <w:sz w:val="24"/>
        </w:rPr>
      </w:pPr>
    </w:p>
    <w:p>
      <w:pPr>
        <w:spacing w:after="120" w:afterLines="50" w:line="440" w:lineRule="exact"/>
        <w:rPr>
          <w:rFonts w:cs="Calibri"/>
          <w:szCs w:val="21"/>
          <w:u w:val="single"/>
        </w:rPr>
      </w:pPr>
      <w:r>
        <w:rPr>
          <w:rFonts w:cs="Calibri"/>
          <w:szCs w:val="21"/>
        </w:rPr>
        <w:t>投标人名称：</w:t>
      </w:r>
      <w:r>
        <w:rPr>
          <w:rFonts w:cs="Calibri"/>
          <w:szCs w:val="21"/>
          <w:u w:val="single"/>
        </w:rPr>
        <w:t xml:space="preserve">                                  </w:t>
      </w:r>
    </w:p>
    <w:p>
      <w:pPr>
        <w:spacing w:after="120" w:afterLines="50" w:line="440" w:lineRule="exact"/>
        <w:rPr>
          <w:rFonts w:cs="Calibri"/>
          <w:szCs w:val="21"/>
          <w:u w:val="single"/>
        </w:rPr>
      </w:pPr>
      <w:r>
        <w:rPr>
          <w:rFonts w:cs="Calibri"/>
          <w:szCs w:val="21"/>
        </w:rPr>
        <w:t>单位性质：</w:t>
      </w:r>
      <w:r>
        <w:rPr>
          <w:rFonts w:cs="Calibri"/>
          <w:szCs w:val="21"/>
          <w:u w:val="single"/>
        </w:rPr>
        <w:t xml:space="preserve">                                    </w:t>
      </w:r>
    </w:p>
    <w:p>
      <w:pPr>
        <w:spacing w:after="120" w:afterLines="50" w:line="440" w:lineRule="exact"/>
        <w:rPr>
          <w:rFonts w:cs="Calibri"/>
          <w:szCs w:val="21"/>
          <w:u w:val="single"/>
        </w:rPr>
      </w:pPr>
      <w:r>
        <w:rPr>
          <w:rFonts w:cs="Calibri"/>
          <w:szCs w:val="21"/>
        </w:rPr>
        <w:t>地址：</w:t>
      </w:r>
      <w:r>
        <w:rPr>
          <w:rFonts w:cs="Calibri"/>
          <w:szCs w:val="21"/>
          <w:u w:val="single"/>
        </w:rPr>
        <w:t xml:space="preserve">                                        </w:t>
      </w:r>
    </w:p>
    <w:p>
      <w:pPr>
        <w:spacing w:after="120" w:afterLines="50" w:line="440" w:lineRule="exact"/>
        <w:rPr>
          <w:rFonts w:cs="Calibri"/>
          <w:szCs w:val="21"/>
          <w:u w:val="single"/>
        </w:rPr>
      </w:pPr>
      <w:r>
        <w:rPr>
          <w:rFonts w:cs="Calibri"/>
          <w:szCs w:val="21"/>
        </w:rPr>
        <w:t>成立时间：</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pacing w:after="120" w:afterLines="50" w:line="440" w:lineRule="exact"/>
        <w:rPr>
          <w:rFonts w:cs="Calibri"/>
          <w:szCs w:val="21"/>
          <w:u w:val="single"/>
        </w:rPr>
      </w:pPr>
      <w:r>
        <w:rPr>
          <w:rFonts w:cs="Calibri"/>
          <w:szCs w:val="21"/>
        </w:rPr>
        <w:t>经营期限：</w:t>
      </w:r>
      <w:r>
        <w:rPr>
          <w:rFonts w:cs="Calibri"/>
          <w:szCs w:val="21"/>
          <w:u w:val="single"/>
        </w:rPr>
        <w:t xml:space="preserve">                                     </w:t>
      </w:r>
    </w:p>
    <w:p>
      <w:pPr>
        <w:spacing w:after="120" w:afterLines="50" w:line="440" w:lineRule="exact"/>
        <w:rPr>
          <w:rFonts w:cs="Calibri"/>
          <w:szCs w:val="21"/>
          <w:u w:val="single"/>
        </w:rPr>
      </w:pPr>
      <w:r>
        <w:rPr>
          <w:rFonts w:cs="Calibri"/>
          <w:szCs w:val="21"/>
        </w:rPr>
        <w:t>姓名：</w:t>
      </w:r>
      <w:r>
        <w:rPr>
          <w:rFonts w:cs="Calibri"/>
          <w:szCs w:val="21"/>
          <w:u w:val="single"/>
        </w:rPr>
        <w:t xml:space="preserve">         </w:t>
      </w:r>
      <w:r>
        <w:rPr>
          <w:rFonts w:cs="Calibri"/>
          <w:szCs w:val="21"/>
        </w:rPr>
        <w:t xml:space="preserve">  性别：</w:t>
      </w:r>
      <w:r>
        <w:rPr>
          <w:rFonts w:cs="Calibri"/>
          <w:szCs w:val="21"/>
          <w:u w:val="single"/>
        </w:rPr>
        <w:t xml:space="preserve">         </w:t>
      </w:r>
      <w:r>
        <w:rPr>
          <w:rFonts w:cs="Calibri"/>
          <w:szCs w:val="21"/>
        </w:rPr>
        <w:t xml:space="preserve">  年龄：</w:t>
      </w:r>
      <w:r>
        <w:rPr>
          <w:rFonts w:cs="Calibri"/>
          <w:szCs w:val="21"/>
          <w:u w:val="single"/>
        </w:rPr>
        <w:t xml:space="preserve">         </w:t>
      </w:r>
      <w:r>
        <w:rPr>
          <w:rFonts w:cs="Calibri"/>
          <w:szCs w:val="21"/>
        </w:rPr>
        <w:t xml:space="preserve">  职务：</w:t>
      </w:r>
      <w:r>
        <w:rPr>
          <w:rFonts w:cs="Calibri"/>
          <w:szCs w:val="21"/>
          <w:u w:val="single"/>
        </w:rPr>
        <w:t xml:space="preserve">         </w:t>
      </w:r>
      <w:r>
        <w:rPr>
          <w:rFonts w:cs="Calibri"/>
          <w:szCs w:val="21"/>
        </w:rPr>
        <w:t xml:space="preserve">  </w:t>
      </w:r>
    </w:p>
    <w:p>
      <w:pPr>
        <w:spacing w:after="120" w:afterLines="50" w:line="440" w:lineRule="exact"/>
        <w:rPr>
          <w:rFonts w:cs="Calibri"/>
          <w:szCs w:val="21"/>
          <w:u w:val="single"/>
        </w:rPr>
      </w:pPr>
      <w:r>
        <w:rPr>
          <w:rFonts w:cs="Calibri"/>
          <w:szCs w:val="21"/>
        </w:rPr>
        <w:t>身份证号码：</w:t>
      </w:r>
      <w:r>
        <w:rPr>
          <w:rFonts w:cs="Calibri"/>
          <w:szCs w:val="21"/>
          <w:u w:val="single"/>
        </w:rPr>
        <w:t xml:space="preserve">                           </w:t>
      </w:r>
    </w:p>
    <w:p>
      <w:pPr>
        <w:spacing w:line="440" w:lineRule="exact"/>
        <w:ind w:firstLine="560"/>
        <w:rPr>
          <w:rFonts w:cs="Calibri"/>
          <w:szCs w:val="21"/>
        </w:rPr>
      </w:pPr>
    </w:p>
    <w:p>
      <w:pPr>
        <w:spacing w:line="440" w:lineRule="exact"/>
        <w:rPr>
          <w:rFonts w:cs="Calibri"/>
          <w:szCs w:val="21"/>
        </w:rPr>
      </w:pPr>
      <w:r>
        <w:rPr>
          <w:rFonts w:cs="Calibri"/>
          <w:szCs w:val="21"/>
        </w:rPr>
        <w:t xml:space="preserve">    系</w:t>
      </w:r>
      <w:r>
        <w:rPr>
          <w:rFonts w:cs="Calibri"/>
          <w:szCs w:val="21"/>
          <w:u w:val="single"/>
        </w:rPr>
        <w:t xml:space="preserve">                          </w:t>
      </w:r>
      <w:r>
        <w:rPr>
          <w:rFonts w:cs="Calibri"/>
          <w:szCs w:val="21"/>
        </w:rPr>
        <w:t>（投标人名称）的法定代表人。</w:t>
      </w:r>
    </w:p>
    <w:p>
      <w:pPr>
        <w:spacing w:line="440" w:lineRule="exact"/>
        <w:ind w:firstLine="560"/>
        <w:rPr>
          <w:rFonts w:cs="Calibri"/>
          <w:szCs w:val="21"/>
        </w:rPr>
      </w:pPr>
    </w:p>
    <w:p>
      <w:pPr>
        <w:spacing w:line="440" w:lineRule="exact"/>
        <w:rPr>
          <w:rFonts w:cs="Calibri"/>
          <w:szCs w:val="21"/>
        </w:rPr>
      </w:pPr>
      <w:r>
        <w:rPr>
          <w:rFonts w:cs="Calibri"/>
          <w:szCs w:val="21"/>
        </w:rPr>
        <w:t>特此证明。</w:t>
      </w:r>
    </w:p>
    <w:p>
      <w:pPr>
        <w:spacing w:line="440" w:lineRule="exact"/>
        <w:rPr>
          <w:rFonts w:cs="Calibri"/>
          <w:szCs w:val="21"/>
        </w:rPr>
      </w:pPr>
      <w:r>
        <w:rPr>
          <w:rFonts w:cs="Calibri"/>
          <w:szCs w:val="21"/>
        </w:rPr>
        <w:t>附：法定代表人身份证复印件</w:t>
      </w:r>
    </w:p>
    <w:p>
      <w:pPr>
        <w:spacing w:line="440" w:lineRule="exact"/>
        <w:rPr>
          <w:rFonts w:cs="Calibri"/>
          <w:szCs w:val="21"/>
        </w:rPr>
      </w:pPr>
      <w:r>
        <w:rPr>
          <w:rFonts w:cs="Calibri"/>
          <w:szCs w:val="21"/>
        </w:rPr>
        <w:t xml:space="preserve">投标人：（盖单位章） </w:t>
      </w:r>
    </w:p>
    <w:p>
      <w:pPr>
        <w:spacing w:line="440" w:lineRule="exact"/>
        <w:ind w:firstLine="6216" w:firstLineChars="2960"/>
        <w:rPr>
          <w:rFonts w:cs="Calibri"/>
          <w:b/>
          <w:szCs w:val="21"/>
        </w:rPr>
      </w:pPr>
      <w:r>
        <w:rPr>
          <w:lang/>
        </w:rPr>
        <w:pict>
          <v:shape id="_x0000_s1026" o:spid="_x0000_s1026" o:spt="202" type="#_x0000_t202" style="position:absolute;left:0pt;margin-left:0pt;margin-top:31.2pt;height:171.6pt;width:423pt;mso-wrap-distance-bottom:0pt;mso-wrap-distance-left:9pt;mso-wrap-distance-right:9pt;mso-wrap-distance-top:0pt;z-index:251658240;mso-width-relative:page;mso-height-relative:page;"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">
            <v:path/>
            <v:fill on="t" focussize="0,0"/>
            <v:stroke/>
            <v:imagedata o:title=""/>
            <o:lock v:ext="edit" grouping="f" rotation="f" text="f"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w:r>
      <w:r>
        <w:rPr>
          <w:rFonts w:cs="Calibri"/>
          <w:szCs w:val="21"/>
        </w:rPr>
        <w:t>日期：   年    月    日</w:t>
      </w:r>
    </w:p>
    <w:p>
      <w:pPr>
        <w:spacing w:line="440" w:lineRule="exact"/>
        <w:jc w:val="center"/>
        <w:rPr>
          <w:rFonts w:eastAsia="黑体" w:cs="Calibri"/>
          <w:sz w:val="28"/>
          <w:szCs w:val="28"/>
        </w:rPr>
      </w:pPr>
      <w:r>
        <w:rPr>
          <w:rFonts w:cs="Calibri"/>
          <w:szCs w:val="21"/>
        </w:rPr>
        <w:br w:type="page"/>
      </w:r>
      <w:r>
        <w:rPr>
          <w:rFonts w:hint="eastAsia" w:eastAsia="黑体" w:cs="Calibri"/>
          <w:sz w:val="32"/>
          <w:szCs w:val="32"/>
        </w:rPr>
        <w:t>三</w:t>
      </w:r>
      <w:r>
        <w:rPr>
          <w:rFonts w:eastAsia="黑体" w:cs="Calibri"/>
          <w:sz w:val="32"/>
          <w:szCs w:val="32"/>
        </w:rPr>
        <w:t>、授权委托书</w:t>
      </w:r>
    </w:p>
    <w:p>
      <w:pPr>
        <w:spacing w:line="440" w:lineRule="exact"/>
        <w:ind w:firstLine="420" w:firstLineChars="200"/>
        <w:rPr>
          <w:rFonts w:cs="Calibri"/>
          <w:szCs w:val="21"/>
        </w:rPr>
      </w:pPr>
    </w:p>
    <w:p>
      <w:pPr>
        <w:spacing w:line="440" w:lineRule="exact"/>
        <w:ind w:firstLine="420" w:firstLineChars="200"/>
        <w:rPr>
          <w:rFonts w:cs="Calibri"/>
          <w:szCs w:val="21"/>
        </w:rPr>
      </w:pPr>
      <w:r>
        <w:rPr>
          <w:rFonts w:cs="Calibri"/>
          <w:szCs w:val="21"/>
        </w:rPr>
        <w:t>本人</w:t>
      </w:r>
      <w:r>
        <w:rPr>
          <w:rFonts w:cs="Calibri"/>
          <w:szCs w:val="21"/>
          <w:u w:val="single"/>
        </w:rPr>
        <w:t xml:space="preserve">        </w:t>
      </w:r>
      <w:r>
        <w:rPr>
          <w:rFonts w:cs="Calibri"/>
          <w:szCs w:val="21"/>
        </w:rPr>
        <w:t>（姓名）系</w:t>
      </w:r>
      <w:r>
        <w:rPr>
          <w:rFonts w:cs="Calibri"/>
          <w:szCs w:val="21"/>
          <w:u w:val="single"/>
        </w:rPr>
        <w:t xml:space="preserve">                </w:t>
      </w:r>
      <w:r>
        <w:rPr>
          <w:rFonts w:cs="Calibri"/>
          <w:szCs w:val="21"/>
        </w:rPr>
        <w:t>（投标人名称）的法定代表人，现委托</w:t>
      </w:r>
      <w:r>
        <w:rPr>
          <w:rFonts w:cs="Calibri"/>
          <w:szCs w:val="21"/>
          <w:u w:val="single"/>
        </w:rPr>
        <w:t xml:space="preserve">      </w:t>
      </w:r>
      <w:r>
        <w:rPr>
          <w:rFonts w:cs="Calibri"/>
          <w:szCs w:val="21"/>
        </w:rPr>
        <w:t>（姓名）为我方代理人。代理人根据授权，以我方名义签署、澄清、说明、补正、递交、撤回、修改</w:t>
      </w:r>
      <w:r>
        <w:rPr>
          <w:rFonts w:cs="Calibri"/>
          <w:szCs w:val="21"/>
          <w:u w:val="single"/>
        </w:rPr>
        <w:t xml:space="preserve">              </w:t>
      </w:r>
      <w:r>
        <w:rPr>
          <w:rFonts w:cs="Calibri"/>
          <w:szCs w:val="21"/>
        </w:rPr>
        <w:t>（项目名称）投标文件、签订合同和处理有关事宜，其法律后果由我方承担。</w:t>
      </w:r>
    </w:p>
    <w:p>
      <w:pPr>
        <w:spacing w:line="440" w:lineRule="exact"/>
        <w:ind w:firstLine="420" w:firstLineChars="200"/>
        <w:rPr>
          <w:rFonts w:cs="Calibri"/>
          <w:szCs w:val="21"/>
        </w:rPr>
      </w:pPr>
      <w:r>
        <w:rPr>
          <w:rFonts w:cs="Calibri"/>
          <w:szCs w:val="21"/>
        </w:rPr>
        <w:t>代理人无转委托权。</w:t>
      </w:r>
    </w:p>
    <w:p>
      <w:pPr>
        <w:spacing w:line="440" w:lineRule="exact"/>
        <w:ind w:firstLine="420" w:firstLineChars="200"/>
        <w:rPr>
          <w:rFonts w:cs="Calibri"/>
          <w:szCs w:val="21"/>
        </w:rPr>
      </w:pPr>
      <w:r>
        <w:rPr>
          <w:rFonts w:cs="Calibri"/>
          <w:szCs w:val="21"/>
        </w:rPr>
        <w:t>附：委托代理人身份证复印件</w:t>
      </w:r>
    </w:p>
    <w:p>
      <w:pPr>
        <w:spacing w:line="440" w:lineRule="exact"/>
        <w:rPr>
          <w:rFonts w:cs="Calibri"/>
          <w:szCs w:val="21"/>
        </w:rPr>
      </w:pPr>
    </w:p>
    <w:p>
      <w:pPr>
        <w:spacing w:line="440" w:lineRule="exact"/>
        <w:rPr>
          <w:rFonts w:cs="Calibri"/>
          <w:szCs w:val="21"/>
        </w:rPr>
      </w:pPr>
      <w:r>
        <w:rPr>
          <w:rFonts w:cs="Calibri"/>
          <w:szCs w:val="21"/>
        </w:rPr>
        <w:t>投标人：（盖单位章）</w:t>
      </w:r>
    </w:p>
    <w:p>
      <w:pPr>
        <w:spacing w:line="440" w:lineRule="exact"/>
        <w:rPr>
          <w:rFonts w:cs="Calibri"/>
          <w:szCs w:val="21"/>
        </w:rPr>
      </w:pPr>
      <w:r>
        <w:rPr>
          <w:rFonts w:cs="Calibri"/>
          <w:szCs w:val="21"/>
        </w:rPr>
        <w:t>法定代表人：（签字或盖章）</w:t>
      </w:r>
    </w:p>
    <w:p>
      <w:pPr>
        <w:spacing w:line="440" w:lineRule="exact"/>
        <w:rPr>
          <w:rFonts w:cs="Calibri"/>
          <w:szCs w:val="21"/>
        </w:rPr>
      </w:pPr>
      <w:r>
        <w:rPr>
          <w:rFonts w:cs="Calibri"/>
          <w:szCs w:val="21"/>
        </w:rPr>
        <w:t>身份证号码：</w:t>
      </w:r>
    </w:p>
    <w:p>
      <w:pPr>
        <w:spacing w:line="440" w:lineRule="exact"/>
        <w:rPr>
          <w:rFonts w:cs="Calibri"/>
          <w:szCs w:val="21"/>
        </w:rPr>
      </w:pPr>
    </w:p>
    <w:p>
      <w:pPr>
        <w:spacing w:line="440" w:lineRule="exact"/>
        <w:rPr>
          <w:rFonts w:cs="Calibri"/>
          <w:szCs w:val="21"/>
        </w:rPr>
      </w:pPr>
      <w:r>
        <w:rPr>
          <w:rFonts w:cs="Calibri"/>
          <w:szCs w:val="21"/>
        </w:rPr>
        <w:t>委托的代理人：（签字或盖章）</w:t>
      </w:r>
    </w:p>
    <w:p>
      <w:pPr>
        <w:spacing w:line="440" w:lineRule="exact"/>
        <w:rPr>
          <w:rFonts w:cs="Calibri"/>
          <w:szCs w:val="21"/>
        </w:rPr>
      </w:pPr>
      <w:r>
        <w:rPr>
          <w:rFonts w:cs="Calibri"/>
          <w:szCs w:val="21"/>
        </w:rPr>
        <w:t>身份证号码：</w:t>
      </w:r>
    </w:p>
    <w:p>
      <w:pPr>
        <w:spacing w:line="440" w:lineRule="exact"/>
        <w:ind w:firstLine="4515" w:firstLineChars="2150"/>
        <w:rPr>
          <w:rFonts w:cs="Calibri"/>
          <w:szCs w:val="21"/>
        </w:rPr>
      </w:pPr>
      <w:r>
        <w:rPr>
          <w:lang/>
        </w:rPr>
        <w:pict>
          <v:shape id="文本框 1" o:spid="_x0000_s1027" o:spt="202" type="#_x0000_t202" style="position:absolute;left:0pt;margin-left:0.65pt;margin-top:42.8pt;height:171.6pt;width:473.25pt;mso-wrap-distance-bottom:0pt;mso-wrap-distance-left:9pt;mso-wrap-distance-right:9pt;mso-wrap-distance-top:0pt;z-index:251659264;mso-width-relative:page;mso-height-relative:page;" fillcolor="#FFFFFF" filled="t"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">
            <v:path/>
            <v:fill on="t" focussize="0,0"/>
            <v:stroke/>
            <v:imagedata o:title=""/>
            <o:lock v:ext="edit" grouping="f" rotation="f" text="f"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w:r>
      <w:r>
        <w:rPr>
          <w:rFonts w:cs="Calibri"/>
          <w:szCs w:val="21"/>
        </w:rPr>
        <w:t>日期：</w:t>
      </w:r>
      <w:r>
        <w:rPr>
          <w:rFonts w:cs="Calibri"/>
          <w:szCs w:val="21"/>
          <w:u w:val="single"/>
        </w:rPr>
        <w:t xml:space="preserve">      </w:t>
      </w:r>
      <w:r>
        <w:rPr>
          <w:rFonts w:cs="Calibri"/>
          <w:szCs w:val="21"/>
        </w:rPr>
        <w:t>年</w:t>
      </w:r>
      <w:r>
        <w:rPr>
          <w:rFonts w:cs="Calibri"/>
          <w:szCs w:val="21"/>
          <w:u w:val="single"/>
        </w:rPr>
        <w:t xml:space="preserve">      </w:t>
      </w:r>
      <w:r>
        <w:rPr>
          <w:rFonts w:cs="Calibri"/>
          <w:szCs w:val="21"/>
        </w:rPr>
        <w:t>月</w:t>
      </w:r>
      <w:r>
        <w:rPr>
          <w:rFonts w:cs="Calibri"/>
          <w:szCs w:val="21"/>
          <w:u w:val="single"/>
        </w:rPr>
        <w:t xml:space="preserve">      </w:t>
      </w:r>
      <w:r>
        <w:rPr>
          <w:rFonts w:cs="Calibri"/>
          <w:szCs w:val="21"/>
        </w:rPr>
        <w:t>日</w:t>
      </w:r>
    </w:p>
    <w:p>
      <w:pPr>
        <w:snapToGrid w:val="0"/>
        <w:spacing w:line="440" w:lineRule="exact"/>
        <w:rPr>
          <w:rFonts w:cs="Calibri"/>
          <w:szCs w:val="21"/>
        </w:rPr>
      </w:pPr>
      <w:r>
        <w:rPr>
          <w:rFonts w:cs="Calibri"/>
          <w:szCs w:val="21"/>
        </w:rPr>
        <w:t xml:space="preserve">                                  </w:t>
      </w:r>
    </w:p>
    <w:p>
      <w:pPr>
        <w:spacing w:line="440" w:lineRule="exact"/>
        <w:rPr>
          <w:rFonts w:cs="Calibri"/>
          <w:b/>
          <w:bCs/>
          <w:szCs w:val="21"/>
        </w:rPr>
      </w:pPr>
      <w:r>
        <w:rPr>
          <w:rFonts w:cs="Calibri"/>
          <w:b/>
          <w:bCs/>
          <w:szCs w:val="21"/>
        </w:rPr>
        <w:t xml:space="preserve">  </w:t>
      </w:r>
    </w:p>
    <w:p>
      <w:pPr>
        <w:spacing w:line="440" w:lineRule="exact"/>
        <w:rPr>
          <w:rFonts w:cs="Calibri"/>
          <w:b/>
          <w:bCs/>
          <w:szCs w:val="21"/>
        </w:rPr>
      </w:pPr>
    </w:p>
    <w:p>
      <w:pPr>
        <w:spacing w:line="440" w:lineRule="exact"/>
        <w:rPr>
          <w:rFonts w:cs="Calibri"/>
          <w:szCs w:val="21"/>
        </w:rPr>
      </w:pPr>
    </w:p>
    <w:p>
      <w:pPr>
        <w:spacing w:line="440" w:lineRule="exact"/>
        <w:rPr>
          <w:rFonts w:cs="Calibri"/>
          <w:b/>
          <w:bCs/>
          <w:szCs w:val="21"/>
        </w:rPr>
      </w:pPr>
      <w:r>
        <w:rPr>
          <w:rFonts w:cs="Calibri"/>
          <w:szCs w:val="21"/>
        </w:rPr>
        <w:t>注：如投标文件由委托代理人签字或盖章的，投标文件必须附此授权委托书。</w:t>
      </w:r>
      <w:r>
        <w:rPr>
          <w:rFonts w:cs="Calibri"/>
          <w:b/>
          <w:bCs/>
          <w:szCs w:val="21"/>
        </w:rPr>
        <w:t xml:space="preserve">     </w:t>
      </w:r>
    </w:p>
    <w:p>
      <w:pPr>
        <w:spacing w:line="440" w:lineRule="exact"/>
        <w:rPr>
          <w:rFonts w:cs="Calibri"/>
          <w:b/>
          <w:bCs/>
          <w:szCs w:val="21"/>
        </w:rPr>
      </w:pPr>
    </w:p>
    <w:p>
      <w:pPr>
        <w:spacing w:line="440" w:lineRule="exact"/>
        <w:rPr>
          <w:rFonts w:cs="Calibri"/>
          <w:b/>
          <w:bCs/>
          <w:sz w:val="32"/>
        </w:rPr>
      </w:pPr>
    </w:p>
    <w:p>
      <w:pPr>
        <w:widowControl/>
        <w:jc w:val="left"/>
        <w:rPr>
          <w:rFonts w:cs="Calibri"/>
          <w:b/>
          <w:bCs/>
          <w:sz w:val="32"/>
        </w:rPr>
      </w:pPr>
      <w:r>
        <w:rPr>
          <w:rFonts w:cs="Calibri"/>
          <w:b/>
          <w:bCs/>
          <w:sz w:val="32"/>
        </w:rPr>
        <w:br w:type="page"/>
      </w:r>
    </w:p>
    <w:p>
      <w:pPr>
        <w:spacing w:line="440" w:lineRule="exact"/>
        <w:jc w:val="center"/>
        <w:rPr>
          <w:rFonts w:eastAsia="黑体" w:cs="Calibri"/>
          <w:sz w:val="32"/>
          <w:szCs w:val="32"/>
        </w:rPr>
      </w:pPr>
      <w:r>
        <w:rPr>
          <w:rFonts w:hint="eastAsia" w:eastAsia="黑体" w:cs="Calibri"/>
          <w:sz w:val="32"/>
          <w:szCs w:val="32"/>
        </w:rPr>
        <w:t>四</w:t>
      </w:r>
      <w:r>
        <w:rPr>
          <w:rFonts w:eastAsia="黑体" w:cs="Calibri"/>
          <w:sz w:val="32"/>
          <w:szCs w:val="32"/>
        </w:rPr>
        <w:t>、投标报价表</w:t>
      </w:r>
    </w:p>
    <w:p>
      <w:pPr>
        <w:pStyle w:val="79"/>
        <w:spacing w:line="240" w:lineRule="auto"/>
        <w:ind w:left="420" w:firstLine="420"/>
        <w:rPr>
          <w:rFonts w:ascii="宋体" w:eastAsia="宋体" w:cs="楷体_GB2312"/>
          <w:sz w:val="21"/>
          <w:szCs w:val="21"/>
          <w:u w:val="single"/>
          <w:lang w:val="zh-CN"/>
        </w:rPr>
      </w:pPr>
    </w:p>
    <w:p>
      <w:pPr>
        <w:pStyle w:val="19"/>
        <w:numPr>
          <w:ilvl w:val="1"/>
          <w:numId w:val="6"/>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19"/>
        <w:numPr>
          <w:ilvl w:val="1"/>
          <w:numId w:val="7"/>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19"/>
        <w:numPr>
          <w:ilvl w:val="1"/>
          <w:numId w:val="7"/>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19"/>
        <w:numPr>
          <w:ilvl w:val="1"/>
          <w:numId w:val="7"/>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19"/>
        <w:numPr>
          <w:ilvl w:val="1"/>
          <w:numId w:val="7"/>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19"/>
        <w:numPr>
          <w:ilvl w:val="1"/>
          <w:numId w:val="7"/>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19"/>
        <w:numPr>
          <w:ilvl w:val="1"/>
          <w:numId w:val="7"/>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本总则上列各条中提及的“投标人”在合同执行过程中应作为“卖方”解释。</w:t>
      </w:r>
    </w:p>
    <w:p>
      <w:pPr>
        <w:pStyle w:val="19"/>
        <w:numPr>
          <w:ilvl w:val="1"/>
          <w:numId w:val="6"/>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snapToGrid w:val="0"/>
        <w:spacing w:before="120" w:beforeLines="50" w:line="360" w:lineRule="exact"/>
        <w:ind w:left="1134"/>
        <w:rPr>
          <w:rFonts w:ascii="宋体" w:hAnsi="宋体" w:cs="宋体"/>
          <w:sz w:val="22"/>
        </w:rPr>
      </w:pPr>
      <w:r>
        <w:rPr>
          <w:rFonts w:hint="eastAsia" w:ascii="宋体" w:hAnsi="宋体" w:cs="宋体"/>
          <w:sz w:val="22"/>
        </w:rPr>
        <w:t>(1)投标报价汇总表</w:t>
      </w:r>
    </w:p>
    <w:p>
      <w:pPr>
        <w:pStyle w:val="79"/>
        <w:spacing w:line="240" w:lineRule="auto"/>
        <w:ind w:left="420" w:firstLine="420"/>
        <w:rPr>
          <w:rFonts w:ascii="宋体" w:eastAsia="宋体" w:cs="楷体_GB2312"/>
          <w:sz w:val="21"/>
          <w:szCs w:val="21"/>
          <w:u w:val="single"/>
          <w:lang w:val="zh-CN"/>
        </w:rPr>
      </w:pPr>
    </w:p>
    <w:p>
      <w:pPr>
        <w:pStyle w:val="79"/>
        <w:spacing w:line="240" w:lineRule="auto"/>
        <w:ind w:left="420" w:firstLine="420"/>
        <w:rPr>
          <w:rFonts w:ascii="宋体" w:eastAsia="宋体" w:cs="楷体_GB2312"/>
          <w:sz w:val="21"/>
          <w:szCs w:val="21"/>
          <w:u w:val="single"/>
          <w:lang w:val="zh-CN"/>
        </w:rPr>
      </w:pPr>
    </w:p>
    <w:p>
      <w:pPr>
        <w:pStyle w:val="79"/>
        <w:spacing w:line="240" w:lineRule="auto"/>
        <w:ind w:left="420" w:firstLine="420"/>
        <w:rPr>
          <w:rFonts w:ascii="宋体" w:eastAsia="宋体" w:cs="楷体_GB2312"/>
          <w:sz w:val="21"/>
          <w:szCs w:val="21"/>
          <w:u w:val="single"/>
          <w:lang w:val="zh-CN"/>
        </w:rPr>
      </w:pPr>
    </w:p>
    <w:p>
      <w:pPr>
        <w:pStyle w:val="79"/>
        <w:spacing w:line="240" w:lineRule="auto"/>
        <w:ind w:firstLine="0" w:firstLineChars="0"/>
        <w:rPr>
          <w:rFonts w:ascii="宋体" w:eastAsia="宋体" w:cs="楷体_GB2312"/>
          <w:sz w:val="21"/>
          <w:szCs w:val="21"/>
          <w:u w:val="single"/>
          <w:lang w:val="zh-CN"/>
        </w:rPr>
        <w:sectPr>
          <w:footerReference r:id="rId8" w:type="even"/>
          <w:pgSz w:w="11906" w:h="16838"/>
          <w:pgMar w:top="1134" w:right="1247" w:bottom="1134" w:left="1247" w:header="851" w:footer="992" w:gutter="0"/>
          <w:pgNumType w:fmt="numberInDash"/>
          <w:cols w:space="720" w:num="1"/>
          <w:docGrid w:linePitch="312" w:charSpace="0"/>
        </w:sectPr>
      </w:pPr>
    </w:p>
    <w:p>
      <w:pPr>
        <w:spacing w:line="440" w:lineRule="exact"/>
        <w:jc w:val="center"/>
        <w:rPr>
          <w:rFonts w:eastAsia="黑体" w:cs="Calibri"/>
          <w:sz w:val="32"/>
          <w:szCs w:val="32"/>
        </w:rPr>
      </w:pPr>
      <w:r>
        <w:rPr>
          <w:rFonts w:hint="eastAsia" w:eastAsia="黑体" w:cs="Calibri"/>
          <w:sz w:val="32"/>
          <w:szCs w:val="32"/>
        </w:rPr>
        <w:t>4</w:t>
      </w:r>
      <w:r>
        <w:rPr>
          <w:rFonts w:eastAsia="黑体" w:cs="Calibri"/>
          <w:sz w:val="32"/>
          <w:szCs w:val="32"/>
        </w:rPr>
        <w:t>.1投标报价表</w:t>
      </w:r>
    </w:p>
    <w:tbl>
      <w:tblPr>
        <w:tblStyle w:val="46"/>
        <w:tblW w:w="147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665"/>
        <w:gridCol w:w="1227"/>
        <w:gridCol w:w="1115"/>
        <w:gridCol w:w="801"/>
        <w:gridCol w:w="671"/>
        <w:gridCol w:w="642"/>
        <w:gridCol w:w="1638"/>
        <w:gridCol w:w="1455"/>
        <w:gridCol w:w="1851"/>
        <w:gridCol w:w="1136"/>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6" w:hRule="atLeast"/>
        </w:trPr>
        <w:tc>
          <w:tcPr>
            <w:tcW w:w="811" w:type="dxa"/>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665" w:type="dxa"/>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227" w:type="dxa"/>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115" w:type="dxa"/>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01" w:type="dxa"/>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71" w:type="dxa"/>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642" w:type="dxa"/>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638" w:type="dxa"/>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单  价 (元，不含税)</w:t>
            </w:r>
          </w:p>
        </w:tc>
        <w:tc>
          <w:tcPr>
            <w:tcW w:w="1455" w:type="dxa"/>
            <w:shd w:val="clear" w:color="000000" w:fill="FFFFFF"/>
            <w:noWrap w:val="0"/>
            <w:vAlign w:val="center"/>
          </w:tcPr>
          <w:p>
            <w:pPr>
              <w:jc w:val="center"/>
              <w:rPr>
                <w:rFonts w:ascii="宋体" w:hAnsi="宋体" w:cs="宋体"/>
                <w:b/>
                <w:bCs/>
                <w:kern w:val="0"/>
                <w:sz w:val="20"/>
              </w:rPr>
            </w:pPr>
            <w:r>
              <w:rPr>
                <w:rFonts w:hint="eastAsia" w:ascii="宋体" w:hAnsi="宋体" w:cs="宋体"/>
                <w:b/>
                <w:bCs/>
                <w:kern w:val="0"/>
                <w:sz w:val="20"/>
              </w:rPr>
              <w:t>合价（元，不含税）</w:t>
            </w:r>
          </w:p>
        </w:tc>
        <w:tc>
          <w:tcPr>
            <w:tcW w:w="1851" w:type="dxa"/>
            <w:shd w:val="clear" w:color="000000" w:fill="FFFFFF"/>
            <w:noWrap w:val="0"/>
            <w:vAlign w:val="center"/>
          </w:tcPr>
          <w:p>
            <w:pPr>
              <w:jc w:val="center"/>
              <w:rPr>
                <w:rFonts w:ascii="宋体" w:hAnsi="宋体" w:cs="宋体"/>
                <w:b/>
                <w:bCs/>
                <w:kern w:val="0"/>
                <w:sz w:val="20"/>
              </w:rPr>
            </w:pPr>
            <w:r>
              <w:rPr>
                <w:rFonts w:hint="eastAsia" w:ascii="宋体" w:hAnsi="宋体" w:cs="宋体"/>
                <w:b/>
                <w:bCs/>
                <w:kern w:val="0"/>
                <w:sz w:val="20"/>
              </w:rPr>
              <w:t>增值税税率</w:t>
            </w:r>
          </w:p>
        </w:tc>
        <w:tc>
          <w:tcPr>
            <w:tcW w:w="1136" w:type="dxa"/>
            <w:shd w:val="clear" w:color="000000" w:fill="FFFFFF"/>
            <w:noWrap w:val="0"/>
            <w:vAlign w:val="center"/>
          </w:tcPr>
          <w:p>
            <w:pPr>
              <w:jc w:val="center"/>
              <w:rPr>
                <w:rFonts w:ascii="宋体" w:hAnsi="宋体" w:cs="宋体"/>
                <w:b/>
                <w:bCs/>
                <w:kern w:val="0"/>
                <w:sz w:val="20"/>
              </w:rPr>
            </w:pPr>
            <w:r>
              <w:rPr>
                <w:rFonts w:hint="eastAsia" w:ascii="宋体" w:hAnsi="宋体" w:cs="宋体"/>
                <w:b/>
                <w:bCs/>
                <w:kern w:val="0"/>
                <w:sz w:val="20"/>
              </w:rPr>
              <w:t>单价（元，含税）</w:t>
            </w:r>
          </w:p>
        </w:tc>
        <w:tc>
          <w:tcPr>
            <w:tcW w:w="1774" w:type="dxa"/>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单位(元，含税)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665" w:type="dxa"/>
            <w:shd w:val="clear" w:color="000000" w:fill="FFFFFF"/>
            <w:noWrap w:val="0"/>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638" w:type="dxa"/>
            <w:shd w:val="clear" w:color="000000" w:fill="FFFFFF"/>
            <w:noWrap w:val="0"/>
            <w:vAlign w:val="center"/>
          </w:tcPr>
          <w:p>
            <w:pPr>
              <w:widowControl/>
              <w:jc w:val="center"/>
              <w:rPr>
                <w:rFonts w:ascii="宋体" w:hAnsi="宋体" w:cs="宋体"/>
                <w:b/>
                <w:bCs/>
                <w:kern w:val="0"/>
                <w:sz w:val="20"/>
              </w:rPr>
            </w:pPr>
          </w:p>
        </w:tc>
        <w:tc>
          <w:tcPr>
            <w:tcW w:w="1455" w:type="dxa"/>
            <w:shd w:val="clear" w:color="000000" w:fill="FFFFFF"/>
            <w:noWrap w:val="0"/>
            <w:vAlign w:val="center"/>
          </w:tcPr>
          <w:p>
            <w:pPr>
              <w:widowControl/>
              <w:jc w:val="center"/>
              <w:rPr>
                <w:rFonts w:ascii="宋体" w:hAnsi="宋体" w:cs="宋体"/>
                <w:b/>
                <w:bCs/>
                <w:kern w:val="0"/>
                <w:sz w:val="20"/>
              </w:rPr>
            </w:pPr>
          </w:p>
        </w:tc>
        <w:tc>
          <w:tcPr>
            <w:tcW w:w="1851" w:type="dxa"/>
            <w:shd w:val="clear" w:color="000000" w:fill="FFFFFF"/>
            <w:noWrap w:val="0"/>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665" w:type="dxa"/>
            <w:shd w:val="clear" w:color="000000" w:fill="FFFFFF"/>
            <w:noWrap w:val="0"/>
            <w:vAlign w:val="center"/>
          </w:tcPr>
          <w:p>
            <w:pPr>
              <w:widowControl/>
              <w:jc w:val="center"/>
              <w:rPr>
                <w:rFonts w:ascii="宋体" w:hAnsi="宋体"/>
                <w:b/>
                <w:bCs/>
                <w:kern w:val="0"/>
                <w:szCs w:val="21"/>
              </w:rPr>
            </w:pPr>
          </w:p>
        </w:tc>
        <w:tc>
          <w:tcPr>
            <w:tcW w:w="1227"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638" w:type="dxa"/>
            <w:shd w:val="clear" w:color="000000" w:fill="FFFFFF"/>
            <w:noWrap w:val="0"/>
            <w:vAlign w:val="center"/>
          </w:tcPr>
          <w:p>
            <w:pPr>
              <w:widowControl/>
              <w:jc w:val="center"/>
              <w:rPr>
                <w:rFonts w:ascii="宋体" w:hAnsi="宋体" w:cs="宋体"/>
                <w:b/>
                <w:bCs/>
                <w:kern w:val="0"/>
                <w:sz w:val="20"/>
              </w:rPr>
            </w:pPr>
          </w:p>
        </w:tc>
        <w:tc>
          <w:tcPr>
            <w:tcW w:w="1455" w:type="dxa"/>
            <w:shd w:val="clear" w:color="000000" w:fill="FFFFFF"/>
            <w:noWrap w:val="0"/>
            <w:vAlign w:val="center"/>
          </w:tcPr>
          <w:p>
            <w:pPr>
              <w:widowControl/>
              <w:jc w:val="center"/>
              <w:rPr>
                <w:rFonts w:ascii="宋体" w:hAnsi="宋体" w:cs="宋体"/>
                <w:b/>
                <w:bCs/>
                <w:kern w:val="0"/>
                <w:sz w:val="20"/>
              </w:rPr>
            </w:pPr>
          </w:p>
        </w:tc>
        <w:tc>
          <w:tcPr>
            <w:tcW w:w="1851" w:type="dxa"/>
            <w:shd w:val="clear" w:color="000000" w:fill="FFFFFF"/>
            <w:noWrap w:val="0"/>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665" w:type="dxa"/>
            <w:shd w:val="clear" w:color="000000" w:fill="FFFFFF"/>
            <w:noWrap w:val="0"/>
            <w:vAlign w:val="center"/>
          </w:tcPr>
          <w:p>
            <w:pPr>
              <w:widowControl/>
              <w:jc w:val="center"/>
              <w:rPr>
                <w:rFonts w:ascii="宋体" w:hAnsi="宋体"/>
                <w:b/>
                <w:bCs/>
                <w:kern w:val="0"/>
                <w:szCs w:val="21"/>
              </w:rPr>
            </w:pPr>
          </w:p>
        </w:tc>
        <w:tc>
          <w:tcPr>
            <w:tcW w:w="1227"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638" w:type="dxa"/>
            <w:shd w:val="clear" w:color="000000" w:fill="FFFFFF"/>
            <w:noWrap w:val="0"/>
            <w:vAlign w:val="center"/>
          </w:tcPr>
          <w:p>
            <w:pPr>
              <w:widowControl/>
              <w:jc w:val="center"/>
              <w:rPr>
                <w:rFonts w:ascii="宋体" w:hAnsi="宋体" w:cs="宋体"/>
                <w:b/>
                <w:bCs/>
                <w:kern w:val="0"/>
                <w:sz w:val="20"/>
              </w:rPr>
            </w:pPr>
          </w:p>
        </w:tc>
        <w:tc>
          <w:tcPr>
            <w:tcW w:w="1455" w:type="dxa"/>
            <w:shd w:val="clear" w:color="000000" w:fill="FFFFFF"/>
            <w:noWrap w:val="0"/>
            <w:vAlign w:val="center"/>
          </w:tcPr>
          <w:p>
            <w:pPr>
              <w:widowControl/>
              <w:jc w:val="center"/>
              <w:rPr>
                <w:rFonts w:ascii="宋体" w:hAnsi="宋体" w:cs="宋体"/>
                <w:b/>
                <w:bCs/>
                <w:kern w:val="0"/>
                <w:sz w:val="20"/>
              </w:rPr>
            </w:pPr>
          </w:p>
        </w:tc>
        <w:tc>
          <w:tcPr>
            <w:tcW w:w="1851" w:type="dxa"/>
            <w:shd w:val="clear" w:color="000000" w:fill="FFFFFF"/>
            <w:noWrap w:val="0"/>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4</w:t>
            </w:r>
          </w:p>
        </w:tc>
        <w:tc>
          <w:tcPr>
            <w:tcW w:w="1665" w:type="dxa"/>
            <w:shd w:val="clear" w:color="000000" w:fill="FFFFFF"/>
            <w:noWrap w:val="0"/>
            <w:vAlign w:val="center"/>
          </w:tcPr>
          <w:p>
            <w:pPr>
              <w:widowControl/>
              <w:jc w:val="center"/>
              <w:rPr>
                <w:rFonts w:ascii="宋体" w:hAnsi="宋体"/>
                <w:b/>
                <w:bCs/>
                <w:kern w:val="0"/>
                <w:szCs w:val="21"/>
              </w:rPr>
            </w:pPr>
          </w:p>
        </w:tc>
        <w:tc>
          <w:tcPr>
            <w:tcW w:w="1227"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638" w:type="dxa"/>
            <w:shd w:val="clear" w:color="000000" w:fill="FFFFFF"/>
            <w:noWrap w:val="0"/>
            <w:vAlign w:val="center"/>
          </w:tcPr>
          <w:p>
            <w:pPr>
              <w:widowControl/>
              <w:jc w:val="center"/>
              <w:rPr>
                <w:rFonts w:ascii="宋体" w:hAnsi="宋体" w:cs="宋体"/>
                <w:b/>
                <w:bCs/>
                <w:kern w:val="0"/>
                <w:sz w:val="20"/>
              </w:rPr>
            </w:pPr>
          </w:p>
        </w:tc>
        <w:tc>
          <w:tcPr>
            <w:tcW w:w="1455" w:type="dxa"/>
            <w:shd w:val="clear" w:color="000000" w:fill="FFFFFF"/>
            <w:noWrap w:val="0"/>
            <w:vAlign w:val="center"/>
          </w:tcPr>
          <w:p>
            <w:pPr>
              <w:widowControl/>
              <w:jc w:val="center"/>
              <w:rPr>
                <w:rFonts w:ascii="宋体" w:hAnsi="宋体" w:cs="宋体"/>
                <w:b/>
                <w:bCs/>
                <w:kern w:val="0"/>
                <w:sz w:val="20"/>
              </w:rPr>
            </w:pPr>
          </w:p>
        </w:tc>
        <w:tc>
          <w:tcPr>
            <w:tcW w:w="1851" w:type="dxa"/>
            <w:shd w:val="clear" w:color="000000" w:fill="FFFFFF"/>
            <w:noWrap w:val="0"/>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w:t>
            </w:r>
          </w:p>
        </w:tc>
        <w:tc>
          <w:tcPr>
            <w:tcW w:w="1665" w:type="dxa"/>
            <w:shd w:val="clear" w:color="000000" w:fill="FFFFFF"/>
            <w:noWrap w:val="0"/>
            <w:vAlign w:val="center"/>
          </w:tcPr>
          <w:p>
            <w:pPr>
              <w:widowControl/>
              <w:jc w:val="center"/>
              <w:rPr>
                <w:rFonts w:ascii="宋体" w:hAnsi="宋体"/>
                <w:b/>
                <w:bCs/>
                <w:kern w:val="0"/>
                <w:szCs w:val="21"/>
              </w:rPr>
            </w:pPr>
          </w:p>
        </w:tc>
        <w:tc>
          <w:tcPr>
            <w:tcW w:w="1227"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638" w:type="dxa"/>
            <w:shd w:val="clear" w:color="000000" w:fill="FFFFFF"/>
            <w:noWrap w:val="0"/>
            <w:vAlign w:val="center"/>
          </w:tcPr>
          <w:p>
            <w:pPr>
              <w:widowControl/>
              <w:jc w:val="center"/>
              <w:rPr>
                <w:rFonts w:ascii="宋体" w:hAnsi="宋体" w:cs="宋体"/>
                <w:b/>
                <w:bCs/>
                <w:kern w:val="0"/>
                <w:sz w:val="20"/>
              </w:rPr>
            </w:pPr>
          </w:p>
        </w:tc>
        <w:tc>
          <w:tcPr>
            <w:tcW w:w="1455" w:type="dxa"/>
            <w:shd w:val="clear" w:color="000000" w:fill="FFFFFF"/>
            <w:noWrap w:val="0"/>
            <w:vAlign w:val="center"/>
          </w:tcPr>
          <w:p>
            <w:pPr>
              <w:widowControl/>
              <w:jc w:val="center"/>
              <w:rPr>
                <w:rFonts w:ascii="宋体" w:hAnsi="宋体" w:cs="宋体"/>
                <w:b/>
                <w:bCs/>
                <w:kern w:val="0"/>
                <w:sz w:val="20"/>
              </w:rPr>
            </w:pPr>
          </w:p>
        </w:tc>
        <w:tc>
          <w:tcPr>
            <w:tcW w:w="1851" w:type="dxa"/>
            <w:shd w:val="clear" w:color="000000" w:fill="FFFFFF"/>
            <w:noWrap w:val="0"/>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noWrap w:val="0"/>
            <w:vAlign w:val="center"/>
          </w:tcPr>
          <w:p>
            <w:pPr>
              <w:widowControl/>
              <w:jc w:val="center"/>
              <w:rPr>
                <w:rFonts w:ascii="宋体" w:hAnsi="宋体" w:cs="宋体"/>
                <w:b/>
                <w:bCs/>
                <w:kern w:val="0"/>
                <w:sz w:val="20"/>
              </w:rPr>
            </w:pPr>
          </w:p>
        </w:tc>
        <w:tc>
          <w:tcPr>
            <w:tcW w:w="1665" w:type="dxa"/>
            <w:shd w:val="clear" w:color="000000" w:fill="FFFFFF"/>
            <w:noWrap w:val="0"/>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638" w:type="dxa"/>
            <w:shd w:val="clear" w:color="000000" w:fill="FFFFFF"/>
            <w:noWrap w:val="0"/>
            <w:vAlign w:val="center"/>
          </w:tcPr>
          <w:p>
            <w:pPr>
              <w:widowControl/>
              <w:jc w:val="center"/>
              <w:rPr>
                <w:rFonts w:ascii="宋体" w:hAnsi="宋体" w:cs="宋体"/>
                <w:b/>
                <w:bCs/>
                <w:kern w:val="0"/>
                <w:sz w:val="20"/>
              </w:rPr>
            </w:pPr>
          </w:p>
        </w:tc>
        <w:tc>
          <w:tcPr>
            <w:tcW w:w="1455" w:type="dxa"/>
            <w:shd w:val="clear" w:color="000000" w:fill="FFFFFF"/>
            <w:noWrap w:val="0"/>
            <w:vAlign w:val="center"/>
          </w:tcPr>
          <w:p>
            <w:pPr>
              <w:widowControl/>
              <w:jc w:val="center"/>
              <w:rPr>
                <w:rFonts w:ascii="宋体" w:hAnsi="宋体" w:cs="宋体"/>
                <w:b/>
                <w:bCs/>
                <w:kern w:val="0"/>
                <w:sz w:val="20"/>
              </w:rPr>
            </w:pPr>
          </w:p>
        </w:tc>
        <w:tc>
          <w:tcPr>
            <w:tcW w:w="1851" w:type="dxa"/>
            <w:shd w:val="clear" w:color="000000" w:fill="FFFFFF"/>
            <w:noWrap w:val="0"/>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noWrap w:val="0"/>
            <w:vAlign w:val="center"/>
          </w:tcPr>
          <w:p>
            <w:pPr>
              <w:widowControl/>
              <w:jc w:val="center"/>
              <w:rPr>
                <w:rFonts w:ascii="宋体" w:hAnsi="宋体" w:cs="宋体"/>
                <w:b/>
                <w:bCs/>
                <w:kern w:val="0"/>
                <w:sz w:val="20"/>
              </w:rPr>
            </w:pPr>
          </w:p>
        </w:tc>
        <w:tc>
          <w:tcPr>
            <w:tcW w:w="1665" w:type="dxa"/>
            <w:shd w:val="clear" w:color="000000" w:fill="FFFFFF"/>
            <w:noWrap w:val="0"/>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638" w:type="dxa"/>
            <w:shd w:val="clear" w:color="000000" w:fill="FFFFFF"/>
            <w:noWrap w:val="0"/>
            <w:vAlign w:val="center"/>
          </w:tcPr>
          <w:p>
            <w:pPr>
              <w:widowControl/>
              <w:jc w:val="center"/>
              <w:rPr>
                <w:rFonts w:ascii="宋体" w:hAnsi="宋体" w:cs="宋体"/>
                <w:b/>
                <w:bCs/>
                <w:kern w:val="0"/>
                <w:sz w:val="20"/>
              </w:rPr>
            </w:pPr>
          </w:p>
        </w:tc>
        <w:tc>
          <w:tcPr>
            <w:tcW w:w="1455" w:type="dxa"/>
            <w:shd w:val="clear" w:color="000000" w:fill="FFFFFF"/>
            <w:noWrap w:val="0"/>
            <w:vAlign w:val="center"/>
          </w:tcPr>
          <w:p>
            <w:pPr>
              <w:widowControl/>
              <w:jc w:val="center"/>
              <w:rPr>
                <w:rFonts w:ascii="宋体" w:hAnsi="宋体" w:cs="宋体"/>
                <w:b/>
                <w:bCs/>
                <w:kern w:val="0"/>
                <w:sz w:val="20"/>
              </w:rPr>
            </w:pPr>
          </w:p>
        </w:tc>
        <w:tc>
          <w:tcPr>
            <w:tcW w:w="1851" w:type="dxa"/>
            <w:shd w:val="clear" w:color="000000" w:fill="FFFFFF"/>
            <w:noWrap w:val="0"/>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noWrap w:val="0"/>
            <w:vAlign w:val="center"/>
          </w:tcPr>
          <w:p>
            <w:pPr>
              <w:widowControl/>
              <w:jc w:val="center"/>
              <w:rPr>
                <w:rFonts w:ascii="宋体" w:hAnsi="宋体" w:cs="宋体"/>
                <w:b/>
                <w:bCs/>
                <w:kern w:val="0"/>
                <w:sz w:val="20"/>
              </w:rPr>
            </w:pPr>
          </w:p>
        </w:tc>
        <w:tc>
          <w:tcPr>
            <w:tcW w:w="1665" w:type="dxa"/>
            <w:shd w:val="clear" w:color="000000" w:fill="FFFFFF"/>
            <w:noWrap w:val="0"/>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638" w:type="dxa"/>
            <w:shd w:val="clear" w:color="000000" w:fill="FFFFFF"/>
            <w:noWrap w:val="0"/>
            <w:vAlign w:val="center"/>
          </w:tcPr>
          <w:p>
            <w:pPr>
              <w:widowControl/>
              <w:jc w:val="center"/>
              <w:rPr>
                <w:rFonts w:ascii="宋体" w:hAnsi="宋体" w:cs="宋体"/>
                <w:b/>
                <w:bCs/>
                <w:kern w:val="0"/>
                <w:sz w:val="20"/>
              </w:rPr>
            </w:pPr>
          </w:p>
        </w:tc>
        <w:tc>
          <w:tcPr>
            <w:tcW w:w="1455" w:type="dxa"/>
            <w:shd w:val="clear" w:color="000000" w:fill="FFFFFF"/>
            <w:noWrap w:val="0"/>
            <w:vAlign w:val="center"/>
          </w:tcPr>
          <w:p>
            <w:pPr>
              <w:widowControl/>
              <w:jc w:val="center"/>
              <w:rPr>
                <w:rFonts w:ascii="宋体" w:hAnsi="宋体" w:cs="宋体"/>
                <w:b/>
                <w:bCs/>
                <w:kern w:val="0"/>
                <w:sz w:val="20"/>
              </w:rPr>
            </w:pPr>
          </w:p>
        </w:tc>
        <w:tc>
          <w:tcPr>
            <w:tcW w:w="1851" w:type="dxa"/>
            <w:shd w:val="clear" w:color="000000" w:fill="FFFFFF"/>
            <w:noWrap w:val="0"/>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811" w:type="dxa"/>
            <w:shd w:val="clear" w:color="000000" w:fill="FFFFFF"/>
            <w:noWrap w:val="0"/>
            <w:vAlign w:val="center"/>
          </w:tcPr>
          <w:p>
            <w:pPr>
              <w:widowControl/>
              <w:jc w:val="center"/>
              <w:rPr>
                <w:rFonts w:ascii="宋体" w:hAnsi="宋体" w:cs="宋体"/>
                <w:b/>
                <w:bCs/>
                <w:kern w:val="0"/>
                <w:sz w:val="20"/>
              </w:rPr>
            </w:pPr>
          </w:p>
        </w:tc>
        <w:tc>
          <w:tcPr>
            <w:tcW w:w="1665" w:type="dxa"/>
            <w:shd w:val="clear" w:color="000000" w:fill="FFFFFF"/>
            <w:noWrap w:val="0"/>
            <w:vAlign w:val="center"/>
          </w:tcPr>
          <w:p>
            <w:pPr>
              <w:widowControl/>
              <w:jc w:val="center"/>
              <w:rPr>
                <w:rFonts w:ascii="宋体" w:hAnsi="宋体" w:cs="宋体"/>
                <w:b/>
                <w:bCs/>
                <w:kern w:val="0"/>
                <w:sz w:val="20"/>
              </w:rPr>
            </w:pPr>
          </w:p>
        </w:tc>
        <w:tc>
          <w:tcPr>
            <w:tcW w:w="1227"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115"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801"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671"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642"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638" w:type="dxa"/>
            <w:shd w:val="clear" w:color="000000" w:fill="FFFFFF"/>
            <w:noWrap w:val="0"/>
            <w:vAlign w:val="center"/>
          </w:tcPr>
          <w:p>
            <w:pPr>
              <w:widowControl/>
              <w:jc w:val="center"/>
              <w:rPr>
                <w:rFonts w:ascii="宋体" w:hAnsi="宋体" w:cs="宋体"/>
                <w:b/>
                <w:bCs/>
                <w:kern w:val="0"/>
                <w:sz w:val="20"/>
              </w:rPr>
            </w:pPr>
          </w:p>
        </w:tc>
        <w:tc>
          <w:tcPr>
            <w:tcW w:w="1455" w:type="dxa"/>
            <w:shd w:val="clear" w:color="000000" w:fill="FFFFFF"/>
            <w:noWrap w:val="0"/>
            <w:vAlign w:val="center"/>
          </w:tcPr>
          <w:p>
            <w:pPr>
              <w:widowControl/>
              <w:jc w:val="center"/>
              <w:rPr>
                <w:rFonts w:ascii="宋体" w:hAnsi="宋体" w:cs="宋体"/>
                <w:b/>
                <w:bCs/>
                <w:kern w:val="0"/>
                <w:sz w:val="20"/>
              </w:rPr>
            </w:pPr>
          </w:p>
        </w:tc>
        <w:tc>
          <w:tcPr>
            <w:tcW w:w="1851" w:type="dxa"/>
            <w:shd w:val="clear" w:color="000000" w:fill="FFFFFF"/>
            <w:noWrap w:val="0"/>
            <w:vAlign w:val="center"/>
          </w:tcPr>
          <w:p>
            <w:pPr>
              <w:widowControl/>
              <w:jc w:val="center"/>
              <w:rPr>
                <w:rFonts w:ascii="宋体" w:hAnsi="宋体" w:cs="宋体"/>
                <w:b/>
                <w:bCs/>
                <w:kern w:val="0"/>
                <w:sz w:val="20"/>
              </w:rPr>
            </w:pPr>
          </w:p>
        </w:tc>
        <w:tc>
          <w:tcPr>
            <w:tcW w:w="1136"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774"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2476" w:type="dxa"/>
            <w:gridSpan w:val="2"/>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不含税价格合计（元）</w:t>
            </w:r>
          </w:p>
        </w:tc>
        <w:tc>
          <w:tcPr>
            <w:tcW w:w="12310" w:type="dxa"/>
            <w:gridSpan w:val="10"/>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2476" w:type="dxa"/>
            <w:gridSpan w:val="2"/>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税金（元）</w:t>
            </w:r>
          </w:p>
        </w:tc>
        <w:tc>
          <w:tcPr>
            <w:tcW w:w="12310" w:type="dxa"/>
            <w:gridSpan w:val="10"/>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3" w:hRule="atLeast"/>
        </w:trPr>
        <w:tc>
          <w:tcPr>
            <w:tcW w:w="2476" w:type="dxa"/>
            <w:gridSpan w:val="2"/>
            <w:shd w:val="clear" w:color="000000" w:fill="FFFFFF"/>
            <w:noWrap w:val="0"/>
            <w:vAlign w:val="center"/>
          </w:tcPr>
          <w:p>
            <w:pPr>
              <w:widowControl/>
              <w:rPr>
                <w:rFonts w:ascii="宋体" w:hAnsi="宋体" w:cs="宋体"/>
                <w:b/>
                <w:bCs/>
                <w:kern w:val="0"/>
                <w:sz w:val="20"/>
              </w:rPr>
            </w:pPr>
            <w:r>
              <w:rPr>
                <w:rFonts w:hint="eastAsia" w:ascii="宋体" w:hAnsi="宋体" w:cs="宋体"/>
                <w:b/>
                <w:bCs/>
                <w:kern w:val="0"/>
                <w:sz w:val="20"/>
              </w:rPr>
              <w:t>价税合计（元）</w:t>
            </w:r>
          </w:p>
        </w:tc>
        <w:tc>
          <w:tcPr>
            <w:tcW w:w="12310" w:type="dxa"/>
            <w:gridSpan w:val="10"/>
            <w:tcBorders>
              <w:bottom w:val="single" w:color="auto" w:sz="4" w:space="0"/>
            </w:tcBorders>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 xml:space="preserve">人民币大写 </w:t>
            </w:r>
            <w:r>
              <w:rPr>
                <w:rFonts w:ascii="宋体" w:hAnsi="宋体" w:cs="宋体"/>
                <w:b/>
                <w:bCs/>
                <w:kern w:val="0"/>
                <w:sz w:val="20"/>
              </w:rPr>
              <w:t xml:space="preserve">    </w:t>
            </w:r>
            <w:r>
              <w:rPr>
                <w:rFonts w:hint="eastAsia" w:ascii="宋体" w:hAnsi="宋体" w:cs="宋体"/>
                <w:b/>
                <w:bCs/>
                <w:kern w:val="0"/>
                <w:sz w:val="20"/>
              </w:rPr>
              <w:t>元，</w:t>
            </w:r>
            <w:r>
              <w:rPr>
                <w:rFonts w:ascii="宋体" w:hAnsi="宋体" w:cs="宋体"/>
                <w:b/>
                <w:bCs/>
                <w:kern w:val="0"/>
                <w:sz w:val="20"/>
              </w:rPr>
              <w:t>¥   .00</w:t>
            </w: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8"/>
        </w:numPr>
        <w:tabs>
          <w:tab w:val="left" w:pos="284"/>
          <w:tab w:val="clear" w:pos="1200"/>
        </w:tabs>
        <w:adjustRightInd w:val="0"/>
        <w:snapToGrid w:val="0"/>
        <w:spacing w:line="300" w:lineRule="auto"/>
        <w:ind w:left="284" w:hanging="284"/>
        <w:jc w:val="left"/>
        <w:rPr>
          <w:rFonts w:cs="Calibri"/>
          <w:b/>
          <w:szCs w:val="21"/>
        </w:rPr>
      </w:pPr>
      <w:r>
        <w:rPr>
          <w:rFonts w:hint="eastAsia" w:ascii="宋体" w:hAnsi="宋体" w:cs="宋体"/>
          <w:sz w:val="22"/>
        </w:rPr>
        <w:t>综合单价包括但不限于产品生产、包装、运至指定地点的运输、装卸、保险、安装、调试及各种税费及所有第三章要求的伴随服务等招标文件规定的全部相关费用。</w:t>
      </w:r>
    </w:p>
    <w:p>
      <w:pPr>
        <w:snapToGrid w:val="0"/>
        <w:spacing w:line="440" w:lineRule="exact"/>
        <w:ind w:firstLine="3968" w:firstLineChars="1890"/>
        <w:rPr>
          <w:rFonts w:cs="Calibri"/>
          <w:szCs w:val="21"/>
        </w:rPr>
      </w:pPr>
    </w:p>
    <w:p>
      <w:pPr>
        <w:snapToGrid w:val="0"/>
        <w:spacing w:line="440" w:lineRule="exact"/>
        <w:ind w:firstLine="3968" w:firstLineChars="1890"/>
        <w:rPr>
          <w:rFonts w:cs="Calibri"/>
          <w:szCs w:val="21"/>
        </w:rPr>
      </w:pPr>
      <w:r>
        <w:rPr>
          <w:rFonts w:cs="Calibri"/>
          <w:szCs w:val="21"/>
        </w:rPr>
        <w:t>投标人：（盖单位章）</w:t>
      </w:r>
    </w:p>
    <w:p>
      <w:pPr>
        <w:snapToGrid w:val="0"/>
        <w:spacing w:line="440" w:lineRule="exact"/>
        <w:ind w:firstLine="3968" w:firstLineChars="1890"/>
        <w:rPr>
          <w:rFonts w:cs="Calibri"/>
          <w:szCs w:val="21"/>
        </w:rPr>
      </w:pPr>
      <w:r>
        <w:rPr>
          <w:rFonts w:cs="Calibri"/>
          <w:szCs w:val="21"/>
        </w:rPr>
        <w:t>法定代表人或其委托代理人：（签字或盖章）</w:t>
      </w:r>
    </w:p>
    <w:p>
      <w:pPr>
        <w:snapToGrid w:val="0"/>
        <w:spacing w:line="440" w:lineRule="exact"/>
        <w:ind w:firstLine="3968" w:firstLineChars="1890"/>
        <w:rPr>
          <w:rFonts w:cs="Calibri"/>
          <w:szCs w:val="21"/>
        </w:rPr>
        <w:sectPr>
          <w:pgSz w:w="16838" w:h="11906" w:orient="landscape"/>
          <w:pgMar w:top="1247" w:right="1134" w:bottom="1247" w:left="1134" w:header="851" w:footer="992" w:gutter="0"/>
          <w:pgNumType w:fmt="numberInDash"/>
          <w:cols w:space="720" w:num="1"/>
          <w:docGrid w:linePitch="312" w:charSpace="0"/>
        </w:sectPr>
      </w:pPr>
      <w:r>
        <w:rPr>
          <w:rFonts w:cs="Calibri"/>
          <w:szCs w:val="21"/>
        </w:rPr>
        <w:t xml:space="preserve">日期：    年     月    </w:t>
      </w:r>
    </w:p>
    <w:p>
      <w:pPr>
        <w:spacing w:line="440" w:lineRule="exact"/>
        <w:jc w:val="center"/>
        <w:rPr>
          <w:rFonts w:eastAsia="黑体" w:cs="Calibri"/>
          <w:sz w:val="32"/>
          <w:szCs w:val="32"/>
        </w:rPr>
      </w:pPr>
      <w:r>
        <w:rPr>
          <w:rFonts w:hint="eastAsia" w:eastAsia="黑体" w:cs="Calibri"/>
          <w:sz w:val="32"/>
          <w:szCs w:val="32"/>
        </w:rPr>
        <w:t>五、</w:t>
      </w:r>
      <w:r>
        <w:rPr>
          <w:rFonts w:eastAsia="黑体" w:cs="Calibri"/>
          <w:sz w:val="32"/>
          <w:szCs w:val="32"/>
        </w:rPr>
        <w:t>所投设备详细</w:t>
      </w:r>
      <w:r>
        <w:rPr>
          <w:rFonts w:hint="eastAsia" w:eastAsia="黑体" w:cs="Calibri"/>
          <w:sz w:val="32"/>
          <w:szCs w:val="32"/>
        </w:rPr>
        <w:t>技术</w:t>
      </w:r>
      <w:r>
        <w:rPr>
          <w:rFonts w:eastAsia="黑体" w:cs="Calibri"/>
          <w:sz w:val="32"/>
          <w:szCs w:val="32"/>
        </w:rPr>
        <w:t>参数</w:t>
      </w:r>
      <w:r>
        <w:rPr>
          <w:rFonts w:hint="eastAsia" w:eastAsia="黑体" w:cs="Calibri"/>
          <w:sz w:val="32"/>
          <w:szCs w:val="32"/>
        </w:rPr>
        <w:t>说明</w:t>
      </w:r>
    </w:p>
    <w:p>
      <w:pPr>
        <w:snapToGrid w:val="0"/>
        <w:spacing w:line="440" w:lineRule="exact"/>
        <w:rPr>
          <w:rFonts w:eastAsia="黑体" w:cs="Calibri"/>
          <w:sz w:val="32"/>
          <w:szCs w:val="32"/>
        </w:rPr>
      </w:pPr>
    </w:p>
    <w:p>
      <w:pPr>
        <w:snapToGrid w:val="0"/>
        <w:spacing w:line="440" w:lineRule="exact"/>
        <w:rPr>
          <w:rFonts w:eastAsia="黑体" w:cs="Calibri"/>
          <w:sz w:val="32"/>
          <w:szCs w:val="32"/>
        </w:rPr>
      </w:pPr>
    </w:p>
    <w:p>
      <w:pPr>
        <w:snapToGrid w:val="0"/>
        <w:spacing w:line="440" w:lineRule="exact"/>
        <w:rPr>
          <w:rFonts w:eastAsia="黑体" w:cs="Calibri"/>
          <w:sz w:val="32"/>
          <w:szCs w:val="32"/>
        </w:rPr>
      </w:pPr>
    </w:p>
    <w:p>
      <w:pPr>
        <w:snapToGrid w:val="0"/>
        <w:spacing w:line="440" w:lineRule="exact"/>
        <w:rPr>
          <w:rFonts w:eastAsia="黑体" w:cs="Calibri"/>
          <w:sz w:val="32"/>
          <w:szCs w:val="32"/>
        </w:rPr>
      </w:pPr>
    </w:p>
    <w:p>
      <w:pPr>
        <w:snapToGrid w:val="0"/>
        <w:spacing w:line="440" w:lineRule="exact"/>
        <w:rPr>
          <w:rFonts w:eastAsia="黑体" w:cs="Calibri"/>
          <w:sz w:val="32"/>
          <w:szCs w:val="32"/>
        </w:rPr>
      </w:pPr>
    </w:p>
    <w:p>
      <w:pPr>
        <w:snapToGrid w:val="0"/>
        <w:spacing w:line="440" w:lineRule="exact"/>
        <w:rPr>
          <w:rFonts w:cs="Calibri"/>
          <w:szCs w:val="21"/>
        </w:rPr>
      </w:pPr>
      <w:r>
        <w:rPr>
          <w:rFonts w:hint="eastAsia" w:cs="Calibri"/>
          <w:szCs w:val="21"/>
        </w:rPr>
        <w:t>注:需包含设备外观彩色图片</w:t>
      </w:r>
    </w:p>
    <w:p>
      <w:pPr>
        <w:spacing w:line="440" w:lineRule="exact"/>
        <w:rPr>
          <w:rFonts w:ascii="宋体" w:hAnsi="宋体"/>
          <w:b/>
          <w:szCs w:val="21"/>
        </w:rPr>
      </w:pPr>
    </w:p>
    <w:p>
      <w:pPr>
        <w:spacing w:line="440" w:lineRule="exact"/>
        <w:rPr>
          <w:rFonts w:ascii="宋体" w:hAnsi="宋体"/>
          <w:b/>
          <w:szCs w:val="21"/>
        </w:rPr>
      </w:pPr>
    </w:p>
    <w:p>
      <w:pPr>
        <w:spacing w:line="440" w:lineRule="exact"/>
        <w:rPr>
          <w:rFonts w:ascii="宋体" w:hAnsi="宋体"/>
          <w:b/>
          <w:szCs w:val="21"/>
        </w:rPr>
      </w:pPr>
    </w:p>
    <w:p>
      <w:pPr>
        <w:spacing w:line="440" w:lineRule="exact"/>
        <w:rPr>
          <w:rFonts w:ascii="宋体" w:hAnsi="宋体"/>
          <w:b/>
          <w:szCs w:val="21"/>
        </w:rPr>
      </w:pPr>
    </w:p>
    <w:p>
      <w:pPr>
        <w:spacing w:line="440" w:lineRule="exact"/>
        <w:rPr>
          <w:rFonts w:ascii="宋体" w:hAnsi="宋体"/>
          <w:b/>
          <w:szCs w:val="21"/>
        </w:rPr>
      </w:pPr>
    </w:p>
    <w:p>
      <w:pPr>
        <w:spacing w:line="440" w:lineRule="exact"/>
        <w:rPr>
          <w:rFonts w:ascii="宋体" w:hAnsi="宋体"/>
          <w:b/>
          <w:szCs w:val="21"/>
        </w:rPr>
      </w:pPr>
    </w:p>
    <w:p>
      <w:pPr>
        <w:spacing w:line="440" w:lineRule="exact"/>
        <w:rPr>
          <w:rFonts w:ascii="宋体" w:hAnsi="宋体"/>
          <w:b/>
          <w:szCs w:val="21"/>
        </w:rPr>
      </w:pPr>
    </w:p>
    <w:p>
      <w:pPr>
        <w:spacing w:line="440" w:lineRule="exact"/>
        <w:rPr>
          <w:rFonts w:ascii="宋体" w:hAnsi="宋体"/>
          <w:b/>
          <w:szCs w:val="21"/>
        </w:rPr>
      </w:pPr>
    </w:p>
    <w:p>
      <w:pPr>
        <w:spacing w:line="440" w:lineRule="exact"/>
        <w:rPr>
          <w:rFonts w:ascii="宋体" w:hAnsi="宋体"/>
          <w:b/>
          <w:szCs w:val="21"/>
        </w:rPr>
      </w:pPr>
    </w:p>
    <w:p>
      <w:pPr>
        <w:spacing w:line="440" w:lineRule="exact"/>
        <w:rPr>
          <w:rFonts w:ascii="宋体" w:hAnsi="宋体"/>
          <w:b/>
          <w:szCs w:val="21"/>
        </w:rPr>
      </w:pPr>
    </w:p>
    <w:p>
      <w:pPr>
        <w:spacing w:line="440" w:lineRule="exact"/>
        <w:rPr>
          <w:rFonts w:ascii="宋体" w:hAnsi="宋体"/>
          <w:b/>
          <w:szCs w:val="21"/>
        </w:rPr>
      </w:pPr>
    </w:p>
    <w:p>
      <w:pPr>
        <w:spacing w:line="440" w:lineRule="exact"/>
        <w:rPr>
          <w:rFonts w:ascii="宋体" w:hAnsi="宋体"/>
          <w:b/>
          <w:szCs w:val="21"/>
        </w:rPr>
      </w:pPr>
    </w:p>
    <w:p>
      <w:pPr>
        <w:spacing w:line="440" w:lineRule="exact"/>
        <w:rPr>
          <w:rFonts w:ascii="宋体" w:hAnsi="宋体"/>
          <w:b/>
          <w:szCs w:val="21"/>
        </w:rPr>
      </w:pPr>
    </w:p>
    <w:p>
      <w:pPr>
        <w:spacing w:line="440" w:lineRule="exact"/>
        <w:rPr>
          <w:rFonts w:ascii="宋体" w:hAnsi="宋体"/>
          <w:b/>
          <w:szCs w:val="21"/>
        </w:rPr>
      </w:pPr>
    </w:p>
    <w:p>
      <w:pPr>
        <w:spacing w:line="440" w:lineRule="exact"/>
        <w:rPr>
          <w:rFonts w:ascii="宋体" w:hAnsi="宋体"/>
          <w:b/>
          <w:szCs w:val="21"/>
        </w:rPr>
      </w:pPr>
    </w:p>
    <w:p>
      <w:pPr>
        <w:spacing w:line="440" w:lineRule="exact"/>
        <w:rPr>
          <w:rFonts w:ascii="宋体" w:hAnsi="宋体"/>
          <w:b/>
          <w:szCs w:val="21"/>
        </w:rPr>
      </w:pPr>
    </w:p>
    <w:p>
      <w:pPr>
        <w:spacing w:line="440" w:lineRule="exact"/>
        <w:rPr>
          <w:rFonts w:ascii="宋体" w:hAnsi="宋体"/>
          <w:b/>
          <w:szCs w:val="21"/>
        </w:rPr>
      </w:pPr>
    </w:p>
    <w:p>
      <w:pPr>
        <w:spacing w:line="440" w:lineRule="exact"/>
        <w:rPr>
          <w:rFonts w:ascii="宋体" w:hAnsi="宋体"/>
          <w:b/>
          <w:szCs w:val="21"/>
        </w:rPr>
      </w:pPr>
    </w:p>
    <w:p>
      <w:pPr>
        <w:spacing w:line="440" w:lineRule="exact"/>
        <w:rPr>
          <w:rFonts w:ascii="宋体" w:hAnsi="宋体"/>
          <w:b/>
          <w:szCs w:val="21"/>
        </w:rPr>
      </w:pPr>
    </w:p>
    <w:p>
      <w:pPr>
        <w:spacing w:line="440" w:lineRule="exact"/>
        <w:rPr>
          <w:rFonts w:ascii="宋体" w:hAnsi="宋体"/>
          <w:b/>
          <w:szCs w:val="21"/>
        </w:rPr>
      </w:pPr>
    </w:p>
    <w:p>
      <w:pPr>
        <w:spacing w:line="440" w:lineRule="exact"/>
        <w:rPr>
          <w:rFonts w:ascii="宋体" w:hAnsi="宋体"/>
          <w:b/>
          <w:szCs w:val="21"/>
        </w:rPr>
      </w:pPr>
    </w:p>
    <w:p>
      <w:pPr>
        <w:spacing w:line="440" w:lineRule="exact"/>
        <w:rPr>
          <w:rFonts w:ascii="宋体" w:hAnsi="宋体"/>
          <w:b/>
          <w:szCs w:val="21"/>
        </w:rPr>
      </w:pPr>
    </w:p>
    <w:p>
      <w:pPr>
        <w:spacing w:line="440" w:lineRule="exact"/>
        <w:rPr>
          <w:rFonts w:ascii="宋体" w:hAnsi="宋体"/>
          <w:b/>
          <w:szCs w:val="21"/>
        </w:rPr>
      </w:pPr>
    </w:p>
    <w:p>
      <w:pPr>
        <w:spacing w:line="440" w:lineRule="exact"/>
        <w:rPr>
          <w:rFonts w:ascii="宋体" w:hAnsi="宋体"/>
          <w:b/>
          <w:szCs w:val="21"/>
        </w:rPr>
      </w:pPr>
    </w:p>
    <w:p>
      <w:pPr>
        <w:spacing w:line="440" w:lineRule="exact"/>
        <w:rPr>
          <w:rFonts w:cs="Calibri"/>
          <w:b/>
          <w:bCs/>
          <w:sz w:val="32"/>
        </w:rPr>
      </w:pPr>
    </w:p>
    <w:p>
      <w:pPr>
        <w:spacing w:line="440" w:lineRule="exact"/>
        <w:jc w:val="center"/>
        <w:rPr>
          <w:rFonts w:eastAsia="黑体" w:cs="Calibri"/>
          <w:sz w:val="32"/>
          <w:szCs w:val="32"/>
        </w:rPr>
      </w:pPr>
      <w:r>
        <w:rPr>
          <w:rFonts w:hint="eastAsia" w:eastAsia="黑体" w:cs="Calibri"/>
          <w:sz w:val="32"/>
          <w:szCs w:val="32"/>
        </w:rPr>
        <w:t>六</w:t>
      </w:r>
      <w:r>
        <w:rPr>
          <w:rFonts w:eastAsia="黑体" w:cs="Calibri"/>
          <w:sz w:val="32"/>
          <w:szCs w:val="32"/>
        </w:rPr>
        <w:t>、投标人资格证明文件</w:t>
      </w:r>
    </w:p>
    <w:p>
      <w:pPr>
        <w:spacing w:line="360" w:lineRule="auto"/>
        <w:jc w:val="center"/>
        <w:rPr>
          <w:rFonts w:ascii="宋体" w:hAnsi="宋体" w:cs="宋体"/>
          <w:b/>
          <w:sz w:val="32"/>
          <w:szCs w:val="32"/>
        </w:rPr>
      </w:pPr>
      <w:r>
        <w:rPr>
          <w:rFonts w:eastAsia="黑体" w:cs="Calibri"/>
          <w:sz w:val="32"/>
          <w:szCs w:val="32"/>
        </w:rPr>
        <w:t xml:space="preserve"> </w:t>
      </w:r>
      <w:r>
        <w:rPr>
          <w:rFonts w:hint="eastAsia" w:ascii="宋体" w:hAnsi="宋体" w:cs="宋体"/>
          <w:b/>
          <w:sz w:val="32"/>
          <w:szCs w:val="32"/>
        </w:rPr>
        <w:t>（一）投标人一般情况</w:t>
      </w:r>
    </w:p>
    <w:tbl>
      <w:tblPr>
        <w:tblStyle w:val="46"/>
        <w:tblW w:w="9098" w:type="dxa"/>
        <w:tblInd w:w="1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5"/>
        <w:gridCol w:w="1028"/>
        <w:gridCol w:w="525"/>
        <w:gridCol w:w="187"/>
        <w:gridCol w:w="863"/>
        <w:gridCol w:w="562"/>
        <w:gridCol w:w="278"/>
        <w:gridCol w:w="1440"/>
        <w:gridCol w:w="30"/>
        <w:gridCol w:w="735"/>
        <w:gridCol w:w="1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noWrap w:val="0"/>
            <w:vAlign w:val="center"/>
          </w:tcPr>
          <w:p>
            <w:pPr>
              <w:snapToGrid w:val="0"/>
              <w:ind w:left="-170" w:right="-170"/>
              <w:jc w:val="center"/>
              <w:rPr>
                <w:rFonts w:ascii="宋体" w:hAnsi="宋体" w:cs="宋体"/>
                <w:sz w:val="22"/>
              </w:rPr>
            </w:pPr>
            <w:r>
              <w:rPr>
                <w:rFonts w:hint="eastAsia" w:ascii="宋体" w:hAnsi="宋体" w:cs="宋体"/>
                <w:sz w:val="22"/>
              </w:rPr>
              <w:t>企业名称</w:t>
            </w:r>
          </w:p>
        </w:tc>
        <w:tc>
          <w:tcPr>
            <w:tcW w:w="3165" w:type="dxa"/>
            <w:gridSpan w:val="5"/>
            <w:noWrap w:val="0"/>
            <w:vAlign w:val="center"/>
          </w:tcPr>
          <w:p>
            <w:pPr>
              <w:snapToGrid w:val="0"/>
              <w:ind w:left="-170" w:right="-170"/>
              <w:jc w:val="center"/>
              <w:rPr>
                <w:rFonts w:ascii="宋体" w:hAnsi="宋体" w:cs="宋体"/>
                <w:sz w:val="22"/>
              </w:rPr>
            </w:pPr>
          </w:p>
        </w:tc>
        <w:tc>
          <w:tcPr>
            <w:tcW w:w="1748" w:type="dxa"/>
            <w:gridSpan w:val="3"/>
            <w:noWrap w:val="0"/>
            <w:vAlign w:val="center"/>
          </w:tcPr>
          <w:p>
            <w:pPr>
              <w:snapToGrid w:val="0"/>
              <w:ind w:left="-170" w:right="-170"/>
              <w:jc w:val="center"/>
              <w:rPr>
                <w:rFonts w:ascii="宋体" w:hAnsi="宋体" w:cs="宋体"/>
                <w:sz w:val="22"/>
              </w:rPr>
            </w:pPr>
            <w:r>
              <w:rPr>
                <w:rFonts w:hint="eastAsia" w:ascii="宋体" w:hAnsi="宋体" w:cs="宋体"/>
                <w:sz w:val="22"/>
              </w:rPr>
              <w:t>主管部门</w:t>
            </w:r>
          </w:p>
        </w:tc>
        <w:tc>
          <w:tcPr>
            <w:tcW w:w="2730" w:type="dxa"/>
            <w:gridSpan w:val="2"/>
            <w:noWrap w:val="0"/>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noWrap w:val="0"/>
            <w:vAlign w:val="center"/>
          </w:tcPr>
          <w:p>
            <w:pPr>
              <w:snapToGrid w:val="0"/>
              <w:ind w:left="-170" w:right="-170"/>
              <w:jc w:val="center"/>
              <w:rPr>
                <w:rFonts w:ascii="宋体" w:hAnsi="宋体" w:cs="宋体"/>
                <w:sz w:val="22"/>
              </w:rPr>
            </w:pPr>
            <w:r>
              <w:rPr>
                <w:rFonts w:hint="eastAsia" w:ascii="宋体" w:hAnsi="宋体" w:cs="宋体"/>
                <w:sz w:val="22"/>
              </w:rPr>
              <w:t>经济类型</w:t>
            </w:r>
          </w:p>
        </w:tc>
        <w:tc>
          <w:tcPr>
            <w:tcW w:w="3165" w:type="dxa"/>
            <w:gridSpan w:val="5"/>
            <w:noWrap w:val="0"/>
            <w:vAlign w:val="center"/>
          </w:tcPr>
          <w:p>
            <w:pPr>
              <w:snapToGrid w:val="0"/>
              <w:ind w:left="-170" w:right="-170"/>
              <w:jc w:val="center"/>
              <w:rPr>
                <w:rFonts w:ascii="宋体" w:hAnsi="宋体" w:cs="宋体"/>
                <w:sz w:val="22"/>
              </w:rPr>
            </w:pPr>
          </w:p>
        </w:tc>
        <w:tc>
          <w:tcPr>
            <w:tcW w:w="1748" w:type="dxa"/>
            <w:gridSpan w:val="3"/>
            <w:noWrap w:val="0"/>
            <w:vAlign w:val="center"/>
          </w:tcPr>
          <w:p>
            <w:pPr>
              <w:snapToGrid w:val="0"/>
              <w:ind w:left="-170" w:right="-170"/>
              <w:jc w:val="center"/>
              <w:rPr>
                <w:rFonts w:ascii="宋体" w:hAnsi="宋体" w:cs="宋体"/>
                <w:sz w:val="22"/>
              </w:rPr>
            </w:pPr>
            <w:r>
              <w:rPr>
                <w:rFonts w:hint="eastAsia" w:ascii="宋体" w:hAnsi="宋体" w:cs="宋体"/>
                <w:sz w:val="22"/>
              </w:rPr>
              <w:t>法定代表人</w:t>
            </w:r>
          </w:p>
        </w:tc>
        <w:tc>
          <w:tcPr>
            <w:tcW w:w="2730" w:type="dxa"/>
            <w:gridSpan w:val="2"/>
            <w:noWrap w:val="0"/>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noWrap w:val="0"/>
            <w:vAlign w:val="center"/>
          </w:tcPr>
          <w:p>
            <w:pPr>
              <w:snapToGrid w:val="0"/>
              <w:ind w:left="-170" w:right="-170"/>
              <w:jc w:val="center"/>
              <w:rPr>
                <w:rFonts w:ascii="宋体" w:hAnsi="宋体" w:cs="宋体"/>
                <w:sz w:val="22"/>
              </w:rPr>
            </w:pPr>
            <w:r>
              <w:rPr>
                <w:rFonts w:hint="eastAsia" w:ascii="宋体" w:hAnsi="宋体" w:cs="宋体"/>
                <w:sz w:val="22"/>
              </w:rPr>
              <w:t>单位简历</w:t>
            </w:r>
          </w:p>
        </w:tc>
        <w:tc>
          <w:tcPr>
            <w:tcW w:w="7643" w:type="dxa"/>
            <w:gridSpan w:val="10"/>
            <w:noWrap w:val="0"/>
            <w:vAlign w:val="center"/>
          </w:tcPr>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455" w:type="dxa"/>
            <w:noWrap w:val="0"/>
            <w:vAlign w:val="center"/>
          </w:tcPr>
          <w:p>
            <w:pPr>
              <w:snapToGrid w:val="0"/>
              <w:ind w:left="-170" w:right="-170"/>
              <w:jc w:val="center"/>
              <w:rPr>
                <w:rFonts w:ascii="宋体" w:hAnsi="宋体" w:cs="宋体"/>
                <w:sz w:val="22"/>
              </w:rPr>
            </w:pPr>
            <w:r>
              <w:rPr>
                <w:rFonts w:hint="eastAsia" w:ascii="宋体" w:hAnsi="宋体" w:cs="宋体"/>
                <w:sz w:val="22"/>
              </w:rPr>
              <w:t>单位优势</w:t>
            </w:r>
          </w:p>
          <w:p>
            <w:pPr>
              <w:snapToGrid w:val="0"/>
              <w:ind w:left="-170" w:right="-170"/>
              <w:jc w:val="center"/>
              <w:rPr>
                <w:rFonts w:ascii="宋体" w:hAnsi="宋体" w:cs="宋体"/>
                <w:sz w:val="22"/>
              </w:rPr>
            </w:pPr>
            <w:r>
              <w:rPr>
                <w:rFonts w:hint="eastAsia" w:ascii="宋体" w:hAnsi="宋体" w:cs="宋体"/>
                <w:sz w:val="22"/>
              </w:rPr>
              <w:t>及 特 长</w:t>
            </w:r>
          </w:p>
        </w:tc>
        <w:tc>
          <w:tcPr>
            <w:tcW w:w="7643" w:type="dxa"/>
            <w:gridSpan w:val="10"/>
            <w:noWrap w:val="0"/>
            <w:vAlign w:val="center"/>
          </w:tcPr>
          <w:p>
            <w:pPr>
              <w:pStyle w:val="27"/>
              <w:ind w:firstLine="440"/>
              <w:rPr>
                <w:rFonts w:ascii="宋体" w:hAnsi="宋体" w:cs="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noWrap w:val="0"/>
            <w:textDirection w:val="tbRlV"/>
            <w:vAlign w:val="center"/>
          </w:tcPr>
          <w:p>
            <w:pPr>
              <w:snapToGrid w:val="0"/>
              <w:ind w:left="-170" w:right="-170"/>
              <w:jc w:val="center"/>
              <w:rPr>
                <w:rFonts w:ascii="宋体" w:hAnsi="宋体" w:cs="宋体"/>
                <w:sz w:val="22"/>
              </w:rPr>
            </w:pPr>
            <w:r>
              <w:rPr>
                <w:rFonts w:hint="eastAsia" w:ascii="宋体" w:hAnsi="宋体" w:cs="宋体"/>
                <w:sz w:val="22"/>
              </w:rPr>
              <w:t>单 位 概 况</w:t>
            </w:r>
          </w:p>
        </w:tc>
        <w:tc>
          <w:tcPr>
            <w:tcW w:w="1740" w:type="dxa"/>
            <w:gridSpan w:val="3"/>
            <w:noWrap w:val="0"/>
            <w:vAlign w:val="center"/>
          </w:tcPr>
          <w:p>
            <w:pPr>
              <w:snapToGrid w:val="0"/>
              <w:ind w:left="-170" w:right="-170"/>
              <w:jc w:val="center"/>
              <w:rPr>
                <w:rFonts w:ascii="宋体" w:hAnsi="宋体" w:cs="宋体"/>
                <w:sz w:val="22"/>
              </w:rPr>
            </w:pPr>
            <w:r>
              <w:rPr>
                <w:rFonts w:hint="eastAsia" w:ascii="宋体" w:hAnsi="宋体" w:cs="宋体"/>
                <w:sz w:val="22"/>
              </w:rPr>
              <w:t>职工总人数</w:t>
            </w:r>
          </w:p>
        </w:tc>
        <w:tc>
          <w:tcPr>
            <w:tcW w:w="1703" w:type="dxa"/>
            <w:gridSpan w:val="3"/>
            <w:noWrap w:val="0"/>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noWrap w:val="0"/>
            <w:vAlign w:val="center"/>
          </w:tcPr>
          <w:p>
            <w:pPr>
              <w:snapToGrid w:val="0"/>
              <w:ind w:left="-170" w:right="-170"/>
              <w:jc w:val="center"/>
              <w:rPr>
                <w:rFonts w:ascii="宋体" w:hAnsi="宋体" w:cs="宋体"/>
                <w:sz w:val="22"/>
              </w:rPr>
            </w:pPr>
            <w:r>
              <w:rPr>
                <w:rFonts w:hint="eastAsia" w:ascii="宋体" w:hAnsi="宋体" w:cs="宋体"/>
                <w:sz w:val="22"/>
              </w:rPr>
              <w:t>工程技术人员</w:t>
            </w:r>
          </w:p>
        </w:tc>
        <w:tc>
          <w:tcPr>
            <w:tcW w:w="1995" w:type="dxa"/>
            <w:noWrap w:val="0"/>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noWrap w:val="0"/>
            <w:vAlign w:val="center"/>
          </w:tcPr>
          <w:p>
            <w:pPr>
              <w:snapToGrid w:val="0"/>
              <w:ind w:left="-170" w:right="-170"/>
              <w:jc w:val="center"/>
              <w:rPr>
                <w:rFonts w:ascii="宋体" w:hAnsi="宋体" w:cs="宋体"/>
                <w:sz w:val="22"/>
              </w:rPr>
            </w:pPr>
          </w:p>
        </w:tc>
        <w:tc>
          <w:tcPr>
            <w:tcW w:w="1740" w:type="dxa"/>
            <w:gridSpan w:val="3"/>
            <w:noWrap w:val="0"/>
            <w:vAlign w:val="center"/>
          </w:tcPr>
          <w:p>
            <w:pPr>
              <w:snapToGrid w:val="0"/>
              <w:ind w:left="-170" w:right="-170"/>
              <w:jc w:val="center"/>
              <w:rPr>
                <w:rFonts w:ascii="宋体" w:hAnsi="宋体" w:cs="宋体"/>
                <w:sz w:val="22"/>
              </w:rPr>
            </w:pPr>
            <w:r>
              <w:rPr>
                <w:rFonts w:hint="eastAsia" w:ascii="宋体" w:hAnsi="宋体" w:cs="宋体"/>
                <w:sz w:val="22"/>
              </w:rPr>
              <w:t>生产工人</w:t>
            </w:r>
          </w:p>
        </w:tc>
        <w:tc>
          <w:tcPr>
            <w:tcW w:w="1703" w:type="dxa"/>
            <w:gridSpan w:val="3"/>
            <w:noWrap w:val="0"/>
            <w:vAlign w:val="center"/>
          </w:tcPr>
          <w:p>
            <w:pPr>
              <w:snapToGrid w:val="0"/>
              <w:ind w:left="-170" w:right="-170"/>
              <w:jc w:val="center"/>
              <w:rPr>
                <w:rFonts w:ascii="宋体" w:hAnsi="宋体" w:cs="宋体"/>
                <w:sz w:val="22"/>
              </w:rPr>
            </w:pPr>
            <w:r>
              <w:rPr>
                <w:rFonts w:hint="eastAsia" w:ascii="宋体" w:hAnsi="宋体" w:cs="宋体"/>
                <w:sz w:val="22"/>
              </w:rPr>
              <w:t>人</w:t>
            </w:r>
          </w:p>
        </w:tc>
        <w:tc>
          <w:tcPr>
            <w:tcW w:w="2205" w:type="dxa"/>
            <w:gridSpan w:val="3"/>
            <w:noWrap w:val="0"/>
            <w:vAlign w:val="center"/>
          </w:tcPr>
          <w:p>
            <w:pPr>
              <w:snapToGrid w:val="0"/>
              <w:ind w:left="-170" w:right="-170"/>
              <w:jc w:val="center"/>
              <w:rPr>
                <w:rFonts w:ascii="宋体" w:hAnsi="宋体" w:cs="宋体"/>
                <w:sz w:val="22"/>
              </w:rPr>
            </w:pPr>
            <w:r>
              <w:rPr>
                <w:rFonts w:hint="eastAsia" w:ascii="宋体" w:hAnsi="宋体" w:cs="宋体"/>
                <w:sz w:val="22"/>
              </w:rPr>
              <w:t>销售人员</w:t>
            </w:r>
          </w:p>
        </w:tc>
        <w:tc>
          <w:tcPr>
            <w:tcW w:w="1995" w:type="dxa"/>
            <w:noWrap w:val="0"/>
            <w:vAlign w:val="center"/>
          </w:tcPr>
          <w:p>
            <w:pPr>
              <w:snapToGrid w:val="0"/>
              <w:ind w:left="-170" w:right="-17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noWrap w:val="0"/>
            <w:vAlign w:val="center"/>
          </w:tcPr>
          <w:p>
            <w:pPr>
              <w:snapToGrid w:val="0"/>
              <w:ind w:left="-170" w:right="-170"/>
              <w:jc w:val="center"/>
              <w:rPr>
                <w:rFonts w:ascii="宋体" w:hAnsi="宋体" w:cs="宋体"/>
                <w:sz w:val="22"/>
              </w:rPr>
            </w:pPr>
          </w:p>
        </w:tc>
        <w:tc>
          <w:tcPr>
            <w:tcW w:w="1028" w:type="dxa"/>
            <w:vMerge w:val="restart"/>
            <w:noWrap w:val="0"/>
            <w:vAlign w:val="center"/>
          </w:tcPr>
          <w:p>
            <w:pPr>
              <w:snapToGrid w:val="0"/>
              <w:ind w:left="-170" w:right="-170"/>
              <w:jc w:val="center"/>
              <w:rPr>
                <w:rFonts w:ascii="宋体" w:hAnsi="宋体" w:cs="宋体"/>
                <w:sz w:val="22"/>
              </w:rPr>
            </w:pPr>
            <w:r>
              <w:rPr>
                <w:rFonts w:hint="eastAsia" w:ascii="宋体" w:hAnsi="宋体" w:cs="宋体"/>
                <w:sz w:val="22"/>
              </w:rPr>
              <w:t>固定</w:t>
            </w:r>
          </w:p>
          <w:p>
            <w:pPr>
              <w:snapToGrid w:val="0"/>
              <w:ind w:left="-170" w:right="-170"/>
              <w:jc w:val="center"/>
              <w:rPr>
                <w:rFonts w:ascii="宋体" w:hAnsi="宋体" w:cs="宋体"/>
                <w:sz w:val="22"/>
              </w:rPr>
            </w:pPr>
            <w:r>
              <w:rPr>
                <w:rFonts w:hint="eastAsia" w:ascii="宋体" w:hAnsi="宋体" w:cs="宋体"/>
                <w:sz w:val="22"/>
              </w:rPr>
              <w:t>资产</w:t>
            </w:r>
          </w:p>
        </w:tc>
        <w:tc>
          <w:tcPr>
            <w:tcW w:w="1575" w:type="dxa"/>
            <w:gridSpan w:val="3"/>
            <w:vMerge w:val="restart"/>
            <w:noWrap w:val="0"/>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noWrap w:val="0"/>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性质</w:t>
            </w:r>
          </w:p>
        </w:tc>
        <w:tc>
          <w:tcPr>
            <w:tcW w:w="1440" w:type="dxa"/>
            <w:noWrap w:val="0"/>
            <w:vAlign w:val="center"/>
          </w:tcPr>
          <w:p>
            <w:pPr>
              <w:snapToGrid w:val="0"/>
              <w:ind w:left="-170" w:right="-170"/>
              <w:jc w:val="center"/>
              <w:rPr>
                <w:rFonts w:ascii="宋体" w:hAnsi="宋体" w:cs="宋体"/>
                <w:sz w:val="22"/>
              </w:rPr>
            </w:pPr>
            <w:r>
              <w:rPr>
                <w:rFonts w:hint="eastAsia" w:ascii="宋体" w:hAnsi="宋体" w:cs="宋体"/>
                <w:sz w:val="22"/>
              </w:rPr>
              <w:t>生产性</w:t>
            </w:r>
          </w:p>
        </w:tc>
        <w:tc>
          <w:tcPr>
            <w:tcW w:w="2760" w:type="dxa"/>
            <w:gridSpan w:val="3"/>
            <w:noWrap w:val="0"/>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noWrap w:val="0"/>
            <w:vAlign w:val="center"/>
          </w:tcPr>
          <w:p>
            <w:pPr>
              <w:snapToGrid w:val="0"/>
              <w:ind w:left="-170" w:right="-170"/>
              <w:jc w:val="center"/>
              <w:rPr>
                <w:rFonts w:ascii="宋体" w:hAnsi="宋体" w:cs="宋体"/>
                <w:sz w:val="22"/>
              </w:rPr>
            </w:pPr>
          </w:p>
        </w:tc>
        <w:tc>
          <w:tcPr>
            <w:tcW w:w="1028" w:type="dxa"/>
            <w:vMerge w:val="continue"/>
            <w:noWrap w:val="0"/>
            <w:vAlign w:val="center"/>
          </w:tcPr>
          <w:p>
            <w:pPr>
              <w:snapToGrid w:val="0"/>
              <w:ind w:left="-170" w:right="-170"/>
              <w:jc w:val="center"/>
              <w:rPr>
                <w:rFonts w:ascii="宋体" w:hAnsi="宋体" w:cs="宋体"/>
                <w:sz w:val="22"/>
              </w:rPr>
            </w:pPr>
          </w:p>
        </w:tc>
        <w:tc>
          <w:tcPr>
            <w:tcW w:w="1575" w:type="dxa"/>
            <w:gridSpan w:val="3"/>
            <w:vMerge w:val="continue"/>
            <w:noWrap w:val="0"/>
            <w:vAlign w:val="center"/>
          </w:tcPr>
          <w:p>
            <w:pPr>
              <w:snapToGrid w:val="0"/>
              <w:ind w:left="-170" w:right="-170"/>
              <w:jc w:val="center"/>
              <w:rPr>
                <w:rFonts w:ascii="宋体" w:hAnsi="宋体" w:cs="宋体"/>
                <w:sz w:val="22"/>
              </w:rPr>
            </w:pPr>
          </w:p>
        </w:tc>
        <w:tc>
          <w:tcPr>
            <w:tcW w:w="840" w:type="dxa"/>
            <w:gridSpan w:val="2"/>
            <w:vMerge w:val="continue"/>
            <w:noWrap w:val="0"/>
            <w:vAlign w:val="center"/>
          </w:tcPr>
          <w:p>
            <w:pPr>
              <w:snapToGrid w:val="0"/>
              <w:ind w:left="-170" w:right="-170"/>
              <w:jc w:val="center"/>
              <w:rPr>
                <w:rFonts w:ascii="宋体" w:hAnsi="宋体" w:cs="宋体"/>
                <w:sz w:val="22"/>
              </w:rPr>
            </w:pPr>
          </w:p>
        </w:tc>
        <w:tc>
          <w:tcPr>
            <w:tcW w:w="1440" w:type="dxa"/>
            <w:noWrap w:val="0"/>
            <w:vAlign w:val="center"/>
          </w:tcPr>
          <w:p>
            <w:pPr>
              <w:snapToGrid w:val="0"/>
              <w:ind w:left="-170" w:right="-170"/>
              <w:jc w:val="center"/>
              <w:rPr>
                <w:rFonts w:ascii="宋体" w:hAnsi="宋体" w:cs="宋体"/>
                <w:sz w:val="22"/>
              </w:rPr>
            </w:pPr>
            <w:r>
              <w:rPr>
                <w:rFonts w:hint="eastAsia" w:ascii="宋体" w:hAnsi="宋体" w:cs="宋体"/>
                <w:sz w:val="22"/>
              </w:rPr>
              <w:t>非生产性</w:t>
            </w:r>
          </w:p>
        </w:tc>
        <w:tc>
          <w:tcPr>
            <w:tcW w:w="2760" w:type="dxa"/>
            <w:gridSpan w:val="3"/>
            <w:noWrap w:val="0"/>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noWrap w:val="0"/>
            <w:vAlign w:val="center"/>
          </w:tcPr>
          <w:p>
            <w:pPr>
              <w:snapToGrid w:val="0"/>
              <w:ind w:left="-170" w:right="-170"/>
              <w:jc w:val="center"/>
              <w:rPr>
                <w:rFonts w:ascii="宋体" w:hAnsi="宋体" w:cs="宋体"/>
                <w:sz w:val="22"/>
              </w:rPr>
            </w:pPr>
          </w:p>
        </w:tc>
        <w:tc>
          <w:tcPr>
            <w:tcW w:w="1028" w:type="dxa"/>
            <w:vMerge w:val="restart"/>
            <w:noWrap w:val="0"/>
            <w:vAlign w:val="center"/>
          </w:tcPr>
          <w:p>
            <w:pPr>
              <w:snapToGrid w:val="0"/>
              <w:ind w:left="-170" w:right="-170"/>
              <w:jc w:val="center"/>
              <w:rPr>
                <w:rFonts w:ascii="宋体" w:hAnsi="宋体" w:cs="宋体"/>
                <w:sz w:val="22"/>
              </w:rPr>
            </w:pPr>
            <w:r>
              <w:rPr>
                <w:rFonts w:hint="eastAsia" w:ascii="宋体" w:hAnsi="宋体" w:cs="宋体"/>
                <w:sz w:val="22"/>
              </w:rPr>
              <w:t>流动</w:t>
            </w:r>
          </w:p>
          <w:p>
            <w:pPr>
              <w:snapToGrid w:val="0"/>
              <w:ind w:left="-170" w:right="-170"/>
              <w:jc w:val="center"/>
              <w:rPr>
                <w:rFonts w:ascii="宋体" w:hAnsi="宋体" w:cs="宋体"/>
                <w:sz w:val="22"/>
              </w:rPr>
            </w:pPr>
            <w:r>
              <w:rPr>
                <w:rFonts w:hint="eastAsia" w:ascii="宋体" w:hAnsi="宋体" w:cs="宋体"/>
                <w:sz w:val="22"/>
              </w:rPr>
              <w:t>资金</w:t>
            </w:r>
          </w:p>
        </w:tc>
        <w:tc>
          <w:tcPr>
            <w:tcW w:w="1575" w:type="dxa"/>
            <w:gridSpan w:val="3"/>
            <w:vMerge w:val="restart"/>
            <w:noWrap w:val="0"/>
            <w:vAlign w:val="center"/>
          </w:tcPr>
          <w:p>
            <w:pPr>
              <w:snapToGrid w:val="0"/>
              <w:ind w:left="-170" w:right="-170"/>
              <w:jc w:val="center"/>
              <w:rPr>
                <w:rFonts w:ascii="宋体" w:hAnsi="宋体" w:cs="宋体"/>
                <w:sz w:val="22"/>
              </w:rPr>
            </w:pPr>
            <w:r>
              <w:rPr>
                <w:rFonts w:hint="eastAsia" w:ascii="宋体" w:hAnsi="宋体" w:cs="宋体"/>
                <w:sz w:val="22"/>
              </w:rPr>
              <w:t>万元</w:t>
            </w:r>
          </w:p>
        </w:tc>
        <w:tc>
          <w:tcPr>
            <w:tcW w:w="840" w:type="dxa"/>
            <w:gridSpan w:val="2"/>
            <w:vMerge w:val="restart"/>
            <w:noWrap w:val="0"/>
            <w:vAlign w:val="center"/>
          </w:tcPr>
          <w:p>
            <w:pPr>
              <w:snapToGrid w:val="0"/>
              <w:ind w:left="-170" w:right="-170"/>
              <w:jc w:val="center"/>
              <w:rPr>
                <w:rFonts w:ascii="宋体" w:hAnsi="宋体" w:cs="宋体"/>
                <w:sz w:val="22"/>
              </w:rPr>
            </w:pPr>
            <w:r>
              <w:rPr>
                <w:rFonts w:hint="eastAsia" w:ascii="宋体" w:hAnsi="宋体" w:cs="宋体"/>
                <w:sz w:val="22"/>
              </w:rPr>
              <w:t>资金</w:t>
            </w:r>
          </w:p>
          <w:p>
            <w:pPr>
              <w:snapToGrid w:val="0"/>
              <w:ind w:left="-170" w:right="-170"/>
              <w:jc w:val="center"/>
              <w:rPr>
                <w:rFonts w:ascii="宋体" w:hAnsi="宋体" w:cs="宋体"/>
                <w:sz w:val="22"/>
              </w:rPr>
            </w:pPr>
            <w:r>
              <w:rPr>
                <w:rFonts w:hint="eastAsia" w:ascii="宋体" w:hAnsi="宋体" w:cs="宋体"/>
                <w:sz w:val="22"/>
              </w:rPr>
              <w:t>来源</w:t>
            </w:r>
          </w:p>
        </w:tc>
        <w:tc>
          <w:tcPr>
            <w:tcW w:w="1440" w:type="dxa"/>
            <w:noWrap w:val="0"/>
            <w:vAlign w:val="center"/>
          </w:tcPr>
          <w:p>
            <w:pPr>
              <w:snapToGrid w:val="0"/>
              <w:ind w:left="-170" w:right="-170"/>
              <w:jc w:val="center"/>
              <w:rPr>
                <w:rFonts w:ascii="宋体" w:hAnsi="宋体" w:cs="宋体"/>
                <w:sz w:val="22"/>
              </w:rPr>
            </w:pPr>
            <w:r>
              <w:rPr>
                <w:rFonts w:hint="eastAsia" w:ascii="宋体" w:hAnsi="宋体" w:cs="宋体"/>
                <w:sz w:val="22"/>
              </w:rPr>
              <w:t>自有资金</w:t>
            </w:r>
          </w:p>
        </w:tc>
        <w:tc>
          <w:tcPr>
            <w:tcW w:w="2760" w:type="dxa"/>
            <w:gridSpan w:val="3"/>
            <w:noWrap w:val="0"/>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noWrap w:val="0"/>
            <w:vAlign w:val="center"/>
          </w:tcPr>
          <w:p>
            <w:pPr>
              <w:snapToGrid w:val="0"/>
              <w:ind w:left="-170" w:right="-170"/>
              <w:jc w:val="center"/>
              <w:rPr>
                <w:rFonts w:ascii="宋体" w:hAnsi="宋体" w:cs="宋体"/>
                <w:sz w:val="22"/>
              </w:rPr>
            </w:pPr>
          </w:p>
        </w:tc>
        <w:tc>
          <w:tcPr>
            <w:tcW w:w="1028" w:type="dxa"/>
            <w:vMerge w:val="continue"/>
            <w:noWrap w:val="0"/>
            <w:vAlign w:val="center"/>
          </w:tcPr>
          <w:p>
            <w:pPr>
              <w:snapToGrid w:val="0"/>
              <w:ind w:left="-170" w:right="-170"/>
              <w:jc w:val="center"/>
              <w:rPr>
                <w:rFonts w:ascii="宋体" w:hAnsi="宋体" w:cs="宋体"/>
                <w:sz w:val="22"/>
              </w:rPr>
            </w:pPr>
          </w:p>
        </w:tc>
        <w:tc>
          <w:tcPr>
            <w:tcW w:w="1575" w:type="dxa"/>
            <w:gridSpan w:val="3"/>
            <w:vMerge w:val="continue"/>
            <w:noWrap w:val="0"/>
            <w:vAlign w:val="center"/>
          </w:tcPr>
          <w:p>
            <w:pPr>
              <w:snapToGrid w:val="0"/>
              <w:ind w:left="-170" w:right="-170"/>
              <w:jc w:val="center"/>
              <w:rPr>
                <w:rFonts w:ascii="宋体" w:hAnsi="宋体" w:cs="宋体"/>
                <w:sz w:val="22"/>
              </w:rPr>
            </w:pPr>
          </w:p>
        </w:tc>
        <w:tc>
          <w:tcPr>
            <w:tcW w:w="840" w:type="dxa"/>
            <w:gridSpan w:val="2"/>
            <w:vMerge w:val="continue"/>
            <w:noWrap w:val="0"/>
            <w:vAlign w:val="center"/>
          </w:tcPr>
          <w:p>
            <w:pPr>
              <w:snapToGrid w:val="0"/>
              <w:ind w:left="-170" w:right="-170"/>
              <w:jc w:val="center"/>
              <w:rPr>
                <w:rFonts w:ascii="宋体" w:hAnsi="宋体" w:cs="宋体"/>
                <w:sz w:val="22"/>
              </w:rPr>
            </w:pPr>
          </w:p>
        </w:tc>
        <w:tc>
          <w:tcPr>
            <w:tcW w:w="1440" w:type="dxa"/>
            <w:noWrap w:val="0"/>
            <w:vAlign w:val="center"/>
          </w:tcPr>
          <w:p>
            <w:pPr>
              <w:snapToGrid w:val="0"/>
              <w:ind w:left="-170" w:right="-170"/>
              <w:jc w:val="center"/>
              <w:rPr>
                <w:rFonts w:ascii="宋体" w:hAnsi="宋体" w:cs="宋体"/>
                <w:sz w:val="22"/>
              </w:rPr>
            </w:pPr>
            <w:r>
              <w:rPr>
                <w:rFonts w:hint="eastAsia" w:ascii="宋体" w:hAnsi="宋体" w:cs="宋体"/>
                <w:sz w:val="22"/>
              </w:rPr>
              <w:t>银行贷款</w:t>
            </w:r>
          </w:p>
        </w:tc>
        <w:tc>
          <w:tcPr>
            <w:tcW w:w="2760" w:type="dxa"/>
            <w:gridSpan w:val="3"/>
            <w:noWrap w:val="0"/>
            <w:vAlign w:val="center"/>
          </w:tcPr>
          <w:p>
            <w:pPr>
              <w:snapToGrid w:val="0"/>
              <w:ind w:left="-170" w:right="-17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634" w:hRule="atLeast"/>
        </w:trPr>
        <w:tc>
          <w:tcPr>
            <w:tcW w:w="1455" w:type="dxa"/>
            <w:noWrap w:val="0"/>
            <w:vAlign w:val="center"/>
          </w:tcPr>
          <w:p>
            <w:pPr>
              <w:snapToGrid w:val="0"/>
              <w:ind w:left="-170" w:right="-170"/>
              <w:jc w:val="center"/>
              <w:rPr>
                <w:rFonts w:ascii="宋体" w:hAnsi="宋体" w:cs="宋体"/>
                <w:sz w:val="22"/>
              </w:rPr>
            </w:pPr>
            <w:r>
              <w:rPr>
                <w:rFonts w:hint="eastAsia" w:ascii="宋体" w:hAnsi="宋体" w:cs="宋体"/>
                <w:sz w:val="22"/>
              </w:rPr>
              <w:t>经营</w:t>
            </w:r>
          </w:p>
          <w:p>
            <w:pPr>
              <w:snapToGrid w:val="0"/>
              <w:ind w:left="-170" w:right="-170"/>
              <w:jc w:val="center"/>
              <w:rPr>
                <w:rFonts w:ascii="宋体" w:hAnsi="宋体" w:cs="宋体"/>
                <w:sz w:val="22"/>
              </w:rPr>
            </w:pPr>
            <w:r>
              <w:rPr>
                <w:rFonts w:hint="eastAsia" w:ascii="宋体" w:hAnsi="宋体" w:cs="宋体"/>
                <w:sz w:val="22"/>
              </w:rPr>
              <w:t>范围</w:t>
            </w:r>
          </w:p>
        </w:tc>
        <w:tc>
          <w:tcPr>
            <w:tcW w:w="7643" w:type="dxa"/>
            <w:gridSpan w:val="10"/>
            <w:noWrap w:val="0"/>
            <w:vAlign w:val="center"/>
          </w:tcPr>
          <w:p>
            <w:pPr>
              <w:snapToGrid w:val="0"/>
              <w:ind w:left="-170" w:right="-170"/>
              <w:jc w:val="center"/>
              <w:rPr>
                <w:rFonts w:ascii="宋体" w:hAnsi="宋体" w:cs="宋体"/>
                <w:sz w:val="22"/>
              </w:rPr>
            </w:pPr>
          </w:p>
          <w:p>
            <w:pPr>
              <w:snapToGrid w:val="0"/>
              <w:ind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restart"/>
            <w:noWrap w:val="0"/>
            <w:vAlign w:val="center"/>
          </w:tcPr>
          <w:p>
            <w:pPr>
              <w:snapToGrid w:val="0"/>
              <w:ind w:left="-170" w:right="-170"/>
              <w:jc w:val="center"/>
              <w:rPr>
                <w:rFonts w:ascii="宋体" w:hAnsi="宋体" w:cs="宋体"/>
                <w:sz w:val="22"/>
              </w:rPr>
            </w:pPr>
            <w:r>
              <w:rPr>
                <w:rFonts w:hint="eastAsia" w:ascii="宋体" w:hAnsi="宋体" w:cs="宋体"/>
                <w:sz w:val="22"/>
              </w:rPr>
              <w:t>经 济</w:t>
            </w:r>
          </w:p>
          <w:p>
            <w:pPr>
              <w:snapToGrid w:val="0"/>
              <w:ind w:left="-170" w:right="-170"/>
              <w:jc w:val="center"/>
              <w:rPr>
                <w:rFonts w:ascii="宋体" w:hAnsi="宋体" w:cs="宋体"/>
                <w:sz w:val="22"/>
              </w:rPr>
            </w:pPr>
            <w:r>
              <w:rPr>
                <w:rFonts w:hint="eastAsia" w:ascii="宋体" w:hAnsi="宋体" w:cs="宋体"/>
                <w:sz w:val="22"/>
              </w:rPr>
              <w:t>指 标</w:t>
            </w:r>
          </w:p>
        </w:tc>
        <w:tc>
          <w:tcPr>
            <w:tcW w:w="1553" w:type="dxa"/>
            <w:gridSpan w:val="2"/>
            <w:noWrap w:val="0"/>
            <w:vAlign w:val="center"/>
          </w:tcPr>
          <w:p>
            <w:pPr>
              <w:snapToGrid w:val="0"/>
              <w:ind w:left="-170" w:right="-170"/>
              <w:jc w:val="center"/>
              <w:rPr>
                <w:rFonts w:ascii="宋体" w:hAnsi="宋体" w:cs="宋体"/>
                <w:sz w:val="22"/>
              </w:rPr>
            </w:pPr>
            <w:r>
              <w:rPr>
                <w:rFonts w:hint="eastAsia" w:ascii="宋体" w:hAnsi="宋体" w:cs="宋体"/>
                <w:sz w:val="22"/>
              </w:rPr>
              <w:t>年份</w:t>
            </w:r>
          </w:p>
        </w:tc>
        <w:tc>
          <w:tcPr>
            <w:tcW w:w="6090" w:type="dxa"/>
            <w:gridSpan w:val="8"/>
            <w:noWrap w:val="0"/>
            <w:vAlign w:val="center"/>
          </w:tcPr>
          <w:p>
            <w:pPr>
              <w:snapToGrid w:val="0"/>
              <w:ind w:left="-170" w:right="-17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noWrap w:val="0"/>
            <w:vAlign w:val="center"/>
          </w:tcPr>
          <w:p>
            <w:pPr>
              <w:snapToGrid w:val="0"/>
              <w:ind w:left="-170" w:right="-170"/>
              <w:jc w:val="center"/>
              <w:rPr>
                <w:rFonts w:ascii="宋体" w:hAnsi="宋体" w:cs="宋体"/>
                <w:sz w:val="22"/>
              </w:rPr>
            </w:pPr>
          </w:p>
        </w:tc>
        <w:tc>
          <w:tcPr>
            <w:tcW w:w="1553" w:type="dxa"/>
            <w:gridSpan w:val="2"/>
            <w:noWrap w:val="0"/>
            <w:vAlign w:val="center"/>
          </w:tcPr>
          <w:p>
            <w:pPr>
              <w:snapToGrid w:val="0"/>
              <w:ind w:left="-170" w:right="-170"/>
              <w:jc w:val="center"/>
              <w:rPr>
                <w:rFonts w:ascii="宋体" w:hAnsi="宋体" w:cs="宋体"/>
                <w:sz w:val="22"/>
              </w:rPr>
            </w:pPr>
          </w:p>
        </w:tc>
        <w:tc>
          <w:tcPr>
            <w:tcW w:w="6090" w:type="dxa"/>
            <w:gridSpan w:val="8"/>
            <w:noWrap w:val="0"/>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noWrap w:val="0"/>
            <w:vAlign w:val="center"/>
          </w:tcPr>
          <w:p>
            <w:pPr>
              <w:snapToGrid w:val="0"/>
              <w:ind w:left="-170" w:right="-170"/>
              <w:jc w:val="center"/>
              <w:rPr>
                <w:rFonts w:ascii="宋体" w:hAnsi="宋体" w:cs="宋体"/>
                <w:sz w:val="22"/>
              </w:rPr>
            </w:pPr>
          </w:p>
        </w:tc>
        <w:tc>
          <w:tcPr>
            <w:tcW w:w="1553" w:type="dxa"/>
            <w:gridSpan w:val="2"/>
            <w:noWrap w:val="0"/>
            <w:vAlign w:val="center"/>
          </w:tcPr>
          <w:p>
            <w:pPr>
              <w:snapToGrid w:val="0"/>
              <w:ind w:left="-170" w:right="-170"/>
              <w:jc w:val="center"/>
              <w:rPr>
                <w:rFonts w:ascii="宋体" w:hAnsi="宋体" w:cs="宋体"/>
                <w:sz w:val="22"/>
              </w:rPr>
            </w:pPr>
          </w:p>
        </w:tc>
        <w:tc>
          <w:tcPr>
            <w:tcW w:w="6090" w:type="dxa"/>
            <w:gridSpan w:val="8"/>
            <w:noWrap w:val="0"/>
            <w:vAlign w:val="center"/>
          </w:tcPr>
          <w:p>
            <w:pPr>
              <w:snapToGrid w:val="0"/>
              <w:ind w:left="-170" w:right="-17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54" w:hRule="atLeast"/>
        </w:trPr>
        <w:tc>
          <w:tcPr>
            <w:tcW w:w="1455" w:type="dxa"/>
            <w:vMerge w:val="continue"/>
            <w:tcBorders>
              <w:bottom w:val="single" w:color="auto" w:sz="4" w:space="0"/>
            </w:tcBorders>
            <w:noWrap w:val="0"/>
            <w:vAlign w:val="center"/>
          </w:tcPr>
          <w:p>
            <w:pPr>
              <w:snapToGrid w:val="0"/>
              <w:ind w:left="-170" w:right="-170"/>
              <w:jc w:val="center"/>
              <w:rPr>
                <w:rFonts w:ascii="宋体" w:hAnsi="宋体" w:cs="宋体"/>
                <w:sz w:val="22"/>
              </w:rPr>
            </w:pPr>
          </w:p>
        </w:tc>
        <w:tc>
          <w:tcPr>
            <w:tcW w:w="1553" w:type="dxa"/>
            <w:gridSpan w:val="2"/>
            <w:tcBorders>
              <w:bottom w:val="single" w:color="auto" w:sz="4" w:space="0"/>
            </w:tcBorders>
            <w:noWrap w:val="0"/>
            <w:vAlign w:val="center"/>
          </w:tcPr>
          <w:p>
            <w:pPr>
              <w:snapToGrid w:val="0"/>
              <w:ind w:left="-170" w:right="-170"/>
              <w:jc w:val="center"/>
              <w:rPr>
                <w:rFonts w:ascii="宋体" w:hAnsi="宋体" w:cs="宋体"/>
                <w:sz w:val="22"/>
              </w:rPr>
            </w:pPr>
          </w:p>
        </w:tc>
        <w:tc>
          <w:tcPr>
            <w:tcW w:w="6090" w:type="dxa"/>
            <w:gridSpan w:val="8"/>
            <w:tcBorders>
              <w:bottom w:val="single" w:color="auto" w:sz="4" w:space="0"/>
            </w:tcBorders>
            <w:noWrap w:val="0"/>
            <w:vAlign w:val="center"/>
          </w:tcPr>
          <w:p>
            <w:pPr>
              <w:snapToGrid w:val="0"/>
              <w:ind w:left="-170" w:right="-170"/>
              <w:jc w:val="center"/>
              <w:rPr>
                <w:rFonts w:ascii="宋体" w:hAnsi="宋体" w:cs="宋体"/>
                <w:sz w:val="22"/>
              </w:rPr>
            </w:pPr>
          </w:p>
        </w:tc>
      </w:tr>
    </w:tbl>
    <w:p>
      <w:pPr>
        <w:overflowPunct w:val="0"/>
        <w:autoSpaceDE w:val="0"/>
        <w:autoSpaceDN w:val="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spacing w:line="360" w:lineRule="auto"/>
        <w:rPr>
          <w:rFonts w:ascii="宋体" w:hAnsi="宋体" w:cs="Calibri"/>
          <w:sz w:val="22"/>
        </w:rPr>
      </w:pPr>
    </w:p>
    <w:p>
      <w:pPr>
        <w:spacing w:line="360" w:lineRule="auto"/>
        <w:rPr>
          <w:rFonts w:ascii="宋体" w:hAnsi="宋体" w:cs="Calibri"/>
          <w:sz w:val="22"/>
        </w:rPr>
      </w:pPr>
    </w:p>
    <w:p>
      <w:pPr>
        <w:spacing w:line="360" w:lineRule="auto"/>
        <w:rPr>
          <w:rFonts w:ascii="宋体" w:hAnsi="宋体" w:cs="Calibri"/>
          <w:sz w:val="22"/>
        </w:rPr>
      </w:pPr>
    </w:p>
    <w:p>
      <w:pPr>
        <w:spacing w:line="360" w:lineRule="auto"/>
        <w:rPr>
          <w:rFonts w:ascii="宋体" w:hAnsi="宋体" w:cs="Calibri"/>
          <w:sz w:val="22"/>
        </w:rPr>
      </w:pPr>
    </w:p>
    <w:p>
      <w:pPr>
        <w:spacing w:line="360" w:lineRule="auto"/>
        <w:rPr>
          <w:rFonts w:ascii="宋体" w:hAnsi="宋体" w:cs="Calibri"/>
          <w:sz w:val="22"/>
        </w:rPr>
      </w:pPr>
    </w:p>
    <w:p>
      <w:pPr>
        <w:spacing w:line="360" w:lineRule="auto"/>
        <w:rPr>
          <w:rFonts w:ascii="宋体" w:hAnsi="宋体" w:cs="Calibri"/>
          <w:sz w:val="22"/>
        </w:rPr>
      </w:pPr>
    </w:p>
    <w:p>
      <w:pPr>
        <w:spacing w:line="360" w:lineRule="auto"/>
        <w:rPr>
          <w:rFonts w:cs="Calibri"/>
          <w:b/>
          <w:sz w:val="36"/>
          <w:szCs w:val="36"/>
        </w:rPr>
      </w:pPr>
    </w:p>
    <w:p>
      <w:pPr>
        <w:spacing w:line="360" w:lineRule="auto"/>
        <w:jc w:val="center"/>
        <w:rPr>
          <w:rFonts w:cs="Calibri"/>
          <w:b/>
          <w:sz w:val="36"/>
          <w:szCs w:val="36"/>
        </w:rPr>
      </w:pPr>
    </w:p>
    <w:p>
      <w:pPr>
        <w:widowControl/>
        <w:jc w:val="left"/>
        <w:rPr>
          <w:rFonts w:cs="Calibri"/>
          <w:b/>
          <w:sz w:val="36"/>
          <w:szCs w:val="36"/>
        </w:rPr>
      </w:pPr>
    </w:p>
    <w:p>
      <w:pPr>
        <w:spacing w:line="360" w:lineRule="auto"/>
        <w:jc w:val="center"/>
        <w:rPr>
          <w:rFonts w:cs="Calibri"/>
          <w:szCs w:val="21"/>
        </w:rPr>
      </w:pPr>
      <w:r>
        <w:rPr>
          <w:rFonts w:hint="eastAsia" w:ascii="宋体" w:hAnsi="宋体" w:cs="宋体"/>
          <w:b/>
          <w:sz w:val="32"/>
          <w:szCs w:val="32"/>
        </w:rPr>
        <w:t>（二）具有独立法人资格，持有有效营业执照，注册资本500万元（含）以上 (提供营业执照复印件，原件备查)</w:t>
      </w:r>
    </w:p>
    <w:p>
      <w:pPr>
        <w:spacing w:line="360" w:lineRule="auto"/>
        <w:jc w:val="center"/>
        <w:rPr>
          <w:rFonts w:ascii="宋体" w:hAnsi="宋体" w:cs="宋体"/>
          <w:b/>
          <w:sz w:val="32"/>
          <w:szCs w:val="32"/>
        </w:rPr>
      </w:pPr>
      <w:r>
        <w:rPr>
          <w:rFonts w:eastAsia="黑体" w:cs="Calibri"/>
          <w:sz w:val="32"/>
          <w:szCs w:val="32"/>
        </w:rPr>
        <w:br w:type="page"/>
      </w:r>
      <w:r>
        <w:rPr>
          <w:rFonts w:hint="eastAsia" w:ascii="宋体" w:hAnsi="宋体" w:cs="宋体"/>
          <w:b/>
          <w:sz w:val="32"/>
          <w:szCs w:val="32"/>
        </w:rPr>
        <w:t>（三）依据最高人民法院等九部门《关于在招标投标活动中对失信被执行人实施联合惩戒的通知》，投标人不得为失信被执行人。（通过信用中国网站www.creditchina.gov.cn 查询，查询结果以网站页面显示内容为准，投标时需提供查询结果并加盖投标人公章作为证明材料）。若在中标公示期间发现中标候选人在投标截止日前为失信被执行人的，招标人将依法取消其中标资格。</w:t>
      </w:r>
    </w:p>
    <w:p>
      <w:pPr>
        <w:spacing w:line="440" w:lineRule="exact"/>
        <w:jc w:val="center"/>
        <w:rPr>
          <w:rFonts w:ascii="宋体" w:hAnsi="宋体" w:cs="宋体"/>
          <w:b/>
          <w:sz w:val="32"/>
          <w:szCs w:val="32"/>
        </w:rPr>
      </w:pPr>
      <w:r>
        <w:rPr>
          <w:rFonts w:eastAsia="黑体" w:cs="Calibri"/>
          <w:sz w:val="32"/>
          <w:szCs w:val="32"/>
        </w:rPr>
        <w:br w:type="page"/>
      </w:r>
      <w:r>
        <w:rPr>
          <w:rFonts w:hint="eastAsia" w:ascii="宋体" w:hAnsi="宋体" w:cs="宋体"/>
          <w:b/>
          <w:sz w:val="32"/>
          <w:szCs w:val="32"/>
        </w:rPr>
        <w:t>（四）近三年（2016年1月1日起至投标截止日止）无行贿犯罪记录(通过中国裁判文书网http://wenshu.court.gov.cn查询，查询结果以网站页面显示内容为准，投标时需提供查询结果并加盖投标人公章作为证明材料)。若在中标公示期间发现中标候选人在投标截止日前存在行贿犯罪记录的，招标人将依法取消其中标资格。</w:t>
      </w:r>
    </w:p>
    <w:p>
      <w:pPr>
        <w:spacing w:line="440" w:lineRule="exact"/>
        <w:jc w:val="center"/>
        <w:rPr>
          <w:rFonts w:ascii="宋体" w:hAnsi="宋体" w:cs="宋体"/>
          <w:b/>
          <w:sz w:val="32"/>
          <w:szCs w:val="32"/>
        </w:rPr>
      </w:pPr>
    </w:p>
    <w:p>
      <w:pPr>
        <w:spacing w:line="440" w:lineRule="exact"/>
        <w:jc w:val="center"/>
        <w:rPr>
          <w:rFonts w:ascii="宋体" w:hAnsi="宋体" w:cs="宋体"/>
          <w:b/>
          <w:sz w:val="32"/>
          <w:szCs w:val="32"/>
        </w:rPr>
      </w:pPr>
    </w:p>
    <w:p>
      <w:pPr>
        <w:spacing w:line="440" w:lineRule="exact"/>
        <w:jc w:val="center"/>
        <w:rPr>
          <w:rFonts w:ascii="宋体" w:hAnsi="宋体" w:cs="宋体"/>
          <w:b/>
          <w:sz w:val="32"/>
          <w:szCs w:val="32"/>
        </w:rPr>
      </w:pPr>
    </w:p>
    <w:p>
      <w:pPr>
        <w:spacing w:line="440" w:lineRule="exact"/>
        <w:jc w:val="center"/>
        <w:rPr>
          <w:rFonts w:ascii="宋体" w:hAnsi="宋体" w:cs="宋体"/>
          <w:b/>
          <w:sz w:val="32"/>
          <w:szCs w:val="32"/>
        </w:rPr>
      </w:pPr>
    </w:p>
    <w:p>
      <w:pPr>
        <w:spacing w:line="440" w:lineRule="exact"/>
        <w:jc w:val="center"/>
        <w:rPr>
          <w:rFonts w:ascii="宋体" w:hAnsi="宋体" w:cs="宋体"/>
          <w:b/>
          <w:sz w:val="32"/>
          <w:szCs w:val="32"/>
        </w:rPr>
      </w:pPr>
    </w:p>
    <w:p>
      <w:pPr>
        <w:spacing w:line="440" w:lineRule="exact"/>
        <w:jc w:val="center"/>
        <w:rPr>
          <w:rFonts w:ascii="宋体" w:hAnsi="宋体" w:cs="宋体"/>
          <w:b/>
          <w:sz w:val="32"/>
          <w:szCs w:val="32"/>
        </w:rPr>
      </w:pPr>
    </w:p>
    <w:p>
      <w:pPr>
        <w:spacing w:line="440" w:lineRule="exact"/>
        <w:jc w:val="center"/>
        <w:rPr>
          <w:rFonts w:ascii="宋体" w:hAnsi="宋体" w:cs="宋体"/>
          <w:b/>
          <w:sz w:val="32"/>
          <w:szCs w:val="32"/>
        </w:rPr>
      </w:pPr>
    </w:p>
    <w:p>
      <w:pPr>
        <w:spacing w:line="440" w:lineRule="exact"/>
        <w:jc w:val="center"/>
        <w:rPr>
          <w:rFonts w:ascii="宋体" w:hAnsi="宋体" w:cs="宋体"/>
          <w:b/>
          <w:sz w:val="32"/>
          <w:szCs w:val="32"/>
        </w:rPr>
      </w:pPr>
    </w:p>
    <w:p>
      <w:pPr>
        <w:spacing w:line="440" w:lineRule="exact"/>
        <w:jc w:val="center"/>
        <w:rPr>
          <w:rFonts w:ascii="宋体" w:hAnsi="宋体" w:cs="宋体"/>
          <w:b/>
          <w:sz w:val="32"/>
          <w:szCs w:val="32"/>
        </w:rPr>
      </w:pPr>
    </w:p>
    <w:p>
      <w:pPr>
        <w:spacing w:line="440" w:lineRule="exact"/>
        <w:jc w:val="center"/>
        <w:rPr>
          <w:rFonts w:ascii="宋体" w:hAnsi="宋体" w:cs="宋体"/>
          <w:b/>
          <w:sz w:val="32"/>
          <w:szCs w:val="32"/>
        </w:rPr>
      </w:pPr>
    </w:p>
    <w:p>
      <w:pPr>
        <w:spacing w:line="440" w:lineRule="exact"/>
        <w:jc w:val="center"/>
        <w:rPr>
          <w:rFonts w:ascii="宋体" w:hAnsi="宋体" w:cs="宋体"/>
          <w:b/>
          <w:sz w:val="32"/>
          <w:szCs w:val="32"/>
        </w:rPr>
      </w:pPr>
    </w:p>
    <w:p>
      <w:pPr>
        <w:spacing w:line="440" w:lineRule="exact"/>
        <w:jc w:val="center"/>
        <w:rPr>
          <w:rFonts w:ascii="宋体" w:hAnsi="宋体" w:cs="宋体"/>
          <w:b/>
          <w:sz w:val="32"/>
          <w:szCs w:val="32"/>
        </w:rPr>
      </w:pPr>
    </w:p>
    <w:p>
      <w:pPr>
        <w:spacing w:line="440" w:lineRule="exact"/>
        <w:jc w:val="center"/>
        <w:rPr>
          <w:rFonts w:ascii="宋体" w:hAnsi="宋体" w:cs="宋体"/>
          <w:b/>
          <w:sz w:val="32"/>
          <w:szCs w:val="32"/>
        </w:rPr>
      </w:pPr>
    </w:p>
    <w:p>
      <w:pPr>
        <w:spacing w:line="440" w:lineRule="exact"/>
        <w:jc w:val="center"/>
        <w:rPr>
          <w:rFonts w:ascii="宋体" w:hAnsi="宋体" w:cs="宋体"/>
          <w:b/>
          <w:sz w:val="32"/>
          <w:szCs w:val="32"/>
        </w:rPr>
      </w:pPr>
    </w:p>
    <w:p>
      <w:pPr>
        <w:spacing w:line="440" w:lineRule="exact"/>
        <w:jc w:val="center"/>
        <w:rPr>
          <w:rFonts w:ascii="宋体" w:hAnsi="宋体" w:cs="宋体"/>
          <w:b/>
          <w:sz w:val="32"/>
          <w:szCs w:val="32"/>
        </w:rPr>
      </w:pPr>
    </w:p>
    <w:p>
      <w:pPr>
        <w:spacing w:line="440" w:lineRule="exact"/>
        <w:jc w:val="center"/>
        <w:rPr>
          <w:rFonts w:ascii="宋体" w:hAnsi="宋体" w:cs="宋体"/>
          <w:b/>
          <w:sz w:val="32"/>
          <w:szCs w:val="32"/>
        </w:rPr>
      </w:pPr>
    </w:p>
    <w:p>
      <w:pPr>
        <w:spacing w:line="440" w:lineRule="exact"/>
        <w:jc w:val="center"/>
        <w:rPr>
          <w:rFonts w:ascii="宋体" w:hAnsi="宋体" w:cs="宋体"/>
          <w:b/>
          <w:sz w:val="32"/>
          <w:szCs w:val="32"/>
        </w:rPr>
      </w:pPr>
    </w:p>
    <w:p>
      <w:pPr>
        <w:spacing w:line="440" w:lineRule="exact"/>
        <w:jc w:val="center"/>
        <w:rPr>
          <w:rFonts w:ascii="宋体" w:hAnsi="宋体" w:cs="宋体"/>
          <w:b/>
          <w:sz w:val="32"/>
          <w:szCs w:val="32"/>
        </w:rPr>
      </w:pPr>
    </w:p>
    <w:p>
      <w:pPr>
        <w:spacing w:line="440" w:lineRule="exact"/>
        <w:jc w:val="center"/>
        <w:rPr>
          <w:rFonts w:ascii="宋体" w:hAnsi="宋体" w:cs="宋体"/>
          <w:b/>
          <w:sz w:val="32"/>
          <w:szCs w:val="32"/>
        </w:rPr>
      </w:pPr>
    </w:p>
    <w:p>
      <w:pPr>
        <w:spacing w:line="440" w:lineRule="exact"/>
        <w:jc w:val="center"/>
        <w:rPr>
          <w:rFonts w:ascii="宋体" w:hAnsi="宋体" w:cs="宋体"/>
          <w:b/>
          <w:sz w:val="32"/>
          <w:szCs w:val="32"/>
        </w:rPr>
      </w:pPr>
    </w:p>
    <w:p>
      <w:pPr>
        <w:spacing w:line="440" w:lineRule="exact"/>
        <w:jc w:val="center"/>
        <w:rPr>
          <w:rFonts w:ascii="宋体" w:hAnsi="宋体" w:cs="宋体"/>
          <w:b/>
          <w:sz w:val="32"/>
          <w:szCs w:val="32"/>
        </w:rPr>
      </w:pPr>
    </w:p>
    <w:p>
      <w:pPr>
        <w:spacing w:line="440" w:lineRule="exact"/>
        <w:jc w:val="center"/>
        <w:rPr>
          <w:rFonts w:ascii="宋体" w:hAnsi="宋体" w:cs="宋体"/>
          <w:b/>
          <w:sz w:val="32"/>
          <w:szCs w:val="32"/>
        </w:rPr>
      </w:pPr>
    </w:p>
    <w:p>
      <w:pPr>
        <w:spacing w:line="440" w:lineRule="exact"/>
        <w:jc w:val="center"/>
        <w:rPr>
          <w:rFonts w:ascii="宋体" w:hAnsi="宋体" w:cs="宋体"/>
          <w:b/>
          <w:sz w:val="32"/>
          <w:szCs w:val="32"/>
        </w:rPr>
      </w:pPr>
    </w:p>
    <w:p>
      <w:pPr>
        <w:spacing w:line="440" w:lineRule="exact"/>
        <w:jc w:val="center"/>
        <w:rPr>
          <w:rFonts w:ascii="宋体" w:hAnsi="宋体" w:cs="宋体"/>
          <w:b/>
          <w:sz w:val="32"/>
          <w:szCs w:val="32"/>
        </w:rPr>
      </w:pPr>
    </w:p>
    <w:p>
      <w:pPr>
        <w:spacing w:line="440" w:lineRule="exact"/>
        <w:jc w:val="center"/>
        <w:rPr>
          <w:rFonts w:ascii="宋体" w:hAnsi="宋体" w:cs="宋体"/>
          <w:b/>
          <w:sz w:val="32"/>
          <w:szCs w:val="32"/>
        </w:rPr>
      </w:pPr>
    </w:p>
    <w:p>
      <w:pPr>
        <w:spacing w:line="440" w:lineRule="exact"/>
        <w:jc w:val="center"/>
        <w:rPr>
          <w:rFonts w:ascii="宋体" w:hAnsi="宋体" w:cs="宋体"/>
          <w:b/>
          <w:sz w:val="32"/>
          <w:szCs w:val="32"/>
        </w:rPr>
      </w:pPr>
    </w:p>
    <w:p>
      <w:pPr>
        <w:spacing w:line="440" w:lineRule="exact"/>
        <w:jc w:val="center"/>
        <w:rPr>
          <w:rFonts w:ascii="宋体" w:hAnsi="宋体" w:cs="宋体"/>
          <w:b/>
          <w:sz w:val="32"/>
          <w:szCs w:val="32"/>
        </w:rPr>
      </w:pPr>
    </w:p>
    <w:p>
      <w:pPr>
        <w:spacing w:line="440" w:lineRule="exact"/>
        <w:jc w:val="center"/>
        <w:rPr>
          <w:rFonts w:cs="Calibri"/>
          <w:b/>
          <w:sz w:val="36"/>
          <w:szCs w:val="36"/>
        </w:rPr>
      </w:pPr>
      <w:r>
        <w:rPr>
          <w:rFonts w:hint="eastAsia" w:cs="Calibri"/>
          <w:b/>
          <w:sz w:val="36"/>
          <w:szCs w:val="36"/>
        </w:rPr>
        <w:t>（五）投标人具有一般纳税人资格，可提供增值税专用发票（需提供税务机关出具的一般纳税人资格认定相关证明材料复印件并加盖投标人公章作为证明材料，原件备查）。</w:t>
      </w:r>
    </w:p>
    <w:p>
      <w:pPr>
        <w:spacing w:line="440" w:lineRule="exact"/>
        <w:jc w:val="center"/>
        <w:rPr>
          <w:rFonts w:cs="Calibri"/>
          <w:b/>
          <w:sz w:val="36"/>
          <w:szCs w:val="36"/>
        </w:rPr>
      </w:pPr>
    </w:p>
    <w:p>
      <w:pPr>
        <w:spacing w:line="440" w:lineRule="exact"/>
        <w:jc w:val="center"/>
        <w:rPr>
          <w:rFonts w:cs="Calibri"/>
          <w:b/>
          <w:sz w:val="36"/>
          <w:szCs w:val="36"/>
        </w:rPr>
      </w:pPr>
    </w:p>
    <w:p>
      <w:pPr>
        <w:spacing w:line="440" w:lineRule="exact"/>
        <w:jc w:val="center"/>
        <w:rPr>
          <w:rFonts w:cs="Calibri"/>
          <w:b/>
          <w:sz w:val="36"/>
          <w:szCs w:val="36"/>
        </w:rPr>
      </w:pPr>
    </w:p>
    <w:p>
      <w:pPr>
        <w:spacing w:line="440" w:lineRule="exact"/>
        <w:jc w:val="center"/>
        <w:rPr>
          <w:rFonts w:cs="Calibri"/>
          <w:b/>
          <w:sz w:val="36"/>
          <w:szCs w:val="36"/>
        </w:rPr>
      </w:pPr>
    </w:p>
    <w:p>
      <w:pPr>
        <w:spacing w:line="440" w:lineRule="exact"/>
        <w:jc w:val="center"/>
        <w:rPr>
          <w:rFonts w:cs="Calibri"/>
          <w:b/>
          <w:sz w:val="36"/>
          <w:szCs w:val="36"/>
        </w:rPr>
      </w:pPr>
    </w:p>
    <w:p>
      <w:pPr>
        <w:spacing w:line="440" w:lineRule="exact"/>
        <w:jc w:val="center"/>
        <w:rPr>
          <w:rFonts w:cs="Calibri"/>
          <w:b/>
          <w:sz w:val="36"/>
          <w:szCs w:val="36"/>
        </w:rPr>
      </w:pPr>
    </w:p>
    <w:p>
      <w:pPr>
        <w:spacing w:line="440" w:lineRule="exact"/>
        <w:jc w:val="center"/>
        <w:rPr>
          <w:rFonts w:cs="Calibri"/>
          <w:b/>
          <w:sz w:val="36"/>
          <w:szCs w:val="36"/>
        </w:rPr>
      </w:pPr>
    </w:p>
    <w:p>
      <w:pPr>
        <w:spacing w:line="440" w:lineRule="exact"/>
        <w:jc w:val="center"/>
        <w:rPr>
          <w:rFonts w:cs="Calibri"/>
          <w:b/>
          <w:sz w:val="36"/>
          <w:szCs w:val="36"/>
        </w:rPr>
      </w:pPr>
    </w:p>
    <w:p>
      <w:pPr>
        <w:spacing w:line="440" w:lineRule="exact"/>
        <w:jc w:val="center"/>
        <w:rPr>
          <w:rFonts w:cs="Calibri"/>
          <w:b/>
          <w:sz w:val="36"/>
          <w:szCs w:val="36"/>
        </w:rPr>
      </w:pPr>
    </w:p>
    <w:p>
      <w:pPr>
        <w:spacing w:line="440" w:lineRule="exact"/>
        <w:jc w:val="center"/>
        <w:rPr>
          <w:rFonts w:cs="Calibri"/>
          <w:b/>
          <w:sz w:val="36"/>
          <w:szCs w:val="36"/>
        </w:rPr>
      </w:pPr>
    </w:p>
    <w:p>
      <w:pPr>
        <w:spacing w:line="440" w:lineRule="exact"/>
        <w:jc w:val="center"/>
        <w:rPr>
          <w:rFonts w:cs="Calibri"/>
          <w:b/>
          <w:sz w:val="36"/>
          <w:szCs w:val="36"/>
        </w:rPr>
      </w:pPr>
    </w:p>
    <w:p>
      <w:pPr>
        <w:spacing w:line="440" w:lineRule="exact"/>
        <w:jc w:val="center"/>
        <w:rPr>
          <w:rFonts w:cs="Calibri"/>
          <w:b/>
          <w:sz w:val="36"/>
          <w:szCs w:val="36"/>
        </w:rPr>
      </w:pPr>
    </w:p>
    <w:p>
      <w:pPr>
        <w:spacing w:line="440" w:lineRule="exact"/>
        <w:jc w:val="center"/>
        <w:rPr>
          <w:rFonts w:cs="Calibri"/>
          <w:b/>
          <w:sz w:val="36"/>
          <w:szCs w:val="36"/>
        </w:rPr>
      </w:pPr>
    </w:p>
    <w:p>
      <w:pPr>
        <w:spacing w:line="440" w:lineRule="exact"/>
        <w:jc w:val="center"/>
        <w:rPr>
          <w:rFonts w:cs="Calibri"/>
          <w:b/>
          <w:sz w:val="36"/>
          <w:szCs w:val="36"/>
        </w:rPr>
      </w:pPr>
    </w:p>
    <w:p>
      <w:pPr>
        <w:spacing w:line="440" w:lineRule="exact"/>
        <w:jc w:val="center"/>
        <w:rPr>
          <w:rFonts w:cs="Calibri"/>
          <w:b/>
          <w:sz w:val="36"/>
          <w:szCs w:val="36"/>
        </w:rPr>
      </w:pPr>
    </w:p>
    <w:p>
      <w:pPr>
        <w:spacing w:line="440" w:lineRule="exact"/>
        <w:jc w:val="center"/>
        <w:rPr>
          <w:rFonts w:cs="Calibri"/>
          <w:b/>
          <w:sz w:val="36"/>
          <w:szCs w:val="36"/>
        </w:rPr>
      </w:pPr>
    </w:p>
    <w:p>
      <w:pPr>
        <w:spacing w:line="440" w:lineRule="exact"/>
        <w:jc w:val="center"/>
        <w:rPr>
          <w:rFonts w:cs="Calibri"/>
          <w:b/>
          <w:sz w:val="36"/>
          <w:szCs w:val="36"/>
        </w:rPr>
      </w:pPr>
    </w:p>
    <w:p>
      <w:pPr>
        <w:spacing w:line="440" w:lineRule="exact"/>
        <w:jc w:val="center"/>
        <w:rPr>
          <w:rFonts w:cs="Calibri"/>
          <w:b/>
          <w:sz w:val="36"/>
          <w:szCs w:val="36"/>
        </w:rPr>
      </w:pPr>
    </w:p>
    <w:p>
      <w:pPr>
        <w:spacing w:line="440" w:lineRule="exact"/>
        <w:jc w:val="center"/>
        <w:rPr>
          <w:rFonts w:cs="Calibri"/>
          <w:b/>
          <w:sz w:val="36"/>
          <w:szCs w:val="36"/>
        </w:rPr>
      </w:pPr>
    </w:p>
    <w:p>
      <w:pPr>
        <w:spacing w:line="440" w:lineRule="exact"/>
        <w:jc w:val="center"/>
        <w:rPr>
          <w:rFonts w:cs="Calibri"/>
          <w:b/>
          <w:sz w:val="36"/>
          <w:szCs w:val="36"/>
        </w:rPr>
      </w:pPr>
    </w:p>
    <w:p>
      <w:pPr>
        <w:spacing w:line="440" w:lineRule="exact"/>
        <w:jc w:val="center"/>
        <w:rPr>
          <w:rFonts w:cs="Calibri"/>
          <w:b/>
          <w:sz w:val="36"/>
          <w:szCs w:val="36"/>
        </w:rPr>
      </w:pPr>
    </w:p>
    <w:p>
      <w:pPr>
        <w:spacing w:line="440" w:lineRule="exact"/>
        <w:jc w:val="center"/>
        <w:rPr>
          <w:rFonts w:cs="Calibri"/>
          <w:b/>
          <w:sz w:val="36"/>
          <w:szCs w:val="36"/>
        </w:rPr>
      </w:pPr>
    </w:p>
    <w:p>
      <w:pPr>
        <w:spacing w:line="440" w:lineRule="exact"/>
        <w:jc w:val="center"/>
        <w:rPr>
          <w:rFonts w:cs="Calibri"/>
          <w:b/>
          <w:sz w:val="36"/>
          <w:szCs w:val="36"/>
        </w:rPr>
      </w:pPr>
    </w:p>
    <w:p>
      <w:pPr>
        <w:spacing w:line="440" w:lineRule="exact"/>
        <w:jc w:val="center"/>
        <w:rPr>
          <w:rFonts w:cs="Calibri"/>
          <w:b/>
          <w:sz w:val="36"/>
          <w:szCs w:val="36"/>
        </w:rPr>
      </w:pPr>
    </w:p>
    <w:p>
      <w:pPr>
        <w:spacing w:line="440" w:lineRule="exact"/>
        <w:jc w:val="center"/>
        <w:rPr>
          <w:rFonts w:cs="Calibri"/>
          <w:b/>
          <w:sz w:val="36"/>
          <w:szCs w:val="36"/>
        </w:rPr>
      </w:pPr>
    </w:p>
    <w:p>
      <w:pPr>
        <w:spacing w:line="440" w:lineRule="exact"/>
        <w:jc w:val="center"/>
        <w:rPr>
          <w:rFonts w:cs="Calibri"/>
          <w:b/>
          <w:sz w:val="36"/>
          <w:szCs w:val="36"/>
        </w:rPr>
      </w:pPr>
    </w:p>
    <w:p>
      <w:pPr>
        <w:spacing w:line="440" w:lineRule="exact"/>
        <w:jc w:val="center"/>
        <w:rPr>
          <w:rFonts w:cs="Calibri"/>
          <w:b/>
          <w:sz w:val="36"/>
          <w:szCs w:val="36"/>
        </w:rPr>
      </w:pPr>
    </w:p>
    <w:p>
      <w:pPr>
        <w:spacing w:line="440" w:lineRule="exact"/>
        <w:jc w:val="center"/>
        <w:rPr>
          <w:rFonts w:cs="Calibri"/>
          <w:b/>
          <w:sz w:val="36"/>
          <w:szCs w:val="36"/>
        </w:rPr>
      </w:pPr>
    </w:p>
    <w:p>
      <w:pPr>
        <w:spacing w:line="440" w:lineRule="exact"/>
        <w:jc w:val="center"/>
        <w:rPr>
          <w:rFonts w:cs="Calibri"/>
          <w:b/>
          <w:sz w:val="36"/>
          <w:szCs w:val="36"/>
        </w:rPr>
      </w:pPr>
    </w:p>
    <w:p>
      <w:pPr>
        <w:spacing w:line="360" w:lineRule="auto"/>
        <w:jc w:val="center"/>
        <w:rPr>
          <w:rFonts w:cs="Calibri"/>
          <w:b/>
          <w:sz w:val="36"/>
          <w:szCs w:val="36"/>
        </w:rPr>
      </w:pPr>
      <w:r>
        <w:rPr>
          <w:rFonts w:hint="eastAsia" w:cs="Calibri"/>
          <w:b/>
          <w:sz w:val="36"/>
          <w:szCs w:val="36"/>
        </w:rPr>
        <w:t>（六）投标人所投的自助登机门系统产品，具有自2016年1月1日起至投标截止日期前在机场使用案例。投标时需提供系统案例证明（中标书或合同或验收材料的复印件，原件备查）。</w:t>
      </w:r>
    </w:p>
    <w:p>
      <w:pPr>
        <w:spacing w:line="440" w:lineRule="exact"/>
        <w:jc w:val="center"/>
        <w:rPr>
          <w:rFonts w:eastAsia="黑体" w:cs="Calibri"/>
          <w:sz w:val="32"/>
          <w:szCs w:val="32"/>
        </w:rPr>
      </w:pPr>
    </w:p>
    <w:p>
      <w:pPr>
        <w:spacing w:line="360" w:lineRule="auto"/>
        <w:jc w:val="left"/>
        <w:rPr>
          <w:rFonts w:cs="Calibri"/>
          <w:szCs w:val="21"/>
        </w:rPr>
      </w:pPr>
    </w:p>
    <w:p>
      <w:pPr>
        <w:spacing w:line="360" w:lineRule="auto"/>
        <w:jc w:val="left"/>
        <w:rPr>
          <w:rFonts w:cs="Calibri"/>
          <w:szCs w:val="21"/>
        </w:rPr>
      </w:pPr>
    </w:p>
    <w:p>
      <w:pPr>
        <w:spacing w:line="360" w:lineRule="auto"/>
        <w:jc w:val="center"/>
        <w:rPr>
          <w:rFonts w:cs="Calibri"/>
          <w:b/>
          <w:sz w:val="36"/>
          <w:szCs w:val="36"/>
        </w:rPr>
      </w:pPr>
      <w:r>
        <w:rPr>
          <w:rFonts w:cs="Calibri"/>
          <w:szCs w:val="21"/>
        </w:rPr>
        <w:br w:type="page"/>
      </w:r>
      <w:r>
        <w:rPr>
          <w:rFonts w:ascii="宋体" w:hAnsi="宋体"/>
          <w:szCs w:val="21"/>
        </w:rPr>
        <w:t xml:space="preserve"> </w:t>
      </w:r>
      <w:r>
        <w:rPr>
          <w:rFonts w:hint="eastAsia" w:cs="Calibri"/>
          <w:b/>
          <w:sz w:val="36"/>
          <w:szCs w:val="36"/>
        </w:rPr>
        <w:t>（七）若投标人代理自助登机门系统，则需提供自助登机门系统硬件产品的原厂商授权书，投标人代理不能超过一家（包括原厂商）。</w:t>
      </w: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jc w:val="center"/>
        <w:rPr>
          <w:rFonts w:ascii="宋体" w:hAnsi="宋体" w:cs="宋体"/>
          <w:b/>
          <w:sz w:val="32"/>
          <w:szCs w:val="32"/>
        </w:rPr>
      </w:pPr>
      <w:r>
        <w:rPr>
          <w:rFonts w:hint="eastAsia" w:ascii="宋体" w:hAnsi="宋体" w:cs="宋体"/>
          <w:b/>
          <w:sz w:val="32"/>
          <w:szCs w:val="32"/>
        </w:rPr>
        <w:t>（八）投标产品近三年（2</w:t>
      </w:r>
      <w:r>
        <w:rPr>
          <w:rFonts w:ascii="宋体" w:hAnsi="宋体" w:cs="宋体"/>
          <w:b/>
          <w:sz w:val="32"/>
          <w:szCs w:val="32"/>
        </w:rPr>
        <w:t>016</w:t>
      </w:r>
      <w:r>
        <w:rPr>
          <w:rFonts w:hint="eastAsia" w:ascii="宋体" w:hAnsi="宋体" w:cs="宋体"/>
          <w:b/>
          <w:sz w:val="32"/>
          <w:szCs w:val="32"/>
        </w:rPr>
        <w:t>年至今）的销售业绩一览表</w:t>
      </w:r>
    </w:p>
    <w:tbl>
      <w:tblPr>
        <w:tblStyle w:val="46"/>
        <w:tblW w:w="957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42"/>
        <w:gridCol w:w="1275"/>
        <w:gridCol w:w="1419"/>
        <w:gridCol w:w="1701"/>
        <w:gridCol w:w="1107"/>
        <w:gridCol w:w="1559"/>
        <w:gridCol w:w="127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ˎ̥" w:hAnsi="ˎ̥" w:cs="宋体"/>
                <w:kern w:val="0"/>
                <w:szCs w:val="21"/>
              </w:rPr>
            </w:pPr>
            <w:r>
              <w:rPr>
                <w:rFonts w:hint="eastAsia" w:ascii="ˎ̥" w:hAnsi="ˎ̥" w:cs="宋体"/>
                <w:bCs/>
                <w:kern w:val="0"/>
                <w:szCs w:val="21"/>
              </w:rPr>
              <w:t>业绩名称</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ˎ̥" w:hAnsi="ˎ̥" w:cs="宋体"/>
                <w:kern w:val="0"/>
                <w:szCs w:val="21"/>
              </w:rPr>
            </w:pPr>
            <w:r>
              <w:rPr>
                <w:rFonts w:hint="eastAsia" w:ascii="ˎ̥" w:hAnsi="ˎ̥" w:cs="宋体"/>
                <w:bCs/>
                <w:kern w:val="0"/>
                <w:szCs w:val="21"/>
              </w:rPr>
              <w:t xml:space="preserve"> 项目业主</w:t>
            </w: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ˎ̥" w:hAnsi="ˎ̥" w:cs="宋体"/>
                <w:kern w:val="0"/>
                <w:szCs w:val="21"/>
              </w:rPr>
            </w:pPr>
            <w:r>
              <w:rPr>
                <w:rFonts w:hint="eastAsia" w:ascii="ˎ̥" w:hAnsi="ˎ̥" w:cs="宋体"/>
                <w:kern w:val="0"/>
                <w:szCs w:val="21"/>
              </w:rPr>
              <w:t>货物数量</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ˎ̥" w:hAnsi="ˎ̥" w:cs="宋体"/>
                <w:kern w:val="0"/>
                <w:szCs w:val="21"/>
              </w:rPr>
            </w:pPr>
            <w:r>
              <w:rPr>
                <w:rFonts w:hint="eastAsia" w:ascii="ˎ̥" w:hAnsi="ˎ̥" w:cs="宋体"/>
                <w:bCs/>
                <w:kern w:val="0"/>
                <w:szCs w:val="21"/>
              </w:rPr>
              <w:t>合同签订日期</w:t>
            </w:r>
          </w:p>
        </w:tc>
        <w:tc>
          <w:tcPr>
            <w:tcW w:w="110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ˎ̥" w:hAnsi="ˎ̥" w:cs="宋体"/>
                <w:bCs/>
                <w:kern w:val="0"/>
                <w:szCs w:val="21"/>
              </w:rPr>
            </w:pPr>
            <w:r>
              <w:rPr>
                <w:rFonts w:hint="eastAsia" w:ascii="宋体" w:hAnsi="宋体" w:cs="宋体"/>
                <w:szCs w:val="21"/>
              </w:rPr>
              <w:t>合同价</w:t>
            </w:r>
          </w:p>
        </w:tc>
        <w:tc>
          <w:tcPr>
            <w:tcW w:w="155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ˎ̥" w:hAnsi="ˎ̥" w:cs="宋体"/>
                <w:bCs/>
                <w:kern w:val="0"/>
                <w:szCs w:val="21"/>
              </w:rPr>
            </w:pPr>
            <w:r>
              <w:rPr>
                <w:rFonts w:hint="eastAsia" w:ascii="ˎ̥" w:hAnsi="ˎ̥" w:cs="宋体"/>
                <w:bCs/>
                <w:kern w:val="0"/>
                <w:szCs w:val="21"/>
              </w:rPr>
              <w:t>建设单位联系方式</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ˎ̥" w:hAnsi="ˎ̥" w:cs="宋体"/>
                <w:bCs/>
                <w:kern w:val="0"/>
                <w:szCs w:val="21"/>
              </w:rPr>
            </w:pPr>
            <w:r>
              <w:rPr>
                <w:rFonts w:hint="eastAsia" w:ascii="ˎ̥" w:hAnsi="ˎ̥" w:cs="宋体"/>
                <w:bCs/>
                <w:kern w:val="0"/>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ˎ̥" w:hAnsi="ˎ̥"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124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ˎ̥" w:hAnsi="ˎ̥" w:cs="宋体"/>
                <w:bCs/>
                <w:kern w:val="0"/>
                <w:szCs w:val="21"/>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ˎ̥" w:hAnsi="ˎ̥" w:cs="宋体"/>
                <w:bCs/>
                <w:kern w:val="0"/>
                <w:szCs w:val="21"/>
              </w:rPr>
            </w:pPr>
          </w:p>
        </w:tc>
        <w:tc>
          <w:tcPr>
            <w:tcW w:w="14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ˎ̥" w:hAnsi="ˎ̥" w:cs="宋体"/>
                <w:bCs/>
                <w:kern w:val="0"/>
                <w:szCs w:val="21"/>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ˎ̥" w:hAnsi="ˎ̥" w:cs="宋体"/>
                <w:bCs/>
                <w:kern w:val="0"/>
                <w:szCs w:val="21"/>
              </w:rPr>
            </w:pPr>
          </w:p>
        </w:tc>
        <w:tc>
          <w:tcPr>
            <w:tcW w:w="1107"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ˎ̥" w:hAnsi="ˎ̥" w:cs="宋体"/>
                <w:bCs/>
                <w:kern w:val="0"/>
                <w:szCs w:val="21"/>
              </w:rPr>
            </w:pPr>
          </w:p>
        </w:tc>
        <w:tc>
          <w:tcPr>
            <w:tcW w:w="1559"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ˎ̥" w:hAnsi="ˎ̥" w:cs="宋体"/>
                <w:bCs/>
                <w:kern w:val="0"/>
                <w:szCs w:val="21"/>
              </w:rPr>
            </w:pPr>
          </w:p>
        </w:tc>
        <w:tc>
          <w:tcPr>
            <w:tcW w:w="1276" w:type="dxa"/>
            <w:tcBorders>
              <w:top w:val="single" w:color="000000" w:sz="4" w:space="0"/>
              <w:left w:val="single" w:color="000000" w:sz="4" w:space="0"/>
              <w:bottom w:val="single" w:color="000000" w:sz="4" w:space="0"/>
              <w:right w:val="single" w:color="000000" w:sz="4" w:space="0"/>
            </w:tcBorders>
            <w:noWrap w:val="0"/>
            <w:vAlign w:val="top"/>
          </w:tcPr>
          <w:p>
            <w:pPr>
              <w:jc w:val="center"/>
              <w:rPr>
                <w:rFonts w:ascii="ˎ̥" w:hAnsi="ˎ̥" w:cs="宋体"/>
                <w:bCs/>
                <w:kern w:val="0"/>
                <w:szCs w:val="21"/>
              </w:rPr>
            </w:pPr>
          </w:p>
        </w:tc>
      </w:tr>
    </w:tbl>
    <w:p>
      <w:pPr>
        <w:spacing w:line="360" w:lineRule="auto"/>
        <w:jc w:val="left"/>
        <w:rPr>
          <w:rFonts w:ascii="ˎ̥" w:hAnsi="ˎ̥" w:cs="宋体"/>
          <w:b/>
          <w:kern w:val="0"/>
          <w:szCs w:val="21"/>
        </w:rPr>
      </w:pPr>
      <w:r>
        <w:rPr>
          <w:rFonts w:hint="eastAsia" w:ascii="ˎ̥" w:hAnsi="ˎ̥" w:cs="宋体"/>
          <w:kern w:val="0"/>
          <w:szCs w:val="21"/>
        </w:rPr>
        <w:t>注：</w:t>
      </w:r>
      <w:r>
        <w:rPr>
          <w:rFonts w:hint="eastAsia" w:ascii="宋体" w:hAnsi="宋体" w:cs="宋体"/>
        </w:rPr>
        <w:t>本表只需填写符合“招标公告”资格条件和“评标办法”业绩评审标准的业绩。</w:t>
      </w:r>
      <w:r>
        <w:rPr>
          <w:rFonts w:hint="eastAsia" w:ascii="ˎ̥" w:hAnsi="ˎ̥" w:cs="宋体"/>
          <w:b/>
          <w:kern w:val="0"/>
          <w:szCs w:val="21"/>
        </w:rPr>
        <w:t>附业绩的销售合同。</w:t>
      </w: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rPr>
          <w:rFonts w:cs="Calibri"/>
          <w:b/>
          <w:sz w:val="36"/>
          <w:szCs w:val="36"/>
        </w:rPr>
      </w:pPr>
    </w:p>
    <w:p>
      <w:pPr>
        <w:spacing w:line="360" w:lineRule="auto"/>
        <w:jc w:val="center"/>
        <w:rPr>
          <w:rFonts w:eastAsia="黑体" w:cs="Calibri"/>
          <w:sz w:val="32"/>
          <w:szCs w:val="32"/>
        </w:rPr>
      </w:pPr>
      <w:r>
        <w:rPr>
          <w:rFonts w:hint="eastAsia" w:eastAsia="黑体" w:cs="Calibri"/>
          <w:sz w:val="32"/>
          <w:szCs w:val="32"/>
        </w:rPr>
        <w:t>(九)</w:t>
      </w:r>
      <w:r>
        <w:rPr>
          <w:rFonts w:hint="eastAsia"/>
        </w:rPr>
        <w:t xml:space="preserve"> </w:t>
      </w:r>
      <w:r>
        <w:rPr>
          <w:rFonts w:hint="eastAsia" w:eastAsia="黑体" w:cs="Calibri"/>
          <w:sz w:val="32"/>
          <w:szCs w:val="32"/>
        </w:rPr>
        <w:t>ISO9000质量体系认证证（如有）</w:t>
      </w: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r>
        <w:rPr>
          <w:rFonts w:hint="eastAsia" w:eastAsia="黑体" w:cs="Calibri"/>
          <w:sz w:val="32"/>
          <w:szCs w:val="32"/>
        </w:rPr>
        <w:t>(十)</w:t>
      </w:r>
      <w:r>
        <w:rPr>
          <w:rFonts w:hint="eastAsia"/>
        </w:rPr>
        <w:t xml:space="preserve"> </w:t>
      </w:r>
      <w:r>
        <w:rPr>
          <w:rFonts w:hint="eastAsia" w:eastAsia="黑体" w:cs="Calibri"/>
          <w:sz w:val="32"/>
          <w:szCs w:val="32"/>
        </w:rPr>
        <w:t>中航信第三方入网许可证</w:t>
      </w: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eastAsia="黑体" w:cs="Calibri"/>
          <w:sz w:val="32"/>
          <w:szCs w:val="32"/>
        </w:rPr>
      </w:pPr>
    </w:p>
    <w:p>
      <w:pPr>
        <w:spacing w:line="360" w:lineRule="auto"/>
        <w:jc w:val="center"/>
        <w:rPr>
          <w:rFonts w:cs="Calibri"/>
          <w:b/>
          <w:sz w:val="36"/>
          <w:szCs w:val="36"/>
        </w:rPr>
      </w:pPr>
      <w:r>
        <w:rPr>
          <w:rFonts w:hint="eastAsia" w:eastAsia="黑体" w:cs="Calibri"/>
          <w:sz w:val="32"/>
          <w:szCs w:val="32"/>
        </w:rPr>
        <w:t>七、服务大纲</w:t>
      </w:r>
    </w:p>
    <w:p>
      <w:pPr>
        <w:spacing w:line="360" w:lineRule="auto"/>
        <w:rPr>
          <w:rFonts w:cs="Calibri"/>
          <w:b/>
          <w:sz w:val="36"/>
          <w:szCs w:val="36"/>
        </w:rPr>
      </w:pPr>
    </w:p>
    <w:p>
      <w:pPr>
        <w:spacing w:line="360" w:lineRule="auto"/>
        <w:jc w:val="left"/>
        <w:rPr>
          <w:rFonts w:ascii="宋体" w:hAnsi="宋体"/>
          <w:szCs w:val="21"/>
        </w:rPr>
      </w:pPr>
    </w:p>
    <w:p>
      <w:pPr>
        <w:spacing w:line="360" w:lineRule="auto"/>
        <w:jc w:val="left"/>
        <w:rPr>
          <w:rFonts w:ascii="宋体" w:hAnsi="宋体"/>
          <w:szCs w:val="21"/>
        </w:rPr>
      </w:pPr>
    </w:p>
    <w:p>
      <w:pPr>
        <w:spacing w:line="360" w:lineRule="auto"/>
        <w:jc w:val="left"/>
        <w:rPr>
          <w:rFonts w:ascii="宋体" w:hAnsi="宋体"/>
          <w:szCs w:val="21"/>
        </w:rPr>
      </w:pPr>
    </w:p>
    <w:p>
      <w:pPr>
        <w:spacing w:line="360" w:lineRule="auto"/>
        <w:jc w:val="left"/>
        <w:rPr>
          <w:rFonts w:ascii="宋体" w:hAnsi="宋体"/>
          <w:szCs w:val="21"/>
        </w:rPr>
      </w:pPr>
    </w:p>
    <w:p>
      <w:pPr>
        <w:spacing w:line="360" w:lineRule="auto"/>
        <w:jc w:val="left"/>
        <w:rPr>
          <w:rFonts w:ascii="宋体" w:hAnsi="宋体"/>
          <w:szCs w:val="21"/>
        </w:rPr>
      </w:pPr>
    </w:p>
    <w:p>
      <w:pPr>
        <w:spacing w:line="360" w:lineRule="auto"/>
        <w:jc w:val="left"/>
        <w:rPr>
          <w:rFonts w:ascii="宋体" w:hAnsi="宋体"/>
          <w:szCs w:val="21"/>
        </w:rPr>
      </w:pPr>
    </w:p>
    <w:p>
      <w:pPr>
        <w:spacing w:line="360" w:lineRule="auto"/>
        <w:jc w:val="left"/>
        <w:rPr>
          <w:rFonts w:ascii="宋体" w:hAnsi="宋体"/>
          <w:szCs w:val="21"/>
        </w:rPr>
      </w:pPr>
    </w:p>
    <w:p>
      <w:pPr>
        <w:spacing w:line="360" w:lineRule="auto"/>
        <w:jc w:val="left"/>
        <w:rPr>
          <w:rFonts w:ascii="宋体" w:hAnsi="宋体"/>
          <w:szCs w:val="21"/>
        </w:rPr>
      </w:pPr>
    </w:p>
    <w:p>
      <w:pPr>
        <w:spacing w:line="360" w:lineRule="auto"/>
        <w:jc w:val="left"/>
        <w:rPr>
          <w:rFonts w:ascii="宋体" w:hAnsi="宋体"/>
          <w:szCs w:val="21"/>
        </w:rPr>
      </w:pPr>
    </w:p>
    <w:p>
      <w:pPr>
        <w:spacing w:line="360" w:lineRule="auto"/>
        <w:jc w:val="left"/>
        <w:rPr>
          <w:rFonts w:ascii="宋体" w:hAnsi="宋体"/>
          <w:szCs w:val="21"/>
        </w:rPr>
      </w:pPr>
    </w:p>
    <w:p>
      <w:pPr>
        <w:spacing w:line="360" w:lineRule="auto"/>
        <w:jc w:val="left"/>
        <w:rPr>
          <w:rFonts w:ascii="宋体" w:hAnsi="宋体"/>
          <w:szCs w:val="21"/>
        </w:rPr>
      </w:pPr>
    </w:p>
    <w:p>
      <w:pPr>
        <w:spacing w:line="360" w:lineRule="auto"/>
        <w:jc w:val="left"/>
        <w:rPr>
          <w:rFonts w:ascii="宋体" w:hAnsi="宋体"/>
          <w:szCs w:val="21"/>
        </w:rPr>
      </w:pPr>
    </w:p>
    <w:p>
      <w:pPr>
        <w:spacing w:line="360" w:lineRule="auto"/>
        <w:jc w:val="left"/>
        <w:rPr>
          <w:rFonts w:ascii="宋体" w:hAnsi="宋体"/>
          <w:szCs w:val="21"/>
        </w:rPr>
      </w:pPr>
    </w:p>
    <w:p>
      <w:pPr>
        <w:spacing w:line="360" w:lineRule="auto"/>
        <w:jc w:val="left"/>
        <w:rPr>
          <w:rFonts w:ascii="宋体" w:hAnsi="宋体"/>
          <w:szCs w:val="21"/>
        </w:rPr>
      </w:pPr>
    </w:p>
    <w:p>
      <w:pPr>
        <w:spacing w:line="360" w:lineRule="auto"/>
        <w:jc w:val="left"/>
        <w:rPr>
          <w:rFonts w:ascii="宋体" w:hAnsi="宋体"/>
          <w:szCs w:val="21"/>
        </w:rPr>
      </w:pPr>
    </w:p>
    <w:p>
      <w:pPr>
        <w:spacing w:line="360" w:lineRule="auto"/>
        <w:jc w:val="left"/>
        <w:rPr>
          <w:rFonts w:ascii="宋体" w:hAnsi="宋体"/>
          <w:szCs w:val="21"/>
        </w:rPr>
      </w:pPr>
    </w:p>
    <w:p>
      <w:pPr>
        <w:spacing w:line="360" w:lineRule="auto"/>
        <w:jc w:val="left"/>
        <w:rPr>
          <w:rFonts w:ascii="宋体" w:hAnsi="宋体"/>
          <w:szCs w:val="21"/>
        </w:rPr>
      </w:pPr>
    </w:p>
    <w:p>
      <w:pPr>
        <w:spacing w:line="360" w:lineRule="auto"/>
        <w:jc w:val="left"/>
        <w:rPr>
          <w:rFonts w:ascii="宋体" w:hAnsi="宋体"/>
          <w:szCs w:val="21"/>
        </w:rPr>
      </w:pPr>
    </w:p>
    <w:p>
      <w:pPr>
        <w:spacing w:line="440" w:lineRule="exact"/>
        <w:rPr>
          <w:rFonts w:eastAsia="黑体" w:cs="Calibri"/>
          <w:sz w:val="32"/>
          <w:szCs w:val="32"/>
        </w:rPr>
      </w:pPr>
    </w:p>
    <w:p>
      <w:pPr>
        <w:spacing w:line="440" w:lineRule="exact"/>
        <w:rPr>
          <w:rFonts w:eastAsia="黑体" w:cs="Calibri"/>
          <w:sz w:val="32"/>
          <w:szCs w:val="32"/>
        </w:rPr>
      </w:pPr>
    </w:p>
    <w:p>
      <w:pPr>
        <w:spacing w:line="440" w:lineRule="exact"/>
        <w:rPr>
          <w:rFonts w:eastAsia="黑体" w:cs="Calibri"/>
          <w:sz w:val="32"/>
          <w:szCs w:val="32"/>
        </w:rPr>
      </w:pPr>
    </w:p>
    <w:p>
      <w:pPr>
        <w:spacing w:line="440" w:lineRule="exact"/>
        <w:rPr>
          <w:rFonts w:eastAsia="黑体" w:cs="Calibri"/>
          <w:sz w:val="32"/>
          <w:szCs w:val="32"/>
        </w:rPr>
      </w:pPr>
    </w:p>
    <w:p>
      <w:pPr>
        <w:spacing w:line="440" w:lineRule="exact"/>
        <w:rPr>
          <w:rFonts w:eastAsia="黑体" w:cs="Calibri"/>
          <w:sz w:val="32"/>
          <w:szCs w:val="32"/>
        </w:rPr>
      </w:pPr>
    </w:p>
    <w:p>
      <w:pPr>
        <w:spacing w:line="440" w:lineRule="exact"/>
        <w:rPr>
          <w:rFonts w:eastAsia="黑体" w:cs="Calibri"/>
          <w:sz w:val="32"/>
          <w:szCs w:val="32"/>
        </w:rPr>
      </w:pPr>
    </w:p>
    <w:p>
      <w:pPr>
        <w:spacing w:line="440" w:lineRule="exact"/>
        <w:rPr>
          <w:rFonts w:eastAsia="黑体" w:cs="Calibri"/>
          <w:sz w:val="32"/>
          <w:szCs w:val="32"/>
        </w:rPr>
      </w:pPr>
    </w:p>
    <w:p>
      <w:pPr>
        <w:spacing w:line="440" w:lineRule="exact"/>
        <w:rPr>
          <w:rFonts w:eastAsia="黑体" w:cs="Calibri"/>
          <w:sz w:val="32"/>
          <w:szCs w:val="32"/>
        </w:rPr>
      </w:pPr>
    </w:p>
    <w:p>
      <w:pPr>
        <w:spacing w:line="440" w:lineRule="exact"/>
        <w:rPr>
          <w:rFonts w:eastAsia="黑体" w:cs="Calibri"/>
          <w:sz w:val="32"/>
          <w:szCs w:val="32"/>
        </w:rPr>
      </w:pPr>
    </w:p>
    <w:p>
      <w:pPr>
        <w:spacing w:line="440" w:lineRule="exact"/>
        <w:rPr>
          <w:rFonts w:eastAsia="黑体" w:cs="Calibri"/>
          <w:sz w:val="32"/>
          <w:szCs w:val="32"/>
        </w:rPr>
      </w:pPr>
    </w:p>
    <w:p>
      <w:pPr>
        <w:spacing w:line="440" w:lineRule="exact"/>
        <w:rPr>
          <w:rFonts w:eastAsia="黑体" w:cs="Calibri"/>
          <w:sz w:val="32"/>
          <w:szCs w:val="32"/>
        </w:rPr>
      </w:pPr>
    </w:p>
    <w:p>
      <w:pPr>
        <w:spacing w:line="440" w:lineRule="exact"/>
        <w:rPr>
          <w:rFonts w:eastAsia="黑体" w:cs="Calibri"/>
          <w:sz w:val="32"/>
          <w:szCs w:val="32"/>
        </w:rPr>
      </w:pPr>
    </w:p>
    <w:p>
      <w:pPr>
        <w:spacing w:line="440" w:lineRule="exact"/>
        <w:jc w:val="center"/>
        <w:rPr>
          <w:rFonts w:eastAsia="黑体" w:cs="Calibri"/>
          <w:sz w:val="32"/>
          <w:szCs w:val="32"/>
        </w:rPr>
      </w:pPr>
      <w:r>
        <w:rPr>
          <w:rFonts w:hint="eastAsia" w:eastAsia="黑体" w:cs="Calibri"/>
          <w:sz w:val="32"/>
          <w:szCs w:val="32"/>
        </w:rPr>
        <w:t>八、技术规格偏离表</w:t>
      </w:r>
    </w:p>
    <w:p>
      <w:pPr>
        <w:rPr>
          <w:rFonts w:ascii="宋体" w:hAnsi="宋体"/>
          <w:szCs w:val="21"/>
        </w:rPr>
      </w:pPr>
    </w:p>
    <w:tbl>
      <w:tblPr>
        <w:tblStyle w:val="46"/>
        <w:tblW w:w="9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65"/>
        <w:gridCol w:w="1260"/>
        <w:gridCol w:w="1361"/>
        <w:gridCol w:w="1236"/>
        <w:gridCol w:w="1890"/>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序号</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货物名称</w:t>
            </w:r>
          </w:p>
        </w:tc>
        <w:tc>
          <w:tcPr>
            <w:tcW w:w="126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招标文件条目号</w:t>
            </w:r>
          </w:p>
        </w:tc>
        <w:tc>
          <w:tcPr>
            <w:tcW w:w="1361"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招标规格</w:t>
            </w:r>
          </w:p>
        </w:tc>
        <w:tc>
          <w:tcPr>
            <w:tcW w:w="1236"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投标规格</w:t>
            </w:r>
          </w:p>
        </w:tc>
        <w:tc>
          <w:tcPr>
            <w:tcW w:w="189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偏离</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szCs w:val="21"/>
              </w:rPr>
            </w:pPr>
            <w:r>
              <w:rPr>
                <w:rFonts w:hint="eastAsia" w:ascii="宋体" w:hAnsi="宋体"/>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738"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rPr>
            </w:pPr>
          </w:p>
        </w:tc>
        <w:tc>
          <w:tcPr>
            <w:tcW w:w="1365"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rPr>
            </w:pPr>
          </w:p>
        </w:tc>
        <w:tc>
          <w:tcPr>
            <w:tcW w:w="126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rPr>
            </w:pPr>
          </w:p>
        </w:tc>
        <w:tc>
          <w:tcPr>
            <w:tcW w:w="1361"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rPr>
            </w:pPr>
          </w:p>
        </w:tc>
        <w:tc>
          <w:tcPr>
            <w:tcW w:w="1236"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rPr>
            </w:pPr>
          </w:p>
        </w:tc>
        <w:tc>
          <w:tcPr>
            <w:tcW w:w="189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rPr>
            </w:pPr>
          </w:p>
        </w:tc>
        <w:tc>
          <w:tcPr>
            <w:tcW w:w="1470"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szCs w:val="21"/>
              </w:rPr>
            </w:pPr>
          </w:p>
        </w:tc>
      </w:tr>
    </w:tbl>
    <w:p>
      <w:pPr>
        <w:spacing w:line="560" w:lineRule="exact"/>
        <w:rPr>
          <w:rFonts w:ascii="宋体" w:hAnsi="宋体"/>
        </w:rPr>
      </w:pPr>
      <w:r>
        <w:rPr>
          <w:rFonts w:hAnsi="宋体"/>
          <w:bCs/>
        </w:rPr>
        <w:t>注：如不填写，则视为完全响应招标文件的技术要求。</w:t>
      </w:r>
    </w:p>
    <w:p>
      <w:pPr>
        <w:jc w:val="center"/>
        <w:rPr>
          <w:rFonts w:ascii="宋体" w:hAnsi="宋体"/>
          <w:b/>
          <w:szCs w:val="21"/>
        </w:rPr>
      </w:pPr>
    </w:p>
    <w:p>
      <w:pPr>
        <w:spacing w:line="440" w:lineRule="exact"/>
        <w:jc w:val="center"/>
        <w:rPr>
          <w:rFonts w:eastAsia="黑体" w:cs="Calibri"/>
          <w:sz w:val="32"/>
          <w:szCs w:val="32"/>
        </w:rPr>
      </w:pPr>
      <w:r>
        <w:rPr>
          <w:rFonts w:hint="eastAsia" w:eastAsia="黑体" w:cs="Calibri"/>
          <w:sz w:val="32"/>
          <w:szCs w:val="32"/>
        </w:rPr>
        <w:t>九、商务条款响应偏离表</w:t>
      </w:r>
    </w:p>
    <w:tbl>
      <w:tblPr>
        <w:tblStyle w:val="46"/>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2511"/>
        <w:gridCol w:w="3139"/>
        <w:gridCol w:w="1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noWrap w:val="0"/>
            <w:vAlign w:val="center"/>
          </w:tcPr>
          <w:p>
            <w:pPr>
              <w:pStyle w:val="19"/>
              <w:adjustRightInd w:val="0"/>
              <w:snapToGrid w:val="0"/>
              <w:jc w:val="center"/>
              <w:rPr>
                <w:rFonts w:hAnsi="宋体"/>
              </w:rPr>
            </w:pPr>
            <w:r>
              <w:rPr>
                <w:rFonts w:hint="eastAsia" w:hAnsi="宋体"/>
              </w:rPr>
              <w:t>序号</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19"/>
              <w:adjustRightInd w:val="0"/>
              <w:snapToGrid w:val="0"/>
              <w:jc w:val="center"/>
              <w:rPr>
                <w:rFonts w:hAnsi="宋体"/>
              </w:rPr>
            </w:pPr>
            <w:r>
              <w:rPr>
                <w:rFonts w:hint="eastAsia" w:hAnsi="宋体"/>
              </w:rPr>
              <w:t>内容</w:t>
            </w:r>
          </w:p>
        </w:tc>
        <w:tc>
          <w:tcPr>
            <w:tcW w:w="2511" w:type="dxa"/>
            <w:tcBorders>
              <w:top w:val="single" w:color="auto" w:sz="4" w:space="0"/>
              <w:left w:val="single" w:color="auto" w:sz="4" w:space="0"/>
              <w:bottom w:val="single" w:color="auto" w:sz="4" w:space="0"/>
              <w:right w:val="single" w:color="auto" w:sz="4" w:space="0"/>
            </w:tcBorders>
            <w:noWrap w:val="0"/>
            <w:vAlign w:val="center"/>
          </w:tcPr>
          <w:p>
            <w:pPr>
              <w:pStyle w:val="19"/>
              <w:adjustRightInd w:val="0"/>
              <w:snapToGrid w:val="0"/>
              <w:jc w:val="center"/>
              <w:rPr>
                <w:rFonts w:hAnsi="宋体"/>
              </w:rPr>
            </w:pPr>
            <w:r>
              <w:rPr>
                <w:rFonts w:hint="eastAsia" w:hAnsi="宋体"/>
              </w:rPr>
              <w:t>招标文件要求</w:t>
            </w:r>
          </w:p>
        </w:tc>
        <w:tc>
          <w:tcPr>
            <w:tcW w:w="3139" w:type="dxa"/>
            <w:tcBorders>
              <w:top w:val="single" w:color="auto" w:sz="4" w:space="0"/>
              <w:left w:val="single" w:color="auto" w:sz="4" w:space="0"/>
              <w:bottom w:val="single" w:color="auto" w:sz="4" w:space="0"/>
              <w:right w:val="single" w:color="auto" w:sz="4" w:space="0"/>
            </w:tcBorders>
            <w:noWrap w:val="0"/>
            <w:vAlign w:val="center"/>
          </w:tcPr>
          <w:p>
            <w:pPr>
              <w:pStyle w:val="19"/>
              <w:adjustRightInd w:val="0"/>
              <w:snapToGrid w:val="0"/>
              <w:jc w:val="center"/>
              <w:rPr>
                <w:rFonts w:hAnsi="宋体"/>
              </w:rPr>
            </w:pPr>
            <w:r>
              <w:rPr>
                <w:rFonts w:hint="eastAsia" w:hAnsi="宋体"/>
              </w:rPr>
              <w:t>投标文件对应内容</w:t>
            </w:r>
          </w:p>
        </w:tc>
        <w:tc>
          <w:tcPr>
            <w:tcW w:w="1579" w:type="dxa"/>
            <w:tcBorders>
              <w:top w:val="single" w:color="auto" w:sz="4" w:space="0"/>
              <w:left w:val="single" w:color="auto" w:sz="4" w:space="0"/>
              <w:bottom w:val="single" w:color="auto" w:sz="4" w:space="0"/>
              <w:right w:val="single" w:color="auto" w:sz="4" w:space="0"/>
            </w:tcBorders>
            <w:noWrap w:val="0"/>
            <w:vAlign w:val="center"/>
          </w:tcPr>
          <w:p>
            <w:pPr>
              <w:pStyle w:val="19"/>
              <w:adjustRightInd w:val="0"/>
              <w:snapToGrid w:val="0"/>
              <w:jc w:val="center"/>
              <w:rPr>
                <w:rFonts w:hAnsi="宋体"/>
              </w:rPr>
            </w:pPr>
            <w:r>
              <w:rPr>
                <w:rFonts w:hint="eastAsia"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pStyle w:val="19"/>
              <w:adjustRightInd w:val="0"/>
              <w:snapToGrid w:val="0"/>
              <w:jc w:val="center"/>
              <w:rPr>
                <w:rFonts w:hAnsi="宋体"/>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19"/>
              <w:adjustRightInd w:val="0"/>
              <w:snapToGrid w:val="0"/>
              <w:jc w:val="center"/>
              <w:rPr>
                <w:rFonts w:hAnsi="宋体"/>
              </w:rPr>
            </w:pPr>
          </w:p>
        </w:tc>
        <w:tc>
          <w:tcPr>
            <w:tcW w:w="2511" w:type="dxa"/>
            <w:tcBorders>
              <w:top w:val="single" w:color="auto" w:sz="4" w:space="0"/>
              <w:left w:val="single" w:color="auto" w:sz="4" w:space="0"/>
              <w:bottom w:val="single" w:color="auto" w:sz="4" w:space="0"/>
              <w:right w:val="single" w:color="auto" w:sz="4" w:space="0"/>
            </w:tcBorders>
            <w:noWrap w:val="0"/>
            <w:vAlign w:val="center"/>
          </w:tcPr>
          <w:p>
            <w:pPr>
              <w:pStyle w:val="19"/>
              <w:adjustRightInd w:val="0"/>
              <w:snapToGrid w:val="0"/>
              <w:jc w:val="center"/>
              <w:rPr>
                <w:rFonts w:hAnsi="宋体"/>
              </w:rPr>
            </w:pPr>
          </w:p>
        </w:tc>
        <w:tc>
          <w:tcPr>
            <w:tcW w:w="3139" w:type="dxa"/>
            <w:tcBorders>
              <w:top w:val="single" w:color="auto" w:sz="4" w:space="0"/>
              <w:left w:val="single" w:color="auto" w:sz="4" w:space="0"/>
              <w:bottom w:val="single" w:color="auto" w:sz="4" w:space="0"/>
              <w:right w:val="single" w:color="auto" w:sz="4" w:space="0"/>
            </w:tcBorders>
            <w:noWrap w:val="0"/>
            <w:vAlign w:val="center"/>
          </w:tcPr>
          <w:p>
            <w:pPr>
              <w:pStyle w:val="19"/>
              <w:adjustRightInd w:val="0"/>
              <w:snapToGrid w:val="0"/>
              <w:jc w:val="center"/>
              <w:rPr>
                <w:rFonts w:hAnsi="宋体"/>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pPr>
              <w:pStyle w:val="19"/>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pStyle w:val="19"/>
              <w:adjustRightInd w:val="0"/>
              <w:snapToGrid w:val="0"/>
              <w:jc w:val="center"/>
              <w:rPr>
                <w:rFonts w:hAnsi="宋体"/>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19"/>
              <w:adjustRightInd w:val="0"/>
              <w:snapToGrid w:val="0"/>
              <w:jc w:val="center"/>
              <w:rPr>
                <w:rFonts w:hAnsi="宋体"/>
              </w:rPr>
            </w:pPr>
          </w:p>
        </w:tc>
        <w:tc>
          <w:tcPr>
            <w:tcW w:w="2511" w:type="dxa"/>
            <w:tcBorders>
              <w:top w:val="single" w:color="auto" w:sz="4" w:space="0"/>
              <w:left w:val="single" w:color="auto" w:sz="4" w:space="0"/>
              <w:bottom w:val="single" w:color="auto" w:sz="4" w:space="0"/>
              <w:right w:val="single" w:color="auto" w:sz="4" w:space="0"/>
            </w:tcBorders>
            <w:noWrap w:val="0"/>
            <w:vAlign w:val="center"/>
          </w:tcPr>
          <w:p>
            <w:pPr>
              <w:pStyle w:val="19"/>
              <w:adjustRightInd w:val="0"/>
              <w:snapToGrid w:val="0"/>
              <w:jc w:val="center"/>
              <w:rPr>
                <w:rFonts w:hAnsi="宋体"/>
              </w:rPr>
            </w:pPr>
          </w:p>
        </w:tc>
        <w:tc>
          <w:tcPr>
            <w:tcW w:w="3139" w:type="dxa"/>
            <w:tcBorders>
              <w:top w:val="single" w:color="auto" w:sz="4" w:space="0"/>
              <w:left w:val="single" w:color="auto" w:sz="4" w:space="0"/>
              <w:bottom w:val="single" w:color="auto" w:sz="4" w:space="0"/>
              <w:right w:val="single" w:color="auto" w:sz="4" w:space="0"/>
            </w:tcBorders>
            <w:noWrap w:val="0"/>
            <w:vAlign w:val="center"/>
          </w:tcPr>
          <w:p>
            <w:pPr>
              <w:pStyle w:val="19"/>
              <w:adjustRightInd w:val="0"/>
              <w:snapToGrid w:val="0"/>
              <w:jc w:val="center"/>
              <w:rPr>
                <w:rFonts w:hAnsi="宋体"/>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pPr>
              <w:pStyle w:val="19"/>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pStyle w:val="19"/>
              <w:adjustRightInd w:val="0"/>
              <w:snapToGrid w:val="0"/>
              <w:jc w:val="center"/>
              <w:rPr>
                <w:rFonts w:hAnsi="宋体"/>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19"/>
              <w:adjustRightInd w:val="0"/>
              <w:snapToGrid w:val="0"/>
              <w:jc w:val="center"/>
              <w:rPr>
                <w:rFonts w:hAnsi="宋体"/>
              </w:rPr>
            </w:pPr>
          </w:p>
        </w:tc>
        <w:tc>
          <w:tcPr>
            <w:tcW w:w="2511" w:type="dxa"/>
            <w:tcBorders>
              <w:top w:val="single" w:color="auto" w:sz="4" w:space="0"/>
              <w:left w:val="single" w:color="auto" w:sz="4" w:space="0"/>
              <w:bottom w:val="single" w:color="auto" w:sz="4" w:space="0"/>
              <w:right w:val="single" w:color="auto" w:sz="4" w:space="0"/>
            </w:tcBorders>
            <w:noWrap w:val="0"/>
            <w:vAlign w:val="center"/>
          </w:tcPr>
          <w:p>
            <w:pPr>
              <w:pStyle w:val="19"/>
              <w:adjustRightInd w:val="0"/>
              <w:snapToGrid w:val="0"/>
              <w:jc w:val="center"/>
              <w:rPr>
                <w:rFonts w:hAnsi="宋体"/>
              </w:rPr>
            </w:pPr>
          </w:p>
        </w:tc>
        <w:tc>
          <w:tcPr>
            <w:tcW w:w="3139" w:type="dxa"/>
            <w:tcBorders>
              <w:top w:val="single" w:color="auto" w:sz="4" w:space="0"/>
              <w:left w:val="single" w:color="auto" w:sz="4" w:space="0"/>
              <w:bottom w:val="single" w:color="auto" w:sz="4" w:space="0"/>
              <w:right w:val="single" w:color="auto" w:sz="4" w:space="0"/>
            </w:tcBorders>
            <w:noWrap w:val="0"/>
            <w:vAlign w:val="center"/>
          </w:tcPr>
          <w:p>
            <w:pPr>
              <w:pStyle w:val="19"/>
              <w:adjustRightInd w:val="0"/>
              <w:snapToGrid w:val="0"/>
              <w:jc w:val="center"/>
              <w:rPr>
                <w:rFonts w:hAnsi="宋体"/>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pPr>
              <w:pStyle w:val="19"/>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pStyle w:val="19"/>
              <w:adjustRightInd w:val="0"/>
              <w:snapToGrid w:val="0"/>
              <w:jc w:val="center"/>
              <w:rPr>
                <w:rFonts w:hAnsi="宋体"/>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19"/>
              <w:adjustRightInd w:val="0"/>
              <w:snapToGrid w:val="0"/>
              <w:jc w:val="center"/>
              <w:rPr>
                <w:rFonts w:hAnsi="宋体"/>
              </w:rPr>
            </w:pPr>
          </w:p>
        </w:tc>
        <w:tc>
          <w:tcPr>
            <w:tcW w:w="2511" w:type="dxa"/>
            <w:tcBorders>
              <w:top w:val="single" w:color="auto" w:sz="4" w:space="0"/>
              <w:left w:val="single" w:color="auto" w:sz="4" w:space="0"/>
              <w:bottom w:val="single" w:color="auto" w:sz="4" w:space="0"/>
              <w:right w:val="single" w:color="auto" w:sz="4" w:space="0"/>
            </w:tcBorders>
            <w:noWrap w:val="0"/>
            <w:vAlign w:val="center"/>
          </w:tcPr>
          <w:p>
            <w:pPr>
              <w:pStyle w:val="19"/>
              <w:adjustRightInd w:val="0"/>
              <w:snapToGrid w:val="0"/>
              <w:jc w:val="center"/>
              <w:rPr>
                <w:rFonts w:hAnsi="宋体"/>
              </w:rPr>
            </w:pPr>
          </w:p>
        </w:tc>
        <w:tc>
          <w:tcPr>
            <w:tcW w:w="3139" w:type="dxa"/>
            <w:tcBorders>
              <w:top w:val="single" w:color="auto" w:sz="4" w:space="0"/>
              <w:left w:val="single" w:color="auto" w:sz="4" w:space="0"/>
              <w:bottom w:val="single" w:color="auto" w:sz="4" w:space="0"/>
              <w:right w:val="single" w:color="auto" w:sz="4" w:space="0"/>
            </w:tcBorders>
            <w:noWrap w:val="0"/>
            <w:vAlign w:val="center"/>
          </w:tcPr>
          <w:p>
            <w:pPr>
              <w:pStyle w:val="19"/>
              <w:adjustRightInd w:val="0"/>
              <w:snapToGrid w:val="0"/>
              <w:jc w:val="center"/>
              <w:rPr>
                <w:rFonts w:hAnsi="宋体"/>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pPr>
              <w:pStyle w:val="19"/>
              <w:adjustRightInd w:val="0"/>
              <w:snapToGrid w:val="0"/>
              <w:jc w:val="center"/>
              <w:rPr>
                <w:rFonts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817" w:type="dxa"/>
            <w:tcBorders>
              <w:top w:val="single" w:color="auto" w:sz="4" w:space="0"/>
              <w:left w:val="single" w:color="auto" w:sz="4" w:space="0"/>
              <w:bottom w:val="single" w:color="auto" w:sz="4" w:space="0"/>
              <w:right w:val="single" w:color="auto" w:sz="4" w:space="0"/>
            </w:tcBorders>
            <w:noWrap w:val="0"/>
            <w:vAlign w:val="center"/>
          </w:tcPr>
          <w:p>
            <w:pPr>
              <w:pStyle w:val="19"/>
              <w:adjustRightInd w:val="0"/>
              <w:snapToGrid w:val="0"/>
              <w:jc w:val="center"/>
              <w:rPr>
                <w:rFonts w:hAnsi="宋体"/>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19"/>
              <w:adjustRightInd w:val="0"/>
              <w:snapToGrid w:val="0"/>
              <w:jc w:val="center"/>
              <w:rPr>
                <w:rFonts w:hAnsi="宋体"/>
              </w:rPr>
            </w:pPr>
          </w:p>
        </w:tc>
        <w:tc>
          <w:tcPr>
            <w:tcW w:w="2511" w:type="dxa"/>
            <w:tcBorders>
              <w:top w:val="single" w:color="auto" w:sz="4" w:space="0"/>
              <w:left w:val="single" w:color="auto" w:sz="4" w:space="0"/>
              <w:bottom w:val="single" w:color="auto" w:sz="4" w:space="0"/>
              <w:right w:val="single" w:color="auto" w:sz="4" w:space="0"/>
            </w:tcBorders>
            <w:noWrap w:val="0"/>
            <w:vAlign w:val="center"/>
          </w:tcPr>
          <w:p>
            <w:pPr>
              <w:pStyle w:val="19"/>
              <w:adjustRightInd w:val="0"/>
              <w:snapToGrid w:val="0"/>
              <w:jc w:val="center"/>
              <w:rPr>
                <w:rFonts w:hAnsi="宋体"/>
              </w:rPr>
            </w:pPr>
          </w:p>
        </w:tc>
        <w:tc>
          <w:tcPr>
            <w:tcW w:w="3139" w:type="dxa"/>
            <w:tcBorders>
              <w:top w:val="single" w:color="auto" w:sz="4" w:space="0"/>
              <w:left w:val="single" w:color="auto" w:sz="4" w:space="0"/>
              <w:bottom w:val="single" w:color="auto" w:sz="4" w:space="0"/>
              <w:right w:val="single" w:color="auto" w:sz="4" w:space="0"/>
            </w:tcBorders>
            <w:noWrap w:val="0"/>
            <w:vAlign w:val="center"/>
          </w:tcPr>
          <w:p>
            <w:pPr>
              <w:pStyle w:val="19"/>
              <w:adjustRightInd w:val="0"/>
              <w:snapToGrid w:val="0"/>
              <w:jc w:val="center"/>
              <w:rPr>
                <w:rFonts w:hAnsi="宋体"/>
              </w:rPr>
            </w:pPr>
          </w:p>
        </w:tc>
        <w:tc>
          <w:tcPr>
            <w:tcW w:w="1579" w:type="dxa"/>
            <w:tcBorders>
              <w:top w:val="single" w:color="auto" w:sz="4" w:space="0"/>
              <w:left w:val="single" w:color="auto" w:sz="4" w:space="0"/>
              <w:bottom w:val="single" w:color="auto" w:sz="4" w:space="0"/>
              <w:right w:val="single" w:color="auto" w:sz="4" w:space="0"/>
            </w:tcBorders>
            <w:noWrap w:val="0"/>
            <w:vAlign w:val="center"/>
          </w:tcPr>
          <w:p>
            <w:pPr>
              <w:pStyle w:val="19"/>
              <w:adjustRightInd w:val="0"/>
              <w:snapToGrid w:val="0"/>
              <w:jc w:val="center"/>
              <w:rPr>
                <w:rFonts w:hAnsi="宋体"/>
              </w:rPr>
            </w:pPr>
          </w:p>
        </w:tc>
      </w:tr>
    </w:tbl>
    <w:p>
      <w:pPr>
        <w:pStyle w:val="19"/>
        <w:adjustRightInd w:val="0"/>
        <w:snapToGrid w:val="0"/>
        <w:rPr>
          <w:rFonts w:hAnsi="宋体"/>
          <w:bCs/>
        </w:rPr>
      </w:pPr>
    </w:p>
    <w:p>
      <w:pPr>
        <w:widowControl/>
        <w:jc w:val="left"/>
        <w:rPr>
          <w:rFonts w:eastAsia="黑体" w:cs="Calibri"/>
          <w:sz w:val="32"/>
          <w:szCs w:val="32"/>
        </w:rPr>
      </w:pPr>
      <w:r>
        <w:rPr>
          <w:rFonts w:hint="eastAsia" w:hAnsi="宋体"/>
          <w:bCs/>
        </w:rPr>
        <w:t>注：如不填写，则视为完全响应招标文件的商务要求。</w:t>
      </w:r>
    </w:p>
    <w:p>
      <w:pPr>
        <w:spacing w:line="440" w:lineRule="exact"/>
        <w:jc w:val="center"/>
        <w:rPr>
          <w:rFonts w:eastAsia="黑体" w:cs="Calibri"/>
          <w:sz w:val="32"/>
          <w:szCs w:val="32"/>
        </w:rPr>
      </w:pPr>
      <w:r>
        <w:rPr>
          <w:rFonts w:eastAsia="黑体" w:cs="Calibri"/>
          <w:sz w:val="32"/>
          <w:szCs w:val="32"/>
        </w:rPr>
        <w:br w:type="page"/>
      </w:r>
      <w:r>
        <w:rPr>
          <w:rFonts w:hint="eastAsia" w:eastAsia="黑体" w:cs="Calibri"/>
          <w:sz w:val="32"/>
          <w:szCs w:val="32"/>
        </w:rPr>
        <w:t>十、廉洁自律承诺书</w:t>
      </w:r>
    </w:p>
    <w:p>
      <w:pPr>
        <w:topLinePunct/>
        <w:jc w:val="center"/>
        <w:rPr>
          <w:rFonts w:ascii="宋体" w:hAnsi="宋体"/>
          <w:b/>
          <w:sz w:val="32"/>
          <w:szCs w:val="21"/>
        </w:rPr>
      </w:pPr>
    </w:p>
    <w:p>
      <w:pPr>
        <w:spacing w:line="276" w:lineRule="auto"/>
        <w:jc w:val="center"/>
        <w:rPr>
          <w:rFonts w:ascii="宋体" w:hAnsi="宋体"/>
          <w:b/>
          <w:kern w:val="0"/>
          <w:sz w:val="24"/>
          <w:szCs w:val="21"/>
        </w:rPr>
      </w:pPr>
      <w:r>
        <w:rPr>
          <w:rFonts w:hint="eastAsia" w:ascii="宋体" w:hAnsi="宋体"/>
          <w:b/>
          <w:kern w:val="0"/>
          <w:sz w:val="24"/>
          <w:szCs w:val="21"/>
        </w:rPr>
        <w:t>杭州萧山国际机场有限公司廉洁自律承诺书</w:t>
      </w:r>
    </w:p>
    <w:p>
      <w:pPr>
        <w:spacing w:line="276" w:lineRule="auto"/>
        <w:jc w:val="center"/>
        <w:rPr>
          <w:rFonts w:ascii="宋体" w:hAnsi="宋体"/>
          <w:kern w:val="0"/>
          <w:sz w:val="24"/>
          <w:szCs w:val="21"/>
        </w:rPr>
      </w:pPr>
    </w:p>
    <w:p>
      <w:pPr>
        <w:spacing w:line="276" w:lineRule="auto"/>
        <w:jc w:val="left"/>
        <w:rPr>
          <w:rFonts w:ascii="宋体" w:hAnsi="宋体"/>
          <w:szCs w:val="21"/>
        </w:rPr>
      </w:pPr>
      <w:r>
        <w:rPr>
          <w:rFonts w:hint="eastAsia" w:ascii="宋体" w:hAnsi="宋体"/>
          <w:szCs w:val="21"/>
        </w:rPr>
        <w:t>杭州萧山国际机场有限公司：</w:t>
      </w:r>
    </w:p>
    <w:p>
      <w:pPr>
        <w:spacing w:line="276" w:lineRule="auto"/>
        <w:ind w:firstLine="420" w:firstLineChars="200"/>
        <w:jc w:val="left"/>
        <w:rPr>
          <w:rFonts w:ascii="宋体" w:hAnsi="宋体"/>
          <w:szCs w:val="21"/>
        </w:rPr>
      </w:pPr>
      <w:r>
        <w:rPr>
          <w:rFonts w:hint="eastAsia" w:ascii="宋体" w:hAnsi="宋体"/>
          <w:szCs w:val="21"/>
        </w:rPr>
        <w:t>我单位响应贵公司项目招标要求，参加项目投标。在投标过程中及中标后，我们将严格遵守国家法律法规和贵司招标文件要求，并郑重作出如下承诺和保证：</w:t>
      </w:r>
    </w:p>
    <w:p>
      <w:pPr>
        <w:spacing w:line="276" w:lineRule="auto"/>
        <w:ind w:firstLine="420" w:firstLineChars="200"/>
        <w:jc w:val="left"/>
        <w:rPr>
          <w:rFonts w:ascii="宋体" w:hAnsi="宋体"/>
          <w:szCs w:val="21"/>
        </w:rPr>
      </w:pPr>
      <w:r>
        <w:rPr>
          <w:rFonts w:hint="eastAsia" w:ascii="宋体" w:hAnsi="宋体"/>
          <w:szCs w:val="21"/>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276" w:lineRule="auto"/>
        <w:ind w:firstLine="420" w:firstLineChars="200"/>
        <w:jc w:val="left"/>
        <w:rPr>
          <w:rFonts w:ascii="宋体" w:hAnsi="宋体"/>
          <w:szCs w:val="21"/>
        </w:rPr>
      </w:pPr>
      <w:r>
        <w:rPr>
          <w:rFonts w:hint="eastAsia" w:ascii="宋体" w:hAnsi="宋体"/>
          <w:szCs w:val="21"/>
        </w:rPr>
        <w:t>二、不以任何名义为贵公司有关人员或项目第三方人员报销应由贵公司或个人支付的费用；</w:t>
      </w:r>
    </w:p>
    <w:p>
      <w:pPr>
        <w:spacing w:line="276" w:lineRule="auto"/>
        <w:ind w:firstLine="420" w:firstLineChars="200"/>
        <w:jc w:val="left"/>
        <w:rPr>
          <w:rFonts w:ascii="宋体" w:hAnsi="宋体"/>
          <w:szCs w:val="21"/>
        </w:rPr>
      </w:pPr>
      <w:r>
        <w:rPr>
          <w:rFonts w:hint="eastAsia" w:ascii="宋体" w:hAnsi="宋体"/>
          <w:szCs w:val="21"/>
        </w:rPr>
        <w:t>三、不向贵公司有关人员或项目第三方人员提供宴请、旅游、和健身娱乐等活动；</w:t>
      </w:r>
    </w:p>
    <w:p>
      <w:pPr>
        <w:spacing w:line="276" w:lineRule="auto"/>
        <w:ind w:firstLine="420" w:firstLineChars="200"/>
        <w:jc w:val="left"/>
        <w:rPr>
          <w:rFonts w:ascii="宋体" w:hAnsi="宋体"/>
          <w:szCs w:val="21"/>
        </w:rPr>
      </w:pPr>
      <w:r>
        <w:rPr>
          <w:rFonts w:hint="eastAsia" w:ascii="宋体" w:hAnsi="宋体"/>
          <w:szCs w:val="21"/>
        </w:rPr>
        <w:t>四、不为贵公司有关人员或项目第三方人员出国（境）、旅游等提供方便；</w:t>
      </w:r>
    </w:p>
    <w:p>
      <w:pPr>
        <w:spacing w:line="276" w:lineRule="auto"/>
        <w:ind w:firstLine="420" w:firstLineChars="200"/>
        <w:jc w:val="left"/>
        <w:rPr>
          <w:rFonts w:ascii="宋体" w:hAnsi="宋体"/>
          <w:szCs w:val="21"/>
        </w:rPr>
      </w:pPr>
      <w:r>
        <w:rPr>
          <w:rFonts w:hint="eastAsia" w:ascii="宋体" w:hAnsi="宋体"/>
          <w:szCs w:val="21"/>
        </w:rPr>
        <w:t>五、不为贵公司有关人员或项目第三方人员个人装修住房、婚丧嫁娶、配偶子女工作安排等提供好处或便利条件；</w:t>
      </w:r>
    </w:p>
    <w:p>
      <w:pPr>
        <w:spacing w:line="276" w:lineRule="auto"/>
        <w:ind w:firstLine="420" w:firstLineChars="200"/>
        <w:jc w:val="left"/>
        <w:rPr>
          <w:rFonts w:ascii="宋体" w:hAnsi="宋体"/>
          <w:szCs w:val="21"/>
        </w:rPr>
      </w:pPr>
      <w:r>
        <w:rPr>
          <w:rFonts w:hint="eastAsia" w:ascii="宋体" w:hAnsi="宋体"/>
          <w:szCs w:val="21"/>
        </w:rPr>
        <w:t>六、严格遵守国家招标投标法、合同法等法律规定，诚实守信，合法经营，坚决杜绝各种违法违纪行为。</w:t>
      </w:r>
    </w:p>
    <w:p>
      <w:pPr>
        <w:spacing w:line="276" w:lineRule="auto"/>
        <w:ind w:firstLine="420" w:firstLineChars="200"/>
        <w:jc w:val="left"/>
        <w:rPr>
          <w:rFonts w:ascii="宋体" w:hAnsi="宋体"/>
          <w:szCs w:val="21"/>
        </w:rPr>
      </w:pPr>
      <w:r>
        <w:rPr>
          <w:rFonts w:hint="eastAsia" w:ascii="宋体" w:hAnsi="宋体"/>
          <w:szCs w:val="21"/>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276" w:lineRule="auto"/>
        <w:ind w:firstLine="420" w:firstLineChars="200"/>
        <w:jc w:val="left"/>
        <w:rPr>
          <w:rFonts w:ascii="宋体" w:hAnsi="宋体"/>
          <w:szCs w:val="21"/>
        </w:rPr>
      </w:pPr>
      <w:r>
        <w:rPr>
          <w:rFonts w:hint="eastAsia" w:ascii="宋体" w:hAnsi="宋体"/>
          <w:szCs w:val="21"/>
        </w:rPr>
        <w:t>八、如违反上述廉洁自律承诺，贵公司有权：</w:t>
      </w:r>
    </w:p>
    <w:p>
      <w:pPr>
        <w:spacing w:line="276" w:lineRule="auto"/>
        <w:ind w:firstLine="420" w:firstLineChars="200"/>
        <w:jc w:val="left"/>
        <w:rPr>
          <w:rFonts w:ascii="宋体" w:hAnsi="宋体"/>
          <w:szCs w:val="21"/>
        </w:rPr>
      </w:pPr>
      <w:r>
        <w:rPr>
          <w:rFonts w:hint="eastAsia" w:ascii="宋体" w:hAnsi="宋体"/>
          <w:szCs w:val="21"/>
        </w:rPr>
        <w:t>（1）</w:t>
      </w:r>
      <w:r>
        <w:rPr>
          <w:rFonts w:hint="eastAsia" w:ascii="宋体" w:hAnsi="宋体"/>
          <w:szCs w:val="21"/>
        </w:rPr>
        <w:tab/>
      </w:r>
      <w:r>
        <w:rPr>
          <w:rFonts w:hint="eastAsia" w:ascii="宋体" w:hAnsi="宋体"/>
          <w:szCs w:val="21"/>
        </w:rPr>
        <w:t>立即取消我单位投标、中标或在建项目的实施资格；</w:t>
      </w:r>
    </w:p>
    <w:p>
      <w:pPr>
        <w:spacing w:line="276" w:lineRule="auto"/>
        <w:ind w:firstLine="420" w:firstLineChars="200"/>
        <w:jc w:val="left"/>
        <w:rPr>
          <w:rFonts w:ascii="宋体" w:hAnsi="宋体"/>
          <w:szCs w:val="21"/>
        </w:rPr>
      </w:pPr>
      <w:r>
        <w:rPr>
          <w:rFonts w:hint="eastAsia" w:ascii="宋体" w:hAnsi="宋体"/>
          <w:szCs w:val="21"/>
        </w:rPr>
        <w:t>（2）</w:t>
      </w:r>
      <w:r>
        <w:rPr>
          <w:rFonts w:hint="eastAsia" w:ascii="宋体" w:hAnsi="宋体"/>
          <w:szCs w:val="21"/>
        </w:rPr>
        <w:tab/>
      </w:r>
      <w:r>
        <w:rPr>
          <w:rFonts w:hint="eastAsia" w:ascii="宋体" w:hAnsi="宋体"/>
          <w:szCs w:val="21"/>
        </w:rPr>
        <w:t>扣除我方向贵公司缴纳的履约保证金的10%作为违反廉洁自律承诺的违约金。如该违约金不足以弥补贵公司损失的，我单位仍将承担实际损失赔偿责任。</w:t>
      </w:r>
    </w:p>
    <w:p>
      <w:pPr>
        <w:spacing w:line="276" w:lineRule="auto"/>
        <w:ind w:firstLine="420" w:firstLineChars="200"/>
        <w:jc w:val="left"/>
        <w:rPr>
          <w:rFonts w:ascii="宋体" w:hAnsi="宋体"/>
          <w:szCs w:val="21"/>
        </w:rPr>
      </w:pPr>
      <w:r>
        <w:rPr>
          <w:rFonts w:hint="eastAsia" w:ascii="宋体" w:hAnsi="宋体"/>
          <w:szCs w:val="21"/>
        </w:rPr>
        <w:t>（3）</w:t>
      </w:r>
      <w:r>
        <w:rPr>
          <w:rFonts w:hint="eastAsia" w:ascii="宋体" w:hAnsi="宋体"/>
          <w:szCs w:val="21"/>
        </w:rPr>
        <w:tab/>
      </w:r>
      <w:r>
        <w:rPr>
          <w:rFonts w:hint="eastAsia" w:ascii="宋体" w:hAnsi="宋体"/>
          <w:szCs w:val="21"/>
        </w:rPr>
        <w:t>拒绝我单位在一定时期内进入贵公司进行项目建设或其它经营活动；</w:t>
      </w:r>
    </w:p>
    <w:p>
      <w:pPr>
        <w:spacing w:line="276" w:lineRule="auto"/>
        <w:ind w:firstLine="420" w:firstLineChars="200"/>
        <w:jc w:val="left"/>
        <w:rPr>
          <w:rFonts w:ascii="宋体" w:hAnsi="宋体"/>
          <w:szCs w:val="21"/>
        </w:rPr>
      </w:pPr>
      <w:r>
        <w:rPr>
          <w:rFonts w:hint="eastAsia" w:ascii="宋体" w:hAnsi="宋体"/>
          <w:szCs w:val="21"/>
        </w:rPr>
        <w:t>（4）</w:t>
      </w:r>
      <w:r>
        <w:rPr>
          <w:rFonts w:hint="eastAsia" w:ascii="宋体" w:hAnsi="宋体"/>
          <w:szCs w:val="21"/>
        </w:rPr>
        <w:tab/>
      </w:r>
      <w:r>
        <w:rPr>
          <w:rFonts w:hint="eastAsia" w:ascii="宋体" w:hAnsi="宋体"/>
          <w:szCs w:val="21"/>
        </w:rPr>
        <w:t>由此引起的相应损失均由我单位承担。</w:t>
      </w:r>
    </w:p>
    <w:p>
      <w:pPr>
        <w:spacing w:line="276" w:lineRule="auto"/>
        <w:ind w:firstLine="420" w:firstLineChars="200"/>
        <w:jc w:val="left"/>
        <w:rPr>
          <w:rFonts w:ascii="宋体" w:hAnsi="宋体"/>
          <w:szCs w:val="21"/>
        </w:rPr>
      </w:pPr>
    </w:p>
    <w:p>
      <w:pPr>
        <w:spacing w:line="276" w:lineRule="auto"/>
        <w:ind w:firstLine="420" w:firstLineChars="200"/>
        <w:jc w:val="left"/>
        <w:rPr>
          <w:rFonts w:ascii="宋体" w:hAnsi="宋体"/>
          <w:szCs w:val="21"/>
        </w:rPr>
      </w:pPr>
      <w:r>
        <w:rPr>
          <w:rFonts w:hint="eastAsia" w:ascii="宋体" w:hAnsi="宋体"/>
          <w:szCs w:val="21"/>
        </w:rPr>
        <w:t xml:space="preserve">承诺人单位名称（盖章）：            </w:t>
      </w:r>
    </w:p>
    <w:p>
      <w:pPr>
        <w:spacing w:line="276" w:lineRule="auto"/>
        <w:ind w:firstLine="420" w:firstLineChars="200"/>
        <w:jc w:val="left"/>
        <w:rPr>
          <w:rFonts w:ascii="宋体" w:hAnsi="宋体"/>
          <w:szCs w:val="21"/>
        </w:rPr>
      </w:pPr>
      <w:r>
        <w:rPr>
          <w:rFonts w:hint="eastAsia" w:ascii="宋体" w:hAnsi="宋体"/>
          <w:szCs w:val="21"/>
        </w:rPr>
        <w:t xml:space="preserve">法定代表人 ：                    </w:t>
      </w:r>
    </w:p>
    <w:p>
      <w:pPr>
        <w:spacing w:line="276" w:lineRule="auto"/>
        <w:ind w:firstLine="420" w:firstLineChars="200"/>
        <w:jc w:val="left"/>
        <w:rPr>
          <w:rFonts w:ascii="宋体" w:hAnsi="宋体"/>
          <w:szCs w:val="21"/>
        </w:rPr>
      </w:pPr>
      <w:r>
        <w:rPr>
          <w:rFonts w:hint="eastAsia" w:ascii="宋体" w:hAnsi="宋体"/>
          <w:szCs w:val="21"/>
        </w:rPr>
        <w:t xml:space="preserve">或                            </w:t>
      </w:r>
    </w:p>
    <w:p>
      <w:pPr>
        <w:spacing w:line="276" w:lineRule="auto"/>
        <w:ind w:firstLine="420" w:firstLineChars="200"/>
        <w:jc w:val="left"/>
        <w:rPr>
          <w:rFonts w:ascii="宋体" w:hAnsi="宋体"/>
          <w:szCs w:val="21"/>
        </w:rPr>
      </w:pPr>
      <w:r>
        <w:rPr>
          <w:rFonts w:hint="eastAsia" w:ascii="宋体" w:hAnsi="宋体"/>
          <w:szCs w:val="21"/>
        </w:rPr>
        <w:t xml:space="preserve">委托代理人：                   </w:t>
      </w:r>
    </w:p>
    <w:p>
      <w:pPr>
        <w:spacing w:line="276" w:lineRule="auto"/>
        <w:ind w:firstLine="420" w:firstLineChars="200"/>
        <w:jc w:val="left"/>
        <w:rPr>
          <w:rFonts w:ascii="宋体" w:hAnsi="宋体"/>
          <w:szCs w:val="21"/>
        </w:rPr>
      </w:pPr>
    </w:p>
    <w:p>
      <w:pPr>
        <w:spacing w:line="276" w:lineRule="auto"/>
        <w:ind w:firstLine="420" w:firstLineChars="200"/>
        <w:jc w:val="left"/>
        <w:rPr>
          <w:rFonts w:ascii="宋体" w:hAnsi="宋体"/>
          <w:szCs w:val="21"/>
        </w:rPr>
      </w:pPr>
      <w:r>
        <w:rPr>
          <w:rFonts w:hint="eastAsia" w:ascii="宋体" w:hAnsi="宋体"/>
          <w:szCs w:val="21"/>
        </w:rPr>
        <w:t xml:space="preserve">                           年     月     日</w:t>
      </w:r>
    </w:p>
    <w:p>
      <w:pPr>
        <w:spacing w:line="440" w:lineRule="exact"/>
        <w:jc w:val="center"/>
        <w:rPr>
          <w:rFonts w:eastAsia="黑体" w:cs="Calibri"/>
          <w:sz w:val="32"/>
          <w:szCs w:val="32"/>
        </w:rPr>
      </w:pPr>
    </w:p>
    <w:p>
      <w:pPr>
        <w:spacing w:line="440" w:lineRule="exact"/>
        <w:jc w:val="center"/>
        <w:rPr>
          <w:rFonts w:eastAsia="黑体" w:cs="Calibri"/>
          <w:sz w:val="32"/>
          <w:szCs w:val="32"/>
        </w:rPr>
      </w:pPr>
    </w:p>
    <w:p>
      <w:pPr>
        <w:spacing w:line="440" w:lineRule="exact"/>
        <w:jc w:val="center"/>
        <w:rPr>
          <w:rFonts w:eastAsia="黑体" w:cs="Calibri"/>
          <w:sz w:val="32"/>
          <w:szCs w:val="32"/>
        </w:rPr>
      </w:pPr>
    </w:p>
    <w:p>
      <w:pPr>
        <w:spacing w:line="440" w:lineRule="exact"/>
        <w:jc w:val="center"/>
        <w:rPr>
          <w:rFonts w:eastAsia="黑体" w:cs="Calibri"/>
          <w:sz w:val="32"/>
          <w:szCs w:val="32"/>
        </w:rPr>
      </w:pPr>
    </w:p>
    <w:p>
      <w:pPr>
        <w:spacing w:line="440" w:lineRule="exact"/>
        <w:jc w:val="center"/>
        <w:rPr>
          <w:rFonts w:eastAsia="黑体" w:cs="Calibri"/>
          <w:sz w:val="32"/>
          <w:szCs w:val="32"/>
        </w:rPr>
      </w:pPr>
    </w:p>
    <w:p>
      <w:pPr>
        <w:spacing w:line="440" w:lineRule="exact"/>
        <w:jc w:val="center"/>
        <w:rPr>
          <w:rFonts w:eastAsia="黑体" w:cs="Calibri"/>
          <w:sz w:val="32"/>
          <w:szCs w:val="32"/>
        </w:rPr>
      </w:pPr>
    </w:p>
    <w:p>
      <w:pPr>
        <w:spacing w:line="440" w:lineRule="exact"/>
        <w:jc w:val="center"/>
        <w:rPr>
          <w:rFonts w:eastAsia="黑体" w:cs="Calibri"/>
          <w:sz w:val="32"/>
          <w:szCs w:val="32"/>
        </w:rPr>
      </w:pPr>
    </w:p>
    <w:p>
      <w:pPr>
        <w:spacing w:line="440" w:lineRule="exact"/>
        <w:jc w:val="center"/>
        <w:rPr>
          <w:rFonts w:eastAsia="黑体" w:cs="Calibri"/>
          <w:sz w:val="32"/>
          <w:szCs w:val="32"/>
        </w:rPr>
      </w:pPr>
    </w:p>
    <w:p>
      <w:pPr>
        <w:spacing w:line="440" w:lineRule="exact"/>
        <w:jc w:val="center"/>
        <w:rPr>
          <w:rFonts w:eastAsia="黑体" w:cs="Calibri"/>
          <w:sz w:val="32"/>
          <w:szCs w:val="32"/>
        </w:rPr>
      </w:pPr>
      <w:r>
        <w:rPr>
          <w:rFonts w:hint="eastAsia" w:eastAsia="黑体" w:cs="Calibri"/>
          <w:sz w:val="32"/>
          <w:szCs w:val="32"/>
        </w:rPr>
        <w:t>十一</w:t>
      </w:r>
      <w:r>
        <w:rPr>
          <w:rFonts w:eastAsia="黑体" w:cs="Calibri"/>
          <w:sz w:val="32"/>
          <w:szCs w:val="32"/>
        </w:rPr>
        <w:t>、</w:t>
      </w:r>
      <w:r>
        <w:rPr>
          <w:rFonts w:hint="eastAsia" w:eastAsia="黑体" w:cs="Calibri"/>
          <w:sz w:val="32"/>
          <w:szCs w:val="32"/>
        </w:rPr>
        <w:t>投标人认为</w:t>
      </w:r>
      <w:r>
        <w:rPr>
          <w:rFonts w:eastAsia="黑体" w:cs="Calibri"/>
          <w:sz w:val="32"/>
          <w:szCs w:val="32"/>
        </w:rPr>
        <w:t>应该提供的其他材料</w:t>
      </w:r>
    </w:p>
    <w:p/>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CS?o｡ﾀ?">
    <w:altName w:val="MS PGothic"/>
    <w:panose1 w:val="00000000000000000000"/>
    <w:charset w:val="80"/>
    <w:family w:val="modern"/>
    <w:pitch w:val="default"/>
    <w:sig w:usb0="00000000" w:usb1="00000000" w:usb2="00000010" w:usb3="00000000" w:csb0="00020000"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8CF3C52" w:usb2="00000016" w:usb3="00000000" w:csb0="0004001F" w:csb1="0000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隶书">
    <w:panose1 w:val="02010509060101010101"/>
    <w:charset w:val="86"/>
    <w:family w:val="modern"/>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方正小标宋简体">
    <w:panose1 w:val="03000509000000000000"/>
    <w:charset w:val="86"/>
    <w:family w:val="script"/>
    <w:pitch w:val="default"/>
    <w:sig w:usb0="00000001" w:usb1="080E0000" w:usb2="00000000" w:usb3="00000000" w:csb0="00040000" w:csb1="00000000"/>
  </w:font>
  <w:font w:name="ˎ̥">
    <w:altName w:val="MV Boli"/>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V Boli">
    <w:panose1 w:val="02000500030200090000"/>
    <w:charset w:val="00"/>
    <w:family w:val="auto"/>
    <w:pitch w:val="default"/>
    <w:sig w:usb0="00000003" w:usb1="00000000" w:usb2="00000100" w:usb3="00000000" w:csb0="0000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r>
      <w:fldChar w:fldCharType="begin"/>
    </w:r>
    <w:r>
      <w:instrText xml:space="preserve"> PAGE   \* MERGEFORMAT </w:instrText>
    </w:r>
    <w:r>
      <w:fldChar w:fldCharType="separate"/>
    </w:r>
    <w:r>
      <w:rPr>
        <w:lang w:val="zh-CN"/>
      </w:rPr>
      <w:t>-</w:t>
    </w:r>
    <w:r>
      <w:rPr>
        <w:lang/>
      </w:rPr>
      <w:t xml:space="preserve"> 17 -</w:t>
    </w:r>
    <w:r>
      <w:fldChar w:fldCharType="end"/>
    </w:r>
  </w:p>
  <w:p>
    <w:pPr>
      <w:pStyle w:val="25"/>
      <w:wordWrap w:val="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rPr>
        <w:rStyle w:val="48"/>
      </w:rPr>
    </w:pPr>
    <w:r>
      <w:fldChar w:fldCharType="begin"/>
    </w:r>
    <w:r>
      <w:rPr>
        <w:rStyle w:val="48"/>
      </w:rPr>
      <w:instrText xml:space="preserve">PAGE  </w:instrText>
    </w:r>
    <w:r>
      <w:fldChar w:fldCharType="separate"/>
    </w:r>
    <w:r>
      <w:rPr>
        <w:rStyle w:val="48"/>
      </w:rPr>
      <w:t>0</w:t>
    </w:r>
    <w:r>
      <w:fldChar w:fldCharType="end"/>
    </w:r>
  </w:p>
  <w:p>
    <w:pPr>
      <w:pStyle w:val="2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jc w:val="center"/>
    </w:pPr>
  </w:p>
  <w:p>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outside" w:y="1"/>
      <w:rPr>
        <w:rStyle w:val="48"/>
      </w:rPr>
    </w:pPr>
    <w:r>
      <w:fldChar w:fldCharType="begin"/>
    </w:r>
    <w:r>
      <w:rPr>
        <w:rStyle w:val="48"/>
      </w:rPr>
      <w:instrText xml:space="preserve">PAGE  </w:instrText>
    </w:r>
    <w:r>
      <w:fldChar w:fldCharType="separate"/>
    </w:r>
    <w:r>
      <w:rPr>
        <w:rStyle w:val="48"/>
      </w:rPr>
      <w:t>0</w:t>
    </w:r>
    <w:r>
      <w:fldChar w:fldCharType="end"/>
    </w:r>
  </w:p>
  <w:p>
    <w:pPr>
      <w:pStyle w:val="2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adjustRightInd w:val="0"/>
      <w:snapToGrid w:val="0"/>
      <w:textAlignment w:val="baseline"/>
      <w:rPr>
        <w:color w:val="000000"/>
        <w:kern w:val="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1">
    <w:nsid w:val="00000011"/>
    <w:multiLevelType w:val="multilevel"/>
    <w:tmpl w:val="00000011"/>
    <w:lvl w:ilvl="0" w:tentative="0">
      <w:start w:val="1"/>
      <w:numFmt w:val="decimal"/>
      <w:lvlText w:val="(%1）"/>
      <w:lvlJc w:val="left"/>
      <w:pPr>
        <w:ind w:left="1146" w:hanging="720"/>
      </w:pPr>
      <w:rPr>
        <w:rFonts w:hint="default" w:ascii="宋体" w:hAnsi="宋体" w:eastAsia="宋体"/>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2">
    <w:nsid w:val="00000046"/>
    <w:multiLevelType w:val="multilevel"/>
    <w:tmpl w:val="00000046"/>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3">
    <w:nsid w:val="000000A3"/>
    <w:multiLevelType w:val="multilevel"/>
    <w:tmpl w:val="000000A3"/>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4">
    <w:nsid w:val="19063A6D"/>
    <w:multiLevelType w:val="singleLevel"/>
    <w:tmpl w:val="19063A6D"/>
    <w:lvl w:ilvl="0" w:tentative="0">
      <w:start w:val="1"/>
      <w:numFmt w:val="decimal"/>
      <w:lvlText w:val="(%1)"/>
      <w:lvlJc w:val="left"/>
      <w:pPr>
        <w:tabs>
          <w:tab w:val="left" w:pos="907"/>
        </w:tabs>
        <w:ind w:left="907" w:hanging="482"/>
      </w:pPr>
      <w:rPr>
        <w:rFonts w:hint="eastAsia"/>
        <w:b w:val="0"/>
        <w:i w:val="0"/>
        <w:u w:val="none"/>
      </w:rPr>
    </w:lvl>
  </w:abstractNum>
  <w:abstractNum w:abstractNumId="5">
    <w:nsid w:val="49366583"/>
    <w:multiLevelType w:val="multilevel"/>
    <w:tmpl w:val="49366583"/>
    <w:lvl w:ilvl="0" w:tentative="0">
      <w:start w:val="1"/>
      <w:numFmt w:val="decimalEnclosedCircle"/>
      <w:lvlText w:val="%1"/>
      <w:lvlJc w:val="left"/>
      <w:pPr>
        <w:ind w:left="1267" w:hanging="360"/>
      </w:pPr>
    </w:lvl>
    <w:lvl w:ilvl="1" w:tentative="0">
      <w:start w:val="1"/>
      <w:numFmt w:val="lowerLetter"/>
      <w:lvlText w:val="%2)"/>
      <w:lvlJc w:val="left"/>
      <w:pPr>
        <w:ind w:left="1747" w:hanging="420"/>
      </w:pPr>
    </w:lvl>
    <w:lvl w:ilvl="2" w:tentative="0">
      <w:start w:val="1"/>
      <w:numFmt w:val="lowerRoman"/>
      <w:lvlText w:val="%3."/>
      <w:lvlJc w:val="right"/>
      <w:pPr>
        <w:ind w:left="2167" w:hanging="420"/>
      </w:pPr>
    </w:lvl>
    <w:lvl w:ilvl="3" w:tentative="0">
      <w:start w:val="1"/>
      <w:numFmt w:val="decimal"/>
      <w:lvlText w:val="%4."/>
      <w:lvlJc w:val="left"/>
      <w:pPr>
        <w:ind w:left="2587" w:hanging="420"/>
      </w:pPr>
    </w:lvl>
    <w:lvl w:ilvl="4" w:tentative="0">
      <w:start w:val="1"/>
      <w:numFmt w:val="lowerLetter"/>
      <w:lvlText w:val="%5)"/>
      <w:lvlJc w:val="left"/>
      <w:pPr>
        <w:ind w:left="3007" w:hanging="420"/>
      </w:pPr>
    </w:lvl>
    <w:lvl w:ilvl="5" w:tentative="0">
      <w:start w:val="1"/>
      <w:numFmt w:val="lowerRoman"/>
      <w:lvlText w:val="%6."/>
      <w:lvlJc w:val="right"/>
      <w:pPr>
        <w:ind w:left="3427" w:hanging="420"/>
      </w:pPr>
    </w:lvl>
    <w:lvl w:ilvl="6" w:tentative="0">
      <w:start w:val="1"/>
      <w:numFmt w:val="decimal"/>
      <w:lvlText w:val="%7."/>
      <w:lvlJc w:val="left"/>
      <w:pPr>
        <w:ind w:left="3847" w:hanging="420"/>
      </w:pPr>
    </w:lvl>
    <w:lvl w:ilvl="7" w:tentative="0">
      <w:start w:val="1"/>
      <w:numFmt w:val="lowerLetter"/>
      <w:lvlText w:val="%8)"/>
      <w:lvlJc w:val="left"/>
      <w:pPr>
        <w:ind w:left="4267" w:hanging="420"/>
      </w:pPr>
    </w:lvl>
    <w:lvl w:ilvl="8" w:tentative="0">
      <w:start w:val="1"/>
      <w:numFmt w:val="lowerRoman"/>
      <w:lvlText w:val="%9."/>
      <w:lvlJc w:val="right"/>
      <w:pPr>
        <w:ind w:left="4687" w:hanging="420"/>
      </w:pPr>
    </w:lvl>
  </w:abstractNum>
  <w:abstractNum w:abstractNumId="6">
    <w:nsid w:val="5554324B"/>
    <w:multiLevelType w:val="multilevel"/>
    <w:tmpl w:val="5554324B"/>
    <w:lvl w:ilvl="0" w:tentative="0">
      <w:start w:val="1"/>
      <w:numFmt w:val="decimalEnclosedCircle"/>
      <w:lvlText w:val="%1"/>
      <w:lvlJc w:val="left"/>
      <w:pPr>
        <w:ind w:left="1267" w:hanging="360"/>
      </w:pPr>
    </w:lvl>
    <w:lvl w:ilvl="1" w:tentative="0">
      <w:start w:val="1"/>
      <w:numFmt w:val="lowerLetter"/>
      <w:lvlText w:val="%2)"/>
      <w:lvlJc w:val="left"/>
      <w:pPr>
        <w:ind w:left="1747" w:hanging="420"/>
      </w:pPr>
    </w:lvl>
    <w:lvl w:ilvl="2" w:tentative="0">
      <w:start w:val="1"/>
      <w:numFmt w:val="lowerRoman"/>
      <w:lvlText w:val="%3."/>
      <w:lvlJc w:val="right"/>
      <w:pPr>
        <w:ind w:left="2167" w:hanging="420"/>
      </w:pPr>
    </w:lvl>
    <w:lvl w:ilvl="3" w:tentative="0">
      <w:start w:val="1"/>
      <w:numFmt w:val="decimal"/>
      <w:lvlText w:val="%4."/>
      <w:lvlJc w:val="left"/>
      <w:pPr>
        <w:ind w:left="2587" w:hanging="420"/>
      </w:pPr>
    </w:lvl>
    <w:lvl w:ilvl="4" w:tentative="0">
      <w:start w:val="1"/>
      <w:numFmt w:val="lowerLetter"/>
      <w:lvlText w:val="%5)"/>
      <w:lvlJc w:val="left"/>
      <w:pPr>
        <w:ind w:left="3007" w:hanging="420"/>
      </w:pPr>
    </w:lvl>
    <w:lvl w:ilvl="5" w:tentative="0">
      <w:start w:val="1"/>
      <w:numFmt w:val="lowerRoman"/>
      <w:lvlText w:val="%6."/>
      <w:lvlJc w:val="right"/>
      <w:pPr>
        <w:ind w:left="3427" w:hanging="420"/>
      </w:pPr>
    </w:lvl>
    <w:lvl w:ilvl="6" w:tentative="0">
      <w:start w:val="1"/>
      <w:numFmt w:val="decimal"/>
      <w:lvlText w:val="%7."/>
      <w:lvlJc w:val="left"/>
      <w:pPr>
        <w:ind w:left="3847" w:hanging="420"/>
      </w:pPr>
    </w:lvl>
    <w:lvl w:ilvl="7" w:tentative="0">
      <w:start w:val="1"/>
      <w:numFmt w:val="lowerLetter"/>
      <w:lvlText w:val="%8)"/>
      <w:lvlJc w:val="left"/>
      <w:pPr>
        <w:ind w:left="4267" w:hanging="420"/>
      </w:pPr>
    </w:lvl>
    <w:lvl w:ilvl="8" w:tentative="0">
      <w:start w:val="1"/>
      <w:numFmt w:val="lowerRoman"/>
      <w:lvlText w:val="%9."/>
      <w:lvlJc w:val="right"/>
      <w:pPr>
        <w:ind w:left="4687" w:hanging="420"/>
      </w:pPr>
    </w:lvl>
  </w:abstractNum>
  <w:num w:numId="1">
    <w:abstractNumId w:val="1"/>
  </w:num>
  <w:num w:numId="2">
    <w:abstractNumId w:val="4"/>
    <w:lvlOverride w:ilvl="0">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C72"/>
    <w:rsid w:val="00013B7A"/>
    <w:rsid w:val="000D6860"/>
    <w:rsid w:val="000F26AF"/>
    <w:rsid w:val="0011700A"/>
    <w:rsid w:val="001A249D"/>
    <w:rsid w:val="001C23C4"/>
    <w:rsid w:val="005F45F2"/>
    <w:rsid w:val="007546B5"/>
    <w:rsid w:val="007D78CB"/>
    <w:rsid w:val="008554E2"/>
    <w:rsid w:val="008B70A5"/>
    <w:rsid w:val="00A36C72"/>
    <w:rsid w:val="00AE22D4"/>
    <w:rsid w:val="00E46C57"/>
    <w:rsid w:val="00EF787A"/>
    <w:rsid w:val="00F1002C"/>
    <w:rsid w:val="09DF5D3D"/>
    <w:rsid w:val="56163D1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iPriority="99" w:semiHidden="0" w:name="annotation text"/>
    <w:lsdException w:uiPriority="99" w:semiHidden="0" w:name="header"/>
    <w:lsdException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iPriority="99" w:semiHidden="0" w:name="Body Text"/>
    <w:lsdException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link w:val="160"/>
    <w:qFormat/>
    <w:uiPriority w:val="0"/>
    <w:pPr>
      <w:keepNext/>
      <w:keepLines/>
      <w:spacing w:before="340" w:after="330"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129"/>
    <w:qFormat/>
    <w:uiPriority w:val="0"/>
    <w:pPr>
      <w:keepNext/>
      <w:keepLines/>
      <w:spacing w:before="260" w:after="260" w:line="413" w:lineRule="auto"/>
      <w:outlineLvl w:val="1"/>
    </w:pPr>
    <w:rPr>
      <w:rFonts w:ascii="Arial" w:hAnsi="Arial" w:eastAsia="黑体" w:cs="Times New Roman"/>
      <w:b/>
      <w:bCs/>
      <w:kern w:val="0"/>
      <w:sz w:val="32"/>
      <w:szCs w:val="32"/>
    </w:rPr>
  </w:style>
  <w:style w:type="paragraph" w:styleId="4">
    <w:name w:val="heading 3"/>
    <w:basedOn w:val="1"/>
    <w:next w:val="1"/>
    <w:link w:val="162"/>
    <w:qFormat/>
    <w:uiPriority w:val="0"/>
    <w:pPr>
      <w:spacing w:line="440" w:lineRule="atLeast"/>
      <w:outlineLvl w:val="2"/>
    </w:pPr>
    <w:rPr>
      <w:rFonts w:ascii="Times New Roman" w:hAnsi="Times New Roman" w:eastAsia="楷体_GB2312" w:cs="Times New Roman"/>
      <w:kern w:val="0"/>
      <w:sz w:val="28"/>
      <w:szCs w:val="20"/>
    </w:rPr>
  </w:style>
  <w:style w:type="paragraph" w:styleId="5">
    <w:name w:val="heading 4"/>
    <w:basedOn w:val="1"/>
    <w:next w:val="1"/>
    <w:link w:val="164"/>
    <w:qFormat/>
    <w:uiPriority w:val="0"/>
    <w:pPr>
      <w:keepNext/>
      <w:keepLines/>
      <w:spacing w:before="280" w:after="290" w:line="372" w:lineRule="auto"/>
      <w:outlineLvl w:val="3"/>
    </w:pPr>
    <w:rPr>
      <w:rFonts w:ascii="Arial" w:hAnsi="Arial" w:eastAsia="黑体" w:cs="Times New Roman"/>
      <w:b/>
      <w:bCs/>
      <w:kern w:val="0"/>
      <w:sz w:val="28"/>
      <w:szCs w:val="28"/>
    </w:rPr>
  </w:style>
  <w:style w:type="paragraph" w:styleId="6">
    <w:name w:val="heading 5"/>
    <w:basedOn w:val="1"/>
    <w:next w:val="1"/>
    <w:link w:val="137"/>
    <w:qFormat/>
    <w:uiPriority w:val="0"/>
    <w:pPr>
      <w:keepNext/>
      <w:keepLines/>
      <w:spacing w:before="280" w:after="290" w:line="372" w:lineRule="auto"/>
      <w:outlineLvl w:val="4"/>
    </w:pPr>
    <w:rPr>
      <w:rFonts w:ascii="Times New Roman" w:hAnsi="Times New Roman" w:eastAsia="宋体" w:cs="Times New Roman"/>
      <w:b/>
      <w:bCs/>
      <w:kern w:val="0"/>
      <w:sz w:val="28"/>
      <w:szCs w:val="28"/>
    </w:rPr>
  </w:style>
  <w:style w:type="character" w:default="1" w:styleId="47">
    <w:name w:val="Default Paragraph Font"/>
    <w:semiHidden/>
    <w:uiPriority w:val="0"/>
  </w:style>
  <w:style w:type="table" w:default="1" w:styleId="46">
    <w:name w:val="Normal Table"/>
    <w:semiHidden/>
    <w:uiPriority w:val="0"/>
    <w:tblPr>
      <w:tblLayout w:type="fixed"/>
      <w:tblCellMar>
        <w:top w:w="0" w:type="dxa"/>
        <w:left w:w="108" w:type="dxa"/>
        <w:bottom w:w="0" w:type="dxa"/>
        <w:right w:w="108" w:type="dxa"/>
      </w:tblCellMar>
    </w:tblPr>
  </w:style>
  <w:style w:type="paragraph" w:styleId="7">
    <w:name w:val="List 3"/>
    <w:basedOn w:val="1"/>
    <w:uiPriority w:val="0"/>
    <w:pPr>
      <w:ind w:left="100" w:leftChars="400" w:hanging="200" w:hangingChars="200"/>
    </w:pPr>
    <w:rPr>
      <w:rFonts w:ascii="Times New Roman" w:hAnsi="Times New Roman" w:eastAsia="宋体" w:cs="Times New Roman"/>
      <w:szCs w:val="24"/>
    </w:rPr>
  </w:style>
  <w:style w:type="paragraph" w:styleId="8">
    <w:name w:val="toc 7"/>
    <w:basedOn w:val="1"/>
    <w:next w:val="1"/>
    <w:uiPriority w:val="0"/>
    <w:pPr>
      <w:ind w:left="2520"/>
    </w:pPr>
    <w:rPr>
      <w:rFonts w:ascii="Times New Roman" w:hAnsi="Times New Roman" w:eastAsia="宋体" w:cs="Times New Roman"/>
      <w:szCs w:val="24"/>
    </w:rPr>
  </w:style>
  <w:style w:type="paragraph" w:styleId="9">
    <w:name w:val="Normal Indent"/>
    <w:basedOn w:val="1"/>
    <w:link w:val="182"/>
    <w:uiPriority w:val="0"/>
    <w:pPr>
      <w:autoSpaceDE w:val="0"/>
      <w:autoSpaceDN w:val="0"/>
      <w:adjustRightInd w:val="0"/>
      <w:ind w:firstLine="420"/>
      <w:jc w:val="left"/>
    </w:pPr>
    <w:rPr>
      <w:rFonts w:ascii="宋体" w:hAnsi="Times New Roman"/>
      <w:sz w:val="34"/>
    </w:rPr>
  </w:style>
  <w:style w:type="paragraph" w:styleId="10">
    <w:name w:val="caption"/>
    <w:basedOn w:val="1"/>
    <w:next w:val="1"/>
    <w:qFormat/>
    <w:uiPriority w:val="0"/>
    <w:rPr>
      <w:rFonts w:ascii="Arial" w:hAnsi="Arial" w:eastAsia="黑体" w:cs="Arial"/>
      <w:sz w:val="20"/>
      <w:szCs w:val="20"/>
    </w:rPr>
  </w:style>
  <w:style w:type="paragraph" w:styleId="11">
    <w:name w:val="Document Map"/>
    <w:basedOn w:val="1"/>
    <w:link w:val="173"/>
    <w:uiPriority w:val="0"/>
    <w:pPr>
      <w:shd w:val="clear" w:color="auto" w:fill="000080"/>
    </w:pPr>
    <w:rPr>
      <w:rFonts w:ascii="Times New Roman" w:hAnsi="Times New Roman"/>
      <w:szCs w:val="24"/>
    </w:rPr>
  </w:style>
  <w:style w:type="paragraph" w:styleId="12">
    <w:name w:val="toa heading"/>
    <w:basedOn w:val="1"/>
    <w:next w:val="1"/>
    <w:uiPriority w:val="0"/>
    <w:pPr>
      <w:spacing w:before="120"/>
    </w:pPr>
    <w:rPr>
      <w:rFonts w:ascii="Arial" w:hAnsi="Arial" w:eastAsia="宋体" w:cs="Arial"/>
      <w:sz w:val="24"/>
      <w:szCs w:val="24"/>
    </w:rPr>
  </w:style>
  <w:style w:type="paragraph" w:styleId="13">
    <w:name w:val="annotation text"/>
    <w:basedOn w:val="1"/>
    <w:link w:val="208"/>
    <w:unhideWhenUsed/>
    <w:uiPriority w:val="99"/>
    <w:pPr>
      <w:jc w:val="left"/>
    </w:pPr>
  </w:style>
  <w:style w:type="paragraph" w:styleId="14">
    <w:name w:val="Body Text"/>
    <w:basedOn w:val="1"/>
    <w:link w:val="128"/>
    <w:unhideWhenUsed/>
    <w:uiPriority w:val="99"/>
    <w:pPr>
      <w:spacing w:after="120"/>
    </w:pPr>
    <w:rPr>
      <w:rFonts w:ascii="Calibri" w:hAnsi="Calibri" w:eastAsia="宋体" w:cs="Times New Roman"/>
    </w:rPr>
  </w:style>
  <w:style w:type="paragraph" w:styleId="15">
    <w:name w:val="Body Text Indent"/>
    <w:basedOn w:val="1"/>
    <w:link w:val="200"/>
    <w:unhideWhenUsed/>
    <w:uiPriority w:val="0"/>
    <w:pPr>
      <w:spacing w:after="120"/>
      <w:ind w:left="420" w:leftChars="200"/>
    </w:pPr>
  </w:style>
  <w:style w:type="paragraph" w:styleId="16">
    <w:name w:val="List 2"/>
    <w:basedOn w:val="1"/>
    <w:uiPriority w:val="0"/>
    <w:pPr>
      <w:ind w:left="100" w:leftChars="200" w:hanging="200" w:hangingChars="200"/>
    </w:pPr>
    <w:rPr>
      <w:rFonts w:ascii="Times New Roman" w:hAnsi="Times New Roman" w:eastAsia="宋体" w:cs="Times New Roman"/>
      <w:szCs w:val="24"/>
    </w:rPr>
  </w:style>
  <w:style w:type="paragraph" w:styleId="17">
    <w:name w:val="toc 5"/>
    <w:basedOn w:val="1"/>
    <w:next w:val="1"/>
    <w:uiPriority w:val="0"/>
    <w:pPr>
      <w:ind w:left="1680"/>
    </w:pPr>
    <w:rPr>
      <w:rFonts w:ascii="Times New Roman" w:hAnsi="Times New Roman" w:eastAsia="宋体" w:cs="Times New Roman"/>
      <w:szCs w:val="24"/>
    </w:rPr>
  </w:style>
  <w:style w:type="paragraph" w:styleId="18">
    <w:name w:val="toc 3"/>
    <w:basedOn w:val="1"/>
    <w:next w:val="1"/>
    <w:uiPriority w:val="39"/>
    <w:pPr>
      <w:spacing w:line="360" w:lineRule="auto"/>
      <w:ind w:left="400" w:leftChars="400"/>
    </w:pPr>
    <w:rPr>
      <w:rFonts w:ascii="Times New Roman" w:hAnsi="Times New Roman" w:eastAsia="宋体" w:cs="Times New Roman"/>
      <w:szCs w:val="24"/>
    </w:rPr>
  </w:style>
  <w:style w:type="paragraph" w:styleId="19">
    <w:name w:val="Plain Text"/>
    <w:basedOn w:val="1"/>
    <w:link w:val="191"/>
    <w:qFormat/>
    <w:uiPriority w:val="0"/>
    <w:rPr>
      <w:rFonts w:ascii="宋体" w:hAnsi="Courier New"/>
      <w:szCs w:val="21"/>
    </w:rPr>
  </w:style>
  <w:style w:type="paragraph" w:styleId="20">
    <w:name w:val="toc 8"/>
    <w:basedOn w:val="1"/>
    <w:next w:val="1"/>
    <w:uiPriority w:val="0"/>
    <w:pPr>
      <w:ind w:left="2940"/>
    </w:pPr>
    <w:rPr>
      <w:rFonts w:ascii="Times New Roman" w:hAnsi="Times New Roman" w:eastAsia="宋体" w:cs="Times New Roman"/>
      <w:szCs w:val="24"/>
    </w:rPr>
  </w:style>
  <w:style w:type="paragraph" w:styleId="21">
    <w:name w:val="index 3"/>
    <w:basedOn w:val="1"/>
    <w:next w:val="1"/>
    <w:uiPriority w:val="0"/>
    <w:pPr>
      <w:ind w:left="400" w:leftChars="400"/>
    </w:pPr>
    <w:rPr>
      <w:rFonts w:ascii="Times New Roman" w:hAnsi="Times New Roman" w:eastAsia="宋体" w:cs="Times New Roman"/>
      <w:szCs w:val="24"/>
    </w:rPr>
  </w:style>
  <w:style w:type="paragraph" w:styleId="22">
    <w:name w:val="Date"/>
    <w:basedOn w:val="1"/>
    <w:next w:val="1"/>
    <w:link w:val="168"/>
    <w:uiPriority w:val="0"/>
    <w:pPr>
      <w:ind w:left="100" w:leftChars="2500"/>
    </w:pPr>
    <w:rPr>
      <w:rFonts w:ascii="Times New Roman" w:hAnsi="Times New Roman"/>
      <w:b/>
      <w:bCs/>
      <w:sz w:val="36"/>
      <w:szCs w:val="24"/>
    </w:rPr>
  </w:style>
  <w:style w:type="paragraph" w:styleId="23">
    <w:name w:val="Body Text Indent 2"/>
    <w:basedOn w:val="1"/>
    <w:link w:val="146"/>
    <w:uiPriority w:val="0"/>
    <w:pPr>
      <w:spacing w:after="120" w:line="480" w:lineRule="auto"/>
      <w:ind w:left="420" w:leftChars="200"/>
    </w:pPr>
    <w:rPr>
      <w:rFonts w:ascii="Times New Roman" w:hAnsi="Times New Roman"/>
      <w:szCs w:val="24"/>
    </w:rPr>
  </w:style>
  <w:style w:type="paragraph" w:styleId="24">
    <w:name w:val="Balloon Text"/>
    <w:basedOn w:val="1"/>
    <w:link w:val="150"/>
    <w:uiPriority w:val="0"/>
    <w:rPr>
      <w:rFonts w:ascii="Times New Roman" w:hAnsi="Times New Roman"/>
      <w:sz w:val="18"/>
      <w:szCs w:val="18"/>
    </w:rPr>
  </w:style>
  <w:style w:type="paragraph" w:styleId="25">
    <w:name w:val="footer"/>
    <w:basedOn w:val="1"/>
    <w:link w:val="135"/>
    <w:unhideWhenUsed/>
    <w:uiPriority w:val="99"/>
    <w:pPr>
      <w:tabs>
        <w:tab w:val="center" w:pos="4153"/>
        <w:tab w:val="right" w:pos="8306"/>
      </w:tabs>
      <w:snapToGrid w:val="0"/>
      <w:jc w:val="left"/>
    </w:pPr>
    <w:rPr>
      <w:rFonts w:ascii="Calibri" w:hAnsi="Calibri" w:eastAsia="宋体" w:cs="Times New Roman"/>
      <w:sz w:val="18"/>
      <w:szCs w:val="18"/>
    </w:rPr>
  </w:style>
  <w:style w:type="paragraph" w:styleId="26">
    <w:name w:val="header"/>
    <w:basedOn w:val="1"/>
    <w:link w:val="103"/>
    <w:unhideWhenUsed/>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7">
    <w:name w:val="toc 1"/>
    <w:basedOn w:val="2"/>
    <w:next w:val="1"/>
    <w:uiPriority w:val="39"/>
    <w:pPr>
      <w:tabs>
        <w:tab w:val="right" w:leader="dot" w:pos="8659"/>
      </w:tabs>
      <w:spacing w:before="0" w:after="0" w:line="240" w:lineRule="auto"/>
      <w:jc w:val="center"/>
    </w:pPr>
    <w:rPr>
      <w:b w:val="0"/>
      <w:sz w:val="21"/>
    </w:rPr>
  </w:style>
  <w:style w:type="paragraph" w:styleId="28">
    <w:name w:val="toc 4"/>
    <w:basedOn w:val="1"/>
    <w:next w:val="1"/>
    <w:uiPriority w:val="0"/>
    <w:pPr>
      <w:ind w:left="1260"/>
    </w:pPr>
    <w:rPr>
      <w:rFonts w:ascii="Times New Roman" w:hAnsi="Times New Roman" w:eastAsia="宋体" w:cs="Times New Roman"/>
      <w:szCs w:val="24"/>
    </w:rPr>
  </w:style>
  <w:style w:type="paragraph" w:styleId="29">
    <w:name w:val="List"/>
    <w:basedOn w:val="1"/>
    <w:uiPriority w:val="0"/>
    <w:pPr>
      <w:ind w:left="200" w:hanging="200" w:hangingChars="200"/>
    </w:pPr>
    <w:rPr>
      <w:rFonts w:ascii="Times New Roman" w:hAnsi="Times New Roman" w:eastAsia="宋体" w:cs="Times New Roman"/>
      <w:szCs w:val="24"/>
    </w:rPr>
  </w:style>
  <w:style w:type="paragraph" w:styleId="30">
    <w:name w:val="footnote text"/>
    <w:basedOn w:val="1"/>
    <w:link w:val="113"/>
    <w:uiPriority w:val="0"/>
    <w:pPr>
      <w:snapToGrid w:val="0"/>
      <w:jc w:val="left"/>
    </w:pPr>
    <w:rPr>
      <w:rFonts w:ascii="Times New Roman" w:hAnsi="Times New Roman"/>
      <w:sz w:val="18"/>
      <w:szCs w:val="18"/>
    </w:rPr>
  </w:style>
  <w:style w:type="paragraph" w:styleId="31">
    <w:name w:val="toc 6"/>
    <w:basedOn w:val="1"/>
    <w:next w:val="1"/>
    <w:uiPriority w:val="0"/>
    <w:pPr>
      <w:ind w:left="2100"/>
    </w:pPr>
    <w:rPr>
      <w:rFonts w:ascii="Times New Roman" w:hAnsi="Times New Roman" w:eastAsia="宋体" w:cs="Times New Roman"/>
      <w:szCs w:val="24"/>
    </w:rPr>
  </w:style>
  <w:style w:type="paragraph" w:styleId="32">
    <w:name w:val="Body Text Indent 3"/>
    <w:basedOn w:val="1"/>
    <w:link w:val="159"/>
    <w:uiPriority w:val="0"/>
    <w:pPr>
      <w:spacing w:line="540" w:lineRule="atLeast"/>
      <w:ind w:firstLine="480" w:firstLineChars="200"/>
    </w:pPr>
    <w:rPr>
      <w:rFonts w:ascii="Times New Roman" w:hAnsi="Times New Roman"/>
      <w:sz w:val="24"/>
      <w:szCs w:val="24"/>
    </w:rPr>
  </w:style>
  <w:style w:type="paragraph" w:styleId="33">
    <w:name w:val="table of figures"/>
    <w:basedOn w:val="1"/>
    <w:next w:val="1"/>
    <w:uiPriority w:val="0"/>
    <w:pPr>
      <w:ind w:left="200" w:leftChars="200" w:hanging="200" w:hangingChars="200"/>
    </w:pPr>
    <w:rPr>
      <w:rFonts w:ascii="Times New Roman" w:hAnsi="Times New Roman" w:eastAsia="宋体" w:cs="Times New Roman"/>
      <w:szCs w:val="24"/>
    </w:rPr>
  </w:style>
  <w:style w:type="paragraph" w:styleId="34">
    <w:name w:val="toc 2"/>
    <w:basedOn w:val="1"/>
    <w:next w:val="1"/>
    <w:uiPriority w:val="39"/>
    <w:pPr>
      <w:spacing w:line="360" w:lineRule="auto"/>
      <w:ind w:left="200" w:leftChars="200"/>
    </w:pPr>
    <w:rPr>
      <w:rFonts w:ascii="Times New Roman" w:hAnsi="Times New Roman" w:eastAsia="宋体" w:cs="Times New Roman"/>
      <w:szCs w:val="24"/>
    </w:rPr>
  </w:style>
  <w:style w:type="paragraph" w:styleId="35">
    <w:name w:val="toc 9"/>
    <w:basedOn w:val="1"/>
    <w:next w:val="1"/>
    <w:uiPriority w:val="0"/>
    <w:pPr>
      <w:ind w:left="3360"/>
    </w:pPr>
    <w:rPr>
      <w:rFonts w:ascii="Times New Roman" w:hAnsi="Times New Roman" w:eastAsia="宋体" w:cs="Times New Roman"/>
      <w:szCs w:val="24"/>
    </w:rPr>
  </w:style>
  <w:style w:type="paragraph" w:styleId="36">
    <w:name w:val="Body Text 2"/>
    <w:basedOn w:val="1"/>
    <w:link w:val="105"/>
    <w:uiPriority w:val="0"/>
    <w:pPr>
      <w:spacing w:after="120" w:line="480" w:lineRule="auto"/>
    </w:pPr>
    <w:rPr>
      <w:rFonts w:ascii="Times New Roman" w:hAnsi="Times New Roman"/>
      <w:szCs w:val="24"/>
    </w:rPr>
  </w:style>
  <w:style w:type="paragraph" w:styleId="37">
    <w:name w:val="List 4"/>
    <w:basedOn w:val="1"/>
    <w:uiPriority w:val="0"/>
    <w:pPr>
      <w:ind w:left="100" w:leftChars="600" w:hanging="200" w:hangingChars="200"/>
    </w:pPr>
    <w:rPr>
      <w:rFonts w:ascii="Times New Roman" w:hAnsi="Times New Roman" w:eastAsia="宋体" w:cs="Times New Roman"/>
      <w:szCs w:val="24"/>
    </w:rPr>
  </w:style>
  <w:style w:type="paragraph" w:styleId="38">
    <w:name w:val="List Continue 2"/>
    <w:basedOn w:val="1"/>
    <w:uiPriority w:val="0"/>
    <w:pPr>
      <w:spacing w:after="120"/>
      <w:ind w:left="840" w:leftChars="400"/>
    </w:pPr>
    <w:rPr>
      <w:rFonts w:ascii="Times New Roman" w:hAnsi="Times New Roman" w:eastAsia="宋体" w:cs="Times New Roman"/>
      <w:szCs w:val="24"/>
    </w:rPr>
  </w:style>
  <w:style w:type="paragraph" w:styleId="39">
    <w:name w:val="Normal (Web)"/>
    <w:basedOn w:val="1"/>
    <w:uiPriority w:val="99"/>
    <w:pPr>
      <w:widowControl/>
      <w:spacing w:before="100" w:beforeAutospacing="1" w:after="100" w:afterAutospacing="1"/>
      <w:jc w:val="left"/>
    </w:pPr>
    <w:rPr>
      <w:rFonts w:ascii="宋体" w:hAnsi="宋体" w:eastAsia="宋体" w:cs="宋体"/>
      <w:kern w:val="0"/>
      <w:sz w:val="24"/>
      <w:szCs w:val="24"/>
    </w:rPr>
  </w:style>
  <w:style w:type="paragraph" w:styleId="40">
    <w:name w:val="index 1"/>
    <w:basedOn w:val="1"/>
    <w:next w:val="1"/>
    <w:uiPriority w:val="0"/>
    <w:pPr>
      <w:spacing w:line="320" w:lineRule="exact"/>
    </w:pPr>
    <w:rPr>
      <w:rFonts w:ascii="Times New Roman" w:hAnsi="Times New Roman" w:eastAsia="宋体" w:cs="Times New Roman"/>
      <w:snapToGrid w:val="0"/>
      <w:color w:val="FF6600"/>
      <w:kern w:val="0"/>
      <w:sz w:val="18"/>
      <w:szCs w:val="21"/>
    </w:rPr>
  </w:style>
  <w:style w:type="paragraph" w:styleId="41">
    <w:name w:val="index 2"/>
    <w:basedOn w:val="1"/>
    <w:next w:val="1"/>
    <w:uiPriority w:val="0"/>
    <w:pPr>
      <w:ind w:left="200" w:leftChars="200"/>
    </w:pPr>
    <w:rPr>
      <w:rFonts w:ascii="Times New Roman" w:hAnsi="Times New Roman" w:eastAsia="宋体" w:cs="Times New Roman"/>
      <w:szCs w:val="24"/>
    </w:rPr>
  </w:style>
  <w:style w:type="paragraph" w:styleId="42">
    <w:name w:val="Title"/>
    <w:basedOn w:val="1"/>
    <w:link w:val="97"/>
    <w:qFormat/>
    <w:uiPriority w:val="0"/>
    <w:pPr>
      <w:spacing w:before="240" w:after="60"/>
      <w:jc w:val="center"/>
      <w:outlineLvl w:val="0"/>
    </w:pPr>
    <w:rPr>
      <w:rFonts w:ascii="Arial" w:hAnsi="Arial"/>
      <w:b/>
      <w:bCs/>
      <w:sz w:val="32"/>
      <w:szCs w:val="32"/>
    </w:rPr>
  </w:style>
  <w:style w:type="paragraph" w:styleId="43">
    <w:name w:val="annotation subject"/>
    <w:basedOn w:val="13"/>
    <w:next w:val="13"/>
    <w:link w:val="153"/>
    <w:semiHidden/>
    <w:uiPriority w:val="0"/>
    <w:rPr>
      <w:rFonts w:ascii="Times New Roman" w:hAnsi="Times New Roman"/>
      <w:b/>
      <w:bCs/>
      <w:szCs w:val="24"/>
    </w:rPr>
  </w:style>
  <w:style w:type="paragraph" w:styleId="44">
    <w:name w:val="Body Text First Indent"/>
    <w:basedOn w:val="14"/>
    <w:link w:val="187"/>
    <w:uiPriority w:val="0"/>
    <w:pPr>
      <w:ind w:firstLine="420" w:firstLineChars="100"/>
    </w:pPr>
    <w:rPr>
      <w:rFonts w:ascii="Times New Roman" w:hAnsi="Times New Roman" w:eastAsia="等线" w:cs="Times New Roman"/>
      <w:szCs w:val="24"/>
    </w:rPr>
  </w:style>
  <w:style w:type="paragraph" w:styleId="45">
    <w:name w:val="Body Text First Indent 2"/>
    <w:basedOn w:val="15"/>
    <w:link w:val="193"/>
    <w:uiPriority w:val="0"/>
    <w:pPr>
      <w:ind w:firstLine="420" w:firstLineChars="200"/>
    </w:pPr>
    <w:rPr>
      <w:rFonts w:ascii="Times New Roman" w:hAnsi="Times New Roman"/>
      <w:szCs w:val="24"/>
    </w:rPr>
  </w:style>
  <w:style w:type="character" w:styleId="48">
    <w:name w:val="page number"/>
    <w:uiPriority w:val="0"/>
    <w:rPr>
      <w:rFonts w:ascii="等线" w:hAnsi="等线" w:eastAsia="等线" w:cs="Times New Roman"/>
    </w:rPr>
  </w:style>
  <w:style w:type="character" w:styleId="49">
    <w:name w:val="FollowedHyperlink"/>
    <w:unhideWhenUsed/>
    <w:uiPriority w:val="99"/>
    <w:rPr>
      <w:rFonts w:ascii="等线" w:hAnsi="等线" w:eastAsia="等线" w:cs="Times New Roman"/>
      <w:color w:val="954F72"/>
      <w:u w:val="single"/>
    </w:rPr>
  </w:style>
  <w:style w:type="character" w:styleId="50">
    <w:name w:val="Emphasis"/>
    <w:qFormat/>
    <w:uiPriority w:val="20"/>
    <w:rPr>
      <w:rFonts w:ascii="等线" w:hAnsi="等线" w:eastAsia="等线" w:cs="Times New Roman"/>
      <w:i/>
      <w:iCs/>
    </w:rPr>
  </w:style>
  <w:style w:type="character" w:styleId="51">
    <w:name w:val="Hyperlink"/>
    <w:uiPriority w:val="99"/>
    <w:rPr>
      <w:rFonts w:ascii="等线" w:hAnsi="等线" w:eastAsia="等线" w:cs="Times New Roman"/>
      <w:color w:val="0000FF"/>
      <w:u w:val="single"/>
    </w:rPr>
  </w:style>
  <w:style w:type="character" w:styleId="52">
    <w:name w:val="annotation reference"/>
    <w:uiPriority w:val="0"/>
    <w:rPr>
      <w:rFonts w:ascii="等线" w:hAnsi="等线" w:eastAsia="等线" w:cs="Times New Roman"/>
      <w:sz w:val="21"/>
      <w:szCs w:val="21"/>
    </w:rPr>
  </w:style>
  <w:style w:type="character" w:styleId="53">
    <w:name w:val="footnote reference"/>
    <w:uiPriority w:val="0"/>
    <w:rPr>
      <w:rFonts w:ascii="等线" w:hAnsi="等线" w:eastAsia="等线" w:cs="Times New Roman"/>
      <w:vertAlign w:val="superscript"/>
    </w:rPr>
  </w:style>
  <w:style w:type="paragraph" w:customStyle="1" w:styleId="54">
    <w:name w:val="reader-word-layer"/>
    <w:basedOn w:val="1"/>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55">
    <w:name w:val="表"/>
    <w:basedOn w:val="1"/>
    <w:uiPriority w:val="0"/>
    <w:pPr>
      <w:spacing w:line="360" w:lineRule="auto"/>
      <w:jc w:val="center"/>
    </w:pPr>
    <w:rPr>
      <w:rFonts w:ascii="Times New Roman" w:hAnsi="Times New Roman" w:eastAsia="宋体" w:cs="Times New Roman"/>
      <w:color w:val="000000"/>
      <w:szCs w:val="21"/>
    </w:rPr>
  </w:style>
  <w:style w:type="paragraph" w:customStyle="1" w:styleId="56">
    <w:name w:val="表1"/>
    <w:basedOn w:val="1"/>
    <w:uiPriority w:val="0"/>
    <w:pPr>
      <w:tabs>
        <w:tab w:val="left" w:pos="720"/>
        <w:tab w:val="left" w:pos="851"/>
      </w:tabs>
      <w:overflowPunct w:val="0"/>
      <w:autoSpaceDE w:val="0"/>
      <w:autoSpaceDN w:val="0"/>
      <w:adjustRightInd w:val="0"/>
      <w:spacing w:before="200" w:line="320" w:lineRule="atLeast"/>
      <w:ind w:firstLine="624"/>
      <w:textAlignment w:val="baseline"/>
    </w:pPr>
    <w:rPr>
      <w:rFonts w:ascii="Times New Roman" w:hAnsi="Times New Roman" w:eastAsia="宋体" w:cs="Times New Roman"/>
      <w:kern w:val="0"/>
      <w:sz w:val="24"/>
      <w:szCs w:val="20"/>
    </w:rPr>
  </w:style>
  <w:style w:type="paragraph" w:customStyle="1" w:styleId="57">
    <w:name w:val="无间隔1"/>
    <w:qFormat/>
    <w:uiPriority w:val="99"/>
    <w:pPr>
      <w:widowControl w:val="0"/>
      <w:jc w:val="both"/>
    </w:pPr>
    <w:rPr>
      <w:rFonts w:ascii="Calibri" w:hAnsi="Calibri" w:eastAsia="宋体" w:cs="Times New Roman"/>
      <w:kern w:val="2"/>
      <w:sz w:val="21"/>
      <w:szCs w:val="22"/>
      <w:lang w:val="en-US" w:eastAsia="zh-CN" w:bidi="ar-SA"/>
    </w:rPr>
  </w:style>
  <w:style w:type="paragraph" w:customStyle="1" w:styleId="58">
    <w:name w:val="样式 样式1 + 首行缩进:  2 字符"/>
    <w:basedOn w:val="59"/>
    <w:link w:val="188"/>
    <w:uiPriority w:val="0"/>
    <w:pPr>
      <w:spacing w:line="360" w:lineRule="exact"/>
      <w:ind w:firstLine="420" w:firstLineChars="200"/>
      <w:jc w:val="both"/>
    </w:pPr>
    <w:rPr>
      <w:rFonts w:ascii="Arial" w:hAnsi="Arial" w:eastAsia="等线" w:cs="Times New Roman"/>
      <w:sz w:val="24"/>
      <w:szCs w:val="22"/>
    </w:rPr>
  </w:style>
  <w:style w:type="paragraph" w:customStyle="1" w:styleId="59">
    <w:name w:val="样式1"/>
    <w:basedOn w:val="1"/>
    <w:uiPriority w:val="0"/>
    <w:pPr>
      <w:spacing w:line="360" w:lineRule="auto"/>
      <w:jc w:val="center"/>
    </w:pPr>
    <w:rPr>
      <w:rFonts w:ascii="宋体" w:hAnsi="宋体" w:eastAsia="宋体" w:cs="Times New Roman"/>
      <w:sz w:val="32"/>
      <w:szCs w:val="30"/>
    </w:rPr>
  </w:style>
  <w:style w:type="paragraph" w:customStyle="1" w:styleId="60">
    <w:name w:val="0"/>
    <w:basedOn w:val="1"/>
    <w:uiPriority w:val="0"/>
    <w:pPr>
      <w:widowControl/>
    </w:pPr>
    <w:rPr>
      <w:rFonts w:ascii="Times New Roman" w:hAnsi="Times New Roman" w:eastAsia="宋体" w:cs="Times New Roman"/>
      <w:kern w:val="0"/>
      <w:szCs w:val="20"/>
    </w:rPr>
  </w:style>
  <w:style w:type="paragraph" w:customStyle="1" w:styleId="61">
    <w:name w:val="样式 标题 1 + (符号) Arial 三号"/>
    <w:basedOn w:val="2"/>
    <w:uiPriority w:val="0"/>
    <w:pPr>
      <w:snapToGrid w:val="0"/>
      <w:spacing w:before="0" w:after="0" w:line="360" w:lineRule="auto"/>
    </w:pPr>
    <w:rPr>
      <w:sz w:val="32"/>
    </w:rPr>
  </w:style>
  <w:style w:type="paragraph" w:customStyle="1" w:styleId="62">
    <w:name w:val="Char Char Char Char Char Char Char Char Char Char"/>
    <w:basedOn w:val="1"/>
    <w:uiPriority w:val="0"/>
    <w:pPr>
      <w:widowControl/>
      <w:spacing w:after="160" w:line="240" w:lineRule="exact"/>
      <w:jc w:val="left"/>
    </w:pPr>
    <w:rPr>
      <w:rFonts w:ascii="Times New Roman" w:hAnsi="Times New Roman" w:eastAsia="宋体" w:cs="Times New Roman"/>
      <w:szCs w:val="20"/>
    </w:rPr>
  </w:style>
  <w:style w:type="paragraph" w:customStyle="1" w:styleId="63">
    <w:name w:val="Char Char Char Char"/>
    <w:basedOn w:val="1"/>
    <w:uiPriority w:val="0"/>
    <w:rPr>
      <w:rFonts w:ascii="仿宋_GB2312" w:hAnsi="Times New Roman" w:eastAsia="仿宋_GB2312" w:cs="Times New Roman"/>
      <w:b/>
      <w:sz w:val="32"/>
      <w:szCs w:val="32"/>
    </w:rPr>
  </w:style>
  <w:style w:type="paragraph" w:customStyle="1" w:styleId="64">
    <w:name w:val="_Style 6"/>
    <w:next w:val="1"/>
    <w:uiPriority w:val="0"/>
    <w:pPr>
      <w:widowControl w:val="0"/>
      <w:jc w:val="both"/>
    </w:pPr>
    <w:rPr>
      <w:rFonts w:ascii="Calibri" w:hAnsi="Calibri" w:eastAsia="宋体" w:cs="Times New Roman"/>
      <w:kern w:val="2"/>
      <w:sz w:val="21"/>
      <w:szCs w:val="22"/>
      <w:lang w:val="en-US" w:eastAsia="zh-CN" w:bidi="ar-SA"/>
    </w:rPr>
  </w:style>
  <w:style w:type="paragraph" w:customStyle="1" w:styleId="65">
    <w:name w:val="样式 正文文本"/>
    <w:basedOn w:val="1"/>
    <w:uiPriority w:val="0"/>
    <w:pPr>
      <w:adjustRightInd w:val="0"/>
      <w:snapToGrid w:val="0"/>
      <w:spacing w:line="400" w:lineRule="exact"/>
      <w:ind w:firstLine="200" w:firstLineChars="200"/>
    </w:pPr>
    <w:rPr>
      <w:rFonts w:ascii="Arial" w:hAnsi="Arial" w:eastAsia="宋体" w:cs="Times New Roman"/>
      <w:color w:val="000000"/>
      <w:szCs w:val="20"/>
    </w:rPr>
  </w:style>
  <w:style w:type="paragraph" w:customStyle="1" w:styleId="66">
    <w:name w:val="一、"/>
    <w:basedOn w:val="1"/>
    <w:link w:val="156"/>
    <w:qFormat/>
    <w:uiPriority w:val="0"/>
    <w:pPr>
      <w:widowControl/>
      <w:tabs>
        <w:tab w:val="left" w:pos="720"/>
      </w:tabs>
      <w:spacing w:line="560" w:lineRule="exact"/>
      <w:ind w:firstLine="562" w:firstLineChars="200"/>
      <w:jc w:val="left"/>
      <w:outlineLvl w:val="1"/>
    </w:pPr>
    <w:rPr>
      <w:rFonts w:ascii="仿宋_GB2312" w:hAnsi="宋体" w:eastAsia="仿宋_GB2312"/>
      <w:b/>
      <w:sz w:val="28"/>
      <w:szCs w:val="28"/>
    </w:rPr>
  </w:style>
  <w:style w:type="paragraph" w:customStyle="1" w:styleId="67">
    <w:name w:val="28磅"/>
    <w:basedOn w:val="1"/>
    <w:link w:val="133"/>
    <w:qFormat/>
    <w:uiPriority w:val="0"/>
    <w:pPr>
      <w:spacing w:line="560" w:lineRule="exact"/>
      <w:ind w:firstLine="548" w:firstLineChars="200"/>
    </w:pPr>
    <w:rPr>
      <w:rFonts w:ascii="仿宋_GB2312" w:eastAsia="仿宋_GB2312"/>
      <w:sz w:val="28"/>
      <w:szCs w:val="28"/>
    </w:rPr>
  </w:style>
  <w:style w:type="paragraph" w:customStyle="1" w:styleId="68">
    <w:name w:val="_Style 10"/>
    <w:basedOn w:val="1"/>
    <w:next w:val="1"/>
    <w:uiPriority w:val="0"/>
    <w:rPr>
      <w:rFonts w:ascii="Times New Roman" w:hAnsi="Times New Roman" w:eastAsia="宋体" w:cs="Times New Roman"/>
      <w:szCs w:val="24"/>
    </w:rPr>
  </w:style>
  <w:style w:type="paragraph" w:customStyle="1" w:styleId="69">
    <w:name w:val="样式 一号 加粗 居中"/>
    <w:basedOn w:val="1"/>
    <w:uiPriority w:val="0"/>
    <w:pPr>
      <w:jc w:val="center"/>
    </w:pPr>
    <w:rPr>
      <w:rFonts w:ascii="Times New Roman" w:hAnsi="Times New Roman" w:eastAsia="宋体" w:cs="宋体"/>
      <w:bCs/>
      <w:sz w:val="52"/>
      <w:szCs w:val="20"/>
    </w:rPr>
  </w:style>
  <w:style w:type="paragraph" w:styleId="70">
    <w:name w:val="List Paragraph"/>
    <w:basedOn w:val="1"/>
    <w:qFormat/>
    <w:uiPriority w:val="0"/>
    <w:pPr>
      <w:spacing w:before="100" w:beforeAutospacing="1" w:after="100" w:afterAutospacing="1" w:line="300" w:lineRule="auto"/>
      <w:ind w:firstLine="420" w:firstLineChars="200"/>
    </w:pPr>
    <w:rPr>
      <w:rFonts w:ascii="Calibri" w:hAnsi="Calibri" w:eastAsia="宋体" w:cs="Times New Roman"/>
    </w:rPr>
  </w:style>
  <w:style w:type="paragraph" w:customStyle="1" w:styleId="71">
    <w:name w:val="19"/>
    <w:basedOn w:val="1"/>
    <w:uiPriority w:val="0"/>
    <w:pPr>
      <w:widowControl/>
      <w:snapToGrid w:val="0"/>
      <w:spacing w:before="100" w:beforeAutospacing="1" w:after="120" w:line="360" w:lineRule="atLeast"/>
      <w:jc w:val="left"/>
    </w:pPr>
    <w:rPr>
      <w:rFonts w:ascii="宋体" w:hAnsi="宋体" w:eastAsia="宋体" w:cs="Times New Roman"/>
      <w:kern w:val="0"/>
      <w:sz w:val="28"/>
      <w:szCs w:val="20"/>
    </w:rPr>
  </w:style>
  <w:style w:type="paragraph" w:customStyle="1" w:styleId="72">
    <w:name w:val="_Style 5"/>
    <w:basedOn w:val="1"/>
    <w:next w:val="1"/>
    <w:uiPriority w:val="0"/>
    <w:rPr>
      <w:rFonts w:ascii="Times New Roman" w:hAnsi="Times New Roman" w:eastAsia="宋体" w:cs="Times New Roman"/>
      <w:szCs w:val="20"/>
    </w:rPr>
  </w:style>
  <w:style w:type="paragraph" w:customStyle="1" w:styleId="73">
    <w:name w:val="正文段"/>
    <w:basedOn w:val="1"/>
    <w:uiPriority w:val="0"/>
    <w:pPr>
      <w:spacing w:line="360" w:lineRule="auto"/>
      <w:ind w:firstLine="420"/>
    </w:pPr>
    <w:rPr>
      <w:rFonts w:ascii="宋体" w:hAnsi="Times New Roman" w:eastAsia="宋体" w:cs="Times New Roman"/>
      <w:sz w:val="24"/>
      <w:szCs w:val="24"/>
    </w:rPr>
  </w:style>
  <w:style w:type="paragraph" w:customStyle="1" w:styleId="74">
    <w:name w:val="Blockquote"/>
    <w:basedOn w:val="1"/>
    <w:uiPriority w:val="0"/>
    <w:pPr>
      <w:autoSpaceDE w:val="0"/>
      <w:autoSpaceDN w:val="0"/>
      <w:adjustRightInd w:val="0"/>
      <w:spacing w:before="100" w:after="100"/>
      <w:ind w:left="360" w:right="360"/>
      <w:jc w:val="left"/>
    </w:pPr>
    <w:rPr>
      <w:rFonts w:ascii="Times New Roman" w:hAnsi="Times New Roman" w:eastAsia="宋体" w:cs="Times New Roman"/>
      <w:kern w:val="0"/>
      <w:sz w:val="24"/>
      <w:szCs w:val="20"/>
    </w:rPr>
  </w:style>
  <w:style w:type="paragraph" w:customStyle="1" w:styleId="75">
    <w:name w:val="表格一"/>
    <w:basedOn w:val="1"/>
    <w:uiPriority w:val="0"/>
    <w:pPr>
      <w:spacing w:line="240" w:lineRule="exact"/>
      <w:ind w:left="105" w:leftChars="50"/>
    </w:pPr>
    <w:rPr>
      <w:rFonts w:ascii="Times New Roman" w:hAnsi="Times New Roman" w:eastAsia="宋体" w:cs="Times New Roman"/>
      <w:sz w:val="18"/>
      <w:szCs w:val="21"/>
    </w:rPr>
  </w:style>
  <w:style w:type="paragraph" w:customStyle="1" w:styleId="76">
    <w:name w:val="Char1"/>
    <w:basedOn w:val="1"/>
    <w:uiPriority w:val="0"/>
    <w:pPr>
      <w:widowControl/>
      <w:spacing w:after="160" w:line="240" w:lineRule="exact"/>
      <w:jc w:val="left"/>
    </w:pPr>
    <w:rPr>
      <w:rFonts w:ascii="Tahoma" w:hAnsi="Tahoma" w:eastAsia="宋体" w:cs="Times New Roman"/>
      <w:kern w:val="0"/>
      <w:sz w:val="24"/>
      <w:szCs w:val="24"/>
      <w:lang w:eastAsia="en-US"/>
    </w:rPr>
  </w:style>
  <w:style w:type="paragraph" w:customStyle="1" w:styleId="77">
    <w:name w:val="Char Char Char Char Char Char Char"/>
    <w:basedOn w:val="1"/>
    <w:uiPriority w:val="0"/>
    <w:pPr>
      <w:widowControl/>
      <w:spacing w:after="160" w:line="240" w:lineRule="exact"/>
      <w:jc w:val="left"/>
    </w:pPr>
    <w:rPr>
      <w:rFonts w:ascii="Times New Roman" w:hAnsi="Times New Roman" w:eastAsia="宋体" w:cs="Times New Roman"/>
      <w:szCs w:val="20"/>
    </w:rPr>
  </w:style>
  <w:style w:type="paragraph" w:customStyle="1" w:styleId="78">
    <w:name w:val="列出段落1"/>
    <w:basedOn w:val="1"/>
    <w:uiPriority w:val="0"/>
    <w:pPr>
      <w:ind w:firstLine="420" w:firstLineChars="200"/>
    </w:pPr>
    <w:rPr>
      <w:rFonts w:ascii="Calibri" w:hAnsi="Calibri" w:eastAsia="宋体" w:cs="Times New Roman"/>
    </w:rPr>
  </w:style>
  <w:style w:type="paragraph" w:customStyle="1" w:styleId="79">
    <w:name w:val="小正文"/>
    <w:basedOn w:val="80"/>
    <w:link w:val="180"/>
    <w:qFormat/>
    <w:uiPriority w:val="0"/>
    <w:pPr>
      <w:spacing w:line="560" w:lineRule="exact"/>
      <w:ind w:firstLine="560" w:firstLineChars="200"/>
      <w:jc w:val="left"/>
    </w:pPr>
    <w:rPr>
      <w:rFonts w:ascii="仿宋_GB2312" w:hAnsi="宋体" w:eastAsia="仿宋_GB2312" w:cs="Times New Roman"/>
      <w:sz w:val="28"/>
      <w:szCs w:val="28"/>
      <w:lang w:val="en-US"/>
    </w:rPr>
  </w:style>
  <w:style w:type="paragraph" w:customStyle="1" w:styleId="80">
    <w:name w:val="Char"/>
    <w:basedOn w:val="1"/>
    <w:uiPriority w:val="0"/>
    <w:pPr>
      <w:spacing w:line="360" w:lineRule="auto"/>
    </w:pPr>
    <w:rPr>
      <w:rFonts w:ascii="黑体" w:hAnsi="黑体" w:eastAsia="宋体" w:cs="Times New Roman"/>
      <w:sz w:val="24"/>
      <w:szCs w:val="24"/>
      <w:lang w:val="zh-CN"/>
    </w:rPr>
  </w:style>
  <w:style w:type="paragraph" w:customStyle="1" w:styleId="81">
    <w:name w:val="内文正文"/>
    <w:uiPriority w:val="0"/>
    <w:pPr>
      <w:autoSpaceDE w:val="0"/>
      <w:autoSpaceDN w:val="0"/>
      <w:spacing w:line="400" w:lineRule="exact"/>
      <w:ind w:firstLine="200" w:firstLineChars="200"/>
      <w:jc w:val="both"/>
      <w:textAlignment w:val="bottom"/>
    </w:pPr>
    <w:rPr>
      <w:rFonts w:ascii="宋体" w:hAnsi="???|CS?o｡ﾀ?" w:eastAsia="宋体" w:cs="Times New Roman"/>
      <w:sz w:val="21"/>
      <w:lang w:val="en-US" w:eastAsia="zh-CN" w:bidi="ar-SA"/>
    </w:rPr>
  </w:style>
  <w:style w:type="paragraph" w:customStyle="1" w:styleId="82">
    <w:name w:val="Char Char"/>
    <w:basedOn w:val="1"/>
    <w:uiPriority w:val="0"/>
    <w:rPr>
      <w:rFonts w:ascii="Tahoma" w:hAnsi="Tahoma" w:eastAsia="宋体" w:cs="Times New Roman"/>
      <w:sz w:val="24"/>
      <w:szCs w:val="20"/>
    </w:rPr>
  </w:style>
  <w:style w:type="paragraph" w:customStyle="1" w:styleId="83">
    <w:name w:val="末级"/>
    <w:basedOn w:val="1"/>
    <w:uiPriority w:val="0"/>
    <w:pPr>
      <w:tabs>
        <w:tab w:val="left" w:pos="851"/>
      </w:tabs>
      <w:spacing w:line="360" w:lineRule="auto"/>
      <w:ind w:firstLine="510"/>
    </w:pPr>
    <w:rPr>
      <w:rFonts w:ascii="Times New Roman" w:hAnsi="Times New Roman" w:eastAsia="宋体" w:cs="Times New Roman"/>
      <w:sz w:val="24"/>
      <w:szCs w:val="24"/>
    </w:rPr>
  </w:style>
  <w:style w:type="paragraph" w:customStyle="1" w:styleId="84">
    <w:name w:val="样式3"/>
    <w:basedOn w:val="4"/>
    <w:uiPriority w:val="0"/>
    <w:pPr>
      <w:keepNext/>
      <w:keepLines/>
      <w:spacing w:before="120" w:after="120" w:line="360" w:lineRule="auto"/>
    </w:pPr>
    <w:rPr>
      <w:rFonts w:eastAsia="宋体"/>
      <w:sz w:val="24"/>
      <w:szCs w:val="24"/>
    </w:rPr>
  </w:style>
  <w:style w:type="paragraph" w:customStyle="1" w:styleId="85">
    <w:name w:val="Char Char Char Char Char Char Char Char Char"/>
    <w:basedOn w:val="1"/>
    <w:uiPriority w:val="0"/>
    <w:pPr>
      <w:widowControl/>
      <w:spacing w:after="160" w:line="240" w:lineRule="exact"/>
      <w:jc w:val="left"/>
    </w:pPr>
    <w:rPr>
      <w:rFonts w:ascii="Times New Roman" w:hAnsi="Times New Roman" w:eastAsia="宋体" w:cs="Times New Roman"/>
      <w:szCs w:val="20"/>
    </w:rPr>
  </w:style>
  <w:style w:type="paragraph" w:customStyle="1" w:styleId="86">
    <w:name w:val="样式2"/>
    <w:basedOn w:val="33"/>
    <w:uiPriority w:val="0"/>
    <w:pPr>
      <w:ind w:firstLine="2720"/>
    </w:pPr>
    <w:rPr>
      <w:bCs/>
    </w:rPr>
  </w:style>
  <w:style w:type="paragraph" w:customStyle="1" w:styleId="87">
    <w:name w:val="!机场正文"/>
    <w:basedOn w:val="1"/>
    <w:qFormat/>
    <w:uiPriority w:val="0"/>
    <w:pPr>
      <w:spacing w:line="560" w:lineRule="exact"/>
      <w:ind w:firstLine="200" w:firstLineChars="200"/>
    </w:pPr>
    <w:rPr>
      <w:rFonts w:ascii="仿宋_GB2312" w:hAnsi="仿宋_GB2312" w:eastAsia="仿宋_GB2312" w:cs="Times New Roman"/>
      <w:sz w:val="32"/>
    </w:rPr>
  </w:style>
  <w:style w:type="paragraph" w:customStyle="1" w:styleId="88">
    <w:name w:val="默认段落字体 Para Char Char Char Char"/>
    <w:basedOn w:val="1"/>
    <w:uiPriority w:val="0"/>
    <w:pPr>
      <w:spacing w:line="360" w:lineRule="auto"/>
      <w:ind w:firstLine="200" w:firstLineChars="200"/>
    </w:pPr>
    <w:rPr>
      <w:rFonts w:ascii="宋体" w:hAnsi="宋体" w:eastAsia="宋体" w:cs="宋体"/>
      <w:sz w:val="24"/>
      <w:szCs w:val="24"/>
    </w:rPr>
  </w:style>
  <w:style w:type="paragraph" w:styleId="89">
    <w:name w:val=""/>
    <w:basedOn w:val="1"/>
    <w:next w:val="1"/>
    <w:link w:val="116"/>
    <w:uiPriority w:val="0"/>
    <w:pPr>
      <w:pBdr>
        <w:bottom w:val="single" w:color="auto" w:sz="6" w:space="1"/>
      </w:pBdr>
      <w:jc w:val="center"/>
    </w:pPr>
    <w:rPr>
      <w:rFonts w:ascii="Arial" w:hAnsi="Arial"/>
      <w:vanish/>
      <w:sz w:val="16"/>
      <w:szCs w:val="16"/>
    </w:rPr>
  </w:style>
  <w:style w:type="paragraph" w:styleId="90">
    <w:name w:val=""/>
    <w:basedOn w:val="1"/>
    <w:next w:val="1"/>
    <w:link w:val="176"/>
    <w:uiPriority w:val="0"/>
    <w:pPr>
      <w:pBdr>
        <w:top w:val="single" w:color="auto" w:sz="6" w:space="1"/>
      </w:pBdr>
      <w:jc w:val="center"/>
    </w:pPr>
    <w:rPr>
      <w:rFonts w:ascii="Arial" w:hAnsi="Arial"/>
      <w:vanish/>
      <w:sz w:val="16"/>
      <w:szCs w:val="16"/>
    </w:rPr>
  </w:style>
  <w:style w:type="paragraph" w:customStyle="1" w:styleId="91">
    <w:name w:val="1 Char Char Char"/>
    <w:basedOn w:val="1"/>
    <w:next w:val="4"/>
    <w:uiPriority w:val="0"/>
    <w:pPr>
      <w:spacing w:line="500" w:lineRule="exact"/>
      <w:ind w:firstLine="200"/>
      <w:jc w:val="center"/>
    </w:pPr>
    <w:rPr>
      <w:rFonts w:ascii="仿宋_GB2312" w:hAnsi="Arial" w:eastAsia="仿宋_GB2312" w:cs="Arial"/>
      <w:bCs/>
      <w:sz w:val="32"/>
      <w:szCs w:val="32"/>
    </w:rPr>
  </w:style>
  <w:style w:type="character" w:customStyle="1" w:styleId="92">
    <w:name w:val="标题 1 字符"/>
    <w:uiPriority w:val="9"/>
    <w:rPr>
      <w:rFonts w:ascii="等线" w:hAnsi="等线" w:eastAsia="等线" w:cs="Times New Roman"/>
      <w:b/>
      <w:bCs/>
      <w:kern w:val="44"/>
      <w:sz w:val="44"/>
      <w:szCs w:val="44"/>
    </w:rPr>
  </w:style>
  <w:style w:type="character" w:customStyle="1" w:styleId="93">
    <w:name w:val="标题 2 字符"/>
    <w:semiHidden/>
    <w:uiPriority w:val="9"/>
    <w:rPr>
      <w:rFonts w:ascii="等线 Light" w:hAnsi="等线 Light" w:eastAsia="等线 Light" w:cs="Times New Roman"/>
      <w:b/>
      <w:bCs/>
      <w:sz w:val="32"/>
      <w:szCs w:val="32"/>
    </w:rPr>
  </w:style>
  <w:style w:type="character" w:customStyle="1" w:styleId="94">
    <w:name w:val="标题 3 字符"/>
    <w:semiHidden/>
    <w:uiPriority w:val="9"/>
    <w:rPr>
      <w:rFonts w:ascii="等线" w:hAnsi="等线" w:eastAsia="等线" w:cs="Times New Roman"/>
      <w:b/>
      <w:bCs/>
      <w:sz w:val="32"/>
      <w:szCs w:val="32"/>
    </w:rPr>
  </w:style>
  <w:style w:type="character" w:customStyle="1" w:styleId="95">
    <w:name w:val="标题 4 字符"/>
    <w:semiHidden/>
    <w:uiPriority w:val="9"/>
    <w:rPr>
      <w:rFonts w:ascii="等线 Light" w:hAnsi="等线 Light" w:eastAsia="等线 Light" w:cs="Times New Roman"/>
      <w:b/>
      <w:bCs/>
      <w:sz w:val="28"/>
      <w:szCs w:val="28"/>
    </w:rPr>
  </w:style>
  <w:style w:type="character" w:customStyle="1" w:styleId="96">
    <w:name w:val="标题 5 字符"/>
    <w:semiHidden/>
    <w:uiPriority w:val="9"/>
    <w:rPr>
      <w:rFonts w:ascii="等线" w:hAnsi="等线" w:eastAsia="等线" w:cs="Times New Roman"/>
      <w:b/>
      <w:bCs/>
      <w:sz w:val="28"/>
      <w:szCs w:val="28"/>
    </w:rPr>
  </w:style>
  <w:style w:type="character" w:customStyle="1" w:styleId="97">
    <w:name w:val="标题 字符1"/>
    <w:link w:val="42"/>
    <w:uiPriority w:val="0"/>
    <w:rPr>
      <w:rFonts w:ascii="Arial" w:hAnsi="Arial" w:eastAsia="等线" w:cs="Times New Roman"/>
      <w:b/>
      <w:bCs/>
      <w:sz w:val="32"/>
      <w:szCs w:val="32"/>
    </w:rPr>
  </w:style>
  <w:style w:type="character" w:customStyle="1" w:styleId="98">
    <w:name w:val="脚注文本 字符"/>
    <w:semiHidden/>
    <w:uiPriority w:val="99"/>
    <w:rPr>
      <w:rFonts w:ascii="等线" w:hAnsi="等线" w:eastAsia="等线" w:cs="Times New Roman"/>
      <w:sz w:val="18"/>
      <w:szCs w:val="18"/>
    </w:rPr>
  </w:style>
  <w:style w:type="character" w:customStyle="1" w:styleId="99">
    <w:name w:val="纯文本 字符2"/>
    <w:semiHidden/>
    <w:uiPriority w:val="99"/>
    <w:rPr>
      <w:rFonts w:ascii="等线" w:hAnsi="Courier New" w:eastAsia="等线" w:cs="Courier New"/>
    </w:rPr>
  </w:style>
  <w:style w:type="character" w:customStyle="1" w:styleId="100">
    <w:name w:val="正文首行缩进 2 Char1"/>
    <w:semiHidden/>
    <w:uiPriority w:val="99"/>
    <w:rPr>
      <w:rFonts w:ascii="等线" w:hAnsi="等线" w:eastAsia="等线" w:cs="Times New Roman"/>
    </w:rPr>
  </w:style>
  <w:style w:type="character" w:customStyle="1" w:styleId="101">
    <w:name w:val="正文文本 2 Char1"/>
    <w:semiHidden/>
    <w:uiPriority w:val="99"/>
    <w:rPr>
      <w:rFonts w:ascii="等线" w:hAnsi="等线" w:eastAsia="等线" w:cs="Times New Roman"/>
      <w:kern w:val="2"/>
      <w:sz w:val="21"/>
      <w:szCs w:val="22"/>
    </w:rPr>
  </w:style>
  <w:style w:type="character" w:customStyle="1" w:styleId="102">
    <w:name w:val="正文文本缩进 2 字符"/>
    <w:semiHidden/>
    <w:uiPriority w:val="99"/>
    <w:rPr>
      <w:rFonts w:ascii="等线" w:hAnsi="等线" w:eastAsia="等线" w:cs="Times New Roman"/>
    </w:rPr>
  </w:style>
  <w:style w:type="character" w:customStyle="1" w:styleId="103">
    <w:name w:val="页眉 字符1"/>
    <w:link w:val="26"/>
    <w:uiPriority w:val="99"/>
    <w:rPr>
      <w:rFonts w:ascii="Calibri" w:hAnsi="Calibri" w:eastAsia="宋体" w:cs="Times New Roman"/>
      <w:sz w:val="18"/>
      <w:szCs w:val="18"/>
    </w:rPr>
  </w:style>
  <w:style w:type="character" w:customStyle="1" w:styleId="104">
    <w:name w:val="z-窗体底端 Char1"/>
    <w:semiHidden/>
    <w:uiPriority w:val="99"/>
    <w:rPr>
      <w:rFonts w:ascii="Arial" w:hAnsi="Arial" w:eastAsia="等线" w:cs="Arial"/>
      <w:vanish/>
      <w:kern w:val="2"/>
      <w:sz w:val="16"/>
      <w:szCs w:val="16"/>
    </w:rPr>
  </w:style>
  <w:style w:type="character" w:customStyle="1" w:styleId="105">
    <w:name w:val="正文文本 2 字符1"/>
    <w:link w:val="36"/>
    <w:uiPriority w:val="0"/>
    <w:rPr>
      <w:rFonts w:ascii="Times New Roman" w:hAnsi="Times New Roman" w:eastAsia="等线" w:cs="Times New Roman"/>
      <w:szCs w:val="24"/>
    </w:rPr>
  </w:style>
  <w:style w:type="character" w:customStyle="1" w:styleId="106">
    <w:name w:val="标题 字符2"/>
    <w:uiPriority w:val="10"/>
    <w:rPr>
      <w:rFonts w:ascii="等线 Light" w:hAnsi="等线 Light" w:eastAsia="等线 Light" w:cs="Times New Roman"/>
      <w:b/>
      <w:bCs/>
      <w:sz w:val="32"/>
      <w:szCs w:val="32"/>
    </w:rPr>
  </w:style>
  <w:style w:type="character" w:customStyle="1" w:styleId="107">
    <w:name w:val="纯文本 Char2"/>
    <w:semiHidden/>
    <w:uiPriority w:val="99"/>
    <w:rPr>
      <w:rFonts w:ascii="宋体" w:hAnsi="Courier New" w:eastAsia="宋体" w:cs="Courier New"/>
      <w:szCs w:val="21"/>
    </w:rPr>
  </w:style>
  <w:style w:type="character" w:customStyle="1" w:styleId="108">
    <w:name w:val="日期 字符"/>
    <w:semiHidden/>
    <w:uiPriority w:val="99"/>
    <w:rPr>
      <w:rFonts w:ascii="等线" w:hAnsi="等线" w:eastAsia="等线" w:cs="Times New Roman"/>
    </w:rPr>
  </w:style>
  <w:style w:type="character" w:customStyle="1" w:styleId="109">
    <w:name w:val="正文文本缩进 3 字符2"/>
    <w:semiHidden/>
    <w:uiPriority w:val="99"/>
    <w:rPr>
      <w:rFonts w:ascii="等线" w:hAnsi="等线" w:eastAsia="等线" w:cs="Times New Roman"/>
      <w:sz w:val="16"/>
      <w:szCs w:val="16"/>
    </w:rPr>
  </w:style>
  <w:style w:type="character" w:customStyle="1" w:styleId="110">
    <w:name w:val="正文文本 Char1"/>
    <w:semiHidden/>
    <w:uiPriority w:val="99"/>
    <w:rPr>
      <w:rFonts w:ascii="等线" w:hAnsi="等线" w:eastAsia="等线" w:cs="Times New Roman"/>
      <w:kern w:val="2"/>
      <w:sz w:val="21"/>
      <w:szCs w:val="22"/>
    </w:rPr>
  </w:style>
  <w:style w:type="character" w:customStyle="1" w:styleId="111">
    <w:name w:val="页脚 字符"/>
    <w:semiHidden/>
    <w:uiPriority w:val="99"/>
    <w:rPr>
      <w:rFonts w:ascii="等线" w:hAnsi="等线" w:eastAsia="等线" w:cs="Times New Roman"/>
      <w:sz w:val="18"/>
      <w:szCs w:val="18"/>
    </w:rPr>
  </w:style>
  <w:style w:type="character" w:customStyle="1" w:styleId="112">
    <w:name w:val="z-窗体顶端 Char2"/>
    <w:semiHidden/>
    <w:uiPriority w:val="99"/>
    <w:rPr>
      <w:rFonts w:ascii="Arial" w:hAnsi="Arial" w:eastAsia="宋体" w:cs="Arial"/>
      <w:vanish/>
      <w:sz w:val="16"/>
      <w:szCs w:val="16"/>
    </w:rPr>
  </w:style>
  <w:style w:type="character" w:customStyle="1" w:styleId="113">
    <w:name w:val="脚注文本 字符1"/>
    <w:link w:val="30"/>
    <w:uiPriority w:val="0"/>
    <w:rPr>
      <w:rFonts w:ascii="Times New Roman" w:hAnsi="Times New Roman" w:eastAsia="等线" w:cs="Times New Roman"/>
      <w:sz w:val="18"/>
      <w:szCs w:val="18"/>
    </w:rPr>
  </w:style>
  <w:style w:type="character" w:customStyle="1" w:styleId="114">
    <w:name w:val="日期 Char2"/>
    <w:semiHidden/>
    <w:uiPriority w:val="99"/>
    <w:rPr>
      <w:rFonts w:ascii="Calibri" w:hAnsi="Calibri" w:eastAsia="宋体" w:cs="Times New Roman"/>
    </w:rPr>
  </w:style>
  <w:style w:type="character" w:customStyle="1" w:styleId="115">
    <w:name w:val="文档结构图 Char2"/>
    <w:semiHidden/>
    <w:uiPriority w:val="99"/>
    <w:rPr>
      <w:rFonts w:ascii="Microsoft YaHei UI" w:hAnsi="Calibri" w:eastAsia="Microsoft YaHei UI" w:cs="Times New Roman"/>
      <w:sz w:val="18"/>
      <w:szCs w:val="18"/>
    </w:rPr>
  </w:style>
  <w:style w:type="character" w:customStyle="1" w:styleId="116">
    <w:name w:val="z-窗体顶端 字符1"/>
    <w:link w:val="89"/>
    <w:uiPriority w:val="0"/>
    <w:rPr>
      <w:rFonts w:ascii="Arial" w:hAnsi="Arial" w:eastAsia="等线" w:cs="Times New Roman"/>
      <w:vanish/>
      <w:sz w:val="16"/>
      <w:szCs w:val="16"/>
    </w:rPr>
  </w:style>
  <w:style w:type="character" w:customStyle="1" w:styleId="117">
    <w:name w:val="正文文本缩进 3 Char2"/>
    <w:semiHidden/>
    <w:uiPriority w:val="99"/>
    <w:rPr>
      <w:rFonts w:ascii="Calibri" w:hAnsi="Calibri" w:eastAsia="宋体" w:cs="Times New Roman"/>
      <w:sz w:val="16"/>
      <w:szCs w:val="16"/>
    </w:rPr>
  </w:style>
  <w:style w:type="character" w:customStyle="1" w:styleId="118">
    <w:name w:val="批注主题 Char1"/>
    <w:semiHidden/>
    <w:uiPriority w:val="99"/>
    <w:rPr>
      <w:rFonts w:ascii="等线" w:hAnsi="等线" w:eastAsia="等线" w:cs="Times New Roman"/>
      <w:b/>
      <w:bCs/>
    </w:rPr>
  </w:style>
  <w:style w:type="character" w:customStyle="1" w:styleId="119">
    <w:name w:val="正文首行缩进 2 字符2"/>
    <w:basedOn w:val="120"/>
    <w:semiHidden/>
    <w:uiPriority w:val="99"/>
  </w:style>
  <w:style w:type="character" w:customStyle="1" w:styleId="120">
    <w:name w:val="正文文本缩进 字符2"/>
    <w:basedOn w:val="47"/>
    <w:semiHidden/>
    <w:uiPriority w:val="99"/>
    <w:rPr>
      <w:rFonts w:ascii="等线" w:hAnsi="等线" w:eastAsia="等线" w:cs="Times New Roman"/>
    </w:rPr>
  </w:style>
  <w:style w:type="character" w:customStyle="1" w:styleId="121">
    <w:name w:val="纯文本 字符"/>
    <w:semiHidden/>
    <w:uiPriority w:val="99"/>
    <w:rPr>
      <w:rFonts w:ascii="宋体" w:hAnsi="Courier New" w:eastAsia="等线" w:cs="Courier New"/>
    </w:rPr>
  </w:style>
  <w:style w:type="character" w:customStyle="1" w:styleId="122">
    <w:name w:val="日期 Char1"/>
    <w:semiHidden/>
    <w:uiPriority w:val="99"/>
    <w:rPr>
      <w:rFonts w:ascii="等线" w:hAnsi="等线" w:eastAsia="等线" w:cs="Times New Roman"/>
      <w:kern w:val="2"/>
      <w:sz w:val="21"/>
      <w:szCs w:val="22"/>
    </w:rPr>
  </w:style>
  <w:style w:type="character" w:customStyle="1" w:styleId="123">
    <w:name w:val="z-窗体底端 字符2"/>
    <w:semiHidden/>
    <w:uiPriority w:val="99"/>
    <w:rPr>
      <w:rFonts w:ascii="Arial" w:hAnsi="Arial" w:eastAsia="等线" w:cs="Arial"/>
      <w:vanish/>
      <w:sz w:val="16"/>
      <w:szCs w:val="16"/>
    </w:rPr>
  </w:style>
  <w:style w:type="character" w:customStyle="1" w:styleId="124">
    <w:name w:val="正文首行缩进 Char1"/>
    <w:semiHidden/>
    <w:uiPriority w:val="99"/>
    <w:rPr>
      <w:rFonts w:ascii="等线" w:hAnsi="等线" w:eastAsia="等线" w:cs="Times New Roman"/>
    </w:rPr>
  </w:style>
  <w:style w:type="character" w:customStyle="1" w:styleId="125">
    <w:name w:val="正文首行缩进 字符"/>
    <w:semiHidden/>
    <w:uiPriority w:val="99"/>
    <w:rPr>
      <w:rFonts w:ascii="等线" w:hAnsi="等线" w:eastAsia="等线" w:cs="Times New Roman"/>
    </w:rPr>
  </w:style>
  <w:style w:type="character" w:customStyle="1" w:styleId="126">
    <w:name w:val="正文文本缩进 Char2"/>
    <w:semiHidden/>
    <w:uiPriority w:val="99"/>
    <w:rPr>
      <w:rFonts w:ascii="Calibri" w:hAnsi="Calibri" w:eastAsia="宋体" w:cs="Times New Roman"/>
    </w:rPr>
  </w:style>
  <w:style w:type="character" w:customStyle="1" w:styleId="127">
    <w:name w:val="正文文本 字符"/>
    <w:semiHidden/>
    <w:uiPriority w:val="99"/>
    <w:rPr>
      <w:rFonts w:ascii="等线" w:hAnsi="等线" w:eastAsia="等线" w:cs="Times New Roman"/>
    </w:rPr>
  </w:style>
  <w:style w:type="character" w:customStyle="1" w:styleId="128">
    <w:name w:val="正文文本 字符1"/>
    <w:link w:val="14"/>
    <w:uiPriority w:val="99"/>
    <w:rPr>
      <w:rFonts w:ascii="Calibri" w:hAnsi="Calibri" w:eastAsia="宋体" w:cs="Times New Roman"/>
    </w:rPr>
  </w:style>
  <w:style w:type="character" w:customStyle="1" w:styleId="129">
    <w:name w:val="标题 2 字符1"/>
    <w:link w:val="3"/>
    <w:uiPriority w:val="0"/>
    <w:rPr>
      <w:rFonts w:ascii="Arial" w:hAnsi="Arial" w:eastAsia="黑体" w:cs="Times New Roman"/>
      <w:b/>
      <w:bCs/>
      <w:kern w:val="0"/>
      <w:sz w:val="32"/>
      <w:szCs w:val="32"/>
    </w:rPr>
  </w:style>
  <w:style w:type="character" w:customStyle="1" w:styleId="130">
    <w:name w:val="正文首行缩进 2 字符"/>
    <w:semiHidden/>
    <w:uiPriority w:val="99"/>
    <w:rPr>
      <w:rFonts w:ascii="等线" w:hAnsi="等线" w:eastAsia="等线" w:cs="Times New Roman"/>
    </w:rPr>
  </w:style>
  <w:style w:type="character" w:customStyle="1" w:styleId="131">
    <w:name w:val="页眉 Char1"/>
    <w:semiHidden/>
    <w:uiPriority w:val="99"/>
    <w:rPr>
      <w:rFonts w:ascii="等线" w:hAnsi="等线" w:eastAsia="等线" w:cs="Times New Roman"/>
      <w:kern w:val="2"/>
      <w:sz w:val="18"/>
      <w:szCs w:val="18"/>
    </w:rPr>
  </w:style>
  <w:style w:type="character" w:customStyle="1" w:styleId="132">
    <w:name w:val="正文首行缩进 字符2"/>
    <w:basedOn w:val="128"/>
    <w:semiHidden/>
    <w:uiPriority w:val="99"/>
  </w:style>
  <w:style w:type="character" w:customStyle="1" w:styleId="133">
    <w:name w:val="28磅 Char"/>
    <w:link w:val="67"/>
    <w:uiPriority w:val="0"/>
    <w:rPr>
      <w:rFonts w:ascii="仿宋_GB2312" w:hAnsi="等线" w:eastAsia="仿宋_GB2312" w:cs="Times New Roman"/>
      <w:sz w:val="28"/>
      <w:szCs w:val="28"/>
    </w:rPr>
  </w:style>
  <w:style w:type="character" w:customStyle="1" w:styleId="134">
    <w:name w:val="正文文本缩进 2 字符2"/>
    <w:basedOn w:val="47"/>
    <w:semiHidden/>
    <w:uiPriority w:val="99"/>
    <w:rPr>
      <w:rFonts w:ascii="等线" w:hAnsi="等线" w:eastAsia="等线" w:cs="Times New Roman"/>
    </w:rPr>
  </w:style>
  <w:style w:type="character" w:customStyle="1" w:styleId="135">
    <w:name w:val="页脚 字符1"/>
    <w:link w:val="25"/>
    <w:uiPriority w:val="99"/>
    <w:rPr>
      <w:rFonts w:ascii="Calibri" w:hAnsi="Calibri" w:eastAsia="宋体" w:cs="Times New Roman"/>
      <w:sz w:val="18"/>
      <w:szCs w:val="18"/>
    </w:rPr>
  </w:style>
  <w:style w:type="character" w:customStyle="1" w:styleId="136">
    <w:name w:val="脚注文本 Char2"/>
    <w:semiHidden/>
    <w:uiPriority w:val="99"/>
    <w:rPr>
      <w:rFonts w:ascii="Calibri" w:hAnsi="Calibri" w:eastAsia="宋体" w:cs="Times New Roman"/>
      <w:sz w:val="18"/>
      <w:szCs w:val="18"/>
    </w:rPr>
  </w:style>
  <w:style w:type="character" w:customStyle="1" w:styleId="137">
    <w:name w:val="标题 5 字符1"/>
    <w:link w:val="6"/>
    <w:uiPriority w:val="0"/>
    <w:rPr>
      <w:rFonts w:ascii="Times New Roman" w:hAnsi="Times New Roman" w:eastAsia="宋体" w:cs="Times New Roman"/>
      <w:b/>
      <w:bCs/>
      <w:kern w:val="0"/>
      <w:sz w:val="28"/>
      <w:szCs w:val="28"/>
    </w:rPr>
  </w:style>
  <w:style w:type="character" w:customStyle="1" w:styleId="138">
    <w:name w:val="批注框文本 Char2"/>
    <w:semiHidden/>
    <w:uiPriority w:val="99"/>
    <w:rPr>
      <w:rFonts w:ascii="Calibri" w:hAnsi="Calibri" w:eastAsia="宋体" w:cs="Times New Roman"/>
      <w:sz w:val="18"/>
      <w:szCs w:val="18"/>
    </w:rPr>
  </w:style>
  <w:style w:type="character" w:customStyle="1" w:styleId="139">
    <w:name w:val="批注框文本 字符"/>
    <w:semiHidden/>
    <w:uiPriority w:val="99"/>
    <w:rPr>
      <w:rFonts w:ascii="等线" w:hAnsi="等线" w:eastAsia="等线" w:cs="Times New Roman"/>
      <w:sz w:val="18"/>
      <w:szCs w:val="18"/>
    </w:rPr>
  </w:style>
  <w:style w:type="character" w:customStyle="1" w:styleId="140">
    <w:name w:val="正文文本缩进 2 Char3"/>
    <w:semiHidden/>
    <w:uiPriority w:val="99"/>
    <w:rPr>
      <w:rFonts w:ascii="Calibri" w:hAnsi="Calibri" w:eastAsia="宋体" w:cs="Times New Roman"/>
    </w:rPr>
  </w:style>
  <w:style w:type="character" w:customStyle="1" w:styleId="141">
    <w:name w:val="页脚 Char1"/>
    <w:semiHidden/>
    <w:uiPriority w:val="99"/>
    <w:rPr>
      <w:rFonts w:ascii="等线" w:hAnsi="等线" w:eastAsia="等线" w:cs="Times New Roman"/>
      <w:kern w:val="2"/>
      <w:sz w:val="18"/>
      <w:szCs w:val="18"/>
    </w:rPr>
  </w:style>
  <w:style w:type="character" w:customStyle="1" w:styleId="142">
    <w:name w:val="日期 字符2"/>
    <w:basedOn w:val="47"/>
    <w:semiHidden/>
    <w:uiPriority w:val="99"/>
    <w:rPr>
      <w:rFonts w:ascii="等线" w:hAnsi="等线" w:eastAsia="等线" w:cs="Times New Roman"/>
    </w:rPr>
  </w:style>
  <w:style w:type="character" w:customStyle="1" w:styleId="143">
    <w:name w:val="文档结构图 Char1"/>
    <w:semiHidden/>
    <w:uiPriority w:val="99"/>
    <w:rPr>
      <w:rFonts w:ascii="宋体" w:hAnsi="等线" w:eastAsia="等线" w:cs="Times New Roman"/>
      <w:kern w:val="2"/>
      <w:sz w:val="18"/>
      <w:szCs w:val="18"/>
    </w:rPr>
  </w:style>
  <w:style w:type="character" w:customStyle="1" w:styleId="144">
    <w:name w:val="脚注文本 Char1"/>
    <w:semiHidden/>
    <w:uiPriority w:val="99"/>
    <w:rPr>
      <w:rFonts w:ascii="等线" w:hAnsi="等线" w:eastAsia="等线" w:cs="Times New Roman"/>
      <w:kern w:val="2"/>
      <w:sz w:val="18"/>
      <w:szCs w:val="18"/>
    </w:rPr>
  </w:style>
  <w:style w:type="character" w:customStyle="1" w:styleId="145">
    <w:name w:val="文档结构图 字符2"/>
    <w:semiHidden/>
    <w:uiPriority w:val="99"/>
    <w:rPr>
      <w:rFonts w:ascii="Microsoft YaHei UI" w:hAnsi="等线" w:eastAsia="Microsoft YaHei UI" w:cs="Times New Roman"/>
      <w:sz w:val="18"/>
      <w:szCs w:val="18"/>
    </w:rPr>
  </w:style>
  <w:style w:type="character" w:customStyle="1" w:styleId="146">
    <w:name w:val="正文文本缩进 2 字符1"/>
    <w:link w:val="23"/>
    <w:uiPriority w:val="0"/>
    <w:rPr>
      <w:rFonts w:ascii="Times New Roman" w:hAnsi="Times New Roman" w:eastAsia="等线" w:cs="Times New Roman"/>
      <w:szCs w:val="24"/>
    </w:rPr>
  </w:style>
  <w:style w:type="character" w:customStyle="1" w:styleId="147">
    <w:name w:val="批注框文本 字符2"/>
    <w:semiHidden/>
    <w:uiPriority w:val="99"/>
    <w:rPr>
      <w:rFonts w:ascii="等线" w:hAnsi="等线" w:eastAsia="等线" w:cs="Times New Roman"/>
      <w:sz w:val="18"/>
      <w:szCs w:val="18"/>
    </w:rPr>
  </w:style>
  <w:style w:type="character" w:customStyle="1" w:styleId="148">
    <w:name w:val="zbggmain style9"/>
    <w:uiPriority w:val="0"/>
    <w:rPr>
      <w:rFonts w:ascii="等线" w:hAnsi="等线" w:eastAsia="等线" w:cs="Times New Roman"/>
    </w:rPr>
  </w:style>
  <w:style w:type="character" w:customStyle="1" w:styleId="149">
    <w:name w:val="z-窗体底端 Char2"/>
    <w:semiHidden/>
    <w:uiPriority w:val="99"/>
    <w:rPr>
      <w:rFonts w:ascii="Arial" w:hAnsi="Arial" w:eastAsia="宋体" w:cs="Arial"/>
      <w:vanish/>
      <w:sz w:val="16"/>
      <w:szCs w:val="16"/>
    </w:rPr>
  </w:style>
  <w:style w:type="character" w:customStyle="1" w:styleId="150">
    <w:name w:val="批注框文本 字符1"/>
    <w:link w:val="24"/>
    <w:uiPriority w:val="0"/>
    <w:rPr>
      <w:rFonts w:ascii="Times New Roman" w:hAnsi="Times New Roman" w:eastAsia="等线" w:cs="Times New Roman"/>
      <w:sz w:val="18"/>
      <w:szCs w:val="18"/>
    </w:rPr>
  </w:style>
  <w:style w:type="character" w:customStyle="1" w:styleId="151">
    <w:name w:val="脚注文本 字符2"/>
    <w:semiHidden/>
    <w:uiPriority w:val="99"/>
    <w:rPr>
      <w:rFonts w:ascii="等线" w:hAnsi="等线" w:eastAsia="等线" w:cs="Times New Roman"/>
      <w:sz w:val="18"/>
      <w:szCs w:val="18"/>
    </w:rPr>
  </w:style>
  <w:style w:type="character" w:customStyle="1" w:styleId="152">
    <w:name w:val="正文文本缩进 Char1"/>
    <w:semiHidden/>
    <w:uiPriority w:val="99"/>
    <w:rPr>
      <w:rFonts w:ascii="等线" w:hAnsi="等线" w:eastAsia="等线" w:cs="Times New Roman"/>
      <w:kern w:val="2"/>
      <w:sz w:val="21"/>
      <w:szCs w:val="22"/>
    </w:rPr>
  </w:style>
  <w:style w:type="character" w:customStyle="1" w:styleId="153">
    <w:name w:val="批注主题 字符"/>
    <w:link w:val="43"/>
    <w:semiHidden/>
    <w:uiPriority w:val="0"/>
    <w:rPr>
      <w:rFonts w:ascii="Times New Roman" w:hAnsi="Times New Roman" w:eastAsia="等线" w:cs="Times New Roman"/>
      <w:b/>
      <w:bCs/>
      <w:szCs w:val="24"/>
    </w:rPr>
  </w:style>
  <w:style w:type="character" w:customStyle="1" w:styleId="154">
    <w:name w:val="z-窗体底端 字符"/>
    <w:semiHidden/>
    <w:uiPriority w:val="99"/>
    <w:rPr>
      <w:rFonts w:ascii="Arial" w:hAnsi="Arial" w:eastAsia="等线" w:cs="Arial"/>
      <w:vanish/>
      <w:sz w:val="16"/>
      <w:szCs w:val="16"/>
    </w:rPr>
  </w:style>
  <w:style w:type="character" w:customStyle="1" w:styleId="155">
    <w:name w:val="z-窗体顶端 Char1"/>
    <w:semiHidden/>
    <w:uiPriority w:val="99"/>
    <w:rPr>
      <w:rFonts w:ascii="Arial" w:hAnsi="Arial" w:eastAsia="等线" w:cs="Arial"/>
      <w:vanish/>
      <w:kern w:val="2"/>
      <w:sz w:val="16"/>
      <w:szCs w:val="16"/>
    </w:rPr>
  </w:style>
  <w:style w:type="character" w:customStyle="1" w:styleId="156">
    <w:name w:val="一、 Char"/>
    <w:link w:val="66"/>
    <w:uiPriority w:val="0"/>
    <w:rPr>
      <w:rFonts w:ascii="仿宋_GB2312" w:hAnsi="宋体" w:eastAsia="仿宋_GB2312" w:cs="Times New Roman"/>
      <w:b/>
      <w:sz w:val="28"/>
      <w:szCs w:val="28"/>
    </w:rPr>
  </w:style>
  <w:style w:type="character" w:customStyle="1" w:styleId="157">
    <w:name w:val="z-窗体顶端 字符"/>
    <w:semiHidden/>
    <w:uiPriority w:val="99"/>
    <w:rPr>
      <w:rFonts w:ascii="Arial" w:hAnsi="Arial" w:eastAsia="等线" w:cs="Arial"/>
      <w:vanish/>
      <w:sz w:val="16"/>
      <w:szCs w:val="16"/>
    </w:rPr>
  </w:style>
  <w:style w:type="character" w:customStyle="1" w:styleId="158">
    <w:name w:val="页眉 字符"/>
    <w:semiHidden/>
    <w:uiPriority w:val="99"/>
    <w:rPr>
      <w:rFonts w:ascii="等线" w:hAnsi="等线" w:eastAsia="等线" w:cs="Times New Roman"/>
      <w:sz w:val="18"/>
      <w:szCs w:val="18"/>
    </w:rPr>
  </w:style>
  <w:style w:type="character" w:customStyle="1" w:styleId="159">
    <w:name w:val="正文文本缩进 3 字符1"/>
    <w:link w:val="32"/>
    <w:uiPriority w:val="0"/>
    <w:rPr>
      <w:rFonts w:ascii="Times New Roman" w:hAnsi="Times New Roman" w:eastAsia="等线" w:cs="Times New Roman"/>
      <w:sz w:val="24"/>
      <w:szCs w:val="24"/>
    </w:rPr>
  </w:style>
  <w:style w:type="character" w:customStyle="1" w:styleId="160">
    <w:name w:val="标题 1 字符1"/>
    <w:link w:val="2"/>
    <w:uiPriority w:val="0"/>
    <w:rPr>
      <w:rFonts w:ascii="Times New Roman" w:hAnsi="Times New Roman" w:eastAsia="宋体" w:cs="Times New Roman"/>
      <w:b/>
      <w:bCs/>
      <w:kern w:val="44"/>
      <w:sz w:val="44"/>
      <w:szCs w:val="44"/>
    </w:rPr>
  </w:style>
  <w:style w:type="character" w:customStyle="1" w:styleId="161">
    <w:name w:val="批注文字 Char"/>
    <w:uiPriority w:val="99"/>
    <w:rPr>
      <w:rFonts w:ascii="等线" w:hAnsi="等线" w:eastAsia="等线" w:cs="Times New Roman"/>
    </w:rPr>
  </w:style>
  <w:style w:type="character" w:customStyle="1" w:styleId="162">
    <w:name w:val="标题 3 字符1"/>
    <w:link w:val="4"/>
    <w:uiPriority w:val="0"/>
    <w:rPr>
      <w:rFonts w:ascii="Times New Roman" w:hAnsi="Times New Roman" w:eastAsia="楷体_GB2312" w:cs="Times New Roman"/>
      <w:kern w:val="0"/>
      <w:sz w:val="28"/>
      <w:szCs w:val="20"/>
    </w:rPr>
  </w:style>
  <w:style w:type="character" w:customStyle="1" w:styleId="163">
    <w:name w:val="正文文本 2 字符2"/>
    <w:basedOn w:val="47"/>
    <w:semiHidden/>
    <w:uiPriority w:val="99"/>
    <w:rPr>
      <w:rFonts w:ascii="等线" w:hAnsi="等线" w:eastAsia="等线" w:cs="Times New Roman"/>
    </w:rPr>
  </w:style>
  <w:style w:type="character" w:customStyle="1" w:styleId="164">
    <w:name w:val="标题 4 字符1"/>
    <w:link w:val="5"/>
    <w:uiPriority w:val="0"/>
    <w:rPr>
      <w:rFonts w:ascii="Arial" w:hAnsi="Arial" w:eastAsia="黑体" w:cs="Times New Roman"/>
      <w:b/>
      <w:bCs/>
      <w:kern w:val="0"/>
      <w:sz w:val="28"/>
      <w:szCs w:val="28"/>
    </w:rPr>
  </w:style>
  <w:style w:type="character" w:customStyle="1" w:styleId="165">
    <w:name w:val="正文文本 2 字符"/>
    <w:semiHidden/>
    <w:uiPriority w:val="99"/>
    <w:rPr>
      <w:rFonts w:ascii="等线" w:hAnsi="等线" w:eastAsia="等线" w:cs="Times New Roman"/>
    </w:rPr>
  </w:style>
  <w:style w:type="character" w:customStyle="1" w:styleId="166">
    <w:name w:val="正文文本 Char"/>
    <w:uiPriority w:val="0"/>
    <w:rPr>
      <w:rFonts w:ascii="等线" w:hAnsi="等线" w:eastAsia="等线" w:cs="Times New Roman"/>
    </w:rPr>
  </w:style>
  <w:style w:type="character" w:customStyle="1" w:styleId="167">
    <w:name w:val="正文文本缩进 2 Char2"/>
    <w:semiHidden/>
    <w:uiPriority w:val="99"/>
    <w:rPr>
      <w:rFonts w:ascii="等线" w:hAnsi="等线" w:eastAsia="等线" w:cs="Times New Roman"/>
      <w:kern w:val="2"/>
      <w:sz w:val="21"/>
      <w:szCs w:val="22"/>
    </w:rPr>
  </w:style>
  <w:style w:type="character" w:customStyle="1" w:styleId="168">
    <w:name w:val="日期 字符1"/>
    <w:link w:val="22"/>
    <w:uiPriority w:val="0"/>
    <w:rPr>
      <w:rFonts w:ascii="Times New Roman" w:hAnsi="Times New Roman" w:eastAsia="等线" w:cs="Times New Roman"/>
      <w:b/>
      <w:bCs/>
      <w:sz w:val="36"/>
      <w:szCs w:val="24"/>
    </w:rPr>
  </w:style>
  <w:style w:type="character" w:customStyle="1" w:styleId="169">
    <w:name w:val="批注文字 字符"/>
    <w:uiPriority w:val="99"/>
    <w:rPr>
      <w:rFonts w:ascii="Calibri" w:hAnsi="Calibri" w:eastAsia="宋体" w:cs="Times New Roman"/>
    </w:rPr>
  </w:style>
  <w:style w:type="character" w:customStyle="1" w:styleId="170">
    <w:name w:val="正文文本缩进 2 Char1"/>
    <w:uiPriority w:val="0"/>
    <w:rPr>
      <w:rFonts w:ascii="Times New Roman" w:hAnsi="Times New Roman" w:eastAsia="宋体" w:cs="Times New Roman"/>
      <w:kern w:val="0"/>
      <w:sz w:val="20"/>
      <w:szCs w:val="24"/>
    </w:rPr>
  </w:style>
  <w:style w:type="character" w:customStyle="1" w:styleId="171">
    <w:name w:val="正文文本 2 Char2"/>
    <w:semiHidden/>
    <w:uiPriority w:val="99"/>
    <w:rPr>
      <w:rFonts w:ascii="Calibri" w:hAnsi="Calibri" w:eastAsia="宋体" w:cs="Times New Roman"/>
    </w:rPr>
  </w:style>
  <w:style w:type="character" w:customStyle="1" w:styleId="172">
    <w:name w:val="纯文本 Char1"/>
    <w:semiHidden/>
    <w:uiPriority w:val="99"/>
    <w:rPr>
      <w:rFonts w:ascii="宋体" w:hAnsi="Courier New" w:eastAsia="等线" w:cs="Courier New"/>
      <w:kern w:val="2"/>
      <w:sz w:val="21"/>
      <w:szCs w:val="21"/>
    </w:rPr>
  </w:style>
  <w:style w:type="character" w:customStyle="1" w:styleId="173">
    <w:name w:val="文档结构图 字符1"/>
    <w:link w:val="11"/>
    <w:uiPriority w:val="0"/>
    <w:rPr>
      <w:rFonts w:ascii="Times New Roman" w:hAnsi="Times New Roman" w:eastAsia="等线" w:cs="Times New Roman"/>
      <w:szCs w:val="24"/>
      <w:shd w:val="clear" w:color="auto" w:fill="000080"/>
    </w:rPr>
  </w:style>
  <w:style w:type="character" w:customStyle="1" w:styleId="174">
    <w:name w:val="批注主题 Char2"/>
    <w:semiHidden/>
    <w:uiPriority w:val="99"/>
    <w:rPr>
      <w:rFonts w:ascii="等线" w:hAnsi="等线" w:eastAsia="等线" w:cs="Times New Roman"/>
      <w:b/>
      <w:bCs/>
      <w:kern w:val="2"/>
      <w:sz w:val="21"/>
      <w:szCs w:val="22"/>
    </w:rPr>
  </w:style>
  <w:style w:type="character" w:customStyle="1" w:styleId="175">
    <w:name w:val="px1233"/>
    <w:qFormat/>
    <w:uiPriority w:val="0"/>
    <w:rPr>
      <w:rFonts w:ascii="等线" w:hAnsi="等线" w:eastAsia="等线" w:cs="Times New Roman"/>
    </w:rPr>
  </w:style>
  <w:style w:type="character" w:customStyle="1" w:styleId="176">
    <w:name w:val="z-窗体底端 字符1"/>
    <w:link w:val="90"/>
    <w:uiPriority w:val="0"/>
    <w:rPr>
      <w:rFonts w:ascii="Arial" w:hAnsi="Arial" w:eastAsia="等线" w:cs="Times New Roman"/>
      <w:vanish/>
      <w:sz w:val="16"/>
      <w:szCs w:val="16"/>
    </w:rPr>
  </w:style>
  <w:style w:type="character" w:customStyle="1" w:styleId="177">
    <w:name w:val="纯文本 字符3"/>
    <w:qFormat/>
    <w:uiPriority w:val="0"/>
    <w:rPr>
      <w:rFonts w:ascii="宋体" w:hAnsi="Courier New" w:eastAsia="等线" w:cs="Times New Roman"/>
      <w:szCs w:val="21"/>
    </w:rPr>
  </w:style>
  <w:style w:type="character" w:customStyle="1" w:styleId="178">
    <w:name w:val="文档结构图 字符"/>
    <w:semiHidden/>
    <w:uiPriority w:val="99"/>
    <w:rPr>
      <w:rFonts w:ascii="Microsoft YaHei UI" w:hAnsi="等线" w:eastAsia="Microsoft YaHei UI" w:cs="Times New Roman"/>
      <w:sz w:val="18"/>
      <w:szCs w:val="18"/>
    </w:rPr>
  </w:style>
  <w:style w:type="character" w:customStyle="1" w:styleId="179">
    <w:name w:val="批注主题 字符1"/>
    <w:semiHidden/>
    <w:uiPriority w:val="99"/>
    <w:rPr>
      <w:rFonts w:ascii="Calibri" w:hAnsi="Calibri" w:eastAsia="宋体" w:cs="Times New Roman"/>
      <w:b/>
      <w:bCs/>
    </w:rPr>
  </w:style>
  <w:style w:type="character" w:customStyle="1" w:styleId="180">
    <w:name w:val="小正文 Char"/>
    <w:link w:val="79"/>
    <w:uiPriority w:val="0"/>
    <w:rPr>
      <w:rFonts w:ascii="仿宋_GB2312" w:hAnsi="宋体" w:eastAsia="仿宋_GB2312" w:cs="Times New Roman"/>
      <w:sz w:val="28"/>
      <w:szCs w:val="28"/>
    </w:rPr>
  </w:style>
  <w:style w:type="character" w:customStyle="1" w:styleId="181">
    <w:name w:val="正文首行缩进 Char2"/>
    <w:semiHidden/>
    <w:uiPriority w:val="99"/>
    <w:rPr>
      <w:rFonts w:ascii="Calibri" w:hAnsi="Calibri" w:eastAsia="宋体" w:cs="Times New Roman"/>
    </w:rPr>
  </w:style>
  <w:style w:type="character" w:customStyle="1" w:styleId="182">
    <w:name w:val="正文缩进 字符"/>
    <w:link w:val="9"/>
    <w:uiPriority w:val="0"/>
    <w:rPr>
      <w:rFonts w:ascii="宋体" w:hAnsi="Times New Roman" w:eastAsia="等线" w:cs="Times New Roman"/>
      <w:sz w:val="34"/>
    </w:rPr>
  </w:style>
  <w:style w:type="character" w:customStyle="1" w:styleId="183">
    <w:name w:val="标题 Char2"/>
    <w:uiPriority w:val="10"/>
    <w:rPr>
      <w:rFonts w:ascii="等线 Light" w:hAnsi="等线 Light" w:eastAsia="宋体" w:cs="Times New Roman"/>
      <w:b/>
      <w:bCs/>
      <w:sz w:val="32"/>
      <w:szCs w:val="32"/>
    </w:rPr>
  </w:style>
  <w:style w:type="character" w:customStyle="1" w:styleId="184">
    <w:name w:val="正文文本缩进 3 Char1"/>
    <w:semiHidden/>
    <w:uiPriority w:val="99"/>
    <w:rPr>
      <w:rFonts w:ascii="等线" w:hAnsi="等线" w:eastAsia="等线" w:cs="Times New Roman"/>
      <w:kern w:val="2"/>
      <w:sz w:val="16"/>
      <w:szCs w:val="16"/>
    </w:rPr>
  </w:style>
  <w:style w:type="character" w:customStyle="1" w:styleId="185">
    <w:name w:val="正文文本缩进 字符"/>
    <w:semiHidden/>
    <w:uiPriority w:val="99"/>
    <w:rPr>
      <w:rFonts w:ascii="等线" w:hAnsi="等线" w:eastAsia="等线" w:cs="Times New Roman"/>
    </w:rPr>
  </w:style>
  <w:style w:type="character" w:customStyle="1" w:styleId="186">
    <w:name w:val="z-窗体顶端 字符2"/>
    <w:semiHidden/>
    <w:uiPriority w:val="99"/>
    <w:rPr>
      <w:rFonts w:ascii="Arial" w:hAnsi="Arial" w:eastAsia="等线" w:cs="Arial"/>
      <w:vanish/>
      <w:sz w:val="16"/>
      <w:szCs w:val="16"/>
    </w:rPr>
  </w:style>
  <w:style w:type="character" w:customStyle="1" w:styleId="187">
    <w:name w:val="正文首行缩进 字符1"/>
    <w:link w:val="44"/>
    <w:uiPriority w:val="0"/>
    <w:rPr>
      <w:rFonts w:ascii="Times New Roman" w:hAnsi="Times New Roman" w:eastAsia="等线" w:cs="Times New Roman"/>
      <w:szCs w:val="24"/>
    </w:rPr>
  </w:style>
  <w:style w:type="character" w:customStyle="1" w:styleId="188">
    <w:name w:val="样式 样式1 + 首行缩进:  2 字符 Char"/>
    <w:link w:val="58"/>
    <w:uiPriority w:val="0"/>
    <w:rPr>
      <w:rFonts w:ascii="Arial" w:hAnsi="Arial" w:eastAsia="等线" w:cs="Times New Roman"/>
      <w:sz w:val="24"/>
    </w:rPr>
  </w:style>
  <w:style w:type="character" w:customStyle="1" w:styleId="189">
    <w:name w:val="批注框文本 Char1"/>
    <w:semiHidden/>
    <w:uiPriority w:val="99"/>
    <w:rPr>
      <w:rFonts w:ascii="等线" w:hAnsi="等线" w:eastAsia="等线" w:cs="Times New Roman"/>
      <w:kern w:val="2"/>
      <w:sz w:val="18"/>
      <w:szCs w:val="18"/>
    </w:rPr>
  </w:style>
  <w:style w:type="character" w:customStyle="1" w:styleId="190">
    <w:name w:val="Char Char14"/>
    <w:uiPriority w:val="0"/>
    <w:rPr>
      <w:rFonts w:ascii="宋体" w:hAnsi="Courier New" w:eastAsia="宋体" w:cs="Courier New"/>
      <w:kern w:val="2"/>
      <w:sz w:val="21"/>
      <w:szCs w:val="21"/>
      <w:lang w:val="en-US" w:eastAsia="zh-CN" w:bidi="ar-SA"/>
    </w:rPr>
  </w:style>
  <w:style w:type="character" w:customStyle="1" w:styleId="191">
    <w:name w:val="纯文本 字符1"/>
    <w:link w:val="19"/>
    <w:uiPriority w:val="0"/>
    <w:rPr>
      <w:rFonts w:ascii="宋体" w:hAnsi="Courier New" w:eastAsia="等线" w:cs="Times New Roman"/>
      <w:szCs w:val="21"/>
    </w:rPr>
  </w:style>
  <w:style w:type="character" w:customStyle="1" w:styleId="192">
    <w:name w:val="批注主题 Char3"/>
    <w:semiHidden/>
    <w:uiPriority w:val="99"/>
    <w:rPr>
      <w:rFonts w:ascii="Calibri" w:hAnsi="Calibri" w:eastAsia="宋体" w:cs="Times New Roman"/>
      <w:b/>
      <w:bCs/>
    </w:rPr>
  </w:style>
  <w:style w:type="character" w:customStyle="1" w:styleId="193">
    <w:name w:val="正文首行缩进 2 字符1"/>
    <w:link w:val="45"/>
    <w:uiPriority w:val="0"/>
    <w:rPr>
      <w:rFonts w:ascii="Times New Roman" w:hAnsi="Times New Roman" w:eastAsia="等线" w:cs="Times New Roman"/>
      <w:szCs w:val="24"/>
    </w:rPr>
  </w:style>
  <w:style w:type="character" w:customStyle="1" w:styleId="194">
    <w:name w:val="批注文字 Char1"/>
    <w:semiHidden/>
    <w:uiPriority w:val="99"/>
    <w:rPr>
      <w:rFonts w:ascii="等线" w:hAnsi="等线" w:eastAsia="等线" w:cs="Times New Roman"/>
      <w:kern w:val="2"/>
      <w:sz w:val="21"/>
      <w:szCs w:val="22"/>
    </w:rPr>
  </w:style>
  <w:style w:type="character" w:customStyle="1" w:styleId="195">
    <w:name w:val="正文首行缩进 2 Char2"/>
    <w:semiHidden/>
    <w:uiPriority w:val="99"/>
    <w:rPr>
      <w:rFonts w:ascii="等线" w:hAnsi="等线" w:eastAsia="等线" w:cs="Times New Roman"/>
    </w:rPr>
  </w:style>
  <w:style w:type="character" w:customStyle="1" w:styleId="196">
    <w:name w:val="标题 字符"/>
    <w:uiPriority w:val="10"/>
    <w:rPr>
      <w:rFonts w:ascii="Calibri Light" w:hAnsi="Calibri Light" w:eastAsia="宋体" w:cs="Times New Roman"/>
      <w:b/>
      <w:bCs/>
      <w:sz w:val="32"/>
      <w:szCs w:val="32"/>
    </w:rPr>
  </w:style>
  <w:style w:type="character" w:customStyle="1" w:styleId="197">
    <w:name w:val="正文文本缩进 字符1"/>
    <w:uiPriority w:val="0"/>
    <w:rPr>
      <w:rFonts w:ascii="等线" w:hAnsi="等线" w:eastAsia="等线" w:cs="Times New Roman"/>
    </w:rPr>
  </w:style>
  <w:style w:type="character" w:customStyle="1" w:styleId="198">
    <w:name w:val="标题 Char1"/>
    <w:uiPriority w:val="10"/>
    <w:rPr>
      <w:rFonts w:ascii="Cambria" w:hAnsi="Cambria" w:eastAsia="等线" w:cs="Times New Roman"/>
      <w:b/>
      <w:bCs/>
      <w:kern w:val="2"/>
      <w:sz w:val="32"/>
      <w:szCs w:val="32"/>
    </w:rPr>
  </w:style>
  <w:style w:type="character" w:customStyle="1" w:styleId="199">
    <w:name w:val="正文文本缩进 3 字符"/>
    <w:semiHidden/>
    <w:uiPriority w:val="99"/>
    <w:rPr>
      <w:rFonts w:ascii="等线" w:hAnsi="等线" w:eastAsia="等线" w:cs="Times New Roman"/>
      <w:sz w:val="16"/>
      <w:szCs w:val="16"/>
    </w:rPr>
  </w:style>
  <w:style w:type="character" w:customStyle="1" w:styleId="200">
    <w:name w:val="正文文本缩进 字符3"/>
    <w:basedOn w:val="47"/>
    <w:link w:val="15"/>
    <w:semiHidden/>
    <w:uiPriority w:val="99"/>
    <w:rPr>
      <w:rFonts w:ascii="等线" w:hAnsi="等线" w:eastAsia="等线" w:cs="Times New Roman"/>
    </w:rPr>
  </w:style>
  <w:style w:type="character" w:customStyle="1" w:styleId="201">
    <w:name w:val="正文首行缩进 2 字符3"/>
    <w:basedOn w:val="200"/>
    <w:semiHidden/>
    <w:uiPriority w:val="99"/>
  </w:style>
  <w:style w:type="character" w:customStyle="1" w:styleId="202">
    <w:name w:val="正文文本 2 字符3"/>
    <w:basedOn w:val="47"/>
    <w:semiHidden/>
    <w:uiPriority w:val="99"/>
    <w:rPr>
      <w:rFonts w:ascii="等线" w:hAnsi="等线" w:eastAsia="等线" w:cs="Times New Roman"/>
    </w:rPr>
  </w:style>
  <w:style w:type="character" w:customStyle="1" w:styleId="203">
    <w:name w:val="页脚 字符2"/>
    <w:semiHidden/>
    <w:uiPriority w:val="99"/>
    <w:rPr>
      <w:rFonts w:ascii="等线" w:hAnsi="等线" w:eastAsia="等线" w:cs="Times New Roman"/>
      <w:sz w:val="18"/>
      <w:szCs w:val="18"/>
    </w:rPr>
  </w:style>
  <w:style w:type="character" w:customStyle="1" w:styleId="204">
    <w:name w:val="批注框文本 字符3"/>
    <w:semiHidden/>
    <w:uiPriority w:val="99"/>
    <w:rPr>
      <w:rFonts w:ascii="等线" w:hAnsi="等线" w:eastAsia="等线" w:cs="Times New Roman"/>
      <w:sz w:val="18"/>
      <w:szCs w:val="18"/>
    </w:rPr>
  </w:style>
  <w:style w:type="character" w:customStyle="1" w:styleId="205">
    <w:name w:val="标题 字符3"/>
    <w:uiPriority w:val="10"/>
    <w:rPr>
      <w:rFonts w:ascii="等线 Light" w:hAnsi="等线 Light" w:eastAsia="等线 Light" w:cs="Times New Roman"/>
      <w:b/>
      <w:bCs/>
      <w:sz w:val="32"/>
      <w:szCs w:val="32"/>
    </w:rPr>
  </w:style>
  <w:style w:type="character" w:customStyle="1" w:styleId="206">
    <w:name w:val="正文文本缩进 3 字符3"/>
    <w:semiHidden/>
    <w:uiPriority w:val="99"/>
    <w:rPr>
      <w:rFonts w:ascii="等线" w:hAnsi="等线" w:eastAsia="等线" w:cs="Times New Roman"/>
      <w:sz w:val="16"/>
      <w:szCs w:val="16"/>
    </w:rPr>
  </w:style>
  <w:style w:type="character" w:customStyle="1" w:styleId="207">
    <w:name w:val="页眉 字符2"/>
    <w:semiHidden/>
    <w:uiPriority w:val="99"/>
    <w:rPr>
      <w:rFonts w:ascii="等线" w:hAnsi="等线" w:eastAsia="等线" w:cs="Times New Roman"/>
      <w:sz w:val="18"/>
      <w:szCs w:val="18"/>
    </w:rPr>
  </w:style>
  <w:style w:type="character" w:customStyle="1" w:styleId="208">
    <w:name w:val="批注文字 字符1"/>
    <w:basedOn w:val="47"/>
    <w:link w:val="13"/>
    <w:semiHidden/>
    <w:uiPriority w:val="99"/>
    <w:rPr>
      <w:rFonts w:ascii="等线" w:hAnsi="等线" w:eastAsia="等线" w:cs="Times New Roman"/>
    </w:rPr>
  </w:style>
  <w:style w:type="character" w:customStyle="1" w:styleId="209">
    <w:name w:val="批注主题 字符2"/>
    <w:semiHidden/>
    <w:uiPriority w:val="99"/>
    <w:rPr>
      <w:rFonts w:ascii="等线" w:hAnsi="等线" w:eastAsia="等线" w:cs="Times New Roman"/>
      <w:b/>
      <w:bCs/>
    </w:rPr>
  </w:style>
  <w:style w:type="character" w:customStyle="1" w:styleId="210">
    <w:name w:val="脚注文本 字符3"/>
    <w:semiHidden/>
    <w:uiPriority w:val="99"/>
    <w:rPr>
      <w:rFonts w:ascii="等线" w:hAnsi="等线" w:eastAsia="等线" w:cs="Times New Roman"/>
      <w:sz w:val="18"/>
      <w:szCs w:val="18"/>
    </w:rPr>
  </w:style>
  <w:style w:type="character" w:customStyle="1" w:styleId="211">
    <w:name w:val="纯文本 字符4"/>
    <w:semiHidden/>
    <w:uiPriority w:val="99"/>
    <w:rPr>
      <w:rFonts w:ascii="等线" w:hAnsi="Courier New" w:eastAsia="等线" w:cs="Courier New"/>
    </w:rPr>
  </w:style>
  <w:style w:type="character" w:customStyle="1" w:styleId="212">
    <w:name w:val="日期 字符3"/>
    <w:basedOn w:val="47"/>
    <w:semiHidden/>
    <w:uiPriority w:val="99"/>
    <w:rPr>
      <w:rFonts w:ascii="等线" w:hAnsi="等线" w:eastAsia="等线" w:cs="Times New Roman"/>
    </w:rPr>
  </w:style>
  <w:style w:type="character" w:customStyle="1" w:styleId="213">
    <w:name w:val="正文文本 字符2"/>
    <w:basedOn w:val="47"/>
    <w:semiHidden/>
    <w:uiPriority w:val="99"/>
    <w:rPr>
      <w:rFonts w:ascii="等线" w:hAnsi="等线" w:eastAsia="等线" w:cs="Times New Roman"/>
    </w:rPr>
  </w:style>
  <w:style w:type="character" w:customStyle="1" w:styleId="214">
    <w:name w:val="文档结构图 字符3"/>
    <w:semiHidden/>
    <w:uiPriority w:val="99"/>
    <w:rPr>
      <w:rFonts w:ascii="Microsoft YaHei UI" w:hAnsi="等线" w:eastAsia="Microsoft YaHei UI" w:cs="Times New Roman"/>
      <w:sz w:val="18"/>
      <w:szCs w:val="18"/>
    </w:rPr>
  </w:style>
  <w:style w:type="character" w:customStyle="1" w:styleId="215">
    <w:name w:val="正文首行缩进 字符3"/>
    <w:basedOn w:val="213"/>
    <w:semiHidden/>
    <w:uiPriority w:val="99"/>
  </w:style>
  <w:style w:type="character" w:customStyle="1" w:styleId="216">
    <w:name w:val="正文文本缩进 2 字符3"/>
    <w:basedOn w:val="47"/>
    <w:semiHidden/>
    <w:uiPriority w:val="99"/>
    <w:rPr>
      <w:rFonts w:ascii="等线" w:hAnsi="等线" w:eastAsia="等线" w:cs="Times New Roman"/>
    </w:rPr>
  </w:style>
  <w:style w:type="character" w:customStyle="1" w:styleId="217">
    <w:name w:val="z-窗体顶端 字符3"/>
    <w:semiHidden/>
    <w:uiPriority w:val="99"/>
    <w:rPr>
      <w:rFonts w:ascii="Arial" w:hAnsi="Arial" w:eastAsia="等线" w:cs="Arial"/>
      <w:vanish/>
      <w:sz w:val="16"/>
      <w:szCs w:val="16"/>
    </w:rPr>
  </w:style>
  <w:style w:type="character" w:customStyle="1" w:styleId="218">
    <w:name w:val="z-窗体底端 字符3"/>
    <w:semiHidden/>
    <w:uiPriority w:val="99"/>
    <w:rPr>
      <w:rFonts w:ascii="Arial" w:hAnsi="Arial" w:eastAsia="等线" w:cs="Arial"/>
      <w:vanish/>
      <w:sz w:val="16"/>
      <w:szCs w:val="1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zbzx-jsx</dc:creator>
  <cp:lastModifiedBy>宋宇</cp:lastModifiedBy>
  <dcterms:modified xsi:type="dcterms:W3CDTF">2019-10-18T08:34:48Z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