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r>
        <w:rPr>
          <w:rFonts w:hint="eastAsia" w:cs="Calibri"/>
          <w:kern w:val="0"/>
          <w:sz w:val="24"/>
          <w:szCs w:val="52"/>
        </w:rPr>
        <w:t xml:space="preserve"> </w:t>
      </w: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杭州萧山国际机场航站楼旅客行李手推车</w:t>
      </w:r>
    </w:p>
    <w:p>
      <w:pPr>
        <w:autoSpaceDE w:val="0"/>
        <w:autoSpaceDN w:val="0"/>
        <w:adjustRightInd w:val="0"/>
        <w:jc w:val="center"/>
        <w:rPr>
          <w:rFonts w:eastAsia="黑体" w:cs="Calibri"/>
          <w:b/>
          <w:sz w:val="44"/>
          <w:szCs w:val="44"/>
        </w:rPr>
      </w:pPr>
      <w:r>
        <w:rPr>
          <w:rFonts w:hint="eastAsia" w:eastAsia="黑体" w:cs="Calibri"/>
          <w:b/>
          <w:sz w:val="44"/>
          <w:szCs w:val="44"/>
        </w:rPr>
        <w:t>管理维护服务外包项目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rPr>
          <w:rFonts w:ascii="Calibri" w:hAnsi="Calibri" w:eastAsia="隶书" w:cs="Calibri"/>
          <w:sz w:val="32"/>
        </w:rPr>
      </w:pPr>
    </w:p>
    <w:p>
      <w:pPr>
        <w:pStyle w:val="19"/>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1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27"/>
        <w:rPr>
          <w:rFonts w:ascii="Calibri" w:cs="Calibri"/>
          <w:b/>
          <w:color w:val="000000"/>
          <w:sz w:val="44"/>
        </w:rPr>
      </w:pPr>
      <w:bookmarkStart w:id="3" w:name="_Toc386359390"/>
      <w:bookmarkStart w:id="4" w:name="_Toc349011855"/>
      <w:bookmarkStart w:id="5" w:name="_Toc386363314"/>
      <w:bookmarkStart w:id="6" w:name="_Toc349007685"/>
      <w:r>
        <w:rPr>
          <w:rFonts w:hint="eastAsia" w:ascii="Calibri" w:cs="Calibri"/>
          <w:b/>
          <w:color w:val="000000"/>
          <w:sz w:val="44"/>
        </w:rPr>
        <w:t xml:space="preserve"> </w:t>
      </w:r>
    </w:p>
    <w:p>
      <w:pPr>
        <w:pStyle w:val="27"/>
        <w:rPr>
          <w:rFonts w:ascii="Calibri" w:hAnsi="Calibri" w:cs="Calibri"/>
          <w:b/>
          <w:color w:val="000000"/>
          <w:sz w:val="44"/>
        </w:rPr>
      </w:pPr>
      <w:bookmarkStart w:id="7" w:name="_Toc444173456"/>
      <w:bookmarkStart w:id="8" w:name="_Toc400369182"/>
      <w:bookmarkStart w:id="9" w:name="_Toc444811406"/>
      <w:bookmarkStart w:id="10" w:name="_Toc448002981"/>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27"/>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2"/>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2"/>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2"/>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2"/>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21</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2"/>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60</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2"/>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64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22293"/>
      <w:bookmarkStart w:id="13" w:name="_Toc14628"/>
      <w:bookmarkStart w:id="14" w:name="_Toc8110"/>
      <w:bookmarkStart w:id="15" w:name="_Toc24932"/>
      <w:bookmarkStart w:id="16" w:name="_Toc18642"/>
      <w:bookmarkStart w:id="17" w:name="_Toc6581"/>
      <w:bookmarkStart w:id="18" w:name="_Toc6832"/>
      <w:bookmarkStart w:id="19" w:name="_Toc24784"/>
      <w:bookmarkStart w:id="20" w:name="_Toc7641"/>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航站楼旅客行李手推车外包</w:t>
      </w:r>
      <w:r>
        <w:rPr>
          <w:rFonts w:ascii="宋体" w:hAnsi="宋体" w:cs="Arial"/>
          <w:kern w:val="0"/>
          <w:sz w:val="22"/>
        </w:rPr>
        <w:t>项目</w:t>
      </w:r>
      <w:r>
        <w:rPr>
          <w:rFonts w:hint="eastAsia" w:ascii="宋体" w:hAnsi="宋体" w:cs="Arial"/>
          <w:kern w:val="0"/>
          <w:sz w:val="22"/>
        </w:rPr>
        <w:t>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航站楼旅客行李手推车服务包括：根据运营的实际情况，服务范围在航班运行期间，服务外包商应负责提供本场包括但不仅限于T1、T2、T3三个航站楼、高架桥上下、地下车库、地面停车场、场区办公楼等区域旅客行李手推车的回收、清洁、维护和管理。手推车维护含零配件采购、人工成本。</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服务面积约为</w:t>
      </w:r>
      <w:r>
        <w:rPr>
          <w:rFonts w:ascii="宋体" w:hAnsi="宋体" w:cs="Arial"/>
          <w:kern w:val="0"/>
          <w:sz w:val="22"/>
        </w:rPr>
        <w:t>50.6</w:t>
      </w:r>
      <w:r>
        <w:rPr>
          <w:rFonts w:hint="eastAsia" w:ascii="宋体" w:hAnsi="宋体" w:cs="Arial"/>
          <w:kern w:val="0"/>
          <w:sz w:val="22"/>
        </w:rPr>
        <w:t>万平方米，手推车按照5000辆进行人员排班且为年报损及遗失率测算基数，其中</w:t>
      </w:r>
      <w:r>
        <w:rPr>
          <w:rFonts w:ascii="宋体" w:hAnsi="宋体" w:cs="Arial"/>
          <w:kern w:val="0"/>
          <w:sz w:val="22"/>
        </w:rPr>
        <w:t>X320/LG6</w:t>
      </w:r>
      <w:r>
        <w:rPr>
          <w:rFonts w:hint="eastAsia" w:ascii="宋体" w:hAnsi="宋体" w:cs="Arial"/>
          <w:kern w:val="0"/>
          <w:sz w:val="22"/>
        </w:rPr>
        <w:t>型车3600辆，</w:t>
      </w:r>
      <w:r>
        <w:rPr>
          <w:rFonts w:ascii="宋体" w:hAnsi="宋体" w:cs="Arial"/>
          <w:kern w:val="0"/>
          <w:sz w:val="22"/>
        </w:rPr>
        <w:t>G406/LW2</w:t>
      </w:r>
      <w:r>
        <w:rPr>
          <w:rFonts w:hint="eastAsia" w:ascii="宋体" w:hAnsi="宋体" w:cs="Arial"/>
          <w:kern w:val="0"/>
          <w:sz w:val="22"/>
        </w:rPr>
        <w:t>型车1300辆，婴儿手推车</w:t>
      </w:r>
      <w:r>
        <w:rPr>
          <w:rFonts w:ascii="宋体" w:hAnsi="宋体" w:cs="Arial"/>
          <w:kern w:val="0"/>
          <w:sz w:val="22"/>
        </w:rPr>
        <w:t>100辆。（手推车数量会根据实际运行需求而有所增加</w:t>
      </w:r>
      <w:r>
        <w:rPr>
          <w:rFonts w:hint="eastAsia" w:ascii="宋体" w:hAnsi="宋体" w:cs="Arial"/>
          <w:kern w:val="0"/>
          <w:sz w:val="22"/>
        </w:rPr>
        <w:t>，测算基数不变）。</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航站楼旅客行李手推车服务包括：根据运营的实际情况，服务范围在航班运行期间，服务外包商应负责提供本场包括但不仅限于T1、T2、T3三个航站楼、高架桥上下、地下车库、地面停车场、场区办公楼等区域旅客行李手推车的回收、清洁、维护和管理。手推车维护含零配件采购、人工成本。</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2）大手推车年报损及遗失率不得超过4%，小手推车（含婴儿手推车）年报损及遗失率不得超过3%。</w:t>
      </w:r>
    </w:p>
    <w:p>
      <w:pPr>
        <w:widowControl/>
        <w:adjustRightInd w:val="0"/>
        <w:snapToGrid w:val="0"/>
        <w:spacing w:line="340" w:lineRule="exact"/>
        <w:ind w:firstLine="440" w:firstLineChars="200"/>
        <w:rPr>
          <w:rFonts w:ascii="宋体" w:hAnsi="宋体" w:cs="Arial"/>
          <w:kern w:val="0"/>
          <w:sz w:val="22"/>
        </w:rPr>
      </w:pPr>
      <w:r>
        <w:rPr>
          <w:rFonts w:ascii="宋体" w:hAnsi="宋体" w:cs="Arial"/>
          <w:kern w:val="0"/>
          <w:sz w:val="22"/>
        </w:rPr>
        <w:t>3</w:t>
      </w:r>
      <w:r>
        <w:rPr>
          <w:rFonts w:hint="eastAsia" w:ascii="宋体" w:hAnsi="宋体" w:cs="Arial"/>
          <w:kern w:val="0"/>
          <w:sz w:val="22"/>
        </w:rPr>
        <w:t>）工作时间为24小时制，保障航站楼开放至当日到达航班结束。根据季节的不同及杭州萧山国际机场航线开设的需要，招标人会相应提前或推迟行李手推车服务的开始、结束时间，投标人应根据招标人的要求及时间调整工作时间。</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（4）服务期：自2019 年12 月20 日开始，采用“3＋</w:t>
      </w:r>
      <w:r>
        <w:rPr>
          <w:rFonts w:ascii="宋体" w:hAnsi="宋体" w:cs="Arial"/>
          <w:kern w:val="0"/>
          <w:sz w:val="22"/>
        </w:rPr>
        <w:t>X</w:t>
      </w:r>
      <w:r>
        <w:rPr>
          <w:rFonts w:hint="eastAsia" w:ascii="宋体" w:hAnsi="宋体" w:cs="Arial"/>
          <w:kern w:val="0"/>
          <w:sz w:val="22"/>
        </w:rPr>
        <w:t>”</w:t>
      </w:r>
      <w:r>
        <w:rPr>
          <w:rFonts w:ascii="宋体" w:hAnsi="宋体" w:cs="Arial"/>
          <w:kern w:val="0"/>
          <w:sz w:val="22"/>
        </w:rPr>
        <w:t xml:space="preserve"> （X</w:t>
      </w: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年的模式，即前三年为考核期（固定期限），考核期</w:t>
      </w:r>
      <w:r>
        <w:rPr>
          <w:rFonts w:ascii="宋体" w:hAnsi="宋体" w:cs="Arial"/>
          <w:kern w:val="0"/>
          <w:sz w:val="22"/>
        </w:rPr>
        <w:t>届满前</w:t>
      </w:r>
      <w:r>
        <w:rPr>
          <w:rFonts w:hint="eastAsia" w:ascii="宋体" w:hAnsi="宋体" w:cs="Arial"/>
          <w:kern w:val="0"/>
          <w:sz w:val="22"/>
        </w:rPr>
        <w:t>六个月启动考核及评估。</w:t>
      </w:r>
      <w:r>
        <w:rPr>
          <w:rFonts w:ascii="宋体" w:hAnsi="宋体" w:cs="Arial"/>
          <w:kern w:val="0"/>
          <w:sz w:val="22"/>
        </w:rPr>
        <w:t>X（X</w:t>
      </w:r>
      <w:r>
        <w:rPr>
          <w:rFonts w:hint="eastAsia" w:ascii="宋体" w:hAnsi="宋体" w:cs="Arial"/>
          <w:kern w:val="0"/>
          <w:sz w:val="22"/>
        </w:rPr>
        <w:t>≤</w:t>
      </w:r>
      <w:r>
        <w:rPr>
          <w:rFonts w:ascii="宋体" w:hAnsi="宋体" w:cs="Arial"/>
          <w:kern w:val="0"/>
          <w:sz w:val="22"/>
        </w:rPr>
        <w:t>2）年为延续期，是否能继续延续，由招标人进行考核后决定。</w:t>
      </w:r>
    </w:p>
    <w:p>
      <w:pPr>
        <w:widowControl/>
        <w:adjustRightInd w:val="0"/>
        <w:snapToGrid w:val="0"/>
        <w:spacing w:line="340" w:lineRule="exact"/>
        <w:ind w:firstLine="440" w:firstLineChars="200"/>
        <w:rPr>
          <w:rFonts w:ascii="宋体" w:hAnsi="宋体" w:cs="Arial"/>
          <w:kern w:val="0"/>
          <w:sz w:val="22"/>
        </w:rPr>
      </w:pPr>
      <w:r>
        <w:rPr>
          <w:rFonts w:ascii="宋体" w:hAnsi="宋体" w:cs="Arial"/>
          <w:kern w:val="0"/>
          <w:sz w:val="22"/>
        </w:rPr>
        <w:t>在考核期届满前六个月对投标人的考核，招标人有权因T4航站楼投运后可能导致旅客流量和服务范围的</w:t>
      </w:r>
      <w:r>
        <w:rPr>
          <w:rFonts w:hint="eastAsia" w:ascii="宋体" w:hAnsi="宋体" w:cs="Arial"/>
          <w:kern w:val="0"/>
          <w:sz w:val="22"/>
        </w:rPr>
        <w:t>变化</w:t>
      </w:r>
      <w:r>
        <w:rPr>
          <w:rFonts w:ascii="宋体" w:hAnsi="宋体" w:cs="Arial"/>
          <w:kern w:val="0"/>
          <w:sz w:val="22"/>
        </w:rPr>
        <w:t>，根据现场运行实际需求重新评估人员总数及服务范围，在人员调整后根据中标人投标时所报人员单价重新核算价格，投标人必须承诺无条件接受重新评估的结果，服从招标人的安排，并承诺会按照招标人的要求提供服务。考核合格及重新评估后，本合同通过签订补充协议的方式顺延X（X</w:t>
      </w:r>
      <w:r>
        <w:rPr>
          <w:rFonts w:hint="eastAsia" w:ascii="宋体" w:hAnsi="宋体" w:cs="Arial"/>
          <w:kern w:val="0"/>
          <w:sz w:val="22"/>
        </w:rPr>
        <w:t>≤</w:t>
      </w:r>
      <w:r>
        <w:rPr>
          <w:rFonts w:ascii="宋体" w:hAnsi="宋体" w:cs="Arial"/>
          <w:kern w:val="0"/>
          <w:sz w:val="22"/>
        </w:rPr>
        <w:t>2）年。如考核结果不合格，则招标人有权终止合同，并有权要求本项目的中标人赔偿后X（X</w:t>
      </w:r>
      <w:r>
        <w:rPr>
          <w:rFonts w:hint="eastAsia" w:ascii="宋体" w:hAnsi="宋体" w:cs="Arial"/>
          <w:kern w:val="0"/>
          <w:sz w:val="22"/>
        </w:rPr>
        <w:t>≤</w:t>
      </w:r>
      <w:r>
        <w:rPr>
          <w:rFonts w:ascii="宋体" w:hAnsi="宋体" w:cs="Arial"/>
          <w:kern w:val="0"/>
          <w:sz w:val="22"/>
        </w:rPr>
        <w:t>2）年因更换承包商所产生的高于原合同费用的差价。</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注册资金不少于人民币500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w:t>
      </w:r>
      <w:r>
        <w:rPr>
          <w:rFonts w:ascii="宋体" w:hAnsi="宋体" w:cs="Arial"/>
          <w:kern w:val="0"/>
          <w:sz w:val="22"/>
        </w:rPr>
        <w:t>年（</w:t>
      </w:r>
      <w:r>
        <w:rPr>
          <w:rFonts w:hint="eastAsia" w:ascii="宋体" w:hAnsi="宋体" w:cs="Arial"/>
          <w:kern w:val="0"/>
          <w:sz w:val="22"/>
        </w:rPr>
        <w:t>自2016年1月1日至投标截止日</w:t>
      </w:r>
      <w:r>
        <w:rPr>
          <w:rFonts w:ascii="宋体" w:hAnsi="宋体" w:cs="Arial"/>
          <w:kern w:val="0"/>
          <w:sz w:val="22"/>
        </w:rPr>
        <w:t>）</w:t>
      </w:r>
      <w:r>
        <w:rPr>
          <w:rFonts w:hint="eastAsia" w:ascii="宋体" w:hAnsi="宋体" w:cs="Arial"/>
          <w:kern w:val="0"/>
          <w:sz w:val="22"/>
        </w:rPr>
        <w:t>，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（5）人员要求：拟派项目经理须从事物业管理工作3年（2</w:t>
      </w:r>
      <w:r>
        <w:rPr>
          <w:rFonts w:ascii="宋体" w:hAnsi="宋体" w:cs="Arial"/>
          <w:kern w:val="0"/>
          <w:sz w:val="22"/>
        </w:rPr>
        <w:t>01</w:t>
      </w:r>
      <w:r>
        <w:rPr>
          <w:rFonts w:hint="eastAsia" w:ascii="宋体" w:hAnsi="宋体" w:cs="Arial"/>
          <w:kern w:val="0"/>
          <w:sz w:val="22"/>
        </w:rPr>
        <w:t>6年1月1日至投标截止日）以上，且近3年内以项目经理身份至少完成过1项大型交通枢纽行李手推车服务项目或至少完成过1项5</w:t>
      </w:r>
      <w:r>
        <w:rPr>
          <w:rFonts w:ascii="宋体" w:hAnsi="宋体" w:cs="Arial"/>
          <w:kern w:val="0"/>
          <w:sz w:val="22"/>
        </w:rPr>
        <w:t>万平米及以上的大型公共</w:t>
      </w:r>
      <w:r>
        <w:rPr>
          <w:rFonts w:hint="eastAsia" w:ascii="宋体" w:hAnsi="宋体" w:cs="Arial"/>
          <w:kern w:val="0"/>
          <w:sz w:val="22"/>
        </w:rPr>
        <w:t>建筑</w:t>
      </w:r>
      <w:r>
        <w:rPr>
          <w:rFonts w:ascii="宋体" w:hAnsi="宋体" w:cs="Arial"/>
          <w:kern w:val="0"/>
          <w:sz w:val="22"/>
        </w:rPr>
        <w:t>的物业服务项目</w:t>
      </w:r>
      <w:r>
        <w:rPr>
          <w:rFonts w:hint="eastAsia" w:ascii="宋体" w:hAnsi="宋体" w:cs="Arial"/>
          <w:kern w:val="0"/>
          <w:sz w:val="22"/>
        </w:rPr>
        <w:t>业绩；（需提供社保</w:t>
      </w:r>
      <w:r>
        <w:rPr>
          <w:rFonts w:ascii="宋体" w:hAnsi="宋体" w:cs="Arial"/>
          <w:kern w:val="0"/>
          <w:sz w:val="22"/>
        </w:rPr>
        <w:t>证明、</w:t>
      </w:r>
      <w:r>
        <w:rPr>
          <w:rFonts w:hint="eastAsia" w:ascii="宋体" w:hAnsi="宋体" w:cs="Arial"/>
          <w:kern w:val="0"/>
          <w:sz w:val="22"/>
        </w:rPr>
        <w:t>相关合同</w:t>
      </w:r>
      <w:r>
        <w:rPr>
          <w:rFonts w:ascii="宋体" w:hAnsi="宋体" w:cs="Arial"/>
          <w:kern w:val="0"/>
          <w:sz w:val="22"/>
        </w:rPr>
        <w:t>文件</w:t>
      </w:r>
      <w:r>
        <w:rPr>
          <w:rFonts w:hint="eastAsia" w:ascii="宋体" w:hAnsi="宋体" w:cs="Arial"/>
          <w:kern w:val="0"/>
          <w:sz w:val="22"/>
        </w:rPr>
        <w:t>或</w:t>
      </w:r>
      <w:r>
        <w:rPr>
          <w:rFonts w:ascii="宋体" w:hAnsi="宋体" w:cs="Arial"/>
          <w:kern w:val="0"/>
          <w:sz w:val="22"/>
        </w:rPr>
        <w:t>中标通知书作为证明文件</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（北京时间）前送至杭州萧山国际机场翔越路综合服务楼园区招标中心，逾期无效；若采用投递方式（邮寄）的，请于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ind w:firstLine="420" w:firstLineChars="200"/>
        <w:jc w:val="left"/>
        <w:rPr>
          <w:rFonts w:ascii="宋体" w:hAnsi="宋体" w:cs="宋体"/>
          <w:kern w:val="0"/>
          <w:sz w:val="24"/>
          <w:szCs w:val="24"/>
        </w:rPr>
      </w:pPr>
      <w:r>
        <w:rPr>
          <w:rFonts w:ascii="Microsoft YaHei,Segoe UI Emoji" w:hAnsi="Microsoft YaHei,Segoe UI Emoji" w:cs="宋体"/>
          <w:color w:val="000000"/>
          <w:kern w:val="0"/>
          <w:szCs w:val="21"/>
        </w:rPr>
        <w:t xml:space="preserve">投标联系人：贾思勰 </w:t>
      </w:r>
      <w:r>
        <w:rPr>
          <w:rFonts w:hint="eastAsia" w:ascii="Microsoft YaHei,Segoe UI Emoji" w:hAnsi="Microsoft YaHei,Segoe UI Emoji" w:cs="宋体"/>
          <w:color w:val="000000"/>
          <w:kern w:val="0"/>
          <w:szCs w:val="21"/>
        </w:rPr>
        <w:t xml:space="preserve">     </w:t>
      </w:r>
      <w:r>
        <w:rPr>
          <w:rFonts w:ascii="Microsoft YaHei,Segoe UI Emoji" w:hAnsi="Microsoft YaHei,Segoe UI Emoji" w:cs="宋体"/>
          <w:color w:val="000000"/>
          <w:kern w:val="0"/>
          <w:szCs w:val="21"/>
        </w:rPr>
        <w:t xml:space="preserve">联系电话： 0571-83837612 </w:t>
      </w:r>
    </w:p>
    <w:p>
      <w:pPr>
        <w:widowControl/>
        <w:adjustRightInd w:val="0"/>
        <w:snapToGrid w:val="0"/>
        <w:spacing w:line="340" w:lineRule="exact"/>
        <w:ind w:firstLine="420" w:firstLineChars="200"/>
        <w:rPr>
          <w:rFonts w:ascii="宋体" w:hAnsi="宋体"/>
          <w:sz w:val="22"/>
        </w:rPr>
      </w:pPr>
      <w:r>
        <w:rPr>
          <w:rFonts w:ascii="Microsoft YaHei,Segoe UI Emoji" w:hAnsi="Microsoft YaHei,Segoe UI Emoji" w:cs="宋体"/>
          <w:color w:val="000000"/>
          <w:kern w:val="0"/>
          <w:szCs w:val="21"/>
        </w:rPr>
        <w:t>招标监督人：</w:t>
      </w:r>
      <w:r>
        <w:rPr>
          <w:rFonts w:ascii="Microsoft YaHei,Segoe UI Emoji" w:hAnsi="Microsoft YaHei,Segoe UI Emoji"/>
          <w:color w:val="000000"/>
          <w:szCs w:val="21"/>
        </w:rPr>
        <w:t>刘闻捷</w:t>
      </w:r>
      <w:r>
        <w:rPr>
          <w:rFonts w:ascii="Microsoft YaHei,Segoe UI Emoji" w:hAnsi="Microsoft YaHei,Segoe UI Emoji" w:cs="宋体"/>
          <w:color w:val="000000"/>
          <w:kern w:val="0"/>
          <w:szCs w:val="21"/>
        </w:rPr>
        <w:t xml:space="preserve"> </w:t>
      </w:r>
      <w:r>
        <w:rPr>
          <w:rFonts w:hint="eastAsia" w:ascii="Microsoft YaHei,Segoe UI Emoji" w:hAnsi="Microsoft YaHei,Segoe UI Emoji" w:cs="宋体"/>
          <w:color w:val="000000"/>
          <w:kern w:val="0"/>
          <w:szCs w:val="21"/>
        </w:rPr>
        <w:t xml:space="preserve">     </w:t>
      </w:r>
      <w:r>
        <w:rPr>
          <w:rFonts w:ascii="Microsoft YaHei,Segoe UI Emoji" w:hAnsi="Microsoft YaHei,Segoe UI Emoji" w:cs="宋体"/>
          <w:color w:val="000000"/>
          <w:kern w:val="0"/>
          <w:szCs w:val="21"/>
        </w:rPr>
        <w:t>联系电话： 0571-</w:t>
      </w:r>
      <w:r>
        <w:rPr>
          <w:rFonts w:ascii="Microsoft YaHei,Segoe UI Emoji" w:hAnsi="Microsoft YaHei,Segoe UI Emoji"/>
          <w:color w:val="000000"/>
          <w:szCs w:val="21"/>
        </w:rPr>
        <w:t xml:space="preserve"> 86662134</w:t>
      </w:r>
    </w:p>
    <w:p>
      <w:pPr>
        <w:pStyle w:val="2"/>
        <w:spacing w:before="0" w:after="0" w:line="360" w:lineRule="auto"/>
        <w:jc w:val="center"/>
        <w:rPr>
          <w:rFonts w:ascii="Calibri" w:hAnsi="Calibri" w:eastAsia="黑体" w:cs="Calibri"/>
          <w:kern w:val="0"/>
          <w:sz w:val="32"/>
        </w:rPr>
      </w:pPr>
      <w:r>
        <w:rPr>
          <w:rFonts w:ascii="宋体" w:hAnsi="宋体" w:cs="Calibri"/>
          <w:kern w:val="0"/>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32"/>
        <w:jc w:val="center"/>
        <w:rPr>
          <w:rFonts w:ascii="Calibri" w:hAnsi="Calibri" w:eastAsia="黑体" w:cs="Calibri"/>
          <w:kern w:val="2"/>
          <w:sz w:val="28"/>
          <w:szCs w:val="32"/>
        </w:rPr>
      </w:pPr>
      <w:bookmarkStart w:id="26" w:name="_Toc386359393"/>
      <w:bookmarkStart w:id="27" w:name="_Toc349011858"/>
      <w:bookmarkStart w:id="28" w:name="_Toc11881"/>
      <w:bookmarkStart w:id="29" w:name="_Toc444811409"/>
      <w:bookmarkStart w:id="30" w:name="_Toc400369185"/>
      <w:bookmarkStart w:id="31" w:name="_Toc444174979"/>
      <w:bookmarkStart w:id="32" w:name="_Toc448002984"/>
      <w:bookmarkStart w:id="33" w:name="_Toc349007688"/>
      <w:bookmarkStart w:id="34" w:name="_Toc386363317"/>
      <w:bookmarkStart w:id="35" w:name="_Toc444173459"/>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sz w:val="22"/>
              </w:rPr>
              <w:t>1.1</w:t>
            </w:r>
            <w:r>
              <w:rPr>
                <w:rFonts w:hint="eastAsia" w:cs="Calibri" w:asciiTheme="minorEastAsia" w:hAnsi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杭州萧山国际机场航站楼旅客行李手推车管理维护服务项目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sz w:val="22"/>
              </w:rPr>
            </w:pPr>
            <w:r>
              <w:rPr>
                <w:rFonts w:cs="Calibri" w:asciiTheme="minorEastAsia" w:hAnsi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实施</w:t>
            </w:r>
            <w:r>
              <w:rPr>
                <w:rFonts w:cs="Calibri" w:asciiTheme="minorEastAsia" w:hAnsi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kern w:val="0"/>
                <w:sz w:val="22"/>
              </w:rPr>
            </w:pPr>
            <w:r>
              <w:rPr>
                <w:rStyle w:val="82"/>
                <w:rFonts w:hint="eastAsia" w:cs="Calibri" w:asciiTheme="minorEastAsia" w:hAnsi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w:t>
            </w:r>
            <w:r>
              <w:rPr>
                <w:rFonts w:hint="eastAsia" w:cs="Calibri" w:asciiTheme="minorEastAsia" w:hAnsi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见招标公告，具体要求详见第</w:t>
            </w:r>
            <w:r>
              <w:rPr>
                <w:rFonts w:hint="eastAsia" w:cs="Calibri" w:asciiTheme="minorEastAsia" w:hAnsiTheme="minorEastAsia"/>
                <w:kern w:val="0"/>
                <w:sz w:val="22"/>
              </w:rPr>
              <w:t>三</w:t>
            </w:r>
            <w:r>
              <w:rPr>
                <w:rFonts w:cs="Calibri" w:asciiTheme="minorEastAsia" w:hAnsiTheme="minorEastAsia"/>
                <w:kern w:val="0"/>
                <w:sz w:val="22"/>
              </w:rPr>
              <w:t>章“</w:t>
            </w:r>
            <w:r>
              <w:rPr>
                <w:rFonts w:hint="eastAsia" w:cs="Calibri" w:asciiTheme="minorEastAsia" w:hAnsiTheme="minorEastAsia"/>
                <w:kern w:val="0"/>
                <w:sz w:val="22"/>
              </w:rPr>
              <w:t>服务技术标准及要求</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color w:val="FF0000"/>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服务期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自</w:t>
            </w:r>
            <w:r>
              <w:rPr>
                <w:rFonts w:ascii="宋体" w:hAnsi="宋体" w:cs="Calibri"/>
                <w:kern w:val="0"/>
                <w:sz w:val="22"/>
              </w:rPr>
              <w:t xml:space="preserve">2019 </w:t>
            </w:r>
            <w:r>
              <w:rPr>
                <w:rFonts w:hint="eastAsia" w:ascii="宋体" w:hAnsi="宋体" w:cs="Calibri"/>
                <w:kern w:val="0"/>
                <w:sz w:val="22"/>
              </w:rPr>
              <w:t>年</w:t>
            </w:r>
            <w:r>
              <w:rPr>
                <w:rFonts w:ascii="宋体" w:hAnsi="宋体" w:cs="Calibri"/>
                <w:kern w:val="0"/>
                <w:sz w:val="22"/>
              </w:rPr>
              <w:t xml:space="preserve">12 </w:t>
            </w:r>
            <w:r>
              <w:rPr>
                <w:rFonts w:hint="eastAsia" w:ascii="宋体" w:hAnsi="宋体" w:cs="Calibri"/>
                <w:kern w:val="0"/>
                <w:sz w:val="22"/>
              </w:rPr>
              <w:t>月</w:t>
            </w:r>
            <w:r>
              <w:rPr>
                <w:rFonts w:ascii="宋体" w:hAnsi="宋体" w:cs="Calibri"/>
                <w:kern w:val="0"/>
                <w:sz w:val="22"/>
              </w:rPr>
              <w:t xml:space="preserve">20 </w:t>
            </w:r>
            <w:r>
              <w:rPr>
                <w:rFonts w:hint="eastAsia" w:ascii="宋体" w:hAnsi="宋体" w:cs="Calibri"/>
                <w:kern w:val="0"/>
                <w:sz w:val="22"/>
              </w:rPr>
              <w:t>日开始，采用“</w:t>
            </w:r>
            <w:r>
              <w:rPr>
                <w:rFonts w:ascii="宋体" w:hAnsi="宋体" w:cs="Calibri"/>
                <w:kern w:val="0"/>
                <w:sz w:val="22"/>
              </w:rPr>
              <w:t>3＋</w:t>
            </w:r>
            <w:r>
              <w:rPr>
                <w:rFonts w:hint="eastAsia" w:ascii="宋体" w:hAnsi="宋体" w:cs="Calibri"/>
                <w:kern w:val="0"/>
                <w:sz w:val="22"/>
              </w:rPr>
              <w:t>X” （X≤2）年的模式，即前三年为考核期（固定期限），考核期届满前六个月启动考核及评估。X（X≤2）年为延续期，是否能继续延续，由招标人进行考核后决定。在考核期届满前六个月对投标人的考核，招标人有权因T4航站楼投运后可能导致旅客流量和服务范围的变化，根据现场运行实际需求重新评估人员总数及服务范围，在人员调整后根据中标人投标时所报人员单价重新核算价格，投标人必须承诺无条件接受重新评估的结果，服从招标人的安排，并承诺会按照招标人的要求提供服务。考核合格及重新评估后，本合同通过签订补充协议的方式顺延X（X≤2）年。如考核结果不合格，则招标人有权终止合同，并有权要求本项目的中标人赔偿后X（X≤2）年因更换承包商所产生的高于原合同费用的差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hint="default" w:ascii="宋体" w:hAnsi="宋体" w:cs="Calibri" w:eastAsiaTheme="minorEastAsia"/>
                <w:kern w:val="0"/>
                <w:sz w:val="22"/>
                <w:lang w:val="en-US" w:eastAsia="zh-CN"/>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rPr>
              <w:t>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1</w:t>
            </w:r>
            <w:r>
              <w:rPr>
                <w:rFonts w:hint="eastAsia" w:ascii="宋体" w:hAnsi="宋体" w:cs="Calibri"/>
                <w:kern w:val="0"/>
                <w:sz w:val="22"/>
              </w:rPr>
              <w:t>日</w:t>
            </w:r>
            <w:r>
              <w:rPr>
                <w:rFonts w:hint="eastAsia" w:ascii="宋体" w:hAnsi="宋体" w:cs="Calibri"/>
                <w:kern w:val="0"/>
                <w:sz w:val="22"/>
                <w:lang w:val="en-US" w:eastAsia="zh-CN"/>
              </w:rPr>
              <w:t>9时00分</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Calibri"/>
                <w:kern w:val="0"/>
                <w:sz w:val="22"/>
              </w:rPr>
              <w:t>注：前往现场踏勘人员需提前电话联系并提前3日提交：</w:t>
            </w:r>
          </w:p>
          <w:p>
            <w:pPr>
              <w:autoSpaceDE w:val="0"/>
              <w:autoSpaceDN w:val="0"/>
              <w:adjustRightInd w:val="0"/>
              <w:snapToGrid w:val="0"/>
              <w:rPr>
                <w:rFonts w:ascii="宋体" w:hAnsi="宋体" w:cs="Calibri"/>
                <w:kern w:val="0"/>
                <w:sz w:val="22"/>
              </w:rPr>
            </w:pPr>
            <w:r>
              <w:rPr>
                <w:rFonts w:hint="eastAsia" w:ascii="宋体" w:hAnsi="宋体" w:cs="Calibri"/>
                <w:kern w:val="0"/>
                <w:sz w:val="22"/>
              </w:rPr>
              <w:t>（1）有效身份证复印件；</w:t>
            </w:r>
          </w:p>
          <w:p>
            <w:pPr>
              <w:autoSpaceDE w:val="0"/>
              <w:autoSpaceDN w:val="0"/>
              <w:adjustRightInd w:val="0"/>
              <w:snapToGrid w:val="0"/>
              <w:rPr>
                <w:rFonts w:ascii="宋体" w:hAnsi="宋体" w:cs="Calibri"/>
                <w:kern w:val="0"/>
                <w:sz w:val="22"/>
              </w:rPr>
            </w:pPr>
            <w:r>
              <w:rPr>
                <w:rFonts w:hint="eastAsia" w:ascii="宋体" w:hAnsi="宋体" w:cs="Calibri"/>
                <w:kern w:val="0"/>
                <w:sz w:val="22"/>
              </w:rPr>
              <w:t>（2）一寸照1张；</w:t>
            </w:r>
          </w:p>
          <w:p>
            <w:pPr>
              <w:autoSpaceDE w:val="0"/>
              <w:autoSpaceDN w:val="0"/>
              <w:adjustRightInd w:val="0"/>
              <w:snapToGrid w:val="0"/>
              <w:rPr>
                <w:rFonts w:ascii="宋体" w:hAnsi="宋体" w:cs="Calibri"/>
                <w:kern w:val="0"/>
                <w:sz w:val="22"/>
              </w:rPr>
            </w:pPr>
            <w:r>
              <w:rPr>
                <w:rFonts w:hint="eastAsia" w:ascii="宋体" w:hAnsi="宋体" w:cs="Calibri"/>
                <w:kern w:val="0"/>
                <w:sz w:val="22"/>
              </w:rPr>
              <w:t>（3）踏勘当日携带有效身份在原件；</w:t>
            </w:r>
          </w:p>
          <w:p>
            <w:pPr>
              <w:pStyle w:val="44"/>
              <w:ind w:firstLine="0" w:firstLineChars="0"/>
              <w:rPr>
                <w:rFonts w:ascii="宋体" w:hAnsi="宋体" w:cs="Calibri"/>
                <w:sz w:val="22"/>
                <w:szCs w:val="22"/>
              </w:rPr>
            </w:pPr>
            <w:r>
              <w:rPr>
                <w:rFonts w:hint="eastAsia" w:ascii="宋体" w:hAnsi="宋体" w:cs="Calibri"/>
                <w:sz w:val="22"/>
                <w:szCs w:val="22"/>
              </w:rPr>
              <w:t>（4）每家不超过2人。</w:t>
            </w:r>
          </w:p>
          <w:p>
            <w:pPr>
              <w:autoSpaceDE w:val="0"/>
              <w:autoSpaceDN w:val="0"/>
              <w:adjustRightInd w:val="0"/>
              <w:snapToGrid w:val="0"/>
              <w:rPr>
                <w:rFonts w:ascii="宋体" w:hAnsi="宋体" w:cs="Calibri"/>
                <w:kern w:val="0"/>
                <w:sz w:val="22"/>
              </w:rPr>
            </w:pPr>
            <w:r>
              <w:rPr>
                <w:rFonts w:hint="eastAsia" w:ascii="宋体" w:hAnsi="宋体" w:cs="Calibri"/>
                <w:kern w:val="0"/>
                <w:sz w:val="22"/>
              </w:rPr>
              <w:t>（由于未参加现场踏勘引起的报价失误等责任由投标人自负）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1</w:t>
            </w:r>
            <w:r>
              <w:rPr>
                <w:rFonts w:hint="eastAsia" w:ascii="宋体" w:hAnsi="宋体" w:cs="Calibri"/>
                <w:kern w:val="0"/>
                <w:sz w:val="22"/>
              </w:rPr>
              <w:t>日11：30前，以书面加盖公章的形式通过E-mail或传真提交给招标人（投标联系人: 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11</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11</w:t>
            </w:r>
            <w:r>
              <w:rPr>
                <w:rFonts w:hint="eastAsia" w:cs="Calibri" w:asciiTheme="minorEastAsia" w:hAnsi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12</w:t>
            </w:r>
            <w:r>
              <w:rPr>
                <w:rFonts w:cs="Calibri" w:asciiTheme="minorEastAsia" w:hAnsi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投标保证金</w:t>
            </w:r>
          </w:p>
        </w:tc>
        <w:tc>
          <w:tcPr>
            <w:tcW w:w="6487" w:type="dxa"/>
            <w:vAlign w:val="center"/>
          </w:tcPr>
          <w:p>
            <w:pPr>
              <w:snapToGrid w:val="0"/>
              <w:rPr>
                <w:rFonts w:asciiTheme="minorEastAsia" w:hAnsiTheme="minorEastAsia"/>
                <w:sz w:val="22"/>
              </w:rPr>
            </w:pPr>
            <w:r>
              <w:rPr>
                <w:rFonts w:hint="eastAsia" w:asciiTheme="minorEastAsia" w:hAnsiTheme="minorEastAsia"/>
                <w:sz w:val="22"/>
              </w:rPr>
              <w:t>投标保证金的形式：银行转账</w:t>
            </w:r>
            <w:r>
              <w:rPr>
                <w:rFonts w:hint="eastAsia" w:asciiTheme="minorEastAsia" w:hAnsiTheme="minorEastAsia"/>
                <w:b/>
                <w:sz w:val="22"/>
              </w:rPr>
              <w:t>，必须在投标截止时间前通过投标人的基本账户以银行转账方式缴纳。</w:t>
            </w:r>
          </w:p>
          <w:p>
            <w:pPr>
              <w:snapToGrid w:val="0"/>
              <w:rPr>
                <w:rFonts w:asciiTheme="minorEastAsia" w:hAnsiTheme="minorEastAsia"/>
                <w:sz w:val="22"/>
              </w:rPr>
            </w:pPr>
            <w:r>
              <w:rPr>
                <w:rFonts w:hint="eastAsia" w:asciiTheme="minorEastAsia" w:hAnsiTheme="minorEastAsia"/>
                <w:sz w:val="22"/>
              </w:rPr>
              <w:t>投标保证金的金额：</w:t>
            </w:r>
            <w:r>
              <w:rPr>
                <w:rFonts w:hint="eastAsia" w:asciiTheme="minorEastAsia" w:hAnsiTheme="minorEastAsia"/>
                <w:b/>
                <w:sz w:val="22"/>
              </w:rPr>
              <w:t>人民币二十万元整</w:t>
            </w:r>
          </w:p>
          <w:p>
            <w:pPr>
              <w:snapToGrid w:val="0"/>
              <w:rPr>
                <w:rFonts w:asciiTheme="minorEastAsia" w:hAnsiTheme="minorEastAsia"/>
                <w:sz w:val="22"/>
              </w:rPr>
            </w:pPr>
            <w:r>
              <w:rPr>
                <w:rFonts w:hint="eastAsia" w:asciiTheme="minorEastAsia" w:hAnsiTheme="minorEastAsia"/>
                <w:sz w:val="22"/>
              </w:rPr>
              <w:t>投标保证金应在投标截止时间前汇入以下帐户：</w:t>
            </w:r>
          </w:p>
          <w:p>
            <w:pPr>
              <w:snapToGrid w:val="0"/>
              <w:rPr>
                <w:rFonts w:asciiTheme="minorEastAsia" w:hAnsiTheme="minorEastAsia"/>
                <w:sz w:val="22"/>
              </w:rPr>
            </w:pPr>
            <w:r>
              <w:rPr>
                <w:rFonts w:hint="eastAsia" w:asciiTheme="minorEastAsia" w:hAnsiTheme="minorEastAsia"/>
                <w:sz w:val="22"/>
              </w:rPr>
              <w:t>开户名：杭州萧山国际机场有限公司</w:t>
            </w:r>
          </w:p>
          <w:p>
            <w:pPr>
              <w:snapToGrid w:val="0"/>
              <w:rPr>
                <w:rFonts w:asciiTheme="minorEastAsia" w:hAnsiTheme="minorEastAsia"/>
                <w:sz w:val="22"/>
              </w:rPr>
            </w:pPr>
            <w:r>
              <w:rPr>
                <w:rFonts w:hint="eastAsia" w:asciiTheme="minorEastAsia" w:hAnsiTheme="minorEastAsia"/>
                <w:sz w:val="22"/>
              </w:rPr>
              <w:t xml:space="preserve">开户银行：工行杭州市空港城支行 </w:t>
            </w:r>
          </w:p>
          <w:p>
            <w:pPr>
              <w:snapToGrid w:val="0"/>
              <w:rPr>
                <w:rFonts w:asciiTheme="minorEastAsia" w:hAnsiTheme="minorEastAsia"/>
                <w:sz w:val="22"/>
                <w:lang w:val="zh-CN"/>
              </w:rPr>
            </w:pPr>
            <w:r>
              <w:rPr>
                <w:rFonts w:hint="eastAsia" w:asciiTheme="minorEastAsia" w:hAnsiTheme="minorEastAsia"/>
                <w:sz w:val="22"/>
              </w:rPr>
              <w:t>帐号：</w:t>
            </w:r>
            <w:r>
              <w:rPr>
                <w:rFonts w:hint="eastAsia" w:asciiTheme="minorEastAsia" w:hAnsiTheme="minorEastAsia"/>
                <w:sz w:val="22"/>
                <w:lang w:val="zh-CN"/>
              </w:rPr>
              <w:t>1202050209904601740</w:t>
            </w:r>
          </w:p>
          <w:p>
            <w:pPr>
              <w:snapToGrid w:val="0"/>
              <w:rPr>
                <w:rFonts w:ascii="宋体" w:hAnsi="宋体"/>
                <w:b/>
                <w:sz w:val="22"/>
              </w:rPr>
            </w:pPr>
            <w:r>
              <w:rPr>
                <w:rFonts w:hint="eastAsia" w:ascii="宋体" w:hAnsi="宋体"/>
                <w:b/>
                <w:sz w:val="22"/>
              </w:rPr>
              <w:t>投标人提交投标保证金时需注明“航站楼手推车投标保证金”；</w:t>
            </w:r>
          </w:p>
          <w:p>
            <w:pPr>
              <w:snapToGrid w:val="0"/>
              <w:rPr>
                <w:rFonts w:asciiTheme="minorEastAsia" w:hAnsiTheme="minorEastAsia"/>
                <w:sz w:val="22"/>
                <w:lang w:val="zh-CN"/>
              </w:rPr>
            </w:pPr>
            <w:r>
              <w:rPr>
                <w:rFonts w:hint="eastAsia" w:ascii="宋体" w:hAnsi="宋体"/>
                <w:b/>
                <w:sz w:val="22"/>
              </w:rPr>
              <w:t>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每册采用</w:t>
            </w:r>
            <w:r>
              <w:rPr>
                <w:rFonts w:cs="Calibri" w:asciiTheme="minorEastAsia" w:hAnsiTheme="minorEastAsia"/>
                <w:kern w:val="0"/>
                <w:sz w:val="22"/>
                <w:u w:val="single"/>
              </w:rPr>
              <w:t xml:space="preserve"> 胶装 </w:t>
            </w:r>
            <w:r>
              <w:rPr>
                <w:rFonts w:cs="Calibri" w:asciiTheme="minorEastAsia" w:hAnsi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Calibri"/>
                <w:kern w:val="0"/>
                <w:sz w:val="22"/>
              </w:rPr>
              <w:t>杭州萧山国际机场航站楼旅客行李手推车管理维护服务项目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11</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11</w:t>
            </w:r>
            <w:r>
              <w:rPr>
                <w:rFonts w:hint="eastAsia" w:cs="Calibri" w:asciiTheme="minorEastAsia" w:hAnsiTheme="minorEastAsia"/>
                <w:kern w:val="0"/>
                <w:sz w:val="22"/>
                <w:u w:val="single"/>
              </w:rPr>
              <w:t>日上午9时00分</w:t>
            </w:r>
            <w:bookmarkStart w:id="120" w:name="_GoBack"/>
            <w:bookmarkEnd w:id="120"/>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开标时间：同投标截止时间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1</w:t>
            </w:r>
            <w:r>
              <w:rPr>
                <w:rFonts w:cs="Calibri" w:asciiTheme="minorEastAsia" w:hAnsi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2</w:t>
            </w:r>
            <w:r>
              <w:rPr>
                <w:rFonts w:cs="Calibri" w:asciiTheme="minorEastAsia" w:hAnsiTheme="minorEastAsia"/>
                <w:kern w:val="0"/>
                <w:sz w:val="22"/>
              </w:rPr>
              <w:t>）开标顺序：按照后送达先开的顺序</w:t>
            </w:r>
            <w:r>
              <w:rPr>
                <w:rFonts w:hint="eastAsia"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：5</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□是</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履约担保的形式：</w:t>
            </w:r>
            <w:r>
              <w:rPr>
                <w:rFonts w:hint="eastAsia" w:asciiTheme="minorEastAsia" w:hAnsiTheme="minorEastAsia"/>
                <w:sz w:val="22"/>
              </w:rPr>
              <w:t>银行转账</w:t>
            </w:r>
          </w:p>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履约担保的金额：</w:t>
            </w:r>
            <w:r>
              <w:rPr>
                <w:rFonts w:hint="eastAsia" w:asciiTheme="minorEastAsia" w:hAnsiTheme="minorEastAsia"/>
                <w:sz w:val="22"/>
              </w:rPr>
              <w:t>首年合同</w:t>
            </w:r>
            <w:r>
              <w:rPr>
                <w:rFonts w:asciiTheme="minorEastAsia" w:hAnsiTheme="minorEastAsia"/>
                <w:sz w:val="22"/>
              </w:rPr>
              <w:t>金额</w:t>
            </w:r>
            <w:r>
              <w:rPr>
                <w:rFonts w:hint="eastAsia" w:asciiTheme="minorEastAsia" w:hAnsiTheme="minorEastAsia"/>
                <w:sz w:val="22"/>
              </w:rPr>
              <w:t>的</w:t>
            </w:r>
            <w:r>
              <w:rPr>
                <w:rFonts w:asciiTheme="minorEastAsia" w:hAnsiTheme="minorEastAsia"/>
                <w:sz w:val="22"/>
              </w:rPr>
              <w:t>10</w:t>
            </w:r>
            <w:r>
              <w:rPr>
                <w:rFonts w:hint="eastAsia" w:asciiTheme="minorEastAsia" w:hAnsi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snapToGrid w:val="0"/>
                <w:sz w:val="22"/>
              </w:rPr>
            </w:pPr>
            <w:r>
              <w:rPr>
                <w:rFonts w:cs="Calibri" w:asciiTheme="minorEastAsia" w:hAnsi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r>
              <w:rPr>
                <w:rFonts w:hint="eastAsia" w:cs="Calibri" w:asciiTheme="minorEastAsia" w:hAnsiTheme="minorEastAsia"/>
                <w:kern w:val="0"/>
                <w:sz w:val="22"/>
              </w:rPr>
              <w:t>2</w:t>
            </w:r>
          </w:p>
        </w:tc>
        <w:tc>
          <w:tcPr>
            <w:tcW w:w="2004" w:type="dxa"/>
            <w:vAlign w:val="center"/>
          </w:tcPr>
          <w:p>
            <w:pPr>
              <w:pStyle w:val="40"/>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snapToGrid w:val="0"/>
                <w:kern w:val="0"/>
                <w:sz w:val="22"/>
              </w:rPr>
              <w:t>异议</w:t>
            </w:r>
            <w:r>
              <w:rPr>
                <w:rFonts w:cs="Calibri" w:asciiTheme="minorEastAsia" w:hAnsiTheme="minorEastAsia"/>
                <w:snapToGrid w:val="0"/>
                <w:kern w:val="0"/>
                <w:sz w:val="22"/>
              </w:rPr>
              <w:t>。</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p>
            <w:pPr>
              <w:adjustRightInd w:val="0"/>
              <w:snapToGrid w:val="0"/>
              <w:rPr>
                <w:rFonts w:cs="Calibri" w:asciiTheme="minorEastAsia" w:hAnsiTheme="minorEastAsia"/>
                <w:snapToGrid w:val="0"/>
                <w:kern w:val="0"/>
                <w:sz w:val="22"/>
              </w:rPr>
            </w:pPr>
            <w:r>
              <w:rPr>
                <w:rFonts w:cs="Calibri" w:asciiTheme="minorEastAsia" w:hAnsiTheme="minorEastAsia"/>
                <w:b/>
                <w:bCs/>
                <w:snapToGrid w:val="0"/>
                <w:kern w:val="0"/>
                <w:sz w:val="22"/>
              </w:rPr>
              <w:t>3、</w:t>
            </w:r>
            <w:r>
              <w:rPr>
                <w:rFonts w:hint="eastAsia" w:cs="Calibri" w:asciiTheme="minorEastAsia" w:hAnsiTheme="minorEastAsia"/>
                <w:snapToGrid w:val="0"/>
                <w:kern w:val="0"/>
                <w:sz w:val="22"/>
              </w:rPr>
              <w:t>投标人</w:t>
            </w:r>
            <w:r>
              <w:rPr>
                <w:rFonts w:cs="Calibri" w:asciiTheme="minorEastAsia" w:hAnsiTheme="minorEastAsia"/>
                <w:snapToGrid w:val="0"/>
                <w:kern w:val="0"/>
                <w:sz w:val="22"/>
              </w:rPr>
              <w:t>可同时参与</w:t>
            </w:r>
            <w:r>
              <w:rPr>
                <w:rFonts w:hint="eastAsia" w:cs="Calibri" w:asciiTheme="minorEastAsia" w:hAnsiTheme="minorEastAsia"/>
                <w:snapToGrid w:val="0"/>
                <w:kern w:val="0"/>
                <w:sz w:val="22"/>
              </w:rPr>
              <w:t>航站楼公共区域保洁服务项目的3个</w:t>
            </w:r>
            <w:r>
              <w:rPr>
                <w:rFonts w:cs="Calibri" w:asciiTheme="minorEastAsia" w:hAnsiTheme="minorEastAsia"/>
                <w:snapToGrid w:val="0"/>
                <w:kern w:val="0"/>
                <w:sz w:val="22"/>
              </w:rPr>
              <w:t>标段</w:t>
            </w:r>
            <w:r>
              <w:rPr>
                <w:rFonts w:hint="eastAsia" w:cs="Calibri" w:asciiTheme="minorEastAsia" w:hAnsiTheme="minorEastAsia"/>
                <w:snapToGrid w:val="0"/>
                <w:kern w:val="0"/>
                <w:sz w:val="22"/>
              </w:rPr>
              <w:t>和航站楼旅客行李手推车管理维护服务项目的</w:t>
            </w:r>
            <w:r>
              <w:rPr>
                <w:rFonts w:cs="Calibri" w:asciiTheme="minorEastAsia" w:hAnsiTheme="minorEastAsia"/>
                <w:snapToGrid w:val="0"/>
                <w:kern w:val="0"/>
                <w:sz w:val="22"/>
              </w:rPr>
              <w:t>投标。</w:t>
            </w:r>
          </w:p>
          <w:p>
            <w:pPr>
              <w:adjustRightInd w:val="0"/>
              <w:snapToGrid w:val="0"/>
              <w:rPr>
                <w:rFonts w:cs="Calibri" w:asciiTheme="minorEastAsia" w:hAnsiTheme="minorEastAsia"/>
                <w:snapToGrid w:val="0"/>
                <w:kern w:val="0"/>
                <w:sz w:val="22"/>
              </w:rPr>
            </w:pPr>
            <w:r>
              <w:rPr>
                <w:rFonts w:hint="eastAsia" w:cs="Calibri" w:asciiTheme="minorEastAsia" w:hAnsiTheme="minorEastAsia"/>
                <w:snapToGrid w:val="0"/>
                <w:kern w:val="0"/>
                <w:sz w:val="22"/>
              </w:rPr>
              <w:t>4、同一投标人在航站楼公共区域保洁服务项目航站楼卫生间保洁服务标段、国内航站楼保洁服务标段、国际航站楼保洁服务标段和航站楼旅客行李手推车管理维护服务项目标段中</w:t>
            </w:r>
            <w:r>
              <w:rPr>
                <w:rFonts w:cs="Calibri" w:asciiTheme="minorEastAsia" w:hAnsiTheme="minorEastAsia"/>
                <w:snapToGrid w:val="0"/>
                <w:kern w:val="0"/>
                <w:sz w:val="22"/>
              </w:rPr>
              <w:t>只能中标</w:t>
            </w:r>
            <w:r>
              <w:rPr>
                <w:rFonts w:hint="eastAsia" w:cs="Calibri" w:asciiTheme="minorEastAsia" w:hAnsiTheme="minorEastAsia"/>
                <w:snapToGrid w:val="0"/>
                <w:kern w:val="0"/>
                <w:sz w:val="22"/>
              </w:rPr>
              <w:t>1</w:t>
            </w:r>
            <w:r>
              <w:rPr>
                <w:rFonts w:cs="Calibri" w:asciiTheme="minorEastAsia" w:hAnsiTheme="minorEastAsia"/>
                <w:snapToGrid w:val="0"/>
                <w:kern w:val="0"/>
                <w:sz w:val="22"/>
              </w:rPr>
              <w:t>个标段。</w:t>
            </w:r>
          </w:p>
          <w:p>
            <w:pPr>
              <w:adjustRightInd w:val="0"/>
              <w:snapToGrid w:val="0"/>
              <w:rPr>
                <w:rFonts w:cs="Calibri" w:asciiTheme="minorEastAsia" w:hAnsiTheme="minorEastAsia"/>
                <w:snapToGrid w:val="0"/>
                <w:kern w:val="0"/>
                <w:sz w:val="22"/>
              </w:rPr>
            </w:pPr>
            <w:r>
              <w:rPr>
                <w:rFonts w:hint="eastAsia" w:cs="Calibri" w:asciiTheme="minorEastAsia" w:hAnsiTheme="minorEastAsia"/>
                <w:snapToGrid w:val="0"/>
                <w:kern w:val="0"/>
                <w:sz w:val="22"/>
              </w:rPr>
              <w:t>5、</w:t>
            </w:r>
            <w:r>
              <w:rPr>
                <w:rFonts w:ascii="Microsoft YaHei,Segoe UI Emoji" w:hAnsi="Microsoft YaHei,Segoe UI Emoji"/>
                <w:color w:val="000000"/>
                <w:szCs w:val="21"/>
              </w:rPr>
              <w:t>本次评标按航站楼卫生间保洁服务标段、国内航站楼保洁服务标段、航站楼旅客行李手推车管理维护服务标段、国际航站楼保洁服务标段的顺序进行评审，投标人已在前述标段被推荐为第一中标候选人的，继续参与后续标段评审，但不再被推荐为中标候选人。</w:t>
            </w:r>
          </w:p>
          <w:p>
            <w:pPr>
              <w:adjustRightInd w:val="0"/>
              <w:snapToGrid w:val="0"/>
              <w:rPr>
                <w:rFonts w:cs="Calibri" w:asciiTheme="minorEastAsia" w:hAnsiTheme="minorEastAsia"/>
                <w:b/>
                <w:bCs/>
                <w:snapToGrid w:val="0"/>
                <w:kern w:val="0"/>
                <w:sz w:val="22"/>
              </w:rPr>
            </w:pPr>
            <w:r>
              <w:rPr>
                <w:rFonts w:hint="eastAsia" w:cs="Calibri" w:asciiTheme="minorEastAsia" w:hAnsiTheme="minorEastAsia"/>
                <w:b/>
                <w:bCs/>
                <w:snapToGrid w:val="0"/>
                <w:kern w:val="0"/>
                <w:sz w:val="22"/>
              </w:rPr>
              <w:t>6、特别说明：</w:t>
            </w:r>
          </w:p>
          <w:p>
            <w:pPr>
              <w:adjustRightInd w:val="0"/>
              <w:snapToGrid w:val="0"/>
              <w:rPr>
                <w:rFonts w:cs="Calibri" w:asciiTheme="minorEastAsia" w:hAnsiTheme="minorEastAsia"/>
                <w:snapToGrid w:val="0"/>
                <w:kern w:val="0"/>
                <w:sz w:val="22"/>
              </w:rPr>
            </w:pPr>
            <w:r>
              <w:rPr>
                <w:rFonts w:hint="eastAsia" w:cs="Calibri" w:asciiTheme="minorEastAsia" w:hAnsiTheme="minorEastAsia"/>
                <w:snapToGrid w:val="0"/>
                <w:kern w:val="0"/>
                <w:sz w:val="22"/>
              </w:rPr>
              <w:t>（</w:t>
            </w:r>
            <w:r>
              <w:rPr>
                <w:rFonts w:cs="Calibri" w:asciiTheme="minorEastAsia" w:hAnsiTheme="minorEastAsia"/>
                <w:snapToGrid w:val="0"/>
                <w:kern w:val="0"/>
                <w:sz w:val="22"/>
              </w:rPr>
              <w:t>1</w:t>
            </w:r>
            <w:r>
              <w:rPr>
                <w:rFonts w:hint="eastAsia" w:cs="Calibri" w:asciiTheme="minorEastAsia" w:hAnsiTheme="minorEastAsia"/>
                <w:snapToGrid w:val="0"/>
                <w:kern w:val="0"/>
                <w:sz w:val="22"/>
              </w:rPr>
              <w:t>）最低投标用工数：本项目前三年服务人员数量不得低于</w:t>
            </w:r>
            <w:r>
              <w:rPr>
                <w:rFonts w:cs="Calibri" w:asciiTheme="minorEastAsia" w:hAnsiTheme="minorEastAsia"/>
                <w:snapToGrid w:val="0"/>
                <w:kern w:val="0"/>
                <w:sz w:val="22"/>
              </w:rPr>
              <w:t>152</w:t>
            </w:r>
            <w:r>
              <w:rPr>
                <w:rFonts w:hint="eastAsia" w:cs="Calibri" w:asciiTheme="minorEastAsia" w:hAnsiTheme="minorEastAsia"/>
                <w:snapToGrid w:val="0"/>
                <w:kern w:val="0"/>
                <w:sz w:val="22"/>
              </w:rPr>
              <w:t>人（含管理人员），但具体管理人员数量可以投标人自行评估测算。若投标用工人数低于该数值，予以否决</w:t>
            </w:r>
            <w:r>
              <w:rPr>
                <w:rFonts w:cs="Calibri" w:asciiTheme="minorEastAsia" w:hAnsiTheme="minorEastAsia"/>
                <w:snapToGrid w:val="0"/>
                <w:kern w:val="0"/>
                <w:sz w:val="22"/>
              </w:rPr>
              <w:t>投标</w:t>
            </w:r>
            <w:r>
              <w:rPr>
                <w:rFonts w:hint="eastAsia" w:cs="Calibri" w:asciiTheme="minorEastAsia" w:hAnsiTheme="minorEastAsia"/>
                <w:snapToGrid w:val="0"/>
                <w:kern w:val="0"/>
                <w:sz w:val="22"/>
              </w:rPr>
              <w:t>处理。</w:t>
            </w:r>
          </w:p>
          <w:p>
            <w:pPr>
              <w:adjustRightInd w:val="0"/>
              <w:snapToGrid w:val="0"/>
              <w:rPr>
                <w:rFonts w:cs="Calibri" w:asciiTheme="minorEastAsia" w:hAnsiTheme="minorEastAsia"/>
                <w:snapToGrid w:val="0"/>
                <w:kern w:val="0"/>
                <w:sz w:val="22"/>
              </w:rPr>
            </w:pPr>
            <w:r>
              <w:rPr>
                <w:rFonts w:hint="eastAsia" w:cs="Calibri" w:asciiTheme="minorEastAsia" w:hAnsiTheme="minorEastAsia"/>
                <w:snapToGrid w:val="0"/>
                <w:kern w:val="0"/>
                <w:sz w:val="22"/>
              </w:rPr>
              <w:t>（</w:t>
            </w:r>
            <w:r>
              <w:rPr>
                <w:rFonts w:cs="Calibri" w:asciiTheme="minorEastAsia" w:hAnsiTheme="minorEastAsia"/>
                <w:snapToGrid w:val="0"/>
                <w:kern w:val="0"/>
                <w:sz w:val="22"/>
              </w:rPr>
              <w:t>2</w:t>
            </w:r>
            <w:r>
              <w:rPr>
                <w:rFonts w:hint="eastAsia" w:cs="Calibri" w:asciiTheme="minorEastAsia" w:hAnsiTheme="minorEastAsia"/>
                <w:snapToGrid w:val="0"/>
                <w:kern w:val="0"/>
                <w:sz w:val="22"/>
              </w:rPr>
              <w:t>）最低工资：手推车人员月人均实发工资不应低于</w:t>
            </w:r>
            <w:r>
              <w:rPr>
                <w:rFonts w:cs="Calibri" w:asciiTheme="minorEastAsia" w:hAnsiTheme="minorEastAsia"/>
                <w:snapToGrid w:val="0"/>
                <w:kern w:val="0"/>
                <w:sz w:val="22"/>
              </w:rPr>
              <w:t>2800元，若低于该数值，予以否决投标</w:t>
            </w:r>
            <w:r>
              <w:rPr>
                <w:rFonts w:hint="eastAsia" w:cs="Calibri" w:asciiTheme="minorEastAsia" w:hAnsiTheme="minorEastAsia"/>
                <w:snapToGrid w:val="0"/>
                <w:kern w:val="0"/>
                <w:sz w:val="22"/>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10.3</w:t>
            </w:r>
          </w:p>
        </w:tc>
        <w:tc>
          <w:tcPr>
            <w:tcW w:w="2004" w:type="dxa"/>
            <w:vAlign w:val="center"/>
          </w:tcPr>
          <w:p>
            <w:pPr>
              <w:pStyle w:val="40"/>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b/>
          <w:bCs/>
          <w:kern w:val="0"/>
          <w:sz w:val="22"/>
        </w:rPr>
      </w:pPr>
      <w:r>
        <w:rPr>
          <w:rFonts w:eastAsia="黑体" w:cs="Calibri"/>
          <w:b/>
          <w:bCs/>
          <w:kern w:val="0"/>
          <w:szCs w:val="21"/>
        </w:rPr>
        <w:br w:type="page"/>
      </w:r>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b/>
          <w:bCs/>
          <w:kern w:val="0"/>
          <w:sz w:val="22"/>
        </w:rPr>
      </w:pPr>
      <w:bookmarkStart w:id="40" w:name="_Toc26216"/>
      <w:r>
        <w:rPr>
          <w:rFonts w:cs="Calibri" w:asciiTheme="minorEastAsia" w:hAnsiTheme="minorEastAsia"/>
          <w:b/>
          <w:bCs/>
          <w:kern w:val="0"/>
          <w:sz w:val="22"/>
        </w:rPr>
        <w:t>1.1 项目</w:t>
      </w:r>
      <w:bookmarkEnd w:id="40"/>
      <w:r>
        <w:rPr>
          <w:rFonts w:cs="Calibri" w:asciiTheme="minorEastAsia" w:hAnsiTheme="minorEastAsia"/>
          <w:b/>
          <w:bCs/>
          <w:kern w:val="0"/>
          <w:sz w:val="22"/>
        </w:rPr>
        <w:t>概况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实施</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1"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2"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2"/>
      <w:r>
        <w:rPr>
          <w:rFonts w:hint="eastAsia" w:cs="Calibri" w:asciiTheme="minorEastAsia" w:hAnsiTheme="minorEastAsia"/>
          <w:b/>
          <w:bCs/>
          <w:kern w:val="0"/>
          <w:sz w:val="22"/>
        </w:rPr>
        <w:t>内容</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3"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4"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5"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6"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服务</w:t>
      </w:r>
      <w:r>
        <w:rPr>
          <w:rFonts w:cs="Calibri" w:asciiTheme="minorEastAsia" w:hAnsi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firstLineChars="200"/>
        <w:rPr>
          <w:rFonts w:cs="Calibri" w:asciiTheme="minorEastAsia" w:hAnsiTheme="minorEastAsia"/>
          <w:color w:val="000000"/>
          <w:sz w:val="22"/>
        </w:rPr>
      </w:pPr>
      <w:bookmarkStart w:id="47" w:name="_Toc13907"/>
      <w:r>
        <w:rPr>
          <w:rFonts w:cs="Calibri" w:asciiTheme="minorEastAsia" w:hAnsiTheme="minorEastAsia"/>
          <w:color w:val="000000"/>
          <w:sz w:val="22"/>
        </w:rPr>
        <w:t>见投标人须知前附表。</w:t>
      </w:r>
    </w:p>
    <w:bookmarkEnd w:id="47"/>
    <w:p>
      <w:pPr>
        <w:autoSpaceDE w:val="0"/>
        <w:autoSpaceDN w:val="0"/>
        <w:adjustRightInd w:val="0"/>
        <w:snapToGrid w:val="0"/>
        <w:spacing w:line="360" w:lineRule="exact"/>
        <w:rPr>
          <w:rFonts w:cs="Calibri" w:asciiTheme="minorEastAsia" w:hAnsiTheme="minorEastAsia"/>
          <w:b/>
          <w:bCs/>
          <w:kern w:val="0"/>
          <w:sz w:val="22"/>
        </w:rPr>
      </w:pPr>
      <w:bookmarkStart w:id="48" w:name="_Toc3996"/>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49"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4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0"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5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bookmarkEnd w:id="48"/>
    <w:p>
      <w:pPr>
        <w:autoSpaceDE w:val="0"/>
        <w:autoSpaceDN w:val="0"/>
        <w:adjustRightInd w:val="0"/>
        <w:snapToGrid w:val="0"/>
        <w:spacing w:line="360" w:lineRule="exact"/>
        <w:rPr>
          <w:rFonts w:cs="Calibri" w:asciiTheme="minorEastAsia" w:hAnsiTheme="minorEastAsia"/>
          <w:b/>
          <w:bCs/>
          <w:kern w:val="0"/>
          <w:sz w:val="22"/>
        </w:rPr>
      </w:pPr>
      <w:bookmarkStart w:id="51" w:name="_Toc15241"/>
      <w:bookmarkStart w:id="52" w:name="_Toc143421657"/>
      <w:r>
        <w:rPr>
          <w:rFonts w:cs="Calibri" w:asciiTheme="minorEastAsia" w:hAnsi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b/>
          <w:bCs/>
          <w:kern w:val="0"/>
          <w:sz w:val="22"/>
        </w:rPr>
      </w:pPr>
      <w:bookmarkStart w:id="53" w:name="_Toc1426"/>
      <w:r>
        <w:rPr>
          <w:rFonts w:cs="Calibri" w:asciiTheme="minorEastAsia" w:hAnsi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color w:val="000000"/>
          <w:kern w:val="0"/>
          <w:sz w:val="22"/>
        </w:rPr>
        <w:t>（3）</w:t>
      </w:r>
      <w:r>
        <w:rPr>
          <w:rFonts w:hint="eastAsia" w:cs="Calibri" w:asciiTheme="minorEastAsia" w:hAnsiTheme="minorEastAsia"/>
          <w:kern w:val="0"/>
          <w:sz w:val="22"/>
        </w:rPr>
        <w:t>服务技术标准及要求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4</w:t>
      </w:r>
      <w:r>
        <w:rPr>
          <w:rFonts w:cs="Calibri" w:asciiTheme="minorEastAsia" w:hAnsi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5</w:t>
      </w:r>
      <w:r>
        <w:rPr>
          <w:rFonts w:cs="Calibri" w:asciiTheme="minorEastAsia" w:hAnsi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6</w:t>
      </w:r>
      <w:r>
        <w:rPr>
          <w:rFonts w:cs="Calibri" w:asciiTheme="minorEastAsia" w:hAnsi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54" w:name="_Toc18230"/>
      <w:r>
        <w:rPr>
          <w:rFonts w:cs="Calibri" w:asciiTheme="minorEastAsia" w:hAnsi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b/>
          <w:bCs/>
          <w:kern w:val="0"/>
          <w:sz w:val="22"/>
        </w:rPr>
      </w:pPr>
      <w:bookmarkStart w:id="56" w:name="_Toc143421658"/>
      <w:bookmarkStart w:id="57" w:name="_Toc18870"/>
      <w:r>
        <w:rPr>
          <w:rFonts w:cs="Calibri" w:asciiTheme="minorEastAsia" w:hAnsi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b/>
          <w:bCs/>
          <w:kern w:val="0"/>
          <w:sz w:val="22"/>
        </w:rPr>
      </w:pPr>
      <w:bookmarkStart w:id="58" w:name="_Toc461"/>
      <w:r>
        <w:rPr>
          <w:rFonts w:cs="Calibri" w:asciiTheme="minorEastAsia" w:hAnsi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3.1.4招标文件中所指的“合同”除特别说明外，指 “</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合同”。</w:t>
      </w:r>
    </w:p>
    <w:p>
      <w:pPr>
        <w:autoSpaceDE w:val="0"/>
        <w:autoSpaceDN w:val="0"/>
        <w:adjustRightInd w:val="0"/>
        <w:snapToGrid w:val="0"/>
        <w:spacing w:line="360" w:lineRule="exact"/>
        <w:rPr>
          <w:rFonts w:cs="Calibri" w:asciiTheme="minorEastAsia" w:hAnsiTheme="minorEastAsia"/>
          <w:b/>
          <w:bCs/>
          <w:kern w:val="0"/>
          <w:sz w:val="22"/>
        </w:rPr>
      </w:pPr>
      <w:bookmarkStart w:id="59" w:name="_Toc1411"/>
      <w:r>
        <w:rPr>
          <w:rFonts w:cs="Calibri" w:asciiTheme="minorEastAsia" w:hAnsi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color w:val="000000"/>
          <w:sz w:val="22"/>
        </w:rPr>
      </w:pPr>
      <w:bookmarkStart w:id="60" w:name="_Toc32225"/>
      <w:r>
        <w:rPr>
          <w:rFonts w:cs="Calibri" w:asciiTheme="minorEastAsia" w:hAnsiTheme="minorEastAsia"/>
          <w:color w:val="000000"/>
          <w:sz w:val="22"/>
        </w:rPr>
        <w:t>3.2.1投标函；</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3.2.4.1投标报价总表-</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 xml:space="preserve">      3.2.4.2投标分项报价表（需有明细组成）：</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 xml:space="preserve">      （1）手推车服务费</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 xml:space="preserve">  （2）手推车服务人员的薪酬明细</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 xml:space="preserve">  （3）手推车维修耗材</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 xml:space="preserve">  （4）手推车牵引设备</w:t>
      </w:r>
    </w:p>
    <w:p>
      <w:pPr>
        <w:adjustRightInd w:val="0"/>
        <w:snapToGrid w:val="0"/>
        <w:spacing w:line="360" w:lineRule="exact"/>
        <w:ind w:firstLine="660" w:firstLineChars="300"/>
        <w:rPr>
          <w:rFonts w:cs="Calibri" w:asciiTheme="minorEastAsia" w:hAnsiTheme="minorEastAsia"/>
          <w:color w:val="000000"/>
          <w:sz w:val="22"/>
        </w:rPr>
      </w:pPr>
      <w:r>
        <w:rPr>
          <w:rFonts w:hint="eastAsia" w:cs="Calibri" w:asciiTheme="minorEastAsia" w:hAnsiTheme="minorEastAsia"/>
          <w:color w:val="000000"/>
          <w:sz w:val="22"/>
        </w:rPr>
        <w:t>（5）管理费（管理费、证件费、服装费、利润等）</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3.2.5项目管理人员团队情况表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6</w:t>
      </w:r>
      <w:r>
        <w:rPr>
          <w:rFonts w:cs="Calibri" w:asciiTheme="minorEastAsia" w:hAnsiTheme="minorEastAsia"/>
          <w:color w:val="000000"/>
          <w:sz w:val="22"/>
        </w:rPr>
        <w:t>投标人资格证明文件：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cs="Calibri" w:asciiTheme="minorEastAsia" w:hAnsiTheme="minorEastAsia"/>
          <w:sz w:val="22"/>
        </w:rPr>
        <w:t>税务登记证、</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w:t>
      </w:r>
      <w:r>
        <w:rPr>
          <w:rFonts w:ascii="Microsoft YaHei,Segoe UI Emoji" w:hAnsi="Microsoft YaHei,Segoe UI Emoji"/>
          <w:color w:val="000000"/>
          <w:szCs w:val="21"/>
        </w:rPr>
        <w:t>信用中国网站www.creditchina.gov.cn 、中国裁判文书网http://wenshu.court.gov.cn查询结果以及主管税务部门出具的一般纳税人资格认定《税务事项通知书》或《增值税一般纳税人登记表》或投标人电子税务局一般纳税人资格查询网页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3</w:t>
      </w:r>
      <w:r>
        <w:rPr>
          <w:rFonts w:cs="Calibri" w:asciiTheme="minorEastAsia" w:hAnsiTheme="minorEastAsia"/>
          <w:color w:val="000000"/>
          <w:sz w:val="22"/>
        </w:rPr>
        <w:t>）有关证明投标人的企业信誉及获得各种奖励等资料；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4</w:t>
      </w:r>
      <w:r>
        <w:rPr>
          <w:rFonts w:cs="Calibri" w:asciiTheme="minorEastAsia" w:hAnsiTheme="minorEastAsia"/>
          <w:color w:val="000000"/>
          <w:sz w:val="22"/>
        </w:rPr>
        <w:t>）投标人经济实力：包括企业注册资金、财务报告与报表中反映的财务状况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w:t>
      </w:r>
      <w:r>
        <w:rPr>
          <w:rFonts w:hint="eastAsia" w:ascii="宋体" w:hAnsi="宋体" w:cs="Arial"/>
          <w:kern w:val="0"/>
          <w:sz w:val="22"/>
        </w:rPr>
        <w:t>近</w:t>
      </w:r>
      <w:r>
        <w:rPr>
          <w:rFonts w:ascii="宋体" w:hAnsi="宋体" w:cs="Arial"/>
          <w:kern w:val="0"/>
          <w:sz w:val="22"/>
        </w:rPr>
        <w:t>年（</w:t>
      </w:r>
      <w:r>
        <w:rPr>
          <w:rFonts w:hint="eastAsia" w:ascii="宋体" w:hAnsi="宋体" w:cs="Arial"/>
          <w:kern w:val="0"/>
          <w:sz w:val="22"/>
        </w:rPr>
        <w:t>自2016年1月1日至投标截止日</w:t>
      </w:r>
      <w:r>
        <w:rPr>
          <w:rFonts w:ascii="宋体" w:hAnsi="宋体" w:cs="Arial"/>
          <w:kern w:val="0"/>
          <w:sz w:val="22"/>
        </w:rPr>
        <w:t>）</w:t>
      </w:r>
      <w:r>
        <w:rPr>
          <w:rFonts w:cs="Calibri" w:asciiTheme="minorEastAsia" w:hAnsiTheme="minorEastAsia"/>
          <w:color w:val="000000"/>
          <w:sz w:val="22"/>
        </w:rPr>
        <w:t>完成类似项目业绩情况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3.2.6</w:t>
      </w:r>
      <w:r>
        <w:rPr>
          <w:rFonts w:hint="eastAsia" w:cs="Calibri" w:asciiTheme="minorEastAsia" w:hAnsiTheme="minorEastAsia"/>
          <w:color w:val="000000"/>
          <w:sz w:val="22"/>
        </w:rPr>
        <w:t xml:space="preserve"> </w:t>
      </w:r>
      <w:r>
        <w:rPr>
          <w:rFonts w:cs="Calibri" w:asciiTheme="minorEastAsia" w:hAnsiTheme="minorEastAsia"/>
          <w:color w:val="000000"/>
          <w:sz w:val="22"/>
        </w:rPr>
        <w:t>服务大纲</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）投入到本项目的项目经理、其他人员的情况汇总表及业绩、经历、能力介绍、资格证明材料及人员到位率的承诺；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3.2.7</w:t>
      </w:r>
      <w:r>
        <w:rPr>
          <w:rFonts w:hint="eastAsia" w:cs="Calibri" w:asciiTheme="minorEastAsia" w:hAnsiTheme="minorEastAsia"/>
          <w:color w:val="000000"/>
          <w:sz w:val="22"/>
        </w:rPr>
        <w:t>服务承诺</w:t>
      </w:r>
    </w:p>
    <w:p>
      <w:pPr>
        <w:adjustRightInd w:val="0"/>
        <w:snapToGrid w:val="0"/>
        <w:spacing w:line="360" w:lineRule="exact"/>
        <w:ind w:firstLine="440" w:firstLineChars="200"/>
        <w:rPr>
          <w:rFonts w:asciiTheme="minorEastAsia" w:hAnsiTheme="minorEastAsia"/>
          <w:sz w:val="22"/>
        </w:rPr>
      </w:pPr>
      <w:r>
        <w:rPr>
          <w:rFonts w:hint="eastAsia" w:cs="Calibri" w:asciiTheme="minorEastAsia" w:hAnsiTheme="minorEastAsia"/>
          <w:color w:val="000000"/>
          <w:sz w:val="22"/>
        </w:rPr>
        <w:t xml:space="preserve">3.2.8 </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color w:val="000000"/>
          <w:kern w:val="0"/>
          <w:sz w:val="22"/>
        </w:rPr>
      </w:pPr>
      <w:bookmarkStart w:id="61" w:name="_Toc13307"/>
      <w:r>
        <w:rPr>
          <w:rFonts w:cs="Calibri" w:asciiTheme="minorEastAsia" w:hAnsi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3.2.4投标报价的其他要求</w:t>
      </w:r>
      <w:r>
        <w:rPr>
          <w:rFonts w:hint="eastAsia" w:cs="Calibri" w:asciiTheme="minorEastAsia" w:hAnsiTheme="minorEastAsia"/>
          <w:color w:val="000000"/>
          <w:kern w:val="0"/>
          <w:sz w:val="22"/>
        </w:rPr>
        <w:t>：</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b/>
          <w:bCs/>
          <w:kern w:val="0"/>
          <w:sz w:val="22"/>
        </w:rPr>
      </w:pPr>
      <w:bookmarkStart w:id="62" w:name="_Toc30464"/>
      <w:r>
        <w:rPr>
          <w:rFonts w:cs="Calibri" w:asciiTheme="minorEastAsia" w:hAnsiTheme="minorEastAsia"/>
          <w:b/>
          <w:bCs/>
          <w:kern w:val="0"/>
          <w:sz w:val="22"/>
        </w:rPr>
        <w:t>3.5 投标保证金</w:t>
      </w:r>
      <w:bookmarkEnd w:id="62"/>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3.6.1 投标文件应按本须知第3.2款规定的内容和第</w:t>
      </w:r>
      <w:r>
        <w:rPr>
          <w:rFonts w:hint="eastAsia" w:cs="Calibri" w:asciiTheme="minorEastAsia" w:hAnsiTheme="minorEastAsia"/>
          <w:color w:val="000000"/>
          <w:sz w:val="22"/>
        </w:rPr>
        <w:t>六</w:t>
      </w:r>
      <w:r>
        <w:rPr>
          <w:rFonts w:cs="Calibri" w:asciiTheme="minorEastAsia" w:hAnsi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sz w:val="22"/>
        </w:rPr>
        <w:t>服务期</w:t>
      </w:r>
      <w:r>
        <w:rPr>
          <w:rFonts w:cs="Calibri" w:asciiTheme="minorEastAsia" w:hAnsi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 xml:space="preserve">3.6.2 </w:t>
      </w:r>
      <w:r>
        <w:rPr>
          <w:rFonts w:cs="Calibri" w:asciiTheme="minorEastAsia" w:hAnsiTheme="minorEastAsia"/>
          <w:color w:val="000000"/>
          <w:kern w:val="0"/>
          <w:sz w:val="22"/>
        </w:rPr>
        <w:t>投标文件应对招标文件有关</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期、投标有效期、招标</w:t>
      </w:r>
      <w:r>
        <w:rPr>
          <w:rFonts w:hint="eastAsia" w:cs="Calibri" w:asciiTheme="minorEastAsia" w:hAnsiTheme="minorEastAsia"/>
          <w:color w:val="000000"/>
          <w:kern w:val="0"/>
          <w:sz w:val="22"/>
        </w:rPr>
        <w:t>内容</w:t>
      </w:r>
      <w:r>
        <w:rPr>
          <w:rFonts w:cs="Calibri" w:asciiTheme="minorEastAsia" w:hAnsi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3.6.4投标文件正本一份， 副本份数见投标人须知前附表。正本、副本的封面上应清楚地标记</w:t>
      </w:r>
      <w:r>
        <w:rPr>
          <w:rFonts w:cs="Calibri" w:asciiTheme="minorEastAsia" w:hAnsiTheme="minorEastAsia"/>
          <w:b/>
          <w:bCs/>
          <w:color w:val="000000"/>
          <w:sz w:val="22"/>
        </w:rPr>
        <w:t>“正本</w:t>
      </w:r>
      <w:r>
        <w:rPr>
          <w:rFonts w:cs="Calibri" w:asciiTheme="minorEastAsia" w:hAnsiTheme="minorEastAsia"/>
          <w:color w:val="000000"/>
          <w:sz w:val="22"/>
        </w:rPr>
        <w:t>”或“</w:t>
      </w:r>
      <w:r>
        <w:rPr>
          <w:rFonts w:cs="Calibri" w:asciiTheme="minorEastAsia" w:hAnsiTheme="minorEastAsia"/>
          <w:b/>
          <w:bCs/>
          <w:color w:val="000000"/>
          <w:sz w:val="22"/>
        </w:rPr>
        <w:t>副本</w:t>
      </w:r>
      <w:r>
        <w:rPr>
          <w:rFonts w:cs="Calibri" w:asciiTheme="minorEastAsia" w:hAnsi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b/>
          <w:bCs/>
          <w:kern w:val="0"/>
          <w:sz w:val="22"/>
        </w:rPr>
      </w:pPr>
      <w:bookmarkStart w:id="65" w:name="_Toc32652"/>
      <w:r>
        <w:rPr>
          <w:rFonts w:cs="Calibri" w:asciiTheme="minorEastAsia" w:hAnsi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b/>
          <w:bCs/>
          <w:kern w:val="0"/>
          <w:sz w:val="22"/>
        </w:rPr>
      </w:pPr>
      <w:bookmarkStart w:id="66" w:name="_Toc649"/>
      <w:r>
        <w:rPr>
          <w:rFonts w:cs="Calibri" w:asciiTheme="minorEastAsia" w:hAnsi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4.1.1</w:t>
      </w:r>
      <w:r>
        <w:rPr>
          <w:rFonts w:cs="Calibri" w:asciiTheme="minorEastAsia" w:hAnsiTheme="minorEastAsia"/>
          <w:color w:val="000000"/>
          <w:kern w:val="0"/>
          <w:sz w:val="22"/>
        </w:rPr>
        <w:t>投标文件的正本、副本可一同</w:t>
      </w:r>
      <w:r>
        <w:rPr>
          <w:rFonts w:hint="eastAsia" w:cs="Calibri" w:asciiTheme="minorEastAsia" w:hAnsiTheme="minorEastAsia"/>
          <w:color w:val="000000"/>
          <w:kern w:val="0"/>
          <w:sz w:val="22"/>
        </w:rPr>
        <w:t>密封</w:t>
      </w:r>
      <w:r>
        <w:rPr>
          <w:rFonts w:cs="Calibri" w:asciiTheme="minorEastAsia" w:hAnsi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4.1.</w:t>
      </w:r>
      <w:r>
        <w:rPr>
          <w:rFonts w:hint="eastAsia" w:cs="Calibri" w:asciiTheme="minorEastAsia" w:hAnsiTheme="minorEastAsia"/>
          <w:color w:val="000000"/>
          <w:kern w:val="0"/>
          <w:sz w:val="22"/>
        </w:rPr>
        <w:t>4</w:t>
      </w:r>
      <w:r>
        <w:rPr>
          <w:rFonts w:cs="Calibri" w:asciiTheme="minorEastAsia" w:hAnsi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b/>
          <w:bCs/>
          <w:kern w:val="0"/>
          <w:sz w:val="22"/>
        </w:rPr>
      </w:pPr>
      <w:bookmarkStart w:id="67" w:name="_Toc16616"/>
      <w:r>
        <w:rPr>
          <w:rFonts w:cs="Calibri" w:asciiTheme="minorEastAsia" w:hAnsi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b/>
          <w:bCs/>
          <w:kern w:val="0"/>
          <w:sz w:val="22"/>
        </w:rPr>
      </w:pPr>
      <w:r>
        <w:rPr>
          <w:rFonts w:cs="Calibri" w:asciiTheme="minorEastAsia" w:hAnsi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w:t>
      </w:r>
      <w:r>
        <w:rPr>
          <w:rFonts w:hint="eastAsia" w:cs="Calibri" w:asciiTheme="minorEastAsia" w:hAnsiTheme="minorEastAsia"/>
          <w:color w:val="000000"/>
          <w:sz w:val="22"/>
        </w:rPr>
        <w:t>4</w:t>
      </w:r>
      <w:r>
        <w:rPr>
          <w:rFonts w:cs="Calibri" w:asciiTheme="minorEastAsia" w:hAnsi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b/>
          <w:bCs/>
          <w:kern w:val="0"/>
          <w:sz w:val="22"/>
        </w:rPr>
      </w:pPr>
      <w:bookmarkStart w:id="68" w:name="_Toc26099"/>
      <w:r>
        <w:rPr>
          <w:rFonts w:cs="Calibri" w:asciiTheme="minorEastAsia" w:hAnsi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b/>
          <w:bCs/>
          <w:kern w:val="0"/>
          <w:sz w:val="22"/>
        </w:rPr>
      </w:pPr>
      <w:bookmarkStart w:id="69" w:name="_Toc29641"/>
      <w:r>
        <w:rPr>
          <w:rFonts w:cs="Calibri" w:asciiTheme="minorEastAsia" w:hAnsi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b/>
          <w:bCs/>
          <w:kern w:val="0"/>
          <w:sz w:val="22"/>
        </w:rPr>
      </w:pPr>
      <w:bookmarkStart w:id="70" w:name="_Toc15123"/>
      <w:r>
        <w:rPr>
          <w:rFonts w:cs="Calibri" w:asciiTheme="minorEastAsia" w:hAnsi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sz w:val="22"/>
        </w:rPr>
      </w:pPr>
      <w:bookmarkStart w:id="71" w:name="_Toc7101"/>
      <w:r>
        <w:rPr>
          <w:rFonts w:cs="Calibri" w:asciiTheme="minorEastAsia" w:hAnsiTheme="minorEastAsia"/>
          <w:sz w:val="22"/>
        </w:rPr>
        <w:t>（1）委托代理人的身份证、法定代表人授权委托书</w:t>
      </w:r>
      <w:r>
        <w:rPr>
          <w:rFonts w:hint="eastAsia" w:cs="Calibri" w:asciiTheme="minorEastAsia" w:hAnsiTheme="minorEastAsia"/>
          <w:sz w:val="22"/>
        </w:rPr>
        <w:t>（装订在投标文件内亦可）</w:t>
      </w:r>
      <w:r>
        <w:rPr>
          <w:rFonts w:cs="Calibri" w:asciiTheme="minorEastAsia" w:hAnsiTheme="minorEastAsia"/>
          <w:sz w:val="22"/>
        </w:rPr>
        <w:t>；</w:t>
      </w:r>
    </w:p>
    <w:p>
      <w:pPr>
        <w:adjustRightInd w:val="0"/>
        <w:snapToGrid w:val="0"/>
        <w:spacing w:line="360" w:lineRule="exact"/>
        <w:ind w:firstLine="440" w:firstLineChars="200"/>
        <w:rPr>
          <w:rFonts w:cs="Calibri" w:asciiTheme="minorEastAsia" w:hAnsiTheme="minorEastAsia"/>
          <w:sz w:val="22"/>
        </w:rPr>
      </w:pPr>
      <w:r>
        <w:rPr>
          <w:rFonts w:cs="Calibri" w:asciiTheme="minorEastAsia" w:hAnsiTheme="minorEastAsia"/>
          <w:sz w:val="22"/>
        </w:rPr>
        <w:t>（2）投标保证金收执证明或汇款凭证或银行回单</w:t>
      </w:r>
      <w:r>
        <w:rPr>
          <w:rFonts w:hint="eastAsia" w:cs="Calibri" w:asciiTheme="minorEastAsia" w:hAnsiTheme="minorEastAsia"/>
          <w:sz w:val="22"/>
        </w:rPr>
        <w:t>（装订在投标文件内亦可）</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w:t>
      </w:r>
      <w:r>
        <w:rPr>
          <w:rFonts w:cs="Calibri" w:asciiTheme="minorEastAsia" w:hAnsiTheme="minorEastAsia"/>
          <w:color w:val="000000"/>
          <w:sz w:val="22"/>
        </w:rPr>
        <w:t>按照宣布的开标顺序当众开标，公布投标人名称、投标保证金的递交情况、投标报价、</w:t>
      </w:r>
      <w:r>
        <w:rPr>
          <w:rFonts w:hint="eastAsia" w:cs="Calibri" w:asciiTheme="minorEastAsia" w:hAnsiTheme="minorEastAsia"/>
          <w:color w:val="000000"/>
          <w:sz w:val="22"/>
        </w:rPr>
        <w:t>服务期</w:t>
      </w:r>
      <w:r>
        <w:rPr>
          <w:rFonts w:cs="Calibri" w:asciiTheme="minorEastAsia" w:hAnsi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b/>
          <w:bCs/>
          <w:kern w:val="0"/>
          <w:sz w:val="22"/>
        </w:rPr>
      </w:pPr>
      <w:bookmarkStart w:id="72" w:name="_Toc31578"/>
      <w:r>
        <w:rPr>
          <w:rFonts w:cs="Calibri" w:asciiTheme="minorEastAsia" w:hAnsi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b/>
          <w:bCs/>
          <w:kern w:val="0"/>
          <w:sz w:val="22"/>
        </w:rPr>
      </w:pPr>
      <w:bookmarkStart w:id="73" w:name="_Toc10279"/>
      <w:r>
        <w:rPr>
          <w:rFonts w:cs="Calibri" w:asciiTheme="minorEastAsia" w:hAnsi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6.1.1</w:t>
      </w:r>
      <w:r>
        <w:rPr>
          <w:rFonts w:cs="Calibri" w:asciiTheme="minorEastAsia" w:hAnsi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b/>
          <w:bCs/>
          <w:kern w:val="0"/>
          <w:sz w:val="22"/>
        </w:rPr>
      </w:pPr>
      <w:bookmarkStart w:id="74" w:name="_Toc3460"/>
      <w:r>
        <w:rPr>
          <w:rFonts w:cs="Calibri" w:asciiTheme="minorEastAsia" w:hAnsi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b/>
          <w:bCs/>
          <w:kern w:val="0"/>
          <w:sz w:val="22"/>
        </w:rPr>
      </w:pPr>
      <w:bookmarkStart w:id="75" w:name="_Toc28178"/>
      <w:r>
        <w:rPr>
          <w:rFonts w:cs="Calibri" w:asciiTheme="minorEastAsia" w:hAnsi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评标委员会按照第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章“评标方法及标准”对投标文件进行评审。第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b/>
          <w:bCs/>
          <w:kern w:val="0"/>
          <w:sz w:val="22"/>
        </w:rPr>
      </w:pPr>
      <w:bookmarkStart w:id="76" w:name="_Toc24237"/>
      <w:r>
        <w:rPr>
          <w:rFonts w:cs="Calibri" w:asciiTheme="minorEastAsia" w:hAnsi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b/>
          <w:bCs/>
          <w:kern w:val="0"/>
          <w:sz w:val="22"/>
        </w:rPr>
      </w:pPr>
      <w:bookmarkStart w:id="77" w:name="_Toc18809"/>
      <w:r>
        <w:rPr>
          <w:rFonts w:cs="Calibri" w:asciiTheme="minorEastAsia" w:hAnsi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8" w:name="_Toc14573"/>
      <w:r>
        <w:rPr>
          <w:rFonts w:cs="Calibri" w:asciiTheme="minorEastAsia" w:hAnsi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b/>
          <w:bCs/>
          <w:kern w:val="0"/>
          <w:sz w:val="22"/>
        </w:rPr>
      </w:pPr>
      <w:bookmarkStart w:id="79" w:name="_Toc27132"/>
      <w:bookmarkStart w:id="80" w:name="_Toc27581"/>
      <w:r>
        <w:rPr>
          <w:rFonts w:cs="Calibri" w:asciiTheme="minorEastAsia" w:hAnsiTheme="minorEastAsia"/>
          <w:b/>
          <w:bCs/>
          <w:kern w:val="0"/>
          <w:sz w:val="22"/>
        </w:rPr>
        <w:t>7.3 履约</w:t>
      </w:r>
      <w:r>
        <w:rPr>
          <w:rFonts w:hint="eastAsia" w:cs="Calibri" w:asciiTheme="minorEastAsia" w:hAnsi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7.3.1在签订合同前，中标人应按投标人须知前附表规定的金额</w:t>
      </w:r>
      <w:r>
        <w:rPr>
          <w:rFonts w:hint="eastAsia" w:cs="Calibri" w:asciiTheme="minorEastAsia" w:hAnsiTheme="minorEastAsia"/>
          <w:kern w:val="0"/>
          <w:sz w:val="22"/>
        </w:rPr>
        <w:t>和</w:t>
      </w:r>
      <w:r>
        <w:rPr>
          <w:rFonts w:cs="Calibri" w:asciiTheme="minorEastAsia" w:hAnsiTheme="minorEastAsia"/>
          <w:kern w:val="0"/>
          <w:sz w:val="22"/>
        </w:rPr>
        <w:t>担保形式向招标人提交履约</w:t>
      </w:r>
      <w:r>
        <w:rPr>
          <w:rFonts w:hint="eastAsia" w:cs="Calibri" w:asciiTheme="minorEastAsia" w:hAnsiTheme="minorEastAsia"/>
          <w:kern w:val="0"/>
          <w:sz w:val="22"/>
        </w:rPr>
        <w:t>保证金</w:t>
      </w:r>
      <w:r>
        <w:rPr>
          <w:rFonts w:cs="Calibri" w:asciiTheme="minorEastAsia" w:hAnsiTheme="minorEastAsia"/>
          <w:kern w:val="0"/>
          <w:sz w:val="22"/>
        </w:rPr>
        <w:t>。</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7.3.2 中标人不能按本章第7.3.1项要求提交履约</w:t>
      </w:r>
      <w:r>
        <w:rPr>
          <w:rFonts w:hint="eastAsia" w:cs="Calibri" w:asciiTheme="minorEastAsia" w:hAnsiTheme="minorEastAsia"/>
          <w:kern w:val="0"/>
          <w:sz w:val="22"/>
        </w:rPr>
        <w:t>保证金</w:t>
      </w:r>
      <w:r>
        <w:rPr>
          <w:rFonts w:cs="Calibri" w:asciiTheme="minorEastAsia" w:hAnsi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7</w:t>
      </w:r>
      <w:bookmarkStart w:id="81" w:name="_Toc220123241"/>
      <w:bookmarkStart w:id="82" w:name="_Toc219809801"/>
      <w:bookmarkStart w:id="83" w:name="_Toc11806"/>
      <w:r>
        <w:rPr>
          <w:rFonts w:cs="Calibri" w:asciiTheme="minorEastAsia" w:hAnsi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color w:val="000000"/>
          <w:kern w:val="0"/>
          <w:sz w:val="22"/>
        </w:rPr>
        <w:t>四</w:t>
      </w:r>
      <w:r>
        <w:rPr>
          <w:rFonts w:cs="Calibri" w:asciiTheme="minorEastAsia" w:hAnsiTheme="minorEastAsia"/>
          <w:color w:val="000000"/>
          <w:kern w:val="0"/>
          <w:sz w:val="22"/>
        </w:rPr>
        <w:t>章</w:t>
      </w:r>
      <w:r>
        <w:rPr>
          <w:rFonts w:hint="eastAsia" w:cs="Calibri" w:asciiTheme="minorEastAsia" w:hAnsiTheme="minorEastAsia"/>
          <w:kern w:val="0"/>
          <w:sz w:val="22"/>
        </w:rPr>
        <w:t>“</w:t>
      </w:r>
      <w:r>
        <w:rPr>
          <w:rFonts w:cs="Calibri" w:asciiTheme="minorEastAsia" w:hAnsiTheme="minorEastAsia"/>
          <w:kern w:val="0"/>
          <w:sz w:val="22"/>
        </w:rPr>
        <w:t>合同条款</w:t>
      </w:r>
      <w:r>
        <w:rPr>
          <w:rFonts w:hint="eastAsia" w:cs="Calibri" w:asciiTheme="minorEastAsia" w:hAnsiTheme="minorEastAsia"/>
          <w:kern w:val="0"/>
          <w:sz w:val="22"/>
        </w:rPr>
        <w:t>”</w:t>
      </w:r>
      <w:r>
        <w:rPr>
          <w:rFonts w:cs="Calibri" w:asciiTheme="minorEastAsia" w:hAnsi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8.重新招标和不再招标</w:t>
      </w:r>
      <w:bookmarkEnd w:id="81"/>
      <w:bookmarkEnd w:id="82"/>
      <w:bookmarkEnd w:id="83"/>
      <w:r>
        <w:rPr>
          <w:rFonts w:hint="eastAsia" w:cs="Calibri" w:asciiTheme="minorEastAsia" w:hAnsiTheme="minorEastAsia"/>
          <w:b/>
          <w:bCs/>
          <w:kern w:val="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84" w:name="_Toc219809802"/>
      <w:bookmarkStart w:id="85" w:name="_Toc15553"/>
      <w:bookmarkStart w:id="86" w:name="_Toc220123242"/>
      <w:r>
        <w:rPr>
          <w:rFonts w:cs="Calibri" w:asciiTheme="minorEastAsia" w:hAnsi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（2）</w:t>
      </w:r>
      <w:r>
        <w:rPr>
          <w:rFonts w:hint="eastAsia" w:asciiTheme="minorEastAsia" w:hAnsi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3</w:t>
      </w:r>
      <w:r>
        <w:rPr>
          <w:rFonts w:cs="Calibri" w:asciiTheme="minorEastAsia" w:hAnsi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b/>
          <w:bCs/>
          <w:kern w:val="0"/>
          <w:sz w:val="22"/>
        </w:rPr>
      </w:pPr>
      <w:bookmarkStart w:id="87" w:name="_Toc219809803"/>
      <w:bookmarkStart w:id="88" w:name="_Toc220123243"/>
      <w:bookmarkStart w:id="89" w:name="_Toc18806"/>
      <w:r>
        <w:rPr>
          <w:rFonts w:cs="Calibri" w:asciiTheme="minorEastAsia" w:hAnsi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b/>
          <w:bCs/>
          <w:kern w:val="0"/>
          <w:sz w:val="22"/>
        </w:rPr>
      </w:pPr>
      <w:bookmarkStart w:id="90" w:name="_Toc215941254"/>
      <w:bookmarkStart w:id="91" w:name="_Toc2986"/>
      <w:bookmarkStart w:id="92" w:name="_Toc220123244"/>
      <w:bookmarkStart w:id="93" w:name="_Toc219809804"/>
      <w:r>
        <w:rPr>
          <w:rFonts w:cs="Calibri" w:asciiTheme="minorEastAsia" w:hAnsi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b/>
          <w:bCs/>
          <w:kern w:val="0"/>
          <w:sz w:val="22"/>
        </w:rPr>
      </w:pPr>
      <w:bookmarkStart w:id="94" w:name="_Toc220123245"/>
      <w:bookmarkStart w:id="95" w:name="_Toc219809805"/>
      <w:bookmarkStart w:id="96" w:name="_Toc5509"/>
      <w:r>
        <w:rPr>
          <w:rFonts w:cs="Calibri" w:asciiTheme="minorEastAsia" w:hAnsi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b/>
          <w:bCs/>
          <w:kern w:val="0"/>
          <w:sz w:val="22"/>
        </w:rPr>
      </w:pPr>
      <w:bookmarkStart w:id="97" w:name="_Toc220123246"/>
      <w:bookmarkStart w:id="98" w:name="_Toc219809806"/>
      <w:bookmarkStart w:id="99" w:name="_Toc10820"/>
      <w:r>
        <w:rPr>
          <w:rFonts w:cs="Calibri" w:asciiTheme="minorEastAsia" w:hAnsi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b/>
          <w:bCs/>
          <w:kern w:val="0"/>
          <w:sz w:val="22"/>
        </w:rPr>
      </w:pPr>
      <w:bookmarkStart w:id="100" w:name="_Toc220123247"/>
      <w:bookmarkStart w:id="101" w:name="_Toc10756"/>
      <w:bookmarkStart w:id="102" w:name="_Toc219809807"/>
      <w:r>
        <w:rPr>
          <w:rFonts w:cs="Calibri" w:asciiTheme="minorEastAsia" w:hAnsi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b/>
          <w:bCs/>
          <w:kern w:val="0"/>
          <w:sz w:val="22"/>
        </w:rPr>
      </w:pPr>
      <w:bookmarkStart w:id="103" w:name="_Toc220123248"/>
      <w:bookmarkStart w:id="104" w:name="_Toc12792"/>
      <w:bookmarkStart w:id="105" w:name="_Toc219809808"/>
      <w:r>
        <w:rPr>
          <w:rFonts w:cs="Calibri" w:asciiTheme="minorEastAsia" w:hAnsi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b/>
          <w:bCs/>
          <w:kern w:val="0"/>
          <w:sz w:val="22"/>
        </w:rPr>
      </w:pPr>
      <w:bookmarkStart w:id="106" w:name="_Toc220123249"/>
      <w:bookmarkStart w:id="107" w:name="_Toc219809809"/>
      <w:bookmarkStart w:id="108" w:name="_Toc239"/>
      <w:r>
        <w:rPr>
          <w:rFonts w:cs="Calibri" w:asciiTheme="minorEastAsia" w:hAnsi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b/>
          <w:bCs/>
          <w:kern w:val="0"/>
          <w:sz w:val="22"/>
        </w:rPr>
      </w:pPr>
      <w:bookmarkStart w:id="109" w:name="_Toc10817"/>
      <w:r>
        <w:rPr>
          <w:rFonts w:cs="Calibri" w:asciiTheme="minorEastAsia" w:hAnsi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本服务内容及技术规范所提出的需求是对本次招标欲采购服务的基本技术要求，并未涉及所有技术细节，也未充分引述有关标准、规范的全部条款。投标人应保证其提供的服务除了满足本服务内容需求及技术规范外，还应符合中国国家、地方、行业、国际的有关标准、规范，尤其是必须符合国家相关强制性规定。当上述标准、规范的有关规定之间存在差异时，应以要求高的为准；当上述标准、规范的有关规定与本服务需求及技术规范的规定之间存在差异时，应以本服务需求及技术规范为准（但当国家标准的有关强制性规定高于本技术规格的规定时，投标人应及时向招标人提出，以取得招标人的确认，否则，中标后招标人仍有权在合同价格不变的前提下要求中标人按照国家标准的有关强制性规定执行）。</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投标人应据此提供最具竞争力、体现最先进服务理念和服务水平的针对本项目的专业化详细服务方案（包括服务内容、服务标准、管理实施方案等等）。</w:t>
      </w:r>
    </w:p>
    <w:p>
      <w:pPr>
        <w:adjustRightInd w:val="0"/>
        <w:snapToGrid w:val="0"/>
        <w:spacing w:line="360" w:lineRule="exact"/>
        <w:ind w:firstLine="440" w:firstLineChars="200"/>
        <w:outlineLvl w:val="1"/>
        <w:rPr>
          <w:rFonts w:cs="Calibri" w:asciiTheme="minorEastAsia" w:hAnsiTheme="minorEastAsia"/>
          <w:color w:val="000000"/>
          <w:sz w:val="22"/>
        </w:rPr>
      </w:pPr>
      <w:r>
        <w:rPr>
          <w:rFonts w:hint="eastAsia" w:cs="Calibri" w:asciiTheme="minorEastAsia" w:hAnsiTheme="minorEastAsia"/>
          <w:color w:val="000000"/>
          <w:sz w:val="22"/>
        </w:rPr>
        <w:t>一、项目概况</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（一）项目服务范围</w:t>
      </w:r>
    </w:p>
    <w:p>
      <w:pPr>
        <w:adjustRightInd w:val="0"/>
        <w:snapToGrid w:val="0"/>
        <w:spacing w:line="360" w:lineRule="exact"/>
        <w:ind w:firstLine="440" w:firstLineChars="200"/>
        <w:rPr>
          <w:rFonts w:ascii="宋体" w:hAnsi="宋体" w:cs="Arial"/>
          <w:kern w:val="0"/>
          <w:sz w:val="22"/>
        </w:rPr>
      </w:pPr>
      <w:r>
        <w:rPr>
          <w:rFonts w:hint="eastAsia" w:cs="Calibri" w:asciiTheme="minorEastAsia" w:hAnsiTheme="minorEastAsia"/>
          <w:color w:val="000000"/>
          <w:sz w:val="22"/>
        </w:rPr>
        <w:t>1.</w:t>
      </w:r>
      <w:r>
        <w:rPr>
          <w:rFonts w:hint="eastAsia" w:ascii="宋体" w:hAnsi="宋体" w:cs="Arial"/>
          <w:kern w:val="0"/>
          <w:sz w:val="22"/>
        </w:rPr>
        <w:t>航站楼旅客行李手推车服务包括：根据运营的实际情况，服务范围在航班运行期间，服务外包商应负责提供本场包括但不仅限于</w:t>
      </w:r>
      <w:r>
        <w:rPr>
          <w:rFonts w:ascii="宋体" w:hAnsi="宋体" w:cs="Arial"/>
          <w:kern w:val="0"/>
          <w:sz w:val="22"/>
        </w:rPr>
        <w:t>T1、T2、T3</w:t>
      </w:r>
      <w:r>
        <w:rPr>
          <w:rFonts w:hint="eastAsia" w:ascii="宋体" w:hAnsi="宋体" w:cs="Arial"/>
          <w:kern w:val="0"/>
          <w:sz w:val="22"/>
        </w:rPr>
        <w:t>三个航站楼、高架桥上下、地下车库、地面停车场、场区办公楼等区域旅客行李手推车的回收、清洁、维护和管理。手推车维护含零配件采购、人工成本。</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2.服务面积约为</w:t>
      </w:r>
      <w:r>
        <w:rPr>
          <w:rFonts w:ascii="宋体" w:hAnsi="宋体" w:cs="Arial"/>
          <w:kern w:val="0"/>
          <w:sz w:val="22"/>
        </w:rPr>
        <w:t>50.6</w:t>
      </w:r>
      <w:r>
        <w:rPr>
          <w:rFonts w:hint="eastAsia" w:ascii="宋体" w:hAnsi="宋体" w:cs="Arial"/>
          <w:kern w:val="0"/>
          <w:sz w:val="22"/>
        </w:rPr>
        <w:t>万平方米，手推车按照5000辆进行人员排班且为年报损及遗失率测算基数，其中</w:t>
      </w:r>
      <w:r>
        <w:rPr>
          <w:rFonts w:ascii="宋体" w:hAnsi="宋体" w:cs="Arial"/>
          <w:kern w:val="0"/>
          <w:sz w:val="22"/>
        </w:rPr>
        <w:t>X320/LG6</w:t>
      </w:r>
      <w:r>
        <w:rPr>
          <w:rFonts w:hint="eastAsia" w:ascii="宋体" w:hAnsi="宋体" w:cs="Arial"/>
          <w:kern w:val="0"/>
          <w:sz w:val="22"/>
        </w:rPr>
        <w:t>型车3600辆，</w:t>
      </w:r>
      <w:r>
        <w:rPr>
          <w:rFonts w:ascii="宋体" w:hAnsi="宋体" w:cs="Arial"/>
          <w:kern w:val="0"/>
          <w:sz w:val="22"/>
        </w:rPr>
        <w:t>G406/LW2</w:t>
      </w:r>
      <w:r>
        <w:rPr>
          <w:rFonts w:hint="eastAsia" w:ascii="宋体" w:hAnsi="宋体" w:cs="Arial"/>
          <w:kern w:val="0"/>
          <w:sz w:val="22"/>
        </w:rPr>
        <w:t>型车1300辆，婴儿手推车</w:t>
      </w:r>
      <w:r>
        <w:rPr>
          <w:rFonts w:ascii="宋体" w:hAnsi="宋体" w:cs="Arial"/>
          <w:kern w:val="0"/>
          <w:sz w:val="22"/>
        </w:rPr>
        <w:t>100辆。（手推车数量会根据实际运行需求而有所增加</w:t>
      </w:r>
      <w:r>
        <w:rPr>
          <w:rFonts w:hint="eastAsia" w:ascii="宋体" w:hAnsi="宋体" w:cs="Arial"/>
          <w:kern w:val="0"/>
          <w:sz w:val="22"/>
        </w:rPr>
        <w:t>，测算基数不变。）</w:t>
      </w:r>
    </w:p>
    <w:p>
      <w:pPr>
        <w:widowControl/>
        <w:adjustRightInd w:val="0"/>
        <w:snapToGrid w:val="0"/>
        <w:spacing w:line="340" w:lineRule="exact"/>
        <w:ind w:firstLine="440" w:firstLineChars="200"/>
        <w:rPr>
          <w:rFonts w:ascii="宋体" w:hAnsi="宋体" w:cs="Arial"/>
          <w:kern w:val="0"/>
          <w:sz w:val="22"/>
        </w:rPr>
      </w:pPr>
      <w:r>
        <w:rPr>
          <w:rFonts w:ascii="宋体" w:hAnsi="宋体" w:cs="Calibri"/>
          <w:kern w:val="0"/>
          <w:sz w:val="22"/>
        </w:rPr>
        <w:t>★</w:t>
      </w:r>
      <w:r>
        <w:rPr>
          <w:rFonts w:hint="eastAsia" w:cs="Calibri" w:asciiTheme="minorEastAsia" w:hAnsiTheme="minorEastAsia"/>
          <w:color w:val="000000"/>
          <w:sz w:val="22"/>
        </w:rPr>
        <w:t>3.</w:t>
      </w:r>
      <w:r>
        <w:rPr>
          <w:rFonts w:ascii="宋体" w:hAnsi="宋体" w:cs="Arial"/>
          <w:kern w:val="0"/>
          <w:sz w:val="22"/>
        </w:rPr>
        <w:t xml:space="preserve"> </w:t>
      </w:r>
      <w:r>
        <w:rPr>
          <w:rFonts w:hint="eastAsia" w:ascii="宋体" w:hAnsi="宋体" w:cs="Arial"/>
          <w:kern w:val="0"/>
          <w:sz w:val="22"/>
        </w:rPr>
        <w:t>本项目前三年服务人员数量不得低于152人（含管理人员），但具体管理人员数量可以投标人自行评估测算。若投标用工人数低于该数值，予以否决投标处理。</w:t>
      </w:r>
      <w:r>
        <w:rPr>
          <w:rFonts w:ascii="宋体" w:hAnsi="宋体" w:cs="Arial"/>
          <w:kern w:val="0"/>
          <w:sz w:val="22"/>
        </w:rPr>
        <w:t>，</w:t>
      </w:r>
      <w:r>
        <w:rPr>
          <w:rFonts w:hint="eastAsia" w:ascii="宋体" w:hAnsi="宋体" w:cs="Arial"/>
          <w:kern w:val="0"/>
          <w:sz w:val="22"/>
        </w:rPr>
        <w:t>T4航站楼投运后原航站楼客流及航站楼可能发生变化，招标人将对手推车项目再进行评估。</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大手推车年报损及遗失率不得超过4%，小手推车（含婴儿手推车）年报损及遗失率不得超过3%。</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4.中标人每月应提交手推车的破损率、遗失率、及维修情况等相关报告及数据统计报表。</w:t>
      </w:r>
    </w:p>
    <w:p>
      <w:pPr>
        <w:spacing w:line="440" w:lineRule="exact"/>
        <w:ind w:firstLine="440" w:firstLineChars="200"/>
        <w:jc w:val="left"/>
        <w:rPr>
          <w:rFonts w:ascii="宋体"/>
          <w:sz w:val="24"/>
          <w:szCs w:val="24"/>
        </w:rPr>
      </w:pPr>
      <w:r>
        <w:rPr>
          <w:rFonts w:hint="eastAsia" w:cs="Calibri" w:asciiTheme="minorEastAsia" w:hAnsiTheme="minorEastAsia"/>
          <w:color w:val="000000"/>
          <w:sz w:val="22"/>
        </w:rPr>
        <w:t>（二）</w:t>
      </w:r>
      <w:r>
        <w:rPr>
          <w:rFonts w:hint="eastAsia" w:ascii="宋体"/>
          <w:sz w:val="24"/>
          <w:szCs w:val="24"/>
        </w:rPr>
        <w:t xml:space="preserve"> 费用包含内容</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人员薪酬（包括工资薪酬、高温费、福利补贴等）；</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手推车人员月人均实发工资不应低于</w:t>
      </w:r>
      <w:r>
        <w:rPr>
          <w:rFonts w:cs="Calibri" w:asciiTheme="minorEastAsia" w:hAnsiTheme="minorEastAsia"/>
          <w:color w:val="000000"/>
          <w:sz w:val="22"/>
        </w:rPr>
        <w:t>2800元。</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w:t>
      </w:r>
      <w:r>
        <w:rPr>
          <w:rFonts w:cs="Calibri" w:asciiTheme="minorEastAsia" w:hAnsiTheme="minorEastAsia"/>
          <w:color w:val="000000"/>
          <w:sz w:val="22"/>
        </w:rPr>
        <w:t>、</w:t>
      </w:r>
      <w:r>
        <w:rPr>
          <w:rFonts w:hint="eastAsia" w:cs="Calibri" w:asciiTheme="minorEastAsia" w:hAnsiTheme="minorEastAsia"/>
          <w:color w:val="000000"/>
          <w:sz w:val="22"/>
        </w:rPr>
        <w:t>人员保险（包括社保及保险等）</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w:t>
      </w:r>
      <w:r>
        <w:rPr>
          <w:rFonts w:hint="eastAsia" w:cs="Calibri" w:asciiTheme="minorEastAsia" w:hAnsiTheme="minorEastAsia"/>
          <w:color w:val="000000"/>
          <w:sz w:val="22"/>
        </w:rPr>
        <w:t>；手推车零配件费用；</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w:t>
      </w:r>
      <w:r>
        <w:rPr>
          <w:rFonts w:cs="Calibri" w:asciiTheme="minorEastAsia" w:hAnsiTheme="minorEastAsia"/>
          <w:color w:val="000000"/>
          <w:sz w:val="22"/>
        </w:rPr>
        <w:t>、</w:t>
      </w:r>
      <w:r>
        <w:rPr>
          <w:rFonts w:hint="eastAsia" w:cs="Calibri" w:asciiTheme="minorEastAsia" w:hAnsiTheme="minorEastAsia"/>
          <w:color w:val="000000"/>
          <w:sz w:val="22"/>
        </w:rPr>
        <w:t>牵引设备费用；</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w:t>
      </w:r>
      <w:r>
        <w:rPr>
          <w:rFonts w:cs="Calibri" w:asciiTheme="minorEastAsia" w:hAnsiTheme="minorEastAsia"/>
          <w:color w:val="000000"/>
          <w:sz w:val="22"/>
        </w:rPr>
        <w:t>、</w:t>
      </w:r>
      <w:r>
        <w:rPr>
          <w:rFonts w:hint="eastAsia" w:cs="Calibri" w:asciiTheme="minorEastAsia" w:hAnsiTheme="minorEastAsia"/>
          <w:color w:val="000000"/>
          <w:sz w:val="22"/>
        </w:rPr>
        <w:t>管理费(包括管理人员薪酬、证件费、服装费、应急事件处理费、培训费、利润、用房租金等</w:t>
      </w:r>
      <w:r>
        <w:rPr>
          <w:rFonts w:cs="Calibri" w:asciiTheme="minorEastAsia" w:hAnsiTheme="minorEastAsia"/>
          <w:color w:val="000000"/>
          <w:sz w:val="22"/>
        </w:rPr>
        <w:t>)</w:t>
      </w:r>
      <w:r>
        <w:rPr>
          <w:rFonts w:hint="eastAsia" w:cs="Calibri" w:asciiTheme="minorEastAsia" w:hAnsiTheme="minorEastAsia"/>
          <w:color w:val="000000"/>
          <w:sz w:val="22"/>
        </w:rPr>
        <w:t xml:space="preserve"> ；</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6、税费；</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7、完成合同所需的一切本身和不可或缺的所有工作开支、政策性文件规定及合同包含的所有风险、责任等各项全部费用并承担一切风险责任。</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另，投标人需依法用工，必须缴纳员工工资组成中的社会保险（如养老、医疗、工伤等险种）等相关费用，相关费用含入此次投标总价中。</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所有报价只允许有一个报价，有选择的报价将不予接受，投标人按以上要求制作报价表格，提供明细报价、每年合计以及3+X年总计价格，竞投报价应以人民币为结算货币。</w:t>
      </w:r>
    </w:p>
    <w:p>
      <w:pPr>
        <w:spacing w:line="440" w:lineRule="exact"/>
        <w:ind w:firstLine="440" w:firstLineChars="200"/>
        <w:rPr>
          <w:rFonts w:ascii="宋体"/>
          <w:b/>
          <w:sz w:val="24"/>
          <w:szCs w:val="24"/>
        </w:rPr>
      </w:pPr>
      <w:r>
        <w:rPr>
          <w:rFonts w:hint="eastAsia" w:cs="Calibri" w:asciiTheme="minorEastAsia" w:hAnsiTheme="minorEastAsia"/>
          <w:color w:val="000000"/>
          <w:sz w:val="22"/>
        </w:rPr>
        <w:t>（三）</w:t>
      </w:r>
      <w:r>
        <w:rPr>
          <w:rFonts w:hint="eastAsia" w:ascii="宋体"/>
          <w:b/>
          <w:sz w:val="24"/>
          <w:szCs w:val="24"/>
        </w:rPr>
        <w:t>手推车人员岗位要求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w:t>
      </w:r>
      <w:r>
        <w:rPr>
          <w:rFonts w:hint="eastAsia" w:ascii="宋体" w:hAnsi="宋体" w:cs="Calibri"/>
          <w:kern w:val="0"/>
          <w:sz w:val="22"/>
        </w:rPr>
        <w:t xml:space="preserve"> 本项目前三年服务人员数量不得低于152人（含管理人员），但具体管理人员数量可以投标人自行评估测算。若投标用工人数低于该数值，予以否决投标处理。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ascii="宋体" w:hAnsi="宋体" w:eastAsia="宋体" w:cs="Calibri"/>
          <w:kern w:val="0"/>
          <w:sz w:val="22"/>
        </w:rPr>
        <w:t>2</w:t>
      </w:r>
      <w:r>
        <w:rPr>
          <w:rFonts w:hint="eastAsia" w:ascii="宋体" w:hAnsi="宋体" w:cs="Calibri"/>
          <w:kern w:val="0"/>
          <w:sz w:val="22"/>
        </w:rPr>
        <w:t>.</w:t>
      </w:r>
      <w:r>
        <w:rPr>
          <w:rFonts w:hint="eastAsia" w:ascii="宋体" w:hAnsi="宋体" w:eastAsia="宋体" w:cs="Calibri"/>
          <w:kern w:val="0"/>
          <w:sz w:val="22"/>
        </w:rPr>
        <w:t>如遇重大活动期间、重大保障任务（如亚运会）、节假日等客流高峰期，应按招标人要求，无条件增加工作人员数量，费用不做调整。运行期间内，如投标人的运营效果无法满足标书及招标人的要求，招标人有权要求投标人在最低要求的人数上增加人员，但必须提前一周书面通知，涉及的相关费用由投标人承担。</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（四）设备材料配置要求</w:t>
      </w:r>
    </w:p>
    <w:p>
      <w:pPr>
        <w:adjustRightInd w:val="0"/>
        <w:snapToGrid w:val="0"/>
        <w:spacing w:line="360" w:lineRule="exact"/>
        <w:ind w:firstLine="440" w:firstLineChars="200"/>
        <w:rPr>
          <w:rFonts w:cs="Calibri" w:asciiTheme="minorEastAsia" w:hAnsiTheme="minorEastAsia"/>
          <w:color w:val="000000"/>
          <w:sz w:val="22"/>
        </w:rPr>
      </w:pPr>
      <w:r>
        <w:rPr>
          <w:rFonts w:ascii="宋体" w:hAnsi="宋体" w:cs="Calibri"/>
          <w:kern w:val="0"/>
          <w:sz w:val="22"/>
        </w:rPr>
        <w:t>★</w:t>
      </w:r>
      <w:r>
        <w:rPr>
          <w:rFonts w:hint="eastAsia" w:cs="Calibri" w:asciiTheme="minorEastAsia" w:hAnsiTheme="minorEastAsia"/>
          <w:color w:val="000000"/>
          <w:sz w:val="22"/>
        </w:rPr>
        <w:t>投标人应根据项目运行实际需要自行购买手推车牵引设备用于项目的日常运行，牵引设备相关费用由投标人自行承担。手推车牵引设备应符合国家相关标准，数量不少于5辆，资产属于投标人所有，投标人制定报价方案时应在投标书中列明清单，报价时充分予以考虑。</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实际运行中，招标人如提出增加相关设备（如牵引车），投标人应根据招标人的要求及时增加，自行承担维修设备和更换配件的费用。但必须提前一月书面通知，涉及的相关费用由投标人承担。</w:t>
      </w:r>
    </w:p>
    <w:p>
      <w:pPr>
        <w:adjustRightInd w:val="0"/>
        <w:snapToGrid w:val="0"/>
        <w:spacing w:line="360" w:lineRule="exact"/>
        <w:ind w:firstLine="440" w:firstLineChars="200"/>
        <w:outlineLvl w:val="1"/>
        <w:rPr>
          <w:rFonts w:cs="Calibri" w:asciiTheme="minorEastAsia" w:hAnsiTheme="minorEastAsia"/>
          <w:color w:val="000000"/>
          <w:sz w:val="22"/>
        </w:rPr>
      </w:pPr>
      <w:r>
        <w:rPr>
          <w:rFonts w:hint="eastAsia" w:cs="Calibri" w:asciiTheme="minorEastAsia" w:hAnsiTheme="minorEastAsia"/>
          <w:color w:val="000000"/>
          <w:sz w:val="22"/>
        </w:rPr>
        <w:t>二、手推车工作要求：</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、参照《民用机场服务质量标准》和《全国文明机场考评标准》中对机场手推车服务的要求，制定相关管理方案，保证行李手推车服务的质量和管理水平。</w:t>
      </w:r>
    </w:p>
    <w:p>
      <w:pPr>
        <w:widowControl/>
        <w:adjustRightInd w:val="0"/>
        <w:snapToGrid w:val="0"/>
        <w:spacing w:line="340" w:lineRule="exact"/>
        <w:ind w:firstLine="440" w:firstLineChars="200"/>
        <w:rPr>
          <w:rFonts w:ascii="宋体" w:hAnsi="宋体" w:cs="Arial"/>
          <w:kern w:val="0"/>
          <w:sz w:val="22"/>
        </w:rPr>
      </w:pPr>
      <w:r>
        <w:rPr>
          <w:rFonts w:cs="Calibri" w:asciiTheme="minorEastAsia" w:hAnsiTheme="minorEastAsia"/>
          <w:color w:val="000000"/>
          <w:sz w:val="22"/>
        </w:rPr>
        <w:t>2</w:t>
      </w:r>
      <w:r>
        <w:rPr>
          <w:rFonts w:hint="eastAsia" w:cs="Calibri" w:asciiTheme="minorEastAsia" w:hAnsiTheme="minorEastAsia"/>
          <w:color w:val="000000"/>
          <w:sz w:val="22"/>
        </w:rPr>
        <w:t>、</w:t>
      </w:r>
      <w:r>
        <w:rPr>
          <w:rFonts w:hint="eastAsia"/>
        </w:rPr>
        <w:t>中标人</w:t>
      </w:r>
      <w:r>
        <w:rPr>
          <w:rFonts w:hint="eastAsia" w:cs="Calibri" w:asciiTheme="minorEastAsia" w:hAnsiTheme="minorEastAsia"/>
          <w:color w:val="000000"/>
          <w:sz w:val="22"/>
        </w:rPr>
        <w:t>确定行李手推车服务项目经理【1】名，负责行李手推车的日常管理，并承担与招标人联系、沟通、协调、处置服务中发生问题的职责。</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w:t>
      </w:r>
      <w:r>
        <w:rPr>
          <w:rFonts w:hint="eastAsia"/>
        </w:rPr>
        <w:t>中标人</w:t>
      </w:r>
      <w:r>
        <w:rPr>
          <w:rFonts w:hint="eastAsia" w:cs="Calibri" w:asciiTheme="minorEastAsia" w:hAnsiTheme="minorEastAsia"/>
          <w:color w:val="000000"/>
          <w:sz w:val="22"/>
        </w:rPr>
        <w:t>按照招标人的要求招聘行李手推车的服务人员，并经岗前培训、考核、符合要求后，统一着装上岗。</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w:t>
      </w:r>
      <w:r>
        <w:rPr>
          <w:rFonts w:hint="eastAsia" w:cs="Calibri" w:asciiTheme="minorEastAsia" w:hAnsiTheme="minorEastAsia"/>
          <w:color w:val="000000"/>
          <w:sz w:val="22"/>
        </w:rPr>
        <w:t>、</w:t>
      </w:r>
      <w:r>
        <w:rPr>
          <w:rFonts w:hint="eastAsia"/>
        </w:rPr>
        <w:t>中标人</w:t>
      </w:r>
      <w:r>
        <w:rPr>
          <w:rFonts w:hint="eastAsia" w:cs="Calibri" w:asciiTheme="minorEastAsia" w:hAnsiTheme="minorEastAsia"/>
          <w:color w:val="000000"/>
          <w:sz w:val="22"/>
        </w:rPr>
        <w:t>项目经理与服务人员严格遵守《杭州萧山国际机场通行证管理规定》、《航站区从业人员资格准入管理规定》和其他相关证件管理规定，为服务人员统一办理所需证件，并对证件实施有效的管理。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w:t>
      </w:r>
      <w:r>
        <w:rPr>
          <w:rFonts w:hint="eastAsia"/>
        </w:rPr>
        <w:t>中标人</w:t>
      </w:r>
      <w:r>
        <w:rPr>
          <w:rFonts w:hint="eastAsia" w:cs="Calibri" w:asciiTheme="minorEastAsia" w:hAnsiTheme="minorEastAsia"/>
          <w:color w:val="000000"/>
          <w:sz w:val="22"/>
        </w:rPr>
        <w:t>应积极配合招标人参与各类检查评比，并按检查标准及要求改进行李手推车服务，确保各项服务达到规定标准。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w:t>
      </w:r>
      <w:r>
        <w:rPr>
          <w:rFonts w:hint="eastAsia" w:cs="Calibri" w:asciiTheme="minorEastAsia" w:hAnsiTheme="minorEastAsia"/>
          <w:color w:val="000000"/>
          <w:sz w:val="22"/>
        </w:rPr>
        <w:t>、</w:t>
      </w:r>
      <w:r>
        <w:rPr>
          <w:rFonts w:hint="eastAsia"/>
        </w:rPr>
        <w:t>中标人</w:t>
      </w:r>
      <w:r>
        <w:rPr>
          <w:rFonts w:hint="eastAsia" w:cs="Calibri" w:asciiTheme="minorEastAsia" w:hAnsiTheme="minorEastAsia"/>
          <w:color w:val="000000"/>
          <w:sz w:val="22"/>
        </w:rPr>
        <w:t>服务人员应文明待客，避免因责任原因造成旅客投诉，并按招标人要求，对发生的有效投诉进行及时处理，对相关项目经理进行经济处罚并承担相应责任。</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7</w:t>
      </w:r>
      <w:r>
        <w:rPr>
          <w:rFonts w:hint="eastAsia" w:cs="Calibri" w:asciiTheme="minorEastAsia" w:hAnsiTheme="minorEastAsia"/>
          <w:color w:val="000000"/>
          <w:sz w:val="22"/>
        </w:rPr>
        <w:t>、规范手推车管理，避免发生因管理缺失造成的车辆人为损坏无法使用。为确保各点位手推车数量的充足，中标人应及时收集、转运手推车，定期清洁、保养、消毒和送修维保工作，同时保管好手推车。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8</w:t>
      </w:r>
      <w:r>
        <w:rPr>
          <w:rFonts w:hint="eastAsia" w:cs="Calibri" w:asciiTheme="minorEastAsia" w:hAnsiTheme="minorEastAsia"/>
          <w:color w:val="000000"/>
          <w:sz w:val="22"/>
        </w:rPr>
        <w:t>、中标人负责对旅客行李手推车进行维护保养，维修场地由招标人提供，零配件由机场公司（航站区管理中心）负责采购，但零配件费用和人工费由中标人承担，纳入外包费用。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9</w:t>
      </w:r>
      <w:r>
        <w:rPr>
          <w:rFonts w:hint="eastAsia" w:cs="Calibri" w:asciiTheme="minorEastAsia" w:hAnsiTheme="minorEastAsia"/>
          <w:color w:val="000000"/>
          <w:sz w:val="22"/>
        </w:rPr>
        <w:t>、中标人应就招标人在监管或审核中提出的未达标项目及时改进，在招标人要求的期限内达到服务标准。服务标准详见《手推车相关行业标准》、《航站楼行李手推车管理标准》及《杭州萧山国际机场航站楼手推车服务质量评分细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10</w:t>
      </w:r>
      <w:r>
        <w:rPr>
          <w:rFonts w:hint="eastAsia" w:cs="Calibri" w:asciiTheme="minorEastAsia" w:hAnsiTheme="minorEastAsia"/>
          <w:color w:val="000000"/>
          <w:sz w:val="22"/>
        </w:rPr>
        <w:t>、中标人不得以任何形式在手推车车身上制作广告或进行其他宣传活动。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11</w:t>
      </w:r>
      <w:r>
        <w:rPr>
          <w:rFonts w:hint="eastAsia" w:cs="Calibri" w:asciiTheme="minorEastAsia" w:hAnsiTheme="minorEastAsia"/>
          <w:color w:val="000000"/>
          <w:sz w:val="22"/>
        </w:rPr>
        <w:t>、由于中标人维护不当造成的旅客财物的损失及人身伤害，由中标人负责，招标人对其不承担责任。</w:t>
      </w:r>
    </w:p>
    <w:p>
      <w:pPr>
        <w:adjustRightInd w:val="0"/>
        <w:snapToGrid w:val="0"/>
        <w:spacing w:line="360" w:lineRule="exact"/>
        <w:ind w:firstLine="440" w:firstLineChars="200"/>
        <w:rPr>
          <w:rFonts w:cs="Calibri" w:asciiTheme="minorEastAsia" w:hAnsiTheme="minorEastAsia"/>
          <w:color w:val="000000"/>
          <w:sz w:val="22"/>
        </w:rPr>
      </w:pPr>
      <w:r>
        <w:rPr>
          <w:rFonts w:ascii="宋体" w:hAnsi="宋体" w:cs="Calibri"/>
          <w:kern w:val="0"/>
          <w:sz w:val="22"/>
        </w:rPr>
        <w:t>★</w:t>
      </w:r>
      <w:r>
        <w:rPr>
          <w:rFonts w:hint="eastAsia" w:cs="Calibri" w:asciiTheme="minorEastAsia" w:hAnsiTheme="minorEastAsia"/>
          <w:color w:val="000000"/>
          <w:sz w:val="22"/>
        </w:rPr>
        <w:t>12、中标人应在航班运行期间对行李转盘区域提供人性化服务摆放方式（如</w:t>
      </w:r>
      <w:r>
        <w:rPr>
          <w:rFonts w:cs="Calibri" w:asciiTheme="minorEastAsia" w:hAnsiTheme="minorEastAsia"/>
          <w:color w:val="000000"/>
          <w:sz w:val="22"/>
        </w:rPr>
        <w:t>每转盘间呈鱼骨刺摆放</w:t>
      </w:r>
      <w:r>
        <w:rPr>
          <w:rFonts w:hint="eastAsia" w:cs="Calibri" w:asciiTheme="minorEastAsia" w:hAnsiTheme="minorEastAsia"/>
          <w:color w:val="000000"/>
          <w:sz w:val="22"/>
        </w:rPr>
        <w:t>），具体摆放方式由招标人现场指导。</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3、考核办法：</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1</w:t>
      </w:r>
      <w:r>
        <w:rPr>
          <w:rFonts w:hint="eastAsia" w:cs="Calibri" w:asciiTheme="minorEastAsia" w:hAnsiTheme="minorEastAsia"/>
          <w:color w:val="000000"/>
          <w:sz w:val="22"/>
        </w:rPr>
        <w:t>）招标人每月根据《杭州萧山国际机场航站楼手推车服务质量评分细则》对中标人进行考核，承包商需无条件服从。</w:t>
      </w:r>
    </w:p>
    <w:p>
      <w:pPr>
        <w:adjustRightInd w:val="0"/>
        <w:snapToGrid w:val="0"/>
        <w:spacing w:line="360" w:lineRule="exact"/>
        <w:ind w:firstLine="440" w:firstLineChars="200"/>
        <w:rPr>
          <w:rFonts w:cs="Calibri" w:asciiTheme="minorEastAsia" w:hAnsiTheme="minorEastAsia"/>
          <w:sz w:val="22"/>
        </w:rPr>
      </w:pPr>
      <w:r>
        <w:rPr>
          <w:rFonts w:hint="eastAsia" w:cs="Calibri" w:asciiTheme="minorEastAsia" w:hAnsiTheme="minorEastAsia"/>
          <w:color w:val="000000"/>
          <w:sz w:val="22"/>
        </w:rPr>
        <w:t>（</w:t>
      </w:r>
      <w:r>
        <w:rPr>
          <w:rFonts w:cs="Calibri" w:asciiTheme="minorEastAsia" w:hAnsiTheme="minorEastAsia"/>
          <w:color w:val="000000"/>
          <w:sz w:val="22"/>
        </w:rPr>
        <w:t>2</w:t>
      </w:r>
      <w:r>
        <w:rPr>
          <w:rFonts w:hint="eastAsia" w:cs="Calibri" w:asciiTheme="minorEastAsia" w:hAnsiTheme="minorEastAsia"/>
          <w:color w:val="000000"/>
          <w:sz w:val="22"/>
        </w:rPr>
        <w:t>）考核得分与手推车服务费挂钩。</w:t>
      </w:r>
      <w:r>
        <w:rPr>
          <w:rFonts w:cs="Calibri" w:asciiTheme="minorEastAsia" w:hAnsiTheme="minorEastAsia"/>
          <w:sz w:val="22"/>
        </w:rPr>
        <w:t>当月日常考核的最低得分为月度考核得分。每月考核得分达到 95 分以上（含95 分），视为考核合格，公司按合同所规定的付款方式支付给</w:t>
      </w:r>
      <w:r>
        <w:rPr>
          <w:rFonts w:hint="eastAsia" w:cs="Calibri" w:asciiTheme="minorEastAsia" w:hAnsiTheme="minorEastAsia"/>
          <w:color w:val="000000"/>
          <w:sz w:val="22"/>
        </w:rPr>
        <w:t>中标人</w:t>
      </w:r>
      <w:r>
        <w:rPr>
          <w:rFonts w:cs="Calibri" w:asciiTheme="minorEastAsia" w:hAnsiTheme="minorEastAsia"/>
          <w:sz w:val="22"/>
        </w:rPr>
        <w:t>服务费；如考核得分 95 分以下，视为考核不合格，每减少 1 分，扣除当月</w:t>
      </w:r>
      <w:r>
        <w:rPr>
          <w:rFonts w:hint="eastAsia" w:cs="Calibri" w:asciiTheme="minorEastAsia" w:hAnsiTheme="minorEastAsia"/>
          <w:sz w:val="22"/>
        </w:rPr>
        <w:t>项目</w:t>
      </w:r>
      <w:r>
        <w:rPr>
          <w:rFonts w:cs="Calibri" w:asciiTheme="minorEastAsia" w:hAnsiTheme="minorEastAsia"/>
          <w:sz w:val="22"/>
        </w:rPr>
        <w:t>业务服务费的 1%。</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3</w:t>
      </w:r>
      <w:r>
        <w:rPr>
          <w:rFonts w:hint="eastAsia" w:cs="Calibri" w:asciiTheme="minorEastAsia" w:hAnsiTheme="minorEastAsia"/>
          <w:color w:val="000000"/>
          <w:sz w:val="22"/>
        </w:rPr>
        <w:t>）该评分细则详见《杭州萧山国际机场航站楼手推车服务质量评分细则》。</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（4）在考核过程中，下列情况之一的，招标人有权提前终止合约，并要求招标人承担由此给机场公司造成的实际损失:</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1）在本合同有效期限内如连续两个月度考核得分低于85</w:t>
      </w:r>
      <w:r>
        <w:rPr>
          <w:rFonts w:cs="Calibri" w:asciiTheme="minorEastAsia" w:hAnsiTheme="minorEastAsia"/>
          <w:color w:val="000000"/>
          <w:sz w:val="22"/>
        </w:rPr>
        <w:t xml:space="preserve"> </w:t>
      </w:r>
      <w:r>
        <w:rPr>
          <w:rFonts w:hint="eastAsia" w:cs="Calibri" w:asciiTheme="minorEastAsia" w:hAnsiTheme="minorEastAsia"/>
          <w:color w:val="000000"/>
          <w:sz w:val="22"/>
        </w:rPr>
        <w:t>分（包含</w:t>
      </w:r>
      <w:r>
        <w:rPr>
          <w:rFonts w:cs="Calibri" w:asciiTheme="minorEastAsia" w:hAnsiTheme="minorEastAsia"/>
          <w:color w:val="000000"/>
          <w:sz w:val="22"/>
        </w:rPr>
        <w:t xml:space="preserve"> 85 </w:t>
      </w:r>
      <w:r>
        <w:rPr>
          <w:rFonts w:hint="eastAsia" w:cs="Calibri" w:asciiTheme="minorEastAsia" w:hAnsiTheme="minorEastAsia"/>
          <w:color w:val="000000"/>
          <w:sz w:val="22"/>
        </w:rPr>
        <w:t>分）或在一个自然外包年度内共计有三个的月度考核得分低于</w:t>
      </w:r>
      <w:r>
        <w:rPr>
          <w:rFonts w:cs="Calibri" w:asciiTheme="minorEastAsia" w:hAnsiTheme="minorEastAsia"/>
          <w:color w:val="000000"/>
          <w:sz w:val="22"/>
        </w:rPr>
        <w:t xml:space="preserve"> 85 </w:t>
      </w:r>
      <w:r>
        <w:rPr>
          <w:rFonts w:hint="eastAsia" w:cs="Calibri" w:asciiTheme="minorEastAsia" w:hAnsiTheme="minorEastAsia"/>
          <w:color w:val="000000"/>
          <w:sz w:val="22"/>
        </w:rPr>
        <w:t>分（包含</w:t>
      </w:r>
      <w:r>
        <w:rPr>
          <w:rFonts w:cs="Calibri" w:asciiTheme="minorEastAsia" w:hAnsiTheme="minorEastAsia"/>
          <w:color w:val="000000"/>
          <w:sz w:val="22"/>
        </w:rPr>
        <w:t xml:space="preserve"> 85 </w:t>
      </w:r>
      <w:r>
        <w:rPr>
          <w:rFonts w:hint="eastAsia" w:cs="Calibri" w:asciiTheme="minorEastAsia" w:hAnsiTheme="minorEastAsia"/>
          <w:color w:val="000000"/>
          <w:sz w:val="22"/>
        </w:rPr>
        <w:t>分）。</w:t>
      </w:r>
    </w:p>
    <w:p>
      <w:pPr>
        <w:adjustRightInd w:val="0"/>
        <w:snapToGrid w:val="0"/>
        <w:spacing w:line="360" w:lineRule="exact"/>
        <w:ind w:firstLine="440" w:firstLineChars="200"/>
        <w:rPr>
          <w:rFonts w:ascii="仿宋_GB2312" w:eastAsia="仿宋_GB2312"/>
          <w:color w:val="000000"/>
          <w:sz w:val="32"/>
          <w:szCs w:val="32"/>
        </w:rPr>
      </w:pPr>
      <w:r>
        <w:rPr>
          <w:rFonts w:hint="eastAsia" w:cs="Calibri" w:asciiTheme="minorEastAsia" w:hAnsiTheme="minorEastAsia"/>
          <w:color w:val="000000"/>
          <w:sz w:val="22"/>
        </w:rPr>
        <w:t>2）发生因中标人责任原因造成的各类治安群体性事件、空防不安全事件、消防及其他不安全事件，事故症候，事故和严重影响航班正常性造成航班业务等情况的，实行一票否决。</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（5）该评分细则中的各项条款增减及最终解释权归招标人。</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14、办公用房及库房租赁</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投标人需要业务用房及库房，则投标人向招标人提出书面申请，经招标人审核同意后，双方另行签署租赁合同，租金按招标人标准收取。</w:t>
      </w:r>
      <w:r>
        <w:rPr>
          <w:rFonts w:cs="Calibri" w:asciiTheme="minorEastAsia" w:hAnsiTheme="minorEastAsia"/>
          <w:color w:val="000000"/>
          <w:sz w:val="22"/>
        </w:rPr>
        <w:t xml:space="preserve"> </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租金标准：国际业务用房及库房收费均为</w:t>
      </w:r>
      <w:r>
        <w:rPr>
          <w:rFonts w:cs="Calibri" w:asciiTheme="minorEastAsia" w:hAnsiTheme="minorEastAsia"/>
          <w:color w:val="000000"/>
          <w:sz w:val="22"/>
        </w:rPr>
        <w:t>200元/㎡/月，国内业务用房及库房收费为200元/㎡/月和150元/㎡/月。</w:t>
      </w:r>
    </w:p>
    <w:p>
      <w:pPr>
        <w:adjustRightInd w:val="0"/>
        <w:snapToGrid w:val="0"/>
        <w:spacing w:line="360" w:lineRule="exact"/>
        <w:ind w:firstLine="440" w:firstLineChars="200"/>
        <w:outlineLvl w:val="1"/>
        <w:rPr>
          <w:rFonts w:cs="Calibri" w:asciiTheme="minorEastAsia" w:hAnsiTheme="minorEastAsia"/>
          <w:color w:val="000000"/>
          <w:sz w:val="22"/>
        </w:rPr>
      </w:pPr>
      <w:r>
        <w:rPr>
          <w:rFonts w:hint="eastAsia" w:cs="Calibri" w:asciiTheme="minorEastAsia" w:hAnsiTheme="minorEastAsia"/>
          <w:color w:val="000000"/>
          <w:sz w:val="22"/>
        </w:rPr>
        <w:t>租金不包括水、电等物业费用，须投标人另行缴付。招标人根据政府权限部门制定的非居民生活用水用电收费政策执行标准，同时在水电费基础上收取水电转供设施维护费（电费转供设施维护费比例</w:t>
      </w:r>
      <w:r>
        <w:rPr>
          <w:rFonts w:cs="Calibri" w:asciiTheme="minorEastAsia" w:hAnsiTheme="minorEastAsia"/>
          <w:color w:val="000000"/>
          <w:sz w:val="22"/>
        </w:rPr>
        <w:t>33%，水费转供设施维护费比例30%），并开具符合税务规定的发票。投标人于每年12月份与招标人结算一次电费。如遇国家电价调整，此电价作相应调整，招标人须提供国家增值税正式发票。招标人除电力部门停电或因电力设备检修需要停电的情况外，招标人须保证投标人设备的正常供电。通讯设施租用费用按实际发生另行计算。</w:t>
      </w:r>
      <w:r>
        <w:rPr>
          <w:rFonts w:hint="eastAsia" w:cs="Calibri" w:asciiTheme="minorEastAsia" w:hAnsiTheme="minorEastAsia"/>
          <w:color w:val="000000"/>
          <w:sz w:val="22"/>
        </w:rPr>
        <w:t>三、手推车相关行业标准（</w:t>
      </w:r>
      <w:r>
        <w:rPr>
          <w:rFonts w:cs="Calibri" w:asciiTheme="minorEastAsia" w:hAnsiTheme="minorEastAsia"/>
          <w:color w:val="000000"/>
          <w:sz w:val="22"/>
        </w:rPr>
        <w:t>引用的相关标准</w:t>
      </w:r>
      <w:r>
        <w:rPr>
          <w:rFonts w:hint="eastAsia" w:cs="Calibri" w:asciiTheme="minorEastAsia" w:hAnsiTheme="minorEastAsia"/>
          <w:color w:val="000000"/>
          <w:sz w:val="22"/>
        </w:rPr>
        <w:t>均以</w:t>
      </w:r>
      <w:r>
        <w:rPr>
          <w:rFonts w:cs="Calibri" w:asciiTheme="minorEastAsia" w:hAnsiTheme="minorEastAsia"/>
          <w:color w:val="000000"/>
          <w:sz w:val="22"/>
        </w:rPr>
        <w:t>最新版本</w:t>
      </w:r>
      <w:r>
        <w:rPr>
          <w:rFonts w:hint="eastAsia" w:cs="Calibri" w:asciiTheme="minorEastAsia" w:hAnsiTheme="minorEastAsia"/>
          <w:color w:val="000000"/>
          <w:sz w:val="22"/>
        </w:rPr>
        <w:t>为准）：</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（一）20</w:t>
      </w:r>
      <w:r>
        <w:rPr>
          <w:rFonts w:cs="Calibri" w:asciiTheme="minorEastAsia" w:hAnsiTheme="minorEastAsia"/>
          <w:color w:val="000000"/>
          <w:sz w:val="22"/>
        </w:rPr>
        <w:t>19年千万级机场专业评审指标</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5.行李手推车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5.l</w:t>
      </w:r>
      <w:r>
        <w:rPr>
          <w:rFonts w:hint="eastAsia" w:cs="Calibri" w:asciiTheme="minorEastAsia" w:hAnsiTheme="minorEastAsia"/>
          <w:color w:val="000000"/>
          <w:sz w:val="22"/>
        </w:rPr>
        <w:t xml:space="preserve"> </w:t>
      </w:r>
      <w:r>
        <w:rPr>
          <w:rFonts w:cs="Calibri" w:asciiTheme="minorEastAsia" w:hAnsiTheme="minorEastAsia"/>
          <w:color w:val="000000"/>
          <w:sz w:val="22"/>
        </w:rPr>
        <w:t>配置</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 xml:space="preserve">5.1.1 </w:t>
      </w:r>
      <w:r>
        <w:rPr>
          <w:rFonts w:cs="Calibri" w:asciiTheme="minorEastAsia" w:hAnsiTheme="minorEastAsia"/>
          <w:color w:val="000000"/>
          <w:sz w:val="22"/>
        </w:rPr>
        <w:t>车道边、行李提取厅等区域应配各行李手推车,且位置合理</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 xml:space="preserve">5.2.2 </w:t>
      </w:r>
      <w:r>
        <w:rPr>
          <w:rFonts w:cs="Calibri" w:asciiTheme="minorEastAsia" w:hAnsiTheme="minorEastAsia"/>
          <w:color w:val="000000"/>
          <w:sz w:val="22"/>
        </w:rPr>
        <w:t>数量充足,摆 放整齐</w:t>
      </w:r>
      <w:r>
        <w:rPr>
          <w:rFonts w:hint="eastAsia" w:cs="Calibri" w:asciiTheme="minorEastAsia" w:hAnsiTheme="minorEastAsia"/>
          <w:color w:val="000000"/>
          <w:sz w:val="22"/>
        </w:rPr>
        <w:t>、</w:t>
      </w:r>
      <w:r>
        <w:rPr>
          <w:rFonts w:cs="Calibri" w:asciiTheme="minorEastAsia" w:hAnsiTheme="minorEastAsia"/>
          <w:color w:val="000000"/>
          <w:sz w:val="22"/>
        </w:rPr>
        <w:t>有序,回收及时。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.2</w:t>
      </w:r>
      <w:r>
        <w:rPr>
          <w:rFonts w:cs="Calibri" w:asciiTheme="minorEastAsia" w:hAnsiTheme="minorEastAsia"/>
          <w:color w:val="000000"/>
          <w:sz w:val="22"/>
        </w:rPr>
        <w:t xml:space="preserve"> 完好性</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整洁</w:t>
      </w:r>
      <w:r>
        <w:rPr>
          <w:rFonts w:hint="eastAsia" w:cs="Calibri" w:asciiTheme="minorEastAsia" w:hAnsiTheme="minorEastAsia"/>
          <w:color w:val="000000"/>
          <w:sz w:val="22"/>
        </w:rPr>
        <w:t>、</w:t>
      </w:r>
      <w:r>
        <w:rPr>
          <w:rFonts w:cs="Calibri" w:asciiTheme="minorEastAsia" w:hAnsiTheme="minorEastAsia"/>
          <w:color w:val="000000"/>
          <w:sz w:val="22"/>
        </w:rPr>
        <w:t>无污</w:t>
      </w:r>
      <w:r>
        <w:rPr>
          <w:rFonts w:hint="eastAsia" w:cs="Calibri" w:asciiTheme="minorEastAsia" w:hAnsiTheme="minorEastAsia"/>
          <w:color w:val="000000"/>
          <w:sz w:val="22"/>
        </w:rPr>
        <w:t>、</w:t>
      </w:r>
      <w:r>
        <w:rPr>
          <w:rFonts w:cs="Calibri" w:asciiTheme="minorEastAsia" w:hAnsiTheme="minorEastAsia"/>
          <w:color w:val="000000"/>
          <w:sz w:val="22"/>
        </w:rPr>
        <w:t>推动方便</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5.3</w:t>
      </w:r>
      <w:r>
        <w:rPr>
          <w:rFonts w:hint="eastAsia" w:cs="Calibri" w:asciiTheme="minorEastAsia" w:hAnsiTheme="minorEastAsia"/>
          <w:color w:val="000000"/>
          <w:sz w:val="22"/>
        </w:rPr>
        <w:t xml:space="preserve"> </w:t>
      </w:r>
      <w:r>
        <w:rPr>
          <w:rFonts w:cs="Calibri" w:asciiTheme="minorEastAsia" w:hAnsiTheme="minorEastAsia"/>
          <w:color w:val="000000"/>
          <w:sz w:val="22"/>
        </w:rPr>
        <w:t>便利性</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 xml:space="preserve">5.3.1 </w:t>
      </w:r>
      <w:r>
        <w:rPr>
          <w:rFonts w:cs="Calibri" w:asciiTheme="minorEastAsia" w:hAnsiTheme="minorEastAsia"/>
          <w:color w:val="000000"/>
          <w:sz w:val="22"/>
        </w:rPr>
        <w:t>布局人性化,取用便捷</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5.3.2</w:t>
      </w:r>
      <w:r>
        <w:rPr>
          <w:rFonts w:cs="Calibri" w:asciiTheme="minorEastAsia" w:hAnsiTheme="minorEastAsia"/>
          <w:color w:val="000000"/>
          <w:sz w:val="22"/>
        </w:rPr>
        <w:t xml:space="preserve"> 能到达旅客专用停车区域</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5.3.3</w:t>
      </w:r>
      <w:r>
        <w:rPr>
          <w:rFonts w:cs="Calibri" w:asciiTheme="minorEastAsia" w:hAnsiTheme="minorEastAsia"/>
          <w:color w:val="000000"/>
          <w:sz w:val="22"/>
        </w:rPr>
        <w:t xml:space="preserve"> 隔离区内应配备小型手推车。</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（二）民用运输机场服务质量（</w:t>
      </w:r>
      <w:r>
        <w:rPr>
          <w:rFonts w:cs="Calibri" w:asciiTheme="minorEastAsia" w:hAnsiTheme="minorEastAsia"/>
          <w:color w:val="000000"/>
          <w:sz w:val="22"/>
        </w:rPr>
        <w:t>MH/T 5104—2013</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6.1行李手推车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6.1.1基本要求</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6.1.1.1数量</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a)9</w:t>
      </w:r>
      <w:r>
        <w:rPr>
          <w:rFonts w:cs="Calibri" w:asciiTheme="minorEastAsia" w:hAnsiTheme="minorEastAsia"/>
          <w:color w:val="000000"/>
          <w:sz w:val="22"/>
        </w:rPr>
        <w:t>8%的时间内应有手推车使用；</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b)</w:t>
      </w:r>
      <w:r>
        <w:rPr>
          <w:rFonts w:cs="Calibri" w:asciiTheme="minorEastAsia" w:hAnsiTheme="minorEastAsia"/>
          <w:color w:val="000000"/>
          <w:sz w:val="22"/>
        </w:rPr>
        <w:t>配备数量应与高峰小时客流量相适应。</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6.1.1.2车型</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车型应与机场实际状况相适应，车身应整洁，使用说明应醒目、清晰。</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6.1.1.3完好率</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在航班保障时间内应为 100%。</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6.1.2便利性</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a)</w:t>
      </w:r>
      <w:r>
        <w:rPr>
          <w:rFonts w:cs="Calibri" w:asciiTheme="minorEastAsia" w:hAnsiTheme="minorEastAsia"/>
          <w:color w:val="000000"/>
          <w:sz w:val="22"/>
        </w:rPr>
        <w:t>存放位置及方向应便于进、出港旅客取用；</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b)</w:t>
      </w:r>
      <w:r>
        <w:rPr>
          <w:rFonts w:cs="Calibri" w:asciiTheme="minorEastAsia" w:hAnsiTheme="minorEastAsia"/>
          <w:color w:val="000000"/>
          <w:sz w:val="22"/>
        </w:rPr>
        <w:t>摆放应整齐、有序；</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c)</w:t>
      </w:r>
      <w:r>
        <w:rPr>
          <w:rFonts w:cs="Calibri" w:asciiTheme="minorEastAsia" w:hAnsiTheme="minorEastAsia"/>
          <w:color w:val="000000"/>
          <w:sz w:val="22"/>
        </w:rPr>
        <w:t>应能到达地面交通接驳区域；</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d)</w:t>
      </w:r>
      <w:r>
        <w:rPr>
          <w:rFonts w:cs="Calibri" w:asciiTheme="minorEastAsia" w:hAnsiTheme="minorEastAsia"/>
          <w:color w:val="000000"/>
          <w:sz w:val="22"/>
        </w:rPr>
        <w:t>隔离区内宜配备小型手推车；</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e)</w:t>
      </w:r>
      <w:r>
        <w:rPr>
          <w:rFonts w:cs="Calibri" w:asciiTheme="minorEastAsia" w:hAnsiTheme="minorEastAsia"/>
          <w:color w:val="000000"/>
          <w:sz w:val="22"/>
        </w:rPr>
        <w:t>应规范手推车工作人员每人每次运送手推车的数量，不应影响旅客行走，不占用盲道；</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f)</w:t>
      </w:r>
      <w:r>
        <w:rPr>
          <w:rFonts w:cs="Calibri" w:asciiTheme="minorEastAsia" w:hAnsiTheme="minorEastAsia"/>
          <w:color w:val="000000"/>
          <w:sz w:val="22"/>
        </w:rPr>
        <w:t>应及时回收，不应影响旅客流程。</w:t>
      </w:r>
    </w:p>
    <w:p>
      <w:pPr>
        <w:adjustRightInd w:val="0"/>
        <w:snapToGrid w:val="0"/>
        <w:spacing w:line="360" w:lineRule="exact"/>
        <w:ind w:firstLine="440" w:firstLineChars="200"/>
        <w:rPr>
          <w:rFonts w:cs="Calibri" w:asciiTheme="minorEastAsia" w:hAnsiTheme="minorEastAsia"/>
          <w:color w:val="000000"/>
          <w:sz w:val="22"/>
        </w:rPr>
      </w:pPr>
    </w:p>
    <w:p>
      <w:pPr>
        <w:adjustRightInd w:val="0"/>
        <w:snapToGrid w:val="0"/>
        <w:spacing w:line="360" w:lineRule="exact"/>
        <w:ind w:firstLine="440" w:firstLineChars="200"/>
        <w:outlineLvl w:val="1"/>
        <w:rPr>
          <w:rFonts w:cs="Calibri" w:asciiTheme="minorEastAsia" w:hAnsiTheme="minorEastAsia"/>
          <w:color w:val="000000"/>
          <w:sz w:val="22"/>
        </w:rPr>
      </w:pPr>
      <w:r>
        <w:rPr>
          <w:rFonts w:hint="eastAsia" w:cs="Calibri" w:asciiTheme="minorEastAsia" w:hAnsiTheme="minorEastAsia"/>
          <w:color w:val="000000"/>
          <w:sz w:val="22"/>
        </w:rPr>
        <w:t>四、航站楼行李手推车管理标准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1 </w:t>
      </w:r>
      <w:r>
        <w:rPr>
          <w:rFonts w:hint="eastAsia" w:cs="Calibri" w:asciiTheme="minorEastAsia" w:hAnsiTheme="minorEastAsia"/>
          <w:color w:val="000000"/>
          <w:sz w:val="22"/>
        </w:rPr>
        <w:t>目的</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为确保杭州萧山国际机场航站楼旅客行李手推车服务规范、有序运作，给旅客提供更为便捷、优质的服务，制定本规定。</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2 </w:t>
      </w:r>
      <w:r>
        <w:rPr>
          <w:rFonts w:hint="eastAsia" w:cs="Calibri" w:asciiTheme="minorEastAsia" w:hAnsiTheme="minorEastAsia"/>
          <w:color w:val="000000"/>
          <w:sz w:val="22"/>
        </w:rPr>
        <w:t>适用范围</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本标准适用于杭州萧山国际机场航站楼内行李手推车的服务管理工作。</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3 </w:t>
      </w:r>
      <w:r>
        <w:rPr>
          <w:rFonts w:hint="eastAsia" w:cs="Calibri" w:asciiTheme="minorEastAsia" w:hAnsiTheme="minorEastAsia"/>
          <w:color w:val="000000"/>
          <w:sz w:val="22"/>
        </w:rPr>
        <w:t>职责</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3.1</w:t>
      </w:r>
      <w:r>
        <w:rPr>
          <w:rFonts w:hint="eastAsia" w:cs="Calibri" w:asciiTheme="minorEastAsia" w:hAnsiTheme="minorEastAsia"/>
          <w:color w:val="000000"/>
          <w:sz w:val="22"/>
        </w:rPr>
        <w:t xml:space="preserve"> 航站区管理中心</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3.1.1 </w:t>
      </w:r>
      <w:r>
        <w:rPr>
          <w:rFonts w:hint="eastAsia" w:cs="Calibri" w:asciiTheme="minorEastAsia" w:hAnsiTheme="minorEastAsia"/>
          <w:color w:val="000000"/>
          <w:sz w:val="22"/>
        </w:rPr>
        <w:t>负责制定和完善航站楼行李手推车服务管理标准。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3.1.2 </w:t>
      </w:r>
      <w:r>
        <w:rPr>
          <w:rFonts w:hint="eastAsia" w:cs="Calibri" w:asciiTheme="minorEastAsia" w:hAnsiTheme="minorEastAsia"/>
          <w:color w:val="000000"/>
          <w:sz w:val="22"/>
        </w:rPr>
        <w:t>负责对行李手推车服务工作情况进行监督。</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3.1.3 </w:t>
      </w:r>
      <w:r>
        <w:rPr>
          <w:rFonts w:hint="eastAsia" w:cs="Calibri" w:asciiTheme="minorEastAsia" w:hAnsiTheme="minorEastAsia"/>
          <w:color w:val="000000"/>
          <w:sz w:val="22"/>
        </w:rPr>
        <w:t>负责依照本标准为旅客提供优质的行李手推车服务。</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3.1.4 </w:t>
      </w:r>
      <w:r>
        <w:rPr>
          <w:rFonts w:hint="eastAsia" w:cs="Calibri" w:asciiTheme="minorEastAsia" w:hAnsiTheme="minorEastAsia"/>
          <w:color w:val="000000"/>
          <w:sz w:val="22"/>
        </w:rPr>
        <w:t>负责管理行李手推车及其服务人员，并负责对其服务人员进行培训。</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3.1.5</w:t>
      </w:r>
      <w:r>
        <w:rPr>
          <w:rFonts w:hint="eastAsia" w:cs="Calibri" w:asciiTheme="minorEastAsia" w:hAnsiTheme="minorEastAsia"/>
          <w:color w:val="000000"/>
          <w:sz w:val="22"/>
        </w:rPr>
        <w:t xml:space="preserve"> 负责处理由于行李手推车服务引发的旅客投诉。</w:t>
      </w:r>
      <w:r>
        <w:rPr>
          <w:rFonts w:cs="Calibri" w:asciiTheme="minorEastAsia" w:hAnsiTheme="minorEastAsia"/>
          <w:color w:val="000000"/>
          <w:sz w:val="22"/>
        </w:rPr>
        <w:t xml:space="preserve">                                         </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3.1.6 负责航站楼旅客行李手推车的日常管理与维护</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4管理标准</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4.1状态标准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4.1.1 </w:t>
      </w:r>
      <w:r>
        <w:rPr>
          <w:rFonts w:hint="eastAsia" w:cs="Calibri" w:asciiTheme="minorEastAsia" w:hAnsiTheme="minorEastAsia"/>
          <w:color w:val="000000"/>
          <w:sz w:val="22"/>
        </w:rPr>
        <w:t>保证行李手推车的正常使用状态。</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4.1.2 </w:t>
      </w:r>
      <w:r>
        <w:rPr>
          <w:rFonts w:hint="eastAsia" w:cs="Calibri" w:asciiTheme="minorEastAsia" w:hAnsiTheme="minorEastAsia"/>
          <w:color w:val="000000"/>
          <w:sz w:val="22"/>
        </w:rPr>
        <w:t>车架无开焊，螺丝无松动现象。</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4.1.3 </w:t>
      </w:r>
      <w:r>
        <w:rPr>
          <w:rFonts w:hint="eastAsia" w:cs="Calibri" w:asciiTheme="minorEastAsia" w:hAnsiTheme="minorEastAsia"/>
          <w:color w:val="000000"/>
          <w:sz w:val="22"/>
        </w:rPr>
        <w:t>车轮无损毁，能够正常转动。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4.1.4 </w:t>
      </w:r>
      <w:r>
        <w:rPr>
          <w:rFonts w:hint="eastAsia" w:cs="Calibri" w:asciiTheme="minorEastAsia" w:hAnsiTheme="minorEastAsia"/>
          <w:color w:val="000000"/>
          <w:sz w:val="22"/>
        </w:rPr>
        <w:t>车辆运行无噪音，无抖动现象。</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4.1.5 </w:t>
      </w:r>
      <w:r>
        <w:rPr>
          <w:rFonts w:hint="eastAsia" w:cs="Calibri" w:asciiTheme="minorEastAsia" w:hAnsiTheme="minorEastAsia"/>
          <w:color w:val="000000"/>
          <w:sz w:val="22"/>
        </w:rPr>
        <w:t>车辆清洁卫生，无污渍、杂物、粘纸等。</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4.1.6 </w:t>
      </w:r>
      <w:r>
        <w:rPr>
          <w:rFonts w:hint="eastAsia" w:cs="Calibri" w:asciiTheme="minorEastAsia" w:hAnsiTheme="minorEastAsia"/>
          <w:color w:val="000000"/>
          <w:sz w:val="22"/>
        </w:rPr>
        <w:t>车架干净光亮，无缠绕物、无配件遗失。</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4.1.7 </w:t>
      </w:r>
      <w:r>
        <w:rPr>
          <w:rFonts w:hint="eastAsia" w:cs="Calibri" w:asciiTheme="minorEastAsia" w:hAnsiTheme="minorEastAsia"/>
          <w:color w:val="000000"/>
          <w:sz w:val="22"/>
        </w:rPr>
        <w:t>每月进行一次擦拭、清洗、消毒。</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4.1.8 </w:t>
      </w:r>
      <w:r>
        <w:rPr>
          <w:rFonts w:hint="eastAsia" w:cs="Calibri" w:asciiTheme="minorEastAsia" w:hAnsiTheme="minorEastAsia"/>
          <w:color w:val="000000"/>
          <w:sz w:val="22"/>
        </w:rPr>
        <w:t>在航班保障时间内行李手推车的完好率为100％。</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4.1.9 </w:t>
      </w:r>
      <w:r>
        <w:rPr>
          <w:rFonts w:hint="eastAsia" w:cs="Calibri" w:asciiTheme="minorEastAsia" w:hAnsiTheme="minorEastAsia"/>
          <w:color w:val="000000"/>
          <w:sz w:val="22"/>
        </w:rPr>
        <w:t>行李手推车摆放点应设立明显的位置标志和使用须知。</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w:t>
      </w:r>
      <w:r>
        <w:rPr>
          <w:rFonts w:hint="eastAsia" w:cs="Calibri" w:asciiTheme="minorEastAsia" w:hAnsiTheme="minorEastAsia"/>
          <w:color w:val="000000"/>
          <w:sz w:val="22"/>
        </w:rPr>
        <w:t xml:space="preserve"> 分布摆放标准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4.2.1 </w:t>
      </w:r>
      <w:r>
        <w:rPr>
          <w:rFonts w:hint="eastAsia" w:cs="Calibri" w:asciiTheme="minorEastAsia" w:hAnsiTheme="minorEastAsia"/>
          <w:color w:val="000000"/>
          <w:sz w:val="22"/>
        </w:rPr>
        <w:t>车辆在指定区域内摆放整齐、有序，严格控制摆放数量。</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4.2.2 </w:t>
      </w:r>
      <w:r>
        <w:rPr>
          <w:rFonts w:hint="eastAsia" w:cs="Calibri" w:asciiTheme="minorEastAsia" w:hAnsiTheme="minorEastAsia"/>
          <w:color w:val="000000"/>
          <w:sz w:val="22"/>
        </w:rPr>
        <w:t>行李手推车的摆放不得影响旅客流程和消防通道。</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4.2.3 </w:t>
      </w:r>
      <w:r>
        <w:rPr>
          <w:rFonts w:hint="eastAsia" w:cs="Calibri" w:asciiTheme="minorEastAsia" w:hAnsiTheme="minorEastAsia"/>
          <w:color w:val="000000"/>
          <w:sz w:val="22"/>
        </w:rPr>
        <w:t>摆放区域的行李手推车要插入支架内，保证行李手推车整体稳固。航班密集时为方便旅客取送，车辆应就近回收到临时收集区，车辆摆放应按秩序插入支架内，不得超越划定的范围。</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4.2.4 </w:t>
      </w:r>
      <w:r>
        <w:rPr>
          <w:rFonts w:hint="eastAsia" w:cs="Calibri" w:asciiTheme="minorEastAsia" w:hAnsiTheme="minorEastAsia"/>
          <w:color w:val="000000"/>
          <w:sz w:val="22"/>
        </w:rPr>
        <w:t>保证旅客正常使用行李手推车，固定摆放点不能出现无车现象。</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4.2.5 </w:t>
      </w:r>
      <w:r>
        <w:rPr>
          <w:rFonts w:hint="eastAsia" w:cs="Calibri" w:asciiTheme="minorEastAsia" w:hAnsiTheme="minorEastAsia"/>
          <w:color w:val="000000"/>
          <w:sz w:val="22"/>
        </w:rPr>
        <w:t>当日航班结束后</w:t>
      </w:r>
      <w:r>
        <w:rPr>
          <w:rFonts w:cs="Calibri" w:asciiTheme="minorEastAsia" w:hAnsiTheme="minorEastAsia"/>
          <w:color w:val="000000"/>
          <w:sz w:val="22"/>
        </w:rPr>
        <w:t>,</w:t>
      </w:r>
      <w:r>
        <w:rPr>
          <w:rFonts w:hint="eastAsia" w:cs="Calibri" w:asciiTheme="minorEastAsia" w:hAnsiTheme="minorEastAsia"/>
          <w:color w:val="000000"/>
          <w:sz w:val="22"/>
        </w:rPr>
        <w:t>要及时回收散落在航站楼内和停车场的所有行李手推车。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4.3 </w:t>
      </w:r>
      <w:r>
        <w:rPr>
          <w:rFonts w:hint="eastAsia" w:cs="Calibri" w:asciiTheme="minorEastAsia" w:hAnsiTheme="minorEastAsia"/>
          <w:color w:val="000000"/>
          <w:sz w:val="22"/>
        </w:rPr>
        <w:t>散车数量标准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4.3.1 </w:t>
      </w:r>
      <w:r>
        <w:rPr>
          <w:rFonts w:hint="eastAsia" w:cs="Calibri" w:asciiTheme="minorEastAsia" w:hAnsiTheme="minorEastAsia"/>
          <w:color w:val="000000"/>
          <w:sz w:val="22"/>
        </w:rPr>
        <w:t>值机区域不办手续时，散车数量为零；在办理手续时，散车数量不能超过</w:t>
      </w:r>
      <w:r>
        <w:rPr>
          <w:rFonts w:cs="Calibri" w:asciiTheme="minorEastAsia" w:hAnsiTheme="minorEastAsia"/>
          <w:color w:val="000000"/>
          <w:sz w:val="22"/>
        </w:rPr>
        <w:t>3</w:t>
      </w:r>
      <w:r>
        <w:rPr>
          <w:rFonts w:hint="eastAsia" w:cs="Calibri" w:asciiTheme="minorEastAsia" w:hAnsiTheme="minorEastAsia"/>
          <w:color w:val="000000"/>
          <w:sz w:val="22"/>
        </w:rPr>
        <w:t>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4.3.2 </w:t>
      </w:r>
      <w:r>
        <w:rPr>
          <w:rFonts w:hint="eastAsia" w:cs="Calibri" w:asciiTheme="minorEastAsia" w:hAnsiTheme="minorEastAsia"/>
          <w:color w:val="000000"/>
          <w:sz w:val="22"/>
        </w:rPr>
        <w:t>航站楼出入口、安检通道入口散车数量为零；航站楼进出港大厅</w:t>
      </w:r>
      <w:r>
        <w:rPr>
          <w:rFonts w:cs="Calibri" w:asciiTheme="minorEastAsia" w:hAnsiTheme="minorEastAsia"/>
          <w:color w:val="000000"/>
          <w:sz w:val="22"/>
        </w:rPr>
        <w:t>10</w:t>
      </w:r>
      <w:r>
        <w:rPr>
          <w:rFonts w:hint="eastAsia" w:cs="Calibri" w:asciiTheme="minorEastAsia" w:hAnsiTheme="minorEastAsia"/>
          <w:color w:val="000000"/>
          <w:sz w:val="22"/>
        </w:rPr>
        <w:t>平方米范围内散车数量不得超过</w:t>
      </w:r>
      <w:r>
        <w:rPr>
          <w:rFonts w:cs="Calibri" w:asciiTheme="minorEastAsia" w:hAnsiTheme="minorEastAsia"/>
          <w:color w:val="000000"/>
          <w:sz w:val="22"/>
        </w:rPr>
        <w:t>3</w:t>
      </w:r>
      <w:r>
        <w:rPr>
          <w:rFonts w:hint="eastAsia" w:cs="Calibri" w:asciiTheme="minorEastAsia" w:hAnsiTheme="minorEastAsia"/>
          <w:color w:val="000000"/>
          <w:sz w:val="22"/>
        </w:rPr>
        <w:t>辆。</w:t>
      </w:r>
      <w:r>
        <w:rPr>
          <w:rFonts w:cs="Calibri" w:asciiTheme="minorEastAsia" w:hAnsiTheme="minorEastAsia"/>
          <w:color w:val="000000"/>
          <w:sz w:val="22"/>
        </w:rPr>
        <w:t xml:space="preserve"> </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4.3.3 </w:t>
      </w:r>
      <w:r>
        <w:rPr>
          <w:rFonts w:hint="eastAsia" w:cs="Calibri" w:asciiTheme="minorEastAsia" w:hAnsiTheme="minorEastAsia"/>
          <w:color w:val="000000"/>
          <w:sz w:val="22"/>
        </w:rPr>
        <w:t>出发、到达大厅自动扶梯旁</w:t>
      </w:r>
      <w:r>
        <w:rPr>
          <w:rFonts w:cs="Calibri" w:asciiTheme="minorEastAsia" w:hAnsiTheme="minorEastAsia"/>
          <w:color w:val="000000"/>
          <w:sz w:val="22"/>
        </w:rPr>
        <w:t>10</w:t>
      </w:r>
      <w:r>
        <w:rPr>
          <w:rFonts w:hint="eastAsia" w:cs="Calibri" w:asciiTheme="minorEastAsia" w:hAnsiTheme="minorEastAsia"/>
          <w:color w:val="000000"/>
          <w:sz w:val="22"/>
        </w:rPr>
        <w:t>平方米范围内散车数量不得超过</w:t>
      </w:r>
      <w:r>
        <w:rPr>
          <w:rFonts w:cs="Calibri" w:asciiTheme="minorEastAsia" w:hAnsiTheme="minorEastAsia"/>
          <w:color w:val="000000"/>
          <w:sz w:val="22"/>
        </w:rPr>
        <w:t>3</w:t>
      </w:r>
      <w:r>
        <w:rPr>
          <w:rFonts w:hint="eastAsia" w:cs="Calibri" w:asciiTheme="minorEastAsia" w:hAnsiTheme="minorEastAsia"/>
          <w:color w:val="000000"/>
          <w:sz w:val="22"/>
        </w:rPr>
        <w:t>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4.4 </w:t>
      </w:r>
      <w:r>
        <w:rPr>
          <w:rFonts w:hint="eastAsia" w:cs="Calibri" w:asciiTheme="minorEastAsia" w:hAnsiTheme="minorEastAsia"/>
          <w:color w:val="000000"/>
          <w:sz w:val="22"/>
        </w:rPr>
        <w:t>运送标准</w:t>
      </w:r>
      <w:r>
        <w:rPr>
          <w:rFonts w:cs="Calibri" w:asciiTheme="minorEastAsia" w:hAnsiTheme="minorEastAsia"/>
          <w:color w:val="000000"/>
          <w:sz w:val="22"/>
        </w:rPr>
        <w:t xml:space="preserve"> </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4.4.1 </w:t>
      </w:r>
      <w:r>
        <w:rPr>
          <w:rFonts w:hint="eastAsia" w:cs="Calibri" w:asciiTheme="minorEastAsia" w:hAnsiTheme="minorEastAsia"/>
          <w:color w:val="000000"/>
          <w:sz w:val="22"/>
        </w:rPr>
        <w:t>回收运送行李手推车时，不得影响旅客通行和占用盲道。</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4.4.2 </w:t>
      </w:r>
      <w:r>
        <w:rPr>
          <w:rFonts w:hint="eastAsia" w:cs="Calibri" w:asciiTheme="minorEastAsia" w:hAnsiTheme="minorEastAsia"/>
          <w:color w:val="000000"/>
          <w:sz w:val="22"/>
        </w:rPr>
        <w:t>工作人员运车时，应慢速行走，严禁猛跑，不得碰撞旅客和楼内设施设备。</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4.4.3 大手推车不捆绑推行不超过8辆，捆绑不超过12辆，使用牵引头运送不超过40辆，使用牵引车运送不超过20辆。</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4.4.4 小手推车捆绑推行不超过20辆，使用牵引头运送不超过40辆，使用牵引车运送不超过30辆。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4.5 </w:t>
      </w:r>
      <w:r>
        <w:rPr>
          <w:rFonts w:hint="eastAsia" w:cs="Calibri" w:asciiTheme="minorEastAsia" w:hAnsiTheme="minorEastAsia"/>
          <w:color w:val="000000"/>
          <w:sz w:val="22"/>
        </w:rPr>
        <w:t>现场服务管理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4.5.1</w:t>
      </w:r>
      <w:r>
        <w:rPr>
          <w:rFonts w:hint="eastAsia" w:cs="Calibri" w:asciiTheme="minorEastAsia" w:hAnsiTheme="minorEastAsia"/>
          <w:color w:val="000000"/>
          <w:sz w:val="22"/>
        </w:rPr>
        <w:t>外包公司应安排专人巡视检查，发现问题，立即纠正。</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4.5.2 </w:t>
      </w:r>
      <w:r>
        <w:rPr>
          <w:rFonts w:hint="eastAsia" w:cs="Calibri" w:asciiTheme="minorEastAsia" w:hAnsiTheme="minorEastAsia"/>
          <w:color w:val="000000"/>
          <w:sz w:val="22"/>
        </w:rPr>
        <w:t>工作人员在岗期间身穿统一工作服，佩戴有效证件，遵守《航站楼工作人员行为规范》。</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4.5.3 </w:t>
      </w:r>
      <w:r>
        <w:rPr>
          <w:rFonts w:hint="eastAsia" w:cs="Calibri" w:asciiTheme="minorEastAsia" w:hAnsiTheme="minorEastAsia"/>
          <w:color w:val="000000"/>
          <w:sz w:val="22"/>
        </w:rPr>
        <w:t>服务时应主动、礼貌地向旅客介绍行李手推车的使用方法及注意事项。</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4.5.4 </w:t>
      </w:r>
      <w:r>
        <w:rPr>
          <w:rFonts w:hint="eastAsia" w:cs="Calibri" w:asciiTheme="minorEastAsia" w:hAnsiTheme="minorEastAsia"/>
          <w:color w:val="000000"/>
          <w:sz w:val="22"/>
        </w:rPr>
        <w:t>在岗工作人员不得斜靠、倚坐行李手推车。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4.5.5 </w:t>
      </w:r>
      <w:r>
        <w:rPr>
          <w:rFonts w:hint="eastAsia" w:cs="Calibri" w:asciiTheme="minorEastAsia" w:hAnsiTheme="minorEastAsia"/>
          <w:color w:val="000000"/>
          <w:sz w:val="22"/>
        </w:rPr>
        <w:t>航班期间应保障旅客使用需求，不准锁住行李手推车，不得因工作人员调车不当而出现缺车现象。</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4.5.6 </w:t>
      </w:r>
      <w:r>
        <w:rPr>
          <w:rFonts w:hint="eastAsia" w:cs="Calibri" w:asciiTheme="minorEastAsia" w:hAnsiTheme="minorEastAsia"/>
          <w:color w:val="000000"/>
          <w:sz w:val="22"/>
        </w:rPr>
        <w:t>驻楼单位办公室不得存放、占用行李手推车。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4.5.7 </w:t>
      </w:r>
      <w:r>
        <w:rPr>
          <w:rFonts w:hint="eastAsia" w:cs="Calibri" w:asciiTheme="minorEastAsia" w:hAnsiTheme="minorEastAsia"/>
          <w:color w:val="000000"/>
          <w:sz w:val="22"/>
        </w:rPr>
        <w:t>遇天气等特殊原因引起航班延误时，应及时调动人员确保行李手推车的正常使用。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4.5.8 </w:t>
      </w:r>
      <w:r>
        <w:rPr>
          <w:rFonts w:hint="eastAsia" w:cs="Calibri" w:asciiTheme="minorEastAsia" w:hAnsiTheme="minorEastAsia"/>
          <w:color w:val="000000"/>
          <w:sz w:val="22"/>
        </w:rPr>
        <w:t>如发生因行李手推车服务引发的旅客投诉以及旅客伤害事件，由中标人承担全部责任，招标人不承担责任。</w:t>
      </w:r>
    </w:p>
    <w:p>
      <w:pPr>
        <w:widowControl/>
        <w:jc w:val="left"/>
        <w:rPr>
          <w:rFonts w:eastAsia="黑体" w:cs="Calibri"/>
          <w:b/>
          <w:bCs/>
          <w:kern w:val="0"/>
          <w:sz w:val="32"/>
          <w:szCs w:val="44"/>
        </w:rPr>
      </w:pPr>
      <w:bookmarkStart w:id="113" w:name="_Toc448002986"/>
      <w:r>
        <w:rPr>
          <w:rFonts w:eastAsia="黑体" w:cs="Calibri"/>
          <w:kern w:val="0"/>
          <w:sz w:val="32"/>
        </w:rPr>
        <w:br w:type="page"/>
      </w:r>
    </w:p>
    <w:p>
      <w:pPr>
        <w:pStyle w:val="2"/>
        <w:spacing w:before="0" w:after="0" w:line="360" w:lineRule="auto"/>
        <w:jc w:val="center"/>
        <w:rPr>
          <w:rFonts w:ascii="Calibri" w:hAnsi="Calibri" w:eastAsia="黑体" w:cs="Calibri"/>
          <w:kern w:val="0"/>
          <w:sz w:val="32"/>
        </w:rPr>
      </w:pPr>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pStyle w:val="19"/>
        <w:spacing w:line="360" w:lineRule="exact"/>
        <w:rPr>
          <w:rFonts w:ascii="Calibri" w:hAnsi="Calibri" w:cs="Calibri"/>
          <w:bCs/>
          <w:szCs w:val="32"/>
        </w:rPr>
      </w:pPr>
    </w:p>
    <w:p>
      <w:pPr>
        <w:ind w:left="673" w:hanging="673"/>
        <w:rPr>
          <w:sz w:val="36"/>
          <w:szCs w:val="36"/>
        </w:rPr>
      </w:pPr>
    </w:p>
    <w:p>
      <w:pPr>
        <w:ind w:left="673" w:hanging="673"/>
        <w:rPr>
          <w:sz w:val="36"/>
          <w:szCs w:val="36"/>
        </w:rPr>
      </w:pPr>
    </w:p>
    <w:p>
      <w:pPr>
        <w:ind w:left="673" w:hanging="673"/>
        <w:rPr>
          <w:sz w:val="36"/>
          <w:szCs w:val="36"/>
        </w:rPr>
      </w:pPr>
    </w:p>
    <w:p>
      <w:pPr>
        <w:ind w:left="673" w:hanging="673"/>
        <w:rPr>
          <w:sz w:val="36"/>
          <w:szCs w:val="36"/>
        </w:rPr>
      </w:pPr>
    </w:p>
    <w:p>
      <w:pPr>
        <w:ind w:left="673" w:hanging="673"/>
        <w:rPr>
          <w:sz w:val="36"/>
          <w:szCs w:val="36"/>
        </w:rPr>
      </w:pPr>
    </w:p>
    <w:p>
      <w:pPr>
        <w:jc w:val="center"/>
        <w:rPr>
          <w:rFonts w:ascii="仿宋_GB2312" w:eastAsia="仿宋_GB2312"/>
          <w:sz w:val="36"/>
          <w:szCs w:val="36"/>
        </w:rPr>
      </w:pPr>
      <w:r>
        <w:rPr>
          <w:rFonts w:hint="eastAsia" w:ascii="仿宋_GB2312" w:eastAsia="仿宋_GB2312"/>
          <w:sz w:val="36"/>
          <w:szCs w:val="36"/>
        </w:rPr>
        <w:t>杭州萧山国际机场</w:t>
      </w:r>
    </w:p>
    <w:p>
      <w:pPr>
        <w:jc w:val="center"/>
        <w:rPr>
          <w:rFonts w:ascii="仿宋_GB2312" w:eastAsia="仿宋_GB2312"/>
          <w:sz w:val="36"/>
          <w:szCs w:val="36"/>
        </w:rPr>
      </w:pPr>
      <w:r>
        <w:rPr>
          <w:rFonts w:hint="eastAsia" w:ascii="仿宋_GB2312" w:eastAsia="仿宋_GB2312"/>
          <w:sz w:val="36"/>
          <w:szCs w:val="36"/>
        </w:rPr>
        <w:t>旅客行李手推车管理维护服务合同</w:t>
      </w:r>
    </w:p>
    <w:p>
      <w:pPr>
        <w:ind w:left="1134" w:hanging="1134" w:hangingChars="315"/>
        <w:jc w:val="left"/>
        <w:rPr>
          <w:rFonts w:ascii="仿宋_GB2312" w:eastAsia="仿宋_GB2312"/>
          <w:sz w:val="36"/>
          <w:szCs w:val="36"/>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b/>
          <w:sz w:val="48"/>
          <w:szCs w:val="48"/>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p>
    <w:p>
      <w:pPr>
        <w:ind w:left="393" w:leftChars="187" w:firstLine="2530" w:firstLineChars="1200"/>
        <w:rPr>
          <w:rFonts w:ascii="仿宋_GB2312" w:eastAsia="仿宋_GB2312"/>
          <w:b/>
        </w:rPr>
      </w:pPr>
      <w:r>
        <w:rPr>
          <w:rFonts w:hint="eastAsia" w:ascii="仿宋_GB2312" w:eastAsia="仿宋_GB2312"/>
          <w:b/>
        </w:rPr>
        <w:t xml:space="preserve">       合  同  书</w:t>
      </w:r>
    </w:p>
    <w:p>
      <w:pPr>
        <w:rPr>
          <w:rFonts w:ascii="仿宋_GB2312" w:eastAsia="仿宋_GB2312"/>
        </w:rPr>
      </w:pPr>
    </w:p>
    <w:p>
      <w:pPr>
        <w:spacing w:line="360" w:lineRule="auto"/>
        <w:rPr>
          <w:rFonts w:ascii="仿宋_GB2312" w:eastAsia="仿宋_GB2312"/>
        </w:rPr>
      </w:pPr>
      <w:r>
        <w:rPr>
          <w:rFonts w:hint="eastAsia" w:ascii="仿宋_GB2312" w:eastAsia="仿宋_GB2312"/>
        </w:rPr>
        <w:t>发包方（甲方）：杭州萧山国际机场有限公司</w:t>
      </w:r>
    </w:p>
    <w:p>
      <w:pPr>
        <w:spacing w:line="360" w:lineRule="auto"/>
        <w:rPr>
          <w:rFonts w:ascii="仿宋_GB2312" w:eastAsia="仿宋_GB2312"/>
        </w:rPr>
      </w:pPr>
      <w:r>
        <w:rPr>
          <w:rFonts w:hint="eastAsia" w:ascii="仿宋_GB2312" w:eastAsia="仿宋_GB2312"/>
        </w:rPr>
        <w:t>注册地址： 杭州萧山国际机场内</w:t>
      </w:r>
    </w:p>
    <w:p>
      <w:pPr>
        <w:spacing w:line="360" w:lineRule="auto"/>
        <w:rPr>
          <w:rFonts w:ascii="仿宋_GB2312" w:eastAsia="仿宋_GB2312"/>
        </w:rPr>
      </w:pPr>
      <w:r>
        <w:rPr>
          <w:rFonts w:hint="eastAsia" w:ascii="仿宋_GB2312" w:eastAsia="仿宋_GB2312"/>
        </w:rPr>
        <w:t>承包方（乙方）：</w:t>
      </w:r>
    </w:p>
    <w:p>
      <w:pPr>
        <w:spacing w:line="360" w:lineRule="auto"/>
        <w:rPr>
          <w:rFonts w:ascii="仿宋_GB2312" w:eastAsia="仿宋_GB2312"/>
        </w:rPr>
      </w:pPr>
      <w:r>
        <w:rPr>
          <w:rFonts w:hint="eastAsia" w:ascii="仿宋_GB2312" w:eastAsia="仿宋_GB2312"/>
        </w:rPr>
        <w:t xml:space="preserve">注册地址： </w:t>
      </w:r>
    </w:p>
    <w:p>
      <w:pPr>
        <w:spacing w:line="360" w:lineRule="auto"/>
        <w:rPr>
          <w:rFonts w:ascii="仿宋_GB2312" w:eastAsia="仿宋_GB2312"/>
        </w:rPr>
      </w:pPr>
      <w:r>
        <w:rPr>
          <w:rFonts w:hint="eastAsia" w:ascii="仿宋_GB2312" w:eastAsia="仿宋_GB2312"/>
        </w:rPr>
        <w:t xml:space="preserve">甲、乙双方根据有关法律规定，本着友好合作、协商一致的原则，就乙方承包甲方负责管理与运营的杭州萧山国际机场航站楼旅客行李手推车管理维护服务项目的有关事宜达成协议如下：   </w:t>
      </w:r>
    </w:p>
    <w:p>
      <w:pPr>
        <w:spacing w:line="360" w:lineRule="auto"/>
        <w:rPr>
          <w:rFonts w:ascii="仿宋_GB2312" w:eastAsia="仿宋_GB2312"/>
        </w:rPr>
      </w:pPr>
    </w:p>
    <w:p>
      <w:pPr>
        <w:spacing w:line="360" w:lineRule="auto"/>
        <w:ind w:left="449" w:hanging="449"/>
        <w:rPr>
          <w:rFonts w:ascii="仿宋_GB2312" w:eastAsia="仿宋_GB2312"/>
          <w:b/>
        </w:rPr>
      </w:pPr>
      <w:r>
        <w:rPr>
          <w:rFonts w:hint="eastAsia" w:ascii="仿宋_GB2312" w:eastAsia="仿宋_GB2312"/>
          <w:b/>
        </w:rPr>
        <w:t>第一条：合同文件</w:t>
      </w:r>
    </w:p>
    <w:p>
      <w:pPr>
        <w:spacing w:line="360" w:lineRule="auto"/>
        <w:rPr>
          <w:rFonts w:ascii="仿宋_GB2312" w:eastAsia="仿宋_GB2312"/>
        </w:rPr>
      </w:pPr>
      <w:r>
        <w:rPr>
          <w:rFonts w:hint="eastAsia" w:ascii="仿宋_GB2312" w:eastAsia="仿宋_GB2312"/>
        </w:rPr>
        <w:t>本合同所附下列文件是合同构成不可分割的部分：</w:t>
      </w:r>
    </w:p>
    <w:p>
      <w:pPr>
        <w:spacing w:line="360" w:lineRule="auto"/>
        <w:rPr>
          <w:rFonts w:ascii="仿宋_GB2312" w:eastAsia="仿宋_GB2312"/>
        </w:rPr>
      </w:pPr>
      <w:r>
        <w:rPr>
          <w:rFonts w:hint="eastAsia" w:ascii="仿宋_GB2312" w:eastAsia="仿宋_GB2312"/>
        </w:rPr>
        <w:t>1、合同条款</w:t>
      </w:r>
    </w:p>
    <w:p>
      <w:pPr>
        <w:spacing w:line="360" w:lineRule="auto"/>
        <w:rPr>
          <w:rFonts w:ascii="仿宋_GB2312" w:eastAsia="仿宋_GB2312"/>
        </w:rPr>
      </w:pPr>
      <w:r>
        <w:rPr>
          <w:rFonts w:hint="eastAsia" w:ascii="仿宋_GB2312" w:eastAsia="仿宋_GB2312"/>
        </w:rPr>
        <w:t>2、合同附件</w:t>
      </w:r>
    </w:p>
    <w:p>
      <w:pPr>
        <w:spacing w:line="360" w:lineRule="auto"/>
        <w:rPr>
          <w:rFonts w:ascii="仿宋_GB2312" w:eastAsia="仿宋_GB2312"/>
        </w:rPr>
      </w:pPr>
      <w:r>
        <w:rPr>
          <w:rFonts w:hint="eastAsia" w:ascii="仿宋_GB2312" w:eastAsia="仿宋_GB2312"/>
        </w:rPr>
        <w:t>3、招标文件、投标文件等其他相关文件</w:t>
      </w:r>
    </w:p>
    <w:p>
      <w:pPr>
        <w:spacing w:line="360" w:lineRule="auto"/>
        <w:rPr>
          <w:rFonts w:ascii="仿宋_GB2312" w:eastAsia="仿宋_GB2312"/>
        </w:rPr>
      </w:pPr>
      <w:r>
        <w:rPr>
          <w:rFonts w:hint="eastAsia" w:ascii="仿宋_GB2312" w:eastAsia="仿宋_GB2312"/>
        </w:rPr>
        <w:t>如合同条款与招标文件表述不一，则以合同条款为准。</w:t>
      </w:r>
    </w:p>
    <w:p>
      <w:pPr>
        <w:spacing w:line="360" w:lineRule="auto"/>
        <w:rPr>
          <w:rFonts w:ascii="仿宋_GB2312" w:eastAsia="仿宋_GB2312"/>
          <w:b/>
        </w:rPr>
      </w:pPr>
      <w:r>
        <w:rPr>
          <w:rFonts w:hint="eastAsia" w:ascii="仿宋_GB2312" w:eastAsia="仿宋_GB2312"/>
          <w:b/>
        </w:rPr>
        <w:t>第二条：合同标的及期限</w:t>
      </w:r>
    </w:p>
    <w:p>
      <w:pPr>
        <w:spacing w:line="360" w:lineRule="auto"/>
        <w:rPr>
          <w:rFonts w:ascii="仿宋_GB2312" w:eastAsia="仿宋_GB2312"/>
          <w:b/>
        </w:rPr>
      </w:pPr>
      <w:r>
        <w:rPr>
          <w:rFonts w:hint="eastAsia" w:ascii="仿宋_GB2312" w:eastAsia="仿宋_GB2312"/>
        </w:rPr>
        <w:t>1、乙方在同意各项合同条款的条件下，承包甲方的杭州萧山国际机场航站楼旅客行李手推车管理维护服务项目的服务与管理。（具体服务内容详见附件1）</w:t>
      </w:r>
    </w:p>
    <w:p>
      <w:pPr>
        <w:spacing w:line="360" w:lineRule="auto"/>
        <w:rPr>
          <w:rFonts w:ascii="仿宋_GB2312" w:eastAsia="仿宋_GB2312"/>
          <w:shd w:val="clear" w:color="auto" w:fill="FFFF00"/>
        </w:rPr>
      </w:pPr>
      <w:r>
        <w:rPr>
          <w:rFonts w:ascii="仿宋_GB2312" w:eastAsia="仿宋_GB2312"/>
          <w:shd w:val="clear" w:color="auto" w:fill="FFFF00"/>
        </w:rPr>
        <w:t>2、</w:t>
      </w:r>
      <w:r>
        <w:rPr>
          <w:rFonts w:hint="eastAsia" w:ascii="仿宋_GB2312" w:eastAsia="仿宋_GB2312"/>
          <w:shd w:val="clear" w:color="auto" w:fill="FFFF00"/>
        </w:rPr>
        <w:t>服务期：自</w:t>
      </w:r>
      <w:r>
        <w:rPr>
          <w:rFonts w:ascii="仿宋_GB2312" w:eastAsia="仿宋_GB2312"/>
          <w:shd w:val="clear" w:color="auto" w:fill="FFFF00"/>
        </w:rPr>
        <w:t>2019 年12 月20 日开始，采用“3＋X” （X≤2）年的模式，即前三年为考核期（固定期限），考核期届满前六个月启动考核及评估。X（X≤2）年为延续期，是否能继续延续，由</w:t>
      </w:r>
      <w:r>
        <w:rPr>
          <w:rFonts w:hint="eastAsia" w:ascii="仿宋_GB2312" w:eastAsia="仿宋_GB2312"/>
          <w:shd w:val="clear" w:color="auto" w:fill="FFFF00"/>
        </w:rPr>
        <w:t>甲方</w:t>
      </w:r>
      <w:r>
        <w:rPr>
          <w:rFonts w:ascii="仿宋_GB2312" w:eastAsia="仿宋_GB2312"/>
          <w:shd w:val="clear" w:color="auto" w:fill="FFFF00"/>
        </w:rPr>
        <w:t>进行考核后决定。</w:t>
      </w:r>
    </w:p>
    <w:p>
      <w:pPr>
        <w:spacing w:line="360" w:lineRule="auto"/>
        <w:rPr>
          <w:rFonts w:ascii="仿宋_GB2312" w:eastAsia="仿宋_GB2312"/>
          <w:kern w:val="0"/>
          <w:shd w:val="clear" w:color="auto" w:fill="FFFF00"/>
        </w:rPr>
      </w:pPr>
      <w:r>
        <w:rPr>
          <w:rFonts w:hint="eastAsia" w:ascii="仿宋_GB2312" w:eastAsia="仿宋_GB2312"/>
          <w:shd w:val="clear" w:color="auto" w:fill="FFFF00"/>
        </w:rPr>
        <w:t>在考核期届满前六个月对乙方考核，甲方有权因</w:t>
      </w:r>
      <w:r>
        <w:rPr>
          <w:rFonts w:ascii="仿宋_GB2312" w:eastAsia="仿宋_GB2312"/>
          <w:shd w:val="clear" w:color="auto" w:fill="FFFF00"/>
        </w:rPr>
        <w:t>T4航站楼投运后可能导致旅客流量和服务范围的变化，根据现场运行实际需求重新评估人员总数及服务范围，在人员调整后根据</w:t>
      </w:r>
      <w:r>
        <w:rPr>
          <w:rFonts w:hint="eastAsia" w:ascii="仿宋_GB2312" w:eastAsia="仿宋_GB2312"/>
          <w:shd w:val="clear" w:color="auto" w:fill="FFFF00"/>
        </w:rPr>
        <w:t>乙方</w:t>
      </w:r>
      <w:r>
        <w:rPr>
          <w:rFonts w:ascii="仿宋_GB2312" w:eastAsia="仿宋_GB2312"/>
          <w:shd w:val="clear" w:color="auto" w:fill="FFFF00"/>
        </w:rPr>
        <w:t>投标时所报人员单价重新核算价格，</w:t>
      </w:r>
      <w:r>
        <w:rPr>
          <w:rFonts w:hint="eastAsia" w:ascii="仿宋_GB2312" w:eastAsia="仿宋_GB2312"/>
          <w:shd w:val="clear" w:color="auto" w:fill="FFFF00"/>
        </w:rPr>
        <w:t>乙方</w:t>
      </w:r>
      <w:r>
        <w:rPr>
          <w:rFonts w:ascii="仿宋_GB2312" w:eastAsia="仿宋_GB2312"/>
          <w:shd w:val="clear" w:color="auto" w:fill="FFFF00"/>
        </w:rPr>
        <w:t>必须承诺无条件接受重新评估的结果，服从</w:t>
      </w:r>
      <w:r>
        <w:rPr>
          <w:rFonts w:hint="eastAsia" w:ascii="仿宋_GB2312" w:eastAsia="仿宋_GB2312"/>
          <w:shd w:val="clear" w:color="auto" w:fill="FFFF00"/>
        </w:rPr>
        <w:t>甲方</w:t>
      </w:r>
      <w:r>
        <w:rPr>
          <w:rFonts w:ascii="仿宋_GB2312" w:eastAsia="仿宋_GB2312"/>
          <w:shd w:val="clear" w:color="auto" w:fill="FFFF00"/>
        </w:rPr>
        <w:t>的安排，并承诺会按照</w:t>
      </w:r>
      <w:r>
        <w:rPr>
          <w:rFonts w:hint="eastAsia" w:ascii="仿宋_GB2312" w:eastAsia="仿宋_GB2312"/>
          <w:shd w:val="clear" w:color="auto" w:fill="FFFF00"/>
        </w:rPr>
        <w:t>甲方</w:t>
      </w:r>
      <w:r>
        <w:rPr>
          <w:rFonts w:ascii="仿宋_GB2312" w:eastAsia="仿宋_GB2312"/>
          <w:shd w:val="clear" w:color="auto" w:fill="FFFF00"/>
        </w:rPr>
        <w:t>的要求提供服务。考核合格及重新评估后，本合同通过签订补充协议的方式顺延X（X≤2）年。如考核结果不合格，则</w:t>
      </w:r>
      <w:r>
        <w:rPr>
          <w:rFonts w:hint="eastAsia" w:ascii="仿宋_GB2312" w:eastAsia="仿宋_GB2312"/>
          <w:shd w:val="clear" w:color="auto" w:fill="FFFF00"/>
        </w:rPr>
        <w:t>甲方</w:t>
      </w:r>
      <w:r>
        <w:rPr>
          <w:rFonts w:ascii="仿宋_GB2312" w:eastAsia="仿宋_GB2312"/>
          <w:shd w:val="clear" w:color="auto" w:fill="FFFF00"/>
        </w:rPr>
        <w:t>有权终止合同，并有权要求本项目的</w:t>
      </w:r>
      <w:r>
        <w:rPr>
          <w:rFonts w:hint="eastAsia" w:ascii="仿宋_GB2312" w:eastAsia="仿宋_GB2312"/>
          <w:shd w:val="clear" w:color="auto" w:fill="FFFF00"/>
        </w:rPr>
        <w:t>乙方</w:t>
      </w:r>
      <w:r>
        <w:rPr>
          <w:rFonts w:ascii="仿宋_GB2312" w:eastAsia="仿宋_GB2312"/>
          <w:shd w:val="clear" w:color="auto" w:fill="FFFF00"/>
        </w:rPr>
        <w:t>赔偿后X（X≤2）年因更换承包商所产生的高于原合同费用的差价。</w:t>
      </w:r>
    </w:p>
    <w:p>
      <w:pPr>
        <w:adjustRightInd w:val="0"/>
        <w:snapToGrid w:val="0"/>
        <w:spacing w:line="360" w:lineRule="exact"/>
        <w:rPr>
          <w:rFonts w:ascii="仿宋_GB2312" w:eastAsia="仿宋_GB2312"/>
        </w:rPr>
      </w:pPr>
      <w:r>
        <w:rPr>
          <w:rFonts w:hint="eastAsia" w:ascii="仿宋_GB2312" w:eastAsia="仿宋_GB2312"/>
        </w:rPr>
        <w:t>3、本项目前三年服务人员数量不得低于</w:t>
      </w:r>
      <w:r>
        <w:rPr>
          <w:rFonts w:ascii="仿宋_GB2312" w:eastAsia="仿宋_GB2312"/>
          <w:u w:val="single"/>
        </w:rPr>
        <w:t xml:space="preserve">    </w:t>
      </w:r>
      <w:r>
        <w:rPr>
          <w:rFonts w:hint="eastAsia" w:ascii="仿宋_GB2312" w:eastAsia="仿宋_GB2312"/>
        </w:rPr>
        <w:t>人（含管理人员）</w:t>
      </w:r>
    </w:p>
    <w:p>
      <w:pPr>
        <w:spacing w:line="360" w:lineRule="auto"/>
        <w:ind w:left="449" w:hanging="449"/>
        <w:rPr>
          <w:rFonts w:ascii="仿宋_GB2312" w:eastAsia="仿宋_GB2312"/>
          <w:b/>
        </w:rPr>
      </w:pPr>
      <w:r>
        <w:rPr>
          <w:rFonts w:hint="eastAsia" w:ascii="仿宋_GB2312" w:eastAsia="仿宋_GB2312"/>
          <w:b/>
          <w:kern w:val="0"/>
        </w:rPr>
        <w:t>第三条：合同费用</w:t>
      </w:r>
    </w:p>
    <w:p>
      <w:pPr>
        <w:spacing w:line="360" w:lineRule="auto"/>
        <w:ind w:left="0"/>
        <w:rPr>
          <w:rFonts w:ascii="仿宋_GB2312" w:eastAsia="仿宋_GB2312"/>
        </w:rPr>
      </w:pPr>
      <w:r>
        <w:rPr>
          <w:rFonts w:hint="eastAsia" w:ascii="仿宋_GB2312" w:eastAsia="仿宋_GB2312"/>
        </w:rPr>
        <w:t>1、合同费用：本项目考核期的合同总价为人民币【】（税率为  ，其中不含税金额为人民币 ）。其中2019年12 月20日至2020年12月19日的外包服务费用为     万元（不含税金额为 ）；2020年12月20日至2021年12月19日的外包服务费用为   万元（不含税金额为 ）；2021年12月20日至2022年12月19日的外包服务费用为    万元（不含税金额为 ）。第X年外包服务费用以考核期满后评估为准。每年度的合同费用起算时间为每年的12月20日为起始日，次年的12月19日为截止日进行计算。甲方依据合同履行情况按月支付旅客行李手推车管理维护服务费。本合同在执行过程中，以上合同总价除甲方提出变更承包范围外，不因人工、物价或汇率等任何因素的变动而调整。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rPr>
          <w:rFonts w:ascii="仿宋_GB2312" w:eastAsia="仿宋_GB2312"/>
        </w:rPr>
      </w:pPr>
      <w:r>
        <w:rPr>
          <w:rFonts w:hint="eastAsia" w:ascii="仿宋_GB2312" w:eastAsia="仿宋_GB2312"/>
        </w:rPr>
        <w:t>2、履约保证金</w:t>
      </w:r>
    </w:p>
    <w:p>
      <w:pPr>
        <w:spacing w:line="360" w:lineRule="auto"/>
        <w:ind w:firstLine="420" w:firstLineChars="200"/>
        <w:rPr>
          <w:rFonts w:ascii="仿宋_GB2312" w:eastAsia="仿宋_GB2312"/>
        </w:rPr>
      </w:pPr>
      <w:r>
        <w:rPr>
          <w:rFonts w:hint="eastAsia" w:ascii="仿宋_GB2312" w:eastAsia="仿宋_GB2312"/>
        </w:rPr>
        <w:t>甲方发出中标通知书</w:t>
      </w:r>
      <w:r>
        <w:rPr>
          <w:rFonts w:ascii="仿宋_GB2312" w:eastAsia="仿宋_GB2312"/>
        </w:rPr>
        <w:t>15日内，</w:t>
      </w:r>
      <w:r>
        <w:rPr>
          <w:rFonts w:hint="eastAsia" w:ascii="仿宋_GB2312" w:eastAsia="仿宋_GB2312"/>
        </w:rPr>
        <w:t>乙方应向甲方缴纳首年合同金额的</w:t>
      </w:r>
      <w:r>
        <w:rPr>
          <w:rFonts w:ascii="仿宋_GB2312" w:eastAsia="仿宋_GB2312"/>
        </w:rPr>
        <w:t>10%</w:t>
      </w:r>
      <w:r>
        <w:rPr>
          <w:rFonts w:hint="eastAsia" w:ascii="仿宋_GB2312" w:eastAsia="仿宋_GB2312"/>
        </w:rPr>
        <w:t>作为履约保证金，金额为人民币    元。</w:t>
      </w:r>
    </w:p>
    <w:p>
      <w:pPr>
        <w:spacing w:line="440" w:lineRule="exact"/>
        <w:ind w:firstLine="420" w:firstLineChars="200"/>
        <w:rPr>
          <w:rFonts w:ascii="仿宋_GB2312" w:eastAsia="仿宋_GB2312"/>
        </w:rPr>
      </w:pPr>
      <w:r>
        <w:rPr>
          <w:rFonts w:hint="eastAsia" w:ascii="仿宋_GB2312" w:eastAsia="仿宋_GB2312"/>
        </w:rPr>
        <w:t>在本合同履行期间，若乙方存在违反本合同约定的行为，则有权扣除乙方的履约保证金，并书面通知乙方，乙方对此不得提出任何异议。乙方在收到的书面通知之日起</w:t>
      </w:r>
      <w:r>
        <w:rPr>
          <w:rFonts w:ascii="仿宋_GB2312" w:eastAsia="仿宋_GB2312"/>
        </w:rPr>
        <w:t>15</w:t>
      </w:r>
      <w:r>
        <w:rPr>
          <w:rFonts w:hint="eastAsia" w:ascii="仿宋_GB2312" w:eastAsia="仿宋_GB2312"/>
        </w:rPr>
        <w:t>日内补足履约保证金，逾期不补足，视为乙方违约，则有权解除本合同，并要求乙方承担由此给造成的实际损失（包括但不限于运输、保险、检验、人民银行公布的同期货款基准利率及银行手续费、担保、抵押、法院执行措施所产生的费用等）。</w:t>
      </w:r>
    </w:p>
    <w:p>
      <w:pPr>
        <w:spacing w:line="440" w:lineRule="exact"/>
        <w:ind w:firstLine="420" w:firstLineChars="200"/>
        <w:rPr>
          <w:rFonts w:ascii="仿宋_GB2312" w:eastAsia="仿宋_GB2312"/>
        </w:rPr>
      </w:pPr>
      <w:r>
        <w:rPr>
          <w:rFonts w:hint="eastAsia" w:ascii="仿宋_GB2312" w:eastAsia="仿宋_GB2312"/>
        </w:rPr>
        <w:t>待本合同约定的服务内容及服务期限全部履行完毕后，经确认后，乙方不存在任何违约行为，自确认之日起</w:t>
      </w:r>
      <w:r>
        <w:rPr>
          <w:rFonts w:ascii="仿宋_GB2312" w:eastAsia="仿宋_GB2312"/>
        </w:rPr>
        <w:t>15</w:t>
      </w:r>
      <w:r>
        <w:rPr>
          <w:rFonts w:hint="eastAsia" w:ascii="仿宋_GB2312" w:eastAsia="仿宋_GB2312"/>
        </w:rPr>
        <w:t>日内，无息返还乙方履约保证金。若乙方存在违约行为或者有相关费用未支付的，则在扣除相关费用后，若有剩余，则无息返还乙方。</w:t>
      </w:r>
    </w:p>
    <w:p>
      <w:pPr>
        <w:spacing w:line="360" w:lineRule="auto"/>
        <w:rPr>
          <w:rFonts w:ascii="仿宋_GB2312" w:eastAsia="仿宋_GB2312"/>
        </w:rPr>
      </w:pPr>
    </w:p>
    <w:p>
      <w:pPr>
        <w:spacing w:line="360" w:lineRule="auto"/>
        <w:ind w:left="449" w:hanging="449"/>
        <w:rPr>
          <w:rFonts w:ascii="仿宋_GB2312" w:eastAsia="仿宋_GB2312"/>
          <w:b/>
        </w:rPr>
      </w:pPr>
      <w:r>
        <w:rPr>
          <w:rFonts w:hint="eastAsia" w:ascii="仿宋_GB2312" w:eastAsia="仿宋_GB2312"/>
          <w:b/>
        </w:rPr>
        <w:t>第四条：附则</w:t>
      </w:r>
    </w:p>
    <w:p>
      <w:pPr>
        <w:spacing w:line="360" w:lineRule="auto"/>
        <w:rPr>
          <w:rFonts w:ascii="仿宋_GB2312" w:eastAsia="仿宋_GB2312"/>
        </w:rPr>
      </w:pPr>
      <w:r>
        <w:rPr>
          <w:rFonts w:hint="eastAsia" w:ascii="仿宋_GB2312" w:eastAsia="仿宋_GB2312"/>
        </w:rPr>
        <w:t>1、本合同设正本一式贰份，副本一式肆份；由甲、乙双方各执壹份正本、贰份副本备存，正、副本具有同等法律效力。</w:t>
      </w:r>
    </w:p>
    <w:p>
      <w:pPr>
        <w:spacing w:line="360" w:lineRule="auto"/>
        <w:rPr>
          <w:rFonts w:ascii="仿宋_GB2312" w:eastAsia="仿宋_GB2312"/>
        </w:rPr>
      </w:pPr>
      <w:r>
        <w:rPr>
          <w:rFonts w:hint="eastAsia" w:ascii="仿宋_GB2312" w:eastAsia="仿宋_GB2312"/>
        </w:rPr>
        <w:t>2、本合同经双方法定代表人或授权代表签字及双方盖章后成立，自乙方交付履约保证金之日起生效。</w:t>
      </w:r>
    </w:p>
    <w:p>
      <w:pPr>
        <w:rPr>
          <w:rFonts w:ascii="仿宋_GB2312" w:eastAsia="仿宋_GB2312"/>
        </w:rPr>
      </w:pPr>
    </w:p>
    <w:p>
      <w:pPr>
        <w:rPr>
          <w:rFonts w:ascii="仿宋_GB2312" w:eastAsia="仿宋_GB2312"/>
        </w:rPr>
      </w:pPr>
    </w:p>
    <w:p>
      <w:pPr>
        <w:rPr>
          <w:rFonts w:ascii="仿宋_GB2312" w:eastAsia="仿宋_GB2312"/>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p>
    <w:p>
      <w:pPr>
        <w:spacing w:line="360" w:lineRule="auto"/>
        <w:ind w:left="393" w:leftChars="187" w:firstLine="2424" w:firstLineChars="1150"/>
        <w:rPr>
          <w:rFonts w:ascii="仿宋_GB2312" w:eastAsia="仿宋_GB2312"/>
          <w:b/>
        </w:rPr>
      </w:pPr>
      <w:r>
        <w:rPr>
          <w:rFonts w:hint="eastAsia" w:ascii="仿宋_GB2312" w:eastAsia="仿宋_GB2312"/>
          <w:b/>
        </w:rPr>
        <w:t xml:space="preserve">      合 同 签 署</w:t>
      </w:r>
    </w:p>
    <w:p>
      <w:pPr>
        <w:spacing w:line="360" w:lineRule="auto"/>
        <w:rPr>
          <w:rFonts w:ascii="仿宋_GB2312" w:eastAsia="仿宋_GB2312"/>
        </w:rPr>
      </w:pPr>
    </w:p>
    <w:p>
      <w:pPr>
        <w:spacing w:line="360" w:lineRule="auto"/>
        <w:rPr>
          <w:rFonts w:ascii="仿宋_GB2312" w:eastAsia="仿宋_GB2312"/>
        </w:rPr>
      </w:pPr>
    </w:p>
    <w:p>
      <w:pPr>
        <w:spacing w:line="360" w:lineRule="auto"/>
        <w:rPr>
          <w:rFonts w:ascii="仿宋_GB2312" w:eastAsia="仿宋_GB2312"/>
        </w:rPr>
      </w:pPr>
      <w:r>
        <w:rPr>
          <w:rFonts w:hint="eastAsia" w:ascii="仿宋_GB2312" w:eastAsia="仿宋_GB2312"/>
        </w:rPr>
        <w:t xml:space="preserve">甲方：杭州萧山国际机场有限公司    乙方：         </w:t>
      </w:r>
    </w:p>
    <w:p>
      <w:pPr>
        <w:spacing w:line="360" w:lineRule="auto"/>
        <w:rPr>
          <w:rFonts w:ascii="仿宋_GB2312" w:eastAsia="仿宋_GB2312"/>
        </w:rPr>
      </w:pPr>
      <w:r>
        <w:rPr>
          <w:rFonts w:hint="eastAsia" w:ascii="仿宋_GB2312" w:eastAsia="仿宋_GB2312"/>
        </w:rPr>
        <w:t>（盖章）                          （盖章）</w:t>
      </w:r>
    </w:p>
    <w:p>
      <w:pPr>
        <w:spacing w:line="360" w:lineRule="auto"/>
        <w:rPr>
          <w:rFonts w:ascii="仿宋_GB2312" w:eastAsia="仿宋_GB2312"/>
        </w:rPr>
      </w:pPr>
    </w:p>
    <w:p>
      <w:pPr>
        <w:spacing w:line="360" w:lineRule="auto"/>
        <w:rPr>
          <w:rFonts w:ascii="仿宋_GB2312" w:eastAsia="仿宋_GB2312"/>
        </w:rPr>
      </w:pPr>
      <w:r>
        <w:rPr>
          <w:rFonts w:hint="eastAsia" w:ascii="仿宋_GB2312" w:eastAsia="仿宋_GB2312"/>
        </w:rPr>
        <w:t>法定代表人                        法定代表人</w:t>
      </w:r>
    </w:p>
    <w:p>
      <w:pPr>
        <w:spacing w:line="360" w:lineRule="auto"/>
        <w:rPr>
          <w:rFonts w:ascii="仿宋_GB2312" w:eastAsia="仿宋_GB2312"/>
        </w:rPr>
      </w:pPr>
      <w:r>
        <w:rPr>
          <w:rFonts w:hint="eastAsia" w:ascii="仿宋_GB2312" w:eastAsia="仿宋_GB2312"/>
        </w:rPr>
        <w:t>或授权代表                        或授权代表</w:t>
      </w:r>
    </w:p>
    <w:p>
      <w:pPr>
        <w:spacing w:line="360" w:lineRule="auto"/>
        <w:rPr>
          <w:rFonts w:ascii="仿宋_GB2312" w:eastAsia="仿宋_GB2312"/>
        </w:rPr>
      </w:pPr>
      <w:r>
        <w:rPr>
          <w:rFonts w:hint="eastAsia" w:ascii="仿宋_GB2312" w:eastAsia="仿宋_GB2312"/>
        </w:rPr>
        <w:t xml:space="preserve">（签字）：                         （签字）：      </w:t>
      </w:r>
    </w:p>
    <w:p>
      <w:pPr>
        <w:spacing w:line="360" w:lineRule="auto"/>
        <w:rPr>
          <w:rFonts w:ascii="仿宋_GB2312" w:eastAsia="仿宋_GB2312"/>
        </w:rPr>
      </w:pPr>
    </w:p>
    <w:p>
      <w:pPr>
        <w:spacing w:line="360" w:lineRule="auto"/>
        <w:rPr>
          <w:rFonts w:ascii="仿宋_GB2312" w:eastAsia="仿宋_GB2312"/>
        </w:rPr>
      </w:pPr>
      <w:r>
        <w:rPr>
          <w:rFonts w:hint="eastAsia" w:ascii="仿宋_GB2312" w:eastAsia="仿宋_GB2312"/>
        </w:rPr>
        <w:t xml:space="preserve">签字日期：                        签字日期：                  </w:t>
      </w:r>
    </w:p>
    <w:p>
      <w:pPr>
        <w:spacing w:line="360" w:lineRule="auto"/>
        <w:rPr>
          <w:rFonts w:ascii="仿宋_GB2312" w:eastAsia="仿宋_GB2312"/>
        </w:rPr>
      </w:pPr>
    </w:p>
    <w:p>
      <w:pPr>
        <w:spacing w:line="360" w:lineRule="auto"/>
        <w:rPr>
          <w:rFonts w:ascii="仿宋_GB2312" w:eastAsia="仿宋_GB2312"/>
        </w:rPr>
      </w:pPr>
      <w:r>
        <w:rPr>
          <w:rFonts w:hint="eastAsia" w:ascii="仿宋_GB2312" w:eastAsia="仿宋_GB2312"/>
        </w:rPr>
        <w:t>开户银行：</w:t>
      </w:r>
      <w:r>
        <w:rPr>
          <w:rFonts w:hint="eastAsia" w:ascii="仿宋_GB2312" w:eastAsia="仿宋_GB2312"/>
          <w:kern w:val="0"/>
          <w:lang w:val="zh-CN"/>
        </w:rPr>
        <w:t xml:space="preserve">工行杭州空港城支行   </w:t>
      </w:r>
      <w:r>
        <w:rPr>
          <w:rFonts w:hint="eastAsia" w:ascii="仿宋_GB2312" w:eastAsia="仿宋_GB2312"/>
        </w:rPr>
        <w:t xml:space="preserve">  开户银行：            </w:t>
      </w:r>
    </w:p>
    <w:p>
      <w:pPr>
        <w:spacing w:line="360" w:lineRule="auto"/>
        <w:rPr>
          <w:rFonts w:ascii="仿宋_GB2312" w:eastAsia="仿宋_GB2312"/>
        </w:rPr>
      </w:pPr>
    </w:p>
    <w:p>
      <w:pPr>
        <w:spacing w:line="360" w:lineRule="auto"/>
        <w:rPr>
          <w:rFonts w:ascii="仿宋_GB2312" w:eastAsia="仿宋_GB2312"/>
        </w:rPr>
      </w:pPr>
      <w:r>
        <w:rPr>
          <w:rFonts w:hint="eastAsia" w:ascii="仿宋_GB2312" w:eastAsia="仿宋_GB2312"/>
        </w:rPr>
        <w:t>财务帐号：</w:t>
      </w:r>
      <w:r>
        <w:rPr>
          <w:rFonts w:hint="eastAsia" w:ascii="仿宋_GB2312" w:eastAsia="仿宋_GB2312"/>
          <w:szCs w:val="21"/>
        </w:rPr>
        <w:t>1202050209904601740</w:t>
      </w:r>
      <w:r>
        <w:rPr>
          <w:rFonts w:hint="eastAsia" w:ascii="仿宋_GB2312" w:eastAsia="仿宋_GB2312"/>
        </w:rPr>
        <w:t xml:space="preserve">     财务帐号：             </w:t>
      </w:r>
    </w:p>
    <w:p>
      <w:pPr>
        <w:spacing w:line="360" w:lineRule="auto"/>
        <w:rPr>
          <w:rFonts w:ascii="仿宋_GB2312" w:eastAsia="仿宋_GB2312"/>
        </w:rPr>
      </w:pPr>
    </w:p>
    <w:p>
      <w:pPr>
        <w:rPr>
          <w:rFonts w:ascii="仿宋_GB2312" w:eastAsia="仿宋_GB2312"/>
        </w:rPr>
      </w:pPr>
      <w:r>
        <w:rPr>
          <w:rFonts w:hint="eastAsia" w:ascii="仿宋_GB2312" w:eastAsia="仿宋_GB2312"/>
        </w:rPr>
        <w:t xml:space="preserve">         </w:t>
      </w:r>
    </w:p>
    <w:p>
      <w:pPr>
        <w:rPr>
          <w:rFonts w:ascii="仿宋_GB2312" w:eastAsia="仿宋_GB2312"/>
        </w:rPr>
      </w:pPr>
    </w:p>
    <w:p>
      <w:pPr>
        <w:ind w:left="393" w:leftChars="187" w:firstLine="2310" w:firstLineChars="1100"/>
        <w:rPr>
          <w:rFonts w:ascii="仿宋_GB2312" w:eastAsia="仿宋_GB2312"/>
          <w:b/>
        </w:rPr>
      </w:pPr>
      <w:r>
        <w:rPr>
          <w:rFonts w:hint="eastAsia" w:ascii="仿宋_GB2312" w:eastAsia="仿宋_GB2312"/>
        </w:rPr>
        <w:br w:type="page"/>
      </w:r>
      <w:r>
        <w:rPr>
          <w:rFonts w:hint="eastAsia" w:ascii="仿宋_GB2312" w:eastAsia="仿宋_GB2312"/>
        </w:rPr>
        <w:t xml:space="preserve">       </w:t>
      </w:r>
      <w:r>
        <w:rPr>
          <w:rFonts w:hint="eastAsia" w:ascii="仿宋_GB2312" w:eastAsia="仿宋_GB2312"/>
          <w:b/>
        </w:rPr>
        <w:t>合 同 条 款</w:t>
      </w:r>
    </w:p>
    <w:p>
      <w:pPr>
        <w:ind w:left="449" w:hanging="449"/>
        <w:rPr>
          <w:rFonts w:ascii="仿宋_GB2312" w:eastAsia="仿宋_GB2312"/>
          <w:b/>
        </w:rPr>
      </w:pPr>
      <w:r>
        <w:rPr>
          <w:rFonts w:hint="eastAsia" w:ascii="仿宋_GB2312" w:eastAsia="仿宋_GB2312"/>
          <w:b/>
        </w:rPr>
        <w:t>1 释义</w:t>
      </w:r>
    </w:p>
    <w:p>
      <w:pPr>
        <w:spacing w:line="360" w:lineRule="auto"/>
        <w:ind w:left="392" w:leftChars="50" w:hanging="287" w:hangingChars="137"/>
        <w:rPr>
          <w:rFonts w:ascii="仿宋_GB2312" w:eastAsia="仿宋_GB2312"/>
        </w:rPr>
      </w:pPr>
      <w:r>
        <w:rPr>
          <w:rFonts w:hint="eastAsia" w:ascii="仿宋_GB2312" w:eastAsia="仿宋_GB2312"/>
        </w:rPr>
        <w:t>1.1文中“双方”指“甲方和乙方”。</w:t>
      </w:r>
    </w:p>
    <w:p>
      <w:pPr>
        <w:spacing w:line="360" w:lineRule="auto"/>
        <w:ind w:left="392" w:leftChars="50" w:hanging="287" w:hangingChars="137"/>
        <w:rPr>
          <w:rFonts w:ascii="仿宋_GB2312" w:eastAsia="仿宋_GB2312"/>
        </w:rPr>
      </w:pPr>
      <w:r>
        <w:rPr>
          <w:rFonts w:hint="eastAsia" w:ascii="仿宋_GB2312" w:eastAsia="仿宋_GB2312"/>
        </w:rPr>
        <w:t>1.2“甲方”指“杭州萧山国际机场有限公司”</w:t>
      </w:r>
    </w:p>
    <w:p>
      <w:pPr>
        <w:spacing w:line="360" w:lineRule="auto"/>
        <w:ind w:left="393" w:leftChars="187" w:firstLine="105" w:firstLineChars="50"/>
        <w:rPr>
          <w:rFonts w:ascii="仿宋_GB2312" w:eastAsia="仿宋_GB2312"/>
        </w:rPr>
      </w:pPr>
      <w:r>
        <w:rPr>
          <w:rFonts w:hint="eastAsia" w:ascii="仿宋_GB2312" w:eastAsia="仿宋_GB2312"/>
        </w:rPr>
        <w:t>“乙方”指“                       ”</w:t>
      </w:r>
    </w:p>
    <w:p>
      <w:pPr>
        <w:spacing w:line="360" w:lineRule="auto"/>
        <w:ind w:left="392" w:leftChars="50" w:hanging="287" w:hangingChars="137"/>
        <w:rPr>
          <w:rFonts w:ascii="仿宋_GB2312" w:eastAsia="仿宋_GB2312"/>
        </w:rPr>
      </w:pPr>
      <w:r>
        <w:rPr>
          <w:rFonts w:hint="eastAsia" w:ascii="仿宋_GB2312" w:eastAsia="仿宋_GB2312"/>
        </w:rPr>
        <w:t>1.3文中费用均以人民币“元”为计价单位（除文中有特别规定）。</w:t>
      </w:r>
    </w:p>
    <w:p>
      <w:pPr>
        <w:spacing w:line="360" w:lineRule="auto"/>
        <w:ind w:left="392" w:leftChars="50" w:hanging="287" w:hangingChars="137"/>
        <w:rPr>
          <w:rFonts w:ascii="仿宋_GB2312" w:eastAsia="仿宋_GB2312"/>
        </w:rPr>
      </w:pPr>
      <w:r>
        <w:rPr>
          <w:rFonts w:hint="eastAsia" w:ascii="仿宋_GB2312" w:eastAsia="仿宋_GB2312"/>
        </w:rPr>
        <w:t>1.4文中“年、月、日”均指“公历年、月、日”。</w:t>
      </w:r>
    </w:p>
    <w:p>
      <w:pPr>
        <w:spacing w:line="360" w:lineRule="auto"/>
        <w:ind w:left="392" w:leftChars="50" w:hanging="287" w:hangingChars="137"/>
        <w:rPr>
          <w:rFonts w:ascii="仿宋_GB2312" w:eastAsia="仿宋_GB2312"/>
        </w:rPr>
      </w:pPr>
      <w:r>
        <w:rPr>
          <w:rFonts w:hint="eastAsia" w:ascii="仿宋_GB2312" w:eastAsia="仿宋_GB2312"/>
        </w:rPr>
        <w:t>1.5“机场”指“杭州萧山国际机场”。</w:t>
      </w:r>
    </w:p>
    <w:p>
      <w:pPr>
        <w:spacing w:line="360" w:lineRule="auto"/>
        <w:rPr>
          <w:rFonts w:ascii="仿宋_GB2312" w:eastAsia="仿宋_GB2312"/>
        </w:rPr>
      </w:pPr>
    </w:p>
    <w:p>
      <w:pPr>
        <w:spacing w:line="360" w:lineRule="auto"/>
        <w:ind w:left="449" w:hanging="449"/>
        <w:rPr>
          <w:rFonts w:ascii="仿宋_GB2312" w:eastAsia="仿宋_GB2312"/>
          <w:b/>
        </w:rPr>
      </w:pPr>
      <w:r>
        <w:rPr>
          <w:rFonts w:hint="eastAsia" w:ascii="仿宋_GB2312" w:eastAsia="仿宋_GB2312"/>
          <w:b/>
        </w:rPr>
        <w:t>2 合同范围</w:t>
      </w:r>
    </w:p>
    <w:p>
      <w:pPr>
        <w:spacing w:line="360" w:lineRule="auto"/>
        <w:ind w:left="392" w:leftChars="50" w:hanging="287" w:hangingChars="137"/>
        <w:rPr>
          <w:rFonts w:ascii="仿宋_GB2312" w:eastAsia="仿宋_GB2312"/>
        </w:rPr>
      </w:pPr>
      <w:r>
        <w:rPr>
          <w:rFonts w:hint="eastAsia" w:ascii="仿宋_GB2312" w:eastAsia="仿宋_GB2312"/>
        </w:rPr>
        <w:t>2.1乙方在同意各项合同条款的条件下，承包甲方的杭州萧山国际机场航站楼旅客行李手推车管理维护服务项目的服务与管理（具体服务与管理的区域与内容见附件1）。</w:t>
      </w:r>
    </w:p>
    <w:p>
      <w:pPr>
        <w:spacing w:line="360" w:lineRule="auto"/>
        <w:ind w:left="392" w:leftChars="50" w:hanging="287" w:hangingChars="137"/>
        <w:rPr>
          <w:rFonts w:ascii="仿宋_GB2312" w:eastAsia="仿宋_GB2312"/>
        </w:rPr>
      </w:pPr>
      <w:r>
        <w:rPr>
          <w:rFonts w:hint="eastAsia" w:ascii="仿宋_GB2312" w:eastAsia="仿宋_GB2312"/>
        </w:rPr>
        <w:t>2.2乙方除负责以上旅客行李手推车管理维护服务项目</w:t>
      </w:r>
      <w:r>
        <w:rPr>
          <w:rFonts w:hint="eastAsia" w:ascii="仿宋_GB2312" w:eastAsia="仿宋_GB2312"/>
          <w:szCs w:val="21"/>
        </w:rPr>
        <w:t>（项目具体内容与要求详见附件1）</w:t>
      </w:r>
      <w:r>
        <w:rPr>
          <w:rFonts w:hint="eastAsia" w:ascii="仿宋_GB2312" w:eastAsia="仿宋_GB2312"/>
        </w:rPr>
        <w:t>的服务与管理外，还需负责发现所提供服务区域的设施设备破损（如设备设施缺损、标志标识损坏等）等问题，并及时上报相关部门。</w:t>
      </w:r>
    </w:p>
    <w:p>
      <w:pPr>
        <w:spacing w:line="360" w:lineRule="auto"/>
        <w:ind w:left="392" w:leftChars="50" w:hanging="287" w:hangingChars="137"/>
        <w:rPr>
          <w:rFonts w:ascii="仿宋_GB2312" w:eastAsia="仿宋_GB2312"/>
        </w:rPr>
      </w:pPr>
      <w:r>
        <w:rPr>
          <w:rFonts w:hint="eastAsia" w:ascii="仿宋_GB2312" w:eastAsia="仿宋_GB2312"/>
        </w:rPr>
        <w:t>2.3乙方须按本合同及附件2约定的人员与岗位要求向杭州萧山国际机场航站楼提供从事旅客行李手推车管理维护服务项目（具体要求详见附件10）的服务与管理的所有人员，并提供所有人员的服装、劳防用品及培训等。</w:t>
      </w:r>
    </w:p>
    <w:p>
      <w:pPr>
        <w:spacing w:line="360" w:lineRule="auto"/>
        <w:ind w:left="392" w:leftChars="50" w:hanging="287" w:hangingChars="137"/>
        <w:rPr>
          <w:rFonts w:ascii="仿宋_GB2312" w:eastAsia="仿宋_GB2312"/>
        </w:rPr>
      </w:pPr>
      <w:r>
        <w:rPr>
          <w:rFonts w:hint="eastAsia" w:ascii="仿宋_GB2312" w:eastAsia="仿宋_GB2312"/>
        </w:rPr>
        <w:t>2.4乙方须按本合同附件3要求提供杭州萧山国际机场航站楼旅客行李手推车管理维护服务项目的服务与管理所涉及的全部设备设施及其养护与维修，包括但不限于机械设备、其他设备及其它备品备件、配件，设施，交通工具等。</w:t>
      </w:r>
    </w:p>
    <w:p>
      <w:pPr>
        <w:spacing w:line="360" w:lineRule="auto"/>
        <w:ind w:left="392" w:leftChars="50" w:hanging="287" w:hangingChars="137"/>
        <w:rPr>
          <w:rFonts w:ascii="仿宋_GB2312" w:eastAsia="仿宋_GB2312"/>
        </w:rPr>
      </w:pPr>
    </w:p>
    <w:p>
      <w:pPr>
        <w:spacing w:line="360" w:lineRule="auto"/>
        <w:rPr>
          <w:rFonts w:ascii="仿宋_GB2312" w:eastAsia="仿宋_GB2312"/>
          <w:b/>
        </w:rPr>
      </w:pPr>
      <w:r>
        <w:rPr>
          <w:rFonts w:hint="eastAsia" w:ascii="仿宋_GB2312" w:eastAsia="仿宋_GB2312"/>
          <w:b/>
        </w:rPr>
        <w:t>3 合同费用与支付</w:t>
      </w:r>
    </w:p>
    <w:p>
      <w:pPr>
        <w:spacing w:line="360" w:lineRule="auto"/>
        <w:ind w:left="392" w:leftChars="50" w:hanging="287" w:hangingChars="137"/>
        <w:rPr>
          <w:rFonts w:ascii="仿宋_GB2312" w:eastAsia="仿宋_GB2312"/>
        </w:rPr>
      </w:pPr>
      <w:r>
        <w:rPr>
          <w:rFonts w:hint="eastAsia" w:ascii="仿宋_GB2312" w:eastAsia="仿宋_GB2312"/>
        </w:rPr>
        <w:t>3.1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及不可或缺的所有附带工作，包括现有甲方提供的手推车牵引设备和手推车的维修、配件采购费用，包括应急事件处理费，用于支付应急情况下产生的人工费用等。</w:t>
      </w:r>
    </w:p>
    <w:p>
      <w:pPr>
        <w:spacing w:line="360" w:lineRule="auto"/>
        <w:ind w:left="619" w:leftChars="178" w:hanging="245" w:hangingChars="117"/>
        <w:rPr>
          <w:rFonts w:ascii="仿宋_GB2312" w:eastAsia="仿宋_GB2312"/>
          <w:bCs/>
        </w:rPr>
      </w:pPr>
      <w:r>
        <w:rPr>
          <w:rFonts w:hint="eastAsia" w:ascii="仿宋_GB2312" w:eastAsia="仿宋_GB2312"/>
          <w:bCs/>
        </w:rPr>
        <w:t>3.1.1甲方对乙方支付所雇用员工（不含乙方管理人员）的薪酬有审核权；如发现乙方实际发放的标准低于投标文件中承诺的额度，甲方有权要求乙方补发差额工资。</w:t>
      </w:r>
      <w:r>
        <w:rPr>
          <w:rFonts w:ascii="仿宋_GB2312" w:eastAsia="仿宋_GB2312"/>
          <w:bCs/>
        </w:rPr>
        <w:t xml:space="preserve"> </w:t>
      </w:r>
    </w:p>
    <w:p>
      <w:pPr>
        <w:spacing w:line="360" w:lineRule="auto"/>
        <w:ind w:left="391" w:leftChars="186"/>
        <w:rPr>
          <w:rFonts w:ascii="仿宋_GB2312" w:eastAsia="仿宋_GB2312"/>
        </w:rPr>
      </w:pPr>
      <w:r>
        <w:rPr>
          <w:rFonts w:hint="eastAsia" w:ascii="仿宋_GB2312" w:eastAsia="仿宋_GB2312"/>
        </w:rPr>
        <w:t>3.1.2乙方需依法用工，必须缴纳员工工资组成中的社会保险（如养老、医疗、工伤等险种）等相关费用，甲方将进行抽查，发现乙方未给员工缴纳保险，甲方有权在下月手推车服务费中扣除相关款项。</w:t>
      </w:r>
    </w:p>
    <w:p>
      <w:pPr>
        <w:spacing w:line="360" w:lineRule="auto"/>
        <w:ind w:left="392" w:leftChars="50" w:hanging="287" w:hangingChars="137"/>
        <w:rPr>
          <w:rFonts w:ascii="仿宋_GB2312" w:eastAsia="仿宋_GB2312"/>
        </w:rPr>
      </w:pPr>
      <w:r>
        <w:rPr>
          <w:rFonts w:hint="eastAsia" w:ascii="仿宋_GB2312" w:eastAsia="仿宋_GB2312"/>
        </w:rPr>
        <w:t>3.2合同费用除发生本合同约定的可以调整的情形之外，不能作任何调整，任何合同费用的计算错误，无论是算术上的错误还是其他错误，皆视为已获双方接受。合同费用亦不会因人工、物价或汇率的变动而作任何调整，无论该些变化是否给乙方的成本带来负面影响，包括（但不限于）乙方因罢工、破产或其他原因导致的人员及设备的重新配置。</w:t>
      </w:r>
    </w:p>
    <w:p>
      <w:pPr>
        <w:spacing w:line="360" w:lineRule="auto"/>
        <w:ind w:left="392" w:leftChars="50" w:hanging="287" w:hangingChars="137"/>
        <w:rPr>
          <w:rFonts w:ascii="仿宋_GB2312" w:eastAsia="仿宋_GB2312"/>
        </w:rPr>
      </w:pPr>
      <w:r>
        <w:rPr>
          <w:rFonts w:hint="eastAsia" w:ascii="仿宋_GB2312" w:eastAsia="仿宋_GB2312"/>
        </w:rPr>
        <w:t>3.3合同费用已包括执行和完成合同文件所述的本项目全部的工作所发生的费用。除非另有合同约定，乙方无权向甲方要求获得其他费用。</w:t>
      </w:r>
    </w:p>
    <w:p>
      <w:pPr>
        <w:spacing w:line="360" w:lineRule="auto"/>
        <w:ind w:left="392" w:leftChars="50" w:hanging="287" w:hangingChars="137"/>
        <w:rPr>
          <w:rFonts w:ascii="仿宋_GB2312" w:eastAsia="仿宋_GB2312"/>
        </w:rPr>
      </w:pPr>
      <w:r>
        <w:rPr>
          <w:rFonts w:hint="eastAsia" w:ascii="仿宋_GB2312" w:eastAsia="仿宋_GB2312"/>
        </w:rPr>
        <w:t>3.4</w:t>
      </w:r>
      <w:r>
        <w:rPr>
          <w:rFonts w:hint="eastAsia" w:ascii="仿宋_GB2312" w:hAnsi="Arial" w:eastAsia="仿宋_GB2312"/>
        </w:rPr>
        <w:t>符合</w:t>
      </w:r>
      <w:r>
        <w:rPr>
          <w:rFonts w:hint="eastAsia" w:ascii="仿宋_GB2312" w:eastAsia="仿宋_GB2312"/>
        </w:rPr>
        <w:t>以下情形的，合同费用及支付费用不做调整。</w:t>
      </w:r>
    </w:p>
    <w:p>
      <w:pPr>
        <w:spacing w:line="360" w:lineRule="auto"/>
        <w:ind w:left="392" w:leftChars="100" w:hanging="182" w:hangingChars="87"/>
        <w:rPr>
          <w:rFonts w:ascii="仿宋_GB2312" w:eastAsia="仿宋_GB2312"/>
        </w:rPr>
      </w:pPr>
      <w:r>
        <w:rPr>
          <w:rFonts w:hint="eastAsia" w:ascii="仿宋_GB2312" w:eastAsia="仿宋_GB2312"/>
        </w:rPr>
        <w:t>3.4.1人员变化:合同期内，乙方应依据航班情况和附件2的基本配置等要求制定人员岗位计划，以达到合同要求。合同期前三年内，如乙方的运营效果无法满足本合同及甲方的要求，甲方有权要求乙方在最低要求的人数上增加人员，但必须提前一月书面通知，涉及的相关费用乙方承担。</w:t>
      </w:r>
    </w:p>
    <w:p>
      <w:pPr>
        <w:spacing w:line="360" w:lineRule="auto"/>
        <w:ind w:left="392" w:leftChars="100" w:hanging="182" w:hangingChars="87"/>
        <w:rPr>
          <w:rFonts w:ascii="仿宋_GB2312" w:eastAsia="仿宋_GB2312"/>
        </w:rPr>
      </w:pPr>
      <w:r>
        <w:rPr>
          <w:rFonts w:hint="eastAsia" w:ascii="仿宋_GB2312" w:eastAsia="仿宋_GB2312"/>
          <w:bCs/>
        </w:rPr>
        <w:t>3.4.2</w:t>
      </w:r>
      <w:r>
        <w:rPr>
          <w:rFonts w:hint="eastAsia" w:ascii="仿宋_GB2312" w:eastAsia="仿宋_GB2312"/>
        </w:rPr>
        <w:t>设备设施变化：合同期内，乙方应依据航班情况等要求配备设备设施、制定使用计划，以达到合同要求。合同期间，如乙方的设施设备无法满足本合同及甲方的要求，方有权要求乙方在最低要求的设备配备数量上增加，由乙方自行承担维修设备和更换配件的费用。但必须提前一月书面通知，涉及的相关费用由乙方承担。</w:t>
      </w:r>
    </w:p>
    <w:p>
      <w:pPr>
        <w:spacing w:line="360" w:lineRule="auto"/>
        <w:ind w:left="392" w:leftChars="50" w:hanging="287" w:hangingChars="137"/>
        <w:rPr>
          <w:rFonts w:ascii="仿宋_GB2312" w:eastAsia="仿宋_GB2312"/>
        </w:rPr>
      </w:pPr>
      <w:r>
        <w:rPr>
          <w:rFonts w:hint="eastAsia" w:ascii="仿宋_GB2312" w:eastAsia="仿宋_GB2312"/>
        </w:rPr>
        <w:t>3.5合同费用支付采取“先服务后付费”的原则，即由乙方先提供服务，甲方后支付费用。</w:t>
      </w:r>
    </w:p>
    <w:p>
      <w:pPr>
        <w:spacing w:line="360" w:lineRule="auto"/>
        <w:ind w:left="392" w:leftChars="50" w:hanging="287" w:hangingChars="137"/>
        <w:rPr>
          <w:rFonts w:ascii="仿宋_GB2312" w:eastAsia="仿宋_GB2312"/>
        </w:rPr>
      </w:pPr>
      <w:r>
        <w:rPr>
          <w:rFonts w:hint="eastAsia" w:ascii="仿宋_GB2312" w:eastAsia="仿宋_GB2312"/>
        </w:rPr>
        <w:t>3.6本合同生效后，每月初3个工作日内，甲方将根据日常监管情况及乙方上交的相关资料对乙方上月合同履行情况进行审核。</w:t>
      </w:r>
    </w:p>
    <w:p>
      <w:pPr>
        <w:spacing w:line="360" w:lineRule="auto"/>
        <w:ind w:left="392" w:leftChars="50" w:hanging="287" w:hangingChars="137"/>
        <w:rPr>
          <w:rFonts w:ascii="仿宋_GB2312" w:eastAsia="仿宋_GB2312"/>
        </w:rPr>
      </w:pPr>
      <w:r>
        <w:rPr>
          <w:rFonts w:hint="eastAsia" w:ascii="仿宋_GB2312" w:eastAsia="仿宋_GB2312"/>
        </w:rPr>
        <w:t>3.7甲方对相关资料审核后并明确书面表示无异议的，视为甲方确认账单金额，乙方据此开具有效的发票给甲方。甲方应当根据发票金额支付相应款项。</w:t>
      </w:r>
    </w:p>
    <w:p>
      <w:pPr>
        <w:spacing w:line="360" w:lineRule="auto"/>
        <w:ind w:left="392" w:leftChars="50" w:hanging="287" w:hangingChars="137"/>
        <w:rPr>
          <w:rFonts w:ascii="仿宋_GB2312" w:eastAsia="仿宋_GB2312"/>
          <w:b/>
        </w:rPr>
      </w:pPr>
      <w:r>
        <w:rPr>
          <w:rFonts w:hint="eastAsia" w:ascii="仿宋_GB2312" w:eastAsia="仿宋_GB2312"/>
        </w:rPr>
        <w:t>3.8甲方收到乙方提供的有效发票，并经审核无误后，在十个工作日内汇入乙方指定的银行账户。</w:t>
      </w:r>
    </w:p>
    <w:p>
      <w:pPr>
        <w:spacing w:line="360" w:lineRule="auto"/>
        <w:ind w:left="449" w:hanging="449"/>
        <w:rPr>
          <w:rFonts w:ascii="仿宋_GB2312" w:eastAsia="仿宋_GB2312"/>
          <w:b/>
        </w:rPr>
      </w:pPr>
    </w:p>
    <w:p>
      <w:pPr>
        <w:spacing w:line="360" w:lineRule="auto"/>
        <w:ind w:left="449" w:hanging="449"/>
        <w:rPr>
          <w:rFonts w:ascii="仿宋_GB2312" w:eastAsia="仿宋_GB2312"/>
          <w:b/>
        </w:rPr>
      </w:pPr>
      <w:r>
        <w:rPr>
          <w:rFonts w:hint="eastAsia" w:ascii="仿宋_GB2312" w:eastAsia="仿宋_GB2312"/>
          <w:b/>
        </w:rPr>
        <w:t>4 其他费用与开支</w:t>
      </w:r>
    </w:p>
    <w:p>
      <w:pPr>
        <w:spacing w:line="360" w:lineRule="auto"/>
        <w:ind w:left="392" w:leftChars="50" w:hanging="287" w:hangingChars="137"/>
        <w:rPr>
          <w:rFonts w:ascii="仿宋_GB2312" w:eastAsia="仿宋_GB2312"/>
        </w:rPr>
      </w:pPr>
      <w:r>
        <w:rPr>
          <w:rFonts w:hint="eastAsia" w:ascii="仿宋_GB2312" w:eastAsia="仿宋_GB2312"/>
        </w:rPr>
        <w:t>4.1其他费用</w:t>
      </w:r>
    </w:p>
    <w:p>
      <w:pPr>
        <w:spacing w:line="360" w:lineRule="auto"/>
        <w:ind w:left="392" w:leftChars="100" w:hanging="182" w:hangingChars="87"/>
        <w:rPr>
          <w:rFonts w:ascii="仿宋_GB2312" w:eastAsia="仿宋_GB2312"/>
        </w:rPr>
      </w:pPr>
      <w:r>
        <w:rPr>
          <w:rFonts w:hint="eastAsia" w:ascii="仿宋_GB2312" w:eastAsia="仿宋_GB2312"/>
        </w:rPr>
        <w:t>4.1.1乙方需支付申请其根据本合同所指派的人员、交通工具、移动通讯设备等相关的各类通行证和许可证的费用，以及此类交通工具和移动设备检测、获取许可证和停放的费用等，具体的费用标准根据甲方的规定执行。</w:t>
      </w:r>
    </w:p>
    <w:p>
      <w:pPr>
        <w:spacing w:line="360" w:lineRule="auto"/>
        <w:ind w:left="392" w:leftChars="100" w:hanging="182" w:hangingChars="87"/>
        <w:rPr>
          <w:rFonts w:ascii="仿宋_GB2312" w:eastAsia="仿宋_GB2312"/>
        </w:rPr>
      </w:pPr>
      <w:r>
        <w:rPr>
          <w:rFonts w:hint="eastAsia" w:ascii="仿宋_GB2312" w:eastAsia="仿宋_GB2312"/>
        </w:rPr>
        <w:t>4.1.2甲方可以向乙方征收乙方和与乙方相关的第三方使用机场服务设施设备的费用。无论合同中是否明确表示甲方应该提供该设施设备。</w:t>
      </w:r>
    </w:p>
    <w:p>
      <w:pPr>
        <w:spacing w:line="360" w:lineRule="auto"/>
        <w:ind w:left="392" w:leftChars="100" w:hanging="182" w:hangingChars="87"/>
        <w:rPr>
          <w:rFonts w:ascii="仿宋_GB2312" w:eastAsia="仿宋_GB2312"/>
        </w:rPr>
      </w:pPr>
      <w:r>
        <w:rPr>
          <w:rFonts w:hint="eastAsia" w:ascii="仿宋_GB2312" w:eastAsia="仿宋_GB2312"/>
        </w:rPr>
        <w:t>4.1.3 由于乙方责任原因造成第三方人身伤害、财产损失或设备设施损坏，乙方负责处理并承担相应费用，甲方不承担任何责任。</w:t>
      </w:r>
    </w:p>
    <w:p>
      <w:pPr>
        <w:spacing w:line="360" w:lineRule="auto"/>
        <w:ind w:left="392" w:leftChars="100" w:hanging="182" w:hangingChars="87"/>
        <w:rPr>
          <w:rFonts w:ascii="仿宋_GB2312" w:eastAsia="仿宋_GB2312"/>
        </w:rPr>
      </w:pPr>
      <w:r>
        <w:rPr>
          <w:rFonts w:hint="eastAsia" w:ascii="仿宋_GB2312" w:eastAsia="仿宋_GB2312"/>
        </w:rPr>
        <w:t>4.1.4 乙方需支付航站楼内业务用房和库房的租赁费用，若乙方需要该业务用房和库房，则乙方向甲方提出书面申请，经甲方审核同意后，双方另行签署租赁合同，租金按甲方标准收取。</w:t>
      </w:r>
    </w:p>
    <w:p>
      <w:pPr>
        <w:spacing w:line="360" w:lineRule="auto"/>
        <w:ind w:left="392" w:leftChars="50" w:hanging="287" w:hangingChars="137"/>
        <w:rPr>
          <w:rFonts w:ascii="仿宋_GB2312" w:eastAsia="仿宋_GB2312"/>
        </w:rPr>
      </w:pPr>
      <w:r>
        <w:rPr>
          <w:rFonts w:hint="eastAsia" w:ascii="仿宋_GB2312" w:eastAsia="仿宋_GB2312"/>
        </w:rPr>
        <w:t>4.2其他开支</w:t>
      </w:r>
    </w:p>
    <w:p>
      <w:pPr>
        <w:spacing w:line="360" w:lineRule="auto"/>
        <w:ind w:left="392" w:leftChars="100" w:hanging="182" w:hangingChars="87"/>
        <w:rPr>
          <w:rFonts w:ascii="仿宋_GB2312" w:eastAsia="仿宋_GB2312"/>
        </w:rPr>
      </w:pPr>
      <w:r>
        <w:rPr>
          <w:rFonts w:hint="eastAsia" w:ascii="仿宋_GB2312" w:eastAsia="仿宋_GB2312"/>
        </w:rPr>
        <w:t>乙方应视情况全额支付或偿还因本合同中需承担责任而引起的其他各项开支。</w:t>
      </w:r>
    </w:p>
    <w:p>
      <w:pPr>
        <w:spacing w:line="360" w:lineRule="auto"/>
        <w:rPr>
          <w:rFonts w:ascii="仿宋_GB2312" w:eastAsia="仿宋_GB2312"/>
        </w:rPr>
      </w:pPr>
    </w:p>
    <w:p>
      <w:pPr>
        <w:spacing w:line="360" w:lineRule="auto"/>
        <w:ind w:left="392" w:hanging="392" w:hangingChars="186"/>
        <w:rPr>
          <w:rFonts w:ascii="仿宋_GB2312" w:eastAsia="仿宋_GB2312"/>
          <w:b/>
        </w:rPr>
      </w:pPr>
      <w:r>
        <w:rPr>
          <w:rFonts w:hint="eastAsia" w:ascii="仿宋_GB2312" w:eastAsia="仿宋_GB2312"/>
          <w:b/>
        </w:rPr>
        <w:t>5 履约保证金</w:t>
      </w:r>
    </w:p>
    <w:p>
      <w:pPr>
        <w:spacing w:line="360" w:lineRule="auto"/>
        <w:ind w:left="392" w:leftChars="50" w:hanging="287" w:hangingChars="137"/>
        <w:rPr>
          <w:rFonts w:ascii="仿宋_GB2312" w:eastAsia="仿宋_GB2312"/>
        </w:rPr>
      </w:pPr>
      <w:r>
        <w:rPr>
          <w:rFonts w:hint="eastAsia" w:ascii="仿宋_GB2312" w:eastAsia="仿宋_GB2312"/>
        </w:rPr>
        <w:t>5.1甲方发出中标通知书</w:t>
      </w:r>
      <w:r>
        <w:rPr>
          <w:rFonts w:ascii="仿宋_GB2312" w:eastAsia="仿宋_GB2312"/>
        </w:rPr>
        <w:t>15日内，</w:t>
      </w:r>
      <w:r>
        <w:rPr>
          <w:rFonts w:hint="eastAsia" w:ascii="仿宋_GB2312" w:eastAsia="仿宋_GB2312"/>
        </w:rPr>
        <w:t>乙方应向甲方缴纳首年合同金额的</w:t>
      </w:r>
      <w:r>
        <w:rPr>
          <w:rFonts w:ascii="仿宋_GB2312" w:eastAsia="仿宋_GB2312"/>
        </w:rPr>
        <w:t>10%作为履约保证金</w:t>
      </w:r>
      <w:r>
        <w:rPr>
          <w:rFonts w:hint="eastAsia" w:ascii="仿宋_GB2312" w:eastAsia="仿宋_GB2312"/>
        </w:rPr>
        <w:t>，以保证乙方遵守和履行本合同的一切条款、条件和承诺。</w:t>
      </w:r>
    </w:p>
    <w:p>
      <w:pPr>
        <w:spacing w:line="360" w:lineRule="auto"/>
        <w:ind w:left="392" w:leftChars="50" w:hanging="287" w:hangingChars="137"/>
        <w:rPr>
          <w:rFonts w:ascii="仿宋_GB2312" w:eastAsia="仿宋_GB2312"/>
        </w:rPr>
      </w:pPr>
      <w:r>
        <w:rPr>
          <w:rFonts w:hint="eastAsia" w:ascii="仿宋_GB2312" w:eastAsia="仿宋_GB2312"/>
        </w:rPr>
        <w:t>5.2履约保证金的金额为人民币     元。</w:t>
      </w:r>
    </w:p>
    <w:p>
      <w:pPr>
        <w:spacing w:line="360" w:lineRule="auto"/>
        <w:ind w:left="392" w:leftChars="50" w:hanging="287" w:hangingChars="137"/>
        <w:rPr>
          <w:rFonts w:ascii="仿宋_GB2312" w:eastAsia="仿宋_GB2312"/>
        </w:rPr>
      </w:pPr>
      <w:r>
        <w:rPr>
          <w:rFonts w:hint="eastAsia" w:ascii="仿宋_GB2312" w:eastAsia="仿宋_GB2312"/>
        </w:rPr>
        <w:t>5.3乙方必须在签订本合同后十个工作日之内将履约保证金一次性支付，存入甲方指定银行帐号。</w:t>
      </w:r>
    </w:p>
    <w:p>
      <w:pPr>
        <w:spacing w:line="360" w:lineRule="auto"/>
        <w:ind w:left="392" w:leftChars="50" w:hanging="287" w:hangingChars="137"/>
        <w:rPr>
          <w:rFonts w:ascii="仿宋_GB2312" w:eastAsia="仿宋_GB2312"/>
        </w:rPr>
      </w:pPr>
      <w:r>
        <w:rPr>
          <w:rFonts w:hint="eastAsia" w:ascii="仿宋_GB2312" w:eastAsia="仿宋_GB2312"/>
        </w:rPr>
        <w:t>5.4在本合同期限内，乙方不得以任何理由将履约保证金冲抵其它费用。亦不得将履约保证金作为债权转让给任何第三者，或作为对第三者债务的担保。</w:t>
      </w:r>
    </w:p>
    <w:p>
      <w:pPr>
        <w:spacing w:line="360" w:lineRule="auto"/>
        <w:ind w:left="392" w:leftChars="50" w:hanging="287" w:hangingChars="137"/>
        <w:rPr>
          <w:rFonts w:ascii="仿宋_GB2312" w:eastAsia="仿宋_GB2312"/>
        </w:rPr>
      </w:pPr>
      <w:r>
        <w:rPr>
          <w:rFonts w:hint="eastAsia" w:ascii="仿宋_GB2312" w:eastAsia="仿宋_GB2312"/>
        </w:rPr>
        <w:t>5.5在本合同期内，如乙方有任何非根本违约情况的或每月绩效考评分数不达标的，甲方有权在乙方缴纳的履约保证金中扣除其相应的违约金或扣除相应服务费及其他应当由乙方支付的费用。（具体违约金数额根据合同18.3条款及附件10执行）甲方在扣除相应款项或违约金后，应书面通知乙方扣除的金额和事由。乙方应自甲方的书面通知发出后十个工作日内补足履约保证金，如逾期，则视为乙方违约，甲方有权单方面提前终止合同，并没收剩余履约保证金。若履约保证金不足以弥补甲方的损失，则</w:t>
      </w:r>
      <w:r>
        <w:rPr>
          <w:rFonts w:hint="eastAsia" w:ascii="仿宋_GB2312" w:eastAsia="仿宋_GB2312"/>
          <w:bCs/>
        </w:rPr>
        <w:t>乙方应继续赔偿由此给甲方造成该等损失。</w:t>
      </w:r>
    </w:p>
    <w:p>
      <w:pPr>
        <w:spacing w:line="360" w:lineRule="auto"/>
        <w:ind w:left="392" w:leftChars="50" w:hanging="287" w:hangingChars="137"/>
        <w:rPr>
          <w:rFonts w:ascii="仿宋_GB2312" w:eastAsia="仿宋_GB2312"/>
        </w:rPr>
      </w:pPr>
      <w:r>
        <w:rPr>
          <w:rFonts w:hint="eastAsia" w:ascii="仿宋_GB2312" w:eastAsia="仿宋_GB2312"/>
        </w:rPr>
        <w:t>5.6本合同到期终止或提前终止时，乙方须依据合同约定完成合同终止的相关手续及各项义务。在乙方无任何根本违约情形并完成本合同下所有义务后的二十个工作日内，甲方应无息返还乙方履约保证金。</w:t>
      </w:r>
    </w:p>
    <w:p>
      <w:pPr>
        <w:spacing w:line="360" w:lineRule="auto"/>
        <w:ind w:left="392" w:leftChars="50" w:hanging="287" w:hangingChars="137"/>
        <w:rPr>
          <w:rFonts w:ascii="仿宋_GB2312" w:eastAsia="仿宋_GB2312"/>
        </w:rPr>
      </w:pPr>
      <w:r>
        <w:rPr>
          <w:rFonts w:hint="eastAsia" w:ascii="仿宋_GB2312" w:eastAsia="仿宋_GB2312"/>
        </w:rPr>
        <w:t>5.7本合同到期终止或提前终止时，如因乙方原因对甲方的设备、设施、场地造成损坏的，乙方应当在甲方要求的期限内负责修理或恢复原状，并承担因此产生的费用并赔偿给甲方造成的损失，甲方有权在乙方缴纳的履约保证金中扣除相应的款项，如履约保证金在扣除相应款项后仍有余额的，甲方应依据约定期限将余额返还乙方；如履约保证金不足支付上述费用的，则乙方须补足不足部分。乙方在甲方要求的期限内不予修理或恢复原状的，视为乙方根本违约，甲方可委托第三方或自行修理或恢复原状，因此产生的费用由乙方另行承担，且履约保证金将不予返还，同时保留追究乙方相关责任的权利。</w:t>
      </w:r>
    </w:p>
    <w:p>
      <w:pPr>
        <w:spacing w:line="360" w:lineRule="auto"/>
        <w:ind w:left="392" w:leftChars="50" w:hanging="287" w:hangingChars="137"/>
        <w:rPr>
          <w:rFonts w:ascii="仿宋_GB2312" w:eastAsia="仿宋_GB2312"/>
        </w:rPr>
      </w:pPr>
      <w:r>
        <w:rPr>
          <w:rFonts w:hint="eastAsia" w:ascii="仿宋_GB2312" w:eastAsia="仿宋_GB2312"/>
        </w:rPr>
        <w:t>5.8固定期到期后，如甲、乙双方协商继续履行合同的，则已支付的履约保证金自然结转为下一个合同期的履约保证金；双方续签之合同若增加履约保证金金额，乙方应当在甲方要求之期限内补足履约保证金差额；续签之合同若减少履约保证金金额的，甲方应当及时将履约保证金差额返还给乙方。履约保证金金额按照新签订补充协议首年度</w:t>
      </w:r>
      <w:r>
        <w:rPr>
          <w:rFonts w:ascii="仿宋_GB2312" w:eastAsia="仿宋_GB2312"/>
        </w:rPr>
        <w:t>金额</w:t>
      </w:r>
      <w:r>
        <w:rPr>
          <w:rFonts w:hint="eastAsia" w:ascii="仿宋_GB2312" w:eastAsia="仿宋_GB2312"/>
        </w:rPr>
        <w:t>的</w:t>
      </w:r>
      <w:r>
        <w:rPr>
          <w:rFonts w:ascii="仿宋_GB2312" w:eastAsia="仿宋_GB2312"/>
        </w:rPr>
        <w:t>10</w:t>
      </w:r>
      <w:r>
        <w:rPr>
          <w:rFonts w:hint="eastAsia" w:ascii="仿宋_GB2312" w:eastAsia="仿宋_GB2312"/>
        </w:rPr>
        <w:t>%。</w:t>
      </w:r>
    </w:p>
    <w:p>
      <w:pPr>
        <w:spacing w:line="360" w:lineRule="auto"/>
        <w:ind w:left="392" w:leftChars="50" w:hanging="287" w:hangingChars="137"/>
        <w:rPr>
          <w:rFonts w:ascii="仿宋_GB2312" w:eastAsia="仿宋_GB2312"/>
        </w:rPr>
      </w:pPr>
      <w:r>
        <w:rPr>
          <w:rFonts w:hint="eastAsia" w:ascii="仿宋_GB2312" w:eastAsia="仿宋_GB2312"/>
        </w:rPr>
        <w:t>5.9固定期到期后项目重新评估，如遇双方协商一致调整本合同的金额时，履约保证金标准也须作相应调整；调整后若履约保证金金额增加，乙方应当自调整后十个工作日内补足履约保证金差额；调整后若履约保证金金额减少，甲方应当自调整后十个工作日内返还履约保证金差额。</w:t>
      </w:r>
    </w:p>
    <w:p>
      <w:pPr>
        <w:spacing w:line="360" w:lineRule="auto"/>
        <w:ind w:left="2"/>
        <w:rPr>
          <w:rFonts w:ascii="仿宋_GB2312" w:eastAsia="仿宋_GB2312"/>
        </w:rPr>
      </w:pPr>
      <w:r>
        <w:rPr>
          <w:rFonts w:hint="eastAsia" w:ascii="仿宋_GB2312" w:eastAsia="仿宋_GB2312"/>
        </w:rPr>
        <w:t>5.10甲方有权在合同生效后，调整履约保证金的金额。调整后若履约保证金金额增加，乙方应当自调整后十个工作日内补足履约保证金差额；调整后若履约保证金金额减少，甲方应当自调整后十个工作日内返还履约保证金差额；如逾期未补足，则视为乙方根本违约，甲方有权单方面提前终止协议，并没收剩余履约保证金。若履约保证金不足以弥补甲方的损失，则甲方有权继续向乙方追偿。</w:t>
      </w:r>
    </w:p>
    <w:p>
      <w:pPr>
        <w:spacing w:line="360" w:lineRule="auto"/>
        <w:ind w:left="392" w:leftChars="50" w:hanging="287" w:hangingChars="137"/>
        <w:rPr>
          <w:rFonts w:ascii="仿宋_GB2312" w:eastAsia="仿宋_GB2312"/>
        </w:rPr>
      </w:pPr>
      <w:r>
        <w:rPr>
          <w:rFonts w:hint="eastAsia" w:ascii="仿宋_GB2312" w:eastAsia="仿宋_GB2312"/>
        </w:rPr>
        <w:t>甲方调整履约保证金是考虑以下条款各项之一或全部：</w:t>
      </w:r>
    </w:p>
    <w:p>
      <w:pPr>
        <w:spacing w:line="360" w:lineRule="auto"/>
        <w:ind w:left="392" w:leftChars="100" w:hanging="182" w:hangingChars="87"/>
        <w:rPr>
          <w:rFonts w:ascii="仿宋_GB2312" w:eastAsia="仿宋_GB2312"/>
        </w:rPr>
      </w:pPr>
      <w:r>
        <w:rPr>
          <w:rFonts w:hint="eastAsia" w:ascii="仿宋_GB2312" w:eastAsia="仿宋_GB2312"/>
        </w:rPr>
        <w:t>5.10.1乙方承包的工作内容及费用的增减，且经双方确认同意调整；</w:t>
      </w:r>
    </w:p>
    <w:p>
      <w:pPr>
        <w:spacing w:line="360" w:lineRule="auto"/>
        <w:ind w:left="392" w:leftChars="50" w:hanging="287" w:hangingChars="137"/>
        <w:rPr>
          <w:rFonts w:ascii="仿宋_GB2312" w:eastAsia="仿宋_GB2312"/>
        </w:rPr>
      </w:pPr>
      <w:r>
        <w:rPr>
          <w:rFonts w:hint="eastAsia" w:ascii="仿宋_GB2312" w:eastAsia="仿宋_GB2312"/>
        </w:rPr>
        <w:t>5.11履约保证金不计利息。</w:t>
      </w:r>
    </w:p>
    <w:p>
      <w:pPr>
        <w:spacing w:line="360" w:lineRule="auto"/>
        <w:rPr>
          <w:rFonts w:ascii="仿宋_GB2312" w:eastAsia="仿宋_GB2312"/>
        </w:rPr>
      </w:pPr>
    </w:p>
    <w:p>
      <w:pPr>
        <w:spacing w:line="360" w:lineRule="auto"/>
        <w:rPr>
          <w:rFonts w:ascii="仿宋_GB2312" w:eastAsia="仿宋_GB2312"/>
          <w:b/>
        </w:rPr>
      </w:pPr>
      <w:r>
        <w:rPr>
          <w:rFonts w:hint="eastAsia" w:ascii="仿宋_GB2312" w:eastAsia="仿宋_GB2312"/>
          <w:b/>
        </w:rPr>
        <w:t>6 广告</w:t>
      </w:r>
    </w:p>
    <w:p>
      <w:pPr>
        <w:spacing w:line="360" w:lineRule="auto"/>
        <w:ind w:left="392" w:leftChars="50" w:hanging="287" w:hangingChars="137"/>
        <w:rPr>
          <w:rFonts w:ascii="仿宋_GB2312" w:eastAsia="仿宋_GB2312"/>
        </w:rPr>
      </w:pPr>
      <w:r>
        <w:rPr>
          <w:rFonts w:hint="eastAsia" w:ascii="仿宋_GB2312" w:eastAsia="仿宋_GB2312"/>
        </w:rPr>
        <w:t>6.1 名称与标识</w:t>
      </w:r>
    </w:p>
    <w:p>
      <w:pPr>
        <w:spacing w:line="360" w:lineRule="auto"/>
        <w:ind w:left="392" w:leftChars="100" w:hanging="182" w:hangingChars="87"/>
        <w:rPr>
          <w:rFonts w:ascii="仿宋_GB2312" w:eastAsia="仿宋_GB2312"/>
        </w:rPr>
      </w:pPr>
      <w:r>
        <w:rPr>
          <w:rFonts w:hint="eastAsia" w:ascii="仿宋_GB2312" w:eastAsia="仿宋_GB2312"/>
        </w:rPr>
        <w:t>6.1.1在合同有效期间，乙方需在其工作人员制服、设备设施（不包含甲方提供的行李手推车等设备）或其他物品上显示其企业的名称和标识的，可由乙方提供设计方案，向甲方申报，经甲方审核书面同意后，乙方可自行联系制作。乙方对该方案的更新与修改，也必须经过甲方的书面同意。</w:t>
      </w:r>
    </w:p>
    <w:p>
      <w:pPr>
        <w:spacing w:line="360" w:lineRule="auto"/>
        <w:ind w:left="392" w:leftChars="100" w:hanging="182" w:hangingChars="87"/>
        <w:rPr>
          <w:rFonts w:ascii="仿宋_GB2312" w:eastAsia="仿宋_GB2312"/>
        </w:rPr>
      </w:pPr>
      <w:r>
        <w:rPr>
          <w:rFonts w:hint="eastAsia" w:ascii="仿宋_GB2312" w:eastAsia="仿宋_GB2312"/>
        </w:rPr>
        <w:t>6.1.2除条款6.1.1批准的乙方在其设备设施、工作人员制服或其他物品上显示其企业名称或标识外，乙方不得在本合同项下服务和管理区域内擅自公开展示其企业名称或标识，自设广告、招牌、海报或画张等，如违反此规定的，甲方有权要求乙方在限定期限内纠正，乙方在限定期限内不予纠正的，甲方有权对乙方擅自公开展示其名称或标识、设立的广告、招牌、海报或画张等予以处理，追究乙方违约责任直至终止本合同，因此给甲方造成损失的，乙方应当承担相应的赔偿责任。</w:t>
      </w:r>
    </w:p>
    <w:p>
      <w:pPr>
        <w:spacing w:line="360" w:lineRule="auto"/>
        <w:ind w:left="392" w:leftChars="50" w:hanging="287" w:hangingChars="137"/>
        <w:rPr>
          <w:rFonts w:ascii="仿宋_GB2312" w:eastAsia="仿宋_GB2312"/>
        </w:rPr>
      </w:pPr>
      <w:r>
        <w:rPr>
          <w:rFonts w:hint="eastAsia" w:ascii="仿宋_GB2312" w:eastAsia="仿宋_GB2312"/>
        </w:rPr>
        <w:t>6.2本合同项下服务和管理区域内的航站楼公共场所，不得作为与本合同约定之服务业务无关的广告、宣传等活动的场所。乙方在本合同项下服务和管理区域内摆放或发放乙方或第三方任意形式（包括带有明显广告性质）的印刷品或其他物品，甲方有权要求乙方立刻将该印刷品或其他物品撤出，并按有关规定处理，追究乙方违约责任直至终止合同，因此给甲方造成损失的，乙方应当承担相应的赔偿责任。</w:t>
      </w:r>
    </w:p>
    <w:p>
      <w:pPr>
        <w:spacing w:line="360" w:lineRule="auto"/>
        <w:rPr>
          <w:rFonts w:ascii="仿宋_GB2312" w:eastAsia="仿宋_GB2312"/>
        </w:rPr>
      </w:pPr>
    </w:p>
    <w:p>
      <w:pPr>
        <w:spacing w:line="360" w:lineRule="auto"/>
        <w:ind w:left="449" w:hanging="449"/>
        <w:rPr>
          <w:rFonts w:ascii="仿宋_GB2312" w:eastAsia="仿宋_GB2312"/>
          <w:b/>
        </w:rPr>
      </w:pPr>
      <w:r>
        <w:rPr>
          <w:rFonts w:hint="eastAsia" w:ascii="仿宋_GB2312" w:eastAsia="仿宋_GB2312"/>
          <w:b/>
        </w:rPr>
        <w:t>7 甲方义务</w:t>
      </w:r>
    </w:p>
    <w:p>
      <w:pPr>
        <w:spacing w:line="360" w:lineRule="auto"/>
        <w:ind w:left="392" w:leftChars="50" w:hanging="287" w:hangingChars="137"/>
        <w:rPr>
          <w:rFonts w:ascii="仿宋_GB2312" w:eastAsia="仿宋_GB2312"/>
        </w:rPr>
      </w:pPr>
      <w:r>
        <w:rPr>
          <w:rFonts w:hint="eastAsia" w:ascii="仿宋_GB2312" w:eastAsia="仿宋_GB2312"/>
        </w:rPr>
        <w:t>7.1 甲方的义务</w:t>
      </w:r>
    </w:p>
    <w:p>
      <w:pPr>
        <w:spacing w:line="360" w:lineRule="auto"/>
        <w:ind w:left="392" w:leftChars="100" w:hanging="182" w:hangingChars="87"/>
        <w:rPr>
          <w:rFonts w:ascii="仿宋_GB2312" w:eastAsia="仿宋_GB2312"/>
        </w:rPr>
      </w:pPr>
      <w:r>
        <w:rPr>
          <w:rFonts w:hint="eastAsia" w:ascii="仿宋_GB2312" w:eastAsia="仿宋_GB2312"/>
        </w:rPr>
        <w:t>7.1.1在乙方严格遵守合同条款的情况下，甲方保证乙方正常服务与管理活动不受干扰。</w:t>
      </w:r>
    </w:p>
    <w:p>
      <w:pPr>
        <w:spacing w:line="360" w:lineRule="auto"/>
        <w:ind w:left="392" w:leftChars="100" w:hanging="182" w:hangingChars="87"/>
        <w:rPr>
          <w:rFonts w:ascii="仿宋_GB2312" w:eastAsia="仿宋_GB2312"/>
        </w:rPr>
      </w:pPr>
      <w:r>
        <w:rPr>
          <w:rFonts w:hint="eastAsia" w:ascii="仿宋_GB2312" w:eastAsia="仿宋_GB2312"/>
        </w:rPr>
        <w:t>7.1.2协助乙方在本合同有效期内按有关规定办理因乙方提供的服务与管理所必须的机场各类人员、交通工具、移动通讯设备等的通行证件和许可证。</w:t>
      </w:r>
    </w:p>
    <w:p>
      <w:pPr>
        <w:spacing w:line="360" w:lineRule="auto"/>
        <w:ind w:left="392" w:leftChars="100" w:hanging="182" w:hangingChars="87"/>
        <w:rPr>
          <w:rFonts w:ascii="仿宋_GB2312" w:eastAsia="仿宋_GB2312"/>
        </w:rPr>
      </w:pPr>
      <w:r>
        <w:rPr>
          <w:rFonts w:hint="eastAsia" w:ascii="仿宋_GB2312" w:eastAsia="仿宋_GB2312"/>
        </w:rPr>
        <w:t>7.1.3协助乙方的员工和物品按有关规定进出本合同项下手推车服务区域。</w:t>
      </w:r>
    </w:p>
    <w:p>
      <w:pPr>
        <w:spacing w:line="360" w:lineRule="auto"/>
        <w:ind w:left="392" w:leftChars="100" w:hanging="182" w:hangingChars="87"/>
        <w:rPr>
          <w:rFonts w:ascii="仿宋_GB2312" w:eastAsia="仿宋_GB2312"/>
        </w:rPr>
      </w:pPr>
      <w:r>
        <w:rPr>
          <w:rFonts w:hint="eastAsia" w:ascii="仿宋_GB2312" w:eastAsia="仿宋_GB2312"/>
        </w:rPr>
        <w:t>7.1.4提供乙方必备的仓储（包括封闭式和敞开式）、办公、更衣、休息区域，具体数量及面积和位置由乙方向甲方提出书面申请，经甲方审核同意后，双方另行签署租赁合同，租金按甲方标准收取。乙方如需使用除此以外的办公、仓储场所须向甲方另行租赁，双方另行签订租赁合同，租金标准在租赁合同中约定。甲方提供的以上区域包括租赁区域均可以由甲方随时调整和重新划定，但必须提前七天书面通知乙方。</w:t>
      </w:r>
    </w:p>
    <w:p>
      <w:pPr>
        <w:spacing w:line="360" w:lineRule="auto"/>
        <w:ind w:left="392" w:leftChars="100" w:hanging="182" w:hangingChars="87"/>
        <w:rPr>
          <w:rFonts w:ascii="仿宋_GB2312" w:eastAsia="仿宋_GB2312"/>
        </w:rPr>
      </w:pPr>
      <w:r>
        <w:rPr>
          <w:rFonts w:hint="eastAsia" w:ascii="仿宋_GB2312" w:eastAsia="仿宋_GB2312"/>
        </w:rPr>
        <w:t>7.1.5甲方认为必须要乙方遵守的机场相关的消防、空防、安全、服务、企业文化等方面的信息，甲方有义务提供乙方相应的培训；乙方应在甲方培训的基础上，根据甲方的要求及履行自身职责的需要，对员工开展定期与不定期的相关培训及上岗培训。</w:t>
      </w:r>
    </w:p>
    <w:p>
      <w:pPr>
        <w:spacing w:line="360" w:lineRule="auto"/>
        <w:ind w:left="392" w:leftChars="100" w:hanging="182" w:hangingChars="87"/>
        <w:rPr>
          <w:rFonts w:ascii="仿宋_GB2312" w:eastAsia="仿宋_GB2312"/>
        </w:rPr>
      </w:pPr>
      <w:r>
        <w:rPr>
          <w:rFonts w:hint="eastAsia" w:ascii="仿宋_GB2312" w:eastAsia="仿宋_GB2312"/>
        </w:rPr>
        <w:t>7.1.6甲方每周组织一次工作例会，总结上周工作，对合同履行情况进行讲评，对下周工作进行提示，对存在问题进行分析研究。该会议乙方现场的项目经理及甲方认为需要参加的乙方其他人员必须参加。</w:t>
      </w:r>
    </w:p>
    <w:p>
      <w:pPr>
        <w:spacing w:line="360" w:lineRule="auto"/>
        <w:ind w:left="392" w:leftChars="100" w:hanging="182" w:hangingChars="87"/>
        <w:rPr>
          <w:rFonts w:ascii="仿宋_GB2312" w:eastAsia="仿宋_GB2312"/>
        </w:rPr>
      </w:pPr>
      <w:r>
        <w:rPr>
          <w:rFonts w:hint="eastAsia" w:ascii="仿宋_GB2312" w:eastAsia="仿宋_GB2312"/>
        </w:rPr>
        <w:t>7.1.7甲方每月组织一次工作例会，总结上月工作，对合同履行情况进行讲评，对下月工作进行提示，对存在问题进行分析研究。该会议乙方现场的项目经理及甲方认为需要参加的乙方其他人员必须参加。</w:t>
      </w:r>
    </w:p>
    <w:p>
      <w:pPr>
        <w:spacing w:line="360" w:lineRule="auto"/>
        <w:ind w:left="315" w:leftChars="100" w:hanging="105" w:hangingChars="50"/>
        <w:rPr>
          <w:rFonts w:ascii="仿宋_GB2312" w:eastAsia="仿宋_GB2312"/>
        </w:rPr>
      </w:pPr>
      <w:r>
        <w:rPr>
          <w:rFonts w:hint="eastAsia" w:ascii="仿宋_GB2312" w:eastAsia="仿宋_GB2312"/>
        </w:rPr>
        <w:t>7.1.8甲方每半年组织一次工作例会，全面小结半年工作，听取乙方下一阶段工作计划和打算，及有待甲方帮助协调解决的问题。该会议乙方主要代表（项目经理）和现场的项目经理及甲方认为需要参加的乙方其他人员必须参加。</w:t>
      </w:r>
    </w:p>
    <w:p>
      <w:pPr>
        <w:spacing w:line="360" w:lineRule="auto"/>
        <w:ind w:left="392" w:leftChars="100" w:hanging="182" w:hangingChars="87"/>
        <w:rPr>
          <w:rFonts w:ascii="仿宋_GB2312" w:eastAsia="仿宋_GB2312"/>
        </w:rPr>
      </w:pPr>
      <w:r>
        <w:rPr>
          <w:rFonts w:hint="eastAsia" w:ascii="仿宋_GB2312" w:eastAsia="仿宋_GB2312"/>
        </w:rPr>
        <w:t>7.1.9甲方每年不少于一次对乙方的合同履约情况进行工作调研与沟通，以便为第二年的工作做好准备。该会议乙方主要代表（项目经理）和现场的项目经理及甲方认为需要参加的乙方其他人员必须参加。</w:t>
      </w:r>
    </w:p>
    <w:p>
      <w:pPr>
        <w:spacing w:line="360" w:lineRule="auto"/>
        <w:ind w:left="392" w:leftChars="100" w:hanging="182" w:hangingChars="87"/>
        <w:rPr>
          <w:rFonts w:ascii="仿宋_GB2312" w:eastAsia="仿宋_GB2312"/>
        </w:rPr>
      </w:pPr>
      <w:r>
        <w:rPr>
          <w:rFonts w:hint="eastAsia" w:ascii="仿宋_GB2312" w:eastAsia="仿宋_GB2312"/>
        </w:rPr>
        <w:t>7.1.10甲方定期提供乙方航班周计划，重要事务、节日保障计划，以便乙方安排好相关服务保障工作。</w:t>
      </w:r>
    </w:p>
    <w:p>
      <w:pPr>
        <w:spacing w:line="360" w:lineRule="auto"/>
        <w:rPr>
          <w:rFonts w:ascii="仿宋_GB2312" w:eastAsia="仿宋_GB2312"/>
        </w:rPr>
      </w:pPr>
      <w:r>
        <w:rPr>
          <w:rFonts w:hint="eastAsia" w:ascii="仿宋_GB2312" w:eastAsia="仿宋_GB2312"/>
        </w:rPr>
        <w:t>7.2甲方不承担以下责任：</w:t>
      </w:r>
    </w:p>
    <w:p>
      <w:pPr>
        <w:spacing w:line="360" w:lineRule="auto"/>
        <w:ind w:left="392" w:leftChars="100" w:hanging="182" w:hangingChars="87"/>
        <w:rPr>
          <w:rFonts w:ascii="仿宋_GB2312" w:eastAsia="仿宋_GB2312"/>
        </w:rPr>
      </w:pPr>
      <w:r>
        <w:rPr>
          <w:rFonts w:hint="eastAsia" w:ascii="仿宋_GB2312" w:eastAsia="仿宋_GB2312"/>
        </w:rPr>
        <w:t>7.2.1由于本合同所列不可抗力造成的服务与管理的区域、乙方工作场所、仓储区域等情形或条件的改变。</w:t>
      </w:r>
    </w:p>
    <w:p>
      <w:pPr>
        <w:spacing w:line="360" w:lineRule="auto"/>
        <w:ind w:left="420" w:leftChars="100" w:hanging="210" w:hangingChars="100"/>
        <w:rPr>
          <w:rFonts w:ascii="仿宋_GB2312" w:eastAsia="仿宋_GB2312"/>
        </w:rPr>
      </w:pPr>
      <w:r>
        <w:rPr>
          <w:rFonts w:hint="eastAsia" w:ascii="仿宋_GB2312" w:eastAsia="仿宋_GB2312"/>
        </w:rPr>
        <w:t>7.2.2由本合同所列不可抗力造成的或由第三方或乙方自身原因引起的乙方工作人员的人身伤害、财产损失或设备设施损坏。</w:t>
      </w:r>
    </w:p>
    <w:p>
      <w:pPr>
        <w:spacing w:line="360" w:lineRule="auto"/>
        <w:ind w:left="420" w:leftChars="100" w:hanging="210" w:hangingChars="100"/>
        <w:rPr>
          <w:rFonts w:ascii="仿宋_GB2312" w:eastAsia="仿宋_GB2312"/>
        </w:rPr>
      </w:pPr>
      <w:r>
        <w:rPr>
          <w:rFonts w:hint="eastAsia" w:ascii="仿宋_GB2312" w:eastAsia="仿宋_GB2312"/>
        </w:rPr>
        <w:t>7.2.3由于乙方责任原因造成第三方人身伤害、财产损失或设备设施损坏。</w:t>
      </w:r>
    </w:p>
    <w:p>
      <w:pPr>
        <w:spacing w:line="360" w:lineRule="auto"/>
        <w:ind w:left="392" w:leftChars="50" w:hanging="287" w:hangingChars="137"/>
        <w:rPr>
          <w:rFonts w:ascii="仿宋_GB2312" w:eastAsia="仿宋_GB2312"/>
        </w:rPr>
      </w:pPr>
      <w:r>
        <w:rPr>
          <w:rFonts w:hint="eastAsia" w:ascii="仿宋_GB2312" w:eastAsia="仿宋_GB2312"/>
        </w:rPr>
        <w:t>7.3甲方主要代表</w:t>
      </w:r>
    </w:p>
    <w:p>
      <w:pPr>
        <w:spacing w:line="360" w:lineRule="auto"/>
        <w:ind w:left="392" w:leftChars="100" w:hanging="182" w:hangingChars="87"/>
        <w:rPr>
          <w:rFonts w:ascii="仿宋_GB2312" w:eastAsia="仿宋_GB2312"/>
        </w:rPr>
      </w:pPr>
      <w:r>
        <w:rPr>
          <w:rFonts w:hint="eastAsia" w:ascii="仿宋_GB2312" w:eastAsia="仿宋_GB2312"/>
        </w:rPr>
        <w:t>7.3.1甲方任命杭州萧山国际机场有限公司航站楼管理部作为其代表，主要负责本合同涉及的所有事项，履行本合同甲方的权利与义务，监督乙方本合同的履约情况，包括但不仅限于对乙方服务与管理执行标准的考核与监督。</w:t>
      </w:r>
    </w:p>
    <w:p>
      <w:pPr>
        <w:spacing w:line="360" w:lineRule="auto"/>
        <w:ind w:left="392" w:leftChars="100" w:hanging="182" w:hangingChars="87"/>
        <w:rPr>
          <w:rFonts w:ascii="仿宋_GB2312" w:eastAsia="仿宋_GB2312"/>
        </w:rPr>
      </w:pPr>
      <w:r>
        <w:rPr>
          <w:rFonts w:hint="eastAsia" w:ascii="仿宋_GB2312" w:eastAsia="仿宋_GB2312"/>
        </w:rPr>
        <w:t>7.3.2甲方需向乙方通报甲方主要代表授权及任命的人员（一人或多人），甲方需书面写明该委托及任命并详细表述该等人员所代表的权限。该等人员在其委托期间按照书面授权书所载权限而行使的指令和决定均被认为是由甲方作出的。</w:t>
      </w:r>
    </w:p>
    <w:p>
      <w:pPr>
        <w:spacing w:line="360" w:lineRule="auto"/>
        <w:ind w:left="392" w:leftChars="100" w:hanging="182" w:hangingChars="87"/>
        <w:rPr>
          <w:rFonts w:ascii="仿宋_GB2312" w:eastAsia="仿宋_GB2312"/>
        </w:rPr>
      </w:pPr>
      <w:r>
        <w:rPr>
          <w:rFonts w:hint="eastAsia" w:ascii="仿宋_GB2312" w:eastAsia="仿宋_GB2312"/>
        </w:rPr>
        <w:t>7.3.3根据条款7.3.2甲方可随时书面通知乙方，终止其对主要代表的授权及任命人员的聘用，并书面告知其新的任命。</w:t>
      </w:r>
    </w:p>
    <w:p>
      <w:pPr>
        <w:spacing w:line="360" w:lineRule="auto"/>
        <w:rPr>
          <w:rFonts w:ascii="仿宋_GB2312" w:eastAsia="仿宋_GB2312"/>
        </w:rPr>
      </w:pPr>
    </w:p>
    <w:p>
      <w:pPr>
        <w:spacing w:line="360" w:lineRule="auto"/>
        <w:ind w:left="449" w:hanging="449"/>
        <w:rPr>
          <w:rFonts w:ascii="仿宋_GB2312" w:eastAsia="仿宋_GB2312"/>
          <w:b/>
        </w:rPr>
      </w:pPr>
      <w:r>
        <w:rPr>
          <w:rFonts w:hint="eastAsia" w:ascii="仿宋_GB2312" w:eastAsia="仿宋_GB2312"/>
          <w:b/>
        </w:rPr>
        <w:t>8 乙方义务</w:t>
      </w:r>
    </w:p>
    <w:p>
      <w:pPr>
        <w:spacing w:line="360" w:lineRule="auto"/>
        <w:ind w:left="392" w:leftChars="50" w:hanging="287" w:hangingChars="137"/>
        <w:rPr>
          <w:rFonts w:ascii="仿宋_GB2312" w:eastAsia="仿宋_GB2312"/>
        </w:rPr>
      </w:pPr>
      <w:r>
        <w:rPr>
          <w:rFonts w:hint="eastAsia" w:ascii="仿宋_GB2312" w:eastAsia="仿宋_GB2312"/>
        </w:rPr>
        <w:t>8.1乙方义务</w:t>
      </w:r>
    </w:p>
    <w:p>
      <w:pPr>
        <w:spacing w:line="360" w:lineRule="auto"/>
        <w:ind w:left="392" w:leftChars="100" w:hanging="182" w:hangingChars="87"/>
        <w:rPr>
          <w:rFonts w:ascii="仿宋_GB2312" w:eastAsia="仿宋_GB2312"/>
          <w:b/>
        </w:rPr>
      </w:pPr>
      <w:r>
        <w:rPr>
          <w:rFonts w:hint="eastAsia" w:ascii="仿宋_GB2312" w:eastAsia="仿宋_GB2312"/>
        </w:rPr>
        <w:t>8.1.1承包</w:t>
      </w:r>
    </w:p>
    <w:p>
      <w:pPr>
        <w:spacing w:line="360" w:lineRule="auto"/>
        <w:ind w:left="392" w:leftChars="150" w:hanging="77" w:hangingChars="37"/>
        <w:rPr>
          <w:rFonts w:ascii="仿宋_GB2312" w:eastAsia="仿宋_GB2312"/>
        </w:rPr>
      </w:pPr>
      <w:r>
        <w:rPr>
          <w:rFonts w:hint="eastAsia" w:ascii="仿宋_GB2312" w:eastAsia="仿宋_GB2312"/>
        </w:rPr>
        <w:t>8.1.1.1乙方不得以任何形式转租、转让、抵押本承包项目；所有涉及本承包项目的服务，乙方均不得以任何形式与第三方合作。且只能从事甲方认可的航站楼旅客行李手推车项目服务及相关的管理工作。</w:t>
      </w:r>
    </w:p>
    <w:p>
      <w:pPr>
        <w:spacing w:line="360" w:lineRule="auto"/>
        <w:ind w:left="392" w:leftChars="100" w:hanging="182" w:hangingChars="87"/>
        <w:rPr>
          <w:rFonts w:ascii="仿宋_GB2312" w:eastAsia="仿宋_GB2312"/>
        </w:rPr>
      </w:pPr>
      <w:r>
        <w:rPr>
          <w:rFonts w:hint="eastAsia" w:ascii="仿宋_GB2312" w:eastAsia="仿宋_GB2312"/>
        </w:rPr>
        <w:t>8.1.2质量监控</w:t>
      </w:r>
    </w:p>
    <w:p>
      <w:pPr>
        <w:spacing w:line="360" w:lineRule="auto"/>
        <w:ind w:left="392" w:leftChars="150" w:hanging="77" w:hangingChars="37"/>
        <w:rPr>
          <w:rFonts w:ascii="仿宋_GB2312" w:eastAsia="仿宋_GB2312"/>
        </w:rPr>
      </w:pPr>
      <w:r>
        <w:rPr>
          <w:rFonts w:hint="eastAsia" w:ascii="仿宋_GB2312" w:eastAsia="仿宋_GB2312"/>
        </w:rPr>
        <w:t>8.1.2.1乙方允许甲方及其主要代表或授权人员对乙方的服务与管理进行质量监控和检查（包括对乙方使用的封闭或敞开式的仓储及办公区域）。</w:t>
      </w:r>
    </w:p>
    <w:p>
      <w:pPr>
        <w:spacing w:line="360" w:lineRule="auto"/>
        <w:ind w:left="392" w:leftChars="150" w:hanging="77" w:hangingChars="37"/>
        <w:rPr>
          <w:rFonts w:ascii="仿宋_GB2312" w:eastAsia="仿宋_GB2312"/>
        </w:rPr>
      </w:pPr>
      <w:r>
        <w:rPr>
          <w:rFonts w:hint="eastAsia" w:ascii="仿宋_GB2312" w:eastAsia="仿宋_GB2312"/>
        </w:rPr>
        <w:t>8.1.2.2为达到合同约定的服务与管理的质量要求，乙方须在甲方的要求（包括时间与频率等要求）下提交有一定格式、包含一定信息（包括且不限于资料、数据、统计表、记录、照片、图纸和文件等）的有关服务情况的报告，由此引起的成本支出由乙方自行承担。</w:t>
      </w:r>
    </w:p>
    <w:p>
      <w:pPr>
        <w:spacing w:line="360" w:lineRule="auto"/>
        <w:ind w:left="392" w:leftChars="100" w:hanging="182" w:hangingChars="87"/>
        <w:rPr>
          <w:rFonts w:ascii="仿宋_GB2312" w:eastAsia="仿宋_GB2312"/>
        </w:rPr>
      </w:pPr>
      <w:r>
        <w:rPr>
          <w:rFonts w:hint="eastAsia" w:ascii="仿宋_GB2312" w:eastAsia="仿宋_GB2312"/>
        </w:rPr>
        <w:t>8.1.3事故、事件及旅客意见汇报要求：</w:t>
      </w:r>
    </w:p>
    <w:p>
      <w:pPr>
        <w:spacing w:line="360" w:lineRule="auto"/>
        <w:ind w:left="393" w:leftChars="187"/>
        <w:rPr>
          <w:rFonts w:ascii="仿宋_GB2312" w:eastAsia="仿宋_GB2312"/>
        </w:rPr>
      </w:pPr>
      <w:r>
        <w:rPr>
          <w:rFonts w:hint="eastAsia" w:ascii="仿宋_GB2312" w:eastAsia="仿宋_GB2312"/>
        </w:rPr>
        <w:t>当因乙方服务原因引起任何事故、事件或收到旅客意见时，乙方必须做到以下事项：</w:t>
      </w:r>
    </w:p>
    <w:p>
      <w:pPr>
        <w:spacing w:line="360" w:lineRule="auto"/>
        <w:ind w:left="392" w:leftChars="150" w:hanging="77" w:hangingChars="37"/>
        <w:rPr>
          <w:rFonts w:ascii="仿宋_GB2312" w:eastAsia="仿宋_GB2312"/>
        </w:rPr>
      </w:pPr>
      <w:r>
        <w:rPr>
          <w:rFonts w:hint="eastAsia" w:ascii="仿宋_GB2312" w:eastAsia="仿宋_GB2312"/>
        </w:rPr>
        <w:t>8.1.3.1必须在事故、事件或收到旅客意见的24小时内提交初步报告；</w:t>
      </w:r>
    </w:p>
    <w:p>
      <w:pPr>
        <w:spacing w:line="360" w:lineRule="auto"/>
        <w:ind w:left="372" w:hanging="371" w:hangingChars="177"/>
        <w:rPr>
          <w:rFonts w:ascii="仿宋_GB2312" w:eastAsia="仿宋_GB2312"/>
        </w:rPr>
      </w:pPr>
      <w:r>
        <w:rPr>
          <w:rFonts w:hint="eastAsia" w:ascii="仿宋_GB2312" w:eastAsia="仿宋_GB2312"/>
        </w:rPr>
        <w:t xml:space="preserve">   8.1.3.2在事故、事件或收到旅客意见的2天内向甲方提供详细报告。甲方有权将报告内容或反馈内容向第三方公布。如报告或反馈没有包含条款8.1.3.3要求的信息，或报告及反馈没有在指定时间内提交给甲方，甲方有权根据本合同的相关条款终止本合同；</w:t>
      </w:r>
    </w:p>
    <w:p>
      <w:pPr>
        <w:spacing w:line="360" w:lineRule="auto"/>
        <w:rPr>
          <w:rFonts w:ascii="仿宋_GB2312" w:eastAsia="仿宋_GB2312"/>
        </w:rPr>
      </w:pPr>
      <w:r>
        <w:rPr>
          <w:rFonts w:hint="eastAsia" w:ascii="仿宋_GB2312" w:eastAsia="仿宋_GB2312"/>
        </w:rPr>
        <w:t xml:space="preserve">    8.1.3.3详细报告内容包括：</w:t>
      </w:r>
    </w:p>
    <w:p>
      <w:pPr>
        <w:spacing w:line="360" w:lineRule="auto"/>
        <w:rPr>
          <w:rFonts w:ascii="仿宋_GB2312" w:eastAsia="仿宋_GB2312"/>
        </w:rPr>
      </w:pPr>
      <w:r>
        <w:rPr>
          <w:rFonts w:hint="eastAsia" w:ascii="仿宋_GB2312" w:eastAsia="仿宋_GB2312"/>
        </w:rPr>
        <w:t xml:space="preserve">   （1）符合甲方要求的有关事故、事件或旅客意见的详细报告；</w:t>
      </w:r>
    </w:p>
    <w:p>
      <w:pPr>
        <w:widowControl/>
        <w:spacing w:line="360" w:lineRule="auto"/>
        <w:jc w:val="left"/>
        <w:rPr>
          <w:rFonts w:ascii="仿宋_GB2312" w:eastAsia="仿宋_GB2312" w:cs="宋体"/>
          <w:kern w:val="0"/>
        </w:rPr>
      </w:pPr>
      <w:r>
        <w:rPr>
          <w:rFonts w:hint="eastAsia" w:ascii="仿宋_GB2312" w:eastAsia="仿宋_GB2312"/>
        </w:rPr>
        <w:t xml:space="preserve">   （2）向甲方反馈乙方据此采取或即将采取的补救措施；</w:t>
      </w:r>
      <w:r>
        <w:rPr>
          <w:rFonts w:hint="eastAsia" w:ascii="仿宋_GB2312" w:eastAsia="仿宋_GB2312" w:cs="宋体"/>
          <w:kern w:val="0"/>
        </w:rPr>
        <w:t xml:space="preserve"> </w:t>
      </w:r>
    </w:p>
    <w:p>
      <w:pPr>
        <w:widowControl/>
        <w:spacing w:line="360" w:lineRule="auto"/>
        <w:ind w:firstLine="315" w:firstLineChars="150"/>
        <w:jc w:val="left"/>
        <w:rPr>
          <w:rFonts w:ascii="仿宋_GB2312" w:eastAsia="仿宋_GB2312" w:cs="宋体"/>
          <w:kern w:val="0"/>
        </w:rPr>
      </w:pPr>
      <w:r>
        <w:rPr>
          <w:rFonts w:hint="eastAsia" w:ascii="仿宋_GB2312" w:eastAsia="仿宋_GB2312" w:cs="宋体"/>
          <w:kern w:val="0"/>
        </w:rPr>
        <w:t>（3）向甲方反馈</w:t>
      </w:r>
      <w:r>
        <w:rPr>
          <w:rFonts w:hint="eastAsia" w:ascii="仿宋_GB2312" w:eastAsia="仿宋_GB2312"/>
        </w:rPr>
        <w:t>有关事故、事件或旅客意见纠正或</w:t>
      </w:r>
      <w:r>
        <w:rPr>
          <w:rFonts w:hint="eastAsia" w:ascii="仿宋_GB2312" w:eastAsia="仿宋_GB2312" w:cs="宋体"/>
          <w:kern w:val="0"/>
        </w:rPr>
        <w:t>纠正措施。</w:t>
      </w:r>
    </w:p>
    <w:p>
      <w:pPr>
        <w:spacing w:line="360" w:lineRule="auto"/>
        <w:ind w:left="396" w:leftChars="102" w:hanging="182" w:hangingChars="87"/>
        <w:rPr>
          <w:rFonts w:ascii="仿宋_GB2312" w:eastAsia="仿宋_GB2312"/>
        </w:rPr>
      </w:pPr>
      <w:r>
        <w:rPr>
          <w:rFonts w:hint="eastAsia" w:ascii="仿宋_GB2312" w:eastAsia="仿宋_GB2312"/>
        </w:rPr>
        <w:t>8.1.4投诉处理</w:t>
      </w:r>
    </w:p>
    <w:p>
      <w:pPr>
        <w:spacing w:line="360" w:lineRule="auto"/>
        <w:ind w:left="392" w:leftChars="150" w:hanging="77" w:hangingChars="37"/>
        <w:rPr>
          <w:rFonts w:ascii="仿宋_GB2312" w:eastAsia="仿宋_GB2312"/>
        </w:rPr>
      </w:pPr>
      <w:r>
        <w:rPr>
          <w:rFonts w:hint="eastAsia" w:ascii="仿宋_GB2312" w:eastAsia="仿宋_GB2312"/>
        </w:rPr>
        <w:t>8.1.4.1如甲方收到因乙方服务原因引发的投诉，甲方可要求乙方提供报告和反馈。</w:t>
      </w:r>
    </w:p>
    <w:p>
      <w:pPr>
        <w:spacing w:line="360" w:lineRule="auto"/>
        <w:ind w:left="392" w:leftChars="150" w:hanging="77" w:hangingChars="37"/>
        <w:rPr>
          <w:rFonts w:ascii="仿宋_GB2312" w:eastAsia="仿宋_GB2312"/>
        </w:rPr>
      </w:pPr>
      <w:r>
        <w:rPr>
          <w:rFonts w:hint="eastAsia" w:ascii="仿宋_GB2312" w:eastAsia="仿宋_GB2312"/>
        </w:rPr>
        <w:t>8.1.4.2乙方需对投诉进行调查并提供以下内容</w:t>
      </w:r>
    </w:p>
    <w:p>
      <w:pPr>
        <w:spacing w:line="360" w:lineRule="auto"/>
        <w:ind w:left="392" w:leftChars="150" w:hanging="77" w:hangingChars="37"/>
        <w:rPr>
          <w:rFonts w:ascii="仿宋_GB2312" w:eastAsia="仿宋_GB2312"/>
        </w:rPr>
      </w:pPr>
      <w:r>
        <w:rPr>
          <w:rFonts w:hint="eastAsia" w:ascii="仿宋_GB2312" w:eastAsia="仿宋_GB2312"/>
        </w:rPr>
        <w:t>（1）提供符合甲方合理要求的，提供具有一定格式、包含一定信息的有关投诉事件的真实报告。</w:t>
      </w:r>
    </w:p>
    <w:p>
      <w:pPr>
        <w:spacing w:line="360" w:lineRule="auto"/>
        <w:ind w:left="392" w:leftChars="150" w:hanging="77" w:hangingChars="37"/>
        <w:rPr>
          <w:rFonts w:ascii="仿宋_GB2312" w:eastAsia="仿宋_GB2312"/>
        </w:rPr>
      </w:pPr>
      <w:r>
        <w:rPr>
          <w:rFonts w:hint="eastAsia" w:ascii="仿宋_GB2312" w:eastAsia="仿宋_GB2312"/>
        </w:rPr>
        <w:t>（2）向甲方反馈乙方据此采取或即将采取的补救措施。</w:t>
      </w:r>
    </w:p>
    <w:p>
      <w:pPr>
        <w:spacing w:line="360" w:lineRule="auto"/>
        <w:ind w:left="392" w:leftChars="150" w:hanging="77" w:hangingChars="37"/>
        <w:rPr>
          <w:rFonts w:ascii="仿宋_GB2312" w:eastAsia="仿宋_GB2312"/>
        </w:rPr>
      </w:pPr>
      <w:r>
        <w:rPr>
          <w:rFonts w:hint="eastAsia" w:ascii="仿宋_GB2312" w:eastAsia="仿宋_GB2312"/>
        </w:rPr>
        <w:t>8.1.4.3在收到投诉2天内向甲方提交上述内容。甲方有权将报告内容或反馈内容向第三方公布。如报告或反馈没有包含条款8.1.4.2中要求的信息，或报告及反馈没有在指定时间内提交给甲方，甲方有权根据本合同的相关合同终止条款终止本合同。</w:t>
      </w:r>
    </w:p>
    <w:p>
      <w:pPr>
        <w:spacing w:line="360" w:lineRule="auto"/>
        <w:ind w:left="392" w:leftChars="150" w:hanging="77" w:hangingChars="37"/>
        <w:rPr>
          <w:rFonts w:ascii="仿宋_GB2312" w:eastAsia="仿宋_GB2312"/>
        </w:rPr>
      </w:pPr>
      <w:r>
        <w:rPr>
          <w:rFonts w:hint="eastAsia" w:ascii="仿宋_GB2312" w:eastAsia="仿宋_GB2312"/>
        </w:rPr>
        <w:t>8.1.4.4乙方须每季度对旅客行李手推车服务情况作一次专项的旅客满意度测评，并依据测评结果提出持续改进方案，采取相应措施。相关报告需提交甲方。</w:t>
      </w:r>
    </w:p>
    <w:p>
      <w:pPr>
        <w:spacing w:line="360" w:lineRule="auto"/>
        <w:ind w:left="392" w:leftChars="100" w:hanging="182" w:hangingChars="87"/>
        <w:rPr>
          <w:rFonts w:ascii="仿宋_GB2312" w:eastAsia="仿宋_GB2312"/>
        </w:rPr>
      </w:pPr>
      <w:r>
        <w:rPr>
          <w:rFonts w:hint="eastAsia" w:ascii="仿宋_GB2312" w:eastAsia="仿宋_GB2312"/>
        </w:rPr>
        <w:t>8.1.5保养与维护</w:t>
      </w:r>
    </w:p>
    <w:p>
      <w:pPr>
        <w:spacing w:line="360" w:lineRule="auto"/>
        <w:ind w:left="392" w:leftChars="100" w:hanging="182" w:hangingChars="87"/>
        <w:rPr>
          <w:rFonts w:ascii="仿宋_GB2312" w:eastAsia="仿宋_GB2312"/>
        </w:rPr>
      </w:pPr>
      <w:r>
        <w:rPr>
          <w:rFonts w:hint="eastAsia" w:ascii="仿宋_GB2312" w:eastAsia="仿宋_GB2312"/>
        </w:rPr>
        <w:t>8.1.5.1乙方必须对手推车进行清洁、消毒、保养、维护，并对部分或整体进行必要的更换和修复，使其始终处于良好的工作状态且外表整洁无破损，没有内在故障。而上述费用均由乙方自行承担。乙方使用的设备设施需符合国家及行业相关标准，由于乙方设备设施未达到国际及行业相关标准产生的责任由乙方承担。</w:t>
      </w:r>
    </w:p>
    <w:p>
      <w:pPr>
        <w:spacing w:line="360" w:lineRule="auto"/>
        <w:ind w:left="195" w:leftChars="93"/>
        <w:rPr>
          <w:rFonts w:ascii="仿宋_GB2312" w:eastAsia="仿宋_GB2312"/>
        </w:rPr>
      </w:pPr>
      <w:r>
        <w:rPr>
          <w:rFonts w:hint="eastAsia" w:ascii="仿宋_GB2312" w:eastAsia="仿宋_GB2312"/>
        </w:rPr>
        <w:t>8.1.5.2乙方在承包区域增加机械、电力设备及设施应征得甲方书面同意方可施工，并聘请有资格的供应商进行安装、保养。</w:t>
      </w:r>
    </w:p>
    <w:p>
      <w:pPr>
        <w:spacing w:line="360" w:lineRule="auto"/>
        <w:ind w:left="392" w:leftChars="100" w:hanging="182" w:hangingChars="87"/>
        <w:rPr>
          <w:rFonts w:ascii="仿宋_GB2312" w:eastAsia="仿宋_GB2312"/>
        </w:rPr>
      </w:pPr>
      <w:r>
        <w:rPr>
          <w:rFonts w:hint="eastAsia" w:ascii="仿宋_GB2312" w:eastAsia="仿宋_GB2312"/>
        </w:rPr>
        <w:t>8.1.6乙方员工</w:t>
      </w:r>
    </w:p>
    <w:p>
      <w:pPr>
        <w:spacing w:line="360" w:lineRule="auto"/>
        <w:ind w:left="392" w:leftChars="150" w:hanging="77" w:hangingChars="37"/>
        <w:rPr>
          <w:rFonts w:ascii="仿宋_GB2312" w:eastAsia="仿宋_GB2312"/>
        </w:rPr>
      </w:pPr>
      <w:r>
        <w:rPr>
          <w:rFonts w:hint="eastAsia" w:ascii="仿宋_GB2312" w:eastAsia="仿宋_GB2312"/>
        </w:rPr>
        <w:t>8.1.6.1乙方须提供具有经验和能力的工作人员，其工作人员应具有从事本合同下服务与管理所必须的技能、能力、经验和良好的行为举止，无任何犯罪违法记录，能很好的遵守和履行乙方的责任和义务。乙方提供的人员年龄结构组成必须合理。</w:t>
      </w:r>
    </w:p>
    <w:p>
      <w:pPr>
        <w:spacing w:line="360" w:lineRule="auto"/>
        <w:ind w:left="392" w:leftChars="150" w:hanging="77" w:hangingChars="37"/>
        <w:rPr>
          <w:rFonts w:ascii="仿宋_GB2312" w:eastAsia="仿宋_GB2312"/>
        </w:rPr>
      </w:pPr>
      <w:r>
        <w:rPr>
          <w:rFonts w:hint="eastAsia" w:ascii="仿宋_GB2312" w:eastAsia="仿宋_GB2312"/>
        </w:rPr>
        <w:t>8.1.6.2根据本合同有关规定合同有效期间的任何时间段内，乙方均须依据本合同服务条款的要求，按航班情况及合同要求，进行员工配备，并报甲方确认。乙方须提供本合同涉及的员工的名单、有效证件复印件等信息。甲方有权依据实际操作需要调整乙方员工配置方案。</w:t>
      </w:r>
    </w:p>
    <w:p>
      <w:pPr>
        <w:spacing w:line="360" w:lineRule="auto"/>
        <w:ind w:left="392" w:leftChars="150" w:hanging="77" w:hangingChars="37"/>
        <w:rPr>
          <w:rFonts w:ascii="仿宋_GB2312" w:eastAsia="仿宋_GB2312"/>
        </w:rPr>
      </w:pPr>
      <w:r>
        <w:rPr>
          <w:rFonts w:hint="eastAsia" w:ascii="仿宋_GB2312" w:eastAsia="仿宋_GB2312"/>
        </w:rPr>
        <w:t>8.1.6.3在合同生效的两周内，乙方必须向甲方提交所有培训项目的详细资料（包括但不仅限于操作流程培训项目和客户服务、安全等项目），以取得甲方的书面同意。对于不符合甲方要求的培训资料，乙方应在一周内根据甲方的要求进行修改，并获得甲方的认可。乙方如对已通过甲方同意的培训项目进行修改，必须提前获得甲方许可。</w:t>
      </w:r>
    </w:p>
    <w:p>
      <w:pPr>
        <w:spacing w:line="360" w:lineRule="auto"/>
        <w:ind w:left="392" w:leftChars="150" w:hanging="77" w:hangingChars="37"/>
        <w:rPr>
          <w:rFonts w:ascii="仿宋_GB2312" w:eastAsia="仿宋_GB2312"/>
        </w:rPr>
      </w:pPr>
      <w:r>
        <w:rPr>
          <w:rFonts w:hint="eastAsia" w:ascii="仿宋_GB2312" w:eastAsia="仿宋_GB2312"/>
        </w:rPr>
        <w:t>8.1.6.4乙方聘用在承包区域工作的人员应持有相应岗位或特殊工种作业证书，员工培训费用由乙方承担。招聘录用者为外地人员需持有身份证、就业证、暂住证等有效证件。所招聘录用人员须无犯罪记录。国家与政府另有规定按规定执行。</w:t>
      </w:r>
    </w:p>
    <w:p>
      <w:pPr>
        <w:spacing w:line="360" w:lineRule="auto"/>
        <w:ind w:left="392" w:leftChars="150" w:hanging="77" w:hangingChars="37"/>
        <w:rPr>
          <w:rFonts w:ascii="仿宋_GB2312" w:eastAsia="仿宋_GB2312"/>
        </w:rPr>
      </w:pPr>
      <w:r>
        <w:rPr>
          <w:rFonts w:hint="eastAsia" w:ascii="仿宋_GB2312" w:eastAsia="仿宋_GB2312"/>
        </w:rPr>
        <w:t>8.1.6.5乙方应向员工提供培训专业技能的途径，保证员工有较高的业务知识与能力，满足甲方及机场旅客的各种相关需求。</w:t>
      </w:r>
    </w:p>
    <w:p>
      <w:pPr>
        <w:spacing w:line="360" w:lineRule="auto"/>
        <w:ind w:left="392" w:leftChars="150" w:hanging="77" w:hangingChars="37"/>
        <w:rPr>
          <w:rFonts w:ascii="仿宋_GB2312" w:eastAsia="仿宋_GB2312"/>
        </w:rPr>
      </w:pPr>
      <w:r>
        <w:rPr>
          <w:rFonts w:hint="eastAsia" w:ascii="仿宋_GB2312" w:eastAsia="仿宋_GB2312"/>
        </w:rPr>
        <w:t>8.1.6.6甲方认为必须要乙方遵守或学习的机场相关的消防、空防、安全、服务、企业文化等方面的规章制度和信息，甲方有义务提供乙方相应的培训，乙方有义务参加且无需甲方为此承担任何责任与费用。</w:t>
      </w:r>
    </w:p>
    <w:p>
      <w:pPr>
        <w:spacing w:line="360" w:lineRule="auto"/>
        <w:ind w:left="392" w:leftChars="150" w:hanging="77" w:hangingChars="37"/>
        <w:rPr>
          <w:rFonts w:ascii="仿宋_GB2312" w:eastAsia="仿宋_GB2312"/>
        </w:rPr>
      </w:pPr>
      <w:r>
        <w:rPr>
          <w:rFonts w:hint="eastAsia" w:ascii="仿宋_GB2312" w:eastAsia="仿宋_GB2312"/>
        </w:rPr>
        <w:t>8.1.6.7乙方工作人员上岗必须穿戴由甲方书面同意的工作制服（工作制服的颜色可由乙方申报，但工作制服上需印制乙方的公司名称）及甲方许可的装饰物品，乙方工作人员需按照不同岗位穿戴不同颜色的工作制服进行区分，制作及其费用由乙方负担。乙方须于本合同签订后至正式运行本合同前向甲方提供模特着装的正面照片，且必须经过甲方审核同意后作为附件加入本合同，成为本合同不可分割的部分。</w:t>
      </w:r>
    </w:p>
    <w:p>
      <w:pPr>
        <w:spacing w:line="360" w:lineRule="auto"/>
        <w:ind w:left="392" w:leftChars="150" w:hanging="77" w:hangingChars="37"/>
        <w:rPr>
          <w:rFonts w:ascii="仿宋_GB2312" w:eastAsia="仿宋_GB2312"/>
        </w:rPr>
      </w:pPr>
      <w:r>
        <w:rPr>
          <w:rFonts w:hint="eastAsia" w:ascii="仿宋_GB2312" w:eastAsia="仿宋_GB2312"/>
        </w:rPr>
        <w:t>8.1.6.8乙方工作人员的制服必须与乙方为机场其他区域进行服务的或其他第三方的工作人员的制服有显著差异，并须经甲方书面同意。</w:t>
      </w:r>
    </w:p>
    <w:p>
      <w:pPr>
        <w:spacing w:line="360" w:lineRule="auto"/>
        <w:ind w:left="392" w:leftChars="150" w:hanging="77" w:hangingChars="37"/>
        <w:rPr>
          <w:rFonts w:ascii="仿宋_GB2312" w:eastAsia="仿宋_GB2312"/>
        </w:rPr>
      </w:pPr>
      <w:r>
        <w:rPr>
          <w:rFonts w:hint="eastAsia" w:ascii="仿宋_GB2312" w:eastAsia="仿宋_GB2312"/>
        </w:rPr>
        <w:t>8.1.6.9乙方如需要为机场内的第三方（单位）提供服务，必须事先告之甲方，所涉及的第三方（单位）名称及其乙方提供的相关手推车员工名单以及有关服务内容必须以书面形式递交给甲方，经甲方批准后方可实施。</w:t>
      </w:r>
    </w:p>
    <w:p>
      <w:pPr>
        <w:spacing w:line="360" w:lineRule="auto"/>
        <w:ind w:left="392" w:leftChars="150" w:hanging="77" w:hangingChars="37"/>
        <w:rPr>
          <w:rFonts w:ascii="仿宋_GB2312" w:eastAsia="仿宋_GB2312"/>
        </w:rPr>
      </w:pPr>
      <w:r>
        <w:rPr>
          <w:rFonts w:hint="eastAsia" w:ascii="仿宋_GB2312" w:eastAsia="仿宋_GB2312"/>
        </w:rPr>
        <w:t>8.1.6.10在本合同生效时或生效前，乙方须向甲方提供含有其与服务和管理责任相关的管理、监督工作人员的详细信息的清单（如清单内容发生变化必须随时递交修订后的清单），清单内容包括（且不限）如下：</w:t>
      </w:r>
    </w:p>
    <w:p>
      <w:pPr>
        <w:spacing w:line="360" w:lineRule="auto"/>
        <w:ind w:left="392" w:leftChars="100" w:hanging="182" w:hangingChars="87"/>
        <w:rPr>
          <w:rFonts w:ascii="仿宋_GB2312" w:eastAsia="仿宋_GB2312"/>
        </w:rPr>
      </w:pPr>
      <w:r>
        <w:rPr>
          <w:rFonts w:hint="eastAsia" w:ascii="仿宋_GB2312" w:eastAsia="仿宋_GB2312"/>
        </w:rPr>
        <w:t>（1）全名、工作职务、工作区域，包括工作时间或非工作时间的固定电话、手机、传真、电子邮箱等联系方式。</w:t>
      </w:r>
    </w:p>
    <w:p>
      <w:pPr>
        <w:spacing w:line="360" w:lineRule="auto"/>
        <w:ind w:left="392" w:leftChars="100" w:hanging="182" w:hangingChars="87"/>
        <w:rPr>
          <w:rFonts w:ascii="仿宋_GB2312" w:eastAsia="仿宋_GB2312"/>
        </w:rPr>
      </w:pPr>
      <w:r>
        <w:rPr>
          <w:rFonts w:hint="eastAsia" w:ascii="仿宋_GB2312" w:eastAsia="仿宋_GB2312"/>
        </w:rPr>
        <w:t>（2）资质、培训记录和工作经验等。</w:t>
      </w:r>
    </w:p>
    <w:p>
      <w:pPr>
        <w:spacing w:line="360" w:lineRule="auto"/>
        <w:ind w:left="392" w:leftChars="150" w:hanging="77" w:hangingChars="37"/>
        <w:rPr>
          <w:rFonts w:ascii="仿宋_GB2312" w:eastAsia="仿宋_GB2312"/>
        </w:rPr>
      </w:pPr>
      <w:r>
        <w:rPr>
          <w:rFonts w:hint="eastAsia" w:ascii="仿宋_GB2312" w:eastAsia="仿宋_GB2312"/>
        </w:rPr>
        <w:t>8.1.6.11如果甲方认为乙方员工有不正当行为、无相关工作能力，玩忽职守或未遵守甲方安全、服务等方面的要求或违反本合同相关条款的，乙方应按照甲方要求对该人员进行更换（包括但不限于乙方的主要代表）。</w:t>
      </w:r>
    </w:p>
    <w:p>
      <w:pPr>
        <w:spacing w:line="360" w:lineRule="auto"/>
        <w:ind w:left="392" w:leftChars="150" w:hanging="77" w:hangingChars="37"/>
        <w:rPr>
          <w:rFonts w:ascii="仿宋_GB2312" w:eastAsia="仿宋_GB2312"/>
        </w:rPr>
      </w:pPr>
      <w:r>
        <w:rPr>
          <w:rFonts w:hint="eastAsia" w:ascii="仿宋_GB2312" w:eastAsia="仿宋_GB2312"/>
        </w:rPr>
        <w:t>8.1.6.12乙方负责人</w:t>
      </w:r>
    </w:p>
    <w:p>
      <w:pPr>
        <w:spacing w:line="360" w:lineRule="auto"/>
        <w:ind w:left="392" w:leftChars="100" w:hanging="182" w:hangingChars="87"/>
        <w:rPr>
          <w:rFonts w:ascii="仿宋_GB2312" w:eastAsia="仿宋_GB2312"/>
        </w:rPr>
      </w:pPr>
      <w:r>
        <w:rPr>
          <w:rFonts w:hint="eastAsia" w:ascii="仿宋_GB2312" w:eastAsia="仿宋_GB2312"/>
        </w:rPr>
        <w:t>（1）乙方必须保证在本合同有效期内，书面任命其乙方公司领导（一人）作为乙方负责人即项目经理，全权负责乙方按本合同约定所提供的在服务、管理工作以及乙方在本合同项下义务涉及的所有事项。乙方负责人的任免必须事先经由甲方或甲方主要代表审核同意。</w:t>
      </w:r>
    </w:p>
    <w:p>
      <w:pPr>
        <w:spacing w:line="360" w:lineRule="auto"/>
        <w:ind w:left="392" w:leftChars="100" w:hanging="182" w:hangingChars="87"/>
        <w:rPr>
          <w:rFonts w:ascii="仿宋_GB2312" w:eastAsia="仿宋_GB2312"/>
        </w:rPr>
      </w:pPr>
      <w:r>
        <w:rPr>
          <w:rFonts w:hint="eastAsia" w:ascii="仿宋_GB2312" w:eastAsia="仿宋_GB2312"/>
        </w:rPr>
        <w:t>（2）乙方负责人将全权代表乙方就乙方按本合同约定所提供的在服务、管理工作以及乙方在本合同项下义务涉及的所有事项与甲方保持密切联系，代表乙方接收通知书，行使代表权。甲方有权信赖乙方主要代表行使上述权利的权威性。</w:t>
      </w:r>
    </w:p>
    <w:p>
      <w:pPr>
        <w:spacing w:line="360" w:lineRule="auto"/>
        <w:ind w:left="392" w:leftChars="100" w:hanging="182" w:hangingChars="87"/>
        <w:rPr>
          <w:rFonts w:ascii="仿宋_GB2312" w:eastAsia="仿宋_GB2312"/>
        </w:rPr>
      </w:pPr>
      <w:r>
        <w:rPr>
          <w:rFonts w:hint="eastAsia" w:ascii="仿宋_GB2312" w:eastAsia="仿宋_GB2312"/>
        </w:rPr>
        <w:t>（3）乙方可随时书面通知甲方终止乙方负责人的任命，在这种情况下，乙方可以另聘他人作为负责人，而这一负责人的任免必须事先经由甲方或甲方主要代表审核同意。</w:t>
      </w:r>
    </w:p>
    <w:p>
      <w:pPr>
        <w:spacing w:line="360" w:lineRule="auto"/>
        <w:ind w:left="392" w:leftChars="100" w:hanging="182" w:hangingChars="87"/>
        <w:rPr>
          <w:rFonts w:ascii="仿宋_GB2312" w:eastAsia="仿宋_GB2312"/>
        </w:rPr>
      </w:pPr>
      <w:r>
        <w:rPr>
          <w:rFonts w:hint="eastAsia" w:ascii="仿宋_GB2312" w:eastAsia="仿宋_GB2312"/>
        </w:rPr>
        <w:t>（4）乙方负责人需向甲方通报乙方负责人授权及任命的人员，乙方负责人需书面写明该委托及任命并详细表述该等人员所代表的权限。该等人员在其委托期间行使的指令和决定均被认为是由乙方授权的，该等代表的任免及其授权必须事先经由甲方或甲方主要代表审核同意。</w:t>
      </w:r>
    </w:p>
    <w:p>
      <w:pPr>
        <w:spacing w:line="360" w:lineRule="auto"/>
        <w:ind w:left="392" w:leftChars="100" w:hanging="182" w:hangingChars="87"/>
        <w:rPr>
          <w:rFonts w:ascii="仿宋_GB2312" w:eastAsia="仿宋_GB2312"/>
        </w:rPr>
      </w:pPr>
      <w:r>
        <w:rPr>
          <w:rFonts w:hint="eastAsia" w:ascii="仿宋_GB2312" w:eastAsia="仿宋_GB2312"/>
        </w:rPr>
        <w:t>8.1.7服务</w:t>
      </w:r>
    </w:p>
    <w:p>
      <w:pPr>
        <w:spacing w:line="360" w:lineRule="auto"/>
        <w:ind w:left="392" w:leftChars="150" w:hanging="77" w:hangingChars="37"/>
        <w:rPr>
          <w:rFonts w:ascii="仿宋_GB2312" w:eastAsia="仿宋_GB2312"/>
        </w:rPr>
      </w:pPr>
      <w:r>
        <w:rPr>
          <w:rFonts w:hint="eastAsia" w:ascii="仿宋_GB2312" w:eastAsia="仿宋_GB2312"/>
        </w:rPr>
        <w:t>8.1.7.1标准</w:t>
      </w:r>
    </w:p>
    <w:p>
      <w:pPr>
        <w:spacing w:line="360" w:lineRule="auto"/>
        <w:ind w:left="392" w:leftChars="100" w:hanging="182" w:hangingChars="87"/>
        <w:rPr>
          <w:rFonts w:ascii="仿宋_GB2312" w:eastAsia="仿宋_GB2312"/>
        </w:rPr>
      </w:pPr>
      <w:r>
        <w:rPr>
          <w:rFonts w:hint="eastAsia" w:ascii="仿宋_GB2312" w:eastAsia="仿宋_GB2312"/>
        </w:rPr>
        <w:t>（1）乙方必须</w:t>
      </w:r>
      <w:r>
        <w:rPr>
          <w:rStyle w:val="82"/>
          <w:rFonts w:hint="eastAsia" w:ascii="仿宋_GB2312" w:eastAsia="仿宋_GB2312"/>
        </w:rPr>
        <w:t>具有相关机场手推车服务工作经验的。</w:t>
      </w:r>
    </w:p>
    <w:p>
      <w:pPr>
        <w:spacing w:line="360" w:lineRule="auto"/>
        <w:ind w:left="392" w:leftChars="100" w:hanging="182" w:hangingChars="87"/>
        <w:rPr>
          <w:rFonts w:ascii="仿宋_GB2312" w:eastAsia="仿宋_GB2312"/>
        </w:rPr>
      </w:pPr>
      <w:r>
        <w:rPr>
          <w:rFonts w:hint="eastAsia" w:ascii="仿宋_GB2312" w:eastAsia="仿宋_GB2312"/>
        </w:rPr>
        <w:t>（2）乙方应促进以下目标和原则的实现：</w:t>
      </w:r>
    </w:p>
    <w:p>
      <w:pPr>
        <w:spacing w:line="360" w:lineRule="auto"/>
        <w:ind w:left="393" w:leftChars="187"/>
        <w:rPr>
          <w:rFonts w:ascii="仿宋_GB2312" w:eastAsia="仿宋_GB2312"/>
        </w:rPr>
      </w:pPr>
      <w:r>
        <w:rPr>
          <w:rFonts w:hint="eastAsia" w:ascii="仿宋_GB2312" w:eastAsia="仿宋_GB2312"/>
        </w:rPr>
        <w:t>在不影响机场安全、效益、效率的情况下，及时提供服务与管理。</w:t>
      </w:r>
    </w:p>
    <w:p>
      <w:pPr>
        <w:spacing w:line="360" w:lineRule="auto"/>
        <w:ind w:left="393" w:leftChars="187"/>
        <w:rPr>
          <w:rFonts w:ascii="仿宋_GB2312" w:eastAsia="仿宋_GB2312"/>
        </w:rPr>
      </w:pPr>
      <w:r>
        <w:rPr>
          <w:rFonts w:hint="eastAsia" w:ascii="仿宋_GB2312" w:eastAsia="仿宋_GB2312"/>
        </w:rPr>
        <w:t>提供安全、高效、高质量的服务与管理。</w:t>
      </w:r>
    </w:p>
    <w:p>
      <w:pPr>
        <w:spacing w:line="360" w:lineRule="auto"/>
        <w:ind w:left="392" w:leftChars="100" w:hanging="182" w:hangingChars="87"/>
        <w:rPr>
          <w:rFonts w:ascii="仿宋_GB2312" w:eastAsia="仿宋_GB2312"/>
        </w:rPr>
      </w:pPr>
      <w:r>
        <w:rPr>
          <w:rFonts w:hint="eastAsia" w:ascii="仿宋_GB2312" w:eastAsia="仿宋_GB2312"/>
        </w:rPr>
        <w:t>（3）遵守并履行合同及附件中所有的服务与管理条款，包括（但不限于）良好的人员招聘、培训和人员监管计划，向员工提供培训专业技能的途径，保证员工有较高的业务知识与能力，满足甲方及机场旅客的各种相关需求。</w:t>
      </w:r>
    </w:p>
    <w:p>
      <w:pPr>
        <w:spacing w:line="360" w:lineRule="auto"/>
        <w:ind w:left="393" w:leftChars="187"/>
        <w:rPr>
          <w:rFonts w:ascii="仿宋_GB2312" w:eastAsia="仿宋_GB2312"/>
        </w:rPr>
      </w:pPr>
      <w:r>
        <w:rPr>
          <w:rFonts w:hint="eastAsia" w:ascii="仿宋_GB2312" w:eastAsia="仿宋_GB2312"/>
        </w:rPr>
        <w:t>提供员工必须的制服。每位员工必须穿戴整洁，拥有旅客第一的工作态度，有问必答，礼貌对待旅客、其他承租承包商以及机场员工。遵守相关专业服务实施标准，包括（但不限于）合同及附件的标准与要求。</w:t>
      </w:r>
    </w:p>
    <w:p>
      <w:pPr>
        <w:spacing w:line="360" w:lineRule="auto"/>
        <w:ind w:left="392" w:leftChars="100" w:hanging="182" w:hangingChars="87"/>
        <w:rPr>
          <w:rFonts w:ascii="仿宋_GB2312" w:eastAsia="仿宋_GB2312"/>
        </w:rPr>
      </w:pPr>
      <w:r>
        <w:rPr>
          <w:rFonts w:hint="eastAsia" w:ascii="仿宋_GB2312" w:eastAsia="仿宋_GB2312"/>
        </w:rPr>
        <w:t>（4）达到甲方要求的旅客满意度指标的KPI及ACI的ASQ相关项目年度得分标准。</w:t>
      </w:r>
    </w:p>
    <w:p>
      <w:pPr>
        <w:spacing w:line="360" w:lineRule="auto"/>
        <w:ind w:left="392" w:leftChars="100" w:hanging="182" w:hangingChars="87"/>
        <w:rPr>
          <w:rFonts w:ascii="仿宋_GB2312" w:eastAsia="仿宋_GB2312"/>
        </w:rPr>
      </w:pPr>
      <w:r>
        <w:rPr>
          <w:rFonts w:hint="eastAsia" w:ascii="仿宋_GB2312" w:eastAsia="仿宋_GB2312"/>
        </w:rPr>
        <w:t>8.1.8工作程序与信息通报</w:t>
      </w:r>
    </w:p>
    <w:p>
      <w:pPr>
        <w:spacing w:line="360" w:lineRule="auto"/>
        <w:ind w:left="393" w:leftChars="187"/>
        <w:rPr>
          <w:rFonts w:ascii="仿宋_GB2312" w:eastAsia="仿宋_GB2312"/>
          <w:bCs/>
        </w:rPr>
      </w:pPr>
      <w:r>
        <w:rPr>
          <w:rFonts w:hint="eastAsia" w:ascii="仿宋_GB2312" w:eastAsia="仿宋_GB2312"/>
          <w:bCs/>
        </w:rPr>
        <w:t>乙方在甲方的合理要求下，需按时完成各项周期性工作，并按以下时间节点向甲方提交根据本合同相关要求、具有一定格式、包含一定信息的工作或计划表。周期性工作与信息通报内容可在甲乙双方协商后改动，包括（但不限于）以下报告：</w:t>
      </w:r>
    </w:p>
    <w:p>
      <w:pPr>
        <w:spacing w:line="360" w:lineRule="auto"/>
        <w:ind w:left="393" w:leftChars="187"/>
        <w:rPr>
          <w:rFonts w:ascii="仿宋_GB2312" w:eastAsia="仿宋_GB2312"/>
        </w:rPr>
      </w:pPr>
      <w:r>
        <w:rPr>
          <w:rFonts w:hint="eastAsia" w:ascii="仿宋_GB2312" w:eastAsia="仿宋_GB2312"/>
        </w:rPr>
        <w:t>8.1.8.1信息通报时间节点（如遇双休日等国定假日须提前交）与周期性工作</w:t>
      </w:r>
    </w:p>
    <w:p>
      <w:pPr>
        <w:ind w:firstLine="630" w:firstLineChars="300"/>
        <w:rPr>
          <w:rFonts w:ascii="仿宋_GB2312" w:eastAsia="仿宋_GB2312"/>
        </w:rPr>
      </w:pPr>
      <w:r>
        <w:rPr>
          <w:rFonts w:hint="eastAsia" w:ascii="仿宋_GB2312" w:eastAsia="仿宋_GB2312"/>
        </w:rPr>
        <w:t xml:space="preserve">周期性工作表   </w:t>
      </w:r>
    </w:p>
    <w:tbl>
      <w:tblPr>
        <w:tblStyle w:val="47"/>
        <w:tblW w:w="7917"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536"/>
        <w:gridCol w:w="1701"/>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960" w:type="dxa"/>
            <w:gridSpan w:val="2"/>
            <w:shd w:val="clear" w:color="auto" w:fill="BEBEBE" w:themeFill="background1" w:themeFillShade="BF"/>
          </w:tcPr>
          <w:p>
            <w:pPr>
              <w:spacing w:line="260" w:lineRule="exact"/>
              <w:rPr>
                <w:rFonts w:ascii="仿宋_GB2312" w:eastAsia="仿宋_GB2312"/>
                <w:sz w:val="18"/>
                <w:szCs w:val="18"/>
              </w:rPr>
            </w:pPr>
            <w:r>
              <w:rPr>
                <w:rFonts w:hint="eastAsia" w:ascii="仿宋_GB2312" w:eastAsia="仿宋_GB2312"/>
                <w:bCs/>
                <w:sz w:val="18"/>
                <w:szCs w:val="18"/>
              </w:rPr>
              <w:t>每日</w:t>
            </w:r>
          </w:p>
        </w:tc>
        <w:tc>
          <w:tcPr>
            <w:tcW w:w="1701" w:type="dxa"/>
            <w:shd w:val="clear" w:color="auto" w:fill="BEBEBE" w:themeFill="background1" w:themeFillShade="BF"/>
          </w:tcPr>
          <w:p>
            <w:pPr>
              <w:spacing w:line="260" w:lineRule="exact"/>
              <w:rPr>
                <w:rFonts w:ascii="仿宋_GB2312" w:eastAsia="仿宋_GB2312"/>
                <w:sz w:val="18"/>
                <w:szCs w:val="18"/>
              </w:rPr>
            </w:pPr>
            <w:r>
              <w:rPr>
                <w:rFonts w:hint="eastAsia" w:ascii="仿宋_GB2312" w:eastAsia="仿宋_GB2312"/>
                <w:sz w:val="18"/>
                <w:szCs w:val="18"/>
              </w:rPr>
              <w:t>要求</w:t>
            </w:r>
          </w:p>
        </w:tc>
        <w:tc>
          <w:tcPr>
            <w:tcW w:w="1256" w:type="dxa"/>
            <w:shd w:val="clear" w:color="auto" w:fill="BEBEBE" w:themeFill="background1" w:themeFillShade="BF"/>
          </w:tcPr>
          <w:p>
            <w:pPr>
              <w:spacing w:line="260" w:lineRule="exact"/>
              <w:rPr>
                <w:rFonts w:ascii="仿宋_GB2312" w:eastAsia="仿宋_GB2312"/>
                <w:sz w:val="18"/>
                <w:szCs w:val="18"/>
              </w:rPr>
            </w:pPr>
            <w:r>
              <w:rPr>
                <w:rFonts w:hint="eastAsia" w:ascii="仿宋_GB2312" w:eastAsia="仿宋_GB231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1</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每日员工早会，安排人员岗位、布置当日工作，检查员工仪表，口头培训应知应会知识</w:t>
            </w:r>
          </w:p>
        </w:tc>
        <w:tc>
          <w:tcPr>
            <w:tcW w:w="1701" w:type="dxa"/>
            <w:vMerge w:val="restart"/>
          </w:tcPr>
          <w:p>
            <w:pPr>
              <w:pStyle w:val="139"/>
              <w:spacing w:line="260" w:lineRule="exact"/>
              <w:ind w:firstLine="329" w:firstLineChars="183"/>
              <w:rPr>
                <w:rFonts w:ascii="仿宋_GB2312" w:hAnsi="Calibri" w:eastAsia="仿宋_GB2312"/>
                <w:kern w:val="2"/>
                <w:sz w:val="18"/>
                <w:szCs w:val="18"/>
              </w:rPr>
            </w:pPr>
            <w:r>
              <w:rPr>
                <w:rFonts w:hint="eastAsia" w:ascii="仿宋_GB2312" w:hAnsi="Calibri" w:eastAsia="仿宋_GB2312"/>
                <w:kern w:val="2"/>
                <w:sz w:val="18"/>
                <w:szCs w:val="18"/>
              </w:rPr>
              <w:t>第二天（24小时内）的工作计划（包括人员岗位安排计划）</w:t>
            </w:r>
          </w:p>
          <w:p>
            <w:pPr>
              <w:pStyle w:val="139"/>
              <w:spacing w:line="260" w:lineRule="exact"/>
              <w:ind w:firstLine="329" w:firstLineChars="183"/>
              <w:rPr>
                <w:rFonts w:ascii="仿宋_GB2312" w:hAnsi="Calibri" w:eastAsia="仿宋_GB2312"/>
                <w:kern w:val="2"/>
                <w:sz w:val="18"/>
                <w:szCs w:val="18"/>
              </w:rPr>
            </w:pPr>
            <w:r>
              <w:rPr>
                <w:rFonts w:hint="eastAsia" w:ascii="仿宋_GB2312" w:hAnsi="Calibri" w:eastAsia="仿宋_GB2312"/>
                <w:kern w:val="2"/>
                <w:sz w:val="18"/>
                <w:szCs w:val="18"/>
              </w:rPr>
              <w:t>前一天（24小时内）的员工出勤表、特殊事件事故情况等</w:t>
            </w:r>
          </w:p>
        </w:tc>
        <w:tc>
          <w:tcPr>
            <w:tcW w:w="1256" w:type="dxa"/>
            <w:vMerge w:val="restart"/>
          </w:tcPr>
          <w:p>
            <w:pPr>
              <w:spacing w:line="260" w:lineRule="exact"/>
              <w:rPr>
                <w:rFonts w:ascii="仿宋_GB2312" w:eastAsia="仿宋_GB2312"/>
                <w:sz w:val="18"/>
                <w:szCs w:val="18"/>
              </w:rPr>
            </w:pPr>
            <w:r>
              <w:rPr>
                <w:rFonts w:hint="eastAsia" w:ascii="仿宋_GB2312" w:eastAsia="仿宋_GB2312"/>
                <w:sz w:val="18"/>
                <w:szCs w:val="18"/>
              </w:rPr>
              <w:t>信息通报（上午09：00之前）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2</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每日员工通行证收发、保管</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3</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每日回收整个机场范围内，如航站楼办公区域、楼道等处的手推车</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4</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每日查看航站楼管理系统内日常运行问题并及时反馈</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5</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每日更新航站楼管理系统内手推车维修报废信息</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6</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每日20：00查看航班信息，根据当日航班实际情况安排夜间人员</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7</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每日航站楼关门前清点各堆点手推车数量</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8</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每日夜间集中清洗手推车</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960" w:type="dxa"/>
            <w:gridSpan w:val="2"/>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每周</w:t>
            </w:r>
          </w:p>
        </w:tc>
        <w:tc>
          <w:tcPr>
            <w:tcW w:w="1701" w:type="dxa"/>
            <w:shd w:val="clear" w:color="auto" w:fill="BEBEBE" w:themeFill="background1" w:themeFillShade="BF"/>
          </w:tcPr>
          <w:p>
            <w:pPr>
              <w:spacing w:line="260" w:lineRule="exact"/>
              <w:rPr>
                <w:rFonts w:ascii="仿宋_GB2312" w:eastAsia="仿宋_GB2312"/>
                <w:sz w:val="18"/>
                <w:szCs w:val="18"/>
              </w:rPr>
            </w:pPr>
            <w:r>
              <w:rPr>
                <w:rFonts w:hint="eastAsia" w:ascii="仿宋_GB2312" w:eastAsia="仿宋_GB2312"/>
                <w:sz w:val="18"/>
                <w:szCs w:val="18"/>
              </w:rPr>
              <w:t>要求</w:t>
            </w:r>
          </w:p>
        </w:tc>
        <w:tc>
          <w:tcPr>
            <w:tcW w:w="1256" w:type="dxa"/>
            <w:shd w:val="clear" w:color="auto" w:fill="BEBEBE" w:themeFill="background1" w:themeFillShade="BF"/>
          </w:tcPr>
          <w:p>
            <w:pPr>
              <w:spacing w:line="260" w:lineRule="exact"/>
              <w:rPr>
                <w:rFonts w:ascii="仿宋_GB2312" w:eastAsia="仿宋_GB2312"/>
                <w:sz w:val="18"/>
                <w:szCs w:val="18"/>
              </w:rPr>
            </w:pPr>
            <w:r>
              <w:rPr>
                <w:rFonts w:hint="eastAsia" w:ascii="仿宋_GB2312" w:eastAsia="仿宋_GB231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1</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5日上个月手推车维修情况</w:t>
            </w:r>
          </w:p>
        </w:tc>
        <w:tc>
          <w:tcPr>
            <w:tcW w:w="1701" w:type="dxa"/>
            <w:vMerge w:val="restart"/>
          </w:tcPr>
          <w:p>
            <w:pPr>
              <w:pStyle w:val="139"/>
              <w:spacing w:line="260" w:lineRule="exact"/>
              <w:ind w:firstLine="329" w:firstLineChars="183"/>
              <w:rPr>
                <w:rFonts w:ascii="仿宋_GB2312" w:hAnsi="Calibri" w:eastAsia="仿宋_GB2312"/>
                <w:kern w:val="2"/>
                <w:sz w:val="18"/>
                <w:szCs w:val="18"/>
              </w:rPr>
            </w:pPr>
            <w:r>
              <w:rPr>
                <w:rFonts w:hint="eastAsia" w:ascii="仿宋_GB2312" w:hAnsi="Calibri" w:eastAsia="仿宋_GB2312"/>
                <w:kern w:val="2"/>
                <w:sz w:val="18"/>
                <w:szCs w:val="18"/>
              </w:rPr>
              <w:t>上周一至本周日的工作报告（包括下周工作计划、员工人数、手推车数量）</w:t>
            </w:r>
          </w:p>
          <w:p>
            <w:pPr>
              <w:pStyle w:val="139"/>
              <w:spacing w:line="260" w:lineRule="exact"/>
              <w:ind w:firstLine="329" w:firstLineChars="183"/>
              <w:rPr>
                <w:rFonts w:ascii="仿宋_GB2312" w:hAnsi="Calibri" w:eastAsia="仿宋_GB2312"/>
                <w:kern w:val="2"/>
                <w:sz w:val="18"/>
                <w:szCs w:val="18"/>
              </w:rPr>
            </w:pPr>
            <w:r>
              <w:rPr>
                <w:rFonts w:hint="eastAsia" w:ascii="仿宋_GB2312" w:hAnsi="Calibri" w:eastAsia="仿宋_GB2312"/>
                <w:kern w:val="2"/>
                <w:sz w:val="18"/>
                <w:szCs w:val="18"/>
              </w:rPr>
              <w:t>每周一参加例会，上交上周整改单与会议反馈单等</w:t>
            </w:r>
          </w:p>
          <w:p>
            <w:pPr>
              <w:pStyle w:val="139"/>
              <w:spacing w:line="260" w:lineRule="exact"/>
              <w:ind w:firstLine="329" w:firstLineChars="183"/>
              <w:rPr>
                <w:rFonts w:ascii="仿宋_GB2312" w:hAnsi="Calibri" w:eastAsia="仿宋_GB2312"/>
                <w:kern w:val="2"/>
                <w:sz w:val="18"/>
                <w:szCs w:val="18"/>
              </w:rPr>
            </w:pPr>
            <w:r>
              <w:rPr>
                <w:rFonts w:hint="eastAsia" w:ascii="仿宋_GB2312" w:hAnsi="Calibri" w:eastAsia="仿宋_GB2312"/>
                <w:kern w:val="2"/>
                <w:sz w:val="18"/>
                <w:szCs w:val="18"/>
              </w:rPr>
              <w:t>每周跟进本周例会提出的问题，查找原因和责任人，完成会议上布置的工作</w:t>
            </w:r>
          </w:p>
          <w:p>
            <w:pPr>
              <w:pStyle w:val="139"/>
              <w:spacing w:line="260" w:lineRule="exact"/>
              <w:ind w:firstLine="329" w:firstLineChars="183"/>
              <w:rPr>
                <w:rFonts w:ascii="仿宋_GB2312" w:hAnsi="Calibri" w:eastAsia="仿宋_GB2312"/>
                <w:kern w:val="2"/>
                <w:sz w:val="18"/>
                <w:szCs w:val="18"/>
              </w:rPr>
            </w:pPr>
          </w:p>
        </w:tc>
        <w:tc>
          <w:tcPr>
            <w:tcW w:w="1256" w:type="dxa"/>
            <w:vMerge w:val="restart"/>
          </w:tcPr>
          <w:p>
            <w:pPr>
              <w:spacing w:line="260" w:lineRule="exact"/>
              <w:rPr>
                <w:rFonts w:ascii="仿宋_GB2312" w:eastAsia="仿宋_GB2312"/>
                <w:sz w:val="18"/>
                <w:szCs w:val="18"/>
              </w:rPr>
            </w:pPr>
            <w:r>
              <w:rPr>
                <w:rFonts w:hint="eastAsia" w:ascii="仿宋_GB2312" w:eastAsia="仿宋_GB2312"/>
                <w:sz w:val="18"/>
                <w:szCs w:val="18"/>
              </w:rPr>
              <w:t>信息通报（上午10：00以前）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2</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5日上个月手推车清点数量</w:t>
            </w:r>
          </w:p>
        </w:tc>
        <w:tc>
          <w:tcPr>
            <w:tcW w:w="1701" w:type="dxa"/>
            <w:vMerge w:val="continue"/>
          </w:tcPr>
          <w:p>
            <w:pPr>
              <w:pStyle w:val="139"/>
              <w:spacing w:line="260" w:lineRule="exact"/>
              <w:ind w:firstLine="329" w:firstLineChars="183"/>
              <w:rPr>
                <w:rFonts w:ascii="仿宋_GB2312" w:hAnsi="Calibri" w:eastAsia="仿宋_GB2312"/>
                <w:kern w:val="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3</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5日上个月设备维护、检修及其备品备件等使用情况统计</w:t>
            </w:r>
          </w:p>
        </w:tc>
        <w:tc>
          <w:tcPr>
            <w:tcW w:w="1701" w:type="dxa"/>
            <w:vMerge w:val="continue"/>
          </w:tcPr>
          <w:p>
            <w:pPr>
              <w:pStyle w:val="139"/>
              <w:spacing w:line="260" w:lineRule="exact"/>
              <w:ind w:firstLine="329" w:firstLineChars="183"/>
              <w:rPr>
                <w:rFonts w:ascii="仿宋_GB2312" w:hAnsi="Calibri" w:eastAsia="仿宋_GB2312"/>
                <w:kern w:val="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4</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23日下个月（本月23日～下个月23日）工作计划程序表（包括人员安排、设备安排、培训计划等）</w:t>
            </w:r>
          </w:p>
        </w:tc>
        <w:tc>
          <w:tcPr>
            <w:tcW w:w="1701" w:type="dxa"/>
            <w:vMerge w:val="continue"/>
          </w:tcPr>
          <w:p>
            <w:pPr>
              <w:pStyle w:val="139"/>
              <w:spacing w:line="260" w:lineRule="exact"/>
              <w:ind w:firstLine="329" w:firstLineChars="183"/>
              <w:rPr>
                <w:rFonts w:ascii="仿宋_GB2312" w:hAnsi="Calibri" w:eastAsia="仿宋_GB2312"/>
                <w:kern w:val="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5</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本月（上个月23日～本月23日）工作完成情况、安全、好人好事及特殊（违规）事件等</w:t>
            </w:r>
          </w:p>
        </w:tc>
        <w:tc>
          <w:tcPr>
            <w:tcW w:w="1701" w:type="dxa"/>
            <w:vMerge w:val="continue"/>
          </w:tcPr>
          <w:p>
            <w:pPr>
              <w:pStyle w:val="139"/>
              <w:spacing w:line="260" w:lineRule="exact"/>
              <w:ind w:firstLine="329" w:firstLineChars="183"/>
              <w:rPr>
                <w:rFonts w:ascii="仿宋_GB2312" w:hAnsi="Calibri" w:eastAsia="仿宋_GB2312"/>
                <w:kern w:val="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6</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每月全员培训1次，培训需包括安全培训、技能培训与通报上个月出现的手推车服务问题</w:t>
            </w:r>
          </w:p>
        </w:tc>
        <w:tc>
          <w:tcPr>
            <w:tcW w:w="1701" w:type="dxa"/>
            <w:vMerge w:val="continue"/>
          </w:tcPr>
          <w:p>
            <w:pPr>
              <w:pStyle w:val="139"/>
              <w:spacing w:line="260" w:lineRule="exact"/>
              <w:ind w:firstLine="329" w:firstLineChars="183"/>
              <w:rPr>
                <w:rFonts w:ascii="仿宋_GB2312" w:hAnsi="Calibri" w:eastAsia="仿宋_GB2312"/>
                <w:kern w:val="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7</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每月初上交上个月手推车服务发票与上个月手推车员工工资单</w:t>
            </w:r>
          </w:p>
        </w:tc>
        <w:tc>
          <w:tcPr>
            <w:tcW w:w="1701" w:type="dxa"/>
            <w:vMerge w:val="continue"/>
          </w:tcPr>
          <w:p>
            <w:pPr>
              <w:pStyle w:val="139"/>
              <w:spacing w:line="260" w:lineRule="exact"/>
              <w:ind w:firstLine="329" w:firstLineChars="183"/>
              <w:rPr>
                <w:rFonts w:ascii="仿宋_GB2312" w:hAnsi="Calibri" w:eastAsia="仿宋_GB2312"/>
                <w:kern w:val="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8</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每月自查手推车相关台帐</w:t>
            </w:r>
          </w:p>
        </w:tc>
        <w:tc>
          <w:tcPr>
            <w:tcW w:w="1701" w:type="dxa"/>
            <w:vMerge w:val="continue"/>
          </w:tcPr>
          <w:p>
            <w:pPr>
              <w:pStyle w:val="139"/>
              <w:spacing w:line="260" w:lineRule="exact"/>
              <w:ind w:firstLine="329" w:firstLineChars="183"/>
              <w:rPr>
                <w:rFonts w:ascii="仿宋_GB2312" w:hAnsi="Calibri" w:eastAsia="仿宋_GB2312"/>
                <w:kern w:val="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9</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每月考勤招聘及辞职办理工作，培训考核新员工，评选奖励优秀员工</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10</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每月底上交手推车人员检查卡</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960" w:type="dxa"/>
            <w:gridSpan w:val="2"/>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每月</w:t>
            </w:r>
          </w:p>
        </w:tc>
        <w:tc>
          <w:tcPr>
            <w:tcW w:w="1701" w:type="dxa"/>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要求</w:t>
            </w:r>
          </w:p>
        </w:tc>
        <w:tc>
          <w:tcPr>
            <w:tcW w:w="1256" w:type="dxa"/>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1</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23日  下个月（本月23日～下个月23日）工作计划程序表（包括人员安排、设备安排、培训计划等）</w:t>
            </w:r>
          </w:p>
        </w:tc>
        <w:tc>
          <w:tcPr>
            <w:tcW w:w="1701" w:type="dxa"/>
            <w:vMerge w:val="restart"/>
          </w:tcPr>
          <w:p>
            <w:pPr>
              <w:spacing w:line="260" w:lineRule="exact"/>
              <w:rPr>
                <w:rFonts w:ascii="仿宋_GB2312" w:eastAsia="仿宋_GB2312"/>
                <w:sz w:val="18"/>
                <w:szCs w:val="18"/>
              </w:rPr>
            </w:pPr>
          </w:p>
        </w:tc>
        <w:tc>
          <w:tcPr>
            <w:tcW w:w="1256" w:type="dxa"/>
            <w:vMerge w:val="restart"/>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2</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本月（上个月23日～本月23日）工作完成情况、安全、好人好事及特殊（违规）事件等</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3</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每月全员培训1次，培训需包括安全培训、技能培训与通报上个月出现的手推车服务问题</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4</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每月初上交上个月手推车服务发票与上个月手推车员工工资单</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5</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每月自查手推车相关台帐</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6</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每月考勤招聘及辞职办理工作，培训考核新员工，评选奖励优秀员工</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7</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每月底上交手推车人员检查卡</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960" w:type="dxa"/>
            <w:gridSpan w:val="2"/>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季度</w:t>
            </w:r>
          </w:p>
        </w:tc>
        <w:tc>
          <w:tcPr>
            <w:tcW w:w="1701" w:type="dxa"/>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要求</w:t>
            </w:r>
          </w:p>
        </w:tc>
        <w:tc>
          <w:tcPr>
            <w:tcW w:w="1256" w:type="dxa"/>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1</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3月／6月/9月/12月   每季度工作报告</w:t>
            </w:r>
          </w:p>
        </w:tc>
        <w:tc>
          <w:tcPr>
            <w:tcW w:w="1701" w:type="dxa"/>
            <w:vMerge w:val="restart"/>
          </w:tcPr>
          <w:p>
            <w:pPr>
              <w:spacing w:line="260" w:lineRule="exact"/>
              <w:rPr>
                <w:rFonts w:ascii="仿宋_GB2312" w:eastAsia="仿宋_GB2312"/>
                <w:sz w:val="18"/>
                <w:szCs w:val="18"/>
              </w:rPr>
            </w:pPr>
          </w:p>
        </w:tc>
        <w:tc>
          <w:tcPr>
            <w:tcW w:w="1256" w:type="dxa"/>
            <w:vMerge w:val="restart"/>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2</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每季度参加甲方组织的手推车技能比武，对技能比武优胜者给予经济奖励</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3</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每季度配合甲方完成外包考核，落实外包考核小组提出的整改问题</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4</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每季度根据当季ASQ测评结果提出改进方案，采取相应措施提高手推车服务</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960" w:type="dxa"/>
            <w:gridSpan w:val="2"/>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每半年</w:t>
            </w:r>
          </w:p>
        </w:tc>
        <w:tc>
          <w:tcPr>
            <w:tcW w:w="1701" w:type="dxa"/>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要求</w:t>
            </w:r>
          </w:p>
        </w:tc>
        <w:tc>
          <w:tcPr>
            <w:tcW w:w="1256" w:type="dxa"/>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1</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1月／7月上报半年年度工作报告</w:t>
            </w:r>
          </w:p>
        </w:tc>
        <w:tc>
          <w:tcPr>
            <w:tcW w:w="1701" w:type="dxa"/>
            <w:vMerge w:val="restart"/>
          </w:tcPr>
          <w:p>
            <w:pPr>
              <w:spacing w:line="260" w:lineRule="exact"/>
              <w:rPr>
                <w:rFonts w:ascii="仿宋_GB2312" w:eastAsia="仿宋_GB2312"/>
                <w:sz w:val="18"/>
                <w:szCs w:val="18"/>
              </w:rPr>
            </w:pPr>
          </w:p>
        </w:tc>
        <w:tc>
          <w:tcPr>
            <w:tcW w:w="1256" w:type="dxa"/>
            <w:vMerge w:val="restart"/>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2</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每半年参加甲方组织的工作会议，听取下阶段工作计划</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960" w:type="dxa"/>
            <w:gridSpan w:val="2"/>
            <w:shd w:val="clear" w:color="auto" w:fill="BEBEBE" w:themeFill="background1" w:themeFillShade="BF"/>
          </w:tcPr>
          <w:p>
            <w:pPr>
              <w:spacing w:line="260" w:lineRule="exact"/>
              <w:rPr>
                <w:rFonts w:ascii="仿宋_GB2312" w:eastAsia="仿宋_GB2312"/>
              </w:rPr>
            </w:pPr>
            <w:r>
              <w:rPr>
                <w:rFonts w:hint="eastAsia" w:ascii="仿宋_GB2312" w:eastAsia="仿宋_GB2312"/>
                <w:bCs/>
                <w:sz w:val="18"/>
                <w:szCs w:val="18"/>
              </w:rPr>
              <w:t>其他</w:t>
            </w:r>
          </w:p>
        </w:tc>
        <w:tc>
          <w:tcPr>
            <w:tcW w:w="1701" w:type="dxa"/>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要求</w:t>
            </w:r>
          </w:p>
        </w:tc>
        <w:tc>
          <w:tcPr>
            <w:tcW w:w="1256" w:type="dxa"/>
            <w:shd w:val="clear" w:color="auto" w:fill="BEBEBE" w:themeFill="background1" w:themeFillShade="BF"/>
          </w:tcPr>
          <w:p>
            <w:pPr>
              <w:spacing w:line="260" w:lineRule="exact"/>
              <w:rPr>
                <w:rFonts w:ascii="仿宋_GB2312" w:eastAsia="仿宋_GB2312"/>
                <w:bCs/>
                <w:sz w:val="18"/>
                <w:szCs w:val="18"/>
              </w:rPr>
            </w:pPr>
            <w:r>
              <w:rPr>
                <w:rFonts w:hint="eastAsia" w:ascii="仿宋_GB2312" w:eastAsia="仿宋_GB2312"/>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1</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24小时内 投诉与特殊事件、事故、旅客意见的报告</w:t>
            </w:r>
          </w:p>
        </w:tc>
        <w:tc>
          <w:tcPr>
            <w:tcW w:w="1701" w:type="dxa"/>
            <w:vMerge w:val="restart"/>
          </w:tcPr>
          <w:p>
            <w:pPr>
              <w:spacing w:line="260" w:lineRule="exact"/>
              <w:rPr>
                <w:rFonts w:ascii="仿宋_GB2312" w:eastAsia="仿宋_GB2312"/>
                <w:sz w:val="18"/>
                <w:szCs w:val="18"/>
              </w:rPr>
            </w:pPr>
          </w:p>
        </w:tc>
        <w:tc>
          <w:tcPr>
            <w:tcW w:w="1256" w:type="dxa"/>
            <w:vMerge w:val="restart"/>
          </w:tcPr>
          <w:p>
            <w:pPr>
              <w:spacing w:line="26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24" w:type="dxa"/>
          </w:tcPr>
          <w:p>
            <w:pPr>
              <w:spacing w:line="260" w:lineRule="exact"/>
              <w:rPr>
                <w:rFonts w:ascii="仿宋_GB2312" w:eastAsia="仿宋_GB2312"/>
                <w:sz w:val="18"/>
                <w:szCs w:val="18"/>
              </w:rPr>
            </w:pPr>
            <w:r>
              <w:rPr>
                <w:rFonts w:hint="eastAsia" w:ascii="仿宋_GB2312" w:eastAsia="仿宋_GB2312"/>
                <w:sz w:val="18"/>
                <w:szCs w:val="18"/>
              </w:rPr>
              <w:t>2</w:t>
            </w:r>
          </w:p>
        </w:tc>
        <w:tc>
          <w:tcPr>
            <w:tcW w:w="4536" w:type="dxa"/>
          </w:tcPr>
          <w:p>
            <w:pPr>
              <w:spacing w:line="260" w:lineRule="exact"/>
              <w:rPr>
                <w:rFonts w:ascii="仿宋_GB2312" w:eastAsia="仿宋_GB2312"/>
                <w:sz w:val="18"/>
                <w:szCs w:val="18"/>
              </w:rPr>
            </w:pPr>
            <w:r>
              <w:rPr>
                <w:rFonts w:hint="eastAsia" w:ascii="仿宋_GB2312" w:eastAsia="仿宋_GB2312"/>
                <w:sz w:val="18"/>
                <w:szCs w:val="18"/>
              </w:rPr>
              <w:t>每年1次配合甲方完成合同履约情况进行工作调研与沟通，提供甲方所需信息</w:t>
            </w:r>
          </w:p>
        </w:tc>
        <w:tc>
          <w:tcPr>
            <w:tcW w:w="1701" w:type="dxa"/>
            <w:vMerge w:val="continue"/>
          </w:tcPr>
          <w:p>
            <w:pPr>
              <w:spacing w:line="260" w:lineRule="exact"/>
              <w:rPr>
                <w:rFonts w:ascii="仿宋_GB2312" w:eastAsia="仿宋_GB2312"/>
                <w:sz w:val="18"/>
                <w:szCs w:val="18"/>
              </w:rPr>
            </w:pPr>
          </w:p>
        </w:tc>
        <w:tc>
          <w:tcPr>
            <w:tcW w:w="1256" w:type="dxa"/>
            <w:vMerge w:val="continue"/>
          </w:tcPr>
          <w:p>
            <w:pPr>
              <w:spacing w:line="260" w:lineRule="exact"/>
              <w:rPr>
                <w:rFonts w:ascii="仿宋_GB2312" w:eastAsia="仿宋_GB2312"/>
                <w:sz w:val="18"/>
                <w:szCs w:val="18"/>
              </w:rPr>
            </w:pPr>
          </w:p>
        </w:tc>
      </w:tr>
    </w:tbl>
    <w:p>
      <w:pPr>
        <w:spacing w:line="360" w:lineRule="auto"/>
        <w:ind w:firstLine="420" w:firstLineChars="200"/>
        <w:rPr>
          <w:rFonts w:ascii="仿宋_GB2312" w:eastAsia="仿宋_GB2312"/>
        </w:rPr>
      </w:pPr>
      <w:r>
        <w:rPr>
          <w:rFonts w:hint="eastAsia" w:ascii="仿宋_GB2312" w:eastAsia="仿宋_GB2312"/>
        </w:rPr>
        <w:t>8.1.8.2由于实际操作考虑、天气原因或其他紧急情况，甲方有权延缓或重新计划乙方提供的所有工作计划表，但必须提前24小时通知乙方，在紧急情况下依据实际情况提前适当时间通知乙方。</w:t>
      </w:r>
    </w:p>
    <w:p>
      <w:pPr>
        <w:spacing w:line="360" w:lineRule="auto"/>
        <w:ind w:left="392" w:leftChars="100" w:hanging="182" w:hangingChars="87"/>
        <w:rPr>
          <w:rFonts w:ascii="仿宋_GB2312" w:eastAsia="仿宋_GB2312"/>
        </w:rPr>
      </w:pPr>
      <w:r>
        <w:rPr>
          <w:rFonts w:hint="eastAsia" w:ascii="仿宋_GB2312" w:eastAsia="仿宋_GB2312"/>
        </w:rPr>
        <w:t>8.1.9乙方必须积极参与甲方要求的各项例会，配合甲方完成例会及调研等相关工作。</w:t>
      </w:r>
    </w:p>
    <w:p>
      <w:pPr>
        <w:spacing w:line="360" w:lineRule="auto"/>
        <w:ind w:left="210" w:leftChars="100"/>
        <w:rPr>
          <w:rFonts w:ascii="仿宋_GB2312" w:eastAsia="仿宋_GB2312"/>
        </w:rPr>
      </w:pPr>
      <w:r>
        <w:rPr>
          <w:rFonts w:hint="eastAsia" w:ascii="仿宋_GB2312" w:eastAsia="仿宋_GB2312"/>
        </w:rPr>
        <w:t xml:space="preserve">8.1.10乙方必须在本合同签订后二个月内，向甲方提供完整、规范的生产管理制度、服务操作标准与质量管理控制制度、安全管理制度（包括航空安全保卫制度和措施、通行证管理制度等）、培训管理制度、机械设备（设施）管理制度、仓库管理制度、各类应急预案相关处置程序（如：旅客摔跤事件的应急处置预案、发现不明物体的应急处置预案、发生火灾应急预案、人员疏散预案、大面积不正常航班应急处置预案、防汛抗台预案、旅客发生意外应急处置办法、员工意外伤害事故的处置预案、旅客投诉处理办法、大规模传染病应急处置预案、航站楼发生漏水现象的应急处置预案、有害化学清洁剂突然泄漏应急处置预案、发生员工频繁流失现象的处置预案、设备设施故障处置预案)等相关的制度和规章性文件及乙方运营操作时所须配备的警示标识牌等样式（包括文字、图片等）信息，经甲方审核同意后作为附件加入本合同，成为本合同不可分割的部分。 </w:t>
      </w:r>
    </w:p>
    <w:p>
      <w:pPr>
        <w:spacing w:line="360" w:lineRule="auto"/>
        <w:ind w:left="210" w:leftChars="100"/>
        <w:rPr>
          <w:rFonts w:ascii="仿宋_GB2312" w:eastAsia="仿宋_GB2312"/>
        </w:rPr>
      </w:pPr>
      <w:r>
        <w:rPr>
          <w:rFonts w:hint="eastAsia" w:ascii="仿宋_GB2312" w:eastAsia="仿宋_GB2312"/>
        </w:rPr>
        <w:t>8.1.11甲方将旅客行李手推车的管理维护服务承包给乙方，并为此支付相应的费用；乙方负责对旅客行李手推车进行维护保养，对损坏的行李手推车负责维修；乙方应确保旅客行李手推车在航班运行期间100%完好率及100%航班保障率；对于破损的行李手推车，乙方应在3个工作日内修复。手推车年损坏（无法使用）及遗失率公共区域大手推车不超过4%（含），隔离区内使用的小手推车（含婴儿手推车）不超过3%（含）；如遗失数量超过合同规定,乙方需补全手推车数量至合同规定范围，费用由乙方全权承担。</w:t>
      </w:r>
    </w:p>
    <w:p>
      <w:pPr>
        <w:spacing w:line="360" w:lineRule="auto"/>
        <w:ind w:left="210" w:leftChars="100"/>
        <w:rPr>
          <w:rFonts w:ascii="仿宋_GB2312" w:eastAsia="仿宋_GB2312"/>
        </w:rPr>
      </w:pPr>
      <w:r>
        <w:rPr>
          <w:rFonts w:hint="eastAsia" w:ascii="仿宋_GB2312" w:eastAsia="仿宋_GB2312"/>
        </w:rPr>
        <w:t>8.1.12乙方应保障行李手推车的清洁，每日对车辆进行清洗；乙方所聘用的行李手推车管理员负有指导旅客使用行李手推车的职责；对于乙方维护、管理不当造成的旅客财物的损失以及人身伤害，由乙方负全部赔偿责任，甲方不负任何责任。如因此给甲方造成的损失，乙方应赔偿甲方的全部损失。</w:t>
      </w:r>
    </w:p>
    <w:p>
      <w:pPr>
        <w:spacing w:line="360" w:lineRule="auto"/>
        <w:ind w:left="367" w:leftChars="100" w:hanging="157" w:hangingChars="75"/>
        <w:rPr>
          <w:rFonts w:ascii="仿宋_GB2312" w:eastAsia="仿宋_GB2312"/>
        </w:rPr>
      </w:pPr>
      <w:r>
        <w:rPr>
          <w:rFonts w:hint="eastAsia" w:ascii="仿宋_GB2312" w:eastAsia="仿宋_GB2312"/>
          <w:kern w:val="0"/>
        </w:rPr>
        <w:t>8.1.13如遇重大活动期间、重大保障任务（如亚运会）、节假日等客流高峰期，应按甲方要求，无条件增加工作人员数量，费用不做调整。运行期间内，如乙方的运营效果无法满足标书及甲方的要求，甲方有权要求乙方在最低要求的人数上增加人员，但必须提前一周书面通知，涉及的相关费用由乙方承担。</w:t>
      </w:r>
    </w:p>
    <w:p>
      <w:pPr>
        <w:spacing w:line="360" w:lineRule="auto"/>
        <w:rPr>
          <w:rFonts w:ascii="仿宋_GB2312" w:eastAsia="仿宋_GB2312"/>
          <w:b/>
        </w:rPr>
      </w:pPr>
    </w:p>
    <w:p>
      <w:pPr>
        <w:spacing w:line="360" w:lineRule="auto"/>
        <w:rPr>
          <w:rFonts w:ascii="仿宋_GB2312" w:eastAsia="仿宋_GB2312"/>
          <w:b/>
        </w:rPr>
      </w:pPr>
      <w:r>
        <w:rPr>
          <w:rFonts w:hint="eastAsia" w:ascii="仿宋_GB2312" w:eastAsia="仿宋_GB2312"/>
          <w:b/>
        </w:rPr>
        <w:t>9 环境与污染</w:t>
      </w:r>
    </w:p>
    <w:p>
      <w:pPr>
        <w:spacing w:line="360" w:lineRule="auto"/>
        <w:ind w:left="392" w:leftChars="50" w:hanging="287" w:hangingChars="137"/>
        <w:rPr>
          <w:rFonts w:ascii="仿宋_GB2312" w:eastAsia="仿宋_GB2312"/>
        </w:rPr>
      </w:pPr>
      <w:r>
        <w:rPr>
          <w:rFonts w:hint="eastAsia" w:ascii="仿宋_GB2312" w:eastAsia="仿宋_GB2312"/>
        </w:rPr>
        <w:t xml:space="preserve">9.1合同双方必须严格遵守ISO14001：2015环境管理体系相关要求及《中华人民共和国环境保护法》等环境保护相关法律法规的规定。严格执行上述要求与规定，做好垃圾回收管理等工作。 </w:t>
      </w:r>
    </w:p>
    <w:p>
      <w:pPr>
        <w:spacing w:line="360" w:lineRule="auto"/>
        <w:ind w:left="392" w:leftChars="50" w:hanging="287" w:hangingChars="137"/>
        <w:rPr>
          <w:rFonts w:ascii="仿宋_GB2312" w:eastAsia="仿宋_GB2312"/>
        </w:rPr>
      </w:pPr>
      <w:r>
        <w:rPr>
          <w:rFonts w:hint="eastAsia" w:ascii="仿宋_GB2312" w:eastAsia="仿宋_GB2312"/>
        </w:rPr>
        <w:t>9.2在合同有效期间，乙方必须注意并采取措施，防止因服务原因或为履行相应责任导致的对机场任何区域水质与环境的污染。</w:t>
      </w:r>
    </w:p>
    <w:p>
      <w:pPr>
        <w:spacing w:line="360" w:lineRule="auto"/>
        <w:ind w:left="392" w:leftChars="50" w:hanging="287" w:hangingChars="137"/>
        <w:rPr>
          <w:rFonts w:ascii="仿宋_GB2312" w:eastAsia="仿宋_GB2312"/>
        </w:rPr>
      </w:pPr>
      <w:r>
        <w:rPr>
          <w:rFonts w:hint="eastAsia" w:ascii="仿宋_GB2312" w:eastAsia="仿宋_GB2312"/>
        </w:rPr>
        <w:t>9.3乙方使用的所有工具等物品必须事先将其情况（包括产品品牌、型号、单价、环保情况等）提交甲方，在得到甲方同意后方可使用，若有更改书面通知甲方，在得到甲方同意后方可实施。</w:t>
      </w:r>
    </w:p>
    <w:p>
      <w:pPr>
        <w:spacing w:line="360" w:lineRule="auto"/>
        <w:ind w:left="392" w:leftChars="50" w:hanging="287" w:hangingChars="137"/>
        <w:rPr>
          <w:rFonts w:ascii="仿宋_GB2312" w:eastAsia="仿宋_GB2312"/>
        </w:rPr>
      </w:pPr>
      <w:r>
        <w:rPr>
          <w:rFonts w:hint="eastAsia" w:ascii="仿宋_GB2312" w:eastAsia="仿宋_GB2312"/>
        </w:rPr>
        <w:t>9.4如因乙方原因造成污染，无论乙方是否采取有效预防措施，乙方在本合同有效期内应采取如下措施：</w:t>
      </w:r>
    </w:p>
    <w:p>
      <w:pPr>
        <w:spacing w:line="360" w:lineRule="auto"/>
        <w:ind w:left="392" w:leftChars="100" w:hanging="182" w:hangingChars="87"/>
        <w:rPr>
          <w:rFonts w:ascii="仿宋_GB2312" w:eastAsia="仿宋_GB2312"/>
        </w:rPr>
      </w:pPr>
      <w:r>
        <w:rPr>
          <w:rFonts w:hint="eastAsia" w:ascii="仿宋_GB2312" w:eastAsia="仿宋_GB2312"/>
        </w:rPr>
        <w:t>9.4.1立即通知甲方或甲方主要代表</w:t>
      </w:r>
    </w:p>
    <w:p>
      <w:pPr>
        <w:spacing w:line="360" w:lineRule="auto"/>
        <w:ind w:left="392" w:leftChars="100" w:hanging="182" w:hangingChars="87"/>
        <w:rPr>
          <w:rFonts w:ascii="仿宋_GB2312" w:eastAsia="仿宋_GB2312"/>
        </w:rPr>
      </w:pPr>
      <w:r>
        <w:rPr>
          <w:rFonts w:hint="eastAsia" w:ascii="仿宋_GB2312" w:eastAsia="仿宋_GB2312"/>
        </w:rPr>
        <w:t>9.4.2在依据条款9.4.1通知后，立即向甲方提交书面的详细报告和快速地对造成污染的进行补救，如获得许可进入污染地区，必须对受污染机场区域土地、水、海或空气进行净化，如甲方或第三方进行了净化，乙方应立即向甲方和第三方偿还净化所需的费用，并承担相关的其他责任。</w:t>
      </w:r>
    </w:p>
    <w:p>
      <w:pPr>
        <w:spacing w:line="360" w:lineRule="auto"/>
        <w:ind w:left="392" w:leftChars="100" w:hanging="182" w:hangingChars="87"/>
        <w:rPr>
          <w:rFonts w:ascii="仿宋_GB2312" w:eastAsia="仿宋_GB2312"/>
        </w:rPr>
      </w:pPr>
      <w:r>
        <w:rPr>
          <w:rFonts w:hint="eastAsia" w:ascii="仿宋_GB2312" w:eastAsia="仿宋_GB2312"/>
        </w:rPr>
        <w:t>9.4.3即使因其他原因本合同已终止或到期后，发生条款9.2所述的因乙方原因引起的污染，乙方应立即通知甲方主要代表，并向甲方或第三方偿还由此引起的净化费用，并承担相关的其他责任。</w:t>
      </w:r>
    </w:p>
    <w:p>
      <w:pPr>
        <w:spacing w:line="360" w:lineRule="auto"/>
        <w:ind w:left="392" w:leftChars="50" w:hanging="287" w:hangingChars="137"/>
        <w:rPr>
          <w:rFonts w:ascii="仿宋_GB2312" w:eastAsia="仿宋_GB2312"/>
        </w:rPr>
      </w:pPr>
      <w:r>
        <w:rPr>
          <w:rFonts w:hint="eastAsia" w:ascii="仿宋_GB2312" w:eastAsia="仿宋_GB2312"/>
        </w:rPr>
        <w:t>9.5乙方须加强其员工节能降耗的意识，并制订节能降耗的相关制度，对其员工进行教育、监督与管理。</w:t>
      </w:r>
    </w:p>
    <w:p>
      <w:pPr>
        <w:spacing w:line="360" w:lineRule="auto"/>
        <w:rPr>
          <w:rFonts w:ascii="仿宋_GB2312" w:eastAsia="仿宋_GB2312"/>
        </w:rPr>
      </w:pPr>
    </w:p>
    <w:p>
      <w:pPr>
        <w:spacing w:line="360" w:lineRule="auto"/>
        <w:ind w:left="449" w:hanging="449"/>
        <w:rPr>
          <w:rFonts w:ascii="仿宋_GB2312" w:eastAsia="仿宋_GB2312"/>
          <w:b/>
        </w:rPr>
      </w:pPr>
      <w:r>
        <w:rPr>
          <w:rFonts w:hint="eastAsia" w:ascii="仿宋_GB2312" w:eastAsia="仿宋_GB2312"/>
          <w:b/>
        </w:rPr>
        <w:t>10 安全</w:t>
      </w:r>
    </w:p>
    <w:p>
      <w:pPr>
        <w:spacing w:line="360" w:lineRule="auto"/>
        <w:ind w:left="392" w:leftChars="50" w:hanging="287" w:hangingChars="137"/>
        <w:rPr>
          <w:rFonts w:ascii="仿宋_GB2312" w:eastAsia="仿宋_GB2312"/>
        </w:rPr>
      </w:pPr>
      <w:r>
        <w:rPr>
          <w:rFonts w:hint="eastAsia" w:ascii="仿宋_GB2312" w:eastAsia="仿宋_GB2312"/>
        </w:rPr>
        <w:t>10.1乙方必须要求其员工、顾问、代理、供应商、客户、邀请者、来访者和他们各自的雇员在机场或机场周边地区遵守机场的全部规章制度，对违反规定的当事人行为及产生的后果承担责任。</w:t>
      </w:r>
    </w:p>
    <w:p>
      <w:pPr>
        <w:spacing w:line="360" w:lineRule="auto"/>
        <w:ind w:left="392" w:leftChars="50" w:hanging="287" w:hangingChars="137"/>
        <w:rPr>
          <w:rFonts w:ascii="仿宋_GB2312" w:eastAsia="仿宋_GB2312"/>
        </w:rPr>
      </w:pPr>
      <w:r>
        <w:rPr>
          <w:rFonts w:hint="eastAsia" w:ascii="仿宋_GB2312" w:eastAsia="仿宋_GB2312"/>
        </w:rPr>
        <w:t>10.2通行证</w:t>
      </w:r>
    </w:p>
    <w:p>
      <w:pPr>
        <w:spacing w:line="360" w:lineRule="auto"/>
        <w:ind w:left="392" w:leftChars="150" w:hanging="77" w:hangingChars="37"/>
        <w:rPr>
          <w:rFonts w:ascii="仿宋_GB2312" w:eastAsia="仿宋_GB2312"/>
        </w:rPr>
      </w:pPr>
      <w:r>
        <w:rPr>
          <w:rFonts w:hint="eastAsia" w:ascii="仿宋_GB2312" w:eastAsia="仿宋_GB2312"/>
        </w:rPr>
        <w:t>乙方随时保证其因本合同条款要求进入机场控制区工作的人员和交通工具必须具有申请办理通行证的资格，符合《</w:t>
      </w:r>
      <w:r>
        <w:rPr>
          <w:rFonts w:hint="eastAsia" w:ascii="仿宋_GB2312" w:eastAsia="仿宋_GB2312" w:cs="AdobeSongStd-Light"/>
          <w:kern w:val="0"/>
        </w:rPr>
        <w:t>杭州萧山国际机场控制区通行证管理规定</w:t>
      </w:r>
      <w:r>
        <w:rPr>
          <w:rFonts w:hint="eastAsia" w:ascii="仿宋_GB2312" w:eastAsia="仿宋_GB2312"/>
        </w:rPr>
        <w:t>》的准入要求，乙方对其申办人员负有保证证件、证明材料真实、合法、有效性的审核义务，同时其人员必须遵守相关机场控制区管理的要求和规定，以及《</w:t>
      </w:r>
      <w:r>
        <w:rPr>
          <w:rFonts w:hint="eastAsia" w:ascii="仿宋_GB2312" w:eastAsia="仿宋_GB2312" w:cs="AdobeSongStd-Light"/>
          <w:kern w:val="0"/>
        </w:rPr>
        <w:t>杭州萧山国际机场控制区通行证管理规定</w:t>
      </w:r>
      <w:r>
        <w:rPr>
          <w:rFonts w:hint="eastAsia" w:ascii="仿宋_GB2312" w:eastAsia="仿宋_GB2312"/>
        </w:rPr>
        <w:t>》涉及的所有条款。乙方完全知悉并承诺遵守《</w:t>
      </w:r>
      <w:r>
        <w:rPr>
          <w:rFonts w:hint="eastAsia" w:ascii="仿宋_GB2312" w:eastAsia="仿宋_GB2312" w:cs="AdobeSongStd-Light"/>
          <w:kern w:val="0"/>
        </w:rPr>
        <w:t>杭州萧山国际机场控制区通行证管理规定</w:t>
      </w:r>
      <w:r>
        <w:rPr>
          <w:rFonts w:hint="eastAsia" w:ascii="仿宋_GB2312" w:eastAsia="仿宋_GB2312"/>
        </w:rPr>
        <w:t>》和其相关制度，甲方有绝对权力取消、延迟或拒绝对乙方人员或交通工具控制区通行证的办理和签发。乙方对此没有申诉权（包括但不限于对间接或直接的金钱损失的申诉）。乙方承担通行证申请过程中人员办理的一切费用。</w:t>
      </w:r>
    </w:p>
    <w:p>
      <w:pPr>
        <w:spacing w:line="360" w:lineRule="auto"/>
        <w:ind w:left="392" w:leftChars="50" w:hanging="287" w:hangingChars="137"/>
        <w:rPr>
          <w:rFonts w:ascii="仿宋_GB2312" w:eastAsia="仿宋_GB2312"/>
        </w:rPr>
      </w:pPr>
      <w:r>
        <w:rPr>
          <w:rFonts w:hint="eastAsia" w:ascii="仿宋_GB2312" w:eastAsia="仿宋_GB2312"/>
        </w:rPr>
        <w:t>10.3乙方必须保证对清洁剂或其他化学有害物质的操作、存储、贴标遵照相关法律法规的规定。</w:t>
      </w:r>
    </w:p>
    <w:p>
      <w:pPr>
        <w:spacing w:line="360" w:lineRule="auto"/>
        <w:ind w:left="392" w:leftChars="50" w:hanging="287" w:hangingChars="137"/>
        <w:rPr>
          <w:rFonts w:ascii="仿宋_GB2312" w:eastAsia="仿宋_GB2312"/>
        </w:rPr>
      </w:pPr>
      <w:r>
        <w:rPr>
          <w:rFonts w:hint="eastAsia" w:ascii="仿宋_GB2312" w:eastAsia="仿宋_GB2312"/>
        </w:rPr>
        <w:t>10.4乙方及乙方员工应遵守消防安全的规定，采取切实可行和适当的预防措施防止火灾，遵守政府及国家或政府（包括甲方）有关的法律法规、议事程序、许可及要求。</w:t>
      </w:r>
    </w:p>
    <w:p>
      <w:pPr>
        <w:spacing w:line="360" w:lineRule="auto"/>
        <w:ind w:left="392" w:leftChars="50" w:hanging="287" w:hangingChars="137"/>
        <w:rPr>
          <w:rFonts w:ascii="仿宋_GB2312" w:eastAsia="仿宋_GB2312"/>
        </w:rPr>
      </w:pPr>
      <w:r>
        <w:rPr>
          <w:rFonts w:hint="eastAsia" w:ascii="仿宋_GB2312" w:eastAsia="仿宋_GB2312"/>
        </w:rPr>
        <w:t>10.5乙方每年不少于两次对本合同实施中相关安全工作进行评估，并依据评估结果提出持续改进方案，采取相应措施。相关报告提交甲方。</w:t>
      </w:r>
    </w:p>
    <w:p>
      <w:pPr>
        <w:spacing w:line="360" w:lineRule="auto"/>
        <w:ind w:left="392" w:leftChars="50" w:hanging="287" w:hangingChars="137"/>
        <w:rPr>
          <w:rFonts w:ascii="仿宋_GB2312" w:eastAsia="仿宋_GB2312"/>
        </w:rPr>
      </w:pPr>
      <w:r>
        <w:rPr>
          <w:rFonts w:hint="eastAsia" w:ascii="仿宋_GB2312" w:eastAsia="仿宋_GB2312"/>
        </w:rPr>
        <w:t>10.6对于乙方违反以上条款的行为，甲方将对乙方发整改通知要求限期整改，并扣除履约保证金；重复发生，甲方有权终止合同。</w:t>
      </w:r>
    </w:p>
    <w:p>
      <w:pPr>
        <w:spacing w:line="360" w:lineRule="auto"/>
        <w:rPr>
          <w:rFonts w:ascii="仿宋_GB2312" w:eastAsia="仿宋_GB2312"/>
        </w:rPr>
      </w:pPr>
    </w:p>
    <w:p>
      <w:pPr>
        <w:spacing w:line="360" w:lineRule="auto"/>
        <w:ind w:left="449" w:hanging="449"/>
        <w:rPr>
          <w:rFonts w:ascii="仿宋_GB2312" w:eastAsia="仿宋_GB2312"/>
          <w:b/>
        </w:rPr>
      </w:pPr>
      <w:r>
        <w:rPr>
          <w:rFonts w:hint="eastAsia" w:ascii="仿宋_GB2312" w:eastAsia="仿宋_GB2312"/>
          <w:b/>
        </w:rPr>
        <w:t>11 商业许可证</w:t>
      </w:r>
    </w:p>
    <w:p>
      <w:pPr>
        <w:spacing w:line="360" w:lineRule="auto"/>
        <w:ind w:left="392" w:leftChars="50" w:hanging="287" w:hangingChars="137"/>
        <w:rPr>
          <w:rFonts w:ascii="仿宋_GB2312" w:eastAsia="仿宋_GB2312"/>
        </w:rPr>
      </w:pPr>
      <w:r>
        <w:rPr>
          <w:rFonts w:hint="eastAsia" w:ascii="仿宋_GB2312" w:eastAsia="仿宋_GB2312"/>
        </w:rPr>
        <w:t>11．1乙方需根据本合同所需申请、更新和持有所有必要的执照和许可证，包括且不限于《营业执照》、《组织机构代码证》以及国家和政府规定的从事手推车服务所必须具有的相关执照和许可证。</w:t>
      </w:r>
    </w:p>
    <w:p>
      <w:pPr>
        <w:spacing w:line="360" w:lineRule="auto"/>
        <w:ind w:left="392" w:leftChars="50" w:hanging="287" w:hangingChars="137"/>
        <w:rPr>
          <w:rFonts w:ascii="仿宋_GB2312" w:eastAsia="仿宋_GB2312"/>
        </w:rPr>
      </w:pPr>
      <w:r>
        <w:rPr>
          <w:rFonts w:hint="eastAsia" w:ascii="仿宋_GB2312" w:eastAsia="仿宋_GB2312"/>
        </w:rPr>
        <w:t>11．2如甲方书面通知乙方提供其许可证等相关事项，而甲方提出书面通知后的30天内，乙方具有的许可证遗失或遗漏或拒绝提交，则由此造成的一切损失均由乙方承担。</w:t>
      </w:r>
    </w:p>
    <w:p>
      <w:pPr>
        <w:spacing w:line="360" w:lineRule="auto"/>
        <w:ind w:left="392" w:leftChars="50" w:hanging="287" w:hangingChars="137"/>
        <w:rPr>
          <w:rFonts w:ascii="仿宋_GB2312" w:eastAsia="仿宋_GB2312"/>
        </w:rPr>
      </w:pPr>
    </w:p>
    <w:p>
      <w:pPr>
        <w:spacing w:line="360" w:lineRule="auto"/>
        <w:rPr>
          <w:rFonts w:ascii="仿宋_GB2312" w:eastAsia="仿宋_GB2312"/>
          <w:b/>
        </w:rPr>
      </w:pPr>
      <w:r>
        <w:rPr>
          <w:rFonts w:hint="eastAsia" w:ascii="仿宋_GB2312" w:eastAsia="仿宋_GB2312"/>
          <w:b/>
        </w:rPr>
        <w:t>12 遵守和禁止事项</w:t>
      </w:r>
    </w:p>
    <w:p>
      <w:pPr>
        <w:spacing w:line="360" w:lineRule="auto"/>
        <w:ind w:left="392" w:leftChars="50" w:hanging="287" w:hangingChars="137"/>
        <w:rPr>
          <w:rFonts w:ascii="仿宋_GB2312" w:eastAsia="仿宋_GB2312"/>
        </w:rPr>
      </w:pPr>
      <w:r>
        <w:rPr>
          <w:rFonts w:hint="eastAsia" w:ascii="仿宋_GB2312" w:eastAsia="仿宋_GB2312"/>
        </w:rPr>
        <w:t>12.1乙方必须要求其员工、顾问、代理、供应商、客户、邀请者、来访者和他们各自的员工时刻遵守以下事项：</w:t>
      </w:r>
    </w:p>
    <w:p>
      <w:pPr>
        <w:spacing w:line="360" w:lineRule="auto"/>
        <w:ind w:left="130" w:leftChars="62"/>
        <w:rPr>
          <w:rFonts w:ascii="仿宋_GB2312" w:eastAsia="仿宋_GB2312"/>
        </w:rPr>
      </w:pPr>
      <w:r>
        <w:rPr>
          <w:rFonts w:hint="eastAsia" w:ascii="仿宋_GB2312" w:eastAsia="仿宋_GB2312"/>
        </w:rPr>
        <w:t>（1）国家法律，条例、法令、规定等。</w:t>
      </w:r>
    </w:p>
    <w:p>
      <w:pPr>
        <w:spacing w:line="360" w:lineRule="auto"/>
        <w:ind w:left="298" w:leftChars="60" w:hanging="172" w:hangingChars="82"/>
        <w:rPr>
          <w:rFonts w:ascii="仿宋_GB2312" w:hAnsi="黑体" w:eastAsia="仿宋_GB2312"/>
        </w:rPr>
      </w:pPr>
      <w:r>
        <w:rPr>
          <w:rFonts w:hint="eastAsia" w:ascii="仿宋_GB2312" w:eastAsia="仿宋_GB2312"/>
        </w:rPr>
        <w:t>（2）遵守甲方全部规章制度。</w:t>
      </w:r>
    </w:p>
    <w:p>
      <w:pPr>
        <w:spacing w:line="360" w:lineRule="auto"/>
        <w:ind w:left="392" w:leftChars="50" w:hanging="287" w:hangingChars="137"/>
        <w:rPr>
          <w:rFonts w:ascii="仿宋_GB2312" w:eastAsia="仿宋_GB2312"/>
        </w:rPr>
      </w:pPr>
      <w:r>
        <w:rPr>
          <w:rFonts w:hint="eastAsia" w:ascii="仿宋_GB2312" w:eastAsia="仿宋_GB2312"/>
        </w:rPr>
        <w:t>12.2乙方不得在承包区域安排人员住宿、从事非法活动或非工作事宜，不允许他人在承包区域对甲方或第三方进行滋扰性的行为。</w:t>
      </w:r>
    </w:p>
    <w:p>
      <w:pPr>
        <w:spacing w:line="360" w:lineRule="auto"/>
        <w:ind w:left="392" w:leftChars="50" w:hanging="287" w:hangingChars="137"/>
        <w:rPr>
          <w:rFonts w:ascii="仿宋_GB2312" w:eastAsia="仿宋_GB2312"/>
        </w:rPr>
      </w:pPr>
      <w:r>
        <w:rPr>
          <w:rFonts w:hint="eastAsia" w:ascii="仿宋_GB2312" w:eastAsia="仿宋_GB2312"/>
        </w:rPr>
        <w:t>12.3除经甲方批准进行必要的维修工程外，乙方不得损毁承包区域原有的设施和装潢，不得更改已铺设的电缆、电线或电力装置。</w:t>
      </w:r>
    </w:p>
    <w:p>
      <w:pPr>
        <w:spacing w:line="360" w:lineRule="auto"/>
        <w:ind w:left="392" w:leftChars="50" w:hanging="287" w:hangingChars="137"/>
        <w:rPr>
          <w:rFonts w:ascii="仿宋_GB2312" w:eastAsia="仿宋_GB2312"/>
        </w:rPr>
      </w:pPr>
      <w:r>
        <w:rPr>
          <w:rFonts w:hint="eastAsia" w:ascii="仿宋_GB2312" w:eastAsia="仿宋_GB2312"/>
        </w:rPr>
        <w:t>12.4乙方不得安装任何有可能造成电缆负载过大的电器设备。禁止私拉、私接任何电源设备。</w:t>
      </w:r>
    </w:p>
    <w:p>
      <w:pPr>
        <w:spacing w:line="360" w:lineRule="auto"/>
        <w:ind w:left="392" w:leftChars="50" w:hanging="287" w:hangingChars="137"/>
        <w:rPr>
          <w:rFonts w:ascii="仿宋_GB2312" w:eastAsia="仿宋_GB2312"/>
        </w:rPr>
      </w:pPr>
      <w:r>
        <w:rPr>
          <w:rFonts w:hint="eastAsia" w:ascii="仿宋_GB2312" w:eastAsia="仿宋_GB2312"/>
        </w:rPr>
        <w:t>12.5未经甲方书面同意，乙方任何时候都不能在承包区域存放易燃易爆物品、挥发性大或气味浓烈的液体。</w:t>
      </w:r>
    </w:p>
    <w:p>
      <w:pPr>
        <w:spacing w:line="360" w:lineRule="auto"/>
        <w:ind w:left="392" w:leftChars="50" w:hanging="287" w:hangingChars="137"/>
        <w:rPr>
          <w:rFonts w:ascii="仿宋_GB2312" w:eastAsia="仿宋_GB2312"/>
        </w:rPr>
      </w:pPr>
      <w:r>
        <w:rPr>
          <w:rFonts w:hint="eastAsia" w:ascii="仿宋_GB2312" w:eastAsia="仿宋_GB2312"/>
        </w:rPr>
        <w:t>12.6乙方应严格按照航站楼受限用电器管理规定在航站楼内使用微波炉等大功率电器，严禁在隔离区内私自购买免税商品等行为。</w:t>
      </w:r>
    </w:p>
    <w:p>
      <w:pPr>
        <w:spacing w:line="360" w:lineRule="auto"/>
        <w:ind w:left="392" w:leftChars="50" w:hanging="287" w:hangingChars="137"/>
        <w:rPr>
          <w:rFonts w:ascii="仿宋_GB2312" w:eastAsia="仿宋_GB2312"/>
        </w:rPr>
      </w:pPr>
    </w:p>
    <w:p>
      <w:pPr>
        <w:spacing w:line="360" w:lineRule="auto"/>
        <w:ind w:left="449" w:hanging="449"/>
        <w:rPr>
          <w:rFonts w:ascii="仿宋_GB2312" w:eastAsia="仿宋_GB2312"/>
        </w:rPr>
      </w:pPr>
      <w:r>
        <w:rPr>
          <w:rFonts w:hint="eastAsia" w:ascii="仿宋_GB2312" w:eastAsia="仿宋_GB2312"/>
          <w:b/>
        </w:rPr>
        <w:t>13</w:t>
      </w:r>
      <w:r>
        <w:rPr>
          <w:rFonts w:hint="eastAsia" w:ascii="仿宋_GB2312" w:eastAsia="仿宋_GB2312"/>
        </w:rPr>
        <w:t>乙方不得以甲方的名义从事任何经济活动。乙方需自行缴纳税务、工商部门的各项税款、费用，由此发生的一切债权、债务与甲方无关。</w:t>
      </w:r>
    </w:p>
    <w:p>
      <w:pPr>
        <w:spacing w:line="360" w:lineRule="auto"/>
        <w:ind w:left="392" w:leftChars="50" w:hanging="287" w:hangingChars="137"/>
        <w:rPr>
          <w:rFonts w:ascii="仿宋_GB2312" w:eastAsia="仿宋_GB2312"/>
          <w:szCs w:val="30"/>
        </w:rPr>
      </w:pPr>
      <w:r>
        <w:rPr>
          <w:rFonts w:hint="eastAsia" w:ascii="仿宋_GB2312" w:eastAsia="仿宋_GB2312"/>
          <w:szCs w:val="30"/>
        </w:rPr>
        <w:t>13.1乙方用工必须遵守《中华人民共和国劳动法》、《中华人民共和国劳动合同法》及相关法律法规。在本合同有效期内，</w:t>
      </w:r>
      <w:r>
        <w:rPr>
          <w:rFonts w:ascii="仿宋_GB2312" w:eastAsia="仿宋_GB2312"/>
          <w:szCs w:val="30"/>
        </w:rPr>
        <w:t>乙方必须与</w:t>
      </w:r>
      <w:r>
        <w:rPr>
          <w:rFonts w:hint="eastAsia" w:ascii="仿宋_GB2312" w:eastAsia="仿宋_GB2312"/>
          <w:szCs w:val="30"/>
        </w:rPr>
        <w:t>其为履行本合同义务而派往甲方的</w:t>
      </w:r>
      <w:r>
        <w:rPr>
          <w:rFonts w:ascii="仿宋_GB2312" w:eastAsia="仿宋_GB2312"/>
          <w:szCs w:val="30"/>
        </w:rPr>
        <w:t>工作人员建立</w:t>
      </w:r>
      <w:r>
        <w:rPr>
          <w:rFonts w:hint="eastAsia" w:ascii="仿宋_GB2312" w:eastAsia="仿宋_GB2312"/>
          <w:szCs w:val="30"/>
        </w:rPr>
        <w:t>并存续</w:t>
      </w:r>
      <w:r>
        <w:rPr>
          <w:rFonts w:ascii="仿宋_GB2312" w:eastAsia="仿宋_GB2312"/>
          <w:szCs w:val="30"/>
        </w:rPr>
        <w:t>合法的劳动合同关系，</w:t>
      </w:r>
      <w:r>
        <w:rPr>
          <w:rFonts w:hint="eastAsia" w:ascii="仿宋_GB2312" w:eastAsia="仿宋_GB2312"/>
          <w:szCs w:val="30"/>
        </w:rPr>
        <w:t>乙方对该等工作人员</w:t>
      </w:r>
      <w:r>
        <w:rPr>
          <w:rFonts w:ascii="仿宋_GB2312" w:eastAsia="仿宋_GB2312"/>
          <w:szCs w:val="30"/>
        </w:rPr>
        <w:t>必须依法履行</w:t>
      </w:r>
      <w:r>
        <w:rPr>
          <w:rFonts w:hint="eastAsia" w:ascii="仿宋_GB2312" w:eastAsia="仿宋_GB2312"/>
          <w:szCs w:val="30"/>
        </w:rPr>
        <w:t>用人单位</w:t>
      </w:r>
      <w:r>
        <w:rPr>
          <w:rFonts w:ascii="仿宋_GB2312" w:eastAsia="仿宋_GB2312"/>
          <w:szCs w:val="30"/>
        </w:rPr>
        <w:t>义务。</w:t>
      </w:r>
      <w:r>
        <w:rPr>
          <w:rFonts w:hint="eastAsia" w:ascii="仿宋_GB2312" w:eastAsia="仿宋_GB2312"/>
          <w:szCs w:val="30"/>
        </w:rPr>
        <w:t>在本合同履行过程中，如发生非因甲方原因导致的乙方工作人员任何损害，均应由乙方负责处理并依法承担责任。</w:t>
      </w:r>
      <w:r>
        <w:rPr>
          <w:rFonts w:ascii="仿宋_GB2312" w:eastAsia="仿宋_GB2312"/>
          <w:szCs w:val="30"/>
        </w:rPr>
        <w:t>如果甲方发现乙方未与其</w:t>
      </w:r>
      <w:r>
        <w:rPr>
          <w:rFonts w:hint="eastAsia" w:ascii="仿宋_GB2312" w:eastAsia="仿宋_GB2312"/>
          <w:szCs w:val="30"/>
        </w:rPr>
        <w:t>派往甲方的</w:t>
      </w:r>
      <w:r>
        <w:rPr>
          <w:rFonts w:ascii="仿宋_GB2312" w:eastAsia="仿宋_GB2312"/>
          <w:szCs w:val="30"/>
        </w:rPr>
        <w:t>工作人员建立劳动关系</w:t>
      </w:r>
      <w:r>
        <w:rPr>
          <w:rFonts w:hint="eastAsia" w:ascii="仿宋_GB2312" w:eastAsia="仿宋_GB2312"/>
          <w:szCs w:val="30"/>
        </w:rPr>
        <w:t>或者未依法履行用人单位义务的</w:t>
      </w:r>
      <w:r>
        <w:rPr>
          <w:rFonts w:ascii="仿宋_GB2312" w:eastAsia="仿宋_GB2312"/>
          <w:szCs w:val="30"/>
        </w:rPr>
        <w:t>，甲方有权要求乙方更换</w:t>
      </w:r>
      <w:r>
        <w:rPr>
          <w:rFonts w:hint="eastAsia" w:ascii="仿宋_GB2312" w:eastAsia="仿宋_GB2312"/>
          <w:szCs w:val="30"/>
        </w:rPr>
        <w:t>该等</w:t>
      </w:r>
      <w:r>
        <w:rPr>
          <w:rFonts w:ascii="仿宋_GB2312" w:eastAsia="仿宋_GB2312"/>
          <w:szCs w:val="30"/>
        </w:rPr>
        <w:t>工作人员</w:t>
      </w:r>
      <w:r>
        <w:rPr>
          <w:rFonts w:hint="eastAsia" w:ascii="仿宋_GB2312" w:eastAsia="仿宋_GB2312"/>
          <w:szCs w:val="30"/>
        </w:rPr>
        <w:t>，乙方必须按照甲方要求指定符合本合同约定的工作人员履行本合同项下之义务</w:t>
      </w:r>
      <w:r>
        <w:rPr>
          <w:rFonts w:ascii="仿宋_GB2312" w:eastAsia="仿宋_GB2312"/>
          <w:szCs w:val="30"/>
        </w:rPr>
        <w:t>。</w:t>
      </w:r>
    </w:p>
    <w:p>
      <w:pPr>
        <w:spacing w:line="360" w:lineRule="auto"/>
        <w:ind w:left="392" w:leftChars="50" w:hanging="287" w:hangingChars="137"/>
        <w:rPr>
          <w:rFonts w:ascii="仿宋_GB2312" w:eastAsia="仿宋_GB2312"/>
          <w:szCs w:val="30"/>
        </w:rPr>
      </w:pPr>
    </w:p>
    <w:p>
      <w:pPr>
        <w:spacing w:line="360" w:lineRule="auto"/>
        <w:ind w:left="449" w:hanging="449"/>
        <w:rPr>
          <w:rFonts w:ascii="仿宋_GB2312" w:eastAsia="仿宋_GB2312"/>
        </w:rPr>
      </w:pPr>
      <w:r>
        <w:rPr>
          <w:rFonts w:hint="eastAsia" w:ascii="仿宋_GB2312" w:eastAsia="仿宋_GB2312"/>
          <w:b/>
        </w:rPr>
        <w:t>14</w:t>
      </w:r>
      <w:r>
        <w:rPr>
          <w:rFonts w:hint="eastAsia" w:ascii="仿宋_GB2312" w:eastAsia="仿宋_GB2312"/>
        </w:rPr>
        <w:t>乙方不得以任何理由向甲方工作人员支付小费或赠送实物以及行贿受贿，否则甲方将追究乙方违约责任，直至终止合同。</w:t>
      </w:r>
    </w:p>
    <w:p>
      <w:pPr>
        <w:spacing w:line="360" w:lineRule="auto"/>
        <w:rPr>
          <w:rFonts w:ascii="仿宋_GB2312" w:eastAsia="仿宋_GB2312"/>
        </w:rPr>
      </w:pPr>
    </w:p>
    <w:p>
      <w:pPr>
        <w:spacing w:line="360" w:lineRule="auto"/>
        <w:ind w:left="449" w:hanging="449"/>
        <w:rPr>
          <w:rFonts w:ascii="仿宋_GB2312" w:eastAsia="仿宋_GB2312"/>
        </w:rPr>
      </w:pPr>
      <w:r>
        <w:rPr>
          <w:rFonts w:hint="eastAsia" w:ascii="仿宋_GB2312" w:eastAsia="仿宋_GB2312"/>
          <w:b/>
        </w:rPr>
        <w:t>15</w:t>
      </w:r>
      <w:r>
        <w:rPr>
          <w:rFonts w:hint="eastAsia" w:ascii="仿宋_GB2312" w:eastAsia="仿宋_GB2312"/>
        </w:rPr>
        <w:t>乙方或乙方工作人员未经甲方书面同意，不得将机场内回收到的垃圾、废品等擅自处理，无论其是否从中获利。否则，甲方将追究乙方违约责任，直至终止合同。</w:t>
      </w:r>
    </w:p>
    <w:p>
      <w:pPr>
        <w:spacing w:line="360" w:lineRule="auto"/>
        <w:rPr>
          <w:rFonts w:ascii="仿宋_GB2312" w:eastAsia="仿宋_GB2312"/>
        </w:rPr>
      </w:pPr>
    </w:p>
    <w:p>
      <w:pPr>
        <w:spacing w:line="360" w:lineRule="auto"/>
        <w:ind w:left="449" w:hanging="449"/>
        <w:rPr>
          <w:rFonts w:ascii="仿宋_GB2312" w:eastAsia="仿宋_GB2312"/>
          <w:b/>
        </w:rPr>
      </w:pPr>
      <w:r>
        <w:rPr>
          <w:rFonts w:hint="eastAsia" w:ascii="仿宋_GB2312" w:eastAsia="仿宋_GB2312"/>
          <w:b/>
        </w:rPr>
        <w:t>16 保险</w:t>
      </w:r>
    </w:p>
    <w:p>
      <w:pPr>
        <w:spacing w:line="360" w:lineRule="auto"/>
        <w:ind w:left="392" w:leftChars="50" w:hanging="287" w:hangingChars="137"/>
        <w:rPr>
          <w:rFonts w:ascii="仿宋_GB2312" w:eastAsia="仿宋_GB2312"/>
        </w:rPr>
      </w:pPr>
      <w:r>
        <w:rPr>
          <w:rFonts w:hint="eastAsia" w:ascii="仿宋_GB2312" w:eastAsia="仿宋_GB2312"/>
        </w:rPr>
        <w:t>16.1乙方应在本合同期限内投保，且保险费由乙方承担，乙方须在合同签订后</w:t>
      </w:r>
      <w:r>
        <w:rPr>
          <w:rFonts w:hint="eastAsia" w:ascii="仿宋_GB2312" w:eastAsia="仿宋_GB2312"/>
          <w:u w:val="single"/>
        </w:rPr>
        <w:t>三十天</w:t>
      </w:r>
      <w:r>
        <w:rPr>
          <w:rFonts w:hint="eastAsia" w:ascii="仿宋_GB2312" w:eastAsia="仿宋_GB2312"/>
        </w:rPr>
        <w:t>内向甲方出示此保险单，并在合作期内根据甲方要求适时提供已付清保费的收据。否则，甲方有权单方面解除合同，而不承担任何责任。投保项目如下：</w:t>
      </w:r>
    </w:p>
    <w:p>
      <w:pPr>
        <w:spacing w:line="360" w:lineRule="auto"/>
        <w:ind w:left="393" w:leftChars="187" w:firstLine="525" w:firstLineChars="250"/>
        <w:rPr>
          <w:rFonts w:ascii="仿宋_GB2312" w:eastAsia="仿宋_GB2312"/>
        </w:rPr>
      </w:pPr>
      <w:r>
        <w:rPr>
          <w:rFonts w:hint="eastAsia" w:ascii="仿宋_GB2312" w:eastAsia="仿宋_GB2312"/>
        </w:rPr>
        <w:t>雇主责任险</w:t>
      </w:r>
    </w:p>
    <w:p>
      <w:pPr>
        <w:spacing w:line="360" w:lineRule="auto"/>
        <w:ind w:left="393" w:leftChars="187" w:firstLine="525" w:firstLineChars="250"/>
        <w:rPr>
          <w:rFonts w:ascii="仿宋_GB2312" w:eastAsia="仿宋_GB2312"/>
        </w:rPr>
      </w:pPr>
      <w:r>
        <w:rPr>
          <w:rFonts w:hint="eastAsia" w:ascii="仿宋_GB2312" w:eastAsia="仿宋_GB2312"/>
        </w:rPr>
        <w:t>公众责任险</w:t>
      </w:r>
    </w:p>
    <w:p>
      <w:pPr>
        <w:spacing w:line="360" w:lineRule="auto"/>
        <w:ind w:left="393" w:leftChars="187" w:firstLine="525" w:firstLineChars="250"/>
        <w:rPr>
          <w:rFonts w:ascii="仿宋_GB2312" w:eastAsia="仿宋_GB2312"/>
        </w:rPr>
      </w:pPr>
      <w:r>
        <w:rPr>
          <w:rFonts w:hint="eastAsia" w:ascii="仿宋_GB2312" w:eastAsia="仿宋_GB2312"/>
        </w:rPr>
        <w:t>意外伤害险</w:t>
      </w:r>
    </w:p>
    <w:p>
      <w:pPr>
        <w:spacing w:line="360" w:lineRule="auto"/>
        <w:ind w:left="392" w:leftChars="50" w:hanging="287" w:hangingChars="137"/>
        <w:rPr>
          <w:rFonts w:ascii="仿宋_GB2312" w:eastAsia="仿宋_GB2312"/>
        </w:rPr>
      </w:pPr>
      <w:r>
        <w:rPr>
          <w:rFonts w:hint="eastAsia" w:ascii="仿宋_GB2312" w:eastAsia="仿宋_GB2312"/>
        </w:rPr>
        <w:t>16.2雇主责任险</w:t>
      </w:r>
    </w:p>
    <w:p>
      <w:pPr>
        <w:spacing w:line="360" w:lineRule="auto"/>
        <w:ind w:left="393" w:leftChars="187"/>
        <w:rPr>
          <w:rFonts w:ascii="仿宋_GB2312" w:eastAsia="仿宋_GB2312"/>
        </w:rPr>
      </w:pPr>
      <w:r>
        <w:rPr>
          <w:rFonts w:hint="eastAsia" w:ascii="仿宋_GB2312" w:eastAsia="仿宋_GB2312"/>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left="392" w:leftChars="50" w:hanging="287" w:hangingChars="137"/>
        <w:rPr>
          <w:rFonts w:ascii="仿宋_GB2312" w:eastAsia="仿宋_GB2312"/>
        </w:rPr>
      </w:pPr>
      <w:r>
        <w:rPr>
          <w:rFonts w:hint="eastAsia" w:ascii="仿宋_GB2312" w:eastAsia="仿宋_GB2312"/>
        </w:rPr>
        <w:t>16.3公众责任险</w:t>
      </w:r>
    </w:p>
    <w:p>
      <w:pPr>
        <w:spacing w:line="360" w:lineRule="auto"/>
        <w:ind w:left="393" w:leftChars="187"/>
        <w:rPr>
          <w:rFonts w:ascii="仿宋_GB2312" w:eastAsia="仿宋_GB2312"/>
        </w:rPr>
      </w:pPr>
      <w:r>
        <w:rPr>
          <w:rFonts w:hint="eastAsia" w:ascii="仿宋_GB2312" w:eastAsia="仿宋_GB2312"/>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rPr>
          <w:rFonts w:ascii="仿宋_GB2312" w:eastAsia="仿宋_GB2312"/>
        </w:rPr>
      </w:pPr>
      <w:r>
        <w:rPr>
          <w:rFonts w:hint="eastAsia" w:ascii="仿宋_GB2312" w:eastAsia="仿宋_GB2312"/>
        </w:rPr>
        <w:t>16.4意外伤害险</w:t>
      </w:r>
    </w:p>
    <w:p>
      <w:pPr>
        <w:spacing w:line="360" w:lineRule="auto"/>
        <w:ind w:left="393" w:leftChars="187"/>
        <w:rPr>
          <w:rFonts w:ascii="仿宋_GB2312" w:eastAsia="仿宋_GB2312"/>
        </w:rPr>
      </w:pPr>
      <w:r>
        <w:rPr>
          <w:rFonts w:hint="eastAsia" w:ascii="仿宋_GB2312" w:eastAsia="仿宋_GB2312"/>
        </w:rPr>
        <w:t>在合作期间内，乙方应进行意外伤害险的投保，以保证乙方工作人员在保险有效期内，因遭受非本意的、外来的、突然发生的意外事故，致使身体蒙受伤害而残废或死亡时，按照保险合同的规定给付保险金的保险。甲方不对乙方工作人员及乙方第三方工作人员承担任何赔偿责任。</w:t>
      </w:r>
    </w:p>
    <w:p>
      <w:pPr>
        <w:spacing w:line="360" w:lineRule="auto"/>
        <w:ind w:left="392" w:leftChars="50" w:hanging="287" w:hangingChars="137"/>
        <w:rPr>
          <w:rFonts w:ascii="仿宋_GB2312" w:eastAsia="仿宋_GB2312"/>
        </w:rPr>
      </w:pPr>
      <w:r>
        <w:rPr>
          <w:rFonts w:hint="eastAsia" w:ascii="仿宋_GB2312" w:eastAsia="仿宋_GB2312"/>
        </w:rPr>
        <w:t>16.5有关保险应满足如下要求：</w:t>
      </w:r>
    </w:p>
    <w:p>
      <w:pPr>
        <w:spacing w:line="360" w:lineRule="auto"/>
        <w:ind w:left="393" w:leftChars="187"/>
        <w:rPr>
          <w:rFonts w:ascii="仿宋_GB2312" w:eastAsia="仿宋_GB2312"/>
        </w:rPr>
      </w:pPr>
      <w:r>
        <w:rPr>
          <w:rFonts w:hint="eastAsia" w:ascii="仿宋_GB2312" w:eastAsia="仿宋_GB2312"/>
        </w:rPr>
        <w:t>采用国内通用公众责任险保单；</w:t>
      </w:r>
    </w:p>
    <w:p>
      <w:pPr>
        <w:spacing w:line="360" w:lineRule="auto"/>
        <w:ind w:left="393" w:leftChars="187"/>
        <w:rPr>
          <w:rFonts w:ascii="仿宋_GB2312" w:eastAsia="仿宋_GB2312"/>
        </w:rPr>
      </w:pPr>
      <w:r>
        <w:rPr>
          <w:rFonts w:hint="eastAsia" w:ascii="仿宋_GB2312" w:eastAsia="仿宋_GB2312"/>
        </w:rPr>
        <w:t>以乙方为被保险人并将甲方加为附加被保险人；</w:t>
      </w:r>
    </w:p>
    <w:p>
      <w:pPr>
        <w:spacing w:line="360" w:lineRule="auto"/>
        <w:ind w:left="393" w:leftChars="187"/>
        <w:rPr>
          <w:rFonts w:ascii="仿宋_GB2312" w:eastAsia="仿宋_GB2312"/>
        </w:rPr>
      </w:pPr>
      <w:r>
        <w:rPr>
          <w:rFonts w:hint="eastAsia" w:ascii="仿宋_GB2312" w:eastAsia="仿宋_GB2312"/>
        </w:rPr>
        <w:t>保险期限与合同期限相一致；</w:t>
      </w:r>
    </w:p>
    <w:p>
      <w:pPr>
        <w:spacing w:line="360" w:lineRule="auto"/>
        <w:ind w:left="393" w:leftChars="187"/>
        <w:rPr>
          <w:rFonts w:ascii="仿宋_GB2312" w:eastAsia="仿宋_GB2312"/>
        </w:rPr>
      </w:pPr>
      <w:r>
        <w:rPr>
          <w:rFonts w:hint="eastAsia" w:ascii="仿宋_GB2312" w:eastAsia="仿宋_GB2312"/>
        </w:rPr>
        <w:t>投保责任限额不低于年度累计限额1000万人民币，每次事故赔偿限额不低于200万人民币，每人每次事故最高赔偿限额不低于100万元；</w:t>
      </w:r>
    </w:p>
    <w:p>
      <w:pPr>
        <w:spacing w:line="360" w:lineRule="auto"/>
        <w:ind w:left="393" w:leftChars="187"/>
        <w:rPr>
          <w:rFonts w:ascii="仿宋_GB2312" w:eastAsia="仿宋_GB2312"/>
        </w:rPr>
      </w:pPr>
      <w:r>
        <w:rPr>
          <w:rFonts w:hint="eastAsia" w:ascii="仿宋_GB2312" w:eastAsia="仿宋_GB2312"/>
        </w:rPr>
        <w:t>保单需要包含以下责任：火灾爆炸、建筑物改变、装饰装置责任、人身侵害责任、车辆装卸责任、交叉责任、放弃代位求偿权等。</w:t>
      </w:r>
    </w:p>
    <w:p>
      <w:pPr>
        <w:spacing w:line="360" w:lineRule="auto"/>
        <w:ind w:left="392" w:leftChars="50" w:hanging="287" w:hangingChars="137"/>
        <w:rPr>
          <w:rFonts w:ascii="仿宋_GB2312" w:eastAsia="仿宋_GB2312"/>
        </w:rPr>
      </w:pPr>
      <w:r>
        <w:rPr>
          <w:rFonts w:hint="eastAsia" w:ascii="仿宋_GB2312" w:eastAsia="仿宋_GB2312"/>
        </w:rPr>
        <w:t>16.6相关控制措施</w:t>
      </w:r>
    </w:p>
    <w:p>
      <w:pPr>
        <w:spacing w:line="360" w:lineRule="auto"/>
        <w:ind w:left="498" w:hanging="497" w:hangingChars="237"/>
        <w:rPr>
          <w:rFonts w:ascii="仿宋_GB2312" w:eastAsia="仿宋_GB2312"/>
        </w:rPr>
      </w:pPr>
      <w:r>
        <w:rPr>
          <w:rFonts w:hint="eastAsia" w:ascii="仿宋_GB2312" w:eastAsia="仿宋_GB2312"/>
        </w:rPr>
        <w:t xml:space="preserve">     即便有上述保险存在，在合同中约定承包区域或项目内因乙方原因发生意外事故，导致财产或人身受到损失，而保险公司不予理赔或者理赔额度不足以赔偿损失时，相关费用和责任全部由乙方负责承担。</w:t>
      </w:r>
    </w:p>
    <w:p>
      <w:pPr>
        <w:spacing w:line="360" w:lineRule="auto"/>
        <w:ind w:left="498" w:hanging="497" w:hangingChars="237"/>
        <w:rPr>
          <w:rFonts w:ascii="仿宋_GB2312" w:eastAsia="仿宋_GB2312"/>
        </w:rPr>
      </w:pPr>
    </w:p>
    <w:p>
      <w:pPr>
        <w:spacing w:line="360" w:lineRule="auto"/>
        <w:rPr>
          <w:rFonts w:ascii="仿宋_GB2312" w:eastAsia="仿宋_GB2312"/>
          <w:b/>
        </w:rPr>
      </w:pPr>
      <w:r>
        <w:rPr>
          <w:rFonts w:hint="eastAsia" w:ascii="仿宋_GB2312" w:eastAsia="仿宋_GB2312"/>
          <w:b/>
        </w:rPr>
        <w:t>17 违约责任</w:t>
      </w:r>
    </w:p>
    <w:p>
      <w:pPr>
        <w:spacing w:line="360" w:lineRule="auto"/>
        <w:ind w:left="392" w:leftChars="50" w:hanging="287" w:hangingChars="137"/>
        <w:rPr>
          <w:rFonts w:ascii="仿宋_GB2312" w:eastAsia="仿宋_GB2312"/>
        </w:rPr>
      </w:pPr>
      <w:r>
        <w:rPr>
          <w:rFonts w:hint="eastAsia" w:ascii="仿宋_GB2312" w:eastAsia="仿宋_GB2312"/>
        </w:rPr>
        <w:t>17.1本合同一经双方签署并由乙方依约缴纳履约保证金后即具有法律效力，双方应当按照本合同的约定切实履行。任何一方违反本合同的约定，均构成违约，应按照以下的约定承担相应的违约责任。</w:t>
      </w:r>
    </w:p>
    <w:p>
      <w:pPr>
        <w:spacing w:line="360" w:lineRule="auto"/>
        <w:ind w:left="392" w:leftChars="50" w:hanging="287" w:hangingChars="137"/>
        <w:rPr>
          <w:rFonts w:ascii="仿宋_GB2312" w:eastAsia="仿宋_GB2312"/>
        </w:rPr>
      </w:pPr>
      <w:r>
        <w:rPr>
          <w:rFonts w:hint="eastAsia" w:ascii="仿宋_GB2312" w:eastAsia="仿宋_GB2312"/>
        </w:rPr>
        <w:t>17.2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向违约方发出书面通知单方面终止本合同。</w:t>
      </w:r>
    </w:p>
    <w:p>
      <w:pPr>
        <w:spacing w:line="360" w:lineRule="auto"/>
        <w:ind w:left="392" w:leftChars="50" w:hanging="287" w:hangingChars="137"/>
        <w:rPr>
          <w:rFonts w:ascii="仿宋_GB2312" w:eastAsia="仿宋_GB2312"/>
        </w:rPr>
      </w:pPr>
      <w:r>
        <w:rPr>
          <w:rFonts w:hint="eastAsia" w:ascii="仿宋_GB2312" w:eastAsia="仿宋_GB2312"/>
        </w:rPr>
        <w:t>17.3乙方受到旅客有效投诉或违反本合同条款相关规定构成违约的，应向甲方支付违约金，违约金金额为每次人民币贰仟元整（2000元），如违约金不足以弥补甲方实际损失的，乙方须另行向甲方承担赔偿责任。乙方根本违约的，履约保证金不予返还，并甲方有权追究其相关责任。</w:t>
      </w:r>
    </w:p>
    <w:p>
      <w:pPr>
        <w:spacing w:line="360" w:lineRule="auto"/>
        <w:ind w:left="392" w:leftChars="50" w:hanging="287" w:hangingChars="137"/>
        <w:rPr>
          <w:rFonts w:ascii="仿宋_GB2312" w:eastAsia="仿宋_GB2312"/>
        </w:rPr>
      </w:pPr>
      <w:r>
        <w:rPr>
          <w:rFonts w:hint="eastAsia" w:ascii="仿宋_GB2312" w:eastAsia="仿宋_GB2312"/>
        </w:rPr>
        <w:t>17.4不放弃的权利</w:t>
      </w:r>
    </w:p>
    <w:p>
      <w:pPr>
        <w:spacing w:line="360" w:lineRule="auto"/>
        <w:ind w:left="392" w:leftChars="100" w:hanging="182" w:hangingChars="87"/>
        <w:rPr>
          <w:rFonts w:ascii="仿宋_GB2312" w:eastAsia="仿宋_GB2312"/>
        </w:rPr>
      </w:pPr>
      <w:r>
        <w:rPr>
          <w:rFonts w:hint="eastAsia" w:ascii="仿宋_GB2312" w:eastAsia="仿宋_GB2312"/>
        </w:rPr>
        <w:t>17.4.1甲方接受乙方的服务，但不放弃对乙方违约行为的追究权利。</w:t>
      </w:r>
    </w:p>
    <w:p>
      <w:pPr>
        <w:spacing w:line="360" w:lineRule="auto"/>
        <w:ind w:left="392" w:leftChars="100" w:hanging="182" w:hangingChars="87"/>
        <w:rPr>
          <w:rFonts w:ascii="仿宋_GB2312" w:eastAsia="仿宋_GB2312"/>
        </w:rPr>
      </w:pPr>
      <w:r>
        <w:rPr>
          <w:rFonts w:hint="eastAsia" w:ascii="仿宋_GB2312" w:eastAsia="仿宋_GB2312"/>
        </w:rPr>
        <w:t>17.4.2甲方对乙方某一违约行为放弃追究权利，不得视为放弃对乙方其他违约行为的追究权利。</w:t>
      </w:r>
    </w:p>
    <w:p>
      <w:pPr>
        <w:spacing w:line="360" w:lineRule="auto"/>
        <w:rPr>
          <w:rFonts w:ascii="仿宋_GB2312" w:eastAsia="仿宋_GB2312"/>
        </w:rPr>
      </w:pPr>
    </w:p>
    <w:p>
      <w:pPr>
        <w:spacing w:line="360" w:lineRule="auto"/>
        <w:ind w:left="449" w:hanging="449"/>
        <w:rPr>
          <w:rFonts w:ascii="仿宋_GB2312" w:eastAsia="仿宋_GB2312"/>
          <w:b/>
        </w:rPr>
      </w:pPr>
      <w:r>
        <w:rPr>
          <w:rFonts w:hint="eastAsia" w:ascii="仿宋_GB2312" w:eastAsia="仿宋_GB2312"/>
          <w:b/>
        </w:rPr>
        <w:t>18 合同终止</w:t>
      </w:r>
    </w:p>
    <w:p>
      <w:pPr>
        <w:spacing w:line="360" w:lineRule="auto"/>
        <w:ind w:left="392" w:leftChars="50" w:hanging="287" w:hangingChars="137"/>
        <w:rPr>
          <w:rFonts w:ascii="仿宋_GB2312" w:eastAsia="仿宋_GB2312"/>
          <w:b/>
        </w:rPr>
      </w:pPr>
      <w:r>
        <w:rPr>
          <w:rFonts w:hint="eastAsia" w:ascii="仿宋_GB2312" w:eastAsia="仿宋_GB2312"/>
        </w:rPr>
        <w:t>18.1甲方终止合同</w:t>
      </w:r>
    </w:p>
    <w:p>
      <w:pPr>
        <w:spacing w:line="360" w:lineRule="auto"/>
        <w:ind w:left="393" w:leftChars="187"/>
        <w:rPr>
          <w:rFonts w:ascii="仿宋_GB2312" w:eastAsia="仿宋_GB2312"/>
        </w:rPr>
      </w:pPr>
      <w:r>
        <w:rPr>
          <w:rFonts w:hint="eastAsia" w:ascii="仿宋_GB2312" w:eastAsia="仿宋_GB2312"/>
        </w:rPr>
        <w:t>虽然有本合同18.2条之规定，但出现下列情形之一的，甲方有权随时终止本合同：</w:t>
      </w:r>
    </w:p>
    <w:p>
      <w:pPr>
        <w:spacing w:line="360" w:lineRule="auto"/>
        <w:ind w:left="392" w:leftChars="100" w:hanging="182" w:hangingChars="87"/>
        <w:rPr>
          <w:rFonts w:ascii="仿宋_GB2312" w:eastAsia="仿宋_GB2312"/>
        </w:rPr>
      </w:pPr>
      <w:r>
        <w:rPr>
          <w:rFonts w:hint="eastAsia" w:ascii="仿宋_GB2312" w:eastAsia="仿宋_GB2312"/>
        </w:rPr>
        <w:t>18.1.1未补足履约保证金差额</w:t>
      </w:r>
    </w:p>
    <w:p>
      <w:pPr>
        <w:spacing w:line="360" w:lineRule="auto"/>
        <w:ind w:left="393" w:leftChars="187"/>
        <w:rPr>
          <w:rFonts w:ascii="仿宋_GB2312" w:eastAsia="仿宋_GB2312"/>
        </w:rPr>
      </w:pPr>
      <w:r>
        <w:rPr>
          <w:rFonts w:hint="eastAsia" w:ascii="仿宋_GB2312" w:eastAsia="仿宋_GB2312"/>
        </w:rPr>
        <w:t>乙方未能按甲方指定日期或本合同规定到期日支付履约保证金差额。</w:t>
      </w:r>
    </w:p>
    <w:p>
      <w:pPr>
        <w:spacing w:line="360" w:lineRule="auto"/>
        <w:ind w:left="392" w:leftChars="100" w:hanging="182" w:hangingChars="87"/>
        <w:rPr>
          <w:rFonts w:ascii="仿宋_GB2312" w:eastAsia="仿宋_GB2312"/>
        </w:rPr>
      </w:pPr>
      <w:r>
        <w:rPr>
          <w:rFonts w:hint="eastAsia" w:ascii="仿宋_GB2312" w:eastAsia="仿宋_GB2312"/>
        </w:rPr>
        <w:t>18.1.2未按期履约</w:t>
      </w:r>
    </w:p>
    <w:p>
      <w:pPr>
        <w:spacing w:line="360" w:lineRule="auto"/>
        <w:ind w:left="393" w:leftChars="187"/>
        <w:rPr>
          <w:rFonts w:ascii="仿宋_GB2312" w:eastAsia="仿宋_GB2312"/>
        </w:rPr>
      </w:pPr>
      <w:r>
        <w:rPr>
          <w:rFonts w:hint="eastAsia" w:ascii="仿宋_GB2312" w:eastAsia="仿宋_GB2312"/>
        </w:rPr>
        <w:t>乙方未能在合同期限内提供相应的服务与管理，经甲方书面通知纠正后仍未纠正的。</w:t>
      </w:r>
    </w:p>
    <w:p>
      <w:pPr>
        <w:spacing w:line="360" w:lineRule="auto"/>
        <w:ind w:left="392" w:leftChars="100" w:hanging="182" w:hangingChars="87"/>
        <w:rPr>
          <w:rFonts w:ascii="仿宋_GB2312" w:eastAsia="仿宋_GB2312"/>
        </w:rPr>
      </w:pPr>
      <w:r>
        <w:rPr>
          <w:rFonts w:hint="eastAsia" w:ascii="仿宋_GB2312" w:eastAsia="仿宋_GB2312"/>
        </w:rPr>
        <w:t>18.1.3未达到服务与管理考核标准</w:t>
      </w:r>
    </w:p>
    <w:p>
      <w:pPr>
        <w:spacing w:line="360" w:lineRule="auto"/>
        <w:ind w:left="393" w:leftChars="187"/>
        <w:rPr>
          <w:rFonts w:ascii="仿宋_GB2312" w:eastAsia="仿宋_GB2312"/>
        </w:rPr>
      </w:pPr>
      <w:r>
        <w:rPr>
          <w:rFonts w:hint="eastAsia" w:ascii="仿宋_GB2312" w:eastAsia="仿宋_GB2312"/>
        </w:rPr>
        <w:t>乙方因未达到本合同约定的服务与管理考核标准，连续六个月扣除手推车服务费共达人民币 10万元以上（含 10万元）。乙方实际工作人数低于最低要求人数，且在10个工作日内未能补足。</w:t>
      </w:r>
    </w:p>
    <w:p>
      <w:pPr>
        <w:spacing w:line="360" w:lineRule="auto"/>
        <w:ind w:left="392" w:leftChars="100" w:hanging="182" w:hangingChars="87"/>
        <w:rPr>
          <w:rFonts w:ascii="仿宋_GB2312" w:eastAsia="仿宋_GB2312"/>
        </w:rPr>
      </w:pPr>
      <w:r>
        <w:rPr>
          <w:rFonts w:hint="eastAsia" w:ascii="仿宋_GB2312" w:eastAsia="仿宋_GB2312"/>
        </w:rPr>
        <w:t>18.1.4未提供相应信息</w:t>
      </w:r>
    </w:p>
    <w:p>
      <w:pPr>
        <w:spacing w:line="360" w:lineRule="auto"/>
        <w:ind w:left="393" w:leftChars="187"/>
        <w:rPr>
          <w:rFonts w:ascii="仿宋_GB2312" w:eastAsia="仿宋_GB2312"/>
        </w:rPr>
      </w:pPr>
      <w:r>
        <w:rPr>
          <w:rFonts w:hint="eastAsia" w:ascii="仿宋_GB2312" w:eastAsia="仿宋_GB2312"/>
        </w:rPr>
        <w:t>乙方未根据本合同的相关要求准时提供报告或数据信息或者报告、数据信息不准确、不真实，发生上述情况三次以上（含三次）的。</w:t>
      </w:r>
    </w:p>
    <w:p>
      <w:pPr>
        <w:spacing w:line="360" w:lineRule="auto"/>
        <w:ind w:left="392" w:leftChars="100" w:hanging="182" w:hangingChars="87"/>
        <w:rPr>
          <w:rFonts w:ascii="仿宋_GB2312" w:eastAsia="仿宋_GB2312"/>
        </w:rPr>
      </w:pPr>
      <w:r>
        <w:rPr>
          <w:rFonts w:hint="eastAsia" w:ascii="仿宋_GB2312" w:eastAsia="仿宋_GB2312"/>
        </w:rPr>
        <w:t>18.1.5其他违约</w:t>
      </w:r>
    </w:p>
    <w:p>
      <w:pPr>
        <w:spacing w:line="360" w:lineRule="auto"/>
        <w:ind w:left="392" w:leftChars="50" w:hanging="287" w:hangingChars="137"/>
        <w:rPr>
          <w:rFonts w:ascii="仿宋_GB2312" w:eastAsia="仿宋_GB2312"/>
        </w:rPr>
      </w:pPr>
      <w:r>
        <w:rPr>
          <w:rFonts w:hint="eastAsia" w:ascii="仿宋_GB2312" w:eastAsia="仿宋_GB2312"/>
        </w:rPr>
        <w:t>（1）乙方违反本合同相关约定，构成根本违约的。</w:t>
      </w:r>
    </w:p>
    <w:p>
      <w:pPr>
        <w:spacing w:line="360" w:lineRule="auto"/>
        <w:ind w:left="105" w:leftChars="50"/>
        <w:rPr>
          <w:rFonts w:ascii="仿宋_GB2312" w:eastAsia="仿宋_GB2312"/>
        </w:rPr>
      </w:pPr>
      <w:r>
        <w:rPr>
          <w:rFonts w:hint="eastAsia" w:ascii="仿宋_GB2312" w:eastAsia="仿宋_GB2312"/>
        </w:rPr>
        <w:t>（2）乙方或乙方工作人员未经甲方书面同意，在机场内向甲方以外的第三方提供与机场服务相同或类似服务，无论其是否从中获利。</w:t>
      </w:r>
    </w:p>
    <w:p>
      <w:pPr>
        <w:spacing w:line="360" w:lineRule="auto"/>
        <w:ind w:left="105" w:leftChars="50"/>
        <w:rPr>
          <w:rFonts w:ascii="仿宋_GB2312" w:eastAsia="仿宋_GB2312"/>
        </w:rPr>
      </w:pPr>
      <w:r>
        <w:rPr>
          <w:rFonts w:hint="eastAsia" w:ascii="仿宋_GB2312" w:eastAsia="仿宋_GB2312"/>
        </w:rPr>
        <w:t>（3）乙方或乙方工作人员的任何行为受到甲方或机场旅客有效投诉，一年内超过两次的</w:t>
      </w:r>
    </w:p>
    <w:p>
      <w:pPr>
        <w:spacing w:line="360" w:lineRule="auto"/>
        <w:ind w:left="392" w:leftChars="50" w:hanging="287" w:hangingChars="137"/>
        <w:rPr>
          <w:rFonts w:ascii="仿宋_GB2312" w:eastAsia="仿宋_GB2312"/>
        </w:rPr>
      </w:pPr>
      <w:r>
        <w:rPr>
          <w:rFonts w:hint="eastAsia" w:ascii="仿宋_GB2312" w:eastAsia="仿宋_GB2312"/>
        </w:rPr>
        <w:t>（4）乙方违反国家法津或被要求责令整顿或停止营业一个月以上的。</w:t>
      </w:r>
    </w:p>
    <w:p>
      <w:pPr>
        <w:spacing w:line="360" w:lineRule="auto"/>
        <w:ind w:left="392" w:leftChars="100" w:hanging="182" w:hangingChars="87"/>
        <w:rPr>
          <w:rFonts w:ascii="仿宋_GB2312" w:eastAsia="仿宋_GB2312"/>
        </w:rPr>
      </w:pPr>
      <w:r>
        <w:rPr>
          <w:rFonts w:hint="eastAsia" w:ascii="仿宋_GB2312" w:eastAsia="仿宋_GB2312"/>
        </w:rPr>
        <w:t>18.1.6乙方破产、清盘、重组及兼并等事实发生，或被债权人接管经营，乙方应在上述事实发生后五日内书面通知甲方，甲方有权立即终止合同。</w:t>
      </w:r>
    </w:p>
    <w:p>
      <w:pPr>
        <w:spacing w:line="360" w:lineRule="auto"/>
        <w:ind w:left="392" w:leftChars="100" w:hanging="182" w:hangingChars="87"/>
        <w:rPr>
          <w:rFonts w:ascii="仿宋_GB2312" w:eastAsia="仿宋_GB2312"/>
        </w:rPr>
      </w:pPr>
      <w:r>
        <w:rPr>
          <w:rFonts w:hint="eastAsia" w:ascii="仿宋_GB2312" w:eastAsia="仿宋_GB2312"/>
        </w:rPr>
        <w:t>18.1.7出现上述条款情况之一的，甲方有权以书面形式通知乙方终止合同，且履约保证金不予返还。</w:t>
      </w:r>
    </w:p>
    <w:p>
      <w:pPr>
        <w:spacing w:line="360" w:lineRule="auto"/>
        <w:ind w:left="392" w:leftChars="50" w:hanging="287" w:hangingChars="137"/>
        <w:rPr>
          <w:rFonts w:ascii="仿宋_GB2312" w:eastAsia="仿宋_GB2312"/>
        </w:rPr>
      </w:pPr>
      <w:r>
        <w:rPr>
          <w:rFonts w:hint="eastAsia" w:ascii="仿宋_GB2312" w:eastAsia="仿宋_GB2312"/>
        </w:rPr>
        <w:t>18.2乙方终止合同</w:t>
      </w:r>
    </w:p>
    <w:p>
      <w:pPr>
        <w:spacing w:line="360" w:lineRule="auto"/>
        <w:ind w:left="392" w:leftChars="50" w:hanging="287" w:hangingChars="137"/>
        <w:rPr>
          <w:rFonts w:ascii="仿宋_GB2312" w:eastAsia="仿宋_GB2312"/>
        </w:rPr>
      </w:pPr>
      <w:r>
        <w:rPr>
          <w:rFonts w:hint="eastAsia" w:ascii="仿宋_GB2312" w:eastAsia="仿宋_GB2312"/>
        </w:rPr>
        <w:t>（1） 甲方违反本合同相关约定，构成根本违约的。</w:t>
      </w:r>
    </w:p>
    <w:p>
      <w:pPr>
        <w:spacing w:line="360" w:lineRule="auto"/>
        <w:ind w:left="392" w:leftChars="50" w:hanging="287" w:hangingChars="137"/>
        <w:rPr>
          <w:rFonts w:ascii="仿宋_GB2312" w:eastAsia="仿宋_GB2312"/>
        </w:rPr>
      </w:pPr>
      <w:r>
        <w:rPr>
          <w:rFonts w:hint="eastAsia" w:ascii="仿宋_GB2312" w:eastAsia="仿宋_GB2312"/>
        </w:rPr>
        <w:t>（2） 甲方不按约定时间支付应付账款超过45天且无任何理由的（经乙方同意的除外）。</w:t>
      </w:r>
    </w:p>
    <w:p>
      <w:pPr>
        <w:spacing w:line="360" w:lineRule="auto"/>
        <w:ind w:left="392" w:leftChars="50" w:hanging="287" w:hangingChars="137"/>
        <w:rPr>
          <w:rFonts w:ascii="仿宋_GB2312" w:eastAsia="仿宋_GB2312"/>
          <w:b/>
        </w:rPr>
      </w:pPr>
      <w:r>
        <w:rPr>
          <w:rFonts w:hint="eastAsia" w:ascii="仿宋_GB2312" w:eastAsia="仿宋_GB2312"/>
        </w:rPr>
        <w:t>18.3本合同到期终止，甲乙双方均无任何违约行为，双方之间的费用据实结算（总费用不得超出合同总金额）。合同到期终止之日起的十个工作日内，乙方应完成和履行以下义务：</w:t>
      </w:r>
    </w:p>
    <w:p>
      <w:pPr>
        <w:spacing w:line="360" w:lineRule="auto"/>
        <w:ind w:left="392" w:leftChars="100" w:hanging="182" w:hangingChars="87"/>
        <w:rPr>
          <w:rFonts w:ascii="仿宋_GB2312" w:eastAsia="仿宋_GB2312"/>
        </w:rPr>
      </w:pPr>
      <w:r>
        <w:rPr>
          <w:rFonts w:hint="eastAsia" w:ascii="仿宋_GB2312" w:eastAsia="仿宋_GB2312"/>
        </w:rPr>
        <w:t>18.3.1停工及撤离：将所占航站楼用房（仓库）及服务与管理的航站楼区域和场所（除了为完成本合同规定必须继续服务与管理的区域和场所外）移交给甲方，截止移交完成前乙方需保持航站楼所有服务及管理区域和场所干净与整洁。</w:t>
      </w:r>
    </w:p>
    <w:p>
      <w:pPr>
        <w:spacing w:line="360" w:lineRule="auto"/>
        <w:ind w:left="392" w:leftChars="100" w:hanging="182" w:hangingChars="87"/>
        <w:rPr>
          <w:rFonts w:ascii="仿宋_GB2312" w:eastAsia="仿宋_GB2312"/>
        </w:rPr>
      </w:pPr>
      <w:r>
        <w:rPr>
          <w:rFonts w:hint="eastAsia" w:ascii="仿宋_GB2312" w:eastAsia="仿宋_GB2312"/>
        </w:rPr>
        <w:t>18.3.2合同终止后迁出乙方的设施设备及其它一切用品：乙方需将其所有的设施设备、低值易耗品、机械工具等自行配备的用于航站楼旅客行李手推车管理维护服务的任何工具和物品迁出航站楼。无论任何原因而导致的乙方未在规定期限内将上述工具和物品迁出航站楼的，甲方可以自行迁出或组织安排他人迁出乙方所有未迁出的设备设施、工具和其他物品，由此而产生的费用由乙方根据甲方的书面要求立即偿还，十个工作日内乙方不进行偿还，所有未迁出的设备设施、工具和其他物品将由甲方自行处置。</w:t>
      </w:r>
    </w:p>
    <w:p>
      <w:pPr>
        <w:spacing w:line="360" w:lineRule="auto"/>
        <w:ind w:left="392" w:leftChars="100" w:hanging="182" w:hangingChars="87"/>
        <w:rPr>
          <w:rFonts w:ascii="仿宋_GB2312" w:eastAsia="仿宋_GB2312"/>
        </w:rPr>
      </w:pPr>
      <w:r>
        <w:rPr>
          <w:rFonts w:hint="eastAsia" w:ascii="仿宋_GB2312" w:eastAsia="仿宋_GB2312"/>
        </w:rPr>
        <w:t>18.3.3撤离（除了为完成本合同规定必须继续服务与管理的区域和场所外）航站楼内所有的按合同规定的从事服务与管理的乙方员工，并将甲方要求的相关证件和其他相关资料文件移交给甲方。包括但不限于以下三项：</w:t>
      </w:r>
    </w:p>
    <w:p>
      <w:pPr>
        <w:spacing w:line="360" w:lineRule="auto"/>
        <w:ind w:left="392" w:leftChars="50" w:hanging="287" w:hangingChars="137"/>
        <w:rPr>
          <w:rFonts w:ascii="仿宋_GB2312" w:eastAsia="仿宋_GB2312"/>
        </w:rPr>
      </w:pPr>
      <w:r>
        <w:rPr>
          <w:rFonts w:hint="eastAsia" w:ascii="仿宋_GB2312" w:eastAsia="仿宋_GB2312"/>
        </w:rPr>
        <w:t>（1）乙方用于完成承包区域内旅客行李手推车工作的员工清单（包括名单、联系方式、职务及其所负责区域等内容）及证件。</w:t>
      </w:r>
    </w:p>
    <w:p>
      <w:pPr>
        <w:spacing w:line="360" w:lineRule="auto"/>
        <w:ind w:left="392" w:leftChars="50" w:hanging="287" w:hangingChars="137"/>
        <w:rPr>
          <w:rFonts w:ascii="仿宋_GB2312" w:eastAsia="仿宋_GB2312"/>
        </w:rPr>
      </w:pPr>
      <w:r>
        <w:rPr>
          <w:rFonts w:hint="eastAsia" w:ascii="仿宋_GB2312" w:eastAsia="仿宋_GB2312"/>
        </w:rPr>
        <w:t>（2）乙方用于完成承包区域内旅客行李手推车的设备设施清单（包括名称、厂牌、型号、购买日期、原值、折旧年限、残值、目前使用情况等内容）。</w:t>
      </w:r>
    </w:p>
    <w:p>
      <w:pPr>
        <w:spacing w:line="360" w:lineRule="auto"/>
        <w:ind w:left="392" w:leftChars="50" w:hanging="287" w:hangingChars="137"/>
        <w:rPr>
          <w:rFonts w:ascii="仿宋_GB2312" w:eastAsia="仿宋_GB2312"/>
        </w:rPr>
      </w:pPr>
      <w:r>
        <w:rPr>
          <w:rFonts w:hint="eastAsia" w:ascii="仿宋_GB2312" w:eastAsia="仿宋_GB2312"/>
        </w:rPr>
        <w:t>（3）乙方所有用于人员及车辆进出机场控制区的通行证件和进出航站楼的准入证。</w:t>
      </w:r>
    </w:p>
    <w:p>
      <w:pPr>
        <w:spacing w:line="360" w:lineRule="auto"/>
        <w:ind w:left="392" w:leftChars="50" w:hanging="287" w:hangingChars="137"/>
        <w:rPr>
          <w:rFonts w:ascii="仿宋_GB2312" w:eastAsia="仿宋_GB2312"/>
        </w:rPr>
      </w:pPr>
      <w:r>
        <w:rPr>
          <w:rFonts w:hint="eastAsia" w:ascii="仿宋_GB2312" w:eastAsia="仿宋_GB2312"/>
        </w:rPr>
        <w:t>未按照本条款执行按照本合同17条规定处理。</w:t>
      </w:r>
    </w:p>
    <w:p>
      <w:pPr>
        <w:spacing w:line="360" w:lineRule="auto"/>
        <w:ind w:left="392" w:leftChars="50" w:hanging="287" w:hangingChars="137"/>
        <w:rPr>
          <w:rFonts w:ascii="仿宋_GB2312" w:eastAsia="仿宋_GB2312"/>
        </w:rPr>
      </w:pPr>
      <w:r>
        <w:rPr>
          <w:rFonts w:hint="eastAsia" w:ascii="仿宋_GB2312" w:eastAsia="仿宋_GB2312"/>
        </w:rPr>
        <w:t>18.4乙方同意在合同期满前一个月内至合同期满后的十个工作日内，无条件地帮助新进场的承包服务方了解航站楼各区域和场所的情况，协助甲方以满足新进场的承包方包括其工作人员熟悉甲方的管理与服务的要求，甲方和新进场的承包方均无需为乙方该项行为支付任何费用。</w:t>
      </w:r>
    </w:p>
    <w:p>
      <w:pPr>
        <w:spacing w:line="360" w:lineRule="auto"/>
        <w:ind w:left="497" w:leftChars="100" w:hanging="287" w:hangingChars="137"/>
        <w:rPr>
          <w:rFonts w:ascii="仿宋_GB2312" w:eastAsia="仿宋_GB2312"/>
        </w:rPr>
      </w:pPr>
    </w:p>
    <w:p>
      <w:pPr>
        <w:spacing w:line="360" w:lineRule="auto"/>
        <w:rPr>
          <w:rFonts w:ascii="仿宋_GB2312" w:eastAsia="仿宋_GB2312"/>
          <w:b/>
        </w:rPr>
      </w:pPr>
      <w:r>
        <w:rPr>
          <w:rFonts w:hint="eastAsia" w:ascii="仿宋_GB2312" w:eastAsia="仿宋_GB2312"/>
          <w:b/>
        </w:rPr>
        <w:t>19不可抗力：</w:t>
      </w:r>
    </w:p>
    <w:p>
      <w:pPr>
        <w:spacing w:line="360" w:lineRule="auto"/>
        <w:ind w:left="392" w:leftChars="50" w:hanging="287" w:hangingChars="137"/>
        <w:rPr>
          <w:rFonts w:ascii="仿宋_GB2312" w:eastAsia="仿宋_GB2312"/>
        </w:rPr>
      </w:pPr>
      <w:r>
        <w:rPr>
          <w:rFonts w:hint="eastAsia" w:ascii="仿宋_GB2312" w:eastAsia="仿宋_GB2312"/>
        </w:rPr>
        <w:t>19.1不可抗力是指双方无法预见、且无法避免或克服的客观情形，包括但不限于水灾、地震、火山爆发、风暴或台风、流行病等自然灾害，以及国家法律、政策的调整，政府的行为，以及甲方上级主管部门的规划或要求等；机场改建、扩建或机场候机区域的功能及经营性调整以及航站楼功能、布局、流程进行的调整等情形。</w:t>
      </w:r>
    </w:p>
    <w:p>
      <w:pPr>
        <w:spacing w:line="360" w:lineRule="auto"/>
        <w:ind w:left="392" w:leftChars="50" w:hanging="287" w:hangingChars="137"/>
        <w:rPr>
          <w:rFonts w:ascii="仿宋_GB2312" w:eastAsia="仿宋_GB2312"/>
        </w:rPr>
      </w:pPr>
      <w:r>
        <w:rPr>
          <w:rFonts w:hint="eastAsia" w:ascii="仿宋_GB2312" w:eastAsia="仿宋_GB2312"/>
        </w:rPr>
        <w:t>19.2因不可抗力发生而导致任何一方不能履行本合同义务的（如因不可抗力致使租赁场地和财物损坏或损失，甲、乙双方均不负修复与赔偿责任），遭遇不可抗力方可以免除责任，但必须在不可抗力事由发生后24小时内书面通知对方；如因不可抗力导致无法通知对方的，则应在不可抗力事由终止后3天内书面通知对方。未履行书面通知的，不可就扩大部分的损失免除责任。</w:t>
      </w:r>
    </w:p>
    <w:p>
      <w:pPr>
        <w:spacing w:line="360" w:lineRule="auto"/>
        <w:ind w:left="392" w:leftChars="50" w:hanging="287" w:hangingChars="137"/>
        <w:rPr>
          <w:rFonts w:ascii="仿宋_GB2312" w:eastAsia="仿宋_GB2312"/>
        </w:rPr>
      </w:pPr>
      <w:r>
        <w:rPr>
          <w:rFonts w:hint="eastAsia" w:ascii="仿宋_GB2312" w:eastAsia="仿宋_GB2312"/>
        </w:rPr>
        <w:t>19.3由于机场改建、扩建或机场航站楼区域的功能及经营性调整发生变化的，甲、乙双方可协商一致对本合同的约定做出变更。</w:t>
      </w:r>
    </w:p>
    <w:p>
      <w:pPr>
        <w:spacing w:line="360" w:lineRule="auto"/>
        <w:ind w:left="392" w:leftChars="50" w:hanging="287" w:hangingChars="137"/>
        <w:rPr>
          <w:rFonts w:ascii="仿宋_GB2312" w:eastAsia="仿宋_GB2312"/>
        </w:rPr>
      </w:pPr>
      <w:r>
        <w:rPr>
          <w:rFonts w:hint="eastAsia" w:ascii="仿宋_GB2312" w:eastAsia="仿宋_GB2312"/>
        </w:rPr>
        <w:t>19.4因甲方及其上级主管部门对航站楼功能、布局、流程进行调整，涉及本合同约定之事宜，导致本合同无法继续履行的，甲方有权单方面终止合同，且无须承担任何法律责任，但应当书面通知乙方。</w:t>
      </w:r>
    </w:p>
    <w:p>
      <w:pPr>
        <w:spacing w:line="360" w:lineRule="auto"/>
        <w:ind w:left="392" w:leftChars="50" w:hanging="287" w:hangingChars="137"/>
        <w:rPr>
          <w:rFonts w:ascii="仿宋_GB2312" w:eastAsia="仿宋_GB2312"/>
        </w:rPr>
      </w:pPr>
      <w:r>
        <w:rPr>
          <w:rFonts w:hint="eastAsia" w:ascii="仿宋_GB2312" w:eastAsia="仿宋_GB2312"/>
        </w:rPr>
        <w:t>19.5任何一方不得就不可抗力事由发生前已产生之责任免责。</w:t>
      </w:r>
    </w:p>
    <w:p>
      <w:pPr>
        <w:spacing w:line="360" w:lineRule="auto"/>
        <w:rPr>
          <w:rFonts w:ascii="仿宋_GB2312" w:eastAsia="仿宋_GB2312"/>
        </w:rPr>
      </w:pPr>
    </w:p>
    <w:p>
      <w:pPr>
        <w:spacing w:line="360" w:lineRule="auto"/>
        <w:rPr>
          <w:rFonts w:ascii="仿宋_GB2312" w:eastAsia="仿宋_GB2312"/>
          <w:b/>
        </w:rPr>
      </w:pPr>
      <w:r>
        <w:rPr>
          <w:rFonts w:hint="eastAsia" w:ascii="仿宋_GB2312" w:eastAsia="仿宋_GB2312"/>
          <w:b/>
        </w:rPr>
        <w:t>20修改或变更：</w:t>
      </w:r>
    </w:p>
    <w:p>
      <w:pPr>
        <w:spacing w:line="360" w:lineRule="auto"/>
        <w:ind w:left="392" w:leftChars="50" w:hanging="287" w:hangingChars="137"/>
        <w:rPr>
          <w:rFonts w:ascii="仿宋_GB2312" w:eastAsia="仿宋_GB2312"/>
        </w:rPr>
      </w:pPr>
      <w:r>
        <w:rPr>
          <w:rFonts w:hint="eastAsia" w:ascii="仿宋_GB2312" w:eastAsia="仿宋_GB2312"/>
        </w:rPr>
        <w:t>20.1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left="392" w:leftChars="50" w:hanging="287" w:hangingChars="137"/>
        <w:rPr>
          <w:rFonts w:ascii="仿宋_GB2312" w:eastAsia="仿宋_GB2312"/>
        </w:rPr>
      </w:pPr>
      <w:r>
        <w:rPr>
          <w:rFonts w:hint="eastAsia" w:ascii="仿宋_GB2312" w:eastAsia="仿宋_GB2312"/>
        </w:rPr>
        <w:t>20.2上述“补充条款”可以以“会议纪要”、“备忘录”、“补充合同”或双方签署确认的其他文件形式替代。</w:t>
      </w:r>
    </w:p>
    <w:p>
      <w:pPr>
        <w:spacing w:line="360" w:lineRule="auto"/>
        <w:ind w:left="392" w:leftChars="50" w:hanging="287" w:hangingChars="137"/>
        <w:rPr>
          <w:rFonts w:ascii="仿宋_GB2312" w:eastAsia="仿宋_GB2312"/>
        </w:rPr>
      </w:pPr>
      <w:r>
        <w:rPr>
          <w:rFonts w:hint="eastAsia" w:ascii="仿宋_GB2312" w:eastAsia="仿宋_GB2312"/>
        </w:rPr>
        <w:t>20.3除本合同另有约定外，任何一方无权单方面修改或变更本合同条款，但如因与机场、民航方面事务有关的市政等主管单位的要求，或相关的政策、法规的调整而确实需要调整本合同内容的，甲方可以单方面调整，但必须以书面形式通知乙方。如甲方的单方面调整，导致在合理情况下，乙方无法实现合同目的或无力继续承担合同义务的，乙方可以要求提前终止本合同。由此提前终止本合同造成的损失，双方各自承担。在所有终止手续办理完毕、按实结清合同费用后，如乙方无其他应当支付的费用及相关未尽义务的，甲方应自费用结清之日起二十个工作日内退还乙方的履约保证金（无利息）。</w:t>
      </w:r>
    </w:p>
    <w:p>
      <w:pPr>
        <w:spacing w:line="360" w:lineRule="auto"/>
        <w:rPr>
          <w:rFonts w:ascii="仿宋_GB2312" w:eastAsia="仿宋_GB2312"/>
        </w:rPr>
      </w:pPr>
    </w:p>
    <w:p>
      <w:pPr>
        <w:spacing w:line="360" w:lineRule="auto"/>
        <w:ind w:left="449" w:hanging="449"/>
        <w:rPr>
          <w:rFonts w:ascii="仿宋_GB2312" w:eastAsia="仿宋_GB2312"/>
          <w:b/>
        </w:rPr>
      </w:pPr>
      <w:r>
        <w:rPr>
          <w:rFonts w:hint="eastAsia" w:ascii="仿宋_GB2312" w:eastAsia="仿宋_GB2312"/>
          <w:b/>
        </w:rPr>
        <w:t>21争议及管辖：</w:t>
      </w:r>
    </w:p>
    <w:p>
      <w:pPr>
        <w:spacing w:line="360" w:lineRule="auto"/>
        <w:ind w:left="392" w:leftChars="50" w:hanging="287" w:hangingChars="137"/>
        <w:rPr>
          <w:rFonts w:ascii="仿宋_GB2312" w:eastAsia="仿宋_GB2312"/>
        </w:rPr>
      </w:pPr>
      <w:r>
        <w:rPr>
          <w:rFonts w:hint="eastAsia" w:ascii="仿宋_GB2312" w:eastAsia="仿宋_GB2312"/>
        </w:rPr>
        <w:t>21.1因本合同的签订、生效、效力、解释、履行、解除、终止而发生的任何争议，可由双方通过友好协商方式解决。无法协商达成一致的，任何一方均有权向甲方所在地人民法院起诉。</w:t>
      </w:r>
    </w:p>
    <w:p>
      <w:pPr>
        <w:spacing w:line="360" w:lineRule="auto"/>
        <w:ind w:left="392" w:leftChars="50" w:hanging="287" w:hangingChars="137"/>
        <w:rPr>
          <w:rFonts w:ascii="仿宋_GB2312" w:eastAsia="仿宋_GB2312"/>
          <w:b/>
        </w:rPr>
      </w:pPr>
      <w:r>
        <w:rPr>
          <w:rFonts w:hint="eastAsia" w:ascii="仿宋_GB2312" w:eastAsia="仿宋_GB2312"/>
        </w:rPr>
        <w:t>21.2争议解决期间，与争议无涉的其他合同条款应当继续履行。</w:t>
      </w:r>
    </w:p>
    <w:p>
      <w:pPr>
        <w:spacing w:line="360" w:lineRule="auto"/>
        <w:rPr>
          <w:rFonts w:ascii="仿宋_GB2312" w:eastAsia="仿宋_GB2312"/>
          <w:b/>
        </w:rPr>
      </w:pPr>
    </w:p>
    <w:p>
      <w:pPr>
        <w:spacing w:line="360" w:lineRule="auto"/>
        <w:rPr>
          <w:rFonts w:ascii="仿宋_GB2312" w:eastAsia="仿宋_GB2312"/>
          <w:b/>
        </w:rPr>
      </w:pPr>
      <w:r>
        <w:rPr>
          <w:rFonts w:hint="eastAsia" w:ascii="仿宋_GB2312" w:eastAsia="仿宋_GB2312"/>
          <w:b/>
        </w:rPr>
        <w:t>22补充条款：</w:t>
      </w:r>
    </w:p>
    <w:p>
      <w:pPr>
        <w:spacing w:line="360" w:lineRule="auto"/>
        <w:ind w:left="392" w:leftChars="50" w:hanging="287" w:hangingChars="137"/>
        <w:rPr>
          <w:rFonts w:ascii="仿宋_GB2312" w:eastAsia="仿宋_GB2312"/>
        </w:rPr>
      </w:pPr>
      <w:r>
        <w:rPr>
          <w:rFonts w:hint="eastAsia" w:ascii="仿宋_GB2312" w:eastAsia="仿宋_GB2312"/>
        </w:rPr>
        <w:t>22.1本合同有关的所有书面通知或要求应提供至以下地址，除非有相反证据，任何通过亲手递送、专人快递、挂号邮寄递至以下地址的信函或通知以及账单和发票均被视为已送达。</w:t>
      </w:r>
    </w:p>
    <w:p>
      <w:pPr>
        <w:spacing w:line="360" w:lineRule="auto"/>
        <w:rPr>
          <w:rFonts w:ascii="仿宋_GB2312" w:eastAsia="仿宋_GB2312"/>
        </w:rPr>
      </w:pPr>
      <w:r>
        <w:rPr>
          <w:rFonts w:hint="eastAsia" w:ascii="仿宋_GB2312" w:eastAsia="仿宋_GB2312"/>
        </w:rPr>
        <w:t>甲方：杭州萧山国际机场有限公司航站楼管理部</w:t>
      </w:r>
    </w:p>
    <w:p>
      <w:pPr>
        <w:spacing w:line="360" w:lineRule="auto"/>
        <w:rPr>
          <w:rFonts w:ascii="仿宋_GB2312" w:eastAsia="仿宋_GB2312"/>
        </w:rPr>
      </w:pPr>
      <w:r>
        <w:rPr>
          <w:rFonts w:hint="eastAsia" w:ascii="仿宋_GB2312" w:eastAsia="仿宋_GB2312"/>
        </w:rPr>
        <w:t>邮编：311207</w:t>
      </w:r>
    </w:p>
    <w:p>
      <w:pPr>
        <w:spacing w:line="360" w:lineRule="auto"/>
        <w:rPr>
          <w:rFonts w:ascii="仿宋_GB2312" w:eastAsia="仿宋_GB2312"/>
        </w:rPr>
      </w:pPr>
      <w:r>
        <w:rPr>
          <w:rFonts w:hint="eastAsia" w:ascii="仿宋_GB2312" w:eastAsia="仿宋_GB2312"/>
        </w:rPr>
        <w:t>乙方：</w:t>
      </w:r>
    </w:p>
    <w:p>
      <w:pPr>
        <w:spacing w:line="360" w:lineRule="auto"/>
        <w:rPr>
          <w:rFonts w:ascii="仿宋_GB2312" w:eastAsia="仿宋_GB2312"/>
        </w:rPr>
      </w:pPr>
      <w:r>
        <w:rPr>
          <w:rFonts w:hint="eastAsia" w:ascii="仿宋_GB2312" w:eastAsia="仿宋_GB2312"/>
        </w:rPr>
        <w:t>邮编：</w:t>
      </w:r>
    </w:p>
    <w:p>
      <w:pPr>
        <w:spacing w:line="360" w:lineRule="auto"/>
        <w:ind w:left="392" w:leftChars="50" w:hanging="287" w:hangingChars="137"/>
        <w:rPr>
          <w:rFonts w:ascii="仿宋_GB2312" w:eastAsia="仿宋_GB2312"/>
        </w:rPr>
      </w:pPr>
      <w:r>
        <w:rPr>
          <w:rFonts w:hint="eastAsia" w:ascii="仿宋_GB2312" w:eastAsia="仿宋_GB2312"/>
        </w:rPr>
        <w:t>22.2为保证双方合作的顺利进行，现确立以下主要代表：</w:t>
      </w:r>
    </w:p>
    <w:p>
      <w:pPr>
        <w:spacing w:line="360" w:lineRule="auto"/>
        <w:rPr>
          <w:rFonts w:ascii="仿宋_GB2312" w:eastAsia="仿宋_GB2312"/>
        </w:rPr>
      </w:pPr>
      <w:r>
        <w:rPr>
          <w:rFonts w:hint="eastAsia" w:ascii="仿宋_GB2312" w:eastAsia="仿宋_GB2312"/>
        </w:rPr>
        <w:t>甲方： 杭州萧山国际机场有限公司</w:t>
      </w:r>
    </w:p>
    <w:p>
      <w:pPr>
        <w:spacing w:line="360" w:lineRule="auto"/>
        <w:rPr>
          <w:rFonts w:ascii="仿宋_GB2312" w:eastAsia="仿宋_GB2312"/>
        </w:rPr>
      </w:pPr>
      <w:r>
        <w:rPr>
          <w:rFonts w:hint="eastAsia" w:ascii="仿宋_GB2312" w:eastAsia="仿宋_GB2312"/>
        </w:rPr>
        <w:t>主要代表 ：</w:t>
      </w:r>
    </w:p>
    <w:p>
      <w:pPr>
        <w:spacing w:line="360" w:lineRule="auto"/>
        <w:rPr>
          <w:rFonts w:ascii="仿宋_GB2312" w:eastAsia="仿宋_GB2312"/>
        </w:rPr>
      </w:pPr>
      <w:r>
        <w:rPr>
          <w:rFonts w:hint="eastAsia" w:ascii="仿宋_GB2312" w:eastAsia="仿宋_GB2312"/>
        </w:rPr>
        <w:t>乙方：</w:t>
      </w:r>
    </w:p>
    <w:p>
      <w:pPr>
        <w:spacing w:line="360" w:lineRule="auto"/>
        <w:rPr>
          <w:rFonts w:ascii="仿宋_GB2312" w:eastAsia="仿宋_GB2312"/>
        </w:rPr>
      </w:pPr>
      <w:r>
        <w:rPr>
          <w:rFonts w:hint="eastAsia" w:ascii="仿宋_GB2312" w:eastAsia="仿宋_GB2312"/>
        </w:rPr>
        <w:t xml:space="preserve">主要代表： </w:t>
      </w:r>
    </w:p>
    <w:p>
      <w:pPr>
        <w:spacing w:line="360" w:lineRule="auto"/>
        <w:ind w:left="392" w:leftChars="50" w:hanging="287" w:hangingChars="137"/>
        <w:rPr>
          <w:rFonts w:ascii="仿宋_GB2312" w:eastAsia="仿宋_GB2312"/>
          <w:b/>
        </w:rPr>
      </w:pPr>
      <w:r>
        <w:rPr>
          <w:rFonts w:hint="eastAsia" w:ascii="仿宋_GB2312" w:eastAsia="仿宋_GB2312"/>
        </w:rPr>
        <w:t>22.3本合同签署后，如双方需对上述二款内容进行变更，则变更方应及时书面通知另一方。未履行通知义务的或在通知送达对方之前，另一方按原地址、原有关人员联系的，视为有效。</w:t>
      </w:r>
    </w:p>
    <w:p>
      <w:pPr>
        <w:spacing w:line="360" w:lineRule="auto"/>
        <w:rPr>
          <w:rFonts w:ascii="仿宋_GB2312" w:eastAsia="仿宋_GB2312"/>
          <w:b/>
        </w:rPr>
      </w:pPr>
      <w:r>
        <w:rPr>
          <w:rFonts w:hint="eastAsia" w:ascii="仿宋_GB2312" w:eastAsia="仿宋_GB2312"/>
          <w:b/>
        </w:rPr>
        <w:t xml:space="preserve">23合同附件 ： </w:t>
      </w:r>
    </w:p>
    <w:p>
      <w:pPr>
        <w:spacing w:line="360" w:lineRule="auto"/>
        <w:rPr>
          <w:rFonts w:ascii="仿宋_GB2312" w:eastAsia="仿宋_GB2312"/>
        </w:rPr>
      </w:pPr>
      <w:r>
        <w:rPr>
          <w:rFonts w:hint="eastAsia" w:ascii="仿宋_GB2312" w:eastAsia="仿宋_GB2312"/>
        </w:rPr>
        <w:t>乙方已收到本合同的以下所列附件，并同意受下列附件的约束：</w:t>
      </w:r>
    </w:p>
    <w:p>
      <w:pPr>
        <w:spacing w:line="360" w:lineRule="auto"/>
        <w:ind w:left="918" w:hanging="917" w:hangingChars="437"/>
        <w:rPr>
          <w:rFonts w:ascii="仿宋_GB2312" w:eastAsia="仿宋_GB2312"/>
        </w:rPr>
      </w:pPr>
      <w:r>
        <w:rPr>
          <w:rFonts w:hint="eastAsia" w:ascii="仿宋_GB2312" w:eastAsia="仿宋_GB2312"/>
        </w:rPr>
        <w:t>附件1：管理服务的区域与内容</w:t>
      </w:r>
    </w:p>
    <w:p>
      <w:pPr>
        <w:spacing w:line="360" w:lineRule="auto"/>
        <w:rPr>
          <w:rFonts w:ascii="仿宋_GB2312" w:eastAsia="仿宋_GB2312"/>
        </w:rPr>
      </w:pPr>
      <w:r>
        <w:rPr>
          <w:rFonts w:hint="eastAsia" w:ascii="仿宋_GB2312" w:eastAsia="仿宋_GB2312"/>
        </w:rPr>
        <w:t>附件2：人数要求</w:t>
      </w:r>
    </w:p>
    <w:p>
      <w:pPr>
        <w:spacing w:line="360" w:lineRule="auto"/>
        <w:rPr>
          <w:rFonts w:ascii="仿宋_GB2312" w:eastAsia="仿宋_GB2312"/>
        </w:rPr>
      </w:pPr>
      <w:r>
        <w:rPr>
          <w:rFonts w:hint="eastAsia" w:ascii="仿宋_GB2312" w:eastAsia="仿宋_GB2312"/>
        </w:rPr>
        <w:t>附件3：库房管理制度</w:t>
      </w:r>
    </w:p>
    <w:p>
      <w:pPr>
        <w:spacing w:line="360" w:lineRule="auto"/>
        <w:rPr>
          <w:rFonts w:ascii="仿宋_GB2312" w:eastAsia="仿宋_GB2312"/>
        </w:rPr>
      </w:pPr>
      <w:r>
        <w:rPr>
          <w:rFonts w:hint="eastAsia" w:ascii="仿宋_GB2312" w:eastAsia="仿宋_GB2312"/>
        </w:rPr>
        <w:t>附件4：安全管理制度</w:t>
      </w:r>
    </w:p>
    <w:p>
      <w:pPr>
        <w:spacing w:line="360" w:lineRule="auto"/>
        <w:rPr>
          <w:rFonts w:ascii="仿宋_GB2312" w:eastAsia="仿宋_GB2312"/>
        </w:rPr>
      </w:pPr>
      <w:r>
        <w:rPr>
          <w:rFonts w:hint="eastAsia" w:ascii="仿宋_GB2312" w:eastAsia="仿宋_GB2312"/>
        </w:rPr>
        <w:t>附件5：培训管理制度</w:t>
      </w:r>
    </w:p>
    <w:p>
      <w:pPr>
        <w:spacing w:line="360" w:lineRule="auto"/>
        <w:rPr>
          <w:rFonts w:ascii="仿宋_GB2312" w:eastAsia="仿宋_GB2312"/>
        </w:rPr>
      </w:pPr>
      <w:r>
        <w:rPr>
          <w:rFonts w:hint="eastAsia" w:ascii="仿宋_GB2312" w:eastAsia="仿宋_GB2312"/>
        </w:rPr>
        <w:t>附件6：机械设备（设施）管理制度</w:t>
      </w:r>
    </w:p>
    <w:p>
      <w:pPr>
        <w:spacing w:line="360" w:lineRule="auto"/>
        <w:rPr>
          <w:rFonts w:ascii="仿宋_GB2312" w:eastAsia="仿宋_GB2312"/>
        </w:rPr>
      </w:pPr>
      <w:r>
        <w:rPr>
          <w:rFonts w:hint="eastAsia" w:ascii="仿宋_GB2312" w:eastAsia="仿宋_GB2312"/>
        </w:rPr>
        <w:t>附件7：生产管理制度</w:t>
      </w:r>
    </w:p>
    <w:p>
      <w:pPr>
        <w:spacing w:line="360" w:lineRule="auto"/>
        <w:rPr>
          <w:rFonts w:ascii="仿宋_GB2312" w:eastAsia="仿宋_GB2312"/>
        </w:rPr>
      </w:pPr>
      <w:r>
        <w:rPr>
          <w:rFonts w:hint="eastAsia" w:ascii="仿宋_GB2312" w:eastAsia="仿宋_GB2312"/>
        </w:rPr>
        <w:t>附件8：各类应急预案相关处置程序</w:t>
      </w:r>
    </w:p>
    <w:p>
      <w:pPr>
        <w:spacing w:line="360" w:lineRule="auto"/>
        <w:rPr>
          <w:rFonts w:ascii="仿宋_GB2312" w:eastAsia="仿宋_GB2312"/>
        </w:rPr>
      </w:pPr>
      <w:r>
        <w:rPr>
          <w:rFonts w:hint="eastAsia" w:ascii="仿宋_GB2312" w:eastAsia="仿宋_GB2312"/>
        </w:rPr>
        <w:t>附件9: 员工服装及劳保用品</w:t>
      </w:r>
    </w:p>
    <w:p>
      <w:pPr>
        <w:spacing w:line="360" w:lineRule="auto"/>
        <w:rPr>
          <w:rFonts w:ascii="仿宋_GB2312" w:eastAsia="仿宋_GB2312"/>
        </w:rPr>
      </w:pPr>
      <w:r>
        <w:rPr>
          <w:rFonts w:hint="eastAsia" w:ascii="仿宋_GB2312" w:eastAsia="仿宋_GB2312"/>
        </w:rPr>
        <w:t>附件10：:航站楼手推车考核办法</w:t>
      </w:r>
    </w:p>
    <w:p>
      <w:pPr>
        <w:spacing w:line="360" w:lineRule="auto"/>
        <w:jc w:val="left"/>
        <w:rPr>
          <w:rFonts w:ascii="仿宋_GB2312" w:eastAsia="仿宋_GB2312"/>
        </w:rPr>
      </w:pPr>
      <w:r>
        <w:rPr>
          <w:rFonts w:hint="eastAsia" w:ascii="仿宋_GB2312" w:eastAsia="仿宋_GB2312"/>
        </w:rPr>
        <w:t>附件11：杭州萧山国际机场航站楼手推车服务质量评分细则</w:t>
      </w:r>
    </w:p>
    <w:p>
      <w:pPr>
        <w:spacing w:line="360" w:lineRule="auto"/>
        <w:jc w:val="left"/>
        <w:rPr>
          <w:rFonts w:ascii="仿宋_GB2312" w:eastAsia="仿宋_GB2312"/>
        </w:rPr>
      </w:pPr>
      <w:r>
        <w:rPr>
          <w:rFonts w:hint="eastAsia" w:ascii="仿宋_GB2312" w:eastAsia="仿宋_GB2312"/>
        </w:rPr>
        <w:t>附件12：手推车相关行业标准</w:t>
      </w:r>
    </w:p>
    <w:p>
      <w:pPr>
        <w:spacing w:line="360" w:lineRule="auto"/>
        <w:jc w:val="left"/>
        <w:rPr>
          <w:rFonts w:ascii="仿宋_GB2312" w:eastAsia="仿宋_GB2312"/>
        </w:rPr>
      </w:pPr>
      <w:r>
        <w:rPr>
          <w:rFonts w:hint="eastAsia" w:ascii="仿宋_GB2312" w:eastAsia="仿宋_GB2312"/>
        </w:rPr>
        <w:t>附件13：航站楼行李手推车管理标准</w:t>
      </w:r>
    </w:p>
    <w:p>
      <w:pPr>
        <w:spacing w:line="360" w:lineRule="auto"/>
        <w:jc w:val="left"/>
        <w:rPr>
          <w:rFonts w:ascii="仿宋_GB2312" w:eastAsia="仿宋_GB2312"/>
        </w:rPr>
      </w:pPr>
      <w:r>
        <w:rPr>
          <w:rFonts w:hint="eastAsia" w:ascii="仿宋_GB2312" w:eastAsia="仿宋_GB2312"/>
        </w:rPr>
        <w:t>附件14：杭州萧山国际机场有限公司廉洁自律承诺书</w:t>
      </w:r>
    </w:p>
    <w:p>
      <w:pPr>
        <w:spacing w:line="360" w:lineRule="auto"/>
        <w:ind w:left="449" w:hanging="449"/>
        <w:jc w:val="left"/>
        <w:rPr>
          <w:rFonts w:ascii="仿宋_GB2312" w:eastAsia="仿宋_GB2312"/>
          <w:b/>
        </w:rPr>
      </w:pPr>
    </w:p>
    <w:p>
      <w:pPr>
        <w:spacing w:line="360" w:lineRule="auto"/>
        <w:ind w:left="601" w:hanging="601"/>
        <w:jc w:val="left"/>
        <w:rPr>
          <w:rFonts w:ascii="黑体" w:eastAsia="黑体"/>
          <w:b/>
          <w:sz w:val="32"/>
          <w:szCs w:val="32"/>
        </w:rPr>
      </w:pPr>
    </w:p>
    <w:p>
      <w:pPr>
        <w:spacing w:line="360" w:lineRule="auto"/>
        <w:rPr>
          <w:rFonts w:ascii="仿宋_GB2312" w:eastAsia="仿宋_GB2312"/>
        </w:rPr>
      </w:pPr>
      <w:r>
        <w:rPr>
          <w:rFonts w:hint="eastAsia" w:ascii="仿宋_GB2312" w:eastAsia="仿宋_GB2312"/>
        </w:rPr>
        <w:t>上述附件是本合同的不可分割的组成部分。（其中附件3、附件4、附件5、附件6、附件7、附件8根据本合同8.1.10条款要求应于本合同签订后两个月内由乙方向甲方提供最终的完整的制度版本）</w:t>
      </w:r>
    </w:p>
    <w:p>
      <w:pPr>
        <w:spacing w:line="360" w:lineRule="auto"/>
        <w:rPr>
          <w:rFonts w:ascii="仿宋_GB2312" w:eastAsia="仿宋_GB2312"/>
        </w:rPr>
      </w:pPr>
    </w:p>
    <w:p>
      <w:pPr>
        <w:rPr>
          <w:rFonts w:ascii="仿宋_GB2312" w:eastAsia="仿宋_GB2312"/>
        </w:rPr>
      </w:pPr>
      <w:r>
        <w:rPr>
          <w:rFonts w:hint="eastAsia" w:ascii="仿宋_GB2312" w:eastAsia="仿宋_GB2312"/>
        </w:rPr>
        <w:t xml:space="preserve">                              （以下无正文）</w:t>
      </w:r>
    </w:p>
    <w:p>
      <w:pPr>
        <w:widowControl/>
        <w:jc w:val="left"/>
        <w:rPr>
          <w:rFonts w:ascii="仿宋_GB2312" w:eastAsia="仿宋_GB2312" w:cs="黑体"/>
          <w:b/>
          <w:kern w:val="0"/>
        </w:rPr>
      </w:pPr>
      <w:r>
        <w:rPr>
          <w:rFonts w:ascii="仿宋_GB2312" w:eastAsia="仿宋_GB2312" w:cs="黑体"/>
          <w:bCs/>
        </w:rPr>
        <w:br w:type="page"/>
      </w:r>
    </w:p>
    <w:p>
      <w:pPr>
        <w:pStyle w:val="42"/>
        <w:ind w:right="-50" w:rightChars="-24"/>
        <w:jc w:val="left"/>
        <w:rPr>
          <w:rFonts w:ascii="仿宋_GB2312" w:hAnsi="Calibri" w:eastAsia="仿宋_GB2312" w:cs="黑体"/>
          <w:bCs w:val="0"/>
          <w:sz w:val="21"/>
          <w:szCs w:val="22"/>
        </w:rPr>
      </w:pPr>
      <w:r>
        <w:rPr>
          <w:rFonts w:hint="eastAsia" w:ascii="仿宋_GB2312" w:hAnsi="Calibri" w:eastAsia="仿宋_GB2312" w:cs="黑体"/>
          <w:bCs w:val="0"/>
          <w:sz w:val="21"/>
          <w:szCs w:val="22"/>
        </w:rPr>
        <w:t>附件1 ：管理服务的区域与内容</w:t>
      </w:r>
    </w:p>
    <w:p>
      <w:pPr>
        <w:autoSpaceDE w:val="0"/>
        <w:autoSpaceDN w:val="0"/>
        <w:adjustRightInd w:val="0"/>
        <w:spacing w:line="360" w:lineRule="auto"/>
        <w:rPr>
          <w:rFonts w:ascii="仿宋_GB2312" w:eastAsia="仿宋_GB2312"/>
        </w:rPr>
      </w:pPr>
      <w:r>
        <w:rPr>
          <w:rFonts w:hint="eastAsia" w:ascii="仿宋_GB2312" w:eastAsia="仿宋_GB2312"/>
        </w:rPr>
        <w:t>1、航站楼旅客行李手推车服务包括：根据运营的实际情况，服务范围在航班运行期间，服务外包商应负责提供本场包括但不仅限于</w:t>
      </w:r>
      <w:r>
        <w:rPr>
          <w:rFonts w:ascii="仿宋_GB2312" w:eastAsia="仿宋_GB2312"/>
        </w:rPr>
        <w:t>T1、T2、T3</w:t>
      </w:r>
      <w:r>
        <w:rPr>
          <w:rFonts w:hint="eastAsia" w:ascii="仿宋_GB2312" w:eastAsia="仿宋_GB2312"/>
        </w:rPr>
        <w:t>三个航站楼、高架桥上下、地下车库、地面停车场、场区办公楼等区域旅客行李手推车的回收、清洁、维护和管理。手推车维护含零配件采购、人工成本。航班运行时间指航站楼开放至航站楼关闭；根据季节的不同以及杭州萧山国际机场航线开设的需要，会相应提前或推迟行李手推车服务的开始、结束时间。乙方应根据甲方的要求及时调整工作时间。</w:t>
      </w:r>
    </w:p>
    <w:p>
      <w:pPr>
        <w:autoSpaceDE w:val="0"/>
        <w:autoSpaceDN w:val="0"/>
        <w:adjustRightInd w:val="0"/>
        <w:spacing w:line="360" w:lineRule="auto"/>
        <w:ind w:left="-5" w:hanging="24"/>
        <w:rPr>
          <w:rFonts w:ascii="仿宋_GB2312" w:eastAsia="仿宋_GB2312"/>
        </w:rPr>
      </w:pPr>
      <w:r>
        <w:rPr>
          <w:rFonts w:hint="eastAsia" w:ascii="仿宋_GB2312" w:eastAsia="仿宋_GB2312"/>
        </w:rPr>
        <w:t>2、乙方向甲方提供行李手推车管理维护服务，乙方每月应向甲方提交手推车的数量、破损率、遗失率及维修情况的相关数据报表。</w:t>
      </w:r>
    </w:p>
    <w:p>
      <w:pPr>
        <w:autoSpaceDE w:val="0"/>
        <w:autoSpaceDN w:val="0"/>
        <w:adjustRightInd w:val="0"/>
        <w:spacing w:line="360" w:lineRule="auto"/>
        <w:rPr>
          <w:rFonts w:ascii="仿宋_GB2312" w:eastAsia="仿宋_GB2312"/>
        </w:rPr>
      </w:pPr>
      <w:r>
        <w:rPr>
          <w:rFonts w:hint="eastAsia" w:ascii="仿宋_GB2312" w:eastAsia="仿宋_GB2312"/>
        </w:rPr>
        <w:t>3、乙方负责对旅客行李手推车进行维护保养，维修场地由甲方提供，零配件费用和人工费由乙方承担，已纳入外包费用，甲方有权审核乙方维修费用。</w:t>
      </w:r>
    </w:p>
    <w:p>
      <w:pPr>
        <w:autoSpaceDE w:val="0"/>
        <w:autoSpaceDN w:val="0"/>
        <w:adjustRightInd w:val="0"/>
        <w:spacing w:line="360" w:lineRule="auto"/>
        <w:rPr>
          <w:rFonts w:ascii="仿宋_GB2312" w:eastAsia="仿宋_GB2312"/>
        </w:rPr>
      </w:pPr>
      <w:r>
        <w:rPr>
          <w:rFonts w:hint="eastAsia" w:ascii="仿宋_GB2312" w:eastAsia="仿宋_GB2312"/>
        </w:rPr>
        <w:t xml:space="preserve">4、由于乙方管理、维护不当造成的旅客财物的损失以及人身伤害，由乙方负全部责任，甲方不负任何责任。 </w:t>
      </w:r>
    </w:p>
    <w:p>
      <w:pPr>
        <w:tabs>
          <w:tab w:val="left" w:pos="2430"/>
        </w:tabs>
        <w:rPr>
          <w:rFonts w:ascii="仿宋_GB2312" w:eastAsia="仿宋_GB2312"/>
          <w:b/>
        </w:rPr>
      </w:pPr>
    </w:p>
    <w:p>
      <w:pPr>
        <w:tabs>
          <w:tab w:val="left" w:pos="2430"/>
        </w:tabs>
        <w:rPr>
          <w:rFonts w:ascii="仿宋_GB2312" w:eastAsia="仿宋_GB2312"/>
          <w:b/>
        </w:rPr>
      </w:pPr>
    </w:p>
    <w:p>
      <w:pPr>
        <w:tabs>
          <w:tab w:val="left" w:pos="2430"/>
        </w:tabs>
        <w:rPr>
          <w:rFonts w:ascii="仿宋_GB2312" w:eastAsia="仿宋_GB2312"/>
          <w:b/>
        </w:rPr>
      </w:pPr>
      <w:r>
        <w:rPr>
          <w:rFonts w:hint="eastAsia" w:ascii="仿宋_GB2312" w:eastAsia="仿宋_GB2312"/>
          <w:b/>
        </w:rPr>
        <w:t>附件2：人数要求</w:t>
      </w:r>
      <w:r>
        <w:rPr>
          <w:rFonts w:ascii="仿宋_GB2312" w:eastAsia="仿宋_GB2312"/>
          <w:b/>
        </w:rPr>
        <w:tab/>
      </w:r>
    </w:p>
    <w:p>
      <w:pPr>
        <w:spacing w:line="360" w:lineRule="auto"/>
        <w:ind w:left="393" w:leftChars="187"/>
        <w:rPr>
          <w:rFonts w:ascii="仿宋_GB2312" w:eastAsia="仿宋_GB2312"/>
        </w:rPr>
      </w:pPr>
      <w:r>
        <w:rPr>
          <w:rFonts w:hint="eastAsia" w:ascii="仿宋_GB2312" w:eastAsia="仿宋_GB2312"/>
        </w:rPr>
        <w:t>本项目前三年中的乙方工作人员数量不得低于投标文件所列明的152人（含管理人员），如发现低于152人，每发现一次扣除履约保证金2000元，同时乙方需在3个工作日内补足人数，未能按时补足的，在当月手推车服务费中扣除缺编人数的人工费用。合同期内，如乙方的运营效果无法满足本合同及甲方的要求，甲方有权要求乙方在最低要求的人数上增加人员，但必须提前一周书面通知，涉及的相关费用甲方不另行支付相关费用。</w:t>
      </w:r>
    </w:p>
    <w:p>
      <w:pPr>
        <w:spacing w:line="360" w:lineRule="auto"/>
        <w:rPr>
          <w:rFonts w:ascii="仿宋_GB2312" w:eastAsia="仿宋_GB2312"/>
          <w:b/>
        </w:rPr>
      </w:pPr>
    </w:p>
    <w:p>
      <w:pPr>
        <w:rPr>
          <w:rFonts w:ascii="仿宋_GB2312" w:eastAsia="仿宋_GB2312"/>
          <w:b/>
        </w:rPr>
      </w:pPr>
    </w:p>
    <w:p>
      <w:pPr>
        <w:spacing w:line="360" w:lineRule="auto"/>
        <w:rPr>
          <w:rFonts w:ascii="仿宋_GB2312" w:eastAsia="仿宋_GB2312"/>
          <w:b/>
        </w:rPr>
      </w:pPr>
    </w:p>
    <w:p>
      <w:pPr>
        <w:spacing w:line="360" w:lineRule="auto"/>
        <w:ind w:left="392" w:hanging="392" w:hangingChars="186"/>
        <w:jc w:val="left"/>
        <w:rPr>
          <w:rFonts w:ascii="仿宋_GB2312" w:eastAsia="仿宋_GB2312"/>
          <w:b/>
        </w:rPr>
      </w:pPr>
      <w:r>
        <w:rPr>
          <w:rFonts w:hint="eastAsia" w:ascii="仿宋_GB2312" w:eastAsia="仿宋_GB2312"/>
          <w:b/>
        </w:rPr>
        <w:t>附件3：库房管理制度</w:t>
      </w:r>
    </w:p>
    <w:p>
      <w:pPr>
        <w:spacing w:line="360" w:lineRule="auto"/>
        <w:ind w:left="449" w:hanging="449"/>
        <w:rPr>
          <w:rFonts w:ascii="仿宋_GB2312" w:eastAsia="仿宋_GB2312"/>
        </w:rPr>
      </w:pPr>
      <w:r>
        <w:rPr>
          <w:rFonts w:hint="eastAsia" w:ascii="仿宋_GB2312" w:eastAsia="仿宋_GB2312"/>
          <w:b/>
        </w:rPr>
        <w:t>附件4：安全管理制度</w:t>
      </w:r>
    </w:p>
    <w:p>
      <w:pPr>
        <w:pStyle w:val="36"/>
        <w:spacing w:after="0" w:line="360" w:lineRule="auto"/>
        <w:rPr>
          <w:rFonts w:ascii="仿宋_GB2312" w:eastAsia="仿宋_GB2312"/>
          <w:b/>
        </w:rPr>
      </w:pPr>
      <w:r>
        <w:rPr>
          <w:rFonts w:hint="eastAsia" w:ascii="仿宋_GB2312" w:eastAsia="仿宋_GB2312"/>
          <w:b/>
          <w:bCs/>
          <w:sz w:val="21"/>
          <w:szCs w:val="21"/>
        </w:rPr>
        <w:t>附件5：员工培训管理制度</w:t>
      </w:r>
    </w:p>
    <w:p>
      <w:pPr>
        <w:spacing w:line="360" w:lineRule="auto"/>
        <w:rPr>
          <w:rFonts w:ascii="仿宋_GB2312" w:eastAsia="仿宋_GB2312"/>
          <w:b/>
        </w:rPr>
      </w:pPr>
      <w:r>
        <w:rPr>
          <w:rFonts w:hint="eastAsia" w:ascii="仿宋_GB2312" w:eastAsia="仿宋_GB2312"/>
          <w:b/>
        </w:rPr>
        <w:t>附件6：机械设备（设施）管理制度</w:t>
      </w:r>
    </w:p>
    <w:p>
      <w:pPr>
        <w:spacing w:line="360" w:lineRule="auto"/>
        <w:ind w:left="392" w:hanging="392" w:hangingChars="186"/>
        <w:jc w:val="left"/>
        <w:rPr>
          <w:rFonts w:ascii="仿宋_GB2312" w:eastAsia="仿宋_GB2312"/>
          <w:b/>
          <w:szCs w:val="21"/>
        </w:rPr>
      </w:pPr>
      <w:r>
        <w:rPr>
          <w:rFonts w:hint="eastAsia" w:ascii="仿宋_GB2312" w:eastAsia="仿宋_GB2312"/>
          <w:b/>
        </w:rPr>
        <w:t>附件7：生产管理制度</w:t>
      </w:r>
    </w:p>
    <w:p>
      <w:pPr>
        <w:spacing w:line="360" w:lineRule="auto"/>
        <w:ind w:left="392" w:hanging="392" w:hangingChars="186"/>
        <w:rPr>
          <w:rFonts w:ascii="仿宋_GB2312" w:eastAsia="仿宋_GB2312"/>
          <w:b/>
        </w:rPr>
      </w:pPr>
      <w:r>
        <w:rPr>
          <w:rFonts w:hint="eastAsia" w:ascii="仿宋_GB2312" w:eastAsia="仿宋_GB2312"/>
          <w:b/>
          <w:szCs w:val="21"/>
        </w:rPr>
        <w:t>附件8：各类应急预案相关处置程序</w:t>
      </w:r>
    </w:p>
    <w:p>
      <w:pPr>
        <w:spacing w:line="360" w:lineRule="auto"/>
        <w:rPr>
          <w:rFonts w:ascii="仿宋_GB2312" w:eastAsia="仿宋_GB2312"/>
          <w:b/>
        </w:rPr>
      </w:pPr>
      <w:r>
        <w:rPr>
          <w:rFonts w:hint="eastAsia" w:ascii="仿宋_GB2312" w:eastAsia="仿宋_GB2312"/>
          <w:b/>
        </w:rPr>
        <w:t>附件9、员工服装</w:t>
      </w:r>
    </w:p>
    <w:p>
      <w:pPr>
        <w:rPr>
          <w:rFonts w:ascii="仿宋_GB2312" w:eastAsia="仿宋_GB2312"/>
          <w:b/>
        </w:rPr>
      </w:pPr>
    </w:p>
    <w:p>
      <w:pPr>
        <w:widowControl/>
        <w:jc w:val="left"/>
        <w:rPr>
          <w:rFonts w:ascii="宋体" w:cs="宋体"/>
          <w:kern w:val="0"/>
        </w:rPr>
      </w:pPr>
    </w:p>
    <w:p>
      <w:pPr>
        <w:widowControl/>
        <w:jc w:val="left"/>
        <w:rPr>
          <w:rFonts w:ascii="仿宋_GB2312" w:eastAsia="仿宋_GB2312"/>
          <w:b/>
        </w:rPr>
      </w:pPr>
    </w:p>
    <w:p>
      <w:pPr>
        <w:widowControl/>
        <w:jc w:val="left"/>
        <w:rPr>
          <w:rFonts w:ascii="仿宋_GB2312" w:eastAsia="仿宋_GB2312"/>
          <w:b/>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720" w:num="1"/>
          <w:docGrid w:type="lines" w:linePitch="312" w:charSpace="0"/>
        </w:sectPr>
      </w:pPr>
    </w:p>
    <w:p>
      <w:pPr>
        <w:ind w:left="392" w:hanging="392" w:hangingChars="186"/>
        <w:jc w:val="left"/>
        <w:rPr>
          <w:rFonts w:ascii="仿宋_GB2312" w:eastAsia="仿宋_GB2312"/>
          <w:b/>
        </w:rPr>
      </w:pPr>
      <w:r>
        <w:rPr>
          <w:rFonts w:hint="eastAsia" w:ascii="仿宋_GB2312" w:eastAsia="仿宋_GB2312"/>
          <w:b/>
        </w:rPr>
        <w:t>附件</w:t>
      </w:r>
      <w:r>
        <w:rPr>
          <w:rFonts w:ascii="仿宋_GB2312" w:eastAsia="仿宋_GB2312"/>
          <w:b/>
        </w:rPr>
        <w:t>10</w:t>
      </w:r>
      <w:r>
        <w:rPr>
          <w:rFonts w:hint="eastAsia" w:ascii="仿宋_GB2312" w:eastAsia="仿宋_GB2312"/>
          <w:b/>
        </w:rPr>
        <w:t>：航站楼手推车考核办法</w:t>
      </w:r>
    </w:p>
    <w:p>
      <w:pPr>
        <w:pStyle w:val="140"/>
        <w:widowControl w:val="0"/>
        <w:spacing w:before="0" w:beforeAutospacing="0" w:after="0" w:afterAutospacing="0"/>
        <w:ind w:left="0" w:firstLine="420" w:firstLineChars="200"/>
        <w:jc w:val="both"/>
        <w:rPr>
          <w:rFonts w:ascii="仿宋_GB2312" w:eastAsia="仿宋_GB2312" w:cs="黑体"/>
          <w:sz w:val="21"/>
          <w:szCs w:val="22"/>
        </w:rPr>
      </w:pPr>
      <w:r>
        <w:rPr>
          <w:rFonts w:hint="eastAsia" w:ascii="仿宋_GB2312" w:hAnsi="Calibri" w:eastAsia="仿宋_GB2312" w:cs="黑体"/>
          <w:b w:val="0"/>
          <w:bCs w:val="0"/>
          <w:kern w:val="2"/>
          <w:sz w:val="21"/>
          <w:szCs w:val="22"/>
        </w:rPr>
        <w:t>一、日常考核。杭州萧山国际机场有限公司监管单位每日按照日常检查表对相应岗位工作情况、服务质量进行监督检查及考核，发现问题，及时进行记录，并由承包商现场人员确认，同时发放整改单告知承包商进行纠正和整改。</w:t>
      </w:r>
    </w:p>
    <w:p>
      <w:pPr>
        <w:pStyle w:val="140"/>
        <w:widowControl w:val="0"/>
        <w:spacing w:before="0" w:beforeAutospacing="0" w:after="0" w:afterAutospacing="0"/>
        <w:ind w:left="0" w:firstLine="420" w:firstLineChars="200"/>
        <w:jc w:val="both"/>
        <w:rPr>
          <w:rFonts w:ascii="仿宋_GB2312" w:eastAsia="仿宋_GB2312" w:cs="黑体"/>
          <w:sz w:val="21"/>
          <w:szCs w:val="22"/>
        </w:rPr>
      </w:pPr>
      <w:r>
        <w:rPr>
          <w:rFonts w:hint="eastAsia" w:ascii="仿宋_GB2312" w:hAnsi="Calibri" w:eastAsia="仿宋_GB2312" w:cs="黑体"/>
          <w:b w:val="0"/>
          <w:bCs w:val="0"/>
          <w:kern w:val="2"/>
          <w:sz w:val="21"/>
          <w:szCs w:val="22"/>
        </w:rPr>
        <w:t>承包商在收到杭州萧山国际机场有限公司的整改通知书之日起10日内完成相关整改工作，并将整改情况反馈杭州萧山国际机场有限公司监管单位。</w:t>
      </w:r>
    </w:p>
    <w:p>
      <w:pPr>
        <w:pStyle w:val="140"/>
        <w:widowControl w:val="0"/>
        <w:spacing w:before="0" w:beforeAutospacing="0" w:after="0" w:afterAutospacing="0"/>
        <w:ind w:left="0" w:firstLine="420" w:firstLineChars="200"/>
        <w:jc w:val="both"/>
        <w:rPr>
          <w:rFonts w:ascii="仿宋_GB2312" w:eastAsia="仿宋_GB2312" w:cs="黑体"/>
          <w:sz w:val="21"/>
          <w:szCs w:val="22"/>
        </w:rPr>
      </w:pPr>
      <w:r>
        <w:rPr>
          <w:rFonts w:hint="eastAsia" w:ascii="仿宋_GB2312" w:hAnsi="Calibri" w:eastAsia="仿宋_GB2312" w:cs="黑体"/>
          <w:b w:val="0"/>
          <w:bCs w:val="0"/>
          <w:kern w:val="2"/>
          <w:sz w:val="21"/>
          <w:szCs w:val="22"/>
        </w:rPr>
        <w:t>二、月度考核。杭州萧山国际机场有限公司监管考核单位根据当月每日考核得分情况得出月度考核得分，满分100分，单项考核分不设上限，当月每日考核的最低得分为月度考核得分。</w:t>
      </w:r>
    </w:p>
    <w:p>
      <w:pPr>
        <w:pStyle w:val="140"/>
        <w:widowControl w:val="0"/>
        <w:spacing w:before="0" w:beforeAutospacing="0" w:after="0" w:afterAutospacing="0"/>
        <w:ind w:left="0" w:firstLine="420" w:firstLineChars="200"/>
        <w:jc w:val="both"/>
        <w:rPr>
          <w:rFonts w:ascii="仿宋_GB2312" w:eastAsia="仿宋_GB2312" w:cs="黑体"/>
          <w:sz w:val="21"/>
          <w:szCs w:val="22"/>
        </w:rPr>
      </w:pPr>
      <w:r>
        <w:rPr>
          <w:rFonts w:hint="eastAsia" w:ascii="仿宋_GB2312" w:hAnsi="Calibri" w:eastAsia="仿宋_GB2312" w:cs="黑体"/>
          <w:b w:val="0"/>
          <w:bCs w:val="0"/>
          <w:kern w:val="2"/>
          <w:sz w:val="21"/>
          <w:szCs w:val="22"/>
        </w:rPr>
        <w:t>三、每月考核得分达到95分以上（含95分），视为考核合格，杭州萧山国际机场有限公司按合同所规定的付款方式支付给承包商服务费；如考核得分95分以下，视为考核不合格，每减少1分，扣除当月该项业务服务费的1%。年度考核成绩可按月度平均值进行核算。</w:t>
      </w:r>
    </w:p>
    <w:p>
      <w:pPr>
        <w:pStyle w:val="140"/>
        <w:widowControl w:val="0"/>
        <w:spacing w:before="0" w:beforeAutospacing="0" w:after="0" w:afterAutospacing="0"/>
        <w:ind w:left="0" w:firstLine="420" w:firstLineChars="200"/>
        <w:jc w:val="both"/>
        <w:rPr>
          <w:rFonts w:ascii="仿宋_GB2312" w:eastAsia="仿宋_GB2312" w:cs="黑体"/>
          <w:sz w:val="21"/>
          <w:szCs w:val="22"/>
        </w:rPr>
      </w:pPr>
      <w:r>
        <w:rPr>
          <w:rFonts w:hint="eastAsia" w:ascii="仿宋_GB2312" w:hAnsi="Calibri" w:eastAsia="仿宋_GB2312" w:cs="黑体"/>
          <w:b w:val="0"/>
          <w:bCs w:val="0"/>
          <w:kern w:val="2"/>
          <w:sz w:val="21"/>
          <w:szCs w:val="22"/>
        </w:rPr>
        <w:t>四、在本合同有效期限内如连续两个月度考核得分低于85分（包含85分）或在一个自然外包年度内共计有三个的月度考核得分低于85分（包含85分），杭州萧山国际机场有限公司有权终止本合同，并要求承包商承担由此给杭州萧山国际机场有限公司造成的实际损失。</w:t>
      </w:r>
    </w:p>
    <w:p>
      <w:pPr>
        <w:widowControl/>
        <w:jc w:val="left"/>
        <w:rPr>
          <w:rFonts w:ascii="微软雅黑" w:hAnsi="微软雅黑" w:eastAsia="微软雅黑"/>
          <w:b/>
          <w:sz w:val="36"/>
          <w:szCs w:val="36"/>
        </w:rPr>
      </w:pPr>
      <w:r>
        <w:rPr>
          <w:rFonts w:ascii="微软雅黑" w:hAnsi="微软雅黑" w:eastAsia="微软雅黑"/>
          <w:b/>
          <w:sz w:val="36"/>
          <w:szCs w:val="36"/>
        </w:rPr>
        <w:br w:type="page"/>
      </w:r>
    </w:p>
    <w:p>
      <w:pPr>
        <w:pStyle w:val="157"/>
        <w:spacing w:line="259" w:lineRule="auto"/>
        <w:ind w:left="84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外包项目月度考核表</w:t>
      </w:r>
    </w:p>
    <w:p>
      <w:pPr>
        <w:pStyle w:val="2"/>
        <w:shd w:val="clear" w:color="auto" w:fill="FFFFFF"/>
        <w:spacing w:before="0" w:after="0" w:line="210" w:lineRule="atLeast"/>
        <w:ind w:firstLine="2650" w:firstLineChars="600"/>
        <w:rPr>
          <w:rFonts w:ascii="Tahoma" w:hAnsi="Tahoma" w:cs="Tahoma"/>
          <w:color w:val="333333"/>
          <w:sz w:val="24"/>
          <w:szCs w:val="45"/>
        </w:rPr>
      </w:pPr>
      <w:r>
        <w:pict>
          <v:line id="直接连接符 3" o:spid="_x0000_s1026" o:spt="20" style="position:absolute;left:0pt;margin-left:50.95pt;margin-top:-2.9pt;height:0pt;width:321.75pt;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5vb6QEAAAoEAAAOAAAAZHJzL2Uyb0RvYy54bWysU81u1DAQviP1HSzfu8luadVGm+2hVXtB&#10;sAL6AK4z3ljyn2x3k30JXgCJG5w4cudtKI/B2MlmK0BIIC5OPJ7vm/k+j5eXvVZkCz5Ia2o6n5WU&#10;gOG2kWZT07u3N8fnlITITMOUNVDTHQR6uTp6tuxcBQvbWtWAJ0hiQtW5mrYxuqooAm9BszCzDgwe&#10;Cus1i7j1m6LxrEN2rYpFWZ4VnfWN85ZDCBi9Hg7pKvMLATy+EiJAJKqm2FvMq8/rfVqL1ZJVG89c&#10;K/nYBvuHLjSTBotOVNcsMvLg5S9UWnJvgxVxxq0urBCSQ9aAaublT2retMxB1oLmBDfZFP4fLX+5&#10;XXsim5qeUGKYxit6fP/l27uP379+wPXx8ydykkzqXKgw98qs/bgLbu2T4l54nb6ohfTZ2N1kLPSR&#10;cAw+L8/PFotTSvj+rDgAnQ/xFqwm6aemSpqkmVVs+yJELIap+5QUVoZ0OGkX5WmZ04JVsrmRSqXD&#10;PDdwpTzZMrzx2M9T88jwJAt3ymAwSRpE5L+4UzDwvwaBjmDb86FAmsUDJ+McTNzzKoPZCSawgwk4&#10;dvYn4JifoJDn9G/AEyJXtiZOYC2N9b9r+2CFGPL3Dgy6kwX3ttnl683W4MBl58bHkSb66T7DD094&#10;9QMAAP//AwBQSwMEFAAGAAgAAAAhAPs45PDbAAAACQEAAA8AAABkcnMvZG93bnJldi54bWxMj0Fu&#10;wjAQRfeVuIM1SN1E4EAT2oY4CEXiAAUOYOIhiWqPo9hAevtO1UW7/DN//rxf7iZnxR3H0HtSsFqm&#10;IJAab3pqFZxPh8UbiBA1GW09oYIvDLCrZk+lLox/0Afej7EVHEKh0Aq6GIdCytB06HRY+gGJd1c/&#10;Oh1Zjq00o35wuLNynaYb6XRP/KHTA9YdNp/Hm2OMuj4nAQ/2JTk11ySb8rUNg1LP82m/BRFxin9m&#10;+MHnG6iY6eJvZIKwrNPVO1sVLHKuwIbXLM9AXH4Hsirl/wbVNwAAAP//AwBQSwECLQAUAAYACAAA&#10;ACEAtoM4kv4AAADhAQAAEwAAAAAAAAAAAAAAAAAAAAAAW0NvbnRlbnRfVHlwZXNdLnhtbFBLAQIt&#10;ABQABgAIAAAAIQA4/SH/1gAAAJQBAAALAAAAAAAAAAAAAAAAAC8BAABfcmVscy8ucmVsc1BLAQIt&#10;ABQABgAIAAAAIQAqb5vb6QEAAAoEAAAOAAAAAAAAAAAAAAAAAC4CAABkcnMvZTJvRG9jLnhtbFBL&#10;AQItABQABgAIAAAAIQD7OOTw2wAAAAkBAAAPAAAAAAAAAAAAAAAAAEMEAABkcnMvZG93bnJldi54&#10;bWxQSwUGAAAAAAQABADzAAAASwUAAAAA&#10;">
            <v:path arrowok="t"/>
            <v:fill focussize="0,0"/>
            <v:stroke weight="1.5pt" color="#000000"/>
            <v:imagedata o:title=""/>
            <o:lock v:ext="edit"/>
          </v:line>
        </w:pict>
      </w:r>
      <w:r>
        <w:rPr>
          <w:rFonts w:hint="eastAsia" w:ascii="Tahoma" w:hAnsi="Tahoma" w:cs="Tahoma"/>
          <w:color w:val="333333"/>
          <w:sz w:val="24"/>
          <w:szCs w:val="45"/>
        </w:rPr>
        <w:t>HIA</w:t>
      </w:r>
      <w:r>
        <w:rPr>
          <w:rFonts w:ascii="Tahoma" w:hAnsi="Tahoma" w:cs="Tahoma"/>
          <w:color w:val="333333"/>
          <w:sz w:val="24"/>
          <w:szCs w:val="45"/>
        </w:rPr>
        <w:t xml:space="preserve"> Outsource Evaluation Form.L1</w:t>
      </w:r>
    </w:p>
    <w:p>
      <w:pPr>
        <w:pStyle w:val="2"/>
        <w:shd w:val="clear" w:color="auto" w:fill="FFFFFF"/>
        <w:spacing w:before="0" w:after="0"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ascii="Adobe 楷体 Std R" w:hAnsi="Adobe 楷体 Std R" w:eastAsia="Adobe 楷体 Std R"/>
          <w:sz w:val="24"/>
          <w:szCs w:val="32"/>
        </w:rPr>
        <w:t xml:space="preserve">      </w:t>
      </w:r>
      <w:r>
        <w:rPr>
          <w:rFonts w:hint="eastAsia" w:ascii="Adobe 楷体 Std R" w:hAnsi="Adobe 楷体 Std R" w:eastAsia="Adobe 楷体 Std R"/>
          <w:sz w:val="24"/>
          <w:szCs w:val="32"/>
        </w:rPr>
        <w:t>◆考核时间：</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p>
    <w:tbl>
      <w:tblPr>
        <w:tblStyle w:val="46"/>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rPr>
            </w:pPr>
            <w:r>
              <w:rPr>
                <w:rFonts w:hint="eastAsia" w:ascii="宋体" w:hAnsi="宋体"/>
                <w:b/>
                <w:color w:val="000000"/>
              </w:rPr>
              <w:t>章 节</w:t>
            </w:r>
          </w:p>
        </w:tc>
        <w:tc>
          <w:tcPr>
            <w:tcW w:w="2670" w:type="dxa"/>
            <w:shd w:val="clear" w:color="auto" w:fill="B4C6E7"/>
          </w:tcPr>
          <w:p>
            <w:pPr>
              <w:spacing w:line="259" w:lineRule="auto"/>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1.1</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shd w:val="clear" w:color="auto" w:fill="auto"/>
          </w:tcPr>
          <w:p>
            <w:pPr>
              <w:spacing w:line="259" w:lineRule="auto"/>
              <w:ind w:left="2"/>
              <w:rPr>
                <w:rFonts w:ascii="宋体" w:hAnsi="宋体"/>
                <w:color w:val="000000"/>
              </w:rPr>
            </w:pPr>
            <w:r>
              <w:rPr>
                <w:rFonts w:ascii="宋体" w:hAnsi="宋体"/>
                <w:color w:val="000000"/>
              </w:rPr>
              <w:t xml:space="preserve"> </w:t>
            </w:r>
          </w:p>
        </w:tc>
        <w:tc>
          <w:tcPr>
            <w:tcW w:w="3311" w:type="dxa"/>
            <w:gridSpan w:val="2"/>
            <w:vMerge w:val="restart"/>
            <w:shd w:val="clear" w:color="auto" w:fill="auto"/>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9"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1.2</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1.3</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color w:val="000000"/>
              </w:rPr>
            </w:pPr>
            <w:r>
              <w:rPr>
                <w:rFonts w:ascii="宋体" w:hAnsi="宋体"/>
                <w:color w:val="000000"/>
              </w:rPr>
              <w:t>1.4</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259" w:lineRule="auto"/>
              <w:jc w:val="left"/>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（23）</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276" w:lineRule="auto"/>
              <w:jc w:val="center"/>
              <w:rPr>
                <w:rFonts w:ascii="宋体" w:hAnsi="宋体"/>
                <w:color w:val="000000"/>
              </w:rPr>
            </w:pPr>
            <w:r>
              <w:rPr>
                <w:rFonts w:ascii="宋体" w:hAnsi="宋体"/>
                <w:color w:val="000000"/>
              </w:rPr>
              <w:t>2.2</w:t>
            </w:r>
          </w:p>
        </w:tc>
        <w:tc>
          <w:tcPr>
            <w:tcW w:w="4087" w:type="dxa"/>
            <w:gridSpan w:val="2"/>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927" w:type="dxa"/>
            <w:shd w:val="clear" w:color="auto" w:fill="auto"/>
            <w:vAlign w:val="center"/>
          </w:tcPr>
          <w:p>
            <w:pPr>
              <w:spacing w:line="276" w:lineRule="auto"/>
              <w:jc w:val="left"/>
              <w:rPr>
                <w:rFonts w:ascii="宋体" w:hAnsi="宋体"/>
                <w:color w:val="000000"/>
              </w:rPr>
            </w:pPr>
          </w:p>
        </w:tc>
        <w:tc>
          <w:tcPr>
            <w:tcW w:w="3281" w:type="dxa"/>
            <w:shd w:val="clear" w:color="auto" w:fill="auto"/>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2.3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r>
              <w:rPr>
                <w:rFonts w:ascii="宋体" w:hAnsi="宋体"/>
                <w:color w:val="000000"/>
              </w:rPr>
              <w:t xml:space="preserve"> </w:t>
            </w:r>
          </w:p>
        </w:tc>
        <w:tc>
          <w:tcPr>
            <w:tcW w:w="3281" w:type="dxa"/>
            <w:shd w:val="clear" w:color="auto" w:fill="auto"/>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（35）</w:t>
            </w:r>
          </w:p>
        </w:tc>
        <w:tc>
          <w:tcPr>
            <w:tcW w:w="927" w:type="dxa"/>
            <w:shd w:val="clear" w:color="auto" w:fill="D9E2F3"/>
          </w:tcPr>
          <w:p>
            <w:pPr>
              <w:spacing w:after="84" w:line="259" w:lineRule="auto"/>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927" w:type="dxa"/>
            <w:shd w:val="clear" w:color="auto" w:fill="auto"/>
          </w:tcPr>
          <w:p>
            <w:pPr>
              <w:spacing w:line="259" w:lineRule="auto"/>
              <w:ind w:right="45"/>
              <w:jc w:val="left"/>
              <w:rPr>
                <w:rFonts w:ascii="宋体" w:hAnsi="宋体" w:cs="微软雅黑"/>
                <w:b/>
                <w:color w:val="000000"/>
              </w:rPr>
            </w:pPr>
          </w:p>
        </w:tc>
        <w:tc>
          <w:tcPr>
            <w:tcW w:w="3281" w:type="dxa"/>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259" w:lineRule="auto"/>
              <w:ind w:right="44"/>
              <w:jc w:val="center"/>
              <w:rPr>
                <w:rFonts w:ascii="宋体" w:hAnsi="宋体"/>
                <w:color w:val="000000"/>
              </w:rPr>
            </w:pPr>
            <w:r>
              <w:rPr>
                <w:rFonts w:ascii="宋体" w:hAnsi="宋体"/>
                <w:color w:val="000000"/>
              </w:rPr>
              <w:t>3.6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shd w:val="clear" w:color="auto" w:fill="D9E2F3"/>
          </w:tcPr>
          <w:p>
            <w:pPr>
              <w:spacing w:after="84"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4.3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shd w:val="clear" w:color="auto" w:fill="D9E2F3"/>
          </w:tcPr>
          <w:p>
            <w:pPr>
              <w:spacing w:after="84"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5.1</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5.4</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6.3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253" w:lineRule="auto"/>
              <w:jc w:val="center"/>
              <w:rPr>
                <w:rFonts w:ascii="宋体" w:hAnsi="宋体"/>
                <w:color w:val="000000"/>
              </w:rPr>
            </w:pPr>
            <w:r>
              <w:rPr>
                <w:rFonts w:ascii="宋体" w:hAnsi="宋体"/>
                <w:color w:val="000000"/>
              </w:rPr>
              <w:t>7.1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（2）</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281" w:type="dxa"/>
            <w:shd w:val="clear" w:color="auto" w:fill="DEEAF6"/>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具体检查情况描述：</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259" w:lineRule="auto"/>
        <w:jc w:val="left"/>
        <w:rPr>
          <w:rFonts w:ascii="宋体" w:hAnsi="宋体" w:cs="微软雅黑"/>
          <w:color w:val="000000"/>
        </w:rPr>
      </w:pPr>
      <w:r>
        <w:rPr>
          <w:rFonts w:hint="eastAsia" w:ascii="宋体" w:hAnsi="宋体" w:cs="微软雅黑"/>
          <w:color w:val="000000"/>
        </w:rPr>
        <w:t>备注：本表适用于劳务类项目，默认满分100分。最低满额付款得分为</w:t>
      </w:r>
      <w:r>
        <w:rPr>
          <w:rFonts w:hint="eastAsia" w:ascii="宋体" w:hAnsi="宋体" w:cs="微软雅黑"/>
          <w:color w:val="000000"/>
          <w:u w:val="single"/>
        </w:rPr>
        <w:t xml:space="preserve"> 95  </w:t>
      </w:r>
      <w:r>
        <w:rPr>
          <w:rFonts w:hint="eastAsia" w:ascii="宋体" w:hAnsi="宋体" w:cs="微软雅黑"/>
          <w:color w:val="000000"/>
        </w:rPr>
        <w:t>。</w:t>
      </w:r>
    </w:p>
    <w:p>
      <w:pPr>
        <w:pStyle w:val="157"/>
        <w:spacing w:line="259" w:lineRule="auto"/>
        <w:ind w:left="840" w:right="765" w:firstLine="0" w:firstLineChars="0"/>
        <w:jc w:val="center"/>
        <w:rPr>
          <w:rFonts w:ascii="微软雅黑" w:hAnsi="微软雅黑" w:eastAsia="微软雅黑"/>
          <w:b/>
          <w:sz w:val="36"/>
          <w:szCs w:val="36"/>
        </w:rPr>
      </w:pPr>
      <w:r>
        <w:rPr>
          <w:rFonts w:ascii="Adobe 楷体 Std R" w:hAnsi="Adobe 楷体 Std R" w:eastAsia="Adobe 楷体 Std R"/>
          <w:szCs w:val="32"/>
        </w:rPr>
        <w:br w:type="page"/>
      </w:r>
      <w:r>
        <w:rPr>
          <w:rFonts w:hint="eastAsia" w:ascii="微软雅黑" w:hAnsi="微软雅黑" w:eastAsia="微软雅黑"/>
          <w:b/>
          <w:sz w:val="36"/>
          <w:szCs w:val="36"/>
        </w:rPr>
        <w:t>务外包项目月度考核标准</w:t>
      </w:r>
    </w:p>
    <w:p>
      <w:pPr>
        <w:pStyle w:val="2"/>
        <w:shd w:val="clear" w:color="auto" w:fill="FFFFFF"/>
        <w:spacing w:before="0" w:after="0" w:line="210" w:lineRule="atLeast"/>
        <w:ind w:firstLine="2650" w:firstLineChars="600"/>
        <w:rPr>
          <w:rFonts w:ascii="Tahoma" w:hAnsi="Tahoma" w:cs="Tahoma"/>
          <w:color w:val="333333"/>
          <w:sz w:val="24"/>
          <w:szCs w:val="45"/>
        </w:rPr>
      </w:pPr>
      <w:r>
        <w:pict>
          <v:line id="直接连接符 4" o:spid="_x0000_s1027" o:spt="20" style="position:absolute;left:0pt;margin-left:50.95pt;margin-top:-2.9pt;height:0pt;width:321.75pt;z-index:25166233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Pq6QEAAAoEAAAOAAAAZHJzL2Uyb0RvYy54bWysU81u1DAQviPxDpbv3WRX26pEm+2hVbkg&#10;WAF9ANcZbyz5T7bZZF+CF0DiBieO3Hkb2sfo2MlmK0BIoF6ceDzfN/N9Hq8ueq3IDnyQ1tR0Pisp&#10;AcNtI822pjfvr0/OKQmRmYYpa6Cmewj0Yv382apzFSxsa1UDniCJCVXnatrG6KqiCLwFzcLMOjB4&#10;KKzXLOLWb4vGsw7ZtSoWZXlWdNY3zlsOIWD0ajik68wvBPD4RogAkaiaYm8xrz6vt2kt1itWbT1z&#10;reRjG+w/utBMGiw6UV2xyMgHL3+j0pJ7G6yIM251YYWQHLIGVDMvf1HzrmUOshY0J7jJpvB0tPz1&#10;buOJbGq6pMQwjVd09+n7z49f7n98xvXu21eyTCZ1LlSYe2k2ftwFt/FJcS+8Tl/UQvps7H4yFvpI&#10;OAaX5fnZYnFKCT+cFUeg8yG+BKtJ+qmpkiZpZhXbvQoRi2HqISWFlSEdTtqL8rTMacEq2VxLpdJh&#10;nhu4VJ7sGN547OepeWR4lIU7ZTCYJA0i8l/cKxj434JAR7Dt+VAgzeKRk3EOJh54lcHsBBPYwQQc&#10;O/sbcMxPUMhz+i/gCZErWxMnsJbG+j+1fbRCDPkHBwbdyYJb2+zz9WZrcOCyc+PjSBP9eJ/hxye8&#10;fgAAAP//AwBQSwMEFAAGAAgAAAAhAPs45PDbAAAACQEAAA8AAABkcnMvZG93bnJldi54bWxMj0Fu&#10;wjAQRfeVuIM1SN1E4EAT2oY4CEXiAAUOYOIhiWqPo9hAevtO1UW7/DN//rxf7iZnxR3H0HtSsFqm&#10;IJAab3pqFZxPh8UbiBA1GW09oYIvDLCrZk+lLox/0Afej7EVHEKh0Aq6GIdCytB06HRY+gGJd1c/&#10;Oh1Zjq00o35wuLNynaYb6XRP/KHTA9YdNp/Hm2OMuj4nAQ/2JTk11ySb8rUNg1LP82m/BRFxin9m&#10;+MHnG6iY6eJvZIKwrNPVO1sVLHKuwIbXLM9AXH4Hsirl/wbVNwAAAP//AwBQSwECLQAUAAYACAAA&#10;ACEAtoM4kv4AAADhAQAAEwAAAAAAAAAAAAAAAAAAAAAAW0NvbnRlbnRfVHlwZXNdLnhtbFBLAQIt&#10;ABQABgAIAAAAIQA4/SH/1gAAAJQBAAALAAAAAAAAAAAAAAAAAC8BAABfcmVscy8ucmVsc1BLAQIt&#10;ABQABgAIAAAAIQAH9LPq6QEAAAoEAAAOAAAAAAAAAAAAAAAAAC4CAABkcnMvZTJvRG9jLnhtbFBL&#10;AQItABQABgAIAAAAIQD7OOTw2wAAAAkBAAAPAAAAAAAAAAAAAAAAAEMEAABkcnMvZG93bnJldi54&#10;bWxQSwUGAAAAAAQABADzAAAASwUAAAAA&#10;">
            <v:path arrowok="t"/>
            <v:fill focussize="0,0"/>
            <v:stroke weight="1.5pt" color="#000000"/>
            <v:imagedata o:title=""/>
            <o:lock v:ext="edit"/>
          </v:line>
        </w:pic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.L1</w:t>
      </w:r>
    </w:p>
    <w:p>
      <w:pPr>
        <w:pStyle w:val="2"/>
        <w:shd w:val="clear" w:color="auto" w:fill="FFFFFF"/>
        <w:spacing w:before="0" w:after="0" w:line="210" w:lineRule="atLeast"/>
        <w:rPr>
          <w:rFonts w:ascii="Tahoma" w:hAnsi="Tahoma" w:cs="Tahoma"/>
          <w:color w:val="333333"/>
          <w:sz w:val="24"/>
          <w:szCs w:val="45"/>
        </w:rPr>
      </w:pPr>
      <w:r>
        <w:rPr>
          <w:rFonts w:hint="eastAsia" w:ascii="Tahoma" w:hAnsi="Tahoma" w:cs="Tahoma"/>
          <w:color w:val="333333"/>
          <w:sz w:val="24"/>
          <w:szCs w:val="45"/>
        </w:rPr>
        <w:t xml:space="preserve">◆劳务类项目： </w:t>
      </w:r>
    </w:p>
    <w:tbl>
      <w:tblPr>
        <w:tblStyle w:val="46"/>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10"/>
        <w:gridCol w:w="3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10" w:type="dxa"/>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851" w:type="dxa"/>
            <w:gridSpan w:val="2"/>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10" w:type="dxa"/>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851" w:type="dxa"/>
            <w:gridSpan w:val="2"/>
            <w:vMerge w:val="restart"/>
            <w:shd w:val="clear" w:color="auto" w:fill="auto"/>
          </w:tcPr>
          <w:p>
            <w:pPr>
              <w:spacing w:line="259"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10" w:type="dxa"/>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585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10" w:type="dxa"/>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585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10" w:type="dxa"/>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585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10" w:type="dxa"/>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585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gridSpan w:val="2"/>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2"/>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w:t>
            </w:r>
            <w:r>
              <w:rPr>
                <w:rFonts w:ascii="宋体" w:hAnsi="宋体"/>
                <w:color w:val="000000"/>
              </w:rPr>
              <w:t>，</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发生乙方不按投标</w:t>
            </w:r>
            <w:r>
              <w:rPr>
                <w:rFonts w:ascii="宋体" w:hAnsi="宋体"/>
                <w:color w:val="000000"/>
              </w:rPr>
              <w:t>承诺发放工资薪酬</w:t>
            </w:r>
            <w:r>
              <w:rPr>
                <w:rFonts w:hint="eastAsia" w:ascii="宋体" w:hAnsi="宋体"/>
                <w:color w:val="000000"/>
              </w:rPr>
              <w:t>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5812" w:type="dxa"/>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质量(35</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经检查发现乙方人员着装，服务态度及用语不符合甲方要求的，第一次发生扣1分，第二次发生扣2分，以此类推。</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5812" w:type="dxa"/>
            <w:shd w:val="clear" w:color="auto" w:fill="auto"/>
          </w:tcPr>
          <w:p>
            <w:pPr>
              <w:spacing w:line="259" w:lineRule="auto"/>
              <w:rPr>
                <w:rFonts w:ascii="宋体" w:hAnsi="宋体"/>
                <w:color w:val="000000"/>
              </w:rPr>
            </w:pPr>
            <w:r>
              <w:rPr>
                <w:rFonts w:hint="eastAsia" w:ascii="宋体" w:hAnsi="宋体"/>
                <w:color w:val="000000"/>
              </w:rPr>
              <w:t>按照航站楼手推车服务质量评分细则执行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5812" w:type="dxa"/>
            <w:shd w:val="clear" w:color="auto" w:fill="auto"/>
          </w:tcPr>
          <w:p>
            <w:pPr>
              <w:spacing w:line="259" w:lineRule="auto"/>
              <w:rPr>
                <w:rFonts w:ascii="宋体" w:hAnsi="宋体"/>
                <w:color w:val="000000"/>
              </w:rPr>
            </w:pPr>
            <w:r>
              <w:rPr>
                <w:rFonts w:ascii="宋体" w:hAnsi="宋体"/>
                <w:color w:val="000000"/>
              </w:rPr>
              <w:t>日常管理中出现有效投诉的</w:t>
            </w:r>
            <w:r>
              <w:rPr>
                <w:rFonts w:hint="eastAsia" w:ascii="宋体" w:hAnsi="宋体"/>
                <w:color w:val="000000"/>
              </w:rPr>
              <w:t>，第一次发生扣1分，第二次发生扣2分，第三次发生则得0分。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5812" w:type="dxa"/>
            <w:shd w:val="clear" w:color="auto" w:fill="auto"/>
          </w:tcPr>
          <w:p>
            <w:pPr>
              <w:spacing w:line="259" w:lineRule="auto"/>
              <w:rPr>
                <w:rFonts w:ascii="宋体" w:hAnsi="宋体"/>
                <w:color w:val="000000"/>
              </w:rPr>
            </w:pPr>
            <w:r>
              <w:rPr>
                <w:rFonts w:hint="eastAsia" w:ascii="宋体" w:hAnsi="宋体"/>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5812" w:type="dxa"/>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乙方人员有脱岗、睡岗、玩手机等情况的，第一次发生扣1分，第二次发生扣2分，第三次发生则得0分。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乙方未按甲方要求对人员进行定期证件更新排查或安全教育的，每次扣1分。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乙方未按要求定期组织应急演练，或通过安保测试和安全、消防检查的，每次扣1分。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5812" w:type="dxa"/>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5812" w:type="dxa"/>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5812" w:type="dxa"/>
            <w:shd w:val="clear" w:color="auto" w:fill="auto"/>
          </w:tcPr>
          <w:p>
            <w:pPr>
              <w:spacing w:line="259" w:lineRule="auto"/>
              <w:rPr>
                <w:rFonts w:ascii="宋体" w:hAnsi="宋体"/>
                <w:color w:val="000000"/>
              </w:rPr>
            </w:pPr>
            <w:r>
              <w:rPr>
                <w:rFonts w:hint="eastAsia" w:ascii="宋体" w:hAnsi="宋体"/>
                <w:color w:val="000000"/>
              </w:rPr>
              <w:t>发现乙方未按要求配备</w:t>
            </w:r>
            <w:r>
              <w:rPr>
                <w:rFonts w:hint="eastAsia" w:ascii="宋体" w:hAnsi="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5812" w:type="dxa"/>
            <w:shd w:val="clear" w:color="auto" w:fill="auto"/>
          </w:tcPr>
          <w:p>
            <w:pPr>
              <w:spacing w:line="259" w:lineRule="auto"/>
              <w:ind w:right="3"/>
              <w:rPr>
                <w:rFonts w:ascii="宋体" w:hAnsi="宋体"/>
                <w:color w:val="000000"/>
              </w:rPr>
            </w:pPr>
            <w:r>
              <w:rPr>
                <w:rFonts w:ascii="宋体" w:hAnsi="宋体"/>
                <w:color w:val="000000"/>
              </w:rPr>
              <w:t>乙方未按甲方要求进行出入库管理或管理混乱</w:t>
            </w:r>
            <w:r>
              <w:rPr>
                <w:rFonts w:hint="eastAsia" w:ascii="宋体" w:hAnsi="宋体"/>
                <w:color w:val="000000"/>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其他(2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gridSpan w:val="2"/>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w:t>
            </w:r>
            <w:r>
              <w:rPr>
                <w:rFonts w:hint="eastAsia" w:ascii="宋体" w:hAnsi="宋体" w:cs="微软雅黑"/>
                <w:color w:val="000000"/>
              </w:rPr>
              <w:t>2</w:t>
            </w:r>
            <w:r>
              <w:rPr>
                <w:rFonts w:ascii="宋体" w:hAnsi="宋体" w:cs="微软雅黑"/>
                <w:color w:val="000000"/>
              </w:rPr>
              <w:t>)</w:t>
            </w:r>
          </w:p>
        </w:tc>
        <w:tc>
          <w:tcPr>
            <w:tcW w:w="5812" w:type="dxa"/>
            <w:shd w:val="clear" w:color="auto" w:fill="auto"/>
          </w:tcPr>
          <w:p>
            <w:pPr>
              <w:spacing w:line="259" w:lineRule="auto"/>
              <w:rPr>
                <w:rFonts w:ascii="宋体" w:hAnsi="宋体"/>
                <w:color w:val="000000"/>
              </w:rPr>
            </w:pPr>
            <w:r>
              <w:rPr>
                <w:rFonts w:hint="eastAsia" w:ascii="宋体" w:hAnsi="宋体"/>
                <w:color w:val="000000"/>
              </w:rPr>
              <w:t>每次满意度调查未达到合格的扣1-2</w:t>
            </w:r>
            <w:r>
              <w:rPr>
                <w:rFonts w:ascii="宋体" w:hAnsi="宋体"/>
                <w:color w:val="000000"/>
              </w:rPr>
              <w:t>分</w:t>
            </w:r>
            <w:r>
              <w:rPr>
                <w:rFonts w:hint="eastAsia" w:ascii="宋体" w:hAnsi="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3"/>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2"/>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5812" w:type="dxa"/>
            <w:shd w:val="clear" w:color="auto" w:fill="auto"/>
          </w:tcPr>
          <w:p>
            <w:pPr>
              <w:spacing w:line="259" w:lineRule="auto"/>
              <w:rPr>
                <w:rFonts w:ascii="仿宋_GB2312" w:eastAsia="仿宋_GB2312"/>
                <w:kern w:val="0"/>
              </w:rPr>
            </w:pPr>
            <w:r>
              <w:rPr>
                <w:rFonts w:hint="eastAsia" w:ascii="宋体" w:hAnsi="宋体"/>
                <w:color w:val="000000"/>
              </w:rPr>
              <w:t>每件好人好事，经甲方认可受到表扬的加1分。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2"/>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5812" w:type="dxa"/>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2"/>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每次可加1分。</w:t>
            </w:r>
          </w:p>
        </w:tc>
      </w:tr>
    </w:tbl>
    <w:p>
      <w:pPr>
        <w:widowControl/>
        <w:jc w:val="left"/>
        <w:rPr>
          <w:rFonts w:ascii="Adobe 楷体 Std R" w:hAnsi="Adobe 楷体 Std R" w:eastAsia="Adobe 楷体 Std R"/>
          <w:sz w:val="24"/>
          <w:szCs w:val="32"/>
        </w:rPr>
      </w:pPr>
    </w:p>
    <w:p>
      <w:pPr>
        <w:adjustRightInd w:val="0"/>
        <w:snapToGrid w:val="0"/>
        <w:spacing w:line="500" w:lineRule="exact"/>
        <w:ind w:firstLine="560" w:firstLineChars="200"/>
        <w:rPr>
          <w:rFonts w:ascii="仿宋_GB2312" w:eastAsia="仿宋_GB2312"/>
          <w:sz w:val="28"/>
          <w:szCs w:val="32"/>
        </w:rPr>
      </w:pPr>
    </w:p>
    <w:p>
      <w:pPr>
        <w:widowControl/>
        <w:jc w:val="left"/>
        <w:rPr>
          <w:rFonts w:ascii="黑体" w:hAnsi="黑体" w:eastAsia="黑体"/>
          <w:sz w:val="32"/>
          <w:szCs w:val="28"/>
        </w:rPr>
        <w:sectPr>
          <w:pgSz w:w="11906" w:h="16838"/>
          <w:pgMar w:top="1440" w:right="1797" w:bottom="1440" w:left="1797" w:header="851" w:footer="992" w:gutter="0"/>
          <w:cols w:space="720" w:num="1"/>
          <w:docGrid w:linePitch="312" w:charSpace="0"/>
        </w:sectPr>
      </w:pPr>
    </w:p>
    <w:p>
      <w:pPr>
        <w:pStyle w:val="42"/>
        <w:ind w:right="-50" w:rightChars="-24"/>
        <w:jc w:val="left"/>
        <w:rPr>
          <w:rFonts w:ascii="仿宋_GB2312" w:eastAsia="仿宋_GB2312" w:cs="黑体"/>
          <w:b w:val="0"/>
          <w:sz w:val="21"/>
          <w:szCs w:val="22"/>
        </w:rPr>
      </w:pPr>
      <w:r>
        <w:rPr>
          <w:rFonts w:hint="eastAsia" w:ascii="仿宋_GB2312" w:hAnsi="Calibri" w:eastAsia="仿宋_GB2312" w:cs="黑体"/>
          <w:sz w:val="21"/>
          <w:szCs w:val="22"/>
        </w:rPr>
        <w:t>附件</w:t>
      </w:r>
      <w:r>
        <w:rPr>
          <w:rFonts w:ascii="仿宋_GB2312" w:hAnsi="Calibri" w:eastAsia="仿宋_GB2312" w:cs="黑体"/>
          <w:sz w:val="21"/>
          <w:szCs w:val="22"/>
        </w:rPr>
        <w:t>1</w:t>
      </w:r>
      <w:r>
        <w:rPr>
          <w:rFonts w:hint="eastAsia" w:ascii="仿宋_GB2312" w:hAnsi="Calibri" w:eastAsia="仿宋_GB2312" w:cs="黑体"/>
          <w:sz w:val="21"/>
          <w:szCs w:val="22"/>
        </w:rPr>
        <w:t>1：杭州萧山国际机场航站楼手推车服务质量评分细则</w:t>
      </w:r>
    </w:p>
    <w:p>
      <w:pPr>
        <w:snapToGrid w:val="0"/>
        <w:ind w:left="601" w:hanging="601"/>
        <w:jc w:val="center"/>
        <w:rPr>
          <w:rFonts w:ascii="仿宋_GB2312" w:eastAsia="仿宋_GB2312"/>
          <w:b/>
          <w:sz w:val="24"/>
          <w:szCs w:val="24"/>
        </w:rPr>
      </w:pPr>
      <w:r>
        <w:rPr>
          <w:rFonts w:hint="eastAsia" w:ascii="仿宋_GB2312" w:eastAsia="仿宋_GB2312"/>
          <w:b/>
          <w:sz w:val="24"/>
          <w:szCs w:val="24"/>
        </w:rPr>
        <w:t>杭州萧山国际机场航站楼手推车服务质量评分细则</w:t>
      </w:r>
    </w:p>
    <w:tbl>
      <w:tblPr>
        <w:tblStyle w:val="46"/>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44"/>
        <w:gridCol w:w="563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0" w:type="dxa"/>
            <w:gridSpan w:val="3"/>
            <w:shd w:val="clear" w:color="auto" w:fill="BFBFBF"/>
            <w:vAlign w:val="center"/>
          </w:tcPr>
          <w:p>
            <w:pPr>
              <w:widowControl/>
              <w:ind w:left="451" w:hanging="451"/>
              <w:jc w:val="center"/>
              <w:rPr>
                <w:rFonts w:ascii="仿宋_GB2312" w:eastAsia="仿宋_GB2312"/>
                <w:b/>
                <w:kern w:val="0"/>
              </w:rPr>
            </w:pPr>
            <w:r>
              <w:rPr>
                <w:rFonts w:hint="eastAsia" w:ascii="仿宋_GB2312" w:eastAsia="仿宋_GB2312"/>
                <w:b/>
                <w:kern w:val="0"/>
              </w:rPr>
              <w:t>指标</w:t>
            </w:r>
          </w:p>
        </w:tc>
        <w:tc>
          <w:tcPr>
            <w:tcW w:w="1843" w:type="dxa"/>
            <w:shd w:val="clear" w:color="auto" w:fill="BFBFBF"/>
            <w:vAlign w:val="center"/>
          </w:tcPr>
          <w:p>
            <w:pPr>
              <w:widowControl/>
              <w:ind w:left="451" w:hanging="451"/>
              <w:jc w:val="center"/>
              <w:rPr>
                <w:rFonts w:ascii="仿宋_GB2312" w:eastAsia="仿宋_GB2312"/>
                <w:b/>
                <w:kern w:val="0"/>
              </w:rPr>
            </w:pPr>
            <w:r>
              <w:rPr>
                <w:rFonts w:hint="eastAsia" w:ascii="仿宋_GB2312" w:eastAsia="仿宋_GB2312"/>
                <w:b/>
                <w:kern w:val="0"/>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5" w:type="dxa"/>
            <w:vMerge w:val="restart"/>
            <w:vAlign w:val="center"/>
          </w:tcPr>
          <w:p>
            <w:pPr>
              <w:widowControl/>
              <w:jc w:val="center"/>
              <w:rPr>
                <w:rFonts w:ascii="仿宋_GB2312" w:eastAsia="仿宋_GB2312"/>
                <w:kern w:val="0"/>
              </w:rPr>
            </w:pPr>
            <w:r>
              <w:rPr>
                <w:rFonts w:hint="eastAsia" w:ascii="仿宋_GB2312" w:eastAsia="仿宋_GB2312"/>
                <w:kern w:val="0"/>
              </w:rPr>
              <w:t>运行</w:t>
            </w:r>
          </w:p>
          <w:p>
            <w:pPr>
              <w:widowControl/>
              <w:jc w:val="center"/>
              <w:rPr>
                <w:rFonts w:ascii="仿宋_GB2312" w:eastAsia="仿宋_GB2312"/>
                <w:kern w:val="0"/>
              </w:rPr>
            </w:pPr>
            <w:r>
              <w:rPr>
                <w:rFonts w:hint="eastAsia" w:ascii="仿宋_GB2312" w:eastAsia="仿宋_GB2312"/>
                <w:kern w:val="0"/>
              </w:rPr>
              <w:t>指标</w:t>
            </w:r>
          </w:p>
        </w:tc>
        <w:tc>
          <w:tcPr>
            <w:tcW w:w="744" w:type="dxa"/>
          </w:tcPr>
          <w:p>
            <w:pPr>
              <w:widowControl/>
              <w:jc w:val="center"/>
              <w:rPr>
                <w:rFonts w:ascii="仿宋_GB2312" w:eastAsia="仿宋_GB2312"/>
                <w:kern w:val="0"/>
              </w:rPr>
            </w:pPr>
            <w:r>
              <w:rPr>
                <w:rFonts w:hint="eastAsia" w:ascii="仿宋_GB2312" w:eastAsia="仿宋_GB2312"/>
                <w:kern w:val="0"/>
              </w:rPr>
              <w:t>区域</w:t>
            </w:r>
          </w:p>
        </w:tc>
        <w:tc>
          <w:tcPr>
            <w:tcW w:w="5631" w:type="dxa"/>
          </w:tcPr>
          <w:p>
            <w:pPr>
              <w:widowControl/>
              <w:jc w:val="center"/>
              <w:rPr>
                <w:rFonts w:ascii="仿宋_GB2312" w:eastAsia="仿宋_GB2312"/>
                <w:kern w:val="0"/>
              </w:rPr>
            </w:pPr>
            <w:r>
              <w:rPr>
                <w:rFonts w:hint="eastAsia" w:ascii="仿宋_GB2312" w:eastAsia="仿宋_GB2312"/>
                <w:kern w:val="0"/>
              </w:rPr>
              <w:t>检查项目</w:t>
            </w:r>
          </w:p>
        </w:tc>
        <w:tc>
          <w:tcPr>
            <w:tcW w:w="1843" w:type="dxa"/>
          </w:tcPr>
          <w:p>
            <w:pPr>
              <w:widowControl/>
              <w:jc w:val="center"/>
              <w:rPr>
                <w:rFonts w:ascii="仿宋_GB2312" w:eastAsia="仿宋_GB2312"/>
                <w:kern w:val="0"/>
              </w:rPr>
            </w:pPr>
            <w:r>
              <w:rPr>
                <w:rFonts w:hint="eastAsia" w:ascii="仿宋_GB2312"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55" w:type="dxa"/>
            <w:vMerge w:val="continue"/>
            <w:vAlign w:val="center"/>
          </w:tcPr>
          <w:p>
            <w:pPr>
              <w:widowControl/>
              <w:jc w:val="center"/>
              <w:rPr>
                <w:rFonts w:ascii="仿宋_GB2312" w:eastAsia="仿宋_GB2312"/>
                <w:kern w:val="0"/>
              </w:rPr>
            </w:pPr>
          </w:p>
        </w:tc>
        <w:tc>
          <w:tcPr>
            <w:tcW w:w="744" w:type="dxa"/>
            <w:vAlign w:val="center"/>
          </w:tcPr>
          <w:p>
            <w:pPr>
              <w:widowControl/>
              <w:jc w:val="center"/>
              <w:rPr>
                <w:rFonts w:ascii="仿宋_GB2312" w:eastAsia="仿宋_GB2312"/>
                <w:kern w:val="0"/>
              </w:rPr>
            </w:pPr>
            <w:r>
              <w:rPr>
                <w:rFonts w:hint="eastAsia" w:ascii="仿宋_GB2312" w:eastAsia="仿宋_GB2312"/>
                <w:kern w:val="0"/>
              </w:rPr>
              <w:t>出发层</w:t>
            </w:r>
          </w:p>
        </w:tc>
        <w:tc>
          <w:tcPr>
            <w:tcW w:w="5631" w:type="dxa"/>
            <w:vAlign w:val="center"/>
          </w:tcPr>
          <w:p>
            <w:pPr>
              <w:widowControl/>
              <w:jc w:val="left"/>
              <w:rPr>
                <w:rFonts w:ascii="仿宋_GB2312" w:eastAsia="仿宋_GB2312"/>
                <w:kern w:val="0"/>
              </w:rPr>
            </w:pPr>
            <w:r>
              <w:rPr>
                <w:rFonts w:hint="eastAsia" w:ascii="仿宋_GB2312" w:eastAsia="仿宋_GB2312"/>
                <w:kern w:val="0"/>
              </w:rPr>
              <w:t xml:space="preserve">1．任何时候都有手推车供旅客使用。                                               </w:t>
            </w:r>
          </w:p>
          <w:p>
            <w:pPr>
              <w:widowControl/>
              <w:jc w:val="left"/>
              <w:rPr>
                <w:rFonts w:ascii="仿宋_GB2312" w:eastAsia="仿宋_GB2312"/>
                <w:kern w:val="0"/>
              </w:rPr>
            </w:pPr>
            <w:r>
              <w:rPr>
                <w:rFonts w:hint="eastAsia" w:ascii="仿宋_GB2312" w:eastAsia="仿宋_GB2312"/>
                <w:kern w:val="0"/>
              </w:rPr>
              <w:t>2.空闲手推车应在15分钟内收回，旅客登机后5分钟内收拢。</w:t>
            </w:r>
          </w:p>
          <w:p>
            <w:pPr>
              <w:widowControl/>
              <w:jc w:val="left"/>
              <w:rPr>
                <w:rFonts w:ascii="仿宋_GB2312" w:eastAsia="仿宋_GB2312"/>
              </w:rPr>
            </w:pPr>
            <w:r>
              <w:rPr>
                <w:rFonts w:hint="eastAsia" w:ascii="仿宋_GB2312" w:eastAsia="仿宋_GB2312"/>
                <w:kern w:val="0"/>
              </w:rPr>
              <w:t>3.</w:t>
            </w:r>
            <w:r>
              <w:rPr>
                <w:rFonts w:hint="eastAsia" w:ascii="仿宋_GB2312" w:eastAsia="仿宋_GB2312"/>
              </w:rPr>
              <w:t>值机区域不办手续时，散车数量为零；在办理手续时，散车数量不能超过</w:t>
            </w:r>
            <w:r>
              <w:rPr>
                <w:rFonts w:ascii="仿宋_GB2312" w:eastAsia="仿宋_GB2312"/>
              </w:rPr>
              <w:t>3</w:t>
            </w:r>
            <w:r>
              <w:rPr>
                <w:rFonts w:hint="eastAsia" w:ascii="仿宋_GB2312" w:eastAsia="仿宋_GB2312"/>
              </w:rPr>
              <w:t>辆。</w:t>
            </w:r>
          </w:p>
          <w:p>
            <w:pPr>
              <w:widowControl/>
              <w:jc w:val="left"/>
              <w:rPr>
                <w:rFonts w:ascii="仿宋_GB2312" w:eastAsia="仿宋_GB2312"/>
                <w:kern w:val="0"/>
              </w:rPr>
            </w:pPr>
            <w:r>
              <w:rPr>
                <w:rFonts w:hint="eastAsia" w:ascii="仿宋_GB2312" w:eastAsia="仿宋_GB2312"/>
                <w:kern w:val="0"/>
              </w:rPr>
              <w:t>4.航站楼出入口、安检通道入口散车数量为零；航站楼进出港大厅</w:t>
            </w:r>
            <w:r>
              <w:rPr>
                <w:rFonts w:ascii="仿宋_GB2312" w:eastAsia="仿宋_GB2312"/>
                <w:kern w:val="0"/>
              </w:rPr>
              <w:t>10</w:t>
            </w:r>
            <w:r>
              <w:rPr>
                <w:rFonts w:hint="eastAsia" w:ascii="仿宋_GB2312" w:eastAsia="仿宋_GB2312"/>
                <w:kern w:val="0"/>
              </w:rPr>
              <w:t>平方米范围内散车数量不得超过</w:t>
            </w:r>
            <w:r>
              <w:rPr>
                <w:rFonts w:ascii="仿宋_GB2312" w:eastAsia="仿宋_GB2312"/>
                <w:kern w:val="0"/>
              </w:rPr>
              <w:t>3</w:t>
            </w:r>
            <w:r>
              <w:rPr>
                <w:rFonts w:hint="eastAsia" w:ascii="仿宋_GB2312" w:eastAsia="仿宋_GB2312"/>
                <w:kern w:val="0"/>
              </w:rPr>
              <w:t>辆。</w:t>
            </w:r>
          </w:p>
          <w:p>
            <w:pPr>
              <w:widowControl/>
              <w:jc w:val="left"/>
              <w:rPr>
                <w:rFonts w:ascii="仿宋_GB2312" w:eastAsia="仿宋_GB2312"/>
                <w:kern w:val="0"/>
              </w:rPr>
            </w:pPr>
            <w:r>
              <w:rPr>
                <w:rFonts w:hint="eastAsia" w:ascii="仿宋_GB2312" w:eastAsia="仿宋_GB2312"/>
                <w:kern w:val="0"/>
              </w:rPr>
              <w:t>5.</w:t>
            </w:r>
            <w:r>
              <w:rPr>
                <w:rFonts w:hint="eastAsia" w:ascii="仿宋_GB2312" w:eastAsia="仿宋_GB2312"/>
              </w:rPr>
              <w:t>自动扶梯旁</w:t>
            </w:r>
            <w:r>
              <w:rPr>
                <w:rFonts w:ascii="仿宋_GB2312" w:eastAsia="仿宋_GB2312"/>
              </w:rPr>
              <w:t>10</w:t>
            </w:r>
            <w:r>
              <w:rPr>
                <w:rFonts w:hint="eastAsia" w:ascii="仿宋_GB2312" w:eastAsia="仿宋_GB2312"/>
              </w:rPr>
              <w:t>平方米范围内散车数量不得超过</w:t>
            </w:r>
            <w:r>
              <w:rPr>
                <w:rFonts w:ascii="仿宋_GB2312" w:eastAsia="仿宋_GB2312"/>
              </w:rPr>
              <w:t>3</w:t>
            </w:r>
            <w:r>
              <w:rPr>
                <w:rFonts w:hint="eastAsia" w:ascii="仿宋_GB2312" w:eastAsia="仿宋_GB2312"/>
              </w:rPr>
              <w:t>辆。</w:t>
            </w:r>
          </w:p>
        </w:tc>
        <w:tc>
          <w:tcPr>
            <w:tcW w:w="1843" w:type="dxa"/>
            <w:vMerge w:val="restart"/>
            <w:vAlign w:val="center"/>
          </w:tcPr>
          <w:p>
            <w:pPr>
              <w:widowControl/>
              <w:jc w:val="center"/>
              <w:rPr>
                <w:rFonts w:ascii="仿宋_GB2312" w:eastAsia="仿宋_GB2312"/>
                <w:kern w:val="0"/>
              </w:rPr>
            </w:pPr>
            <w:r>
              <w:rPr>
                <w:rFonts w:hint="eastAsia" w:ascii="仿宋_GB2312" w:eastAsia="仿宋_GB2312"/>
                <w:kern w:val="0"/>
              </w:rPr>
              <w:t>5次以上每次扣0.2分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855" w:type="dxa"/>
            <w:vMerge w:val="continue"/>
            <w:vAlign w:val="center"/>
          </w:tcPr>
          <w:p>
            <w:pPr>
              <w:widowControl/>
              <w:jc w:val="center"/>
              <w:rPr>
                <w:rFonts w:ascii="仿宋_GB2312" w:eastAsia="仿宋_GB2312"/>
                <w:kern w:val="0"/>
              </w:rPr>
            </w:pPr>
          </w:p>
        </w:tc>
        <w:tc>
          <w:tcPr>
            <w:tcW w:w="744" w:type="dxa"/>
            <w:vAlign w:val="center"/>
          </w:tcPr>
          <w:p>
            <w:pPr>
              <w:widowControl/>
              <w:jc w:val="center"/>
              <w:rPr>
                <w:rFonts w:ascii="仿宋_GB2312" w:eastAsia="仿宋_GB2312"/>
                <w:kern w:val="0"/>
              </w:rPr>
            </w:pPr>
            <w:r>
              <w:rPr>
                <w:rFonts w:hint="eastAsia" w:ascii="仿宋_GB2312" w:eastAsia="仿宋_GB2312"/>
                <w:kern w:val="0"/>
              </w:rPr>
              <w:t>到达层</w:t>
            </w:r>
          </w:p>
        </w:tc>
        <w:tc>
          <w:tcPr>
            <w:tcW w:w="5631" w:type="dxa"/>
            <w:vAlign w:val="center"/>
          </w:tcPr>
          <w:p>
            <w:pPr>
              <w:widowControl/>
              <w:jc w:val="left"/>
              <w:rPr>
                <w:rFonts w:ascii="仿宋_GB2312" w:eastAsia="仿宋_GB2312"/>
                <w:kern w:val="0"/>
              </w:rPr>
            </w:pPr>
            <w:r>
              <w:rPr>
                <w:rFonts w:hint="eastAsia" w:ascii="仿宋_GB2312" w:eastAsia="仿宋_GB2312"/>
                <w:kern w:val="0"/>
              </w:rPr>
              <w:t>1.航班到达前15分钟准备好最少30辆手推车供旅客使用。                                                       2.空闲手推车必须在15分钟内收回（包括高架桥下、大巴停车场、贵宾厅区域），地下车库、地面停车场的空闲手推车必须在30分钟内收回。</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大手推车不捆绑推行一次不得超过8辆，采用捆绑方式推行一次不得超过12辆；小手推车需捆绑推行，不得超过20辆。</w:t>
            </w:r>
          </w:p>
        </w:tc>
        <w:tc>
          <w:tcPr>
            <w:tcW w:w="1843" w:type="dxa"/>
            <w:vMerge w:val="restart"/>
            <w:vAlign w:val="center"/>
          </w:tcPr>
          <w:p>
            <w:pPr>
              <w:widowControl/>
              <w:jc w:val="center"/>
              <w:rPr>
                <w:rFonts w:ascii="仿宋_GB2312" w:eastAsia="仿宋_GB2312"/>
                <w:kern w:val="0"/>
              </w:rPr>
            </w:pPr>
            <w:r>
              <w:rPr>
                <w:rFonts w:hint="eastAsia" w:ascii="仿宋_GB2312" w:eastAsia="仿宋_GB2312"/>
                <w:kern w:val="0"/>
              </w:rPr>
              <w:t>2次以上每次扣0.5分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ascii="仿宋_GB2312" w:eastAsia="仿宋_GB2312"/>
                <w:kern w:val="0"/>
              </w:rPr>
              <w:t>车道边、行李提取厅等区域应配各行李手推车</w:t>
            </w:r>
            <w:r>
              <w:rPr>
                <w:rFonts w:hint="eastAsia" w:ascii="仿宋_GB2312" w:eastAsia="仿宋_GB2312"/>
                <w:kern w:val="0"/>
              </w:rPr>
              <w:t>阻挡旅客流程。</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手推车运营过程中发生与旅客抢道。</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在航班保障时间内行李手推车的完好率为100％，公共区域发现故障车辆。</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手推车上明显有灰尘、污渍、杂物、粘纸等。</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车辆在指定区域内摆放整齐、有序，严格控制摆放数量。</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行李手推车的摆放不得影响旅客流程和消防通道。</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摆放区域的行李手推车要插入支架内，保证行李手推车整体稳固。</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车辆应就近回收到临时收集区，车辆摆放应按秩序插入支架内，不得超越划定的范围。</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保证旅客正常使用行李手推车，固定摆放点不能出现无车现象。</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当日航班结束后</w:t>
            </w:r>
            <w:r>
              <w:rPr>
                <w:rFonts w:ascii="仿宋_GB2312" w:eastAsia="仿宋_GB2312"/>
                <w:kern w:val="0"/>
              </w:rPr>
              <w:t>,</w:t>
            </w:r>
            <w:r>
              <w:rPr>
                <w:rFonts w:hint="eastAsia" w:ascii="仿宋_GB2312" w:eastAsia="仿宋_GB2312"/>
                <w:kern w:val="0"/>
              </w:rPr>
              <w:t>要及时回收散落在航站楼内和停车场的所有行李手推车。</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回收运送行李手推车时，不得影响旅客通行和占用盲道。</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工作人员运车时，应慢速行走，严禁猛跑，不得碰撞旅客和楼内设施设备。</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大手推车不捆绑推行不超过8辆，捆绑不超过12辆，使用牵引头运送不超过40辆，使用牵引车运送不超过20辆。</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小手推车捆绑推行不超过20辆，使用牵引头运送不超过40辆，使用牵引车运送不超过30辆。</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行李提取区未提供特色手推车摆放服务。</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严禁手推车推入机坪或推出高架桥上下桥口、地面停车场，发现应予以劝阻，必要时进行制止。大小手推车不能越区，越区手推车需在一日内收回。</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restart"/>
            <w:vAlign w:val="center"/>
          </w:tcPr>
          <w:p>
            <w:pPr>
              <w:rPr>
                <w:rFonts w:ascii="仿宋_GB2312" w:eastAsia="仿宋_GB2312"/>
                <w:kern w:val="0"/>
              </w:rPr>
            </w:pPr>
            <w:r>
              <w:rPr>
                <w:rFonts w:hint="eastAsia" w:ascii="仿宋_GB2312" w:eastAsia="仿宋_GB2312"/>
                <w:kern w:val="0"/>
              </w:rPr>
              <w:t>维护</w:t>
            </w:r>
          </w:p>
          <w:p>
            <w:pPr>
              <w:rPr>
                <w:rFonts w:ascii="仿宋_GB2312" w:eastAsia="仿宋_GB2312"/>
                <w:kern w:val="0"/>
              </w:rPr>
            </w:pPr>
            <w:r>
              <w:rPr>
                <w:rFonts w:hint="eastAsia" w:ascii="仿宋_GB2312" w:eastAsia="仿宋_GB2312"/>
                <w:kern w:val="0"/>
              </w:rPr>
              <w:t>指标</w:t>
            </w:r>
          </w:p>
        </w:tc>
        <w:tc>
          <w:tcPr>
            <w:tcW w:w="6375" w:type="dxa"/>
            <w:gridSpan w:val="2"/>
          </w:tcPr>
          <w:p>
            <w:pPr>
              <w:widowControl/>
              <w:jc w:val="left"/>
              <w:rPr>
                <w:rFonts w:ascii="仿宋_GB2312" w:eastAsia="仿宋_GB2312"/>
                <w:kern w:val="0"/>
              </w:rPr>
            </w:pPr>
            <w:r>
              <w:rPr>
                <w:rFonts w:hint="eastAsia" w:ascii="仿宋_GB2312" w:eastAsia="仿宋_GB2312"/>
                <w:kern w:val="0"/>
              </w:rPr>
              <w:t>每日清点大手推车数量，每周清点小手推车数量。</w:t>
            </w:r>
          </w:p>
        </w:tc>
        <w:tc>
          <w:tcPr>
            <w:tcW w:w="1843" w:type="dxa"/>
            <w:vMerge w:val="restart"/>
            <w:vAlign w:val="center"/>
          </w:tcPr>
          <w:p>
            <w:pPr>
              <w:widowControl/>
              <w:jc w:val="center"/>
              <w:rPr>
                <w:rFonts w:ascii="仿宋_GB2312" w:eastAsia="仿宋_GB2312"/>
                <w:kern w:val="0"/>
              </w:rPr>
            </w:pPr>
            <w:r>
              <w:rPr>
                <w:rFonts w:hint="eastAsia" w:ascii="仿宋_GB2312" w:eastAsia="仿宋_GB2312"/>
                <w:kern w:val="0"/>
              </w:rPr>
              <w:t>未达标一次扣0.5分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故障手推车需在3日内予以维修，每周上报维修数据。</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每月进行一次擦拭、清洗、消毒。</w:t>
            </w:r>
          </w:p>
        </w:tc>
        <w:tc>
          <w:tcPr>
            <w:tcW w:w="1843" w:type="dxa"/>
            <w:vMerge w:val="continue"/>
            <w:vAlign w:val="center"/>
          </w:tcPr>
          <w:p>
            <w:pPr>
              <w:widowControl/>
              <w:jc w:val="center"/>
              <w:rPr>
                <w:rFonts w:ascii="仿宋_GB2312"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5" w:type="dxa"/>
            <w:vMerge w:val="continue"/>
            <w:vAlign w:val="center"/>
          </w:tcPr>
          <w:p>
            <w:pPr>
              <w:widowControl/>
              <w:jc w:val="center"/>
              <w:rPr>
                <w:rFonts w:ascii="仿宋_GB2312" w:eastAsia="仿宋_GB2312"/>
                <w:kern w:val="0"/>
              </w:rPr>
            </w:pPr>
          </w:p>
        </w:tc>
        <w:tc>
          <w:tcPr>
            <w:tcW w:w="6375" w:type="dxa"/>
            <w:gridSpan w:val="2"/>
          </w:tcPr>
          <w:p>
            <w:pPr>
              <w:widowControl/>
              <w:jc w:val="left"/>
              <w:rPr>
                <w:rFonts w:ascii="仿宋_GB2312" w:eastAsia="仿宋_GB2312"/>
                <w:kern w:val="0"/>
              </w:rPr>
            </w:pPr>
            <w:r>
              <w:rPr>
                <w:rFonts w:hint="eastAsia" w:ascii="仿宋_GB2312" w:eastAsia="仿宋_GB2312"/>
                <w:kern w:val="0"/>
              </w:rPr>
              <w:t>污损手推车现场15分钟内处理，无法现场清理的一日内清洗完毕。</w:t>
            </w:r>
          </w:p>
        </w:tc>
        <w:tc>
          <w:tcPr>
            <w:tcW w:w="1843" w:type="dxa"/>
            <w:vMerge w:val="continue"/>
            <w:vAlign w:val="center"/>
          </w:tcPr>
          <w:p>
            <w:pPr>
              <w:widowControl/>
              <w:jc w:val="center"/>
              <w:rPr>
                <w:rFonts w:ascii="仿宋_GB2312" w:eastAsia="仿宋_GB2312"/>
                <w:kern w:val="0"/>
              </w:rPr>
            </w:pPr>
          </w:p>
        </w:tc>
      </w:tr>
    </w:tbl>
    <w:p>
      <w:pPr>
        <w:spacing w:line="360" w:lineRule="auto"/>
        <w:ind w:left="294" w:hanging="294" w:hangingChars="140"/>
        <w:rPr>
          <w:rFonts w:ascii="仿宋_GB2312" w:eastAsia="仿宋_GB2312"/>
        </w:rPr>
      </w:pPr>
    </w:p>
    <w:p>
      <w:pPr>
        <w:spacing w:line="360" w:lineRule="auto"/>
        <w:ind w:left="294" w:hanging="294" w:hangingChars="140"/>
        <w:rPr>
          <w:rFonts w:ascii="仿宋_GB2312" w:eastAsia="仿宋_GB2312"/>
        </w:rPr>
      </w:pPr>
      <w:r>
        <w:rPr>
          <w:rFonts w:hint="eastAsia" w:ascii="仿宋_GB2312" w:eastAsia="仿宋_GB2312"/>
        </w:rPr>
        <w:t>1、乙方清楚知悉并同意上述手推车服务质量评分细则。甲方每月根据《杭州萧山国际机场航站楼手推车服务质量评分细则》对甲方进行考核，乙方需无条件服从。</w:t>
      </w:r>
    </w:p>
    <w:p>
      <w:pPr>
        <w:spacing w:line="360" w:lineRule="auto"/>
        <w:ind w:left="294" w:hanging="294" w:hangingChars="140"/>
        <w:rPr>
          <w:rFonts w:ascii="仿宋_GB2312" w:eastAsia="仿宋_GB2312"/>
        </w:rPr>
      </w:pPr>
      <w:r>
        <w:rPr>
          <w:rFonts w:hint="eastAsia" w:ascii="仿宋_GB2312" w:eastAsia="仿宋_GB2312"/>
        </w:rPr>
        <w:t>2、乙方同意，该评分细则中的各项条款增减及最终解释权归甲方，且无须征得乙方同意，变更后的该细则将自动作为合同附件，乙方将无条件执行。</w:t>
      </w:r>
    </w:p>
    <w:p>
      <w:pPr>
        <w:spacing w:line="360" w:lineRule="auto"/>
        <w:ind w:left="294" w:hanging="294" w:hangingChars="140"/>
        <w:rPr>
          <w:rFonts w:ascii="仿宋_GB2312" w:eastAsia="仿宋_GB2312"/>
        </w:rPr>
      </w:pPr>
    </w:p>
    <w:p>
      <w:pPr>
        <w:widowControl/>
        <w:jc w:val="left"/>
        <w:rPr>
          <w:rFonts w:ascii="黑体" w:hAnsi="黑体" w:eastAsia="黑体"/>
          <w:sz w:val="32"/>
          <w:szCs w:val="28"/>
        </w:rPr>
        <w:sectPr>
          <w:pgSz w:w="11906" w:h="16838"/>
          <w:pgMar w:top="1440" w:right="1797" w:bottom="1440" w:left="1797" w:header="851" w:footer="992" w:gutter="0"/>
          <w:cols w:space="720" w:num="1"/>
          <w:docGrid w:linePitch="312" w:charSpace="0"/>
        </w:sectPr>
      </w:pPr>
    </w:p>
    <w:p>
      <w:pPr>
        <w:pStyle w:val="42"/>
        <w:ind w:right="-50" w:rightChars="-24" w:firstLine="422"/>
        <w:jc w:val="left"/>
        <w:rPr>
          <w:rFonts w:ascii="仿宋_GB2312" w:hAnsi="Calibri" w:eastAsia="仿宋_GB2312" w:cs="黑体"/>
          <w:b w:val="0"/>
          <w:sz w:val="21"/>
          <w:szCs w:val="22"/>
        </w:rPr>
      </w:pPr>
      <w:r>
        <w:rPr>
          <w:rFonts w:hint="eastAsia" w:ascii="仿宋_GB2312" w:hAnsi="Calibri" w:eastAsia="仿宋_GB2312" w:cs="黑体"/>
          <w:sz w:val="21"/>
          <w:szCs w:val="22"/>
        </w:rPr>
        <w:t>附件</w:t>
      </w:r>
      <w:r>
        <w:rPr>
          <w:rFonts w:ascii="仿宋_GB2312" w:hAnsi="Calibri" w:eastAsia="仿宋_GB2312" w:cs="黑体"/>
          <w:sz w:val="21"/>
          <w:szCs w:val="22"/>
        </w:rPr>
        <w:t>1</w:t>
      </w:r>
      <w:r>
        <w:rPr>
          <w:rFonts w:hint="eastAsia" w:ascii="仿宋_GB2312" w:hAnsi="Calibri" w:eastAsia="仿宋_GB2312" w:cs="黑体"/>
          <w:sz w:val="21"/>
          <w:szCs w:val="22"/>
        </w:rPr>
        <w:t>2：手推车相关行业标准（</w:t>
      </w:r>
      <w:r>
        <w:rPr>
          <w:rFonts w:ascii="仿宋_GB2312" w:hAnsi="Calibri" w:eastAsia="仿宋_GB2312" w:cs="黑体"/>
          <w:sz w:val="21"/>
          <w:szCs w:val="22"/>
        </w:rPr>
        <w:t>引用的相关标准</w:t>
      </w:r>
      <w:r>
        <w:rPr>
          <w:rFonts w:hint="eastAsia" w:ascii="仿宋_GB2312" w:hAnsi="Calibri" w:eastAsia="仿宋_GB2312" w:cs="黑体"/>
          <w:sz w:val="21"/>
          <w:szCs w:val="22"/>
        </w:rPr>
        <w:t>均以</w:t>
      </w:r>
      <w:r>
        <w:rPr>
          <w:rFonts w:ascii="仿宋_GB2312" w:hAnsi="Calibri" w:eastAsia="仿宋_GB2312" w:cs="黑体"/>
          <w:sz w:val="21"/>
          <w:szCs w:val="22"/>
        </w:rPr>
        <w:t>最新版本</w:t>
      </w:r>
      <w:r>
        <w:rPr>
          <w:rFonts w:hint="eastAsia" w:ascii="仿宋_GB2312" w:hAnsi="Calibri" w:eastAsia="仿宋_GB2312" w:cs="黑体"/>
          <w:sz w:val="21"/>
          <w:szCs w:val="22"/>
        </w:rPr>
        <w:t>为准）</w:t>
      </w:r>
    </w:p>
    <w:p>
      <w:pPr>
        <w:spacing w:line="500" w:lineRule="exact"/>
        <w:rPr>
          <w:rFonts w:ascii="仿宋_GB2312" w:eastAsia="仿宋_GB2312" w:cs="黑体."/>
          <w:b/>
          <w:kern w:val="0"/>
          <w:sz w:val="30"/>
          <w:szCs w:val="30"/>
        </w:rPr>
      </w:pPr>
      <w:r>
        <w:rPr>
          <w:rFonts w:hint="eastAsia" w:ascii="仿宋_GB2312" w:eastAsia="仿宋_GB2312" w:cs="黑体."/>
          <w:b/>
          <w:kern w:val="0"/>
          <w:sz w:val="30"/>
          <w:szCs w:val="30"/>
        </w:rPr>
        <w:t>一、民用机场服务质量标准（2019版）</w:t>
      </w:r>
    </w:p>
    <w:p>
      <w:pPr>
        <w:spacing w:line="360" w:lineRule="auto"/>
        <w:ind w:left="294" w:hanging="294" w:hangingChars="140"/>
        <w:rPr>
          <w:rFonts w:ascii="仿宋_GB2312" w:eastAsia="仿宋_GB2312"/>
        </w:rPr>
      </w:pPr>
      <w:r>
        <w:rPr>
          <w:rFonts w:hint="eastAsia" w:ascii="仿宋_GB2312" w:eastAsia="仿宋_GB2312"/>
        </w:rPr>
        <w:t>5.行李手推车</w:t>
      </w:r>
    </w:p>
    <w:p>
      <w:pPr>
        <w:spacing w:line="360" w:lineRule="auto"/>
        <w:ind w:left="294" w:hanging="294" w:hangingChars="140"/>
        <w:rPr>
          <w:rFonts w:ascii="仿宋_GB2312" w:eastAsia="仿宋_GB2312"/>
        </w:rPr>
      </w:pPr>
      <w:r>
        <w:rPr>
          <w:rFonts w:ascii="仿宋_GB2312" w:eastAsia="仿宋_GB2312"/>
        </w:rPr>
        <w:t xml:space="preserve">5.l </w:t>
      </w:r>
      <w:r>
        <w:rPr>
          <w:rFonts w:hint="eastAsia" w:ascii="仿宋_GB2312" w:eastAsia="仿宋_GB2312"/>
        </w:rPr>
        <w:t>配置</w:t>
      </w:r>
    </w:p>
    <w:p>
      <w:pPr>
        <w:spacing w:line="360" w:lineRule="auto"/>
        <w:ind w:left="294" w:hanging="294" w:hangingChars="140"/>
        <w:rPr>
          <w:rFonts w:ascii="仿宋_GB2312" w:eastAsia="仿宋_GB2312"/>
        </w:rPr>
      </w:pPr>
      <w:r>
        <w:rPr>
          <w:rFonts w:ascii="仿宋_GB2312" w:eastAsia="仿宋_GB2312"/>
        </w:rPr>
        <w:t xml:space="preserve">5.1.1 </w:t>
      </w:r>
      <w:r>
        <w:rPr>
          <w:rFonts w:hint="eastAsia" w:ascii="仿宋_GB2312" w:eastAsia="仿宋_GB2312"/>
        </w:rPr>
        <w:t>车道边、行李提取厅等区域应配各行李手推车,且位置合理；5.2.2</w:t>
      </w:r>
      <w:r>
        <w:rPr>
          <w:rFonts w:ascii="仿宋_GB2312" w:eastAsia="仿宋_GB2312"/>
        </w:rPr>
        <w:t xml:space="preserve"> </w:t>
      </w:r>
      <w:r>
        <w:rPr>
          <w:rFonts w:hint="eastAsia" w:ascii="仿宋_GB2312" w:eastAsia="仿宋_GB2312"/>
        </w:rPr>
        <w:t>数量充足,摆</w:t>
      </w:r>
      <w:r>
        <w:rPr>
          <w:rFonts w:ascii="仿宋_GB2312" w:eastAsia="仿宋_GB2312"/>
        </w:rPr>
        <w:t xml:space="preserve"> </w:t>
      </w:r>
      <w:r>
        <w:rPr>
          <w:rFonts w:hint="eastAsia" w:ascii="仿宋_GB2312" w:eastAsia="仿宋_GB2312"/>
        </w:rPr>
        <w:t>放整齐、有序,回收及时。</w:t>
      </w:r>
    </w:p>
    <w:p>
      <w:pPr>
        <w:spacing w:line="360" w:lineRule="auto"/>
        <w:ind w:left="294" w:hanging="294" w:hangingChars="140"/>
        <w:rPr>
          <w:rFonts w:ascii="仿宋_GB2312" w:eastAsia="仿宋_GB2312"/>
        </w:rPr>
      </w:pPr>
      <w:r>
        <w:rPr>
          <w:rFonts w:ascii="仿宋_GB2312" w:eastAsia="仿宋_GB2312"/>
        </w:rPr>
        <w:t>5.2</w:t>
      </w:r>
      <w:r>
        <w:rPr>
          <w:rFonts w:hint="eastAsia" w:ascii="仿宋_GB2312" w:eastAsia="仿宋_GB2312"/>
        </w:rPr>
        <w:t xml:space="preserve"> 完好性</w:t>
      </w:r>
    </w:p>
    <w:p>
      <w:pPr>
        <w:spacing w:line="360" w:lineRule="auto"/>
        <w:ind w:left="294" w:hanging="294" w:hangingChars="140"/>
        <w:rPr>
          <w:rFonts w:ascii="仿宋_GB2312" w:eastAsia="仿宋_GB2312"/>
        </w:rPr>
      </w:pPr>
      <w:r>
        <w:rPr>
          <w:rFonts w:hint="eastAsia" w:ascii="仿宋_GB2312" w:eastAsia="仿宋_GB2312"/>
        </w:rPr>
        <w:t>整洁、无污、推动方便。</w:t>
      </w:r>
    </w:p>
    <w:p>
      <w:pPr>
        <w:spacing w:line="360" w:lineRule="auto"/>
        <w:ind w:left="294" w:hanging="294" w:hangingChars="140"/>
        <w:rPr>
          <w:rFonts w:ascii="仿宋_GB2312" w:eastAsia="仿宋_GB2312"/>
        </w:rPr>
      </w:pPr>
      <w:r>
        <w:rPr>
          <w:rFonts w:ascii="仿宋_GB2312" w:eastAsia="仿宋_GB2312"/>
        </w:rPr>
        <w:t xml:space="preserve">5.3 </w:t>
      </w:r>
      <w:r>
        <w:rPr>
          <w:rFonts w:hint="eastAsia" w:ascii="仿宋_GB2312" w:eastAsia="仿宋_GB2312"/>
        </w:rPr>
        <w:t>便利性</w:t>
      </w:r>
    </w:p>
    <w:p>
      <w:pPr>
        <w:spacing w:line="360" w:lineRule="auto"/>
        <w:ind w:left="294" w:hanging="294" w:hangingChars="140"/>
        <w:rPr>
          <w:rFonts w:ascii="仿宋_GB2312" w:eastAsia="仿宋_GB2312"/>
        </w:rPr>
      </w:pPr>
      <w:r>
        <w:rPr>
          <w:rFonts w:ascii="仿宋_GB2312" w:eastAsia="仿宋_GB2312"/>
        </w:rPr>
        <w:t xml:space="preserve">5.3.1 </w:t>
      </w:r>
      <w:r>
        <w:rPr>
          <w:rFonts w:hint="eastAsia" w:ascii="仿宋_GB2312" w:eastAsia="仿宋_GB2312"/>
        </w:rPr>
        <w:t>布局人性化,取用便捷；</w:t>
      </w:r>
    </w:p>
    <w:p>
      <w:pPr>
        <w:spacing w:line="360" w:lineRule="auto"/>
        <w:ind w:left="294" w:hanging="294" w:hangingChars="140"/>
        <w:rPr>
          <w:rFonts w:ascii="仿宋_GB2312" w:eastAsia="仿宋_GB2312"/>
        </w:rPr>
      </w:pPr>
      <w:r>
        <w:rPr>
          <w:rFonts w:ascii="仿宋_GB2312" w:eastAsia="仿宋_GB2312"/>
        </w:rPr>
        <w:t>5.3.2</w:t>
      </w:r>
      <w:r>
        <w:rPr>
          <w:rFonts w:hint="eastAsia" w:ascii="仿宋_GB2312" w:eastAsia="仿宋_GB2312"/>
        </w:rPr>
        <w:t xml:space="preserve"> 能到达旅客专用停车区域；</w:t>
      </w:r>
    </w:p>
    <w:p>
      <w:pPr>
        <w:spacing w:line="360" w:lineRule="auto"/>
        <w:ind w:left="294" w:hanging="294" w:hangingChars="140"/>
        <w:rPr>
          <w:rFonts w:ascii="仿宋_GB2312" w:eastAsia="仿宋_GB2312"/>
        </w:rPr>
      </w:pPr>
      <w:r>
        <w:rPr>
          <w:rFonts w:ascii="仿宋_GB2312" w:eastAsia="仿宋_GB2312"/>
        </w:rPr>
        <w:t>5.3.3</w:t>
      </w:r>
      <w:r>
        <w:rPr>
          <w:rFonts w:hint="eastAsia" w:ascii="仿宋_GB2312" w:eastAsia="仿宋_GB2312"/>
        </w:rPr>
        <w:t xml:space="preserve"> 隔离区内应配备小型手推车。</w:t>
      </w:r>
    </w:p>
    <w:p>
      <w:pPr>
        <w:spacing w:line="360" w:lineRule="auto"/>
        <w:ind w:left="294" w:hanging="294" w:hangingChars="140"/>
        <w:rPr>
          <w:rFonts w:ascii="仿宋_GB2312" w:eastAsia="仿宋_GB2312"/>
        </w:rPr>
      </w:pPr>
      <w:r>
        <w:rPr>
          <w:rFonts w:hint="eastAsia" w:ascii="仿宋_GB2312" w:eastAsia="仿宋_GB2312"/>
        </w:rPr>
        <w:t>二、民用运输机场服务质量（</w:t>
      </w:r>
      <w:r>
        <w:rPr>
          <w:rFonts w:ascii="仿宋_GB2312" w:eastAsia="仿宋_GB2312"/>
        </w:rPr>
        <w:t>MH/T 5104—2013</w:t>
      </w:r>
      <w:r>
        <w:rPr>
          <w:rFonts w:hint="eastAsia" w:ascii="仿宋_GB2312" w:eastAsia="仿宋_GB2312"/>
        </w:rPr>
        <w:t>）</w:t>
      </w:r>
    </w:p>
    <w:p>
      <w:pPr>
        <w:spacing w:line="360" w:lineRule="auto"/>
        <w:ind w:left="294" w:hanging="294" w:hangingChars="140"/>
        <w:rPr>
          <w:rFonts w:ascii="仿宋_GB2312" w:eastAsia="仿宋_GB2312"/>
        </w:rPr>
      </w:pPr>
      <w:r>
        <w:rPr>
          <w:rFonts w:hint="eastAsia" w:ascii="仿宋_GB2312" w:eastAsia="仿宋_GB2312"/>
        </w:rPr>
        <w:t>6.1行李手推车</w:t>
      </w:r>
    </w:p>
    <w:p>
      <w:pPr>
        <w:spacing w:line="360" w:lineRule="auto"/>
        <w:ind w:left="294" w:hanging="294" w:hangingChars="140"/>
        <w:rPr>
          <w:rFonts w:ascii="仿宋_GB2312" w:eastAsia="仿宋_GB2312"/>
        </w:rPr>
      </w:pPr>
      <w:r>
        <w:rPr>
          <w:rFonts w:hint="eastAsia" w:ascii="仿宋_GB2312" w:eastAsia="仿宋_GB2312"/>
        </w:rPr>
        <w:t>6.1.1基本要求</w:t>
      </w:r>
    </w:p>
    <w:p>
      <w:pPr>
        <w:spacing w:line="360" w:lineRule="auto"/>
        <w:ind w:left="294" w:hanging="294" w:hangingChars="140"/>
        <w:rPr>
          <w:rFonts w:ascii="仿宋_GB2312" w:eastAsia="仿宋_GB2312"/>
        </w:rPr>
      </w:pPr>
      <w:r>
        <w:rPr>
          <w:rFonts w:hint="eastAsia" w:ascii="仿宋_GB2312" w:eastAsia="仿宋_GB2312"/>
        </w:rPr>
        <w:t>6.1.1.1数量</w:t>
      </w:r>
    </w:p>
    <w:p>
      <w:pPr>
        <w:spacing w:line="360" w:lineRule="auto"/>
        <w:ind w:left="294" w:hanging="294" w:hangingChars="140"/>
        <w:rPr>
          <w:rFonts w:ascii="仿宋_GB2312" w:eastAsia="仿宋_GB2312"/>
        </w:rPr>
      </w:pPr>
      <w:r>
        <w:rPr>
          <w:rFonts w:ascii="仿宋_GB2312" w:eastAsia="仿宋_GB2312"/>
        </w:rPr>
        <w:t>a)9</w:t>
      </w:r>
      <w:r>
        <w:rPr>
          <w:rFonts w:hint="eastAsia" w:ascii="仿宋_GB2312" w:eastAsia="仿宋_GB2312"/>
        </w:rPr>
        <w:t>8%的时间内应有手推车使用；</w:t>
      </w:r>
    </w:p>
    <w:p>
      <w:pPr>
        <w:spacing w:line="360" w:lineRule="auto"/>
        <w:ind w:left="294" w:hanging="294" w:hangingChars="140"/>
        <w:rPr>
          <w:rFonts w:ascii="仿宋_GB2312" w:eastAsia="仿宋_GB2312"/>
        </w:rPr>
      </w:pPr>
      <w:r>
        <w:rPr>
          <w:rFonts w:ascii="仿宋_GB2312" w:eastAsia="仿宋_GB2312"/>
        </w:rPr>
        <w:t>b)</w:t>
      </w:r>
      <w:r>
        <w:rPr>
          <w:rFonts w:hint="eastAsia" w:ascii="仿宋_GB2312" w:eastAsia="仿宋_GB2312"/>
        </w:rPr>
        <w:t>配备数量应与高峰小时客流量相适应。</w:t>
      </w:r>
    </w:p>
    <w:p>
      <w:pPr>
        <w:spacing w:line="360" w:lineRule="auto"/>
        <w:ind w:left="294" w:hanging="294" w:hangingChars="140"/>
        <w:rPr>
          <w:rFonts w:ascii="仿宋_GB2312" w:eastAsia="仿宋_GB2312"/>
        </w:rPr>
      </w:pPr>
      <w:r>
        <w:rPr>
          <w:rFonts w:hint="eastAsia" w:ascii="仿宋_GB2312" w:eastAsia="仿宋_GB2312"/>
        </w:rPr>
        <w:t>6.1.1.2车型</w:t>
      </w:r>
    </w:p>
    <w:p>
      <w:pPr>
        <w:spacing w:line="360" w:lineRule="auto"/>
        <w:ind w:left="294" w:hanging="294" w:hangingChars="140"/>
        <w:rPr>
          <w:rFonts w:ascii="仿宋_GB2312" w:eastAsia="仿宋_GB2312"/>
        </w:rPr>
      </w:pPr>
      <w:r>
        <w:rPr>
          <w:rFonts w:hint="eastAsia" w:ascii="仿宋_GB2312" w:eastAsia="仿宋_GB2312"/>
        </w:rPr>
        <w:t>车型应与机场实际状况相适应，车身应整洁，使用说明应醒目、清晰。</w:t>
      </w:r>
    </w:p>
    <w:p>
      <w:pPr>
        <w:spacing w:line="360" w:lineRule="auto"/>
        <w:ind w:left="294" w:hanging="294" w:hangingChars="140"/>
        <w:rPr>
          <w:rFonts w:ascii="仿宋_GB2312" w:eastAsia="仿宋_GB2312"/>
        </w:rPr>
      </w:pPr>
      <w:r>
        <w:rPr>
          <w:rFonts w:hint="eastAsia" w:ascii="仿宋_GB2312" w:eastAsia="仿宋_GB2312"/>
        </w:rPr>
        <w:t>6.1.1.3完好率</w:t>
      </w:r>
    </w:p>
    <w:p>
      <w:pPr>
        <w:spacing w:line="360" w:lineRule="auto"/>
        <w:ind w:left="294" w:hanging="294" w:hangingChars="140"/>
        <w:rPr>
          <w:rFonts w:ascii="仿宋_GB2312" w:eastAsia="仿宋_GB2312"/>
        </w:rPr>
      </w:pPr>
      <w:r>
        <w:rPr>
          <w:rFonts w:hint="eastAsia" w:ascii="仿宋_GB2312" w:eastAsia="仿宋_GB2312"/>
        </w:rPr>
        <w:t>在航班保障时间内应为</w:t>
      </w:r>
      <w:r>
        <w:rPr>
          <w:rFonts w:ascii="仿宋_GB2312" w:eastAsia="仿宋_GB2312"/>
        </w:rPr>
        <w:t xml:space="preserve"> </w:t>
      </w:r>
      <w:r>
        <w:rPr>
          <w:rFonts w:hint="eastAsia" w:ascii="仿宋_GB2312" w:eastAsia="仿宋_GB2312"/>
        </w:rPr>
        <w:t>100%。</w:t>
      </w:r>
    </w:p>
    <w:p>
      <w:pPr>
        <w:spacing w:line="360" w:lineRule="auto"/>
        <w:ind w:left="294" w:hanging="294" w:hangingChars="140"/>
        <w:rPr>
          <w:rFonts w:ascii="仿宋_GB2312" w:eastAsia="仿宋_GB2312"/>
        </w:rPr>
      </w:pPr>
      <w:r>
        <w:rPr>
          <w:rFonts w:hint="eastAsia" w:ascii="仿宋_GB2312" w:eastAsia="仿宋_GB2312"/>
        </w:rPr>
        <w:t>6.1.2便利性</w:t>
      </w:r>
    </w:p>
    <w:p>
      <w:pPr>
        <w:spacing w:line="360" w:lineRule="auto"/>
        <w:ind w:left="294" w:hanging="294" w:hangingChars="140"/>
        <w:rPr>
          <w:rFonts w:ascii="仿宋_GB2312" w:eastAsia="仿宋_GB2312"/>
        </w:rPr>
      </w:pPr>
      <w:r>
        <w:rPr>
          <w:rFonts w:ascii="仿宋_GB2312" w:eastAsia="仿宋_GB2312"/>
        </w:rPr>
        <w:t>a)</w:t>
      </w:r>
      <w:r>
        <w:rPr>
          <w:rFonts w:hint="eastAsia" w:ascii="仿宋_GB2312" w:eastAsia="仿宋_GB2312"/>
        </w:rPr>
        <w:t>存放位置及方向应便于进、出港旅客取用；</w:t>
      </w:r>
    </w:p>
    <w:p>
      <w:pPr>
        <w:spacing w:line="360" w:lineRule="auto"/>
        <w:ind w:left="294" w:hanging="294" w:hangingChars="140"/>
        <w:rPr>
          <w:rFonts w:ascii="仿宋_GB2312" w:eastAsia="仿宋_GB2312"/>
        </w:rPr>
      </w:pPr>
      <w:r>
        <w:rPr>
          <w:rFonts w:ascii="仿宋_GB2312" w:eastAsia="仿宋_GB2312"/>
        </w:rPr>
        <w:t>b)</w:t>
      </w:r>
      <w:r>
        <w:rPr>
          <w:rFonts w:hint="eastAsia" w:ascii="仿宋_GB2312" w:eastAsia="仿宋_GB2312"/>
        </w:rPr>
        <w:t>摆放应整齐、有序；</w:t>
      </w:r>
    </w:p>
    <w:p>
      <w:pPr>
        <w:spacing w:line="360" w:lineRule="auto"/>
        <w:ind w:left="294" w:hanging="294" w:hangingChars="140"/>
        <w:rPr>
          <w:rFonts w:ascii="仿宋_GB2312" w:eastAsia="仿宋_GB2312"/>
        </w:rPr>
      </w:pPr>
      <w:r>
        <w:rPr>
          <w:rFonts w:ascii="仿宋_GB2312" w:eastAsia="仿宋_GB2312"/>
        </w:rPr>
        <w:t>c)</w:t>
      </w:r>
      <w:r>
        <w:rPr>
          <w:rFonts w:hint="eastAsia" w:ascii="仿宋_GB2312" w:eastAsia="仿宋_GB2312"/>
        </w:rPr>
        <w:t>应能到达地面交通接驳区域；</w:t>
      </w:r>
    </w:p>
    <w:p>
      <w:pPr>
        <w:spacing w:line="360" w:lineRule="auto"/>
        <w:ind w:left="294" w:hanging="294" w:hangingChars="140"/>
        <w:rPr>
          <w:rFonts w:ascii="仿宋_GB2312" w:eastAsia="仿宋_GB2312"/>
        </w:rPr>
      </w:pPr>
      <w:r>
        <w:rPr>
          <w:rFonts w:ascii="仿宋_GB2312" w:eastAsia="仿宋_GB2312"/>
        </w:rPr>
        <w:t>d)</w:t>
      </w:r>
      <w:r>
        <w:rPr>
          <w:rFonts w:hint="eastAsia" w:ascii="仿宋_GB2312" w:eastAsia="仿宋_GB2312"/>
        </w:rPr>
        <w:t>隔离区内宜配备小型手推车；</w:t>
      </w:r>
    </w:p>
    <w:p>
      <w:pPr>
        <w:spacing w:line="360" w:lineRule="auto"/>
        <w:ind w:left="294" w:hanging="294" w:hangingChars="140"/>
        <w:rPr>
          <w:rFonts w:ascii="仿宋_GB2312" w:eastAsia="仿宋_GB2312"/>
        </w:rPr>
      </w:pPr>
      <w:r>
        <w:rPr>
          <w:rFonts w:ascii="仿宋_GB2312" w:eastAsia="仿宋_GB2312"/>
        </w:rPr>
        <w:t>e)</w:t>
      </w:r>
      <w:r>
        <w:rPr>
          <w:rFonts w:hint="eastAsia" w:ascii="仿宋_GB2312" w:eastAsia="仿宋_GB2312"/>
        </w:rPr>
        <w:t>应规范手推车工作人员每人每次运送手推车的数量，不应影响旅客行走，不占用盲道；</w:t>
      </w:r>
    </w:p>
    <w:p>
      <w:pPr>
        <w:spacing w:line="360" w:lineRule="auto"/>
        <w:ind w:left="294" w:hanging="294" w:hangingChars="140"/>
        <w:rPr>
          <w:rFonts w:ascii="仿宋_GB2312" w:eastAsia="仿宋_GB2312"/>
        </w:rPr>
      </w:pPr>
      <w:r>
        <w:rPr>
          <w:rFonts w:ascii="仿宋_GB2312" w:eastAsia="仿宋_GB2312"/>
        </w:rPr>
        <w:t>f)</w:t>
      </w:r>
      <w:r>
        <w:rPr>
          <w:rFonts w:hint="eastAsia" w:ascii="仿宋_GB2312" w:eastAsia="仿宋_GB2312"/>
        </w:rPr>
        <w:t>应及时回收，不应影响旅客流程。</w:t>
      </w:r>
    </w:p>
    <w:p>
      <w:pPr>
        <w:widowControl/>
        <w:jc w:val="left"/>
        <w:rPr>
          <w:rFonts w:ascii="仿宋_GB2312" w:eastAsia="仿宋_GB2312" w:cs="黑体."/>
          <w:b/>
          <w:kern w:val="0"/>
          <w:sz w:val="30"/>
          <w:szCs w:val="30"/>
        </w:rPr>
      </w:pPr>
      <w:r>
        <w:rPr>
          <w:rFonts w:ascii="仿宋_GB2312" w:eastAsia="仿宋_GB2312" w:cs="黑体."/>
          <w:b/>
          <w:kern w:val="0"/>
          <w:sz w:val="30"/>
          <w:szCs w:val="30"/>
        </w:rPr>
        <w:br w:type="page"/>
      </w:r>
    </w:p>
    <w:p>
      <w:pPr>
        <w:pStyle w:val="42"/>
        <w:ind w:right="-50" w:rightChars="-24" w:firstLine="422"/>
        <w:jc w:val="left"/>
        <w:rPr>
          <w:rFonts w:ascii="仿宋_GB2312" w:hAnsi="Calibri" w:eastAsia="仿宋_GB2312" w:cs="黑体"/>
          <w:b w:val="0"/>
          <w:sz w:val="21"/>
          <w:szCs w:val="22"/>
        </w:rPr>
      </w:pPr>
      <w:r>
        <w:rPr>
          <w:rFonts w:hint="eastAsia" w:ascii="仿宋_GB2312" w:hAnsi="Calibri" w:eastAsia="仿宋_GB2312" w:cs="黑体"/>
          <w:sz w:val="21"/>
          <w:szCs w:val="22"/>
        </w:rPr>
        <w:t>附件</w:t>
      </w:r>
      <w:r>
        <w:rPr>
          <w:rFonts w:ascii="仿宋_GB2312" w:hAnsi="Calibri" w:eastAsia="仿宋_GB2312" w:cs="黑体"/>
          <w:sz w:val="21"/>
          <w:szCs w:val="22"/>
        </w:rPr>
        <w:t>1</w:t>
      </w:r>
      <w:r>
        <w:rPr>
          <w:rFonts w:hint="eastAsia" w:ascii="仿宋_GB2312" w:hAnsi="Calibri" w:eastAsia="仿宋_GB2312" w:cs="黑体"/>
          <w:sz w:val="21"/>
          <w:szCs w:val="22"/>
        </w:rPr>
        <w:t>3：航站楼行李手推车管理标准</w:t>
      </w:r>
    </w:p>
    <w:p>
      <w:pPr>
        <w:spacing w:line="360" w:lineRule="auto"/>
        <w:ind w:left="294" w:hanging="294" w:hangingChars="140"/>
        <w:rPr>
          <w:rFonts w:ascii="仿宋_GB2312" w:eastAsia="仿宋_GB2312"/>
        </w:rPr>
      </w:pPr>
      <w:r>
        <w:rPr>
          <w:rFonts w:ascii="仿宋_GB2312" w:eastAsia="仿宋_GB2312"/>
        </w:rPr>
        <w:t xml:space="preserve">1 </w:t>
      </w:r>
      <w:r>
        <w:rPr>
          <w:rFonts w:hint="eastAsia" w:ascii="仿宋_GB2312" w:eastAsia="仿宋_GB2312"/>
        </w:rPr>
        <w:t>目的</w:t>
      </w:r>
    </w:p>
    <w:p>
      <w:pPr>
        <w:spacing w:line="360" w:lineRule="auto"/>
        <w:ind w:left="294" w:hanging="294" w:hangingChars="140"/>
        <w:rPr>
          <w:rFonts w:ascii="仿宋_GB2312" w:eastAsia="仿宋_GB2312"/>
        </w:rPr>
      </w:pPr>
      <w:r>
        <w:rPr>
          <w:rFonts w:hint="eastAsia" w:ascii="仿宋_GB2312" w:eastAsia="仿宋_GB2312"/>
        </w:rPr>
        <w:t>为确保杭州萧山国际机场航站楼旅客行李手推车服务规范、有序运作，给旅客提供更为便捷、优质的服务，制定本规定。</w:t>
      </w:r>
    </w:p>
    <w:p>
      <w:pPr>
        <w:spacing w:line="360" w:lineRule="auto"/>
        <w:ind w:left="294" w:hanging="294" w:hangingChars="140"/>
        <w:rPr>
          <w:rFonts w:ascii="仿宋_GB2312" w:eastAsia="仿宋_GB2312"/>
        </w:rPr>
      </w:pPr>
      <w:r>
        <w:rPr>
          <w:rFonts w:ascii="仿宋_GB2312" w:eastAsia="仿宋_GB2312"/>
        </w:rPr>
        <w:t xml:space="preserve">2 </w:t>
      </w:r>
      <w:r>
        <w:rPr>
          <w:rFonts w:hint="eastAsia" w:ascii="仿宋_GB2312" w:eastAsia="仿宋_GB2312"/>
        </w:rPr>
        <w:t>适用范围</w:t>
      </w:r>
    </w:p>
    <w:p>
      <w:pPr>
        <w:spacing w:line="360" w:lineRule="auto"/>
        <w:ind w:left="294" w:hanging="294" w:hangingChars="140"/>
        <w:rPr>
          <w:rFonts w:ascii="仿宋_GB2312" w:eastAsia="仿宋_GB2312"/>
        </w:rPr>
      </w:pPr>
      <w:r>
        <w:rPr>
          <w:rFonts w:hint="eastAsia" w:ascii="仿宋_GB2312" w:eastAsia="仿宋_GB2312"/>
        </w:rPr>
        <w:t>本标准适用于杭州萧山国际机场航站楼内行李手推车的服务管理工作。</w:t>
      </w:r>
    </w:p>
    <w:p>
      <w:pPr>
        <w:spacing w:line="360" w:lineRule="auto"/>
        <w:ind w:left="294" w:hanging="294" w:hangingChars="140"/>
        <w:rPr>
          <w:rFonts w:ascii="仿宋_GB2312" w:eastAsia="仿宋_GB2312"/>
        </w:rPr>
      </w:pPr>
      <w:r>
        <w:rPr>
          <w:rFonts w:ascii="仿宋_GB2312" w:eastAsia="仿宋_GB2312"/>
        </w:rPr>
        <w:t xml:space="preserve">3 </w:t>
      </w:r>
      <w:r>
        <w:rPr>
          <w:rFonts w:hint="eastAsia" w:ascii="仿宋_GB2312" w:eastAsia="仿宋_GB2312"/>
        </w:rPr>
        <w:t>职责</w:t>
      </w:r>
    </w:p>
    <w:p>
      <w:pPr>
        <w:spacing w:line="360" w:lineRule="auto"/>
        <w:ind w:left="294" w:hanging="294" w:hangingChars="140"/>
        <w:rPr>
          <w:rFonts w:ascii="仿宋_GB2312" w:eastAsia="仿宋_GB2312"/>
        </w:rPr>
      </w:pPr>
      <w:r>
        <w:rPr>
          <w:rFonts w:ascii="仿宋_GB2312" w:eastAsia="仿宋_GB2312"/>
        </w:rPr>
        <w:t>3.1</w:t>
      </w:r>
      <w:r>
        <w:rPr>
          <w:rFonts w:hint="eastAsia" w:ascii="仿宋_GB2312" w:eastAsia="仿宋_GB2312"/>
        </w:rPr>
        <w:t xml:space="preserve"> 航站区管理中心</w:t>
      </w:r>
    </w:p>
    <w:p>
      <w:pPr>
        <w:spacing w:line="360" w:lineRule="auto"/>
        <w:ind w:left="294" w:hanging="294" w:hangingChars="140"/>
        <w:rPr>
          <w:rFonts w:ascii="仿宋_GB2312" w:eastAsia="仿宋_GB2312"/>
        </w:rPr>
      </w:pPr>
      <w:r>
        <w:rPr>
          <w:rFonts w:ascii="仿宋_GB2312" w:eastAsia="仿宋_GB2312"/>
        </w:rPr>
        <w:t xml:space="preserve">3.1.1 </w:t>
      </w:r>
      <w:r>
        <w:rPr>
          <w:rFonts w:hint="eastAsia" w:ascii="仿宋_GB2312" w:eastAsia="仿宋_GB2312"/>
        </w:rPr>
        <w:t>负责制定和完善航站楼行李手推车服务管理标准。</w:t>
      </w:r>
    </w:p>
    <w:p>
      <w:pPr>
        <w:spacing w:line="360" w:lineRule="auto"/>
        <w:ind w:left="294" w:hanging="294" w:hangingChars="140"/>
        <w:rPr>
          <w:rFonts w:ascii="仿宋_GB2312" w:eastAsia="仿宋_GB2312"/>
        </w:rPr>
      </w:pPr>
      <w:r>
        <w:rPr>
          <w:rFonts w:ascii="仿宋_GB2312" w:eastAsia="仿宋_GB2312"/>
        </w:rPr>
        <w:t xml:space="preserve">3.1.2 </w:t>
      </w:r>
      <w:r>
        <w:rPr>
          <w:rFonts w:hint="eastAsia" w:ascii="仿宋_GB2312" w:eastAsia="仿宋_GB2312"/>
        </w:rPr>
        <w:t>负责对行李手推车服务工作情况进行监督。</w:t>
      </w:r>
    </w:p>
    <w:p>
      <w:pPr>
        <w:spacing w:line="360" w:lineRule="auto"/>
        <w:ind w:left="294" w:hanging="294" w:hangingChars="140"/>
        <w:rPr>
          <w:rFonts w:ascii="仿宋_GB2312" w:eastAsia="仿宋_GB2312"/>
        </w:rPr>
      </w:pPr>
      <w:r>
        <w:rPr>
          <w:rFonts w:ascii="仿宋_GB2312" w:eastAsia="仿宋_GB2312"/>
        </w:rPr>
        <w:t xml:space="preserve">3.1.3 </w:t>
      </w:r>
      <w:r>
        <w:rPr>
          <w:rFonts w:hint="eastAsia" w:ascii="仿宋_GB2312" w:eastAsia="仿宋_GB2312"/>
        </w:rPr>
        <w:t>负责依照本标准为旅客提供优质的行李手推车服务。</w:t>
      </w:r>
    </w:p>
    <w:p>
      <w:pPr>
        <w:spacing w:line="360" w:lineRule="auto"/>
        <w:ind w:left="294" w:hanging="294" w:hangingChars="140"/>
        <w:rPr>
          <w:rFonts w:ascii="仿宋_GB2312" w:eastAsia="仿宋_GB2312"/>
        </w:rPr>
      </w:pPr>
      <w:r>
        <w:rPr>
          <w:rFonts w:ascii="仿宋_GB2312" w:eastAsia="仿宋_GB2312"/>
        </w:rPr>
        <w:t xml:space="preserve">3.1.4 </w:t>
      </w:r>
      <w:r>
        <w:rPr>
          <w:rFonts w:hint="eastAsia" w:ascii="仿宋_GB2312" w:eastAsia="仿宋_GB2312"/>
        </w:rPr>
        <w:t>负责管理行李手推车及其服务人员，并负责对其服务人员进行培训。</w:t>
      </w:r>
    </w:p>
    <w:p>
      <w:pPr>
        <w:spacing w:line="360" w:lineRule="auto"/>
        <w:ind w:left="294" w:hanging="294" w:hangingChars="140"/>
        <w:rPr>
          <w:rFonts w:ascii="仿宋_GB2312" w:eastAsia="仿宋_GB2312"/>
        </w:rPr>
      </w:pPr>
      <w:r>
        <w:rPr>
          <w:rFonts w:ascii="仿宋_GB2312" w:eastAsia="仿宋_GB2312"/>
        </w:rPr>
        <w:t>3.1.5</w:t>
      </w:r>
      <w:r>
        <w:rPr>
          <w:rFonts w:hint="eastAsia" w:ascii="仿宋_GB2312" w:eastAsia="仿宋_GB2312"/>
        </w:rPr>
        <w:t xml:space="preserve"> 负责处理由于行李手推车服务引发的旅客投诉。</w:t>
      </w:r>
      <w:r>
        <w:rPr>
          <w:rFonts w:ascii="仿宋_GB2312" w:eastAsia="仿宋_GB2312"/>
        </w:rPr>
        <w:t xml:space="preserve">                                         </w:t>
      </w:r>
    </w:p>
    <w:p>
      <w:pPr>
        <w:spacing w:line="360" w:lineRule="auto"/>
        <w:ind w:left="294" w:hanging="294" w:hangingChars="140"/>
        <w:rPr>
          <w:rFonts w:ascii="仿宋_GB2312" w:eastAsia="仿宋_GB2312"/>
        </w:rPr>
      </w:pPr>
      <w:r>
        <w:rPr>
          <w:rFonts w:ascii="仿宋_GB2312" w:eastAsia="仿宋_GB2312"/>
        </w:rPr>
        <w:t xml:space="preserve">3.1.6 </w:t>
      </w:r>
      <w:r>
        <w:rPr>
          <w:rFonts w:hint="eastAsia" w:ascii="仿宋_GB2312" w:eastAsia="仿宋_GB2312"/>
        </w:rPr>
        <w:t>负责航站楼旅客行李手推车的日常管理与维护</w:t>
      </w:r>
    </w:p>
    <w:p>
      <w:pPr>
        <w:spacing w:line="360" w:lineRule="auto"/>
        <w:ind w:left="294" w:hanging="294" w:hangingChars="140"/>
        <w:rPr>
          <w:rFonts w:ascii="仿宋_GB2312" w:eastAsia="仿宋_GB2312"/>
        </w:rPr>
      </w:pPr>
      <w:r>
        <w:rPr>
          <w:rFonts w:ascii="仿宋_GB2312" w:eastAsia="仿宋_GB2312"/>
        </w:rPr>
        <w:t xml:space="preserve">4 </w:t>
      </w:r>
      <w:r>
        <w:rPr>
          <w:rFonts w:hint="eastAsia" w:ascii="仿宋_GB2312" w:eastAsia="仿宋_GB2312"/>
        </w:rPr>
        <w:t>管理标准</w:t>
      </w:r>
      <w:r>
        <w:rPr>
          <w:rFonts w:ascii="仿宋_GB2312" w:eastAsia="仿宋_GB2312"/>
        </w:rPr>
        <w:t xml:space="preserve">                                                                            </w:t>
      </w:r>
    </w:p>
    <w:p>
      <w:pPr>
        <w:spacing w:line="360" w:lineRule="auto"/>
        <w:ind w:left="294" w:hanging="294" w:hangingChars="140"/>
        <w:rPr>
          <w:rFonts w:ascii="仿宋_GB2312" w:eastAsia="仿宋_GB2312"/>
        </w:rPr>
      </w:pPr>
      <w:r>
        <w:rPr>
          <w:rFonts w:ascii="仿宋_GB2312" w:eastAsia="仿宋_GB2312"/>
        </w:rPr>
        <w:t>4.1</w:t>
      </w:r>
      <w:r>
        <w:rPr>
          <w:rFonts w:hint="eastAsia" w:ascii="仿宋_GB2312" w:eastAsia="仿宋_GB2312"/>
        </w:rPr>
        <w:t xml:space="preserve"> 状态标准</w:t>
      </w:r>
      <w:r>
        <w:rPr>
          <w:rFonts w:ascii="仿宋_GB2312" w:eastAsia="仿宋_GB2312"/>
        </w:rPr>
        <w:t xml:space="preserve">                                                               4.1.1 </w:t>
      </w:r>
      <w:r>
        <w:rPr>
          <w:rFonts w:hint="eastAsia" w:ascii="仿宋_GB2312" w:eastAsia="仿宋_GB2312"/>
        </w:rPr>
        <w:t>保证行李手推车的正常使用状态。</w:t>
      </w:r>
    </w:p>
    <w:p>
      <w:pPr>
        <w:spacing w:line="360" w:lineRule="auto"/>
        <w:ind w:left="294" w:hanging="294" w:hangingChars="140"/>
        <w:rPr>
          <w:rFonts w:ascii="仿宋_GB2312" w:eastAsia="仿宋_GB2312"/>
        </w:rPr>
      </w:pPr>
      <w:r>
        <w:rPr>
          <w:rFonts w:ascii="仿宋_GB2312" w:eastAsia="仿宋_GB2312"/>
        </w:rPr>
        <w:t xml:space="preserve">4.1.2 </w:t>
      </w:r>
      <w:r>
        <w:rPr>
          <w:rFonts w:hint="eastAsia" w:ascii="仿宋_GB2312" w:eastAsia="仿宋_GB2312"/>
        </w:rPr>
        <w:t>车架无开焊，螺丝无松动现象。</w:t>
      </w:r>
    </w:p>
    <w:p>
      <w:pPr>
        <w:spacing w:line="360" w:lineRule="auto"/>
        <w:ind w:left="294" w:hanging="294" w:hangingChars="140"/>
        <w:rPr>
          <w:rFonts w:ascii="仿宋_GB2312" w:eastAsia="仿宋_GB2312"/>
        </w:rPr>
      </w:pPr>
      <w:r>
        <w:rPr>
          <w:rFonts w:ascii="仿宋_GB2312" w:eastAsia="仿宋_GB2312"/>
        </w:rPr>
        <w:t xml:space="preserve">4.1.3 </w:t>
      </w:r>
      <w:r>
        <w:rPr>
          <w:rFonts w:hint="eastAsia" w:ascii="仿宋_GB2312" w:eastAsia="仿宋_GB2312"/>
        </w:rPr>
        <w:t>车轮无损毁，能够正常转动。</w:t>
      </w:r>
    </w:p>
    <w:p>
      <w:pPr>
        <w:spacing w:line="360" w:lineRule="auto"/>
        <w:ind w:left="294" w:hanging="294" w:hangingChars="140"/>
        <w:rPr>
          <w:rFonts w:ascii="仿宋_GB2312" w:eastAsia="仿宋_GB2312"/>
        </w:rPr>
      </w:pPr>
      <w:r>
        <w:rPr>
          <w:rFonts w:ascii="仿宋_GB2312" w:eastAsia="仿宋_GB2312"/>
        </w:rPr>
        <w:t xml:space="preserve">4.1.4 </w:t>
      </w:r>
      <w:r>
        <w:rPr>
          <w:rFonts w:hint="eastAsia" w:ascii="仿宋_GB2312" w:eastAsia="仿宋_GB2312"/>
        </w:rPr>
        <w:t>车辆运行无噪音，无抖动现象。</w:t>
      </w:r>
    </w:p>
    <w:p>
      <w:pPr>
        <w:spacing w:line="360" w:lineRule="auto"/>
        <w:ind w:left="294" w:hanging="294" w:hangingChars="140"/>
        <w:rPr>
          <w:rFonts w:ascii="仿宋_GB2312" w:eastAsia="仿宋_GB2312"/>
        </w:rPr>
      </w:pPr>
      <w:r>
        <w:rPr>
          <w:rFonts w:ascii="仿宋_GB2312" w:eastAsia="仿宋_GB2312"/>
        </w:rPr>
        <w:t xml:space="preserve">4.1.5 </w:t>
      </w:r>
      <w:r>
        <w:rPr>
          <w:rFonts w:hint="eastAsia" w:ascii="仿宋_GB2312" w:eastAsia="仿宋_GB2312"/>
        </w:rPr>
        <w:t>车辆清洁卫生，无污渍、杂物、粘纸等。</w:t>
      </w:r>
    </w:p>
    <w:p>
      <w:pPr>
        <w:spacing w:line="360" w:lineRule="auto"/>
        <w:ind w:left="294" w:hanging="294" w:hangingChars="140"/>
        <w:rPr>
          <w:rFonts w:ascii="仿宋_GB2312" w:eastAsia="仿宋_GB2312"/>
        </w:rPr>
      </w:pPr>
      <w:r>
        <w:rPr>
          <w:rFonts w:ascii="仿宋_GB2312" w:eastAsia="仿宋_GB2312"/>
        </w:rPr>
        <w:t xml:space="preserve">4.1.6 </w:t>
      </w:r>
      <w:r>
        <w:rPr>
          <w:rFonts w:hint="eastAsia" w:ascii="仿宋_GB2312" w:eastAsia="仿宋_GB2312"/>
        </w:rPr>
        <w:t>车架干净光亮，无缠绕物、无配件遗失。</w:t>
      </w:r>
    </w:p>
    <w:p>
      <w:pPr>
        <w:spacing w:line="360" w:lineRule="auto"/>
        <w:ind w:left="294" w:hanging="294" w:hangingChars="140"/>
        <w:rPr>
          <w:rFonts w:ascii="仿宋_GB2312" w:eastAsia="仿宋_GB2312"/>
        </w:rPr>
      </w:pPr>
      <w:r>
        <w:rPr>
          <w:rFonts w:ascii="仿宋_GB2312" w:eastAsia="仿宋_GB2312"/>
        </w:rPr>
        <w:t xml:space="preserve">4.1.7 </w:t>
      </w:r>
      <w:r>
        <w:rPr>
          <w:rFonts w:hint="eastAsia" w:ascii="仿宋_GB2312" w:eastAsia="仿宋_GB2312"/>
        </w:rPr>
        <w:t>每月进行一次擦拭、清洗、消毒。</w:t>
      </w:r>
    </w:p>
    <w:p>
      <w:pPr>
        <w:spacing w:line="360" w:lineRule="auto"/>
        <w:ind w:left="294" w:hanging="294" w:hangingChars="140"/>
        <w:rPr>
          <w:rFonts w:ascii="仿宋_GB2312" w:eastAsia="仿宋_GB2312"/>
        </w:rPr>
      </w:pPr>
      <w:r>
        <w:rPr>
          <w:rFonts w:ascii="仿宋_GB2312" w:eastAsia="仿宋_GB2312"/>
        </w:rPr>
        <w:t xml:space="preserve">4.1.8 </w:t>
      </w:r>
      <w:r>
        <w:rPr>
          <w:rFonts w:hint="eastAsia" w:ascii="仿宋_GB2312" w:eastAsia="仿宋_GB2312"/>
        </w:rPr>
        <w:t>在航班保障时间内行李手推车的完好率为100％。</w:t>
      </w:r>
    </w:p>
    <w:p>
      <w:pPr>
        <w:spacing w:line="360" w:lineRule="auto"/>
        <w:ind w:left="294" w:hanging="294" w:hangingChars="140"/>
        <w:rPr>
          <w:rFonts w:ascii="仿宋_GB2312" w:eastAsia="仿宋_GB2312"/>
        </w:rPr>
      </w:pPr>
      <w:r>
        <w:rPr>
          <w:rFonts w:ascii="仿宋_GB2312" w:eastAsia="仿宋_GB2312"/>
        </w:rPr>
        <w:t xml:space="preserve">4.1.9 </w:t>
      </w:r>
      <w:r>
        <w:rPr>
          <w:rFonts w:hint="eastAsia" w:ascii="仿宋_GB2312" w:eastAsia="仿宋_GB2312"/>
        </w:rPr>
        <w:t>行李手推车摆放点应设立明显的位置标志和使用须知。</w:t>
      </w:r>
    </w:p>
    <w:p>
      <w:pPr>
        <w:spacing w:line="360" w:lineRule="auto"/>
        <w:ind w:left="294" w:hanging="294" w:hangingChars="140"/>
        <w:rPr>
          <w:rFonts w:ascii="仿宋_GB2312" w:eastAsia="仿宋_GB2312"/>
        </w:rPr>
      </w:pPr>
      <w:r>
        <w:rPr>
          <w:rFonts w:ascii="仿宋_GB2312" w:eastAsia="仿宋_GB2312"/>
        </w:rPr>
        <w:t>4.2</w:t>
      </w:r>
      <w:r>
        <w:rPr>
          <w:rFonts w:hint="eastAsia" w:ascii="仿宋_GB2312" w:eastAsia="仿宋_GB2312"/>
        </w:rPr>
        <w:t xml:space="preserve"> 分布摆放标准</w:t>
      </w:r>
    </w:p>
    <w:p>
      <w:pPr>
        <w:spacing w:line="360" w:lineRule="auto"/>
        <w:ind w:left="294" w:hanging="294" w:hangingChars="140"/>
        <w:rPr>
          <w:rFonts w:ascii="仿宋_GB2312" w:eastAsia="仿宋_GB2312"/>
        </w:rPr>
      </w:pPr>
      <w:r>
        <w:rPr>
          <w:rFonts w:ascii="仿宋_GB2312" w:eastAsia="仿宋_GB2312"/>
        </w:rPr>
        <w:t xml:space="preserve">4.2.1 </w:t>
      </w:r>
      <w:r>
        <w:rPr>
          <w:rFonts w:hint="eastAsia" w:ascii="仿宋_GB2312" w:eastAsia="仿宋_GB2312"/>
        </w:rPr>
        <w:t>车辆在指定区域内摆放整齐、有序，严格控制摆放数量。</w:t>
      </w:r>
    </w:p>
    <w:p>
      <w:pPr>
        <w:spacing w:line="360" w:lineRule="auto"/>
        <w:ind w:left="294" w:hanging="294" w:hangingChars="140"/>
        <w:rPr>
          <w:rFonts w:ascii="仿宋_GB2312" w:eastAsia="仿宋_GB2312"/>
        </w:rPr>
      </w:pPr>
      <w:r>
        <w:rPr>
          <w:rFonts w:ascii="仿宋_GB2312" w:eastAsia="仿宋_GB2312"/>
        </w:rPr>
        <w:t xml:space="preserve">4.2.2 </w:t>
      </w:r>
      <w:r>
        <w:rPr>
          <w:rFonts w:hint="eastAsia" w:ascii="仿宋_GB2312" w:eastAsia="仿宋_GB2312"/>
        </w:rPr>
        <w:t>行李手推车的摆放不得影响旅客流程和消防通道。</w:t>
      </w:r>
    </w:p>
    <w:p>
      <w:pPr>
        <w:spacing w:line="360" w:lineRule="auto"/>
        <w:ind w:left="294" w:hanging="294" w:hangingChars="140"/>
        <w:rPr>
          <w:rFonts w:ascii="仿宋_GB2312" w:eastAsia="仿宋_GB2312"/>
        </w:rPr>
      </w:pPr>
      <w:r>
        <w:rPr>
          <w:rFonts w:ascii="仿宋_GB2312" w:eastAsia="仿宋_GB2312"/>
        </w:rPr>
        <w:t xml:space="preserve">4.2.3 </w:t>
      </w:r>
      <w:r>
        <w:rPr>
          <w:rFonts w:hint="eastAsia" w:ascii="仿宋_GB2312" w:eastAsia="仿宋_GB2312"/>
        </w:rPr>
        <w:t>摆放区域的行李手推车要插入支架内，保证行李手推车整体稳固。航班密集时为方便旅客取送，车辆应就近回收到临时收集区，车辆摆放应按秩序插入支架内，不得超越划定的范围。</w:t>
      </w:r>
    </w:p>
    <w:p>
      <w:pPr>
        <w:spacing w:line="360" w:lineRule="auto"/>
        <w:ind w:left="294" w:hanging="294" w:hangingChars="140"/>
        <w:rPr>
          <w:rFonts w:ascii="仿宋_GB2312" w:eastAsia="仿宋_GB2312"/>
        </w:rPr>
      </w:pPr>
      <w:r>
        <w:rPr>
          <w:rFonts w:ascii="仿宋_GB2312" w:eastAsia="仿宋_GB2312"/>
        </w:rPr>
        <w:t xml:space="preserve">4.2.4 </w:t>
      </w:r>
      <w:r>
        <w:rPr>
          <w:rFonts w:hint="eastAsia" w:ascii="仿宋_GB2312" w:eastAsia="仿宋_GB2312"/>
        </w:rPr>
        <w:t>保证旅客正常使用行李手推车，固定摆放点不能出现无车现象。</w:t>
      </w:r>
    </w:p>
    <w:p>
      <w:pPr>
        <w:spacing w:line="360" w:lineRule="auto"/>
        <w:ind w:left="294" w:hanging="294" w:hangingChars="140"/>
        <w:rPr>
          <w:rFonts w:ascii="仿宋_GB2312" w:eastAsia="仿宋_GB2312"/>
        </w:rPr>
      </w:pPr>
      <w:r>
        <w:rPr>
          <w:rFonts w:ascii="仿宋_GB2312" w:eastAsia="仿宋_GB2312"/>
        </w:rPr>
        <w:t xml:space="preserve">4.2.5 </w:t>
      </w:r>
      <w:r>
        <w:rPr>
          <w:rFonts w:hint="eastAsia" w:ascii="仿宋_GB2312" w:eastAsia="仿宋_GB2312"/>
        </w:rPr>
        <w:t>当日航班结束后</w:t>
      </w:r>
      <w:r>
        <w:rPr>
          <w:rFonts w:ascii="仿宋_GB2312" w:eastAsia="仿宋_GB2312"/>
        </w:rPr>
        <w:t>,</w:t>
      </w:r>
      <w:r>
        <w:rPr>
          <w:rFonts w:hint="eastAsia" w:ascii="仿宋_GB2312" w:eastAsia="仿宋_GB2312"/>
        </w:rPr>
        <w:t>要及时回收散落在航站楼内和停车场的所有行李手推车。</w:t>
      </w:r>
    </w:p>
    <w:p>
      <w:pPr>
        <w:spacing w:line="360" w:lineRule="auto"/>
        <w:ind w:left="294" w:hanging="294" w:hangingChars="140"/>
        <w:rPr>
          <w:rFonts w:ascii="仿宋_GB2312" w:eastAsia="仿宋_GB2312"/>
        </w:rPr>
      </w:pPr>
      <w:r>
        <w:rPr>
          <w:rFonts w:ascii="仿宋_GB2312" w:eastAsia="仿宋_GB2312"/>
        </w:rPr>
        <w:t xml:space="preserve">4.3 </w:t>
      </w:r>
      <w:r>
        <w:rPr>
          <w:rFonts w:hint="eastAsia" w:ascii="仿宋_GB2312" w:eastAsia="仿宋_GB2312"/>
        </w:rPr>
        <w:t>散车数量标准</w:t>
      </w:r>
    </w:p>
    <w:p>
      <w:pPr>
        <w:spacing w:line="360" w:lineRule="auto"/>
        <w:ind w:left="294" w:hanging="294" w:hangingChars="140"/>
        <w:rPr>
          <w:rFonts w:ascii="仿宋_GB2312" w:eastAsia="仿宋_GB2312"/>
        </w:rPr>
      </w:pPr>
      <w:r>
        <w:rPr>
          <w:rFonts w:ascii="仿宋_GB2312" w:eastAsia="仿宋_GB2312"/>
        </w:rPr>
        <w:t xml:space="preserve">4.3.1 </w:t>
      </w:r>
      <w:r>
        <w:rPr>
          <w:rFonts w:hint="eastAsia" w:ascii="仿宋_GB2312" w:eastAsia="仿宋_GB2312"/>
        </w:rPr>
        <w:t>值机区域不办手续时，散车数量为零；在办理手续时，散车数量不能超过</w:t>
      </w:r>
      <w:r>
        <w:rPr>
          <w:rFonts w:ascii="仿宋_GB2312" w:eastAsia="仿宋_GB2312"/>
        </w:rPr>
        <w:t>3</w:t>
      </w:r>
      <w:r>
        <w:rPr>
          <w:rFonts w:hint="eastAsia" w:ascii="仿宋_GB2312" w:eastAsia="仿宋_GB2312"/>
        </w:rPr>
        <w:t>辆。</w:t>
      </w:r>
    </w:p>
    <w:p>
      <w:pPr>
        <w:spacing w:line="360" w:lineRule="auto"/>
        <w:ind w:left="294" w:hanging="294" w:hangingChars="140"/>
        <w:rPr>
          <w:rFonts w:ascii="仿宋_GB2312" w:eastAsia="仿宋_GB2312"/>
        </w:rPr>
      </w:pPr>
      <w:r>
        <w:rPr>
          <w:rFonts w:ascii="仿宋_GB2312" w:eastAsia="仿宋_GB2312"/>
        </w:rPr>
        <w:t xml:space="preserve">4.3.2 </w:t>
      </w:r>
      <w:r>
        <w:rPr>
          <w:rFonts w:hint="eastAsia" w:ascii="仿宋_GB2312" w:eastAsia="仿宋_GB2312"/>
        </w:rPr>
        <w:t>航站楼出入口、安检通道入口散车数量为零；航站楼进出港大厅</w:t>
      </w:r>
      <w:r>
        <w:rPr>
          <w:rFonts w:ascii="仿宋_GB2312" w:eastAsia="仿宋_GB2312"/>
        </w:rPr>
        <w:t>10</w:t>
      </w:r>
      <w:r>
        <w:rPr>
          <w:rFonts w:hint="eastAsia" w:ascii="仿宋_GB2312" w:eastAsia="仿宋_GB2312"/>
        </w:rPr>
        <w:t>平方米范围内散车数量不得超过</w:t>
      </w:r>
      <w:r>
        <w:rPr>
          <w:rFonts w:ascii="仿宋_GB2312" w:eastAsia="仿宋_GB2312"/>
        </w:rPr>
        <w:t>3</w:t>
      </w:r>
      <w:r>
        <w:rPr>
          <w:rFonts w:hint="eastAsia" w:ascii="仿宋_GB2312" w:eastAsia="仿宋_GB2312"/>
        </w:rPr>
        <w:t>辆。</w:t>
      </w:r>
      <w:r>
        <w:rPr>
          <w:rFonts w:ascii="仿宋_GB2312" w:eastAsia="仿宋_GB2312"/>
        </w:rPr>
        <w:t xml:space="preserve"> </w:t>
      </w:r>
    </w:p>
    <w:p>
      <w:pPr>
        <w:spacing w:line="360" w:lineRule="auto"/>
        <w:ind w:left="294" w:hanging="294" w:hangingChars="140"/>
        <w:rPr>
          <w:rFonts w:ascii="仿宋_GB2312" w:eastAsia="仿宋_GB2312"/>
        </w:rPr>
      </w:pPr>
      <w:r>
        <w:rPr>
          <w:rFonts w:ascii="仿宋_GB2312" w:eastAsia="仿宋_GB2312"/>
        </w:rPr>
        <w:t xml:space="preserve">4.3.3 </w:t>
      </w:r>
      <w:r>
        <w:rPr>
          <w:rFonts w:hint="eastAsia" w:ascii="仿宋_GB2312" w:eastAsia="仿宋_GB2312"/>
        </w:rPr>
        <w:t>出发、到达大厅自动扶梯旁</w:t>
      </w:r>
      <w:r>
        <w:rPr>
          <w:rFonts w:ascii="仿宋_GB2312" w:eastAsia="仿宋_GB2312"/>
        </w:rPr>
        <w:t>10</w:t>
      </w:r>
      <w:r>
        <w:rPr>
          <w:rFonts w:hint="eastAsia" w:ascii="仿宋_GB2312" w:eastAsia="仿宋_GB2312"/>
        </w:rPr>
        <w:t>平方米范围内散车数量不得超过</w:t>
      </w:r>
      <w:r>
        <w:rPr>
          <w:rFonts w:ascii="仿宋_GB2312" w:eastAsia="仿宋_GB2312"/>
        </w:rPr>
        <w:t>3</w:t>
      </w:r>
      <w:r>
        <w:rPr>
          <w:rFonts w:hint="eastAsia" w:ascii="仿宋_GB2312" w:eastAsia="仿宋_GB2312"/>
        </w:rPr>
        <w:t>辆。</w:t>
      </w:r>
    </w:p>
    <w:p>
      <w:pPr>
        <w:spacing w:line="360" w:lineRule="auto"/>
        <w:ind w:left="294" w:hanging="294" w:hangingChars="140"/>
        <w:rPr>
          <w:rFonts w:ascii="仿宋_GB2312" w:eastAsia="仿宋_GB2312"/>
        </w:rPr>
      </w:pPr>
      <w:r>
        <w:rPr>
          <w:rFonts w:ascii="仿宋_GB2312" w:eastAsia="仿宋_GB2312"/>
        </w:rPr>
        <w:t xml:space="preserve">4.4 </w:t>
      </w:r>
      <w:r>
        <w:rPr>
          <w:rFonts w:hint="eastAsia" w:ascii="仿宋_GB2312" w:eastAsia="仿宋_GB2312"/>
        </w:rPr>
        <w:t>运送标准</w:t>
      </w:r>
      <w:r>
        <w:rPr>
          <w:rFonts w:ascii="仿宋_GB2312" w:eastAsia="仿宋_GB2312"/>
        </w:rPr>
        <w:t xml:space="preserve"> </w:t>
      </w:r>
    </w:p>
    <w:p>
      <w:pPr>
        <w:spacing w:line="360" w:lineRule="auto"/>
        <w:ind w:left="294" w:hanging="294" w:hangingChars="140"/>
        <w:rPr>
          <w:rFonts w:ascii="仿宋_GB2312" w:eastAsia="仿宋_GB2312"/>
        </w:rPr>
      </w:pPr>
      <w:r>
        <w:rPr>
          <w:rFonts w:ascii="仿宋_GB2312" w:eastAsia="仿宋_GB2312"/>
        </w:rPr>
        <w:t xml:space="preserve">4.4.1 </w:t>
      </w:r>
      <w:r>
        <w:rPr>
          <w:rFonts w:hint="eastAsia" w:ascii="仿宋_GB2312" w:eastAsia="仿宋_GB2312"/>
        </w:rPr>
        <w:t>回收运送行李手推车时，不得影响旅客通行和占用盲道。</w:t>
      </w:r>
    </w:p>
    <w:p>
      <w:pPr>
        <w:spacing w:line="360" w:lineRule="auto"/>
        <w:ind w:left="294" w:hanging="294" w:hangingChars="140"/>
        <w:rPr>
          <w:rFonts w:ascii="仿宋_GB2312" w:eastAsia="仿宋_GB2312"/>
        </w:rPr>
      </w:pPr>
      <w:r>
        <w:rPr>
          <w:rFonts w:ascii="仿宋_GB2312" w:eastAsia="仿宋_GB2312"/>
        </w:rPr>
        <w:t xml:space="preserve">4.4.2 </w:t>
      </w:r>
      <w:r>
        <w:rPr>
          <w:rFonts w:hint="eastAsia" w:ascii="仿宋_GB2312" w:eastAsia="仿宋_GB2312"/>
        </w:rPr>
        <w:t>工作人员运车时，应慢速行走，严禁猛跑，不得碰撞旅客和楼内设施设备。</w:t>
      </w:r>
    </w:p>
    <w:p>
      <w:pPr>
        <w:spacing w:line="360" w:lineRule="auto"/>
        <w:ind w:left="294" w:hanging="294" w:hangingChars="140"/>
        <w:rPr>
          <w:rFonts w:ascii="仿宋_GB2312" w:eastAsia="仿宋_GB2312"/>
        </w:rPr>
      </w:pPr>
      <w:r>
        <w:rPr>
          <w:rFonts w:ascii="仿宋_GB2312" w:eastAsia="仿宋_GB2312"/>
        </w:rPr>
        <w:t xml:space="preserve">4.4.3 </w:t>
      </w:r>
      <w:r>
        <w:rPr>
          <w:rFonts w:hint="eastAsia" w:ascii="仿宋_GB2312" w:eastAsia="仿宋_GB2312"/>
        </w:rPr>
        <w:t>大手推车不捆绑推行不超过8辆，捆绑不超过12辆，使用牵引头运送不超过40辆，使用牵引车运送不超过20辆。</w:t>
      </w:r>
    </w:p>
    <w:p>
      <w:pPr>
        <w:spacing w:line="360" w:lineRule="auto"/>
        <w:ind w:left="294" w:hanging="294" w:hangingChars="140"/>
        <w:rPr>
          <w:rFonts w:ascii="仿宋_GB2312" w:eastAsia="仿宋_GB2312"/>
        </w:rPr>
      </w:pPr>
      <w:r>
        <w:rPr>
          <w:rFonts w:ascii="仿宋_GB2312" w:eastAsia="仿宋_GB2312"/>
        </w:rPr>
        <w:t xml:space="preserve">4.4.4 </w:t>
      </w:r>
      <w:r>
        <w:rPr>
          <w:rFonts w:hint="eastAsia" w:ascii="仿宋_GB2312" w:eastAsia="仿宋_GB2312"/>
        </w:rPr>
        <w:t>小手推车捆绑推行不超过20辆，使用牵引头运送不超过40辆，使用牵引车运送不超过30辆。</w:t>
      </w:r>
    </w:p>
    <w:p>
      <w:pPr>
        <w:spacing w:line="360" w:lineRule="auto"/>
        <w:ind w:left="294" w:hanging="294" w:hangingChars="140"/>
        <w:rPr>
          <w:rFonts w:ascii="仿宋_GB2312" w:eastAsia="仿宋_GB2312"/>
        </w:rPr>
      </w:pPr>
      <w:r>
        <w:rPr>
          <w:rFonts w:ascii="仿宋_GB2312" w:eastAsia="仿宋_GB2312"/>
        </w:rPr>
        <w:t xml:space="preserve">4.5 </w:t>
      </w:r>
      <w:r>
        <w:rPr>
          <w:rFonts w:hint="eastAsia" w:ascii="仿宋_GB2312" w:eastAsia="仿宋_GB2312"/>
        </w:rPr>
        <w:t>现场服务管理</w:t>
      </w:r>
    </w:p>
    <w:p>
      <w:pPr>
        <w:spacing w:line="360" w:lineRule="auto"/>
        <w:ind w:left="294" w:hanging="294" w:hangingChars="140"/>
        <w:rPr>
          <w:rFonts w:ascii="仿宋_GB2312" w:eastAsia="仿宋_GB2312"/>
        </w:rPr>
      </w:pPr>
      <w:r>
        <w:rPr>
          <w:rFonts w:ascii="仿宋_GB2312" w:eastAsia="仿宋_GB2312"/>
        </w:rPr>
        <w:t xml:space="preserve">4.5.1 </w:t>
      </w:r>
      <w:r>
        <w:rPr>
          <w:rFonts w:hint="eastAsia" w:ascii="仿宋_GB2312" w:eastAsia="仿宋_GB2312"/>
        </w:rPr>
        <w:t>承包商应安排专人巡视检查，发现问题，立即纠正。</w:t>
      </w:r>
    </w:p>
    <w:p>
      <w:pPr>
        <w:spacing w:line="360" w:lineRule="auto"/>
        <w:ind w:left="294" w:hanging="294" w:hangingChars="140"/>
        <w:rPr>
          <w:rFonts w:ascii="仿宋_GB2312" w:eastAsia="仿宋_GB2312"/>
        </w:rPr>
      </w:pPr>
      <w:r>
        <w:rPr>
          <w:rFonts w:ascii="仿宋_GB2312" w:eastAsia="仿宋_GB2312"/>
        </w:rPr>
        <w:t xml:space="preserve">4.5.2 </w:t>
      </w:r>
      <w:r>
        <w:rPr>
          <w:rFonts w:hint="eastAsia" w:ascii="仿宋_GB2312" w:eastAsia="仿宋_GB2312"/>
        </w:rPr>
        <w:t>工作人员在岗期间身穿统一工作服，佩戴有效证件，遵守《航站楼工作人员行为规范》。</w:t>
      </w:r>
    </w:p>
    <w:p>
      <w:pPr>
        <w:spacing w:line="360" w:lineRule="auto"/>
        <w:ind w:left="294" w:hanging="294" w:hangingChars="140"/>
        <w:rPr>
          <w:rFonts w:ascii="仿宋_GB2312" w:eastAsia="仿宋_GB2312"/>
        </w:rPr>
      </w:pPr>
      <w:r>
        <w:rPr>
          <w:rFonts w:ascii="仿宋_GB2312" w:eastAsia="仿宋_GB2312"/>
        </w:rPr>
        <w:t xml:space="preserve">4.5.3 </w:t>
      </w:r>
      <w:r>
        <w:rPr>
          <w:rFonts w:hint="eastAsia" w:ascii="仿宋_GB2312" w:eastAsia="仿宋_GB2312"/>
        </w:rPr>
        <w:t>服务时应主动、礼貌地向旅客介绍行李手推车的使用方法及注意事项。</w:t>
      </w:r>
    </w:p>
    <w:p>
      <w:pPr>
        <w:spacing w:line="360" w:lineRule="auto"/>
        <w:ind w:left="294" w:hanging="294" w:hangingChars="140"/>
        <w:rPr>
          <w:rFonts w:ascii="仿宋_GB2312" w:eastAsia="仿宋_GB2312"/>
        </w:rPr>
      </w:pPr>
      <w:r>
        <w:rPr>
          <w:rFonts w:ascii="仿宋_GB2312" w:eastAsia="仿宋_GB2312"/>
        </w:rPr>
        <w:t xml:space="preserve">4.5.4 </w:t>
      </w:r>
      <w:r>
        <w:rPr>
          <w:rFonts w:hint="eastAsia" w:ascii="仿宋_GB2312" w:eastAsia="仿宋_GB2312"/>
        </w:rPr>
        <w:t>在岗工作人员不得斜靠、倚坐行李手推车。</w:t>
      </w:r>
    </w:p>
    <w:p>
      <w:pPr>
        <w:spacing w:line="360" w:lineRule="auto"/>
        <w:ind w:left="294" w:hanging="294" w:hangingChars="140"/>
        <w:rPr>
          <w:rFonts w:ascii="仿宋_GB2312" w:eastAsia="仿宋_GB2312"/>
        </w:rPr>
      </w:pPr>
      <w:r>
        <w:rPr>
          <w:rFonts w:ascii="仿宋_GB2312" w:eastAsia="仿宋_GB2312"/>
        </w:rPr>
        <w:t xml:space="preserve">4.5.5 </w:t>
      </w:r>
      <w:r>
        <w:rPr>
          <w:rFonts w:hint="eastAsia" w:ascii="仿宋_GB2312" w:eastAsia="仿宋_GB2312"/>
        </w:rPr>
        <w:t>航班期间应保障旅客使用需求，不准锁住行李手推车，不得因工作人员调车不当而出现缺车现象。</w:t>
      </w:r>
    </w:p>
    <w:p>
      <w:pPr>
        <w:spacing w:line="360" w:lineRule="auto"/>
        <w:ind w:left="294" w:hanging="294" w:hangingChars="140"/>
        <w:rPr>
          <w:rFonts w:ascii="仿宋_GB2312" w:eastAsia="仿宋_GB2312"/>
        </w:rPr>
      </w:pPr>
      <w:r>
        <w:rPr>
          <w:rFonts w:ascii="仿宋_GB2312" w:eastAsia="仿宋_GB2312"/>
        </w:rPr>
        <w:t xml:space="preserve">4.5.6 </w:t>
      </w:r>
      <w:r>
        <w:rPr>
          <w:rFonts w:hint="eastAsia" w:ascii="仿宋_GB2312" w:eastAsia="仿宋_GB2312"/>
        </w:rPr>
        <w:t>驻楼单位办公室不得存放、占用行李手推车。</w:t>
      </w:r>
    </w:p>
    <w:p>
      <w:pPr>
        <w:spacing w:line="360" w:lineRule="auto"/>
        <w:ind w:left="294" w:hanging="294" w:hangingChars="140"/>
        <w:rPr>
          <w:rFonts w:ascii="仿宋_GB2312" w:eastAsia="仿宋_GB2312"/>
        </w:rPr>
      </w:pPr>
      <w:r>
        <w:rPr>
          <w:rFonts w:ascii="仿宋_GB2312" w:eastAsia="仿宋_GB2312"/>
        </w:rPr>
        <w:t xml:space="preserve">4.5.7 </w:t>
      </w:r>
      <w:r>
        <w:rPr>
          <w:rFonts w:hint="eastAsia" w:ascii="仿宋_GB2312" w:eastAsia="仿宋_GB2312"/>
        </w:rPr>
        <w:t>遇天气等特殊原因引起航班延误时，应及时调动人员确保行李手推车的正常使用。</w:t>
      </w:r>
    </w:p>
    <w:p>
      <w:pPr>
        <w:spacing w:line="360" w:lineRule="auto"/>
        <w:ind w:left="294" w:hanging="294" w:hangingChars="140"/>
        <w:rPr>
          <w:rFonts w:ascii="仿宋_GB2312" w:eastAsia="仿宋_GB2312"/>
        </w:rPr>
      </w:pPr>
      <w:r>
        <w:rPr>
          <w:rFonts w:ascii="仿宋_GB2312" w:eastAsia="仿宋_GB2312"/>
        </w:rPr>
        <w:t xml:space="preserve">4.5.8 </w:t>
      </w:r>
      <w:r>
        <w:rPr>
          <w:rFonts w:hint="eastAsia" w:ascii="仿宋_GB2312" w:eastAsia="仿宋_GB2312"/>
        </w:rPr>
        <w:t>如发生因行李手推车服务引发的旅客投诉以及旅客伤害事件，由手推车责任方承担全部责任，航站区管理中心不承担责任。</w:t>
      </w:r>
    </w:p>
    <w:p>
      <w:pPr>
        <w:widowControl/>
        <w:jc w:val="left"/>
        <w:rPr>
          <w:rFonts w:ascii="仿宋_GB2312" w:eastAsia="仿宋_GB2312"/>
        </w:rPr>
        <w:sectPr>
          <w:pgSz w:w="11906" w:h="16838"/>
          <w:pgMar w:top="1440" w:right="1797" w:bottom="1440" w:left="1797" w:header="851" w:footer="992" w:gutter="0"/>
          <w:cols w:space="720" w:num="1"/>
          <w:docGrid w:linePitch="312" w:charSpace="0"/>
        </w:sectPr>
      </w:pPr>
    </w:p>
    <w:p>
      <w:pPr>
        <w:pStyle w:val="42"/>
        <w:ind w:right="-50" w:rightChars="-24" w:firstLine="420"/>
        <w:jc w:val="left"/>
        <w:rPr>
          <w:rFonts w:ascii="仿宋_GB2312" w:eastAsia="仿宋_GB2312" w:cs="黑体"/>
          <w:b w:val="0"/>
        </w:rPr>
      </w:pPr>
      <w:r>
        <w:rPr>
          <w:rFonts w:hint="eastAsia" w:ascii="仿宋_GB2312" w:eastAsia="仿宋_GB2312" w:cs="黑体"/>
          <w:b w:val="0"/>
        </w:rPr>
        <w:t>附件</w:t>
      </w:r>
      <w:r>
        <w:rPr>
          <w:rFonts w:ascii="仿宋_GB2312" w:eastAsia="仿宋_GB2312" w:cs="黑体"/>
          <w:b w:val="0"/>
        </w:rPr>
        <w:t>14</w:t>
      </w:r>
      <w:r>
        <w:rPr>
          <w:rFonts w:hint="eastAsia" w:ascii="仿宋_GB2312" w:eastAsia="仿宋_GB2312" w:cs="黑体"/>
          <w:b w:val="0"/>
        </w:rPr>
        <w:t>：</w:t>
      </w:r>
      <w:r>
        <w:rPr>
          <w:rFonts w:hint="eastAsia" w:ascii="仿宋_GB2312" w:eastAsia="仿宋_GB2312" w:cs="黑体"/>
          <w:b w:val="0"/>
          <w:sz w:val="21"/>
        </w:rPr>
        <w:t>杭州萧山国际机场有限公司廉洁自律承诺书</w:t>
      </w:r>
    </w:p>
    <w:p>
      <w:pPr>
        <w:topLinePunct/>
        <w:ind w:left="449" w:hanging="449"/>
        <w:jc w:val="center"/>
        <w:rPr>
          <w:rFonts w:ascii="仿宋_GB2312" w:eastAsia="仿宋_GB2312"/>
          <w:b/>
          <w:sz w:val="24"/>
        </w:rPr>
      </w:pPr>
    </w:p>
    <w:p>
      <w:pPr>
        <w:pStyle w:val="129"/>
        <w:spacing w:line="360" w:lineRule="exact"/>
        <w:ind w:firstLine="482"/>
        <w:jc w:val="center"/>
        <w:rPr>
          <w:rFonts w:ascii="仿宋_GB2312" w:hAnsi="Calibri" w:eastAsia="仿宋_GB2312"/>
          <w:b/>
          <w:color w:val="auto"/>
          <w:sz w:val="24"/>
          <w:szCs w:val="22"/>
        </w:rPr>
      </w:pPr>
      <w:r>
        <w:rPr>
          <w:rFonts w:hint="eastAsia" w:ascii="仿宋_GB2312" w:hAnsi="Calibri" w:eastAsia="仿宋_GB2312"/>
          <w:b/>
          <w:color w:val="auto"/>
          <w:sz w:val="24"/>
          <w:szCs w:val="22"/>
        </w:rPr>
        <w:t>杭州萧山国际机场有限公司廉洁自律承诺书</w:t>
      </w:r>
    </w:p>
    <w:p>
      <w:pPr>
        <w:pStyle w:val="131"/>
        <w:adjustRightInd w:val="0"/>
        <w:snapToGrid w:val="0"/>
        <w:spacing w:line="500" w:lineRule="exact"/>
        <w:ind w:firstLineChars="175"/>
        <w:rPr>
          <w:rFonts w:ascii="仿宋_GB2312" w:hAnsi="Calibri" w:eastAsia="仿宋_GB2312" w:cs="黑体"/>
        </w:rPr>
      </w:pPr>
      <w:r>
        <w:rPr>
          <w:rFonts w:hint="eastAsia" w:ascii="仿宋_GB2312" w:hAnsi="Calibri" w:eastAsia="仿宋_GB2312" w:cs="黑体"/>
        </w:rPr>
        <w:t>杭州萧山国际机场有限公司：</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我单位响应贵公司项目招标要求，参加项目投标。在投标过程中及中标后，我们将严格遵守国家法律法规和贵司招标文件要求，并郑重作出如下承诺和保证：</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二、不以任何名义为贵公司有关人员或项目第三方人员报销应由贵公司或个人支付的费用；</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三、不向贵公司有关人员或项目第三方人员提供宴请、旅游、和健身娱乐等活动；</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四、不为贵公司有关人员或项目第三方人员出国（境）、旅游等提供方便；</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五、不为贵公司有关人员或项目第三方人员个人装修住房、婚丧嫁娶、配偶子女工作安排等提供好处或便利条件；</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六、严格遵守国家招标投标法、合同法等法律规定，诚实守信，合法经营，坚决杜绝各种违法违纪行为。</w:t>
      </w:r>
    </w:p>
    <w:p>
      <w:pPr>
        <w:pStyle w:val="131"/>
        <w:adjustRightInd w:val="0"/>
        <w:snapToGrid w:val="0"/>
        <w:spacing w:line="500" w:lineRule="exact"/>
        <w:ind w:firstLine="480"/>
        <w:rPr>
          <w:rFonts w:ascii="仿宋_GB2312" w:hAnsi="Calibri" w:eastAsia="仿宋_GB2312" w:cs="黑体"/>
        </w:rPr>
      </w:pPr>
      <w:r>
        <w:rPr>
          <w:rFonts w:ascii="仿宋_GB2312" w:hAnsi="Calibri" w:eastAsia="仿宋_GB2312" w:cs="黑体"/>
        </w:rPr>
        <w:t>七</w:t>
      </w:r>
      <w:r>
        <w:rPr>
          <w:rFonts w:hint="eastAsia" w:ascii="仿宋_GB2312" w:hAnsi="Calibri" w:eastAsia="仿宋_GB2312" w:cs="黑体"/>
        </w:rPr>
        <w:t>、若发现贵公司有关人员或项目第三方人员有故意设置障碍或推诿刁难我方人员参与正常投标项目建设活动以索要好处等行为，我单位将及时向贵公司纪检监察部门举报，举报电话：</w:t>
      </w:r>
      <w:r>
        <w:rPr>
          <w:rFonts w:ascii="仿宋_GB2312" w:hAnsi="Calibri" w:eastAsia="仿宋_GB2312" w:cs="黑体"/>
        </w:rPr>
        <w:t>0571－86661113。</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八、如违反上述廉洁自律承诺，贵公司有权：</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（1）立即取消我单位投标、中标或在建项目的实施资格；</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（2）将我方向贵公司缴纳的履约保证金的</w:t>
      </w:r>
      <w:r>
        <w:rPr>
          <w:rFonts w:ascii="仿宋_GB2312" w:hAnsi="Calibri" w:eastAsia="仿宋_GB2312" w:cs="黑体"/>
        </w:rPr>
        <w:t>10%予以没收作为惩罚性措施。</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（3）拒绝我单位在一定时期内进入贵公司进行项目建设或其它经营活动；</w:t>
      </w:r>
    </w:p>
    <w:p>
      <w:pPr>
        <w:pStyle w:val="131"/>
        <w:adjustRightInd w:val="0"/>
        <w:snapToGrid w:val="0"/>
        <w:spacing w:line="500" w:lineRule="exact"/>
        <w:ind w:firstLine="480"/>
        <w:rPr>
          <w:rFonts w:ascii="仿宋_GB2312" w:hAnsi="Calibri" w:eastAsia="仿宋_GB2312" w:cs="黑体"/>
        </w:rPr>
      </w:pPr>
      <w:r>
        <w:rPr>
          <w:rFonts w:hint="eastAsia" w:ascii="仿宋_GB2312" w:hAnsi="Calibri" w:eastAsia="仿宋_GB2312" w:cs="黑体"/>
        </w:rPr>
        <w:t>（4）由此引起的相应损失均由我单位承担。</w:t>
      </w:r>
    </w:p>
    <w:p>
      <w:pPr>
        <w:pStyle w:val="131"/>
        <w:adjustRightInd w:val="0"/>
        <w:snapToGrid w:val="0"/>
        <w:spacing w:line="500" w:lineRule="exact"/>
        <w:ind w:left="840" w:firstLine="480"/>
        <w:rPr>
          <w:rFonts w:ascii="仿宋_GB2312" w:hAnsi="Calibri" w:eastAsia="仿宋_GB2312" w:cs="黑体"/>
        </w:rPr>
      </w:pPr>
    </w:p>
    <w:p>
      <w:pPr>
        <w:pStyle w:val="131"/>
        <w:adjustRightInd w:val="0"/>
        <w:snapToGrid w:val="0"/>
        <w:spacing w:line="500" w:lineRule="exact"/>
        <w:ind w:left="840" w:firstLine="480"/>
        <w:rPr>
          <w:rFonts w:ascii="仿宋_GB2312" w:hAnsi="Calibri" w:eastAsia="仿宋_GB2312" w:cs="黑体"/>
        </w:rPr>
      </w:pPr>
      <w:r>
        <w:rPr>
          <w:rFonts w:hint="eastAsia" w:ascii="仿宋_GB2312" w:hAnsi="Calibri" w:eastAsia="仿宋_GB2312" w:cs="黑体"/>
        </w:rPr>
        <w:t>承诺人单位名称（盖章）：</w:t>
      </w:r>
      <w:r>
        <w:rPr>
          <w:rFonts w:ascii="仿宋_GB2312" w:hAnsi="Calibri" w:eastAsia="仿宋_GB2312" w:cs="黑体"/>
        </w:rPr>
        <w:t xml:space="preserve">            </w:t>
      </w:r>
    </w:p>
    <w:p>
      <w:pPr>
        <w:pStyle w:val="131"/>
        <w:adjustRightInd w:val="0"/>
        <w:snapToGrid w:val="0"/>
        <w:spacing w:line="500" w:lineRule="exact"/>
        <w:ind w:left="840" w:firstLine="480"/>
        <w:rPr>
          <w:rFonts w:ascii="仿宋_GB2312" w:hAnsi="Calibri" w:eastAsia="仿宋_GB2312" w:cs="黑体"/>
        </w:rPr>
      </w:pPr>
      <w:r>
        <w:rPr>
          <w:rFonts w:hint="eastAsia" w:ascii="仿宋_GB2312" w:hAnsi="Calibri" w:eastAsia="仿宋_GB2312" w:cs="黑体"/>
        </w:rPr>
        <w:t>法定代表人</w:t>
      </w:r>
      <w:r>
        <w:rPr>
          <w:rFonts w:ascii="仿宋_GB2312" w:hAnsi="Calibri" w:eastAsia="仿宋_GB2312" w:cs="黑体"/>
        </w:rPr>
        <w:t xml:space="preserve"> ：                    </w:t>
      </w:r>
    </w:p>
    <w:p>
      <w:pPr>
        <w:pStyle w:val="131"/>
        <w:adjustRightInd w:val="0"/>
        <w:snapToGrid w:val="0"/>
        <w:spacing w:line="500" w:lineRule="exact"/>
        <w:ind w:left="840" w:firstLine="480"/>
        <w:rPr>
          <w:rFonts w:ascii="仿宋_GB2312" w:hAnsi="Calibri" w:eastAsia="仿宋_GB2312" w:cs="黑体"/>
        </w:rPr>
      </w:pPr>
      <w:r>
        <w:rPr>
          <w:rFonts w:hint="eastAsia" w:ascii="仿宋_GB2312" w:hAnsi="Calibri" w:eastAsia="仿宋_GB2312" w:cs="黑体"/>
        </w:rPr>
        <w:t>或</w:t>
      </w:r>
      <w:r>
        <w:rPr>
          <w:rFonts w:ascii="仿宋_GB2312" w:hAnsi="Calibri" w:eastAsia="仿宋_GB2312" w:cs="黑体"/>
        </w:rPr>
        <w:t xml:space="preserve">                            </w:t>
      </w:r>
    </w:p>
    <w:p>
      <w:pPr>
        <w:pStyle w:val="131"/>
        <w:adjustRightInd w:val="0"/>
        <w:snapToGrid w:val="0"/>
        <w:spacing w:line="500" w:lineRule="exact"/>
        <w:ind w:left="840" w:firstLine="480"/>
        <w:rPr>
          <w:rFonts w:ascii="仿宋_GB2312" w:hAnsi="Calibri" w:eastAsia="仿宋_GB2312" w:cs="黑体"/>
        </w:rPr>
      </w:pPr>
      <w:r>
        <w:rPr>
          <w:rFonts w:hint="eastAsia" w:ascii="仿宋_GB2312" w:hAnsi="Calibri" w:eastAsia="仿宋_GB2312" w:cs="黑体"/>
        </w:rPr>
        <w:t>委托代理人：</w:t>
      </w:r>
      <w:r>
        <w:rPr>
          <w:rFonts w:ascii="仿宋_GB2312" w:hAnsi="Calibri" w:eastAsia="仿宋_GB2312" w:cs="黑体"/>
        </w:rPr>
        <w:t xml:space="preserve">                   </w:t>
      </w:r>
    </w:p>
    <w:p>
      <w:pPr>
        <w:pStyle w:val="131"/>
        <w:adjustRightInd w:val="0"/>
        <w:snapToGrid w:val="0"/>
        <w:spacing w:line="500" w:lineRule="exact"/>
        <w:ind w:left="840" w:firstLine="480"/>
        <w:rPr>
          <w:rFonts w:ascii="仿宋_GB2312" w:hAnsi="Calibri" w:eastAsia="仿宋_GB2312" w:cs="黑体"/>
        </w:rPr>
      </w:pPr>
      <w:bookmarkStart w:id="114" w:name="_Toc422638522"/>
      <w:bookmarkStart w:id="115" w:name="_Toc321925455"/>
      <w:r>
        <w:rPr>
          <w:rFonts w:ascii="仿宋_GB2312" w:hAnsi="Calibri" w:eastAsia="仿宋_GB2312" w:cs="黑体"/>
        </w:rPr>
        <w:t xml:space="preserve">                           年     月     日</w:t>
      </w:r>
      <w:bookmarkEnd w:id="114"/>
      <w:bookmarkEnd w:id="115"/>
    </w:p>
    <w:p>
      <w:pPr>
        <w:pStyle w:val="19"/>
        <w:spacing w:line="360" w:lineRule="exact"/>
        <w:rPr>
          <w:rFonts w:ascii="Calibri" w:hAnsi="Calibri" w:cs="Calibri"/>
          <w:bCs/>
          <w:szCs w:val="32"/>
        </w:rPr>
        <w:sectPr>
          <w:headerReference r:id="rId13" w:type="first"/>
          <w:pgSz w:w="11906" w:h="16838"/>
          <w:pgMar w:top="1440" w:right="1797" w:bottom="1440" w:left="179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6"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6"/>
    </w:p>
    <w:p>
      <w:pPr>
        <w:pStyle w:val="19"/>
        <w:spacing w:line="360" w:lineRule="exact"/>
        <w:ind w:firstLine="420"/>
        <w:rPr>
          <w:rFonts w:hAnsi="宋体" w:cs="Calibri"/>
          <w:bCs/>
          <w:sz w:val="22"/>
          <w:szCs w:val="22"/>
        </w:rPr>
      </w:pPr>
      <w:bookmarkStart w:id="117"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9"/>
        <w:spacing w:line="360" w:lineRule="exact"/>
        <w:rPr>
          <w:rFonts w:hAnsi="宋体" w:cs="Calibri"/>
          <w:b/>
          <w:bCs/>
          <w:sz w:val="22"/>
          <w:szCs w:val="22"/>
        </w:rPr>
      </w:pPr>
      <w:r>
        <w:rPr>
          <w:rFonts w:hAnsi="宋体" w:cs="Calibri"/>
          <w:b/>
          <w:bCs/>
          <w:sz w:val="22"/>
          <w:szCs w:val="22"/>
        </w:rPr>
        <w:t>一、评标原则</w:t>
      </w:r>
    </w:p>
    <w:p>
      <w:pPr>
        <w:pStyle w:val="19"/>
        <w:spacing w:line="360" w:lineRule="exact"/>
        <w:ind w:firstLine="420"/>
        <w:rPr>
          <w:rFonts w:hAnsi="宋体" w:cs="Calibri"/>
          <w:sz w:val="22"/>
          <w:szCs w:val="22"/>
        </w:rPr>
      </w:pPr>
      <w:r>
        <w:rPr>
          <w:rFonts w:hAnsi="宋体" w:cs="Calibri"/>
          <w:bCs/>
          <w:sz w:val="22"/>
          <w:szCs w:val="22"/>
        </w:rPr>
        <w:t>评标应遵循公平、公正、科学、择优的原则。</w:t>
      </w:r>
    </w:p>
    <w:p>
      <w:pPr>
        <w:pStyle w:val="19"/>
        <w:spacing w:line="360" w:lineRule="exact"/>
        <w:rPr>
          <w:rFonts w:hAnsi="宋体" w:cs="Calibri"/>
          <w:b/>
          <w:bCs/>
          <w:sz w:val="22"/>
          <w:szCs w:val="22"/>
        </w:rPr>
      </w:pPr>
      <w:r>
        <w:rPr>
          <w:rFonts w:hAnsi="宋体" w:cs="Calibri"/>
          <w:b/>
          <w:bCs/>
          <w:sz w:val="22"/>
          <w:szCs w:val="22"/>
        </w:rPr>
        <w:t>二、评标组织</w:t>
      </w:r>
    </w:p>
    <w:p>
      <w:pPr>
        <w:pStyle w:val="1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5</w:t>
      </w:r>
      <w:r>
        <w:rPr>
          <w:rFonts w:hAnsi="宋体" w:cs="Calibri"/>
          <w:sz w:val="22"/>
          <w:szCs w:val="22"/>
        </w:rPr>
        <w:t>人及以上单数，</w:t>
      </w:r>
      <w:r>
        <w:rPr>
          <w:rFonts w:hint="eastAsia" w:hAnsi="宋体"/>
          <w:sz w:val="22"/>
          <w:szCs w:val="22"/>
        </w:rPr>
        <w:t>评标委员会由招标人自行组建。</w:t>
      </w:r>
    </w:p>
    <w:p>
      <w:pPr>
        <w:pStyle w:val="19"/>
        <w:spacing w:line="360" w:lineRule="exact"/>
        <w:rPr>
          <w:rFonts w:hAnsi="宋体" w:cs="Calibri"/>
          <w:b/>
          <w:bCs/>
          <w:sz w:val="22"/>
          <w:szCs w:val="22"/>
        </w:rPr>
      </w:pPr>
      <w:r>
        <w:rPr>
          <w:rFonts w:hAnsi="宋体" w:cs="Calibri"/>
          <w:b/>
          <w:bCs/>
          <w:sz w:val="22"/>
          <w:szCs w:val="22"/>
        </w:rPr>
        <w:t>三、投标文件的评审</w:t>
      </w:r>
    </w:p>
    <w:p>
      <w:pPr>
        <w:pStyle w:val="19"/>
        <w:spacing w:line="360" w:lineRule="exact"/>
        <w:ind w:firstLine="442" w:firstLineChars="200"/>
        <w:rPr>
          <w:rFonts w:hAnsi="宋体" w:cs="Calibri"/>
          <w:b/>
          <w:sz w:val="22"/>
          <w:szCs w:val="22"/>
        </w:rPr>
      </w:pPr>
      <w:r>
        <w:rPr>
          <w:rFonts w:hAnsi="宋体" w:cs="Calibri"/>
          <w:b/>
          <w:sz w:val="22"/>
          <w:szCs w:val="22"/>
        </w:rPr>
        <w:t>3.1 符合性评审</w:t>
      </w:r>
    </w:p>
    <w:p>
      <w:pPr>
        <w:pStyle w:val="19"/>
        <w:spacing w:line="360" w:lineRule="exact"/>
        <w:ind w:firstLine="444"/>
        <w:rPr>
          <w:rFonts w:hAnsi="宋体" w:cs="Calibri"/>
          <w:sz w:val="22"/>
          <w:szCs w:val="22"/>
        </w:rPr>
      </w:pPr>
      <w:r>
        <w:rPr>
          <w:rFonts w:hAnsi="宋体" w:cs="Calibri"/>
          <w:sz w:val="22"/>
          <w:szCs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w:t>
      </w:r>
      <w:r>
        <w:rPr>
          <w:rFonts w:hint="eastAsia" w:hAnsi="宋体" w:cs="Calibri"/>
          <w:sz w:val="22"/>
          <w:szCs w:val="22"/>
        </w:rPr>
        <w:t>否决投标</w:t>
      </w:r>
      <w:r>
        <w:rPr>
          <w:rFonts w:hAnsi="宋体" w:cs="Calibri"/>
          <w:sz w:val="22"/>
          <w:szCs w:val="22"/>
        </w:rPr>
        <w:t>处理，不再进行详细评审：</w:t>
      </w:r>
    </w:p>
    <w:p>
      <w:pPr>
        <w:pStyle w:val="19"/>
        <w:spacing w:line="360" w:lineRule="exact"/>
        <w:ind w:firstLine="471"/>
        <w:rPr>
          <w:rFonts w:hAnsi="宋体" w:cs="Calibri"/>
          <w:sz w:val="22"/>
          <w:szCs w:val="22"/>
        </w:rPr>
      </w:pPr>
      <w:r>
        <w:rPr>
          <w:rFonts w:hAnsi="宋体" w:cs="Calibri"/>
          <w:sz w:val="22"/>
          <w:szCs w:val="22"/>
        </w:rPr>
        <w:t>1、投标人的投标资格不满足国家有关规定或招标文件载明的投标资格条件的；</w:t>
      </w:r>
    </w:p>
    <w:p>
      <w:pPr>
        <w:pStyle w:val="19"/>
        <w:spacing w:line="360" w:lineRule="exact"/>
        <w:ind w:firstLine="471"/>
        <w:rPr>
          <w:rFonts w:hAnsi="宋体" w:cs="Calibri"/>
          <w:sz w:val="22"/>
          <w:szCs w:val="22"/>
        </w:rPr>
      </w:pPr>
      <w:r>
        <w:rPr>
          <w:rFonts w:hAnsi="宋体" w:cs="Calibri"/>
          <w:sz w:val="22"/>
          <w:szCs w:val="22"/>
        </w:rPr>
        <w:t>2、投标文件未按招标文件的要求签署和盖章的（仅限于单位印章和法定代表人或其委托代理人签字或盖章）；</w:t>
      </w:r>
    </w:p>
    <w:p>
      <w:pPr>
        <w:pStyle w:val="19"/>
        <w:spacing w:line="360" w:lineRule="exact"/>
        <w:ind w:firstLine="471"/>
        <w:rPr>
          <w:rFonts w:hAnsi="宋体" w:cs="Calibri"/>
          <w:sz w:val="22"/>
          <w:szCs w:val="22"/>
        </w:rPr>
      </w:pPr>
      <w:r>
        <w:rPr>
          <w:rFonts w:hAnsi="宋体" w:cs="Calibri"/>
          <w:sz w:val="22"/>
          <w:szCs w:val="22"/>
        </w:rPr>
        <w:t>3、投标文件未按规定的格式填写，内容不全或关键字迹模糊、无法辨认的；</w:t>
      </w:r>
    </w:p>
    <w:p>
      <w:pPr>
        <w:pStyle w:val="19"/>
        <w:spacing w:line="360" w:lineRule="exact"/>
        <w:ind w:firstLine="471"/>
        <w:rPr>
          <w:rFonts w:hAnsi="宋体" w:cs="Calibri"/>
          <w:sz w:val="22"/>
          <w:szCs w:val="22"/>
        </w:rPr>
      </w:pPr>
      <w:r>
        <w:rPr>
          <w:rFonts w:hAnsi="宋体" w:cs="Calibri"/>
          <w:sz w:val="22"/>
          <w:szCs w:val="22"/>
        </w:rPr>
        <w:t>4、投标人递交两份或多份内容不同的投标文件，或在一份投标文件中对同一招标项目报有两个或多个报价，且未声明哪一个有效；</w:t>
      </w:r>
    </w:p>
    <w:p>
      <w:pPr>
        <w:pStyle w:val="19"/>
        <w:spacing w:line="360" w:lineRule="exact"/>
        <w:ind w:firstLine="471"/>
        <w:rPr>
          <w:rFonts w:hAnsi="宋体" w:cs="Calibri"/>
          <w:sz w:val="22"/>
          <w:szCs w:val="22"/>
        </w:rPr>
      </w:pPr>
      <w:r>
        <w:rPr>
          <w:rFonts w:hAnsi="宋体" w:cs="Calibri"/>
          <w:sz w:val="22"/>
          <w:szCs w:val="22"/>
        </w:rPr>
        <w:t>5、</w:t>
      </w:r>
      <w:r>
        <w:rPr>
          <w:rFonts w:hint="eastAsia" w:hAnsi="宋体" w:cs="Calibri"/>
          <w:sz w:val="22"/>
          <w:szCs w:val="22"/>
        </w:rPr>
        <w:t>服务</w:t>
      </w:r>
      <w:r>
        <w:rPr>
          <w:rFonts w:hAnsi="宋体" w:cs="Calibri"/>
          <w:sz w:val="22"/>
          <w:szCs w:val="22"/>
        </w:rPr>
        <w:t>期不满足招标文件要求的；</w:t>
      </w:r>
    </w:p>
    <w:p>
      <w:pPr>
        <w:pStyle w:val="19"/>
        <w:spacing w:line="360" w:lineRule="exact"/>
        <w:ind w:firstLine="471"/>
        <w:rPr>
          <w:rFonts w:hAnsi="宋体" w:cs="Calibri"/>
          <w:sz w:val="22"/>
          <w:szCs w:val="22"/>
        </w:rPr>
      </w:pPr>
      <w:r>
        <w:rPr>
          <w:rFonts w:hAnsi="宋体" w:cs="Calibri"/>
          <w:sz w:val="22"/>
          <w:szCs w:val="22"/>
        </w:rPr>
        <w:t>6、不响应招标文件规定的实质性要求（包括具体条文前用“★”标示的）</w:t>
      </w:r>
    </w:p>
    <w:p>
      <w:pPr>
        <w:pStyle w:val="19"/>
        <w:spacing w:line="360" w:lineRule="exact"/>
        <w:ind w:firstLine="471"/>
        <w:rPr>
          <w:rFonts w:hAnsi="宋体" w:cs="Calibri"/>
          <w:sz w:val="22"/>
          <w:szCs w:val="22"/>
        </w:rPr>
      </w:pPr>
      <w:r>
        <w:rPr>
          <w:rFonts w:hAnsi="宋体" w:cs="Calibri"/>
          <w:sz w:val="22"/>
          <w:szCs w:val="22"/>
        </w:rPr>
        <w:t>7、投标人不以自己的名义或未按招标文件的要求提供投标保证金或提供的保证金有缺陷而不能接受的；</w:t>
      </w:r>
    </w:p>
    <w:p>
      <w:pPr>
        <w:pStyle w:val="19"/>
        <w:spacing w:line="360" w:lineRule="exact"/>
        <w:ind w:firstLine="471"/>
        <w:rPr>
          <w:rFonts w:hAnsi="宋体" w:cs="Calibri"/>
          <w:sz w:val="22"/>
          <w:szCs w:val="22"/>
        </w:rPr>
      </w:pPr>
      <w:r>
        <w:rPr>
          <w:rFonts w:hAnsi="宋体" w:cs="Calibri"/>
          <w:sz w:val="22"/>
          <w:szCs w:val="22"/>
        </w:rPr>
        <w:t>8、投标人以他人名义投标、或与他人串通投标、或以行贿手段谋取中标，或弄虚作假的；</w:t>
      </w:r>
    </w:p>
    <w:p>
      <w:pPr>
        <w:pStyle w:val="19"/>
        <w:spacing w:line="360" w:lineRule="exact"/>
        <w:ind w:firstLine="471"/>
        <w:rPr>
          <w:rFonts w:hAnsi="宋体" w:cs="Calibri"/>
          <w:sz w:val="22"/>
          <w:szCs w:val="22"/>
        </w:rPr>
      </w:pPr>
      <w:r>
        <w:rPr>
          <w:rFonts w:hAnsi="宋体" w:cs="Calibri"/>
          <w:sz w:val="22"/>
          <w:szCs w:val="22"/>
        </w:rPr>
        <w:t>9、存在法律、法规、规章规定的其它无效投标情况的</w:t>
      </w:r>
      <w:r>
        <w:rPr>
          <w:rFonts w:hint="eastAsia" w:hAnsi="宋体" w:cs="Calibri"/>
          <w:sz w:val="22"/>
          <w:szCs w:val="22"/>
        </w:rPr>
        <w:t>；</w:t>
      </w:r>
    </w:p>
    <w:p>
      <w:pPr>
        <w:pStyle w:val="19"/>
        <w:spacing w:line="360" w:lineRule="exact"/>
        <w:ind w:firstLine="471"/>
        <w:rPr>
          <w:rFonts w:hAnsi="宋体" w:cs="Calibri"/>
          <w:sz w:val="22"/>
          <w:szCs w:val="22"/>
        </w:rPr>
      </w:pPr>
      <w:r>
        <w:rPr>
          <w:rFonts w:hAnsi="宋体" w:cs="Calibri"/>
          <w:sz w:val="22"/>
          <w:szCs w:val="22"/>
        </w:rPr>
        <w:t>10</w:t>
      </w:r>
      <w:r>
        <w:rPr>
          <w:rFonts w:hint="eastAsia" w:hAnsi="宋体" w:cs="Calibri"/>
          <w:sz w:val="22"/>
          <w:szCs w:val="22"/>
        </w:rPr>
        <w:t>、投标总价明显低于市场平均</w:t>
      </w:r>
      <w:r>
        <w:rPr>
          <w:rFonts w:hAnsi="宋体" w:cs="Calibri"/>
          <w:sz w:val="22"/>
          <w:szCs w:val="22"/>
        </w:rPr>
        <w:t>价格的，</w:t>
      </w:r>
      <w:r>
        <w:rPr>
          <w:rFonts w:hint="eastAsia" w:hAnsi="宋体" w:cs="Calibri"/>
          <w:sz w:val="22"/>
          <w:szCs w:val="22"/>
        </w:rPr>
        <w:t>评标委员会</w:t>
      </w:r>
      <w:r>
        <w:rPr>
          <w:rFonts w:hAnsi="宋体" w:cs="Calibri"/>
          <w:sz w:val="22"/>
          <w:szCs w:val="22"/>
        </w:rPr>
        <w:t>有权进行询标</w:t>
      </w:r>
      <w:r>
        <w:rPr>
          <w:rFonts w:hint="eastAsia" w:hAnsi="宋体" w:cs="Calibri"/>
          <w:sz w:val="22"/>
          <w:szCs w:val="22"/>
        </w:rPr>
        <w:t>并要求投标人作出书面说明并提供相关证明材料</w:t>
      </w:r>
      <w:r>
        <w:rPr>
          <w:rFonts w:hAnsi="宋体" w:cs="Calibri"/>
          <w:sz w:val="22"/>
          <w:szCs w:val="22"/>
        </w:rPr>
        <w:t>，</w:t>
      </w:r>
      <w:r>
        <w:rPr>
          <w:rFonts w:hint="eastAsia" w:hAnsi="宋体" w:cs="Calibri"/>
          <w:sz w:val="22"/>
          <w:szCs w:val="22"/>
        </w:rPr>
        <w:t>若投标人在规定的时限内不参加询问核实活动或不予答复或不能合理说明或不能提供相关证明材料的；</w:t>
      </w:r>
    </w:p>
    <w:p>
      <w:pPr>
        <w:pStyle w:val="19"/>
        <w:spacing w:line="360" w:lineRule="exact"/>
        <w:ind w:firstLine="471"/>
        <w:rPr>
          <w:rFonts w:hAnsi="宋体" w:cs="Calibri"/>
          <w:sz w:val="22"/>
          <w:szCs w:val="22"/>
        </w:rPr>
      </w:pPr>
      <w:r>
        <w:rPr>
          <w:rFonts w:hint="eastAsia" w:hAnsi="宋体" w:cs="Calibri"/>
          <w:sz w:val="22"/>
          <w:szCs w:val="22"/>
        </w:rPr>
        <w:t>涉及本文件投标人资格条件第（</w:t>
      </w:r>
      <w:r>
        <w:rPr>
          <w:rFonts w:hAnsi="宋体" w:cs="Calibri"/>
          <w:sz w:val="22"/>
          <w:szCs w:val="22"/>
        </w:rPr>
        <w:t>2）至（4）款，若投标人采用承诺方式的，评标委员会有权通过信用中国网站www.creditchina.gov.cn、中国裁判</w:t>
      </w:r>
      <w:r>
        <w:rPr>
          <w:rFonts w:hint="eastAsia" w:hAnsi="宋体" w:cs="Calibri"/>
          <w:sz w:val="22"/>
          <w:szCs w:val="22"/>
        </w:rPr>
        <w:t>文书网</w:t>
      </w:r>
      <w:r>
        <w:rPr>
          <w:rFonts w:hAnsi="宋体" w:cs="Calibri"/>
          <w:sz w:val="22"/>
          <w:szCs w:val="22"/>
        </w:rPr>
        <w:t>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1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19"/>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19"/>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1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Ansi="宋体" w:cs="Calibri"/>
          <w:sz w:val="22"/>
          <w:szCs w:val="22"/>
        </w:rPr>
        <w:t>。</w:t>
      </w:r>
    </w:p>
    <w:p>
      <w:pPr>
        <w:pStyle w:val="1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1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1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1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1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0-40分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ascii="宋体" w:hAnsi="宋体" w:cs="Calibri"/>
          <w:kern w:val="0"/>
          <w:sz w:val="22"/>
        </w:rPr>
      </w:pPr>
      <w:r>
        <w:rPr>
          <w:rFonts w:hAnsi="宋体" w:cs="Calibri"/>
          <w:sz w:val="22"/>
        </w:rPr>
        <w:br w:type="page"/>
      </w:r>
    </w:p>
    <w:p>
      <w:pPr>
        <w:pStyle w:val="19"/>
        <w:adjustRightInd w:val="0"/>
        <w:snapToGrid w:val="0"/>
        <w:spacing w:line="360" w:lineRule="exact"/>
        <w:ind w:firstLine="440" w:firstLineChars="200"/>
        <w:rPr>
          <w:rFonts w:hAnsi="宋体" w:cs="Calibri"/>
          <w:sz w:val="22"/>
          <w:szCs w:val="22"/>
        </w:rPr>
      </w:pPr>
    </w:p>
    <w:tbl>
      <w:tblPr>
        <w:tblStyle w:val="46"/>
        <w:tblW w:w="8621" w:type="dxa"/>
        <w:tblInd w:w="-8" w:type="dxa"/>
        <w:tblLayout w:type="fixed"/>
        <w:tblCellMar>
          <w:top w:w="0" w:type="dxa"/>
          <w:left w:w="10" w:type="dxa"/>
          <w:bottom w:w="0" w:type="dxa"/>
          <w:right w:w="10" w:type="dxa"/>
        </w:tblCellMar>
      </w:tblPr>
      <w:tblGrid>
        <w:gridCol w:w="851"/>
        <w:gridCol w:w="1392"/>
        <w:gridCol w:w="5670"/>
        <w:gridCol w:w="708"/>
      </w:tblGrid>
      <w:tr>
        <w:tblPrEx>
          <w:tblLayout w:type="fixed"/>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asciiTheme="majorEastAsia" w:hAnsiTheme="majorEastAsia" w:eastAsiaTheme="majorEastAsia"/>
                <w:sz w:val="24"/>
                <w:szCs w:val="24"/>
              </w:rPr>
            </w:pPr>
            <w:r>
              <w:rPr>
                <w:rFonts w:hint="eastAsia" w:cs="宋体" w:asciiTheme="majorEastAsia" w:hAnsiTheme="majorEastAsia" w:eastAsiaTheme="majorEastAsia"/>
                <w:sz w:val="24"/>
                <w:szCs w:val="24"/>
              </w:rPr>
              <w:t>序号</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asciiTheme="majorEastAsia" w:hAnsiTheme="majorEastAsia" w:eastAsiaTheme="majorEastAsia"/>
                <w:sz w:val="24"/>
                <w:szCs w:val="24"/>
              </w:rPr>
            </w:pPr>
            <w:r>
              <w:rPr>
                <w:rFonts w:hint="eastAsia" w:cs="宋体" w:asciiTheme="majorEastAsia" w:hAnsiTheme="majorEastAsia" w:eastAsiaTheme="majorEastAsia"/>
                <w:sz w:val="24"/>
                <w:szCs w:val="24"/>
              </w:rPr>
              <w:t>评分内容</w:t>
            </w:r>
          </w:p>
        </w:tc>
        <w:tc>
          <w:tcPr>
            <w:tcW w:w="5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asciiTheme="majorEastAsia" w:hAnsiTheme="majorEastAsia" w:eastAsiaTheme="majorEastAsia"/>
                <w:sz w:val="24"/>
                <w:szCs w:val="24"/>
              </w:rPr>
            </w:pPr>
            <w:r>
              <w:rPr>
                <w:rFonts w:hint="eastAsia" w:cs="宋体" w:asciiTheme="majorEastAsia" w:hAnsiTheme="majorEastAsia" w:eastAsiaTheme="majorEastAsia"/>
                <w:sz w:val="24"/>
                <w:szCs w:val="24"/>
              </w:rPr>
              <w:t>评分标准说明</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Pr>
          <w:p>
            <w:r>
              <w:rPr>
                <w:rFonts w:hint="eastAsia"/>
              </w:rPr>
              <w:t>分值（分）</w:t>
            </w:r>
          </w:p>
        </w:tc>
      </w:tr>
      <w:tr>
        <w:tblPrEx>
          <w:tblLayout w:type="fixed"/>
          <w:tblCellMar>
            <w:top w:w="0" w:type="dxa"/>
            <w:left w:w="10" w:type="dxa"/>
            <w:bottom w:w="0" w:type="dxa"/>
            <w:right w:w="10" w:type="dxa"/>
          </w:tblCellMar>
        </w:tblPrEx>
        <w:trPr>
          <w:trHeight w:val="685" w:hRule="atLeast"/>
        </w:trPr>
        <w:tc>
          <w:tcPr>
            <w:tcW w:w="851" w:type="dxa"/>
            <w:tcBorders>
              <w:top w:val="single" w:color="000000" w:sz="4" w:space="0"/>
              <w:left w:val="single" w:color="000000" w:sz="4" w:space="0"/>
              <w:right w:val="single" w:color="000000" w:sz="4" w:space="0"/>
            </w:tcBorders>
            <w:shd w:val="clear" w:color="000000" w:fill="FFFFFF"/>
            <w:tcMar>
              <w:left w:w="108" w:type="dxa"/>
              <w:right w:w="108" w:type="dxa"/>
            </w:tcMar>
          </w:tcPr>
          <w:p>
            <w:pPr>
              <w:spacing w:line="320" w:lineRule="exact"/>
              <w:rPr>
                <w:rFonts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392"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tcPr>
          <w:p>
            <w:pPr>
              <w:spacing w:line="320" w:lineRule="exact"/>
              <w:rPr>
                <w:rFonts w:asciiTheme="majorEastAsia" w:hAnsiTheme="majorEastAsia" w:eastAsiaTheme="majorEastAsia"/>
                <w:sz w:val="24"/>
                <w:szCs w:val="24"/>
              </w:rPr>
            </w:pPr>
            <w:r>
              <w:rPr>
                <w:rFonts w:hint="eastAsia" w:cs="宋体" w:asciiTheme="majorEastAsia" w:hAnsiTheme="majorEastAsia" w:eastAsiaTheme="majorEastAsia"/>
                <w:sz w:val="24"/>
                <w:szCs w:val="24"/>
              </w:rPr>
              <w:t>企业实力</w:t>
            </w:r>
          </w:p>
        </w:tc>
        <w:tc>
          <w:tcPr>
            <w:tcW w:w="5670"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tcPr>
          <w:p>
            <w:pPr>
              <w:spacing w:line="320" w:lineRule="exact"/>
              <w:rPr>
                <w:rFonts w:asciiTheme="majorEastAsia" w:hAnsiTheme="majorEastAsia" w:eastAsiaTheme="majorEastAsia"/>
                <w:sz w:val="24"/>
                <w:szCs w:val="24"/>
              </w:rPr>
            </w:pPr>
            <w:r>
              <w:rPr>
                <w:rFonts w:hint="eastAsia" w:cs="宋体" w:asciiTheme="majorEastAsia" w:hAnsiTheme="majorEastAsia" w:eastAsiaTheme="majorEastAsia"/>
                <w:sz w:val="24"/>
                <w:szCs w:val="24"/>
              </w:rPr>
              <w:t>通过</w:t>
            </w:r>
            <w:r>
              <w:rPr>
                <w:rFonts w:cs="仿宋_GB2312" w:asciiTheme="majorEastAsia" w:hAnsiTheme="majorEastAsia" w:eastAsiaTheme="majorEastAsia"/>
                <w:sz w:val="24"/>
                <w:szCs w:val="24"/>
              </w:rPr>
              <w:t>ISO9001</w:t>
            </w:r>
            <w:r>
              <w:rPr>
                <w:rFonts w:hint="eastAsia" w:cs="宋体" w:asciiTheme="majorEastAsia" w:hAnsiTheme="majorEastAsia" w:eastAsiaTheme="majorEastAsia"/>
                <w:sz w:val="24"/>
                <w:szCs w:val="24"/>
              </w:rPr>
              <w:t>、</w:t>
            </w:r>
            <w:r>
              <w:rPr>
                <w:rFonts w:cs="仿宋_GB2312" w:asciiTheme="majorEastAsia" w:hAnsiTheme="majorEastAsia" w:eastAsiaTheme="majorEastAsia"/>
                <w:sz w:val="24"/>
                <w:szCs w:val="24"/>
              </w:rPr>
              <w:t>ISO</w:t>
            </w:r>
            <w:r>
              <w:rPr>
                <w:rFonts w:hint="eastAsia" w:cs="仿宋_GB2312" w:asciiTheme="majorEastAsia" w:hAnsiTheme="majorEastAsia" w:eastAsiaTheme="majorEastAsia"/>
                <w:sz w:val="24"/>
                <w:szCs w:val="24"/>
              </w:rPr>
              <w:t>14001、</w:t>
            </w:r>
            <w:r>
              <w:rPr>
                <w:rFonts w:cs="仿宋_GB2312" w:asciiTheme="majorEastAsia" w:hAnsiTheme="majorEastAsia" w:eastAsiaTheme="majorEastAsia"/>
                <w:sz w:val="24"/>
                <w:szCs w:val="24"/>
              </w:rPr>
              <w:t>ISO</w:t>
            </w:r>
            <w:r>
              <w:rPr>
                <w:rFonts w:hint="eastAsia" w:cs="仿宋_GB2312" w:asciiTheme="majorEastAsia" w:hAnsiTheme="majorEastAsia" w:eastAsiaTheme="majorEastAsia"/>
                <w:sz w:val="24"/>
                <w:szCs w:val="24"/>
              </w:rPr>
              <w:t>24001</w:t>
            </w:r>
            <w:r>
              <w:rPr>
                <w:rFonts w:hint="eastAsia" w:ascii="宋体"/>
                <w:sz w:val="24"/>
                <w:szCs w:val="24"/>
              </w:rPr>
              <w:t>体系认证。</w:t>
            </w:r>
            <w:r>
              <w:rPr>
                <w:rFonts w:hint="eastAsia" w:cs="宋体" w:asciiTheme="majorEastAsia" w:hAnsiTheme="majorEastAsia" w:eastAsiaTheme="majorEastAsia"/>
                <w:sz w:val="24"/>
                <w:szCs w:val="24"/>
              </w:rPr>
              <w:t>根据投标人提供的</w:t>
            </w:r>
            <w:r>
              <w:rPr>
                <w:rFonts w:hint="eastAsia" w:ascii="宋体" w:hAnsi="宋体" w:cs="Arial"/>
                <w:kern w:val="0"/>
                <w:sz w:val="22"/>
              </w:rPr>
              <w:t>近</w:t>
            </w:r>
            <w:r>
              <w:rPr>
                <w:rFonts w:ascii="宋体" w:hAnsi="宋体" w:cs="Arial"/>
                <w:kern w:val="0"/>
                <w:sz w:val="22"/>
              </w:rPr>
              <w:t>年（</w:t>
            </w:r>
            <w:r>
              <w:rPr>
                <w:rFonts w:hint="eastAsia" w:ascii="宋体" w:hAnsi="宋体" w:cs="Arial"/>
                <w:kern w:val="0"/>
                <w:sz w:val="22"/>
              </w:rPr>
              <w:t>自2016年1月1日至投标截止日</w:t>
            </w:r>
            <w:r>
              <w:rPr>
                <w:rFonts w:ascii="宋体" w:hAnsi="宋体" w:cs="Arial"/>
                <w:kern w:val="0"/>
                <w:sz w:val="22"/>
              </w:rPr>
              <w:t>）</w:t>
            </w:r>
            <w:r>
              <w:rPr>
                <w:rFonts w:hint="eastAsia" w:cs="宋体" w:asciiTheme="majorEastAsia" w:hAnsiTheme="majorEastAsia" w:eastAsiaTheme="majorEastAsia"/>
                <w:sz w:val="24"/>
                <w:szCs w:val="24"/>
              </w:rPr>
              <w:t>财务审计报告，</w:t>
            </w:r>
            <w:r>
              <w:rPr>
                <w:rFonts w:hint="eastAsia" w:ascii="宋体"/>
                <w:sz w:val="24"/>
                <w:szCs w:val="24"/>
              </w:rPr>
              <w:t>根据经营状况进</w:t>
            </w:r>
            <w:r>
              <w:rPr>
                <w:rFonts w:ascii="宋体"/>
                <w:sz w:val="24"/>
                <w:szCs w:val="24"/>
              </w:rPr>
              <w:t>行评审</w:t>
            </w:r>
            <w:r>
              <w:rPr>
                <w:rFonts w:hint="eastAsia" w:ascii="宋体"/>
                <w:sz w:val="24"/>
                <w:szCs w:val="24"/>
              </w:rPr>
              <w:t>。（须提供审计报告及财务报表）。</w:t>
            </w:r>
          </w:p>
        </w:tc>
        <w:tc>
          <w:tcPr>
            <w:tcW w:w="708" w:type="dxa"/>
            <w:tcBorders>
              <w:top w:val="single" w:color="000000" w:sz="4" w:space="0"/>
              <w:left w:val="single" w:color="000000" w:sz="4" w:space="0"/>
              <w:bottom w:val="single" w:color="auto" w:sz="4" w:space="0"/>
              <w:right w:val="single" w:color="000000" w:sz="4" w:space="0"/>
            </w:tcBorders>
            <w:shd w:val="clear" w:color="000000" w:fill="FFFFFF"/>
          </w:tcPr>
          <w:p>
            <w:r>
              <w:rPr>
                <w:rFonts w:hint="eastAsia"/>
              </w:rPr>
              <w:t>0-3</w:t>
            </w:r>
          </w:p>
        </w:tc>
      </w:tr>
      <w:tr>
        <w:tblPrEx>
          <w:tblLayout w:type="fixed"/>
          <w:tblCellMar>
            <w:top w:w="0" w:type="dxa"/>
            <w:left w:w="10" w:type="dxa"/>
            <w:bottom w:w="0" w:type="dxa"/>
            <w:right w:w="10" w:type="dxa"/>
          </w:tblCellMar>
        </w:tblPrEx>
        <w:trPr>
          <w:trHeight w:val="98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公司业绩</w:t>
            </w:r>
          </w:p>
        </w:tc>
        <w:tc>
          <w:tcPr>
            <w:tcW w:w="5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投标人的企业规模、相关业绩情况，横向对比后评分。需提供近年（自</w:t>
            </w:r>
            <w:r>
              <w:rPr>
                <w:rFonts w:cs="宋体" w:asciiTheme="majorEastAsia" w:hAnsiTheme="majorEastAsia" w:eastAsiaTheme="majorEastAsia"/>
                <w:sz w:val="24"/>
                <w:szCs w:val="24"/>
              </w:rPr>
              <w:t>2016年1月1日至投标截止日）</w:t>
            </w:r>
            <w:r>
              <w:rPr>
                <w:rFonts w:hint="eastAsia" w:cs="宋体" w:asciiTheme="majorEastAsia" w:hAnsiTheme="majorEastAsia" w:eastAsiaTheme="majorEastAsia"/>
                <w:sz w:val="24"/>
                <w:szCs w:val="24"/>
              </w:rPr>
              <w:t>业绩的中标通知书或者合同复印件并加盖公章作为证明材料，原件备查。</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Pr>
          <w:p>
            <w:r>
              <w:rPr>
                <w:rFonts w:hint="eastAsia"/>
              </w:rPr>
              <w:t>0-5</w:t>
            </w:r>
          </w:p>
        </w:tc>
      </w:tr>
      <w:tr>
        <w:tblPrEx>
          <w:tblLayout w:type="fixed"/>
          <w:tblCellMar>
            <w:top w:w="0" w:type="dxa"/>
            <w:left w:w="10" w:type="dxa"/>
            <w:bottom w:w="0" w:type="dxa"/>
            <w:right w:w="10" w:type="dxa"/>
          </w:tblCellMar>
        </w:tblPrEx>
        <w:trPr>
          <w:trHeight w:val="1240"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3</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管理思路</w:t>
            </w:r>
          </w:p>
        </w:tc>
        <w:tc>
          <w:tcPr>
            <w:tcW w:w="5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投标人对本项目的理解；</w:t>
            </w:r>
          </w:p>
          <w:p>
            <w:pPr>
              <w:widowControl/>
              <w:adjustRightInd w:val="0"/>
              <w:snapToGrid w:val="0"/>
              <w:spacing w:line="320" w:lineRule="exact"/>
              <w:rPr>
                <w:rFonts w:cs="宋体" w:asciiTheme="majorEastAsia" w:hAnsiTheme="majorEastAsia" w:eastAsiaTheme="majorEastAsia"/>
                <w:sz w:val="24"/>
                <w:szCs w:val="24"/>
              </w:rPr>
            </w:pPr>
            <w:r>
              <w:rPr>
                <w:rFonts w:cs="宋体" w:asciiTheme="majorEastAsia" w:hAnsiTheme="majorEastAsia" w:eastAsiaTheme="majorEastAsia"/>
                <w:sz w:val="24"/>
                <w:szCs w:val="24"/>
              </w:rPr>
              <w:t>对本项目的实施意见及重点</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难点控制</w:t>
            </w:r>
            <w:r>
              <w:rPr>
                <w:rFonts w:hint="eastAsia" w:cs="宋体" w:asciiTheme="majorEastAsia" w:hAnsiTheme="majorEastAsia" w:eastAsiaTheme="majorEastAsia"/>
                <w:sz w:val="24"/>
                <w:szCs w:val="24"/>
              </w:rPr>
              <w:t>；</w:t>
            </w:r>
          </w:p>
          <w:p>
            <w:pPr>
              <w:widowControl/>
              <w:adjustRightInd w:val="0"/>
              <w:snapToGrid w:val="0"/>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项目管理思路和模式的完善性、合理性、先进性进行评分。</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Pr>
          <w:p>
            <w:r>
              <w:rPr>
                <w:rFonts w:hint="eastAsia"/>
              </w:rPr>
              <w:t>0-6</w:t>
            </w:r>
          </w:p>
        </w:tc>
      </w:tr>
      <w:tr>
        <w:tblPrEx>
          <w:tblLayout w:type="fixed"/>
          <w:tblCellMar>
            <w:top w:w="0" w:type="dxa"/>
            <w:left w:w="10" w:type="dxa"/>
            <w:bottom w:w="0" w:type="dxa"/>
            <w:right w:w="10" w:type="dxa"/>
          </w:tblCellMar>
        </w:tblPrEx>
        <w:trPr>
          <w:trHeight w:val="1240"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4</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管理水平</w:t>
            </w:r>
          </w:p>
        </w:tc>
        <w:tc>
          <w:tcPr>
            <w:tcW w:w="5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现场机构、人力、设备配置情况：</w:t>
            </w:r>
          </w:p>
          <w:p>
            <w:pPr>
              <w:spacing w:line="320" w:lineRule="exact"/>
              <w:jc w:val="lef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根据投标人设备配置的满足性、合理性、实用性、先进性等进行打分。</w:t>
            </w:r>
          </w:p>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根据投标人管理人员配备进行打分。</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Pr>
          <w:p>
            <w:r>
              <w:rPr>
                <w:rFonts w:hint="eastAsia"/>
              </w:rPr>
              <w:t>0-6</w:t>
            </w:r>
          </w:p>
        </w:tc>
      </w:tr>
      <w:tr>
        <w:tblPrEx>
          <w:tblLayout w:type="fixed"/>
          <w:tblCellMar>
            <w:top w:w="0" w:type="dxa"/>
            <w:left w:w="10" w:type="dxa"/>
            <w:bottom w:w="0" w:type="dxa"/>
            <w:right w:w="10" w:type="dxa"/>
          </w:tblCellMar>
        </w:tblPrEx>
        <w:trPr>
          <w:trHeight w:val="1240"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5</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运营方案</w:t>
            </w:r>
          </w:p>
        </w:tc>
        <w:tc>
          <w:tcPr>
            <w:tcW w:w="5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spacing w:line="34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综合考评运营服务方案（包括人员招聘及培训、组织架构及人员配置、员工分班工作安排、服务标准、劳动纪律、礼仪形象、优秀员工评定标准等）；</w:t>
            </w:r>
          </w:p>
          <w:p>
            <w:pPr>
              <w:widowControl/>
              <w:adjustRightInd w:val="0"/>
              <w:snapToGrid w:val="0"/>
              <w:spacing w:line="34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应急方案（如大面积航延旅客疏散、重大活动期间、法定节假日等客流高峰期出现物业保障等、突发事件处理）；</w:t>
            </w:r>
            <w:r>
              <w:rPr>
                <w:rFonts w:cs="宋体" w:asciiTheme="majorEastAsia" w:hAnsiTheme="majorEastAsia" w:eastAsiaTheme="majorEastAsia"/>
                <w:sz w:val="24"/>
                <w:szCs w:val="24"/>
              </w:rPr>
              <w:t xml:space="preserve"> </w:t>
            </w:r>
          </w:p>
          <w:p>
            <w:pPr>
              <w:widowControl/>
              <w:adjustRightInd w:val="0"/>
              <w:snapToGrid w:val="0"/>
              <w:spacing w:line="34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投标企业管理制度，包括管理考核制度和质量保证措施。</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Pr>
          <w:p>
            <w:r>
              <w:rPr>
                <w:rFonts w:hint="eastAsia"/>
              </w:rPr>
              <w:t>0-</w:t>
            </w:r>
            <w:r>
              <w:t>10</w:t>
            </w:r>
          </w:p>
        </w:tc>
      </w:tr>
      <w:tr>
        <w:tblPrEx>
          <w:tblLayout w:type="fixed"/>
          <w:tblCellMar>
            <w:top w:w="0" w:type="dxa"/>
            <w:left w:w="10" w:type="dxa"/>
            <w:bottom w:w="0" w:type="dxa"/>
            <w:right w:w="10" w:type="dxa"/>
          </w:tblCellMar>
        </w:tblPrEx>
        <w:trPr>
          <w:trHeight w:val="305"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6</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队伍稳定</w:t>
            </w:r>
          </w:p>
        </w:tc>
        <w:tc>
          <w:tcPr>
            <w:tcW w:w="5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spacing w:line="34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保持员工队伍稳定性承诺及有关措施的有效性情况进行打分。</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Pr>
          <w:p>
            <w:r>
              <w:rPr>
                <w:rFonts w:hint="eastAsia"/>
              </w:rPr>
              <w:t>0-2</w:t>
            </w:r>
          </w:p>
        </w:tc>
      </w:tr>
      <w:tr>
        <w:tblPrEx>
          <w:tblLayout w:type="fixed"/>
          <w:tblCellMar>
            <w:top w:w="0" w:type="dxa"/>
            <w:left w:w="10" w:type="dxa"/>
            <w:bottom w:w="0" w:type="dxa"/>
            <w:right w:w="10" w:type="dxa"/>
          </w:tblCellMar>
        </w:tblPrEx>
        <w:trPr>
          <w:trHeight w:val="537"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7</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优惠承诺</w:t>
            </w:r>
          </w:p>
        </w:tc>
        <w:tc>
          <w:tcPr>
            <w:tcW w:w="5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提出优惠承诺的可行性与实用性，横向对比后评分。</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Pr>
          <w:p>
            <w:r>
              <w:rPr>
                <w:rFonts w:hint="eastAsia"/>
              </w:rPr>
              <w:t>0-4</w:t>
            </w:r>
          </w:p>
        </w:tc>
      </w:tr>
      <w:tr>
        <w:tblPrEx>
          <w:tblLayout w:type="fixed"/>
          <w:tblCellMar>
            <w:top w:w="0" w:type="dxa"/>
            <w:left w:w="10" w:type="dxa"/>
            <w:bottom w:w="0" w:type="dxa"/>
            <w:right w:w="10" w:type="dxa"/>
          </w:tblCellMar>
        </w:tblPrEx>
        <w:trPr>
          <w:trHeight w:val="589"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8</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工作交接</w:t>
            </w:r>
          </w:p>
        </w:tc>
        <w:tc>
          <w:tcPr>
            <w:tcW w:w="5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napToGrid w:val="0"/>
              <w:spacing w:line="360" w:lineRule="exact"/>
              <w:rPr>
                <w:rFonts w:cs="宋体" w:asciiTheme="majorEastAsia" w:hAnsiTheme="majorEastAsia" w:eastAsiaTheme="majorEastAsia"/>
                <w:sz w:val="24"/>
                <w:szCs w:val="24"/>
              </w:rPr>
            </w:pPr>
            <w:r>
              <w:rPr>
                <w:rFonts w:cs="宋体" w:asciiTheme="majorEastAsia" w:hAnsiTheme="majorEastAsia" w:eastAsiaTheme="majorEastAsia"/>
                <w:sz w:val="24"/>
                <w:szCs w:val="24"/>
              </w:rPr>
              <w:t>服务人员的作业安排和进场计划</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Pr>
          <w:p>
            <w:r>
              <w:rPr>
                <w:rFonts w:hint="eastAsia"/>
              </w:rPr>
              <w:t>0-4</w:t>
            </w:r>
          </w:p>
        </w:tc>
      </w:tr>
    </w:tbl>
    <w:p>
      <w:pPr>
        <w:pStyle w:val="19"/>
        <w:spacing w:line="360" w:lineRule="exact"/>
        <w:rPr>
          <w:rFonts w:hAnsi="宋体" w:cs="Calibri"/>
          <w:b/>
          <w:sz w:val="22"/>
          <w:szCs w:val="22"/>
        </w:rPr>
      </w:pPr>
    </w:p>
    <w:p>
      <w:pPr>
        <w:pStyle w:val="19"/>
        <w:spacing w:line="360" w:lineRule="exact"/>
        <w:rPr>
          <w:rFonts w:hAnsi="宋体" w:cs="Calibri"/>
          <w:b/>
          <w:sz w:val="22"/>
          <w:szCs w:val="22"/>
        </w:rPr>
      </w:pPr>
      <w:r>
        <w:rPr>
          <w:rFonts w:hAnsi="宋体" w:cs="Calibri"/>
          <w:b/>
          <w:sz w:val="22"/>
          <w:szCs w:val="22"/>
        </w:rPr>
        <w:t>3.4推荐中标候选人</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numPr>
          <w:ilvl w:val="255"/>
          <w:numId w:val="0"/>
        </w:numPr>
        <w:snapToGrid w:val="0"/>
        <w:spacing w:line="360" w:lineRule="auto"/>
        <w:ind w:firstLine="560"/>
        <w:rPr>
          <w:rFonts w:ascii="宋体" w:hAnsi="宋体" w:cs="Calibri"/>
          <w:kern w:val="0"/>
          <w:sz w:val="22"/>
        </w:rPr>
      </w:pPr>
      <w:r>
        <w:rPr>
          <w:rFonts w:hint="eastAsia" w:ascii="宋体" w:hAnsi="宋体" w:cs="Calibri"/>
          <w:kern w:val="0"/>
          <w:sz w:val="22"/>
        </w:rPr>
        <w:t>特别说明：</w:t>
      </w:r>
    </w:p>
    <w:p>
      <w:pPr>
        <w:numPr>
          <w:ilvl w:val="255"/>
          <w:numId w:val="0"/>
        </w:numPr>
        <w:snapToGrid w:val="0"/>
        <w:spacing w:line="360" w:lineRule="auto"/>
        <w:ind w:firstLine="560"/>
        <w:rPr>
          <w:rFonts w:ascii="宋体" w:hAnsi="宋体" w:cs="Calibri"/>
          <w:kern w:val="0"/>
          <w:sz w:val="22"/>
        </w:rPr>
      </w:pPr>
      <w:r>
        <w:rPr>
          <w:rFonts w:ascii="宋体" w:hAnsi="宋体" w:cs="Calibri"/>
          <w:kern w:val="0"/>
          <w:sz w:val="22"/>
        </w:rPr>
        <w:t>① 投标人可同时参与航站楼公共区域保洁服务项目的3个标段和航站楼旅客行李手推车管理维护服务项目的投标。</w:t>
      </w:r>
    </w:p>
    <w:p>
      <w:pPr>
        <w:numPr>
          <w:ilvl w:val="255"/>
          <w:numId w:val="0"/>
        </w:numPr>
        <w:snapToGrid w:val="0"/>
        <w:spacing w:line="360" w:lineRule="auto"/>
        <w:ind w:firstLine="560"/>
        <w:rPr>
          <w:rFonts w:ascii="宋体" w:hAnsi="宋体" w:cs="Calibri"/>
          <w:kern w:val="0"/>
          <w:sz w:val="22"/>
        </w:rPr>
      </w:pPr>
      <w:r>
        <w:rPr>
          <w:rFonts w:ascii="宋体" w:hAnsi="宋体" w:cs="Calibri"/>
          <w:kern w:val="0"/>
          <w:sz w:val="22"/>
        </w:rPr>
        <w:t>② 同一投标人在航站楼公共区域保洁服务项目航站楼卫生间保洁服务标段、国内航站楼保洁服务标段、国际航站楼保洁服务标段和航站楼旅客行李手推车管理维护服务项目标段中只能中标1个标段。</w:t>
      </w:r>
    </w:p>
    <w:p>
      <w:pPr>
        <w:pStyle w:val="19"/>
        <w:adjustRightInd w:val="0"/>
        <w:snapToGrid w:val="0"/>
        <w:spacing w:line="360" w:lineRule="auto"/>
        <w:ind w:firstLine="440" w:firstLineChars="200"/>
        <w:rPr>
          <w:rFonts w:hAnsi="宋体" w:cs="Calibri"/>
          <w:sz w:val="22"/>
          <w:szCs w:val="22"/>
        </w:rPr>
      </w:pPr>
      <w:r>
        <w:rPr>
          <w:rFonts w:hAnsi="宋体" w:cs="Calibri"/>
          <w:sz w:val="22"/>
          <w:szCs w:val="22"/>
        </w:rPr>
        <w:t xml:space="preserve"> ③ </w:t>
      </w:r>
      <w:r>
        <w:rPr>
          <w:rFonts w:hint="eastAsia" w:hAnsi="宋体" w:cs="Calibri"/>
          <w:sz w:val="22"/>
          <w:szCs w:val="22"/>
        </w:rPr>
        <w:t>本次评标按航站楼卫生间保洁服务标段、国内航站楼保洁服务标段、航站楼旅客行李手推车管理维护服务标段、国际航站楼保洁服务标段的顺序进行评审，投标人已在前述标段被推荐为第一中标候选人的，继续参与后续标段评审，但不再被推荐为中标候选人。</w:t>
      </w:r>
    </w:p>
    <w:p>
      <w:pPr>
        <w:pStyle w:val="1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7"/>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8"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8"/>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一、</w:t>
      </w:r>
      <w:r>
        <w:rPr>
          <w:rFonts w:cs="Calibri" w:asciiTheme="minorEastAsia" w:hAnsiTheme="minorEastAsia"/>
          <w:color w:val="000000"/>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投标报价表；</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w:t>
      </w:r>
      <w:r>
        <w:rPr>
          <w:rFonts w:cs="Calibri" w:asciiTheme="minorEastAsia" w:hAnsi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ascii="宋体" w:hAnsi="宋体" w:cs="Calibri"/>
          <w:sz w:val="22"/>
        </w:rPr>
        <w:t>税务登记证、</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w:t>
      </w:r>
      <w:r>
        <w:rPr>
          <w:rFonts w:ascii="Microsoft YaHei,Segoe UI Emoji" w:hAnsi="Microsoft YaHei,Segoe UI Emoji"/>
          <w:color w:val="000000"/>
          <w:szCs w:val="21"/>
        </w:rPr>
        <w:t>信用中国网站www.creditchina.gov.cn 、中国裁判文书网http://wenshu.court.gov.cn查询结果以及主管税务部门出具的一般纳税人资格认定《税务事项通知书》或《增值税一般纳税人登记表》或投标人电子税务局一般纳税人资格查询网页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3</w:t>
      </w:r>
      <w:r>
        <w:rPr>
          <w:rFonts w:cs="Calibri" w:asciiTheme="minorEastAsia" w:hAnsiTheme="minorEastAsia"/>
          <w:color w:val="000000"/>
          <w:sz w:val="22"/>
        </w:rPr>
        <w:t>）有关证明投标人的企业信誉及获得各种奖励等资料；</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4</w:t>
      </w:r>
      <w:r>
        <w:rPr>
          <w:rFonts w:cs="Calibri" w:asciiTheme="minorEastAsia" w:hAnsiTheme="minorEastAsia"/>
          <w:color w:val="000000"/>
          <w:sz w:val="22"/>
        </w:rPr>
        <w:t>）投标人经济实力：包括企业注册资金、财务报告与报表中反映的财务状况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w:t>
      </w:r>
      <w:r>
        <w:rPr>
          <w:rFonts w:hint="eastAsia" w:ascii="宋体" w:hAnsi="宋体" w:cs="Arial"/>
          <w:kern w:val="0"/>
          <w:sz w:val="22"/>
        </w:rPr>
        <w:t>近</w:t>
      </w:r>
      <w:r>
        <w:rPr>
          <w:rFonts w:ascii="宋体" w:hAnsi="宋体" w:cs="Arial"/>
          <w:kern w:val="0"/>
          <w:sz w:val="22"/>
        </w:rPr>
        <w:t>年（</w:t>
      </w:r>
      <w:r>
        <w:rPr>
          <w:rFonts w:hint="eastAsia" w:ascii="宋体" w:hAnsi="宋体" w:cs="Arial"/>
          <w:kern w:val="0"/>
          <w:sz w:val="22"/>
        </w:rPr>
        <w:t>自2016年1月1日至投标截止日</w:t>
      </w:r>
      <w:r>
        <w:rPr>
          <w:rFonts w:ascii="宋体" w:hAnsi="宋体" w:cs="Arial"/>
          <w:kern w:val="0"/>
          <w:sz w:val="22"/>
        </w:rPr>
        <w:t>）</w:t>
      </w:r>
      <w:r>
        <w:rPr>
          <w:rFonts w:cs="Calibri" w:asciiTheme="minorEastAsia" w:hAnsiTheme="minorEastAsia"/>
          <w:color w:val="000000"/>
          <w:sz w:val="22"/>
        </w:rPr>
        <w:t>完成类似项目业绩情况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（6）招标文件投标人资格要求中提供的相关材料。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）投入到本项目的项目经理、其他人员的情况汇总表及业绩、经历、能力介绍、资格证明材料及人员到位率的承诺；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七、服务承诺；</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八、</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9" w:name="_Toc171421958"/>
      <w:r>
        <w:rPr>
          <w:rFonts w:cs="Calibri"/>
          <w:color w:val="000000"/>
        </w:rPr>
        <w:t>封面</w:t>
      </w:r>
      <w:bookmarkEnd w:id="11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outlineLvl w:val="0"/>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napToGrid w:val="0"/>
        <w:spacing w:line="360" w:lineRule="auto"/>
        <w:rPr>
          <w:rFonts w:ascii="宋体" w:hAnsi="宋体"/>
          <w:sz w:val="24"/>
          <w:szCs w:val="24"/>
        </w:rPr>
      </w:pPr>
    </w:p>
    <w:p>
      <w:pPr>
        <w:snapToGrid w:val="0"/>
        <w:spacing w:line="360" w:lineRule="auto"/>
        <w:rPr>
          <w:rFonts w:cs="Calibri" w:asciiTheme="minorEastAsia" w:hAnsi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1、根据已收到的</w:t>
      </w:r>
      <w:r>
        <w:rPr>
          <w:rFonts w:hint="eastAsia" w:cs="Calibri" w:asciiTheme="minorEastAsia" w:hAnsiTheme="minorEastAsia"/>
          <w:sz w:val="24"/>
          <w:u w:val="single"/>
        </w:rPr>
        <w:t xml:space="preserve">                           </w:t>
      </w:r>
      <w:r>
        <w:rPr>
          <w:rFonts w:hint="eastAsia" w:cs="Calibri" w:asciiTheme="minorEastAsia" w:hAnsi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sz w:val="24"/>
          <w:u w:val="single"/>
        </w:rPr>
        <w:t xml:space="preserve">               </w:t>
      </w:r>
      <w:r>
        <w:rPr>
          <w:rFonts w:hint="eastAsia" w:cs="Calibri" w:asciiTheme="minorEastAsia" w:hAnsiTheme="minorEastAsia"/>
          <w:sz w:val="24"/>
        </w:rPr>
        <w:t>元（RMB</w:t>
      </w:r>
      <w:r>
        <w:rPr>
          <w:rFonts w:hint="eastAsia" w:cs="Calibri" w:asciiTheme="minorEastAsia" w:hAnsiTheme="minorEastAsia"/>
          <w:sz w:val="24"/>
          <w:u w:val="single"/>
        </w:rPr>
        <w:t xml:space="preserve">         </w:t>
      </w:r>
      <w:r>
        <w:rPr>
          <w:rFonts w:hint="eastAsia" w:cs="Calibri" w:asciiTheme="minorEastAsia" w:hAnsiTheme="minorEastAsia"/>
          <w:sz w:val="24"/>
        </w:rPr>
        <w:t>元）报价并按上述招标文件要求承揽上述项目</w:t>
      </w:r>
      <w:r>
        <w:rPr>
          <w:rFonts w:hint="eastAsia" w:cs="Calibri" w:asciiTheme="minorEastAsia" w:hAnsiTheme="minorEastAsia"/>
          <w:bCs/>
          <w:sz w:val="24"/>
        </w:rPr>
        <w:t>所有等工作</w:t>
      </w:r>
      <w:r>
        <w:rPr>
          <w:rFonts w:hint="eastAsia" w:cs="Calibri" w:asciiTheme="minorEastAsia" w:hAnsiTheme="minorEastAsia"/>
          <w:sz w:val="24"/>
          <w:szCs w:val="21"/>
        </w:rPr>
        <w:t>。</w:t>
      </w:r>
      <w:r>
        <w:rPr>
          <w:rFonts w:hint="eastAsia" w:cs="Calibri" w:asciiTheme="minorEastAsia" w:hAnsiTheme="minorEastAsia"/>
          <w:sz w:val="24"/>
        </w:rPr>
        <w:t xml:space="preserve"> </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 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（1）我方不是失信被执行人；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（2）我方在规定期限内无行贿犯罪记录；</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3．如我方中标，我方承诺：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(2)在签订合同时不向你方提出附加条件；</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(3)按照招标文件要求提交履约保证金；</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(4)在合同约定的期限内完成合同规定的全部义务。</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投标人：（盖单位章）</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地    址：</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邮政编码：</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电    话：</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传    真：</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开户银行：</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color w:val="000000"/>
          <w:sz w:val="24"/>
        </w:rPr>
        <w:t>日    期：    年     月     日</w:t>
      </w:r>
      <w:r>
        <w:rPr>
          <w:rFonts w:eastAsia="黑体" w:cs="Calibri"/>
          <w:color w:val="000000"/>
          <w:sz w:val="32"/>
          <w:szCs w:val="32"/>
        </w:rPr>
        <w:br w:type="page"/>
      </w:r>
    </w:p>
    <w:p>
      <w:pPr>
        <w:spacing w:line="360" w:lineRule="auto"/>
        <w:jc w:val="center"/>
        <w:outlineLvl w:val="0"/>
        <w:rPr>
          <w:rFonts w:eastAsia="黑体" w:cs="Calibri"/>
          <w:bCs/>
          <w:color w:val="000000"/>
          <w:sz w:val="32"/>
          <w:szCs w:val="32"/>
        </w:rPr>
      </w:pPr>
      <w:r>
        <w:rPr>
          <w:rFonts w:hint="eastAsia" w:eastAsia="黑体" w:cs="Calibri"/>
          <w:bCs/>
          <w:color w:val="000000"/>
          <w:sz w:val="32"/>
          <w:szCs w:val="32"/>
        </w:rPr>
        <w:t>二</w:t>
      </w:r>
      <w:r>
        <w:rPr>
          <w:rFonts w:eastAsia="黑体" w:cs="Calibri"/>
          <w:bCs/>
          <w:color w:val="000000"/>
          <w:sz w:val="32"/>
          <w:szCs w:val="32"/>
        </w:rPr>
        <w:t>、法定代表人身份证明</w:t>
      </w: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rPr>
          <w:rFonts w:cs="Calibri"/>
          <w:b/>
          <w:color w:val="000000"/>
          <w:szCs w:val="21"/>
        </w:rPr>
      </w:pPr>
      <w:r>
        <w:rPr>
          <w:rFonts w:cs="Calibri"/>
          <w:b/>
          <w:color w:val="000000"/>
          <w:szCs w:val="21"/>
        </w:rPr>
        <w:pict>
          <v:shape id="Text Box 6" o:spid="_x0000_s1028"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360" w:lineRule="auto"/>
        <w:jc w:val="center"/>
        <w:outlineLvl w:val="0"/>
        <w:rPr>
          <w:rFonts w:eastAsia="黑体" w:cs="Calibri"/>
          <w:bCs/>
          <w:color w:val="000000"/>
          <w:sz w:val="32"/>
          <w:szCs w:val="32"/>
        </w:rPr>
      </w:pPr>
      <w:r>
        <w:rPr>
          <w:rFonts w:cs="Calibri"/>
          <w:color w:val="000000"/>
          <w:szCs w:val="21"/>
        </w:rPr>
        <w:br w:type="page"/>
      </w:r>
      <w:r>
        <w:rPr>
          <w:rFonts w:hint="eastAsia" w:eastAsia="黑体" w:cs="Calibri"/>
          <w:bCs/>
          <w:color w:val="000000"/>
          <w:sz w:val="32"/>
          <w:szCs w:val="32"/>
        </w:rPr>
        <w:t>三</w:t>
      </w:r>
      <w:r>
        <w:rPr>
          <w:rFonts w:eastAsia="黑体" w:cs="Calibri"/>
          <w:bCs/>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9"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360" w:lineRule="auto"/>
        <w:jc w:val="center"/>
        <w:outlineLvl w:val="0"/>
        <w:rPr>
          <w:rFonts w:eastAsia="黑体" w:cs="Calibri"/>
          <w:bCs/>
          <w:color w:val="000000"/>
          <w:sz w:val="32"/>
          <w:szCs w:val="32"/>
        </w:rPr>
      </w:pPr>
      <w:r>
        <w:rPr>
          <w:rFonts w:hint="eastAsia" w:eastAsia="黑体" w:cs="Calibri"/>
          <w:bCs/>
          <w:color w:val="000000"/>
          <w:sz w:val="32"/>
          <w:szCs w:val="32"/>
        </w:rPr>
        <w:t>四</w:t>
      </w:r>
      <w:r>
        <w:rPr>
          <w:rFonts w:eastAsia="黑体" w:cs="Calibri"/>
          <w:bCs/>
          <w:color w:val="000000"/>
          <w:sz w:val="32"/>
          <w:szCs w:val="32"/>
        </w:rPr>
        <w:t>、投标报价表</w:t>
      </w:r>
    </w:p>
    <w:p>
      <w:pPr>
        <w:pStyle w:val="19"/>
        <w:tabs>
          <w:tab w:val="left" w:pos="5580"/>
        </w:tabs>
        <w:spacing w:before="120" w:line="22" w:lineRule="atLeast"/>
        <w:jc w:val="center"/>
        <w:rPr>
          <w:rFonts w:eastAsia="黑体" w:cs="Calibri"/>
          <w:bCs/>
          <w:color w:val="000000"/>
          <w:sz w:val="32"/>
          <w:szCs w:val="32"/>
        </w:rPr>
      </w:pPr>
      <w:r>
        <w:rPr>
          <w:rFonts w:eastAsia="黑体" w:cs="Calibri"/>
          <w:color w:val="000000"/>
          <w:sz w:val="32"/>
          <w:szCs w:val="32"/>
        </w:rPr>
        <w:t>投标报价</w:t>
      </w:r>
      <w:r>
        <w:rPr>
          <w:rFonts w:hint="eastAsia" w:eastAsia="黑体" w:cs="Calibri"/>
          <w:color w:val="000000"/>
          <w:sz w:val="32"/>
          <w:szCs w:val="32"/>
        </w:rPr>
        <w:t>总</w:t>
      </w:r>
      <w:r>
        <w:rPr>
          <w:rFonts w:eastAsia="黑体" w:cs="Calibri"/>
          <w:color w:val="000000"/>
          <w:sz w:val="32"/>
          <w:szCs w:val="32"/>
        </w:rPr>
        <w:t>表</w:t>
      </w:r>
    </w:p>
    <w:p>
      <w:pPr>
        <w:spacing w:line="360" w:lineRule="auto"/>
        <w:rPr>
          <w:rFonts w:ascii="宋体" w:hAnsi="宋体"/>
          <w:b/>
          <w:sz w:val="24"/>
        </w:rPr>
      </w:pPr>
      <w:r>
        <w:rPr>
          <w:rFonts w:ascii="宋体" w:hAnsi="宋体"/>
          <w:sz w:val="24"/>
        </w:rPr>
        <w:t>项目名称：</w:t>
      </w:r>
      <w:r>
        <w:rPr>
          <w:rFonts w:hint="eastAsia" w:ascii="宋体" w:hAnsi="宋体"/>
          <w:sz w:val="24"/>
        </w:rPr>
        <w:t xml:space="preserve"> </w:t>
      </w:r>
    </w:p>
    <w:tbl>
      <w:tblPr>
        <w:tblStyle w:val="46"/>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3534"/>
        <w:gridCol w:w="10"/>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2410" w:type="dxa"/>
            <w:vAlign w:val="center"/>
          </w:tcPr>
          <w:p>
            <w:pPr>
              <w:spacing w:line="400" w:lineRule="exact"/>
              <w:jc w:val="center"/>
              <w:rPr>
                <w:rFonts w:ascii="宋体" w:hAnsi="宋体" w:cs="宋体"/>
                <w:sz w:val="24"/>
                <w:szCs w:val="24"/>
              </w:rPr>
            </w:pPr>
            <w:r>
              <w:rPr>
                <w:rFonts w:hint="eastAsia" w:ascii="宋体" w:hAnsi="宋体" w:cs="宋体"/>
                <w:sz w:val="24"/>
                <w:szCs w:val="24"/>
              </w:rPr>
              <w:t>投标单位名称</w:t>
            </w:r>
          </w:p>
        </w:tc>
        <w:tc>
          <w:tcPr>
            <w:tcW w:w="5870" w:type="dxa"/>
            <w:gridSpan w:val="3"/>
            <w:vAlign w:val="center"/>
          </w:tcPr>
          <w:p>
            <w:pPr>
              <w:spacing w:line="4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2410" w:type="dxa"/>
            <w:vAlign w:val="center"/>
          </w:tcPr>
          <w:p>
            <w:pPr>
              <w:spacing w:line="400" w:lineRule="exact"/>
              <w:jc w:val="center"/>
              <w:rPr>
                <w:rFonts w:ascii="宋体" w:hAnsi="宋体"/>
                <w:sz w:val="24"/>
                <w:szCs w:val="24"/>
              </w:rPr>
            </w:pPr>
            <w:r>
              <w:rPr>
                <w:rFonts w:hint="eastAsia" w:ascii="宋体" w:hAnsi="宋体"/>
                <w:sz w:val="24"/>
                <w:szCs w:val="24"/>
              </w:rPr>
              <w:t>内容</w:t>
            </w:r>
          </w:p>
        </w:tc>
        <w:tc>
          <w:tcPr>
            <w:tcW w:w="3534" w:type="dxa"/>
            <w:vAlign w:val="center"/>
          </w:tcPr>
          <w:p>
            <w:pPr>
              <w:spacing w:line="400" w:lineRule="exact"/>
              <w:jc w:val="center"/>
              <w:rPr>
                <w:rFonts w:ascii="宋体" w:hAnsi="宋体" w:cs="宋体"/>
                <w:sz w:val="24"/>
                <w:szCs w:val="24"/>
              </w:rPr>
            </w:pPr>
            <w:r>
              <w:rPr>
                <w:rFonts w:hint="eastAsia" w:ascii="宋体" w:hAnsi="宋体"/>
                <w:sz w:val="24"/>
                <w:szCs w:val="24"/>
              </w:rPr>
              <w:t>报价（元）</w:t>
            </w:r>
          </w:p>
        </w:tc>
        <w:tc>
          <w:tcPr>
            <w:tcW w:w="2336" w:type="dxa"/>
            <w:gridSpan w:val="2"/>
            <w:vAlign w:val="center"/>
          </w:tcPr>
          <w:p>
            <w:pPr>
              <w:spacing w:line="400" w:lineRule="exact"/>
              <w:jc w:val="center"/>
              <w:rPr>
                <w:rFonts w:ascii="宋体" w:hAnsi="宋体" w:cs="宋体"/>
                <w:sz w:val="24"/>
                <w:szCs w:val="24"/>
              </w:rPr>
            </w:pPr>
            <w:r>
              <w:rPr>
                <w:rFonts w:hint="eastAsia" w:ascii="宋体" w:hAnsi="宋体"/>
                <w:sz w:val="24"/>
                <w:szCs w:val="24"/>
              </w:rPr>
              <w:t>较上一年增幅（%）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 w:hRule="atLeast"/>
        </w:trPr>
        <w:tc>
          <w:tcPr>
            <w:tcW w:w="2410" w:type="dxa"/>
            <w:vMerge w:val="restart"/>
            <w:vAlign w:val="center"/>
          </w:tcPr>
          <w:p>
            <w:pPr>
              <w:spacing w:line="400" w:lineRule="exact"/>
              <w:jc w:val="center"/>
              <w:rPr>
                <w:rFonts w:ascii="宋体" w:hAnsi="宋体" w:cs="宋体"/>
                <w:sz w:val="24"/>
                <w:szCs w:val="24"/>
              </w:rPr>
            </w:pPr>
            <w:r>
              <w:rPr>
                <w:rFonts w:hint="eastAsia" w:ascii="宋体" w:hAnsi="宋体" w:cs="宋体"/>
                <w:sz w:val="24"/>
                <w:szCs w:val="24"/>
              </w:rPr>
              <w:t>投标报价</w:t>
            </w:r>
          </w:p>
        </w:tc>
        <w:tc>
          <w:tcPr>
            <w:tcW w:w="3544" w:type="dxa"/>
            <w:gridSpan w:val="2"/>
            <w:vAlign w:val="center"/>
          </w:tcPr>
          <w:p>
            <w:pPr>
              <w:spacing w:line="400" w:lineRule="exact"/>
              <w:rPr>
                <w:rFonts w:ascii="宋体" w:hAnsi="宋体" w:cs="宋体"/>
                <w:sz w:val="24"/>
                <w:szCs w:val="24"/>
              </w:rPr>
            </w:pPr>
            <w:r>
              <w:rPr>
                <w:rFonts w:hint="eastAsia" w:ascii="宋体" w:hAnsi="宋体" w:cs="宋体"/>
                <w:sz w:val="24"/>
                <w:szCs w:val="24"/>
              </w:rPr>
              <w:t>第一年服务费用：</w:t>
            </w:r>
          </w:p>
        </w:tc>
        <w:tc>
          <w:tcPr>
            <w:tcW w:w="2326" w:type="dxa"/>
            <w:vAlign w:val="center"/>
          </w:tcPr>
          <w:p>
            <w:pPr>
              <w:spacing w:line="4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 w:hRule="atLeast"/>
        </w:trPr>
        <w:tc>
          <w:tcPr>
            <w:tcW w:w="2410" w:type="dxa"/>
            <w:vMerge w:val="continue"/>
            <w:vAlign w:val="center"/>
          </w:tcPr>
          <w:p>
            <w:pPr>
              <w:spacing w:line="400" w:lineRule="exact"/>
              <w:jc w:val="center"/>
              <w:rPr>
                <w:rFonts w:ascii="宋体" w:hAnsi="宋体" w:cs="宋体"/>
                <w:sz w:val="24"/>
                <w:szCs w:val="24"/>
              </w:rPr>
            </w:pPr>
          </w:p>
        </w:tc>
        <w:tc>
          <w:tcPr>
            <w:tcW w:w="3544" w:type="dxa"/>
            <w:gridSpan w:val="2"/>
            <w:vAlign w:val="center"/>
          </w:tcPr>
          <w:p>
            <w:pPr>
              <w:spacing w:line="400" w:lineRule="exact"/>
              <w:rPr>
                <w:rFonts w:ascii="宋体" w:hAnsi="宋体" w:cs="宋体"/>
                <w:sz w:val="24"/>
                <w:szCs w:val="24"/>
              </w:rPr>
            </w:pPr>
            <w:r>
              <w:rPr>
                <w:rFonts w:hint="eastAsia" w:ascii="宋体" w:hAnsi="宋体" w:cs="宋体"/>
                <w:sz w:val="24"/>
                <w:szCs w:val="24"/>
              </w:rPr>
              <w:t>第二年服务费用：</w:t>
            </w:r>
          </w:p>
        </w:tc>
        <w:tc>
          <w:tcPr>
            <w:tcW w:w="2326" w:type="dxa"/>
            <w:vAlign w:val="center"/>
          </w:tcPr>
          <w:p>
            <w:pPr>
              <w:spacing w:line="400" w:lineRule="exact"/>
              <w:jc w:val="center"/>
              <w:rPr>
                <w:rFonts w:ascii="宋体" w:hAnsi="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 w:hRule="atLeast"/>
        </w:trPr>
        <w:tc>
          <w:tcPr>
            <w:tcW w:w="2410" w:type="dxa"/>
            <w:vMerge w:val="continue"/>
            <w:vAlign w:val="center"/>
          </w:tcPr>
          <w:p>
            <w:pPr>
              <w:spacing w:line="400" w:lineRule="exact"/>
              <w:jc w:val="center"/>
              <w:rPr>
                <w:rFonts w:ascii="宋体" w:hAnsi="宋体" w:cs="宋体"/>
                <w:sz w:val="24"/>
                <w:szCs w:val="24"/>
              </w:rPr>
            </w:pPr>
          </w:p>
        </w:tc>
        <w:tc>
          <w:tcPr>
            <w:tcW w:w="3544" w:type="dxa"/>
            <w:gridSpan w:val="2"/>
            <w:vAlign w:val="center"/>
          </w:tcPr>
          <w:p>
            <w:pPr>
              <w:spacing w:line="400" w:lineRule="exact"/>
              <w:rPr>
                <w:rFonts w:ascii="宋体" w:hAnsi="宋体" w:cs="宋体"/>
                <w:sz w:val="24"/>
                <w:szCs w:val="24"/>
              </w:rPr>
            </w:pPr>
            <w:r>
              <w:rPr>
                <w:rFonts w:hint="eastAsia" w:ascii="宋体" w:hAnsi="宋体" w:cs="宋体"/>
                <w:sz w:val="24"/>
                <w:szCs w:val="24"/>
              </w:rPr>
              <w:t>第三年服务费用：</w:t>
            </w:r>
          </w:p>
        </w:tc>
        <w:tc>
          <w:tcPr>
            <w:tcW w:w="2326" w:type="dxa"/>
            <w:vAlign w:val="center"/>
          </w:tcPr>
          <w:p>
            <w:pPr>
              <w:spacing w:line="400" w:lineRule="exact"/>
              <w:jc w:val="center"/>
              <w:rPr>
                <w:rFonts w:ascii="宋体" w:hAnsi="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2410" w:type="dxa"/>
            <w:vMerge w:val="continue"/>
            <w:vAlign w:val="center"/>
          </w:tcPr>
          <w:p>
            <w:pPr>
              <w:spacing w:line="400" w:lineRule="exact"/>
              <w:jc w:val="center"/>
              <w:rPr>
                <w:rFonts w:ascii="宋体" w:hAnsi="宋体" w:cs="宋体"/>
                <w:sz w:val="24"/>
                <w:szCs w:val="24"/>
              </w:rPr>
            </w:pPr>
          </w:p>
        </w:tc>
        <w:tc>
          <w:tcPr>
            <w:tcW w:w="3544" w:type="dxa"/>
            <w:gridSpan w:val="2"/>
            <w:vAlign w:val="center"/>
          </w:tcPr>
          <w:p>
            <w:pPr>
              <w:spacing w:line="400" w:lineRule="exact"/>
              <w:rPr>
                <w:rFonts w:ascii="宋体" w:hAnsi="宋体" w:cs="宋体"/>
                <w:sz w:val="24"/>
                <w:szCs w:val="24"/>
              </w:rPr>
            </w:pPr>
            <w:r>
              <w:rPr>
                <w:rFonts w:hint="eastAsia" w:ascii="宋体" w:hAnsi="宋体" w:cs="宋体"/>
                <w:sz w:val="24"/>
                <w:szCs w:val="24"/>
              </w:rPr>
              <w:t>第X年服务费用：</w:t>
            </w:r>
          </w:p>
        </w:tc>
        <w:tc>
          <w:tcPr>
            <w:tcW w:w="2326" w:type="dxa"/>
            <w:vAlign w:val="center"/>
          </w:tcPr>
          <w:p>
            <w:pPr>
              <w:spacing w:line="400" w:lineRule="exact"/>
              <w:jc w:val="center"/>
              <w:rPr>
                <w:rFonts w:ascii="宋体" w:hAnsi="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2410" w:type="dxa"/>
            <w:vAlign w:val="center"/>
          </w:tcPr>
          <w:p>
            <w:pPr>
              <w:spacing w:line="400" w:lineRule="exact"/>
              <w:jc w:val="center"/>
              <w:rPr>
                <w:rFonts w:ascii="宋体" w:hAnsi="宋体" w:cs="宋体"/>
                <w:sz w:val="24"/>
                <w:szCs w:val="24"/>
              </w:rPr>
            </w:pPr>
            <w:r>
              <w:rPr>
                <w:rFonts w:hint="eastAsia" w:ascii="宋体" w:hAnsi="宋体" w:cs="宋体"/>
                <w:sz w:val="24"/>
                <w:szCs w:val="24"/>
              </w:rPr>
              <w:t>投标总报价（元）</w:t>
            </w:r>
          </w:p>
        </w:tc>
        <w:tc>
          <w:tcPr>
            <w:tcW w:w="5870" w:type="dxa"/>
            <w:gridSpan w:val="3"/>
            <w:vAlign w:val="center"/>
          </w:tcPr>
          <w:p>
            <w:pPr>
              <w:spacing w:line="400" w:lineRule="exact"/>
              <w:rPr>
                <w:rFonts w:ascii="宋体" w:hAnsi="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2410" w:type="dxa"/>
            <w:vAlign w:val="center"/>
          </w:tcPr>
          <w:p>
            <w:pPr>
              <w:spacing w:line="400" w:lineRule="exact"/>
              <w:jc w:val="center"/>
              <w:rPr>
                <w:rFonts w:ascii="宋体" w:hAnsi="宋体" w:cs="宋体"/>
                <w:sz w:val="24"/>
                <w:szCs w:val="24"/>
              </w:rPr>
            </w:pPr>
            <w:r>
              <w:rPr>
                <w:rFonts w:hint="eastAsia" w:ascii="宋体" w:hAnsi="宋体" w:cs="宋体"/>
                <w:sz w:val="24"/>
                <w:szCs w:val="24"/>
              </w:rPr>
              <w:t>人员配备数量</w:t>
            </w:r>
          </w:p>
        </w:tc>
        <w:tc>
          <w:tcPr>
            <w:tcW w:w="5870" w:type="dxa"/>
            <w:gridSpan w:val="3"/>
            <w:vAlign w:val="center"/>
          </w:tcPr>
          <w:p>
            <w:pPr>
              <w:spacing w:line="400" w:lineRule="exac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2410" w:type="dxa"/>
            <w:vAlign w:val="center"/>
          </w:tcPr>
          <w:p>
            <w:pPr>
              <w:spacing w:line="400" w:lineRule="exact"/>
              <w:jc w:val="center"/>
              <w:rPr>
                <w:rFonts w:ascii="宋体" w:hAnsi="宋体" w:cs="宋体"/>
                <w:sz w:val="24"/>
                <w:szCs w:val="24"/>
              </w:rPr>
            </w:pPr>
            <w:r>
              <w:rPr>
                <w:rFonts w:hint="eastAsia" w:ascii="宋体" w:hAnsi="宋体" w:cs="宋体"/>
                <w:sz w:val="24"/>
                <w:szCs w:val="24"/>
              </w:rPr>
              <w:t>项目经理</w:t>
            </w:r>
          </w:p>
        </w:tc>
        <w:tc>
          <w:tcPr>
            <w:tcW w:w="5870" w:type="dxa"/>
            <w:gridSpan w:val="3"/>
            <w:vAlign w:val="center"/>
          </w:tcPr>
          <w:p>
            <w:pPr>
              <w:spacing w:line="400" w:lineRule="exact"/>
              <w:rPr>
                <w:rFonts w:ascii="宋体" w:hAnsi="宋体" w:cs="宋体"/>
                <w:sz w:val="24"/>
                <w:szCs w:val="24"/>
              </w:rPr>
            </w:pPr>
            <w:r>
              <w:rPr>
                <w:rFonts w:hint="eastAsia" w:ascii="宋体" w:hAnsi="宋体" w:cs="宋体"/>
                <w:sz w:val="24"/>
                <w:szCs w:val="24"/>
              </w:rPr>
              <w:t>姓名：</w:t>
            </w:r>
          </w:p>
          <w:p>
            <w:pPr>
              <w:spacing w:line="400" w:lineRule="exact"/>
              <w:rPr>
                <w:rFonts w:ascii="宋体" w:hAnsi="宋体" w:cs="宋体"/>
                <w:sz w:val="24"/>
                <w:szCs w:val="24"/>
              </w:rPr>
            </w:pPr>
            <w:r>
              <w:rPr>
                <w:rFonts w:hint="eastAsia" w:ascii="宋体" w:hAnsi="宋体" w:cs="宋体"/>
                <w:sz w:val="24"/>
                <w:szCs w:val="24"/>
              </w:rPr>
              <w:t>工作时限：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2410" w:type="dxa"/>
            <w:vAlign w:val="center"/>
          </w:tcPr>
          <w:p>
            <w:pPr>
              <w:spacing w:line="400" w:lineRule="exact"/>
              <w:jc w:val="center"/>
              <w:rPr>
                <w:rFonts w:ascii="宋体" w:hAnsi="宋体" w:cs="宋体"/>
                <w:sz w:val="24"/>
                <w:szCs w:val="24"/>
              </w:rPr>
            </w:pPr>
            <w:r>
              <w:rPr>
                <w:rFonts w:hint="eastAsia" w:ascii="宋体" w:hAnsi="宋体" w:cs="宋体"/>
                <w:sz w:val="24"/>
                <w:szCs w:val="24"/>
              </w:rPr>
              <w:t>承诺</w:t>
            </w:r>
          </w:p>
        </w:tc>
        <w:tc>
          <w:tcPr>
            <w:tcW w:w="5870" w:type="dxa"/>
            <w:gridSpan w:val="3"/>
            <w:vAlign w:val="center"/>
          </w:tcPr>
          <w:p>
            <w:pPr>
              <w:spacing w:line="400" w:lineRule="exact"/>
              <w:rPr>
                <w:rFonts w:ascii="宋体" w:hAnsi="宋体" w:cs="宋体"/>
                <w:sz w:val="24"/>
                <w:szCs w:val="24"/>
              </w:rPr>
            </w:pPr>
            <w:r>
              <w:rPr>
                <w:rFonts w:hint="eastAsia" w:ascii="宋体" w:hAnsi="宋体" w:cs="仿宋"/>
                <w:sz w:val="24"/>
                <w:szCs w:val="24"/>
              </w:rPr>
              <w:t>若中标，完全响应招标文件对人员配置方案的要求，未达人员配置标准，招标人可按3000元/人/月处罚。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2410" w:type="dxa"/>
            <w:vAlign w:val="center"/>
          </w:tcPr>
          <w:p>
            <w:pPr>
              <w:spacing w:line="400" w:lineRule="exact"/>
              <w:jc w:val="center"/>
              <w:rPr>
                <w:rFonts w:ascii="宋体" w:hAnsi="宋体" w:cs="宋体"/>
                <w:sz w:val="24"/>
                <w:szCs w:val="24"/>
              </w:rPr>
            </w:pPr>
            <w:r>
              <w:rPr>
                <w:rFonts w:hint="eastAsia" w:ascii="宋体" w:hAnsi="宋体" w:cs="宋体"/>
                <w:sz w:val="24"/>
                <w:szCs w:val="24"/>
              </w:rPr>
              <w:t>管理目标</w:t>
            </w:r>
          </w:p>
        </w:tc>
        <w:tc>
          <w:tcPr>
            <w:tcW w:w="5870" w:type="dxa"/>
            <w:gridSpan w:val="3"/>
            <w:vAlign w:val="center"/>
          </w:tcPr>
          <w:p>
            <w:pPr>
              <w:spacing w:line="400" w:lineRule="exact"/>
              <w:jc w:val="center"/>
              <w:rPr>
                <w:rFonts w:ascii="宋体" w:hAnsi="宋体" w:cs="宋体"/>
                <w:sz w:val="24"/>
                <w:szCs w:val="24"/>
              </w:rPr>
            </w:pPr>
            <w:r>
              <w:rPr>
                <w:rFonts w:hint="eastAsia" w:ascii="宋体" w:hAnsi="宋体" w:cs="宋体"/>
                <w:sz w:val="24"/>
                <w:szCs w:val="24"/>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2410" w:type="dxa"/>
            <w:vAlign w:val="center"/>
          </w:tcPr>
          <w:p>
            <w:pPr>
              <w:spacing w:line="400" w:lineRule="exact"/>
              <w:jc w:val="center"/>
              <w:rPr>
                <w:rFonts w:ascii="宋体" w:hAnsi="宋体" w:cs="宋体"/>
                <w:sz w:val="24"/>
                <w:szCs w:val="24"/>
              </w:rPr>
            </w:pPr>
            <w:r>
              <w:rPr>
                <w:rFonts w:hint="eastAsia" w:ascii="宋体" w:hAnsi="宋体" w:cs="宋体"/>
                <w:sz w:val="24"/>
                <w:szCs w:val="24"/>
              </w:rPr>
              <w:t>投标保证金</w:t>
            </w:r>
          </w:p>
        </w:tc>
        <w:tc>
          <w:tcPr>
            <w:tcW w:w="5870" w:type="dxa"/>
            <w:gridSpan w:val="3"/>
            <w:vAlign w:val="center"/>
          </w:tcPr>
          <w:p>
            <w:pPr>
              <w:spacing w:line="400" w:lineRule="exact"/>
              <w:jc w:val="center"/>
              <w:rPr>
                <w:rFonts w:ascii="宋体" w:hAnsi="宋体" w:cs="宋体"/>
                <w:sz w:val="24"/>
                <w:szCs w:val="24"/>
              </w:rPr>
            </w:pPr>
          </w:p>
        </w:tc>
      </w:tr>
    </w:tbl>
    <w:p>
      <w:pPr>
        <w:pStyle w:val="19"/>
        <w:tabs>
          <w:tab w:val="left" w:pos="5580"/>
        </w:tabs>
        <w:spacing w:before="120" w:line="22" w:lineRule="atLeast"/>
        <w:rPr>
          <w:rFonts w:hAnsi="宋体"/>
          <w:sz w:val="24"/>
          <w:szCs w:val="24"/>
        </w:rPr>
      </w:pPr>
      <w:r>
        <w:rPr>
          <w:rFonts w:hint="eastAsia" w:hAnsi="宋体"/>
          <w:sz w:val="24"/>
          <w:szCs w:val="24"/>
        </w:rPr>
        <w:t>注:1、此表应按“投标人须知”的规定密封标记单独密封递交。</w:t>
      </w:r>
    </w:p>
    <w:p>
      <w:pPr>
        <w:pStyle w:val="19"/>
        <w:tabs>
          <w:tab w:val="left" w:pos="5580"/>
        </w:tabs>
        <w:spacing w:before="120" w:line="22" w:lineRule="atLeast"/>
        <w:rPr>
          <w:rFonts w:hAnsi="宋体"/>
          <w:sz w:val="24"/>
          <w:szCs w:val="24"/>
        </w:rPr>
      </w:pPr>
      <w:r>
        <w:rPr>
          <w:rFonts w:hint="eastAsia" w:hAnsi="宋体"/>
          <w:sz w:val="24"/>
          <w:szCs w:val="24"/>
        </w:rPr>
        <w:t xml:space="preserve">   2、为匹配社会平均薪酬、物价的上涨，服务费用可每年作适当增幅。</w:t>
      </w:r>
    </w:p>
    <w:p>
      <w:pPr>
        <w:pStyle w:val="19"/>
        <w:tabs>
          <w:tab w:val="left" w:pos="5580"/>
        </w:tabs>
        <w:spacing w:before="120" w:line="22" w:lineRule="atLeast"/>
        <w:ind w:firstLine="360" w:firstLineChars="150"/>
        <w:rPr>
          <w:rFonts w:hAnsi="宋体"/>
          <w:sz w:val="24"/>
          <w:szCs w:val="24"/>
        </w:rPr>
      </w:pPr>
      <w:r>
        <w:rPr>
          <w:rFonts w:hint="eastAsia" w:hAnsi="宋体"/>
          <w:sz w:val="24"/>
          <w:szCs w:val="24"/>
        </w:rPr>
        <w:t>3、投标时，第</w:t>
      </w:r>
      <w:r>
        <w:rPr>
          <w:rFonts w:hAnsi="宋体"/>
          <w:sz w:val="24"/>
          <w:szCs w:val="24"/>
        </w:rPr>
        <w:t>X</w:t>
      </w:r>
      <w:r>
        <w:rPr>
          <w:rFonts w:hint="eastAsia" w:hAnsi="宋体"/>
          <w:sz w:val="24"/>
          <w:szCs w:val="24"/>
        </w:rPr>
        <w:t>年按照第四年完整年度进行报价，第</w:t>
      </w:r>
      <w:r>
        <w:rPr>
          <w:rFonts w:hAnsi="宋体"/>
          <w:sz w:val="24"/>
          <w:szCs w:val="24"/>
        </w:rPr>
        <w:t>X</w:t>
      </w:r>
      <w:r>
        <w:rPr>
          <w:rFonts w:hint="eastAsia" w:hAnsi="宋体"/>
          <w:sz w:val="24"/>
          <w:szCs w:val="24"/>
        </w:rPr>
        <w:t>年具体服务期待考核及重新评估后确定，服务费按照第四年的单价乘以实际服务天数按实进行结算。</w:t>
      </w: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ascii="宋体" w:hAnsi="宋体" w:cs="宋体"/>
          <w:color w:val="000000"/>
          <w:sz w:val="32"/>
          <w:szCs w:val="32"/>
        </w:rPr>
      </w:pPr>
    </w:p>
    <w:p>
      <w:pPr>
        <w:jc w:val="center"/>
        <w:rPr>
          <w:rFonts w:ascii="宋体" w:hAnsi="宋体"/>
          <w:b/>
          <w:sz w:val="28"/>
          <w:szCs w:val="28"/>
        </w:rPr>
      </w:pPr>
      <w:r>
        <w:rPr>
          <w:rFonts w:hint="eastAsia" w:ascii="宋体" w:hAnsi="宋体"/>
          <w:b/>
          <w:sz w:val="28"/>
          <w:szCs w:val="28"/>
        </w:rPr>
        <w:t>附件4-1 投标分项报价表</w:t>
      </w:r>
      <w:r>
        <w:rPr>
          <w:rFonts w:hint="eastAsia" w:ascii="宋体" w:hAnsi="宋体" w:cs="宋体"/>
          <w:b/>
          <w:bCs/>
          <w:color w:val="000000"/>
          <w:sz w:val="28"/>
          <w:szCs w:val="28"/>
        </w:rPr>
        <w:t>（手推车服务费用）</w:t>
      </w:r>
    </w:p>
    <w:p>
      <w:pPr>
        <w:jc w:val="center"/>
        <w:rPr>
          <w:rFonts w:ascii="宋体" w:hAnsi="宋体"/>
          <w:b/>
          <w:sz w:val="28"/>
          <w:szCs w:val="28"/>
        </w:rPr>
      </w:pPr>
    </w:p>
    <w:p>
      <w:pPr>
        <w:jc w:val="left"/>
        <w:rPr>
          <w:rFonts w:ascii="宋体" w:hAnsi="宋体"/>
          <w:sz w:val="24"/>
        </w:rPr>
      </w:pPr>
    </w:p>
    <w:p>
      <w:pPr>
        <w:tabs>
          <w:tab w:val="left" w:pos="7050"/>
        </w:tabs>
        <w:spacing w:before="120"/>
        <w:rPr>
          <w:rFonts w:ascii="仿宋_GB2312" w:hAnsi="仿宋_GB2312" w:eastAsia="仿宋_GB2312" w:cs="仿宋_GB2312"/>
          <w:color w:val="000000"/>
          <w:sz w:val="24"/>
          <w:szCs w:val="24"/>
        </w:rPr>
      </w:pPr>
      <w:r>
        <w:rPr>
          <w:rFonts w:hint="eastAsia" w:ascii="宋体" w:hAnsi="宋体" w:cs="宋体"/>
          <w:color w:val="000000"/>
          <w:sz w:val="24"/>
          <w:szCs w:val="24"/>
        </w:rPr>
        <w:t>项目名称：</w:t>
      </w:r>
      <w:r>
        <w:rPr>
          <w:rFonts w:ascii="宋体" w:hAnsi="宋体" w:cs="宋体"/>
          <w:color w:val="000000"/>
          <w:sz w:val="24"/>
          <w:szCs w:val="24"/>
        </w:rPr>
        <w:tab/>
      </w:r>
      <w:r>
        <w:rPr>
          <w:rFonts w:hint="eastAsia" w:ascii="宋体" w:hAnsi="宋体" w:cs="宋体"/>
          <w:color w:val="000000"/>
          <w:sz w:val="24"/>
          <w:szCs w:val="24"/>
        </w:rPr>
        <w:t>第   年</w:t>
      </w:r>
    </w:p>
    <w:tbl>
      <w:tblPr>
        <w:tblStyle w:val="46"/>
        <w:tblW w:w="890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959"/>
        <w:gridCol w:w="3856"/>
        <w:gridCol w:w="1581"/>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Height w:val="409"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序号</w:t>
            </w:r>
          </w:p>
        </w:tc>
        <w:tc>
          <w:tcPr>
            <w:tcW w:w="3856" w:type="dxa"/>
            <w:vAlign w:val="center"/>
          </w:tcPr>
          <w:p>
            <w:pPr>
              <w:tabs>
                <w:tab w:val="left" w:pos="5580"/>
              </w:tabs>
              <w:adjustRightInd w:val="0"/>
              <w:jc w:val="center"/>
              <w:rPr>
                <w:rFonts w:ascii="宋体" w:hAnsi="宋体"/>
                <w:sz w:val="24"/>
              </w:rPr>
            </w:pPr>
            <w:r>
              <w:rPr>
                <w:rFonts w:hint="eastAsia" w:ascii="宋体" w:hAnsi="宋体" w:cs="宋体"/>
                <w:sz w:val="24"/>
                <w:szCs w:val="24"/>
              </w:rPr>
              <w:t>手推车服务费用项目</w:t>
            </w:r>
          </w:p>
        </w:tc>
        <w:tc>
          <w:tcPr>
            <w:tcW w:w="1581" w:type="dxa"/>
            <w:vAlign w:val="center"/>
          </w:tcPr>
          <w:p>
            <w:pPr>
              <w:tabs>
                <w:tab w:val="left" w:pos="5580"/>
              </w:tabs>
              <w:adjustRightInd w:val="0"/>
              <w:jc w:val="center"/>
              <w:rPr>
                <w:rFonts w:ascii="宋体" w:hAnsi="宋体"/>
                <w:sz w:val="24"/>
              </w:rPr>
            </w:pPr>
            <w:r>
              <w:rPr>
                <w:rFonts w:hint="eastAsia" w:ascii="宋体" w:hAnsi="宋体"/>
                <w:sz w:val="24"/>
              </w:rPr>
              <w:t>价格（元）</w:t>
            </w:r>
          </w:p>
        </w:tc>
        <w:tc>
          <w:tcPr>
            <w:tcW w:w="2501" w:type="dxa"/>
            <w:vAlign w:val="center"/>
          </w:tcPr>
          <w:p>
            <w:pPr>
              <w:tabs>
                <w:tab w:val="left" w:pos="5580"/>
              </w:tabs>
              <w:adjustRightInd w:val="0"/>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Height w:val="745" w:hRule="atLeast"/>
        </w:trPr>
        <w:tc>
          <w:tcPr>
            <w:tcW w:w="959" w:type="dxa"/>
            <w:vAlign w:val="center"/>
          </w:tcPr>
          <w:p>
            <w:pPr>
              <w:tabs>
                <w:tab w:val="left" w:pos="5580"/>
              </w:tabs>
              <w:adjustRightInd w:val="0"/>
              <w:jc w:val="center"/>
              <w:rPr>
                <w:rFonts w:ascii="仿宋_GB2312" w:hAnsi="宋体" w:eastAsia="仿宋_GB2312"/>
                <w:sz w:val="24"/>
              </w:rPr>
            </w:pPr>
            <w:r>
              <w:rPr>
                <w:rFonts w:ascii="仿宋_GB2312" w:hAnsi="宋体" w:eastAsia="仿宋_GB2312"/>
                <w:sz w:val="24"/>
              </w:rPr>
              <w:t>1</w:t>
            </w:r>
          </w:p>
        </w:tc>
        <w:tc>
          <w:tcPr>
            <w:tcW w:w="3856" w:type="dxa"/>
            <w:vAlign w:val="center"/>
          </w:tcPr>
          <w:p>
            <w:pPr>
              <w:tabs>
                <w:tab w:val="left" w:pos="5580"/>
              </w:tabs>
              <w:adjustRightInd w:val="0"/>
              <w:jc w:val="center"/>
              <w:rPr>
                <w:rFonts w:ascii="仿宋_GB2312" w:hAnsi="宋体" w:eastAsia="仿宋_GB2312"/>
                <w:sz w:val="24"/>
              </w:rPr>
            </w:pPr>
            <w:r>
              <w:rPr>
                <w:rFonts w:hint="eastAsia" w:ascii="宋体" w:hAnsi="宋体"/>
                <w:sz w:val="24"/>
              </w:rPr>
              <w:t>人员薪酬（包括工资薪酬、高温费、福利补贴等）</w:t>
            </w:r>
          </w:p>
        </w:tc>
        <w:tc>
          <w:tcPr>
            <w:tcW w:w="1581" w:type="dxa"/>
            <w:vAlign w:val="center"/>
          </w:tcPr>
          <w:p>
            <w:pPr>
              <w:tabs>
                <w:tab w:val="left" w:pos="5580"/>
              </w:tabs>
              <w:adjustRightInd w:val="0"/>
              <w:jc w:val="center"/>
              <w:rPr>
                <w:rFonts w:ascii="宋体" w:hAnsi="宋体"/>
                <w:sz w:val="24"/>
              </w:rPr>
            </w:pPr>
          </w:p>
        </w:tc>
        <w:tc>
          <w:tcPr>
            <w:tcW w:w="2501"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Height w:val="68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2</w:t>
            </w:r>
          </w:p>
        </w:tc>
        <w:tc>
          <w:tcPr>
            <w:tcW w:w="3856" w:type="dxa"/>
            <w:vAlign w:val="center"/>
          </w:tcPr>
          <w:p>
            <w:pPr>
              <w:tabs>
                <w:tab w:val="left" w:pos="5580"/>
              </w:tabs>
              <w:adjustRightInd w:val="0"/>
              <w:jc w:val="center"/>
              <w:rPr>
                <w:rFonts w:ascii="宋体" w:hAnsi="宋体"/>
                <w:sz w:val="24"/>
              </w:rPr>
            </w:pPr>
            <w:r>
              <w:rPr>
                <w:rFonts w:hint="eastAsia" w:cs="Calibri" w:asciiTheme="minorEastAsia" w:hAnsiTheme="minorEastAsia"/>
                <w:color w:val="000000"/>
                <w:sz w:val="22"/>
              </w:rPr>
              <w:t>人员保险（包括</w:t>
            </w:r>
            <w:r>
              <w:rPr>
                <w:rFonts w:hint="eastAsia" w:ascii="宋体" w:hAnsi="宋体"/>
                <w:sz w:val="24"/>
              </w:rPr>
              <w:t>社保及保险等</w:t>
            </w:r>
            <w:r>
              <w:rPr>
                <w:rFonts w:hint="eastAsia" w:cs="Calibri" w:asciiTheme="minorEastAsia" w:hAnsiTheme="minorEastAsia"/>
                <w:color w:val="000000"/>
                <w:sz w:val="22"/>
              </w:rPr>
              <w:t>）</w:t>
            </w:r>
          </w:p>
        </w:tc>
        <w:tc>
          <w:tcPr>
            <w:tcW w:w="1581" w:type="dxa"/>
            <w:vAlign w:val="center"/>
          </w:tcPr>
          <w:p>
            <w:pPr>
              <w:tabs>
                <w:tab w:val="left" w:pos="5580"/>
              </w:tabs>
              <w:adjustRightInd w:val="0"/>
              <w:jc w:val="center"/>
              <w:rPr>
                <w:rFonts w:ascii="宋体" w:hAnsi="宋体"/>
                <w:sz w:val="24"/>
              </w:rPr>
            </w:pPr>
          </w:p>
        </w:tc>
        <w:tc>
          <w:tcPr>
            <w:tcW w:w="2501"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Pr>
        <w:tc>
          <w:tcPr>
            <w:tcW w:w="959" w:type="dxa"/>
            <w:vAlign w:val="center"/>
          </w:tcPr>
          <w:p>
            <w:pPr>
              <w:tabs>
                <w:tab w:val="left" w:pos="5580"/>
              </w:tabs>
              <w:adjustRightInd w:val="0"/>
              <w:jc w:val="center"/>
              <w:rPr>
                <w:rFonts w:ascii="宋体" w:hAnsi="宋体"/>
                <w:sz w:val="24"/>
              </w:rPr>
            </w:pPr>
            <w:r>
              <w:rPr>
                <w:rFonts w:hint="eastAsia" w:ascii="宋体" w:hAnsi="宋体"/>
                <w:sz w:val="24"/>
              </w:rPr>
              <w:t>3</w:t>
            </w:r>
          </w:p>
        </w:tc>
        <w:tc>
          <w:tcPr>
            <w:tcW w:w="3856" w:type="dxa"/>
            <w:vAlign w:val="center"/>
          </w:tcPr>
          <w:p>
            <w:pPr>
              <w:tabs>
                <w:tab w:val="left" w:pos="5580"/>
              </w:tabs>
              <w:adjustRightInd w:val="0"/>
              <w:jc w:val="center"/>
              <w:rPr>
                <w:rFonts w:ascii="宋体" w:hAnsi="宋体"/>
                <w:sz w:val="24"/>
              </w:rPr>
            </w:pPr>
            <w:r>
              <w:rPr>
                <w:rFonts w:hint="eastAsia" w:cs="Calibri" w:asciiTheme="minorEastAsia" w:hAnsiTheme="minorEastAsia"/>
                <w:color w:val="000000"/>
                <w:sz w:val="22"/>
              </w:rPr>
              <w:t>手推车零配件费</w:t>
            </w:r>
          </w:p>
        </w:tc>
        <w:tc>
          <w:tcPr>
            <w:tcW w:w="1581" w:type="dxa"/>
            <w:vAlign w:val="center"/>
          </w:tcPr>
          <w:p>
            <w:pPr>
              <w:tabs>
                <w:tab w:val="left" w:pos="5580"/>
              </w:tabs>
              <w:adjustRightInd w:val="0"/>
              <w:jc w:val="center"/>
              <w:rPr>
                <w:rFonts w:ascii="宋体" w:hAnsi="宋体"/>
                <w:sz w:val="24"/>
              </w:rPr>
            </w:pPr>
          </w:p>
        </w:tc>
        <w:tc>
          <w:tcPr>
            <w:tcW w:w="2501" w:type="dxa"/>
            <w:vAlign w:val="center"/>
          </w:tcPr>
          <w:p>
            <w:pPr>
              <w:tabs>
                <w:tab w:val="left" w:pos="5580"/>
              </w:tabs>
              <w:adjustRightInd w:val="0"/>
              <w:rPr>
                <w:rFonts w:ascii="宋体" w:hAnsi="宋体"/>
                <w:szCs w:val="21"/>
              </w:rPr>
            </w:pPr>
            <w:r>
              <w:rPr>
                <w:rFonts w:hint="eastAsia" w:ascii="宋体" w:hAnsi="宋体"/>
                <w:szCs w:val="21"/>
              </w:rPr>
              <w:t>应自行列清单表详细说明，包括物料名称、数量、单价等。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Pr>
        <w:tc>
          <w:tcPr>
            <w:tcW w:w="959" w:type="dxa"/>
            <w:vAlign w:val="center"/>
          </w:tcPr>
          <w:p>
            <w:pPr>
              <w:tabs>
                <w:tab w:val="left" w:pos="5580"/>
              </w:tabs>
              <w:adjustRightInd w:val="0"/>
              <w:jc w:val="center"/>
              <w:rPr>
                <w:rFonts w:ascii="宋体" w:hAnsi="宋体"/>
                <w:sz w:val="24"/>
              </w:rPr>
            </w:pPr>
            <w:r>
              <w:rPr>
                <w:rFonts w:hint="eastAsia" w:ascii="宋体" w:hAnsi="宋体"/>
                <w:sz w:val="24"/>
              </w:rPr>
              <w:t>4</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牵引设备使用费</w:t>
            </w:r>
          </w:p>
        </w:tc>
        <w:tc>
          <w:tcPr>
            <w:tcW w:w="1581" w:type="dxa"/>
            <w:vAlign w:val="center"/>
          </w:tcPr>
          <w:p>
            <w:pPr>
              <w:tabs>
                <w:tab w:val="left" w:pos="5580"/>
              </w:tabs>
              <w:adjustRightInd w:val="0"/>
              <w:jc w:val="center"/>
              <w:rPr>
                <w:rFonts w:ascii="宋体" w:hAnsi="宋体"/>
                <w:sz w:val="24"/>
              </w:rPr>
            </w:pPr>
          </w:p>
        </w:tc>
        <w:tc>
          <w:tcPr>
            <w:tcW w:w="2501" w:type="dxa"/>
            <w:vAlign w:val="center"/>
          </w:tcPr>
          <w:p>
            <w:pPr>
              <w:tabs>
                <w:tab w:val="left" w:pos="5580"/>
              </w:tabs>
              <w:adjustRightInd w:val="0"/>
              <w:rPr>
                <w:rFonts w:ascii="宋体" w:hAnsi="宋体"/>
                <w:szCs w:val="21"/>
              </w:rPr>
            </w:pPr>
            <w:r>
              <w:rPr>
                <w:rFonts w:hint="eastAsia" w:ascii="宋体" w:hAnsi="宋体"/>
                <w:szCs w:val="21"/>
              </w:rPr>
              <w:t>应自行列清单表详细说明，包括设备名称、品牌、用途、数量、购置时间、购置单价、状况等。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Height w:val="111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5</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管理费（包含管理人员薪酬、证件费、服装费、应急事件处理费、培训费、利润、用房租金等）</w:t>
            </w:r>
          </w:p>
        </w:tc>
        <w:tc>
          <w:tcPr>
            <w:tcW w:w="1581" w:type="dxa"/>
            <w:vAlign w:val="center"/>
          </w:tcPr>
          <w:p>
            <w:pPr>
              <w:tabs>
                <w:tab w:val="left" w:pos="5580"/>
              </w:tabs>
              <w:adjustRightInd w:val="0"/>
              <w:jc w:val="center"/>
              <w:rPr>
                <w:rFonts w:ascii="宋体" w:hAnsi="宋体"/>
                <w:sz w:val="24"/>
              </w:rPr>
            </w:pPr>
          </w:p>
        </w:tc>
        <w:tc>
          <w:tcPr>
            <w:tcW w:w="2501" w:type="dxa"/>
            <w:vAlign w:val="center"/>
          </w:tcPr>
          <w:p>
            <w:pPr>
              <w:tabs>
                <w:tab w:val="left" w:pos="5580"/>
              </w:tabs>
              <w:adjustRightInd w:val="0"/>
              <w:rPr>
                <w:rFonts w:ascii="宋体" w:hAnsi="宋体"/>
                <w:szCs w:val="21"/>
              </w:rPr>
            </w:pPr>
            <w:r>
              <w:rPr>
                <w:rFonts w:hint="eastAsia" w:ascii="宋体" w:hAnsi="宋体"/>
                <w:szCs w:val="21"/>
              </w:rPr>
              <w:t>自行列表说明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Height w:val="63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6</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税金</w:t>
            </w:r>
          </w:p>
        </w:tc>
        <w:tc>
          <w:tcPr>
            <w:tcW w:w="1581" w:type="dxa"/>
            <w:vAlign w:val="center"/>
          </w:tcPr>
          <w:p>
            <w:pPr>
              <w:tabs>
                <w:tab w:val="left" w:pos="5580"/>
              </w:tabs>
              <w:adjustRightInd w:val="0"/>
              <w:jc w:val="center"/>
              <w:rPr>
                <w:rFonts w:ascii="宋体" w:hAnsi="宋体"/>
                <w:sz w:val="24"/>
              </w:rPr>
            </w:pPr>
          </w:p>
        </w:tc>
        <w:tc>
          <w:tcPr>
            <w:tcW w:w="2501" w:type="dxa"/>
            <w:vAlign w:val="center"/>
          </w:tcPr>
          <w:p>
            <w:pPr>
              <w:tabs>
                <w:tab w:val="left" w:pos="5580"/>
              </w:tabs>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8" w:type="dxa"/>
          <w:trHeight w:val="44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合计</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总价（元）</w:t>
            </w:r>
          </w:p>
        </w:tc>
        <w:tc>
          <w:tcPr>
            <w:tcW w:w="1581" w:type="dxa"/>
            <w:vAlign w:val="center"/>
          </w:tcPr>
          <w:p>
            <w:pPr>
              <w:tabs>
                <w:tab w:val="left" w:pos="5580"/>
              </w:tabs>
              <w:adjustRightInd w:val="0"/>
              <w:jc w:val="center"/>
              <w:rPr>
                <w:rFonts w:ascii="宋体" w:hAnsi="宋体"/>
                <w:sz w:val="24"/>
              </w:rPr>
            </w:pPr>
          </w:p>
        </w:tc>
        <w:tc>
          <w:tcPr>
            <w:tcW w:w="2501" w:type="dxa"/>
            <w:vAlign w:val="center"/>
          </w:tcPr>
          <w:p>
            <w:pPr>
              <w:tabs>
                <w:tab w:val="left" w:pos="5580"/>
              </w:tabs>
              <w:adjustRightInd w:val="0"/>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 w:hRule="atLeast"/>
        </w:trPr>
        <w:tc>
          <w:tcPr>
            <w:tcW w:w="89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5580"/>
              </w:tabs>
            </w:pPr>
            <w:r>
              <w:rPr>
                <w:rFonts w:hint="eastAsia" w:ascii="宋体" w:hAnsi="宋体" w:cs="宋体"/>
              </w:rPr>
              <w:t>备注：可提供税率为</w:t>
            </w:r>
            <w:r>
              <w:rPr>
                <w:rFonts w:ascii="仿宋_GB2312" w:hAnsi="仿宋_GB2312" w:eastAsia="仿宋_GB2312" w:cs="仿宋_GB2312"/>
              </w:rPr>
              <w:t xml:space="preserve">  %</w:t>
            </w:r>
            <w:r>
              <w:rPr>
                <w:rFonts w:hint="eastAsia" w:ascii="宋体" w:hAnsi="宋体" w:cs="宋体"/>
              </w:rPr>
              <w:t>（发票种类）</w:t>
            </w:r>
          </w:p>
        </w:tc>
      </w:tr>
    </w:tbl>
    <w:p>
      <w:pPr>
        <w:pStyle w:val="19"/>
        <w:rPr>
          <w:rFonts w:hAnsi="宋体"/>
          <w:sz w:val="24"/>
          <w:szCs w:val="24"/>
        </w:rPr>
      </w:pPr>
      <w:r>
        <w:rPr>
          <w:rFonts w:hint="eastAsia" w:hAnsi="宋体"/>
          <w:sz w:val="24"/>
          <w:szCs w:val="24"/>
        </w:rPr>
        <w:t>注:1.价格按年度报价，每一合同年度填写一张</w:t>
      </w:r>
    </w:p>
    <w:p>
      <w:pPr>
        <w:pStyle w:val="19"/>
        <w:ind w:right="-334" w:rightChars="-159"/>
        <w:rPr>
          <w:rFonts w:ascii="仿宋_GB2312" w:hAnsi="仿宋_GB2312" w:eastAsia="仿宋_GB2312"/>
          <w:sz w:val="24"/>
          <w:szCs w:val="24"/>
        </w:rPr>
      </w:pPr>
      <w:r>
        <w:rPr>
          <w:rFonts w:hint="eastAsia" w:hAnsi="宋体"/>
          <w:sz w:val="24"/>
          <w:szCs w:val="24"/>
        </w:rPr>
        <w:t xml:space="preserve">   2</w:t>
      </w:r>
      <w:r>
        <w:rPr>
          <w:rFonts w:ascii="仿宋_GB2312" w:hAnsi="仿宋_GB2312" w:eastAsia="仿宋_GB2312" w:cs="仿宋_GB2312"/>
          <w:sz w:val="24"/>
          <w:szCs w:val="24"/>
        </w:rPr>
        <w:t xml:space="preserve">. </w:t>
      </w:r>
      <w:r>
        <w:rPr>
          <w:rFonts w:hint="eastAsia" w:hAnsi="宋体" w:cs="宋体"/>
          <w:sz w:val="24"/>
          <w:szCs w:val="24"/>
        </w:rPr>
        <w:t>总价为竞投人在竞投文件中提出的各项支付金额的总和</w:t>
      </w:r>
      <w:r>
        <w:rPr>
          <w:rFonts w:ascii="仿宋_GB2312" w:hAnsi="仿宋_GB2312" w:eastAsia="仿宋_GB2312" w:cs="仿宋_GB2312"/>
          <w:sz w:val="24"/>
          <w:szCs w:val="24"/>
        </w:rPr>
        <w:t>,</w:t>
      </w:r>
      <w:r>
        <w:rPr>
          <w:rFonts w:hint="eastAsia" w:hAnsi="宋体" w:cs="宋体"/>
          <w:sz w:val="24"/>
          <w:szCs w:val="24"/>
        </w:rPr>
        <w:t>如开具发票时可分别提供普通发票及设备销售增值税专用发票请列明各自详细金额及增值税可抵扣税额税率等，我方将以此作为评标依据。</w:t>
      </w:r>
    </w:p>
    <w:p>
      <w:pPr>
        <w:pStyle w:val="19"/>
        <w:ind w:right="-334" w:rightChars="-159"/>
        <w:rPr>
          <w:rFonts w:hAnsi="宋体"/>
          <w:sz w:val="24"/>
          <w:szCs w:val="24"/>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 xml:space="preserve">  </w:t>
      </w:r>
    </w:p>
    <w:p>
      <w:pPr>
        <w:widowControl/>
        <w:jc w:val="left"/>
        <w:rPr>
          <w:rFonts w:ascii="宋体" w:hAnsi="宋体" w:cs="宋体"/>
          <w:b/>
          <w:bCs/>
          <w:color w:val="000000"/>
          <w:sz w:val="28"/>
          <w:szCs w:val="28"/>
        </w:rPr>
      </w:pPr>
      <w:r>
        <w:rPr>
          <w:rFonts w:ascii="宋体" w:hAnsi="宋体" w:cs="宋体"/>
          <w:b/>
          <w:bCs/>
          <w:color w:val="000000"/>
          <w:sz w:val="28"/>
          <w:szCs w:val="28"/>
        </w:rPr>
        <w:br w:type="page"/>
      </w:r>
    </w:p>
    <w:p>
      <w:pPr>
        <w:jc w:val="center"/>
        <w:rPr>
          <w:rFonts w:ascii="宋体" w:hAnsi="宋体" w:cs="宋体"/>
          <w:b/>
          <w:bCs/>
          <w:color w:val="000000"/>
          <w:sz w:val="28"/>
          <w:szCs w:val="28"/>
        </w:rPr>
      </w:pPr>
      <w:r>
        <w:rPr>
          <w:rFonts w:hint="eastAsia" w:ascii="宋体" w:hAnsi="宋体"/>
          <w:b/>
          <w:sz w:val="28"/>
          <w:szCs w:val="28"/>
        </w:rPr>
        <w:t xml:space="preserve">附件4-2   </w:t>
      </w:r>
      <w:r>
        <w:rPr>
          <w:rFonts w:hint="eastAsia" w:ascii="宋体" w:hAnsi="宋体" w:cs="宋体"/>
          <w:b/>
          <w:bCs/>
          <w:color w:val="000000"/>
          <w:sz w:val="28"/>
          <w:szCs w:val="28"/>
        </w:rPr>
        <w:t>投标分项报价表（手推车服务人员的薪酬明细）</w:t>
      </w:r>
    </w:p>
    <w:p>
      <w:pPr>
        <w:jc w:val="center"/>
        <w:rPr>
          <w:rFonts w:ascii="宋体" w:hAnsi="宋体" w:cs="宋体"/>
          <w:b/>
          <w:bCs/>
          <w:color w:val="000000"/>
          <w:sz w:val="28"/>
          <w:szCs w:val="28"/>
        </w:rPr>
      </w:pPr>
    </w:p>
    <w:p>
      <w:pPr>
        <w:tabs>
          <w:tab w:val="left" w:pos="7050"/>
        </w:tabs>
        <w:spacing w:before="120"/>
        <w:rPr>
          <w:rFonts w:ascii="仿宋_GB2312" w:hAnsi="仿宋_GB2312" w:eastAsia="仿宋_GB2312" w:cs="仿宋_GB2312"/>
          <w:color w:val="000000"/>
          <w:sz w:val="24"/>
          <w:szCs w:val="24"/>
        </w:rPr>
      </w:pPr>
      <w:r>
        <w:rPr>
          <w:rFonts w:hint="eastAsia" w:ascii="宋体" w:hAnsi="宋体" w:cs="宋体"/>
          <w:color w:val="000000"/>
          <w:sz w:val="24"/>
          <w:szCs w:val="24"/>
        </w:rPr>
        <w:t>项目名称：</w:t>
      </w:r>
      <w:r>
        <w:rPr>
          <w:rFonts w:ascii="宋体" w:hAnsi="宋体" w:cs="宋体"/>
          <w:color w:val="000000"/>
          <w:sz w:val="24"/>
          <w:szCs w:val="24"/>
        </w:rPr>
        <w:tab/>
      </w:r>
      <w:r>
        <w:rPr>
          <w:rFonts w:hint="eastAsia" w:ascii="宋体" w:hAnsi="宋体" w:cs="宋体"/>
          <w:color w:val="000000"/>
          <w:sz w:val="24"/>
          <w:szCs w:val="24"/>
        </w:rPr>
        <w:t>第   年</w:t>
      </w:r>
    </w:p>
    <w:tbl>
      <w:tblPr>
        <w:tblStyle w:val="47"/>
        <w:tblW w:w="10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95"/>
        <w:gridCol w:w="890"/>
        <w:gridCol w:w="1318"/>
        <w:gridCol w:w="794"/>
        <w:gridCol w:w="780"/>
        <w:gridCol w:w="780"/>
        <w:gridCol w:w="781"/>
        <w:gridCol w:w="792"/>
        <w:gridCol w:w="1303"/>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541" w:type="dxa"/>
            <w:vMerge w:val="restart"/>
            <w:vAlign w:val="center"/>
          </w:tcPr>
          <w:p>
            <w:pPr>
              <w:jc w:val="center"/>
              <w:rPr>
                <w:rFonts w:ascii="宋体"/>
              </w:rPr>
            </w:pPr>
            <w:r>
              <w:rPr>
                <w:rFonts w:hint="eastAsia" w:ascii="宋体" w:hAnsi="宋体" w:cs="宋体"/>
                <w:color w:val="000000"/>
                <w:sz w:val="24"/>
                <w:szCs w:val="24"/>
              </w:rPr>
              <w:t>序号</w:t>
            </w:r>
          </w:p>
        </w:tc>
        <w:tc>
          <w:tcPr>
            <w:tcW w:w="695" w:type="dxa"/>
            <w:vMerge w:val="restart"/>
            <w:vAlign w:val="center"/>
          </w:tcPr>
          <w:p>
            <w:pPr>
              <w:jc w:val="center"/>
              <w:rPr>
                <w:rFonts w:ascii="宋体"/>
              </w:rPr>
            </w:pPr>
            <w:r>
              <w:rPr>
                <w:rFonts w:hint="eastAsia" w:ascii="宋体" w:hAnsi="宋体" w:cs="宋体"/>
                <w:color w:val="000000"/>
                <w:sz w:val="24"/>
                <w:szCs w:val="24"/>
              </w:rPr>
              <w:t>岗位</w:t>
            </w:r>
          </w:p>
        </w:tc>
        <w:tc>
          <w:tcPr>
            <w:tcW w:w="890" w:type="dxa"/>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人数</w:t>
            </w:r>
          </w:p>
        </w:tc>
        <w:tc>
          <w:tcPr>
            <w:tcW w:w="1318" w:type="dxa"/>
            <w:vMerge w:val="restart"/>
            <w:vAlign w:val="center"/>
          </w:tcPr>
          <w:p>
            <w:pPr>
              <w:jc w:val="center"/>
              <w:rPr>
                <w:rFonts w:ascii="宋体"/>
              </w:rPr>
            </w:pPr>
            <w:r>
              <w:rPr>
                <w:rFonts w:hint="eastAsia" w:ascii="宋体" w:hAnsi="宋体" w:cs="宋体"/>
                <w:color w:val="000000"/>
                <w:sz w:val="24"/>
                <w:szCs w:val="24"/>
              </w:rPr>
              <w:t>基本工资</w:t>
            </w:r>
          </w:p>
        </w:tc>
        <w:tc>
          <w:tcPr>
            <w:tcW w:w="794" w:type="dxa"/>
            <w:vMerge w:val="restart"/>
            <w:vAlign w:val="center"/>
          </w:tcPr>
          <w:p>
            <w:pPr>
              <w:jc w:val="center"/>
              <w:rPr>
                <w:rFonts w:ascii="宋体"/>
              </w:rPr>
            </w:pPr>
            <w:r>
              <w:rPr>
                <w:rFonts w:hint="eastAsia" w:ascii="宋体" w:hAnsi="宋体" w:cs="宋体"/>
                <w:color w:val="000000"/>
                <w:sz w:val="24"/>
                <w:szCs w:val="24"/>
              </w:rPr>
              <w:t>加班工资</w:t>
            </w:r>
          </w:p>
        </w:tc>
        <w:tc>
          <w:tcPr>
            <w:tcW w:w="2341" w:type="dxa"/>
            <w:gridSpan w:val="3"/>
            <w:vAlign w:val="center"/>
          </w:tcPr>
          <w:p>
            <w:pPr>
              <w:spacing w:line="440" w:lineRule="exact"/>
              <w:jc w:val="center"/>
              <w:rPr>
                <w:rFonts w:ascii="宋体" w:hAnsi="宋体" w:cs="宋体"/>
                <w:color w:val="000000"/>
                <w:sz w:val="32"/>
                <w:szCs w:val="32"/>
              </w:rPr>
            </w:pPr>
            <w:r>
              <w:rPr>
                <w:rFonts w:hint="eastAsia" w:ascii="宋体" w:hAnsi="宋体" w:cs="宋体"/>
                <w:color w:val="000000"/>
                <w:sz w:val="24"/>
                <w:szCs w:val="24"/>
              </w:rPr>
              <w:t>全年相关福利费用</w:t>
            </w:r>
          </w:p>
        </w:tc>
        <w:tc>
          <w:tcPr>
            <w:tcW w:w="792" w:type="dxa"/>
            <w:vMerge w:val="restart"/>
          </w:tcPr>
          <w:p>
            <w:pPr>
              <w:spacing w:line="440" w:lineRule="exact"/>
              <w:jc w:val="center"/>
              <w:rPr>
                <w:rFonts w:ascii="宋体" w:hAnsi="宋体" w:cs="宋体"/>
                <w:color w:val="000000"/>
                <w:sz w:val="24"/>
                <w:szCs w:val="24"/>
              </w:rPr>
            </w:pPr>
            <w:r>
              <w:rPr>
                <w:rFonts w:hint="eastAsia" w:ascii="宋体" w:hAnsi="宋体" w:cs="宋体"/>
                <w:color w:val="000000"/>
                <w:sz w:val="24"/>
                <w:szCs w:val="24"/>
              </w:rPr>
              <w:t>保险</w:t>
            </w:r>
          </w:p>
        </w:tc>
        <w:tc>
          <w:tcPr>
            <w:tcW w:w="1303" w:type="dxa"/>
            <w:vMerge w:val="restart"/>
            <w:vAlign w:val="center"/>
          </w:tcPr>
          <w:p>
            <w:pPr>
              <w:spacing w:line="440" w:lineRule="exact"/>
              <w:jc w:val="center"/>
              <w:rPr>
                <w:rFonts w:ascii="宋体" w:hAnsi="宋体" w:cs="宋体"/>
                <w:color w:val="000000"/>
                <w:sz w:val="32"/>
                <w:szCs w:val="32"/>
              </w:rPr>
            </w:pPr>
            <w:r>
              <w:rPr>
                <w:rFonts w:hint="eastAsia" w:ascii="宋体" w:hAnsi="宋体" w:cs="宋体"/>
                <w:color w:val="000000"/>
                <w:sz w:val="24"/>
                <w:szCs w:val="24"/>
              </w:rPr>
              <w:t>月工资</w:t>
            </w:r>
          </w:p>
        </w:tc>
        <w:tc>
          <w:tcPr>
            <w:tcW w:w="1391" w:type="dxa"/>
            <w:vMerge w:val="restart"/>
          </w:tcPr>
          <w:p>
            <w:pPr>
              <w:spacing w:line="440" w:lineRule="exact"/>
              <w:jc w:val="center"/>
              <w:rPr>
                <w:rFonts w:ascii="宋体" w:hAnsi="宋体" w:cs="宋体"/>
                <w:color w:val="000000"/>
                <w:sz w:val="24"/>
                <w:szCs w:val="24"/>
              </w:rPr>
            </w:pPr>
            <w:r>
              <w:rPr>
                <w:rFonts w:hint="eastAsia" w:ascii="宋体" w:hAnsi="宋体" w:cs="宋体"/>
                <w:color w:val="000000"/>
                <w:sz w:val="24"/>
                <w:szCs w:val="24"/>
              </w:rPr>
              <w:t>全年收入总和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41" w:type="dxa"/>
            <w:vMerge w:val="continue"/>
            <w:vAlign w:val="center"/>
          </w:tcPr>
          <w:p>
            <w:pPr>
              <w:jc w:val="center"/>
              <w:rPr>
                <w:rFonts w:ascii="宋体" w:hAnsi="宋体" w:cs="宋体"/>
                <w:color w:val="000000"/>
                <w:sz w:val="24"/>
                <w:szCs w:val="24"/>
              </w:rPr>
            </w:pPr>
          </w:p>
        </w:tc>
        <w:tc>
          <w:tcPr>
            <w:tcW w:w="695" w:type="dxa"/>
            <w:vMerge w:val="continue"/>
            <w:vAlign w:val="center"/>
          </w:tcPr>
          <w:p>
            <w:pPr>
              <w:jc w:val="center"/>
              <w:rPr>
                <w:rFonts w:ascii="宋体" w:hAnsi="宋体" w:cs="宋体"/>
                <w:color w:val="000000"/>
                <w:sz w:val="24"/>
                <w:szCs w:val="24"/>
              </w:rPr>
            </w:pPr>
          </w:p>
        </w:tc>
        <w:tc>
          <w:tcPr>
            <w:tcW w:w="890" w:type="dxa"/>
            <w:vMerge w:val="continue"/>
            <w:vAlign w:val="center"/>
          </w:tcPr>
          <w:p>
            <w:pPr>
              <w:jc w:val="center"/>
              <w:rPr>
                <w:rFonts w:ascii="宋体" w:hAnsi="宋体" w:cs="宋体"/>
                <w:color w:val="000000"/>
                <w:sz w:val="24"/>
                <w:szCs w:val="24"/>
              </w:rPr>
            </w:pPr>
          </w:p>
        </w:tc>
        <w:tc>
          <w:tcPr>
            <w:tcW w:w="1318" w:type="dxa"/>
            <w:vMerge w:val="continue"/>
            <w:vAlign w:val="center"/>
          </w:tcPr>
          <w:p>
            <w:pPr>
              <w:jc w:val="center"/>
              <w:rPr>
                <w:rFonts w:ascii="宋体" w:hAnsi="宋体" w:cs="宋体"/>
                <w:color w:val="000000"/>
                <w:sz w:val="24"/>
                <w:szCs w:val="24"/>
              </w:rPr>
            </w:pPr>
          </w:p>
        </w:tc>
        <w:tc>
          <w:tcPr>
            <w:tcW w:w="794" w:type="dxa"/>
            <w:vMerge w:val="continue"/>
            <w:vAlign w:val="center"/>
          </w:tcPr>
          <w:p>
            <w:pPr>
              <w:jc w:val="center"/>
              <w:rPr>
                <w:rFonts w:ascii="宋体" w:hAnsi="宋体" w:cs="宋体"/>
                <w:color w:val="000000"/>
                <w:sz w:val="24"/>
                <w:szCs w:val="24"/>
              </w:rPr>
            </w:pPr>
          </w:p>
        </w:tc>
        <w:tc>
          <w:tcPr>
            <w:tcW w:w="780" w:type="dxa"/>
            <w:vAlign w:val="center"/>
          </w:tcPr>
          <w:p>
            <w:pPr>
              <w:jc w:val="center"/>
              <w:rPr>
                <w:rFonts w:ascii="宋体"/>
              </w:rPr>
            </w:pPr>
            <w:r>
              <w:rPr>
                <w:rFonts w:hint="eastAsia" w:ascii="宋体" w:hAnsi="宋体" w:cs="宋体"/>
                <w:color w:val="000000"/>
                <w:sz w:val="24"/>
                <w:szCs w:val="24"/>
              </w:rPr>
              <w:t>高温费</w:t>
            </w:r>
          </w:p>
        </w:tc>
        <w:tc>
          <w:tcPr>
            <w:tcW w:w="780" w:type="dxa"/>
            <w:vAlign w:val="center"/>
          </w:tcPr>
          <w:p>
            <w:pPr>
              <w:jc w:val="center"/>
              <w:rPr>
                <w:rFonts w:ascii="宋体"/>
              </w:rPr>
            </w:pPr>
            <w:r>
              <w:rPr>
                <w:rFonts w:hint="eastAsia" w:ascii="宋体" w:hAnsi="宋体" w:cs="宋体"/>
                <w:color w:val="000000"/>
                <w:sz w:val="24"/>
                <w:szCs w:val="24"/>
              </w:rPr>
              <w:t>过节费</w:t>
            </w:r>
          </w:p>
        </w:tc>
        <w:tc>
          <w:tcPr>
            <w:tcW w:w="781" w:type="dxa"/>
            <w:vAlign w:val="center"/>
          </w:tcPr>
          <w:p>
            <w:pPr>
              <w:jc w:val="center"/>
              <w:rPr>
                <w:rFonts w:ascii="宋体"/>
              </w:rPr>
            </w:pPr>
            <w:r>
              <w:rPr>
                <w:rFonts w:hint="eastAsia" w:ascii="宋体" w:hAnsi="宋体" w:cs="宋体"/>
                <w:color w:val="000000"/>
                <w:sz w:val="24"/>
                <w:szCs w:val="24"/>
              </w:rPr>
              <w:t>年终奖</w:t>
            </w:r>
          </w:p>
        </w:tc>
        <w:tc>
          <w:tcPr>
            <w:tcW w:w="792" w:type="dxa"/>
            <w:vMerge w:val="continue"/>
          </w:tcPr>
          <w:p>
            <w:pPr>
              <w:spacing w:line="440" w:lineRule="exact"/>
              <w:jc w:val="center"/>
              <w:rPr>
                <w:rFonts w:ascii="宋体" w:hAnsi="宋体" w:cs="宋体"/>
                <w:color w:val="000000"/>
                <w:sz w:val="24"/>
                <w:szCs w:val="24"/>
              </w:rPr>
            </w:pPr>
          </w:p>
        </w:tc>
        <w:tc>
          <w:tcPr>
            <w:tcW w:w="1303" w:type="dxa"/>
            <w:vMerge w:val="continue"/>
            <w:vAlign w:val="center"/>
          </w:tcPr>
          <w:p>
            <w:pPr>
              <w:spacing w:line="440" w:lineRule="exact"/>
              <w:jc w:val="center"/>
              <w:rPr>
                <w:rFonts w:ascii="宋体" w:hAnsi="宋体" w:cs="宋体"/>
                <w:color w:val="000000"/>
                <w:sz w:val="24"/>
                <w:szCs w:val="24"/>
              </w:rPr>
            </w:pPr>
          </w:p>
        </w:tc>
        <w:tc>
          <w:tcPr>
            <w:tcW w:w="1391" w:type="dxa"/>
            <w:vMerge w:val="continue"/>
          </w:tcPr>
          <w:p>
            <w:pPr>
              <w:spacing w:line="44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1" w:type="dxa"/>
            <w:vAlign w:val="center"/>
          </w:tcPr>
          <w:p>
            <w:pPr>
              <w:jc w:val="center"/>
              <w:rPr>
                <w:rFonts w:ascii="宋体"/>
                <w:sz w:val="22"/>
              </w:rPr>
            </w:pPr>
          </w:p>
        </w:tc>
        <w:tc>
          <w:tcPr>
            <w:tcW w:w="695" w:type="dxa"/>
            <w:vAlign w:val="center"/>
          </w:tcPr>
          <w:p>
            <w:pPr>
              <w:jc w:val="center"/>
              <w:rPr>
                <w:rFonts w:ascii="宋体"/>
                <w:sz w:val="22"/>
              </w:rPr>
            </w:pPr>
          </w:p>
        </w:tc>
        <w:tc>
          <w:tcPr>
            <w:tcW w:w="890" w:type="dxa"/>
            <w:vAlign w:val="center"/>
          </w:tcPr>
          <w:p>
            <w:pPr>
              <w:jc w:val="center"/>
              <w:rPr>
                <w:rFonts w:ascii="宋体"/>
                <w:sz w:val="22"/>
              </w:rPr>
            </w:pPr>
          </w:p>
        </w:tc>
        <w:tc>
          <w:tcPr>
            <w:tcW w:w="1318" w:type="dxa"/>
            <w:vAlign w:val="center"/>
          </w:tcPr>
          <w:p>
            <w:pPr>
              <w:jc w:val="center"/>
              <w:rPr>
                <w:rFonts w:ascii="宋体"/>
                <w:sz w:val="22"/>
              </w:rPr>
            </w:pPr>
          </w:p>
        </w:tc>
        <w:tc>
          <w:tcPr>
            <w:tcW w:w="794" w:type="dxa"/>
            <w:vAlign w:val="center"/>
          </w:tcPr>
          <w:p>
            <w:pPr>
              <w:jc w:val="center"/>
              <w:rPr>
                <w:rFonts w:ascii="宋体"/>
                <w:sz w:val="22"/>
              </w:rPr>
            </w:pPr>
          </w:p>
        </w:tc>
        <w:tc>
          <w:tcPr>
            <w:tcW w:w="780" w:type="dxa"/>
            <w:vAlign w:val="center"/>
          </w:tcPr>
          <w:p>
            <w:pPr>
              <w:spacing w:line="440" w:lineRule="exact"/>
              <w:jc w:val="center"/>
              <w:rPr>
                <w:rFonts w:ascii="宋体" w:hAnsi="宋体" w:cs="宋体"/>
                <w:color w:val="000000"/>
                <w:sz w:val="32"/>
                <w:szCs w:val="32"/>
              </w:rPr>
            </w:pPr>
          </w:p>
        </w:tc>
        <w:tc>
          <w:tcPr>
            <w:tcW w:w="780" w:type="dxa"/>
            <w:vAlign w:val="center"/>
          </w:tcPr>
          <w:p>
            <w:pPr>
              <w:spacing w:line="440" w:lineRule="exact"/>
              <w:jc w:val="center"/>
              <w:rPr>
                <w:rFonts w:ascii="宋体" w:hAnsi="宋体" w:cs="宋体"/>
                <w:color w:val="000000"/>
                <w:sz w:val="32"/>
                <w:szCs w:val="32"/>
              </w:rPr>
            </w:pPr>
          </w:p>
        </w:tc>
        <w:tc>
          <w:tcPr>
            <w:tcW w:w="781" w:type="dxa"/>
            <w:vAlign w:val="center"/>
          </w:tcPr>
          <w:p>
            <w:pPr>
              <w:spacing w:line="440" w:lineRule="exact"/>
              <w:jc w:val="center"/>
              <w:rPr>
                <w:rFonts w:ascii="宋体" w:hAnsi="宋体" w:cs="宋体"/>
                <w:color w:val="000000"/>
                <w:sz w:val="32"/>
                <w:szCs w:val="32"/>
              </w:rPr>
            </w:pPr>
          </w:p>
        </w:tc>
        <w:tc>
          <w:tcPr>
            <w:tcW w:w="792" w:type="dxa"/>
          </w:tcPr>
          <w:p>
            <w:pPr>
              <w:spacing w:line="440" w:lineRule="exact"/>
              <w:jc w:val="center"/>
              <w:rPr>
                <w:rFonts w:ascii="宋体" w:hAnsi="宋体" w:cs="宋体"/>
                <w:color w:val="000000"/>
                <w:sz w:val="32"/>
                <w:szCs w:val="32"/>
              </w:rPr>
            </w:pPr>
          </w:p>
        </w:tc>
        <w:tc>
          <w:tcPr>
            <w:tcW w:w="1303" w:type="dxa"/>
            <w:vAlign w:val="center"/>
          </w:tcPr>
          <w:p>
            <w:pPr>
              <w:spacing w:line="440" w:lineRule="exact"/>
              <w:jc w:val="center"/>
              <w:rPr>
                <w:rFonts w:ascii="宋体" w:hAnsi="宋体" w:cs="宋体"/>
                <w:color w:val="000000"/>
                <w:sz w:val="32"/>
                <w:szCs w:val="32"/>
              </w:rPr>
            </w:pPr>
          </w:p>
        </w:tc>
        <w:tc>
          <w:tcPr>
            <w:tcW w:w="1391" w:type="dxa"/>
          </w:tcPr>
          <w:p>
            <w:pPr>
              <w:spacing w:line="440" w:lineRule="exact"/>
              <w:jc w:val="center"/>
              <w:rPr>
                <w:rFonts w:ascii="宋体" w:hAnsi="宋体" w:cs="宋体"/>
                <w:color w:val="000000"/>
                <w:sz w:val="32"/>
                <w:szCs w:val="32"/>
              </w:rPr>
            </w:pPr>
          </w:p>
        </w:tc>
      </w:tr>
    </w:tbl>
    <w:p>
      <w:pPr>
        <w:spacing w:line="440" w:lineRule="exact"/>
        <w:jc w:val="center"/>
        <w:rPr>
          <w:rFonts w:ascii="宋体" w:hAnsi="宋体" w:cs="宋体"/>
          <w:color w:val="000000"/>
          <w:sz w:val="32"/>
          <w:szCs w:val="32"/>
        </w:rPr>
      </w:pPr>
    </w:p>
    <w:p>
      <w:pPr>
        <w:pStyle w:val="155"/>
        <w:adjustRightInd/>
        <w:spacing w:line="315" w:lineRule="atLeast"/>
        <w:textAlignment w:val="bottom"/>
        <w:rPr>
          <w:rFonts w:ascii="宋体" w:hAnsi="宋体" w:cs="宋体"/>
          <w:snapToGrid w:val="0"/>
          <w:sz w:val="21"/>
          <w:szCs w:val="21"/>
          <w:lang w:val="en-US"/>
        </w:rPr>
      </w:pPr>
      <w:r>
        <w:rPr>
          <w:rFonts w:hint="eastAsia" w:ascii="宋体" w:hAnsi="宋体" w:cs="宋体"/>
          <w:snapToGrid w:val="0"/>
          <w:sz w:val="21"/>
          <w:szCs w:val="21"/>
          <w:lang w:val="en-US"/>
        </w:rPr>
        <w:t>注：1.以上所有人员均须是公司正式员工，上表中“月工资”项目必须包含员工的养老保险、工伤保险、医疗保险、生育保险、失业保险。</w:t>
      </w:r>
    </w:p>
    <w:p>
      <w:pPr>
        <w:pStyle w:val="19"/>
        <w:ind w:firstLine="315" w:firstLineChars="150"/>
        <w:rPr>
          <w:rFonts w:hAnsi="宋体" w:cs="宋体"/>
          <w:snapToGrid w:val="0"/>
          <w:sz w:val="21"/>
        </w:rPr>
      </w:pPr>
      <w:r>
        <w:rPr>
          <w:rFonts w:hint="eastAsia" w:hAnsi="宋体" w:cs="宋体"/>
          <w:snapToGrid w:val="0"/>
          <w:sz w:val="21"/>
        </w:rPr>
        <w:t>2.</w:t>
      </w:r>
      <w:r>
        <w:rPr>
          <w:rFonts w:hAnsi="宋体" w:cs="宋体"/>
          <w:snapToGrid w:val="0"/>
          <w:sz w:val="21"/>
        </w:rPr>
        <w:t xml:space="preserve"> </w:t>
      </w:r>
      <w:r>
        <w:rPr>
          <w:rFonts w:hint="eastAsia" w:hAnsi="宋体" w:cs="宋体"/>
          <w:snapToGrid w:val="0"/>
          <w:sz w:val="21"/>
        </w:rPr>
        <w:t>价格按年度报价，每一合同年度填写一张。</w:t>
      </w:r>
    </w:p>
    <w:p>
      <w:pPr>
        <w:pStyle w:val="155"/>
        <w:adjustRightInd/>
        <w:spacing w:line="315" w:lineRule="atLeast"/>
        <w:ind w:left="105" w:leftChars="50" w:firstLine="210" w:firstLineChars="100"/>
        <w:textAlignment w:val="bottom"/>
        <w:rPr>
          <w:rFonts w:ascii="宋体" w:hAnsi="宋体" w:cs="宋体"/>
          <w:snapToGrid w:val="0"/>
          <w:sz w:val="21"/>
          <w:szCs w:val="21"/>
          <w:lang w:val="en-US"/>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widowControl/>
        <w:jc w:val="left"/>
        <w:rPr>
          <w:rFonts w:eastAsia="黑体" w:cs="Calibri"/>
          <w:color w:val="000000"/>
          <w:sz w:val="32"/>
          <w:szCs w:val="32"/>
        </w:rPr>
      </w:pPr>
    </w:p>
    <w:p>
      <w:pPr>
        <w:jc w:val="center"/>
        <w:rPr>
          <w:rFonts w:eastAsia="黑体" w:cs="Calibri"/>
          <w:color w:val="000000"/>
          <w:sz w:val="32"/>
          <w:szCs w:val="32"/>
        </w:rPr>
      </w:pPr>
      <w:r>
        <w:rPr>
          <w:rFonts w:eastAsia="黑体" w:cs="Calibri"/>
          <w:color w:val="000000"/>
          <w:sz w:val="32"/>
          <w:szCs w:val="32"/>
        </w:rPr>
        <w:br w:type="page"/>
      </w:r>
    </w:p>
    <w:p>
      <w:pPr>
        <w:jc w:val="center"/>
        <w:rPr>
          <w:rFonts w:ascii="宋体" w:hAnsi="宋体" w:cs="宋体"/>
          <w:b/>
          <w:bCs/>
          <w:color w:val="000000"/>
          <w:sz w:val="28"/>
          <w:szCs w:val="28"/>
        </w:rPr>
      </w:pPr>
      <w:r>
        <w:rPr>
          <w:rFonts w:hint="eastAsia" w:ascii="宋体" w:hAnsi="宋体"/>
          <w:b/>
          <w:sz w:val="28"/>
          <w:szCs w:val="28"/>
        </w:rPr>
        <w:t xml:space="preserve">附件4-3   </w:t>
      </w:r>
      <w:r>
        <w:rPr>
          <w:rFonts w:hint="eastAsia" w:ascii="宋体" w:hAnsi="宋体" w:cs="宋体"/>
          <w:b/>
          <w:bCs/>
          <w:color w:val="000000"/>
          <w:sz w:val="28"/>
          <w:szCs w:val="28"/>
        </w:rPr>
        <w:t>投标分项报价表（手推车维修耗材）</w:t>
      </w:r>
    </w:p>
    <w:p>
      <w:pPr>
        <w:jc w:val="center"/>
        <w:rPr>
          <w:rFonts w:ascii="宋体" w:hAnsi="宋体" w:cs="宋体"/>
          <w:b/>
          <w:bCs/>
          <w:color w:val="000000"/>
          <w:sz w:val="28"/>
          <w:szCs w:val="28"/>
        </w:rPr>
      </w:pPr>
    </w:p>
    <w:p>
      <w:pPr>
        <w:tabs>
          <w:tab w:val="left" w:pos="7050"/>
        </w:tabs>
        <w:spacing w:before="120"/>
        <w:rPr>
          <w:rFonts w:ascii="宋体" w:hAnsi="宋体" w:cs="宋体"/>
          <w:b/>
          <w:bCs/>
          <w:color w:val="000000"/>
          <w:sz w:val="28"/>
          <w:szCs w:val="28"/>
        </w:rPr>
      </w:pPr>
      <w:r>
        <w:rPr>
          <w:rFonts w:hint="eastAsia" w:ascii="宋体" w:hAnsi="宋体" w:cs="宋体"/>
          <w:color w:val="000000"/>
          <w:sz w:val="24"/>
          <w:szCs w:val="24"/>
        </w:rPr>
        <w:t>项目名称：</w:t>
      </w:r>
      <w:r>
        <w:rPr>
          <w:rFonts w:ascii="宋体" w:hAnsi="宋体" w:cs="宋体"/>
          <w:color w:val="000000"/>
          <w:sz w:val="24"/>
          <w:szCs w:val="24"/>
        </w:rPr>
        <w:tab/>
      </w:r>
      <w:r>
        <w:rPr>
          <w:rFonts w:hint="eastAsia" w:ascii="宋体" w:hAnsi="宋体" w:cs="宋体"/>
          <w:color w:val="000000"/>
          <w:sz w:val="24"/>
          <w:szCs w:val="24"/>
        </w:rPr>
        <w:t>第   年</w:t>
      </w:r>
    </w:p>
    <w:tbl>
      <w:tblPr>
        <w:tblStyle w:val="46"/>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127"/>
        <w:gridCol w:w="992"/>
        <w:gridCol w:w="948"/>
        <w:gridCol w:w="898"/>
        <w:gridCol w:w="1342"/>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58" w:type="dxa"/>
            <w:vAlign w:val="center"/>
          </w:tcPr>
          <w:p>
            <w:pPr>
              <w:tabs>
                <w:tab w:val="left" w:pos="5580"/>
              </w:tabs>
              <w:ind w:left="163" w:hanging="163"/>
              <w:jc w:val="center"/>
              <w:rPr>
                <w:rFonts w:ascii="宋体" w:hAnsi="宋体"/>
                <w:szCs w:val="21"/>
              </w:rPr>
            </w:pPr>
            <w:r>
              <w:rPr>
                <w:rFonts w:ascii="宋体" w:hAnsi="宋体"/>
                <w:szCs w:val="21"/>
              </w:rPr>
              <w:t xml:space="preserve">   手推车服务费用项目</w:t>
            </w:r>
          </w:p>
        </w:tc>
        <w:tc>
          <w:tcPr>
            <w:tcW w:w="1127" w:type="dxa"/>
            <w:vAlign w:val="center"/>
          </w:tcPr>
          <w:p>
            <w:pPr>
              <w:tabs>
                <w:tab w:val="left" w:pos="5580"/>
              </w:tabs>
              <w:ind w:left="163" w:hanging="163"/>
              <w:jc w:val="center"/>
              <w:rPr>
                <w:rFonts w:ascii="宋体" w:hAnsi="宋体"/>
                <w:sz w:val="24"/>
              </w:rPr>
            </w:pPr>
            <w:r>
              <w:rPr>
                <w:rFonts w:hint="eastAsia" w:ascii="宋体" w:hAnsi="宋体"/>
                <w:szCs w:val="21"/>
              </w:rPr>
              <w:t>维修材料名称</w:t>
            </w:r>
          </w:p>
        </w:tc>
        <w:tc>
          <w:tcPr>
            <w:tcW w:w="992" w:type="dxa"/>
            <w:vAlign w:val="center"/>
          </w:tcPr>
          <w:p>
            <w:pPr>
              <w:tabs>
                <w:tab w:val="left" w:pos="5580"/>
              </w:tabs>
              <w:ind w:left="163" w:hanging="163"/>
              <w:jc w:val="center"/>
              <w:rPr>
                <w:rFonts w:ascii="宋体" w:hAnsi="宋体"/>
                <w:szCs w:val="21"/>
              </w:rPr>
            </w:pPr>
            <w:r>
              <w:rPr>
                <w:rFonts w:hint="eastAsia" w:ascii="宋体" w:hAnsi="宋体"/>
                <w:szCs w:val="21"/>
              </w:rPr>
              <w:t>规格型号</w:t>
            </w:r>
          </w:p>
        </w:tc>
        <w:tc>
          <w:tcPr>
            <w:tcW w:w="948" w:type="dxa"/>
            <w:vAlign w:val="center"/>
          </w:tcPr>
          <w:p>
            <w:pPr>
              <w:tabs>
                <w:tab w:val="left" w:pos="5580"/>
              </w:tabs>
              <w:jc w:val="center"/>
              <w:rPr>
                <w:rFonts w:ascii="宋体" w:hAnsi="宋体"/>
                <w:szCs w:val="21"/>
              </w:rPr>
            </w:pPr>
            <w:r>
              <w:rPr>
                <w:rFonts w:hint="eastAsia" w:ascii="宋体" w:hAnsi="宋体"/>
                <w:szCs w:val="21"/>
              </w:rPr>
              <w:t>单位</w:t>
            </w:r>
          </w:p>
        </w:tc>
        <w:tc>
          <w:tcPr>
            <w:tcW w:w="898" w:type="dxa"/>
            <w:vAlign w:val="center"/>
          </w:tcPr>
          <w:p>
            <w:pPr>
              <w:tabs>
                <w:tab w:val="left" w:pos="5580"/>
              </w:tabs>
              <w:jc w:val="center"/>
              <w:rPr>
                <w:rFonts w:ascii="宋体" w:hAnsi="宋体"/>
                <w:szCs w:val="21"/>
              </w:rPr>
            </w:pPr>
            <w:r>
              <w:rPr>
                <w:rFonts w:hint="eastAsia" w:ascii="宋体" w:hAnsi="宋体"/>
                <w:szCs w:val="21"/>
              </w:rPr>
              <w:t>数量</w:t>
            </w:r>
          </w:p>
        </w:tc>
        <w:tc>
          <w:tcPr>
            <w:tcW w:w="1342"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214" w:type="dxa"/>
            <w:vAlign w:val="center"/>
          </w:tcPr>
          <w:p>
            <w:pPr>
              <w:tabs>
                <w:tab w:val="left" w:pos="5580"/>
              </w:tabs>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restart"/>
            <w:vAlign w:val="center"/>
          </w:tcPr>
          <w:p>
            <w:pPr>
              <w:tabs>
                <w:tab w:val="left" w:pos="5580"/>
              </w:tabs>
              <w:ind w:left="-697" w:right="240"/>
              <w:jc w:val="right"/>
              <w:rPr>
                <w:rFonts w:ascii="宋体" w:hAnsi="宋体"/>
                <w:sz w:val="24"/>
              </w:rPr>
            </w:pPr>
            <w:r>
              <w:rPr>
                <w:rFonts w:hint="eastAsia" w:ascii="宋体" w:hAnsi="宋体"/>
                <w:sz w:val="24"/>
              </w:rPr>
              <w:t>维修耗材费用</w:t>
            </w:r>
          </w:p>
        </w:tc>
        <w:tc>
          <w:tcPr>
            <w:tcW w:w="1127" w:type="dxa"/>
            <w:vAlign w:val="center"/>
          </w:tcPr>
          <w:p>
            <w:pPr>
              <w:tabs>
                <w:tab w:val="left" w:pos="5580"/>
              </w:tabs>
              <w:jc w:val="center"/>
              <w:rPr>
                <w:rFonts w:ascii="宋体" w:hAnsi="宋体"/>
                <w:sz w:val="24"/>
              </w:rPr>
            </w:pPr>
          </w:p>
        </w:tc>
        <w:tc>
          <w:tcPr>
            <w:tcW w:w="992" w:type="dxa"/>
            <w:vAlign w:val="center"/>
          </w:tcPr>
          <w:p>
            <w:pPr>
              <w:tabs>
                <w:tab w:val="left" w:pos="5580"/>
              </w:tabs>
              <w:jc w:val="center"/>
              <w:rPr>
                <w:rFonts w:ascii="宋体" w:hAnsi="宋体"/>
                <w:sz w:val="24"/>
              </w:rPr>
            </w:pPr>
          </w:p>
        </w:tc>
        <w:tc>
          <w:tcPr>
            <w:tcW w:w="948" w:type="dxa"/>
            <w:vAlign w:val="center"/>
          </w:tcPr>
          <w:p>
            <w:pPr>
              <w:tabs>
                <w:tab w:val="left" w:pos="5580"/>
              </w:tabs>
              <w:jc w:val="center"/>
              <w:rPr>
                <w:rFonts w:ascii="宋体" w:hAnsi="宋体"/>
                <w:sz w:val="24"/>
              </w:rPr>
            </w:pPr>
          </w:p>
        </w:tc>
        <w:tc>
          <w:tcPr>
            <w:tcW w:w="898"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214" w:type="dxa"/>
            <w:vMerge w:val="restart"/>
            <w:vAlign w:val="center"/>
          </w:tcPr>
          <w:p>
            <w:pPr>
              <w:tabs>
                <w:tab w:val="left" w:pos="5580"/>
              </w:tabs>
              <w:jc w:val="center"/>
              <w:rPr>
                <w:rFonts w:ascii="宋体" w:hAnsi="宋体"/>
                <w:sz w:val="24"/>
              </w:rPr>
            </w:pPr>
            <w:r>
              <w:rPr>
                <w:rFonts w:hint="eastAsia" w:ascii="宋体" w:hAnsi="宋体"/>
                <w:sz w:val="24"/>
              </w:rPr>
              <w:t>可按材质分别报价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127" w:type="dxa"/>
            <w:vAlign w:val="center"/>
          </w:tcPr>
          <w:p>
            <w:pPr>
              <w:tabs>
                <w:tab w:val="left" w:pos="5580"/>
              </w:tabs>
              <w:jc w:val="center"/>
              <w:rPr>
                <w:rFonts w:ascii="宋体" w:hAnsi="宋体"/>
                <w:sz w:val="24"/>
              </w:rPr>
            </w:pPr>
          </w:p>
        </w:tc>
        <w:tc>
          <w:tcPr>
            <w:tcW w:w="992" w:type="dxa"/>
            <w:vAlign w:val="center"/>
          </w:tcPr>
          <w:p>
            <w:pPr>
              <w:tabs>
                <w:tab w:val="left" w:pos="5580"/>
              </w:tabs>
              <w:jc w:val="center"/>
              <w:rPr>
                <w:rFonts w:ascii="宋体" w:hAnsi="宋体"/>
                <w:sz w:val="24"/>
              </w:rPr>
            </w:pPr>
          </w:p>
        </w:tc>
        <w:tc>
          <w:tcPr>
            <w:tcW w:w="948" w:type="dxa"/>
            <w:vAlign w:val="center"/>
          </w:tcPr>
          <w:p>
            <w:pPr>
              <w:tabs>
                <w:tab w:val="left" w:pos="5580"/>
              </w:tabs>
              <w:jc w:val="center"/>
              <w:rPr>
                <w:rFonts w:ascii="宋体" w:hAnsi="宋体"/>
                <w:sz w:val="24"/>
              </w:rPr>
            </w:pPr>
          </w:p>
        </w:tc>
        <w:tc>
          <w:tcPr>
            <w:tcW w:w="898"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127" w:type="dxa"/>
            <w:vAlign w:val="center"/>
          </w:tcPr>
          <w:p>
            <w:pPr>
              <w:tabs>
                <w:tab w:val="left" w:pos="5580"/>
              </w:tabs>
              <w:jc w:val="center"/>
              <w:rPr>
                <w:rFonts w:ascii="宋体" w:hAnsi="宋体"/>
                <w:sz w:val="24"/>
              </w:rPr>
            </w:pPr>
          </w:p>
        </w:tc>
        <w:tc>
          <w:tcPr>
            <w:tcW w:w="992" w:type="dxa"/>
            <w:vAlign w:val="center"/>
          </w:tcPr>
          <w:p>
            <w:pPr>
              <w:tabs>
                <w:tab w:val="left" w:pos="5580"/>
              </w:tabs>
              <w:jc w:val="center"/>
              <w:rPr>
                <w:rFonts w:ascii="宋体" w:hAnsi="宋体"/>
                <w:sz w:val="24"/>
              </w:rPr>
            </w:pPr>
          </w:p>
        </w:tc>
        <w:tc>
          <w:tcPr>
            <w:tcW w:w="948" w:type="dxa"/>
            <w:vAlign w:val="center"/>
          </w:tcPr>
          <w:p>
            <w:pPr>
              <w:tabs>
                <w:tab w:val="left" w:pos="5580"/>
              </w:tabs>
              <w:jc w:val="center"/>
              <w:rPr>
                <w:rFonts w:ascii="宋体" w:hAnsi="宋体"/>
                <w:sz w:val="24"/>
              </w:rPr>
            </w:pPr>
          </w:p>
        </w:tc>
        <w:tc>
          <w:tcPr>
            <w:tcW w:w="898"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127" w:type="dxa"/>
            <w:vAlign w:val="center"/>
          </w:tcPr>
          <w:p>
            <w:pPr>
              <w:tabs>
                <w:tab w:val="left" w:pos="5580"/>
              </w:tabs>
              <w:jc w:val="center"/>
              <w:rPr>
                <w:rFonts w:ascii="宋体" w:hAnsi="宋体"/>
                <w:sz w:val="24"/>
              </w:rPr>
            </w:pPr>
          </w:p>
        </w:tc>
        <w:tc>
          <w:tcPr>
            <w:tcW w:w="992" w:type="dxa"/>
            <w:vAlign w:val="center"/>
          </w:tcPr>
          <w:p>
            <w:pPr>
              <w:tabs>
                <w:tab w:val="left" w:pos="5580"/>
              </w:tabs>
              <w:jc w:val="center"/>
              <w:rPr>
                <w:rFonts w:ascii="宋体" w:hAnsi="宋体"/>
                <w:sz w:val="24"/>
              </w:rPr>
            </w:pPr>
          </w:p>
        </w:tc>
        <w:tc>
          <w:tcPr>
            <w:tcW w:w="948" w:type="dxa"/>
            <w:vAlign w:val="center"/>
          </w:tcPr>
          <w:p>
            <w:pPr>
              <w:tabs>
                <w:tab w:val="left" w:pos="5580"/>
              </w:tabs>
              <w:jc w:val="center"/>
              <w:rPr>
                <w:rFonts w:ascii="宋体" w:hAnsi="宋体"/>
                <w:sz w:val="24"/>
              </w:rPr>
            </w:pPr>
          </w:p>
        </w:tc>
        <w:tc>
          <w:tcPr>
            <w:tcW w:w="898"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127" w:type="dxa"/>
            <w:vAlign w:val="center"/>
          </w:tcPr>
          <w:p>
            <w:pPr>
              <w:tabs>
                <w:tab w:val="left" w:pos="5580"/>
              </w:tabs>
              <w:jc w:val="center"/>
              <w:rPr>
                <w:rFonts w:ascii="宋体" w:hAnsi="宋体"/>
                <w:sz w:val="24"/>
              </w:rPr>
            </w:pPr>
          </w:p>
        </w:tc>
        <w:tc>
          <w:tcPr>
            <w:tcW w:w="992" w:type="dxa"/>
            <w:vAlign w:val="center"/>
          </w:tcPr>
          <w:p>
            <w:pPr>
              <w:tabs>
                <w:tab w:val="left" w:pos="5580"/>
              </w:tabs>
              <w:jc w:val="center"/>
              <w:rPr>
                <w:rFonts w:ascii="宋体" w:hAnsi="宋体"/>
                <w:sz w:val="24"/>
              </w:rPr>
            </w:pPr>
          </w:p>
        </w:tc>
        <w:tc>
          <w:tcPr>
            <w:tcW w:w="948" w:type="dxa"/>
            <w:vAlign w:val="center"/>
          </w:tcPr>
          <w:p>
            <w:pPr>
              <w:tabs>
                <w:tab w:val="left" w:pos="5580"/>
              </w:tabs>
              <w:jc w:val="center"/>
              <w:rPr>
                <w:rFonts w:ascii="宋体" w:hAnsi="宋体"/>
                <w:sz w:val="24"/>
              </w:rPr>
            </w:pPr>
          </w:p>
        </w:tc>
        <w:tc>
          <w:tcPr>
            <w:tcW w:w="898"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127" w:type="dxa"/>
            <w:vAlign w:val="center"/>
          </w:tcPr>
          <w:p>
            <w:pPr>
              <w:tabs>
                <w:tab w:val="left" w:pos="5580"/>
              </w:tabs>
              <w:jc w:val="center"/>
              <w:rPr>
                <w:rFonts w:ascii="宋体" w:hAnsi="宋体"/>
                <w:sz w:val="24"/>
              </w:rPr>
            </w:pPr>
          </w:p>
        </w:tc>
        <w:tc>
          <w:tcPr>
            <w:tcW w:w="992" w:type="dxa"/>
            <w:vAlign w:val="center"/>
          </w:tcPr>
          <w:p>
            <w:pPr>
              <w:tabs>
                <w:tab w:val="left" w:pos="5580"/>
              </w:tabs>
              <w:jc w:val="center"/>
              <w:rPr>
                <w:rFonts w:ascii="宋体" w:hAnsi="宋体"/>
                <w:sz w:val="24"/>
              </w:rPr>
            </w:pPr>
          </w:p>
        </w:tc>
        <w:tc>
          <w:tcPr>
            <w:tcW w:w="948" w:type="dxa"/>
            <w:vAlign w:val="center"/>
          </w:tcPr>
          <w:p>
            <w:pPr>
              <w:tabs>
                <w:tab w:val="left" w:pos="5580"/>
              </w:tabs>
              <w:jc w:val="center"/>
              <w:rPr>
                <w:rFonts w:ascii="宋体" w:hAnsi="宋体"/>
                <w:sz w:val="24"/>
              </w:rPr>
            </w:pPr>
          </w:p>
        </w:tc>
        <w:tc>
          <w:tcPr>
            <w:tcW w:w="898"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127" w:type="dxa"/>
            <w:vAlign w:val="center"/>
          </w:tcPr>
          <w:p>
            <w:pPr>
              <w:tabs>
                <w:tab w:val="left" w:pos="5580"/>
              </w:tabs>
              <w:jc w:val="center"/>
              <w:rPr>
                <w:rFonts w:ascii="宋体" w:hAnsi="宋体"/>
                <w:sz w:val="24"/>
              </w:rPr>
            </w:pPr>
          </w:p>
        </w:tc>
        <w:tc>
          <w:tcPr>
            <w:tcW w:w="992" w:type="dxa"/>
            <w:vAlign w:val="center"/>
          </w:tcPr>
          <w:p>
            <w:pPr>
              <w:tabs>
                <w:tab w:val="left" w:pos="5580"/>
              </w:tabs>
              <w:jc w:val="center"/>
              <w:rPr>
                <w:rFonts w:ascii="宋体" w:hAnsi="宋体"/>
                <w:sz w:val="24"/>
              </w:rPr>
            </w:pPr>
          </w:p>
        </w:tc>
        <w:tc>
          <w:tcPr>
            <w:tcW w:w="948" w:type="dxa"/>
            <w:vAlign w:val="center"/>
          </w:tcPr>
          <w:p>
            <w:pPr>
              <w:tabs>
                <w:tab w:val="left" w:pos="5580"/>
              </w:tabs>
              <w:jc w:val="center"/>
              <w:rPr>
                <w:rFonts w:ascii="宋体" w:hAnsi="宋体"/>
                <w:sz w:val="24"/>
              </w:rPr>
            </w:pPr>
          </w:p>
        </w:tc>
        <w:tc>
          <w:tcPr>
            <w:tcW w:w="898"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6521" w:type="dxa"/>
            <w:gridSpan w:val="6"/>
            <w:vAlign w:val="center"/>
          </w:tcPr>
          <w:p>
            <w:pPr>
              <w:tabs>
                <w:tab w:val="left" w:pos="5580"/>
              </w:tabs>
              <w:jc w:val="center"/>
              <w:rPr>
                <w:rFonts w:ascii="宋体" w:hAnsi="宋体"/>
                <w:sz w:val="24"/>
              </w:rPr>
            </w:pPr>
          </w:p>
        </w:tc>
      </w:tr>
    </w:tbl>
    <w:p>
      <w:pPr>
        <w:pStyle w:val="19"/>
        <w:rPr>
          <w:rFonts w:hAnsi="宋体"/>
          <w:sz w:val="24"/>
          <w:szCs w:val="24"/>
        </w:rPr>
      </w:pPr>
      <w:r>
        <w:rPr>
          <w:rFonts w:hint="eastAsia" w:hAnsi="宋体"/>
          <w:sz w:val="24"/>
          <w:szCs w:val="24"/>
        </w:rPr>
        <w:t>注:1、价格按年度报价，每一合同年度填写一张</w:t>
      </w:r>
    </w:p>
    <w:p>
      <w:pPr>
        <w:pStyle w:val="19"/>
        <w:ind w:right="-334" w:rightChars="-159"/>
        <w:rPr>
          <w:rFonts w:hAnsi="宋体"/>
          <w:sz w:val="24"/>
          <w:szCs w:val="24"/>
        </w:rPr>
      </w:pPr>
      <w:r>
        <w:rPr>
          <w:rFonts w:hint="eastAsia" w:hAnsi="宋体"/>
          <w:sz w:val="24"/>
          <w:szCs w:val="24"/>
        </w:rPr>
        <w:t xml:space="preserve">   </w:t>
      </w: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jc w:val="center"/>
        <w:rPr>
          <w:rFonts w:ascii="宋体" w:hAnsi="宋体" w:cs="宋体"/>
          <w:b/>
          <w:bCs/>
          <w:color w:val="000000"/>
          <w:sz w:val="28"/>
          <w:szCs w:val="28"/>
        </w:rPr>
      </w:pPr>
    </w:p>
    <w:p>
      <w:pPr>
        <w:jc w:val="center"/>
        <w:rPr>
          <w:rFonts w:ascii="宋体" w:hAnsi="宋体" w:cs="宋体"/>
          <w:b/>
          <w:bCs/>
          <w:color w:val="000000"/>
          <w:sz w:val="28"/>
          <w:szCs w:val="28"/>
        </w:rPr>
      </w:pPr>
    </w:p>
    <w:p>
      <w:pPr>
        <w:widowControl/>
        <w:jc w:val="left"/>
        <w:rPr>
          <w:rFonts w:ascii="宋体" w:hAnsi="宋体"/>
          <w:b/>
          <w:sz w:val="28"/>
          <w:szCs w:val="28"/>
        </w:rPr>
      </w:pPr>
      <w:r>
        <w:rPr>
          <w:rFonts w:ascii="宋体" w:hAnsi="宋体"/>
          <w:b/>
          <w:sz w:val="28"/>
          <w:szCs w:val="28"/>
        </w:rPr>
        <w:br w:type="page"/>
      </w:r>
    </w:p>
    <w:p>
      <w:pPr>
        <w:jc w:val="center"/>
        <w:rPr>
          <w:rFonts w:ascii="宋体" w:hAnsi="宋体" w:cs="宋体"/>
          <w:b/>
          <w:bCs/>
          <w:color w:val="000000"/>
          <w:sz w:val="28"/>
          <w:szCs w:val="28"/>
        </w:rPr>
      </w:pPr>
      <w:r>
        <w:rPr>
          <w:rFonts w:hint="eastAsia" w:ascii="宋体" w:hAnsi="宋体"/>
          <w:b/>
          <w:sz w:val="28"/>
          <w:szCs w:val="28"/>
        </w:rPr>
        <w:t xml:space="preserve">附件4-4   </w:t>
      </w:r>
      <w:r>
        <w:rPr>
          <w:rFonts w:hint="eastAsia" w:ascii="宋体" w:hAnsi="宋体" w:cs="宋体"/>
          <w:b/>
          <w:bCs/>
          <w:color w:val="000000"/>
          <w:sz w:val="28"/>
          <w:szCs w:val="28"/>
        </w:rPr>
        <w:t>投标分项报价表（手推车牵引设备使用费）</w:t>
      </w:r>
    </w:p>
    <w:p>
      <w:pPr>
        <w:jc w:val="center"/>
        <w:rPr>
          <w:rFonts w:ascii="宋体" w:hAnsi="宋体" w:cs="宋体"/>
          <w:b/>
          <w:bCs/>
          <w:color w:val="000000"/>
          <w:sz w:val="28"/>
          <w:szCs w:val="28"/>
        </w:rPr>
      </w:pPr>
    </w:p>
    <w:p>
      <w:pPr>
        <w:tabs>
          <w:tab w:val="left" w:pos="7050"/>
        </w:tabs>
        <w:spacing w:before="120"/>
        <w:rPr>
          <w:rFonts w:ascii="仿宋_GB2312" w:hAnsi="仿宋_GB2312" w:eastAsia="仿宋_GB2312" w:cs="仿宋_GB2312"/>
          <w:color w:val="000000"/>
          <w:sz w:val="24"/>
          <w:szCs w:val="24"/>
        </w:rPr>
      </w:pPr>
      <w:r>
        <w:rPr>
          <w:rFonts w:hint="eastAsia" w:ascii="宋体" w:hAnsi="宋体" w:cs="宋体"/>
          <w:color w:val="000000"/>
          <w:sz w:val="24"/>
          <w:szCs w:val="24"/>
        </w:rPr>
        <w:t>项目名称：</w:t>
      </w:r>
      <w:r>
        <w:rPr>
          <w:rFonts w:ascii="宋体" w:hAnsi="宋体" w:cs="宋体"/>
          <w:color w:val="000000"/>
          <w:sz w:val="24"/>
          <w:szCs w:val="24"/>
        </w:rPr>
        <w:tab/>
      </w:r>
      <w:r>
        <w:rPr>
          <w:rFonts w:hint="eastAsia" w:ascii="宋体" w:hAnsi="宋体" w:cs="宋体"/>
          <w:color w:val="000000"/>
          <w:sz w:val="24"/>
          <w:szCs w:val="24"/>
        </w:rPr>
        <w:t>第   年</w:t>
      </w:r>
    </w:p>
    <w:p>
      <w:pPr>
        <w:widowControl/>
        <w:jc w:val="left"/>
        <w:rPr>
          <w:rFonts w:ascii="仿宋_GB2312" w:hAnsi="仿宋_GB2312" w:eastAsia="仿宋_GB2312"/>
          <w:sz w:val="24"/>
          <w:szCs w:val="24"/>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526"/>
        <w:gridCol w:w="1523"/>
        <w:gridCol w:w="1488"/>
        <w:gridCol w:w="153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241" w:type="dxa"/>
            <w:vAlign w:val="center"/>
          </w:tcPr>
          <w:p>
            <w:pPr>
              <w:tabs>
                <w:tab w:val="left" w:pos="5580"/>
              </w:tabs>
              <w:ind w:left="-697" w:right="240"/>
              <w:jc w:val="right"/>
              <w:rPr>
                <w:rFonts w:ascii="宋体" w:hAnsi="宋体"/>
                <w:sz w:val="24"/>
              </w:rPr>
            </w:pPr>
            <w:r>
              <w:rPr>
                <w:rFonts w:hint="eastAsia" w:ascii="宋体" w:hAnsi="宋体"/>
                <w:sz w:val="24"/>
              </w:rPr>
              <w:t xml:space="preserve">   手推车服务项目</w:t>
            </w:r>
          </w:p>
        </w:tc>
        <w:tc>
          <w:tcPr>
            <w:tcW w:w="1526" w:type="dxa"/>
            <w:vAlign w:val="center"/>
          </w:tcPr>
          <w:p>
            <w:pPr>
              <w:tabs>
                <w:tab w:val="left" w:pos="5580"/>
              </w:tabs>
              <w:ind w:left="163" w:hanging="163"/>
              <w:jc w:val="center"/>
              <w:rPr>
                <w:rFonts w:ascii="宋体" w:hAnsi="宋体"/>
                <w:sz w:val="24"/>
              </w:rPr>
            </w:pPr>
            <w:r>
              <w:rPr>
                <w:rFonts w:hint="eastAsia" w:ascii="宋体" w:hAnsi="宋体"/>
                <w:szCs w:val="21"/>
              </w:rPr>
              <w:t>设备名称</w:t>
            </w:r>
          </w:p>
        </w:tc>
        <w:tc>
          <w:tcPr>
            <w:tcW w:w="1523" w:type="dxa"/>
            <w:vAlign w:val="center"/>
          </w:tcPr>
          <w:p>
            <w:pPr>
              <w:tabs>
                <w:tab w:val="left" w:pos="5580"/>
              </w:tabs>
              <w:ind w:left="163" w:hanging="163"/>
              <w:jc w:val="center"/>
              <w:rPr>
                <w:rFonts w:ascii="宋体" w:hAnsi="宋体"/>
                <w:szCs w:val="21"/>
              </w:rPr>
            </w:pPr>
            <w:r>
              <w:rPr>
                <w:rFonts w:hint="eastAsia" w:ascii="宋体" w:hAnsi="宋体"/>
                <w:szCs w:val="21"/>
              </w:rPr>
              <w:t>品牌</w:t>
            </w:r>
          </w:p>
        </w:tc>
        <w:tc>
          <w:tcPr>
            <w:tcW w:w="1488"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535"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315" w:type="dxa"/>
            <w:vAlign w:val="center"/>
          </w:tcPr>
          <w:p>
            <w:pPr>
              <w:tabs>
                <w:tab w:val="left" w:pos="5580"/>
              </w:tabs>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restart"/>
            <w:vAlign w:val="center"/>
          </w:tcPr>
          <w:p>
            <w:pPr>
              <w:tabs>
                <w:tab w:val="left" w:pos="5580"/>
              </w:tabs>
              <w:ind w:left="-697" w:right="600"/>
              <w:jc w:val="right"/>
              <w:rPr>
                <w:rFonts w:ascii="宋体" w:hAnsi="宋体"/>
                <w:sz w:val="24"/>
              </w:rPr>
            </w:pPr>
            <w:r>
              <w:rPr>
                <w:rFonts w:hint="eastAsia" w:ascii="宋体" w:hAnsi="宋体"/>
                <w:sz w:val="24"/>
              </w:rPr>
              <w:t>牵引设备</w:t>
            </w: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restart"/>
            <w:vAlign w:val="center"/>
          </w:tcPr>
          <w:p>
            <w:pPr>
              <w:tabs>
                <w:tab w:val="left" w:pos="5580"/>
              </w:tabs>
              <w:jc w:val="center"/>
              <w:rPr>
                <w:rFonts w:ascii="宋体" w:hAnsi="宋体"/>
                <w:sz w:val="24"/>
              </w:rPr>
            </w:pPr>
            <w:r>
              <w:rPr>
                <w:rFonts w:hint="eastAsia" w:ascii="宋体" w:hAnsi="宋体"/>
                <w:sz w:val="24"/>
              </w:rPr>
              <w:t>提供详细设备数据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6072" w:type="dxa"/>
            <w:gridSpan w:val="4"/>
            <w:vAlign w:val="center"/>
          </w:tcPr>
          <w:p>
            <w:pPr>
              <w:tabs>
                <w:tab w:val="left" w:pos="5580"/>
              </w:tabs>
              <w:jc w:val="center"/>
              <w:rPr>
                <w:rFonts w:ascii="宋体" w:hAnsi="宋体"/>
                <w:sz w:val="24"/>
              </w:rPr>
            </w:pPr>
          </w:p>
        </w:tc>
        <w:tc>
          <w:tcPr>
            <w:tcW w:w="1315" w:type="dxa"/>
            <w:vAlign w:val="center"/>
          </w:tcPr>
          <w:p>
            <w:pPr>
              <w:tabs>
                <w:tab w:val="left" w:pos="5580"/>
              </w:tabs>
              <w:jc w:val="center"/>
              <w:rPr>
                <w:rFonts w:ascii="宋体" w:hAnsi="宋体"/>
                <w:sz w:val="24"/>
              </w:rPr>
            </w:pPr>
          </w:p>
        </w:tc>
      </w:tr>
    </w:tbl>
    <w:p>
      <w:pPr>
        <w:pStyle w:val="19"/>
        <w:rPr>
          <w:rFonts w:hAnsi="宋体"/>
          <w:sz w:val="24"/>
          <w:szCs w:val="24"/>
        </w:rPr>
      </w:pPr>
      <w:r>
        <w:rPr>
          <w:rFonts w:hint="eastAsia" w:hAnsi="宋体"/>
          <w:sz w:val="24"/>
          <w:szCs w:val="24"/>
        </w:rPr>
        <w:t>注:1、价格按年度报价，每一合同年度填写一张</w:t>
      </w:r>
    </w:p>
    <w:p>
      <w:pPr>
        <w:pStyle w:val="19"/>
        <w:ind w:right="-334" w:rightChars="-159"/>
        <w:rPr>
          <w:rFonts w:hAnsi="宋体"/>
          <w:sz w:val="24"/>
          <w:szCs w:val="24"/>
        </w:rPr>
      </w:pPr>
      <w:r>
        <w:rPr>
          <w:rFonts w:hint="eastAsia" w:hAnsi="宋体"/>
          <w:sz w:val="24"/>
          <w:szCs w:val="24"/>
        </w:rPr>
        <w:t xml:space="preserve">   2、如果不按备注栏中要求提供详细设备数据，将视为没有实质性响应招标文件。</w:t>
      </w: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widowControl/>
        <w:jc w:val="left"/>
        <w:rPr>
          <w:rFonts w:ascii="仿宋_GB2312" w:hAnsi="仿宋_GB2312" w:eastAsia="仿宋_GB2312"/>
          <w:sz w:val="24"/>
          <w:szCs w:val="24"/>
        </w:rPr>
      </w:pPr>
    </w:p>
    <w:p>
      <w:pPr>
        <w:widowControl/>
        <w:jc w:val="left"/>
        <w:rPr>
          <w:rFonts w:ascii="宋体" w:hAnsi="宋体"/>
          <w:b/>
          <w:sz w:val="28"/>
          <w:szCs w:val="28"/>
        </w:rPr>
      </w:pPr>
      <w:r>
        <w:rPr>
          <w:rFonts w:ascii="宋体" w:hAnsi="宋体"/>
          <w:b/>
          <w:sz w:val="28"/>
          <w:szCs w:val="28"/>
        </w:rPr>
        <w:br w:type="page"/>
      </w:r>
    </w:p>
    <w:p>
      <w:pPr>
        <w:jc w:val="center"/>
        <w:rPr>
          <w:rFonts w:ascii="宋体" w:hAnsi="宋体"/>
          <w:b/>
          <w:sz w:val="28"/>
          <w:szCs w:val="28"/>
        </w:rPr>
      </w:pPr>
      <w:r>
        <w:rPr>
          <w:rFonts w:hint="eastAsia" w:ascii="宋体" w:hAnsi="宋体"/>
          <w:b/>
          <w:sz w:val="28"/>
          <w:szCs w:val="28"/>
        </w:rPr>
        <w:t>附件4－5 投标分项报价表（管理费）</w:t>
      </w:r>
    </w:p>
    <w:p>
      <w:pPr>
        <w:widowControl/>
        <w:jc w:val="left"/>
        <w:rPr>
          <w:rFonts w:ascii="仿宋_GB2312" w:hAnsi="仿宋_GB2312" w:eastAsia="仿宋_GB2312"/>
          <w:sz w:val="24"/>
          <w:szCs w:val="24"/>
        </w:rPr>
      </w:pPr>
      <w:r>
        <w:rPr>
          <w:rFonts w:ascii="仿宋_GB2312" w:hAnsi="仿宋_GB2312" w:eastAsia="仿宋_GB2312"/>
          <w:sz w:val="24"/>
          <w:szCs w:val="24"/>
        </w:rPr>
        <w:br w:type="page"/>
      </w:r>
    </w:p>
    <w:p>
      <w:pPr>
        <w:spacing w:line="360" w:lineRule="auto"/>
        <w:jc w:val="center"/>
        <w:outlineLvl w:val="0"/>
        <w:rPr>
          <w:rFonts w:eastAsia="黑体" w:cs="Calibri"/>
          <w:bCs/>
          <w:color w:val="000000"/>
          <w:sz w:val="32"/>
          <w:szCs w:val="32"/>
        </w:rPr>
      </w:pPr>
      <w:r>
        <w:rPr>
          <w:rFonts w:eastAsia="黑体" w:cs="Calibri"/>
          <w:bCs/>
          <w:color w:val="000000"/>
          <w:sz w:val="32"/>
          <w:szCs w:val="32"/>
        </w:rPr>
        <w:t>五、</w:t>
      </w:r>
      <w:r>
        <w:rPr>
          <w:rFonts w:hint="eastAsia" w:eastAsia="黑体" w:cs="Calibri"/>
          <w:bCs/>
          <w:color w:val="000000"/>
          <w:sz w:val="32"/>
          <w:szCs w:val="32"/>
        </w:rPr>
        <w:t>项目管理人员团队情况表</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）项目经理简介</w:t>
      </w:r>
    </w:p>
    <w:p>
      <w:pPr>
        <w:spacing w:line="440" w:lineRule="exact"/>
        <w:rPr>
          <w:rFonts w:hAnsi="宋体"/>
          <w:szCs w:val="21"/>
        </w:rPr>
      </w:pPr>
      <w:r>
        <w:rPr>
          <w:rFonts w:hAnsi="宋体"/>
          <w:szCs w:val="21"/>
        </w:rPr>
        <w:t>项目</w:t>
      </w:r>
      <w:r>
        <w:rPr>
          <w:rFonts w:hint="eastAsia" w:hAnsi="宋体"/>
          <w:szCs w:val="21"/>
        </w:rPr>
        <w:t>名称</w:t>
      </w:r>
      <w:r>
        <w:rPr>
          <w:rFonts w:hAnsi="宋体"/>
          <w:szCs w:val="21"/>
        </w:rPr>
        <w:t>：</w:t>
      </w:r>
      <w:r>
        <w:rPr>
          <w:rFonts w:hint="eastAsia" w:hAnsi="宋体"/>
          <w:szCs w:val="21"/>
        </w:rPr>
        <w:t xml:space="preserve">                                   </w:t>
      </w:r>
      <w:r>
        <w:t xml:space="preserve">  </w:t>
      </w:r>
      <w:r>
        <w:rPr>
          <w:rFonts w:hint="eastAsia"/>
        </w:rPr>
        <w:t xml:space="preserve">   </w:t>
      </w:r>
    </w:p>
    <w:tbl>
      <w:tblPr>
        <w:tblStyle w:val="4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112"/>
        <w:gridCol w:w="1701"/>
        <w:gridCol w:w="44"/>
        <w:gridCol w:w="78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4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40" w:type="dxa"/>
            <w:gridSpan w:val="4"/>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身份证号码</w:t>
            </w:r>
          </w:p>
        </w:tc>
        <w:tc>
          <w:tcPr>
            <w:tcW w:w="382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联系电话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2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pPr>
            <w:r>
              <w:t>曾获得的关于</w:t>
            </w:r>
            <w:r>
              <w:rPr>
                <w:rFonts w:hint="eastAsia"/>
              </w:rPr>
              <w:t>物业服务</w:t>
            </w:r>
            <w:r>
              <w:t>方面的奖励情况</w:t>
            </w:r>
            <w:r>
              <w:rPr>
                <w:rFonts w:hint="eastAsia"/>
              </w:rPr>
              <w:t>（后附奖励证书复印件）</w:t>
            </w:r>
            <w:r>
              <w:t>：</w:t>
            </w:r>
          </w:p>
          <w:p>
            <w:pPr>
              <w:snapToGrid w:val="0"/>
              <w:jc w:val="center"/>
            </w:pPr>
          </w:p>
          <w:p>
            <w:pPr>
              <w:snapToGrid w:val="0"/>
              <w:jc w:val="center"/>
            </w:pPr>
          </w:p>
          <w:p>
            <w:pPr>
              <w:snapToGrid w:val="0"/>
              <w:jc w:val="cente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pPr>
            <w:r>
              <w:t>其他需要说明的情况</w:t>
            </w:r>
            <w:r>
              <w:rPr>
                <w:rFonts w:hint="eastAsia"/>
              </w:rPr>
              <w:t>：</w:t>
            </w:r>
          </w:p>
          <w:p>
            <w:pPr>
              <w:snapToGrid w:val="0"/>
            </w:pPr>
          </w:p>
          <w:p>
            <w:pPr>
              <w:snapToGrid w:val="0"/>
            </w:pPr>
          </w:p>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业主</w:t>
            </w: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规模</w:t>
            </w:r>
          </w:p>
        </w:tc>
        <w:tc>
          <w:tcPr>
            <w:tcW w:w="405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Calibri" w:cs="Calibri"/>
                <w:kern w:val="2"/>
                <w:sz w:val="21"/>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jc w:val="center"/>
        <w:rPr>
          <w:b/>
          <w:bCs/>
          <w:sz w:val="32"/>
          <w:szCs w:val="24"/>
        </w:rPr>
      </w:pPr>
    </w:p>
    <w:p>
      <w:pPr>
        <w:rPr>
          <w:b/>
          <w:bCs/>
          <w:szCs w:val="21"/>
        </w:rPr>
      </w:pPr>
    </w:p>
    <w:p>
      <w:pPr>
        <w:widowControl/>
        <w:jc w:val="left"/>
        <w:rPr>
          <w:rFonts w:eastAsia="黑体" w:cs="Calibri"/>
          <w:color w:val="000000"/>
          <w:sz w:val="32"/>
          <w:szCs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4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241"/>
              <w:jc w:val="center"/>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rPr>
          <w:rFonts w:ascii="仿宋_GB2312" w:hAnsi="仿宋_GB2312" w:eastAsia="仿宋_GB2312"/>
          <w:sz w:val="24"/>
          <w:szCs w:val="24"/>
        </w:rPr>
      </w:pPr>
    </w:p>
    <w:p>
      <w:pPr>
        <w:widowControl/>
        <w:jc w:val="left"/>
        <w:rPr>
          <w:rFonts w:eastAsia="黑体" w:cs="Calibri"/>
          <w:bCs/>
          <w:color w:val="000000"/>
          <w:sz w:val="32"/>
          <w:szCs w:val="32"/>
        </w:rPr>
      </w:pPr>
      <w:r>
        <w:rPr>
          <w:rFonts w:eastAsia="黑体" w:cs="Calibri"/>
          <w:bCs/>
          <w:color w:val="000000"/>
          <w:sz w:val="32"/>
          <w:szCs w:val="32"/>
        </w:rPr>
        <w:br w:type="page"/>
      </w:r>
    </w:p>
    <w:p>
      <w:pPr>
        <w:spacing w:line="360" w:lineRule="auto"/>
        <w:jc w:val="center"/>
        <w:outlineLvl w:val="0"/>
        <w:rPr>
          <w:rFonts w:eastAsia="黑体" w:cs="Calibri"/>
          <w:bCs/>
          <w:color w:val="000000"/>
          <w:sz w:val="32"/>
          <w:szCs w:val="32"/>
        </w:rPr>
      </w:pPr>
      <w:r>
        <w:rPr>
          <w:rFonts w:hint="eastAsia" w:eastAsia="黑体" w:cs="Calibri"/>
          <w:bCs/>
          <w:color w:val="000000"/>
          <w:sz w:val="32"/>
          <w:szCs w:val="32"/>
        </w:rPr>
        <w:t>六</w:t>
      </w:r>
      <w:r>
        <w:rPr>
          <w:rFonts w:eastAsia="黑体" w:cs="Calibri"/>
          <w:bCs/>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4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w:t>
      </w:r>
      <w:r>
        <w:rPr>
          <w:rFonts w:hint="eastAsia" w:eastAsia="黑体" w:cs="Calibri"/>
          <w:color w:val="000000"/>
          <w:sz w:val="32"/>
          <w:szCs w:val="32"/>
        </w:rPr>
        <w:t>近年（自</w:t>
      </w:r>
      <w:r>
        <w:rPr>
          <w:rFonts w:eastAsia="黑体" w:cs="Calibri"/>
          <w:color w:val="000000"/>
          <w:sz w:val="32"/>
          <w:szCs w:val="32"/>
        </w:rPr>
        <w:t>2016年1月1日至投标截止日）完成类似</w:t>
      </w:r>
      <w:r>
        <w:rPr>
          <w:rFonts w:hint="eastAsia" w:eastAsia="黑体" w:cs="Calibri"/>
          <w:color w:val="000000"/>
          <w:sz w:val="32"/>
          <w:szCs w:val="32"/>
        </w:rPr>
        <w:t>项目业绩</w:t>
      </w:r>
      <w:r>
        <w:rPr>
          <w:rFonts w:eastAsia="黑体" w:cs="Calibri"/>
          <w:color w:val="000000"/>
          <w:sz w:val="32"/>
          <w:szCs w:val="32"/>
        </w:rPr>
        <w:t>情况</w:t>
      </w:r>
    </w:p>
    <w:tbl>
      <w:tblPr>
        <w:tblStyle w:val="46"/>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1101"/>
        <w:gridCol w:w="1239"/>
        <w:gridCol w:w="876"/>
        <w:gridCol w:w="1356"/>
        <w:gridCol w:w="923"/>
        <w:gridCol w:w="673"/>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单位</w:t>
            </w:r>
          </w:p>
        </w:tc>
        <w:tc>
          <w:tcPr>
            <w:tcW w:w="11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rPr>
                <w:rFonts w:cs="Calibri"/>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left"/>
              <w:rPr>
                <w:rFonts w:cs="Calibri"/>
                <w:szCs w:val="21"/>
              </w:rPr>
            </w:pPr>
          </w:p>
          <w:p>
            <w:pPr>
              <w:snapToGrid w:val="0"/>
              <w:jc w:val="center"/>
              <w:rPr>
                <w:rFonts w:cs="Calibri"/>
                <w:szCs w:val="21"/>
              </w:rPr>
            </w:pPr>
            <w:r>
              <w:rPr>
                <w:rFonts w:hint="eastAsia" w:cs="Calibri"/>
                <w:szCs w:val="21"/>
              </w:rPr>
              <w:t>项目</w:t>
            </w:r>
            <w:r>
              <w:rPr>
                <w:rFonts w:cs="Calibri"/>
                <w:szCs w:val="21"/>
              </w:rPr>
              <w:t>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w:t>
            </w:r>
            <w:r>
              <w:rPr>
                <w:rFonts w:hint="eastAsia" w:cs="Calibri"/>
                <w:szCs w:val="21"/>
              </w:rPr>
              <w:t>面积</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人员</w:t>
            </w: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费用</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2"/>
              <w:spacing w:line="360" w:lineRule="auto"/>
              <w:ind w:left="5250"/>
              <w:rPr>
                <w:rFonts w:ascii="Calibri" w:hAnsi="Calibri" w:cs="Calibri"/>
                <w:kern w:val="2"/>
                <w:sz w:val="21"/>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1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92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67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360" w:lineRule="auto"/>
        <w:jc w:val="center"/>
        <w:outlineLvl w:val="0"/>
        <w:rPr>
          <w:rFonts w:eastAsia="黑体" w:cs="Calibri"/>
          <w:bCs/>
          <w:color w:val="000000"/>
          <w:sz w:val="32"/>
          <w:szCs w:val="32"/>
        </w:rPr>
      </w:pPr>
      <w:r>
        <w:rPr>
          <w:rFonts w:hint="eastAsia" w:eastAsia="黑体" w:cs="Calibri"/>
          <w:bCs/>
          <w:color w:val="000000"/>
          <w:sz w:val="32"/>
          <w:szCs w:val="32"/>
        </w:rPr>
        <w:t>七</w:t>
      </w:r>
      <w:r>
        <w:rPr>
          <w:rFonts w:eastAsia="黑体" w:cs="Calibri"/>
          <w:bCs/>
          <w:color w:val="000000"/>
          <w:sz w:val="32"/>
          <w:szCs w:val="32"/>
        </w:rPr>
        <w:t>、</w:t>
      </w:r>
      <w:r>
        <w:rPr>
          <w:rFonts w:hint="eastAsia" w:eastAsia="黑体" w:cs="Calibri"/>
          <w:bCs/>
          <w:color w:val="000000"/>
          <w:sz w:val="32"/>
          <w:szCs w:val="32"/>
        </w:rPr>
        <w:t>服务大纲</w:t>
      </w: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eastAsia="黑体" w:cs="Calibri"/>
          <w:bCs/>
          <w:color w:val="000000"/>
          <w:sz w:val="32"/>
          <w:szCs w:val="32"/>
        </w:rPr>
      </w:pPr>
      <w:r>
        <w:rPr>
          <w:rFonts w:eastAsia="黑体" w:cs="Calibri"/>
          <w:bCs/>
          <w:color w:val="000000"/>
          <w:sz w:val="32"/>
          <w:szCs w:val="32"/>
        </w:rPr>
        <w:br w:type="page"/>
      </w:r>
    </w:p>
    <w:p>
      <w:pPr>
        <w:spacing w:line="360" w:lineRule="auto"/>
        <w:jc w:val="center"/>
        <w:outlineLvl w:val="0"/>
        <w:rPr>
          <w:rFonts w:eastAsia="黑体" w:cs="Calibri"/>
          <w:bCs/>
          <w:color w:val="000000"/>
          <w:sz w:val="32"/>
          <w:szCs w:val="32"/>
        </w:rPr>
      </w:pPr>
      <w:r>
        <w:rPr>
          <w:rFonts w:hint="eastAsia" w:eastAsia="黑体" w:cs="Calibri"/>
          <w:bCs/>
          <w:color w:val="000000"/>
          <w:sz w:val="32"/>
          <w:szCs w:val="32"/>
        </w:rPr>
        <w:t>八、服务承诺</w:t>
      </w:r>
    </w:p>
    <w:p>
      <w:pPr>
        <w:spacing w:line="360" w:lineRule="auto"/>
        <w:jc w:val="left"/>
        <w:rPr>
          <w:sz w:val="24"/>
        </w:rPr>
      </w:pPr>
    </w:p>
    <w:p>
      <w:pPr>
        <w:spacing w:line="360" w:lineRule="auto"/>
        <w:jc w:val="left"/>
        <w:rPr>
          <w:sz w:val="24"/>
        </w:rPr>
      </w:pPr>
      <w:r>
        <w:rPr>
          <w:rFonts w:hint="eastAsia"/>
          <w:sz w:val="24"/>
        </w:rPr>
        <w:t>（格式由投标人自定，以不低于文件中规定的技术规格及服务要求中所提出的标准填写）</w:t>
      </w:r>
    </w:p>
    <w:p>
      <w:pPr>
        <w:spacing w:line="360" w:lineRule="auto"/>
        <w:jc w:val="left"/>
        <w:rPr>
          <w:sz w:val="24"/>
        </w:rPr>
      </w:pPr>
    </w:p>
    <w:p>
      <w:pPr>
        <w:spacing w:line="360" w:lineRule="auto"/>
        <w:jc w:val="left"/>
        <w:rPr>
          <w:sz w:val="24"/>
        </w:rPr>
      </w:pPr>
    </w:p>
    <w:p>
      <w:pPr>
        <w:spacing w:line="360" w:lineRule="auto"/>
        <w:rPr>
          <w:sz w:val="24"/>
        </w:rPr>
      </w:pPr>
      <w:r>
        <w:rPr>
          <w:rFonts w:hint="eastAsia"/>
          <w:sz w:val="24"/>
        </w:rPr>
        <w:t>投标人全称（公章）：</w:t>
      </w:r>
      <w:r>
        <w:rPr>
          <w:rFonts w:hint="eastAsia"/>
          <w:sz w:val="24"/>
          <w:u w:val="single"/>
        </w:rPr>
        <w:t xml:space="preserve">                                                 </w:t>
      </w:r>
      <w:r>
        <w:rPr>
          <w:rFonts w:hint="eastAsia"/>
          <w:sz w:val="24"/>
        </w:rPr>
        <w:t>；</w:t>
      </w:r>
    </w:p>
    <w:p>
      <w:pPr>
        <w:spacing w:line="360" w:lineRule="auto"/>
        <w:rPr>
          <w:sz w:val="24"/>
        </w:rPr>
      </w:pPr>
      <w:r>
        <w:rPr>
          <w:rFonts w:hint="eastAsia"/>
          <w:sz w:val="24"/>
        </w:rPr>
        <w:t>法定代表人或被授权人（签字、盖章）：</w:t>
      </w:r>
      <w:r>
        <w:rPr>
          <w:rFonts w:hint="eastAsia"/>
          <w:sz w:val="24"/>
          <w:u w:val="single"/>
        </w:rPr>
        <w:t xml:space="preserve">                                 </w:t>
      </w:r>
      <w:r>
        <w:rPr>
          <w:rFonts w:hint="eastAsia"/>
          <w:sz w:val="24"/>
        </w:rPr>
        <w:t>；</w:t>
      </w:r>
    </w:p>
    <w:p>
      <w:pPr>
        <w:spacing w:line="360" w:lineRule="auto"/>
        <w:rPr>
          <w:sz w:val="24"/>
        </w:rPr>
      </w:pPr>
    </w:p>
    <w:p>
      <w:pPr>
        <w:spacing w:line="360" w:lineRule="auto"/>
        <w:jc w:val="right"/>
        <w:rPr>
          <w:sz w:val="24"/>
        </w:rPr>
      </w:pPr>
      <w:r>
        <w:rPr>
          <w:rFonts w:hint="eastAsia"/>
          <w:sz w:val="24"/>
        </w:rPr>
        <w:t>日期：         年    月    日</w:t>
      </w: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eastAsia="黑体" w:cs="Calibri"/>
          <w:bCs/>
          <w:color w:val="000000"/>
          <w:sz w:val="32"/>
          <w:szCs w:val="32"/>
        </w:rPr>
      </w:pPr>
      <w:r>
        <w:rPr>
          <w:rFonts w:eastAsia="黑体" w:cs="Calibri"/>
          <w:bCs/>
          <w:color w:val="000000"/>
          <w:sz w:val="32"/>
          <w:szCs w:val="32"/>
        </w:rPr>
        <w:br w:type="page"/>
      </w:r>
    </w:p>
    <w:p>
      <w:pPr>
        <w:spacing w:line="360" w:lineRule="auto"/>
        <w:jc w:val="center"/>
        <w:outlineLvl w:val="0"/>
        <w:rPr>
          <w:rFonts w:eastAsia="黑体" w:cs="Calibri"/>
          <w:bCs/>
          <w:color w:val="000000"/>
          <w:sz w:val="32"/>
          <w:szCs w:val="32"/>
        </w:rPr>
      </w:pPr>
      <w:r>
        <w:rPr>
          <w:rFonts w:hint="eastAsia" w:eastAsia="黑体" w:cs="Calibri"/>
          <w:bCs/>
          <w:color w:val="000000"/>
          <w:sz w:val="32"/>
          <w:szCs w:val="32"/>
        </w:rPr>
        <w:t>九</w:t>
      </w:r>
      <w:r>
        <w:rPr>
          <w:rFonts w:eastAsia="黑体" w:cs="Calibri"/>
          <w:bCs/>
          <w:color w:val="000000"/>
          <w:sz w:val="32"/>
          <w:szCs w:val="32"/>
        </w:rPr>
        <w:t>、</w:t>
      </w:r>
      <w:r>
        <w:rPr>
          <w:rFonts w:hint="eastAsia" w:eastAsia="黑体" w:cs="Calibri"/>
          <w:bCs/>
          <w:color w:val="000000"/>
          <w:sz w:val="32"/>
          <w:szCs w:val="32"/>
        </w:rPr>
        <w:t>投标人认为</w:t>
      </w:r>
      <w:r>
        <w:rPr>
          <w:rFonts w:eastAsia="黑体" w:cs="Calibri"/>
          <w:bCs/>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14" w:type="even"/>
      <w:pgSz w:w="11906" w:h="16838"/>
      <w:pgMar w:top="1440" w:right="1797" w:bottom="1440" w:left="179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宋体.">
    <w:altName w:val="宋体"/>
    <w:panose1 w:val="00000000000000000000"/>
    <w:charset w:val="86"/>
    <w:family w:val="roma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AdobeSongStd-Light">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Adobe 楷体 Std R">
    <w:altName w:val="Microsoft YaHei UI"/>
    <w:panose1 w:val="00000000000000000000"/>
    <w:charset w:val="86"/>
    <w:family w:val="roman"/>
    <w:pitch w:val="default"/>
    <w:sig w:usb0="00000000" w:usb1="00000000" w:usb2="00000016" w:usb3="00000000" w:csb0="00060007" w:csb1="00000000"/>
  </w:font>
  <w:font w:name="黑体.">
    <w:altName w:val="微软雅黑"/>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5"/>
          <w:jc w:val="center"/>
        </w:pPr>
        <w:r>
          <w:fldChar w:fldCharType="begin"/>
        </w:r>
        <w:r>
          <w:instrText xml:space="preserve"> PAGE   \* MERGEFORMAT </w:instrText>
        </w:r>
        <w:r>
          <w:fldChar w:fldCharType="separate"/>
        </w:r>
        <w:r>
          <w:rPr>
            <w:lang w:val="zh-CN"/>
          </w:rPr>
          <w:t>14</w:t>
        </w:r>
        <w:r>
          <w:fldChar w:fldCharType="end"/>
        </w:r>
      </w:p>
    </w:sdtContent>
  </w:sdt>
  <w:p>
    <w:pPr>
      <w:pStyle w:val="25"/>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left="337" w:hanging="337"/>
    </w:pPr>
    <w:r>
      <w:pict>
        <v:shape id="文本框19" o:spid="_x0000_s2049" o:spt="202" type="#_x0000_t202" style="position:absolute;left:0pt;margin-top:0pt;height:144pt;width:144pt;mso-position-horizontal:center;mso-position-horizontal-relative:margin;mso-wrap-style:none;z-index:251658240;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left="337" w:hanging="3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left="337" w:hanging="33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pPr>
    <w:r>
      <w:rPr>
        <w:rFonts w:hint="eastAsia"/>
      </w:rPr>
      <w:t>杭州萧山国际机场航站楼旅客行李手推车管理维护服务外包项目招标文件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left="337" w:hanging="337"/>
      <w:jc w:val="both"/>
    </w:pPr>
    <w:r>
      <w:rPr>
        <w:rFonts w:hint="eastAsia"/>
      </w:rPr>
      <w:t>杭州萧山国际机场航站楼旅客行李手推车管理维护服务外包项目招标文件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left="337" w:hanging="3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left="337" w:hanging="33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678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7"/>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78"/>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79"/>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80"/>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81"/>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toc 7"/>
    <w:basedOn w:val="1"/>
    <w:next w:val="1"/>
    <w:qFormat/>
    <w:uiPriority w:val="0"/>
    <w:pPr>
      <w:ind w:left="2520"/>
    </w:pPr>
    <w:rPr>
      <w:rFonts w:ascii="Times New Roman" w:hAnsi="Times New Roman" w:eastAsia="宋体" w:cs="Times New Roman"/>
      <w:szCs w:val="24"/>
    </w:rPr>
  </w:style>
  <w:style w:type="paragraph" w:styleId="9">
    <w:name w:val="Normal Indent"/>
    <w:basedOn w:val="1"/>
    <w:link w:val="119"/>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87"/>
    <w:qFormat/>
    <w:uiPriority w:val="0"/>
    <w:pPr>
      <w:shd w:val="clear" w:color="auto" w:fill="000080"/>
    </w:pPr>
    <w:rPr>
      <w:rFonts w:ascii="Times New Roman" w:hAnsi="Times New Roman" w:eastAsia="宋体" w:cs="Times New Roman"/>
      <w:kern w:val="0"/>
      <w:sz w:val="20"/>
      <w:szCs w:val="24"/>
    </w:rPr>
  </w:style>
  <w:style w:type="paragraph" w:styleId="12">
    <w:name w:val="toa heading"/>
    <w:basedOn w:val="1"/>
    <w:next w:val="1"/>
    <w:qFormat/>
    <w:uiPriority w:val="0"/>
    <w:pPr>
      <w:spacing w:before="120"/>
    </w:pPr>
    <w:rPr>
      <w:rFonts w:ascii="Arial" w:hAnsi="Arial" w:eastAsia="宋体" w:cs="Arial"/>
      <w:sz w:val="24"/>
      <w:szCs w:val="24"/>
    </w:rPr>
  </w:style>
  <w:style w:type="paragraph" w:styleId="13">
    <w:name w:val="annotation text"/>
    <w:basedOn w:val="1"/>
    <w:link w:val="60"/>
    <w:unhideWhenUsed/>
    <w:qFormat/>
    <w:uiPriority w:val="99"/>
    <w:pPr>
      <w:jc w:val="left"/>
    </w:pPr>
  </w:style>
  <w:style w:type="paragraph" w:styleId="14">
    <w:name w:val="Body Text"/>
    <w:basedOn w:val="1"/>
    <w:link w:val="62"/>
    <w:unhideWhenUsed/>
    <w:qFormat/>
    <w:uiPriority w:val="0"/>
    <w:pPr>
      <w:spacing w:after="120"/>
    </w:pPr>
  </w:style>
  <w:style w:type="paragraph" w:styleId="15">
    <w:name w:val="Body Text Indent"/>
    <w:basedOn w:val="1"/>
    <w:link w:val="84"/>
    <w:unhideWhenUsed/>
    <w:qFormat/>
    <w:uiPriority w:val="0"/>
    <w:pPr>
      <w:spacing w:after="120"/>
      <w:ind w:left="420" w:leftChars="200"/>
    </w:pPr>
    <w:rPr>
      <w:rFonts w:ascii="Calibri" w:hAnsi="Calibri" w:eastAsia="宋体" w:cs="Times New Roman"/>
      <w:kern w:val="0"/>
      <w:sz w:val="20"/>
      <w:szCs w:val="20"/>
    </w:rPr>
  </w:style>
  <w:style w:type="paragraph" w:styleId="16">
    <w:name w:val="List 2"/>
    <w:basedOn w:val="1"/>
    <w:qFormat/>
    <w:uiPriority w:val="0"/>
    <w:pPr>
      <w:ind w:left="100" w:leftChars="200" w:hanging="200" w:hangingChars="200"/>
    </w:pPr>
    <w:rPr>
      <w:rFonts w:ascii="Times New Roman" w:hAnsi="Times New Roman" w:eastAsia="宋体" w:cs="Times New Roman"/>
      <w:szCs w:val="24"/>
    </w:rPr>
  </w:style>
  <w:style w:type="paragraph" w:styleId="17">
    <w:name w:val="toc 5"/>
    <w:basedOn w:val="1"/>
    <w:next w:val="1"/>
    <w:qFormat/>
    <w:uiPriority w:val="0"/>
    <w:pPr>
      <w:ind w:left="1680"/>
    </w:pPr>
    <w:rPr>
      <w:rFonts w:ascii="Times New Roman" w:hAnsi="Times New Roman" w:eastAsia="宋体" w:cs="Times New Roman"/>
      <w:szCs w:val="24"/>
    </w:rPr>
  </w:style>
  <w:style w:type="paragraph" w:styleId="18">
    <w:name w:val="toc 3"/>
    <w:basedOn w:val="1"/>
    <w:next w:val="1"/>
    <w:qFormat/>
    <w:uiPriority w:val="39"/>
    <w:pPr>
      <w:spacing w:line="360" w:lineRule="auto"/>
      <w:ind w:left="400" w:leftChars="400"/>
    </w:pPr>
    <w:rPr>
      <w:rFonts w:ascii="Times New Roman" w:hAnsi="Times New Roman" w:eastAsia="宋体" w:cs="Times New Roman"/>
      <w:szCs w:val="24"/>
    </w:rPr>
  </w:style>
  <w:style w:type="paragraph" w:styleId="19">
    <w:name w:val="Plain Text"/>
    <w:basedOn w:val="1"/>
    <w:link w:val="120"/>
    <w:qFormat/>
    <w:uiPriority w:val="0"/>
    <w:rPr>
      <w:rFonts w:ascii="宋体" w:hAnsi="Courier New" w:eastAsia="宋体" w:cs="Times New Roman"/>
      <w:kern w:val="0"/>
      <w:sz w:val="20"/>
      <w:szCs w:val="21"/>
    </w:rPr>
  </w:style>
  <w:style w:type="paragraph" w:styleId="20">
    <w:name w:val="toc 8"/>
    <w:basedOn w:val="1"/>
    <w:next w:val="1"/>
    <w:qFormat/>
    <w:uiPriority w:val="0"/>
    <w:pPr>
      <w:ind w:left="2940"/>
    </w:pPr>
    <w:rPr>
      <w:rFonts w:ascii="Times New Roman" w:hAnsi="Times New Roman" w:eastAsia="宋体" w:cs="Times New Roman"/>
      <w:szCs w:val="24"/>
    </w:rPr>
  </w:style>
  <w:style w:type="paragraph" w:styleId="21">
    <w:name w:val="index 3"/>
    <w:basedOn w:val="1"/>
    <w:next w:val="1"/>
    <w:qFormat/>
    <w:uiPriority w:val="0"/>
    <w:pPr>
      <w:ind w:left="400" w:leftChars="400"/>
    </w:pPr>
    <w:rPr>
      <w:rFonts w:ascii="Times New Roman" w:hAnsi="Times New Roman" w:eastAsia="宋体" w:cs="Times New Roman"/>
      <w:szCs w:val="24"/>
    </w:rPr>
  </w:style>
  <w:style w:type="paragraph" w:styleId="22">
    <w:name w:val="Date"/>
    <w:basedOn w:val="1"/>
    <w:next w:val="1"/>
    <w:link w:val="88"/>
    <w:qFormat/>
    <w:uiPriority w:val="0"/>
    <w:pPr>
      <w:ind w:left="100" w:leftChars="2500"/>
    </w:pPr>
    <w:rPr>
      <w:rFonts w:ascii="Times New Roman" w:hAnsi="Times New Roman" w:eastAsia="宋体" w:cs="Times New Roman"/>
      <w:b/>
      <w:bCs/>
      <w:kern w:val="0"/>
      <w:sz w:val="36"/>
      <w:szCs w:val="24"/>
    </w:rPr>
  </w:style>
  <w:style w:type="paragraph" w:styleId="23">
    <w:name w:val="Body Text Indent 2"/>
    <w:basedOn w:val="1"/>
    <w:link w:val="125"/>
    <w:qFormat/>
    <w:uiPriority w:val="0"/>
    <w:pPr>
      <w:spacing w:after="120" w:line="480" w:lineRule="auto"/>
      <w:ind w:left="420" w:leftChars="200"/>
    </w:pPr>
    <w:rPr>
      <w:rFonts w:ascii="Times New Roman" w:hAnsi="Times New Roman" w:eastAsia="宋体" w:cs="Times New Roman"/>
      <w:kern w:val="0"/>
      <w:sz w:val="20"/>
      <w:szCs w:val="24"/>
    </w:rPr>
  </w:style>
  <w:style w:type="paragraph" w:styleId="24">
    <w:name w:val="Balloon Text"/>
    <w:basedOn w:val="1"/>
    <w:link w:val="117"/>
    <w:qFormat/>
    <w:uiPriority w:val="0"/>
    <w:rPr>
      <w:rFonts w:ascii="Times New Roman" w:hAnsi="Times New Roman" w:eastAsia="宋体" w:cs="Times New Roman"/>
      <w:kern w:val="0"/>
      <w:sz w:val="18"/>
      <w:szCs w:val="18"/>
    </w:rPr>
  </w:style>
  <w:style w:type="paragraph" w:styleId="25">
    <w:name w:val="footer"/>
    <w:basedOn w:val="1"/>
    <w:link w:val="126"/>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6">
    <w:name w:val="header"/>
    <w:basedOn w:val="1"/>
    <w:link w:val="8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7">
    <w:name w:val="toc 1"/>
    <w:basedOn w:val="2"/>
    <w:next w:val="1"/>
    <w:qFormat/>
    <w:uiPriority w:val="39"/>
    <w:pPr>
      <w:tabs>
        <w:tab w:val="right" w:leader="dot" w:pos="8659"/>
      </w:tabs>
      <w:spacing w:before="0" w:after="0" w:line="240" w:lineRule="auto"/>
      <w:jc w:val="center"/>
    </w:pPr>
    <w:rPr>
      <w:b w:val="0"/>
      <w:sz w:val="21"/>
    </w:rPr>
  </w:style>
  <w:style w:type="paragraph" w:styleId="28">
    <w:name w:val="toc 4"/>
    <w:basedOn w:val="1"/>
    <w:next w:val="1"/>
    <w:qFormat/>
    <w:uiPriority w:val="0"/>
    <w:pPr>
      <w:ind w:left="1260"/>
    </w:pPr>
    <w:rPr>
      <w:rFonts w:ascii="Times New Roman" w:hAnsi="Times New Roman" w:eastAsia="宋体" w:cs="Times New Roman"/>
      <w:szCs w:val="24"/>
    </w:rPr>
  </w:style>
  <w:style w:type="paragraph" w:styleId="29">
    <w:name w:val="List"/>
    <w:basedOn w:val="1"/>
    <w:qFormat/>
    <w:uiPriority w:val="0"/>
    <w:pPr>
      <w:ind w:left="200" w:hanging="200" w:hangingChars="200"/>
    </w:pPr>
    <w:rPr>
      <w:rFonts w:ascii="Times New Roman" w:hAnsi="Times New Roman" w:eastAsia="宋体" w:cs="Times New Roman"/>
      <w:szCs w:val="24"/>
    </w:rPr>
  </w:style>
  <w:style w:type="paragraph" w:styleId="30">
    <w:name w:val="footnote text"/>
    <w:basedOn w:val="1"/>
    <w:link w:val="118"/>
    <w:qFormat/>
    <w:uiPriority w:val="0"/>
    <w:pPr>
      <w:snapToGrid w:val="0"/>
      <w:jc w:val="left"/>
    </w:pPr>
    <w:rPr>
      <w:rFonts w:ascii="Times New Roman" w:hAnsi="Times New Roman" w:eastAsia="宋体" w:cs="Times New Roman"/>
      <w:kern w:val="0"/>
      <w:sz w:val="18"/>
      <w:szCs w:val="18"/>
    </w:rPr>
  </w:style>
  <w:style w:type="paragraph" w:styleId="31">
    <w:name w:val="toc 6"/>
    <w:basedOn w:val="1"/>
    <w:next w:val="1"/>
    <w:qFormat/>
    <w:uiPriority w:val="0"/>
    <w:pPr>
      <w:ind w:left="2100"/>
    </w:pPr>
    <w:rPr>
      <w:rFonts w:ascii="Times New Roman" w:hAnsi="Times New Roman" w:eastAsia="宋体" w:cs="Times New Roman"/>
      <w:szCs w:val="24"/>
    </w:rPr>
  </w:style>
  <w:style w:type="paragraph" w:styleId="32">
    <w:name w:val="Body Text Indent 3"/>
    <w:basedOn w:val="1"/>
    <w:link w:val="83"/>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3">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4">
    <w:name w:val="toc 2"/>
    <w:basedOn w:val="1"/>
    <w:next w:val="1"/>
    <w:qFormat/>
    <w:uiPriority w:val="39"/>
    <w:pPr>
      <w:spacing w:line="360" w:lineRule="auto"/>
      <w:ind w:left="200" w:leftChars="200"/>
    </w:pPr>
    <w:rPr>
      <w:rFonts w:ascii="Times New Roman" w:hAnsi="Times New Roman" w:eastAsia="宋体" w:cs="Times New Roman"/>
      <w:szCs w:val="24"/>
    </w:rPr>
  </w:style>
  <w:style w:type="paragraph" w:styleId="35">
    <w:name w:val="toc 9"/>
    <w:basedOn w:val="1"/>
    <w:next w:val="1"/>
    <w:qFormat/>
    <w:uiPriority w:val="0"/>
    <w:pPr>
      <w:ind w:left="3360"/>
    </w:pPr>
    <w:rPr>
      <w:rFonts w:ascii="Times New Roman" w:hAnsi="Times New Roman" w:eastAsia="宋体" w:cs="Times New Roman"/>
      <w:szCs w:val="24"/>
    </w:rPr>
  </w:style>
  <w:style w:type="paragraph" w:styleId="36">
    <w:name w:val="Body Text 2"/>
    <w:basedOn w:val="1"/>
    <w:link w:val="124"/>
    <w:qFormat/>
    <w:uiPriority w:val="99"/>
    <w:pPr>
      <w:spacing w:after="120" w:line="480" w:lineRule="auto"/>
    </w:pPr>
    <w:rPr>
      <w:rFonts w:ascii="Times New Roman" w:hAnsi="Times New Roman" w:eastAsia="宋体" w:cs="Times New Roman"/>
      <w:kern w:val="0"/>
      <w:sz w:val="20"/>
      <w:szCs w:val="24"/>
    </w:rPr>
  </w:style>
  <w:style w:type="paragraph" w:styleId="37">
    <w:name w:val="List 4"/>
    <w:basedOn w:val="1"/>
    <w:qFormat/>
    <w:uiPriority w:val="0"/>
    <w:pPr>
      <w:ind w:left="100" w:leftChars="600" w:hanging="200" w:hangingChars="200"/>
    </w:pPr>
    <w:rPr>
      <w:rFonts w:ascii="Times New Roman" w:hAnsi="Times New Roman" w:eastAsia="宋体" w:cs="Times New Roman"/>
      <w:szCs w:val="24"/>
    </w:rPr>
  </w:style>
  <w:style w:type="paragraph" w:styleId="38">
    <w:name w:val="List Continue 2"/>
    <w:basedOn w:val="1"/>
    <w:qFormat/>
    <w:uiPriority w:val="0"/>
    <w:pPr>
      <w:spacing w:after="120"/>
      <w:ind w:left="840" w:leftChars="400"/>
    </w:pPr>
    <w:rPr>
      <w:rFonts w:ascii="Times New Roman" w:hAnsi="Times New Roman" w:eastAsia="宋体" w:cs="Times New Roman"/>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1">
    <w:name w:val="index 2"/>
    <w:basedOn w:val="1"/>
    <w:next w:val="1"/>
    <w:qFormat/>
    <w:uiPriority w:val="0"/>
    <w:pPr>
      <w:ind w:left="200" w:leftChars="200"/>
    </w:pPr>
    <w:rPr>
      <w:rFonts w:ascii="Times New Roman" w:hAnsi="Times New Roman" w:eastAsia="宋体" w:cs="Times New Roman"/>
      <w:szCs w:val="24"/>
    </w:rPr>
  </w:style>
  <w:style w:type="paragraph" w:styleId="42">
    <w:name w:val="Title"/>
    <w:basedOn w:val="1"/>
    <w:link w:val="89"/>
    <w:qFormat/>
    <w:uiPriority w:val="0"/>
    <w:pPr>
      <w:spacing w:before="240" w:after="60"/>
      <w:jc w:val="center"/>
      <w:outlineLvl w:val="0"/>
    </w:pPr>
    <w:rPr>
      <w:rFonts w:ascii="Arial" w:hAnsi="Arial" w:eastAsia="宋体" w:cs="Times New Roman"/>
      <w:b/>
      <w:bCs/>
      <w:kern w:val="0"/>
      <w:sz w:val="32"/>
      <w:szCs w:val="32"/>
    </w:rPr>
  </w:style>
  <w:style w:type="paragraph" w:styleId="43">
    <w:name w:val="annotation subject"/>
    <w:basedOn w:val="13"/>
    <w:next w:val="13"/>
    <w:link w:val="61"/>
    <w:qFormat/>
    <w:uiPriority w:val="0"/>
    <w:rPr>
      <w:rFonts w:ascii="Times New Roman" w:hAnsi="Times New Roman" w:eastAsia="宋体" w:cs="Times New Roman"/>
      <w:b/>
      <w:bCs/>
      <w:kern w:val="0"/>
      <w:sz w:val="20"/>
      <w:szCs w:val="24"/>
    </w:rPr>
  </w:style>
  <w:style w:type="paragraph" w:styleId="44">
    <w:name w:val="Body Text First Indent"/>
    <w:basedOn w:val="14"/>
    <w:link w:val="116"/>
    <w:qFormat/>
    <w:uiPriority w:val="0"/>
    <w:pPr>
      <w:ind w:firstLine="420" w:firstLineChars="100"/>
    </w:pPr>
    <w:rPr>
      <w:rFonts w:ascii="Times New Roman" w:hAnsi="Times New Roman" w:eastAsia="宋体" w:cs="Times New Roman"/>
      <w:kern w:val="0"/>
      <w:sz w:val="20"/>
      <w:szCs w:val="24"/>
    </w:rPr>
  </w:style>
  <w:style w:type="paragraph" w:styleId="45">
    <w:name w:val="Body Text First Indent 2"/>
    <w:basedOn w:val="15"/>
    <w:link w:val="85"/>
    <w:qFormat/>
    <w:uiPriority w:val="0"/>
    <w:pPr>
      <w:ind w:firstLine="420" w:firstLineChars="200"/>
    </w:pPr>
    <w:rPr>
      <w:rFonts w:ascii="Times New Roman" w:hAnsi="Times New Roman"/>
      <w:szCs w:val="24"/>
    </w:rPr>
  </w:style>
  <w:style w:type="table" w:styleId="47">
    <w:name w:val="Table Grid"/>
    <w:basedOn w:val="46"/>
    <w:unhideWhenUsed/>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page number"/>
    <w:qFormat/>
    <w:uiPriority w:val="0"/>
    <w:rPr>
      <w:rFonts w:asciiTheme="minorHAnsi" w:hAnsiTheme="minorHAnsi" w:eastAsiaTheme="minorEastAsia" w:cstheme="minorBidi"/>
      <w:kern w:val="2"/>
      <w:sz w:val="21"/>
      <w:szCs w:val="22"/>
      <w:lang w:val="en-US" w:eastAsia="zh-CN" w:bidi="ar-SA"/>
    </w:rPr>
  </w:style>
  <w:style w:type="character" w:styleId="50">
    <w:name w:val="FollowedHyperlink"/>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1">
    <w:name w:val="Emphasis"/>
    <w:qFormat/>
    <w:uiPriority w:val="20"/>
    <w:rPr>
      <w:rFonts w:asciiTheme="minorHAnsi" w:hAnsiTheme="minorHAnsi" w:eastAsiaTheme="minorEastAsia" w:cstheme="minorBidi"/>
      <w:i/>
      <w:iCs/>
      <w:kern w:val="2"/>
      <w:sz w:val="21"/>
      <w:szCs w:val="22"/>
      <w:lang w:val="en-US" w:eastAsia="zh-CN" w:bidi="ar-SA"/>
    </w:rPr>
  </w:style>
  <w:style w:type="character" w:styleId="52">
    <w:name w:val="Hyperlink"/>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3">
    <w:name w:val="annotation reference"/>
    <w:qFormat/>
    <w:uiPriority w:val="0"/>
    <w:rPr>
      <w:rFonts w:asciiTheme="minorHAnsi" w:hAnsiTheme="minorHAnsi" w:eastAsiaTheme="minorEastAsia" w:cstheme="minorBidi"/>
      <w:kern w:val="2"/>
      <w:sz w:val="21"/>
      <w:szCs w:val="21"/>
      <w:lang w:val="en-US" w:eastAsia="zh-CN" w:bidi="ar-SA"/>
    </w:rPr>
  </w:style>
  <w:style w:type="character" w:styleId="54">
    <w:name w:val="footnote reference"/>
    <w:qFormat/>
    <w:uiPriority w:val="0"/>
    <w:rPr>
      <w:rFonts w:asciiTheme="minorHAnsi" w:hAnsiTheme="minorHAnsi" w:eastAsiaTheme="minorEastAsia" w:cstheme="minorBidi"/>
      <w:kern w:val="2"/>
      <w:sz w:val="21"/>
      <w:szCs w:val="22"/>
      <w:vertAlign w:val="superscript"/>
      <w:lang w:val="en-US" w:eastAsia="zh-CN" w:bidi="ar-SA"/>
    </w:rPr>
  </w:style>
  <w:style w:type="character" w:customStyle="1" w:styleId="55">
    <w:name w:val="标题 1 字符"/>
    <w:basedOn w:val="48"/>
    <w:qFormat/>
    <w:uiPriority w:val="9"/>
    <w:rPr>
      <w:rFonts w:asciiTheme="minorHAnsi" w:hAnsiTheme="minorHAnsi" w:eastAsiaTheme="minorEastAsia" w:cstheme="minorBidi"/>
      <w:b/>
      <w:bCs/>
      <w:kern w:val="44"/>
      <w:sz w:val="44"/>
      <w:szCs w:val="44"/>
      <w:lang w:val="en-US" w:eastAsia="zh-CN" w:bidi="ar-SA"/>
    </w:rPr>
  </w:style>
  <w:style w:type="character" w:customStyle="1" w:styleId="56">
    <w:name w:val="标题 2 字符"/>
    <w:basedOn w:val="48"/>
    <w:semiHidden/>
    <w:qFormat/>
    <w:uiPriority w:val="9"/>
    <w:rPr>
      <w:rFonts w:asciiTheme="majorHAnsi" w:hAnsiTheme="majorHAnsi" w:eastAsiaTheme="majorEastAsia" w:cstheme="majorBidi"/>
      <w:b/>
      <w:bCs/>
      <w:kern w:val="2"/>
      <w:sz w:val="32"/>
      <w:szCs w:val="32"/>
      <w:lang w:val="en-US" w:eastAsia="zh-CN" w:bidi="ar-SA"/>
    </w:rPr>
  </w:style>
  <w:style w:type="character" w:customStyle="1" w:styleId="57">
    <w:name w:val="标题 3 字符"/>
    <w:basedOn w:val="48"/>
    <w:semiHidden/>
    <w:qFormat/>
    <w:uiPriority w:val="9"/>
    <w:rPr>
      <w:rFonts w:asciiTheme="minorHAnsi" w:hAnsiTheme="minorHAnsi" w:eastAsiaTheme="minorEastAsia" w:cstheme="minorBidi"/>
      <w:b/>
      <w:bCs/>
      <w:kern w:val="2"/>
      <w:sz w:val="32"/>
      <w:szCs w:val="32"/>
      <w:lang w:val="en-US" w:eastAsia="zh-CN" w:bidi="ar-SA"/>
    </w:rPr>
  </w:style>
  <w:style w:type="character" w:customStyle="1" w:styleId="58">
    <w:name w:val="标题 4 字符"/>
    <w:basedOn w:val="48"/>
    <w:semiHidden/>
    <w:qFormat/>
    <w:uiPriority w:val="9"/>
    <w:rPr>
      <w:rFonts w:asciiTheme="majorHAnsi" w:hAnsiTheme="majorHAnsi" w:eastAsiaTheme="majorEastAsia" w:cstheme="majorBidi"/>
      <w:b/>
      <w:bCs/>
      <w:kern w:val="2"/>
      <w:sz w:val="28"/>
      <w:szCs w:val="28"/>
      <w:lang w:val="en-US" w:eastAsia="zh-CN" w:bidi="ar-SA"/>
    </w:rPr>
  </w:style>
  <w:style w:type="character" w:customStyle="1" w:styleId="59">
    <w:name w:val="标题 5 字符"/>
    <w:basedOn w:val="48"/>
    <w:semiHidden/>
    <w:qFormat/>
    <w:uiPriority w:val="9"/>
    <w:rPr>
      <w:rFonts w:asciiTheme="minorHAnsi" w:hAnsiTheme="minorHAnsi" w:eastAsiaTheme="minorEastAsia" w:cstheme="minorBidi"/>
      <w:b/>
      <w:bCs/>
      <w:kern w:val="2"/>
      <w:sz w:val="28"/>
      <w:szCs w:val="28"/>
      <w:lang w:val="en-US" w:eastAsia="zh-CN" w:bidi="ar-SA"/>
    </w:rPr>
  </w:style>
  <w:style w:type="character" w:customStyle="1" w:styleId="60">
    <w:name w:val="批注文字 字符"/>
    <w:basedOn w:val="48"/>
    <w:link w:val="13"/>
    <w:qFormat/>
    <w:uiPriority w:val="99"/>
    <w:rPr>
      <w:rFonts w:asciiTheme="minorHAnsi" w:hAnsiTheme="minorHAnsi" w:eastAsiaTheme="minorEastAsia" w:cstheme="minorBidi"/>
      <w:kern w:val="2"/>
      <w:sz w:val="21"/>
      <w:szCs w:val="22"/>
      <w:lang w:val="en-US" w:eastAsia="zh-CN" w:bidi="ar-SA"/>
    </w:rPr>
  </w:style>
  <w:style w:type="character" w:customStyle="1" w:styleId="61">
    <w:name w:val="批注主题 字符"/>
    <w:basedOn w:val="60"/>
    <w:link w:val="43"/>
    <w:qFormat/>
    <w:uiPriority w:val="0"/>
    <w:rPr>
      <w:rFonts w:ascii="Times New Roman" w:hAnsi="Times New Roman" w:eastAsia="宋体" w:cs="Times New Roman"/>
      <w:b/>
      <w:bCs/>
      <w:kern w:val="0"/>
      <w:sz w:val="20"/>
      <w:szCs w:val="24"/>
    </w:rPr>
  </w:style>
  <w:style w:type="character" w:customStyle="1" w:styleId="62">
    <w:name w:val="正文文本 字符"/>
    <w:basedOn w:val="48"/>
    <w:link w:val="14"/>
    <w:semiHidden/>
    <w:qFormat/>
    <w:uiPriority w:val="99"/>
    <w:rPr>
      <w:rFonts w:asciiTheme="minorHAnsi" w:hAnsiTheme="minorHAnsi" w:eastAsiaTheme="minorEastAsia" w:cstheme="minorBidi"/>
      <w:kern w:val="2"/>
      <w:sz w:val="21"/>
      <w:szCs w:val="22"/>
      <w:lang w:val="en-US" w:eastAsia="zh-CN" w:bidi="ar-SA"/>
    </w:rPr>
  </w:style>
  <w:style w:type="character" w:customStyle="1" w:styleId="63">
    <w:name w:val="正文首行缩进 字符"/>
    <w:basedOn w:val="62"/>
    <w:semiHidden/>
    <w:qFormat/>
    <w:uiPriority w:val="99"/>
  </w:style>
  <w:style w:type="character" w:customStyle="1" w:styleId="64">
    <w:name w:val="文档结构图 字符"/>
    <w:basedOn w:val="48"/>
    <w:semiHidden/>
    <w:qFormat/>
    <w:uiPriority w:val="99"/>
    <w:rPr>
      <w:rFonts w:ascii="Microsoft YaHei UI" w:eastAsia="Microsoft YaHei UI" w:hAnsiTheme="minorHAnsi" w:cstheme="minorBidi"/>
      <w:kern w:val="2"/>
      <w:sz w:val="18"/>
      <w:szCs w:val="18"/>
      <w:lang w:val="en-US" w:eastAsia="zh-CN" w:bidi="ar-SA"/>
    </w:rPr>
  </w:style>
  <w:style w:type="character" w:customStyle="1" w:styleId="65">
    <w:name w:val="正文文本缩进 字符"/>
    <w:basedOn w:val="48"/>
    <w:semiHidden/>
    <w:qFormat/>
    <w:uiPriority w:val="99"/>
    <w:rPr>
      <w:rFonts w:asciiTheme="minorHAnsi" w:hAnsiTheme="minorHAnsi" w:eastAsiaTheme="minorEastAsia" w:cstheme="minorBidi"/>
      <w:kern w:val="2"/>
      <w:sz w:val="21"/>
      <w:szCs w:val="22"/>
      <w:lang w:val="en-US" w:eastAsia="zh-CN" w:bidi="ar-SA"/>
    </w:rPr>
  </w:style>
  <w:style w:type="character" w:customStyle="1" w:styleId="66">
    <w:name w:val="纯文本 字符"/>
    <w:basedOn w:val="48"/>
    <w:semiHidden/>
    <w:qFormat/>
    <w:uiPriority w:val="99"/>
    <w:rPr>
      <w:rFonts w:hAnsi="Courier New" w:cs="Courier New" w:asciiTheme="minorEastAsia" w:eastAsiaTheme="minorEastAsia"/>
      <w:kern w:val="2"/>
      <w:sz w:val="21"/>
      <w:szCs w:val="22"/>
      <w:lang w:val="en-US" w:eastAsia="zh-CN" w:bidi="ar-SA"/>
    </w:rPr>
  </w:style>
  <w:style w:type="character" w:customStyle="1" w:styleId="67">
    <w:name w:val="日期 字符"/>
    <w:basedOn w:val="48"/>
    <w:semiHidden/>
    <w:qFormat/>
    <w:uiPriority w:val="99"/>
    <w:rPr>
      <w:rFonts w:asciiTheme="minorHAnsi" w:hAnsiTheme="minorHAnsi" w:eastAsiaTheme="minorEastAsia" w:cstheme="minorBidi"/>
      <w:kern w:val="2"/>
      <w:sz w:val="21"/>
      <w:szCs w:val="22"/>
      <w:lang w:val="en-US" w:eastAsia="zh-CN" w:bidi="ar-SA"/>
    </w:rPr>
  </w:style>
  <w:style w:type="character" w:customStyle="1" w:styleId="68">
    <w:name w:val="正文文本缩进 2 字符"/>
    <w:basedOn w:val="48"/>
    <w:semiHidden/>
    <w:qFormat/>
    <w:uiPriority w:val="99"/>
    <w:rPr>
      <w:rFonts w:asciiTheme="minorHAnsi" w:hAnsiTheme="minorHAnsi" w:eastAsiaTheme="minorEastAsia" w:cstheme="minorBidi"/>
      <w:kern w:val="2"/>
      <w:sz w:val="21"/>
      <w:szCs w:val="22"/>
      <w:lang w:val="en-US" w:eastAsia="zh-CN" w:bidi="ar-SA"/>
    </w:rPr>
  </w:style>
  <w:style w:type="character" w:customStyle="1" w:styleId="69">
    <w:name w:val="批注框文本 字符"/>
    <w:basedOn w:val="48"/>
    <w:semiHidden/>
    <w:qFormat/>
    <w:uiPriority w:val="99"/>
    <w:rPr>
      <w:rFonts w:asciiTheme="minorHAnsi" w:hAnsiTheme="minorHAnsi" w:eastAsiaTheme="minorEastAsia" w:cstheme="minorBidi"/>
      <w:kern w:val="2"/>
      <w:sz w:val="18"/>
      <w:szCs w:val="18"/>
      <w:lang w:val="en-US" w:eastAsia="zh-CN" w:bidi="ar-SA"/>
    </w:rPr>
  </w:style>
  <w:style w:type="character" w:customStyle="1" w:styleId="70">
    <w:name w:val="页脚 字符"/>
    <w:basedOn w:val="48"/>
    <w:semiHidden/>
    <w:qFormat/>
    <w:uiPriority w:val="99"/>
    <w:rPr>
      <w:rFonts w:asciiTheme="minorHAnsi" w:hAnsiTheme="minorHAnsi" w:eastAsiaTheme="minorEastAsia" w:cstheme="minorBidi"/>
      <w:kern w:val="2"/>
      <w:sz w:val="18"/>
      <w:szCs w:val="18"/>
      <w:lang w:val="en-US" w:eastAsia="zh-CN" w:bidi="ar-SA"/>
    </w:rPr>
  </w:style>
  <w:style w:type="character" w:customStyle="1" w:styleId="71">
    <w:name w:val="正文首行缩进 2 字符"/>
    <w:basedOn w:val="65"/>
    <w:semiHidden/>
    <w:qFormat/>
    <w:uiPriority w:val="99"/>
  </w:style>
  <w:style w:type="character" w:customStyle="1" w:styleId="72">
    <w:name w:val="页眉 字符"/>
    <w:basedOn w:val="48"/>
    <w:semiHidden/>
    <w:qFormat/>
    <w:uiPriority w:val="99"/>
    <w:rPr>
      <w:rFonts w:asciiTheme="minorHAnsi" w:hAnsiTheme="minorHAnsi" w:eastAsiaTheme="minorEastAsia" w:cstheme="minorBidi"/>
      <w:kern w:val="2"/>
      <w:sz w:val="18"/>
      <w:szCs w:val="18"/>
      <w:lang w:val="en-US" w:eastAsia="zh-CN" w:bidi="ar-SA"/>
    </w:rPr>
  </w:style>
  <w:style w:type="character" w:customStyle="1" w:styleId="73">
    <w:name w:val="脚注文本 字符"/>
    <w:basedOn w:val="48"/>
    <w:semiHidden/>
    <w:qFormat/>
    <w:uiPriority w:val="99"/>
    <w:rPr>
      <w:rFonts w:asciiTheme="minorHAnsi" w:hAnsiTheme="minorHAnsi" w:eastAsiaTheme="minorEastAsia" w:cstheme="minorBidi"/>
      <w:kern w:val="2"/>
      <w:sz w:val="18"/>
      <w:szCs w:val="18"/>
      <w:lang w:val="en-US" w:eastAsia="zh-CN" w:bidi="ar-SA"/>
    </w:rPr>
  </w:style>
  <w:style w:type="character" w:customStyle="1" w:styleId="74">
    <w:name w:val="正文文本缩进 3 字符"/>
    <w:basedOn w:val="48"/>
    <w:semiHidden/>
    <w:qFormat/>
    <w:uiPriority w:val="99"/>
    <w:rPr>
      <w:rFonts w:asciiTheme="minorHAnsi" w:hAnsiTheme="minorHAnsi" w:eastAsiaTheme="minorEastAsia" w:cstheme="minorBidi"/>
      <w:kern w:val="2"/>
      <w:sz w:val="16"/>
      <w:szCs w:val="16"/>
      <w:lang w:val="en-US" w:eastAsia="zh-CN" w:bidi="ar-SA"/>
    </w:rPr>
  </w:style>
  <w:style w:type="character" w:customStyle="1" w:styleId="75">
    <w:name w:val="正文文本 2 字符"/>
    <w:basedOn w:val="48"/>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标题 字符"/>
    <w:basedOn w:val="48"/>
    <w:qFormat/>
    <w:uiPriority w:val="10"/>
    <w:rPr>
      <w:rFonts w:asciiTheme="majorHAnsi" w:hAnsiTheme="majorHAnsi" w:eastAsiaTheme="majorEastAsia" w:cstheme="majorBidi"/>
      <w:b/>
      <w:bCs/>
      <w:kern w:val="2"/>
      <w:sz w:val="32"/>
      <w:szCs w:val="32"/>
      <w:lang w:val="en-US" w:eastAsia="zh-CN" w:bidi="ar-SA"/>
    </w:rPr>
  </w:style>
  <w:style w:type="character" w:customStyle="1" w:styleId="77">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78">
    <w:name w:val="标题 2 字符1"/>
    <w:link w:val="3"/>
    <w:qFormat/>
    <w:uiPriority w:val="0"/>
    <w:rPr>
      <w:rFonts w:ascii="Arial" w:hAnsi="Arial" w:eastAsia="黑体" w:cs="Times New Roman"/>
      <w:b/>
      <w:bCs/>
      <w:kern w:val="0"/>
      <w:sz w:val="32"/>
      <w:szCs w:val="32"/>
      <w:lang w:val="en-US" w:eastAsia="zh-CN" w:bidi="ar-SA"/>
    </w:rPr>
  </w:style>
  <w:style w:type="character" w:customStyle="1" w:styleId="79">
    <w:name w:val="标题 3 字符1"/>
    <w:link w:val="4"/>
    <w:qFormat/>
    <w:uiPriority w:val="0"/>
    <w:rPr>
      <w:rFonts w:ascii="Times New Roman" w:hAnsi="Times New Roman" w:eastAsia="楷体_GB2312" w:cs="Times New Roman"/>
      <w:kern w:val="0"/>
      <w:sz w:val="28"/>
      <w:szCs w:val="20"/>
      <w:lang w:val="en-US" w:eastAsia="zh-CN" w:bidi="ar-SA"/>
    </w:rPr>
  </w:style>
  <w:style w:type="character" w:customStyle="1" w:styleId="80">
    <w:name w:val="标题 4 字符1"/>
    <w:link w:val="5"/>
    <w:qFormat/>
    <w:uiPriority w:val="0"/>
    <w:rPr>
      <w:rFonts w:ascii="Arial" w:hAnsi="Arial" w:eastAsia="黑体" w:cs="Times New Roman"/>
      <w:b/>
      <w:bCs/>
      <w:kern w:val="0"/>
      <w:sz w:val="28"/>
      <w:szCs w:val="28"/>
      <w:lang w:val="en-US" w:eastAsia="zh-CN" w:bidi="ar-SA"/>
    </w:rPr>
  </w:style>
  <w:style w:type="character" w:customStyle="1" w:styleId="81">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82">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83">
    <w:name w:val="正文文本缩进 3 字符1"/>
    <w:link w:val="32"/>
    <w:qFormat/>
    <w:uiPriority w:val="0"/>
    <w:rPr>
      <w:rFonts w:ascii="Times New Roman" w:hAnsi="Times New Roman" w:eastAsia="宋体" w:cs="Times New Roman"/>
      <w:kern w:val="0"/>
      <w:sz w:val="24"/>
      <w:szCs w:val="24"/>
      <w:lang w:val="en-US" w:eastAsia="zh-CN" w:bidi="ar-SA"/>
    </w:rPr>
  </w:style>
  <w:style w:type="character" w:customStyle="1" w:styleId="84">
    <w:name w:val="正文文本缩进 字符1"/>
    <w:link w:val="15"/>
    <w:qFormat/>
    <w:uiPriority w:val="0"/>
    <w:rPr>
      <w:rFonts w:ascii="Calibri" w:hAnsi="Calibri" w:eastAsia="宋体" w:cs="Times New Roman"/>
      <w:kern w:val="0"/>
      <w:sz w:val="20"/>
      <w:szCs w:val="20"/>
      <w:lang w:val="en-US" w:eastAsia="zh-CN" w:bidi="ar-SA"/>
    </w:rPr>
  </w:style>
  <w:style w:type="character" w:customStyle="1" w:styleId="85">
    <w:name w:val="正文首行缩进 2 字符1"/>
    <w:link w:val="45"/>
    <w:qFormat/>
    <w:uiPriority w:val="0"/>
    <w:rPr>
      <w:rFonts w:ascii="Times New Roman" w:hAnsi="Times New Roman" w:eastAsiaTheme="minorEastAsia" w:cstheme="minorBidi"/>
      <w:kern w:val="2"/>
      <w:sz w:val="21"/>
      <w:szCs w:val="24"/>
      <w:lang w:val="en-US" w:eastAsia="zh-CN" w:bidi="ar-SA"/>
    </w:rPr>
  </w:style>
  <w:style w:type="character" w:customStyle="1" w:styleId="86">
    <w:name w:val="页眉 字符1"/>
    <w:link w:val="26"/>
    <w:qFormat/>
    <w:uiPriority w:val="0"/>
    <w:rPr>
      <w:rFonts w:ascii="Times New Roman" w:hAnsi="Times New Roman" w:eastAsia="宋体" w:cs="Times New Roman"/>
      <w:kern w:val="0"/>
      <w:sz w:val="18"/>
      <w:szCs w:val="18"/>
      <w:lang w:val="en-US" w:eastAsia="zh-CN" w:bidi="ar-SA"/>
    </w:rPr>
  </w:style>
  <w:style w:type="character" w:customStyle="1" w:styleId="87">
    <w:name w:val="文档结构图 字符1"/>
    <w:link w:val="11"/>
    <w:qFormat/>
    <w:uiPriority w:val="0"/>
    <w:rPr>
      <w:rFonts w:ascii="Times New Roman" w:hAnsi="Times New Roman" w:eastAsia="宋体" w:cs="Times New Roman"/>
      <w:kern w:val="0"/>
      <w:sz w:val="20"/>
      <w:szCs w:val="24"/>
      <w:lang w:val="en-US" w:eastAsia="zh-CN" w:bidi="ar-SA"/>
    </w:rPr>
  </w:style>
  <w:style w:type="character" w:customStyle="1" w:styleId="88">
    <w:name w:val="日期 字符1"/>
    <w:link w:val="22"/>
    <w:qFormat/>
    <w:uiPriority w:val="0"/>
    <w:rPr>
      <w:rFonts w:ascii="Times New Roman" w:hAnsi="Times New Roman" w:eastAsia="宋体" w:cs="Times New Roman"/>
      <w:b/>
      <w:bCs/>
      <w:kern w:val="0"/>
      <w:sz w:val="36"/>
      <w:szCs w:val="24"/>
      <w:lang w:val="en-US" w:eastAsia="zh-CN" w:bidi="ar-SA"/>
    </w:rPr>
  </w:style>
  <w:style w:type="character" w:customStyle="1" w:styleId="89">
    <w:name w:val="标题 字符1"/>
    <w:link w:val="42"/>
    <w:qFormat/>
    <w:uiPriority w:val="0"/>
    <w:rPr>
      <w:rFonts w:ascii="Arial" w:hAnsi="Arial" w:eastAsia="宋体" w:cs="Times New Roman"/>
      <w:b/>
      <w:bCs/>
      <w:kern w:val="0"/>
      <w:sz w:val="32"/>
      <w:szCs w:val="32"/>
      <w:lang w:val="en-US" w:eastAsia="zh-CN" w:bidi="ar-SA"/>
    </w:rPr>
  </w:style>
  <w:style w:type="paragraph" w:customStyle="1" w:styleId="90">
    <w:name w:val="样式2"/>
    <w:basedOn w:val="33"/>
    <w:qFormat/>
    <w:uiPriority w:val="0"/>
    <w:pPr>
      <w:ind w:firstLine="2720"/>
    </w:pPr>
    <w:rPr>
      <w:bCs/>
    </w:rPr>
  </w:style>
  <w:style w:type="paragraph" w:customStyle="1" w:styleId="91">
    <w:name w:val="0"/>
    <w:basedOn w:val="1"/>
    <w:qFormat/>
    <w:uiPriority w:val="0"/>
    <w:pPr>
      <w:widowControl/>
    </w:pPr>
    <w:rPr>
      <w:rFonts w:ascii="Times New Roman" w:hAnsi="Times New Roman" w:eastAsia="宋体" w:cs="Times New Roman"/>
      <w:kern w:val="0"/>
      <w:szCs w:val="20"/>
    </w:rPr>
  </w:style>
  <w:style w:type="paragraph" w:customStyle="1" w:styleId="92">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9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9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95">
    <w:name w:val="Char"/>
    <w:basedOn w:val="1"/>
    <w:qFormat/>
    <w:uiPriority w:val="0"/>
    <w:pPr>
      <w:spacing w:line="360" w:lineRule="auto"/>
    </w:pPr>
    <w:rPr>
      <w:rFonts w:ascii="黑体" w:hAnsi="黑体" w:eastAsia="宋体" w:cs="Times New Roman"/>
      <w:sz w:val="24"/>
      <w:szCs w:val="24"/>
      <w:lang w:val="zh-CN"/>
    </w:rPr>
  </w:style>
  <w:style w:type="paragraph" w:customStyle="1" w:styleId="9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97">
    <w:name w:val="z-窗体顶端1"/>
    <w:basedOn w:val="1"/>
    <w:next w:val="1"/>
    <w:link w:val="98"/>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98">
    <w:name w:val="z-窗体顶端 Char"/>
    <w:link w:val="97"/>
    <w:qFormat/>
    <w:uiPriority w:val="0"/>
    <w:rPr>
      <w:rFonts w:ascii="Arial" w:hAnsi="Arial" w:eastAsia="宋体" w:cs="Times New Roman"/>
      <w:vanish/>
      <w:kern w:val="0"/>
      <w:sz w:val="16"/>
      <w:szCs w:val="16"/>
      <w:lang w:val="en-US" w:eastAsia="zh-CN" w:bidi="ar-SA"/>
    </w:rPr>
  </w:style>
  <w:style w:type="character" w:customStyle="1" w:styleId="99">
    <w:name w:val="z-窗体顶端 字符"/>
    <w:semiHidden/>
    <w:qFormat/>
    <w:uiPriority w:val="99"/>
    <w:rPr>
      <w:rFonts w:ascii="Arial" w:hAnsi="Arial" w:cs="Arial" w:eastAsiaTheme="minorEastAsia"/>
      <w:vanish/>
      <w:kern w:val="2"/>
      <w:sz w:val="16"/>
      <w:szCs w:val="16"/>
      <w:lang w:val="en-US" w:eastAsia="zh-CN" w:bidi="ar-SA"/>
    </w:rPr>
  </w:style>
  <w:style w:type="paragraph" w:customStyle="1" w:styleId="100">
    <w:name w:val="_Style 10"/>
    <w:basedOn w:val="1"/>
    <w:next w:val="1"/>
    <w:qFormat/>
    <w:uiPriority w:val="0"/>
    <w:rPr>
      <w:rFonts w:ascii="Times New Roman" w:hAnsi="Times New Roman" w:eastAsia="宋体" w:cs="Times New Roman"/>
      <w:szCs w:val="24"/>
    </w:rPr>
  </w:style>
  <w:style w:type="paragraph" w:customStyle="1" w:styleId="101">
    <w:name w:val="Char Char"/>
    <w:basedOn w:val="1"/>
    <w:qFormat/>
    <w:uiPriority w:val="0"/>
    <w:rPr>
      <w:rFonts w:ascii="Tahoma" w:hAnsi="Tahoma" w:eastAsia="宋体" w:cs="Times New Roman"/>
      <w:sz w:val="24"/>
      <w:szCs w:val="20"/>
    </w:rPr>
  </w:style>
  <w:style w:type="paragraph" w:customStyle="1" w:styleId="102">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03">
    <w:name w:val="Char Char Char Char"/>
    <w:basedOn w:val="1"/>
    <w:qFormat/>
    <w:uiPriority w:val="0"/>
    <w:rPr>
      <w:rFonts w:ascii="仿宋_GB2312" w:hAnsi="Times New Roman" w:eastAsia="仿宋_GB2312" w:cs="Times New Roman"/>
      <w:b/>
      <w:sz w:val="32"/>
      <w:szCs w:val="32"/>
    </w:rPr>
  </w:style>
  <w:style w:type="paragraph" w:customStyle="1" w:styleId="104">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05">
    <w:name w:val="样式1"/>
    <w:basedOn w:val="1"/>
    <w:qFormat/>
    <w:uiPriority w:val="0"/>
    <w:pPr>
      <w:spacing w:line="360" w:lineRule="auto"/>
      <w:jc w:val="center"/>
    </w:pPr>
    <w:rPr>
      <w:rFonts w:ascii="宋体" w:hAnsi="宋体" w:eastAsia="宋体" w:cs="Times New Roman"/>
      <w:sz w:val="32"/>
      <w:szCs w:val="30"/>
    </w:rPr>
  </w:style>
  <w:style w:type="paragraph" w:customStyle="1" w:styleId="106">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07">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08">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109">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10">
    <w:name w:val="样式 一号 加粗 居中"/>
    <w:basedOn w:val="1"/>
    <w:qFormat/>
    <w:uiPriority w:val="0"/>
    <w:pPr>
      <w:jc w:val="center"/>
    </w:pPr>
    <w:rPr>
      <w:rFonts w:ascii="Times New Roman" w:hAnsi="Times New Roman" w:eastAsia="宋体" w:cs="宋体"/>
      <w:bCs/>
      <w:sz w:val="52"/>
      <w:szCs w:val="20"/>
    </w:rPr>
  </w:style>
  <w:style w:type="paragraph" w:customStyle="1" w:styleId="111">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12">
    <w:name w:val="z-窗体底端1"/>
    <w:basedOn w:val="1"/>
    <w:next w:val="1"/>
    <w:link w:val="113"/>
    <w:qFormat/>
    <w:uiPriority w:val="0"/>
    <w:pPr>
      <w:pBdr>
        <w:top w:val="single" w:color="auto" w:sz="6" w:space="1"/>
      </w:pBdr>
      <w:jc w:val="center"/>
    </w:pPr>
    <w:rPr>
      <w:rFonts w:ascii="Arial" w:hAnsi="Arial" w:eastAsia="宋体" w:cs="Times New Roman"/>
      <w:vanish/>
      <w:kern w:val="0"/>
      <w:sz w:val="16"/>
      <w:szCs w:val="16"/>
    </w:rPr>
  </w:style>
  <w:style w:type="character" w:customStyle="1" w:styleId="113">
    <w:name w:val="z-窗体底端 Char"/>
    <w:link w:val="112"/>
    <w:qFormat/>
    <w:uiPriority w:val="0"/>
    <w:rPr>
      <w:rFonts w:ascii="Arial" w:hAnsi="Arial" w:eastAsia="宋体" w:cs="Times New Roman"/>
      <w:vanish/>
      <w:kern w:val="0"/>
      <w:sz w:val="16"/>
      <w:szCs w:val="16"/>
      <w:lang w:val="en-US" w:eastAsia="zh-CN" w:bidi="ar-SA"/>
    </w:rPr>
  </w:style>
  <w:style w:type="character" w:customStyle="1" w:styleId="114">
    <w:name w:val="z-窗体底端 字符"/>
    <w:semiHidden/>
    <w:qFormat/>
    <w:uiPriority w:val="99"/>
    <w:rPr>
      <w:rFonts w:ascii="Arial" w:hAnsi="Arial" w:cs="Arial" w:eastAsiaTheme="minorEastAsia"/>
      <w:vanish/>
      <w:kern w:val="2"/>
      <w:sz w:val="16"/>
      <w:szCs w:val="16"/>
      <w:lang w:val="en-US" w:eastAsia="zh-CN" w:bidi="ar-SA"/>
    </w:rPr>
  </w:style>
  <w:style w:type="character" w:customStyle="1" w:styleId="115">
    <w:name w:val="正文文本 字符1"/>
    <w:qFormat/>
    <w:uiPriority w:val="0"/>
    <w:rPr>
      <w:rFonts w:ascii="Calibri" w:hAnsi="Calibri" w:eastAsia="宋体" w:cs="Times New Roman"/>
      <w:kern w:val="2"/>
      <w:sz w:val="21"/>
      <w:szCs w:val="22"/>
      <w:lang w:val="en-US" w:eastAsia="zh-CN" w:bidi="ar-SA"/>
    </w:rPr>
  </w:style>
  <w:style w:type="character" w:customStyle="1" w:styleId="116">
    <w:name w:val="正文首行缩进 字符1"/>
    <w:link w:val="44"/>
    <w:qFormat/>
    <w:uiPriority w:val="0"/>
    <w:rPr>
      <w:rFonts w:ascii="Times New Roman" w:hAnsi="Times New Roman" w:eastAsia="宋体" w:cs="Times New Roman"/>
      <w:kern w:val="0"/>
      <w:sz w:val="20"/>
      <w:szCs w:val="24"/>
      <w:lang w:val="en-US" w:eastAsia="zh-CN" w:bidi="ar-SA"/>
    </w:rPr>
  </w:style>
  <w:style w:type="character" w:customStyle="1" w:styleId="117">
    <w:name w:val="批注框文本 字符1"/>
    <w:link w:val="24"/>
    <w:qFormat/>
    <w:uiPriority w:val="0"/>
    <w:rPr>
      <w:rFonts w:ascii="Times New Roman" w:hAnsi="Times New Roman" w:eastAsia="宋体" w:cs="Times New Roman"/>
      <w:kern w:val="0"/>
      <w:sz w:val="18"/>
      <w:szCs w:val="18"/>
      <w:lang w:val="en-US" w:eastAsia="zh-CN" w:bidi="ar-SA"/>
    </w:rPr>
  </w:style>
  <w:style w:type="character" w:customStyle="1" w:styleId="118">
    <w:name w:val="脚注文本 字符1"/>
    <w:link w:val="30"/>
    <w:qFormat/>
    <w:uiPriority w:val="0"/>
    <w:rPr>
      <w:rFonts w:ascii="Times New Roman" w:hAnsi="Times New Roman" w:eastAsia="宋体" w:cs="Times New Roman"/>
      <w:kern w:val="0"/>
      <w:sz w:val="18"/>
      <w:szCs w:val="18"/>
      <w:lang w:val="en-US" w:eastAsia="zh-CN" w:bidi="ar-SA"/>
    </w:rPr>
  </w:style>
  <w:style w:type="character" w:customStyle="1" w:styleId="119">
    <w:name w:val="正文缩进 字符"/>
    <w:link w:val="9"/>
    <w:qFormat/>
    <w:uiPriority w:val="0"/>
    <w:rPr>
      <w:rFonts w:ascii="宋体" w:hAnsi="Times New Roman" w:eastAsia="宋体" w:cs="Times New Roman"/>
      <w:kern w:val="0"/>
      <w:sz w:val="34"/>
      <w:szCs w:val="20"/>
      <w:lang w:val="en-US" w:eastAsia="zh-CN" w:bidi="ar-SA"/>
    </w:rPr>
  </w:style>
  <w:style w:type="character" w:customStyle="1" w:styleId="120">
    <w:name w:val="纯文本 字符1"/>
    <w:link w:val="19"/>
    <w:qFormat/>
    <w:uiPriority w:val="0"/>
    <w:rPr>
      <w:rFonts w:ascii="宋体" w:hAnsi="Courier New" w:eastAsia="宋体" w:cs="Times New Roman"/>
      <w:kern w:val="0"/>
      <w:sz w:val="20"/>
      <w:szCs w:val="21"/>
      <w:lang w:val="en-US" w:eastAsia="zh-CN" w:bidi="ar-SA"/>
    </w:rPr>
  </w:style>
  <w:style w:type="paragraph" w:customStyle="1" w:styleId="121">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22">
    <w:name w:val="样式3"/>
    <w:basedOn w:val="4"/>
    <w:qFormat/>
    <w:uiPriority w:val="0"/>
    <w:pPr>
      <w:keepNext/>
      <w:keepLines/>
      <w:spacing w:before="120" w:after="120" w:line="360" w:lineRule="auto"/>
    </w:pPr>
    <w:rPr>
      <w:rFonts w:eastAsia="宋体"/>
      <w:sz w:val="24"/>
      <w:szCs w:val="24"/>
    </w:rPr>
  </w:style>
  <w:style w:type="paragraph" w:customStyle="1" w:styleId="123">
    <w:name w:val="表"/>
    <w:basedOn w:val="1"/>
    <w:qFormat/>
    <w:uiPriority w:val="0"/>
    <w:pPr>
      <w:spacing w:line="360" w:lineRule="auto"/>
      <w:jc w:val="center"/>
    </w:pPr>
    <w:rPr>
      <w:rFonts w:ascii="Times New Roman" w:hAnsi="Times New Roman" w:eastAsia="宋体" w:cs="Times New Roman"/>
      <w:color w:val="000000"/>
      <w:szCs w:val="21"/>
    </w:rPr>
  </w:style>
  <w:style w:type="character" w:customStyle="1" w:styleId="124">
    <w:name w:val="正文文本 2 字符1"/>
    <w:link w:val="36"/>
    <w:qFormat/>
    <w:uiPriority w:val="99"/>
    <w:rPr>
      <w:rFonts w:ascii="Times New Roman" w:hAnsi="Times New Roman" w:eastAsia="宋体" w:cs="Times New Roman"/>
      <w:kern w:val="0"/>
      <w:sz w:val="20"/>
      <w:szCs w:val="24"/>
      <w:lang w:val="en-US" w:eastAsia="zh-CN" w:bidi="ar-SA"/>
    </w:rPr>
  </w:style>
  <w:style w:type="character" w:customStyle="1" w:styleId="125">
    <w:name w:val="正文文本缩进 2 字符1"/>
    <w:link w:val="23"/>
    <w:qFormat/>
    <w:uiPriority w:val="0"/>
    <w:rPr>
      <w:rFonts w:ascii="Times New Roman" w:hAnsi="Times New Roman" w:eastAsia="宋体" w:cs="Times New Roman"/>
      <w:kern w:val="0"/>
      <w:sz w:val="20"/>
      <w:szCs w:val="24"/>
      <w:lang w:val="en-US" w:eastAsia="zh-CN" w:bidi="ar-SA"/>
    </w:rPr>
  </w:style>
  <w:style w:type="character" w:customStyle="1" w:styleId="126">
    <w:name w:val="页脚 字符1"/>
    <w:link w:val="25"/>
    <w:qFormat/>
    <w:uiPriority w:val="99"/>
    <w:rPr>
      <w:rFonts w:ascii="Times New Roman" w:hAnsi="Times New Roman" w:eastAsia="宋体" w:cs="Times New Roman"/>
      <w:kern w:val="0"/>
      <w:sz w:val="18"/>
      <w:szCs w:val="18"/>
      <w:lang w:val="en-US" w:eastAsia="zh-CN" w:bidi="ar-SA"/>
    </w:rPr>
  </w:style>
  <w:style w:type="paragraph" w:customStyle="1" w:styleId="127">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12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2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130">
    <w:name w:val="样式 样式1 + 首行缩进:  2 字符 Char"/>
    <w:link w:val="131"/>
    <w:qFormat/>
    <w:uiPriority w:val="0"/>
    <w:rPr>
      <w:rFonts w:ascii="Arial" w:hAnsi="Arial" w:eastAsiaTheme="minorEastAsia" w:cstheme="minorBidi"/>
      <w:kern w:val="2"/>
      <w:sz w:val="24"/>
      <w:szCs w:val="22"/>
      <w:lang w:val="en-US" w:eastAsia="zh-CN" w:bidi="ar-SA"/>
    </w:rPr>
  </w:style>
  <w:style w:type="paragraph" w:customStyle="1" w:styleId="131">
    <w:name w:val="样式 样式1 + 首行缩进:  2 字符"/>
    <w:basedOn w:val="105"/>
    <w:link w:val="130"/>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32">
    <w:name w:val="样式 标题 1 + (符号) Arial 三号"/>
    <w:basedOn w:val="2"/>
    <w:qFormat/>
    <w:uiPriority w:val="0"/>
    <w:pPr>
      <w:snapToGrid w:val="0"/>
      <w:spacing w:before="0" w:after="0" w:line="360" w:lineRule="auto"/>
    </w:pPr>
    <w:rPr>
      <w:sz w:val="32"/>
    </w:rPr>
  </w:style>
  <w:style w:type="paragraph" w:customStyle="1" w:styleId="133">
    <w:name w:val="列出段落11"/>
    <w:basedOn w:val="1"/>
    <w:qFormat/>
    <w:uiPriority w:val="34"/>
    <w:pPr>
      <w:ind w:firstLine="420" w:firstLineChars="200"/>
    </w:pPr>
    <w:rPr>
      <w:rFonts w:ascii="Calibri" w:hAnsi="Calibri" w:eastAsia="宋体" w:cs="Times New Roman"/>
    </w:rPr>
  </w:style>
  <w:style w:type="character" w:customStyle="1" w:styleId="134">
    <w:name w:val="Char Char14"/>
    <w:qFormat/>
    <w:uiPriority w:val="0"/>
    <w:rPr>
      <w:rFonts w:ascii="宋体" w:hAnsi="Courier New" w:eastAsia="宋体" w:cs="Courier New"/>
      <w:kern w:val="2"/>
      <w:sz w:val="21"/>
      <w:szCs w:val="21"/>
      <w:lang w:val="en-US" w:eastAsia="zh-CN" w:bidi="ar-SA"/>
    </w:rPr>
  </w:style>
  <w:style w:type="paragraph" w:customStyle="1" w:styleId="135">
    <w:name w:val="_Style 5"/>
    <w:basedOn w:val="1"/>
    <w:next w:val="1"/>
    <w:qFormat/>
    <w:uiPriority w:val="0"/>
    <w:rPr>
      <w:rFonts w:ascii="Times New Roman" w:hAnsi="Times New Roman" w:eastAsia="宋体" w:cs="Times New Roman"/>
      <w:szCs w:val="20"/>
    </w:rPr>
  </w:style>
  <w:style w:type="paragraph" w:customStyle="1" w:styleId="13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
    <w:name w:val="!机场正文"/>
    <w:basedOn w:val="1"/>
    <w:qFormat/>
    <w:uiPriority w:val="0"/>
    <w:pPr>
      <w:spacing w:line="560" w:lineRule="exact"/>
      <w:ind w:firstLine="200" w:firstLineChars="200"/>
    </w:pPr>
    <w:rPr>
      <w:rFonts w:ascii="仿宋_GB2312" w:hAnsi="仿宋_GB2312" w:eastAsia="仿宋_GB2312" w:cs="Times New Roman"/>
      <w:sz w:val="32"/>
    </w:rPr>
  </w:style>
  <w:style w:type="character" w:customStyle="1" w:styleId="138">
    <w:name w:val="批注主题 Char1"/>
    <w:basedOn w:val="60"/>
    <w:qFormat/>
    <w:uiPriority w:val="0"/>
    <w:rPr>
      <w:b/>
      <w:bCs/>
      <w:kern w:val="2"/>
      <w:sz w:val="21"/>
      <w:szCs w:val="22"/>
    </w:rPr>
  </w:style>
  <w:style w:type="paragraph" w:customStyle="1" w:styleId="139">
    <w:name w:val="p0"/>
    <w:basedOn w:val="1"/>
    <w:qFormat/>
    <w:uiPriority w:val="0"/>
    <w:pPr>
      <w:widowControl/>
    </w:pPr>
    <w:rPr>
      <w:rFonts w:ascii="Times New Roman" w:hAnsi="Times New Roman" w:eastAsia="宋体" w:cs="Times New Roman"/>
      <w:kern w:val="0"/>
      <w:szCs w:val="21"/>
    </w:rPr>
  </w:style>
  <w:style w:type="paragraph" w:customStyle="1" w:styleId="140">
    <w:name w:val="xl30"/>
    <w:basedOn w:val="1"/>
    <w:qFormat/>
    <w:uiPriority w:val="0"/>
    <w:pPr>
      <w:widowControl/>
      <w:spacing w:before="100" w:beforeAutospacing="1" w:after="100" w:afterAutospacing="1" w:line="360" w:lineRule="auto"/>
      <w:ind w:left="449" w:hanging="449" w:hangingChars="187"/>
      <w:jc w:val="center"/>
    </w:pPr>
    <w:rPr>
      <w:rFonts w:ascii="Arial Unicode MS" w:hAnsi="Arial Unicode MS" w:eastAsia="Arial Unicode MS" w:cs="Times New Roman"/>
      <w:b/>
      <w:bCs/>
      <w:kern w:val="0"/>
      <w:sz w:val="24"/>
      <w:szCs w:val="24"/>
    </w:rPr>
  </w:style>
  <w:style w:type="character" w:customStyle="1" w:styleId="141">
    <w:name w:val="正文文本缩进 3 Char1"/>
    <w:basedOn w:val="48"/>
    <w:qFormat/>
    <w:uiPriority w:val="0"/>
    <w:rPr>
      <w:rFonts w:asciiTheme="minorHAnsi" w:hAnsiTheme="minorHAnsi" w:eastAsiaTheme="minorEastAsia" w:cstheme="minorBidi"/>
      <w:kern w:val="2"/>
      <w:sz w:val="16"/>
      <w:szCs w:val="16"/>
      <w:lang w:val="en-US" w:eastAsia="zh-CN" w:bidi="ar-SA"/>
    </w:rPr>
  </w:style>
  <w:style w:type="character" w:customStyle="1" w:styleId="142">
    <w:name w:val="正文文本缩进 2 Char1"/>
    <w:basedOn w:val="48"/>
    <w:qFormat/>
    <w:uiPriority w:val="0"/>
    <w:rPr>
      <w:rFonts w:asciiTheme="minorHAnsi" w:hAnsiTheme="minorHAnsi" w:eastAsiaTheme="minorEastAsia" w:cstheme="minorBidi"/>
      <w:kern w:val="2"/>
      <w:sz w:val="21"/>
      <w:szCs w:val="21"/>
      <w:lang w:val="en-US" w:eastAsia="zh-CN" w:bidi="ar-SA"/>
    </w:rPr>
  </w:style>
  <w:style w:type="character" w:customStyle="1" w:styleId="143">
    <w:name w:val="页脚 Char1"/>
    <w:basedOn w:val="48"/>
    <w:qFormat/>
    <w:uiPriority w:val="99"/>
    <w:rPr>
      <w:rFonts w:ascii="楷体_GB2312" w:hAnsi="宋体" w:eastAsia="楷体_GB2312" w:cstheme="minorBidi"/>
      <w:kern w:val="2"/>
      <w:sz w:val="18"/>
      <w:szCs w:val="18"/>
      <w:lang w:val="en-US" w:eastAsia="zh-CN" w:bidi="ar-SA"/>
    </w:rPr>
  </w:style>
  <w:style w:type="character" w:customStyle="1" w:styleId="144">
    <w:name w:val="批注框文本 Char1"/>
    <w:basedOn w:val="48"/>
    <w:qFormat/>
    <w:uiPriority w:val="0"/>
    <w:rPr>
      <w:rFonts w:ascii="楷体_GB2312" w:hAnsi="宋体" w:eastAsia="楷体_GB2312" w:cstheme="minorBidi"/>
      <w:kern w:val="2"/>
      <w:sz w:val="18"/>
      <w:szCs w:val="18"/>
      <w:lang w:val="en-US" w:eastAsia="zh-CN" w:bidi="ar-SA"/>
    </w:rPr>
  </w:style>
  <w:style w:type="character" w:customStyle="1" w:styleId="145">
    <w:name w:val="纯文本 Char1"/>
    <w:basedOn w:val="48"/>
    <w:qFormat/>
    <w:uiPriority w:val="0"/>
    <w:rPr>
      <w:rFonts w:ascii="宋体" w:hAnsi="Courier New" w:eastAsiaTheme="minorEastAsia" w:cstheme="minorBidi"/>
      <w:kern w:val="2"/>
      <w:sz w:val="21"/>
      <w:szCs w:val="22"/>
      <w:lang w:val="en-US" w:eastAsia="zh-CN" w:bidi="ar-SA"/>
    </w:rPr>
  </w:style>
  <w:style w:type="character" w:customStyle="1" w:styleId="146">
    <w:name w:val="页眉 Char1"/>
    <w:basedOn w:val="48"/>
    <w:qFormat/>
    <w:uiPriority w:val="0"/>
    <w:rPr>
      <w:rFonts w:ascii="楷体_GB2312" w:hAnsi="宋体" w:eastAsia="楷体_GB2312" w:cstheme="minorBidi"/>
      <w:kern w:val="2"/>
      <w:sz w:val="18"/>
      <w:szCs w:val="18"/>
      <w:lang w:val="en-US" w:eastAsia="zh-CN" w:bidi="ar-SA"/>
    </w:rPr>
  </w:style>
  <w:style w:type="character" w:customStyle="1" w:styleId="147">
    <w:name w:val="正文文本缩进 Char1"/>
    <w:basedOn w:val="48"/>
    <w:qFormat/>
    <w:uiPriority w:val="0"/>
    <w:rPr>
      <w:rFonts w:asciiTheme="minorHAnsi" w:hAnsiTheme="minorHAnsi" w:eastAsiaTheme="minorEastAsia" w:cstheme="minorBidi"/>
      <w:kern w:val="2"/>
      <w:sz w:val="28"/>
      <w:szCs w:val="24"/>
      <w:lang w:val="en-US" w:eastAsia="zh-CN" w:bidi="ar-SA"/>
    </w:rPr>
  </w:style>
  <w:style w:type="character" w:customStyle="1" w:styleId="148">
    <w:name w:val="正文文本 Char1"/>
    <w:basedOn w:val="48"/>
    <w:qFormat/>
    <w:uiPriority w:val="0"/>
    <w:rPr>
      <w:rFonts w:ascii="宋体" w:cs="宋体" w:hAnsiTheme="minorHAnsi" w:eastAsiaTheme="minorEastAsia"/>
      <w:kern w:val="2"/>
      <w:sz w:val="30"/>
      <w:szCs w:val="30"/>
      <w:lang w:val="en-US" w:eastAsia="zh-CN" w:bidi="ar-SA"/>
    </w:rPr>
  </w:style>
  <w:style w:type="character" w:customStyle="1" w:styleId="149">
    <w:name w:val="正文文本 2 Char1"/>
    <w:basedOn w:val="48"/>
    <w:qFormat/>
    <w:uiPriority w:val="99"/>
    <w:rPr>
      <w:rFonts w:ascii="楷体_GB2312" w:hAnsi="宋体" w:eastAsia="楷体_GB2312" w:cs="黑体"/>
      <w:kern w:val="2"/>
      <w:sz w:val="24"/>
      <w:szCs w:val="24"/>
      <w:lang w:val="en-US" w:eastAsia="zh-CN" w:bidi="ar-SA"/>
    </w:rPr>
  </w:style>
  <w:style w:type="character" w:customStyle="1" w:styleId="150">
    <w:name w:val="标题 Char1"/>
    <w:basedOn w:val="48"/>
    <w:qFormat/>
    <w:uiPriority w:val="0"/>
    <w:rPr>
      <w:rFonts w:ascii="Cambria" w:hAnsi="Cambria" w:eastAsiaTheme="minorEastAsia" w:cstheme="minorBidi"/>
      <w:b/>
      <w:bCs/>
      <w:kern w:val="2"/>
      <w:sz w:val="32"/>
      <w:szCs w:val="32"/>
      <w:lang w:val="en-US" w:eastAsia="zh-CN" w:bidi="ar-SA"/>
    </w:rPr>
  </w:style>
  <w:style w:type="character" w:customStyle="1" w:styleId="151">
    <w:name w:val="fontstyle01"/>
    <w:basedOn w:val="48"/>
    <w:qFormat/>
    <w:uiPriority w:val="0"/>
    <w:rPr>
      <w:rFonts w:hint="eastAsia" w:ascii="仿宋_GB2312" w:eastAsia="仿宋_GB2312" w:hAnsiTheme="minorHAnsi" w:cstheme="minorBidi"/>
      <w:color w:val="000000"/>
      <w:kern w:val="2"/>
      <w:sz w:val="32"/>
      <w:szCs w:val="32"/>
      <w:lang w:val="en-US" w:eastAsia="zh-CN" w:bidi="ar-SA"/>
    </w:rPr>
  </w:style>
  <w:style w:type="paragraph" w:customStyle="1" w:styleId="152">
    <w:name w:val="Default"/>
    <w:link w:val="15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53">
    <w:name w:val="CM55"/>
    <w:basedOn w:val="152"/>
    <w:next w:val="152"/>
    <w:qFormat/>
    <w:uiPriority w:val="99"/>
    <w:rPr>
      <w:rFonts w:cs="Times New Roman"/>
      <w:color w:val="auto"/>
    </w:rPr>
  </w:style>
  <w:style w:type="character" w:customStyle="1" w:styleId="154">
    <w:name w:val="Default Char"/>
    <w:link w:val="152"/>
    <w:qFormat/>
    <w:uiPriority w:val="0"/>
    <w:rPr>
      <w:rFonts w:ascii="宋体." w:hAnsi="Calibri" w:eastAsia="宋体." w:cs="宋体."/>
      <w:color w:val="000000"/>
      <w:kern w:val="0"/>
      <w:sz w:val="24"/>
      <w:szCs w:val="24"/>
      <w:lang w:val="en-US" w:eastAsia="zh-CN" w:bidi="ar-SA"/>
    </w:rPr>
  </w:style>
  <w:style w:type="paragraph" w:customStyle="1" w:styleId="15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lang w:val="en-GB"/>
    </w:rPr>
  </w:style>
  <w:style w:type="paragraph" w:customStyle="1" w:styleId="156">
    <w:name w:val="修订1"/>
    <w:hidden/>
    <w:unhideWhenUsed/>
    <w:qFormat/>
    <w:uiPriority w:val="99"/>
    <w:rPr>
      <w:rFonts w:ascii="Calibri" w:hAnsi="Calibri" w:eastAsia="宋体" w:cs="Times New Roman"/>
      <w:kern w:val="2"/>
      <w:sz w:val="21"/>
      <w:szCs w:val="22"/>
      <w:lang w:val="en-US" w:eastAsia="zh-CN" w:bidi="ar-SA"/>
    </w:rPr>
  </w:style>
  <w:style w:type="paragraph" w:customStyle="1" w:styleId="157">
    <w:name w:val="列出段落2"/>
    <w:basedOn w:val="1"/>
    <w:qFormat/>
    <w:uiPriority w:val="34"/>
    <w:pPr>
      <w:ind w:firstLine="42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8341</Words>
  <Characters>47547</Characters>
  <Lines>396</Lines>
  <Paragraphs>111</Paragraphs>
  <TotalTime>0</TotalTime>
  <ScaleCrop>false</ScaleCrop>
  <LinksUpToDate>false</LinksUpToDate>
  <CharactersWithSpaces>55777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2019-10-15T07:48:00Z</dcterms:created>
  <dc:creator>张治</dc:creator>
  <cp:lastModifiedBy>宋宇</cp:lastModifiedBy>
  <dcterms:modified xsi:type="dcterms:W3CDTF">2019-10-21T23:55:54Z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