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建筑消防设施及电气消防安全检测项目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pStyle w:val="5"/>
        <w:spacing w:line="480" w:lineRule="auto"/>
        <w:rPr>
          <w:rFonts w:ascii="Calibri" w:hAnsi="Calibri" w:eastAsia="隶书" w:cs="Calibri"/>
          <w:sz w:val="32"/>
        </w:rPr>
      </w:pPr>
    </w:p>
    <w:p>
      <w:pPr>
        <w:pStyle w:val="5"/>
        <w:spacing w:line="480" w:lineRule="auto"/>
        <w:jc w:val="center"/>
        <w:rPr>
          <w:rFonts w:ascii="Calibri" w:hAnsi="Calibri" w:eastAsia="隶书" w:cs="Calibri"/>
          <w:sz w:val="32"/>
        </w:rPr>
      </w:pPr>
    </w:p>
    <w:p>
      <w:pPr>
        <w:pStyle w:val="5"/>
        <w:spacing w:line="480" w:lineRule="auto"/>
        <w:jc w:val="center"/>
        <w:rPr>
          <w:rFonts w:ascii="Calibri" w:hAnsi="Calibri" w:eastAsia="隶书" w:cs="Calibri"/>
          <w:sz w:val="32"/>
        </w:rPr>
      </w:pPr>
    </w:p>
    <w:p>
      <w:pPr>
        <w:pStyle w:val="5"/>
        <w:spacing w:line="480" w:lineRule="auto"/>
        <w:rPr>
          <w:rFonts w:ascii="Calibri" w:hAnsi="Calibri" w:eastAsia="隶书" w:cs="Calibri"/>
          <w:sz w:val="32"/>
        </w:rPr>
      </w:pPr>
    </w:p>
    <w:p>
      <w:pPr>
        <w:pStyle w:val="5"/>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9"/>
        <w:rPr>
          <w:rFonts w:ascii="Calibri" w:cs="Calibri"/>
          <w:b/>
          <w:color w:val="000000"/>
          <w:sz w:val="44"/>
        </w:rPr>
      </w:pPr>
      <w:bookmarkStart w:id="3" w:name="_Toc386359390"/>
      <w:bookmarkStart w:id="4" w:name="_Toc349007685"/>
      <w:bookmarkStart w:id="5" w:name="_Toc349011855"/>
      <w:bookmarkStart w:id="6" w:name="_Toc386363314"/>
    </w:p>
    <w:p>
      <w:pPr>
        <w:pStyle w:val="9"/>
        <w:rPr>
          <w:rFonts w:ascii="Calibri" w:hAnsi="Calibri" w:cs="Calibri"/>
          <w:b/>
          <w:color w:val="000000"/>
          <w:sz w:val="44"/>
        </w:rPr>
      </w:pPr>
      <w:bookmarkStart w:id="7" w:name="_Toc400369182"/>
      <w:bookmarkStart w:id="8" w:name="_Toc444173456"/>
      <w:bookmarkStart w:id="9" w:name="_Toc444174976"/>
      <w:bookmarkStart w:id="10" w:name="_Toc448002981"/>
      <w:bookmarkStart w:id="11" w:name="_Toc444811406"/>
      <w:r>
        <w:rPr>
          <w:rFonts w:ascii="Calibri" w:cs="Calibri"/>
          <w:b/>
          <w:color w:val="000000"/>
          <w:sz w:val="44"/>
        </w:rPr>
        <w:t>目录</w:t>
      </w:r>
      <w:bookmarkEnd w:id="3"/>
      <w:bookmarkEnd w:id="4"/>
      <w:bookmarkEnd w:id="5"/>
      <w:bookmarkEnd w:id="6"/>
      <w:bookmarkEnd w:id="7"/>
      <w:bookmarkEnd w:id="8"/>
      <w:bookmarkEnd w:id="9"/>
      <w:bookmarkEnd w:id="10"/>
      <w:bookmarkEnd w:id="11"/>
    </w:p>
    <w:p>
      <w:pPr>
        <w:pStyle w:val="9"/>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9"/>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15"/>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15"/>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5</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15"/>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15"/>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7</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15"/>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15"/>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27</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18642"/>
      <w:bookmarkStart w:id="13" w:name="_Toc8110"/>
      <w:bookmarkStart w:id="14" w:name="_Toc6832"/>
      <w:bookmarkStart w:id="15" w:name="_Toc7641"/>
      <w:bookmarkStart w:id="16" w:name="_Toc24784"/>
      <w:bookmarkStart w:id="17" w:name="_Toc24932"/>
      <w:bookmarkStart w:id="18" w:name="_Toc14628"/>
      <w:bookmarkStart w:id="19" w:name="_Toc6581"/>
      <w:bookmarkStart w:id="20" w:name="_Toc22293"/>
      <w:bookmarkStart w:id="21" w:name="_Toc448002982"/>
      <w:bookmarkStart w:id="22" w:name="_Toc248766631"/>
      <w:bookmarkStart w:id="23" w:name="_Toc249322950"/>
      <w:r>
        <w:rPr>
          <w:rFonts w:ascii="Calibri" w:eastAsia="黑体" w:cs="Calibri"/>
          <w:kern w:val="0"/>
          <w:sz w:val="32"/>
        </w:rPr>
        <w:t>第一章</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spacing w:line="360" w:lineRule="auto"/>
        <w:ind w:firstLine="440" w:firstLineChars="200"/>
        <w:rPr>
          <w:rFonts w:asciiTheme="minorEastAsia" w:hAnsiTheme="minorEastAsia" w:eastAsiaTheme="minorEastAsia"/>
          <w:sz w:val="22"/>
        </w:rPr>
      </w:pPr>
      <w:r>
        <w:rPr>
          <w:rFonts w:hint="eastAsia" w:ascii="宋体" w:hAnsi="宋体" w:cs="Arial"/>
          <w:kern w:val="0"/>
          <w:sz w:val="22"/>
        </w:rPr>
        <w:t>（1）</w:t>
      </w:r>
      <w:r>
        <w:rPr>
          <w:rFonts w:hint="eastAsia" w:cs="Arial" w:asciiTheme="minorEastAsia" w:hAnsiTheme="minorEastAsia" w:eastAsiaTheme="minorEastAsia"/>
          <w:kern w:val="0"/>
          <w:sz w:val="22"/>
        </w:rPr>
        <w:t>为确保杭州萧山国际机场建筑消防设施和建筑电气的正常运行，依据《消防法》有关规定，每年对建筑消防设施至少进行一次全面检测，确保完好有效。</w:t>
      </w:r>
      <w:r>
        <w:rPr>
          <w:rFonts w:hint="eastAsia" w:asciiTheme="minorEastAsia" w:hAnsiTheme="minorEastAsia" w:eastAsiaTheme="minorEastAsia"/>
          <w:sz w:val="22"/>
        </w:rPr>
        <w:t>杭州萧山国际机场有限公司就机场建筑消防设施及电气消防安全年度检测项目进行公开招标。</w:t>
      </w:r>
    </w:p>
    <w:p>
      <w:pPr>
        <w:spacing w:line="360" w:lineRule="auto"/>
        <w:ind w:firstLine="440" w:firstLineChars="200"/>
        <w:rPr>
          <w:rFonts w:asciiTheme="minorEastAsia" w:hAnsiTheme="minorEastAsia" w:eastAsiaTheme="minorEastAsia"/>
          <w:sz w:val="22"/>
        </w:rPr>
      </w:pPr>
      <w:r>
        <w:rPr>
          <w:rFonts w:hint="eastAsia" w:ascii="宋体" w:hAnsi="宋体" w:cs="Arial"/>
          <w:kern w:val="0"/>
          <w:sz w:val="22"/>
        </w:rPr>
        <w:t>（2）项目概况：本项目位于杭州萧山国际机场内，检测范围包括</w:t>
      </w:r>
      <w:r>
        <w:rPr>
          <w:rFonts w:hint="eastAsia" w:cs="Arial" w:asciiTheme="minorEastAsia" w:hAnsiTheme="minorEastAsia" w:eastAsiaTheme="minorEastAsia"/>
          <w:kern w:val="0"/>
          <w:sz w:val="22"/>
        </w:rPr>
        <w:t>T1、T2、T3航站楼、空港隧道、AOC大楼、ITC大楼 、食品公司大楼、货站A、B区、综合办公楼、第三方医药仓库、4号员工宿舍楼、综合服务大楼、配载保障楼、迎宾楼、国内进港库内设置的建筑消防设施和110KV变电站、35KV变电站以及场区内变电站点共33处变电设施电气，建筑面积共约515504平方米。</w:t>
      </w:r>
    </w:p>
    <w:p>
      <w:pPr>
        <w:spacing w:line="360" w:lineRule="auto"/>
        <w:ind w:firstLine="440" w:firstLineChars="200"/>
        <w:rPr>
          <w:rFonts w:ascii="宋体" w:hAnsi="宋体" w:cs="Arial"/>
          <w:kern w:val="0"/>
          <w:sz w:val="22"/>
        </w:rPr>
      </w:pPr>
      <w:r>
        <w:rPr>
          <w:rFonts w:hint="eastAsia" w:ascii="宋体" w:hAnsi="宋体" w:cs="Arial"/>
          <w:kern w:val="0"/>
          <w:sz w:val="22"/>
        </w:rPr>
        <w:t>（3）招标内容：2019年机场建筑消防设施及电气消防安全年度检测，详情请见招标文件。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cs="Arial" w:asciiTheme="minorEastAsia" w:hAnsiTheme="minorEastAsia" w:eastAsiaTheme="minorEastAsia"/>
          <w:kern w:val="0"/>
          <w:sz w:val="22"/>
        </w:rPr>
        <w:t>自合同签订生效之日起至2020年2月28日</w:t>
      </w:r>
      <w:r>
        <w:rPr>
          <w:rFonts w:hint="eastAsia" w:asciiTheme="minorEastAsia" w:hAnsiTheme="minorEastAsia" w:eastAsiaTheme="minorEastAsia"/>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）近年（201</w:t>
      </w:r>
      <w:r>
        <w:rPr>
          <w:rFonts w:ascii="宋体" w:hAnsi="宋体" w:cs="Arial"/>
          <w:kern w:val="0"/>
          <w:sz w:val="22"/>
        </w:rPr>
        <w:t>6</w:t>
      </w:r>
      <w:r>
        <w:rPr>
          <w:rFonts w:hint="eastAsia" w:ascii="宋体" w:hAnsi="宋体" w:cs="Arial"/>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w:t>
      </w:r>
      <w:r>
        <w:rPr>
          <w:rFonts w:asciiTheme="minorEastAsia" w:hAnsiTheme="minorEastAsia" w:eastAsiaTheme="minorEastAsia"/>
          <w:sz w:val="22"/>
        </w:rPr>
        <w:t>5</w:t>
      </w:r>
      <w:r>
        <w:rPr>
          <w:rFonts w:hint="eastAsia" w:asciiTheme="minorEastAsia" w:hAnsiTheme="minorEastAsia" w:eastAsiaTheme="minorEastAsia"/>
          <w:sz w:val="22"/>
        </w:rPr>
        <w:t>）投标人须具有消防设施维护保养检测一级资质；（需投标方提供资质证书复印件</w:t>
      </w:r>
      <w:r>
        <w:rPr>
          <w:rFonts w:hint="eastAsia" w:ascii="宋体" w:hAnsi="宋体" w:cs="宋体"/>
          <w:kern w:val="0"/>
          <w:sz w:val="24"/>
        </w:rPr>
        <w:t>并加盖投标人公章作为证明材料，原件备查</w:t>
      </w:r>
      <w:r>
        <w:rPr>
          <w:rFonts w:hint="eastAsia" w:asciiTheme="minorEastAsia" w:hAnsiTheme="minorEastAsia" w:eastAsiaTheme="minorEastAsia"/>
          <w:sz w:val="22"/>
        </w:rPr>
        <w:t>）</w:t>
      </w:r>
    </w:p>
    <w:p>
      <w:pPr>
        <w:tabs>
          <w:tab w:val="left" w:pos="720"/>
        </w:tabs>
        <w:autoSpaceDE w:val="0"/>
        <w:autoSpaceDN w:val="0"/>
        <w:adjustRightInd w:val="0"/>
        <w:ind w:left="400"/>
        <w:jc w:val="left"/>
        <w:rPr>
          <w:rFonts w:asciiTheme="minorEastAsia" w:hAnsiTheme="minorEastAsia" w:eastAsiaTheme="minorEastAsia"/>
          <w:sz w:val="22"/>
        </w:rPr>
      </w:pPr>
      <w:r>
        <w:rPr>
          <w:rFonts w:hint="eastAsia" w:asciiTheme="minorEastAsia" w:hAnsiTheme="minorEastAsia" w:eastAsiaTheme="minorEastAsia"/>
          <w:sz w:val="22"/>
        </w:rPr>
        <w:t>（</w:t>
      </w:r>
      <w:r>
        <w:rPr>
          <w:rFonts w:asciiTheme="minorEastAsia" w:hAnsiTheme="minorEastAsia" w:eastAsiaTheme="minorEastAsia"/>
          <w:sz w:val="22"/>
        </w:rPr>
        <w:t>6</w:t>
      </w:r>
      <w:r>
        <w:rPr>
          <w:rFonts w:hint="eastAsia" w:asciiTheme="minorEastAsia" w:hAnsiTheme="minorEastAsia" w:eastAsiaTheme="minorEastAsia"/>
          <w:sz w:val="22"/>
        </w:rPr>
        <w:t>）具有省级及以上质量技术监督部门核发的检验检测机构资质认定证书（认定范围满足泡沫灭火系统、气体灭火系统、水喷雾灭火系统、细水雾灭火系统等要求，需投标方提供有效认定证书及附表的复印件</w:t>
      </w:r>
      <w:r>
        <w:rPr>
          <w:rFonts w:hint="eastAsia" w:ascii="宋体" w:hAnsi="宋体" w:cs="宋体"/>
          <w:kern w:val="0"/>
          <w:sz w:val="24"/>
        </w:rPr>
        <w:t>并加盖投标人公章作为证明材料，原件备查</w:t>
      </w:r>
      <w:r>
        <w:rPr>
          <w:rFonts w:hint="eastAsia" w:asciiTheme="minorEastAsia" w:hAnsiTheme="minorEastAsia" w:eastAsiaTheme="minorEastAsia"/>
          <w:sz w:val="22"/>
        </w:rPr>
        <w:t>）。</w:t>
      </w:r>
    </w:p>
    <w:p>
      <w:pPr>
        <w:widowControl/>
        <w:adjustRightInd w:val="0"/>
        <w:snapToGrid w:val="0"/>
        <w:spacing w:line="34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w:t>
      </w:r>
      <w:r>
        <w:rPr>
          <w:rFonts w:asciiTheme="minorEastAsia" w:hAnsiTheme="minorEastAsia" w:eastAsiaTheme="minorEastAsia"/>
          <w:sz w:val="22"/>
        </w:rPr>
        <w:t>7</w:t>
      </w:r>
      <w:r>
        <w:rPr>
          <w:rFonts w:hint="eastAsia" w:asciiTheme="minorEastAsia" w:hAnsiTheme="minorEastAsia" w:eastAsiaTheme="minorEastAsia"/>
          <w:sz w:val="22"/>
        </w:rPr>
        <w:t>）</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14</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14</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14</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hint="default" w:eastAsia="宋体" w:cs="Arial"/>
          <w:color w:val="414141"/>
          <w:sz w:val="23"/>
          <w:szCs w:val="23"/>
          <w:lang w:val="en-US" w:eastAsia="zh-CN"/>
        </w:rPr>
      </w:pPr>
      <w:r>
        <w:rPr>
          <w:rFonts w:hint="eastAsia" w:ascii="宋体" w:hAnsi="宋体"/>
          <w:sz w:val="22"/>
        </w:rPr>
        <w:t>投标联系人：贾思勰     联系电话： 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招标监督人：阮周长         联系电话：0571-86662133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第二章投标人须知</w:t>
      </w:r>
      <w:bookmarkEnd w:id="0"/>
      <w:bookmarkEnd w:id="22"/>
      <w:bookmarkEnd w:id="23"/>
      <w:bookmarkEnd w:id="24"/>
      <w:bookmarkStart w:id="25" w:name="_Toc143421654"/>
    </w:p>
    <w:p>
      <w:pPr>
        <w:pStyle w:val="17"/>
        <w:jc w:val="center"/>
        <w:rPr>
          <w:rFonts w:ascii="Calibri" w:hAnsi="Calibri" w:eastAsia="黑体" w:cs="Calibri"/>
          <w:kern w:val="2"/>
          <w:sz w:val="28"/>
          <w:szCs w:val="32"/>
        </w:rPr>
      </w:pPr>
      <w:bookmarkStart w:id="26" w:name="_Toc448002984"/>
      <w:bookmarkStart w:id="27" w:name="_Toc386363317"/>
      <w:bookmarkStart w:id="28" w:name="_Toc444811409"/>
      <w:bookmarkStart w:id="29" w:name="_Toc444174979"/>
      <w:bookmarkStart w:id="30" w:name="_Toc400369185"/>
      <w:bookmarkStart w:id="31" w:name="_Toc11881"/>
      <w:bookmarkStart w:id="32" w:name="_Toc386359393"/>
      <w:bookmarkStart w:id="33" w:name="_Toc349007688"/>
      <w:bookmarkStart w:id="34" w:name="_Toc444173459"/>
      <w:bookmarkStart w:id="35" w:name="_Toc34901185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rPr>
                <w:rFonts w:asciiTheme="minorEastAsia" w:hAnsiTheme="minorEastAsia" w:eastAsiaTheme="minorEastAsia"/>
                <w:sz w:val="22"/>
                <w:lang w:val="zh-CN"/>
              </w:rPr>
            </w:pPr>
            <w:r>
              <w:rPr>
                <w:rFonts w:ascii="宋体" w:hAnsi="宋体" w:cs="Arial"/>
                <w:kern w:val="0"/>
                <w:sz w:val="22"/>
              </w:rPr>
              <w:t>杭州萧山国际机场</w:t>
            </w:r>
            <w:r>
              <w:rPr>
                <w:rFonts w:hint="eastAsia" w:asciiTheme="minorEastAsia" w:hAnsiTheme="minorEastAsia" w:eastAsiaTheme="minorEastAsia"/>
                <w:sz w:val="22"/>
                <w:lang w:val="zh-CN"/>
              </w:rPr>
              <w:t>建筑消防设施及电气消防安全检测</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18"/>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ind w:firstLine="110" w:firstLineChars="50"/>
              <w:rPr>
                <w:rFonts w:asciiTheme="minorEastAsia" w:hAnsiTheme="minorEastAsia" w:eastAsiaTheme="minorEastAsia"/>
                <w:color w:val="000000"/>
                <w:sz w:val="22"/>
              </w:rPr>
            </w:pPr>
            <w:r>
              <w:rPr>
                <w:rFonts w:hint="eastAsia" w:cs="Arial" w:asciiTheme="minorEastAsia" w:hAnsiTheme="minorEastAsia" w:eastAsiaTheme="minorEastAsia"/>
                <w:kern w:val="0"/>
                <w:sz w:val="22"/>
              </w:rPr>
              <w:t>自合同签订生效之日起至2020年2月28日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6</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2019年</w:t>
            </w:r>
            <w:r>
              <w:rPr>
                <w:rFonts w:hint="eastAsia" w:cs="Calibri" w:asciiTheme="minorEastAsia" w:hAnsiTheme="minorEastAsia" w:eastAsiaTheme="minorEastAsia"/>
                <w:b/>
                <w:kern w:val="0"/>
                <w:sz w:val="22"/>
                <w:lang w:val="en-US" w:eastAsia="zh-CN"/>
              </w:rPr>
              <w:t>11</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14</w:t>
            </w:r>
            <w:r>
              <w:rPr>
                <w:rFonts w:hint="eastAsia" w:cs="Calibri" w:asciiTheme="minorEastAsia" w:hAnsiTheme="minorEastAsia" w:eastAsiaTheme="minorEastAsia"/>
                <w:b/>
                <w:kern w:val="0"/>
                <w:sz w:val="22"/>
              </w:rPr>
              <w:t>日上午9时</w:t>
            </w:r>
            <w:r>
              <w:rPr>
                <w:rFonts w:hint="eastAsia" w:cs="Calibri" w:asciiTheme="minorEastAsia" w:hAnsiTheme="minorEastAsia" w:eastAsiaTheme="minorEastAsia"/>
                <w:b/>
                <w:kern w:val="0"/>
                <w:sz w:val="22"/>
                <w:lang w:val="en-US" w:eastAsia="zh-CN"/>
              </w:rPr>
              <w:t>3</w:t>
            </w:r>
            <w:r>
              <w:rPr>
                <w:rFonts w:hint="eastAsia" w:cs="Calibri" w:asciiTheme="minorEastAsia" w:hAnsiTheme="minorEastAsia" w:eastAsiaTheme="minorEastAsia"/>
                <w:b/>
                <w:kern w:val="0"/>
                <w:sz w:val="22"/>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jc w:val="both"/>
              <w:rPr>
                <w:rFonts w:cs="Calibri" w:asciiTheme="minorEastAsia" w:hAnsiTheme="minorEastAsia" w:eastAsiaTheme="minorEastAsia"/>
                <w:kern w:val="0"/>
                <w:sz w:val="22"/>
                <w:u w:val="single"/>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hint="eastAsia" w:asciiTheme="minorEastAsia" w:hAnsiTheme="minorEastAsia" w:eastAsiaTheme="minorEastAsia"/>
                <w:sz w:val="22"/>
                <w:u w:val="single"/>
                <w:lang w:val="zh-CN"/>
              </w:rPr>
              <w:t>建筑消防设施及电气消防安全检测</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u w:val="single"/>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14</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bookmarkStart w:id="118" w:name="_GoBack"/>
            <w:bookmarkEnd w:id="118"/>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10"/>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10"/>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bookmarkEnd w:id="38"/>
      <w:bookmarkEnd w:id="39"/>
      <w:bookmarkStart w:id="40" w:name="_Toc213036227"/>
      <w:bookmarkStart w:id="41" w:name="_Toc223327527"/>
      <w:r>
        <w:rPr>
          <w:rFonts w:cs="Calibri" w:asciiTheme="minorEastAsia" w:hAnsiTheme="minorEastAsia" w:eastAsiaTheme="minorEastAsia"/>
          <w:b/>
          <w:bCs/>
          <w:kern w:val="0"/>
          <w:sz w:val="22"/>
        </w:rPr>
        <w:t>1.总则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26216"/>
      <w:r>
        <w:rPr>
          <w:rFonts w:cs="Calibri" w:asciiTheme="minorEastAsia" w:hAnsiTheme="minorEastAsia" w:eastAsiaTheme="minorEastAsia"/>
          <w:b/>
          <w:bCs/>
          <w:kern w:val="0"/>
          <w:sz w:val="22"/>
        </w:rPr>
        <w:t>1.1 项目</w:t>
      </w:r>
      <w:bookmarkEnd w:id="42"/>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4"/>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7服务</w:t>
      </w:r>
      <w:r>
        <w:rPr>
          <w:rFonts w:cs="Calibri" w:asciiTheme="minorEastAsia" w:hAnsiTheme="minorEastAsia" w:eastAsiaTheme="minorEastAsia"/>
          <w:b/>
          <w:bCs/>
          <w:kern w:val="0"/>
          <w:sz w:val="22"/>
        </w:rPr>
        <w:t>期</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9"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5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2"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3421657"/>
      <w:bookmarkStart w:id="54" w:name="_Toc15241"/>
      <w:r>
        <w:rPr>
          <w:rFonts w:cs="Calibri" w:asciiTheme="minorEastAsia" w:hAnsiTheme="minorEastAsia" w:eastAsiaTheme="minorEastAsia"/>
          <w:b/>
          <w:bCs/>
          <w:kern w:val="0"/>
          <w:sz w:val="22"/>
        </w:rPr>
        <w:t>2.招标文件</w:t>
      </w:r>
      <w:bookmarkEnd w:id="53"/>
      <w:bookmarkEnd w:id="5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5" w:name="_Toc1426"/>
      <w:r>
        <w:rPr>
          <w:rFonts w:cs="Calibri" w:asciiTheme="minorEastAsia" w:hAnsiTheme="minorEastAsia" w:eastAsiaTheme="minorEastAsia"/>
          <w:b/>
          <w:bCs/>
          <w:kern w:val="0"/>
          <w:sz w:val="22"/>
        </w:rPr>
        <w:t>2.1 招标文件的组成</w:t>
      </w:r>
      <w:bookmarkEnd w:id="5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230"/>
      <w:r>
        <w:rPr>
          <w:rFonts w:cs="Calibri" w:asciiTheme="minorEastAsia" w:hAnsiTheme="minorEastAsia" w:eastAsiaTheme="minorEastAsia"/>
          <w:b/>
          <w:bCs/>
          <w:kern w:val="0"/>
          <w:sz w:val="22"/>
        </w:rPr>
        <w:t>2.2 招标文件的澄清</w:t>
      </w:r>
      <w:bookmarkEnd w:id="56"/>
    </w:p>
    <w:p>
      <w:pPr>
        <w:adjustRightInd w:val="0"/>
        <w:snapToGrid w:val="0"/>
        <w:spacing w:line="360" w:lineRule="exact"/>
        <w:ind w:firstLine="440"/>
        <w:rPr>
          <w:rFonts w:cs="Calibri" w:asciiTheme="minorEastAsia" w:hAnsiTheme="minorEastAsia"/>
          <w:color w:val="000000"/>
          <w:sz w:val="22"/>
        </w:rPr>
      </w:pPr>
      <w:bookmarkStart w:id="57"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143421658"/>
      <w:bookmarkStart w:id="59" w:name="_Toc18870"/>
      <w:r>
        <w:rPr>
          <w:rFonts w:cs="Calibri" w:asciiTheme="minorEastAsia" w:hAnsiTheme="minorEastAsia" w:eastAsiaTheme="minorEastAsia"/>
          <w:b/>
          <w:bCs/>
          <w:kern w:val="0"/>
          <w:sz w:val="22"/>
        </w:rPr>
        <w:t>3.投标文件</w:t>
      </w:r>
      <w:bookmarkEnd w:id="58"/>
      <w:bookmarkEnd w:id="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0" w:name="_Toc461"/>
      <w:r>
        <w:rPr>
          <w:rFonts w:cs="Calibri" w:asciiTheme="minorEastAsia" w:hAnsiTheme="minorEastAsia" w:eastAsiaTheme="minorEastAsia"/>
          <w:b/>
          <w:bCs/>
          <w:kern w:val="0"/>
          <w:sz w:val="22"/>
        </w:rPr>
        <w:t>3.1 投标文件的语言和计量单位</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1411"/>
      <w:r>
        <w:rPr>
          <w:rFonts w:cs="Calibri" w:asciiTheme="minorEastAsia" w:hAnsiTheme="minorEastAsia" w:eastAsiaTheme="minorEastAsia"/>
          <w:b/>
          <w:bCs/>
          <w:kern w:val="0"/>
          <w:sz w:val="22"/>
        </w:rPr>
        <w:t>3.2 投标文件的组成</w:t>
      </w:r>
      <w:bookmarkEnd w:id="61"/>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2"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2"/>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3"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30464"/>
      <w:r>
        <w:rPr>
          <w:rFonts w:cs="Calibri" w:asciiTheme="minorEastAsia" w:hAnsiTheme="minorEastAsia" w:eastAsiaTheme="minorEastAsia"/>
          <w:b/>
          <w:bCs/>
          <w:kern w:val="0"/>
          <w:sz w:val="22"/>
        </w:rPr>
        <w:t>3.5 投标保证金</w:t>
      </w:r>
      <w:bookmarkEnd w:id="64"/>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32652"/>
      <w:r>
        <w:rPr>
          <w:rFonts w:cs="Calibri" w:asciiTheme="minorEastAsia" w:hAnsiTheme="minorEastAsia" w:eastAsiaTheme="minorEastAsia"/>
          <w:b/>
          <w:bCs/>
          <w:kern w:val="0"/>
          <w:sz w:val="22"/>
        </w:rPr>
        <w:t>4.投标</w:t>
      </w:r>
      <w:bookmarkEnd w:id="66"/>
      <w:bookmarkEnd w:id="6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649"/>
      <w:r>
        <w:rPr>
          <w:rFonts w:cs="Calibri" w:asciiTheme="minorEastAsia" w:hAnsiTheme="minorEastAsia" w:eastAsiaTheme="minorEastAsia"/>
          <w:b/>
          <w:bCs/>
          <w:kern w:val="0"/>
          <w:sz w:val="22"/>
        </w:rPr>
        <w:t>4.1 投标文件的密封和标识</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16616"/>
      <w:r>
        <w:rPr>
          <w:rFonts w:cs="Calibri" w:asciiTheme="minorEastAsia" w:hAnsiTheme="minorEastAsia" w:eastAsiaTheme="minorEastAsia"/>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26099"/>
      <w:r>
        <w:rPr>
          <w:rFonts w:cs="Calibri" w:asciiTheme="minorEastAsia" w:hAnsiTheme="minorEastAsia" w:eastAsiaTheme="minorEastAsia"/>
          <w:b/>
          <w:bCs/>
          <w:kern w:val="0"/>
          <w:sz w:val="22"/>
        </w:rPr>
        <w:t>4.3 投标文件的修改和撤回</w:t>
      </w:r>
      <w:bookmarkEnd w:id="7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29641"/>
      <w:r>
        <w:rPr>
          <w:rFonts w:cs="Calibri" w:asciiTheme="minorEastAsia" w:hAnsiTheme="minorEastAsia" w:eastAsiaTheme="minorEastAsia"/>
          <w:b/>
          <w:bCs/>
          <w:kern w:val="0"/>
          <w:sz w:val="22"/>
        </w:rPr>
        <w:t>5.开标</w:t>
      </w:r>
      <w:bookmarkEnd w:id="7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15123"/>
      <w:r>
        <w:rPr>
          <w:rFonts w:cs="Calibri" w:asciiTheme="minorEastAsia" w:hAnsiTheme="minorEastAsia" w:eastAsiaTheme="minorEastAsia"/>
          <w:b/>
          <w:bCs/>
          <w:kern w:val="0"/>
          <w:sz w:val="22"/>
        </w:rPr>
        <w:t>5.1 开标时间和地点</w:t>
      </w:r>
      <w:bookmarkEnd w:id="7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3"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1578"/>
      <w:r>
        <w:rPr>
          <w:rFonts w:cs="Calibri" w:asciiTheme="minorEastAsia" w:hAnsiTheme="minorEastAsia" w:eastAsiaTheme="minorEastAsia"/>
          <w:b/>
          <w:bCs/>
          <w:kern w:val="0"/>
          <w:sz w:val="22"/>
        </w:rPr>
        <w:t>6.评标</w:t>
      </w:r>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10279"/>
      <w:r>
        <w:rPr>
          <w:rFonts w:cs="Calibri" w:asciiTheme="minorEastAsia" w:hAnsiTheme="minorEastAsia" w:eastAsiaTheme="minorEastAsia"/>
          <w:b/>
          <w:bCs/>
          <w:kern w:val="0"/>
          <w:sz w:val="22"/>
        </w:rPr>
        <w:t>6.1 评标委员会</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3460"/>
      <w:r>
        <w:rPr>
          <w:rFonts w:cs="Calibri" w:asciiTheme="minorEastAsia" w:hAnsiTheme="minorEastAsia" w:eastAsiaTheme="minorEastAsia"/>
          <w:b/>
          <w:bCs/>
          <w:kern w:val="0"/>
          <w:sz w:val="22"/>
        </w:rPr>
        <w:t>6.2 评标原则</w:t>
      </w:r>
      <w:bookmarkEnd w:id="7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28178"/>
      <w:r>
        <w:rPr>
          <w:rFonts w:cs="Calibri" w:asciiTheme="minorEastAsia" w:hAnsiTheme="minorEastAsia" w:eastAsiaTheme="minorEastAsia"/>
          <w:b/>
          <w:bCs/>
          <w:kern w:val="0"/>
          <w:sz w:val="22"/>
        </w:rPr>
        <w:t>6.3 评标</w:t>
      </w:r>
      <w:bookmarkEnd w:id="7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24237"/>
      <w:r>
        <w:rPr>
          <w:rFonts w:cs="Calibri" w:asciiTheme="minorEastAsia" w:hAnsiTheme="minorEastAsia" w:eastAsiaTheme="minorEastAsia"/>
          <w:b/>
          <w:bCs/>
          <w:kern w:val="0"/>
          <w:sz w:val="22"/>
        </w:rPr>
        <w:t>7.合同授予</w:t>
      </w:r>
      <w:bookmarkEnd w:id="7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18809"/>
      <w:r>
        <w:rPr>
          <w:rFonts w:cs="Calibri" w:asciiTheme="minorEastAsia" w:hAnsiTheme="minorEastAsia" w:eastAsiaTheme="minorEastAsia"/>
          <w:b/>
          <w:bCs/>
          <w:kern w:val="0"/>
          <w:sz w:val="22"/>
        </w:rPr>
        <w:t>7.1 定标方式</w:t>
      </w:r>
      <w:bookmarkEnd w:id="7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0" w:name="_Toc14573"/>
      <w:r>
        <w:rPr>
          <w:rFonts w:cs="Calibri" w:asciiTheme="minorEastAsia" w:hAnsiTheme="minorEastAsia" w:eastAsiaTheme="minorEastAsia"/>
          <w:b/>
          <w:bCs/>
          <w:kern w:val="0"/>
          <w:sz w:val="22"/>
        </w:rPr>
        <w:t>7.2 中标通知</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1" w:name="_Toc27132"/>
      <w:bookmarkStart w:id="82"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81"/>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3" w:name="_Toc219809801"/>
      <w:bookmarkStart w:id="84" w:name="_Toc11806"/>
      <w:bookmarkStart w:id="85"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3"/>
      <w:bookmarkEnd w:id="84"/>
      <w:bookmarkEnd w:id="8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6" w:name="_Toc15553"/>
      <w:bookmarkStart w:id="87" w:name="_Toc220123242"/>
      <w:bookmarkStart w:id="88" w:name="_Toc219809802"/>
      <w:r>
        <w:rPr>
          <w:rFonts w:cs="Calibri" w:asciiTheme="minorEastAsia" w:hAnsiTheme="minorEastAsia" w:eastAsiaTheme="minorEastAsia"/>
          <w:b/>
          <w:bCs/>
          <w:kern w:val="0"/>
          <w:sz w:val="22"/>
        </w:rPr>
        <w:t>8.1 重新招标</w:t>
      </w:r>
      <w:bookmarkEnd w:id="86"/>
      <w:bookmarkEnd w:id="87"/>
      <w:bookmarkEnd w:id="8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9" w:name="_Toc18806"/>
      <w:bookmarkStart w:id="90" w:name="_Toc219809803"/>
      <w:bookmarkStart w:id="91" w:name="_Toc220123243"/>
      <w:r>
        <w:rPr>
          <w:rFonts w:cs="Calibri" w:asciiTheme="minorEastAsia" w:hAnsiTheme="minorEastAsia" w:eastAsiaTheme="minorEastAsia"/>
          <w:b/>
          <w:bCs/>
          <w:kern w:val="0"/>
          <w:sz w:val="22"/>
        </w:rPr>
        <w:t>8.2 不再招标</w:t>
      </w:r>
      <w:bookmarkEnd w:id="89"/>
      <w:bookmarkEnd w:id="90"/>
      <w:bookmarkEnd w:id="9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2" w:name="_Toc215941254"/>
      <w:bookmarkStart w:id="93" w:name="_Toc219809804"/>
      <w:bookmarkStart w:id="94" w:name="_Toc2986"/>
      <w:bookmarkStart w:id="95" w:name="_Toc220123244"/>
      <w:r>
        <w:rPr>
          <w:rFonts w:cs="Calibri" w:asciiTheme="minorEastAsia" w:hAnsiTheme="minorEastAsia" w:eastAsiaTheme="minorEastAsia"/>
          <w:b/>
          <w:bCs/>
          <w:kern w:val="0"/>
          <w:sz w:val="22"/>
        </w:rPr>
        <w:t>9.纪律和监督</w:t>
      </w:r>
      <w:bookmarkEnd w:id="92"/>
      <w:bookmarkEnd w:id="93"/>
      <w:bookmarkEnd w:id="94"/>
      <w:bookmarkEnd w:id="9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6" w:name="_Toc5509"/>
      <w:bookmarkStart w:id="97" w:name="_Toc219809805"/>
      <w:bookmarkStart w:id="98" w:name="_Toc220123245"/>
      <w:r>
        <w:rPr>
          <w:rFonts w:cs="Calibri" w:asciiTheme="minorEastAsia" w:hAnsiTheme="minorEastAsia" w:eastAsiaTheme="minorEastAsia"/>
          <w:b/>
          <w:bCs/>
          <w:kern w:val="0"/>
          <w:sz w:val="22"/>
        </w:rPr>
        <w:t>9.1 对招标人的纪律要求</w:t>
      </w:r>
      <w:bookmarkEnd w:id="96"/>
      <w:bookmarkEnd w:id="97"/>
      <w:bookmarkEnd w:id="9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9" w:name="_Toc10820"/>
      <w:bookmarkStart w:id="100" w:name="_Toc219809806"/>
      <w:bookmarkStart w:id="101" w:name="_Toc220123246"/>
      <w:r>
        <w:rPr>
          <w:rFonts w:cs="Calibri" w:asciiTheme="minorEastAsia" w:hAnsiTheme="minorEastAsia" w:eastAsiaTheme="minorEastAsia"/>
          <w:b/>
          <w:bCs/>
          <w:kern w:val="0"/>
          <w:sz w:val="22"/>
        </w:rPr>
        <w:t>9.2 对投标人的纪律要求</w:t>
      </w:r>
      <w:bookmarkEnd w:id="99"/>
      <w:bookmarkEnd w:id="100"/>
      <w:bookmarkEnd w:id="10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2" w:name="_Toc220123247"/>
      <w:bookmarkStart w:id="103" w:name="_Toc10756"/>
      <w:bookmarkStart w:id="104" w:name="_Toc219809807"/>
      <w:r>
        <w:rPr>
          <w:rFonts w:cs="Calibri" w:asciiTheme="minorEastAsia" w:hAnsiTheme="minorEastAsia" w:eastAsiaTheme="minorEastAsia"/>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5" w:name="_Toc220123248"/>
      <w:bookmarkStart w:id="106" w:name="_Toc12792"/>
      <w:bookmarkStart w:id="107" w:name="_Toc219809808"/>
      <w:r>
        <w:rPr>
          <w:rFonts w:cs="Calibri" w:asciiTheme="minorEastAsia" w:hAnsiTheme="minorEastAsia" w:eastAsiaTheme="minorEastAsia"/>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8" w:name="_Toc239"/>
      <w:bookmarkStart w:id="109" w:name="_Toc220123249"/>
      <w:bookmarkStart w:id="110" w:name="_Toc219809809"/>
      <w:r>
        <w:rPr>
          <w:rFonts w:cs="Calibri" w:asciiTheme="minorEastAsia" w:hAnsiTheme="minorEastAsia" w:eastAsiaTheme="minorEastAsia"/>
          <w:b/>
          <w:bCs/>
          <w:kern w:val="0"/>
          <w:sz w:val="22"/>
        </w:rPr>
        <w:t>9.5 投诉</w:t>
      </w:r>
      <w:bookmarkEnd w:id="108"/>
      <w:bookmarkEnd w:id="109"/>
      <w:bookmarkEnd w:id="11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11" w:name="_Toc10817"/>
      <w:r>
        <w:rPr>
          <w:rFonts w:cs="Calibri" w:asciiTheme="minorEastAsia" w:hAnsiTheme="minorEastAsia" w:eastAsiaTheme="minorEastAsia"/>
          <w:b/>
          <w:bCs/>
          <w:kern w:val="0"/>
          <w:sz w:val="22"/>
        </w:rPr>
        <w:t>10. 需要补充的其他内容</w:t>
      </w:r>
      <w:bookmarkEnd w:id="111"/>
    </w:p>
    <w:p>
      <w:pPr>
        <w:autoSpaceDE w:val="0"/>
        <w:autoSpaceDN w:val="0"/>
        <w:adjustRightInd w:val="0"/>
        <w:snapToGrid w:val="0"/>
        <w:spacing w:line="360" w:lineRule="exact"/>
        <w:ind w:firstLine="440"/>
        <w:jc w:val="left"/>
        <w:rPr>
          <w:rFonts w:ascii="宋体" w:hAnsi="宋体" w:cs="Calibri"/>
          <w:sz w:val="22"/>
        </w:rPr>
      </w:pPr>
      <w:r>
        <w:rPr>
          <w:rFonts w:cs="Calibri" w:asciiTheme="minorEastAsia" w:hAnsiTheme="minorEastAsia" w:eastAsiaTheme="minorEastAsia"/>
          <w:color w:val="000000"/>
          <w:sz w:val="22"/>
        </w:rPr>
        <w:t>需要补充的其他内容：见投标人须知前附表。</w:t>
      </w:r>
    </w:p>
    <w:p>
      <w:pPr>
        <w:spacing w:line="440" w:lineRule="exact"/>
        <w:jc w:val="center"/>
        <w:rPr>
          <w:rFonts w:ascii="仿宋_GB2312" w:hAnsi="宋体" w:eastAsia="仿宋_GB2312"/>
          <w:b/>
          <w:sz w:val="28"/>
          <w:szCs w:val="28"/>
        </w:rPr>
      </w:pPr>
      <w:r>
        <w:rPr>
          <w:rFonts w:ascii="仿宋_GB2312" w:hAnsi="宋体" w:eastAsia="仿宋_GB2312"/>
          <w:b/>
          <w:sz w:val="28"/>
          <w:szCs w:val="28"/>
        </w:rPr>
        <w:br w:type="page"/>
      </w:r>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0"/>
      <w:bookmarkEnd w:id="41"/>
      <w:r>
        <w:rPr>
          <w:rFonts w:hint="eastAsia" w:ascii="Calibri" w:hAnsi="Calibri" w:eastAsia="黑体" w:cs="Calibri"/>
          <w:kern w:val="0"/>
          <w:sz w:val="32"/>
        </w:rPr>
        <w:t>服务技术标准及要求</w:t>
      </w:r>
      <w:bookmarkEnd w:id="112"/>
    </w:p>
    <w:p>
      <w:pPr>
        <w:autoSpaceDE w:val="0"/>
        <w:autoSpaceDN w:val="0"/>
        <w:adjustRightInd w:val="0"/>
        <w:spacing w:line="560" w:lineRule="exact"/>
        <w:ind w:firstLine="440" w:firstLineChars="200"/>
        <w:rPr>
          <w:rFonts w:asciiTheme="minorEastAsia" w:hAnsiTheme="minorEastAsia" w:eastAsiaTheme="minorEastAsia"/>
          <w:color w:val="000000"/>
          <w:sz w:val="22"/>
          <w:lang w:val="zh-CN"/>
        </w:rPr>
      </w:pPr>
      <w:r>
        <w:rPr>
          <w:rFonts w:hint="eastAsia" w:asciiTheme="minorEastAsia" w:hAnsiTheme="minorEastAsia" w:eastAsiaTheme="minorEastAsia"/>
          <w:sz w:val="22"/>
          <w:lang w:val="zh-CN"/>
        </w:rPr>
        <w:t>（一）项目介绍</w:t>
      </w:r>
    </w:p>
    <w:p>
      <w:pPr>
        <w:ind w:firstLine="440" w:firstLineChars="200"/>
        <w:rPr>
          <w:rFonts w:cs="Arial" w:asciiTheme="minorEastAsia" w:hAnsiTheme="minorEastAsia" w:eastAsiaTheme="minorEastAsia"/>
          <w:kern w:val="0"/>
          <w:sz w:val="22"/>
        </w:rPr>
      </w:pPr>
      <w:r>
        <w:rPr>
          <w:rFonts w:hint="eastAsia" w:cs="Arial" w:asciiTheme="minorEastAsia" w:hAnsiTheme="minorEastAsia" w:eastAsiaTheme="minorEastAsia"/>
          <w:kern w:val="0"/>
          <w:sz w:val="22"/>
        </w:rPr>
        <w:t>为确保杭州萧山国际机场建筑消防设施和建筑电气的正常运行，依据《消防法》有关规定，每年对建筑消防设施至少进行一次全面检测，确保完好有效。检测范围包括：T1、T2、T3航站楼、空港隧道、AOC大楼、ITC大楼 、食品公司、货站A、B区、综合办公楼、第三方医药仓库、4号员工宿舍楼、综合服务大楼、配载保障楼、迎宾楼、国内进港库内设置的建筑消防设施和110KV变电站、35KV变电站以及场区内变电站点共33处变电设施电气，建筑面积共约515504平方米。</w:t>
      </w:r>
    </w:p>
    <w:p>
      <w:pPr>
        <w:ind w:firstLine="440" w:firstLineChars="200"/>
        <w:rPr>
          <w:rFonts w:cs="Arial" w:asciiTheme="minorEastAsia" w:hAnsiTheme="minorEastAsia" w:eastAsiaTheme="minorEastAsia"/>
          <w:kern w:val="0"/>
          <w:sz w:val="22"/>
        </w:rPr>
      </w:pPr>
      <w:r>
        <w:rPr>
          <w:rFonts w:hint="eastAsia" w:cs="Arial" w:asciiTheme="minorEastAsia" w:hAnsiTheme="minorEastAsia" w:eastAsiaTheme="minorEastAsia"/>
          <w:kern w:val="0"/>
          <w:sz w:val="22"/>
        </w:rPr>
        <w:t>（二）项目检测主要内容</w:t>
      </w:r>
    </w:p>
    <w:p>
      <w:pPr>
        <w:tabs>
          <w:tab w:val="left" w:pos="720"/>
          <w:tab w:val="left" w:pos="1440"/>
        </w:tabs>
        <w:ind w:firstLine="440" w:firstLineChars="200"/>
        <w:rPr>
          <w:rFonts w:cs="Arial" w:asciiTheme="minorEastAsia" w:hAnsiTheme="minorEastAsia" w:eastAsiaTheme="minorEastAsia"/>
          <w:kern w:val="0"/>
          <w:sz w:val="22"/>
        </w:rPr>
      </w:pPr>
      <w:r>
        <w:rPr>
          <w:rFonts w:hint="eastAsia" w:cs="Arial" w:asciiTheme="minorEastAsia" w:hAnsiTheme="minorEastAsia" w:eastAsiaTheme="minorEastAsia"/>
          <w:kern w:val="0"/>
          <w:sz w:val="22"/>
        </w:rPr>
        <w:t>1、消防供配电设施: 综合配电用房、消防设备用房及消防控制室、消防水泵房等消防供配电设施。</w:t>
      </w:r>
    </w:p>
    <w:p>
      <w:pPr>
        <w:tabs>
          <w:tab w:val="left" w:pos="720"/>
          <w:tab w:val="left" w:pos="1440"/>
        </w:tabs>
        <w:ind w:firstLine="440" w:firstLineChars="200"/>
        <w:rPr>
          <w:rFonts w:cs="Arial" w:asciiTheme="minorEastAsia" w:hAnsiTheme="minorEastAsia" w:eastAsiaTheme="minorEastAsia"/>
          <w:kern w:val="0"/>
          <w:sz w:val="22"/>
        </w:rPr>
      </w:pPr>
      <w:r>
        <w:rPr>
          <w:rFonts w:hint="eastAsia" w:cs="Arial" w:asciiTheme="minorEastAsia" w:hAnsiTheme="minorEastAsia" w:eastAsiaTheme="minorEastAsia"/>
          <w:kern w:val="0"/>
          <w:sz w:val="22"/>
        </w:rPr>
        <w:t>2、火灾自动报警系统：消防主机及配电、各类火灾探测器、手动报警按钮、楼层显示器、联动控制功能等；</w:t>
      </w:r>
    </w:p>
    <w:p>
      <w:pPr>
        <w:tabs>
          <w:tab w:val="left" w:pos="720"/>
          <w:tab w:val="left" w:pos="1440"/>
        </w:tabs>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3、消防灭火系统：消防给水系统、报警阀组、末端试水装置、喷头、室内消火栓、消火栓按钮、管网、各类灭火控制系统及联动测试等；</w:t>
      </w:r>
    </w:p>
    <w:p>
      <w:pPr>
        <w:tabs>
          <w:tab w:val="left" w:pos="720"/>
          <w:tab w:val="left" w:pos="1440"/>
        </w:tabs>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4、机械加压送风系统：风机送风阀、送风口风速、余压、联动测试等；</w:t>
      </w:r>
    </w:p>
    <w:p>
      <w:pPr>
        <w:tabs>
          <w:tab w:val="left" w:pos="720"/>
          <w:tab w:val="left" w:pos="1440"/>
        </w:tabs>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5、机械排烟系统：风机、排烟防火阀、排烟口风速、联动测试等；</w:t>
      </w:r>
    </w:p>
    <w:p>
      <w:pPr>
        <w:tabs>
          <w:tab w:val="left" w:pos="720"/>
          <w:tab w:val="left" w:pos="1440"/>
        </w:tabs>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6、防火门、防火卷帘：安装质量、联动测试等；</w:t>
      </w:r>
    </w:p>
    <w:p>
      <w:pPr>
        <w:tabs>
          <w:tab w:val="left" w:pos="720"/>
          <w:tab w:val="left" w:pos="1440"/>
        </w:tabs>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7、应急照明疏散指示：安装质量、应急照明照度、应急照明工作时间等；</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8、火灾应急广播：设置、控制功能及播音声级等；</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9、消防专用电话：电话插孔、专用电话及其通话功能；</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10、消防电梯：消防功能等。</w:t>
      </w:r>
    </w:p>
    <w:p>
      <w:pPr>
        <w:tabs>
          <w:tab w:val="left" w:pos="720"/>
          <w:tab w:val="left" w:pos="1440"/>
        </w:tabs>
        <w:ind w:firstLine="220" w:firstLineChars="100"/>
        <w:rPr>
          <w:rFonts w:asciiTheme="minorEastAsia" w:hAnsiTheme="minorEastAsia" w:eastAsiaTheme="minorEastAsia"/>
          <w:sz w:val="22"/>
        </w:rPr>
      </w:pPr>
      <w:r>
        <w:rPr>
          <w:rFonts w:hint="eastAsia" w:asciiTheme="minorEastAsia" w:hAnsiTheme="minorEastAsia" w:eastAsiaTheme="minorEastAsia"/>
          <w:sz w:val="22"/>
        </w:rPr>
        <w:t>（三）技术要求</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要求对T1、T2、T3航站楼的全部消防设施进行全面检查测试，对空港隧道、AOC大楼、ITC大楼 、食品公司、货站A、B区、综合办公楼、物流医药仓库、4号员工宿舍楼、综合服务大楼、配载保障楼、迎宾楼、国内进港库内设置的建筑消防设施和110KV变电站、35KV变电站以及场区内变电站点共33处变电设施依据国家法律法规、现行消防技术标准以及甲方的要求进行检查测试。</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1、消防供配电设施抽检数量：</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消防配电末端切换装置的设备：消防控制室,消防水泵房全数检查,防烟与排烟风机房按总数不少于60%抽查,且不得少于3个,少于3个的全数检查,做切换试验；消防配电设备、线路：按楼层（防火分区）总数不少于40%抽查，每层检查，抽查楼层（防火分区）检查点不少于3处。综合配电用房、消防设备用房全数检查。</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2、火灾自动报警系统抽检数量：</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除线型感温火灾探测器外，其它类型探测器和手动报警按钮按每回路实际安装数量20%-40%的比例抽验，每层楼均应有抽验数量且每回路抽验总数不得少于20只；实际安装数量在100只以下者，抽验不得少于20只（每回路均应抽验）。线型感温火灾探测器按每100米实际安装长度随机抽验5个点的比例抽验，每个回路抽验总数不应少于5个点。抽检40%，但不少于100只，必须保证每个报警回路、每一层均被抽检到，手动报警按钮及其它全检。消防联动控制器全数检查；消防电气控制装置按实际安装数量不少于60%，且不得少于5台，5台以下全数检查。</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3、消火栓抽检数量：</w:t>
      </w:r>
    </w:p>
    <w:p>
      <w:pPr>
        <w:tabs>
          <w:tab w:val="left" w:pos="720"/>
          <w:tab w:val="left" w:pos="1440"/>
        </w:tabs>
        <w:ind w:firstLine="440" w:firstLineChars="200"/>
        <w:rPr>
          <w:rFonts w:asciiTheme="minorEastAsia" w:hAnsiTheme="minorEastAsia" w:eastAsiaTheme="minorEastAsia"/>
          <w:i/>
          <w:sz w:val="22"/>
        </w:rPr>
      </w:pPr>
      <w:r>
        <w:rPr>
          <w:rFonts w:hint="eastAsia" w:asciiTheme="minorEastAsia" w:hAnsiTheme="minorEastAsia" w:eastAsiaTheme="minorEastAsia"/>
          <w:sz w:val="22"/>
        </w:rPr>
        <w:t>室内消火栓按楼层(防火分区)总数不少于40%抽查,保证每层均进行检查,检查楼层（防火分区）检查点不少于2处;在消防控制实远程启、停消火栓泵1-3次；按实际安装数量10%-20%的比例抽查消火栓处操作启泵按钮,且不得少于3处,总数少于3处的全数检查。室内消火栓和室外消火栓随机抽查10处进行放水试验,检查出水流量和压力。</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4、喷淋抽检数量：</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按设计数量不少于20%抽查，且总量不应少于40个，总数少于40个的全数抽查，保证每层楼均有抽检数量，合格率应为100%，抽查应当涵盖喷头选型不同的场所。喷头安装间距：按设计数量不少于10%抽查，且不应少于20个，距离偏差±15mm,合格率不少于95%时为合格。报警阀：全检；末端试水装置：全检。其它：全检</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5、气体灭火抽检数量：</w:t>
      </w:r>
    </w:p>
    <w:p>
      <w:pPr>
        <w:tabs>
          <w:tab w:val="left" w:pos="720"/>
          <w:tab w:val="left" w:pos="1440"/>
        </w:tabs>
        <w:ind w:firstLine="220" w:firstLineChars="100"/>
        <w:rPr>
          <w:rFonts w:asciiTheme="minorEastAsia" w:hAnsiTheme="minorEastAsia" w:eastAsiaTheme="minorEastAsia"/>
          <w:sz w:val="22"/>
        </w:rPr>
      </w:pPr>
      <w:r>
        <w:rPr>
          <w:rFonts w:hint="eastAsia" w:asciiTheme="minorEastAsia" w:hAnsiTheme="minorEastAsia" w:eastAsiaTheme="minorEastAsia"/>
          <w:sz w:val="22"/>
        </w:rPr>
        <w:t>（1）模拟启动试验：按防护区或保护对象总数不少于40%检查，且不少于1个；</w:t>
      </w:r>
    </w:p>
    <w:p>
      <w:pPr>
        <w:tabs>
          <w:tab w:val="left" w:pos="720"/>
          <w:tab w:val="left" w:pos="1440"/>
        </w:tabs>
        <w:ind w:firstLine="220" w:firstLineChars="100"/>
        <w:rPr>
          <w:rFonts w:asciiTheme="minorEastAsia" w:hAnsiTheme="minorEastAsia" w:eastAsiaTheme="minorEastAsia"/>
          <w:sz w:val="22"/>
        </w:rPr>
      </w:pPr>
      <w:r>
        <w:rPr>
          <w:rFonts w:hint="eastAsia" w:asciiTheme="minorEastAsia" w:hAnsiTheme="minorEastAsia" w:eastAsiaTheme="minorEastAsia"/>
          <w:sz w:val="22"/>
        </w:rPr>
        <w:t>（2）模拟喷气试验：组合分配系统应不少于1个防护区或保护对象，柜式气体灭火装置、热气溶胶灭火装置等预制灭火系统应各取2套；</w:t>
      </w:r>
    </w:p>
    <w:p>
      <w:pPr>
        <w:tabs>
          <w:tab w:val="left" w:pos="720"/>
          <w:tab w:val="left" w:pos="1440"/>
        </w:tabs>
        <w:ind w:firstLine="220" w:firstLineChars="100"/>
        <w:rPr>
          <w:rFonts w:asciiTheme="minorEastAsia" w:hAnsiTheme="minorEastAsia" w:eastAsiaTheme="minorEastAsia"/>
          <w:sz w:val="22"/>
        </w:rPr>
      </w:pPr>
      <w:r>
        <w:rPr>
          <w:rFonts w:hint="eastAsia" w:asciiTheme="minorEastAsia" w:hAnsiTheme="minorEastAsia" w:eastAsiaTheme="minorEastAsia"/>
          <w:sz w:val="22"/>
        </w:rPr>
        <w:t>（3）模拟切换操作试验：设有灭火剂备用量的系统进行模拟切换操作试验，按防护区或保护对象总数不少于40%检查，且不少于2个；</w:t>
      </w:r>
    </w:p>
    <w:p>
      <w:pPr>
        <w:tabs>
          <w:tab w:val="left" w:pos="720"/>
          <w:tab w:val="left" w:pos="1440"/>
        </w:tabs>
        <w:ind w:firstLine="220" w:firstLineChars="100"/>
        <w:rPr>
          <w:rFonts w:asciiTheme="minorEastAsia" w:hAnsiTheme="minorEastAsia" w:eastAsiaTheme="minorEastAsia"/>
          <w:sz w:val="22"/>
        </w:rPr>
      </w:pPr>
      <w:r>
        <w:rPr>
          <w:rFonts w:hint="eastAsia" w:asciiTheme="minorEastAsia" w:hAnsiTheme="minorEastAsia" w:eastAsiaTheme="minorEastAsia"/>
          <w:sz w:val="22"/>
        </w:rPr>
        <w:t>（4）主备电源进行切换试验：组合分配系统应不少于1个防护区或保护对象，柜式气体灭火装置等预制灭火系统应各取2套；</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6、防排烟抽检数量：</w:t>
      </w:r>
    </w:p>
    <w:p>
      <w:pPr>
        <w:tabs>
          <w:tab w:val="left" w:pos="720"/>
          <w:tab w:val="left" w:pos="1440"/>
        </w:tabs>
        <w:ind w:firstLine="220" w:firstLineChars="100"/>
        <w:rPr>
          <w:rFonts w:asciiTheme="minorEastAsia" w:hAnsiTheme="minorEastAsia" w:eastAsiaTheme="minorEastAsia"/>
          <w:sz w:val="22"/>
        </w:rPr>
      </w:pPr>
      <w:r>
        <w:rPr>
          <w:rFonts w:hint="eastAsia" w:asciiTheme="minorEastAsia" w:hAnsiTheme="minorEastAsia" w:eastAsiaTheme="minorEastAsia"/>
          <w:sz w:val="22"/>
        </w:rPr>
        <w:t>（1）送风机：全检；送风口抽样比例60%，但不少于10只（地下室送风口风速全检；电梯前室、楼梯间前室、合用前室风口风速及余压测量最不利点三层；楼梯间风口风速全检）；防火阀抽样比例60%，但不少于10只；联动功能及其它：全检。防火分区按建筑防火分区总数不少于40%抽查，且不得少于5个，总数不足5个的全数检查，防火分区建筑面积允许正偏差不应大于规定值的5%。</w:t>
      </w:r>
    </w:p>
    <w:p>
      <w:pPr>
        <w:tabs>
          <w:tab w:val="left" w:pos="720"/>
          <w:tab w:val="left" w:pos="1440"/>
        </w:tabs>
        <w:ind w:firstLine="220" w:firstLineChars="100"/>
        <w:rPr>
          <w:rFonts w:asciiTheme="minorEastAsia" w:hAnsiTheme="minorEastAsia" w:eastAsiaTheme="minorEastAsia"/>
          <w:sz w:val="22"/>
        </w:rPr>
      </w:pPr>
      <w:r>
        <w:rPr>
          <w:rFonts w:hint="eastAsia" w:asciiTheme="minorEastAsia" w:hAnsiTheme="minorEastAsia" w:eastAsiaTheme="minorEastAsia"/>
          <w:sz w:val="22"/>
        </w:rPr>
        <w:t>（2）排烟风机：全检；排烟风口：抽样比例60%，但不少于10只（风口风速全检）；排烟阀:抽样比例60%，但不少于10只；联动功能及其它：全检。防火分区按建筑防火分区总数不少于40%抽查，且不得少于5个，总数不足5个的全数检查，防火分区建筑面积允许正偏差不应大于规定值的5%。</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7、火灾应急照明疏散指示标志抽检数量：</w:t>
      </w:r>
    </w:p>
    <w:p>
      <w:pPr>
        <w:tabs>
          <w:tab w:val="left" w:pos="720"/>
          <w:tab w:val="left" w:pos="1440"/>
        </w:tabs>
        <w:ind w:firstLine="440" w:firstLineChars="200"/>
        <w:rPr>
          <w:rFonts w:asciiTheme="minorEastAsia" w:hAnsiTheme="minorEastAsia" w:eastAsiaTheme="minorEastAsia"/>
          <w:sz w:val="22"/>
        </w:rPr>
      </w:pPr>
      <w:r>
        <w:rPr>
          <w:rFonts w:hint="eastAsia" w:asciiTheme="minorEastAsia" w:hAnsiTheme="minorEastAsia" w:eastAsiaTheme="minorEastAsia"/>
          <w:sz w:val="22"/>
        </w:rPr>
        <w:t>按楼层总数（防火分区）不少于40%抽查，且不得少于5层（个），总数少于5层（个）的全数检查，抽查楼层（防火分区）检查点不少于3处，设备用房全数检查。现场切断正常供电电源，测试应急工作状态下正常发光的持续时间。</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8、火灾应急广播抽检数量：</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扬声器按实际数量的20%比例抽检，必须保证每个楼层均被抽检到；消防控制室选层广播试验2-4次，共用扬声器强行切换及备用扩音器控制功能试验2-4次。</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9、消防专用电话抽检数量：</w:t>
      </w:r>
    </w:p>
    <w:p>
      <w:pPr>
        <w:tabs>
          <w:tab w:val="left" w:pos="720"/>
          <w:tab w:val="left" w:pos="1440"/>
        </w:tabs>
        <w:rPr>
          <w:rFonts w:asciiTheme="minorEastAsia" w:hAnsiTheme="minorEastAsia" w:eastAsiaTheme="minorEastAsia"/>
          <w:sz w:val="22"/>
        </w:rPr>
      </w:pPr>
      <w:r>
        <w:rPr>
          <w:rFonts w:hint="eastAsia" w:asciiTheme="minorEastAsia" w:hAnsiTheme="minorEastAsia" w:eastAsiaTheme="minorEastAsia"/>
          <w:sz w:val="22"/>
        </w:rPr>
        <w:t xml:space="preserve">   消防电话：全检；电话插孔：抽样比例40%，且每层不少于1只。</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10、消防电梯抽检数量：</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按每栋建筑的实际安装数量全数检查。</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11、防火分隔设施抽检数量：</w:t>
      </w:r>
    </w:p>
    <w:p>
      <w:pPr>
        <w:tabs>
          <w:tab w:val="left" w:pos="720"/>
          <w:tab w:val="left" w:pos="1440"/>
        </w:tabs>
        <w:ind w:firstLine="330" w:firstLineChars="150"/>
        <w:rPr>
          <w:rFonts w:asciiTheme="minorEastAsia" w:hAnsiTheme="minorEastAsia" w:eastAsiaTheme="minorEastAsia"/>
          <w:sz w:val="22"/>
        </w:rPr>
      </w:pPr>
      <w:r>
        <w:rPr>
          <w:rFonts w:hint="eastAsia" w:asciiTheme="minorEastAsia" w:hAnsiTheme="minorEastAsia" w:eastAsiaTheme="minorEastAsia"/>
          <w:sz w:val="22"/>
        </w:rPr>
        <w:t>防火门抽样比例：少于10樘全检，大于10樘抽检20%，但不少于10樘，必须保证每个楼层均被抽检到；防火卷帘：全检；防火卷帘门抽样比例：按实际安装樘数不少于40%抽查，且不得少于5樘，总数少于5樘的全数检查。</w:t>
      </w:r>
    </w:p>
    <w:p>
      <w:pPr>
        <w:tabs>
          <w:tab w:val="left" w:pos="720"/>
          <w:tab w:val="left" w:pos="1440"/>
        </w:tabs>
        <w:rPr>
          <w:rFonts w:asciiTheme="minorEastAsia" w:hAnsiTheme="minorEastAsia" w:eastAsiaTheme="minorEastAsia"/>
          <w:sz w:val="22"/>
        </w:rPr>
      </w:pPr>
      <w:r>
        <w:rPr>
          <w:rFonts w:hint="eastAsia" w:asciiTheme="minorEastAsia" w:hAnsiTheme="minorEastAsia" w:eastAsiaTheme="minorEastAsia"/>
          <w:sz w:val="22"/>
        </w:rPr>
        <w:t>（四）服务要求</w:t>
      </w:r>
    </w:p>
    <w:p>
      <w:pPr>
        <w:tabs>
          <w:tab w:val="left" w:pos="720"/>
          <w:tab w:val="left" w:pos="1440"/>
        </w:tabs>
        <w:ind w:firstLine="330" w:firstLineChars="150"/>
        <w:rPr>
          <w:rFonts w:asciiTheme="minorEastAsia" w:hAnsiTheme="minorEastAsia" w:eastAsiaTheme="minorEastAsia"/>
          <w:sz w:val="22"/>
          <w:lang w:val="zh-CN"/>
        </w:rPr>
      </w:pPr>
      <w:r>
        <w:rPr>
          <w:rFonts w:hint="eastAsia" w:asciiTheme="minorEastAsia" w:hAnsiTheme="minorEastAsia" w:eastAsiaTheme="minorEastAsia"/>
          <w:sz w:val="22"/>
        </w:rPr>
        <w:t>检测工作必须符合国家法律法规、现行消防技术标准的相关条款进行检测，检</w:t>
      </w:r>
      <w:r>
        <w:rPr>
          <w:rFonts w:hint="eastAsia" w:asciiTheme="minorEastAsia" w:hAnsiTheme="minorEastAsia" w:eastAsiaTheme="minorEastAsia"/>
          <w:sz w:val="22"/>
          <w:lang w:val="zh-CN"/>
        </w:rPr>
        <w:t>测完成后一周内须提供公安消防部门认可的检测报告。</w:t>
      </w: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rPr>
          <w:rFonts w:eastAsia="黑体" w:cs="Calibri"/>
          <w:kern w:val="0"/>
          <w:sz w:val="32"/>
        </w:rPr>
      </w:pPr>
      <w:bookmarkStart w:id="113" w:name="_Toc448002986"/>
    </w:p>
    <w:p>
      <w:pPr>
        <w:jc w:val="center"/>
        <w:rPr>
          <w:rFonts w:eastAsia="黑体" w:cs="Calibri"/>
          <w:kern w:val="0"/>
          <w:sz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bookmarkEnd w:id="113"/>
    <w:p>
      <w:pPr>
        <w:jc w:val="center"/>
        <w:rPr>
          <w:rFonts w:asciiTheme="minorEastAsia" w:hAnsiTheme="minorEastAsia" w:eastAsiaTheme="minorEastAsia"/>
          <w:sz w:val="22"/>
        </w:rPr>
      </w:pPr>
      <w:r>
        <w:rPr>
          <w:rFonts w:hint="eastAsia" w:eastAsia="黑体" w:cs="Calibri"/>
          <w:kern w:val="0"/>
          <w:sz w:val="32"/>
        </w:rPr>
        <w:t>第四章</w:t>
      </w:r>
      <w:r>
        <w:rPr>
          <w:rFonts w:eastAsia="黑体" w:cs="Calibri"/>
          <w:kern w:val="0"/>
          <w:sz w:val="32"/>
        </w:rPr>
        <w:t>合同条款</w:t>
      </w:r>
    </w:p>
    <w:p>
      <w:pPr>
        <w:jc w:val="center"/>
        <w:rPr>
          <w:rFonts w:asciiTheme="minorEastAsia" w:hAnsiTheme="minorEastAsia" w:eastAsiaTheme="minorEastAsia"/>
          <w:sz w:val="32"/>
          <w:szCs w:val="32"/>
        </w:rPr>
      </w:pPr>
    </w:p>
    <w:p>
      <w:pPr>
        <w:rPr>
          <w:rFonts w:asciiTheme="minorEastAsia" w:hAnsiTheme="minorEastAsia" w:eastAsiaTheme="minorEastAsia"/>
          <w:sz w:val="32"/>
          <w:szCs w:val="32"/>
        </w:rPr>
      </w:pPr>
      <w:r>
        <w:rPr>
          <w:rFonts w:asciiTheme="minorEastAsia" w:hAnsiTheme="minorEastAsia" w:eastAsiaTheme="minorEastAsia"/>
          <w:sz w:val="32"/>
          <w:szCs w:val="32"/>
        </w:rPr>
        <w:t xml:space="preserve">    </w:t>
      </w: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  项目名称：</w:t>
      </w:r>
      <w:r>
        <w:rPr>
          <w:rFonts w:hint="eastAsia" w:asciiTheme="minorEastAsia" w:hAnsiTheme="minorEastAsia" w:eastAsiaTheme="minorEastAsia"/>
          <w:sz w:val="32"/>
          <w:szCs w:val="32"/>
          <w:u w:val="single"/>
        </w:rPr>
        <w:t xml:space="preserve">建筑消防设施及电气消防安全检测 </w:t>
      </w:r>
    </w:p>
    <w:p>
      <w:pPr>
        <w:rPr>
          <w:rFonts w:asciiTheme="minorEastAsia" w:hAnsiTheme="minorEastAsia" w:eastAsiaTheme="minorEastAsia"/>
          <w:sz w:val="32"/>
          <w:szCs w:val="32"/>
          <w:u w:val="single"/>
        </w:rPr>
      </w:pPr>
    </w:p>
    <w:p>
      <w:pPr>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      委 托 方：</w:t>
      </w:r>
      <w:r>
        <w:rPr>
          <w:rFonts w:hint="eastAsia" w:asciiTheme="minorEastAsia" w:hAnsiTheme="minorEastAsia" w:eastAsiaTheme="minorEastAsia"/>
          <w:sz w:val="32"/>
          <w:szCs w:val="32"/>
          <w:u w:val="single"/>
        </w:rPr>
        <w:t xml:space="preserve"> 杭州萧山国际机场有限公司     </w:t>
      </w:r>
    </w:p>
    <w:p>
      <w:pPr>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      （甲 方） </w:t>
      </w:r>
    </w:p>
    <w:p>
      <w:pPr>
        <w:rPr>
          <w:rFonts w:asciiTheme="minorEastAsia" w:hAnsiTheme="minorEastAsia" w:eastAsiaTheme="minorEastAsia"/>
          <w:sz w:val="32"/>
          <w:szCs w:val="32"/>
          <w:u w:val="single"/>
        </w:rPr>
      </w:pPr>
    </w:p>
    <w:p>
      <w:pP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受 托 方：</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        </w:t>
      </w:r>
    </w:p>
    <w:p>
      <w:pPr>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      （乙 方） </w:t>
      </w:r>
    </w:p>
    <w:p>
      <w:pPr>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      签订时间：</w:t>
      </w:r>
      <w:r>
        <w:rPr>
          <w:rFonts w:hint="eastAsia" w:asciiTheme="minorEastAsia" w:hAnsiTheme="minorEastAsia" w:eastAsiaTheme="minorEastAsia"/>
          <w:sz w:val="32"/>
          <w:szCs w:val="32"/>
          <w:u w:val="single"/>
        </w:rPr>
        <w:t xml:space="preserve">                         </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签订地点：</w:t>
      </w:r>
      <w:r>
        <w:rPr>
          <w:rFonts w:hint="eastAsia" w:asciiTheme="minorEastAsia" w:hAnsiTheme="minorEastAsia" w:eastAsiaTheme="minorEastAsia"/>
          <w:sz w:val="32"/>
          <w:szCs w:val="32"/>
          <w:u w:val="single"/>
        </w:rPr>
        <w:t xml:space="preserve">  杭州萧山国际机场       </w:t>
      </w:r>
      <w:r>
        <w:rPr>
          <w:rFonts w:hint="eastAsia" w:asciiTheme="minorEastAsia" w:hAnsiTheme="minorEastAsia" w:eastAsiaTheme="minorEastAsia"/>
          <w:sz w:val="32"/>
          <w:szCs w:val="32"/>
        </w:rPr>
        <w:t xml:space="preserve">    </w:t>
      </w:r>
    </w:p>
    <w:p>
      <w:pPr>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      有效期限：</w:t>
      </w:r>
      <w:r>
        <w:rPr>
          <w:rFonts w:hint="eastAsia" w:asciiTheme="minorEastAsia" w:hAnsiTheme="minorEastAsia" w:eastAsiaTheme="minorEastAsia"/>
          <w:sz w:val="32"/>
          <w:szCs w:val="32"/>
          <w:u w:val="single"/>
        </w:rPr>
        <w:t xml:space="preserve">                         </w:t>
      </w: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jc w:val="center"/>
        <w:rPr>
          <w:rFonts w:asciiTheme="minorEastAsia" w:hAnsiTheme="minorEastAsia" w:eastAsiaTheme="minorEastAsia"/>
          <w:sz w:val="22"/>
        </w:rPr>
      </w:pPr>
    </w:p>
    <w:p>
      <w:pPr>
        <w:widowControl/>
        <w:jc w:val="left"/>
        <w:rPr>
          <w:rFonts w:asciiTheme="minorEastAsia" w:hAnsiTheme="minorEastAsia" w:eastAsiaTheme="minorEastAsia"/>
          <w:sz w:val="22"/>
        </w:rPr>
      </w:pPr>
      <w:r>
        <w:rPr>
          <w:rFonts w:asciiTheme="minorEastAsia" w:hAnsiTheme="minorEastAsia" w:eastAsiaTheme="minorEastAsia"/>
          <w:sz w:val="22"/>
        </w:rPr>
        <w:br w:type="page"/>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技术服务合同</w:t>
      </w:r>
    </w:p>
    <w:p>
      <w:pPr>
        <w:jc w:val="center"/>
        <w:rPr>
          <w:rFonts w:asciiTheme="minorEastAsia" w:hAnsiTheme="minorEastAsia" w:eastAsiaTheme="minorEastAsia"/>
          <w:sz w:val="22"/>
        </w:rPr>
      </w:pPr>
    </w:p>
    <w:p>
      <w:pPr>
        <w:ind w:left="1"/>
        <w:rPr>
          <w:rFonts w:asciiTheme="minorEastAsia" w:hAnsiTheme="minorEastAsia" w:eastAsiaTheme="minorEastAsia"/>
          <w:sz w:val="22"/>
          <w:u w:val="single"/>
        </w:rPr>
      </w:pPr>
      <w:r>
        <w:rPr>
          <w:rFonts w:asciiTheme="minorEastAsia" w:hAnsiTheme="minorEastAsia" w:eastAsiaTheme="minorEastAsia"/>
          <w:sz w:val="22"/>
        </w:rPr>
        <w:tab/>
      </w:r>
      <w:r>
        <w:rPr>
          <w:rFonts w:hint="eastAsia" w:asciiTheme="minorEastAsia" w:hAnsiTheme="minorEastAsia" w:eastAsiaTheme="minorEastAsia"/>
          <w:sz w:val="22"/>
        </w:rPr>
        <w:t>委托方（甲方）：</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rPr>
        <w:tab/>
      </w:r>
      <w:r>
        <w:rPr>
          <w:rFonts w:hint="eastAsia" w:asciiTheme="minorEastAsia" w:hAnsiTheme="minorEastAsia" w:eastAsiaTheme="minorEastAsia"/>
          <w:sz w:val="22"/>
        </w:rPr>
        <w:t>住</w:t>
      </w:r>
      <w:r>
        <w:rPr>
          <w:rFonts w:asciiTheme="minorEastAsia" w:hAnsiTheme="minorEastAsia" w:eastAsiaTheme="minorEastAsia"/>
          <w:sz w:val="22"/>
        </w:rPr>
        <w:t xml:space="preserve">  </w:t>
      </w:r>
      <w:r>
        <w:rPr>
          <w:rFonts w:hint="eastAsia" w:asciiTheme="minorEastAsia" w:hAnsiTheme="minorEastAsia" w:eastAsiaTheme="minorEastAsia"/>
          <w:sz w:val="22"/>
        </w:rPr>
        <w:t>所</w:t>
      </w:r>
      <w:r>
        <w:rPr>
          <w:rFonts w:asciiTheme="minorEastAsia" w:hAnsiTheme="minorEastAsia" w:eastAsiaTheme="minorEastAsia"/>
          <w:sz w:val="22"/>
        </w:rPr>
        <w:t xml:space="preserve">  </w:t>
      </w:r>
      <w:r>
        <w:rPr>
          <w:rFonts w:hint="eastAsia" w:asciiTheme="minorEastAsia" w:hAnsiTheme="minorEastAsia" w:eastAsiaTheme="minorEastAsia"/>
          <w:sz w:val="22"/>
        </w:rPr>
        <w:t>地：</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rPr>
        <w:tab/>
      </w:r>
      <w:r>
        <w:rPr>
          <w:rFonts w:hint="eastAsia" w:asciiTheme="minorEastAsia" w:hAnsiTheme="minorEastAsia" w:eastAsiaTheme="minorEastAsia"/>
          <w:sz w:val="22"/>
        </w:rPr>
        <w:t>法定代表人：</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tabs>
          <w:tab w:val="left" w:pos="1050"/>
        </w:tabs>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项目联系人：</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rPr>
      </w:pPr>
      <w:r>
        <w:rPr>
          <w:rFonts w:asciiTheme="minorEastAsia" w:hAnsiTheme="minorEastAsia" w:eastAsiaTheme="minorEastAsia"/>
          <w:sz w:val="22"/>
        </w:rPr>
        <w:tab/>
      </w:r>
      <w:r>
        <w:rPr>
          <w:rFonts w:hint="eastAsia" w:asciiTheme="minorEastAsia" w:hAnsiTheme="minorEastAsia" w:eastAsiaTheme="minorEastAsia"/>
          <w:sz w:val="22"/>
        </w:rPr>
        <w:t>联系方式</w:t>
      </w:r>
      <w:r>
        <w:rPr>
          <w:rFonts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u w:val="single"/>
        </w:rPr>
        <w:t xml:space="preserve">                           </w:t>
      </w:r>
    </w:p>
    <w:p>
      <w:pPr>
        <w:tabs>
          <w:tab w:val="left" w:pos="8100"/>
        </w:tabs>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通讯地址：</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电</w:t>
      </w:r>
      <w:r>
        <w:rPr>
          <w:rFonts w:asciiTheme="minorEastAsia" w:hAnsiTheme="minorEastAsia" w:eastAsiaTheme="minorEastAsia"/>
          <w:sz w:val="22"/>
        </w:rPr>
        <w:t xml:space="preserve">    </w:t>
      </w:r>
      <w:r>
        <w:rPr>
          <w:rFonts w:hint="eastAsia" w:asciiTheme="minorEastAsia" w:hAnsiTheme="minorEastAsia" w:eastAsiaTheme="minorEastAsia"/>
          <w:sz w:val="22"/>
        </w:rPr>
        <w:t>话：</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r>
        <w:rPr>
          <w:rFonts w:asciiTheme="minorEastAsia" w:hAnsiTheme="minorEastAsia" w:eastAsiaTheme="minorEastAsia"/>
          <w:sz w:val="22"/>
        </w:rPr>
        <w:t xml:space="preserve"> </w:t>
      </w:r>
      <w:r>
        <w:rPr>
          <w:rFonts w:hint="eastAsia" w:asciiTheme="minorEastAsia" w:hAnsiTheme="minorEastAsia" w:eastAsiaTheme="minorEastAsia"/>
          <w:sz w:val="22"/>
        </w:rPr>
        <w:t>传真：</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受托方（乙方）：</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住</w:t>
      </w:r>
      <w:r>
        <w:rPr>
          <w:rFonts w:asciiTheme="minorEastAsia" w:hAnsiTheme="minorEastAsia" w:eastAsiaTheme="minorEastAsia"/>
          <w:sz w:val="22"/>
        </w:rPr>
        <w:t xml:space="preserve">  </w:t>
      </w:r>
      <w:r>
        <w:rPr>
          <w:rFonts w:hint="eastAsia" w:asciiTheme="minorEastAsia" w:hAnsiTheme="minorEastAsia" w:eastAsiaTheme="minorEastAsia"/>
          <w:sz w:val="22"/>
        </w:rPr>
        <w:t>所</w:t>
      </w:r>
      <w:r>
        <w:rPr>
          <w:rFonts w:asciiTheme="minorEastAsia" w:hAnsiTheme="minorEastAsia" w:eastAsiaTheme="minorEastAsia"/>
          <w:sz w:val="22"/>
        </w:rPr>
        <w:t xml:space="preserve">  </w:t>
      </w:r>
      <w:r>
        <w:rPr>
          <w:rFonts w:hint="eastAsia" w:asciiTheme="minorEastAsia" w:hAnsiTheme="minorEastAsia" w:eastAsiaTheme="minorEastAsia"/>
          <w:sz w:val="22"/>
        </w:rPr>
        <w:t>地：</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法定代表人：</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项目联系人：</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p>
    <w:p>
      <w:pPr>
        <w:rPr>
          <w:rFonts w:asciiTheme="minorEastAsia" w:hAnsiTheme="minorEastAsia" w:eastAsiaTheme="minorEastAsia"/>
          <w:sz w:val="22"/>
        </w:rPr>
      </w:pPr>
      <w:r>
        <w:rPr>
          <w:rFonts w:asciiTheme="minorEastAsia" w:hAnsiTheme="minorEastAsia" w:eastAsiaTheme="minorEastAsia"/>
          <w:sz w:val="22"/>
        </w:rPr>
        <w:t xml:space="preserve">   </w:t>
      </w:r>
      <w:r>
        <w:rPr>
          <w:rFonts w:hint="eastAsia" w:asciiTheme="minorEastAsia" w:hAnsiTheme="minorEastAsia" w:eastAsiaTheme="minorEastAsia"/>
          <w:sz w:val="22"/>
        </w:rPr>
        <w:t>联系方式</w:t>
      </w:r>
      <w:r>
        <w:rPr>
          <w:rFonts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u w:val="single"/>
        </w:rPr>
        <w:t xml:space="preserve">                                  </w:t>
      </w:r>
      <w:r>
        <w:rPr>
          <w:rFonts w:hint="eastAsia" w:asciiTheme="minorEastAsia" w:hAnsiTheme="minorEastAsia" w:eastAsiaTheme="minorEastAsia"/>
          <w:sz w:val="22"/>
        </w:rPr>
        <w:t xml:space="preserve">            </w:t>
      </w:r>
    </w:p>
    <w:p>
      <w:pPr>
        <w:tabs>
          <w:tab w:val="left" w:pos="8100"/>
        </w:tabs>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通讯地址：</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电</w:t>
      </w:r>
      <w:r>
        <w:rPr>
          <w:rFonts w:asciiTheme="minorEastAsia" w:hAnsiTheme="minorEastAsia" w:eastAsiaTheme="minorEastAsia"/>
          <w:sz w:val="22"/>
        </w:rPr>
        <w:t xml:space="preserve">    </w:t>
      </w:r>
      <w:r>
        <w:rPr>
          <w:rFonts w:hint="eastAsia" w:asciiTheme="minorEastAsia" w:hAnsiTheme="minorEastAsia" w:eastAsiaTheme="minorEastAsia"/>
          <w:sz w:val="22"/>
        </w:rPr>
        <w:t>话：</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r>
        <w:rPr>
          <w:rFonts w:asciiTheme="minorEastAsia" w:hAnsiTheme="minorEastAsia" w:eastAsiaTheme="minorEastAsia"/>
          <w:sz w:val="22"/>
        </w:rPr>
        <w:t xml:space="preserve"> </w:t>
      </w:r>
      <w:r>
        <w:rPr>
          <w:rFonts w:hint="eastAsia" w:asciiTheme="minorEastAsia" w:hAnsiTheme="minorEastAsia" w:eastAsiaTheme="minorEastAsia"/>
          <w:sz w:val="22"/>
        </w:rPr>
        <w:t>传真：</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w:t>
      </w:r>
    </w:p>
    <w:p>
      <w:pPr>
        <w:ind w:left="-260"/>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电子信箱：</w:t>
      </w:r>
      <w:r>
        <w:rPr>
          <w:rFonts w:asciiTheme="minorEastAsia" w:hAnsiTheme="minorEastAsia" w:eastAsiaTheme="minorEastAsia"/>
          <w:sz w:val="22"/>
          <w:u w:val="single"/>
        </w:rPr>
        <w:t xml:space="preserve"> </w:t>
      </w:r>
      <w:r>
        <w:fldChar w:fldCharType="begin"/>
      </w:r>
      <w:r>
        <w:instrText xml:space="preserve"> HYPERLINK "mailto:xjjczx002@sina.com" </w:instrText>
      </w:r>
      <w:r>
        <w:fldChar w:fldCharType="separate"/>
      </w:r>
      <w:r>
        <w:fldChar w:fldCharType="end"/>
      </w:r>
      <w:r>
        <w:rPr>
          <w:rFonts w:hint="eastAsia" w:asciiTheme="minorEastAsia" w:hAnsiTheme="minorEastAsia" w:eastAsiaTheme="minorEastAsia"/>
          <w:color w:val="000000"/>
          <w:sz w:val="22"/>
          <w:u w:val="single"/>
        </w:rPr>
        <w:t xml:space="preserve">               </w:t>
      </w:r>
      <w:r>
        <w:rPr>
          <w:rFonts w:hint="eastAsia" w:asciiTheme="minorEastAsia" w:hAnsiTheme="minorEastAsia" w:eastAsiaTheme="minorEastAsia"/>
          <w:sz w:val="22"/>
          <w:u w:val="single"/>
        </w:rPr>
        <w:t xml:space="preserve">                      </w:t>
      </w:r>
    </w:p>
    <w:p>
      <w:pPr>
        <w:spacing w:line="460" w:lineRule="exact"/>
        <w:ind w:firstLine="454"/>
        <w:rPr>
          <w:rFonts w:cs="宋体-18030" w:asciiTheme="minorEastAsia" w:hAnsiTheme="minorEastAsia" w:eastAsiaTheme="minorEastAsia"/>
          <w:sz w:val="22"/>
        </w:rPr>
      </w:pPr>
      <w:r>
        <w:rPr>
          <w:rFonts w:hint="eastAsia" w:asciiTheme="minorEastAsia" w:hAnsiTheme="minorEastAsia" w:eastAsiaTheme="minorEastAsia"/>
          <w:sz w:val="22"/>
        </w:rPr>
        <w:t>本合同甲方委托乙方就 2019年度机场建筑物消防设施及电气消防安全的功能性检测项目进行的专项技术服务，并支付相应的技术服务报酬。双方经过平等协商，在真实、充分地表达各自意愿的基础上，根据《中华人民共和国合同法》的规定，达成如下协议，并由双方共同恪守。</w:t>
      </w:r>
    </w:p>
    <w:p>
      <w:pPr>
        <w:spacing w:line="460" w:lineRule="exact"/>
        <w:ind w:firstLine="398" w:firstLineChars="181"/>
        <w:rPr>
          <w:rFonts w:asciiTheme="minorEastAsia" w:hAnsiTheme="minorEastAsia" w:eastAsiaTheme="minorEastAsia"/>
          <w:sz w:val="22"/>
        </w:rPr>
      </w:pPr>
      <w:r>
        <w:rPr>
          <w:rFonts w:hint="eastAsia" w:asciiTheme="minorEastAsia" w:hAnsiTheme="minorEastAsia" w:eastAsiaTheme="minorEastAsia"/>
          <w:sz w:val="22"/>
        </w:rPr>
        <w:t>一、甲方委托乙方对</w:t>
      </w:r>
      <w:r>
        <w:rPr>
          <w:rFonts w:hint="eastAsia" w:asciiTheme="minorEastAsia" w:hAnsiTheme="minorEastAsia" w:eastAsiaTheme="minorEastAsia"/>
          <w:sz w:val="22"/>
          <w:u w:val="single"/>
        </w:rPr>
        <w:t>甲方T1、T2、T3航站楼、空港隧道、AOC大楼、ITC大楼 、食品公司、货站A、B区、综合办公楼、第三方医药仓库、4号员工宿舍楼、综合服务大楼、配载保障楼、迎宾楼、国内进港库内设置的建筑消防设施和110KV变电站、35KV变电站以及场区内变电站点共33处变电设施电气，建筑面积约515504平方米。</w:t>
      </w:r>
      <w:r>
        <w:rPr>
          <w:rFonts w:hint="eastAsia" w:asciiTheme="minorEastAsia" w:hAnsiTheme="minorEastAsia" w:eastAsiaTheme="minorEastAsia"/>
          <w:sz w:val="22"/>
        </w:rPr>
        <w:t>2019年度共进行1次年度消防安全技术检查测试。</w:t>
      </w:r>
    </w:p>
    <w:p>
      <w:pPr>
        <w:spacing w:line="400" w:lineRule="exact"/>
        <w:ind w:firstLine="454"/>
        <w:rPr>
          <w:rFonts w:asciiTheme="minorEastAsia" w:hAnsiTheme="minorEastAsia" w:eastAsiaTheme="minorEastAsia"/>
          <w:sz w:val="22"/>
        </w:rPr>
      </w:pPr>
      <w:r>
        <w:rPr>
          <w:rFonts w:hint="eastAsia" w:asciiTheme="minorEastAsia" w:hAnsiTheme="minorEastAsia" w:eastAsiaTheme="minorEastAsia"/>
          <w:sz w:val="22"/>
        </w:rPr>
        <w:t>二、甲方委托乙方检测的内容有：</w:t>
      </w:r>
    </w:p>
    <w:tbl>
      <w:tblPr>
        <w:tblStyle w:val="12"/>
        <w:tblW w:w="6449" w:type="dxa"/>
        <w:tblInd w:w="113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4698"/>
        <w:gridCol w:w="64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79" w:hRule="atLeast"/>
        </w:trPr>
        <w:tc>
          <w:tcPr>
            <w:tcW w:w="1106" w:type="dxa"/>
            <w:tcBorders>
              <w:top w:val="single" w:color="auto" w:sz="18" w:space="0"/>
              <w:left w:val="single" w:color="auto" w:sz="18" w:space="0"/>
              <w:bottom w:val="single" w:color="auto" w:sz="6" w:space="0"/>
              <w:right w:val="single" w:color="auto" w:sz="6"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序号</w:t>
            </w:r>
          </w:p>
        </w:tc>
        <w:tc>
          <w:tcPr>
            <w:tcW w:w="4698" w:type="dxa"/>
            <w:tcBorders>
              <w:top w:val="single" w:color="auto" w:sz="18" w:space="0"/>
              <w:left w:val="single" w:color="auto" w:sz="6" w:space="0"/>
              <w:bottom w:val="single" w:color="auto" w:sz="6" w:space="0"/>
              <w:right w:val="single" w:color="auto" w:sz="6"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建筑消防设施及电气设施</w:t>
            </w:r>
          </w:p>
        </w:tc>
        <w:tc>
          <w:tcPr>
            <w:tcW w:w="645" w:type="dxa"/>
            <w:tcBorders>
              <w:top w:val="single" w:color="auto" w:sz="18" w:space="0"/>
              <w:left w:val="single" w:color="auto" w:sz="6" w:space="0"/>
              <w:bottom w:val="single" w:color="auto" w:sz="6" w:space="0"/>
              <w:right w:val="single" w:color="auto" w:sz="4" w:space="0"/>
            </w:tcBorders>
            <w:vAlign w:val="center"/>
          </w:tcPr>
          <w:p>
            <w:pPr>
              <w:tabs>
                <w:tab w:val="left" w:pos="205"/>
              </w:tabs>
              <w:spacing w:before="120"/>
              <w:ind w:right="-2892" w:rightChars="-1377"/>
              <w:jc w:val="left"/>
              <w:rPr>
                <w:rFonts w:asciiTheme="minorEastAsia" w:hAnsiTheme="minorEastAsia" w:eastAsiaTheme="minorEastAsia"/>
                <w:sz w:val="22"/>
              </w:rPr>
            </w:pPr>
            <w:r>
              <w:rPr>
                <w:rFonts w:hint="eastAsia" w:asciiTheme="minorEastAsia" w:hAnsiTheme="minorEastAsia" w:eastAsiaTheme="minorEastAsia"/>
                <w:sz w:val="22"/>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48" w:hRule="atLeast"/>
        </w:trPr>
        <w:tc>
          <w:tcPr>
            <w:tcW w:w="1106" w:type="dxa"/>
            <w:tcBorders>
              <w:top w:val="single" w:color="auto" w:sz="6" w:space="0"/>
              <w:left w:val="single" w:color="auto" w:sz="18" w:space="0"/>
              <w:bottom w:val="single" w:color="auto" w:sz="6"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1</w:t>
            </w:r>
          </w:p>
        </w:tc>
        <w:tc>
          <w:tcPr>
            <w:tcW w:w="469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消防供配电设施</w:t>
            </w:r>
          </w:p>
        </w:tc>
        <w:tc>
          <w:tcPr>
            <w:tcW w:w="645" w:type="dxa"/>
            <w:tcBorders>
              <w:top w:val="single" w:color="auto" w:sz="6" w:space="0"/>
              <w:left w:val="single" w:color="auto" w:sz="6" w:space="0"/>
              <w:bottom w:val="single" w:color="auto" w:sz="6"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82" w:hRule="atLeast"/>
        </w:trPr>
        <w:tc>
          <w:tcPr>
            <w:tcW w:w="1106" w:type="dxa"/>
            <w:tcBorders>
              <w:top w:val="single" w:color="auto" w:sz="6" w:space="0"/>
              <w:left w:val="single" w:color="auto" w:sz="18" w:space="0"/>
              <w:bottom w:val="single" w:color="auto" w:sz="6"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2</w:t>
            </w:r>
          </w:p>
        </w:tc>
        <w:tc>
          <w:tcPr>
            <w:tcW w:w="469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火灾自动报警及联动控制系统</w:t>
            </w:r>
          </w:p>
        </w:tc>
        <w:tc>
          <w:tcPr>
            <w:tcW w:w="645" w:type="dxa"/>
            <w:tcBorders>
              <w:top w:val="single" w:color="auto" w:sz="6" w:space="0"/>
              <w:left w:val="single" w:color="auto" w:sz="6" w:space="0"/>
              <w:bottom w:val="single" w:color="auto" w:sz="6"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55" w:hRule="atLeast"/>
        </w:trPr>
        <w:tc>
          <w:tcPr>
            <w:tcW w:w="1106" w:type="dxa"/>
            <w:tcBorders>
              <w:top w:val="single" w:color="auto" w:sz="6" w:space="0"/>
              <w:left w:val="single" w:color="auto" w:sz="18" w:space="0"/>
              <w:bottom w:val="single" w:color="auto" w:sz="6"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3</w:t>
            </w:r>
          </w:p>
        </w:tc>
        <w:tc>
          <w:tcPr>
            <w:tcW w:w="469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防排烟系统</w:t>
            </w:r>
          </w:p>
        </w:tc>
        <w:tc>
          <w:tcPr>
            <w:tcW w:w="645" w:type="dxa"/>
            <w:tcBorders>
              <w:top w:val="single" w:color="auto" w:sz="6" w:space="0"/>
              <w:left w:val="single" w:color="auto" w:sz="6" w:space="0"/>
              <w:bottom w:val="single" w:color="auto" w:sz="6"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33" w:hRule="atLeast"/>
        </w:trPr>
        <w:tc>
          <w:tcPr>
            <w:tcW w:w="1106" w:type="dxa"/>
            <w:tcBorders>
              <w:top w:val="single" w:color="auto" w:sz="6"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4</w:t>
            </w:r>
          </w:p>
        </w:tc>
        <w:tc>
          <w:tcPr>
            <w:tcW w:w="4698"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消火栓给水系统</w:t>
            </w:r>
          </w:p>
        </w:tc>
        <w:tc>
          <w:tcPr>
            <w:tcW w:w="645" w:type="dxa"/>
            <w:tcBorders>
              <w:top w:val="single" w:color="auto" w:sz="6"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67"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5</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自动喷水灭火系统</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6</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color w:val="000000"/>
                <w:sz w:val="22"/>
              </w:rPr>
            </w:pPr>
            <w:r>
              <w:rPr>
                <w:rFonts w:hint="eastAsia" w:asciiTheme="minorEastAsia" w:hAnsiTheme="minorEastAsia" w:eastAsiaTheme="minorEastAsia"/>
                <w:color w:val="000000"/>
                <w:sz w:val="22"/>
              </w:rPr>
              <w:t>气体灭火系统</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54"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7</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color w:val="000000"/>
                <w:sz w:val="22"/>
              </w:rPr>
            </w:pPr>
            <w:r>
              <w:rPr>
                <w:rFonts w:hint="eastAsia" w:asciiTheme="minorEastAsia" w:hAnsiTheme="minorEastAsia" w:eastAsiaTheme="minorEastAsia"/>
                <w:color w:val="000000"/>
                <w:sz w:val="22"/>
              </w:rPr>
              <w:t>水喷雾灭火系统</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80"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8</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color w:val="000000"/>
                <w:sz w:val="22"/>
              </w:rPr>
            </w:pPr>
            <w:r>
              <w:rPr>
                <w:rFonts w:hint="eastAsia" w:asciiTheme="minorEastAsia" w:hAnsiTheme="minorEastAsia" w:eastAsiaTheme="minorEastAsia"/>
                <w:color w:val="000000"/>
                <w:sz w:val="22"/>
              </w:rPr>
              <w:t>泡沫灭火系统</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80"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9</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color w:val="000000"/>
                <w:sz w:val="22"/>
              </w:rPr>
            </w:pPr>
            <w:r>
              <w:rPr>
                <w:rFonts w:hint="eastAsia" w:asciiTheme="minorEastAsia" w:hAnsiTheme="minorEastAsia" w:eastAsiaTheme="minorEastAsia"/>
                <w:sz w:val="22"/>
              </w:rPr>
              <w:t>细水雾</w:t>
            </w:r>
            <w:r>
              <w:rPr>
                <w:rFonts w:hint="eastAsia" w:asciiTheme="minorEastAsia" w:hAnsiTheme="minorEastAsia" w:eastAsiaTheme="minorEastAsia"/>
                <w:color w:val="000000"/>
                <w:sz w:val="22"/>
              </w:rPr>
              <w:t>灭火系统</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10</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消防炮灭火系统</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92"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11</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火灾应急照明和疏散指示</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12</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火灾应急广播及警报装置</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13</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消防通讯</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asciiTheme="minorEastAsia" w:hAnsiTheme="minorEastAsia" w:eastAsiaTheme="minorEastAsia"/>
                <w:sz w:val="22"/>
              </w:rPr>
              <w:t>14</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防火分隔</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15</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消防电梯</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16</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消防供水设施</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66"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17</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供配电系统</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0"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18</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低压用电设备</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31"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19</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室内低压配电线路</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234" w:hRule="atLeast"/>
        </w:trPr>
        <w:tc>
          <w:tcPr>
            <w:tcW w:w="1106" w:type="dxa"/>
            <w:tcBorders>
              <w:top w:val="single" w:color="auto" w:sz="4" w:space="0"/>
              <w:left w:val="single" w:color="auto" w:sz="18" w:space="0"/>
              <w:bottom w:val="single" w:color="auto" w:sz="4" w:space="0"/>
              <w:right w:val="single" w:color="auto" w:sz="6"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20</w:t>
            </w:r>
          </w:p>
        </w:tc>
        <w:tc>
          <w:tcPr>
            <w:tcW w:w="4698" w:type="dxa"/>
            <w:tcBorders>
              <w:top w:val="single" w:color="auto" w:sz="4" w:space="0"/>
              <w:left w:val="single" w:color="auto" w:sz="6" w:space="0"/>
              <w:bottom w:val="single" w:color="auto" w:sz="4" w:space="0"/>
              <w:right w:val="single" w:color="auto" w:sz="6" w:space="0"/>
            </w:tcBorders>
            <w:vAlign w:val="center"/>
          </w:tcPr>
          <w:p>
            <w:pPr>
              <w:spacing w:line="300" w:lineRule="exact"/>
              <w:jc w:val="center"/>
              <w:rPr>
                <w:rFonts w:asciiTheme="minorEastAsia" w:hAnsiTheme="minorEastAsia" w:eastAsiaTheme="minorEastAsia"/>
                <w:sz w:val="22"/>
              </w:rPr>
            </w:pPr>
            <w:r>
              <w:rPr>
                <w:rFonts w:hint="eastAsia" w:asciiTheme="minorEastAsia" w:hAnsiTheme="minorEastAsia" w:eastAsiaTheme="minorEastAsia"/>
                <w:sz w:val="22"/>
              </w:rPr>
              <w:t>接地和等电位</w:t>
            </w:r>
          </w:p>
        </w:tc>
        <w:tc>
          <w:tcPr>
            <w:tcW w:w="645" w:type="dxa"/>
            <w:tcBorders>
              <w:top w:val="single" w:color="auto" w:sz="4" w:space="0"/>
              <w:left w:val="single" w:color="auto" w:sz="6" w:space="0"/>
              <w:bottom w:val="single" w:color="auto" w:sz="4" w:space="0"/>
              <w:right w:val="single" w:color="auto" w:sz="4" w:space="0"/>
            </w:tcBorders>
            <w:vAlign w:val="center"/>
          </w:tcPr>
          <w:p>
            <w:pPr>
              <w:spacing w:before="120"/>
              <w:jc w:val="center"/>
              <w:rPr>
                <w:rFonts w:asciiTheme="minorEastAsia" w:hAnsiTheme="minorEastAsia" w:eastAsiaTheme="minorEastAsia"/>
                <w:sz w:val="22"/>
              </w:rPr>
            </w:pPr>
            <w:r>
              <w:rPr>
                <w:rFonts w:hint="eastAsia" w:asciiTheme="minorEastAsia" w:hAnsiTheme="minorEastAsia" w:eastAsiaTheme="minorEastAsia"/>
                <w:sz w:val="22"/>
              </w:rPr>
              <w:t>√</w:t>
            </w:r>
          </w:p>
        </w:tc>
      </w:tr>
    </w:tbl>
    <w:p>
      <w:pPr>
        <w:spacing w:before="120" w:after="120" w:line="320" w:lineRule="atLeast"/>
        <w:ind w:left="567"/>
        <w:rPr>
          <w:rFonts w:asciiTheme="minorEastAsia" w:hAnsiTheme="minorEastAsia" w:eastAsiaTheme="minorEastAsia"/>
          <w:sz w:val="22"/>
        </w:rPr>
      </w:pPr>
      <w:r>
        <w:rPr>
          <w:rFonts w:hint="eastAsia" w:asciiTheme="minorEastAsia" w:hAnsiTheme="minorEastAsia" w:eastAsiaTheme="minorEastAsia"/>
          <w:sz w:val="22"/>
        </w:rPr>
        <w:t>注：备注栏内打“√”者为委托检测内容。</w:t>
      </w:r>
    </w:p>
    <w:p>
      <w:pPr>
        <w:spacing w:before="120" w:after="120" w:line="360" w:lineRule="auto"/>
        <w:ind w:firstLine="480"/>
        <w:rPr>
          <w:rFonts w:asciiTheme="minorEastAsia" w:hAnsiTheme="minorEastAsia" w:eastAsiaTheme="minorEastAsia"/>
          <w:sz w:val="22"/>
        </w:rPr>
      </w:pPr>
      <w:r>
        <w:rPr>
          <w:rFonts w:hint="eastAsia" w:asciiTheme="minorEastAsia" w:hAnsiTheme="minorEastAsia" w:eastAsiaTheme="minorEastAsia"/>
          <w:sz w:val="22"/>
        </w:rPr>
        <w:t>三、乙方应安排具有注册消防工程师或中级及以上建（构）筑物消防员资质的检测人员提供检测服务，要求对T1 、T2和T3航站楼的所有消防系统和设施设备按照合同第二条中约定的内容进行检测，其它区域严格按照《建筑消防设施检测评定技术规程》DB33的规定和投标文件的要求实施检测。</w:t>
      </w:r>
    </w:p>
    <w:p>
      <w:pPr>
        <w:spacing w:before="120" w:after="120" w:line="360" w:lineRule="auto"/>
        <w:ind w:firstLine="480"/>
        <w:rPr>
          <w:rFonts w:asciiTheme="minorEastAsia" w:hAnsiTheme="minorEastAsia" w:eastAsiaTheme="minorEastAsia"/>
          <w:sz w:val="22"/>
        </w:rPr>
      </w:pPr>
      <w:r>
        <w:rPr>
          <w:rFonts w:hint="eastAsia" w:asciiTheme="minorEastAsia" w:hAnsiTheme="minorEastAsia" w:eastAsiaTheme="minorEastAsia"/>
          <w:sz w:val="22"/>
        </w:rPr>
        <w:t>四、合同双方应主动配合，甲方应为检测提供方便，委派熟悉施工情况的人员协助检测，乙方应在不违反检测有关规定的情况下，在</w:t>
      </w:r>
      <w:r>
        <w:rPr>
          <w:rFonts w:hint="eastAsia" w:cs="Arial" w:asciiTheme="minorEastAsia" w:hAnsiTheme="minorEastAsia" w:eastAsiaTheme="minorEastAsia"/>
          <w:kern w:val="0"/>
          <w:sz w:val="22"/>
        </w:rPr>
        <w:t>2020年1月22日前</w:t>
      </w:r>
      <w:r>
        <w:rPr>
          <w:rFonts w:hint="eastAsia" w:asciiTheme="minorEastAsia" w:hAnsiTheme="minorEastAsia" w:eastAsiaTheme="minorEastAsia"/>
          <w:sz w:val="22"/>
        </w:rPr>
        <w:t>完成检测任务。如有未尽事宜，双方协商解决。</w:t>
      </w:r>
    </w:p>
    <w:p>
      <w:pPr>
        <w:spacing w:before="120" w:after="120" w:line="360" w:lineRule="auto"/>
        <w:ind w:firstLine="480"/>
        <w:rPr>
          <w:rFonts w:asciiTheme="minorEastAsia" w:hAnsiTheme="minorEastAsia" w:eastAsiaTheme="minorEastAsia"/>
          <w:sz w:val="22"/>
        </w:rPr>
      </w:pPr>
      <w:r>
        <w:rPr>
          <w:rFonts w:hint="eastAsia" w:asciiTheme="minorEastAsia" w:hAnsiTheme="minorEastAsia" w:eastAsiaTheme="minorEastAsia"/>
          <w:sz w:val="22"/>
        </w:rPr>
        <w:t>五、检测期间，乙方应严格遵守甲方安全管理方面的各类规章制度，听从现场协同人员的安排，对甲方运行、空防造成影响或导致甲方或第三方人身、财产损害的，乙方须依法承担法律责任和全部赔偿责任。</w:t>
      </w:r>
    </w:p>
    <w:p>
      <w:pPr>
        <w:adjustRightInd w:val="0"/>
        <w:snapToGrid w:val="0"/>
        <w:spacing w:line="360" w:lineRule="auto"/>
        <w:ind w:right="-42" w:rightChars="-20" w:firstLine="213"/>
        <w:rPr>
          <w:rFonts w:asciiTheme="minorEastAsia" w:hAnsiTheme="minorEastAsia" w:eastAsiaTheme="minorEastAsia"/>
          <w:sz w:val="22"/>
        </w:rPr>
      </w:pPr>
      <w:r>
        <w:rPr>
          <w:rFonts w:hint="eastAsia" w:asciiTheme="minorEastAsia" w:hAnsiTheme="minorEastAsia" w:eastAsiaTheme="minorEastAsia"/>
          <w:sz w:val="22"/>
        </w:rPr>
        <w:t xml:space="preserve">  六、检测结果合格时，乙方在五个工作日内出具合格检测报告，并交于甲方。如果检测结果不合格时，乙方在五个工作日内向甲方出具“检测意见书”，甲方必须在收到乙方意见书之日起一个月内进行整改完毕，并通知乙方复检。复检合格后，乙方在五个工作日内向甲方出具合格的检测报告，并交于甲方（复检不另行付费）。</w:t>
      </w:r>
    </w:p>
    <w:p>
      <w:pPr>
        <w:adjustRightInd w:val="0"/>
        <w:snapToGrid w:val="0"/>
        <w:spacing w:line="360" w:lineRule="auto"/>
        <w:ind w:right="-42" w:rightChars="-20" w:firstLine="442" w:firstLineChars="201"/>
        <w:rPr>
          <w:rFonts w:asciiTheme="minorEastAsia" w:hAnsiTheme="minorEastAsia" w:eastAsiaTheme="minorEastAsia"/>
          <w:sz w:val="22"/>
        </w:rPr>
      </w:pPr>
      <w:r>
        <w:rPr>
          <w:rFonts w:hint="eastAsia" w:ascii="宋体" w:hAnsi="宋体" w:cs="Arial"/>
          <w:kern w:val="0"/>
          <w:sz w:val="22"/>
        </w:rPr>
        <w:t>七、服务期：</w:t>
      </w:r>
      <w:r>
        <w:rPr>
          <w:rFonts w:hint="eastAsia" w:cs="Arial" w:asciiTheme="minorEastAsia" w:hAnsiTheme="minorEastAsia" w:eastAsiaTheme="minorEastAsia"/>
          <w:kern w:val="0"/>
          <w:sz w:val="22"/>
        </w:rPr>
        <w:t>自合同签订生效之日起至2020年2月28日</w:t>
      </w:r>
      <w:r>
        <w:rPr>
          <w:rFonts w:hint="eastAsia" w:asciiTheme="minorEastAsia" w:hAnsiTheme="minorEastAsia" w:eastAsiaTheme="minorEastAsia"/>
          <w:sz w:val="22"/>
        </w:rPr>
        <w:t>。</w:t>
      </w:r>
    </w:p>
    <w:p>
      <w:pPr>
        <w:rPr>
          <w:rFonts w:asciiTheme="minorEastAsia" w:hAnsiTheme="minorEastAsia" w:eastAsiaTheme="minorEastAsia"/>
          <w:sz w:val="22"/>
        </w:rPr>
      </w:pPr>
      <w:r>
        <w:rPr>
          <w:rFonts w:hint="eastAsia" w:cs="宋体-18030" w:asciiTheme="minorEastAsia" w:hAnsiTheme="minorEastAsia" w:eastAsiaTheme="minorEastAsia"/>
          <w:sz w:val="22"/>
        </w:rPr>
        <w:t xml:space="preserve">    八、</w:t>
      </w:r>
      <w:r>
        <w:rPr>
          <w:rFonts w:hint="eastAsia" w:asciiTheme="minorEastAsia" w:hAnsiTheme="minorEastAsia" w:eastAsiaTheme="minorEastAsia"/>
          <w:sz w:val="22"/>
        </w:rPr>
        <w:t>双方确定，按以下约定承担各自的违约责任：</w:t>
      </w:r>
    </w:p>
    <w:p>
      <w:pPr>
        <w:rPr>
          <w:rFonts w:asciiTheme="minorEastAsia" w:hAnsiTheme="minorEastAsia" w:eastAsiaTheme="minorEastAsia"/>
          <w:sz w:val="22"/>
          <w:u w:val="single"/>
        </w:rPr>
      </w:pPr>
      <w:r>
        <w:rPr>
          <w:rFonts w:asciiTheme="minorEastAsia" w:hAnsiTheme="minorEastAsia" w:eastAsiaTheme="minorEastAsia"/>
          <w:sz w:val="22"/>
        </w:rPr>
        <w:t xml:space="preserve">     1</w:t>
      </w:r>
      <w:r>
        <w:rPr>
          <w:rFonts w:hint="eastAsia" w:asciiTheme="minorEastAsia" w:hAnsiTheme="minorEastAsia" w:eastAsiaTheme="minorEastAsia"/>
          <w:sz w:val="22"/>
        </w:rPr>
        <w:t>．</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乙</w:t>
      </w:r>
      <w:r>
        <w:rPr>
          <w:rFonts w:asciiTheme="minorEastAsia" w:hAnsiTheme="minorEastAsia" w:eastAsiaTheme="minorEastAsia"/>
          <w:sz w:val="22"/>
          <w:u w:val="single"/>
        </w:rPr>
        <w:t xml:space="preserve">   </w:t>
      </w:r>
      <w:r>
        <w:rPr>
          <w:rFonts w:hint="eastAsia" w:asciiTheme="minorEastAsia" w:hAnsiTheme="minorEastAsia" w:eastAsiaTheme="minorEastAsia"/>
          <w:sz w:val="22"/>
        </w:rPr>
        <w:t>方违反本合同第</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一、二、三</w:t>
      </w:r>
      <w:r>
        <w:rPr>
          <w:rFonts w:asciiTheme="minorEastAsia" w:hAnsiTheme="minorEastAsia" w:eastAsiaTheme="minorEastAsia"/>
          <w:sz w:val="22"/>
          <w:u w:val="single"/>
        </w:rPr>
        <w:t xml:space="preserve">  </w:t>
      </w:r>
      <w:r>
        <w:rPr>
          <w:rFonts w:hint="eastAsia" w:asciiTheme="minorEastAsia" w:hAnsiTheme="minorEastAsia" w:eastAsiaTheme="minorEastAsia"/>
          <w:sz w:val="22"/>
        </w:rPr>
        <w:t>条约定，应当</w:t>
      </w:r>
      <w:r>
        <w:rPr>
          <w:rFonts w:asciiTheme="minorEastAsia" w:hAnsiTheme="minorEastAsia" w:eastAsiaTheme="minorEastAsia"/>
          <w:sz w:val="22"/>
          <w:u w:val="single"/>
        </w:rPr>
        <w:t xml:space="preserve">              </w:t>
      </w:r>
    </w:p>
    <w:p>
      <w:pPr>
        <w:rPr>
          <w:rFonts w:asciiTheme="minorEastAsia" w:hAnsiTheme="minorEastAsia" w:eastAsiaTheme="minorEastAsia"/>
          <w:sz w:val="22"/>
          <w:u w:val="single"/>
        </w:rPr>
      </w:pP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支付合同总价</w:t>
      </w:r>
      <w:r>
        <w:rPr>
          <w:rFonts w:asciiTheme="minorEastAsia" w:hAnsiTheme="minorEastAsia" w:eastAsiaTheme="minorEastAsia"/>
          <w:sz w:val="22"/>
          <w:u w:val="single"/>
        </w:rPr>
        <w:t>30%</w:t>
      </w:r>
      <w:r>
        <w:rPr>
          <w:rFonts w:hint="eastAsia" w:asciiTheme="minorEastAsia" w:hAnsiTheme="minorEastAsia" w:eastAsiaTheme="minorEastAsia"/>
          <w:sz w:val="22"/>
          <w:u w:val="single"/>
        </w:rPr>
        <w:t>违约金</w:t>
      </w:r>
      <w:r>
        <w:rPr>
          <w:rFonts w:asciiTheme="minorEastAsia" w:hAnsiTheme="minorEastAsia" w:eastAsiaTheme="minorEastAsia"/>
          <w:sz w:val="22"/>
          <w:u w:val="single"/>
        </w:rPr>
        <w:t xml:space="preserve">     </w:t>
      </w:r>
      <w:r>
        <w:rPr>
          <w:rFonts w:hint="eastAsia" w:asciiTheme="minorEastAsia" w:hAnsiTheme="minorEastAsia" w:eastAsiaTheme="minorEastAsia"/>
          <w:sz w:val="22"/>
        </w:rPr>
        <w:t>。</w:t>
      </w:r>
    </w:p>
    <w:p>
      <w:pPr>
        <w:rPr>
          <w:rFonts w:asciiTheme="minorEastAsia" w:hAnsiTheme="minorEastAsia" w:eastAsiaTheme="minorEastAsia"/>
          <w:sz w:val="22"/>
          <w:u w:val="single"/>
        </w:rPr>
      </w:pPr>
      <w:r>
        <w:rPr>
          <w:rFonts w:asciiTheme="minorEastAsia" w:hAnsiTheme="minorEastAsia" w:eastAsiaTheme="minorEastAsia"/>
          <w:sz w:val="22"/>
        </w:rPr>
        <w:t xml:space="preserve">     2</w:t>
      </w:r>
      <w:r>
        <w:rPr>
          <w:rFonts w:hint="eastAsia" w:asciiTheme="minorEastAsia" w:hAnsiTheme="minorEastAsia" w:eastAsiaTheme="minorEastAsia"/>
          <w:sz w:val="22"/>
        </w:rPr>
        <w:t>．</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乙</w:t>
      </w:r>
      <w:r>
        <w:rPr>
          <w:rFonts w:asciiTheme="minorEastAsia" w:hAnsiTheme="minorEastAsia" w:eastAsiaTheme="minorEastAsia"/>
          <w:sz w:val="22"/>
          <w:u w:val="single"/>
        </w:rPr>
        <w:t xml:space="preserve">   </w:t>
      </w:r>
      <w:r>
        <w:rPr>
          <w:rFonts w:hint="eastAsia" w:asciiTheme="minorEastAsia" w:hAnsiTheme="minorEastAsia" w:eastAsiaTheme="minorEastAsia"/>
          <w:sz w:val="22"/>
        </w:rPr>
        <w:t>方违反本合同第</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四、五、六、七</w:t>
      </w:r>
      <w:r>
        <w:rPr>
          <w:rFonts w:asciiTheme="minorEastAsia" w:hAnsiTheme="minorEastAsia" w:eastAsiaTheme="minorEastAsia"/>
          <w:sz w:val="22"/>
          <w:u w:val="single"/>
        </w:rPr>
        <w:t xml:space="preserve">  </w:t>
      </w:r>
      <w:r>
        <w:rPr>
          <w:rFonts w:hint="eastAsia" w:asciiTheme="minorEastAsia" w:hAnsiTheme="minorEastAsia" w:eastAsiaTheme="minorEastAsia"/>
          <w:sz w:val="22"/>
        </w:rPr>
        <w:t>条约定，应当</w:t>
      </w:r>
      <w:r>
        <w:rPr>
          <w:rFonts w:asciiTheme="minorEastAsia" w:hAnsiTheme="minorEastAsia" w:eastAsiaTheme="minorEastAsia"/>
          <w:sz w:val="22"/>
          <w:u w:val="single"/>
        </w:rPr>
        <w:t xml:space="preserve">         </w:t>
      </w:r>
    </w:p>
    <w:p>
      <w:pPr>
        <w:rPr>
          <w:rFonts w:asciiTheme="minorEastAsia" w:hAnsiTheme="minorEastAsia" w:eastAsiaTheme="minorEastAsia"/>
          <w:sz w:val="22"/>
        </w:rPr>
      </w:pP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支付合同总价</w:t>
      </w:r>
      <w:r>
        <w:rPr>
          <w:rFonts w:asciiTheme="minorEastAsia" w:hAnsiTheme="minorEastAsia" w:eastAsiaTheme="minorEastAsia"/>
          <w:sz w:val="22"/>
          <w:u w:val="single"/>
        </w:rPr>
        <w:t>20%</w:t>
      </w:r>
      <w:r>
        <w:rPr>
          <w:rFonts w:hint="eastAsia" w:asciiTheme="minorEastAsia" w:hAnsiTheme="minorEastAsia" w:eastAsiaTheme="minorEastAsia"/>
          <w:sz w:val="22"/>
          <w:u w:val="single"/>
        </w:rPr>
        <w:t>违约金</w:t>
      </w:r>
      <w:r>
        <w:rPr>
          <w:rFonts w:asciiTheme="minorEastAsia" w:hAnsiTheme="minorEastAsia" w:eastAsiaTheme="minorEastAsia"/>
          <w:sz w:val="22"/>
          <w:u w:val="single"/>
        </w:rPr>
        <w:t xml:space="preserve">     </w:t>
      </w:r>
      <w:r>
        <w:rPr>
          <w:rFonts w:hint="eastAsia" w:asciiTheme="minorEastAsia" w:hAnsiTheme="minorEastAsia" w:eastAsiaTheme="minorEastAsia"/>
          <w:sz w:val="22"/>
        </w:rPr>
        <w:t>。</w:t>
      </w:r>
    </w:p>
    <w:p>
      <w:pPr>
        <w:adjustRightInd w:val="0"/>
        <w:snapToGrid w:val="0"/>
        <w:spacing w:line="360" w:lineRule="auto"/>
        <w:ind w:right="-42" w:rightChars="-20"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 xml:space="preserve">九、履约保证金 </w:t>
      </w:r>
    </w:p>
    <w:p>
      <w:pPr>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 xml:space="preserve">1．甲方发出中标通知书后【15】日内，向甲方支付合同总价的【10%】作为履约保证金。如果逾期未缴纳，甲方有权解除本合同，并要求乙方承担由此给甲方造成的损失。 </w:t>
      </w:r>
    </w:p>
    <w:p>
      <w:pPr>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2．待合同约定服务内容全部履行并完毕，乙方不存在任何违约情形并收到甲方书面认可后【</w:t>
      </w:r>
      <w:r>
        <w:rPr>
          <w:rFonts w:asciiTheme="minorEastAsia" w:hAnsiTheme="minorEastAsia" w:eastAsiaTheme="minorEastAsia"/>
          <w:sz w:val="22"/>
        </w:rPr>
        <w:t>10</w:t>
      </w:r>
      <w:r>
        <w:rPr>
          <w:rFonts w:hint="eastAsia" w:asciiTheme="minorEastAsia" w:hAnsiTheme="minorEastAsia" w:eastAsiaTheme="minorEastAsia"/>
          <w:sz w:val="22"/>
        </w:rPr>
        <w:t>】日内，甲方无息返还履约保证金。</w:t>
      </w:r>
    </w:p>
    <w:p>
      <w:pPr>
        <w:rPr>
          <w:rFonts w:asciiTheme="minorEastAsia" w:hAnsiTheme="minorEastAsia" w:eastAsiaTheme="minorEastAsia"/>
          <w:sz w:val="22"/>
          <w:u w:val="single"/>
        </w:rPr>
      </w:pPr>
      <w:r>
        <w:rPr>
          <w:rFonts w:asciiTheme="minorEastAsia" w:hAnsiTheme="minorEastAsia" w:eastAsiaTheme="minorEastAsia"/>
          <w:sz w:val="22"/>
        </w:rPr>
        <w:t xml:space="preserve">   </w:t>
      </w:r>
      <w:r>
        <w:rPr>
          <w:rFonts w:hint="eastAsia" w:asciiTheme="minorEastAsia" w:hAnsiTheme="minorEastAsia" w:eastAsiaTheme="minorEastAsia"/>
          <w:sz w:val="22"/>
        </w:rPr>
        <w:t xml:space="preserve"> 十、双方确定，在本合同有效期内，甲方指定</w:t>
      </w:r>
      <w:r>
        <w:rPr>
          <w:rFonts w:hint="eastAsia" w:asciiTheme="minorEastAsia" w:hAnsiTheme="minorEastAsia" w:eastAsiaTheme="minorEastAsia"/>
          <w:sz w:val="22"/>
          <w:u w:val="single"/>
        </w:rPr>
        <w:t>　　   　　</w:t>
      </w:r>
    </w:p>
    <w:p>
      <w:pPr>
        <w:rPr>
          <w:rFonts w:asciiTheme="minorEastAsia" w:hAnsiTheme="minorEastAsia" w:eastAsiaTheme="minorEastAsia"/>
          <w:sz w:val="22"/>
        </w:rPr>
      </w:pPr>
      <w:r>
        <w:rPr>
          <w:rFonts w:hint="eastAsia" w:asciiTheme="minorEastAsia" w:hAnsiTheme="minorEastAsia" w:eastAsiaTheme="minorEastAsia"/>
          <w:sz w:val="22"/>
        </w:rPr>
        <w:t>为甲方项目联系人，乙方指定</w:t>
      </w:r>
      <w:r>
        <w:rPr>
          <w:rFonts w:hint="eastAsia" w:asciiTheme="minorEastAsia" w:hAnsiTheme="minorEastAsia" w:eastAsiaTheme="minorEastAsia"/>
          <w:sz w:val="22"/>
          <w:u w:val="single"/>
        </w:rPr>
        <w:t xml:space="preserve">      　</w:t>
      </w:r>
      <w:r>
        <w:rPr>
          <w:rFonts w:hint="eastAsia" w:asciiTheme="minorEastAsia" w:hAnsiTheme="minorEastAsia" w:eastAsiaTheme="minorEastAsia"/>
          <w:sz w:val="22"/>
        </w:rPr>
        <w:t>为乙方项目联系人。项目联系人承担以下责任：</w:t>
      </w:r>
      <w:r>
        <w:rPr>
          <w:rFonts w:hint="eastAsia" w:asciiTheme="minorEastAsia" w:hAnsiTheme="minorEastAsia" w:eastAsiaTheme="minorEastAsia"/>
          <w:sz w:val="22"/>
          <w:u w:val="single"/>
        </w:rPr>
        <w:t>　                  　　</w:t>
      </w:r>
    </w:p>
    <w:p>
      <w:pPr>
        <w:rPr>
          <w:rFonts w:asciiTheme="minorEastAsia" w:hAnsiTheme="minorEastAsia" w:eastAsiaTheme="minorEastAsia"/>
          <w:sz w:val="22"/>
        </w:rPr>
      </w:pPr>
      <w:r>
        <w:rPr>
          <w:rFonts w:hint="eastAsia" w:asciiTheme="minorEastAsia" w:hAnsiTheme="minorEastAsia" w:eastAsiaTheme="minorEastAsia"/>
          <w:sz w:val="22"/>
        </w:rPr>
        <w:t>　　一方变更项目联系人的，应当及时以书面形式通知另一方，未及时通知并影响本合同履行或造成损失的，甲方可单方面解除合同，不予支付相应检测费用，并没收全部履约保证金。</w:t>
      </w:r>
    </w:p>
    <w:p>
      <w:pPr>
        <w:ind w:firstLine="440" w:firstLineChars="200"/>
        <w:rPr>
          <w:rFonts w:asciiTheme="minorEastAsia" w:hAnsiTheme="minorEastAsia" w:eastAsiaTheme="minorEastAsia"/>
          <w:sz w:val="22"/>
        </w:rPr>
      </w:pPr>
      <w:r>
        <w:rPr>
          <w:rFonts w:hint="eastAsia" w:asciiTheme="minorEastAsia" w:hAnsiTheme="minorEastAsia" w:eastAsiaTheme="minorEastAsia"/>
          <w:sz w:val="22"/>
        </w:rPr>
        <w:t>十一、双方确定，出现下列情形，致使本合同的履行成为不必要或不可能的，可以解除本合同：</w:t>
      </w:r>
    </w:p>
    <w:p>
      <w:pPr>
        <w:rPr>
          <w:rFonts w:asciiTheme="minorEastAsia" w:hAnsiTheme="minorEastAsia" w:eastAsiaTheme="minorEastAsia"/>
          <w:sz w:val="22"/>
          <w:u w:val="single"/>
        </w:rPr>
      </w:pPr>
      <w:r>
        <w:rPr>
          <w:rFonts w:asciiTheme="minorEastAsia" w:hAnsiTheme="minorEastAsia" w:eastAsiaTheme="minorEastAsia"/>
          <w:sz w:val="22"/>
        </w:rPr>
        <w:t xml:space="preserve">     1</w:t>
      </w:r>
      <w:r>
        <w:rPr>
          <w:rFonts w:hint="eastAsia" w:asciiTheme="minorEastAsia" w:hAnsiTheme="minorEastAsia" w:eastAsiaTheme="minorEastAsia"/>
          <w:sz w:val="22"/>
        </w:rPr>
        <w:t>．</w:t>
      </w:r>
      <w:r>
        <w:rPr>
          <w:rFonts w:hint="eastAsia" w:asciiTheme="minorEastAsia" w:hAnsiTheme="minorEastAsia" w:eastAsiaTheme="minorEastAsia"/>
          <w:sz w:val="22"/>
          <w:u w:val="single"/>
        </w:rPr>
        <w:t>发生不可抗力；</w:t>
      </w:r>
    </w:p>
    <w:p>
      <w:pPr>
        <w:rPr>
          <w:rFonts w:asciiTheme="minorEastAsia" w:hAnsiTheme="minorEastAsia" w:eastAsiaTheme="minorEastAsia"/>
          <w:sz w:val="22"/>
        </w:rPr>
      </w:pPr>
      <w:r>
        <w:rPr>
          <w:rFonts w:asciiTheme="minorEastAsia" w:hAnsiTheme="minorEastAsia" w:eastAsiaTheme="minorEastAsia"/>
          <w:sz w:val="22"/>
        </w:rPr>
        <w:t xml:space="preserve">     2</w:t>
      </w:r>
      <w:r>
        <w:rPr>
          <w:rFonts w:hint="eastAsia" w:asciiTheme="minorEastAsia" w:hAnsiTheme="minorEastAsia" w:eastAsiaTheme="minorEastAsia"/>
          <w:sz w:val="22"/>
        </w:rPr>
        <w:t>．</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当事一方延迟履行合同或违约行为致使不能实现合同目的。</w:t>
      </w:r>
      <w:r>
        <w:rPr>
          <w:rFonts w:asciiTheme="minorEastAsia" w:hAnsiTheme="minorEastAsia" w:eastAsiaTheme="minorEastAsia"/>
          <w:sz w:val="22"/>
          <w:u w:val="single"/>
        </w:rPr>
        <w:t xml:space="preserve"> </w:t>
      </w:r>
    </w:p>
    <w:p>
      <w:pPr>
        <w:rPr>
          <w:rFonts w:asciiTheme="minorEastAsia" w:hAnsiTheme="minorEastAsia" w:eastAsiaTheme="minorEastAsia"/>
          <w:sz w:val="22"/>
        </w:rPr>
      </w:pPr>
      <w:r>
        <w:rPr>
          <w:rFonts w:asciiTheme="minorEastAsia" w:hAnsiTheme="minorEastAsia" w:eastAsiaTheme="minorEastAsia"/>
          <w:sz w:val="22"/>
        </w:rPr>
        <w:t xml:space="preserve">    </w:t>
      </w:r>
      <w:r>
        <w:rPr>
          <w:rFonts w:hint="eastAsia" w:asciiTheme="minorEastAsia" w:hAnsiTheme="minorEastAsia" w:eastAsiaTheme="minorEastAsia"/>
          <w:sz w:val="22"/>
        </w:rPr>
        <w:t>十二、双方因履行本合同而发生的争议，应协商、调解解决。协商、调解不成的，确定按以下第</w:t>
      </w:r>
      <w:r>
        <w:rPr>
          <w:rFonts w:asciiTheme="minorEastAsia" w:hAnsiTheme="minorEastAsia" w:eastAsiaTheme="minorEastAsia"/>
          <w:sz w:val="22"/>
        </w:rPr>
        <w:t xml:space="preserve"> 2 </w:t>
      </w:r>
      <w:r>
        <w:rPr>
          <w:rFonts w:hint="eastAsia" w:asciiTheme="minorEastAsia" w:hAnsiTheme="minorEastAsia" w:eastAsiaTheme="minorEastAsia"/>
          <w:sz w:val="22"/>
        </w:rPr>
        <w:t>种方式处理：</w:t>
      </w:r>
    </w:p>
    <w:p>
      <w:pPr>
        <w:rPr>
          <w:rFonts w:asciiTheme="minorEastAsia" w:hAnsiTheme="minorEastAsia" w:eastAsiaTheme="minorEastAsia"/>
          <w:sz w:val="22"/>
        </w:rPr>
      </w:pPr>
      <w:r>
        <w:rPr>
          <w:rFonts w:asciiTheme="minorEastAsia" w:hAnsiTheme="minorEastAsia" w:eastAsiaTheme="minorEastAsia"/>
          <w:sz w:val="22"/>
        </w:rPr>
        <w:t xml:space="preserve">     1</w:t>
      </w:r>
      <w:r>
        <w:rPr>
          <w:rFonts w:hint="eastAsia" w:asciiTheme="minorEastAsia" w:hAnsiTheme="minorEastAsia" w:eastAsiaTheme="minorEastAsia"/>
          <w:sz w:val="22"/>
        </w:rPr>
        <w:t>．提交</w:t>
      </w:r>
      <w:r>
        <w:rPr>
          <w:rFonts w:asciiTheme="minorEastAsia" w:hAnsiTheme="minorEastAsia" w:eastAsiaTheme="minorEastAsia"/>
          <w:sz w:val="22"/>
          <w:u w:val="single"/>
        </w:rPr>
        <w:t xml:space="preserve">  </w:t>
      </w:r>
      <w:r>
        <w:rPr>
          <w:rFonts w:hint="eastAsia" w:asciiTheme="minorEastAsia" w:hAnsiTheme="minorEastAsia" w:eastAsiaTheme="minorEastAsia"/>
          <w:sz w:val="22"/>
          <w:u w:val="single"/>
        </w:rPr>
        <w:t xml:space="preserve"> 杭州 </w:t>
      </w:r>
      <w:r>
        <w:rPr>
          <w:rFonts w:asciiTheme="minorEastAsia" w:hAnsiTheme="minorEastAsia" w:eastAsiaTheme="minorEastAsia"/>
          <w:sz w:val="22"/>
          <w:u w:val="single"/>
        </w:rPr>
        <w:t xml:space="preserve">  </w:t>
      </w:r>
      <w:r>
        <w:rPr>
          <w:rFonts w:hint="eastAsia" w:asciiTheme="minorEastAsia" w:hAnsiTheme="minorEastAsia" w:eastAsiaTheme="minorEastAsia"/>
          <w:sz w:val="22"/>
        </w:rPr>
        <w:t>仲裁委员会仲裁；</w:t>
      </w:r>
    </w:p>
    <w:p>
      <w:pPr>
        <w:rPr>
          <w:rFonts w:asciiTheme="minorEastAsia" w:hAnsiTheme="minorEastAsia" w:eastAsiaTheme="minorEastAsia"/>
          <w:sz w:val="22"/>
        </w:rPr>
      </w:pPr>
      <w:r>
        <w:rPr>
          <w:rFonts w:asciiTheme="minorEastAsia" w:hAnsiTheme="minorEastAsia" w:eastAsiaTheme="minorEastAsia"/>
          <w:sz w:val="22"/>
        </w:rPr>
        <w:t xml:space="preserve">     2</w:t>
      </w:r>
      <w:r>
        <w:rPr>
          <w:rFonts w:hint="eastAsia" w:asciiTheme="minorEastAsia" w:hAnsiTheme="minorEastAsia" w:eastAsiaTheme="minorEastAsia"/>
          <w:sz w:val="22"/>
        </w:rPr>
        <w:t>．依法向甲方所在地的人民法院起诉。</w:t>
      </w:r>
    </w:p>
    <w:p>
      <w:pPr>
        <w:snapToGrid w:val="0"/>
        <w:spacing w:line="36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 xml:space="preserve">十三、本合同金额为：         </w:t>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 22566.5 \* CHINESENUM2 </w:instrText>
      </w:r>
      <w:r>
        <w:rPr>
          <w:rFonts w:asciiTheme="minorEastAsia" w:hAnsiTheme="minorEastAsia" w:eastAsiaTheme="minorEastAsia"/>
          <w:sz w:val="22"/>
        </w:rPr>
        <w:fldChar w:fldCharType="end"/>
      </w:r>
      <w:r>
        <w:rPr>
          <w:rFonts w:hint="eastAsia" w:asciiTheme="minorEastAsia" w:hAnsiTheme="minorEastAsia" w:eastAsiaTheme="minorEastAsia"/>
          <w:sz w:val="22"/>
        </w:rPr>
        <w:t>元整</w:t>
      </w:r>
      <w:r>
        <w:rPr>
          <w:rFonts w:asciiTheme="minorEastAsia" w:hAnsiTheme="minorEastAsia" w:eastAsiaTheme="minorEastAsia"/>
          <w:sz w:val="22"/>
        </w:rPr>
        <w:t>(</w:t>
      </w:r>
      <w:r>
        <w:rPr>
          <w:rFonts w:hint="eastAsia" w:asciiTheme="minorEastAsia" w:hAnsiTheme="minorEastAsia" w:eastAsiaTheme="minorEastAsia"/>
          <w:sz w:val="22"/>
        </w:rPr>
        <w:t>￥       元</w:t>
      </w:r>
      <w:r>
        <w:rPr>
          <w:rFonts w:asciiTheme="minorEastAsia" w:hAnsiTheme="minorEastAsia" w:eastAsiaTheme="minorEastAsia"/>
          <w:sz w:val="22"/>
        </w:rPr>
        <w:t>)</w:t>
      </w:r>
      <w:r>
        <w:rPr>
          <w:rFonts w:hint="eastAsia" w:asciiTheme="minorEastAsia" w:hAnsiTheme="minorEastAsia" w:eastAsiaTheme="minorEastAsia"/>
          <w:sz w:val="22"/>
        </w:rPr>
        <w:t>。</w:t>
      </w:r>
      <w:r>
        <w:rPr>
          <w:rFonts w:hint="eastAsia" w:ascii="宋体" w:hAnsi="宋体" w:cs="Calibri"/>
          <w:sz w:val="22"/>
        </w:rPr>
        <w:t>本</w:t>
      </w:r>
      <w:r>
        <w:rPr>
          <w:rFonts w:hint="eastAsia" w:ascii="宋体" w:hAnsi="宋体"/>
          <w:sz w:val="22"/>
        </w:rPr>
        <w:t>合同价为杭州萧山国际机场</w:t>
      </w:r>
      <w:r>
        <w:rPr>
          <w:rFonts w:hint="eastAsia" w:asciiTheme="minorEastAsia" w:hAnsiTheme="minorEastAsia" w:eastAsiaTheme="minorEastAsia"/>
          <w:sz w:val="20"/>
          <w:szCs w:val="20"/>
        </w:rPr>
        <w:t>建筑消防设施及电气消防安全年度检测服务总价</w:t>
      </w:r>
      <w:r>
        <w:rPr>
          <w:rFonts w:hint="eastAsia" w:ascii="宋体" w:hAnsi="宋体"/>
          <w:sz w:val="22"/>
        </w:rPr>
        <w:t>，含检测服务费</w:t>
      </w:r>
      <w:r>
        <w:rPr>
          <w:rFonts w:hint="eastAsia" w:ascii="宋体" w:hAnsi="宋体" w:cs="宋体"/>
          <w:sz w:val="22"/>
        </w:rPr>
        <w:t>、整改复查服务费、人工费、餐费、停车交通费、保险费、税费等</w:t>
      </w:r>
      <w:r>
        <w:rPr>
          <w:rFonts w:hint="eastAsia" w:ascii="宋体" w:hAnsi="宋体"/>
          <w:sz w:val="22"/>
        </w:rPr>
        <w:t>等所有费用。甲方不再承担其他任何费用。</w:t>
      </w:r>
      <w:r>
        <w:rPr>
          <w:rFonts w:hint="eastAsia" w:ascii="宋体" w:hAnsi="宋体" w:cs="Calibri"/>
          <w:sz w:val="22"/>
        </w:rPr>
        <w:t>在合同有效期限内，若因国家税收政策调整而引起的增值税税率变化的，应按照国家税收政策调整，合同总金额变更为原合同不含增值税货物或劳务价格与调整后税率计算税额的合计金额。</w:t>
      </w:r>
    </w:p>
    <w:p>
      <w:pPr>
        <w:spacing w:before="120"/>
        <w:jc w:val="left"/>
        <w:rPr>
          <w:rFonts w:asciiTheme="minorEastAsia" w:hAnsiTheme="minorEastAsia" w:eastAsiaTheme="minorEastAsia"/>
          <w:sz w:val="22"/>
        </w:rPr>
      </w:pPr>
      <w:r>
        <w:rPr>
          <w:rFonts w:asciiTheme="minorEastAsia" w:hAnsiTheme="minorEastAsia" w:eastAsiaTheme="minorEastAsia"/>
          <w:sz w:val="22"/>
        </w:rPr>
        <w:t xml:space="preserve">    </w:t>
      </w:r>
      <w:r>
        <w:rPr>
          <w:rFonts w:hint="eastAsia" w:asciiTheme="minorEastAsia" w:hAnsiTheme="minorEastAsia" w:eastAsiaTheme="minorEastAsia"/>
          <w:sz w:val="22"/>
        </w:rPr>
        <w:t>十四、本项目甲方委托乙方就机场建筑物消防设施及电气消防安全进行1次功能性检测，甲方收到乙方最终合格的《建筑消防设施及电气消防安全年度检验检测报告》及乙方开具的发票后，一次性支付给乙方该年度全额的检测费。</w:t>
      </w:r>
    </w:p>
    <w:p>
      <w:pPr>
        <w:spacing w:before="120"/>
        <w:ind w:firstLine="480"/>
        <w:jc w:val="left"/>
        <w:rPr>
          <w:rFonts w:asciiTheme="minorEastAsia" w:hAnsiTheme="minorEastAsia" w:eastAsiaTheme="minorEastAsia"/>
          <w:sz w:val="22"/>
        </w:rPr>
      </w:pPr>
      <w:r>
        <w:rPr>
          <w:rFonts w:hint="eastAsia" w:asciiTheme="minorEastAsia" w:hAnsiTheme="minorEastAsia" w:eastAsiaTheme="minorEastAsia"/>
          <w:sz w:val="22"/>
        </w:rPr>
        <w:t>十五、本合同一式</w:t>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 6 \* CHINESENUM2 </w:instrText>
      </w:r>
      <w:r>
        <w:rPr>
          <w:rFonts w:asciiTheme="minorEastAsia" w:hAnsiTheme="minorEastAsia" w:eastAsiaTheme="minorEastAsia"/>
          <w:sz w:val="22"/>
        </w:rPr>
        <w:fldChar w:fldCharType="separate"/>
      </w:r>
      <w:r>
        <w:rPr>
          <w:rFonts w:hint="eastAsia" w:asciiTheme="minorEastAsia" w:hAnsiTheme="minorEastAsia" w:eastAsiaTheme="minorEastAsia"/>
          <w:sz w:val="22"/>
        </w:rPr>
        <w:t>陆</w:t>
      </w:r>
      <w:r>
        <w:rPr>
          <w:rFonts w:asciiTheme="minorEastAsia" w:hAnsiTheme="minorEastAsia" w:eastAsiaTheme="minorEastAsia"/>
          <w:sz w:val="22"/>
        </w:rPr>
        <w:fldChar w:fldCharType="end"/>
      </w:r>
      <w:r>
        <w:rPr>
          <w:rFonts w:hint="eastAsia" w:asciiTheme="minorEastAsia" w:hAnsiTheme="minorEastAsia" w:eastAsiaTheme="minorEastAsia"/>
          <w:sz w:val="22"/>
        </w:rPr>
        <w:t>份，甲乙双方各</w:t>
      </w:r>
      <w:r>
        <w:rPr>
          <w:rFonts w:asciiTheme="minorEastAsia" w:hAnsiTheme="minorEastAsia" w:eastAsiaTheme="minorEastAsia"/>
          <w:sz w:val="22"/>
        </w:rPr>
        <w:fldChar w:fldCharType="begin"/>
      </w:r>
      <w:r>
        <w:rPr>
          <w:rFonts w:asciiTheme="minorEastAsia" w:hAnsiTheme="minorEastAsia" w:eastAsiaTheme="minorEastAsia"/>
          <w:sz w:val="22"/>
        </w:rPr>
        <w:instrText xml:space="preserve"> = 3 \* CHINESENUM2 </w:instrText>
      </w:r>
      <w:r>
        <w:rPr>
          <w:rFonts w:asciiTheme="minorEastAsia" w:hAnsiTheme="minorEastAsia" w:eastAsiaTheme="minorEastAsia"/>
          <w:sz w:val="22"/>
        </w:rPr>
        <w:fldChar w:fldCharType="separate"/>
      </w:r>
      <w:r>
        <w:rPr>
          <w:rFonts w:hint="eastAsia" w:asciiTheme="minorEastAsia" w:hAnsiTheme="minorEastAsia" w:eastAsiaTheme="minorEastAsia"/>
          <w:sz w:val="22"/>
        </w:rPr>
        <w:t>叁</w:t>
      </w:r>
      <w:r>
        <w:rPr>
          <w:rFonts w:asciiTheme="minorEastAsia" w:hAnsiTheme="minorEastAsia" w:eastAsiaTheme="minorEastAsia"/>
          <w:sz w:val="22"/>
        </w:rPr>
        <w:fldChar w:fldCharType="end"/>
      </w:r>
      <w:r>
        <w:rPr>
          <w:rFonts w:hint="eastAsia" w:asciiTheme="minorEastAsia" w:hAnsiTheme="minorEastAsia" w:eastAsiaTheme="minorEastAsia"/>
          <w:sz w:val="22"/>
        </w:rPr>
        <w:t>份，具有同等法律效力。</w:t>
      </w:r>
    </w:p>
    <w:p>
      <w:pPr>
        <w:tabs>
          <w:tab w:val="left" w:pos="8100"/>
        </w:tabs>
        <w:spacing w:before="120"/>
        <w:ind w:firstLine="110" w:firstLineChars="50"/>
        <w:rPr>
          <w:rFonts w:asciiTheme="minorEastAsia" w:hAnsiTheme="minorEastAsia" w:eastAsiaTheme="minorEastAsia"/>
          <w:vanish/>
          <w:sz w:val="22"/>
        </w:rPr>
      </w:pPr>
      <w:r>
        <w:rPr>
          <w:rFonts w:asciiTheme="minorEastAsia" w:hAnsiTheme="minorEastAsia" w:eastAsiaTheme="minorEastAsia"/>
          <w:sz w:val="22"/>
        </w:rPr>
        <w:t xml:space="preserve">  </w:t>
      </w:r>
      <w:r>
        <w:rPr>
          <w:rFonts w:hint="eastAsia" w:asciiTheme="minorEastAsia" w:hAnsiTheme="minorEastAsia" w:eastAsiaTheme="minorEastAsia"/>
          <w:sz w:val="22"/>
        </w:rPr>
        <w:t xml:space="preserve"> </w:t>
      </w:r>
    </w:p>
    <w:p>
      <w:pPr>
        <w:tabs>
          <w:tab w:val="left" w:pos="8100"/>
        </w:tabs>
        <w:spacing w:before="120"/>
        <w:ind w:firstLine="110" w:firstLineChars="50"/>
        <w:rPr>
          <w:rFonts w:asciiTheme="minorEastAsia" w:hAnsiTheme="minorEastAsia" w:eastAsiaTheme="minorEastAsia"/>
          <w:sz w:val="22"/>
        </w:rPr>
      </w:pPr>
      <w:r>
        <w:rPr>
          <w:rFonts w:hint="eastAsia" w:asciiTheme="minorEastAsia" w:hAnsiTheme="minorEastAsia" w:eastAsiaTheme="minorEastAsia"/>
          <w:vanish/>
          <w:sz w:val="22"/>
        </w:rPr>
        <w:t>　　</w:t>
      </w:r>
      <w:r>
        <w:rPr>
          <w:rFonts w:hint="eastAsia" w:asciiTheme="minorEastAsia" w:hAnsiTheme="minorEastAsia" w:eastAsiaTheme="minorEastAsia"/>
          <w:sz w:val="22"/>
        </w:rPr>
        <w:t>十六、本合同自签订之日起生效。</w:t>
      </w:r>
    </w:p>
    <w:p>
      <w:pPr>
        <w:tabs>
          <w:tab w:val="left" w:pos="8100"/>
        </w:tabs>
        <w:spacing w:before="120"/>
        <w:ind w:firstLine="110" w:firstLineChars="50"/>
        <w:rPr>
          <w:rFonts w:cs="宋体-18030" w:asciiTheme="minorEastAsia" w:hAnsiTheme="minorEastAsia" w:eastAsiaTheme="minorEastAsia"/>
          <w:b/>
          <w:sz w:val="22"/>
        </w:rPr>
      </w:pPr>
      <w:r>
        <w:rPr>
          <w:rFonts w:hint="eastAsia" w:asciiTheme="minorEastAsia" w:hAnsiTheme="minorEastAsia" w:eastAsiaTheme="minorEastAsia"/>
          <w:sz w:val="22"/>
        </w:rPr>
        <w:t xml:space="preserve">   </w:t>
      </w:r>
    </w:p>
    <w:p>
      <w:pPr>
        <w:spacing w:before="120" w:beforeLines="50" w:after="120" w:afterLines="50"/>
        <w:rPr>
          <w:rFonts w:cs="宋体-18030" w:asciiTheme="minorEastAsia" w:hAnsiTheme="minorEastAsia" w:eastAsiaTheme="minorEastAsia"/>
          <w:sz w:val="22"/>
        </w:rPr>
      </w:pPr>
      <w:r>
        <w:rPr>
          <w:rFonts w:hint="eastAsia" w:cs="宋体-18030" w:asciiTheme="minorEastAsia" w:hAnsiTheme="minorEastAsia" w:eastAsiaTheme="minorEastAsia"/>
          <w:sz w:val="22"/>
        </w:rPr>
        <w:t>甲方（盖章）：                            乙方（盖章）：</w:t>
      </w:r>
    </w:p>
    <w:p>
      <w:pPr>
        <w:spacing w:before="120" w:beforeLines="50" w:after="120" w:afterLines="50"/>
        <w:rPr>
          <w:rFonts w:cs="宋体-18030" w:asciiTheme="minorEastAsia" w:hAnsiTheme="minorEastAsia" w:eastAsiaTheme="minorEastAsia"/>
          <w:sz w:val="22"/>
        </w:rPr>
      </w:pPr>
      <w:r>
        <w:rPr>
          <w:rFonts w:hint="eastAsia" w:cs="宋体-18030" w:asciiTheme="minorEastAsia" w:hAnsiTheme="minorEastAsia" w:eastAsiaTheme="minorEastAsia"/>
          <w:sz w:val="22"/>
        </w:rPr>
        <w:t>法定代表人：                             法定代表人：</w:t>
      </w:r>
    </w:p>
    <w:p>
      <w:pPr>
        <w:spacing w:before="120" w:beforeLines="50" w:after="120" w:afterLines="50"/>
        <w:rPr>
          <w:rFonts w:cs="宋体-18030" w:asciiTheme="minorEastAsia" w:hAnsiTheme="minorEastAsia" w:eastAsiaTheme="minorEastAsia"/>
          <w:sz w:val="22"/>
        </w:rPr>
      </w:pPr>
      <w:r>
        <w:rPr>
          <w:rFonts w:hint="eastAsia" w:cs="宋体-18030" w:asciiTheme="minorEastAsia" w:hAnsiTheme="minorEastAsia" w:eastAsiaTheme="minorEastAsia"/>
          <w:sz w:val="22"/>
        </w:rPr>
        <w:t xml:space="preserve">或                                       或 </w:t>
      </w:r>
    </w:p>
    <w:p>
      <w:pPr>
        <w:spacing w:before="120" w:beforeLines="50" w:after="120" w:afterLines="50"/>
        <w:rPr>
          <w:rFonts w:cs="宋体-18030" w:asciiTheme="minorEastAsia" w:hAnsiTheme="minorEastAsia" w:eastAsiaTheme="minorEastAsia"/>
          <w:sz w:val="22"/>
        </w:rPr>
      </w:pPr>
      <w:r>
        <w:rPr>
          <w:rFonts w:hint="eastAsia" w:cs="宋体-18030" w:asciiTheme="minorEastAsia" w:hAnsiTheme="minorEastAsia" w:eastAsiaTheme="minorEastAsia"/>
          <w:sz w:val="22"/>
        </w:rPr>
        <w:t>委托代理人：                             委托代理人：</w:t>
      </w:r>
    </w:p>
    <w:p>
      <w:pPr>
        <w:spacing w:line="320" w:lineRule="exact"/>
        <w:rPr>
          <w:rFonts w:cs="宋体-18030" w:asciiTheme="minorEastAsia" w:hAnsiTheme="minorEastAsia" w:eastAsiaTheme="minorEastAsia"/>
          <w:sz w:val="22"/>
        </w:rPr>
      </w:pPr>
      <w:r>
        <w:rPr>
          <w:rFonts w:hint="eastAsia" w:cs="宋体-18030" w:asciiTheme="minorEastAsia" w:hAnsiTheme="minorEastAsia" w:eastAsiaTheme="minorEastAsia"/>
          <w:sz w:val="22"/>
        </w:rPr>
        <w:t xml:space="preserve">联系电话：                               联系电话： </w:t>
      </w:r>
    </w:p>
    <w:p>
      <w:pPr>
        <w:spacing w:line="320" w:lineRule="exact"/>
        <w:rPr>
          <w:rFonts w:cs="宋体-18030" w:asciiTheme="minorEastAsia" w:hAnsiTheme="minorEastAsia" w:eastAsiaTheme="minorEastAsia"/>
          <w:sz w:val="22"/>
        </w:rPr>
      </w:pPr>
      <w:r>
        <w:rPr>
          <w:rFonts w:hint="eastAsia" w:cs="宋体-18030" w:asciiTheme="minorEastAsia" w:hAnsiTheme="minorEastAsia" w:eastAsiaTheme="minorEastAsia"/>
          <w:sz w:val="22"/>
        </w:rPr>
        <w:t xml:space="preserve">地址：                                   地址： </w:t>
      </w:r>
    </w:p>
    <w:p>
      <w:pPr>
        <w:spacing w:line="320" w:lineRule="exact"/>
        <w:rPr>
          <w:rFonts w:cs="宋体-18030" w:asciiTheme="minorEastAsia" w:hAnsiTheme="minorEastAsia" w:eastAsiaTheme="minorEastAsia"/>
          <w:sz w:val="22"/>
        </w:rPr>
      </w:pPr>
      <w:r>
        <w:rPr>
          <w:rFonts w:hint="eastAsia" w:cs="宋体-18030" w:asciiTheme="minorEastAsia" w:hAnsiTheme="minorEastAsia" w:eastAsiaTheme="minorEastAsia"/>
          <w:sz w:val="22"/>
        </w:rPr>
        <w:t xml:space="preserve">                                         开户银行及户名： </w:t>
      </w:r>
    </w:p>
    <w:p>
      <w:pPr>
        <w:spacing w:line="320" w:lineRule="exact"/>
        <w:rPr>
          <w:rFonts w:cs="宋体-18030" w:asciiTheme="minorEastAsia" w:hAnsiTheme="minorEastAsia" w:eastAsiaTheme="minorEastAsia"/>
          <w:sz w:val="22"/>
        </w:rPr>
      </w:pPr>
      <w:r>
        <w:rPr>
          <w:rFonts w:hint="eastAsia" w:cs="宋体-18030" w:asciiTheme="minorEastAsia" w:hAnsiTheme="minorEastAsia" w:eastAsiaTheme="minorEastAsia"/>
          <w:sz w:val="22"/>
        </w:rPr>
        <w:t xml:space="preserve">                                                                                           年   月   日                              年   月   日</w:t>
      </w:r>
    </w:p>
    <w:p>
      <w:pPr>
        <w:spacing w:line="320" w:lineRule="exact"/>
        <w:rPr>
          <w:rFonts w:cs="宋体-18030" w:asciiTheme="minorEastAsia" w:hAnsiTheme="minorEastAsia" w:eastAsiaTheme="minorEastAsia"/>
          <w:sz w:val="22"/>
        </w:rPr>
      </w:pPr>
    </w:p>
    <w:p>
      <w:pPr>
        <w:spacing w:line="320" w:lineRule="exact"/>
        <w:rPr>
          <w:rFonts w:asciiTheme="minorEastAsia" w:hAnsiTheme="minorEastAsia" w:eastAsiaTheme="minorEastAsia"/>
          <w:b/>
          <w:sz w:val="22"/>
        </w:rPr>
      </w:pPr>
      <w:r>
        <w:rPr>
          <w:rFonts w:cs="宋体-18030" w:asciiTheme="minorEastAsia" w:hAnsiTheme="minorEastAsia" w:eastAsiaTheme="minorEastAsia"/>
          <w:sz w:val="22"/>
        </w:rPr>
        <w:br w:type="page"/>
      </w:r>
    </w:p>
    <w:p>
      <w:pPr>
        <w:topLinePunct/>
        <w:jc w:val="center"/>
        <w:rPr>
          <w:rFonts w:asciiTheme="minorEastAsia" w:hAnsiTheme="minorEastAsia" w:eastAsiaTheme="minorEastAsia"/>
          <w:b/>
          <w:sz w:val="22"/>
        </w:rPr>
      </w:pPr>
      <w:r>
        <w:rPr>
          <w:rFonts w:hint="eastAsia" w:asciiTheme="minorEastAsia" w:hAnsiTheme="minorEastAsia" w:eastAsiaTheme="minorEastAsia"/>
          <w:b/>
          <w:sz w:val="22"/>
        </w:rPr>
        <w:t>廉洁自律承诺书</w:t>
      </w:r>
    </w:p>
    <w:p>
      <w:pPr>
        <w:pStyle w:val="19"/>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9"/>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9"/>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9"/>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9"/>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9"/>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9"/>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9"/>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9"/>
        <w:adjustRightInd w:val="0"/>
        <w:snapToGrid w:val="0"/>
        <w:ind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Cs w:val="24"/>
        </w:rPr>
        <w:t>0571－86661113。</w:t>
      </w:r>
    </w:p>
    <w:p>
      <w:pPr>
        <w:pStyle w:val="19"/>
        <w:adjustRightInd w:val="0"/>
        <w:snapToGrid w:val="0"/>
        <w:ind w:firstLine="480"/>
        <w:jc w:val="left"/>
        <w:rPr>
          <w:rFonts w:ascii="宋体" w:hAnsi="宋体"/>
          <w:szCs w:val="24"/>
        </w:rPr>
      </w:pPr>
      <w:r>
        <w:rPr>
          <w:rFonts w:hint="eastAsia" w:ascii="宋体" w:hAnsi="宋体"/>
          <w:szCs w:val="24"/>
        </w:rPr>
        <w:t>八、如违反上述廉洁自律承诺，贵公司有权：</w:t>
      </w:r>
    </w:p>
    <w:p>
      <w:pPr>
        <w:pStyle w:val="19"/>
        <w:numPr>
          <w:ilvl w:val="0"/>
          <w:numId w:val="1"/>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19"/>
        <w:numPr>
          <w:ilvl w:val="0"/>
          <w:numId w:val="1"/>
        </w:numPr>
        <w:adjustRightInd w:val="0"/>
        <w:snapToGrid w:val="0"/>
        <w:ind w:firstLineChars="0"/>
        <w:jc w:val="left"/>
        <w:rPr>
          <w:rFonts w:ascii="宋体" w:hAnsi="宋体"/>
          <w:szCs w:val="24"/>
        </w:rPr>
      </w:pPr>
      <w:r>
        <w:rPr>
          <w:rFonts w:hint="eastAsia" w:ascii="宋体" w:hAnsi="宋体"/>
          <w:szCs w:val="24"/>
        </w:rPr>
        <w:t>扣除我方向贵公司缴纳的履约保证金的</w:t>
      </w:r>
      <w:r>
        <w:rPr>
          <w:rFonts w:ascii="宋体" w:hAnsi="宋体"/>
          <w:szCs w:val="24"/>
        </w:rPr>
        <w:t>10%作为违反廉洁自律承诺的违约金。如该违约金不足以弥补贵公司损失的，我单位仍将承担实际损失赔偿责任。</w:t>
      </w:r>
    </w:p>
    <w:p>
      <w:pPr>
        <w:pStyle w:val="19"/>
        <w:numPr>
          <w:ilvl w:val="0"/>
          <w:numId w:val="1"/>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19"/>
        <w:numPr>
          <w:ilvl w:val="0"/>
          <w:numId w:val="1"/>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19"/>
        <w:adjustRightInd w:val="0"/>
        <w:snapToGrid w:val="0"/>
        <w:ind w:firstLine="480"/>
        <w:jc w:val="left"/>
        <w:rPr>
          <w:rFonts w:ascii="宋体" w:hAnsi="宋体"/>
          <w:szCs w:val="24"/>
        </w:rPr>
      </w:pPr>
    </w:p>
    <w:p>
      <w:pPr>
        <w:pStyle w:val="19"/>
        <w:adjustRightInd w:val="0"/>
        <w:snapToGrid w:val="0"/>
        <w:ind w:firstLine="480"/>
        <w:jc w:val="left"/>
        <w:rPr>
          <w:rFonts w:ascii="宋体" w:hAnsi="宋体"/>
          <w:szCs w:val="24"/>
        </w:rPr>
      </w:pPr>
      <w:r>
        <w:rPr>
          <w:rFonts w:hint="eastAsia" w:ascii="宋体" w:hAnsi="宋体"/>
          <w:szCs w:val="24"/>
        </w:rPr>
        <w:t>承诺人单位名称（盖章）：</w:t>
      </w:r>
      <w:r>
        <w:rPr>
          <w:rFonts w:ascii="宋体" w:hAnsi="宋体"/>
          <w:szCs w:val="24"/>
        </w:rPr>
        <w:t xml:space="preserve">            </w:t>
      </w:r>
    </w:p>
    <w:p>
      <w:pPr>
        <w:pStyle w:val="19"/>
        <w:adjustRightInd w:val="0"/>
        <w:snapToGrid w:val="0"/>
        <w:ind w:firstLine="480"/>
        <w:jc w:val="left"/>
        <w:rPr>
          <w:rFonts w:ascii="宋体" w:hAnsi="宋体"/>
          <w:szCs w:val="24"/>
        </w:rPr>
      </w:pPr>
      <w:r>
        <w:rPr>
          <w:rFonts w:hint="eastAsia" w:ascii="宋体" w:hAnsi="宋体"/>
          <w:szCs w:val="24"/>
        </w:rPr>
        <w:t>法定代表人</w:t>
      </w:r>
      <w:r>
        <w:rPr>
          <w:rFonts w:ascii="宋体" w:hAnsi="宋体"/>
          <w:szCs w:val="24"/>
        </w:rPr>
        <w:t xml:space="preserve"> ：                    </w:t>
      </w:r>
    </w:p>
    <w:p>
      <w:pPr>
        <w:pStyle w:val="19"/>
        <w:adjustRightInd w:val="0"/>
        <w:snapToGrid w:val="0"/>
        <w:ind w:firstLine="480"/>
        <w:jc w:val="left"/>
        <w:rPr>
          <w:rFonts w:ascii="宋体" w:hAnsi="宋体"/>
          <w:szCs w:val="24"/>
        </w:rPr>
      </w:pPr>
      <w:r>
        <w:rPr>
          <w:rFonts w:hint="eastAsia" w:ascii="宋体" w:hAnsi="宋体"/>
          <w:szCs w:val="24"/>
        </w:rPr>
        <w:t>或</w:t>
      </w:r>
      <w:r>
        <w:rPr>
          <w:rFonts w:ascii="宋体" w:hAnsi="宋体"/>
          <w:szCs w:val="24"/>
        </w:rPr>
        <w:t xml:space="preserve">                            </w:t>
      </w:r>
    </w:p>
    <w:p>
      <w:pPr>
        <w:pStyle w:val="19"/>
        <w:adjustRightInd w:val="0"/>
        <w:snapToGrid w:val="0"/>
        <w:ind w:firstLine="480"/>
        <w:jc w:val="left"/>
        <w:rPr>
          <w:rFonts w:ascii="宋体" w:hAnsi="宋体"/>
          <w:szCs w:val="24"/>
        </w:rPr>
      </w:pPr>
      <w:r>
        <w:rPr>
          <w:rFonts w:hint="eastAsia" w:ascii="宋体" w:hAnsi="宋体"/>
          <w:szCs w:val="24"/>
        </w:rPr>
        <w:t>委托代理人：</w:t>
      </w:r>
      <w:r>
        <w:rPr>
          <w:rFonts w:ascii="宋体" w:hAnsi="宋体"/>
          <w:szCs w:val="24"/>
        </w:rPr>
        <w:t xml:space="preserve">                   </w:t>
      </w:r>
    </w:p>
    <w:p>
      <w:pPr>
        <w:pStyle w:val="19"/>
        <w:adjustRightInd w:val="0"/>
        <w:snapToGrid w:val="0"/>
        <w:ind w:firstLine="482"/>
        <w:jc w:val="left"/>
        <w:rPr>
          <w:rFonts w:ascii="宋体" w:hAnsi="宋体"/>
          <w:b/>
          <w:szCs w:val="24"/>
        </w:rPr>
      </w:pPr>
    </w:p>
    <w:p>
      <w:pPr>
        <w:pStyle w:val="11"/>
        <w:rPr>
          <w:rFonts w:ascii="宋体" w:hAnsi="宋体" w:eastAsia="宋体"/>
          <w:b w:val="0"/>
          <w:sz w:val="24"/>
          <w:szCs w:val="24"/>
        </w:rPr>
      </w:pPr>
      <w:r>
        <w:rPr>
          <w:rFonts w:ascii="宋体" w:hAnsi="宋体" w:eastAsia="宋体"/>
          <w:b w:val="0"/>
          <w:sz w:val="24"/>
          <w:szCs w:val="24"/>
        </w:rPr>
        <w:t xml:space="preserve">                           年     月     日</w:t>
      </w:r>
    </w:p>
    <w:p>
      <w:pPr>
        <w:pStyle w:val="2"/>
        <w:spacing w:before="0" w:after="0" w:line="360" w:lineRule="auto"/>
        <w:jc w:val="center"/>
        <w:rPr>
          <w:rFonts w:ascii="Calibri" w:hAnsi="Calibri" w:eastAsia="黑体" w:cs="Calibri"/>
          <w:kern w:val="0"/>
          <w:sz w:val="32"/>
        </w:rPr>
      </w:pPr>
    </w:p>
    <w:p>
      <w:pPr>
        <w:pStyle w:val="5"/>
        <w:spacing w:line="560" w:lineRule="exact"/>
        <w:ind w:firstLine="420"/>
        <w:jc w:val="right"/>
        <w:rPr>
          <w:rFonts w:ascii="Calibri" w:hAnsi="Calibri" w:cs="Calibri"/>
          <w:bCs/>
          <w:szCs w:val="32"/>
        </w:rPr>
      </w:pPr>
    </w:p>
    <w:p/>
    <w:p>
      <w:pPr>
        <w:pStyle w:val="2"/>
        <w:spacing w:before="0" w:after="0" w:line="360" w:lineRule="auto"/>
        <w:rPr>
          <w:rFonts w:ascii="Calibri" w:hAnsi="Calibri" w:eastAsia="黑体" w:cs="Calibri"/>
          <w:kern w:val="0"/>
          <w:sz w:val="32"/>
        </w:rPr>
        <w:sectPr>
          <w:headerReference r:id="rId5" w:type="default"/>
          <w:footerReference r:id="rId6" w:type="default"/>
          <w:footerReference r:id="rId7" w:type="even"/>
          <w:pgSz w:w="11906" w:h="16838"/>
          <w:pgMar w:top="1134" w:right="1247" w:bottom="1134" w:left="1247" w:header="851" w:footer="992" w:gutter="0"/>
          <w:pgNumType w:fmt="numberInDash"/>
          <w:cols w:space="720" w:num="1"/>
          <w:docGrid w:linePitch="312" w:charSpace="0"/>
        </w:sectPr>
      </w:pPr>
      <w:bookmarkStart w:id="114" w:name="_Toc448002987"/>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szCs w:val="24"/>
        </w:rPr>
        <w:t xml:space="preserve">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rPr>
          <w:rFonts w:ascii="宋体" w:hAnsi="宋体" w:cs="宋体"/>
          <w:sz w:val="22"/>
        </w:rPr>
      </w:pPr>
      <w:r>
        <w:rPr>
          <w:rFonts w:hint="eastAsia" w:ascii="宋体" w:hAnsi="宋体" w:cs="宋体"/>
          <w:sz w:val="22"/>
        </w:rPr>
        <w:t xml:space="preserve">                          地址：</w:t>
      </w:r>
    </w:p>
    <w:p>
      <w:pPr>
        <w:snapToGrid w:val="0"/>
        <w:spacing w:line="360" w:lineRule="exact"/>
        <w:rPr>
          <w:rFonts w:ascii="宋体" w:hAnsi="宋体" w:cs="宋体"/>
          <w:b/>
          <w:sz w:val="32"/>
          <w:szCs w:val="32"/>
        </w:rPr>
      </w:pPr>
      <w:r>
        <w:rPr>
          <w:rFonts w:hint="eastAsia" w:ascii="宋体" w:hAnsi="宋体" w:cs="宋体"/>
          <w:sz w:val="22"/>
        </w:rPr>
        <w:t xml:space="preserve">                          日期：     年   月   日</w:t>
      </w:r>
    </w:p>
    <w:p>
      <w:pPr>
        <w:pStyle w:val="2"/>
        <w:spacing w:before="0" w:after="0" w:line="360" w:lineRule="auto"/>
        <w:jc w:val="center"/>
        <w:rPr>
          <w:rFonts w:ascii="Calibri" w:hAnsi="Calibri" w:eastAsia="黑体" w:cs="Calibri"/>
          <w:kern w:val="0"/>
          <w:sz w:val="32"/>
        </w:rPr>
        <w:sectPr>
          <w:pgSz w:w="11906" w:h="16838"/>
          <w:pgMar w:top="1134" w:right="1247" w:bottom="1134" w:left="1247" w:header="851" w:footer="992"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114"/>
    </w:p>
    <w:p>
      <w:pPr>
        <w:pStyle w:val="5"/>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5"/>
        <w:adjustRightInd w:val="0"/>
        <w:snapToGrid w:val="0"/>
        <w:spacing w:line="400" w:lineRule="exact"/>
        <w:ind w:firstLine="440" w:firstLineChars="200"/>
        <w:rPr>
          <w:rFonts w:hAnsi="宋体" w:cs="Calibri"/>
          <w:sz w:val="22"/>
          <w:szCs w:val="22"/>
        </w:rPr>
      </w:pPr>
      <w:r>
        <w:rPr>
          <w:rFonts w:hint="eastAsia" w:hAnsi="宋体" w:cs="Calibri"/>
          <w:sz w:val="22"/>
          <w:szCs w:val="22"/>
        </w:rPr>
        <w:t>3.3.1商务报价分70分</w:t>
      </w:r>
    </w:p>
    <w:p>
      <w:pPr>
        <w:pStyle w:val="5"/>
        <w:adjustRightInd w:val="0"/>
        <w:snapToGrid w:val="0"/>
        <w:spacing w:line="400" w:lineRule="exact"/>
        <w:ind w:firstLine="440" w:firstLineChars="200"/>
        <w:rPr>
          <w:rFonts w:hAnsi="宋体" w:cs="Calibri"/>
          <w:sz w:val="22"/>
          <w:szCs w:val="22"/>
        </w:rPr>
      </w:pPr>
      <w:r>
        <w:rPr>
          <w:rFonts w:hint="eastAsia" w:hAnsi="宋体" w:cs="Calibri"/>
          <w:sz w:val="22"/>
          <w:szCs w:val="22"/>
        </w:rPr>
        <w:t>商务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5"/>
        <w:adjustRightInd w:val="0"/>
        <w:snapToGrid w:val="0"/>
        <w:spacing w:line="40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40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widowControl/>
        <w:spacing w:line="400" w:lineRule="exact"/>
        <w:jc w:val="left"/>
        <w:rPr>
          <w:rFonts w:ascii="宋体" w:hAnsi="宋体" w:cs="Calibri"/>
          <w:kern w:val="0"/>
          <w:sz w:val="22"/>
        </w:rPr>
      </w:pPr>
      <w:r>
        <w:rPr>
          <w:rFonts w:ascii="宋体" w:hAnsi="宋体" w:cs="Calibri"/>
          <w:kern w:val="0"/>
          <w:sz w:val="22"/>
        </w:rPr>
        <w:br w:type="page"/>
      </w:r>
    </w:p>
    <w:p>
      <w:pPr>
        <w:spacing w:line="400" w:lineRule="exact"/>
        <w:ind w:firstLine="440" w:firstLineChars="200"/>
        <w:rPr>
          <w:rFonts w:ascii="宋体" w:hAnsi="宋体" w:cs="Calibri"/>
          <w:kern w:val="0"/>
          <w:sz w:val="22"/>
        </w:rPr>
      </w:pPr>
      <w:r>
        <w:rPr>
          <w:rFonts w:hint="eastAsia" w:hAnsi="宋体" w:cs="Calibri"/>
          <w:sz w:val="22"/>
        </w:rPr>
        <w:t>3.3.2</w:t>
      </w:r>
      <w:r>
        <w:rPr>
          <w:rFonts w:hint="eastAsia" w:ascii="宋体" w:hAnsi="宋体" w:cs="Calibri"/>
          <w:kern w:val="0"/>
          <w:sz w:val="22"/>
        </w:rPr>
        <w:t>技术评审（分值：30分）</w:t>
      </w:r>
    </w:p>
    <w:p>
      <w:pPr>
        <w:pStyle w:val="5"/>
        <w:adjustRightInd w:val="0"/>
        <w:snapToGrid w:val="0"/>
        <w:spacing w:line="40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40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2"/>
        <w:tblW w:w="9503"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379"/>
        <w:gridCol w:w="2700"/>
        <w:gridCol w:w="720"/>
        <w:gridCol w:w="399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序号</w:t>
            </w:r>
          </w:p>
        </w:tc>
        <w:tc>
          <w:tcPr>
            <w:tcW w:w="1379"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评标项目</w:t>
            </w: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内容</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分值</w:t>
            </w:r>
          </w:p>
        </w:tc>
        <w:tc>
          <w:tcPr>
            <w:tcW w:w="399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评分规则</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09" w:type="dxa"/>
            <w:vMerge w:val="restart"/>
            <w:tcBorders>
              <w:top w:val="single" w:color="000000" w:sz="4" w:space="0"/>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1</w:t>
            </w:r>
          </w:p>
        </w:tc>
        <w:tc>
          <w:tcPr>
            <w:tcW w:w="1379" w:type="dxa"/>
            <w:vMerge w:val="restart"/>
            <w:tcBorders>
              <w:top w:val="single" w:color="000000" w:sz="4" w:space="0"/>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资信情况</w:t>
            </w:r>
          </w:p>
          <w:p>
            <w:pPr>
              <w:autoSpaceDN w:val="0"/>
              <w:spacing w:line="400" w:lineRule="exact"/>
              <w:jc w:val="center"/>
              <w:rPr>
                <w:rFonts w:ascii="宋体" w:hAnsi="宋体" w:cs="Calibri"/>
                <w:kern w:val="0"/>
                <w:sz w:val="22"/>
              </w:rPr>
            </w:pPr>
            <w:r>
              <w:rPr>
                <w:rFonts w:hint="eastAsia" w:ascii="宋体" w:hAnsi="宋体" w:cs="Calibri"/>
                <w:kern w:val="0"/>
                <w:sz w:val="22"/>
              </w:rPr>
              <w:t>（满分20分）</w:t>
            </w: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检测人员及职称</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5分</w:t>
            </w:r>
          </w:p>
        </w:tc>
        <w:tc>
          <w:tcPr>
            <w:tcW w:w="3995" w:type="dxa"/>
            <w:tcBorders>
              <w:top w:val="single" w:color="000000" w:sz="4" w:space="0"/>
              <w:left w:val="single" w:color="000000" w:sz="4" w:space="0"/>
              <w:bottom w:val="single" w:color="000000" w:sz="4" w:space="0"/>
              <w:right w:val="single" w:color="000000" w:sz="4" w:space="0"/>
            </w:tcBorders>
          </w:tcPr>
          <w:p>
            <w:pPr>
              <w:autoSpaceDN w:val="0"/>
              <w:spacing w:line="400" w:lineRule="exact"/>
              <w:rPr>
                <w:rFonts w:ascii="宋体" w:hAnsi="宋体" w:cs="Calibri"/>
                <w:kern w:val="0"/>
                <w:sz w:val="22"/>
              </w:rPr>
            </w:pPr>
            <w:r>
              <w:rPr>
                <w:rFonts w:hint="eastAsia" w:ascii="宋体" w:hAnsi="宋体" w:cs="Calibri"/>
                <w:kern w:val="0"/>
                <w:sz w:val="22"/>
              </w:rPr>
              <w:t>公司拥有注册消防工程师20人及以上的得5分；拥有注册消防工程师10人及以上的得3分；其余不得分。（需提供资质证书复印件及其社会保险证明复印件并加盖投标人公章作为证明材料，原件备查）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09" w:type="dxa"/>
            <w:vMerge w:val="continue"/>
            <w:tcBorders>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1379" w:type="dxa"/>
            <w:vMerge w:val="continue"/>
            <w:tcBorders>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项目负责人为消防专业高级工程师的</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5分</w:t>
            </w:r>
          </w:p>
        </w:tc>
        <w:tc>
          <w:tcPr>
            <w:tcW w:w="3995" w:type="dxa"/>
            <w:tcBorders>
              <w:top w:val="single" w:color="000000" w:sz="4" w:space="0"/>
              <w:left w:val="single" w:color="000000" w:sz="4" w:space="0"/>
              <w:bottom w:val="single" w:color="000000" w:sz="4" w:space="0"/>
              <w:right w:val="single" w:color="000000" w:sz="4" w:space="0"/>
            </w:tcBorders>
          </w:tcPr>
          <w:p>
            <w:pPr>
              <w:autoSpaceDN w:val="0"/>
              <w:spacing w:line="400" w:lineRule="exact"/>
              <w:rPr>
                <w:rFonts w:ascii="宋体" w:hAnsi="宋体" w:cs="Calibri"/>
                <w:kern w:val="0"/>
                <w:sz w:val="22"/>
              </w:rPr>
            </w:pPr>
            <w:r>
              <w:rPr>
                <w:rFonts w:hint="eastAsia" w:ascii="宋体" w:hAnsi="宋体" w:cs="Calibri"/>
                <w:kern w:val="0"/>
                <w:sz w:val="22"/>
              </w:rPr>
              <w:t>负责本次检测项目的项目负责人为消防专业高级工程师的得5分，其余不得分。（需提供资质证书复印件及其社会保险证明复印件并加盖投标人公章作为证明材料，原件备查）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09" w:type="dxa"/>
            <w:vMerge w:val="continue"/>
            <w:tcBorders>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1379" w:type="dxa"/>
            <w:vMerge w:val="continue"/>
            <w:tcBorders>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投标人具有ISO质量管理体系认证证书</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ascii="宋体" w:hAnsi="宋体" w:cs="Calibri"/>
                <w:kern w:val="0"/>
                <w:sz w:val="22"/>
              </w:rPr>
              <w:t>2</w:t>
            </w:r>
            <w:r>
              <w:rPr>
                <w:rFonts w:hint="eastAsia" w:ascii="宋体" w:hAnsi="宋体" w:cs="Calibri"/>
                <w:kern w:val="0"/>
                <w:sz w:val="22"/>
              </w:rPr>
              <w:t>分</w:t>
            </w:r>
          </w:p>
        </w:tc>
        <w:tc>
          <w:tcPr>
            <w:tcW w:w="3995" w:type="dxa"/>
            <w:tcBorders>
              <w:top w:val="single" w:color="000000" w:sz="4" w:space="0"/>
              <w:left w:val="single" w:color="000000" w:sz="4" w:space="0"/>
              <w:bottom w:val="single" w:color="000000" w:sz="4" w:space="0"/>
              <w:right w:val="single" w:color="000000" w:sz="4" w:space="0"/>
            </w:tcBorders>
          </w:tcPr>
          <w:p>
            <w:pPr>
              <w:autoSpaceDN w:val="0"/>
              <w:spacing w:line="400" w:lineRule="exact"/>
              <w:rPr>
                <w:rFonts w:ascii="宋体" w:hAnsi="宋体" w:cs="Calibri"/>
                <w:kern w:val="0"/>
                <w:sz w:val="22"/>
              </w:rPr>
            </w:pPr>
            <w:r>
              <w:rPr>
                <w:rFonts w:hint="eastAsia" w:ascii="宋体" w:hAnsi="宋体" w:cs="Calibri"/>
                <w:kern w:val="0"/>
                <w:sz w:val="22"/>
              </w:rPr>
              <w:t>投标人具有ISO质量管理体系认证证书得</w:t>
            </w:r>
            <w:r>
              <w:rPr>
                <w:rFonts w:ascii="宋体" w:hAnsi="宋体" w:cs="Calibri"/>
                <w:kern w:val="0"/>
                <w:sz w:val="22"/>
              </w:rPr>
              <w:t>2</w:t>
            </w:r>
            <w:r>
              <w:rPr>
                <w:rFonts w:hint="eastAsia" w:ascii="宋体" w:hAnsi="宋体" w:cs="Calibri"/>
                <w:kern w:val="0"/>
                <w:sz w:val="22"/>
              </w:rPr>
              <w:t>分，其余不得分。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09" w:type="dxa"/>
            <w:vMerge w:val="continue"/>
            <w:tcBorders>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1379" w:type="dxa"/>
            <w:vMerge w:val="continue"/>
            <w:tcBorders>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投标人具有2A及以上资信等级证书的</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分</w:t>
            </w:r>
          </w:p>
        </w:tc>
        <w:tc>
          <w:tcPr>
            <w:tcW w:w="399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投标人具有3A资信等级证书的得</w:t>
            </w:r>
            <w:r>
              <w:rPr>
                <w:rFonts w:ascii="宋体" w:hAnsi="宋体" w:cs="Calibri"/>
                <w:kern w:val="0"/>
                <w:sz w:val="22"/>
              </w:rPr>
              <w:t>3</w:t>
            </w:r>
            <w:r>
              <w:rPr>
                <w:rFonts w:hint="eastAsia" w:ascii="宋体" w:hAnsi="宋体" w:cs="Calibri"/>
                <w:kern w:val="0"/>
                <w:sz w:val="22"/>
              </w:rPr>
              <w:t>分，具有2A资信等级证书的得2分，其余不得分。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09" w:type="dxa"/>
            <w:vMerge w:val="restart"/>
            <w:tcBorders>
              <w:top w:val="single" w:color="000000" w:sz="4" w:space="0"/>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2</w:t>
            </w:r>
          </w:p>
        </w:tc>
        <w:tc>
          <w:tcPr>
            <w:tcW w:w="1379" w:type="dxa"/>
            <w:vMerge w:val="restart"/>
            <w:tcBorders>
              <w:top w:val="single" w:color="000000" w:sz="4" w:space="0"/>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hint="eastAsia" w:ascii="宋体" w:hAnsi="宋体" w:cs="Calibri"/>
                <w:kern w:val="0"/>
                <w:sz w:val="22"/>
              </w:rPr>
              <w:t>技术部分</w:t>
            </w:r>
          </w:p>
          <w:p>
            <w:pPr>
              <w:autoSpaceDN w:val="0"/>
              <w:spacing w:line="400" w:lineRule="exact"/>
              <w:jc w:val="center"/>
              <w:rPr>
                <w:rFonts w:ascii="宋体" w:hAnsi="宋体" w:cs="Calibri"/>
                <w:kern w:val="0"/>
                <w:sz w:val="22"/>
              </w:rPr>
            </w:pPr>
            <w:r>
              <w:rPr>
                <w:rFonts w:hint="eastAsia" w:ascii="宋体" w:hAnsi="宋体" w:cs="Calibri"/>
                <w:kern w:val="0"/>
                <w:sz w:val="22"/>
              </w:rPr>
              <w:t>（满分10分）</w:t>
            </w: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检测方案、组织管理、检测实施进度计划及安全措施等情况。</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ascii="宋体" w:hAnsi="宋体" w:cs="Calibri"/>
                <w:kern w:val="0"/>
                <w:sz w:val="22"/>
              </w:rPr>
              <w:t>4</w:t>
            </w:r>
            <w:r>
              <w:rPr>
                <w:rFonts w:hint="eastAsia" w:ascii="宋体" w:hAnsi="宋体" w:cs="Calibri"/>
                <w:kern w:val="0"/>
                <w:sz w:val="22"/>
              </w:rPr>
              <w:t>分</w:t>
            </w:r>
          </w:p>
        </w:tc>
        <w:tc>
          <w:tcPr>
            <w:tcW w:w="399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根据检测方案制定及相关措施、进度情况酌情加0-</w:t>
            </w:r>
            <w:r>
              <w:rPr>
                <w:rFonts w:ascii="宋体" w:hAnsi="宋体" w:cs="Calibri"/>
                <w:kern w:val="0"/>
                <w:sz w:val="22"/>
              </w:rPr>
              <w:t>4</w:t>
            </w:r>
            <w:r>
              <w:rPr>
                <w:rFonts w:hint="eastAsia" w:ascii="宋体" w:hAnsi="宋体" w:cs="Calibri"/>
                <w:kern w:val="0"/>
                <w:sz w:val="22"/>
              </w:rPr>
              <w:t>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09" w:type="dxa"/>
            <w:vMerge w:val="continue"/>
            <w:tcBorders>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1379" w:type="dxa"/>
            <w:vMerge w:val="continue"/>
            <w:tcBorders>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针对本项目现场检测实施的人员配置与技术实力</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分</w:t>
            </w:r>
          </w:p>
        </w:tc>
        <w:tc>
          <w:tcPr>
            <w:tcW w:w="399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横向比较，酌情加0-</w:t>
            </w:r>
            <w:r>
              <w:rPr>
                <w:rFonts w:ascii="宋体" w:hAnsi="宋体" w:cs="Calibri"/>
                <w:kern w:val="0"/>
                <w:sz w:val="22"/>
              </w:rPr>
              <w:t>3</w:t>
            </w:r>
            <w:r>
              <w:rPr>
                <w:rFonts w:hint="eastAsia" w:ascii="宋体" w:hAnsi="宋体" w:cs="Calibri"/>
                <w:kern w:val="0"/>
                <w:sz w:val="22"/>
              </w:rPr>
              <w:t>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09" w:type="dxa"/>
            <w:vMerge w:val="continue"/>
            <w:tcBorders>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1379" w:type="dxa"/>
            <w:vMerge w:val="continue"/>
            <w:tcBorders>
              <w:left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针对本检测项目的设备配置与项目的符合性与适用性。</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分</w:t>
            </w:r>
          </w:p>
        </w:tc>
        <w:tc>
          <w:tcPr>
            <w:tcW w:w="399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横向比较，酌情加0-</w:t>
            </w:r>
            <w:r>
              <w:rPr>
                <w:rFonts w:ascii="宋体" w:hAnsi="宋体" w:cs="Calibri"/>
                <w:kern w:val="0"/>
                <w:sz w:val="22"/>
              </w:rPr>
              <w:t>3</w:t>
            </w:r>
            <w:r>
              <w:rPr>
                <w:rFonts w:hint="eastAsia" w:ascii="宋体" w:hAnsi="宋体" w:cs="Calibri"/>
                <w:kern w:val="0"/>
                <w:sz w:val="22"/>
              </w:rPr>
              <w:t>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09" w:type="dxa"/>
            <w:vMerge w:val="continue"/>
            <w:tcBorders>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1379" w:type="dxa"/>
            <w:vMerge w:val="continue"/>
            <w:tcBorders>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近年（2017年1月1日</w:t>
            </w:r>
            <w:r>
              <w:rPr>
                <w:rFonts w:ascii="宋体" w:hAnsi="宋体" w:cs="Calibri"/>
                <w:kern w:val="0"/>
                <w:sz w:val="22"/>
              </w:rPr>
              <w:t>至投标截止日</w:t>
            </w:r>
            <w:r>
              <w:rPr>
                <w:rFonts w:hint="eastAsia" w:ascii="宋体" w:hAnsi="宋体" w:cs="Calibri"/>
                <w:kern w:val="0"/>
                <w:sz w:val="22"/>
              </w:rPr>
              <w:t>）有同类检测项目业绩证明，单个合同建筑面积大于或等于10万平方米的，日期以合同为准）</w:t>
            </w:r>
          </w:p>
        </w:tc>
        <w:tc>
          <w:tcPr>
            <w:tcW w:w="7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rPr>
                <w:rFonts w:ascii="宋体" w:hAnsi="宋体" w:cs="Calibri"/>
                <w:kern w:val="0"/>
                <w:sz w:val="22"/>
              </w:rPr>
            </w:pPr>
            <w:r>
              <w:rPr>
                <w:rFonts w:ascii="宋体" w:hAnsi="宋体" w:cs="Calibri"/>
                <w:kern w:val="0"/>
                <w:sz w:val="22"/>
              </w:rPr>
              <w:t>5</w:t>
            </w:r>
            <w:r>
              <w:rPr>
                <w:rFonts w:hint="eastAsia" w:ascii="宋体" w:hAnsi="宋体" w:cs="Calibri"/>
                <w:kern w:val="0"/>
                <w:sz w:val="22"/>
              </w:rPr>
              <w:t>分</w:t>
            </w:r>
          </w:p>
        </w:tc>
        <w:tc>
          <w:tcPr>
            <w:tcW w:w="399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rPr>
                <w:rFonts w:ascii="宋体" w:hAnsi="宋体" w:cs="Calibri"/>
                <w:kern w:val="0"/>
                <w:sz w:val="22"/>
              </w:rPr>
            </w:pPr>
            <w:r>
              <w:rPr>
                <w:rFonts w:hint="eastAsia" w:ascii="宋体" w:hAnsi="宋体" w:cs="Calibri"/>
                <w:kern w:val="0"/>
                <w:sz w:val="22"/>
              </w:rPr>
              <w:t>有消防检测项目业绩且能提供检测合同复印件的，提供</w:t>
            </w:r>
            <w:r>
              <w:rPr>
                <w:rFonts w:ascii="宋体" w:hAnsi="宋体" w:cs="Calibri"/>
                <w:kern w:val="0"/>
                <w:sz w:val="22"/>
              </w:rPr>
              <w:t>一项不得分，</w:t>
            </w:r>
            <w:r>
              <w:rPr>
                <w:rFonts w:hint="eastAsia" w:ascii="宋体" w:hAnsi="宋体" w:cs="Calibri"/>
                <w:kern w:val="0"/>
                <w:sz w:val="22"/>
              </w:rPr>
              <w:t>每增加一项得1分，满分为</w:t>
            </w:r>
            <w:r>
              <w:rPr>
                <w:rFonts w:ascii="宋体" w:hAnsi="宋体" w:cs="Calibri"/>
                <w:kern w:val="0"/>
                <w:sz w:val="22"/>
              </w:rPr>
              <w:t>5</w:t>
            </w:r>
            <w:r>
              <w:rPr>
                <w:rFonts w:hint="eastAsia" w:ascii="宋体" w:hAnsi="宋体" w:cs="Calibri"/>
                <w:kern w:val="0"/>
                <w:sz w:val="22"/>
              </w:rPr>
              <w:t>分。</w:t>
            </w:r>
          </w:p>
        </w:tc>
      </w:tr>
    </w:tbl>
    <w:p>
      <w:pPr>
        <w:autoSpaceDE w:val="0"/>
        <w:autoSpaceDN w:val="0"/>
        <w:adjustRightInd w:val="0"/>
        <w:spacing w:line="400" w:lineRule="exact"/>
        <w:rPr>
          <w:rFonts w:ascii="宋体" w:hAnsi="宋体" w:cs="Calibri"/>
          <w:kern w:val="0"/>
          <w:sz w:val="22"/>
        </w:rPr>
      </w:pPr>
    </w:p>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w:t>
      </w:r>
      <w:r>
        <w:rPr>
          <w:rFonts w:hint="eastAsia" w:cs="Calibri" w:asciiTheme="minorEastAsia" w:hAnsiTheme="minorEastAsia" w:eastAsiaTheme="minorEastAsia"/>
          <w:color w:val="000000"/>
          <w:sz w:val="22"/>
        </w:rPr>
        <w:t>两</w:t>
      </w:r>
      <w:r>
        <w:rPr>
          <w:rFonts w:cs="Calibri" w:asciiTheme="minorEastAsia" w:hAnsiTheme="minorEastAsia" w:eastAsiaTheme="minorEastAsia"/>
          <w:color w:val="000000"/>
          <w:sz w:val="22"/>
        </w:rPr>
        <w:t>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一、投标函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p>
    <w:p>
      <w:pPr>
        <w:spacing w:after="120" w:afterLines="50" w:line="440" w:lineRule="exact"/>
        <w:rPr>
          <w:rFonts w:cs="Calibri"/>
          <w:color w:val="000000"/>
          <w:szCs w:val="21"/>
          <w:u w:val="single"/>
        </w:rPr>
      </w:pPr>
      <w:r>
        <w:rPr>
          <w:rFonts w:cs="Calibri"/>
          <w:color w:val="000000"/>
          <w:szCs w:val="21"/>
        </w:rPr>
        <w:t>单位性质：</w:t>
      </w:r>
    </w:p>
    <w:p>
      <w:pPr>
        <w:spacing w:after="120" w:afterLines="50" w:line="440" w:lineRule="exact"/>
        <w:rPr>
          <w:rFonts w:cs="Calibri"/>
          <w:color w:val="000000"/>
          <w:szCs w:val="21"/>
          <w:u w:val="single"/>
        </w:rPr>
      </w:pPr>
      <w:r>
        <w:rPr>
          <w:rFonts w:cs="Calibri"/>
          <w:color w:val="000000"/>
          <w:szCs w:val="21"/>
        </w:rPr>
        <w:t>地址：</w:t>
      </w:r>
    </w:p>
    <w:p>
      <w:pPr>
        <w:spacing w:after="120" w:afterLines="50" w:line="440" w:lineRule="exact"/>
        <w:rPr>
          <w:rFonts w:cs="Calibri"/>
          <w:color w:val="000000"/>
          <w:szCs w:val="21"/>
          <w:u w:val="single"/>
        </w:rPr>
      </w:pPr>
      <w:r>
        <w:rPr>
          <w:rFonts w:cs="Calibri"/>
          <w:color w:val="000000"/>
          <w:szCs w:val="21"/>
        </w:rPr>
        <w:t>成立时间：年月日</w:t>
      </w:r>
    </w:p>
    <w:p>
      <w:pPr>
        <w:spacing w:after="120" w:afterLines="50" w:line="440" w:lineRule="exact"/>
        <w:rPr>
          <w:rFonts w:cs="Calibri"/>
          <w:color w:val="000000"/>
          <w:szCs w:val="21"/>
          <w:u w:val="single"/>
        </w:rPr>
      </w:pPr>
      <w:r>
        <w:rPr>
          <w:rFonts w:cs="Calibri"/>
          <w:color w:val="000000"/>
          <w:szCs w:val="21"/>
        </w:rPr>
        <w:t>经营期限：</w:t>
      </w:r>
    </w:p>
    <w:p>
      <w:pPr>
        <w:spacing w:after="120" w:afterLines="50" w:line="440" w:lineRule="exact"/>
        <w:rPr>
          <w:rFonts w:cs="Calibri"/>
          <w:color w:val="000000"/>
          <w:szCs w:val="21"/>
          <w:u w:val="single"/>
        </w:rPr>
      </w:pPr>
      <w:r>
        <w:rPr>
          <w:rFonts w:cs="Calibri"/>
          <w:color w:val="000000"/>
          <w:szCs w:val="21"/>
        </w:rPr>
        <w:t>姓名：性别：年龄：职务：</w:t>
      </w:r>
    </w:p>
    <w:p>
      <w:pPr>
        <w:spacing w:after="120" w:afterLines="50" w:line="440" w:lineRule="exact"/>
        <w:rPr>
          <w:rFonts w:cs="Calibri"/>
          <w:color w:val="000000"/>
          <w:szCs w:val="21"/>
          <w:u w:val="single"/>
        </w:rPr>
      </w:pPr>
      <w:r>
        <w:rPr>
          <w:rFonts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投标人：（盖单位章）</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6192;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r>
        <w:rPr>
          <w:rFonts w:hint="eastAsia" w:cs="Calibri"/>
          <w:b/>
          <w:szCs w:val="21"/>
        </w:rPr>
        <w:t>备注：请注明增值税专用发票的税率</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日期：年月日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2"/>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w:t>
      </w:r>
      <w:r>
        <w:rPr>
          <w:rFonts w:hint="eastAsia" w:eastAsia="黑体" w:cs="Calibri"/>
          <w:color w:val="000000"/>
          <w:sz w:val="32"/>
          <w:szCs w:val="32"/>
        </w:rPr>
        <w:t>两</w:t>
      </w:r>
      <w:r>
        <w:rPr>
          <w:rFonts w:eastAsia="黑体" w:cs="Calibri"/>
          <w:color w:val="000000"/>
          <w:sz w:val="32"/>
          <w:szCs w:val="32"/>
        </w:rPr>
        <w:t>年完成类似</w:t>
      </w:r>
      <w:r>
        <w:rPr>
          <w:rFonts w:hint="eastAsia" w:eastAsia="黑体" w:cs="Calibri"/>
          <w:color w:val="000000"/>
          <w:sz w:val="32"/>
          <w:szCs w:val="32"/>
        </w:rPr>
        <w:t>项目业绩</w:t>
      </w:r>
      <w:r>
        <w:rPr>
          <w:rFonts w:eastAsia="黑体" w:cs="Calibri"/>
          <w:color w:val="000000"/>
          <w:sz w:val="32"/>
          <w:szCs w:val="32"/>
        </w:rPr>
        <w:t>情况</w:t>
      </w:r>
    </w:p>
    <w:tbl>
      <w:tblPr>
        <w:tblStyle w:val="12"/>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6"/>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2"/>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0001E" w:usb3="00000000" w:csb0="003C004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7"/>
          <w:jc w:val="center"/>
        </w:pPr>
        <w:r>
          <w:fldChar w:fldCharType="begin"/>
        </w:r>
        <w:r>
          <w:instrText xml:space="preserve"> PAGE   \* MERGEFORMAT </w:instrText>
        </w:r>
        <w:r>
          <w:fldChar w:fldCharType="separate"/>
        </w:r>
        <w:r>
          <w:rPr>
            <w:lang w:val="zh-CN"/>
          </w:rPr>
          <w:t>-</w:t>
        </w:r>
        <w:r>
          <w:t xml:space="preserve"> 15 -</w:t>
        </w:r>
        <w:r>
          <w:fldChar w:fldCharType="end"/>
        </w:r>
      </w:p>
    </w:sdtContent>
  </w:sdt>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6539460"/>
    </w:sdtPr>
    <w:sdtContent>
      <w:sdt>
        <w:sdtPr>
          <w:id w:val="-169639240"/>
        </w:sdtPr>
        <w:sdtContent>
          <w:p>
            <w:pPr>
              <w:pStyle w:val="7"/>
              <w:jc w:val="center"/>
            </w:pPr>
            <w:r>
              <w:fldChar w:fldCharType="begin"/>
            </w:r>
            <w:r>
              <w:instrText xml:space="preserve"> PAGE   \* MERGEFORMAT </w:instrText>
            </w:r>
            <w:r>
              <w:fldChar w:fldCharType="separate"/>
            </w:r>
            <w:r>
              <w:rPr>
                <w:lang w:val="zh-CN"/>
              </w:rPr>
              <w:t>-</w:t>
            </w:r>
            <w:r>
              <w:t xml:space="preserve"> 19 -</w:t>
            </w:r>
            <w:r>
              <w:fldChar w:fldCharType="end"/>
            </w:r>
          </w:p>
        </w:sdtContent>
      </w:sdt>
    </w:sdtContent>
  </w:sdt>
  <w:p>
    <w:pPr>
      <w:pStyle w:val="7"/>
      <w:wordWrap w:val="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Theme="minorEastAsia" w:hAnsiTheme="minorEastAsia" w:eastAsiaTheme="minorEastAsia"/>
        <w:sz w:val="20"/>
        <w:szCs w:val="20"/>
      </w:rPr>
    </w:pPr>
    <w:r>
      <w:rPr>
        <w:rFonts w:hint="eastAsia" w:asciiTheme="minorEastAsia" w:hAnsiTheme="minorEastAsia" w:eastAsiaTheme="minorEastAsia"/>
        <w:sz w:val="20"/>
        <w:szCs w:val="20"/>
      </w:rPr>
      <w:t>杭州萧山国际机场建筑消防设施及电气消防安全年度检测</w:t>
    </w:r>
    <w:r>
      <w:rPr>
        <w:rFonts w:asciiTheme="minorEastAsia" w:hAnsiTheme="minorEastAsia" w:eastAsiaTheme="minorEastAsia"/>
        <w:sz w:val="20"/>
        <w:szCs w:val="20"/>
      </w:rPr>
      <w:t>项目</w:t>
    </w:r>
    <w:r>
      <w:rPr>
        <w:rFonts w:hint="eastAsia" w:asciiTheme="minorEastAsia" w:hAnsiTheme="minorEastAsia" w:eastAsiaTheme="minorEastAsia"/>
        <w:sz w:val="20"/>
        <w:szCs w:val="20"/>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rPr>
      <w:t>杭州萧山国际机场</w:t>
    </w:r>
    <w:r>
      <w:rPr>
        <w:rFonts w:hint="eastAsia" w:asciiTheme="minorEastAsia" w:hAnsiTheme="minorEastAsia" w:eastAsiaTheme="minorEastAsia"/>
        <w:sz w:val="20"/>
        <w:szCs w:val="20"/>
      </w:rPr>
      <w:t>建筑消防设施及电气消防安全年度检测</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521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3">
    <w:name w:val="Default Paragraph Font"/>
    <w:semiHidden/>
    <w:qFormat/>
    <w:uiPriority w:val="0"/>
  </w:style>
  <w:style w:type="table" w:default="1" w:styleId="12">
    <w:name w:val="Normal Table"/>
    <w:semiHidden/>
    <w:unhideWhenUsed/>
    <w:uiPriority w:val="0"/>
    <w:tblPr>
      <w:tblLayout w:type="fixed"/>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4">
    <w:name w:val="annotation text"/>
    <w:basedOn w:val="1"/>
    <w:uiPriority w:val="0"/>
    <w:pPr>
      <w:jc w:val="left"/>
    </w:pPr>
  </w:style>
  <w:style w:type="paragraph" w:styleId="5">
    <w:name w:val="Plain Text"/>
    <w:basedOn w:val="1"/>
    <w:uiPriority w:val="0"/>
    <w:rPr>
      <w:rFonts w:ascii="宋体" w:hAnsi="Courier New"/>
      <w:kern w:val="0"/>
      <w:sz w:val="20"/>
      <w:szCs w:val="21"/>
    </w:rPr>
  </w:style>
  <w:style w:type="paragraph" w:styleId="6">
    <w:name w:val="Date"/>
    <w:basedOn w:val="1"/>
    <w:next w:val="1"/>
    <w:uiPriority w:val="0"/>
    <w:pPr>
      <w:ind w:left="100" w:leftChars="2500"/>
    </w:pPr>
    <w:rPr>
      <w:rFonts w:ascii="Times New Roman" w:hAnsi="Times New Roman"/>
      <w:b/>
      <w:bCs/>
      <w:kern w:val="0"/>
      <w:sz w:val="36"/>
      <w:szCs w:val="24"/>
    </w:rPr>
  </w:style>
  <w:style w:type="paragraph" w:styleId="7">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2"/>
    <w:next w:val="1"/>
    <w:qFormat/>
    <w:uiPriority w:val="0"/>
    <w:pPr>
      <w:tabs>
        <w:tab w:val="right" w:leader="dot" w:pos="8659"/>
      </w:tabs>
      <w:spacing w:before="0" w:after="0" w:line="240" w:lineRule="auto"/>
      <w:jc w:val="center"/>
    </w:pPr>
    <w:rPr>
      <w:b w:val="0"/>
      <w:sz w:val="21"/>
    </w:rPr>
  </w:style>
  <w:style w:type="paragraph" w:styleId="10">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11">
    <w:name w:val="Title"/>
    <w:basedOn w:val="1"/>
    <w:next w:val="1"/>
    <w:qFormat/>
    <w:uiPriority w:val="0"/>
    <w:pPr>
      <w:spacing w:before="60" w:after="60"/>
      <w:jc w:val="center"/>
      <w:outlineLvl w:val="0"/>
    </w:pPr>
    <w:rPr>
      <w:rFonts w:ascii="Cambria" w:hAnsi="Cambria" w:eastAsia="黑体"/>
      <w:b/>
      <w:bCs/>
      <w:kern w:val="0"/>
      <w:sz w:val="32"/>
      <w:szCs w:val="32"/>
    </w:rPr>
  </w:style>
  <w:style w:type="character" w:styleId="14">
    <w:name w:val="page number"/>
    <w:qFormat/>
    <w:uiPriority w:val="0"/>
    <w:rPr>
      <w:rFonts w:asciiTheme="minorHAnsi" w:hAnsiTheme="minorHAnsi" w:eastAsiaTheme="minorEastAsia" w:cstheme="minorBidi"/>
      <w:lang w:val="en-US" w:eastAsia="zh-CN" w:bidi="ar-SA"/>
    </w:rPr>
  </w:style>
  <w:style w:type="character" w:styleId="15">
    <w:name w:val="Hyperlink"/>
    <w:qFormat/>
    <w:uiPriority w:val="0"/>
    <w:rPr>
      <w:rFonts w:asciiTheme="minorHAnsi" w:hAnsiTheme="minorHAnsi" w:eastAsiaTheme="minorEastAsia" w:cstheme="minorBidi"/>
      <w:color w:val="0000FF"/>
      <w:u w:val="single"/>
      <w:lang w:val="en-US" w:eastAsia="zh-CN" w:bidi="ar-SA"/>
    </w:rPr>
  </w:style>
  <w:style w:type="character" w:styleId="16">
    <w:name w:val="annotation reference"/>
    <w:basedOn w:val="13"/>
    <w:qFormat/>
    <w:uiPriority w:val="0"/>
    <w:rPr>
      <w:rFonts w:asciiTheme="minorHAnsi" w:hAnsiTheme="minorHAnsi" w:eastAsiaTheme="minorEastAsia" w:cstheme="minorBidi"/>
      <w:sz w:val="21"/>
      <w:szCs w:val="21"/>
      <w:lang w:val="en-US" w:eastAsia="zh-CN" w:bidi="ar-SA"/>
    </w:rPr>
  </w:style>
  <w:style w:type="paragraph" w:customStyle="1" w:styleId="17">
    <w:name w:val="样式 标题 1 + (符号) Arial 三号"/>
    <w:basedOn w:val="2"/>
    <w:qFormat/>
    <w:uiPriority w:val="0"/>
    <w:pPr>
      <w:snapToGrid w:val="0"/>
      <w:spacing w:before="0" w:after="0" w:line="360" w:lineRule="auto"/>
    </w:pPr>
    <w:rPr>
      <w:sz w:val="32"/>
    </w:rPr>
  </w:style>
  <w:style w:type="character" w:customStyle="1" w:styleId="18">
    <w:name w:val="zbggmain style9"/>
    <w:qFormat/>
    <w:uiPriority w:val="0"/>
    <w:rPr>
      <w:rFonts w:asciiTheme="minorHAnsi" w:hAnsiTheme="minorHAnsi" w:eastAsiaTheme="minorEastAsia" w:cstheme="minorBidi"/>
      <w:lang w:val="en-US" w:eastAsia="zh-CN" w:bidi="ar-SA"/>
    </w:rPr>
  </w:style>
  <w:style w:type="paragraph" w:customStyle="1" w:styleId="19">
    <w:name w:val="样式 样式1 + 首行缩进:  2 字符"/>
    <w:basedOn w:val="20"/>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20">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3814</Words>
  <Characters>21741</Characters>
  <Lines>181</Lines>
  <Paragraphs>51</Paragraphs>
  <TotalTime>1</TotalTime>
  <ScaleCrop>false</ScaleCrop>
  <LinksUpToDate>false</LinksUpToDate>
  <CharactersWithSpaces>25504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2019-10-21T02:02:00Z</dcterms:created>
  <dc:creator>Administrator</dc:creator>
  <cp:lastModifiedBy>宋宇</cp:lastModifiedBy>
  <dcterms:modified xsi:type="dcterms:W3CDTF">2019-10-25T02:18:21Z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