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u w:val="single"/>
        </w:rPr>
        <w:t>国际快件中心海关监管卡口设备</w:t>
      </w:r>
      <w:r>
        <w:rPr>
          <w:rFonts w:hint="eastAsia" w:eastAsia="黑体" w:cs="Calibri"/>
          <w:b/>
          <w:sz w:val="44"/>
          <w:szCs w:val="44"/>
        </w:rPr>
        <w:t>采购项目</w:t>
      </w:r>
    </w:p>
    <w:p>
      <w:pPr>
        <w:widowControl/>
        <w:autoSpaceDE w:val="0"/>
        <w:autoSpaceDN w:val="0"/>
        <w:jc w:val="center"/>
        <w:textAlignment w:val="bottom"/>
        <w:rPr>
          <w:rFonts w:hint="eastAsia" w:ascii="黑体" w:hAnsi="黑体" w:eastAsia="黑体"/>
          <w:b/>
          <w:sz w:val="44"/>
          <w:szCs w:val="44"/>
          <w:lang w:eastAsia="zh-CN"/>
        </w:rPr>
      </w:pPr>
      <w:r>
        <w:rPr>
          <w:rFonts w:hint="eastAsia" w:ascii="黑体" w:hAnsi="黑体" w:eastAsia="黑体"/>
          <w:b/>
          <w:sz w:val="44"/>
          <w:szCs w:val="44"/>
          <w:lang w:eastAsia="zh-CN"/>
        </w:rPr>
        <w:t>（重新招标）</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9"/>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九</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目录</w:t>
      </w:r>
    </w:p>
    <w:p>
      <w:pPr>
        <w:spacing w:line="560" w:lineRule="exact"/>
        <w:jc w:val="center"/>
        <w:rPr>
          <w:b/>
          <w:bCs/>
          <w:sz w:val="44"/>
          <w:szCs w:val="44"/>
        </w:rPr>
      </w:pPr>
    </w:p>
    <w:p>
      <w:pPr>
        <w:spacing w:line="560" w:lineRule="exact"/>
        <w:jc w:val="center"/>
        <w:rPr>
          <w:b/>
          <w:sz w:val="44"/>
          <w:szCs w:val="44"/>
        </w:rPr>
      </w:pP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- 4 -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- 30 -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- 38 -</w:t>
      </w:r>
      <w:r>
        <w:rPr>
          <w:rFonts w:hint="eastAsia" w:ascii="黑体" w:hAnsi="黑体" w:eastAsia="黑体"/>
          <w:sz w:val="22"/>
          <w:szCs w:val="22"/>
        </w:rPr>
        <w:fldChar w:fldCharType="end"/>
      </w:r>
    </w:p>
    <w:p>
      <w:pPr>
        <w:pStyle w:val="36"/>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- 42 -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szCs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48"/>
      </w:pPr>
      <w:bookmarkStart w:id="0" w:name="_Toc321925451"/>
      <w:r>
        <w:rPr>
          <w:rFonts w:hint="eastAsia"/>
        </w:rPr>
        <w:t>第一章招标公告</w:t>
      </w:r>
      <w:bookmarkEnd w:id="0"/>
    </w:p>
    <w:p>
      <w:pPr>
        <w:widowControl/>
        <w:snapToGrid w:val="0"/>
        <w:spacing w:line="360" w:lineRule="exact"/>
        <w:jc w:val="left"/>
        <w:rPr>
          <w:rFonts w:cs="Arial" w:asciiTheme="minorEastAsia" w:hAnsiTheme="minorEastAsia"/>
          <w:b/>
          <w:bCs/>
          <w:kern w:val="0"/>
          <w:sz w:val="22"/>
          <w:szCs w:val="22"/>
        </w:rPr>
      </w:pPr>
    </w:p>
    <w:p>
      <w:pPr>
        <w:widowControl/>
        <w:snapToGrid w:val="0"/>
        <w:spacing w:line="360" w:lineRule="exact"/>
        <w:jc w:val="left"/>
        <w:rPr>
          <w:rFonts w:cs="Arial" w:asciiTheme="minorEastAsia" w:hAnsiTheme="minorEastAsia"/>
          <w:kern w:val="0"/>
          <w:sz w:val="22"/>
          <w:szCs w:val="22"/>
        </w:rPr>
      </w:pPr>
      <w:bookmarkStart w:id="93" w:name="_GoBack"/>
      <w:r>
        <w:rPr>
          <w:rFonts w:hint="eastAsia" w:cs="Arial" w:asciiTheme="minorEastAsia" w:hAnsiTheme="minorEastAsia"/>
          <w:b/>
          <w:bCs/>
          <w:kern w:val="0"/>
          <w:sz w:val="22"/>
          <w:szCs w:val="22"/>
        </w:rPr>
        <w:t>一、招标内容</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杭州萧山国际机场有限公司就</w:t>
      </w:r>
      <w:r>
        <w:rPr>
          <w:rFonts w:cs="Arial" w:asciiTheme="minorEastAsia" w:hAnsiTheme="minorEastAsia"/>
          <w:kern w:val="0"/>
          <w:sz w:val="22"/>
          <w:szCs w:val="22"/>
        </w:rPr>
        <w:t>杭州萧山国际机场</w:t>
      </w:r>
      <w:r>
        <w:rPr>
          <w:rFonts w:hint="eastAsia" w:cs="Arial" w:asciiTheme="minorEastAsia" w:hAnsiTheme="minorEastAsia"/>
          <w:kern w:val="0"/>
          <w:sz w:val="22"/>
          <w:szCs w:val="22"/>
        </w:rPr>
        <w:t>国际快件中心海关监管卡口设备</w:t>
      </w:r>
      <w:r>
        <w:rPr>
          <w:rFonts w:cs="Arial" w:asciiTheme="minorEastAsia" w:hAnsiTheme="minorEastAsia"/>
          <w:kern w:val="0"/>
          <w:sz w:val="22"/>
          <w:szCs w:val="22"/>
        </w:rPr>
        <w:t>采购项</w:t>
      </w:r>
      <w:r>
        <w:rPr>
          <w:rFonts w:hint="eastAsia" w:cs="Arial" w:asciiTheme="minorEastAsia" w:hAnsiTheme="minorEastAsia"/>
          <w:kern w:val="0"/>
          <w:sz w:val="22"/>
          <w:szCs w:val="22"/>
        </w:rPr>
        <w:t>目进行公开招标，欢迎符合资格要求的供应商参与投标。</w:t>
      </w:r>
    </w:p>
    <w:p>
      <w:pPr>
        <w:widowControl/>
        <w:adjustRightInd w:val="0"/>
        <w:snapToGrid w:val="0"/>
        <w:spacing w:line="36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详见第三章 采购内容、技术标准及要求。</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二、投标人资格要求</w:t>
      </w:r>
      <w:r>
        <w:rPr>
          <w:rFonts w:cs="Arial" w:asciiTheme="minorEastAsia" w:hAnsi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w:t>
      </w:r>
      <w:r>
        <w:rPr>
          <w:rStyle w:val="93"/>
          <w:rFonts w:hint="eastAsia" w:cs="宋体" w:asciiTheme="minorEastAsia" w:hAnsiTheme="minorEastAsia"/>
          <w:sz w:val="22"/>
          <w:szCs w:val="22"/>
        </w:rPr>
        <w:t>具有独立法人资格的制造商或代理商，注册资金不少于人民币300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2</w:t>
      </w:r>
      <w:r>
        <w:rPr>
          <w:rFonts w:hint="eastAsia" w:cs="Arial" w:asciiTheme="minorEastAsia" w:hAnsiTheme="minorEastAsia"/>
          <w:kern w:val="0"/>
          <w:sz w:val="22"/>
          <w:szCs w:val="22"/>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3</w:t>
      </w:r>
      <w:r>
        <w:rPr>
          <w:rFonts w:hint="eastAsia" w:cs="Arial" w:asciiTheme="minorEastAsia" w:hAnsiTheme="minorEastAsia"/>
          <w:kern w:val="0"/>
          <w:sz w:val="22"/>
          <w:szCs w:val="22"/>
        </w:rPr>
        <w:t xml:space="preserve">）近年（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 </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4</w:t>
      </w:r>
      <w:r>
        <w:rPr>
          <w:rFonts w:hint="eastAsia" w:cs="Arial" w:asciiTheme="minorEastAsia" w:hAnsiTheme="minorEastAsia"/>
          <w:kern w:val="0"/>
          <w:sz w:val="22"/>
          <w:szCs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5</w:t>
      </w:r>
      <w:r>
        <w:rPr>
          <w:rFonts w:hint="eastAsia" w:cs="Arial" w:asciiTheme="minorEastAsia" w:hAnsiTheme="minorEastAsia"/>
          <w:kern w:val="0"/>
          <w:sz w:val="22"/>
          <w:szCs w:val="22"/>
        </w:rPr>
        <w:t>）</w:t>
      </w:r>
      <w:r>
        <w:rPr>
          <w:rFonts w:cs="Arial" w:asciiTheme="minorEastAsia" w:hAnsiTheme="minorEastAsia"/>
          <w:kern w:val="0"/>
          <w:sz w:val="22"/>
          <w:szCs w:val="22"/>
        </w:rPr>
        <w:t>本项目不接受联合</w:t>
      </w:r>
      <w:r>
        <w:rPr>
          <w:rFonts w:hint="eastAsia" w:cs="Arial" w:asciiTheme="minorEastAsia" w:hAnsiTheme="minorEastAsia"/>
          <w:kern w:val="0"/>
          <w:sz w:val="22"/>
          <w:szCs w:val="22"/>
        </w:rPr>
        <w:t>体</w:t>
      </w:r>
      <w:r>
        <w:rPr>
          <w:rFonts w:cs="Arial" w:asciiTheme="minorEastAsia" w:hAnsiTheme="minorEastAsia"/>
          <w:kern w:val="0"/>
          <w:sz w:val="22"/>
          <w:szCs w:val="22"/>
        </w:rPr>
        <w:t>投标</w:t>
      </w:r>
      <w:r>
        <w:rPr>
          <w:rFonts w:hint="eastAsia" w:cs="Arial" w:asciiTheme="minorEastAsia" w:hAnsiTheme="minorEastAsia"/>
          <w:kern w:val="0"/>
          <w:sz w:val="22"/>
          <w:szCs w:val="22"/>
        </w:rPr>
        <w:t>。</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szCs w:val="22"/>
        </w:rPr>
        <w:t>http://www.hzairport.com/zbxx.aspx</w:t>
      </w:r>
      <w:r>
        <w:rPr>
          <w:rFonts w:cs="Arial" w:asciiTheme="minorEastAsia" w:hAnsiTheme="minorEastAsia"/>
          <w:kern w:val="0"/>
          <w:sz w:val="22"/>
          <w:szCs w:val="22"/>
        </w:rPr>
        <w:fldChar w:fldCharType="end"/>
      </w:r>
      <w:r>
        <w:rPr>
          <w:rFonts w:hint="eastAsia" w:cs="Arial" w:asciiTheme="minorEastAsia" w:hAnsi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招标文件下载</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（1）投标文件递交截止时间：</w:t>
      </w:r>
      <w:r>
        <w:rPr>
          <w:rFonts w:hint="eastAsia" w:cs="Arial" w:asciiTheme="minorEastAsia" w:hAnsiTheme="minorEastAsia"/>
          <w:kern w:val="0"/>
          <w:sz w:val="22"/>
          <w:szCs w:val="22"/>
          <w:lang w:eastAsia="zh-CN"/>
        </w:rPr>
        <w:t>2019年11月15日下午13时45分</w:t>
      </w:r>
      <w:r>
        <w:rPr>
          <w:rFonts w:hint="eastAsia" w:cs="Arial" w:asciiTheme="minorEastAsia" w:hAnsiTheme="minorEastAsia"/>
          <w:kern w:val="0"/>
          <w:sz w:val="22"/>
          <w:szCs w:val="22"/>
        </w:rPr>
        <w:t>（北京时间）。投标文件在封口处加盖公章，并派专人于</w:t>
      </w:r>
      <w:r>
        <w:rPr>
          <w:rFonts w:hint="eastAsia" w:cs="Arial" w:asciiTheme="minorEastAsia" w:hAnsiTheme="minorEastAsia"/>
          <w:kern w:val="0"/>
          <w:sz w:val="22"/>
          <w:szCs w:val="22"/>
          <w:lang w:eastAsia="zh-CN"/>
        </w:rPr>
        <w:t>2019年11月15日下午13时45分</w:t>
      </w:r>
      <w:r>
        <w:rPr>
          <w:rFonts w:hint="eastAsia" w:cs="Arial" w:asciiTheme="minorEastAsia" w:hAnsiTheme="minorEastAsia"/>
          <w:kern w:val="0"/>
          <w:sz w:val="22"/>
          <w:szCs w:val="22"/>
        </w:rPr>
        <w:t>（北京时间）前送至杭州萧山国际机场翔越路综合服务楼园区招标中心，逾期无效；若采用投递（邮寄）方式的，请于</w:t>
      </w:r>
      <w:r>
        <w:rPr>
          <w:rFonts w:hint="eastAsia" w:cs="Arial" w:asciiTheme="minorEastAsia" w:hAnsiTheme="minorEastAsia"/>
          <w:kern w:val="0"/>
          <w:sz w:val="22"/>
          <w:szCs w:val="22"/>
          <w:lang w:eastAsia="zh-CN"/>
        </w:rPr>
        <w:t>2019年11月15日下午13时45分</w:t>
      </w:r>
      <w:r>
        <w:rPr>
          <w:rFonts w:hint="eastAsia" w:cs="Arial" w:asciiTheme="minorEastAsia" w:hAnsiTheme="minorEastAsia"/>
          <w:kern w:val="0"/>
          <w:sz w:val="22"/>
          <w:szCs w:val="22"/>
        </w:rPr>
        <w:t>（北京时间）前投递至杭州萧山国际机场翔越路综合服务楼园区招标中心，逾期无效。</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（2）</w:t>
      </w:r>
      <w:r>
        <w:rPr>
          <w:rFonts w:hint="eastAsia" w:asciiTheme="minorEastAsia" w:hAnsiTheme="minorEastAsia"/>
          <w:sz w:val="22"/>
          <w:szCs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本次招标公告在</w:t>
      </w:r>
      <w:r>
        <w:rPr>
          <w:rFonts w:hint="eastAsia" w:cs="Arial" w:asciiTheme="minorEastAsia" w:hAnsiTheme="minorEastAsia"/>
          <w:b/>
          <w:kern w:val="0"/>
          <w:sz w:val="22"/>
          <w:szCs w:val="22"/>
        </w:rPr>
        <w:t>中国采购与招标网和杭州萧山机场有限公司</w:t>
      </w:r>
      <w:r>
        <w:rPr>
          <w:rFonts w:hint="eastAsia" w:cs="Arial" w:asciiTheme="minorEastAsia" w:hAnsiTheme="minorEastAsia"/>
          <w:kern w:val="0"/>
          <w:sz w:val="22"/>
          <w:szCs w:val="22"/>
        </w:rPr>
        <w:t>主页上发布</w:t>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asciiTheme="minorEastAsia" w:hAnsiTheme="minorEastAsia"/>
          <w:sz w:val="22"/>
          <w:szCs w:val="22"/>
        </w:rPr>
        <w:t>中国采购与招标网</w:t>
      </w:r>
      <w:r>
        <w:fldChar w:fldCharType="begin"/>
      </w:r>
      <w:r>
        <w:instrText xml:space="preserve"> HYPERLINK "http://www.chinabidding.com.cn" </w:instrText>
      </w:r>
      <w:r>
        <w:fldChar w:fldCharType="separate"/>
      </w:r>
      <w:r>
        <w:rPr>
          <w:rFonts w:asciiTheme="minorEastAsia" w:hAnsiTheme="minorEastAsia"/>
          <w:sz w:val="22"/>
          <w:szCs w:val="22"/>
        </w:rPr>
        <w:t>http://www.chinabidding.com.cn</w:t>
      </w:r>
      <w:r>
        <w:rPr>
          <w:rFonts w:asciiTheme="minorEastAsia" w:hAnsiTheme="minorEastAsia"/>
          <w:sz w:val="22"/>
          <w:szCs w:val="22"/>
        </w:rPr>
        <w:fldChar w:fldCharType="end"/>
      </w:r>
    </w:p>
    <w:p>
      <w:pPr>
        <w:widowControl/>
        <w:adjustRightInd w:val="0"/>
        <w:snapToGrid w:val="0"/>
        <w:spacing w:line="340" w:lineRule="exact"/>
        <w:ind w:firstLine="440" w:firstLineChars="200"/>
        <w:rPr>
          <w:rFonts w:cs="Arial" w:asciiTheme="minorEastAsia" w:hAnsiTheme="minorEastAsia"/>
          <w:kern w:val="0"/>
          <w:sz w:val="22"/>
          <w:szCs w:val="22"/>
        </w:rPr>
      </w:pPr>
      <w:r>
        <w:rPr>
          <w:rFonts w:hint="eastAsia" w:cs="Arial" w:asciiTheme="minorEastAsia" w:hAnsiTheme="minorEastAsia"/>
          <w:kern w:val="0"/>
          <w:sz w:val="22"/>
          <w:szCs w:val="22"/>
        </w:rPr>
        <w:t>杭州萧山机场有限公司主页http://www.hzairport.com</w:t>
      </w:r>
    </w:p>
    <w:p>
      <w:pPr>
        <w:widowControl/>
        <w:snapToGrid w:val="0"/>
        <w:spacing w:line="340" w:lineRule="exact"/>
        <w:jc w:val="left"/>
        <w:rPr>
          <w:rFonts w:cs="Arial" w:asciiTheme="minorEastAsia" w:hAnsiTheme="minorEastAsia"/>
          <w:b/>
          <w:bCs/>
          <w:kern w:val="0"/>
          <w:sz w:val="22"/>
          <w:szCs w:val="22"/>
        </w:rPr>
      </w:pPr>
      <w:r>
        <w:rPr>
          <w:rFonts w:hint="eastAsia" w:cs="Arial" w:asciiTheme="minorEastAsia" w:hAnsi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sz w:val="22"/>
          <w:szCs w:val="22"/>
        </w:rPr>
      </w:pPr>
      <w:r>
        <w:rPr>
          <w:rFonts w:hint="eastAsia" w:asciiTheme="minorEastAsia" w:hAnsiTheme="minorEastAsia"/>
          <w:sz w:val="22"/>
          <w:szCs w:val="22"/>
        </w:rPr>
        <w:t>投标联系人：贾思勰      联系电话：0571-8383</w:t>
      </w:r>
      <w:r>
        <w:rPr>
          <w:rFonts w:asciiTheme="minorEastAsia" w:hAnsiTheme="minorEastAsia"/>
          <w:sz w:val="22"/>
          <w:szCs w:val="22"/>
        </w:rPr>
        <w:t>7612</w:t>
      </w:r>
    </w:p>
    <w:p>
      <w:pPr>
        <w:widowControl/>
        <w:adjustRightInd w:val="0"/>
        <w:snapToGrid w:val="0"/>
        <w:spacing w:line="340" w:lineRule="exact"/>
        <w:ind w:firstLine="440" w:firstLineChars="200"/>
        <w:rPr>
          <w:rFonts w:asciiTheme="minorEastAsia" w:hAnsiTheme="minorEastAsia"/>
          <w:bCs/>
          <w:sz w:val="22"/>
          <w:szCs w:val="22"/>
        </w:rPr>
      </w:pPr>
      <w:r>
        <w:rPr>
          <w:rFonts w:hint="eastAsia" w:asciiTheme="minorEastAsia" w:hAnsiTheme="minorEastAsia"/>
          <w:bCs/>
          <w:sz w:val="22"/>
          <w:szCs w:val="22"/>
        </w:rPr>
        <w:t xml:space="preserve">招标监督人：闻晓丽    </w:t>
      </w:r>
      <w:r>
        <w:rPr>
          <w:rFonts w:asciiTheme="minorEastAsia" w:hAnsiTheme="minorEastAsia"/>
          <w:bCs/>
          <w:sz w:val="22"/>
          <w:szCs w:val="22"/>
        </w:rPr>
        <w:t xml:space="preserve"> </w:t>
      </w:r>
      <w:r>
        <w:rPr>
          <w:rFonts w:hint="eastAsia" w:asciiTheme="minorEastAsia" w:hAnsiTheme="minorEastAsia"/>
          <w:bCs/>
          <w:sz w:val="22"/>
          <w:szCs w:val="22"/>
        </w:rPr>
        <w:t xml:space="preserve">  联系电话：0571-</w:t>
      </w:r>
      <w:r>
        <w:rPr>
          <w:rFonts w:asciiTheme="minorEastAsia" w:hAnsiTheme="minorEastAsia"/>
          <w:bCs/>
          <w:sz w:val="22"/>
          <w:szCs w:val="22"/>
        </w:rPr>
        <w:t>86662132</w:t>
      </w:r>
    </w:p>
    <w:bookmarkEnd w:id="93"/>
    <w:p>
      <w:pPr>
        <w:pStyle w:val="48"/>
      </w:pPr>
      <w:r>
        <w:rPr>
          <w:rFonts w:asciiTheme="minorEastAsia" w:hAnsiTheme="minorEastAsia"/>
          <w:bCs w:val="0"/>
          <w:sz w:val="22"/>
          <w:szCs w:val="22"/>
        </w:rPr>
        <w:br w:type="page"/>
      </w:r>
      <w:bookmarkStart w:id="1" w:name="_Toc321925452"/>
      <w:r>
        <w:t>第</w:t>
      </w:r>
      <w:r>
        <w:rPr>
          <w:rFonts w:hint="eastAsia"/>
        </w:rPr>
        <w:t>二</w:t>
      </w:r>
      <w:r>
        <w:t>章投标</w:t>
      </w:r>
      <w:r>
        <w:rPr>
          <w:rFonts w:hint="eastAsia"/>
        </w:rPr>
        <w:t>人须知</w:t>
      </w:r>
      <w:bookmarkEnd w:id="1"/>
    </w:p>
    <w:p>
      <w:pPr>
        <w:pStyle w:val="32"/>
        <w:spacing w:line="240" w:lineRule="auto"/>
        <w:ind w:left="480"/>
        <w:jc w:val="center"/>
        <w:rPr>
          <w:b/>
          <w:sz w:val="28"/>
          <w:szCs w:val="28"/>
        </w:rPr>
      </w:pPr>
      <w:r>
        <w:rPr>
          <w:rFonts w:hint="eastAsia"/>
          <w:b/>
          <w:sz w:val="28"/>
          <w:szCs w:val="28"/>
        </w:rPr>
        <w:t>投标人须知前附表</w:t>
      </w:r>
    </w:p>
    <w:tbl>
      <w:tblPr>
        <w:tblStyle w:val="5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sz w:val="22"/>
                <w:szCs w:val="22"/>
              </w:rPr>
              <w:t>1.1</w:t>
            </w:r>
            <w:r>
              <w:rPr>
                <w:rFonts w:hint="eastAsia" w:cs="Calibri" w:asciiTheme="minorEastAsia" w:hAnsiTheme="minorEastAsia"/>
                <w:sz w:val="22"/>
                <w:szCs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项目名称</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Fonts w:cs="Arial" w:asciiTheme="minorEastAsia" w:hAnsiTheme="minorEastAsia"/>
                <w:kern w:val="0"/>
                <w:sz w:val="22"/>
                <w:szCs w:val="22"/>
              </w:rPr>
              <w:t>杭州萧山国际机场</w:t>
            </w:r>
            <w:r>
              <w:rPr>
                <w:rFonts w:hint="eastAsia" w:cs="Arial" w:asciiTheme="minorEastAsia" w:hAnsiTheme="minorEastAsia"/>
                <w:kern w:val="0"/>
                <w:sz w:val="22"/>
                <w:szCs w:val="22"/>
              </w:rPr>
              <w:t>国际快件中心海关监管卡口设备</w:t>
            </w:r>
            <w:r>
              <w:rPr>
                <w:rFonts w:cs="Arial" w:asciiTheme="minorEastAsia" w:hAnsiTheme="minorEastAsia"/>
                <w:kern w:val="0"/>
                <w:sz w:val="22"/>
                <w:szCs w:val="22"/>
              </w:rPr>
              <w:t>采购项</w:t>
            </w:r>
            <w:r>
              <w:rPr>
                <w:rFonts w:hint="eastAsia" w:cs="Arial" w:asciiTheme="minorEastAsia" w:hAnsiTheme="minorEastAsia"/>
                <w:kern w:val="0"/>
                <w:sz w:val="22"/>
                <w:szCs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sz w:val="22"/>
                <w:szCs w:val="22"/>
              </w:rPr>
            </w:pPr>
            <w:r>
              <w:rPr>
                <w:rFonts w:cs="Calibri" w:asciiTheme="minorEastAsia" w:hAnsiTheme="minorEastAsia"/>
                <w:sz w:val="22"/>
                <w:szCs w:val="22"/>
              </w:rPr>
              <w:t>1.1.2</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hint="eastAsia" w:cs="Calibri" w:asciiTheme="minorEastAsia" w:hAnsiTheme="minorEastAsia"/>
                <w:kern w:val="0"/>
                <w:sz w:val="22"/>
                <w:szCs w:val="22"/>
              </w:rPr>
              <w:t>交货</w:t>
            </w:r>
            <w:r>
              <w:rPr>
                <w:rFonts w:cs="Calibri" w:asciiTheme="minorEastAsia" w:hAnsiTheme="minorEastAsia"/>
                <w:kern w:val="0"/>
                <w:sz w:val="22"/>
                <w:szCs w:val="22"/>
              </w:rPr>
              <w:t>地点</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t>杭州萧山国际机场</w:t>
            </w:r>
            <w:r>
              <w:rPr>
                <w:rFonts w:cs="Calibri" w:asciiTheme="minorEastAsia" w:hAnsiTheme="minorEastAsia"/>
                <w:sz w:val="22"/>
                <w:szCs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sz w:val="22"/>
                <w:szCs w:val="22"/>
              </w:rPr>
            </w:pPr>
            <w:r>
              <w:rPr>
                <w:rFonts w:cs="Calibri" w:asciiTheme="minorEastAsia" w:hAnsiTheme="minorEastAsia"/>
                <w:sz w:val="22"/>
                <w:szCs w:val="22"/>
              </w:rPr>
              <w:t>1.2</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资金来源</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Style w:val="93"/>
                <w:rFonts w:hint="eastAsia" w:cs="Calibri" w:asciiTheme="minorEastAsia" w:hAnsiTheme="minorEastAsia"/>
                <w:sz w:val="22"/>
                <w:szCs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1.3</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招标</w:t>
            </w:r>
            <w:r>
              <w:rPr>
                <w:rFonts w:hint="eastAsia" w:cs="Calibri" w:asciiTheme="minorEastAsia" w:hAnsiTheme="minorEastAsia"/>
                <w:kern w:val="0"/>
                <w:sz w:val="22"/>
                <w:szCs w:val="22"/>
              </w:rPr>
              <w:t>内容</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t>见招标公告，具体要求详见第</w:t>
            </w:r>
            <w:r>
              <w:rPr>
                <w:rFonts w:hint="eastAsia" w:cs="Calibri" w:asciiTheme="minorEastAsia" w:hAnsiTheme="minorEastAsia"/>
                <w:kern w:val="0"/>
                <w:sz w:val="22"/>
                <w:szCs w:val="22"/>
              </w:rPr>
              <w:t>三</w:t>
            </w:r>
            <w:r>
              <w:rPr>
                <w:rFonts w:cs="Calibri" w:asciiTheme="minorEastAsia" w:hAnsiTheme="minorEastAsia"/>
                <w:kern w:val="0"/>
                <w:sz w:val="22"/>
                <w:szCs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1.4</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招标方式</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1.5</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资格审查</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1.6</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t>详见招标公告</w:t>
            </w:r>
            <w:r>
              <w:rPr>
                <w:rFonts w:hint="eastAsia" w:cs="Calibri" w:asciiTheme="minorEastAsia" w:hAnsiTheme="minorEastAsia"/>
                <w:kern w:val="0"/>
                <w:sz w:val="22"/>
                <w:szCs w:val="22"/>
              </w:rPr>
              <w:t>“</w:t>
            </w:r>
            <w:r>
              <w:rPr>
                <w:rFonts w:hint="eastAsia" w:cs="黑体" w:asciiTheme="minorEastAsia" w:hAnsiTheme="minorEastAsia"/>
                <w:kern w:val="0"/>
                <w:sz w:val="22"/>
                <w:szCs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1.7</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供货期</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Fonts w:hint="eastAsia" w:cs="Calibri" w:asciiTheme="minorEastAsia" w:hAnsiTheme="minorEastAsia"/>
                <w:kern w:val="0"/>
                <w:sz w:val="22"/>
                <w:szCs w:val="22"/>
              </w:rPr>
              <w:t>合同签订后</w:t>
            </w:r>
            <w:r>
              <w:rPr>
                <w:rFonts w:hint="eastAsia" w:asciiTheme="minorEastAsia" w:hAnsiTheme="minorEastAsia"/>
                <w:sz w:val="22"/>
                <w:szCs w:val="22"/>
                <w:u w:val="single"/>
              </w:rPr>
              <w:t xml:space="preserve">  45  </w:t>
            </w:r>
            <w:r>
              <w:rPr>
                <w:rFonts w:hint="eastAsia" w:asciiTheme="minorEastAsia" w:hAnsiTheme="minorEastAsia"/>
                <w:sz w:val="22"/>
                <w:szCs w:val="22"/>
              </w:rPr>
              <w:t>日历天</w:t>
            </w:r>
            <w:r>
              <w:rPr>
                <w:rFonts w:hint="eastAsia" w:cs="Calibri" w:asciiTheme="minorEastAsia" w:hAnsiTheme="minorEastAsia"/>
                <w:kern w:val="0"/>
                <w:sz w:val="22"/>
                <w:szCs w:val="22"/>
              </w:rPr>
              <w:t>内。</w:t>
            </w:r>
          </w:p>
          <w:p>
            <w:pPr>
              <w:autoSpaceDE w:val="0"/>
              <w:autoSpaceDN w:val="0"/>
              <w:adjustRightInd w:val="0"/>
              <w:snapToGrid w:val="0"/>
              <w:rPr>
                <w:rFonts w:cs="Calibri" w:asciiTheme="minorEastAsia" w:hAnsiTheme="minorEastAsia"/>
                <w:kern w:val="0"/>
                <w:sz w:val="22"/>
                <w:szCs w:val="22"/>
              </w:rPr>
            </w:pPr>
            <w:r>
              <w:rPr>
                <w:rFonts w:hint="eastAsia" w:cs="Calibri" w:asciiTheme="minorEastAsia" w:hAnsiTheme="minorEastAsia"/>
                <w:kern w:val="0"/>
                <w:sz w:val="22"/>
                <w:szCs w:val="22"/>
              </w:rPr>
              <w:t>投标人须在投标文件中提供最快交货时间和详细的供货计划。投标人可根据自身经验、技术水平及管理能力自报竞争性</w:t>
            </w:r>
            <w:r>
              <w:rPr>
                <w:rFonts w:cs="Calibri" w:asciiTheme="minorEastAsia" w:hAnsiTheme="minorEastAsia"/>
                <w:kern w:val="0"/>
                <w:sz w:val="22"/>
                <w:szCs w:val="22"/>
              </w:rPr>
              <w:t>供货期</w:t>
            </w:r>
            <w:r>
              <w:rPr>
                <w:rFonts w:hint="eastAsia" w:cs="Calibri" w:asciiTheme="minorEastAsia" w:hAnsiTheme="minorEastAsia"/>
                <w:kern w:val="0"/>
                <w:sz w:val="22"/>
                <w:szCs w:val="22"/>
              </w:rPr>
              <w:t>，但不得超过招标人明确的计划</w:t>
            </w:r>
            <w:r>
              <w:rPr>
                <w:rFonts w:cs="Calibri" w:asciiTheme="minorEastAsia" w:hAnsiTheme="minorEastAsia"/>
                <w:kern w:val="0"/>
                <w:sz w:val="22"/>
                <w:szCs w:val="22"/>
              </w:rPr>
              <w:t>供货期</w:t>
            </w:r>
            <w:r>
              <w:rPr>
                <w:rFonts w:hint="eastAsia" w:cs="Calibri" w:asciiTheme="minorEastAsia" w:hAnsiTheme="minorEastAsia"/>
                <w:kern w:val="0"/>
                <w:sz w:val="22"/>
                <w:szCs w:val="22"/>
              </w:rPr>
              <w:t>。一旦中标，该</w:t>
            </w:r>
            <w:r>
              <w:rPr>
                <w:rFonts w:cs="Calibri" w:asciiTheme="minorEastAsia" w:hAnsiTheme="minorEastAsia"/>
                <w:kern w:val="0"/>
                <w:sz w:val="22"/>
                <w:szCs w:val="22"/>
              </w:rPr>
              <w:t>供货期</w:t>
            </w:r>
            <w:r>
              <w:rPr>
                <w:rFonts w:hint="eastAsia" w:cs="Calibri" w:asciiTheme="minorEastAsia" w:hAnsiTheme="minorEastAsia"/>
                <w:kern w:val="0"/>
                <w:sz w:val="22"/>
                <w:szCs w:val="22"/>
              </w:rPr>
              <w:t>即为合同</w:t>
            </w:r>
            <w:r>
              <w:rPr>
                <w:rFonts w:cs="Calibri" w:asciiTheme="minorEastAsia" w:hAnsiTheme="minorEastAsia"/>
                <w:kern w:val="0"/>
                <w:sz w:val="22"/>
                <w:szCs w:val="22"/>
              </w:rPr>
              <w:t>供货期</w:t>
            </w:r>
            <w:r>
              <w:rPr>
                <w:rFonts w:hint="eastAsia" w:cs="Calibri" w:asciiTheme="minorEastAsia" w:hAnsiTheme="minorEastAsia"/>
                <w:kern w:val="0"/>
                <w:sz w:val="22"/>
                <w:szCs w:val="22"/>
              </w:rPr>
              <w:t>。整个项目</w:t>
            </w:r>
            <w:r>
              <w:rPr>
                <w:rFonts w:cs="Calibri" w:asciiTheme="minorEastAsia" w:hAnsiTheme="minorEastAsia"/>
                <w:kern w:val="0"/>
                <w:sz w:val="22"/>
                <w:szCs w:val="22"/>
              </w:rPr>
              <w:t>供货期</w:t>
            </w:r>
            <w:r>
              <w:rPr>
                <w:rFonts w:hint="eastAsia" w:cs="Calibri" w:asciiTheme="minorEastAsia" w:hAnsiTheme="minorEastAsia"/>
                <w:kern w:val="0"/>
                <w:sz w:val="22"/>
                <w:szCs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hint="eastAsia" w:cs="Calibri" w:asciiTheme="minorEastAsia" w:hAnsiTheme="minorEastAsia"/>
                <w:kern w:val="0"/>
                <w:sz w:val="22"/>
                <w:szCs w:val="22"/>
              </w:rPr>
              <w:t>质量要求</w:t>
            </w:r>
          </w:p>
        </w:tc>
        <w:tc>
          <w:tcPr>
            <w:tcW w:w="6487" w:type="dxa"/>
            <w:vAlign w:val="center"/>
          </w:tcPr>
          <w:p>
            <w:pPr>
              <w:rPr>
                <w:rFonts w:asciiTheme="minorEastAsia" w:hAnsiTheme="minorEastAsia"/>
                <w:color w:val="000000"/>
                <w:sz w:val="22"/>
                <w:szCs w:val="22"/>
              </w:rPr>
            </w:pPr>
            <w:r>
              <w:rPr>
                <w:rFonts w:hint="eastAsia" w:asciiTheme="minorEastAsia" w:hAnsiTheme="minorEastAsia"/>
                <w:iCs/>
                <w:sz w:val="22"/>
                <w:szCs w:val="22"/>
              </w:rPr>
              <w:t>符</w:t>
            </w:r>
            <w:r>
              <w:rPr>
                <w:rFonts w:hint="eastAsia" w:asciiTheme="minorEastAsia" w:hAnsiTheme="minorEastAsia"/>
                <w:sz w:val="22"/>
                <w:szCs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1.</w:t>
            </w:r>
            <w:r>
              <w:rPr>
                <w:rFonts w:hint="eastAsia" w:cs="Calibri" w:asciiTheme="minorEastAsia" w:hAnsiTheme="minorEastAsia"/>
                <w:kern w:val="0"/>
                <w:sz w:val="22"/>
                <w:szCs w:val="22"/>
              </w:rPr>
              <w:t>9</w:t>
            </w:r>
            <w:r>
              <w:rPr>
                <w:rFonts w:cs="Calibri" w:asciiTheme="minorEastAsia" w:hAnsiTheme="minorEastAsia"/>
                <w:kern w:val="0"/>
                <w:sz w:val="22"/>
                <w:szCs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sym w:font="Wingdings" w:char="F0FE"/>
            </w:r>
            <w:r>
              <w:rPr>
                <w:rFonts w:cs="Calibri" w:asciiTheme="minorEastAsia" w:hAnsiTheme="minorEastAsia"/>
                <w:kern w:val="0"/>
                <w:sz w:val="22"/>
                <w:szCs w:val="22"/>
              </w:rPr>
              <w:t>不组织</w:t>
            </w:r>
          </w:p>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t>□组织，踏勘时间：</w:t>
            </w:r>
          </w:p>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1.</w:t>
            </w:r>
            <w:r>
              <w:rPr>
                <w:rFonts w:hint="eastAsia" w:cs="Calibri" w:asciiTheme="minorEastAsia" w:hAnsiTheme="minorEastAsia"/>
                <w:kern w:val="0"/>
                <w:sz w:val="22"/>
                <w:szCs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sym w:font="Wingdings" w:char="F0FE"/>
            </w:r>
            <w:r>
              <w:rPr>
                <w:rFonts w:cs="Calibri" w:asciiTheme="minorEastAsia" w:hAnsiTheme="minorEastAsia"/>
                <w:kern w:val="0"/>
                <w:sz w:val="22"/>
                <w:szCs w:val="22"/>
              </w:rPr>
              <w:t>不召开</w:t>
            </w:r>
          </w:p>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t>□召开，召开时间：</w:t>
            </w:r>
          </w:p>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2.2.1</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Fonts w:hint="eastAsia" w:cs="Arial" w:asciiTheme="minorEastAsia" w:hAnsiTheme="minorEastAsia"/>
                <w:kern w:val="0"/>
                <w:sz w:val="22"/>
                <w:szCs w:val="22"/>
              </w:rPr>
              <w:t>2019年</w:t>
            </w:r>
            <w:r>
              <w:rPr>
                <w:rFonts w:hint="eastAsia" w:cs="Arial" w:asciiTheme="minorEastAsia" w:hAnsiTheme="minorEastAsia"/>
                <w:kern w:val="0"/>
                <w:sz w:val="22"/>
                <w:szCs w:val="22"/>
                <w:lang w:val="en-US" w:eastAsia="zh-CN"/>
              </w:rPr>
              <w:t>11</w:t>
            </w:r>
            <w:r>
              <w:rPr>
                <w:rFonts w:hint="eastAsia" w:cs="Arial" w:asciiTheme="minorEastAsia" w:hAnsiTheme="minorEastAsia"/>
                <w:kern w:val="0"/>
                <w:sz w:val="22"/>
                <w:szCs w:val="22"/>
              </w:rPr>
              <w:t>月</w:t>
            </w:r>
            <w:r>
              <w:rPr>
                <w:rFonts w:hint="eastAsia" w:cs="Arial" w:asciiTheme="minorEastAsia" w:hAnsiTheme="minorEastAsia"/>
                <w:kern w:val="0"/>
                <w:sz w:val="22"/>
                <w:szCs w:val="22"/>
                <w:lang w:val="en-US" w:eastAsia="zh-CN"/>
              </w:rPr>
              <w:t>7</w:t>
            </w:r>
            <w:r>
              <w:rPr>
                <w:rFonts w:hint="eastAsia" w:cs="Arial" w:asciiTheme="minorEastAsia" w:hAnsiTheme="minorEastAsia"/>
                <w:kern w:val="0"/>
                <w:sz w:val="22"/>
                <w:szCs w:val="22"/>
              </w:rPr>
              <w:t>日上午</w:t>
            </w:r>
            <w:r>
              <w:rPr>
                <w:rFonts w:hint="eastAsia" w:cs="Arial" w:asciiTheme="minorEastAsia" w:hAnsiTheme="minorEastAsia"/>
                <w:kern w:val="0"/>
                <w:sz w:val="22"/>
                <w:szCs w:val="22"/>
                <w:lang w:val="en-US" w:eastAsia="zh-CN"/>
              </w:rPr>
              <w:t>11</w:t>
            </w:r>
            <w:r>
              <w:rPr>
                <w:rFonts w:hint="eastAsia" w:cs="Arial" w:asciiTheme="minorEastAsia" w:hAnsiTheme="minorEastAsia"/>
                <w:kern w:val="0"/>
                <w:sz w:val="22"/>
                <w:szCs w:val="22"/>
              </w:rPr>
              <w:t>时00分（北京时间）</w:t>
            </w:r>
            <w:r>
              <w:rPr>
                <w:rFonts w:hint="eastAsia" w:cs="Calibri" w:asciiTheme="minorEastAsia" w:hAnsiTheme="minorEastAsia"/>
                <w:kern w:val="0"/>
                <w:sz w:val="22"/>
                <w:szCs w:val="22"/>
              </w:rPr>
              <w:t>前，以书面加盖公章的形式通过E-mail或传真提交给招标人（投标联系人:贾思勰，电话0571-</w:t>
            </w:r>
            <w:r>
              <w:rPr>
                <w:rFonts w:cs="Calibri" w:asciiTheme="minorEastAsia" w:hAnsiTheme="minorEastAsia"/>
                <w:kern w:val="0"/>
                <w:sz w:val="22"/>
                <w:szCs w:val="22"/>
              </w:rPr>
              <w:t>83837612</w:t>
            </w:r>
            <w:r>
              <w:rPr>
                <w:rFonts w:hint="eastAsia" w:cs="Calibri" w:asciiTheme="minorEastAsia" w:hAnsiTheme="minorEastAsia"/>
                <w:kern w:val="0"/>
                <w:sz w:val="22"/>
                <w:szCs w:val="22"/>
              </w:rPr>
              <w:t>；传真：0571-</w:t>
            </w:r>
            <w:r>
              <w:rPr>
                <w:rFonts w:cs="Calibri" w:asciiTheme="minorEastAsia" w:hAnsiTheme="minorEastAsia"/>
                <w:kern w:val="0"/>
                <w:sz w:val="22"/>
                <w:szCs w:val="22"/>
              </w:rPr>
              <w:t>83837612</w:t>
            </w:r>
            <w:r>
              <w:rPr>
                <w:rFonts w:hint="eastAsia" w:cs="Calibri" w:asciiTheme="minorEastAsia" w:hAnsiTheme="minorEastAsia"/>
                <w:kern w:val="0"/>
                <w:sz w:val="22"/>
                <w:szCs w:val="22"/>
              </w:rPr>
              <w:t>；电子邮箱：</w:t>
            </w:r>
            <w:r>
              <w:rPr>
                <w:rFonts w:cs="Calibri" w:asciiTheme="minorEastAsia" w:hAnsiTheme="minorEastAsia"/>
                <w:kern w:val="0"/>
                <w:sz w:val="22"/>
                <w:szCs w:val="22"/>
              </w:rPr>
              <w:t>zbzx@hzairport.com</w:t>
            </w:r>
            <w:r>
              <w:rPr>
                <w:rFonts w:hint="eastAsia" w:cs="Calibri" w:asciiTheme="minorEastAsia" w:hAnsiTheme="minorEastAsia"/>
                <w:kern w:val="0"/>
                <w:sz w:val="22"/>
                <w:szCs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2.2.2</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szCs w:val="22"/>
              </w:rPr>
            </w:pPr>
            <w:r>
              <w:rPr>
                <w:rFonts w:hint="eastAsia" w:cs="Calibri" w:asciiTheme="minorEastAsia" w:hAnsiTheme="minorEastAsia"/>
                <w:b/>
                <w:kern w:val="0"/>
                <w:sz w:val="22"/>
                <w:szCs w:val="22"/>
                <w:lang w:eastAsia="zh-CN"/>
              </w:rPr>
              <w:t>2019年11月15日下午13时45分</w:t>
            </w:r>
            <w:r>
              <w:rPr>
                <w:rFonts w:hint="eastAsia" w:cs="Calibri" w:asciiTheme="minorEastAsia" w:hAnsiTheme="minorEastAsia"/>
                <w:b/>
                <w:kern w:val="0"/>
                <w:sz w:val="22"/>
                <w:szCs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2.2.3</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Fonts w:hint="eastAsia" w:cs="Calibri" w:asciiTheme="minorEastAsia" w:hAnsiTheme="minorEastAsia"/>
                <w:kern w:val="0"/>
                <w:sz w:val="22"/>
                <w:szCs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2.3.2</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Fonts w:hint="eastAsia" w:cs="Calibri" w:asciiTheme="minorEastAsia" w:hAnsiTheme="minorEastAsia"/>
                <w:kern w:val="0"/>
                <w:sz w:val="22"/>
                <w:szCs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3.4.1</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投标有效期</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Fonts w:hint="eastAsia" w:cs="Calibri" w:asciiTheme="minorEastAsia" w:hAnsiTheme="minorEastAsia"/>
                <w:kern w:val="0"/>
                <w:sz w:val="22"/>
                <w:szCs w:val="22"/>
              </w:rPr>
              <w:t>120日历天</w:t>
            </w:r>
            <w:r>
              <w:rPr>
                <w:rFonts w:cs="Calibri" w:asciiTheme="minorEastAsia" w:hAnsiTheme="minorEastAsia"/>
                <w:kern w:val="0"/>
                <w:sz w:val="22"/>
                <w:szCs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3.5.1</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投标保证金</w:t>
            </w:r>
          </w:p>
        </w:tc>
        <w:tc>
          <w:tcPr>
            <w:tcW w:w="6487" w:type="dxa"/>
            <w:vAlign w:val="center"/>
          </w:tcPr>
          <w:p>
            <w:pPr>
              <w:snapToGrid w:val="0"/>
              <w:rPr>
                <w:rFonts w:asciiTheme="minorEastAsia" w:hAnsiTheme="minorEastAsia"/>
                <w:sz w:val="22"/>
                <w:szCs w:val="22"/>
              </w:rPr>
            </w:pPr>
            <w:r>
              <w:rPr>
                <w:rFonts w:hint="eastAsia" w:asciiTheme="minorEastAsia" w:hAnsiTheme="minorEastAsia"/>
                <w:sz w:val="22"/>
                <w:szCs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3.6.3</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b/>
                <w:kern w:val="0"/>
                <w:sz w:val="22"/>
                <w:szCs w:val="22"/>
              </w:rPr>
              <w:t>投标文件封面（或扉页）、投标函以及各类报价表</w:t>
            </w:r>
            <w:r>
              <w:rPr>
                <w:rFonts w:cs="Calibri" w:asciiTheme="minorEastAsia" w:hAnsiTheme="minorEastAsia"/>
                <w:kern w:val="0"/>
                <w:sz w:val="22"/>
                <w:szCs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3.6.4</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投标文件份数</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Fonts w:hint="eastAsia" w:cs="Calibri" w:asciiTheme="minorEastAsia" w:hAnsiTheme="minorEastAsia"/>
                <w:kern w:val="0"/>
                <w:sz w:val="22"/>
                <w:szCs w:val="22"/>
              </w:rPr>
              <w:t>正本一份，</w:t>
            </w:r>
            <w:r>
              <w:rPr>
                <w:rFonts w:cs="Calibri" w:asciiTheme="minorEastAsia" w:hAnsiTheme="minorEastAsia"/>
                <w:kern w:val="0"/>
                <w:sz w:val="22"/>
                <w:szCs w:val="22"/>
              </w:rPr>
              <w:t>副本</w:t>
            </w:r>
            <w:r>
              <w:rPr>
                <w:rFonts w:hint="eastAsia" w:cs="Calibri" w:asciiTheme="minorEastAsia" w:hAnsiTheme="minorEastAsia"/>
                <w:kern w:val="0"/>
                <w:sz w:val="22"/>
                <w:szCs w:val="22"/>
              </w:rPr>
              <w:t>二</w:t>
            </w:r>
            <w:r>
              <w:rPr>
                <w:rFonts w:cs="Calibri" w:asciiTheme="minorEastAsia" w:hAnsiTheme="minorEastAsia"/>
                <w:kern w:val="0"/>
                <w:sz w:val="22"/>
                <w:szCs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3.6.5</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装订要求</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sym w:font="Wingdings" w:char="F0FE"/>
            </w:r>
            <w:r>
              <w:rPr>
                <w:rFonts w:cs="Calibri" w:asciiTheme="minorEastAsia" w:hAnsiTheme="minorEastAsia"/>
                <w:kern w:val="0"/>
                <w:sz w:val="22"/>
                <w:szCs w:val="22"/>
              </w:rPr>
              <w:t>不分册装订</w:t>
            </w:r>
          </w:p>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t>□分册装订</w:t>
            </w:r>
          </w:p>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t>每册采用</w:t>
            </w:r>
            <w:r>
              <w:rPr>
                <w:rFonts w:cs="Calibri" w:asciiTheme="minorEastAsia" w:hAnsiTheme="minorEastAsia"/>
                <w:kern w:val="0"/>
                <w:sz w:val="22"/>
                <w:szCs w:val="22"/>
                <w:u w:val="single"/>
              </w:rPr>
              <w:t xml:space="preserve"> 胶装 </w:t>
            </w:r>
            <w:r>
              <w:rPr>
                <w:rFonts w:cs="Calibri" w:asciiTheme="minorEastAsia" w:hAnsiTheme="minorEastAsia"/>
                <w:kern w:val="0"/>
                <w:sz w:val="22"/>
                <w:szCs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4.1.2</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t>招标人的地址：</w:t>
            </w:r>
            <w:r>
              <w:rPr>
                <w:rFonts w:hint="eastAsia" w:asciiTheme="minorEastAsia" w:hAnsiTheme="minorEastAsia"/>
                <w:sz w:val="22"/>
                <w:szCs w:val="22"/>
                <w:u w:val="single"/>
              </w:rPr>
              <w:t>杭州萧山国际机场内</w:t>
            </w:r>
          </w:p>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t>招标人名称：</w:t>
            </w:r>
            <w:r>
              <w:rPr>
                <w:rFonts w:cs="Calibri" w:asciiTheme="minorEastAsia" w:hAnsiTheme="minorEastAsia"/>
                <w:kern w:val="0"/>
                <w:sz w:val="22"/>
                <w:szCs w:val="22"/>
                <w:u w:val="single"/>
              </w:rPr>
              <w:t>杭州萧山国际机场有限公司</w:t>
            </w:r>
          </w:p>
          <w:p>
            <w:pPr>
              <w:autoSpaceDE w:val="0"/>
              <w:autoSpaceDN w:val="0"/>
              <w:adjustRightInd w:val="0"/>
              <w:snapToGrid w:val="0"/>
              <w:rPr>
                <w:rFonts w:cs="Calibri" w:asciiTheme="minorEastAsia" w:hAnsiTheme="minorEastAsia"/>
                <w:kern w:val="0"/>
                <w:sz w:val="22"/>
                <w:szCs w:val="22"/>
              </w:rPr>
            </w:pPr>
            <w:r>
              <w:rPr>
                <w:rFonts w:hint="eastAsia" w:cs="宋体" w:asciiTheme="minorEastAsia" w:hAnsiTheme="minorEastAsia"/>
                <w:sz w:val="22"/>
                <w:szCs w:val="22"/>
              </w:rPr>
              <w:t>项目名称：</w:t>
            </w:r>
            <w:r>
              <w:rPr>
                <w:rFonts w:hint="eastAsia" w:cs="Calibri" w:asciiTheme="minorEastAsia" w:hAnsiTheme="minorEastAsia"/>
                <w:kern w:val="0"/>
                <w:sz w:val="22"/>
                <w:szCs w:val="22"/>
                <w:u w:val="single"/>
              </w:rPr>
              <w:t>杭州萧山国际机场国际快件中心海关监管卡口设备采购</w:t>
            </w:r>
            <w:r>
              <w:rPr>
                <w:rFonts w:cs="Calibri" w:asciiTheme="minorEastAsia" w:hAnsiTheme="minorEastAsia"/>
                <w:kern w:val="0"/>
                <w:sz w:val="22"/>
                <w:szCs w:val="22"/>
                <w:u w:val="single"/>
              </w:rPr>
              <w:t>项目</w:t>
            </w:r>
            <w:r>
              <w:rPr>
                <w:rFonts w:hint="eastAsia" w:cs="宋体" w:asciiTheme="minorEastAsia" w:hAnsiTheme="minorEastAsia"/>
                <w:sz w:val="22"/>
                <w:szCs w:val="22"/>
              </w:rPr>
              <w:t>投标文件</w:t>
            </w:r>
          </w:p>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t>在</w:t>
            </w:r>
            <w:r>
              <w:rPr>
                <w:rFonts w:hint="eastAsia" w:cs="Arial" w:asciiTheme="minorEastAsia" w:hAnsiTheme="minorEastAsia"/>
                <w:kern w:val="0"/>
                <w:sz w:val="22"/>
                <w:szCs w:val="22"/>
                <w:lang w:eastAsia="zh-CN"/>
              </w:rPr>
              <w:t>2019年11月15日下午13时45分</w:t>
            </w:r>
            <w:r>
              <w:rPr>
                <w:rFonts w:cs="Calibri" w:asciiTheme="minorEastAsia" w:hAnsiTheme="minorEastAsia"/>
                <w:kern w:val="0"/>
                <w:sz w:val="22"/>
                <w:szCs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4.2.2</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Fonts w:hint="eastAsia" w:asciiTheme="minorEastAsia" w:hAnsiTheme="minorEastAsia"/>
                <w:b/>
                <w:bCs/>
                <w:sz w:val="22"/>
                <w:szCs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4.2.3</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是否退还投标文件</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sym w:font="Wingdings" w:char="F0FE"/>
            </w:r>
            <w:r>
              <w:rPr>
                <w:rFonts w:cs="Calibri" w:asciiTheme="minorEastAsia" w:hAnsiTheme="minorEastAsia"/>
                <w:kern w:val="0"/>
                <w:sz w:val="22"/>
                <w:szCs w:val="22"/>
              </w:rPr>
              <w:t>否</w:t>
            </w:r>
          </w:p>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5.1.1</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开标时间和地点</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t>开标时间：同投标截止时间</w:t>
            </w:r>
          </w:p>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5.2</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开标程序</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t>（4）密封情况检查：由投标人或者其集体推选的代表检查投标文件的密封情况。</w:t>
            </w:r>
          </w:p>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6.1.1</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szCs w:val="22"/>
              </w:rPr>
            </w:pPr>
            <w:r>
              <w:rPr>
                <w:rFonts w:hint="eastAsia" w:asciiTheme="minorEastAsia" w:hAnsiTheme="minorEastAsia"/>
                <w:sz w:val="22"/>
                <w:szCs w:val="22"/>
              </w:rPr>
              <w:t>评标委员会构成</w:t>
            </w:r>
            <w:r>
              <w:rPr>
                <w:rFonts w:hint="eastAsia" w:cs="Calibri" w:asciiTheme="minorEastAsia" w:hAnsiTheme="minorEastAsia"/>
                <w:kern w:val="0"/>
                <w:sz w:val="22"/>
                <w:szCs w:val="22"/>
              </w:rPr>
              <w:t>：3</w:t>
            </w:r>
            <w:r>
              <w:rPr>
                <w:rFonts w:hint="eastAsia" w:asciiTheme="minorEastAsia" w:hAnsiTheme="minorEastAsia"/>
                <w:sz w:val="22"/>
                <w:szCs w:val="22"/>
              </w:rPr>
              <w:t>人及以上单数</w:t>
            </w:r>
          </w:p>
          <w:p>
            <w:pPr>
              <w:autoSpaceDE w:val="0"/>
              <w:autoSpaceDN w:val="0"/>
              <w:adjustRightInd w:val="0"/>
              <w:snapToGrid w:val="0"/>
              <w:jc w:val="left"/>
              <w:rPr>
                <w:rFonts w:asciiTheme="minorEastAsia" w:hAnsiTheme="minorEastAsia"/>
                <w:sz w:val="22"/>
                <w:szCs w:val="22"/>
              </w:rPr>
            </w:pPr>
            <w:r>
              <w:rPr>
                <w:rFonts w:hint="eastAsia" w:asciiTheme="minorEastAsia" w:hAnsiTheme="minorEastAsia"/>
                <w:sz w:val="22"/>
                <w:szCs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7.1</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t>□是</w:t>
            </w:r>
          </w:p>
          <w:p>
            <w:pPr>
              <w:autoSpaceDE w:val="0"/>
              <w:autoSpaceDN w:val="0"/>
              <w:adjustRightInd w:val="0"/>
              <w:snapToGrid w:val="0"/>
              <w:rPr>
                <w:rFonts w:cs="Calibri" w:asciiTheme="minorEastAsia" w:hAnsiTheme="minorEastAsia"/>
                <w:kern w:val="0"/>
                <w:sz w:val="22"/>
                <w:szCs w:val="22"/>
              </w:rPr>
            </w:pPr>
            <w:r>
              <w:rPr>
                <w:rFonts w:cs="Calibri" w:asciiTheme="minorEastAsia" w:hAnsiTheme="minorEastAsia"/>
                <w:kern w:val="0"/>
                <w:sz w:val="22"/>
                <w:szCs w:val="22"/>
              </w:rPr>
              <w:sym w:font="Wingdings" w:char="F0FE"/>
            </w:r>
            <w:r>
              <w:rPr>
                <w:rFonts w:cs="Calibri" w:asciiTheme="minorEastAsia" w:hAnsiTheme="minorEastAsia"/>
                <w:kern w:val="0"/>
                <w:sz w:val="22"/>
                <w:szCs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7.3.1</w:t>
            </w:r>
          </w:p>
        </w:tc>
        <w:tc>
          <w:tcPr>
            <w:tcW w:w="2004"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履约</w:t>
            </w:r>
            <w:r>
              <w:rPr>
                <w:rFonts w:hint="eastAsia" w:cs="Calibri" w:asciiTheme="minorEastAsia" w:hAnsiTheme="minorEastAsia"/>
                <w:kern w:val="0"/>
                <w:sz w:val="22"/>
                <w:szCs w:val="22"/>
              </w:rPr>
              <w:t>保证金</w:t>
            </w:r>
          </w:p>
        </w:tc>
        <w:tc>
          <w:tcPr>
            <w:tcW w:w="6487" w:type="dxa"/>
            <w:vAlign w:val="center"/>
          </w:tcPr>
          <w:p>
            <w:pPr>
              <w:autoSpaceDE w:val="0"/>
              <w:autoSpaceDN w:val="0"/>
              <w:adjustRightInd w:val="0"/>
              <w:snapToGrid w:val="0"/>
              <w:jc w:val="left"/>
              <w:rPr>
                <w:rFonts w:asciiTheme="minorEastAsia" w:hAnsiTheme="minorEastAsia"/>
                <w:sz w:val="22"/>
                <w:szCs w:val="22"/>
              </w:rPr>
            </w:pPr>
            <w:r>
              <w:rPr>
                <w:rFonts w:asciiTheme="minorEastAsia" w:hAnsiTheme="minorEastAsia"/>
                <w:sz w:val="22"/>
                <w:szCs w:val="22"/>
              </w:rPr>
              <w:t>履约</w:t>
            </w:r>
            <w:r>
              <w:rPr>
                <w:rFonts w:hint="eastAsia" w:asciiTheme="minorEastAsia" w:hAnsiTheme="minorEastAsia"/>
                <w:sz w:val="22"/>
                <w:szCs w:val="22"/>
              </w:rPr>
              <w:t>保证金</w:t>
            </w:r>
            <w:r>
              <w:rPr>
                <w:rFonts w:asciiTheme="minorEastAsia" w:hAnsiTheme="minorEastAsia"/>
                <w:sz w:val="22"/>
                <w:szCs w:val="22"/>
              </w:rPr>
              <w:t>的形式：</w:t>
            </w:r>
            <w:r>
              <w:rPr>
                <w:rFonts w:hint="eastAsia" w:asciiTheme="minorEastAsia" w:hAnsiTheme="minorEastAsia"/>
                <w:sz w:val="22"/>
                <w:szCs w:val="22"/>
              </w:rPr>
              <w:t>银行转账</w:t>
            </w:r>
          </w:p>
          <w:p>
            <w:pPr>
              <w:autoSpaceDE w:val="0"/>
              <w:autoSpaceDN w:val="0"/>
              <w:adjustRightInd w:val="0"/>
              <w:snapToGrid w:val="0"/>
              <w:jc w:val="left"/>
              <w:rPr>
                <w:rFonts w:asciiTheme="minorEastAsia" w:hAnsiTheme="minorEastAsia"/>
                <w:sz w:val="22"/>
                <w:szCs w:val="22"/>
              </w:rPr>
            </w:pPr>
            <w:r>
              <w:rPr>
                <w:rFonts w:asciiTheme="minorEastAsia" w:hAnsiTheme="minorEastAsia"/>
                <w:sz w:val="22"/>
                <w:szCs w:val="22"/>
              </w:rPr>
              <w:t>履约</w:t>
            </w:r>
            <w:r>
              <w:rPr>
                <w:rFonts w:hint="eastAsia" w:asciiTheme="minorEastAsia" w:hAnsiTheme="minorEastAsia"/>
                <w:sz w:val="22"/>
                <w:szCs w:val="22"/>
              </w:rPr>
              <w:t>保证金</w:t>
            </w:r>
            <w:r>
              <w:rPr>
                <w:rFonts w:asciiTheme="minorEastAsia" w:hAnsiTheme="minorEastAsia"/>
                <w:sz w:val="22"/>
                <w:szCs w:val="22"/>
              </w:rPr>
              <w:t>的金额：</w:t>
            </w:r>
            <w:r>
              <w:rPr>
                <w:rFonts w:hint="eastAsia" w:asciiTheme="minorEastAsia" w:hAnsiTheme="minorEastAsia"/>
                <w:sz w:val="22"/>
                <w:szCs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szCs w:val="22"/>
              </w:rPr>
            </w:pPr>
            <w:r>
              <w:rPr>
                <w:rFonts w:cs="Calibri" w:asciiTheme="minorEastAsia" w:hAnsiTheme="minorEastAsia"/>
                <w:kern w:val="0"/>
                <w:sz w:val="22"/>
                <w:szCs w:val="22"/>
              </w:rPr>
              <w:t>10</w:t>
            </w:r>
          </w:p>
        </w:tc>
        <w:tc>
          <w:tcPr>
            <w:tcW w:w="8491" w:type="dxa"/>
            <w:gridSpan w:val="2"/>
            <w:vAlign w:val="center"/>
          </w:tcPr>
          <w:p>
            <w:pPr>
              <w:autoSpaceDE w:val="0"/>
              <w:autoSpaceDN w:val="0"/>
              <w:adjustRightInd w:val="0"/>
              <w:snapToGrid w:val="0"/>
              <w:jc w:val="center"/>
              <w:rPr>
                <w:rFonts w:cs="Calibri" w:asciiTheme="minorEastAsia" w:hAnsiTheme="minorEastAsia"/>
                <w:snapToGrid w:val="0"/>
                <w:sz w:val="22"/>
                <w:szCs w:val="22"/>
              </w:rPr>
            </w:pPr>
            <w:r>
              <w:rPr>
                <w:rFonts w:cs="Calibri" w:asciiTheme="minorEastAsia" w:hAnsiTheme="minorEastAsia"/>
                <w:kern w:val="0"/>
                <w:sz w:val="22"/>
                <w:szCs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cs="Calibri" w:asciiTheme="minorEastAsia" w:hAnsiTheme="minorEastAsia"/>
                <w:kern w:val="0"/>
                <w:sz w:val="22"/>
                <w:szCs w:val="22"/>
              </w:rPr>
            </w:pPr>
            <w:r>
              <w:rPr>
                <w:rFonts w:hint="eastAsia" w:cs="Calibri" w:asciiTheme="minorEastAsia" w:hAnsiTheme="minorEastAsia"/>
                <w:kern w:val="0"/>
                <w:sz w:val="22"/>
                <w:szCs w:val="22"/>
              </w:rPr>
              <w:t>10.2</w:t>
            </w:r>
          </w:p>
        </w:tc>
        <w:tc>
          <w:tcPr>
            <w:tcW w:w="2004" w:type="dxa"/>
            <w:shd w:val="clear" w:color="auto" w:fill="auto"/>
            <w:vAlign w:val="center"/>
          </w:tcPr>
          <w:p>
            <w:pPr>
              <w:pStyle w:val="47"/>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szCs w:val="22"/>
              </w:rPr>
            </w:pPr>
            <w:r>
              <w:rPr>
                <w:rFonts w:cs="Calibri" w:asciiTheme="minorEastAsia" w:hAnsiTheme="minorEastAsia"/>
                <w:snapToGrid w:val="0"/>
                <w:kern w:val="0"/>
                <w:sz w:val="22"/>
                <w:szCs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szCs w:val="22"/>
              </w:rPr>
            </w:pPr>
            <w:r>
              <w:rPr>
                <w:rFonts w:cs="Calibri" w:asciiTheme="minorEastAsia" w:hAnsiTheme="minorEastAsia"/>
                <w:snapToGrid w:val="0"/>
                <w:kern w:val="0"/>
                <w:sz w:val="22"/>
                <w:szCs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cs="Calibri" w:asciiTheme="minorEastAsia" w:hAnsiTheme="minorEastAsia"/>
                <w:kern w:val="0"/>
                <w:sz w:val="22"/>
                <w:szCs w:val="22"/>
              </w:rPr>
            </w:pPr>
            <w:r>
              <w:rPr>
                <w:rFonts w:hint="eastAsia" w:cs="Calibri" w:asciiTheme="minorEastAsia" w:hAnsiTheme="minorEastAsia"/>
                <w:kern w:val="0"/>
                <w:sz w:val="22"/>
                <w:szCs w:val="22"/>
              </w:rPr>
              <w:t>10.3</w:t>
            </w:r>
          </w:p>
        </w:tc>
        <w:tc>
          <w:tcPr>
            <w:tcW w:w="2004" w:type="dxa"/>
            <w:shd w:val="clear" w:color="auto" w:fill="auto"/>
            <w:vAlign w:val="center"/>
          </w:tcPr>
          <w:p>
            <w:pPr>
              <w:pStyle w:val="47"/>
              <w:rPr>
                <w:rFonts w:asciiTheme="minorEastAsia" w:hAnsiTheme="minorEastAsia" w:eastAsiaTheme="minorEastAsia"/>
                <w:sz w:val="22"/>
                <w:szCs w:val="22"/>
              </w:rPr>
            </w:pPr>
            <w:r>
              <w:rPr>
                <w:rFonts w:hint="eastAsia" w:asciiTheme="minorEastAsia" w:hAnsiTheme="minorEastAsia" w:eastAsiaTheme="minorEastAsia"/>
                <w:sz w:val="22"/>
                <w:szCs w:val="22"/>
              </w:rPr>
              <w:t>备注</w:t>
            </w:r>
          </w:p>
        </w:tc>
        <w:tc>
          <w:tcPr>
            <w:tcW w:w="6487" w:type="dxa"/>
            <w:shd w:val="clear" w:color="auto" w:fill="FFFFFF"/>
            <w:vAlign w:val="center"/>
          </w:tcPr>
          <w:p>
            <w:pPr>
              <w:adjustRightInd w:val="0"/>
              <w:snapToGrid w:val="0"/>
              <w:rPr>
                <w:rFonts w:cs="Calibri" w:asciiTheme="minorEastAsia" w:hAnsiTheme="minorEastAsia"/>
                <w:snapToGrid w:val="0"/>
                <w:kern w:val="0"/>
                <w:sz w:val="22"/>
                <w:szCs w:val="22"/>
              </w:rPr>
            </w:pPr>
            <w:r>
              <w:rPr>
                <w:rFonts w:cs="Calibri" w:asciiTheme="minorEastAsia" w:hAnsiTheme="minorEastAsia"/>
                <w:snapToGrid w:val="0"/>
                <w:kern w:val="0"/>
                <w:sz w:val="22"/>
                <w:szCs w:val="22"/>
              </w:rPr>
              <w:t>本前附表内容与招标文件其他内容不一致之处，以本前附表为准。</w:t>
            </w:r>
          </w:p>
        </w:tc>
      </w:tr>
    </w:tbl>
    <w:p>
      <w:pPr>
        <w:autoSpaceDE w:val="0"/>
        <w:autoSpaceDN w:val="0"/>
        <w:adjustRightInd w:val="0"/>
        <w:snapToGrid w:val="0"/>
        <w:spacing w:line="400" w:lineRule="exact"/>
        <w:rPr>
          <w:rFonts w:asciiTheme="minorEastAsia" w:hAnsiTheme="minorEastAsia"/>
          <w:b/>
          <w:sz w:val="22"/>
          <w:szCs w:val="22"/>
        </w:rPr>
      </w:pPr>
      <w:bookmarkStart w:id="2" w:name="_Toc26216"/>
    </w:p>
    <w:p>
      <w:pPr>
        <w:autoSpaceDE w:val="0"/>
        <w:autoSpaceDN w:val="0"/>
        <w:adjustRightInd w:val="0"/>
        <w:snapToGrid w:val="0"/>
        <w:spacing w:line="360" w:lineRule="exact"/>
        <w:rPr>
          <w:rFonts w:cs="Calibri" w:asciiTheme="minorEastAsia" w:hAnsiTheme="minorEastAsia"/>
          <w:b/>
          <w:bCs/>
          <w:kern w:val="0"/>
          <w:sz w:val="22"/>
          <w:szCs w:val="22"/>
        </w:rPr>
      </w:pPr>
      <w:r>
        <w:rPr>
          <w:rFonts w:asciiTheme="minorEastAsia" w:hAnsiTheme="minorEastAsia"/>
          <w:b/>
          <w:sz w:val="22"/>
          <w:szCs w:val="22"/>
        </w:rPr>
        <w:br w:type="page"/>
      </w:r>
      <w:bookmarkEnd w:id="2"/>
      <w:r>
        <w:rPr>
          <w:rFonts w:cs="Calibri" w:asciiTheme="minorEastAsia" w:hAnsiTheme="minorEastAsia"/>
          <w:b/>
          <w:bCs/>
          <w:kern w:val="0"/>
          <w:sz w:val="22"/>
          <w:szCs w:val="22"/>
        </w:rPr>
        <w:t>1.总则</w:t>
      </w:r>
    </w:p>
    <w:p>
      <w:pPr>
        <w:autoSpaceDE w:val="0"/>
        <w:autoSpaceDN w:val="0"/>
        <w:adjustRightInd w:val="0"/>
        <w:snapToGrid w:val="0"/>
        <w:spacing w:line="360" w:lineRule="exact"/>
        <w:rPr>
          <w:rFonts w:cs="Calibri" w:asciiTheme="minorEastAsia" w:hAnsiTheme="minorEastAsia"/>
          <w:b/>
          <w:bCs/>
          <w:kern w:val="0"/>
          <w:sz w:val="22"/>
          <w:szCs w:val="22"/>
        </w:rPr>
      </w:pPr>
      <w:r>
        <w:rPr>
          <w:rFonts w:cs="Calibri" w:asciiTheme="minorEastAsia" w:hAnsiTheme="minorEastAsia"/>
          <w:b/>
          <w:bCs/>
          <w:kern w:val="0"/>
          <w:sz w:val="22"/>
          <w:szCs w:val="22"/>
        </w:rPr>
        <w:t>1.1 项目概况</w:t>
      </w:r>
    </w:p>
    <w:p>
      <w:pPr>
        <w:adjustRightInd w:val="0"/>
        <w:snapToGrid w:val="0"/>
        <w:spacing w:line="360" w:lineRule="exact"/>
        <w:ind w:firstLine="440"/>
        <w:rPr>
          <w:rFonts w:cs="Calibri" w:asciiTheme="minorEastAsia" w:hAnsiTheme="minorEastAsia"/>
          <w:color w:val="000000"/>
          <w:kern w:val="0"/>
          <w:sz w:val="22"/>
          <w:szCs w:val="22"/>
        </w:rPr>
      </w:pPr>
      <w:r>
        <w:rPr>
          <w:rFonts w:cs="Calibri" w:asciiTheme="minorEastAsia" w:hAnsiTheme="minorEastAsia"/>
          <w:color w:val="000000"/>
          <w:kern w:val="0"/>
          <w:sz w:val="22"/>
          <w:szCs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kern w:val="0"/>
          <w:sz w:val="22"/>
          <w:szCs w:val="22"/>
        </w:rPr>
        <w:t>1.1.2项目</w:t>
      </w:r>
      <w:r>
        <w:rPr>
          <w:rFonts w:hint="eastAsia" w:cs="Calibri" w:asciiTheme="minorEastAsia" w:hAnsiTheme="minorEastAsia"/>
          <w:color w:val="000000"/>
          <w:kern w:val="0"/>
          <w:sz w:val="22"/>
          <w:szCs w:val="22"/>
        </w:rPr>
        <w:t>交货</w:t>
      </w:r>
      <w:r>
        <w:rPr>
          <w:rFonts w:cs="Calibri" w:asciiTheme="minorEastAsia" w:hAnsiTheme="minorEastAsia"/>
          <w:color w:val="000000"/>
          <w:kern w:val="0"/>
          <w:sz w:val="22"/>
          <w:szCs w:val="22"/>
        </w:rPr>
        <w:t>地点见投标人须知前附表</w:t>
      </w:r>
      <w:r>
        <w:rPr>
          <w:rFonts w:cs="Calibri" w:asciiTheme="minorEastAsia" w:hAnsiTheme="minorEastAsia"/>
          <w:color w:val="000000"/>
          <w:sz w:val="22"/>
          <w:szCs w:val="22"/>
        </w:rPr>
        <w:t>。</w:t>
      </w:r>
    </w:p>
    <w:p>
      <w:pPr>
        <w:autoSpaceDE w:val="0"/>
        <w:autoSpaceDN w:val="0"/>
        <w:adjustRightInd w:val="0"/>
        <w:snapToGrid w:val="0"/>
        <w:spacing w:line="360" w:lineRule="exact"/>
        <w:rPr>
          <w:rFonts w:cs="Calibri" w:asciiTheme="minorEastAsia" w:hAnsiTheme="minorEastAsia"/>
          <w:b/>
          <w:bCs/>
          <w:kern w:val="0"/>
          <w:sz w:val="22"/>
          <w:szCs w:val="22"/>
        </w:rPr>
      </w:pPr>
      <w:bookmarkStart w:id="3" w:name="_Toc9136"/>
      <w:r>
        <w:rPr>
          <w:rFonts w:cs="Calibri" w:asciiTheme="minorEastAsia" w:hAnsiTheme="minorEastAsia"/>
          <w:b/>
          <w:bCs/>
          <w:kern w:val="0"/>
          <w:sz w:val="22"/>
          <w:szCs w:val="22"/>
        </w:rPr>
        <w:t>1.</w:t>
      </w:r>
      <w:r>
        <w:rPr>
          <w:rFonts w:hint="eastAsia" w:cs="Calibri" w:asciiTheme="minorEastAsia" w:hAnsiTheme="minorEastAsia"/>
          <w:b/>
          <w:bCs/>
          <w:kern w:val="0"/>
          <w:sz w:val="22"/>
          <w:szCs w:val="22"/>
        </w:rPr>
        <w:t>2</w:t>
      </w:r>
      <w:r>
        <w:rPr>
          <w:rFonts w:cs="Calibri" w:asciiTheme="minorEastAsia" w:hAnsiTheme="minorEastAsia"/>
          <w:b/>
          <w:bCs/>
          <w:kern w:val="0"/>
          <w:sz w:val="22"/>
          <w:szCs w:val="22"/>
        </w:rPr>
        <w:t xml:space="preserve"> 资金来源</w:t>
      </w:r>
      <w:bookmarkEnd w:id="3"/>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sz w:val="22"/>
          <w:szCs w:val="22"/>
        </w:rPr>
        <w:t>见投标人须知前附表。</w:t>
      </w:r>
    </w:p>
    <w:p>
      <w:pPr>
        <w:autoSpaceDE w:val="0"/>
        <w:autoSpaceDN w:val="0"/>
        <w:adjustRightInd w:val="0"/>
        <w:snapToGrid w:val="0"/>
        <w:spacing w:line="360" w:lineRule="exact"/>
        <w:rPr>
          <w:rFonts w:cs="Calibri" w:asciiTheme="minorEastAsia" w:hAnsiTheme="minorEastAsia"/>
          <w:b/>
          <w:bCs/>
          <w:kern w:val="0"/>
          <w:sz w:val="22"/>
          <w:szCs w:val="22"/>
        </w:rPr>
      </w:pPr>
      <w:bookmarkStart w:id="4" w:name="_Toc10673"/>
      <w:r>
        <w:rPr>
          <w:rFonts w:cs="Calibri" w:asciiTheme="minorEastAsia" w:hAnsiTheme="minorEastAsia"/>
          <w:b/>
          <w:bCs/>
          <w:kern w:val="0"/>
          <w:sz w:val="22"/>
          <w:szCs w:val="22"/>
        </w:rPr>
        <w:t>1.</w:t>
      </w:r>
      <w:r>
        <w:rPr>
          <w:rFonts w:hint="eastAsia" w:cs="Calibri" w:asciiTheme="minorEastAsia" w:hAnsiTheme="minorEastAsia"/>
          <w:b/>
          <w:bCs/>
          <w:kern w:val="0"/>
          <w:sz w:val="22"/>
          <w:szCs w:val="22"/>
        </w:rPr>
        <w:t>3</w:t>
      </w:r>
      <w:r>
        <w:rPr>
          <w:rFonts w:cs="Calibri" w:asciiTheme="minorEastAsia" w:hAnsiTheme="minorEastAsia"/>
          <w:b/>
          <w:bCs/>
          <w:kern w:val="0"/>
          <w:sz w:val="22"/>
          <w:szCs w:val="22"/>
        </w:rPr>
        <w:t xml:space="preserve"> 招标</w:t>
      </w:r>
      <w:bookmarkEnd w:id="4"/>
      <w:r>
        <w:rPr>
          <w:rFonts w:hint="eastAsia" w:cs="Calibri" w:asciiTheme="minorEastAsia" w:hAnsiTheme="minorEastAsia"/>
          <w:b/>
          <w:bCs/>
          <w:kern w:val="0"/>
          <w:sz w:val="22"/>
          <w:szCs w:val="22"/>
        </w:rPr>
        <w:t>内容</w:t>
      </w:r>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sz w:val="22"/>
          <w:szCs w:val="22"/>
        </w:rPr>
        <w:t>见投标人须知前附表。</w:t>
      </w:r>
    </w:p>
    <w:p>
      <w:pPr>
        <w:autoSpaceDE w:val="0"/>
        <w:autoSpaceDN w:val="0"/>
        <w:adjustRightInd w:val="0"/>
        <w:snapToGrid w:val="0"/>
        <w:spacing w:line="360" w:lineRule="exact"/>
        <w:rPr>
          <w:rFonts w:cs="Calibri" w:asciiTheme="minorEastAsia" w:hAnsiTheme="minorEastAsia"/>
          <w:b/>
          <w:bCs/>
          <w:kern w:val="0"/>
          <w:sz w:val="22"/>
          <w:szCs w:val="22"/>
        </w:rPr>
      </w:pPr>
      <w:bookmarkStart w:id="5" w:name="_Toc718"/>
      <w:r>
        <w:rPr>
          <w:rFonts w:cs="Calibri" w:asciiTheme="minorEastAsia" w:hAnsiTheme="minorEastAsia"/>
          <w:b/>
          <w:bCs/>
          <w:kern w:val="0"/>
          <w:sz w:val="22"/>
          <w:szCs w:val="22"/>
        </w:rPr>
        <w:t>1.</w:t>
      </w:r>
      <w:r>
        <w:rPr>
          <w:rFonts w:hint="eastAsia" w:cs="Calibri" w:asciiTheme="minorEastAsia" w:hAnsiTheme="minorEastAsia"/>
          <w:b/>
          <w:bCs/>
          <w:kern w:val="0"/>
          <w:sz w:val="22"/>
          <w:szCs w:val="22"/>
        </w:rPr>
        <w:t>4</w:t>
      </w:r>
      <w:r>
        <w:rPr>
          <w:rFonts w:cs="Calibri" w:asciiTheme="minorEastAsia" w:hAnsiTheme="minorEastAsia"/>
          <w:b/>
          <w:bCs/>
          <w:kern w:val="0"/>
          <w:sz w:val="22"/>
          <w:szCs w:val="22"/>
        </w:rPr>
        <w:t xml:space="preserve"> 招标方式</w:t>
      </w:r>
      <w:bookmarkEnd w:id="5"/>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sz w:val="22"/>
          <w:szCs w:val="22"/>
        </w:rPr>
        <w:t>见投标人须知前附表。</w:t>
      </w:r>
    </w:p>
    <w:p>
      <w:pPr>
        <w:autoSpaceDE w:val="0"/>
        <w:autoSpaceDN w:val="0"/>
        <w:adjustRightInd w:val="0"/>
        <w:snapToGrid w:val="0"/>
        <w:spacing w:line="360" w:lineRule="exact"/>
        <w:rPr>
          <w:rFonts w:cs="Calibri" w:asciiTheme="minorEastAsia" w:hAnsiTheme="minorEastAsia"/>
          <w:b/>
          <w:bCs/>
          <w:kern w:val="0"/>
          <w:sz w:val="22"/>
          <w:szCs w:val="22"/>
        </w:rPr>
      </w:pPr>
      <w:bookmarkStart w:id="6" w:name="_Toc9161"/>
      <w:r>
        <w:rPr>
          <w:rFonts w:cs="Calibri" w:asciiTheme="minorEastAsia" w:hAnsiTheme="minorEastAsia"/>
          <w:b/>
          <w:bCs/>
          <w:kern w:val="0"/>
          <w:sz w:val="22"/>
          <w:szCs w:val="22"/>
        </w:rPr>
        <w:t>1.</w:t>
      </w:r>
      <w:r>
        <w:rPr>
          <w:rFonts w:hint="eastAsia" w:cs="Calibri" w:asciiTheme="minorEastAsia" w:hAnsiTheme="minorEastAsia"/>
          <w:b/>
          <w:bCs/>
          <w:kern w:val="0"/>
          <w:sz w:val="22"/>
          <w:szCs w:val="22"/>
        </w:rPr>
        <w:t xml:space="preserve">5 </w:t>
      </w:r>
      <w:r>
        <w:rPr>
          <w:rFonts w:cs="Calibri" w:asciiTheme="minorEastAsia" w:hAnsiTheme="minorEastAsia"/>
          <w:b/>
          <w:bCs/>
          <w:kern w:val="0"/>
          <w:sz w:val="22"/>
          <w:szCs w:val="22"/>
        </w:rPr>
        <w:t>资格审查</w:t>
      </w:r>
      <w:bookmarkEnd w:id="6"/>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sz w:val="22"/>
          <w:szCs w:val="22"/>
        </w:rPr>
        <w:t>见投标人须知前附表。</w:t>
      </w:r>
    </w:p>
    <w:p>
      <w:pPr>
        <w:autoSpaceDE w:val="0"/>
        <w:autoSpaceDN w:val="0"/>
        <w:adjustRightInd w:val="0"/>
        <w:snapToGrid w:val="0"/>
        <w:spacing w:line="360" w:lineRule="exact"/>
        <w:rPr>
          <w:rFonts w:cs="Calibri" w:asciiTheme="minorEastAsia" w:hAnsiTheme="minorEastAsia"/>
          <w:b/>
          <w:bCs/>
          <w:kern w:val="0"/>
          <w:sz w:val="22"/>
          <w:szCs w:val="22"/>
        </w:rPr>
      </w:pPr>
      <w:bookmarkStart w:id="7" w:name="_Toc13012"/>
      <w:r>
        <w:rPr>
          <w:rFonts w:cs="Calibri" w:asciiTheme="minorEastAsia" w:hAnsiTheme="minorEastAsia"/>
          <w:b/>
          <w:bCs/>
          <w:kern w:val="0"/>
          <w:sz w:val="22"/>
          <w:szCs w:val="22"/>
        </w:rPr>
        <w:t>1.</w:t>
      </w:r>
      <w:r>
        <w:rPr>
          <w:rFonts w:hint="eastAsia" w:cs="Calibri" w:asciiTheme="minorEastAsia" w:hAnsiTheme="minorEastAsia"/>
          <w:b/>
          <w:bCs/>
          <w:kern w:val="0"/>
          <w:sz w:val="22"/>
          <w:szCs w:val="22"/>
        </w:rPr>
        <w:t>6</w:t>
      </w:r>
      <w:r>
        <w:rPr>
          <w:rFonts w:cs="Calibri" w:asciiTheme="minorEastAsia" w:hAnsiTheme="minorEastAsia"/>
          <w:b/>
          <w:bCs/>
          <w:kern w:val="0"/>
          <w:sz w:val="22"/>
          <w:szCs w:val="22"/>
        </w:rPr>
        <w:t xml:space="preserve"> 投标人资质条件、能力和信誉</w:t>
      </w:r>
      <w:bookmarkEnd w:id="7"/>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sz w:val="22"/>
          <w:szCs w:val="22"/>
        </w:rPr>
        <w:t>见投标人须知前附表。</w:t>
      </w:r>
    </w:p>
    <w:p>
      <w:pPr>
        <w:autoSpaceDE w:val="0"/>
        <w:autoSpaceDN w:val="0"/>
        <w:adjustRightInd w:val="0"/>
        <w:snapToGrid w:val="0"/>
        <w:spacing w:line="360" w:lineRule="exact"/>
        <w:rPr>
          <w:rFonts w:cs="Calibri" w:asciiTheme="minorEastAsia" w:hAnsiTheme="minorEastAsia"/>
          <w:b/>
          <w:bCs/>
          <w:kern w:val="0"/>
          <w:sz w:val="22"/>
          <w:szCs w:val="22"/>
        </w:rPr>
      </w:pPr>
      <w:bookmarkStart w:id="8" w:name="_Toc2796"/>
      <w:r>
        <w:rPr>
          <w:rFonts w:cs="Calibri" w:asciiTheme="minorEastAsia" w:hAnsiTheme="minorEastAsia"/>
          <w:b/>
          <w:bCs/>
          <w:kern w:val="0"/>
          <w:sz w:val="22"/>
          <w:szCs w:val="22"/>
        </w:rPr>
        <w:t>1.</w:t>
      </w:r>
      <w:r>
        <w:rPr>
          <w:rFonts w:hint="eastAsia" w:cs="Calibri" w:asciiTheme="minorEastAsia" w:hAnsiTheme="minorEastAsia"/>
          <w:b/>
          <w:bCs/>
          <w:kern w:val="0"/>
          <w:sz w:val="22"/>
          <w:szCs w:val="22"/>
        </w:rPr>
        <w:t>7供货</w:t>
      </w:r>
      <w:r>
        <w:rPr>
          <w:rFonts w:cs="Calibri" w:asciiTheme="minorEastAsia" w:hAnsiTheme="minorEastAsia"/>
          <w:b/>
          <w:bCs/>
          <w:kern w:val="0"/>
          <w:sz w:val="22"/>
          <w:szCs w:val="22"/>
        </w:rPr>
        <w:t>期</w:t>
      </w:r>
      <w:bookmarkEnd w:id="8"/>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sz w:val="22"/>
          <w:szCs w:val="22"/>
        </w:rPr>
        <w:t>见投标人须知前附表。</w:t>
      </w:r>
    </w:p>
    <w:p>
      <w:pPr>
        <w:autoSpaceDE w:val="0"/>
        <w:autoSpaceDN w:val="0"/>
        <w:adjustRightInd w:val="0"/>
        <w:snapToGrid w:val="0"/>
        <w:spacing w:line="360" w:lineRule="exact"/>
        <w:rPr>
          <w:rFonts w:cs="Calibri" w:asciiTheme="minorEastAsia" w:hAnsiTheme="minorEastAsia"/>
          <w:b/>
          <w:bCs/>
          <w:kern w:val="0"/>
          <w:sz w:val="22"/>
          <w:szCs w:val="22"/>
        </w:rPr>
      </w:pPr>
      <w:r>
        <w:rPr>
          <w:rFonts w:hint="eastAsia" w:cs="Calibri" w:asciiTheme="minorEastAsia" w:hAnsiTheme="minorEastAsia"/>
          <w:b/>
          <w:bCs/>
          <w:kern w:val="0"/>
          <w:sz w:val="22"/>
          <w:szCs w:val="22"/>
        </w:rPr>
        <w:t>1.8 质量要求</w:t>
      </w:r>
    </w:p>
    <w:p>
      <w:pPr>
        <w:adjustRightInd w:val="0"/>
        <w:snapToGrid w:val="0"/>
        <w:spacing w:line="360" w:lineRule="exact"/>
        <w:ind w:firstLine="440"/>
        <w:rPr>
          <w:rFonts w:cs="Calibri" w:asciiTheme="minorEastAsia" w:hAnsiTheme="minorEastAsia"/>
          <w:color w:val="000000"/>
          <w:sz w:val="22"/>
          <w:szCs w:val="22"/>
        </w:rPr>
      </w:pPr>
      <w:bookmarkStart w:id="9" w:name="_Toc13907"/>
      <w:r>
        <w:rPr>
          <w:rFonts w:cs="Calibri" w:asciiTheme="minorEastAsia" w:hAnsiTheme="minorEastAsia"/>
          <w:color w:val="000000"/>
          <w:sz w:val="22"/>
          <w:szCs w:val="22"/>
        </w:rPr>
        <w:t>见投标人须知前附表。</w:t>
      </w:r>
    </w:p>
    <w:p>
      <w:pPr>
        <w:autoSpaceDE w:val="0"/>
        <w:autoSpaceDN w:val="0"/>
        <w:adjustRightInd w:val="0"/>
        <w:snapToGrid w:val="0"/>
        <w:spacing w:line="360" w:lineRule="exact"/>
        <w:rPr>
          <w:rFonts w:cs="Calibri" w:asciiTheme="minorEastAsia" w:hAnsiTheme="minorEastAsia"/>
          <w:b/>
          <w:bCs/>
          <w:kern w:val="0"/>
          <w:sz w:val="22"/>
          <w:szCs w:val="22"/>
        </w:rPr>
      </w:pPr>
      <w:r>
        <w:rPr>
          <w:rFonts w:cs="Calibri" w:asciiTheme="minorEastAsia" w:hAnsiTheme="minorEastAsia"/>
          <w:b/>
          <w:bCs/>
          <w:kern w:val="0"/>
          <w:sz w:val="22"/>
          <w:szCs w:val="22"/>
        </w:rPr>
        <w:t>1.</w:t>
      </w:r>
      <w:r>
        <w:rPr>
          <w:rFonts w:hint="eastAsia" w:cs="Calibri" w:asciiTheme="minorEastAsia" w:hAnsiTheme="minorEastAsia"/>
          <w:b/>
          <w:bCs/>
          <w:kern w:val="0"/>
          <w:sz w:val="22"/>
          <w:szCs w:val="22"/>
        </w:rPr>
        <w:t>9</w:t>
      </w:r>
      <w:r>
        <w:rPr>
          <w:rFonts w:cs="Calibri" w:asciiTheme="minorEastAsia" w:hAnsiTheme="minorEastAsia"/>
          <w:b/>
          <w:bCs/>
          <w:kern w:val="0"/>
          <w:sz w:val="22"/>
          <w:szCs w:val="22"/>
        </w:rPr>
        <w:t xml:space="preserve"> 踏勘现场</w:t>
      </w:r>
      <w:bookmarkEnd w:id="9"/>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sz w:val="22"/>
          <w:szCs w:val="22"/>
        </w:rPr>
        <w:t>1.</w:t>
      </w:r>
      <w:r>
        <w:rPr>
          <w:rFonts w:hint="eastAsia" w:cs="Calibri" w:asciiTheme="minorEastAsia" w:hAnsiTheme="minorEastAsia"/>
          <w:sz w:val="22"/>
          <w:szCs w:val="22"/>
        </w:rPr>
        <w:t>9</w:t>
      </w:r>
      <w:r>
        <w:rPr>
          <w:rFonts w:cs="Calibri" w:asciiTheme="minorEastAsia" w:hAnsiTheme="minorEastAsia"/>
          <w:sz w:val="22"/>
          <w:szCs w:val="22"/>
        </w:rPr>
        <w:t>.1</w:t>
      </w:r>
      <w:r>
        <w:rPr>
          <w:rFonts w:cs="Calibri" w:asciiTheme="minorEastAsia" w:hAnsiTheme="minorEastAsia"/>
          <w:color w:val="000000"/>
          <w:sz w:val="22"/>
          <w:szCs w:val="22"/>
        </w:rPr>
        <w:t>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sz w:val="22"/>
          <w:szCs w:val="22"/>
        </w:rPr>
        <w:t>1.</w:t>
      </w:r>
      <w:r>
        <w:rPr>
          <w:rFonts w:hint="eastAsia" w:cs="Calibri" w:asciiTheme="minorEastAsia" w:hAnsiTheme="minorEastAsia"/>
          <w:color w:val="000000"/>
          <w:sz w:val="22"/>
          <w:szCs w:val="22"/>
        </w:rPr>
        <w:t>9</w:t>
      </w:r>
      <w:r>
        <w:rPr>
          <w:rFonts w:cs="Calibri" w:asciiTheme="minorEastAsia" w:hAnsiTheme="minorEastAsia"/>
          <w:color w:val="000000"/>
          <w:sz w:val="22"/>
          <w:szCs w:val="22"/>
        </w:rPr>
        <w:t>.2 投标人踏勘现场发生的费用自理。</w:t>
      </w:r>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sz w:val="22"/>
          <w:szCs w:val="22"/>
        </w:rPr>
        <w:t>1.</w:t>
      </w:r>
      <w:r>
        <w:rPr>
          <w:rFonts w:hint="eastAsia" w:cs="Calibri" w:asciiTheme="minorEastAsia" w:hAnsiTheme="minorEastAsia"/>
          <w:color w:val="000000"/>
          <w:sz w:val="22"/>
          <w:szCs w:val="22"/>
        </w:rPr>
        <w:t>9</w:t>
      </w:r>
      <w:r>
        <w:rPr>
          <w:rFonts w:cs="Calibri" w:asciiTheme="minorEastAsia" w:hAnsiTheme="minorEastAsia"/>
          <w:color w:val="000000"/>
          <w:sz w:val="22"/>
          <w:szCs w:val="22"/>
        </w:rPr>
        <w:t>.3 投标人自行负责在踏勘现场中所发生的人员伤亡和财产损失。</w:t>
      </w:r>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sz w:val="22"/>
          <w:szCs w:val="22"/>
        </w:rPr>
        <w:t>1.</w:t>
      </w:r>
      <w:r>
        <w:rPr>
          <w:rFonts w:hint="eastAsia" w:cs="Calibri" w:asciiTheme="minorEastAsia" w:hAnsiTheme="minorEastAsia"/>
          <w:color w:val="000000"/>
          <w:sz w:val="22"/>
          <w:szCs w:val="22"/>
        </w:rPr>
        <w:t>9</w:t>
      </w:r>
      <w:r>
        <w:rPr>
          <w:rFonts w:cs="Calibri" w:asciiTheme="minorEastAsia" w:hAnsiTheme="minorEastAsia"/>
          <w:color w:val="000000"/>
          <w:sz w:val="22"/>
          <w:szCs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szCs w:val="22"/>
        </w:rPr>
      </w:pPr>
      <w:bookmarkStart w:id="10" w:name="_Toc4199"/>
      <w:r>
        <w:rPr>
          <w:rFonts w:cs="Calibri" w:asciiTheme="minorEastAsia" w:hAnsiTheme="minorEastAsia"/>
          <w:b/>
          <w:bCs/>
          <w:kern w:val="0"/>
          <w:sz w:val="22"/>
          <w:szCs w:val="22"/>
        </w:rPr>
        <w:t>1.</w:t>
      </w:r>
      <w:r>
        <w:rPr>
          <w:rFonts w:hint="eastAsia" w:cs="Calibri" w:asciiTheme="minorEastAsia" w:hAnsiTheme="minorEastAsia"/>
          <w:b/>
          <w:bCs/>
          <w:kern w:val="0"/>
          <w:sz w:val="22"/>
          <w:szCs w:val="22"/>
        </w:rPr>
        <w:t>10</w:t>
      </w:r>
      <w:r>
        <w:rPr>
          <w:rFonts w:cs="Calibri" w:asciiTheme="minorEastAsia" w:hAnsiTheme="minorEastAsia"/>
          <w:b/>
          <w:bCs/>
          <w:kern w:val="0"/>
          <w:sz w:val="22"/>
          <w:szCs w:val="22"/>
        </w:rPr>
        <w:t xml:space="preserve"> 投标预备会</w:t>
      </w:r>
      <w:bookmarkEnd w:id="10"/>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sz w:val="22"/>
          <w:szCs w:val="22"/>
        </w:rPr>
        <w:t>见投标人须知前附表。</w:t>
      </w:r>
    </w:p>
    <w:p>
      <w:pPr>
        <w:autoSpaceDE w:val="0"/>
        <w:autoSpaceDN w:val="0"/>
        <w:adjustRightInd w:val="0"/>
        <w:snapToGrid w:val="0"/>
        <w:spacing w:line="360" w:lineRule="exact"/>
        <w:rPr>
          <w:rFonts w:cs="Calibri" w:asciiTheme="minorEastAsia" w:hAnsiTheme="minorEastAsia"/>
          <w:b/>
          <w:bCs/>
          <w:kern w:val="0"/>
          <w:sz w:val="22"/>
          <w:szCs w:val="22"/>
        </w:rPr>
      </w:pPr>
      <w:bookmarkStart w:id="11" w:name="_Toc4584"/>
      <w:r>
        <w:rPr>
          <w:rFonts w:cs="Calibri" w:asciiTheme="minorEastAsia" w:hAnsiTheme="minorEastAsia"/>
          <w:b/>
          <w:bCs/>
          <w:kern w:val="0"/>
          <w:sz w:val="22"/>
          <w:szCs w:val="22"/>
        </w:rPr>
        <w:t>1.1</w:t>
      </w:r>
      <w:r>
        <w:rPr>
          <w:rFonts w:hint="eastAsia" w:cs="Calibri" w:asciiTheme="minorEastAsia" w:hAnsiTheme="minorEastAsia"/>
          <w:b/>
          <w:bCs/>
          <w:kern w:val="0"/>
          <w:sz w:val="22"/>
          <w:szCs w:val="22"/>
        </w:rPr>
        <w:t>1</w:t>
      </w:r>
      <w:r>
        <w:rPr>
          <w:rFonts w:cs="Calibri" w:asciiTheme="minorEastAsia" w:hAnsiTheme="minorEastAsia"/>
          <w:b/>
          <w:bCs/>
          <w:kern w:val="0"/>
          <w:sz w:val="22"/>
          <w:szCs w:val="22"/>
        </w:rPr>
        <w:t xml:space="preserve"> 分包</w:t>
      </w:r>
      <w:bookmarkEnd w:id="11"/>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sz w:val="22"/>
          <w:szCs w:val="22"/>
        </w:rPr>
        <w:t>本项目</w:t>
      </w:r>
      <w:r>
        <w:rPr>
          <w:rFonts w:hint="eastAsia" w:cs="Calibri" w:asciiTheme="minorEastAsia" w:hAnsiTheme="minorEastAsia"/>
          <w:color w:val="000000"/>
          <w:sz w:val="22"/>
          <w:szCs w:val="22"/>
        </w:rPr>
        <w:t>涉及到其它专业的部分分项工作</w:t>
      </w:r>
      <w:r>
        <w:rPr>
          <w:rFonts w:cs="Calibri" w:asciiTheme="minorEastAsia" w:hAnsiTheme="minorEastAsia"/>
          <w:color w:val="000000"/>
          <w:sz w:val="22"/>
          <w:szCs w:val="22"/>
        </w:rPr>
        <w:t>允许分包。</w:t>
      </w:r>
    </w:p>
    <w:p>
      <w:pPr>
        <w:autoSpaceDE w:val="0"/>
        <w:autoSpaceDN w:val="0"/>
        <w:adjustRightInd w:val="0"/>
        <w:snapToGrid w:val="0"/>
        <w:spacing w:line="360" w:lineRule="exact"/>
        <w:rPr>
          <w:rFonts w:cs="Calibri" w:asciiTheme="minorEastAsia" w:hAnsiTheme="minorEastAsia"/>
          <w:b/>
          <w:bCs/>
          <w:kern w:val="0"/>
          <w:sz w:val="22"/>
          <w:szCs w:val="22"/>
        </w:rPr>
      </w:pPr>
      <w:bookmarkStart w:id="12" w:name="_Toc3996"/>
      <w:r>
        <w:rPr>
          <w:rFonts w:cs="Calibri" w:asciiTheme="minorEastAsia" w:hAnsiTheme="minorEastAsia"/>
          <w:b/>
          <w:bCs/>
          <w:kern w:val="0"/>
          <w:sz w:val="22"/>
          <w:szCs w:val="22"/>
        </w:rPr>
        <w:t>1.1</w:t>
      </w:r>
      <w:r>
        <w:rPr>
          <w:rFonts w:hint="eastAsia" w:cs="Calibri" w:asciiTheme="minorEastAsia" w:hAnsiTheme="minorEastAsia"/>
          <w:b/>
          <w:bCs/>
          <w:kern w:val="0"/>
          <w:sz w:val="22"/>
          <w:szCs w:val="22"/>
        </w:rPr>
        <w:t>2</w:t>
      </w:r>
      <w:r>
        <w:rPr>
          <w:rFonts w:cs="Calibri" w:asciiTheme="minorEastAsia" w:hAnsiTheme="minorEastAsia"/>
          <w:b/>
          <w:bCs/>
          <w:kern w:val="0"/>
          <w:sz w:val="22"/>
          <w:szCs w:val="22"/>
        </w:rPr>
        <w:t xml:space="preserve"> 投标费用</w:t>
      </w:r>
      <w:bookmarkEnd w:id="12"/>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sz w:val="22"/>
          <w:szCs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szCs w:val="22"/>
        </w:rPr>
      </w:pPr>
      <w:bookmarkStart w:id="13" w:name="_Toc15241"/>
      <w:bookmarkStart w:id="14" w:name="_Toc143421657"/>
      <w:r>
        <w:rPr>
          <w:rFonts w:cs="Calibri" w:asciiTheme="minorEastAsia" w:hAnsiTheme="minorEastAsia"/>
          <w:b/>
          <w:bCs/>
          <w:kern w:val="0"/>
          <w:sz w:val="22"/>
          <w:szCs w:val="22"/>
        </w:rPr>
        <w:t>2.招标文件</w:t>
      </w:r>
      <w:bookmarkEnd w:id="13"/>
      <w:bookmarkEnd w:id="14"/>
    </w:p>
    <w:p>
      <w:pPr>
        <w:autoSpaceDE w:val="0"/>
        <w:autoSpaceDN w:val="0"/>
        <w:adjustRightInd w:val="0"/>
        <w:snapToGrid w:val="0"/>
        <w:spacing w:line="360" w:lineRule="exact"/>
        <w:rPr>
          <w:rFonts w:cs="Calibri" w:asciiTheme="minorEastAsia" w:hAnsiTheme="minorEastAsia"/>
          <w:b/>
          <w:bCs/>
          <w:kern w:val="0"/>
          <w:sz w:val="22"/>
          <w:szCs w:val="22"/>
        </w:rPr>
      </w:pPr>
      <w:bookmarkStart w:id="15" w:name="_Toc1426"/>
      <w:r>
        <w:rPr>
          <w:rFonts w:cs="Calibri" w:asciiTheme="minorEastAsia" w:hAnsiTheme="minorEastAsia"/>
          <w:b/>
          <w:bCs/>
          <w:kern w:val="0"/>
          <w:sz w:val="22"/>
          <w:szCs w:val="22"/>
        </w:rPr>
        <w:t>2.1 招标文件的组成</w:t>
      </w:r>
      <w:bookmarkEnd w:id="15"/>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本招标文件包括：</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（1）招标公告</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（2）投标人须知</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（3）货物需求一览表及技术规格</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（4）合同条款</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（5）评标办法</w:t>
      </w:r>
      <w:r>
        <w:rPr>
          <w:rFonts w:hint="eastAsia" w:cs="Calibri" w:asciiTheme="minorEastAsia" w:hAnsiTheme="minorEastAsia"/>
          <w:kern w:val="0"/>
          <w:sz w:val="22"/>
          <w:szCs w:val="22"/>
        </w:rPr>
        <w:t>及标准</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（6）投标文件格式</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sz w:val="22"/>
          <w:szCs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szCs w:val="22"/>
        </w:rPr>
      </w:pPr>
      <w:bookmarkStart w:id="16" w:name="_Toc18230"/>
      <w:r>
        <w:rPr>
          <w:rFonts w:cs="Calibri" w:asciiTheme="minorEastAsia" w:hAnsiTheme="minorEastAsia"/>
          <w:b/>
          <w:bCs/>
          <w:kern w:val="0"/>
          <w:sz w:val="22"/>
          <w:szCs w:val="22"/>
        </w:rPr>
        <w:t>2.2 招标文件的澄清</w:t>
      </w:r>
      <w:bookmarkEnd w:id="16"/>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sz w:val="22"/>
          <w:szCs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sz w:val="22"/>
          <w:szCs w:val="22"/>
        </w:rPr>
        <w:t>2.2.2</w:t>
      </w:r>
      <w:r>
        <w:rPr>
          <w:rFonts w:hint="eastAsia" w:cs="Calibri" w:asciiTheme="minorEastAsia" w:hAnsiTheme="minorEastAsia"/>
          <w:color w:val="000000"/>
          <w:sz w:val="22"/>
          <w:szCs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szCs w:val="22"/>
        </w:rPr>
      </w:pPr>
      <w:bookmarkStart w:id="17" w:name="_Toc18303"/>
      <w:r>
        <w:rPr>
          <w:rFonts w:cs="Calibri" w:asciiTheme="minorEastAsia" w:hAnsiTheme="minorEastAsia"/>
          <w:b/>
          <w:bCs/>
          <w:kern w:val="0"/>
          <w:sz w:val="22"/>
          <w:szCs w:val="22"/>
        </w:rPr>
        <w:t>2.3 招标文件的修改</w:t>
      </w:r>
      <w:bookmarkEnd w:id="17"/>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kern w:val="0"/>
          <w:sz w:val="22"/>
          <w:szCs w:val="22"/>
        </w:rPr>
        <w:t>2.3.1</w:t>
      </w:r>
      <w:r>
        <w:rPr>
          <w:rFonts w:hint="eastAsia" w:cs="Calibri" w:asciiTheme="minorEastAsia" w:hAnsiTheme="minorEastAsia"/>
          <w:kern w:val="0"/>
          <w:sz w:val="22"/>
          <w:szCs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cs="Calibri" w:asciiTheme="minorEastAsia" w:hAnsiTheme="minorEastAsia"/>
          <w:b/>
          <w:bCs/>
          <w:kern w:val="0"/>
          <w:sz w:val="22"/>
          <w:szCs w:val="22"/>
        </w:rPr>
      </w:pPr>
      <w:bookmarkStart w:id="18" w:name="_Toc18870"/>
      <w:bookmarkStart w:id="19" w:name="_Toc143421658"/>
      <w:r>
        <w:rPr>
          <w:rFonts w:cs="Calibri" w:asciiTheme="minorEastAsia" w:hAnsiTheme="minorEastAsia"/>
          <w:b/>
          <w:bCs/>
          <w:kern w:val="0"/>
          <w:sz w:val="22"/>
          <w:szCs w:val="22"/>
        </w:rPr>
        <w:t>3.投标文件</w:t>
      </w:r>
      <w:bookmarkEnd w:id="18"/>
      <w:bookmarkEnd w:id="19"/>
    </w:p>
    <w:p>
      <w:pPr>
        <w:autoSpaceDE w:val="0"/>
        <w:autoSpaceDN w:val="0"/>
        <w:adjustRightInd w:val="0"/>
        <w:snapToGrid w:val="0"/>
        <w:spacing w:line="360" w:lineRule="exact"/>
        <w:rPr>
          <w:rFonts w:cs="Calibri" w:asciiTheme="minorEastAsia" w:hAnsiTheme="minorEastAsia"/>
          <w:b/>
          <w:bCs/>
          <w:kern w:val="0"/>
          <w:sz w:val="22"/>
          <w:szCs w:val="22"/>
        </w:rPr>
      </w:pPr>
      <w:bookmarkStart w:id="20" w:name="_Toc461"/>
      <w:r>
        <w:rPr>
          <w:rFonts w:cs="Calibri" w:asciiTheme="minorEastAsia" w:hAnsiTheme="minorEastAsia"/>
          <w:b/>
          <w:bCs/>
          <w:kern w:val="0"/>
          <w:sz w:val="22"/>
          <w:szCs w:val="22"/>
        </w:rPr>
        <w:t>3.1 投标文件的语言和计量单位</w:t>
      </w:r>
      <w:bookmarkEnd w:id="20"/>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sz w:val="22"/>
          <w:szCs w:val="22"/>
        </w:rPr>
        <w:t>3.1.1投标文件与投标有关的所有文件均应使用中文。</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3.1.2除规范另有规定外，投标文件使用的度量衡单位，均采用中华人民共和国法定计量单位。</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3.1.3招标文件中的“天”除特别说明外，均为日历天。</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3.1.4招标文件中所指的“合同”除特别说明外，指 “销售</w:t>
      </w:r>
      <w:r>
        <w:rPr>
          <w:rFonts w:hint="eastAsia" w:cs="Calibri" w:asciiTheme="minorEastAsia" w:hAnsiTheme="minorEastAsia"/>
          <w:kern w:val="0"/>
          <w:sz w:val="22"/>
          <w:szCs w:val="22"/>
        </w:rPr>
        <w:t>（供货）</w:t>
      </w:r>
      <w:r>
        <w:rPr>
          <w:rFonts w:cs="Calibri" w:asciiTheme="minorEastAsia" w:hAnsiTheme="minorEastAsia"/>
          <w:kern w:val="0"/>
          <w:sz w:val="22"/>
          <w:szCs w:val="22"/>
        </w:rPr>
        <w:t>合同”。</w:t>
      </w:r>
    </w:p>
    <w:p>
      <w:pPr>
        <w:autoSpaceDE w:val="0"/>
        <w:autoSpaceDN w:val="0"/>
        <w:adjustRightInd w:val="0"/>
        <w:snapToGrid w:val="0"/>
        <w:spacing w:line="360" w:lineRule="exact"/>
        <w:rPr>
          <w:rFonts w:cs="Calibri" w:asciiTheme="minorEastAsia" w:hAnsiTheme="minorEastAsia"/>
          <w:b/>
          <w:bCs/>
          <w:kern w:val="0"/>
          <w:sz w:val="22"/>
          <w:szCs w:val="22"/>
        </w:rPr>
      </w:pPr>
      <w:bookmarkStart w:id="21" w:name="_Toc1411"/>
      <w:r>
        <w:rPr>
          <w:rFonts w:cs="Calibri" w:asciiTheme="minorEastAsia" w:hAnsiTheme="minorEastAsia"/>
          <w:b/>
          <w:bCs/>
          <w:kern w:val="0"/>
          <w:sz w:val="22"/>
          <w:szCs w:val="22"/>
        </w:rPr>
        <w:t>3.2 投标文件的组成</w:t>
      </w:r>
      <w:bookmarkEnd w:id="21"/>
    </w:p>
    <w:p>
      <w:pPr>
        <w:adjustRightInd w:val="0"/>
        <w:snapToGrid w:val="0"/>
        <w:spacing w:line="360" w:lineRule="exact"/>
        <w:ind w:firstLine="440"/>
        <w:rPr>
          <w:rFonts w:cs="Calibri" w:asciiTheme="minorEastAsia" w:hAnsiTheme="minorEastAsia"/>
          <w:sz w:val="22"/>
          <w:szCs w:val="22"/>
        </w:rPr>
      </w:pPr>
      <w:bookmarkStart w:id="22" w:name="_Toc32225"/>
      <w:r>
        <w:rPr>
          <w:rFonts w:cs="Calibri" w:asciiTheme="minorEastAsia" w:hAnsiTheme="minorEastAsia"/>
          <w:sz w:val="22"/>
          <w:szCs w:val="22"/>
        </w:rPr>
        <w:t>3.2.1投标函；</w:t>
      </w:r>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sz w:val="22"/>
          <w:szCs w:val="22"/>
        </w:rPr>
        <w:t>3.2.</w:t>
      </w:r>
      <w:r>
        <w:rPr>
          <w:rFonts w:hint="eastAsia" w:cs="Calibri" w:asciiTheme="minorEastAsia" w:hAnsiTheme="minorEastAsia"/>
          <w:color w:val="000000"/>
          <w:sz w:val="22"/>
          <w:szCs w:val="22"/>
        </w:rPr>
        <w:t>2</w:t>
      </w:r>
      <w:r>
        <w:rPr>
          <w:rFonts w:cs="Calibri" w:asciiTheme="minorEastAsia" w:hAnsiTheme="minorEastAsia"/>
          <w:color w:val="000000"/>
          <w:sz w:val="22"/>
          <w:szCs w:val="22"/>
        </w:rPr>
        <w:t>法定代表人资格证明书；</w:t>
      </w:r>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sz w:val="22"/>
          <w:szCs w:val="22"/>
        </w:rPr>
        <w:t>3.2.</w:t>
      </w:r>
      <w:r>
        <w:rPr>
          <w:rFonts w:hint="eastAsia" w:cs="Calibri" w:asciiTheme="minorEastAsia" w:hAnsiTheme="minorEastAsia"/>
          <w:color w:val="000000"/>
          <w:sz w:val="22"/>
          <w:szCs w:val="22"/>
        </w:rPr>
        <w:t>3</w:t>
      </w:r>
      <w:r>
        <w:rPr>
          <w:rFonts w:cs="Calibri" w:asciiTheme="minorEastAsia" w:hAnsiTheme="minorEastAsia"/>
          <w:color w:val="000000"/>
          <w:sz w:val="22"/>
          <w:szCs w:val="22"/>
        </w:rPr>
        <w:t>授权委托书；</w:t>
      </w:r>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sz w:val="22"/>
          <w:szCs w:val="22"/>
        </w:rPr>
        <w:t>3.2.</w:t>
      </w:r>
      <w:r>
        <w:rPr>
          <w:rFonts w:hint="eastAsia" w:cs="Calibri" w:asciiTheme="minorEastAsia" w:hAnsiTheme="minorEastAsia"/>
          <w:color w:val="000000"/>
          <w:sz w:val="22"/>
          <w:szCs w:val="22"/>
        </w:rPr>
        <w:t>4</w:t>
      </w:r>
      <w:r>
        <w:rPr>
          <w:rFonts w:cs="Calibri" w:asciiTheme="minorEastAsia" w:hAnsiTheme="minorEastAsia"/>
          <w:color w:val="000000"/>
          <w:sz w:val="22"/>
          <w:szCs w:val="22"/>
        </w:rPr>
        <w:t xml:space="preserve"> 投标报价表；</w:t>
      </w:r>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3.2.5投标人资格证明文件：</w:t>
      </w:r>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cs="Calibri" w:asciiTheme="minorEastAsia" w:hAnsiTheme="minorEastAsia"/>
          <w:sz w:val="22"/>
          <w:szCs w:val="22"/>
        </w:rPr>
        <w:t>（附营业执照、税务登记证、相关</w:t>
      </w:r>
      <w:r>
        <w:rPr>
          <w:rFonts w:cs="Calibri" w:asciiTheme="minorEastAsia" w:hAnsiTheme="minorEastAsia"/>
          <w:sz w:val="22"/>
          <w:szCs w:val="22"/>
        </w:rPr>
        <w:t>产品质量认证证书</w:t>
      </w:r>
      <w:r>
        <w:rPr>
          <w:rFonts w:hint="eastAsia" w:cs="Arial" w:asciiTheme="minorEastAsia" w:hAnsiTheme="minorEastAsia"/>
          <w:kern w:val="0"/>
          <w:sz w:val="22"/>
          <w:szCs w:val="22"/>
        </w:rPr>
        <w:t>、</w:t>
      </w:r>
      <w:r>
        <w:rPr>
          <w:rFonts w:hint="eastAsia" w:cs="Calibri" w:asciiTheme="minorEastAsia" w:hAnsiTheme="minorEastAsia"/>
          <w:sz w:val="22"/>
          <w:szCs w:val="22"/>
        </w:rPr>
        <w:t>相关</w:t>
      </w:r>
      <w:r>
        <w:rPr>
          <w:rFonts w:cs="Calibri" w:asciiTheme="minorEastAsia" w:hAnsiTheme="minorEastAsia"/>
          <w:sz w:val="22"/>
          <w:szCs w:val="22"/>
        </w:rPr>
        <w:t>产品鉴定证书</w:t>
      </w:r>
      <w:r>
        <w:rPr>
          <w:rFonts w:hint="eastAsia" w:cs="Calibri" w:asciiTheme="minorEastAsia" w:hAnsiTheme="minorEastAsia"/>
          <w:sz w:val="22"/>
          <w:szCs w:val="22"/>
        </w:rPr>
        <w:t>等）。</w:t>
      </w:r>
    </w:p>
    <w:p>
      <w:pPr>
        <w:adjustRightInd w:val="0"/>
        <w:snapToGrid w:val="0"/>
        <w:spacing w:line="360" w:lineRule="exact"/>
        <w:ind w:firstLine="440"/>
        <w:rPr>
          <w:rFonts w:cs="Calibri" w:asciiTheme="minorEastAsia" w:hAnsiTheme="minorEastAsia"/>
          <w:sz w:val="22"/>
          <w:szCs w:val="22"/>
        </w:rPr>
      </w:pPr>
      <w:r>
        <w:rPr>
          <w:rFonts w:hint="eastAsia" w:cs="Calibri" w:asciiTheme="minorEastAsia" w:hAnsiTheme="minorEastAsia"/>
          <w:sz w:val="22"/>
          <w:szCs w:val="22"/>
        </w:rPr>
        <w:t>（2）信用中国网站www.creditchina.gov.cn 、中国裁判文书网http://wenshu.court.gov.cn查询结果证材料以及主管税务部门出具的一般纳税人资格认定《税务事项通知书》。</w:t>
      </w:r>
    </w:p>
    <w:p>
      <w:pPr>
        <w:adjustRightInd w:val="0"/>
        <w:snapToGrid w:val="0"/>
        <w:spacing w:line="360" w:lineRule="exact"/>
        <w:ind w:firstLine="440"/>
        <w:rPr>
          <w:rFonts w:cs="Arial" w:asciiTheme="minorEastAsia" w:hAnsiTheme="minorEastAsia"/>
          <w:kern w:val="0"/>
          <w:sz w:val="22"/>
          <w:szCs w:val="22"/>
        </w:rPr>
      </w:pPr>
      <w:r>
        <w:rPr>
          <w:rFonts w:hint="eastAsia" w:cs="Calibri" w:asciiTheme="minorEastAsia" w:hAnsiTheme="minorEastAsia"/>
          <w:sz w:val="22"/>
          <w:szCs w:val="22"/>
        </w:rPr>
        <w:t>（</w:t>
      </w:r>
      <w:r>
        <w:rPr>
          <w:rFonts w:cs="Calibri" w:asciiTheme="minorEastAsia" w:hAnsiTheme="minorEastAsia"/>
          <w:sz w:val="22"/>
          <w:szCs w:val="22"/>
        </w:rPr>
        <w:t>3</w:t>
      </w:r>
      <w:r>
        <w:rPr>
          <w:rFonts w:hint="eastAsia" w:cs="Calibri" w:asciiTheme="minorEastAsia" w:hAnsiTheme="minorEastAsia"/>
          <w:sz w:val="22"/>
          <w:szCs w:val="22"/>
        </w:rPr>
        <w:t>）</w:t>
      </w:r>
      <w:r>
        <w:rPr>
          <w:rFonts w:hint="eastAsia" w:cs="宋体" w:asciiTheme="minorEastAsia" w:hAnsiTheme="minorEastAsia"/>
          <w:sz w:val="22"/>
          <w:szCs w:val="22"/>
        </w:rPr>
        <w:t>制造商资格声明</w:t>
      </w:r>
      <w:r>
        <w:rPr>
          <w:rFonts w:hint="eastAsia" w:cs="Arial" w:asciiTheme="minorEastAsia" w:hAnsiTheme="minorEastAsia"/>
          <w:kern w:val="0"/>
          <w:sz w:val="22"/>
          <w:szCs w:val="22"/>
        </w:rPr>
        <w:t>。</w:t>
      </w:r>
    </w:p>
    <w:p>
      <w:pPr>
        <w:adjustRightInd w:val="0"/>
        <w:snapToGrid w:val="0"/>
        <w:spacing w:line="360" w:lineRule="exact"/>
        <w:ind w:firstLine="440"/>
        <w:rPr>
          <w:rFonts w:cs="Arial" w:asciiTheme="minorEastAsia" w:hAnsiTheme="minorEastAsia"/>
          <w:kern w:val="0"/>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4</w:t>
      </w:r>
      <w:r>
        <w:rPr>
          <w:rFonts w:hint="eastAsia" w:cs="Arial" w:asciiTheme="minorEastAsia" w:hAnsiTheme="minorEastAsia"/>
          <w:kern w:val="0"/>
          <w:sz w:val="22"/>
          <w:szCs w:val="22"/>
        </w:rPr>
        <w:t>）</w:t>
      </w:r>
      <w:r>
        <w:rPr>
          <w:rFonts w:cs="Calibri" w:asciiTheme="minorEastAsia" w:hAnsiTheme="minorEastAsia"/>
          <w:color w:val="000000"/>
          <w:sz w:val="22"/>
          <w:szCs w:val="22"/>
        </w:rPr>
        <w:t>设备制造商的授权书</w:t>
      </w:r>
      <w:r>
        <w:rPr>
          <w:rFonts w:hint="eastAsia" w:cs="Calibri" w:asciiTheme="minorEastAsia" w:hAnsiTheme="minorEastAsia"/>
          <w:color w:val="000000"/>
          <w:sz w:val="22"/>
          <w:szCs w:val="22"/>
        </w:rPr>
        <w:t>（代理商投标时提供）</w:t>
      </w:r>
    </w:p>
    <w:p>
      <w:pPr>
        <w:adjustRightInd w:val="0"/>
        <w:snapToGrid w:val="0"/>
        <w:spacing w:line="360" w:lineRule="exact"/>
        <w:ind w:firstLine="440"/>
        <w:rPr>
          <w:rFonts w:cs="Calibri" w:asciiTheme="minorEastAsia" w:hAnsiTheme="minorEastAsia"/>
          <w:sz w:val="22"/>
          <w:szCs w:val="22"/>
        </w:rPr>
      </w:pPr>
      <w:r>
        <w:rPr>
          <w:rFonts w:hint="eastAsia" w:cs="Arial" w:asciiTheme="minorEastAsia" w:hAnsiTheme="minorEastAsia"/>
          <w:kern w:val="0"/>
          <w:sz w:val="22"/>
          <w:szCs w:val="22"/>
        </w:rPr>
        <w:t>（</w:t>
      </w:r>
      <w:r>
        <w:rPr>
          <w:rFonts w:cs="Arial" w:asciiTheme="minorEastAsia" w:hAnsiTheme="minorEastAsia"/>
          <w:kern w:val="0"/>
          <w:sz w:val="22"/>
          <w:szCs w:val="22"/>
        </w:rPr>
        <w:t>5</w:t>
      </w:r>
      <w:r>
        <w:rPr>
          <w:rFonts w:hint="eastAsia" w:cs="Arial" w:asciiTheme="minorEastAsia" w:hAnsiTheme="minorEastAsia"/>
          <w:kern w:val="0"/>
          <w:sz w:val="22"/>
          <w:szCs w:val="22"/>
        </w:rPr>
        <w:t>）</w:t>
      </w:r>
      <w:r>
        <w:rPr>
          <w:rFonts w:hint="eastAsia" w:cs="Calibri" w:asciiTheme="minorEastAsia" w:hAnsiTheme="minorEastAsia"/>
          <w:sz w:val="22"/>
          <w:szCs w:val="22"/>
        </w:rPr>
        <w:t>投标产品近三年的销售业绩一览表（附业绩的合同）。</w:t>
      </w:r>
    </w:p>
    <w:p>
      <w:pPr>
        <w:adjustRightInd w:val="0"/>
        <w:snapToGrid w:val="0"/>
        <w:spacing w:line="360" w:lineRule="exact"/>
        <w:ind w:firstLine="440"/>
        <w:rPr>
          <w:rFonts w:cs="宋体" w:asciiTheme="minorEastAsia" w:hAnsiTheme="minorEastAsia"/>
          <w:sz w:val="22"/>
          <w:szCs w:val="22"/>
        </w:rPr>
      </w:pPr>
      <w:r>
        <w:rPr>
          <w:rFonts w:cs="Calibri" w:asciiTheme="minorEastAsia" w:hAnsiTheme="minorEastAsia"/>
          <w:sz w:val="22"/>
          <w:szCs w:val="22"/>
        </w:rPr>
        <w:t>3.2.6</w:t>
      </w:r>
      <w:r>
        <w:rPr>
          <w:rFonts w:hint="eastAsia" w:cs="宋体" w:asciiTheme="minorEastAsia" w:hAnsiTheme="minorEastAsia"/>
          <w:sz w:val="22"/>
          <w:szCs w:val="22"/>
        </w:rPr>
        <w:t>技术规格偏离表；</w:t>
      </w:r>
    </w:p>
    <w:p>
      <w:pPr>
        <w:adjustRightInd w:val="0"/>
        <w:snapToGrid w:val="0"/>
        <w:spacing w:line="360" w:lineRule="exact"/>
        <w:ind w:firstLine="440"/>
        <w:rPr>
          <w:rFonts w:cs="Calibri" w:asciiTheme="minorEastAsia" w:hAnsiTheme="minorEastAsia"/>
          <w:sz w:val="22"/>
          <w:szCs w:val="22"/>
        </w:rPr>
      </w:pPr>
      <w:r>
        <w:rPr>
          <w:rFonts w:hint="eastAsia" w:cs="宋体" w:asciiTheme="minorEastAsia" w:hAnsiTheme="minorEastAsia"/>
          <w:sz w:val="22"/>
          <w:szCs w:val="22"/>
        </w:rPr>
        <w:t>3.2.7 商务条款响应偏离表；</w:t>
      </w:r>
    </w:p>
    <w:p>
      <w:pPr>
        <w:adjustRightInd w:val="0"/>
        <w:snapToGrid w:val="0"/>
        <w:spacing w:line="360" w:lineRule="exact"/>
        <w:ind w:firstLine="440"/>
        <w:rPr>
          <w:rFonts w:cs="宋体" w:asciiTheme="minorEastAsia" w:hAnsiTheme="minorEastAsia"/>
          <w:sz w:val="22"/>
          <w:szCs w:val="22"/>
        </w:rPr>
      </w:pPr>
      <w:r>
        <w:rPr>
          <w:rFonts w:hint="eastAsia" w:cs="宋体" w:asciiTheme="minorEastAsia" w:hAnsiTheme="minorEastAsia"/>
          <w:sz w:val="22"/>
          <w:szCs w:val="22"/>
        </w:rPr>
        <w:t>3.2.8系统设备供货范围（包括设备数量、型号规格、产地、品牌），进口零部件详细清单（需说明产地、品牌）；</w:t>
      </w:r>
    </w:p>
    <w:p>
      <w:pPr>
        <w:adjustRightInd w:val="0"/>
        <w:snapToGrid w:val="0"/>
        <w:spacing w:line="360" w:lineRule="exact"/>
        <w:ind w:firstLine="440"/>
        <w:rPr>
          <w:rFonts w:cs="宋体" w:asciiTheme="minorEastAsia" w:hAnsiTheme="minorEastAsia"/>
          <w:sz w:val="22"/>
          <w:szCs w:val="22"/>
        </w:rPr>
      </w:pPr>
      <w:r>
        <w:rPr>
          <w:rFonts w:hint="eastAsia" w:cs="宋体" w:asciiTheme="minorEastAsia" w:hAnsiTheme="minorEastAsia"/>
          <w:sz w:val="22"/>
          <w:szCs w:val="22"/>
        </w:rPr>
        <w:t>3.2.9技术参数、结构及性能特点等产品技术规格书；</w:t>
      </w:r>
    </w:p>
    <w:p>
      <w:pPr>
        <w:adjustRightInd w:val="0"/>
        <w:snapToGrid w:val="0"/>
        <w:spacing w:line="360" w:lineRule="exact"/>
        <w:ind w:firstLine="440"/>
        <w:rPr>
          <w:rFonts w:cs="宋体" w:asciiTheme="minorEastAsia" w:hAnsiTheme="minorEastAsia"/>
          <w:sz w:val="22"/>
          <w:szCs w:val="22"/>
        </w:rPr>
      </w:pPr>
      <w:r>
        <w:rPr>
          <w:rFonts w:hint="eastAsia" w:cs="宋体" w:asciiTheme="minorEastAsia" w:hAnsiTheme="minorEastAsia"/>
          <w:sz w:val="22"/>
          <w:szCs w:val="22"/>
        </w:rPr>
        <w:t>3.2.10主要原材料及部件性能和生产厂家；</w:t>
      </w:r>
    </w:p>
    <w:p>
      <w:pPr>
        <w:adjustRightInd w:val="0"/>
        <w:snapToGrid w:val="0"/>
        <w:spacing w:line="360" w:lineRule="exact"/>
        <w:ind w:firstLine="440"/>
        <w:rPr>
          <w:rFonts w:cs="宋体" w:asciiTheme="minorEastAsia" w:hAnsiTheme="minorEastAsia"/>
          <w:sz w:val="22"/>
          <w:szCs w:val="22"/>
        </w:rPr>
      </w:pPr>
      <w:r>
        <w:rPr>
          <w:rFonts w:hint="eastAsia" w:cs="宋体" w:asciiTheme="minorEastAsia" w:hAnsiTheme="minorEastAsia"/>
          <w:sz w:val="22"/>
          <w:szCs w:val="22"/>
        </w:rPr>
        <w:t>3.2.11产品制造、安装、验收标准和验收方法；</w:t>
      </w:r>
    </w:p>
    <w:p>
      <w:pPr>
        <w:adjustRightInd w:val="0"/>
        <w:snapToGrid w:val="0"/>
        <w:spacing w:line="360" w:lineRule="exact"/>
        <w:ind w:firstLine="440"/>
        <w:rPr>
          <w:rFonts w:cs="宋体" w:asciiTheme="minorEastAsia" w:hAnsiTheme="minorEastAsia"/>
          <w:sz w:val="22"/>
          <w:szCs w:val="22"/>
        </w:rPr>
      </w:pPr>
      <w:r>
        <w:rPr>
          <w:rFonts w:hint="eastAsia" w:cs="宋体" w:asciiTheme="minorEastAsia" w:hAnsiTheme="minorEastAsia"/>
          <w:sz w:val="22"/>
          <w:szCs w:val="22"/>
        </w:rPr>
        <w:t>3.2.12现场指导、调试；</w:t>
      </w:r>
    </w:p>
    <w:p>
      <w:pPr>
        <w:adjustRightInd w:val="0"/>
        <w:snapToGrid w:val="0"/>
        <w:spacing w:line="360" w:lineRule="exact"/>
        <w:ind w:firstLine="440"/>
        <w:rPr>
          <w:rFonts w:cs="宋体" w:asciiTheme="minorEastAsia" w:hAnsiTheme="minorEastAsia"/>
          <w:sz w:val="22"/>
          <w:szCs w:val="22"/>
        </w:rPr>
      </w:pPr>
      <w:r>
        <w:rPr>
          <w:rFonts w:hint="eastAsia" w:cs="宋体" w:asciiTheme="minorEastAsia" w:hAnsiTheme="minorEastAsia"/>
          <w:sz w:val="22"/>
          <w:szCs w:val="22"/>
        </w:rPr>
        <w:t>3.2.13</w:t>
      </w:r>
      <w:r>
        <w:rPr>
          <w:rFonts w:cs="宋体" w:asciiTheme="minorEastAsia" w:hAnsiTheme="minorEastAsia"/>
          <w:sz w:val="22"/>
          <w:szCs w:val="22"/>
        </w:rPr>
        <w:t>产品的技术服务和售后服务的内容、措施、承诺</w:t>
      </w:r>
      <w:r>
        <w:rPr>
          <w:rFonts w:hint="eastAsia" w:cs="宋体" w:asciiTheme="minorEastAsia" w:hAnsiTheme="minorEastAsia"/>
          <w:sz w:val="22"/>
          <w:szCs w:val="22"/>
        </w:rPr>
        <w:t>；</w:t>
      </w:r>
    </w:p>
    <w:p>
      <w:pPr>
        <w:adjustRightInd w:val="0"/>
        <w:snapToGrid w:val="0"/>
        <w:spacing w:line="360" w:lineRule="exact"/>
        <w:ind w:firstLine="440"/>
        <w:rPr>
          <w:rFonts w:cs="宋体" w:asciiTheme="minorEastAsia" w:hAnsiTheme="minorEastAsia"/>
          <w:sz w:val="22"/>
          <w:szCs w:val="22"/>
        </w:rPr>
      </w:pPr>
      <w:r>
        <w:rPr>
          <w:rFonts w:hint="eastAsia" w:cs="宋体" w:asciiTheme="minorEastAsia" w:hAnsiTheme="minorEastAsia"/>
          <w:sz w:val="22"/>
          <w:szCs w:val="22"/>
        </w:rPr>
        <w:t>3.2.14提供详细的培训计划，包括培训内容、培训时间、培训人数等；</w:t>
      </w:r>
    </w:p>
    <w:p>
      <w:pPr>
        <w:adjustRightInd w:val="0"/>
        <w:snapToGrid w:val="0"/>
        <w:spacing w:line="360" w:lineRule="exact"/>
        <w:ind w:firstLine="440"/>
        <w:rPr>
          <w:rFonts w:cs="宋体" w:asciiTheme="minorEastAsia" w:hAnsiTheme="minorEastAsia"/>
          <w:sz w:val="22"/>
          <w:szCs w:val="22"/>
        </w:rPr>
      </w:pPr>
      <w:r>
        <w:rPr>
          <w:rFonts w:hint="eastAsia" w:cs="宋体" w:asciiTheme="minorEastAsia" w:hAnsiTheme="minorEastAsia"/>
          <w:sz w:val="22"/>
          <w:szCs w:val="22"/>
        </w:rPr>
        <w:t>3.2.15关于质量保证期的说明；</w:t>
      </w:r>
    </w:p>
    <w:p>
      <w:pPr>
        <w:adjustRightInd w:val="0"/>
        <w:snapToGrid w:val="0"/>
        <w:spacing w:line="360" w:lineRule="exact"/>
        <w:ind w:firstLine="440"/>
        <w:rPr>
          <w:rFonts w:cs="宋体" w:asciiTheme="minorEastAsia" w:hAnsiTheme="minorEastAsia"/>
          <w:sz w:val="22"/>
          <w:szCs w:val="22"/>
        </w:rPr>
      </w:pPr>
      <w:r>
        <w:rPr>
          <w:rFonts w:hint="eastAsia" w:cs="宋体" w:asciiTheme="minorEastAsia" w:hAnsiTheme="minorEastAsia"/>
          <w:sz w:val="22"/>
          <w:szCs w:val="22"/>
        </w:rPr>
        <w:t>3.2.16优惠条件：投标人承诺给予用户的其他优惠条款，包括付款条件、培训服务、质量保证期等方面的优惠；</w:t>
      </w:r>
    </w:p>
    <w:p>
      <w:pPr>
        <w:adjustRightInd w:val="0"/>
        <w:snapToGrid w:val="0"/>
        <w:spacing w:line="360" w:lineRule="exact"/>
        <w:ind w:firstLine="440"/>
        <w:rPr>
          <w:rFonts w:cs="宋体" w:asciiTheme="minorEastAsia" w:hAnsiTheme="minorEastAsia"/>
          <w:sz w:val="22"/>
          <w:szCs w:val="22"/>
        </w:rPr>
      </w:pPr>
      <w:r>
        <w:rPr>
          <w:rFonts w:hint="eastAsia" w:cs="宋体" w:asciiTheme="minorEastAsia" w:hAnsiTheme="minorEastAsia"/>
          <w:sz w:val="22"/>
          <w:szCs w:val="22"/>
        </w:rPr>
        <w:t>3.2.17</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cs="宋体" w:asciiTheme="minorEastAsia" w:hAnsiTheme="minorEastAsia"/>
          <w:sz w:val="22"/>
          <w:szCs w:val="22"/>
        </w:rPr>
        <w:t>。</w:t>
      </w:r>
    </w:p>
    <w:p>
      <w:pPr>
        <w:autoSpaceDE w:val="0"/>
        <w:autoSpaceDN w:val="0"/>
        <w:adjustRightInd w:val="0"/>
        <w:snapToGrid w:val="0"/>
        <w:spacing w:line="360" w:lineRule="exact"/>
        <w:rPr>
          <w:rFonts w:cs="Calibri" w:asciiTheme="minorEastAsia" w:hAnsiTheme="minorEastAsia"/>
          <w:b/>
          <w:bCs/>
          <w:kern w:val="0"/>
          <w:sz w:val="22"/>
          <w:szCs w:val="22"/>
        </w:rPr>
      </w:pPr>
      <w:r>
        <w:rPr>
          <w:rFonts w:cs="Calibri" w:asciiTheme="minorEastAsia" w:hAnsiTheme="minorEastAsia"/>
          <w:b/>
          <w:bCs/>
          <w:kern w:val="0"/>
          <w:sz w:val="22"/>
          <w:szCs w:val="22"/>
        </w:rPr>
        <w:t>3.3 投标报价</w:t>
      </w:r>
      <w:bookmarkEnd w:id="22"/>
    </w:p>
    <w:p>
      <w:pPr>
        <w:adjustRightInd w:val="0"/>
        <w:snapToGrid w:val="0"/>
        <w:spacing w:line="360" w:lineRule="exact"/>
        <w:ind w:firstLine="440"/>
        <w:rPr>
          <w:rFonts w:cs="Calibri" w:asciiTheme="minorEastAsia" w:hAnsiTheme="minorEastAsia"/>
          <w:sz w:val="22"/>
          <w:szCs w:val="22"/>
        </w:rPr>
      </w:pPr>
      <w:bookmarkStart w:id="23" w:name="_Toc13307"/>
      <w:r>
        <w:rPr>
          <w:rFonts w:cs="Calibri" w:asciiTheme="minorEastAsia" w:hAnsiTheme="minorEastAsia"/>
          <w:sz w:val="22"/>
          <w:szCs w:val="22"/>
        </w:rPr>
        <w:t>3.3.1</w:t>
      </w:r>
      <w:r>
        <w:rPr>
          <w:rFonts w:hint="eastAsia" w:cs="宋体" w:asciiTheme="minorEastAsia" w:hAnsiTheme="minorEastAsia"/>
          <w:sz w:val="22"/>
          <w:szCs w:val="22"/>
        </w:rPr>
        <w:t>投标人递交的投标函及投标报价表中的投标总价必须一致。</w:t>
      </w:r>
      <w:r>
        <w:rPr>
          <w:rFonts w:cs="Calibri" w:asciiTheme="minorEastAsia" w:hAnsiTheme="minorEastAsia"/>
          <w:sz w:val="22"/>
          <w:szCs w:val="22"/>
        </w:rPr>
        <w:t>投标人对该项目只允许有一个总报价，招标人不接受任何有选择的报价及修正报价；</w:t>
      </w:r>
    </w:p>
    <w:p>
      <w:pPr>
        <w:adjustRightInd w:val="0"/>
        <w:snapToGrid w:val="0"/>
        <w:spacing w:line="360" w:lineRule="exact"/>
        <w:ind w:firstLine="440"/>
        <w:rPr>
          <w:rFonts w:cs="宋体" w:asciiTheme="minorEastAsia" w:hAnsiTheme="minorEastAsia"/>
          <w:bCs/>
          <w:sz w:val="22"/>
          <w:szCs w:val="22"/>
        </w:rPr>
      </w:pPr>
      <w:r>
        <w:rPr>
          <w:rFonts w:cs="Calibri" w:asciiTheme="minorEastAsia" w:hAnsiTheme="minorEastAsia"/>
          <w:sz w:val="22"/>
          <w:szCs w:val="22"/>
        </w:rPr>
        <w:t>3.3.</w:t>
      </w:r>
      <w:r>
        <w:rPr>
          <w:rFonts w:hint="eastAsia" w:cs="Calibri" w:asciiTheme="minorEastAsia" w:hAnsiTheme="minorEastAsia"/>
          <w:sz w:val="22"/>
          <w:szCs w:val="22"/>
        </w:rPr>
        <w:t>2</w:t>
      </w:r>
      <w:r>
        <w:rPr>
          <w:rFonts w:hint="eastAsia" w:cs="宋体" w:asciiTheme="minorEastAsia" w:hAnsiTheme="minorEastAsia"/>
          <w:sz w:val="22"/>
          <w:szCs w:val="22"/>
        </w:rPr>
        <w:t>投标人所报投标总价应为投标人为完成本项目所发生的一切费用（包含并不限于货物</w:t>
      </w:r>
      <w:r>
        <w:rPr>
          <w:rFonts w:cs="宋体" w:asciiTheme="minorEastAsia" w:hAnsiTheme="minorEastAsia"/>
          <w:sz w:val="22"/>
          <w:szCs w:val="22"/>
        </w:rPr>
        <w:t>的</w:t>
      </w:r>
      <w:r>
        <w:rPr>
          <w:rFonts w:hint="eastAsia" w:cs="宋体" w:asciiTheme="minorEastAsia" w:hAnsiTheme="minorEastAsia"/>
          <w:sz w:val="22"/>
          <w:szCs w:val="22"/>
        </w:rPr>
        <w:t>供货、运输（包括送至招标人指定地点卸车）、包装费、保险费、税费、验收、技术培训及售后服务等）</w:t>
      </w:r>
      <w:r>
        <w:rPr>
          <w:rFonts w:cs="宋体" w:asciiTheme="minorEastAsia" w:hAnsiTheme="minorEastAsia"/>
          <w:sz w:val="22"/>
          <w:szCs w:val="22"/>
        </w:rPr>
        <w:t>，包括</w:t>
      </w:r>
      <w:r>
        <w:rPr>
          <w:rFonts w:hint="eastAsia" w:cs="宋体" w:asciiTheme="minorEastAsia" w:hAnsiTheme="minorEastAsia"/>
          <w:sz w:val="22"/>
          <w:szCs w:val="22"/>
        </w:rPr>
        <w:t>货物供货</w:t>
      </w:r>
      <w:r>
        <w:rPr>
          <w:rFonts w:cs="宋体" w:asciiTheme="minorEastAsia" w:hAnsiTheme="minorEastAsia"/>
          <w:sz w:val="22"/>
          <w:szCs w:val="22"/>
        </w:rPr>
        <w:t>及相关服务等全过程产生的所有成本和费用以及一切税费</w:t>
      </w:r>
      <w:r>
        <w:rPr>
          <w:rFonts w:cs="Calibri" w:asciiTheme="minorEastAsia" w:hAnsiTheme="minorEastAsia"/>
          <w:sz w:val="22"/>
          <w:szCs w:val="22"/>
        </w:rPr>
        <w:t>；</w:t>
      </w:r>
    </w:p>
    <w:p>
      <w:pPr>
        <w:adjustRightInd w:val="0"/>
        <w:snapToGrid w:val="0"/>
        <w:spacing w:line="360" w:lineRule="exact"/>
        <w:ind w:firstLine="440"/>
        <w:rPr>
          <w:rFonts w:cs="宋体" w:asciiTheme="minorEastAsia" w:hAnsiTheme="minorEastAsia"/>
          <w:sz w:val="22"/>
          <w:szCs w:val="22"/>
        </w:rPr>
      </w:pPr>
      <w:r>
        <w:rPr>
          <w:rFonts w:cs="Calibri" w:asciiTheme="minorEastAsia" w:hAnsiTheme="minorEastAsia"/>
          <w:sz w:val="22"/>
          <w:szCs w:val="22"/>
        </w:rPr>
        <w:t>3.3.</w:t>
      </w:r>
      <w:r>
        <w:rPr>
          <w:rFonts w:hint="eastAsia" w:cs="Calibri" w:asciiTheme="minorEastAsia" w:hAnsiTheme="minorEastAsia"/>
          <w:sz w:val="22"/>
          <w:szCs w:val="22"/>
        </w:rPr>
        <w:t>3</w:t>
      </w:r>
      <w:r>
        <w:rPr>
          <w:rFonts w:hint="eastAsia" w:cs="宋体" w:asciiTheme="minorEastAsia" w:hAnsiTheme="minorEastAsia"/>
          <w:sz w:val="22"/>
          <w:szCs w:val="22"/>
        </w:rPr>
        <w:t>投标人应按“投标报价表”的要求报价，在投标报价表上写明拟提供货物的单价和总价；</w:t>
      </w:r>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3.3.</w:t>
      </w:r>
      <w:r>
        <w:rPr>
          <w:rFonts w:hint="eastAsia" w:cs="Calibri" w:asciiTheme="minorEastAsia" w:hAnsiTheme="minorEastAsia"/>
          <w:sz w:val="22"/>
          <w:szCs w:val="22"/>
        </w:rPr>
        <w:t>4</w:t>
      </w:r>
      <w:r>
        <w:rPr>
          <w:rFonts w:hint="eastAsia" w:cs="宋体" w:asciiTheme="minorEastAsia" w:hAnsiTheme="minorEastAsia"/>
          <w:sz w:val="22"/>
          <w:szCs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3.3.</w:t>
      </w:r>
      <w:r>
        <w:rPr>
          <w:rFonts w:hint="eastAsia" w:cs="Calibri" w:asciiTheme="minorEastAsia" w:hAnsiTheme="minorEastAsia"/>
          <w:sz w:val="22"/>
          <w:szCs w:val="22"/>
        </w:rPr>
        <w:t>5投标人(如中标)在投标文件中提供的货物清单和报价将是签订合同的唯一依据，其报价在本次投标有效期内不能发生改变（</w:t>
      </w:r>
      <w:r>
        <w:rPr>
          <w:rFonts w:hint="eastAsia" w:cs="宋体" w:asciiTheme="minorEastAsia" w:hAnsiTheme="minorEastAsia"/>
          <w:sz w:val="22"/>
          <w:szCs w:val="22"/>
        </w:rPr>
        <w:t>招标人变更除外）</w:t>
      </w:r>
      <w:r>
        <w:rPr>
          <w:rFonts w:hint="eastAsia" w:cs="Calibri" w:asciiTheme="minorEastAsia" w:hAnsiTheme="minorEastAsia"/>
          <w:sz w:val="22"/>
          <w:szCs w:val="22"/>
        </w:rPr>
        <w:t>。如有改变，招标人将拒绝与其签订合同。</w:t>
      </w:r>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3.3.</w:t>
      </w:r>
      <w:r>
        <w:rPr>
          <w:rFonts w:hint="eastAsia" w:cs="Calibri" w:asciiTheme="minorEastAsia" w:hAnsiTheme="minorEastAsia"/>
          <w:sz w:val="22"/>
          <w:szCs w:val="22"/>
        </w:rPr>
        <w:t>6投标人对每种货物只允许有一个报价。</w:t>
      </w:r>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3.3.</w:t>
      </w:r>
      <w:r>
        <w:rPr>
          <w:rFonts w:hint="eastAsia" w:cs="Calibri" w:asciiTheme="minorEastAsia" w:hAnsiTheme="minorEastAsia"/>
          <w:sz w:val="22"/>
          <w:szCs w:val="22"/>
        </w:rPr>
        <w:t>7招标人不接受任何折扣优惠报价，不接受任何赠送和选择性报价。</w:t>
      </w:r>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3.3.</w:t>
      </w:r>
      <w:r>
        <w:rPr>
          <w:rFonts w:hint="eastAsia" w:cs="Calibri" w:asciiTheme="minorEastAsia" w:hAnsiTheme="minorEastAsia"/>
          <w:sz w:val="22"/>
          <w:szCs w:val="22"/>
        </w:rPr>
        <w:t>8所有根据合同或其它原因应由投标人支付的税款和其它应交纳的费用都要包括在投标人提交的投标价格中。</w:t>
      </w:r>
    </w:p>
    <w:p>
      <w:pPr>
        <w:adjustRightInd w:val="0"/>
        <w:snapToGrid w:val="0"/>
        <w:spacing w:line="360" w:lineRule="exact"/>
        <w:ind w:firstLine="440"/>
        <w:rPr>
          <w:rFonts w:cs="Calibri" w:asciiTheme="minorEastAsia" w:hAnsiTheme="minorEastAsia"/>
          <w:sz w:val="22"/>
          <w:szCs w:val="22"/>
        </w:rPr>
      </w:pPr>
      <w:r>
        <w:rPr>
          <w:rFonts w:hint="eastAsia" w:cs="Calibri" w:asciiTheme="minorEastAsia" w:hAnsiTheme="minorEastAsia"/>
          <w:sz w:val="22"/>
          <w:szCs w:val="22"/>
        </w:rPr>
        <w:t>3.3.9其它须在报价中考虑的因素：</w:t>
      </w:r>
    </w:p>
    <w:p>
      <w:pPr>
        <w:adjustRightInd w:val="0"/>
        <w:snapToGrid w:val="0"/>
        <w:spacing w:line="360" w:lineRule="exact"/>
        <w:ind w:firstLine="440"/>
        <w:rPr>
          <w:rFonts w:cs="Calibri" w:asciiTheme="minorEastAsia" w:hAnsiTheme="minorEastAsia"/>
          <w:sz w:val="22"/>
          <w:szCs w:val="22"/>
        </w:rPr>
      </w:pPr>
      <w:r>
        <w:rPr>
          <w:rFonts w:hint="eastAsia" w:cs="Calibri" w:asciiTheme="minorEastAsia" w:hAnsiTheme="minorEastAsia"/>
          <w:sz w:val="22"/>
          <w:szCs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cs="Calibri" w:asciiTheme="minorEastAsia" w:hAnsiTheme="minorEastAsia"/>
          <w:sz w:val="22"/>
          <w:szCs w:val="22"/>
        </w:rPr>
      </w:pPr>
      <w:r>
        <w:rPr>
          <w:rFonts w:hint="eastAsia" w:cs="Calibri" w:asciiTheme="minorEastAsia" w:hAnsiTheme="minorEastAsia"/>
          <w:sz w:val="22"/>
          <w:szCs w:val="22"/>
        </w:rPr>
        <w:t>（2）交付验收前产品的保护费由投标人自行考虑并计入总价。</w:t>
      </w:r>
    </w:p>
    <w:p>
      <w:pPr>
        <w:adjustRightInd w:val="0"/>
        <w:snapToGrid w:val="0"/>
        <w:spacing w:line="360" w:lineRule="exact"/>
        <w:ind w:firstLine="440"/>
        <w:rPr>
          <w:rFonts w:cs="Calibri" w:asciiTheme="minorEastAsia" w:hAnsiTheme="minorEastAsia"/>
          <w:sz w:val="22"/>
          <w:szCs w:val="22"/>
        </w:rPr>
      </w:pPr>
      <w:r>
        <w:rPr>
          <w:rFonts w:hint="eastAsia" w:cs="Calibri" w:asciiTheme="minorEastAsia" w:hAnsiTheme="minorEastAsia"/>
          <w:sz w:val="22"/>
          <w:szCs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cs="Calibri" w:asciiTheme="minorEastAsia" w:hAnsiTheme="minorEastAsia"/>
          <w:sz w:val="22"/>
          <w:szCs w:val="22"/>
        </w:rPr>
      </w:pPr>
      <w:r>
        <w:rPr>
          <w:rFonts w:hint="eastAsia" w:cs="Calibri" w:asciiTheme="minorEastAsia" w:hAnsiTheme="minorEastAsia"/>
          <w:sz w:val="22"/>
          <w:szCs w:val="22"/>
        </w:rPr>
        <w:t>3.3.10</w:t>
      </w:r>
      <w:r>
        <w:rPr>
          <w:rFonts w:hint="eastAsia" w:cs="Calibri" w:asciiTheme="minorEastAsia" w:hAnsiTheme="minorEastAsia"/>
          <w:b/>
          <w:color w:val="000000"/>
          <w:kern w:val="0"/>
          <w:sz w:val="22"/>
          <w:szCs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szCs w:val="22"/>
        </w:rPr>
        <w:t>。</w:t>
      </w:r>
    </w:p>
    <w:p>
      <w:pPr>
        <w:autoSpaceDE w:val="0"/>
        <w:autoSpaceDN w:val="0"/>
        <w:adjustRightInd w:val="0"/>
        <w:snapToGrid w:val="0"/>
        <w:spacing w:line="360" w:lineRule="exact"/>
        <w:rPr>
          <w:rFonts w:cs="Calibri" w:asciiTheme="minorEastAsia" w:hAnsiTheme="minorEastAsia"/>
          <w:b/>
          <w:bCs/>
          <w:kern w:val="0"/>
          <w:sz w:val="22"/>
          <w:szCs w:val="22"/>
        </w:rPr>
      </w:pPr>
      <w:r>
        <w:rPr>
          <w:rFonts w:cs="Calibri" w:asciiTheme="minorEastAsia" w:hAnsiTheme="minorEastAsia"/>
          <w:b/>
          <w:bCs/>
          <w:kern w:val="0"/>
          <w:sz w:val="22"/>
          <w:szCs w:val="22"/>
        </w:rPr>
        <w:t>3.4 投标有效期</w:t>
      </w:r>
      <w:bookmarkEnd w:id="23"/>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3.4.1在投标人须知前附表规定的投标有效期内，投标人不得要求撤销和修改其投标文件。</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b/>
          <w:bCs/>
          <w:kern w:val="0"/>
          <w:sz w:val="22"/>
          <w:szCs w:val="22"/>
        </w:rPr>
      </w:pPr>
      <w:bookmarkStart w:id="24" w:name="_Toc30464"/>
      <w:r>
        <w:rPr>
          <w:rFonts w:cs="Calibri" w:asciiTheme="minorEastAsia" w:hAnsiTheme="minorEastAsia"/>
          <w:b/>
          <w:bCs/>
          <w:kern w:val="0"/>
          <w:sz w:val="22"/>
          <w:szCs w:val="22"/>
        </w:rPr>
        <w:t>3.5 投标保证金</w:t>
      </w:r>
      <w:bookmarkEnd w:id="24"/>
      <w:r>
        <w:rPr>
          <w:rFonts w:hint="eastAsia" w:cs="Calibri" w:asciiTheme="minorEastAsia" w:hAnsiTheme="minorEastAsia"/>
          <w:b/>
          <w:bCs/>
          <w:kern w:val="0"/>
          <w:sz w:val="22"/>
          <w:szCs w:val="22"/>
        </w:rPr>
        <w:t>（如有）</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3.5.1投标人在递交投标文件的同时，应按投标人须知前附表规定的金额、担保形式和第</w:t>
      </w:r>
      <w:r>
        <w:rPr>
          <w:rFonts w:hint="eastAsia" w:cs="Calibri" w:asciiTheme="minorEastAsia" w:hAnsiTheme="minorEastAsia"/>
          <w:kern w:val="0"/>
          <w:sz w:val="22"/>
          <w:szCs w:val="22"/>
        </w:rPr>
        <w:t>六</w:t>
      </w:r>
      <w:r>
        <w:rPr>
          <w:rFonts w:cs="Calibri" w:asciiTheme="minorEastAsia" w:hAnsiTheme="minorEastAsia"/>
          <w:kern w:val="0"/>
          <w:sz w:val="22"/>
          <w:szCs w:val="22"/>
        </w:rPr>
        <w:t>章</w:t>
      </w:r>
      <w:r>
        <w:rPr>
          <w:rFonts w:cs="Calibri" w:asciiTheme="minorEastAsia" w:hAnsiTheme="minorEastAsia"/>
          <w:sz w:val="22"/>
          <w:szCs w:val="22"/>
        </w:rPr>
        <w:t>“投标文件格式”</w:t>
      </w:r>
      <w:r>
        <w:rPr>
          <w:rFonts w:cs="Calibri" w:asciiTheme="minorEastAsia" w:hAnsiTheme="minorEastAsia"/>
          <w:kern w:val="0"/>
          <w:sz w:val="22"/>
          <w:szCs w:val="22"/>
        </w:rPr>
        <w:t>规定的投标保证金格式递交投标保证金，并作为其投标文件的组成部分。否则，视为投标人自动放弃投标资格。</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3.5.2招标人与中标人签订合同书后5个工作日内，应当向未中标的投标人和中标人退还投标保证金。</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3.5.3投标人如有下列情形之一的，投标保证金将不予退还：</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（1）投标人在规定的投标有效期内撤销或修改其投标文件；</w:t>
      </w:r>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kern w:val="0"/>
          <w:sz w:val="22"/>
          <w:szCs w:val="22"/>
        </w:rPr>
        <w:t>（2）</w:t>
      </w:r>
      <w:r>
        <w:rPr>
          <w:rFonts w:cs="Calibri" w:asciiTheme="minorEastAsia" w:hAnsiTheme="minorEastAsia"/>
          <w:color w:val="000000"/>
          <w:kern w:val="0"/>
          <w:sz w:val="22"/>
          <w:szCs w:val="22"/>
        </w:rPr>
        <w:t>中标人在收到中标通知书后，</w:t>
      </w:r>
      <w:r>
        <w:rPr>
          <w:rFonts w:cs="Calibri" w:asciiTheme="minorEastAsia" w:hAnsiTheme="minorEastAsia"/>
          <w:color w:val="000000"/>
          <w:sz w:val="22"/>
          <w:szCs w:val="22"/>
        </w:rPr>
        <w:t>无正当理由拒签合同协议书或未按招标文件规定提交履约担保，或因投标人在投标文件中未如实填报或隐瞒不报投标人的行贿犯罪记录导致取消中标资格的</w:t>
      </w:r>
      <w:r>
        <w:rPr>
          <w:rFonts w:cs="Calibri" w:asciiTheme="minorEastAsia" w:hAnsiTheme="minorEastAsia"/>
          <w:sz w:val="22"/>
          <w:szCs w:val="22"/>
        </w:rPr>
        <w:t>；</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w:t>
      </w:r>
      <w:r>
        <w:rPr>
          <w:rFonts w:hint="eastAsia" w:cs="Calibri" w:asciiTheme="minorEastAsia" w:hAnsiTheme="minorEastAsia"/>
          <w:kern w:val="0"/>
          <w:sz w:val="22"/>
          <w:szCs w:val="22"/>
        </w:rPr>
        <w:t>3</w:t>
      </w:r>
      <w:r>
        <w:rPr>
          <w:rFonts w:cs="Calibri" w:asciiTheme="minorEastAsia" w:hAnsiTheme="minorEastAsia"/>
          <w:kern w:val="0"/>
          <w:sz w:val="22"/>
          <w:szCs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b/>
          <w:bCs/>
          <w:kern w:val="0"/>
          <w:sz w:val="22"/>
          <w:szCs w:val="22"/>
        </w:rPr>
      </w:pPr>
      <w:bookmarkStart w:id="25" w:name="_Toc29989"/>
      <w:r>
        <w:rPr>
          <w:rFonts w:cs="Calibri" w:asciiTheme="minorEastAsia" w:hAnsiTheme="minorEastAsia"/>
          <w:b/>
          <w:bCs/>
          <w:kern w:val="0"/>
          <w:sz w:val="22"/>
          <w:szCs w:val="22"/>
        </w:rPr>
        <w:t>3.6 投标文件的编制</w:t>
      </w:r>
      <w:bookmarkEnd w:id="25"/>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3.6.1 投标文件应按本须知第3.2款规定的内容和第</w:t>
      </w:r>
      <w:r>
        <w:rPr>
          <w:rFonts w:hint="eastAsia" w:cs="Calibri" w:asciiTheme="minorEastAsia" w:hAnsiTheme="minorEastAsia"/>
          <w:sz w:val="22"/>
          <w:szCs w:val="22"/>
        </w:rPr>
        <w:t>六</w:t>
      </w:r>
      <w:r>
        <w:rPr>
          <w:rFonts w:cs="Calibri" w:asciiTheme="minorEastAsia" w:hAnsiTheme="minorEastAsia"/>
          <w:sz w:val="22"/>
          <w:szCs w:val="22"/>
        </w:rPr>
        <w:t>章“投标文件格式”进行编写，如有必要，可以增加附页，作为投标文件的组成部分，“投标文件格式”中没有规定的可自行编制格式。其中，</w:t>
      </w:r>
      <w:r>
        <w:rPr>
          <w:rFonts w:hint="eastAsia" w:cs="Calibri" w:asciiTheme="minorEastAsia" w:hAnsiTheme="minorEastAsia"/>
          <w:sz w:val="22"/>
          <w:szCs w:val="22"/>
        </w:rPr>
        <w:t>供货期</w:t>
      </w:r>
      <w:r>
        <w:rPr>
          <w:rFonts w:cs="Calibri" w:asciiTheme="minorEastAsia" w:hAnsiTheme="minorEastAsia"/>
          <w:sz w:val="22"/>
          <w:szCs w:val="22"/>
        </w:rPr>
        <w:t>在满足招标文件实质性要求的基础上，可以提出比招标文件要求更有利于招标人的承诺。</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sz w:val="22"/>
          <w:szCs w:val="22"/>
        </w:rPr>
        <w:t xml:space="preserve">3.6.2 </w:t>
      </w:r>
      <w:r>
        <w:rPr>
          <w:rFonts w:cs="Calibri" w:asciiTheme="minorEastAsia" w:hAnsiTheme="minorEastAsia"/>
          <w:kern w:val="0"/>
          <w:sz w:val="22"/>
          <w:szCs w:val="22"/>
        </w:rPr>
        <w:t>投标文件应对招标文件有关</w:t>
      </w:r>
      <w:r>
        <w:rPr>
          <w:rFonts w:hint="eastAsia" w:cs="Calibri" w:asciiTheme="minorEastAsia" w:hAnsiTheme="minorEastAsia"/>
          <w:kern w:val="0"/>
          <w:sz w:val="22"/>
          <w:szCs w:val="22"/>
        </w:rPr>
        <w:t>供货期</w:t>
      </w:r>
      <w:r>
        <w:rPr>
          <w:rFonts w:cs="Calibri" w:asciiTheme="minorEastAsia" w:hAnsiTheme="minorEastAsia"/>
          <w:kern w:val="0"/>
          <w:sz w:val="22"/>
          <w:szCs w:val="22"/>
        </w:rPr>
        <w:t>、投标有效期、招标</w:t>
      </w:r>
      <w:r>
        <w:rPr>
          <w:rFonts w:hint="eastAsia" w:cs="Calibri" w:asciiTheme="minorEastAsia" w:hAnsiTheme="minorEastAsia"/>
          <w:kern w:val="0"/>
          <w:sz w:val="22"/>
          <w:szCs w:val="22"/>
        </w:rPr>
        <w:t>内容</w:t>
      </w:r>
      <w:r>
        <w:rPr>
          <w:rFonts w:cs="Calibri" w:asciiTheme="minorEastAsia" w:hAnsiTheme="minorEastAsia"/>
          <w:kern w:val="0"/>
          <w:sz w:val="22"/>
          <w:szCs w:val="22"/>
        </w:rPr>
        <w:t>等实质性内容作出响应。</w:t>
      </w:r>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cs="Calibri" w:asciiTheme="minorEastAsia" w:hAnsiTheme="minorEastAsia"/>
          <w:kern w:val="0"/>
          <w:sz w:val="22"/>
          <w:szCs w:val="22"/>
        </w:rPr>
        <w:t>签字或盖章的具体要求见投标人须知前附表。</w:t>
      </w:r>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3.6.4投标文件正本一份， 副本份数见投标人须知前附表。正本、副本的封面上应清楚地标记</w:t>
      </w:r>
      <w:r>
        <w:rPr>
          <w:rFonts w:cs="Calibri" w:asciiTheme="minorEastAsia" w:hAnsiTheme="minorEastAsia"/>
          <w:b/>
          <w:bCs/>
          <w:sz w:val="22"/>
          <w:szCs w:val="22"/>
        </w:rPr>
        <w:t>“正本</w:t>
      </w:r>
      <w:r>
        <w:rPr>
          <w:rFonts w:cs="Calibri" w:asciiTheme="minorEastAsia" w:hAnsiTheme="minorEastAsia"/>
          <w:sz w:val="22"/>
          <w:szCs w:val="22"/>
        </w:rPr>
        <w:t>”或“</w:t>
      </w:r>
      <w:r>
        <w:rPr>
          <w:rFonts w:cs="Calibri" w:asciiTheme="minorEastAsia" w:hAnsiTheme="minorEastAsia"/>
          <w:b/>
          <w:bCs/>
          <w:sz w:val="22"/>
          <w:szCs w:val="22"/>
        </w:rPr>
        <w:t>副本</w:t>
      </w:r>
      <w:r>
        <w:rPr>
          <w:rFonts w:cs="Calibri" w:asciiTheme="minorEastAsia" w:hAnsiTheme="minorEastAsia"/>
          <w:sz w:val="22"/>
          <w:szCs w:val="22"/>
        </w:rPr>
        <w:t>”的字样。当副本和正本不一致时，以正本为准。</w:t>
      </w:r>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cs="Calibri" w:asciiTheme="minorEastAsia" w:hAnsiTheme="minorEastAsia"/>
          <w:b/>
          <w:bCs/>
          <w:kern w:val="0"/>
          <w:sz w:val="22"/>
          <w:szCs w:val="22"/>
        </w:rPr>
      </w:pPr>
      <w:bookmarkStart w:id="27" w:name="_Toc32652"/>
      <w:r>
        <w:rPr>
          <w:rFonts w:cs="Calibri" w:asciiTheme="minorEastAsia" w:hAnsiTheme="minorEastAsia"/>
          <w:b/>
          <w:bCs/>
          <w:kern w:val="0"/>
          <w:sz w:val="22"/>
          <w:szCs w:val="22"/>
        </w:rPr>
        <w:t>4.投标</w:t>
      </w:r>
      <w:bookmarkEnd w:id="26"/>
      <w:bookmarkEnd w:id="27"/>
    </w:p>
    <w:p>
      <w:pPr>
        <w:autoSpaceDE w:val="0"/>
        <w:autoSpaceDN w:val="0"/>
        <w:adjustRightInd w:val="0"/>
        <w:snapToGrid w:val="0"/>
        <w:spacing w:line="360" w:lineRule="exact"/>
        <w:rPr>
          <w:rFonts w:cs="Calibri" w:asciiTheme="minorEastAsia" w:hAnsiTheme="minorEastAsia"/>
          <w:b/>
          <w:bCs/>
          <w:kern w:val="0"/>
          <w:sz w:val="22"/>
          <w:szCs w:val="22"/>
        </w:rPr>
      </w:pPr>
      <w:bookmarkStart w:id="28" w:name="_Toc649"/>
      <w:r>
        <w:rPr>
          <w:rFonts w:cs="Calibri" w:asciiTheme="minorEastAsia" w:hAnsiTheme="minorEastAsia"/>
          <w:b/>
          <w:bCs/>
          <w:kern w:val="0"/>
          <w:sz w:val="22"/>
          <w:szCs w:val="22"/>
        </w:rPr>
        <w:t>4.1 投标文件的密封和标识</w:t>
      </w:r>
      <w:bookmarkEnd w:id="28"/>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sz w:val="22"/>
          <w:szCs w:val="22"/>
        </w:rPr>
        <w:t>4.1.1</w:t>
      </w:r>
      <w:r>
        <w:rPr>
          <w:rFonts w:cs="Calibri" w:asciiTheme="minorEastAsia" w:hAnsiTheme="minorEastAsia"/>
          <w:kern w:val="0"/>
          <w:sz w:val="22"/>
          <w:szCs w:val="22"/>
        </w:rPr>
        <w:t>投标文件的正本、副本及电子文档可一同</w:t>
      </w:r>
      <w:r>
        <w:rPr>
          <w:rFonts w:hint="eastAsia" w:cs="Calibri" w:asciiTheme="minorEastAsia" w:hAnsiTheme="minorEastAsia"/>
          <w:kern w:val="0"/>
          <w:sz w:val="22"/>
          <w:szCs w:val="22"/>
        </w:rPr>
        <w:t>密封</w:t>
      </w:r>
      <w:r>
        <w:rPr>
          <w:rFonts w:cs="Calibri" w:asciiTheme="minorEastAsia" w:hAnsiTheme="minorEastAsia"/>
          <w:kern w:val="0"/>
          <w:sz w:val="22"/>
          <w:szCs w:val="22"/>
        </w:rPr>
        <w:t>包装，并在封口处加盖投标人单位公章或法定代表人盖章（或签字）或委托代理人盖章（或签字）。</w:t>
      </w:r>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4.1.2 投标文件的封套上应清楚地标记“投标文件”字样，封套上应写明的其他内容见投标人须知前附表。</w:t>
      </w:r>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4.1.3 未按本章第4.1.1项或第4.1.2项要求密封和加写标记的投标文件，招标人不予受理。</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4.1.</w:t>
      </w:r>
      <w:r>
        <w:rPr>
          <w:rFonts w:hint="eastAsia" w:cs="Calibri" w:asciiTheme="minorEastAsia" w:hAnsiTheme="minorEastAsia"/>
          <w:kern w:val="0"/>
          <w:sz w:val="22"/>
          <w:szCs w:val="22"/>
        </w:rPr>
        <w:t>4</w:t>
      </w:r>
      <w:r>
        <w:rPr>
          <w:rFonts w:cs="Calibri" w:asciiTheme="minorEastAsia" w:hAnsiTheme="minorEastAsia"/>
          <w:sz w:val="22"/>
          <w:szCs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b/>
          <w:bCs/>
          <w:kern w:val="0"/>
          <w:sz w:val="22"/>
          <w:szCs w:val="22"/>
        </w:rPr>
      </w:pPr>
      <w:bookmarkStart w:id="29" w:name="_Toc16616"/>
      <w:r>
        <w:rPr>
          <w:rFonts w:cs="Calibri" w:asciiTheme="minorEastAsia" w:hAnsiTheme="minorEastAsia"/>
          <w:b/>
          <w:bCs/>
          <w:kern w:val="0"/>
          <w:sz w:val="22"/>
          <w:szCs w:val="22"/>
        </w:rPr>
        <w:t xml:space="preserve">4.2 投标文件的递交 </w:t>
      </w:r>
      <w:bookmarkEnd w:id="29"/>
    </w:p>
    <w:p>
      <w:pPr>
        <w:autoSpaceDE w:val="0"/>
        <w:autoSpaceDN w:val="0"/>
        <w:adjustRightInd w:val="0"/>
        <w:snapToGrid w:val="0"/>
        <w:spacing w:line="360" w:lineRule="exact"/>
        <w:ind w:firstLine="476"/>
        <w:rPr>
          <w:rFonts w:cs="Calibri" w:asciiTheme="minorEastAsia" w:hAnsiTheme="minorEastAsia"/>
          <w:b/>
          <w:bCs/>
          <w:kern w:val="0"/>
          <w:sz w:val="22"/>
          <w:szCs w:val="22"/>
        </w:rPr>
      </w:pPr>
      <w:r>
        <w:rPr>
          <w:rFonts w:cs="Calibri" w:asciiTheme="minorEastAsia" w:hAnsiTheme="minorEastAsia"/>
          <w:b/>
          <w:bCs/>
          <w:kern w:val="0"/>
          <w:sz w:val="22"/>
          <w:szCs w:val="22"/>
        </w:rPr>
        <w:t>4.2.1投标人应在本须知前附表规定的投标截止时间前递交投标文件。</w:t>
      </w:r>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4.2.2投标人送达投标文件的地点：见投标人须知前附表。</w:t>
      </w:r>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4.2.3除投标人须知前附表另有规定外，投标人所递交的投标文件不予退还。</w:t>
      </w:r>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4.2.</w:t>
      </w:r>
      <w:r>
        <w:rPr>
          <w:rFonts w:hint="eastAsia" w:cs="Calibri" w:asciiTheme="minorEastAsia" w:hAnsiTheme="minorEastAsia"/>
          <w:sz w:val="22"/>
          <w:szCs w:val="22"/>
        </w:rPr>
        <w:t>4</w:t>
      </w:r>
      <w:r>
        <w:rPr>
          <w:rFonts w:cs="Calibri" w:asciiTheme="minorEastAsia" w:hAnsiTheme="minorEastAsia"/>
          <w:sz w:val="22"/>
          <w:szCs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b/>
          <w:bCs/>
          <w:kern w:val="0"/>
          <w:sz w:val="22"/>
          <w:szCs w:val="22"/>
        </w:rPr>
      </w:pPr>
      <w:bookmarkStart w:id="30" w:name="_Toc26099"/>
      <w:r>
        <w:rPr>
          <w:rFonts w:cs="Calibri" w:asciiTheme="minorEastAsia" w:hAnsiTheme="minorEastAsia"/>
          <w:b/>
          <w:bCs/>
          <w:kern w:val="0"/>
          <w:sz w:val="22"/>
          <w:szCs w:val="22"/>
        </w:rPr>
        <w:t>4.3 投标文件的修改和撤回</w:t>
      </w:r>
      <w:bookmarkEnd w:id="30"/>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4.3.1在规定的投标截止时间前，投标人可以修改或撤回已递交的投标文件，但应以书面形式通知招标人。</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b/>
          <w:bCs/>
          <w:kern w:val="0"/>
          <w:sz w:val="22"/>
          <w:szCs w:val="22"/>
        </w:rPr>
      </w:pPr>
      <w:bookmarkStart w:id="31" w:name="_Toc29641"/>
      <w:r>
        <w:rPr>
          <w:rFonts w:cs="Calibri" w:asciiTheme="minorEastAsia" w:hAnsiTheme="minorEastAsia"/>
          <w:b/>
          <w:bCs/>
          <w:kern w:val="0"/>
          <w:sz w:val="22"/>
          <w:szCs w:val="22"/>
        </w:rPr>
        <w:t>5.开标</w:t>
      </w:r>
      <w:bookmarkEnd w:id="31"/>
    </w:p>
    <w:p>
      <w:pPr>
        <w:autoSpaceDE w:val="0"/>
        <w:autoSpaceDN w:val="0"/>
        <w:adjustRightInd w:val="0"/>
        <w:snapToGrid w:val="0"/>
        <w:spacing w:line="360" w:lineRule="exact"/>
        <w:rPr>
          <w:rFonts w:cs="Calibri" w:asciiTheme="minorEastAsia" w:hAnsiTheme="minorEastAsia"/>
          <w:b/>
          <w:bCs/>
          <w:kern w:val="0"/>
          <w:sz w:val="22"/>
          <w:szCs w:val="22"/>
        </w:rPr>
      </w:pPr>
      <w:bookmarkStart w:id="32" w:name="_Toc15123"/>
      <w:r>
        <w:rPr>
          <w:rFonts w:cs="Calibri" w:asciiTheme="minorEastAsia" w:hAnsiTheme="minorEastAsia"/>
          <w:b/>
          <w:bCs/>
          <w:kern w:val="0"/>
          <w:sz w:val="22"/>
          <w:szCs w:val="22"/>
        </w:rPr>
        <w:t>5.1 开标时间和地点</w:t>
      </w:r>
      <w:bookmarkEnd w:id="32"/>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5.1.1</w:t>
      </w:r>
      <w:r>
        <w:rPr>
          <w:rFonts w:hint="eastAsia" w:cs="Calibri" w:asciiTheme="minorEastAsia" w:hAnsiTheme="minorEastAsia"/>
          <w:sz w:val="22"/>
          <w:szCs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5.1.2投标人在投标时应随身携带下列资料提交招标</w:t>
      </w:r>
      <w:r>
        <w:rPr>
          <w:rFonts w:hint="eastAsia" w:cs="Calibri" w:asciiTheme="minorEastAsia" w:hAnsiTheme="minorEastAsia"/>
          <w:sz w:val="22"/>
          <w:szCs w:val="22"/>
        </w:rPr>
        <w:t>人</w:t>
      </w:r>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（1）委托代理人的身份证、法定代表人授权委托书</w:t>
      </w:r>
      <w:r>
        <w:rPr>
          <w:rFonts w:hint="eastAsia" w:cs="Calibri" w:asciiTheme="minorEastAsia" w:hAnsiTheme="minorEastAsia"/>
          <w:sz w:val="22"/>
          <w:szCs w:val="22"/>
        </w:rPr>
        <w:t>（装订在投标文件内亦可）</w:t>
      </w:r>
      <w:r>
        <w:rPr>
          <w:rFonts w:cs="Calibri" w:asciiTheme="minorEastAsia" w:hAnsiTheme="minorEastAsia"/>
          <w:sz w:val="22"/>
          <w:szCs w:val="22"/>
        </w:rPr>
        <w:t>；</w:t>
      </w:r>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（2）投标保证金收执证明或汇款凭证或银行回单</w:t>
      </w:r>
      <w:r>
        <w:rPr>
          <w:rFonts w:hint="eastAsia" w:cs="Calibri" w:asciiTheme="minorEastAsia" w:hAnsiTheme="minorEastAsia"/>
          <w:sz w:val="22"/>
          <w:szCs w:val="22"/>
        </w:rPr>
        <w:t>（装订在投标文件内亦可）</w:t>
      </w:r>
      <w:r>
        <w:rPr>
          <w:rFonts w:cs="Calibri" w:asciiTheme="minorEastAsia" w:hAnsiTheme="minorEastAsia"/>
          <w:sz w:val="22"/>
          <w:szCs w:val="22"/>
        </w:rPr>
        <w:t>。</w:t>
      </w:r>
    </w:p>
    <w:p>
      <w:pPr>
        <w:autoSpaceDE w:val="0"/>
        <w:autoSpaceDN w:val="0"/>
        <w:adjustRightInd w:val="0"/>
        <w:snapToGrid w:val="0"/>
        <w:spacing w:line="360" w:lineRule="exact"/>
        <w:rPr>
          <w:rFonts w:cs="Calibri" w:asciiTheme="minorEastAsia" w:hAnsiTheme="minorEastAsia"/>
          <w:b/>
          <w:bCs/>
          <w:kern w:val="0"/>
          <w:sz w:val="22"/>
          <w:szCs w:val="22"/>
        </w:rPr>
      </w:pPr>
      <w:bookmarkStart w:id="33" w:name="_Toc7101"/>
      <w:r>
        <w:rPr>
          <w:rFonts w:cs="Calibri" w:asciiTheme="minorEastAsia" w:hAnsiTheme="minorEastAsia"/>
          <w:b/>
          <w:bCs/>
          <w:kern w:val="0"/>
          <w:sz w:val="22"/>
          <w:szCs w:val="22"/>
        </w:rPr>
        <w:t>5.2 开标程序</w:t>
      </w:r>
      <w:bookmarkEnd w:id="33"/>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主持人按下列程序进行开标：</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（1）宣布开标纪律；</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（2）公布在投标截止时间前递交投标文件的投标人名称，并点名确认投标人是否派人到场；</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（3）宣布开标人、唱标人、记录人、监标人等有关人员姓名；</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（4）按照投标人须知前附表规定检查投标文件的密封情况；</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（5）按照投标人须知前附表的规定确定并宣布投标文件开标顺序；</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（6）</w:t>
      </w:r>
      <w:r>
        <w:rPr>
          <w:rFonts w:cs="Calibri" w:asciiTheme="minorEastAsia" w:hAnsiTheme="minorEastAsia"/>
          <w:sz w:val="22"/>
          <w:szCs w:val="22"/>
        </w:rPr>
        <w:t>按照宣布的开标顺序当众开标，公布投标人名称、投标保证金的递交情况、投标报价、</w:t>
      </w:r>
      <w:r>
        <w:rPr>
          <w:rFonts w:hint="eastAsia" w:cs="Calibri" w:asciiTheme="minorEastAsia" w:hAnsiTheme="minorEastAsia"/>
          <w:sz w:val="22"/>
          <w:szCs w:val="22"/>
        </w:rPr>
        <w:t>供货期</w:t>
      </w:r>
      <w:r>
        <w:rPr>
          <w:rFonts w:cs="Calibri" w:asciiTheme="minorEastAsia" w:hAnsiTheme="minorEastAsia"/>
          <w:sz w:val="22"/>
          <w:szCs w:val="22"/>
        </w:rPr>
        <w:t>及其他内容，并记录在案；</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（7）投标人代表、招标人代表、监标人、记录人等有关人员在开标记录上签字确认；</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（8）开标结束。</w:t>
      </w:r>
    </w:p>
    <w:p>
      <w:pPr>
        <w:autoSpaceDE w:val="0"/>
        <w:autoSpaceDN w:val="0"/>
        <w:adjustRightInd w:val="0"/>
        <w:snapToGrid w:val="0"/>
        <w:spacing w:line="360" w:lineRule="exact"/>
        <w:rPr>
          <w:rFonts w:cs="Calibri" w:asciiTheme="minorEastAsia" w:hAnsiTheme="minorEastAsia"/>
          <w:b/>
          <w:bCs/>
          <w:kern w:val="0"/>
          <w:sz w:val="22"/>
          <w:szCs w:val="22"/>
        </w:rPr>
      </w:pPr>
      <w:bookmarkStart w:id="34" w:name="_Toc31578"/>
      <w:r>
        <w:rPr>
          <w:rFonts w:cs="Calibri" w:asciiTheme="minorEastAsia" w:hAnsiTheme="minorEastAsia"/>
          <w:b/>
          <w:bCs/>
          <w:kern w:val="0"/>
          <w:sz w:val="22"/>
          <w:szCs w:val="22"/>
        </w:rPr>
        <w:t>6.评标</w:t>
      </w:r>
      <w:bookmarkEnd w:id="34"/>
    </w:p>
    <w:p>
      <w:pPr>
        <w:autoSpaceDE w:val="0"/>
        <w:autoSpaceDN w:val="0"/>
        <w:adjustRightInd w:val="0"/>
        <w:snapToGrid w:val="0"/>
        <w:spacing w:line="360" w:lineRule="exact"/>
        <w:rPr>
          <w:rFonts w:cs="Calibri" w:asciiTheme="minorEastAsia" w:hAnsiTheme="minorEastAsia"/>
          <w:b/>
          <w:bCs/>
          <w:kern w:val="0"/>
          <w:sz w:val="22"/>
          <w:szCs w:val="22"/>
        </w:rPr>
      </w:pPr>
      <w:bookmarkStart w:id="35" w:name="_Toc10279"/>
      <w:r>
        <w:rPr>
          <w:rFonts w:cs="Calibri" w:asciiTheme="minorEastAsia" w:hAnsiTheme="minorEastAsia"/>
          <w:b/>
          <w:bCs/>
          <w:kern w:val="0"/>
          <w:sz w:val="22"/>
          <w:szCs w:val="22"/>
        </w:rPr>
        <w:t>6.1 评标委员会</w:t>
      </w:r>
      <w:bookmarkEnd w:id="35"/>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6.1.2评标委员会成员有下列情形之一的，应当回避：</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（1）招标人或投标人的主要负责人的近亲属；</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（2）项目主管部门或者行政监督部门的人员；</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（3）与投标人有经济利益关系，可能影响对投标公正评审的；</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b/>
          <w:bCs/>
          <w:kern w:val="0"/>
          <w:sz w:val="22"/>
          <w:szCs w:val="22"/>
        </w:rPr>
      </w:pPr>
      <w:bookmarkStart w:id="36" w:name="_Toc3460"/>
      <w:r>
        <w:rPr>
          <w:rFonts w:cs="Calibri" w:asciiTheme="minorEastAsia" w:hAnsiTheme="minorEastAsia"/>
          <w:b/>
          <w:bCs/>
          <w:kern w:val="0"/>
          <w:sz w:val="22"/>
          <w:szCs w:val="22"/>
        </w:rPr>
        <w:t>6.2 评标原则</w:t>
      </w:r>
      <w:bookmarkEnd w:id="36"/>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评标活动遵循公平、公正、科学和择优的原则。</w:t>
      </w:r>
    </w:p>
    <w:p>
      <w:pPr>
        <w:autoSpaceDE w:val="0"/>
        <w:autoSpaceDN w:val="0"/>
        <w:adjustRightInd w:val="0"/>
        <w:snapToGrid w:val="0"/>
        <w:spacing w:line="360" w:lineRule="exact"/>
        <w:rPr>
          <w:rFonts w:cs="Calibri" w:asciiTheme="minorEastAsia" w:hAnsiTheme="minorEastAsia"/>
          <w:b/>
          <w:bCs/>
          <w:kern w:val="0"/>
          <w:sz w:val="22"/>
          <w:szCs w:val="22"/>
        </w:rPr>
      </w:pPr>
      <w:bookmarkStart w:id="37" w:name="_Toc28178"/>
      <w:r>
        <w:rPr>
          <w:rFonts w:cs="Calibri" w:asciiTheme="minorEastAsia" w:hAnsiTheme="minorEastAsia"/>
          <w:b/>
          <w:bCs/>
          <w:kern w:val="0"/>
          <w:sz w:val="22"/>
          <w:szCs w:val="22"/>
        </w:rPr>
        <w:t>6.3 评标</w:t>
      </w:r>
      <w:bookmarkEnd w:id="37"/>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评标委员会按照第</w:t>
      </w:r>
      <w:r>
        <w:rPr>
          <w:rFonts w:hint="eastAsia" w:cs="Calibri" w:asciiTheme="minorEastAsia" w:hAnsiTheme="minorEastAsia"/>
          <w:kern w:val="0"/>
          <w:sz w:val="22"/>
          <w:szCs w:val="22"/>
        </w:rPr>
        <w:t>五</w:t>
      </w:r>
      <w:r>
        <w:rPr>
          <w:rFonts w:cs="Calibri" w:asciiTheme="minorEastAsia" w:hAnsiTheme="minorEastAsia"/>
          <w:kern w:val="0"/>
          <w:sz w:val="22"/>
          <w:szCs w:val="22"/>
        </w:rPr>
        <w:t>章“</w:t>
      </w:r>
      <w:r>
        <w:rPr>
          <w:rFonts w:cs="Calibri" w:asciiTheme="minorEastAsia" w:hAnsiTheme="minorEastAsia"/>
          <w:color w:val="000000"/>
          <w:kern w:val="0"/>
          <w:sz w:val="22"/>
          <w:szCs w:val="22"/>
        </w:rPr>
        <w:t>评标方法及标准</w:t>
      </w:r>
      <w:r>
        <w:rPr>
          <w:rFonts w:cs="Calibri" w:asciiTheme="minorEastAsia" w:hAnsiTheme="minorEastAsia"/>
          <w:kern w:val="0"/>
          <w:sz w:val="22"/>
          <w:szCs w:val="22"/>
        </w:rPr>
        <w:t>”对投标文件进行评审。第</w:t>
      </w:r>
      <w:r>
        <w:rPr>
          <w:rFonts w:hint="eastAsia" w:cs="Calibri" w:asciiTheme="minorEastAsia" w:hAnsiTheme="minorEastAsia"/>
          <w:kern w:val="0"/>
          <w:sz w:val="22"/>
          <w:szCs w:val="22"/>
        </w:rPr>
        <w:t>五</w:t>
      </w:r>
      <w:r>
        <w:rPr>
          <w:rFonts w:cs="Calibri" w:asciiTheme="minorEastAsia" w:hAnsiTheme="minorEastAsia"/>
          <w:kern w:val="0"/>
          <w:sz w:val="22"/>
          <w:szCs w:val="22"/>
        </w:rPr>
        <w:t>章“</w:t>
      </w:r>
      <w:r>
        <w:rPr>
          <w:rFonts w:cs="Calibri" w:asciiTheme="minorEastAsia" w:hAnsiTheme="minorEastAsia"/>
          <w:color w:val="000000"/>
          <w:kern w:val="0"/>
          <w:sz w:val="22"/>
          <w:szCs w:val="22"/>
        </w:rPr>
        <w:t>评标方法及标准</w:t>
      </w:r>
      <w:r>
        <w:rPr>
          <w:rFonts w:cs="Calibri" w:asciiTheme="minorEastAsia" w:hAnsiTheme="minorEastAsia"/>
          <w:kern w:val="0"/>
          <w:sz w:val="22"/>
          <w:szCs w:val="22"/>
        </w:rPr>
        <w:t>”没有规定的方法、评审因素和标准，不作为评标依据。</w:t>
      </w:r>
    </w:p>
    <w:p>
      <w:pPr>
        <w:autoSpaceDE w:val="0"/>
        <w:autoSpaceDN w:val="0"/>
        <w:adjustRightInd w:val="0"/>
        <w:snapToGrid w:val="0"/>
        <w:spacing w:line="360" w:lineRule="exact"/>
        <w:rPr>
          <w:rFonts w:cs="Calibri" w:asciiTheme="minorEastAsia" w:hAnsiTheme="minorEastAsia"/>
          <w:b/>
          <w:bCs/>
          <w:kern w:val="0"/>
          <w:sz w:val="22"/>
          <w:szCs w:val="22"/>
        </w:rPr>
      </w:pPr>
      <w:bookmarkStart w:id="38" w:name="_Toc24237"/>
      <w:r>
        <w:rPr>
          <w:rFonts w:cs="Calibri" w:asciiTheme="minorEastAsia" w:hAnsiTheme="minorEastAsia"/>
          <w:b/>
          <w:bCs/>
          <w:kern w:val="0"/>
          <w:sz w:val="22"/>
          <w:szCs w:val="22"/>
        </w:rPr>
        <w:t>7.合同授予</w:t>
      </w:r>
      <w:bookmarkEnd w:id="38"/>
    </w:p>
    <w:p>
      <w:pPr>
        <w:autoSpaceDE w:val="0"/>
        <w:autoSpaceDN w:val="0"/>
        <w:adjustRightInd w:val="0"/>
        <w:snapToGrid w:val="0"/>
        <w:spacing w:line="360" w:lineRule="exact"/>
        <w:rPr>
          <w:rFonts w:cs="Calibri" w:asciiTheme="minorEastAsia" w:hAnsiTheme="minorEastAsia"/>
          <w:b/>
          <w:bCs/>
          <w:kern w:val="0"/>
          <w:sz w:val="22"/>
          <w:szCs w:val="22"/>
        </w:rPr>
      </w:pPr>
      <w:bookmarkStart w:id="39" w:name="_Toc18809"/>
      <w:r>
        <w:rPr>
          <w:rFonts w:cs="Calibri" w:asciiTheme="minorEastAsia" w:hAnsiTheme="minorEastAsia"/>
          <w:b/>
          <w:bCs/>
          <w:kern w:val="0"/>
          <w:sz w:val="22"/>
          <w:szCs w:val="22"/>
        </w:rPr>
        <w:t>7.1 定标方式</w:t>
      </w:r>
      <w:bookmarkEnd w:id="39"/>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b/>
          <w:bCs/>
          <w:kern w:val="0"/>
          <w:sz w:val="22"/>
          <w:szCs w:val="22"/>
        </w:rPr>
      </w:pPr>
      <w:bookmarkStart w:id="40" w:name="_Toc14573"/>
      <w:r>
        <w:rPr>
          <w:rFonts w:cs="Calibri" w:asciiTheme="minorEastAsia" w:hAnsiTheme="minorEastAsia"/>
          <w:b/>
          <w:bCs/>
          <w:kern w:val="0"/>
          <w:sz w:val="22"/>
          <w:szCs w:val="22"/>
        </w:rPr>
        <w:t>7.2 中标通知</w:t>
      </w:r>
      <w:bookmarkEnd w:id="40"/>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b/>
          <w:bCs/>
          <w:kern w:val="0"/>
          <w:sz w:val="22"/>
          <w:szCs w:val="22"/>
        </w:rPr>
      </w:pPr>
      <w:bookmarkStart w:id="41" w:name="_Toc27132"/>
      <w:r>
        <w:rPr>
          <w:rFonts w:cs="Calibri" w:asciiTheme="minorEastAsia" w:hAnsiTheme="minorEastAsia"/>
          <w:b/>
          <w:bCs/>
          <w:kern w:val="0"/>
          <w:sz w:val="22"/>
          <w:szCs w:val="22"/>
        </w:rPr>
        <w:t>7.3 履约</w:t>
      </w:r>
      <w:r>
        <w:rPr>
          <w:rFonts w:hint="eastAsia" w:cs="Calibri" w:asciiTheme="minorEastAsia" w:hAnsiTheme="minorEastAsia"/>
          <w:b/>
          <w:bCs/>
          <w:kern w:val="0"/>
          <w:sz w:val="22"/>
          <w:szCs w:val="22"/>
        </w:rPr>
        <w:t>保证金</w:t>
      </w:r>
      <w:bookmarkEnd w:id="41"/>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7.3.1在签订合同前，中标人应按投标人须知前附表规定的金额</w:t>
      </w:r>
      <w:r>
        <w:rPr>
          <w:rFonts w:hint="eastAsia" w:cs="Calibri" w:asciiTheme="minorEastAsia" w:hAnsiTheme="minorEastAsia"/>
          <w:kern w:val="0"/>
          <w:sz w:val="22"/>
          <w:szCs w:val="22"/>
        </w:rPr>
        <w:t>和</w:t>
      </w:r>
      <w:r>
        <w:rPr>
          <w:rFonts w:cs="Calibri" w:asciiTheme="minorEastAsia" w:hAnsiTheme="minorEastAsia"/>
          <w:kern w:val="0"/>
          <w:sz w:val="22"/>
          <w:szCs w:val="22"/>
        </w:rPr>
        <w:t>担保形式向招标人提交履约</w:t>
      </w:r>
      <w:r>
        <w:rPr>
          <w:rFonts w:hint="eastAsia" w:cs="Calibri" w:asciiTheme="minorEastAsia" w:hAnsiTheme="minorEastAsia"/>
          <w:kern w:val="0"/>
          <w:sz w:val="22"/>
          <w:szCs w:val="22"/>
        </w:rPr>
        <w:t>保证金</w:t>
      </w:r>
      <w:r>
        <w:rPr>
          <w:rFonts w:cs="Calibri" w:asciiTheme="minorEastAsia" w:hAnsiTheme="minorEastAsia"/>
          <w:kern w:val="0"/>
          <w:sz w:val="22"/>
          <w:szCs w:val="22"/>
        </w:rPr>
        <w:t>。</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7.3.2 中标人不能按本章第7.3.1项要求提交履约</w:t>
      </w:r>
      <w:r>
        <w:rPr>
          <w:rFonts w:hint="eastAsia" w:cs="Calibri" w:asciiTheme="minorEastAsia" w:hAnsiTheme="minorEastAsia"/>
          <w:kern w:val="0"/>
          <w:sz w:val="22"/>
          <w:szCs w:val="22"/>
        </w:rPr>
        <w:t>保证金</w:t>
      </w:r>
      <w:r>
        <w:rPr>
          <w:rFonts w:cs="Calibri" w:asciiTheme="minorEastAsia" w:hAnsiTheme="minorEastAsia"/>
          <w:kern w:val="0"/>
          <w:sz w:val="22"/>
          <w:szCs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b/>
          <w:bCs/>
          <w:kern w:val="0"/>
          <w:sz w:val="22"/>
          <w:szCs w:val="22"/>
        </w:rPr>
      </w:pPr>
      <w:bookmarkStart w:id="42" w:name="_Toc27581"/>
      <w:r>
        <w:rPr>
          <w:rFonts w:cs="Calibri" w:asciiTheme="minorEastAsia" w:hAnsiTheme="minorEastAsia"/>
          <w:b/>
          <w:bCs/>
          <w:kern w:val="0"/>
          <w:sz w:val="22"/>
          <w:szCs w:val="22"/>
        </w:rPr>
        <w:t>7.4 签订合同</w:t>
      </w:r>
      <w:bookmarkEnd w:id="42"/>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sz w:val="22"/>
          <w:szCs w:val="22"/>
        </w:rPr>
        <w:t>7</w:t>
      </w:r>
      <w:bookmarkStart w:id="43" w:name="_Toc11806"/>
      <w:bookmarkStart w:id="44" w:name="_Toc220123241"/>
      <w:bookmarkStart w:id="45" w:name="_Toc219809801"/>
      <w:r>
        <w:rPr>
          <w:rFonts w:cs="Calibri" w:asciiTheme="minorEastAsia" w:hAnsiTheme="minorEastAsia"/>
          <w:kern w:val="0"/>
          <w:sz w:val="22"/>
          <w:szCs w:val="22"/>
        </w:rPr>
        <w:t>.4.1招标人和中标人应当自中标通知书发出之日起30个工作日内订立书面</w:t>
      </w:r>
      <w:r>
        <w:rPr>
          <w:rFonts w:hint="eastAsia" w:cs="Calibri" w:asciiTheme="minorEastAsia" w:hAnsiTheme="minorEastAsia"/>
          <w:kern w:val="0"/>
          <w:sz w:val="22"/>
          <w:szCs w:val="22"/>
        </w:rPr>
        <w:t>合同</w:t>
      </w:r>
      <w:r>
        <w:rPr>
          <w:rFonts w:cs="Calibri" w:asciiTheme="minorEastAsia" w:hAnsiTheme="minorEastAsia"/>
          <w:kern w:val="0"/>
          <w:sz w:val="22"/>
          <w:szCs w:val="22"/>
        </w:rPr>
        <w:t>（合同条款按第</w:t>
      </w:r>
      <w:r>
        <w:rPr>
          <w:rFonts w:hint="eastAsia" w:cs="Calibri" w:asciiTheme="minorEastAsia" w:hAnsiTheme="minorEastAsia"/>
          <w:kern w:val="0"/>
          <w:sz w:val="22"/>
          <w:szCs w:val="22"/>
        </w:rPr>
        <w:t>四</w:t>
      </w:r>
      <w:r>
        <w:rPr>
          <w:rFonts w:cs="Calibri" w:asciiTheme="minorEastAsia" w:hAnsiTheme="minorEastAsia"/>
          <w:kern w:val="0"/>
          <w:sz w:val="22"/>
          <w:szCs w:val="22"/>
        </w:rPr>
        <w:t>章</w:t>
      </w:r>
      <w:r>
        <w:rPr>
          <w:rFonts w:hint="eastAsia" w:cs="Calibri" w:asciiTheme="minorEastAsia" w:hAnsiTheme="minorEastAsia"/>
          <w:kern w:val="0"/>
          <w:sz w:val="22"/>
          <w:szCs w:val="22"/>
        </w:rPr>
        <w:t>“</w:t>
      </w:r>
      <w:r>
        <w:rPr>
          <w:rFonts w:cs="Calibri" w:asciiTheme="minorEastAsia" w:hAnsiTheme="minorEastAsia"/>
          <w:kern w:val="0"/>
          <w:sz w:val="22"/>
          <w:szCs w:val="22"/>
        </w:rPr>
        <w:t>合同条款</w:t>
      </w:r>
      <w:r>
        <w:rPr>
          <w:rFonts w:hint="eastAsia" w:cs="Calibri" w:asciiTheme="minorEastAsia" w:hAnsiTheme="minorEastAsia"/>
          <w:kern w:val="0"/>
          <w:sz w:val="22"/>
          <w:szCs w:val="22"/>
        </w:rPr>
        <w:t>”</w:t>
      </w:r>
      <w:r>
        <w:rPr>
          <w:rFonts w:cs="Calibri" w:asciiTheme="minorEastAsia" w:hAnsiTheme="minorEastAsia"/>
          <w:kern w:val="0"/>
          <w:sz w:val="22"/>
          <w:szCs w:val="22"/>
        </w:rPr>
        <w:t>）。中标人无正当理由拒签</w:t>
      </w:r>
      <w:r>
        <w:rPr>
          <w:rFonts w:hint="eastAsia" w:cs="Calibri" w:asciiTheme="minorEastAsia" w:hAnsiTheme="minorEastAsia"/>
          <w:kern w:val="0"/>
          <w:sz w:val="22"/>
          <w:szCs w:val="22"/>
        </w:rPr>
        <w:t>合同</w:t>
      </w:r>
      <w:r>
        <w:rPr>
          <w:rFonts w:cs="Calibri" w:asciiTheme="minorEastAsia" w:hAnsiTheme="minorEastAsia"/>
          <w:kern w:val="0"/>
          <w:sz w:val="22"/>
          <w:szCs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szCs w:val="22"/>
        </w:rPr>
      </w:pPr>
      <w:r>
        <w:rPr>
          <w:rFonts w:hint="eastAsia" w:cs="Calibri" w:asciiTheme="minorEastAsia" w:hAnsiTheme="minorEastAsia"/>
          <w:color w:val="000000"/>
          <w:kern w:val="0"/>
          <w:sz w:val="22"/>
          <w:szCs w:val="22"/>
        </w:rPr>
        <w:t xml:space="preserve">7.4.3 </w:t>
      </w:r>
      <w:r>
        <w:rPr>
          <w:rFonts w:hint="eastAsia" w:cs="Calibri" w:asciiTheme="minorEastAsia" w:hAnsiTheme="minorEastAsia"/>
          <w:b/>
          <w:color w:val="000000"/>
          <w:kern w:val="0"/>
          <w:sz w:val="22"/>
          <w:szCs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cs="Calibri" w:asciiTheme="minorEastAsia" w:hAnsiTheme="minorEastAsia"/>
          <w:kern w:val="0"/>
          <w:sz w:val="22"/>
          <w:szCs w:val="22"/>
        </w:rPr>
      </w:pPr>
      <w:r>
        <w:rPr>
          <w:rFonts w:hint="eastAsia" w:cs="Calibri" w:asciiTheme="minorEastAsia" w:hAnsiTheme="minorEastAsia"/>
          <w:color w:val="000000"/>
          <w:kern w:val="0"/>
          <w:sz w:val="22"/>
          <w:szCs w:val="22"/>
        </w:rPr>
        <w:t xml:space="preserve">7.4.4 </w:t>
      </w:r>
      <w:r>
        <w:rPr>
          <w:rFonts w:hint="eastAsia" w:cs="Calibri" w:asciiTheme="minorEastAsia" w:hAnsiTheme="minorEastAsia"/>
          <w:b/>
          <w:color w:val="000000"/>
          <w:kern w:val="0"/>
          <w:sz w:val="22"/>
          <w:szCs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b/>
          <w:bCs/>
          <w:kern w:val="0"/>
          <w:sz w:val="22"/>
          <w:szCs w:val="22"/>
        </w:rPr>
      </w:pPr>
      <w:r>
        <w:rPr>
          <w:rFonts w:cs="Calibri" w:asciiTheme="minorEastAsia" w:hAnsiTheme="minorEastAsia"/>
          <w:b/>
          <w:bCs/>
          <w:kern w:val="0"/>
          <w:sz w:val="22"/>
          <w:szCs w:val="22"/>
        </w:rPr>
        <w:t>8.重新招标和不再招标</w:t>
      </w:r>
      <w:bookmarkEnd w:id="43"/>
      <w:bookmarkEnd w:id="44"/>
      <w:bookmarkEnd w:id="45"/>
    </w:p>
    <w:p>
      <w:pPr>
        <w:autoSpaceDE w:val="0"/>
        <w:autoSpaceDN w:val="0"/>
        <w:adjustRightInd w:val="0"/>
        <w:snapToGrid w:val="0"/>
        <w:spacing w:line="360" w:lineRule="exact"/>
        <w:rPr>
          <w:rFonts w:cs="Calibri" w:asciiTheme="minorEastAsia" w:hAnsiTheme="minorEastAsia"/>
          <w:b/>
          <w:bCs/>
          <w:kern w:val="0"/>
          <w:sz w:val="22"/>
          <w:szCs w:val="22"/>
        </w:rPr>
      </w:pPr>
      <w:bookmarkStart w:id="46" w:name="_Toc219809802"/>
      <w:bookmarkStart w:id="47" w:name="_Toc15553"/>
      <w:bookmarkStart w:id="48" w:name="_Toc220123242"/>
      <w:r>
        <w:rPr>
          <w:rFonts w:cs="Calibri" w:asciiTheme="minorEastAsia" w:hAnsiTheme="minorEastAsia"/>
          <w:b/>
          <w:bCs/>
          <w:kern w:val="0"/>
          <w:sz w:val="22"/>
          <w:szCs w:val="22"/>
        </w:rPr>
        <w:t>8.1 重新招标</w:t>
      </w:r>
      <w:bookmarkEnd w:id="46"/>
      <w:bookmarkEnd w:id="47"/>
      <w:bookmarkEnd w:id="48"/>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有下列情形之一的，招标人将重新招标；</w:t>
      </w:r>
    </w:p>
    <w:p>
      <w:pPr>
        <w:adjustRightInd w:val="0"/>
        <w:snapToGrid w:val="0"/>
        <w:spacing w:line="360" w:lineRule="exact"/>
        <w:ind w:firstLine="440"/>
        <w:rPr>
          <w:rFonts w:cs="Calibri" w:asciiTheme="minorEastAsia" w:hAnsiTheme="minorEastAsia"/>
          <w:kern w:val="0"/>
          <w:sz w:val="22"/>
          <w:szCs w:val="22"/>
        </w:rPr>
      </w:pPr>
      <w:r>
        <w:rPr>
          <w:rFonts w:cs="Calibri" w:asciiTheme="minorEastAsia" w:hAnsiTheme="minorEastAsia"/>
          <w:kern w:val="0"/>
          <w:sz w:val="22"/>
          <w:szCs w:val="22"/>
        </w:rPr>
        <w:t>（1）投标截止时间止，投标人少于3个的；</w:t>
      </w:r>
    </w:p>
    <w:p>
      <w:pPr>
        <w:adjustRightInd w:val="0"/>
        <w:snapToGrid w:val="0"/>
        <w:spacing w:line="360" w:lineRule="exact"/>
        <w:ind w:firstLine="476"/>
        <w:rPr>
          <w:rFonts w:cs="Calibri" w:asciiTheme="minorEastAsia" w:hAnsiTheme="minorEastAsia"/>
          <w:b/>
          <w:kern w:val="0"/>
          <w:sz w:val="22"/>
          <w:szCs w:val="22"/>
        </w:rPr>
      </w:pPr>
      <w:r>
        <w:rPr>
          <w:rFonts w:cs="Calibri" w:asciiTheme="minorEastAsia" w:hAnsiTheme="minorEastAsia"/>
          <w:b/>
          <w:kern w:val="0"/>
          <w:sz w:val="22"/>
          <w:szCs w:val="22"/>
        </w:rPr>
        <w:t>（2）</w:t>
      </w:r>
      <w:r>
        <w:rPr>
          <w:rFonts w:hint="eastAsia" w:cs="Calibri" w:asciiTheme="minorEastAsia" w:hAnsiTheme="minorEastAsia"/>
          <w:b/>
          <w:kern w:val="0"/>
          <w:sz w:val="22"/>
          <w:szCs w:val="22"/>
        </w:rPr>
        <w:t>所有投标人的报价均偏高，招标人无法接受的；</w:t>
      </w:r>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kern w:val="0"/>
          <w:sz w:val="22"/>
          <w:szCs w:val="22"/>
        </w:rPr>
        <w:t>（</w:t>
      </w:r>
      <w:r>
        <w:rPr>
          <w:rFonts w:hint="eastAsia" w:cs="Calibri" w:asciiTheme="minorEastAsia" w:hAnsiTheme="minorEastAsia"/>
          <w:kern w:val="0"/>
          <w:sz w:val="22"/>
          <w:szCs w:val="22"/>
        </w:rPr>
        <w:t>3</w:t>
      </w:r>
      <w:r>
        <w:rPr>
          <w:rFonts w:cs="Calibri" w:asciiTheme="minorEastAsia" w:hAnsiTheme="minorEastAsia"/>
          <w:kern w:val="0"/>
          <w:sz w:val="22"/>
          <w:szCs w:val="22"/>
        </w:rPr>
        <w:t>）经评标委员会评审后否决所有投标的。</w:t>
      </w:r>
    </w:p>
    <w:p>
      <w:pPr>
        <w:autoSpaceDE w:val="0"/>
        <w:autoSpaceDN w:val="0"/>
        <w:adjustRightInd w:val="0"/>
        <w:snapToGrid w:val="0"/>
        <w:spacing w:line="360" w:lineRule="exact"/>
        <w:rPr>
          <w:rFonts w:cs="Calibri" w:asciiTheme="minorEastAsia" w:hAnsiTheme="minorEastAsia"/>
          <w:b/>
          <w:bCs/>
          <w:kern w:val="0"/>
          <w:sz w:val="22"/>
          <w:szCs w:val="22"/>
        </w:rPr>
      </w:pPr>
      <w:bookmarkStart w:id="49" w:name="_Toc18806"/>
      <w:bookmarkStart w:id="50" w:name="_Toc220123243"/>
      <w:bookmarkStart w:id="51" w:name="_Toc219809803"/>
      <w:r>
        <w:rPr>
          <w:rFonts w:cs="Calibri" w:asciiTheme="minorEastAsia" w:hAnsiTheme="minorEastAsia"/>
          <w:b/>
          <w:bCs/>
          <w:kern w:val="0"/>
          <w:sz w:val="22"/>
          <w:szCs w:val="22"/>
        </w:rPr>
        <w:t>8.2 不再招标</w:t>
      </w:r>
      <w:bookmarkEnd w:id="49"/>
      <w:bookmarkEnd w:id="50"/>
      <w:bookmarkEnd w:id="51"/>
    </w:p>
    <w:p>
      <w:pPr>
        <w:adjustRightInd w:val="0"/>
        <w:snapToGrid w:val="0"/>
        <w:spacing w:line="360" w:lineRule="exact"/>
        <w:ind w:firstLine="440"/>
        <w:rPr>
          <w:rFonts w:cs="Calibri" w:asciiTheme="minorEastAsia" w:hAnsiTheme="minorEastAsia"/>
          <w:sz w:val="22"/>
          <w:szCs w:val="22"/>
        </w:rPr>
      </w:pPr>
      <w:r>
        <w:rPr>
          <w:rFonts w:cs="Calibri" w:asciiTheme="minorEastAsia" w:hAnsiTheme="minorEastAsia"/>
          <w:sz w:val="22"/>
          <w:szCs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b/>
          <w:bCs/>
          <w:kern w:val="0"/>
          <w:sz w:val="22"/>
          <w:szCs w:val="22"/>
        </w:rPr>
      </w:pPr>
      <w:bookmarkStart w:id="52" w:name="_Toc215941254"/>
      <w:bookmarkStart w:id="53" w:name="_Toc219809804"/>
      <w:bookmarkStart w:id="54" w:name="_Toc220123244"/>
      <w:bookmarkStart w:id="55" w:name="_Toc2986"/>
      <w:r>
        <w:rPr>
          <w:rFonts w:cs="Calibri" w:asciiTheme="minorEastAsia" w:hAnsiTheme="minorEastAsia"/>
          <w:b/>
          <w:bCs/>
          <w:kern w:val="0"/>
          <w:sz w:val="22"/>
          <w:szCs w:val="22"/>
        </w:rPr>
        <w:t>9.纪律和监督</w:t>
      </w:r>
      <w:bookmarkEnd w:id="52"/>
      <w:bookmarkEnd w:id="53"/>
      <w:bookmarkEnd w:id="54"/>
      <w:bookmarkEnd w:id="55"/>
    </w:p>
    <w:p>
      <w:pPr>
        <w:autoSpaceDE w:val="0"/>
        <w:autoSpaceDN w:val="0"/>
        <w:adjustRightInd w:val="0"/>
        <w:snapToGrid w:val="0"/>
        <w:spacing w:line="360" w:lineRule="exact"/>
        <w:rPr>
          <w:rFonts w:cs="Calibri" w:asciiTheme="minorEastAsia" w:hAnsiTheme="minorEastAsia"/>
          <w:b/>
          <w:bCs/>
          <w:kern w:val="0"/>
          <w:sz w:val="22"/>
          <w:szCs w:val="22"/>
        </w:rPr>
      </w:pPr>
      <w:bookmarkStart w:id="56" w:name="_Toc219809805"/>
      <w:bookmarkStart w:id="57" w:name="_Toc220123245"/>
      <w:bookmarkStart w:id="58" w:name="_Toc5509"/>
      <w:r>
        <w:rPr>
          <w:rFonts w:cs="Calibri" w:asciiTheme="minorEastAsia" w:hAnsiTheme="minorEastAsia"/>
          <w:b/>
          <w:bCs/>
          <w:kern w:val="0"/>
          <w:sz w:val="22"/>
          <w:szCs w:val="22"/>
        </w:rPr>
        <w:t>9.1 对招标人的纪律要求</w:t>
      </w:r>
      <w:bookmarkEnd w:id="56"/>
      <w:bookmarkEnd w:id="57"/>
      <w:bookmarkEnd w:id="58"/>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sz w:val="22"/>
          <w:szCs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b/>
          <w:bCs/>
          <w:kern w:val="0"/>
          <w:sz w:val="22"/>
          <w:szCs w:val="22"/>
        </w:rPr>
      </w:pPr>
      <w:bookmarkStart w:id="59" w:name="_Toc219809806"/>
      <w:bookmarkStart w:id="60" w:name="_Toc220123246"/>
      <w:bookmarkStart w:id="61" w:name="_Toc10820"/>
      <w:r>
        <w:rPr>
          <w:rFonts w:cs="Calibri" w:asciiTheme="minorEastAsia" w:hAnsiTheme="minorEastAsia"/>
          <w:b/>
          <w:bCs/>
          <w:kern w:val="0"/>
          <w:sz w:val="22"/>
          <w:szCs w:val="22"/>
        </w:rPr>
        <w:t>9.2 对投标人的纪律要求</w:t>
      </w:r>
      <w:bookmarkEnd w:id="59"/>
      <w:bookmarkEnd w:id="60"/>
      <w:bookmarkEnd w:id="61"/>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color w:val="000000"/>
          <w:sz w:val="22"/>
          <w:szCs w:val="22"/>
        </w:rPr>
      </w:pPr>
      <w:r>
        <w:rPr>
          <w:rFonts w:hint="eastAsia" w:cs="Calibri" w:asciiTheme="minorEastAsia" w:hAnsiTheme="minorEastAsia"/>
          <w:b/>
          <w:color w:val="000000"/>
          <w:sz w:val="22"/>
          <w:szCs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b/>
          <w:bCs/>
          <w:kern w:val="0"/>
          <w:sz w:val="22"/>
          <w:szCs w:val="22"/>
        </w:rPr>
      </w:pPr>
      <w:bookmarkStart w:id="62" w:name="_Toc219809807"/>
      <w:bookmarkStart w:id="63" w:name="_Toc220123247"/>
      <w:bookmarkStart w:id="64" w:name="_Toc10756"/>
      <w:r>
        <w:rPr>
          <w:rFonts w:cs="Calibri" w:asciiTheme="minorEastAsia" w:hAnsiTheme="minorEastAsia"/>
          <w:b/>
          <w:bCs/>
          <w:kern w:val="0"/>
          <w:sz w:val="22"/>
          <w:szCs w:val="22"/>
        </w:rPr>
        <w:t>9.3 对评标委员会成员的纪律要求</w:t>
      </w:r>
      <w:bookmarkEnd w:id="62"/>
      <w:bookmarkEnd w:id="63"/>
      <w:bookmarkEnd w:id="64"/>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sz w:val="22"/>
          <w:szCs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szCs w:val="22"/>
        </w:rPr>
        <w:t>五</w:t>
      </w:r>
      <w:r>
        <w:rPr>
          <w:rFonts w:cs="Calibri" w:asciiTheme="minorEastAsia" w:hAnsiTheme="minorEastAsia"/>
          <w:color w:val="000000"/>
          <w:sz w:val="22"/>
          <w:szCs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b/>
          <w:bCs/>
          <w:kern w:val="0"/>
          <w:sz w:val="22"/>
          <w:szCs w:val="22"/>
        </w:rPr>
      </w:pPr>
      <w:bookmarkStart w:id="65" w:name="_Toc219809808"/>
      <w:bookmarkStart w:id="66" w:name="_Toc220123248"/>
      <w:bookmarkStart w:id="67" w:name="_Toc12792"/>
      <w:r>
        <w:rPr>
          <w:rFonts w:cs="Calibri" w:asciiTheme="minorEastAsia" w:hAnsiTheme="minorEastAsia"/>
          <w:b/>
          <w:bCs/>
          <w:kern w:val="0"/>
          <w:sz w:val="22"/>
          <w:szCs w:val="22"/>
        </w:rPr>
        <w:t>9.4 对评标活动有关的工作人员的纪律要求</w:t>
      </w:r>
      <w:bookmarkEnd w:id="65"/>
      <w:bookmarkEnd w:id="66"/>
      <w:bookmarkEnd w:id="67"/>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sz w:val="22"/>
          <w:szCs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b/>
          <w:bCs/>
          <w:kern w:val="0"/>
          <w:sz w:val="22"/>
          <w:szCs w:val="22"/>
        </w:rPr>
      </w:pPr>
      <w:bookmarkStart w:id="68" w:name="_Toc219809809"/>
      <w:bookmarkStart w:id="69" w:name="_Toc220123249"/>
      <w:bookmarkStart w:id="70" w:name="_Toc239"/>
      <w:r>
        <w:rPr>
          <w:rFonts w:cs="Calibri" w:asciiTheme="minorEastAsia" w:hAnsiTheme="minorEastAsia"/>
          <w:b/>
          <w:bCs/>
          <w:kern w:val="0"/>
          <w:sz w:val="22"/>
          <w:szCs w:val="22"/>
        </w:rPr>
        <w:t>9.5 投诉</w:t>
      </w:r>
      <w:bookmarkEnd w:id="68"/>
      <w:bookmarkEnd w:id="69"/>
      <w:bookmarkEnd w:id="70"/>
    </w:p>
    <w:p>
      <w:pPr>
        <w:adjustRightInd w:val="0"/>
        <w:snapToGrid w:val="0"/>
        <w:spacing w:line="360" w:lineRule="exact"/>
        <w:ind w:firstLine="440"/>
        <w:rPr>
          <w:rFonts w:cs="Calibri" w:asciiTheme="minorEastAsia" w:hAnsiTheme="minorEastAsia"/>
          <w:color w:val="000000"/>
          <w:sz w:val="22"/>
          <w:szCs w:val="22"/>
        </w:rPr>
      </w:pPr>
      <w:r>
        <w:rPr>
          <w:rFonts w:cs="Calibri" w:asciiTheme="minorEastAsia" w:hAnsiTheme="minorEastAsia"/>
          <w:color w:val="000000"/>
          <w:sz w:val="22"/>
          <w:szCs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b/>
          <w:bCs/>
          <w:kern w:val="0"/>
          <w:sz w:val="22"/>
          <w:szCs w:val="22"/>
        </w:rPr>
      </w:pPr>
      <w:bookmarkStart w:id="71" w:name="_Toc10817"/>
      <w:r>
        <w:rPr>
          <w:rFonts w:cs="Calibri" w:asciiTheme="minorEastAsia" w:hAnsiTheme="minorEastAsia"/>
          <w:b/>
          <w:bCs/>
          <w:kern w:val="0"/>
          <w:sz w:val="22"/>
          <w:szCs w:val="22"/>
        </w:rPr>
        <w:t>10. 需要补充的其他内容</w:t>
      </w:r>
      <w:bookmarkEnd w:id="71"/>
    </w:p>
    <w:p>
      <w:pPr>
        <w:autoSpaceDE w:val="0"/>
        <w:autoSpaceDN w:val="0"/>
        <w:adjustRightInd w:val="0"/>
        <w:snapToGrid w:val="0"/>
        <w:spacing w:line="360" w:lineRule="exact"/>
        <w:ind w:firstLine="440"/>
        <w:jc w:val="left"/>
        <w:rPr>
          <w:rFonts w:cs="Calibri" w:asciiTheme="minorEastAsia" w:hAnsiTheme="minorEastAsia"/>
          <w:color w:val="000000"/>
          <w:sz w:val="22"/>
          <w:szCs w:val="22"/>
        </w:rPr>
      </w:pPr>
      <w:r>
        <w:rPr>
          <w:rFonts w:cs="Calibri" w:asciiTheme="minorEastAsia" w:hAnsiTheme="minorEastAsia"/>
          <w:color w:val="000000"/>
          <w:sz w:val="22"/>
          <w:szCs w:val="22"/>
        </w:rPr>
        <w:t>需要补充的其他内容：见投标人须知前附表。</w:t>
      </w:r>
    </w:p>
    <w:p>
      <w:pPr>
        <w:spacing w:line="560" w:lineRule="exact"/>
        <w:rPr>
          <w:rFonts w:asciiTheme="minorEastAsia" w:hAnsiTheme="minorEastAsia"/>
          <w:sz w:val="22"/>
          <w:szCs w:val="22"/>
        </w:rPr>
      </w:pPr>
    </w:p>
    <w:p>
      <w:pPr>
        <w:spacing w:line="560" w:lineRule="exact"/>
        <w:jc w:val="center"/>
        <w:rPr>
          <w:rFonts w:asciiTheme="minorEastAsia" w:hAnsiTheme="minorEastAsia"/>
          <w:sz w:val="22"/>
          <w:szCs w:val="22"/>
        </w:rPr>
      </w:pPr>
    </w:p>
    <w:p>
      <w:pPr>
        <w:snapToGrid w:val="0"/>
        <w:spacing w:line="560" w:lineRule="exact"/>
        <w:rPr>
          <w:rFonts w:asciiTheme="minorEastAsia" w:hAnsiTheme="minorEastAsia"/>
          <w:sz w:val="22"/>
          <w:szCs w:val="22"/>
        </w:rPr>
      </w:pPr>
    </w:p>
    <w:p>
      <w:pPr>
        <w:pStyle w:val="48"/>
      </w:pPr>
      <w:r>
        <w:rPr>
          <w:rFonts w:asciiTheme="minorEastAsia" w:hAnsiTheme="minorEastAsia" w:eastAsiaTheme="minorEastAsia"/>
          <w:sz w:val="22"/>
          <w:szCs w:val="22"/>
        </w:rPr>
        <w:br w:type="page"/>
      </w:r>
      <w:bookmarkStart w:id="72" w:name="_Toc321925453"/>
      <w:r>
        <w:t>第</w:t>
      </w:r>
      <w:r>
        <w:rPr>
          <w:rFonts w:hint="eastAsia"/>
        </w:rPr>
        <w:t>三</w:t>
      </w:r>
      <w:r>
        <w:t>章货物需求一览表及技术规格</w:t>
      </w:r>
      <w:bookmarkEnd w:id="72"/>
    </w:p>
    <w:p>
      <w:pPr>
        <w:pStyle w:val="141"/>
        <w:spacing w:line="240" w:lineRule="auto"/>
        <w:ind w:firstLine="442"/>
        <w:rPr>
          <w:rFonts w:asciiTheme="minorEastAsia" w:hAnsiTheme="minorEastAsia" w:eastAsiaTheme="minorEastAsia"/>
          <w:sz w:val="22"/>
          <w:szCs w:val="22"/>
        </w:rPr>
      </w:pPr>
      <w:r>
        <w:rPr>
          <w:rFonts w:hint="eastAsia" w:asciiTheme="minorEastAsia" w:hAnsiTheme="minorEastAsia" w:eastAsiaTheme="minorEastAsia"/>
          <w:sz w:val="22"/>
          <w:szCs w:val="22"/>
        </w:rPr>
        <w:t>一、项目</w:t>
      </w:r>
      <w:r>
        <w:rPr>
          <w:rFonts w:asciiTheme="minorEastAsia" w:hAnsiTheme="minorEastAsia" w:eastAsiaTheme="minorEastAsia"/>
          <w:sz w:val="22"/>
          <w:szCs w:val="22"/>
        </w:rPr>
        <w:t>概况</w:t>
      </w:r>
    </w:p>
    <w:p>
      <w:pPr>
        <w:spacing w:line="360" w:lineRule="auto"/>
        <w:ind w:firstLine="420"/>
        <w:rPr>
          <w:rFonts w:asciiTheme="minorEastAsia" w:hAnsiTheme="minorEastAsia"/>
          <w:snapToGrid w:val="0"/>
          <w:sz w:val="22"/>
          <w:szCs w:val="22"/>
        </w:rPr>
      </w:pPr>
      <w:r>
        <w:rPr>
          <w:rFonts w:hint="eastAsia" w:asciiTheme="minorEastAsia" w:hAnsiTheme="minorEastAsia"/>
          <w:snapToGrid w:val="0"/>
          <w:sz w:val="22"/>
          <w:szCs w:val="22"/>
        </w:rPr>
        <w:t>本次招标主要是对杭州萧山国际机场国际快件中心海关监管卡口建设所需的软硬件产品进行采购。本项目是用于对海关监管的货车通过国际快件中心通道自动进行重量采集、车牌光学识别等数据采集，将所有记录的数据发给杭州海关监管系统进行比对，根据杭州海关监管系统下发的最终放行结果，确定车辆是否对通行放行，从而实现卡口通道的无人监管，保证了数据的客观性和监管的力度。满足杭州萧山机场国际快件中心快速通关、高效监管、无障碍物流监控的需要，方便各物流公司、货运公司快速作业的要求。 可实现 24小时通关，有效提高国际快件中心的货物处理效率，满足国际快件货量增加需求，</w:t>
      </w:r>
      <w:r>
        <w:rPr>
          <w:rFonts w:asciiTheme="minorEastAsia" w:hAnsiTheme="minorEastAsia"/>
          <w:snapToGrid w:val="0"/>
          <w:sz w:val="22"/>
          <w:szCs w:val="22"/>
        </w:rPr>
        <w:t>加快客户的进出货效率</w:t>
      </w:r>
      <w:r>
        <w:rPr>
          <w:rFonts w:hint="eastAsia" w:asciiTheme="minorEastAsia" w:hAnsiTheme="minorEastAsia"/>
          <w:snapToGrid w:val="0"/>
          <w:sz w:val="22"/>
          <w:szCs w:val="22"/>
        </w:rPr>
        <w:t>，</w:t>
      </w:r>
      <w:r>
        <w:rPr>
          <w:rFonts w:asciiTheme="minorEastAsia" w:hAnsiTheme="minorEastAsia"/>
          <w:snapToGrid w:val="0"/>
          <w:sz w:val="22"/>
          <w:szCs w:val="22"/>
        </w:rPr>
        <w:t>促进国际货邮量的增长</w:t>
      </w:r>
      <w:r>
        <w:rPr>
          <w:rFonts w:hint="eastAsia" w:asciiTheme="minorEastAsia" w:hAnsiTheme="minorEastAsia"/>
          <w:snapToGrid w:val="0"/>
          <w:sz w:val="22"/>
          <w:szCs w:val="22"/>
        </w:rPr>
        <w:t>。</w:t>
      </w:r>
    </w:p>
    <w:p>
      <w:pPr>
        <w:pStyle w:val="141"/>
        <w:spacing w:line="240" w:lineRule="auto"/>
        <w:ind w:firstLine="442"/>
        <w:rPr>
          <w:rFonts w:asciiTheme="minorEastAsia" w:hAnsiTheme="minorEastAsia" w:eastAsiaTheme="minorEastAsia"/>
          <w:sz w:val="22"/>
          <w:szCs w:val="22"/>
        </w:rPr>
      </w:pPr>
      <w:r>
        <w:rPr>
          <w:rFonts w:hint="eastAsia" w:asciiTheme="minorEastAsia" w:hAnsiTheme="minorEastAsia" w:eastAsiaTheme="minorEastAsia"/>
          <w:sz w:val="22"/>
          <w:szCs w:val="22"/>
        </w:rPr>
        <w:t>二、采购内容及货物需求一览表</w:t>
      </w:r>
    </w:p>
    <w:tbl>
      <w:tblPr>
        <w:tblStyle w:val="53"/>
        <w:tblW w:w="742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69"/>
        <w:gridCol w:w="1321"/>
        <w:gridCol w:w="3557"/>
        <w:gridCol w:w="937"/>
        <w:gridCol w:w="9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5"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序号</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货物名称</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主要技术规格</w:t>
            </w:r>
          </w:p>
        </w:tc>
        <w:tc>
          <w:tcPr>
            <w:tcW w:w="937" w:type="dxa"/>
          </w:tcPr>
          <w:p>
            <w:pPr>
              <w:pStyle w:val="141"/>
              <w:spacing w:line="240" w:lineRule="auto"/>
              <w:ind w:firstLine="36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数量</w:t>
            </w:r>
          </w:p>
        </w:tc>
        <w:tc>
          <w:tcPr>
            <w:tcW w:w="937" w:type="dxa"/>
          </w:tcPr>
          <w:p>
            <w:pPr>
              <w:pStyle w:val="141"/>
              <w:spacing w:line="240" w:lineRule="auto"/>
              <w:ind w:firstLine="36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车牌摄像机</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200万高清，集成LED补光，支持全系列车牌，包括蓝牌、黄牌、警牌、新武警、新军牌、单双层牌、新能源车牌、民航专用车牌、使馆车牌、老式不反光车牌，车牌识别准确率&gt;99%。</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4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道闸</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电机类型 直流电机，伺服控制技术，良好的转矩平衡性、低功耗、高效率以及低噪声</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方向调节 双向设计，更换杆把即可实现左右向互换。中速 3/4/5秒可调，适应最长5米直杆及折臂杆限位 免限位设计，上电自动检测起落杆位置，精准可靠离合装置 断电情况下，手轮锁离合，通过人为手动起落杆，并锁定在任意状态参数设定 可通过面板显示器，设置计数、遇阻灵敏度、起落速度等功能。</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4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3</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地感探测器</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敏感度调节 10级可调（0档-9档）</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检测响应时间 &lt;40ms</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线圈频率 4 种设置（低，中低，中高，高）</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线圈电感量 在20…2000µH间均有效探测</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电源/回路错失指示灯 绿色 LED 灯</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探测/频率计数指示灯 红色 LED 灯</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4</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5"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4</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地感线圈</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尺寸1m*2m，高温特氟龙铜线敷设</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4</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5</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车道信息显示屏</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P5全彩LED模块，4行显示，可显示空余车位及车牌信息等。</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6</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室外箱</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600*450*250mm不锈钢喷塑，厚度1.5mm；内置空开、电源插座，工业级开关电源（DC12V20A,AC24V10A）。含接地，接地电阻小于10欧姆。基础施工。</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20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7</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车牌识别摄像机(含镜头、补光灯、电源、支架、识别系统、防雨罩)</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【智能补光抓拍一体机】【深度学习】【大角度识别】包含：</w:t>
            </w:r>
          </w:p>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防护罩、镜头、摄像机、2个LED补光灯等</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分辨率：200万，1920*1200</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帧率：25fps(1920*1080)</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传感器类型：1/3""  Progressive Scan CMOS</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最小照度：彩色0.002Lux@(F1.2,AGC ON)，黑白0.0002Lux @(F1.2,AGC ON)</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镜头：3.1-9mm电动变焦镜头，支持软件自动调焦</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自动光圈：DC驱动</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ICR切换：支持</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视频压缩标准：H.264/H.265/MJPEG</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图像设置：饱和度,亮度,对比度,白平衡,增益,3D降噪通过软件可调</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存储功能：内置TF卡槽</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智能识别：车牌识别、车型识别、车标识别、车身颜色识别</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补光灯控制：补光灯自动光控、时控可选</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接口：1 个RJ45 10M/100M/1000M 自适应以太网口，1个 RS-485 接口，1个RS-232接口，1路音频输入，1路音频输出，3路触发输入，2路继电器输出</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无线模块：（型号带4，表示支持4G传输）</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功能特性：外接道闸，布防状态下可根据存储黑白名单自动控制外接道闸开/关；车辆抓拍：支持车牌、车型、车标、车身颜色识别，电动变焦、自动光圈，内置LED补光灯，同步补光，同步录像，黑白名单控制，视频触发"</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68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8</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道闸</w:t>
            </w:r>
          </w:p>
        </w:tc>
        <w:tc>
          <w:tcPr>
            <w:tcW w:w="3557" w:type="dxa"/>
          </w:tcPr>
          <w:p>
            <w:pPr>
              <w:pStyle w:val="141"/>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1、栏杆长度：3.0～4.0米。2、电源：AC220V±15%，50Hz。3、工作环境温度范围：-40℃～75℃。4、工作环境湿度范围：≤ 95%。5、功率：≤200W。6、使用寿命：1000万次。7、MTBF≥500万次，MTTR＜0.5h。8、起落时间：≤ 1.3秒；9、符合中华人民共和国国家标准《收费用电动栏杆》（GB/T 24973-2010）。　　</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36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9</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卡口综合显示屏</w:t>
            </w:r>
          </w:p>
        </w:tc>
        <w:tc>
          <w:tcPr>
            <w:tcW w:w="3557" w:type="dxa"/>
          </w:tcPr>
          <w:p>
            <w:pPr>
              <w:pStyle w:val="141"/>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机壳及立柱采用冷轧钢材料，表面作喷塑处理。显示尺寸610mm×380mm,偏差≤±3mm。显示屏采用亚克力玻璃密封。PCB板作防酸、防潮、防盐雾处理。 显示屏亮度可由计算机自动调节（8级），有效降低功耗并可防止驾驶员夜间眩目。采用LED点阵式显示屏，选用表贴LED显示，像素数量80行×128列，像素间距≥4.75mm，发光管直径≥3.75mm。ASCII码字库、16×16点阵GB2132一级汉字字库，图文格式任意显示，字体大小可调，显示方式可上下、左右滚屏显示。发光器件:红色色半户外LED点阵模块；通行灯采用超高亮度LED单管。显示汉字：5行8列=40个(16×16点阵时)。箱体防护等级：IP65。工作温度：-40℃～+75℃。</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5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10</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红外光栅(防跟车系统)</w:t>
            </w:r>
          </w:p>
        </w:tc>
        <w:tc>
          <w:tcPr>
            <w:tcW w:w="355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采用生产的红外光电式车辆分离器。该车辆分离器能够自动有效的检测车辆的开始和结束，实现将每辆车分成为一个单元，并保证称重检测数据与车辆一一对应关系。功能特点：车辆分离器能够对现有各种车型进行分离，良好天气时分离判断正确率达到99.9%以上；在恶劣天气时，分离判断正确率达到99%以上；可分辨最小尺寸为25mm的物体；能分辨车辆的离地最高高度：1650mm，离地最低高度：400mm，有效检测高度：1250mm；能对车辆最小间距小于200mm的车辆进行分离；光栅有效工作距离：1~20m；光栅防护罩具有自动加热、除霜功能，能防止凝露、结霜，恶劣气候下能正常工作；车辆分离器具有自诊断功能，可自动探测故障，并忽略或屏蔽有问题的信号，仍能正常工作，同时输出报警信号，一旦故障排除，能自动回复正常工作状态；在恶劣环境下，诸如：强光干扰、下雨、下雪、浓雾、温度异常，仍能保证100%可靠工作，并可忽略雪花、石块、昆虫或飞鸟等的干扰；当主车辆分离器发生故障时，可以通过硬件和软件（收费界面上）显示出明确的故障信息：工作环境：a) 温度：-40℃～+85℃；b) 相对湿度：0～95%RH；c）振动：0~100HZd）加速度：98m/S2；e）冲击：4.1Joules，3ft.~1b;防护等级：IP67。使用寿命：10年以上。分离器外壳采用厚1.5mm的不锈钢，并设有醒目的防撞反光标志。</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4</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8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11</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电子关锁施解封系统</w:t>
            </w:r>
          </w:p>
        </w:tc>
        <w:tc>
          <w:tcPr>
            <w:tcW w:w="3557" w:type="dxa"/>
          </w:tcPr>
          <w:p>
            <w:pPr>
              <w:pStyle w:val="141"/>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电子关锁施解封系统：1、485转换器：符合EIA RS-232，RS-485，RS422标准RS-232信号：TX、RX、GNDRS-422信号：T+、T-、R+、R-、GNDRS-485信号：D+、D-、GND工作方式：异步传输，点对点或多点，2线半双工/4线全双工波特率：300～115200bps，自动侦测串口信号速率方向控制：自动判别和控制数据传输方向传输距离：RS-485/422端3000米（9600bps），RS-232端建议不超过15米接口保护：1500W浪涌保护，15KV静电保护光电隔离：3000V接口形式：RS-232端DB9母头，RS-485/422端RJ45、DB9M或5位接线端子可选2、关锁配套系统软件1套：固定式设备电子关锁施解封1套、配套杆件；3、433MHz读写器4套：流5VDC+/-4%峰值功耗3.5W-6.5W（依据射频功率而定）发射功率“+10dBm”速率 2-250kbps  可调网口协议TCP工作温度-20— +85 ℃存储温度-40— +85 ℃标签缓存200 个标签标签识读率100个 标签/秒识别距离空旷地50-1000M可调串口通讯速率115.2kbps安装方式机械固定4、125K唤醒和定位读写器4套5、电子关锁手持机1套：内置3dBi UHF RFID 天线，最大可读取距离3-4米 RS232/USB6、手持机监管软件开发4套：施/解封处理，异常处理，锁管理7、环形天线及天线馈线4套8、辅材及线材4套。符合JGS/T 04-2015标准，需与杭州海关智慧空港系统对接</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19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12</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磁盘阵列</w:t>
            </w:r>
          </w:p>
        </w:tc>
        <w:tc>
          <w:tcPr>
            <w:tcW w:w="3557" w:type="dxa"/>
          </w:tcPr>
          <w:p>
            <w:pPr>
              <w:pStyle w:val="141"/>
              <w:spacing w:line="240" w:lineRule="auto"/>
              <w:ind w:firstLine="360"/>
              <w:jc w:val="center"/>
              <w:rPr>
                <w:rFonts w:asciiTheme="minorEastAsia" w:hAnsiTheme="minorEastAsia" w:eastAsiaTheme="minorEastAsia"/>
                <w:b w:val="0"/>
                <w:snapToGrid w:val="0"/>
                <w:sz w:val="18"/>
                <w:szCs w:val="18"/>
              </w:rPr>
            </w:pPr>
            <w:r>
              <w:rPr>
                <w:rFonts w:asciiTheme="minorEastAsia" w:hAnsiTheme="minorEastAsia" w:eastAsiaTheme="minorEastAsia"/>
                <w:b w:val="0"/>
                <w:snapToGrid w:val="0"/>
                <w:sz w:val="18"/>
                <w:szCs w:val="18"/>
              </w:rPr>
              <w:t>1</w:t>
            </w:r>
            <w:r>
              <w:rPr>
                <w:rFonts w:hint="eastAsia" w:asciiTheme="minorEastAsia" w:hAnsiTheme="minorEastAsia" w:eastAsiaTheme="minorEastAsia"/>
                <w:b w:val="0"/>
                <w:snapToGrid w:val="0"/>
                <w:sz w:val="18"/>
                <w:szCs w:val="18"/>
              </w:rPr>
              <w:t>、 存储控制器：2个热插拔存储控制器。</w:t>
            </w:r>
            <w:r>
              <w:rPr>
                <w:rFonts w:hint="eastAsia" w:asciiTheme="minorEastAsia" w:hAnsiTheme="minorEastAsia" w:eastAsiaTheme="minorEastAsia"/>
                <w:b w:val="0"/>
                <w:snapToGrid w:val="0"/>
                <w:sz w:val="18"/>
                <w:szCs w:val="18"/>
              </w:rPr>
              <w:br w:type="textWrapping"/>
            </w:r>
            <w:r>
              <w:rPr>
                <w:rFonts w:asciiTheme="minorEastAsia" w:hAnsiTheme="minorEastAsia" w:eastAsiaTheme="minorEastAsia"/>
                <w:b w:val="0"/>
                <w:snapToGrid w:val="0"/>
                <w:sz w:val="18"/>
                <w:szCs w:val="18"/>
              </w:rPr>
              <w:t>3</w:t>
            </w:r>
            <w:r>
              <w:rPr>
                <w:rFonts w:hint="eastAsia" w:asciiTheme="minorEastAsia" w:hAnsiTheme="minorEastAsia" w:eastAsiaTheme="minorEastAsia"/>
                <w:b w:val="0"/>
                <w:snapToGrid w:val="0"/>
                <w:sz w:val="18"/>
                <w:szCs w:val="18"/>
              </w:rPr>
              <w:t>、 高速缓存配置：≥12GB非flash。</w:t>
            </w:r>
            <w:r>
              <w:rPr>
                <w:rFonts w:hint="eastAsia" w:asciiTheme="minorEastAsia" w:hAnsiTheme="minorEastAsia" w:eastAsiaTheme="minorEastAsia"/>
                <w:b w:val="0"/>
                <w:snapToGrid w:val="0"/>
                <w:sz w:val="18"/>
                <w:szCs w:val="18"/>
              </w:rPr>
              <w:br w:type="textWrapping"/>
            </w:r>
            <w:r>
              <w:rPr>
                <w:rFonts w:asciiTheme="minorEastAsia" w:hAnsiTheme="minorEastAsia" w:eastAsiaTheme="minorEastAsia"/>
                <w:b w:val="0"/>
                <w:snapToGrid w:val="0"/>
                <w:sz w:val="18"/>
                <w:szCs w:val="18"/>
              </w:rPr>
              <w:t>3</w:t>
            </w:r>
            <w:r>
              <w:rPr>
                <w:rFonts w:hint="eastAsia" w:asciiTheme="minorEastAsia" w:hAnsiTheme="minorEastAsia" w:eastAsiaTheme="minorEastAsia"/>
                <w:b w:val="0"/>
                <w:snapToGrid w:val="0"/>
                <w:sz w:val="18"/>
                <w:szCs w:val="18"/>
              </w:rPr>
              <w:t>、 主机端口：≥4个8Gbps主机端口。</w:t>
            </w:r>
            <w:r>
              <w:rPr>
                <w:rFonts w:hint="eastAsia" w:asciiTheme="minorEastAsia" w:hAnsiTheme="minorEastAsia" w:eastAsiaTheme="minorEastAsia"/>
                <w:b w:val="0"/>
                <w:snapToGrid w:val="0"/>
                <w:sz w:val="18"/>
                <w:szCs w:val="18"/>
              </w:rPr>
              <w:br w:type="textWrapping"/>
            </w:r>
            <w:r>
              <w:rPr>
                <w:rFonts w:asciiTheme="minorEastAsia" w:hAnsiTheme="minorEastAsia" w:eastAsiaTheme="minorEastAsia"/>
                <w:b w:val="0"/>
                <w:snapToGrid w:val="0"/>
                <w:sz w:val="18"/>
                <w:szCs w:val="18"/>
              </w:rPr>
              <w:t>4</w:t>
            </w:r>
            <w:r>
              <w:rPr>
                <w:rFonts w:hint="eastAsia" w:asciiTheme="minorEastAsia" w:hAnsiTheme="minorEastAsia" w:eastAsiaTheme="minorEastAsia"/>
                <w:b w:val="0"/>
                <w:snapToGrid w:val="0"/>
                <w:sz w:val="18"/>
                <w:szCs w:val="18"/>
              </w:rPr>
              <w:t>、 RAID6数据保护：支持。</w:t>
            </w:r>
            <w:r>
              <w:rPr>
                <w:rFonts w:hint="eastAsia" w:asciiTheme="minorEastAsia" w:hAnsiTheme="minorEastAsia" w:eastAsiaTheme="minorEastAsia"/>
                <w:b w:val="0"/>
                <w:snapToGrid w:val="0"/>
                <w:sz w:val="18"/>
                <w:szCs w:val="18"/>
              </w:rPr>
              <w:br w:type="textWrapping"/>
            </w:r>
            <w:r>
              <w:rPr>
                <w:rFonts w:asciiTheme="minorEastAsia" w:hAnsiTheme="minorEastAsia" w:eastAsiaTheme="minorEastAsia"/>
                <w:b w:val="0"/>
                <w:snapToGrid w:val="0"/>
                <w:sz w:val="18"/>
                <w:szCs w:val="18"/>
              </w:rPr>
              <w:t>5</w:t>
            </w:r>
            <w:r>
              <w:rPr>
                <w:rFonts w:hint="eastAsia" w:asciiTheme="minorEastAsia" w:hAnsiTheme="minorEastAsia" w:eastAsiaTheme="minorEastAsia"/>
                <w:b w:val="0"/>
                <w:snapToGrid w:val="0"/>
                <w:sz w:val="18"/>
                <w:szCs w:val="18"/>
              </w:rPr>
              <w:t>、 硬盘配置：≥10块1.2TB 10K SAS硬盘。</w:t>
            </w:r>
            <w:r>
              <w:rPr>
                <w:rFonts w:hint="eastAsia" w:asciiTheme="minorEastAsia" w:hAnsiTheme="minorEastAsia" w:eastAsiaTheme="minorEastAsia"/>
                <w:b w:val="0"/>
                <w:snapToGrid w:val="0"/>
                <w:sz w:val="18"/>
                <w:szCs w:val="18"/>
              </w:rPr>
              <w:br w:type="textWrapping"/>
            </w:r>
            <w:r>
              <w:rPr>
                <w:rFonts w:asciiTheme="minorEastAsia" w:hAnsiTheme="minorEastAsia" w:eastAsiaTheme="minorEastAsia"/>
                <w:b w:val="0"/>
                <w:snapToGrid w:val="0"/>
                <w:sz w:val="18"/>
                <w:szCs w:val="18"/>
              </w:rPr>
              <w:t>6</w:t>
            </w:r>
            <w:r>
              <w:rPr>
                <w:rFonts w:hint="eastAsia" w:asciiTheme="minorEastAsia" w:hAnsiTheme="minorEastAsia" w:eastAsiaTheme="minorEastAsia"/>
                <w:b w:val="0"/>
                <w:snapToGrid w:val="0"/>
                <w:sz w:val="18"/>
                <w:szCs w:val="18"/>
              </w:rPr>
              <w:t>、 动态扩容：最大512个LUN，配置LUN动态扩容许可。</w:t>
            </w:r>
            <w:r>
              <w:rPr>
                <w:rFonts w:hint="eastAsia" w:asciiTheme="minorEastAsia" w:hAnsiTheme="minorEastAsia" w:eastAsiaTheme="minorEastAsia"/>
                <w:b w:val="0"/>
                <w:snapToGrid w:val="0"/>
                <w:sz w:val="18"/>
                <w:szCs w:val="18"/>
              </w:rPr>
              <w:br w:type="textWrapping"/>
            </w:r>
            <w:r>
              <w:rPr>
                <w:rFonts w:asciiTheme="minorEastAsia" w:hAnsiTheme="minorEastAsia" w:eastAsiaTheme="minorEastAsia"/>
                <w:b w:val="0"/>
                <w:snapToGrid w:val="0"/>
                <w:sz w:val="18"/>
                <w:szCs w:val="18"/>
              </w:rPr>
              <w:t>7</w:t>
            </w:r>
            <w:r>
              <w:rPr>
                <w:rFonts w:hint="eastAsia" w:asciiTheme="minorEastAsia" w:hAnsiTheme="minorEastAsia" w:eastAsiaTheme="minorEastAsia"/>
                <w:b w:val="0"/>
                <w:snapToGrid w:val="0"/>
                <w:sz w:val="18"/>
                <w:szCs w:val="18"/>
              </w:rPr>
              <w:t>、 单一LUN最大支持容量：128TB。</w:t>
            </w:r>
            <w:r>
              <w:rPr>
                <w:rFonts w:hint="eastAsia" w:asciiTheme="minorEastAsia" w:hAnsiTheme="minorEastAsia" w:eastAsiaTheme="minorEastAsia"/>
                <w:b w:val="0"/>
                <w:snapToGrid w:val="0"/>
                <w:sz w:val="18"/>
                <w:szCs w:val="18"/>
              </w:rPr>
              <w:br w:type="textWrapping"/>
            </w:r>
            <w:r>
              <w:rPr>
                <w:rFonts w:asciiTheme="minorEastAsia" w:hAnsiTheme="minorEastAsia" w:eastAsiaTheme="minorEastAsia"/>
                <w:b w:val="0"/>
                <w:snapToGrid w:val="0"/>
                <w:sz w:val="18"/>
                <w:szCs w:val="18"/>
              </w:rPr>
              <w:t>8</w:t>
            </w:r>
            <w:r>
              <w:rPr>
                <w:rFonts w:hint="eastAsia" w:asciiTheme="minorEastAsia" w:hAnsiTheme="minorEastAsia" w:eastAsiaTheme="minorEastAsia"/>
                <w:b w:val="0"/>
                <w:snapToGrid w:val="0"/>
                <w:sz w:val="18"/>
                <w:szCs w:val="18"/>
              </w:rPr>
              <w:t>、 支持硬盘类型：支持SAS和SAS MDL磁盘，。</w:t>
            </w:r>
            <w:r>
              <w:rPr>
                <w:rFonts w:hint="eastAsia" w:asciiTheme="minorEastAsia" w:hAnsiTheme="minorEastAsia" w:eastAsiaTheme="minorEastAsia"/>
                <w:b w:val="0"/>
                <w:snapToGrid w:val="0"/>
                <w:sz w:val="18"/>
                <w:szCs w:val="18"/>
              </w:rPr>
              <w:br w:type="textWrapping"/>
            </w:r>
            <w:r>
              <w:rPr>
                <w:rFonts w:asciiTheme="minorEastAsia" w:hAnsiTheme="minorEastAsia" w:eastAsiaTheme="minorEastAsia"/>
                <w:b w:val="0"/>
                <w:snapToGrid w:val="0"/>
                <w:sz w:val="18"/>
                <w:szCs w:val="18"/>
              </w:rPr>
              <w:t>9</w:t>
            </w:r>
            <w:r>
              <w:rPr>
                <w:rFonts w:hint="eastAsia" w:asciiTheme="minorEastAsia" w:hAnsiTheme="minorEastAsia" w:eastAsiaTheme="minorEastAsia"/>
                <w:b w:val="0"/>
                <w:snapToGrid w:val="0"/>
                <w:sz w:val="18"/>
                <w:szCs w:val="18"/>
              </w:rPr>
              <w:t>、磁盘容错方式：支持RAID 0，1, 3, 5, 6, 10, 50。</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1</w:t>
            </w:r>
            <w:r>
              <w:rPr>
                <w:rFonts w:asciiTheme="minorEastAsia" w:hAnsiTheme="minorEastAsia" w:eastAsiaTheme="minorEastAsia"/>
                <w:b w:val="0"/>
                <w:snapToGrid w:val="0"/>
                <w:sz w:val="18"/>
                <w:szCs w:val="18"/>
              </w:rPr>
              <w:t>0</w:t>
            </w:r>
            <w:r>
              <w:rPr>
                <w:rFonts w:hint="eastAsia" w:asciiTheme="minorEastAsia" w:hAnsiTheme="minorEastAsia" w:eastAsiaTheme="minorEastAsia"/>
                <w:b w:val="0"/>
                <w:snapToGrid w:val="0"/>
                <w:sz w:val="18"/>
                <w:szCs w:val="18"/>
              </w:rPr>
              <w:t>、快照及克隆：配制磁盘快照功能，最少配制64个快照和卷克隆，可扩至512个。</w:t>
            </w:r>
            <w:r>
              <w:rPr>
                <w:rFonts w:hint="eastAsia" w:asciiTheme="minorEastAsia" w:hAnsiTheme="minorEastAsia" w:eastAsiaTheme="minorEastAsia"/>
                <w:b w:val="0"/>
                <w:snapToGrid w:val="0"/>
                <w:sz w:val="18"/>
                <w:szCs w:val="18"/>
              </w:rPr>
              <w:br w:type="textWrapping"/>
            </w:r>
            <w:r>
              <w:rPr>
                <w:rFonts w:asciiTheme="minorEastAsia" w:hAnsiTheme="minorEastAsia" w:eastAsiaTheme="minorEastAsia"/>
                <w:b w:val="0"/>
                <w:snapToGrid w:val="0"/>
                <w:sz w:val="18"/>
                <w:szCs w:val="18"/>
              </w:rPr>
              <w:t>11</w:t>
            </w:r>
            <w:r>
              <w:rPr>
                <w:rFonts w:hint="eastAsia" w:asciiTheme="minorEastAsia" w:hAnsiTheme="minorEastAsia" w:eastAsiaTheme="minorEastAsia"/>
                <w:b w:val="0"/>
                <w:snapToGrid w:val="0"/>
                <w:sz w:val="18"/>
                <w:szCs w:val="18"/>
              </w:rPr>
              <w:t>、虚拟化阵列：允许数据卷跨越同时最多99块硬盘，无需进行Raid后空间再绑定。</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1</w:t>
            </w:r>
            <w:r>
              <w:rPr>
                <w:rFonts w:asciiTheme="minorEastAsia" w:hAnsiTheme="minorEastAsia" w:eastAsiaTheme="minorEastAsia"/>
                <w:b w:val="0"/>
                <w:snapToGrid w:val="0"/>
                <w:sz w:val="18"/>
                <w:szCs w:val="18"/>
              </w:rPr>
              <w:t>12</w:t>
            </w:r>
            <w:r>
              <w:rPr>
                <w:rFonts w:hint="eastAsia" w:asciiTheme="minorEastAsia" w:hAnsiTheme="minorEastAsia" w:eastAsiaTheme="minorEastAsia"/>
                <w:b w:val="0"/>
                <w:snapToGrid w:val="0"/>
                <w:sz w:val="18"/>
                <w:szCs w:val="18"/>
              </w:rPr>
              <w:t>、数据复制：支持数据异步复制。</w:t>
            </w:r>
            <w:r>
              <w:rPr>
                <w:rFonts w:hint="eastAsia" w:asciiTheme="minorEastAsia" w:hAnsiTheme="minorEastAsia" w:eastAsiaTheme="minorEastAsia"/>
                <w:b w:val="0"/>
                <w:snapToGrid w:val="0"/>
                <w:sz w:val="18"/>
                <w:szCs w:val="18"/>
              </w:rPr>
              <w:br w:type="textWrapping"/>
            </w:r>
            <w:r>
              <w:rPr>
                <w:rFonts w:asciiTheme="minorEastAsia" w:hAnsiTheme="minorEastAsia" w:eastAsiaTheme="minorEastAsia"/>
                <w:b w:val="0"/>
                <w:snapToGrid w:val="0"/>
                <w:sz w:val="18"/>
                <w:szCs w:val="18"/>
              </w:rPr>
              <w:t>13</w:t>
            </w:r>
            <w:r>
              <w:rPr>
                <w:rFonts w:hint="eastAsia" w:asciiTheme="minorEastAsia" w:hAnsiTheme="minorEastAsia" w:eastAsiaTheme="minorEastAsia"/>
                <w:b w:val="0"/>
                <w:snapToGrid w:val="0"/>
                <w:sz w:val="18"/>
                <w:szCs w:val="18"/>
              </w:rPr>
              <w:t>、精简配置：提供卷的精简配置管理功能，即实际主机映射的存储空间超出存储实际拥有的磁盘空间。要求精简配置支持空间在线回收。</w:t>
            </w:r>
            <w:r>
              <w:rPr>
                <w:rFonts w:hint="eastAsia" w:asciiTheme="minorEastAsia" w:hAnsiTheme="minorEastAsia" w:eastAsiaTheme="minorEastAsia"/>
                <w:b w:val="0"/>
                <w:snapToGrid w:val="0"/>
                <w:sz w:val="18"/>
                <w:szCs w:val="18"/>
              </w:rPr>
              <w:br w:type="textWrapping"/>
            </w:r>
            <w:r>
              <w:rPr>
                <w:rFonts w:asciiTheme="minorEastAsia" w:hAnsiTheme="minorEastAsia" w:eastAsiaTheme="minorEastAsia"/>
                <w:b w:val="0"/>
                <w:snapToGrid w:val="0"/>
                <w:sz w:val="18"/>
                <w:szCs w:val="18"/>
              </w:rPr>
              <w:t>14</w:t>
            </w:r>
            <w:r>
              <w:rPr>
                <w:rFonts w:hint="eastAsia" w:asciiTheme="minorEastAsia" w:hAnsiTheme="minorEastAsia" w:eastAsiaTheme="minorEastAsia"/>
                <w:b w:val="0"/>
                <w:snapToGrid w:val="0"/>
                <w:sz w:val="18"/>
                <w:szCs w:val="18"/>
              </w:rPr>
              <w:t>、断电保护：要求支持断电时将控制器缓存数据写入硬件存储设备中，可永久保护，在保护过程中不需要电池保护方式。</w:t>
            </w:r>
            <w:r>
              <w:rPr>
                <w:rFonts w:hint="eastAsia" w:asciiTheme="minorEastAsia" w:hAnsiTheme="minorEastAsia" w:eastAsiaTheme="minorEastAsia"/>
                <w:b w:val="0"/>
                <w:snapToGrid w:val="0"/>
                <w:sz w:val="18"/>
                <w:szCs w:val="18"/>
              </w:rPr>
              <w:br w:type="textWrapping"/>
            </w:r>
            <w:r>
              <w:rPr>
                <w:rFonts w:asciiTheme="minorEastAsia" w:hAnsiTheme="minorEastAsia" w:eastAsiaTheme="minorEastAsia"/>
                <w:b w:val="0"/>
                <w:snapToGrid w:val="0"/>
                <w:sz w:val="18"/>
                <w:szCs w:val="18"/>
              </w:rPr>
              <w:t>15</w:t>
            </w:r>
            <w:r>
              <w:rPr>
                <w:rFonts w:hint="eastAsia" w:asciiTheme="minorEastAsia" w:hAnsiTheme="minorEastAsia" w:eastAsiaTheme="minorEastAsia"/>
                <w:b w:val="0"/>
                <w:snapToGrid w:val="0"/>
                <w:sz w:val="18"/>
                <w:szCs w:val="18"/>
              </w:rPr>
              <w:t>、微码升级：支持在线的微码升级（双控制器）。</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1</w:t>
            </w:r>
            <w:r>
              <w:rPr>
                <w:rFonts w:asciiTheme="minorEastAsia" w:hAnsiTheme="minorEastAsia" w:eastAsiaTheme="minorEastAsia"/>
                <w:b w:val="0"/>
                <w:snapToGrid w:val="0"/>
                <w:sz w:val="18"/>
                <w:szCs w:val="18"/>
              </w:rPr>
              <w:t>6</w:t>
            </w:r>
            <w:r>
              <w:rPr>
                <w:rFonts w:hint="eastAsia" w:asciiTheme="minorEastAsia" w:hAnsiTheme="minorEastAsia" w:eastAsiaTheme="minorEastAsia"/>
                <w:b w:val="0"/>
                <w:snapToGrid w:val="0"/>
                <w:sz w:val="18"/>
                <w:szCs w:val="18"/>
              </w:rPr>
              <w:t>、容量扩展能力：≥99个硬盘，支持热插拔扩容。</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1</w:t>
            </w:r>
            <w:r>
              <w:rPr>
                <w:rFonts w:asciiTheme="minorEastAsia" w:hAnsiTheme="minorEastAsia" w:eastAsiaTheme="minorEastAsia"/>
                <w:b w:val="0"/>
                <w:snapToGrid w:val="0"/>
                <w:sz w:val="18"/>
                <w:szCs w:val="18"/>
              </w:rPr>
              <w:t>7</w:t>
            </w:r>
            <w:r>
              <w:rPr>
                <w:rFonts w:hint="eastAsia" w:asciiTheme="minorEastAsia" w:hAnsiTheme="minorEastAsia" w:eastAsiaTheme="minorEastAsia"/>
                <w:b w:val="0"/>
                <w:snapToGrid w:val="0"/>
                <w:sz w:val="18"/>
                <w:szCs w:val="18"/>
              </w:rPr>
              <w:t>、虚拟化支持：支持Vdisk跨多个磁盘笼。</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1</w:t>
            </w:r>
            <w:r>
              <w:rPr>
                <w:rFonts w:asciiTheme="minorEastAsia" w:hAnsiTheme="minorEastAsia" w:eastAsiaTheme="minorEastAsia"/>
                <w:b w:val="0"/>
                <w:snapToGrid w:val="0"/>
                <w:sz w:val="18"/>
                <w:szCs w:val="18"/>
              </w:rPr>
              <w:t>8</w:t>
            </w:r>
            <w:r>
              <w:rPr>
                <w:rFonts w:hint="eastAsia" w:asciiTheme="minorEastAsia" w:hAnsiTheme="minorEastAsia" w:eastAsiaTheme="minorEastAsia"/>
                <w:b w:val="0"/>
                <w:snapToGrid w:val="0"/>
                <w:sz w:val="18"/>
                <w:szCs w:val="18"/>
              </w:rPr>
              <w:t>、负载均衡：支持Windows,Linux多路径负载，要求配置16个多路径负载均衡许可。</w:t>
            </w:r>
            <w:r>
              <w:rPr>
                <w:rFonts w:hint="eastAsia" w:asciiTheme="minorEastAsia" w:hAnsiTheme="minorEastAsia" w:eastAsiaTheme="minorEastAsia"/>
                <w:b w:val="0"/>
                <w:snapToGrid w:val="0"/>
                <w:sz w:val="18"/>
                <w:szCs w:val="18"/>
              </w:rPr>
              <w:br w:type="textWrapping"/>
            </w:r>
            <w:r>
              <w:rPr>
                <w:rFonts w:asciiTheme="minorEastAsia" w:hAnsiTheme="minorEastAsia" w:eastAsiaTheme="minorEastAsia"/>
                <w:b w:val="0"/>
                <w:snapToGrid w:val="0"/>
                <w:sz w:val="18"/>
                <w:szCs w:val="18"/>
              </w:rPr>
              <w:t>19</w:t>
            </w:r>
            <w:r>
              <w:rPr>
                <w:rFonts w:hint="eastAsia" w:asciiTheme="minorEastAsia" w:hAnsiTheme="minorEastAsia" w:eastAsiaTheme="minorEastAsia"/>
                <w:b w:val="0"/>
                <w:snapToGrid w:val="0"/>
                <w:sz w:val="18"/>
                <w:szCs w:val="18"/>
              </w:rPr>
              <w:t>、冗余电源和风扇：配置冗余电源和风扇。</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2</w:t>
            </w:r>
            <w:r>
              <w:rPr>
                <w:rFonts w:asciiTheme="minorEastAsia" w:hAnsiTheme="minorEastAsia" w:eastAsiaTheme="minorEastAsia"/>
                <w:b w:val="0"/>
                <w:snapToGrid w:val="0"/>
                <w:sz w:val="18"/>
                <w:szCs w:val="18"/>
              </w:rPr>
              <w:t>0</w:t>
            </w:r>
            <w:r>
              <w:rPr>
                <w:rFonts w:hint="eastAsia" w:asciiTheme="minorEastAsia" w:hAnsiTheme="minorEastAsia" w:eastAsiaTheme="minorEastAsia"/>
                <w:b w:val="0"/>
                <w:snapToGrid w:val="0"/>
                <w:sz w:val="18"/>
                <w:szCs w:val="18"/>
              </w:rPr>
              <w:t>、管理软件：随机配置管理配置软件，要求WEB管理界面。</w:t>
            </w:r>
            <w:r>
              <w:rPr>
                <w:rFonts w:hint="eastAsia" w:asciiTheme="minorEastAsia" w:hAnsiTheme="minorEastAsia" w:eastAsiaTheme="minorEastAsia"/>
                <w:b w:val="0"/>
                <w:snapToGrid w:val="0"/>
                <w:sz w:val="18"/>
                <w:szCs w:val="18"/>
              </w:rPr>
              <w:br w:type="textWrapping"/>
            </w:r>
            <w:r>
              <w:rPr>
                <w:rFonts w:asciiTheme="minorEastAsia" w:hAnsiTheme="minorEastAsia" w:eastAsiaTheme="minorEastAsia"/>
                <w:b w:val="0"/>
                <w:snapToGrid w:val="0"/>
                <w:sz w:val="18"/>
                <w:szCs w:val="18"/>
                <w:shd w:val="clear" w:color="auto" w:fill="FFFF00"/>
              </w:rPr>
              <w:t>21</w:t>
            </w:r>
            <w:r>
              <w:rPr>
                <w:rFonts w:hint="eastAsia" w:asciiTheme="minorEastAsia" w:hAnsiTheme="minorEastAsia" w:eastAsiaTheme="minorEastAsia"/>
                <w:b w:val="0"/>
                <w:snapToGrid w:val="0"/>
                <w:sz w:val="18"/>
                <w:szCs w:val="18"/>
                <w:shd w:val="clear" w:color="auto" w:fill="FFFF00"/>
              </w:rPr>
              <w:t>、</w:t>
            </w:r>
            <w:r>
              <w:rPr>
                <w:rFonts w:asciiTheme="minorEastAsia" w:hAnsiTheme="minorEastAsia" w:eastAsiaTheme="minorEastAsia"/>
                <w:b w:val="0"/>
                <w:snapToGrid w:val="0"/>
                <w:sz w:val="18"/>
                <w:szCs w:val="18"/>
                <w:shd w:val="clear" w:color="auto" w:fill="FFFF00"/>
              </w:rPr>
              <w:t>HPE DL388gen9服务器扩容：HBA卡4张，为保证可靠性和可用性，要求品牌与服务器品牌一致（原服务器品牌为惠普）</w:t>
            </w:r>
            <w:r>
              <w:rPr>
                <w:rFonts w:hint="eastAsia" w:asciiTheme="minorEastAsia" w:hAnsiTheme="minorEastAsia" w:eastAsiaTheme="minorEastAsia"/>
                <w:b w:val="0"/>
                <w:snapToGrid w:val="0"/>
                <w:sz w:val="18"/>
                <w:szCs w:val="18"/>
              </w:rPr>
              <w:t>。</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8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13</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工业交换机</w:t>
            </w:r>
          </w:p>
        </w:tc>
        <w:tc>
          <w:tcPr>
            <w:tcW w:w="3557" w:type="dxa"/>
          </w:tcPr>
          <w:p>
            <w:pPr>
              <w:pStyle w:val="141"/>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采用导轨式安装，设备高度为1U。千兆电口≥8个，千兆光口≥2个。支持-40°C-70°C的工作温度，支持IP41防护等级，支持Dying Gasp掉电告警，在设备完全掉电之后，可以发送报文发出告警。通过FCC认证，提供证书。</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通过IEC60068-2-27抗冲击认证，提供相关证书证明。通过IE60068-2-32抗跌落认证，提供相关证书。通过DIN5510防火认证，提供相关证书证明。每台交换机实配2个10KM千兆单模光模块，为保证可靠性，光模块需与交换机同一品牌。</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4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14</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工控机</w:t>
            </w:r>
          </w:p>
        </w:tc>
        <w:tc>
          <w:tcPr>
            <w:tcW w:w="3557" w:type="dxa"/>
          </w:tcPr>
          <w:p>
            <w:pPr>
              <w:pStyle w:val="141"/>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无风扇嵌入式工业计算机，英特尔I5 4200U,CPU四核主频1.6GHz，16G内存，128G固态硬盘，2个网口，4个USB口，4个RS232接口，1个VGA口，1个HDMI口，支持双屏异显， 100V~240V交流转12V直流电源适配器，预装WIN7 64位操作系统.(含显示器、键盘、鼠标）</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15</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电子地磅集成系统</w:t>
            </w:r>
          </w:p>
        </w:tc>
        <w:tc>
          <w:tcPr>
            <w:tcW w:w="355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地磅数据采集，集成与智能卡口系统对接。</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44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16</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串口服务器</w:t>
            </w:r>
          </w:p>
        </w:tc>
        <w:tc>
          <w:tcPr>
            <w:tcW w:w="3557" w:type="dxa"/>
          </w:tcPr>
          <w:p>
            <w:pPr>
              <w:pStyle w:val="141"/>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接口：RS-232, 8-pin RJ45 信号：TxD, RxD, RTS, CTS, DTR, DSR, DCD 内嵌功能内嵌HMI LCM显示，带4个按键 内嵌的蜂鸣器 内嵌实时时钟 内嵌看门狗实时时钟 串行通信参数校验位：None, Even, Odd, Space, Mark 数据位：5, 6, 7, 8 停止位：1, 1.5, 2 流向控制：RTS/CTS, DTR/DSR (仅NPort 5610), XON/XOFF 速率：50 bps ～ 921.6 Kbps 软件特点协议：ICMP, IP, TCP, UDP, DHCP, BootP, Telnet, DNS, SNMP, HTTP, SMTP, SNTP 工具：NPort管理员应用于Windows 95/98/ME/NT/2000/ XP/2003 驱动支持：Windows 95/98/ME/NT/2000/XP/2003/XP x64/2003 x64 COM driver, Linux real TTY driver, SCO Unix, SCO OpenServer 5, UnixWare 7, UnixWare 2.1.x, SVR4.2 配置：Web浏览器/串口telnet console口，或Windows工具 电源需求电源输入：100 ～ 240 VAC, 47 ～ 63 Hz, 或±48 VDC 电源功耗：5610-16：200 mA@100V, 145 mA@ 240V 5610-16-48V：215 mA (@48V max.) 5630-16：212 mA@100V, 130 mA@240V 5630-16-48V：215 mA (@48V max.) 机械特性材料：SECC金属外壳 (1mm) 工作环境操作温度：0 ～ 55?C (32 ～ 131?F), 5 ～ 95% RH 储存温度：-20 ～ 75?C (-4 ～ 167?F), 5 ～ 95% RH 通过认证EMC： CE：EN55022 Class A/EN 55024 IEC 61000-4-12 ( for NPort 5610-16, NPort5610-8-48) FCC：FCC Part 15 Subpart B Class A 安全： UL：UL60950-1 TÜV：EN60950-1</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19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17</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远程IO控制器</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内建2端口以太网口，可组建菊花链拓扑结构</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免费提供基于PUSH的Moxa 主动式OPC Server Lite   可无缝连结任何 SCADA 系统</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节省80%网络频宽</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七倍快速的I/O响应速度</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自定义的Modbus/TCP地址</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MXIO链接库，支持Windows、WinCE VB/VC.NET和 Linux C API</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可透过Web配置，支持导入/输出功能</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LAN以太网：2 x 10/100 Mbps交换口，RJ45</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隔离保护：1.5 KV magnetic isolation</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协议：Modbus/TCP，TCP/IP，UDP，DHCP，Bootp，HTTP</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数字输入传感器类型：NPN，PNP和干节点</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I/O类型：DI或计数器</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干节点：</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 xml:space="preserve"> 逻辑0：short ~ GND</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 xml:space="preserve"> 逻辑1：open</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湿节点：</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 xml:space="preserve"> 逻辑0：0 ~ 3 VDC</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 xml:space="preserve"> 逻辑1：10 ~ 30 VDC (DI COM ~ DI)</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隔离保护：3K VDC或2K Vrms</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技术器频率：250 Hz，断电存储</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继电器输出类型：Form A (N.O.) relay outputs，5A</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触点容量：5 A @ 30 VDC、5 A @ 250 VAC、5 A @ 110</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VAC</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感性负载：2 A</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电阻负载：5 A</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击穿电压：500 VAC</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继电器闭合/断开时间：1500 ms (最大)</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初始绝缘电阻：最小1G @ 500 VDC</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使用寿命：100,000 次 (典型)</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接触电阻(初始值)：30 milli-ohms (最大.)</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脉冲输出：额定负载下 0.3 Hz</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电源需求电源输入：24 VDC nominal，12 ~ 36 VDC</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电源功耗：130 mA typical @ 24 VDC</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机械特性接线规格：I/O cable max. 14 AWG</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尺寸：27.8 x 124 x 84 mm (1.09 x 4.88 x 3.31 in)</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重量：&lt;200 g</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工作环境工作温度：-10 ~ 60°C (14 ~ 140°F)</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存储温度：-40 ~ 85°C (-40 ~ 185°F)</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相对湿度：5 ~ 95% (non-condensing)</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安规认证EMI：FCC Part 15，CISPR (EN55022) class A</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EMS：IEC 61000-4，IEC 61000-6</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Safety：UL508</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Shock：IEC 60068-2-27</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Freefall：IEC 60068-2-32</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Vibration：IEC 60068-2-6</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6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18</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新型室外机柜(含机柜空调)</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机柜空调：纯直流 48V 供电，不受交流电网影响</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采用高能效直流变频压缩机，能效比最高可达 4.5</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风机转速可智能调速，热负荷降低则噪声自动降低</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采用多种工艺手段，防腐性能突出</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防护等级 IP55，室外侧可直接冲水清洗，维护方便</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机组配有 LCD 中英文菜单显示，操作简单</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采用 R134a 环保制冷剂，符合 RoHS 要求</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来电（延时）自启动、智能防误操作模式</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提供多种告警及 RS485 通讯功能与保护功能。机柜尺寸： 900*900*2100 ,IP55防护等级，门制温控，内效链，内嵌门，门锁带锁盖，支持外挂锁， 直流防雷：10KA/20KA,2/20us。不锈钢喷塑，厚度1.5mm；内置空开、电源插座，工业级开关电源（DC12V20A,AC24V10A）。含接地，接地电阻小于10欧姆。基础施工。</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44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19</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车尾图像抓拍摄像机</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【200万像素4寸红外网络高清智能球机】</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图像传感器:1/2.8＂ progressive scan CMOS</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最低照度:彩色：0.005Lux @ (F1.6，AGC ON)；黑白：0.001Lux @(F1.6，AGC ON) ；0 Lux with IR</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分辨率及帧率:主码流 50Hz:25fps (1920×1080) ;60Hz: 30fps(1920×1080)</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视频压缩:H.265/H.264/MJPEG</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红外照射距离:100米</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焦距:4.8-110mm，23倍光学</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Smart图像增强:120dB超宽动态、透雾、强光抑制、电子防抖、Smart IR</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水平及垂直范围:水平360°；垂直-15°-90°（自动翻转）</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水平速度:水平键控速度：0.1°-80°/s,速度可设;水平预置点速度：80°/s</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垂直速度:垂直键控速度：0.1°-80°/s,速度可设;垂直预置点速度：80°/s</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电源接口:DC12V</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网络接口:RJ45网口，自适应10M/100M网络数据；支持 POE+(802.3at)供电</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音频输入/输出:1路音频输入；1路音频输出</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SD卡接口:内置Micro SD卡插槽，支持Micro SD(即TF卡)/Micro SDHC/Micro SDXC卡（最大支持256G）</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功耗:18W max（其中红外灯7W max）</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工作温度和湿度:-30℃-65℃；湿度小于90%</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防护等级:IP66;</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 xml:space="preserve">尺寸:Φ164.5×290mm </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重量:2Kg"</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20</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球机立杆</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直径Ф165mm，厚度4mm；总高度5米；挑臂直径Ф76，厚度3mm，挑出1.5米（挑臂可旋转维护）；热镀锌喷塑；含基础及安装支架。</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8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21</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岗亭</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正面为圆形，热弯玻璃，视野宽阔，两面可移动窗户，可收费登记用，门开在后方，不影响整体美观。尺寸：2500</w:t>
            </w:r>
            <w:r>
              <w:rPr>
                <w:rFonts w:hint="eastAsia" w:cs="宋体" w:asciiTheme="minorEastAsia" w:hAnsiTheme="minorEastAsia" w:eastAsiaTheme="minorEastAsia"/>
                <w:b w:val="0"/>
                <w:snapToGrid w:val="0"/>
                <w:sz w:val="18"/>
                <w:szCs w:val="18"/>
              </w:rPr>
              <w:t>㎜</w:t>
            </w:r>
            <w:r>
              <w:rPr>
                <w:rFonts w:hint="eastAsia" w:cs="仿宋_GB2312" w:asciiTheme="minorEastAsia" w:hAnsiTheme="minorEastAsia" w:eastAsiaTheme="minorEastAsia"/>
                <w:b w:val="0"/>
                <w:snapToGrid w:val="0"/>
                <w:sz w:val="18"/>
                <w:szCs w:val="18"/>
              </w:rPr>
              <w:t>×</w:t>
            </w:r>
            <w:r>
              <w:rPr>
                <w:rFonts w:hint="eastAsia" w:asciiTheme="minorEastAsia" w:hAnsiTheme="minorEastAsia" w:eastAsiaTheme="minorEastAsia"/>
                <w:b w:val="0"/>
                <w:snapToGrid w:val="0"/>
                <w:sz w:val="18"/>
                <w:szCs w:val="18"/>
              </w:rPr>
              <w:t>1500</w:t>
            </w:r>
            <w:r>
              <w:rPr>
                <w:rFonts w:hint="eastAsia" w:cs="宋体" w:asciiTheme="minorEastAsia" w:hAnsiTheme="minorEastAsia" w:eastAsiaTheme="minorEastAsia"/>
                <w:b w:val="0"/>
                <w:snapToGrid w:val="0"/>
                <w:sz w:val="18"/>
                <w:szCs w:val="18"/>
              </w:rPr>
              <w:t>㎜</w:t>
            </w:r>
            <w:r>
              <w:rPr>
                <w:rFonts w:hint="eastAsia" w:cs="仿宋_GB2312" w:asciiTheme="minorEastAsia" w:hAnsiTheme="minorEastAsia" w:eastAsiaTheme="minorEastAsia"/>
                <w:b w:val="0"/>
                <w:snapToGrid w:val="0"/>
                <w:sz w:val="18"/>
                <w:szCs w:val="18"/>
              </w:rPr>
              <w:t>×</w:t>
            </w:r>
            <w:r>
              <w:rPr>
                <w:rFonts w:hint="eastAsia" w:asciiTheme="minorEastAsia" w:hAnsiTheme="minorEastAsia" w:eastAsiaTheme="minorEastAsia"/>
                <w:b w:val="0"/>
                <w:snapToGrid w:val="0"/>
                <w:sz w:val="18"/>
                <w:szCs w:val="18"/>
              </w:rPr>
              <w:t>2600</w:t>
            </w:r>
            <w:r>
              <w:rPr>
                <w:rFonts w:hint="eastAsia" w:cs="宋体" w:asciiTheme="minorEastAsia" w:hAnsiTheme="minorEastAsia" w:eastAsiaTheme="minorEastAsia"/>
                <w:b w:val="0"/>
                <w:snapToGrid w:val="0"/>
                <w:sz w:val="18"/>
                <w:szCs w:val="18"/>
              </w:rPr>
              <w:t>㎜</w:t>
            </w:r>
            <w:r>
              <w:rPr>
                <w:rFonts w:hint="eastAsia" w:cs="仿宋_GB2312" w:asciiTheme="minorEastAsia" w:hAnsiTheme="minorEastAsia" w:eastAsiaTheme="minorEastAsia"/>
                <w:b w:val="0"/>
                <w:snapToGrid w:val="0"/>
                <w:sz w:val="18"/>
                <w:szCs w:val="18"/>
              </w:rPr>
              <w:t>。主柱：采用</w:t>
            </w:r>
            <w:r>
              <w:rPr>
                <w:rFonts w:hint="eastAsia" w:asciiTheme="minorEastAsia" w:hAnsiTheme="minorEastAsia" w:eastAsiaTheme="minorEastAsia"/>
                <w:b w:val="0"/>
                <w:snapToGrid w:val="0"/>
                <w:sz w:val="18"/>
                <w:szCs w:val="18"/>
              </w:rPr>
              <w:t>3.0mm的304不锈钢管焊接成型。窗用铝合金玻璃移窗，玻璃为6+6A+6mm双层灰玻钢化。门框：采用不锈钢管型材。门上配置闭门器及门吸、门锁。外封板：采用不锈钢板冲孔汽车专用漆，内封板:采用铝塑板（4mm白色铝塑板）。岗亭顶用2.0mm不锈钢板压力成型焊接后喷汽车专用漆, 结构胶密封，保证防水，防漏。室内加厚集成吊顶：铝扣板,保温材料填充，吊顶和岗亭顶部钢板要留有空间便于穿线，岗亭顶部到岗亭底部要留要至少3根穿线管。墙体中间夹层用30mm骨架，内衬保温棉起保温作用，双侧各扣厚15mm防火木夹板保温作用。底板用不锈钢方通作基础，静电地板底部平整，不靠边缘承重。岗亭要有接地装置。</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20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22</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岗亭监控录音</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200万星光级1/2.7”CMOS ICR日夜型半球型网络摄像机;</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最小照度 0.002 Lux @(F1.2,AGC ON), 0 Lux with IR;</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快门 1/3秒至1/100,000秒;</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镜头 2.8mm, 水平视场角: 113.5°(4mm、6mm、8mm可选);</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调整角度 水平:0°~360°;垂直:0°~ 75°;旋转:0°~360°;</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数字降噪 3D数字降噪;</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宽动态范围 120dB;</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视频压缩标准 H.265 / H.264 / MJPEG;</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H.265编码类型 Main Profile;</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帧率 50Hz: 25fps (1920 × 1080,1280 × 960,1280 × 720);</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感兴趣区域 ROI支持三码流分别设置1个固定区域;</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存储功能 NAS(NFS,SMB/CIFS均支持);</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智能报警 越界侦测,区域入侵侦测,场景变更侦测,人脸侦测,虚焦侦测,物品遗留侦测,物品拾取侦测,非法停车侦测,人员聚集侦测,徘徊侦测,快速移动侦测,进入区域侦测,离开区域侦测;</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工作温度和湿度 -30℃~60℃,湿度小于95%(无凝结);</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电源供应 DC12V±25%;</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电源接口类型 圆头电源接口;</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功耗 4.5W MAX (ICR切换瞬间7.5W);</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红外照射距离 20-30米"(含录音器、电源、光收发器)</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5"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23</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空调</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1.5P</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5"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24</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卡口控制软件</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25</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卡口集中监控中心软件</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集中监控各卡口状态及系统工作状态</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26</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杭州海关智慧空港平台快件/跨境物流监控模块功能软件</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实现企业端进行进出场预约；实现海关端进行进出场车辆、关联单证信息比对及放行逻辑判断等；实现智能卡口设备对接，并获取相关车牌、车重等信息。</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2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27</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软件维护升级费用,2年软件维护升级.</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2年内不涉及软件新增功能的升级及优化</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28</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数据维护费,2年数据维护.</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2年内数据在线保存</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29</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六类室外防水网线</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6类非屏蔽8芯室外防水网线</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450</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30</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室外单模光纤</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室外轻铠12芯单模光纤，12口光纤配线架2套（含熔接及辅材）。</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500</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31</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大对数电缆</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5对大对数电缆 ，室外阻水型 电缆，单根线径0.5，含两端上架及辅材。</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500</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5"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32</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二芯护套软线</w:t>
            </w:r>
          </w:p>
        </w:tc>
        <w:tc>
          <w:tcPr>
            <w:tcW w:w="3557" w:type="dxa"/>
          </w:tcPr>
          <w:p>
            <w:pPr>
              <w:pStyle w:val="141"/>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RVVP2*1.0，国标</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600</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5"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33</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三芯护套软线</w:t>
            </w:r>
          </w:p>
        </w:tc>
        <w:tc>
          <w:tcPr>
            <w:tcW w:w="3557" w:type="dxa"/>
          </w:tcPr>
          <w:p>
            <w:pPr>
              <w:pStyle w:val="141"/>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RVV3*2.5，国标</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500</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5"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34</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PVC管</w:t>
            </w:r>
          </w:p>
        </w:tc>
        <w:tc>
          <w:tcPr>
            <w:tcW w:w="3557" w:type="dxa"/>
          </w:tcPr>
          <w:p>
            <w:pPr>
              <w:pStyle w:val="141"/>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PVC25</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400</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5"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35</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电缆</w:t>
            </w:r>
          </w:p>
        </w:tc>
        <w:tc>
          <w:tcPr>
            <w:tcW w:w="3557" w:type="dxa"/>
          </w:tcPr>
          <w:p>
            <w:pPr>
              <w:pStyle w:val="141"/>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YJV-0.6/1KV(3*4)，国标</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900</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0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36</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安全岛</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1、混凝土岛浇捣C30,长40米，宽2米，高0.3米。</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2、含模板制作、拆除及刷黄黑油警示漆</w:t>
            </w:r>
            <w:r>
              <w:rPr>
                <w:rFonts w:hint="eastAsia" w:asciiTheme="minorEastAsia" w:hAnsiTheme="minorEastAsia" w:eastAsiaTheme="minorEastAsia"/>
                <w:b w:val="0"/>
                <w:snapToGrid w:val="0"/>
                <w:sz w:val="18"/>
                <w:szCs w:val="18"/>
              </w:rPr>
              <w:br w:type="textWrapping"/>
            </w:r>
            <w:r>
              <w:rPr>
                <w:rFonts w:hint="eastAsia" w:asciiTheme="minorEastAsia" w:hAnsiTheme="minorEastAsia" w:eastAsiaTheme="minorEastAsia"/>
                <w:b w:val="0"/>
                <w:snapToGrid w:val="0"/>
                <w:sz w:val="18"/>
                <w:szCs w:val="18"/>
              </w:rPr>
              <w:t>3、含垃圾清运，自行运至机场外，运距请投标人自行考虑。</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5"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37</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混凝土构件拆除</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1、拆除现状地坪24m2,2、拆除厚度混凝土30cm3、拆除物清理及外运，运距由投标单位自行考虑。</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38</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挖沟槽土方</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1、挖土方85m3，2、挖土深度：1.5m 以内3、运距投标单位自行决定。</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5"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39</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电缆保护管</w:t>
            </w:r>
          </w:p>
        </w:tc>
        <w:tc>
          <w:tcPr>
            <w:tcW w:w="3557" w:type="dxa"/>
          </w:tcPr>
          <w:p>
            <w:pPr>
              <w:pStyle w:val="141"/>
              <w:spacing w:line="240" w:lineRule="auto"/>
              <w:ind w:firstLine="360"/>
              <w:jc w:val="center"/>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DN75镀锌钢管管敷设630米。</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40</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砖检查井</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1、砖砌窨井   内径周长2500以内~井深800。 2、复合井盖</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10</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0" w:hRule="atLeast"/>
        </w:trPr>
        <w:tc>
          <w:tcPr>
            <w:tcW w:w="669"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41</w:t>
            </w:r>
          </w:p>
        </w:tc>
        <w:tc>
          <w:tcPr>
            <w:tcW w:w="1321"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围网拆除安装</w:t>
            </w:r>
          </w:p>
        </w:tc>
        <w:tc>
          <w:tcPr>
            <w:tcW w:w="3557" w:type="dxa"/>
          </w:tcPr>
          <w:p>
            <w:pPr>
              <w:pStyle w:val="141"/>
              <w:spacing w:line="240" w:lineRule="auto"/>
              <w:ind w:firstLine="0" w:firstLineChars="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围网高2.5米，拆除240米，安装100米，围网安装立柱底座改造50个。</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1</w:t>
            </w:r>
          </w:p>
        </w:tc>
        <w:tc>
          <w:tcPr>
            <w:tcW w:w="937" w:type="dxa"/>
          </w:tcPr>
          <w:p>
            <w:pPr>
              <w:pStyle w:val="141"/>
              <w:spacing w:line="240" w:lineRule="auto"/>
              <w:ind w:firstLine="360"/>
              <w:rPr>
                <w:rFonts w:asciiTheme="minorEastAsia" w:hAnsiTheme="minorEastAsia" w:eastAsiaTheme="minorEastAsia"/>
                <w:b w:val="0"/>
                <w:snapToGrid w:val="0"/>
                <w:sz w:val="18"/>
                <w:szCs w:val="18"/>
              </w:rPr>
            </w:pPr>
            <w:r>
              <w:rPr>
                <w:rFonts w:hint="eastAsia" w:asciiTheme="minorEastAsia" w:hAnsiTheme="minorEastAsia" w:eastAsiaTheme="minorEastAsia"/>
                <w:b w:val="0"/>
                <w:snapToGrid w:val="0"/>
                <w:sz w:val="18"/>
                <w:szCs w:val="18"/>
              </w:rPr>
              <w:t>项</w:t>
            </w:r>
          </w:p>
        </w:tc>
      </w:tr>
    </w:tbl>
    <w:p>
      <w:pPr>
        <w:pStyle w:val="141"/>
        <w:spacing w:line="240" w:lineRule="auto"/>
        <w:ind w:firstLine="0" w:firstLineChars="0"/>
        <w:rPr>
          <w:rFonts w:ascii="宋体" w:eastAsia="宋体"/>
          <w:sz w:val="21"/>
          <w:szCs w:val="21"/>
        </w:rPr>
      </w:pPr>
    </w:p>
    <w:p>
      <w:pPr>
        <w:pStyle w:val="141"/>
        <w:spacing w:line="240" w:lineRule="auto"/>
        <w:ind w:firstLine="420"/>
        <w:rPr>
          <w:rFonts w:ascii="宋体" w:eastAsia="宋体"/>
          <w:b w:val="0"/>
          <w:sz w:val="21"/>
          <w:szCs w:val="21"/>
        </w:rPr>
      </w:pPr>
    </w:p>
    <w:p>
      <w:pPr>
        <w:pStyle w:val="141"/>
        <w:spacing w:line="240" w:lineRule="auto"/>
        <w:ind w:firstLine="360"/>
        <w:jc w:val="center"/>
        <w:rPr>
          <w:rFonts w:asciiTheme="minorEastAsia" w:hAnsiTheme="minorEastAsia" w:eastAsiaTheme="minorEastAsia"/>
          <w:b w:val="0"/>
          <w:snapToGrid w:val="0"/>
          <w:sz w:val="18"/>
          <w:szCs w:val="18"/>
        </w:rPr>
      </w:pPr>
    </w:p>
    <w:p>
      <w:pPr>
        <w:pStyle w:val="141"/>
        <w:spacing w:line="240" w:lineRule="auto"/>
        <w:ind w:firstLine="442"/>
        <w:rPr>
          <w:rFonts w:asciiTheme="minorEastAsia" w:hAnsiTheme="minorEastAsia" w:eastAsiaTheme="minorEastAsia"/>
          <w:b w:val="0"/>
          <w:sz w:val="22"/>
          <w:szCs w:val="22"/>
        </w:rPr>
      </w:pPr>
      <w:r>
        <w:rPr>
          <w:rFonts w:hint="eastAsia" w:asciiTheme="minorEastAsia" w:hAnsiTheme="minorEastAsia" w:eastAsiaTheme="minorEastAsia"/>
          <w:sz w:val="22"/>
          <w:szCs w:val="22"/>
        </w:rPr>
        <w:t>三、培训、质保、维保</w:t>
      </w:r>
      <w:r>
        <w:rPr>
          <w:rFonts w:asciiTheme="minorEastAsia" w:hAnsiTheme="minorEastAsia" w:eastAsiaTheme="minorEastAsia"/>
          <w:sz w:val="22"/>
          <w:szCs w:val="22"/>
        </w:rPr>
        <w:t>服务：</w:t>
      </w:r>
    </w:p>
    <w:p>
      <w:pPr>
        <w:pStyle w:val="141"/>
        <w:spacing w:line="360" w:lineRule="auto"/>
        <w:ind w:firstLine="440"/>
        <w:rPr>
          <w:rFonts w:asciiTheme="minorEastAsia" w:hAnsiTheme="minorEastAsia" w:eastAsiaTheme="minorEastAsia"/>
          <w:b w:val="0"/>
          <w:sz w:val="22"/>
          <w:szCs w:val="22"/>
        </w:rPr>
      </w:pPr>
      <w:r>
        <w:rPr>
          <w:rFonts w:hint="eastAsia" w:asciiTheme="minorEastAsia" w:hAnsiTheme="minorEastAsia" w:eastAsiaTheme="minorEastAsia"/>
          <w:b w:val="0"/>
          <w:sz w:val="22"/>
          <w:szCs w:val="22"/>
        </w:rPr>
        <w:t>3.1提供的所有产品必须承诺3年厂家免费质保。</w:t>
      </w:r>
    </w:p>
    <w:p>
      <w:pPr>
        <w:spacing w:line="360" w:lineRule="auto"/>
        <w:ind w:firstLine="330" w:firstLineChars="150"/>
        <w:textAlignment w:val="center"/>
        <w:rPr>
          <w:rFonts w:asciiTheme="minorEastAsia" w:hAnsiTheme="minorEastAsia"/>
          <w:b/>
          <w:sz w:val="22"/>
          <w:szCs w:val="22"/>
        </w:rPr>
      </w:pPr>
      <w:r>
        <w:rPr>
          <w:rFonts w:hint="eastAsia" w:asciiTheme="minorEastAsia" w:hAnsiTheme="minorEastAsia"/>
          <w:sz w:val="22"/>
          <w:szCs w:val="22"/>
        </w:rPr>
        <w:t>*3.2</w:t>
      </w:r>
      <w:r>
        <w:rPr>
          <w:rFonts w:hint="eastAsia" w:asciiTheme="minorEastAsia" w:hAnsiTheme="minorEastAsia"/>
          <w:b/>
          <w:sz w:val="22"/>
          <w:szCs w:val="22"/>
        </w:rPr>
        <w:t>投标人应确保项目实施过程中与其它厂家的密切配合，应用软件和各个其它系统厂家的接口和维护费用包含在本次投标报价之中。</w:t>
      </w:r>
    </w:p>
    <w:p>
      <w:pPr>
        <w:spacing w:line="360" w:lineRule="auto"/>
        <w:ind w:firstLine="440" w:firstLineChars="200"/>
        <w:textAlignment w:val="center"/>
        <w:rPr>
          <w:rFonts w:asciiTheme="minorEastAsia" w:hAnsiTheme="minorEastAsia"/>
          <w:sz w:val="22"/>
          <w:szCs w:val="22"/>
        </w:rPr>
      </w:pPr>
      <w:r>
        <w:rPr>
          <w:rFonts w:hint="eastAsia" w:asciiTheme="minorEastAsia" w:hAnsiTheme="minorEastAsia"/>
          <w:sz w:val="22"/>
          <w:szCs w:val="22"/>
        </w:rPr>
        <w:t>3.3投标人应提供对用户的维护操作、系统管理技术培训，培训包括现场培训，使用户能够掌握软件产品使用的基本要求，提供相关文字材料，做好知识移交。</w:t>
      </w:r>
    </w:p>
    <w:p>
      <w:pPr>
        <w:spacing w:line="360" w:lineRule="auto"/>
        <w:ind w:firstLine="440" w:firstLineChars="200"/>
        <w:textAlignment w:val="center"/>
        <w:rPr>
          <w:rFonts w:asciiTheme="minorEastAsia" w:hAnsiTheme="minorEastAsia"/>
          <w:sz w:val="22"/>
          <w:szCs w:val="22"/>
        </w:rPr>
      </w:pPr>
      <w:r>
        <w:rPr>
          <w:rFonts w:hint="eastAsia" w:asciiTheme="minorEastAsia" w:hAnsiTheme="minorEastAsia"/>
          <w:sz w:val="22"/>
          <w:szCs w:val="22"/>
        </w:rPr>
        <w:t>3.4项目实施试运行期间，提供不少于【30天】的原厂现场技术支持服务。</w:t>
      </w:r>
    </w:p>
    <w:p>
      <w:pPr>
        <w:pStyle w:val="141"/>
        <w:spacing w:line="360" w:lineRule="auto"/>
        <w:ind w:firstLine="442"/>
        <w:rPr>
          <w:rFonts w:asciiTheme="minorEastAsia" w:hAnsiTheme="minorEastAsia" w:eastAsiaTheme="minorEastAsia"/>
          <w:sz w:val="22"/>
          <w:szCs w:val="22"/>
        </w:rPr>
      </w:pPr>
      <w:r>
        <w:rPr>
          <w:rFonts w:hint="eastAsia" w:asciiTheme="minorEastAsia" w:hAnsiTheme="minorEastAsia" w:eastAsiaTheme="minorEastAsia"/>
          <w:sz w:val="22"/>
          <w:szCs w:val="22"/>
        </w:rPr>
        <w:t>四、系统改造实施需求</w:t>
      </w:r>
    </w:p>
    <w:p>
      <w:pPr>
        <w:pStyle w:val="142"/>
        <w:spacing w:line="360" w:lineRule="auto"/>
        <w:ind w:firstLineChars="0"/>
        <w:rPr>
          <w:rFonts w:asciiTheme="minorEastAsia" w:hAnsiTheme="minorEastAsia" w:eastAsiaTheme="minorEastAsia"/>
          <w:b/>
          <w:bCs/>
          <w:kern w:val="2"/>
          <w:sz w:val="22"/>
          <w:szCs w:val="22"/>
        </w:rPr>
      </w:pPr>
      <w:r>
        <w:rPr>
          <w:rFonts w:hint="eastAsia" w:asciiTheme="minorEastAsia" w:hAnsiTheme="minorEastAsia" w:eastAsiaTheme="minorEastAsia"/>
          <w:b/>
          <w:bCs/>
          <w:kern w:val="2"/>
          <w:sz w:val="22"/>
          <w:szCs w:val="22"/>
        </w:rPr>
        <w:t>4.1对软件系统的需求</w:t>
      </w:r>
    </w:p>
    <w:p>
      <w:pPr>
        <w:pStyle w:val="143"/>
        <w:spacing w:line="360" w:lineRule="auto"/>
        <w:ind w:firstLine="389" w:firstLineChars="177"/>
        <w:rPr>
          <w:rFonts w:asciiTheme="minorEastAsia" w:hAnsiTheme="minorEastAsia"/>
          <w:sz w:val="22"/>
        </w:rPr>
      </w:pPr>
      <w:r>
        <w:rPr>
          <w:rFonts w:hint="eastAsia" w:asciiTheme="minorEastAsia" w:hAnsiTheme="minorEastAsia"/>
          <w:sz w:val="22"/>
        </w:rPr>
        <w:t>国际快件中心海关监管卡口系统采用云卡口架构，包含卡口采集与控制服务、云总线传输服务系统和卡口管理服务系统，实现卡口前端通道采集设备集成、卡口通道设备、数据集中管理，以及实现与杭州海关智慧空港系统对接。卡口集中管理系统要实现对过卡货运车辆业务数据的自动采集并转发给杭州海关智慧空港系统快件/跨境物流监控模块进行处理，由杭州海关智慧空港系统进行业务比对后，给出放行指令返回卡口，最终由卡口系统控制挡杆，引导车辆快速通过卡口。</w:t>
      </w:r>
    </w:p>
    <w:p>
      <w:pPr>
        <w:spacing w:line="360" w:lineRule="auto"/>
        <w:ind w:firstLine="495" w:firstLineChars="225"/>
        <w:rPr>
          <w:rFonts w:asciiTheme="minorEastAsia" w:hAnsiTheme="minorEastAsia"/>
          <w:sz w:val="22"/>
          <w:szCs w:val="22"/>
        </w:rPr>
      </w:pPr>
      <w:r>
        <w:rPr>
          <w:rFonts w:hint="eastAsia" w:asciiTheme="minorEastAsia" w:hAnsiTheme="minorEastAsia"/>
          <w:sz w:val="22"/>
          <w:szCs w:val="22"/>
        </w:rPr>
        <w:t>4.1.1进卡申请模块，为企业提供进卡口提前申请功能，包括车辆信息、提货卸货相关信息等，要求支持一车一单、一车多单、一单多车，多车多单。</w:t>
      </w:r>
    </w:p>
    <w:p>
      <w:pPr>
        <w:spacing w:line="360" w:lineRule="auto"/>
        <w:ind w:firstLine="495" w:firstLineChars="225"/>
        <w:rPr>
          <w:rFonts w:asciiTheme="minorEastAsia" w:hAnsiTheme="minorEastAsia"/>
          <w:sz w:val="22"/>
          <w:szCs w:val="22"/>
        </w:rPr>
      </w:pPr>
      <w:r>
        <w:rPr>
          <w:rFonts w:hint="eastAsia" w:asciiTheme="minorEastAsia" w:hAnsiTheme="minorEastAsia"/>
          <w:sz w:val="22"/>
          <w:szCs w:val="22"/>
        </w:rPr>
        <w:t>4.1.2智能卡口验放接口，对接卡口设备管理系统，提供进出卡口车辆相关信息、抬杆放行指令和智能关锁施解封管理等</w:t>
      </w:r>
    </w:p>
    <w:p>
      <w:pPr>
        <w:spacing w:line="360" w:lineRule="auto"/>
        <w:ind w:firstLine="495" w:firstLineChars="225"/>
        <w:rPr>
          <w:rFonts w:asciiTheme="minorEastAsia" w:hAnsiTheme="minorEastAsia"/>
          <w:sz w:val="22"/>
          <w:szCs w:val="22"/>
        </w:rPr>
      </w:pPr>
      <w:r>
        <w:rPr>
          <w:rFonts w:hint="eastAsia" w:asciiTheme="minorEastAsia" w:hAnsiTheme="minorEastAsia"/>
          <w:sz w:val="22"/>
          <w:szCs w:val="22"/>
        </w:rPr>
        <w:t>4.1.3智能卡口管理模块，提供放行比对逻辑管理、黑白名单管理、查验管理等</w:t>
      </w:r>
    </w:p>
    <w:p>
      <w:pPr>
        <w:spacing w:line="360" w:lineRule="auto"/>
        <w:ind w:firstLine="495" w:firstLineChars="225"/>
        <w:rPr>
          <w:rFonts w:asciiTheme="minorEastAsia" w:hAnsiTheme="minorEastAsia"/>
          <w:sz w:val="22"/>
          <w:szCs w:val="22"/>
        </w:rPr>
      </w:pPr>
      <w:r>
        <w:rPr>
          <w:rFonts w:hint="eastAsia" w:asciiTheme="minorEastAsia" w:hAnsiTheme="minorEastAsia"/>
          <w:sz w:val="22"/>
          <w:szCs w:val="22"/>
        </w:rPr>
        <w:t>4.1.4PDA施解封管理模块，提供出卡车辆关联信息二维码生成功能，并提供PDA施解封功能</w:t>
      </w:r>
    </w:p>
    <w:p>
      <w:pPr>
        <w:spacing w:line="360" w:lineRule="auto"/>
        <w:ind w:firstLine="495" w:firstLineChars="225"/>
        <w:rPr>
          <w:rFonts w:asciiTheme="minorEastAsia" w:hAnsiTheme="minorEastAsia"/>
          <w:sz w:val="22"/>
          <w:szCs w:val="22"/>
        </w:rPr>
      </w:pPr>
      <w:r>
        <w:rPr>
          <w:rFonts w:hint="eastAsia" w:asciiTheme="minorEastAsia" w:hAnsiTheme="minorEastAsia"/>
          <w:sz w:val="22"/>
          <w:szCs w:val="22"/>
        </w:rPr>
        <w:t>4.1.5智能关锁施解封接口对接，实现关锁的施解封接口对接</w:t>
      </w:r>
    </w:p>
    <w:p>
      <w:pPr>
        <w:spacing w:line="360" w:lineRule="auto"/>
        <w:ind w:firstLine="495" w:firstLineChars="225"/>
        <w:rPr>
          <w:rFonts w:asciiTheme="minorEastAsia" w:hAnsiTheme="minorEastAsia"/>
          <w:sz w:val="22"/>
          <w:szCs w:val="22"/>
        </w:rPr>
      </w:pPr>
      <w:r>
        <w:rPr>
          <w:rFonts w:hint="eastAsia" w:asciiTheme="minorEastAsia" w:hAnsiTheme="minorEastAsia"/>
          <w:sz w:val="22"/>
          <w:szCs w:val="22"/>
        </w:rPr>
        <w:t>4.1.6相关海关端审批功能、布控功能、查验功能、统计功能等</w:t>
      </w:r>
    </w:p>
    <w:p>
      <w:pPr>
        <w:pStyle w:val="142"/>
        <w:spacing w:line="360" w:lineRule="auto"/>
        <w:ind w:firstLineChars="0"/>
        <w:rPr>
          <w:rFonts w:asciiTheme="minorEastAsia" w:hAnsiTheme="minorEastAsia" w:eastAsiaTheme="minorEastAsia"/>
          <w:b/>
          <w:bCs/>
          <w:kern w:val="2"/>
          <w:sz w:val="22"/>
          <w:szCs w:val="22"/>
        </w:rPr>
      </w:pPr>
      <w:r>
        <w:rPr>
          <w:rFonts w:hint="eastAsia" w:asciiTheme="minorEastAsia" w:hAnsiTheme="minorEastAsia" w:eastAsiaTheme="minorEastAsia"/>
          <w:b/>
          <w:bCs/>
          <w:kern w:val="2"/>
          <w:sz w:val="22"/>
          <w:szCs w:val="22"/>
        </w:rPr>
        <w:t>4.2系统划分</w:t>
      </w:r>
    </w:p>
    <w:p>
      <w:pPr>
        <w:spacing w:line="360" w:lineRule="auto"/>
        <w:ind w:firstLine="495" w:firstLineChars="225"/>
        <w:rPr>
          <w:rFonts w:asciiTheme="minorEastAsia" w:hAnsiTheme="minorEastAsia"/>
          <w:sz w:val="22"/>
          <w:szCs w:val="22"/>
        </w:rPr>
      </w:pPr>
      <w:r>
        <w:rPr>
          <w:rFonts w:hint="eastAsia" w:asciiTheme="minorEastAsia" w:hAnsiTheme="minorEastAsia"/>
          <w:sz w:val="22"/>
          <w:szCs w:val="22"/>
        </w:rPr>
        <w:t>国际快件中心海关监管卡口，根据功能性拆分，可以分为以下几个子系统：</w:t>
      </w:r>
    </w:p>
    <w:p>
      <w:pPr>
        <w:pStyle w:val="142"/>
        <w:spacing w:line="360" w:lineRule="auto"/>
        <w:ind w:firstLineChars="0"/>
        <w:rPr>
          <w:rFonts w:asciiTheme="minorEastAsia" w:hAnsiTheme="minorEastAsia" w:eastAsiaTheme="minorEastAsia" w:cstheme="minorBidi"/>
          <w:kern w:val="2"/>
          <w:sz w:val="22"/>
          <w:szCs w:val="22"/>
        </w:rPr>
      </w:pPr>
      <w:r>
        <w:rPr>
          <w:rFonts w:hint="eastAsia" w:asciiTheme="minorEastAsia" w:hAnsiTheme="minorEastAsia" w:eastAsiaTheme="minorEastAsia" w:cstheme="minorBidi"/>
          <w:kern w:val="2"/>
          <w:sz w:val="22"/>
          <w:szCs w:val="22"/>
        </w:rPr>
        <w:t>4.2.1</w:t>
      </w:r>
      <w:r>
        <w:rPr>
          <w:rFonts w:hint="eastAsia" w:asciiTheme="minorEastAsia" w:hAnsiTheme="minorEastAsia" w:eastAsiaTheme="minorEastAsia" w:cstheme="minorBidi"/>
          <w:b/>
          <w:kern w:val="2"/>
          <w:sz w:val="22"/>
          <w:szCs w:val="22"/>
        </w:rPr>
        <w:t>卡口前端采集系统：包括电子车牌自动识别系统、电子地磅采重系统、国际快件中心海关监管卡口控制系统、电子关锁自动施解封系统等，用于前端各卡口的关键数据采集及放行指令执行。</w:t>
      </w:r>
    </w:p>
    <w:p>
      <w:pPr>
        <w:pStyle w:val="142"/>
        <w:spacing w:line="360" w:lineRule="auto"/>
        <w:ind w:firstLineChars="0"/>
        <w:rPr>
          <w:rFonts w:asciiTheme="minorEastAsia" w:hAnsiTheme="minorEastAsia" w:eastAsiaTheme="minorEastAsia" w:cstheme="minorBidi"/>
          <w:kern w:val="2"/>
          <w:sz w:val="22"/>
          <w:szCs w:val="22"/>
        </w:rPr>
      </w:pPr>
      <w:r>
        <w:rPr>
          <w:rFonts w:hint="eastAsia" w:asciiTheme="minorEastAsia" w:hAnsiTheme="minorEastAsia" w:eastAsiaTheme="minorEastAsia" w:cstheme="minorBidi"/>
          <w:kern w:val="2"/>
          <w:sz w:val="22"/>
          <w:szCs w:val="22"/>
        </w:rPr>
        <w:t>4.2.2卡口集中监控中心系统：汇总前端各卡口的采集数据，统一存储、处理，完成数据、设备、卡口集中监控和远程控制的功能。</w:t>
      </w:r>
    </w:p>
    <w:p>
      <w:pPr>
        <w:pStyle w:val="142"/>
        <w:spacing w:line="360" w:lineRule="auto"/>
        <w:ind w:firstLineChars="0"/>
        <w:rPr>
          <w:rFonts w:asciiTheme="minorEastAsia" w:hAnsiTheme="minorEastAsia" w:eastAsiaTheme="minorEastAsia" w:cstheme="minorBidi"/>
          <w:kern w:val="2"/>
          <w:sz w:val="22"/>
          <w:szCs w:val="22"/>
        </w:rPr>
      </w:pPr>
      <w:r>
        <w:rPr>
          <w:rFonts w:hint="eastAsia" w:asciiTheme="minorEastAsia" w:hAnsiTheme="minorEastAsia" w:eastAsiaTheme="minorEastAsia" w:cstheme="minorBidi"/>
          <w:kern w:val="2"/>
          <w:sz w:val="22"/>
          <w:szCs w:val="22"/>
        </w:rPr>
        <w:t>4.2.3国际快件中心海关监管卡口：按杭州海关实际业务需求定制，接收机场传递的车辆信息及大通关平台功能软件传递的电子锁信息，完成审批规则的比对并反馈放行指令。</w:t>
      </w:r>
    </w:p>
    <w:p>
      <w:pPr>
        <w:pStyle w:val="142"/>
        <w:spacing w:line="360" w:lineRule="auto"/>
        <w:ind w:firstLineChars="0"/>
        <w:rPr>
          <w:rFonts w:asciiTheme="minorEastAsia" w:hAnsiTheme="minorEastAsia" w:eastAsiaTheme="minorEastAsia" w:cstheme="minorBidi"/>
          <w:kern w:val="2"/>
          <w:sz w:val="22"/>
          <w:szCs w:val="22"/>
        </w:rPr>
      </w:pPr>
      <w:r>
        <w:rPr>
          <w:rFonts w:hint="eastAsia" w:asciiTheme="minorEastAsia" w:hAnsiTheme="minorEastAsia" w:eastAsiaTheme="minorEastAsia" w:cstheme="minorBidi"/>
          <w:kern w:val="2"/>
          <w:sz w:val="22"/>
          <w:szCs w:val="22"/>
        </w:rPr>
        <w:t>4.2.4停车场收费系统：安装部署萧山机场统一的停车场收费系统，实现国际快件中心停车收费的智能化和高效率。</w:t>
      </w:r>
    </w:p>
    <w:p>
      <w:pPr>
        <w:pStyle w:val="142"/>
        <w:spacing w:line="360" w:lineRule="auto"/>
        <w:ind w:firstLineChars="0"/>
        <w:rPr>
          <w:rFonts w:asciiTheme="minorEastAsia" w:hAnsiTheme="minorEastAsia" w:eastAsiaTheme="minorEastAsia" w:cstheme="minorBidi"/>
          <w:kern w:val="2"/>
          <w:sz w:val="22"/>
          <w:szCs w:val="22"/>
        </w:rPr>
      </w:pPr>
      <w:r>
        <w:rPr>
          <w:rFonts w:hint="eastAsia" w:asciiTheme="minorEastAsia" w:hAnsiTheme="minorEastAsia" w:eastAsiaTheme="minorEastAsia" w:cstheme="minorBidi"/>
          <w:kern w:val="2"/>
          <w:sz w:val="22"/>
          <w:szCs w:val="22"/>
        </w:rPr>
        <w:t>4.2.5安全电子智能锁识别控制系统：</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4.2.5.1系统作用</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为了满足海关对监管货物运输途中安全监控，实现可视化途中监管及转关的需要，利用安全智能锁及相关设备，实现过卡监管车辆通过识别锁号及自动进行施解封操作，代替使用传统铅封需要人工操作的模式，实现监管货物快速过卡及运输途中货物安全的可视化监管目标。</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安全智能锁替代传统铅封优势：</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目前，海关对途中监管常规手段是使用一次性机械铅封，此铅封的锁定方式为卡扣式，开启方式是用专业工具剪断的方式。一次性关封作为保护货物安全的手段已经使用了很长时间了，它们的主要的目的是保证货物运输的完整性。一次性关封存在以下缺陷：</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关锁易仿制，防伪性差</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关锁易开启，安全性差</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关锁不能记录，无法取证</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关锁不能实时报警，无法及时稽查</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一次性使用，资源浪费严重。</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针对机械关封的缺陷，以及海关实现快速通关的需要，安全智能锁产品替代传统铅封已是大势所趋，安全智能锁具有下列特点：</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防伪性好，不易伪造；</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安全性好，不易开启；</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实时记录，便于举证；</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实时报警，便于及时稽查；</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应尽量利用、兼容海关现有的卡口设备和软硬件资源，操作简单、使用方便；</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可重复使用，不增加企业负担，收费不高于原有机械关封标准。</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安全智能锁用于途中监管</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安全智能锁是安装在集装箱或厢式货车等物流运输工具的箱门上的一种安全检测设备。当安装有安全智能锁的运输车辆通过海关监管的卡口集装箱通道时，系统通过RFID技术可精确定位安全智能锁位置，然后与安全智能锁进行无线数据通讯控制电子锁锁定或电子锁开启功能，保障货物在途安全的一种监控系统。并且可通过精确定位确保安全智能锁和其安装的集装箱自动形成一一对应关系，节省了海关人员的人工比对、核销的人力物力和财力。</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安装在集装箱门或者厢式货车门上的安全智能锁与固定关锁读写器之间采用短程无线通讯技术（DSRC）进行数据交换，安全智能锁的识别通过无线射频识别技术（RFID）实现，运输车辆在途的定位通过车载GPS定位技术实现，安全智能锁在出现强行开启报警信号时会及时通过无线通讯模块和车载GPS通讯，GPS车载台向监控中心进行实时报警。</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在集装箱车辆或厢式货车通过海关检查卡口出发时，部署在卡口通道上的固定读写器自动地采集安全智能锁的ID号，并接收后台施封指令，发送施封信息对安全智能锁进行电子锁定，并将关锁状态信息、车辆信息以及集装箱等信息发送到后台服务器，提供给目的地卡口系统使用。</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在集装箱车辆或厢式货车到达海关目的地卡口时，卡口通道上的固定读写器自动地采集安全智能锁的ID号，并接收后台解封指令，发送解封信息对安全智能锁进行电子开启，并将关锁是否报警状态信息及其他绑定信息发送到后台服务器，进行处理、比对和查证，最后系统发送可以自动放行或需要查验信息，结束整个运输路程中的监管。</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drawing>
          <wp:anchor distT="0" distB="0" distL="114300" distR="114300" simplePos="0" relativeHeight="251657216" behindDoc="0" locked="0" layoutInCell="1" allowOverlap="1">
            <wp:simplePos x="0" y="0"/>
            <wp:positionH relativeFrom="column">
              <wp:posOffset>-152400</wp:posOffset>
            </wp:positionH>
            <wp:positionV relativeFrom="paragraph">
              <wp:posOffset>299085</wp:posOffset>
            </wp:positionV>
            <wp:extent cx="5562600" cy="3324225"/>
            <wp:effectExtent l="0" t="0" r="0" b="9525"/>
            <wp:wrapTopAndBottom/>
            <wp:docPr id="1" name="图片 160" descr="过程1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0" descr="过程1 拷贝"/>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562600" cy="3324225"/>
                    </a:xfrm>
                    <a:prstGeom prst="rect">
                      <a:avLst/>
                    </a:prstGeom>
                    <a:solidFill>
                      <a:srgbClr val="FFFF00"/>
                    </a:solidFill>
                    <a:ln>
                      <a:noFill/>
                    </a:ln>
                  </pic:spPr>
                </pic:pic>
              </a:graphicData>
            </a:graphic>
          </wp:anchor>
        </w:drawing>
      </w:r>
      <w:r>
        <w:rPr>
          <w:rFonts w:hint="eastAsia" w:asciiTheme="minorEastAsia" w:hAnsiTheme="minorEastAsia"/>
          <w:sz w:val="22"/>
          <w:szCs w:val="22"/>
        </w:rPr>
        <w:t>系统组成框图</w:t>
      </w:r>
    </w:p>
    <w:p>
      <w:pPr>
        <w:spacing w:line="360" w:lineRule="auto"/>
        <w:ind w:firstLine="440" w:firstLineChars="200"/>
        <w:jc w:val="center"/>
        <w:rPr>
          <w:rFonts w:asciiTheme="minorEastAsia" w:hAnsiTheme="minorEastAsia"/>
          <w:sz w:val="22"/>
          <w:szCs w:val="22"/>
        </w:rPr>
      </w:pPr>
      <w:r>
        <w:rPr>
          <w:rFonts w:hint="eastAsia" w:asciiTheme="minorEastAsia" w:hAnsiTheme="minorEastAsia"/>
          <w:sz w:val="22"/>
          <w:szCs w:val="22"/>
        </w:rPr>
        <w:t>图1安全智能锁应用于在途监管示意图</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安全智能锁产品功能特点：</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安全智能锁产品是根据海关直通和转关的需求为设计的一种安全产品。</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射频识别技术与安全智能锁的结合，使每一个安全智能锁具有了全球唯一的ID号，防伪性能好；同时利用RFID定向技术，保证了安全智能锁阅读设备可以准确识别、精确定位安全智能锁，有效防范使用中的各种造假行为和误读、误判。</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采用机械与电子双重锁闭，具有机械施封、电子施封双重功能；既保证了海关监管的需要，又保障了承运人运输货物的安全。</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采用锁杆内嵌式结构,锁体高强度合金制作,不易破坏，安全性高。</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自动施解封模式：采用卡口安装采集设备，自动采集锁号，自动查找后台数据确认是否需要进行施封或解封操作，并且自动检测车辆在运输过程中是否安全的运抵，如正常则自动解封，如不正常，则发出报警信号，提醒关员进行查验。</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对破坏或非法开启安全智能锁能实时记录，记录下非法开启的次数、实时时间，以便作为取证的证据之一，同时安全智能锁可与车载GPS通讯，实时将报警信号发送给车载GPS，GPS采集到报警信号后连同当前报警地点和报警时间一并发送给GPS监控中心，提升稽查的实时性和准确性。</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锁定方式一目了然，检查关员可以很方便的目测安全智能锁是否真正的安装到位。</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施封解封采用一次一密的加解密方法，不易破解，安全可靠。</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适应性、兼容性好。采用系列产品满足海关对不同类型集装箱、货柜车的监管要求，尤其能在预先挂有商业封制的锁扣上施解封。</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可重复使用，降低使用费用，不增加企业负担；</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作为自动卡口的一个标配，与卡口软硬件兼容，操作简单，使用方便。</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安全智能锁可携带数据，成为数据载体的一种形式。</w:t>
      </w:r>
    </w:p>
    <w:p>
      <w:pPr>
        <w:pStyle w:val="142"/>
        <w:spacing w:line="360" w:lineRule="auto"/>
        <w:ind w:firstLineChars="0"/>
        <w:rPr>
          <w:rFonts w:asciiTheme="minorEastAsia" w:hAnsiTheme="minorEastAsia" w:eastAsiaTheme="minorEastAsia"/>
          <w:kern w:val="2"/>
          <w:sz w:val="22"/>
          <w:szCs w:val="22"/>
        </w:rPr>
      </w:pPr>
    </w:p>
    <w:p>
      <w:pPr>
        <w:pStyle w:val="142"/>
        <w:spacing w:line="360" w:lineRule="auto"/>
        <w:ind w:firstLineChars="0"/>
        <w:rPr>
          <w:rFonts w:asciiTheme="minorEastAsia" w:hAnsiTheme="minorEastAsia" w:eastAsiaTheme="minorEastAsia"/>
          <w:b/>
          <w:bCs/>
          <w:kern w:val="2"/>
          <w:sz w:val="22"/>
          <w:szCs w:val="22"/>
        </w:rPr>
      </w:pPr>
      <w:r>
        <w:rPr>
          <w:rFonts w:hint="eastAsia" w:asciiTheme="minorEastAsia" w:hAnsiTheme="minorEastAsia" w:eastAsiaTheme="minorEastAsia"/>
          <w:b/>
          <w:bCs/>
          <w:kern w:val="2"/>
          <w:sz w:val="22"/>
          <w:szCs w:val="22"/>
        </w:rPr>
        <w:t>4.3卡口设置</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国际快件中心海关监管卡口共计2条进、出单向货运车道，编号为3、4卡口。1、2号卡口为国际快点中心收费卡口。</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园区</w:t>
      </w:r>
      <w:bookmarkStart w:id="73" w:name="OLE_LINK1"/>
      <w:bookmarkStart w:id="74" w:name="OLE_LINK2"/>
      <w:r>
        <w:rPr>
          <w:rFonts w:hint="eastAsia" w:asciiTheme="minorEastAsia" w:hAnsiTheme="minorEastAsia"/>
          <w:sz w:val="22"/>
          <w:szCs w:val="22"/>
        </w:rPr>
        <w:t>卡口设置</w:t>
      </w:r>
      <w:bookmarkEnd w:id="73"/>
      <w:bookmarkEnd w:id="74"/>
      <w:r>
        <w:rPr>
          <w:rFonts w:hint="eastAsia" w:asciiTheme="minorEastAsia" w:hAnsiTheme="minorEastAsia"/>
          <w:sz w:val="22"/>
          <w:szCs w:val="22"/>
        </w:rPr>
        <w:t>如下图：</w:t>
      </w:r>
    </w:p>
    <w:p>
      <w:pPr>
        <w:spacing w:line="360" w:lineRule="auto"/>
        <w:ind w:firstLine="440" w:firstLineChars="200"/>
        <w:rPr>
          <w:rFonts w:cs="Calibri" w:asciiTheme="minorEastAsia" w:hAnsiTheme="minorEastAsia"/>
          <w:b/>
          <w:bCs/>
          <w:sz w:val="22"/>
          <w:szCs w:val="22"/>
        </w:rPr>
      </w:pPr>
      <w:r>
        <w:rPr>
          <w:rFonts w:hint="eastAsia" w:asciiTheme="minorEastAsia" w:hAnsiTheme="minorEastAsia"/>
          <w:sz w:val="22"/>
          <w:szCs w:val="22"/>
        </w:rPr>
        <w:drawing>
          <wp:inline distT="0" distB="0" distL="0" distR="0">
            <wp:extent cx="5800725" cy="3219450"/>
            <wp:effectExtent l="0" t="0" r="9525" b="0"/>
            <wp:docPr id="4" name="图片 2" descr="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1234.jpg"/>
                    <pic:cNvPicPr>
                      <a:picLocks noChangeAspect="1"/>
                    </pic:cNvPicPr>
                  </pic:nvPicPr>
                  <pic:blipFill>
                    <a:blip r:embed="rId10" cstate="print"/>
                    <a:stretch>
                      <a:fillRect/>
                    </a:stretch>
                  </pic:blipFill>
                  <pic:spPr>
                    <a:xfrm>
                      <a:off x="0" y="0"/>
                      <a:ext cx="5805963" cy="3222357"/>
                    </a:xfrm>
                    <a:prstGeom prst="rect">
                      <a:avLst/>
                    </a:prstGeom>
                  </pic:spPr>
                </pic:pic>
              </a:graphicData>
            </a:graphic>
          </wp:inline>
        </w:drawing>
      </w:r>
    </w:p>
    <w:p>
      <w:pPr>
        <w:spacing w:line="360" w:lineRule="auto"/>
        <w:ind w:firstLine="440" w:firstLineChars="200"/>
        <w:jc w:val="center"/>
        <w:rPr>
          <w:rFonts w:cs="Calibri" w:asciiTheme="minorEastAsia" w:hAnsiTheme="minorEastAsia"/>
          <w:bCs/>
          <w:sz w:val="22"/>
          <w:szCs w:val="22"/>
        </w:rPr>
      </w:pPr>
      <w:r>
        <w:rPr>
          <w:rFonts w:hint="eastAsia" w:cs="Calibri" w:asciiTheme="minorEastAsia" w:hAnsiTheme="minorEastAsia"/>
          <w:bCs/>
          <w:sz w:val="22"/>
          <w:szCs w:val="22"/>
        </w:rPr>
        <w:t xml:space="preserve">图2 </w:t>
      </w:r>
      <w:r>
        <w:rPr>
          <w:rFonts w:hint="eastAsia" w:asciiTheme="minorEastAsia" w:hAnsiTheme="minorEastAsia"/>
          <w:sz w:val="22"/>
          <w:szCs w:val="22"/>
        </w:rPr>
        <w:t>卡口设置示意图</w:t>
      </w:r>
    </w:p>
    <w:p>
      <w:pPr>
        <w:spacing w:line="360" w:lineRule="auto"/>
        <w:ind w:firstLine="442" w:firstLineChars="200"/>
        <w:rPr>
          <w:rFonts w:cs="Calibri" w:asciiTheme="minorEastAsia" w:hAnsiTheme="minorEastAsia"/>
          <w:b/>
          <w:bCs/>
          <w:sz w:val="22"/>
          <w:szCs w:val="22"/>
        </w:rPr>
      </w:pPr>
      <w:r>
        <w:rPr>
          <w:rFonts w:hint="eastAsia" w:cs="Calibri" w:asciiTheme="minorEastAsia" w:hAnsiTheme="minorEastAsia"/>
          <w:b/>
          <w:bCs/>
          <w:sz w:val="22"/>
          <w:szCs w:val="22"/>
        </w:rPr>
        <w:t>4.4国际快件中心园区场地建设需求</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根据国际快件中心海关监管卡口的业务实际需求，货场进、出卡口（货运车道）共计2条，即为3、4号卡口，拟配备电子车牌自动识别系统、电子地磅采重系统、海关卡口控制系统、</w:t>
      </w:r>
      <w:r>
        <w:rPr>
          <w:rFonts w:hint="eastAsia" w:asciiTheme="minorEastAsia" w:hAnsiTheme="minorEastAsia"/>
          <w:color w:val="000000"/>
          <w:sz w:val="22"/>
          <w:szCs w:val="22"/>
        </w:rPr>
        <w:t>电子关锁自动施解封系统</w:t>
      </w:r>
      <w:r>
        <w:rPr>
          <w:rFonts w:hint="eastAsia" w:asciiTheme="minorEastAsia" w:hAnsiTheme="minorEastAsia"/>
          <w:sz w:val="22"/>
          <w:szCs w:val="22"/>
        </w:rPr>
        <w:t>等，用于采集进入货场车辆的相关信息。</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1、2号卡口，通道拟配备电子车牌自动识别系统、停车场收费系统。</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货运车辆进出通道前需提前进行业务数据备案。</w:t>
      </w:r>
    </w:p>
    <w:p>
      <w:pPr>
        <w:spacing w:line="360" w:lineRule="auto"/>
        <w:ind w:firstLine="440" w:firstLineChars="200"/>
        <w:jc w:val="left"/>
        <w:rPr>
          <w:rFonts w:asciiTheme="minorEastAsia" w:hAnsiTheme="minorEastAsia"/>
          <w:sz w:val="22"/>
          <w:szCs w:val="22"/>
        </w:rPr>
      </w:pPr>
      <w:r>
        <w:rPr>
          <w:rFonts w:hint="eastAsia" w:asciiTheme="minorEastAsia" w:hAnsiTheme="minorEastAsia"/>
          <w:sz w:val="22"/>
          <w:szCs w:val="22"/>
        </w:rPr>
        <w:t>2号卡口配置人员进行进出园区收费。</w:t>
      </w:r>
    </w:p>
    <w:p>
      <w:pPr>
        <w:spacing w:line="360" w:lineRule="auto"/>
        <w:ind w:firstLine="440" w:firstLineChars="200"/>
        <w:jc w:val="left"/>
        <w:rPr>
          <w:rFonts w:asciiTheme="minorEastAsia" w:hAnsiTheme="minorEastAsia"/>
          <w:sz w:val="22"/>
          <w:szCs w:val="22"/>
        </w:rPr>
      </w:pPr>
      <w:r>
        <w:rPr>
          <w:rFonts w:hint="eastAsia" w:asciiTheme="minorEastAsia" w:hAnsiTheme="minorEastAsia"/>
          <w:sz w:val="22"/>
          <w:szCs w:val="22"/>
        </w:rPr>
        <w:t>每个卡口都设置数字高清摄像机，对每个卡口车辆出入信息进行24小时不间断录像并将视频图像信息传送至海关监控指挥中心进行统一监控管理，视频信息存储时间3个月。</w:t>
      </w:r>
    </w:p>
    <w:p>
      <w:pPr>
        <w:spacing w:line="360" w:lineRule="auto"/>
        <w:ind w:firstLine="420"/>
        <w:rPr>
          <w:rFonts w:asciiTheme="minorEastAsia" w:hAnsiTheme="minorEastAsia"/>
          <w:sz w:val="22"/>
          <w:szCs w:val="22"/>
        </w:rPr>
      </w:pPr>
      <w:r>
        <w:rPr>
          <w:rFonts w:hint="eastAsia" w:asciiTheme="minorEastAsia" w:hAnsiTheme="minorEastAsia"/>
          <w:sz w:val="22"/>
          <w:szCs w:val="22"/>
        </w:rPr>
        <w:t>园区通道系统配置清单见下表：</w:t>
      </w:r>
    </w:p>
    <w:tbl>
      <w:tblPr>
        <w:tblStyle w:val="52"/>
        <w:tblW w:w="7083" w:type="dxa"/>
        <w:jc w:val="center"/>
        <w:tblInd w:w="0" w:type="dxa"/>
        <w:tblLayout w:type="fixed"/>
        <w:tblCellMar>
          <w:top w:w="0" w:type="dxa"/>
          <w:left w:w="108" w:type="dxa"/>
          <w:bottom w:w="0" w:type="dxa"/>
          <w:right w:w="108" w:type="dxa"/>
        </w:tblCellMar>
      </w:tblPr>
      <w:tblGrid>
        <w:gridCol w:w="697"/>
        <w:gridCol w:w="1283"/>
        <w:gridCol w:w="1276"/>
        <w:gridCol w:w="1559"/>
        <w:gridCol w:w="1134"/>
        <w:gridCol w:w="1134"/>
      </w:tblGrid>
      <w:tr>
        <w:tblPrEx>
          <w:tblLayout w:type="fixed"/>
          <w:tblCellMar>
            <w:top w:w="0" w:type="dxa"/>
            <w:left w:w="108" w:type="dxa"/>
            <w:bottom w:w="0" w:type="dxa"/>
            <w:right w:w="108" w:type="dxa"/>
          </w:tblCellMar>
        </w:tblPrEx>
        <w:trPr>
          <w:trHeight w:val="9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Calibri" w:asciiTheme="minorEastAsia" w:hAnsiTheme="minorEastAsia"/>
                <w:bCs/>
                <w:color w:val="000000"/>
                <w:sz w:val="22"/>
                <w:szCs w:val="22"/>
              </w:rPr>
            </w:pPr>
            <w:r>
              <w:rPr>
                <w:rFonts w:hint="eastAsia" w:asciiTheme="minorEastAsia" w:hAnsiTheme="minorEastAsia"/>
                <w:bCs/>
                <w:color w:val="000000"/>
                <w:sz w:val="22"/>
                <w:szCs w:val="22"/>
              </w:rPr>
              <w:t>通道编号</w:t>
            </w:r>
          </w:p>
        </w:tc>
        <w:tc>
          <w:tcPr>
            <w:tcW w:w="1283" w:type="dxa"/>
            <w:tcBorders>
              <w:top w:val="single" w:color="auto" w:sz="4" w:space="0"/>
              <w:left w:val="nil"/>
              <w:bottom w:val="single" w:color="auto" w:sz="4" w:space="0"/>
              <w:right w:val="single" w:color="auto" w:sz="4" w:space="0"/>
            </w:tcBorders>
            <w:vAlign w:val="center"/>
          </w:tcPr>
          <w:p>
            <w:pPr>
              <w:spacing w:line="360" w:lineRule="auto"/>
              <w:jc w:val="center"/>
              <w:rPr>
                <w:rFonts w:cs="Calibri" w:asciiTheme="minorEastAsia" w:hAnsiTheme="minorEastAsia"/>
                <w:bCs/>
                <w:color w:val="000000"/>
                <w:sz w:val="22"/>
                <w:szCs w:val="22"/>
              </w:rPr>
            </w:pPr>
            <w:r>
              <w:rPr>
                <w:rFonts w:hint="eastAsia" w:asciiTheme="minorEastAsia" w:hAnsiTheme="minorEastAsia"/>
                <w:bCs/>
                <w:color w:val="000000"/>
                <w:sz w:val="22"/>
                <w:szCs w:val="22"/>
              </w:rPr>
              <w:t>电子车牌自动识别系统</w:t>
            </w: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cs="Calibri" w:asciiTheme="minorEastAsia" w:hAnsiTheme="minorEastAsia"/>
                <w:bCs/>
                <w:color w:val="000000"/>
                <w:sz w:val="22"/>
                <w:szCs w:val="22"/>
              </w:rPr>
            </w:pPr>
            <w:r>
              <w:rPr>
                <w:rFonts w:hint="eastAsia" w:asciiTheme="minorEastAsia" w:hAnsiTheme="minorEastAsia"/>
                <w:bCs/>
                <w:color w:val="000000"/>
                <w:sz w:val="22"/>
                <w:szCs w:val="22"/>
              </w:rPr>
              <w:t>电子地磅</w:t>
            </w:r>
            <w:r>
              <w:rPr>
                <w:rFonts w:hint="eastAsia" w:asciiTheme="minorEastAsia" w:hAnsiTheme="minorEastAsia"/>
                <w:bCs/>
                <w:color w:val="000000"/>
                <w:sz w:val="22"/>
                <w:szCs w:val="22"/>
              </w:rPr>
              <w:br w:type="textWrapping"/>
            </w:r>
            <w:r>
              <w:rPr>
                <w:rFonts w:hint="eastAsia" w:asciiTheme="minorEastAsia" w:hAnsiTheme="minorEastAsia"/>
                <w:bCs/>
                <w:color w:val="000000"/>
                <w:sz w:val="22"/>
                <w:szCs w:val="22"/>
              </w:rPr>
              <w:t>采重系统</w:t>
            </w:r>
          </w:p>
        </w:tc>
        <w:tc>
          <w:tcPr>
            <w:tcW w:w="1559" w:type="dxa"/>
            <w:tcBorders>
              <w:top w:val="single" w:color="auto" w:sz="4" w:space="0"/>
              <w:left w:val="nil"/>
              <w:bottom w:val="single" w:color="auto" w:sz="4" w:space="0"/>
              <w:right w:val="single" w:color="auto" w:sz="4" w:space="0"/>
            </w:tcBorders>
          </w:tcPr>
          <w:p>
            <w:pPr>
              <w:spacing w:line="360" w:lineRule="auto"/>
              <w:jc w:val="center"/>
              <w:rPr>
                <w:rFonts w:cs="Calibri" w:asciiTheme="minorEastAsia" w:hAnsiTheme="minorEastAsia"/>
                <w:bCs/>
                <w:color w:val="000000"/>
                <w:sz w:val="22"/>
                <w:szCs w:val="22"/>
              </w:rPr>
            </w:pPr>
            <w:r>
              <w:rPr>
                <w:rFonts w:hint="eastAsia" w:asciiTheme="minorEastAsia" w:hAnsiTheme="minorEastAsia"/>
                <w:bCs/>
                <w:color w:val="000000"/>
                <w:sz w:val="22"/>
                <w:szCs w:val="22"/>
              </w:rPr>
              <w:t>电子关锁自动施解封系统</w:t>
            </w: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cs="Calibri" w:asciiTheme="minorEastAsia" w:hAnsiTheme="minorEastAsia"/>
                <w:bCs/>
                <w:color w:val="000000"/>
                <w:sz w:val="22"/>
                <w:szCs w:val="22"/>
              </w:rPr>
            </w:pPr>
            <w:r>
              <w:rPr>
                <w:rFonts w:hint="eastAsia" w:asciiTheme="minorEastAsia" w:hAnsiTheme="minorEastAsia"/>
                <w:bCs/>
                <w:color w:val="000000"/>
                <w:sz w:val="22"/>
                <w:szCs w:val="22"/>
              </w:rPr>
              <w:t>海关卡口控制系统</w:t>
            </w: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cs="Calibri" w:asciiTheme="minorEastAsia" w:hAnsiTheme="minorEastAsia"/>
                <w:bCs/>
                <w:color w:val="000000"/>
                <w:sz w:val="22"/>
                <w:szCs w:val="22"/>
              </w:rPr>
            </w:pPr>
            <w:r>
              <w:rPr>
                <w:rFonts w:hint="eastAsia" w:asciiTheme="minorEastAsia" w:hAnsiTheme="minorEastAsia"/>
                <w:bCs/>
                <w:color w:val="000000"/>
                <w:sz w:val="22"/>
                <w:szCs w:val="22"/>
              </w:rPr>
              <w:t>停车场</w:t>
            </w:r>
            <w:r>
              <w:rPr>
                <w:rFonts w:hint="eastAsia" w:asciiTheme="minorEastAsia" w:hAnsiTheme="minorEastAsia"/>
                <w:bCs/>
                <w:color w:val="000000"/>
                <w:sz w:val="22"/>
                <w:szCs w:val="22"/>
              </w:rPr>
              <w:br w:type="textWrapping"/>
            </w:r>
            <w:r>
              <w:rPr>
                <w:rFonts w:hint="eastAsia" w:asciiTheme="minorEastAsia" w:hAnsiTheme="minorEastAsia"/>
                <w:bCs/>
                <w:color w:val="000000"/>
                <w:sz w:val="22"/>
                <w:szCs w:val="22"/>
              </w:rPr>
              <w:t>收费系统</w:t>
            </w:r>
          </w:p>
        </w:tc>
      </w:tr>
      <w:tr>
        <w:tblPrEx>
          <w:tblLayout w:type="fixed"/>
          <w:tblCellMar>
            <w:top w:w="0" w:type="dxa"/>
            <w:left w:w="108" w:type="dxa"/>
            <w:bottom w:w="0" w:type="dxa"/>
            <w:right w:w="108" w:type="dxa"/>
          </w:tblCellMar>
        </w:tblPrEx>
        <w:trPr>
          <w:trHeight w:val="56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Calibri" w:asciiTheme="minorEastAsia" w:hAnsiTheme="minorEastAsia"/>
                <w:color w:val="000000"/>
                <w:sz w:val="22"/>
                <w:szCs w:val="22"/>
              </w:rPr>
            </w:pPr>
            <w:r>
              <w:rPr>
                <w:rFonts w:hint="eastAsia" w:asciiTheme="minorEastAsia" w:hAnsiTheme="minorEastAsia"/>
                <w:color w:val="000000"/>
                <w:sz w:val="22"/>
                <w:szCs w:val="22"/>
              </w:rPr>
              <w:t>1</w:t>
            </w:r>
          </w:p>
        </w:tc>
        <w:tc>
          <w:tcPr>
            <w:tcW w:w="1283" w:type="dxa"/>
            <w:tcBorders>
              <w:top w:val="single" w:color="auto" w:sz="4" w:space="0"/>
              <w:left w:val="nil"/>
              <w:bottom w:val="single" w:color="auto" w:sz="4" w:space="0"/>
              <w:right w:val="single" w:color="auto" w:sz="4" w:space="0"/>
            </w:tcBorders>
          </w:tcPr>
          <w:p>
            <w:pPr>
              <w:spacing w:line="360" w:lineRule="auto"/>
              <w:jc w:val="center"/>
              <w:rPr>
                <w:rFonts w:cs="Calibri" w:asciiTheme="minorEastAsia" w:hAnsiTheme="minorEastAsia"/>
                <w:color w:val="000000"/>
                <w:sz w:val="22"/>
                <w:szCs w:val="22"/>
              </w:rPr>
            </w:pPr>
            <w:r>
              <w:rPr>
                <w:rFonts w:hint="eastAsia" w:asciiTheme="minorEastAsia" w:hAnsiTheme="minorEastAsia"/>
                <w:color w:val="000000"/>
                <w:sz w:val="22"/>
                <w:szCs w:val="22"/>
              </w:rPr>
              <w:t>√</w:t>
            </w:r>
          </w:p>
        </w:tc>
        <w:tc>
          <w:tcPr>
            <w:tcW w:w="1276" w:type="dxa"/>
            <w:tcBorders>
              <w:top w:val="single" w:color="auto" w:sz="4" w:space="0"/>
              <w:left w:val="nil"/>
              <w:bottom w:val="single" w:color="auto" w:sz="4" w:space="0"/>
              <w:right w:val="single" w:color="auto" w:sz="4" w:space="0"/>
            </w:tcBorders>
          </w:tcPr>
          <w:p>
            <w:pPr>
              <w:spacing w:line="360" w:lineRule="auto"/>
              <w:jc w:val="center"/>
              <w:rPr>
                <w:rFonts w:cs="Calibri" w:asciiTheme="minorEastAsia" w:hAnsiTheme="minorEastAsia"/>
                <w:color w:val="000000"/>
                <w:sz w:val="22"/>
                <w:szCs w:val="22"/>
              </w:rPr>
            </w:pPr>
          </w:p>
        </w:tc>
        <w:tc>
          <w:tcPr>
            <w:tcW w:w="1559" w:type="dxa"/>
            <w:tcBorders>
              <w:top w:val="single" w:color="auto" w:sz="4" w:space="0"/>
              <w:left w:val="nil"/>
              <w:bottom w:val="single" w:color="auto" w:sz="4" w:space="0"/>
              <w:right w:val="single" w:color="auto" w:sz="4" w:space="0"/>
            </w:tcBorders>
          </w:tcPr>
          <w:p>
            <w:pPr>
              <w:spacing w:line="360" w:lineRule="auto"/>
              <w:jc w:val="center"/>
              <w:rPr>
                <w:rFonts w:cs="Calibri" w:asciiTheme="minorEastAsia" w:hAnsiTheme="minorEastAsia"/>
                <w:color w:val="000000"/>
                <w:sz w:val="22"/>
                <w:szCs w:val="22"/>
              </w:rPr>
            </w:pPr>
          </w:p>
        </w:tc>
        <w:tc>
          <w:tcPr>
            <w:tcW w:w="1134" w:type="dxa"/>
            <w:tcBorders>
              <w:top w:val="single" w:color="auto" w:sz="4" w:space="0"/>
              <w:left w:val="nil"/>
              <w:bottom w:val="single" w:color="auto" w:sz="4" w:space="0"/>
              <w:right w:val="single" w:color="auto" w:sz="4" w:space="0"/>
            </w:tcBorders>
          </w:tcPr>
          <w:p>
            <w:pPr>
              <w:spacing w:line="360" w:lineRule="auto"/>
              <w:jc w:val="center"/>
              <w:rPr>
                <w:rFonts w:cs="Calibri" w:asciiTheme="minorEastAsia" w:hAnsiTheme="minorEastAsia"/>
                <w:color w:val="000000"/>
                <w:sz w:val="22"/>
                <w:szCs w:val="22"/>
              </w:rPr>
            </w:pPr>
          </w:p>
        </w:tc>
        <w:tc>
          <w:tcPr>
            <w:tcW w:w="1134" w:type="dxa"/>
            <w:tcBorders>
              <w:top w:val="single" w:color="auto" w:sz="4" w:space="0"/>
              <w:left w:val="nil"/>
              <w:bottom w:val="single" w:color="auto" w:sz="4" w:space="0"/>
              <w:right w:val="single" w:color="auto" w:sz="4" w:space="0"/>
            </w:tcBorders>
          </w:tcPr>
          <w:p>
            <w:pPr>
              <w:spacing w:line="360" w:lineRule="auto"/>
              <w:jc w:val="center"/>
              <w:rPr>
                <w:rFonts w:cs="Calibri" w:asciiTheme="minorEastAsia" w:hAnsiTheme="minorEastAsia"/>
                <w:color w:val="000000"/>
                <w:sz w:val="22"/>
                <w:szCs w:val="22"/>
              </w:rPr>
            </w:pPr>
            <w:r>
              <w:rPr>
                <w:rFonts w:hint="eastAsia" w:asciiTheme="minorEastAsia" w:hAnsiTheme="minorEastAsia"/>
                <w:color w:val="000000"/>
                <w:sz w:val="22"/>
                <w:szCs w:val="22"/>
              </w:rPr>
              <w:t>√</w:t>
            </w:r>
          </w:p>
        </w:tc>
      </w:tr>
      <w:tr>
        <w:tblPrEx>
          <w:tblLayout w:type="fixed"/>
          <w:tblCellMar>
            <w:top w:w="0" w:type="dxa"/>
            <w:left w:w="108" w:type="dxa"/>
            <w:bottom w:w="0" w:type="dxa"/>
            <w:right w:w="108" w:type="dxa"/>
          </w:tblCellMar>
        </w:tblPrEx>
        <w:trPr>
          <w:trHeight w:val="56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Calibri" w:asciiTheme="minorEastAsia" w:hAnsiTheme="minorEastAsia"/>
                <w:color w:val="000000"/>
                <w:sz w:val="22"/>
                <w:szCs w:val="22"/>
              </w:rPr>
            </w:pPr>
            <w:r>
              <w:rPr>
                <w:rFonts w:hint="eastAsia" w:asciiTheme="minorEastAsia" w:hAnsiTheme="minorEastAsia"/>
                <w:color w:val="000000"/>
                <w:sz w:val="22"/>
                <w:szCs w:val="22"/>
              </w:rPr>
              <w:t>2</w:t>
            </w:r>
          </w:p>
        </w:tc>
        <w:tc>
          <w:tcPr>
            <w:tcW w:w="1283" w:type="dxa"/>
            <w:tcBorders>
              <w:top w:val="single" w:color="auto" w:sz="4" w:space="0"/>
              <w:left w:val="nil"/>
              <w:bottom w:val="single" w:color="auto" w:sz="4" w:space="0"/>
              <w:right w:val="single" w:color="auto" w:sz="4" w:space="0"/>
            </w:tcBorders>
          </w:tcPr>
          <w:p>
            <w:pPr>
              <w:spacing w:line="360" w:lineRule="auto"/>
              <w:jc w:val="center"/>
              <w:rPr>
                <w:rFonts w:cs="Calibri" w:asciiTheme="minorEastAsia" w:hAnsiTheme="minorEastAsia"/>
                <w:color w:val="000000"/>
                <w:sz w:val="22"/>
                <w:szCs w:val="22"/>
              </w:rPr>
            </w:pPr>
            <w:r>
              <w:rPr>
                <w:rFonts w:hint="eastAsia" w:asciiTheme="minorEastAsia" w:hAnsiTheme="minorEastAsia"/>
                <w:color w:val="000000"/>
                <w:sz w:val="22"/>
                <w:szCs w:val="22"/>
              </w:rPr>
              <w:t>√</w:t>
            </w:r>
          </w:p>
        </w:tc>
        <w:tc>
          <w:tcPr>
            <w:tcW w:w="1276" w:type="dxa"/>
            <w:tcBorders>
              <w:top w:val="single" w:color="auto" w:sz="4" w:space="0"/>
              <w:left w:val="nil"/>
              <w:bottom w:val="single" w:color="auto" w:sz="4" w:space="0"/>
              <w:right w:val="single" w:color="auto" w:sz="4" w:space="0"/>
            </w:tcBorders>
          </w:tcPr>
          <w:p>
            <w:pPr>
              <w:spacing w:line="360" w:lineRule="auto"/>
              <w:jc w:val="center"/>
              <w:rPr>
                <w:rFonts w:cs="Calibri" w:asciiTheme="minorEastAsia" w:hAnsiTheme="minorEastAsia"/>
                <w:color w:val="000000"/>
                <w:sz w:val="22"/>
                <w:szCs w:val="22"/>
              </w:rPr>
            </w:pPr>
            <w:r>
              <w:rPr>
                <w:rFonts w:hint="eastAsia" w:asciiTheme="minorEastAsia" w:hAnsiTheme="minorEastAsia"/>
                <w:color w:val="000000"/>
                <w:sz w:val="22"/>
                <w:szCs w:val="22"/>
              </w:rPr>
              <w:t>√</w:t>
            </w:r>
          </w:p>
        </w:tc>
        <w:tc>
          <w:tcPr>
            <w:tcW w:w="1559" w:type="dxa"/>
            <w:tcBorders>
              <w:top w:val="single" w:color="auto" w:sz="4" w:space="0"/>
              <w:left w:val="nil"/>
              <w:bottom w:val="single" w:color="auto" w:sz="4" w:space="0"/>
              <w:right w:val="single" w:color="auto" w:sz="4" w:space="0"/>
            </w:tcBorders>
          </w:tcPr>
          <w:p>
            <w:pPr>
              <w:spacing w:line="360" w:lineRule="auto"/>
              <w:jc w:val="center"/>
              <w:rPr>
                <w:rFonts w:cs="Calibri" w:asciiTheme="minorEastAsia" w:hAnsiTheme="minorEastAsia"/>
                <w:color w:val="000000"/>
                <w:sz w:val="22"/>
                <w:szCs w:val="22"/>
              </w:rPr>
            </w:pPr>
            <w:r>
              <w:rPr>
                <w:rFonts w:hint="eastAsia" w:asciiTheme="minorEastAsia" w:hAnsiTheme="minorEastAsia"/>
                <w:color w:val="000000"/>
                <w:sz w:val="22"/>
                <w:szCs w:val="22"/>
              </w:rPr>
              <w:t>√</w:t>
            </w:r>
          </w:p>
        </w:tc>
        <w:tc>
          <w:tcPr>
            <w:tcW w:w="1134" w:type="dxa"/>
            <w:tcBorders>
              <w:top w:val="single" w:color="auto" w:sz="4" w:space="0"/>
              <w:left w:val="nil"/>
              <w:bottom w:val="single" w:color="auto" w:sz="4" w:space="0"/>
              <w:right w:val="single" w:color="auto" w:sz="4" w:space="0"/>
            </w:tcBorders>
          </w:tcPr>
          <w:p>
            <w:pPr>
              <w:spacing w:line="360" w:lineRule="auto"/>
              <w:jc w:val="center"/>
              <w:rPr>
                <w:rFonts w:cs="Calibri" w:asciiTheme="minorEastAsia" w:hAnsiTheme="minorEastAsia"/>
                <w:color w:val="000000"/>
                <w:sz w:val="22"/>
                <w:szCs w:val="22"/>
              </w:rPr>
            </w:pPr>
            <w:r>
              <w:rPr>
                <w:rFonts w:hint="eastAsia" w:asciiTheme="minorEastAsia" w:hAnsiTheme="minorEastAsia"/>
                <w:color w:val="000000"/>
                <w:sz w:val="22"/>
                <w:szCs w:val="22"/>
              </w:rPr>
              <w:t>√</w:t>
            </w:r>
          </w:p>
        </w:tc>
        <w:tc>
          <w:tcPr>
            <w:tcW w:w="1134" w:type="dxa"/>
            <w:tcBorders>
              <w:top w:val="single" w:color="auto" w:sz="4" w:space="0"/>
              <w:left w:val="nil"/>
              <w:bottom w:val="single" w:color="auto" w:sz="4" w:space="0"/>
              <w:right w:val="single" w:color="auto" w:sz="4" w:space="0"/>
            </w:tcBorders>
          </w:tcPr>
          <w:p>
            <w:pPr>
              <w:spacing w:line="360" w:lineRule="auto"/>
              <w:jc w:val="center"/>
              <w:rPr>
                <w:rFonts w:cs="Calibri" w:asciiTheme="minorEastAsia" w:hAnsiTheme="minorEastAsia"/>
                <w:color w:val="000000"/>
                <w:sz w:val="22"/>
                <w:szCs w:val="22"/>
              </w:rPr>
            </w:pPr>
          </w:p>
        </w:tc>
      </w:tr>
      <w:tr>
        <w:tblPrEx>
          <w:tblLayout w:type="fixed"/>
          <w:tblCellMar>
            <w:top w:w="0" w:type="dxa"/>
            <w:left w:w="108" w:type="dxa"/>
            <w:bottom w:w="0" w:type="dxa"/>
            <w:right w:w="108" w:type="dxa"/>
          </w:tblCellMar>
        </w:tblPrEx>
        <w:trPr>
          <w:trHeight w:val="56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Calibri" w:asciiTheme="minorEastAsia" w:hAnsiTheme="minorEastAsia"/>
                <w:color w:val="000000"/>
                <w:sz w:val="22"/>
                <w:szCs w:val="22"/>
              </w:rPr>
            </w:pPr>
            <w:r>
              <w:rPr>
                <w:rFonts w:hint="eastAsia" w:asciiTheme="minorEastAsia" w:hAnsiTheme="minorEastAsia"/>
                <w:color w:val="000000"/>
                <w:sz w:val="22"/>
                <w:szCs w:val="22"/>
              </w:rPr>
              <w:t>3</w:t>
            </w:r>
          </w:p>
        </w:tc>
        <w:tc>
          <w:tcPr>
            <w:tcW w:w="1283" w:type="dxa"/>
            <w:tcBorders>
              <w:top w:val="single" w:color="auto" w:sz="4" w:space="0"/>
              <w:left w:val="nil"/>
              <w:bottom w:val="single" w:color="auto" w:sz="4" w:space="0"/>
              <w:right w:val="single" w:color="auto" w:sz="4" w:space="0"/>
            </w:tcBorders>
          </w:tcPr>
          <w:p>
            <w:pPr>
              <w:spacing w:line="360" w:lineRule="auto"/>
              <w:jc w:val="center"/>
              <w:rPr>
                <w:rFonts w:cs="Calibri" w:asciiTheme="minorEastAsia" w:hAnsiTheme="minorEastAsia"/>
                <w:color w:val="000000"/>
                <w:sz w:val="22"/>
                <w:szCs w:val="22"/>
              </w:rPr>
            </w:pPr>
            <w:r>
              <w:rPr>
                <w:rFonts w:hint="eastAsia" w:asciiTheme="minorEastAsia" w:hAnsiTheme="minorEastAsia"/>
                <w:color w:val="000000"/>
                <w:sz w:val="22"/>
                <w:szCs w:val="22"/>
              </w:rPr>
              <w:t>√</w:t>
            </w:r>
          </w:p>
        </w:tc>
        <w:tc>
          <w:tcPr>
            <w:tcW w:w="1276" w:type="dxa"/>
            <w:tcBorders>
              <w:top w:val="single" w:color="auto" w:sz="4" w:space="0"/>
              <w:left w:val="nil"/>
              <w:bottom w:val="single" w:color="auto" w:sz="4" w:space="0"/>
              <w:right w:val="single" w:color="auto" w:sz="4" w:space="0"/>
            </w:tcBorders>
          </w:tcPr>
          <w:p>
            <w:pPr>
              <w:spacing w:line="360" w:lineRule="auto"/>
              <w:jc w:val="center"/>
              <w:rPr>
                <w:rFonts w:cs="Calibri" w:asciiTheme="minorEastAsia" w:hAnsiTheme="minorEastAsia"/>
                <w:color w:val="000000"/>
                <w:sz w:val="22"/>
                <w:szCs w:val="22"/>
              </w:rPr>
            </w:pPr>
            <w:r>
              <w:rPr>
                <w:rFonts w:hint="eastAsia" w:asciiTheme="minorEastAsia" w:hAnsiTheme="minorEastAsia"/>
                <w:color w:val="000000"/>
                <w:sz w:val="22"/>
                <w:szCs w:val="22"/>
              </w:rPr>
              <w:t>√</w:t>
            </w:r>
          </w:p>
        </w:tc>
        <w:tc>
          <w:tcPr>
            <w:tcW w:w="1559" w:type="dxa"/>
            <w:tcBorders>
              <w:top w:val="single" w:color="auto" w:sz="4" w:space="0"/>
              <w:left w:val="nil"/>
              <w:bottom w:val="single" w:color="auto" w:sz="4" w:space="0"/>
              <w:right w:val="single" w:color="auto" w:sz="4" w:space="0"/>
            </w:tcBorders>
          </w:tcPr>
          <w:p>
            <w:pPr>
              <w:spacing w:line="360" w:lineRule="auto"/>
              <w:jc w:val="center"/>
              <w:rPr>
                <w:rFonts w:cs="Calibri" w:asciiTheme="minorEastAsia" w:hAnsiTheme="minorEastAsia"/>
                <w:color w:val="000000"/>
                <w:sz w:val="22"/>
                <w:szCs w:val="22"/>
              </w:rPr>
            </w:pPr>
            <w:r>
              <w:rPr>
                <w:rFonts w:hint="eastAsia" w:asciiTheme="minorEastAsia" w:hAnsiTheme="minorEastAsia"/>
                <w:color w:val="000000"/>
                <w:sz w:val="22"/>
                <w:szCs w:val="22"/>
              </w:rPr>
              <w:t>√</w:t>
            </w:r>
          </w:p>
        </w:tc>
        <w:tc>
          <w:tcPr>
            <w:tcW w:w="1134" w:type="dxa"/>
            <w:tcBorders>
              <w:top w:val="single" w:color="auto" w:sz="4" w:space="0"/>
              <w:left w:val="nil"/>
              <w:bottom w:val="single" w:color="auto" w:sz="4" w:space="0"/>
              <w:right w:val="single" w:color="auto" w:sz="4" w:space="0"/>
            </w:tcBorders>
          </w:tcPr>
          <w:p>
            <w:pPr>
              <w:spacing w:line="360" w:lineRule="auto"/>
              <w:jc w:val="center"/>
              <w:rPr>
                <w:rFonts w:cs="Calibri" w:asciiTheme="minorEastAsia" w:hAnsiTheme="minorEastAsia"/>
                <w:color w:val="000000"/>
                <w:sz w:val="22"/>
                <w:szCs w:val="22"/>
              </w:rPr>
            </w:pPr>
            <w:r>
              <w:rPr>
                <w:rFonts w:hint="eastAsia" w:asciiTheme="minorEastAsia" w:hAnsiTheme="minorEastAsia"/>
                <w:color w:val="000000"/>
                <w:sz w:val="22"/>
                <w:szCs w:val="22"/>
              </w:rPr>
              <w:t>√</w:t>
            </w:r>
          </w:p>
        </w:tc>
        <w:tc>
          <w:tcPr>
            <w:tcW w:w="1134" w:type="dxa"/>
            <w:tcBorders>
              <w:top w:val="single" w:color="auto" w:sz="4" w:space="0"/>
              <w:left w:val="nil"/>
              <w:bottom w:val="single" w:color="auto" w:sz="4" w:space="0"/>
              <w:right w:val="single" w:color="auto" w:sz="4" w:space="0"/>
            </w:tcBorders>
          </w:tcPr>
          <w:p>
            <w:pPr>
              <w:spacing w:line="360" w:lineRule="auto"/>
              <w:jc w:val="center"/>
              <w:rPr>
                <w:rFonts w:cs="Calibri" w:asciiTheme="minorEastAsia" w:hAnsiTheme="minorEastAsia"/>
                <w:color w:val="000000"/>
                <w:sz w:val="22"/>
                <w:szCs w:val="22"/>
              </w:rPr>
            </w:pPr>
          </w:p>
        </w:tc>
      </w:tr>
      <w:tr>
        <w:tblPrEx>
          <w:tblLayout w:type="fixed"/>
          <w:tblCellMar>
            <w:top w:w="0" w:type="dxa"/>
            <w:left w:w="108" w:type="dxa"/>
            <w:bottom w:w="0" w:type="dxa"/>
            <w:right w:w="108" w:type="dxa"/>
          </w:tblCellMar>
        </w:tblPrEx>
        <w:trPr>
          <w:trHeight w:val="56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Calibri" w:asciiTheme="minorEastAsia" w:hAnsiTheme="minorEastAsia"/>
                <w:color w:val="000000"/>
                <w:sz w:val="22"/>
                <w:szCs w:val="22"/>
              </w:rPr>
            </w:pPr>
            <w:r>
              <w:rPr>
                <w:rFonts w:hint="eastAsia" w:asciiTheme="minorEastAsia" w:hAnsiTheme="minorEastAsia"/>
                <w:color w:val="000000"/>
                <w:sz w:val="22"/>
                <w:szCs w:val="22"/>
              </w:rPr>
              <w:t>4</w:t>
            </w:r>
          </w:p>
        </w:tc>
        <w:tc>
          <w:tcPr>
            <w:tcW w:w="1283" w:type="dxa"/>
            <w:tcBorders>
              <w:top w:val="single" w:color="auto" w:sz="4" w:space="0"/>
              <w:left w:val="nil"/>
              <w:bottom w:val="single" w:color="auto" w:sz="4" w:space="0"/>
              <w:right w:val="single" w:color="auto" w:sz="4" w:space="0"/>
            </w:tcBorders>
          </w:tcPr>
          <w:p>
            <w:pPr>
              <w:spacing w:line="360" w:lineRule="auto"/>
              <w:jc w:val="center"/>
              <w:rPr>
                <w:rFonts w:cs="Calibri" w:asciiTheme="minorEastAsia" w:hAnsiTheme="minorEastAsia"/>
                <w:color w:val="000000"/>
                <w:sz w:val="22"/>
                <w:szCs w:val="22"/>
              </w:rPr>
            </w:pPr>
            <w:r>
              <w:rPr>
                <w:rFonts w:hint="eastAsia" w:asciiTheme="minorEastAsia" w:hAnsiTheme="minorEastAsia"/>
                <w:color w:val="000000"/>
                <w:sz w:val="22"/>
                <w:szCs w:val="22"/>
              </w:rPr>
              <w:t>√</w:t>
            </w:r>
          </w:p>
        </w:tc>
        <w:tc>
          <w:tcPr>
            <w:tcW w:w="1276" w:type="dxa"/>
            <w:tcBorders>
              <w:top w:val="single" w:color="auto" w:sz="4" w:space="0"/>
              <w:left w:val="nil"/>
              <w:bottom w:val="single" w:color="auto" w:sz="4" w:space="0"/>
              <w:right w:val="single" w:color="auto" w:sz="4" w:space="0"/>
            </w:tcBorders>
          </w:tcPr>
          <w:p>
            <w:pPr>
              <w:spacing w:line="360" w:lineRule="auto"/>
              <w:jc w:val="center"/>
              <w:rPr>
                <w:rFonts w:cs="Calibri" w:asciiTheme="minorEastAsia" w:hAnsiTheme="minorEastAsia"/>
                <w:color w:val="000000"/>
                <w:sz w:val="22"/>
                <w:szCs w:val="22"/>
              </w:rPr>
            </w:pPr>
          </w:p>
        </w:tc>
        <w:tc>
          <w:tcPr>
            <w:tcW w:w="1559" w:type="dxa"/>
            <w:tcBorders>
              <w:top w:val="single" w:color="auto" w:sz="4" w:space="0"/>
              <w:left w:val="nil"/>
              <w:bottom w:val="single" w:color="auto" w:sz="4" w:space="0"/>
              <w:right w:val="single" w:color="auto" w:sz="4" w:space="0"/>
            </w:tcBorders>
          </w:tcPr>
          <w:p>
            <w:pPr>
              <w:spacing w:line="360" w:lineRule="auto"/>
              <w:jc w:val="center"/>
              <w:rPr>
                <w:rFonts w:cs="Calibri" w:asciiTheme="minorEastAsia" w:hAnsiTheme="minorEastAsia"/>
                <w:color w:val="000000"/>
                <w:sz w:val="22"/>
                <w:szCs w:val="22"/>
              </w:rPr>
            </w:pPr>
          </w:p>
        </w:tc>
        <w:tc>
          <w:tcPr>
            <w:tcW w:w="1134" w:type="dxa"/>
            <w:tcBorders>
              <w:top w:val="single" w:color="auto" w:sz="4" w:space="0"/>
              <w:left w:val="nil"/>
              <w:bottom w:val="single" w:color="auto" w:sz="4" w:space="0"/>
              <w:right w:val="single" w:color="auto" w:sz="4" w:space="0"/>
            </w:tcBorders>
          </w:tcPr>
          <w:p>
            <w:pPr>
              <w:spacing w:line="360" w:lineRule="auto"/>
              <w:jc w:val="center"/>
              <w:rPr>
                <w:rFonts w:cs="Calibri" w:asciiTheme="minorEastAsia" w:hAnsiTheme="minorEastAsia"/>
                <w:color w:val="000000"/>
                <w:sz w:val="22"/>
                <w:szCs w:val="22"/>
              </w:rPr>
            </w:pPr>
          </w:p>
        </w:tc>
        <w:tc>
          <w:tcPr>
            <w:tcW w:w="1134" w:type="dxa"/>
            <w:tcBorders>
              <w:top w:val="single" w:color="auto" w:sz="4" w:space="0"/>
              <w:left w:val="nil"/>
              <w:bottom w:val="single" w:color="auto" w:sz="4" w:space="0"/>
              <w:right w:val="single" w:color="auto" w:sz="4" w:space="0"/>
            </w:tcBorders>
          </w:tcPr>
          <w:p>
            <w:pPr>
              <w:spacing w:line="360" w:lineRule="auto"/>
              <w:jc w:val="center"/>
              <w:rPr>
                <w:rFonts w:cs="Calibri" w:asciiTheme="minorEastAsia" w:hAnsiTheme="minorEastAsia"/>
                <w:color w:val="000000"/>
                <w:sz w:val="22"/>
                <w:szCs w:val="22"/>
              </w:rPr>
            </w:pPr>
            <w:r>
              <w:rPr>
                <w:rFonts w:hint="eastAsia" w:asciiTheme="minorEastAsia" w:hAnsiTheme="minorEastAsia"/>
                <w:color w:val="000000"/>
                <w:sz w:val="22"/>
                <w:szCs w:val="22"/>
              </w:rPr>
              <w:t>√</w:t>
            </w:r>
          </w:p>
        </w:tc>
      </w:tr>
    </w:tbl>
    <w:p>
      <w:pPr>
        <w:spacing w:line="360" w:lineRule="auto"/>
        <w:ind w:firstLine="442" w:firstLineChars="200"/>
        <w:jc w:val="left"/>
        <w:rPr>
          <w:rFonts w:asciiTheme="minorEastAsia" w:hAnsiTheme="minorEastAsia"/>
          <w:b/>
          <w:sz w:val="22"/>
          <w:szCs w:val="22"/>
        </w:rPr>
      </w:pPr>
      <w:bookmarkStart w:id="75" w:name="_Toc511903851"/>
      <w:bookmarkEnd w:id="75"/>
      <w:r>
        <w:rPr>
          <w:rFonts w:hint="eastAsia" w:asciiTheme="minorEastAsia" w:hAnsiTheme="minorEastAsia"/>
          <w:b/>
          <w:sz w:val="22"/>
          <w:szCs w:val="22"/>
        </w:rPr>
        <w:t>4.5海关业务需求</w:t>
      </w:r>
    </w:p>
    <w:p>
      <w:pPr>
        <w:spacing w:line="360" w:lineRule="auto"/>
        <w:ind w:firstLine="440" w:firstLineChars="200"/>
        <w:jc w:val="left"/>
        <w:rPr>
          <w:rFonts w:asciiTheme="minorEastAsia" w:hAnsiTheme="minorEastAsia"/>
          <w:sz w:val="22"/>
          <w:szCs w:val="22"/>
        </w:rPr>
      </w:pPr>
      <w:r>
        <w:rPr>
          <w:rFonts w:hint="eastAsia" w:asciiTheme="minorEastAsia" w:hAnsiTheme="minorEastAsia"/>
          <w:sz w:val="22"/>
          <w:szCs w:val="22"/>
        </w:rPr>
        <w:t>根据海关总署《海关全面深化改革总体方案》建设需求、杭州海关《2016年关区监管通关工作思路》等相关要求，提升口岸物流监控水平，规范监管场所运行次序，提高口岸货物放行效率，配合通关一体化改革，更好地履行杭州萧山机场海关职责，以实现货物的“一次抬杆、自动放行”，推动形成电子化、智能化的物流信息监控体系为目标，提出智能卡口建设海关需求方案。</w:t>
      </w:r>
    </w:p>
    <w:p>
      <w:pPr>
        <w:spacing w:line="360" w:lineRule="auto"/>
        <w:ind w:firstLine="440" w:firstLineChars="200"/>
        <w:jc w:val="left"/>
        <w:rPr>
          <w:rFonts w:asciiTheme="minorEastAsia" w:hAnsiTheme="minorEastAsia"/>
          <w:sz w:val="22"/>
          <w:szCs w:val="22"/>
        </w:rPr>
      </w:pPr>
      <w:r>
        <w:rPr>
          <w:rFonts w:hint="eastAsia" w:asciiTheme="minorEastAsia" w:hAnsiTheme="minorEastAsia"/>
          <w:sz w:val="22"/>
          <w:szCs w:val="22"/>
        </w:rPr>
        <w:t>内容如下：</w:t>
      </w:r>
    </w:p>
    <w:p>
      <w:pPr>
        <w:pStyle w:val="142"/>
        <w:spacing w:line="360" w:lineRule="auto"/>
        <w:ind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在海关端和企业端分别实现智能卡口相关数据的查询功能；</w:t>
      </w:r>
    </w:p>
    <w:p>
      <w:pPr>
        <w:pStyle w:val="142"/>
        <w:spacing w:line="360" w:lineRule="auto"/>
        <w:ind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在海关端实现对数据的综合查询统计及布控查验功能；</w:t>
      </w:r>
    </w:p>
    <w:p>
      <w:pPr>
        <w:pStyle w:val="142"/>
        <w:spacing w:line="360" w:lineRule="auto"/>
        <w:ind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在企业端实现快件/跨境电商分运单与出区单的捆绑功能；</w:t>
      </w:r>
    </w:p>
    <w:p>
      <w:pPr>
        <w:pStyle w:val="142"/>
        <w:spacing w:line="360" w:lineRule="auto"/>
        <w:ind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在企业端实现车牌号码与提运单号/出区单号的捆绑功能。</w:t>
      </w:r>
    </w:p>
    <w:p>
      <w:pPr>
        <w:pStyle w:val="142"/>
        <w:spacing w:line="360" w:lineRule="auto"/>
        <w:ind w:firstLine="0" w:firstLineChars="0"/>
        <w:rPr>
          <w:rFonts w:asciiTheme="minorEastAsia" w:hAnsiTheme="minorEastAsia" w:eastAsiaTheme="minorEastAsia"/>
          <w:b/>
          <w:kern w:val="2"/>
          <w:sz w:val="22"/>
          <w:szCs w:val="22"/>
        </w:rPr>
      </w:pPr>
      <w:r>
        <w:rPr>
          <w:rFonts w:hint="eastAsia" w:asciiTheme="minorEastAsia" w:hAnsiTheme="minorEastAsia" w:eastAsiaTheme="minorEastAsia"/>
          <w:b/>
          <w:sz w:val="22"/>
          <w:szCs w:val="22"/>
        </w:rPr>
        <w:t>4.6系统功能目标</w:t>
      </w:r>
    </w:p>
    <w:p>
      <w:pPr>
        <w:spacing w:line="360" w:lineRule="auto"/>
        <w:ind w:firstLine="440" w:firstLineChars="200"/>
        <w:rPr>
          <w:rFonts w:asciiTheme="minorEastAsia" w:hAnsiTheme="minorEastAsia"/>
          <w:color w:val="000000"/>
          <w:sz w:val="22"/>
          <w:szCs w:val="22"/>
        </w:rPr>
      </w:pPr>
      <w:r>
        <w:rPr>
          <w:rFonts w:hint="eastAsia" w:asciiTheme="minorEastAsia" w:hAnsiTheme="minorEastAsia"/>
          <w:color w:val="000000"/>
          <w:sz w:val="22"/>
          <w:szCs w:val="22"/>
        </w:rPr>
        <w:t>智能卡口系统建成后将实现以下一些功能：</w:t>
      </w:r>
    </w:p>
    <w:p>
      <w:pPr>
        <w:pStyle w:val="142"/>
        <w:spacing w:line="360" w:lineRule="auto"/>
        <w:ind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本系统能够实现高度自动化，尽量减少和控制人为干预，提高通关速度和效率。系统管理人员能在各卡口控制室对经管理授权卡口的通车情况进行监控，能够在总监控中心实现对所有卡口通车情况的监控，并可以远程对卡口采集数据进行补采、干预车辆的放行处理。</w:t>
      </w:r>
    </w:p>
    <w:p>
      <w:pPr>
        <w:pStyle w:val="142"/>
        <w:spacing w:line="360" w:lineRule="auto"/>
        <w:ind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本系统具有自我维护功能，对卡口设备启用/禁用控制，对设备检测、复位，对卡口系统复位，对卡口设备异常报警监控，自动保存相关数据，提供日志查询统计功能。</w:t>
      </w:r>
    </w:p>
    <w:p>
      <w:pPr>
        <w:pStyle w:val="142"/>
        <w:spacing w:line="360" w:lineRule="auto"/>
        <w:ind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对于指定的货运车辆，系统能够采集数据后与杭州海关监管系统进行信息交互，接收杭州海关监管系统放行指令，并根据指令结果控制电子挡杆对车辆进行放行或禁行。</w:t>
      </w:r>
    </w:p>
    <w:p>
      <w:pPr>
        <w:pStyle w:val="142"/>
        <w:spacing w:line="360" w:lineRule="auto"/>
        <w:ind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系统能够对通过卡口的所有车辆抓拍车辆图片识别出车牌号、车辆采集信息进行存储，并能够根据时间、放行方式等多种条件对所有车辆进行查询，并打印出需要的查询统计报表。</w:t>
      </w:r>
    </w:p>
    <w:p>
      <w:pPr>
        <w:pStyle w:val="142"/>
        <w:spacing w:line="360" w:lineRule="auto"/>
        <w:ind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系统能够将通过卡口的车辆图片、采集信息、放行信息等分类保存两年以上，便于事后的核查和浏览。</w:t>
      </w:r>
    </w:p>
    <w:p>
      <w:pPr>
        <w:pStyle w:val="142"/>
        <w:spacing w:line="360" w:lineRule="auto"/>
        <w:ind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系统能够对用户分级管理，能正确指定相关管理人员的不同角色和权限，便于国际快件中心及海关的管理。</w:t>
      </w:r>
    </w:p>
    <w:p>
      <w:pPr>
        <w:pStyle w:val="142"/>
        <w:spacing w:line="360" w:lineRule="auto"/>
        <w:ind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系统环境适应性强、能够全天候24小时不间断工作。</w:t>
      </w:r>
    </w:p>
    <w:p>
      <w:pPr>
        <w:pStyle w:val="142"/>
        <w:spacing w:line="360" w:lineRule="auto"/>
        <w:ind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系统能够保证各种采集数据的高精确性。</w:t>
      </w:r>
    </w:p>
    <w:p>
      <w:pPr>
        <w:pStyle w:val="142"/>
        <w:spacing w:line="360" w:lineRule="auto"/>
        <w:ind w:firstLineChars="0"/>
        <w:rPr>
          <w:rFonts w:asciiTheme="minorEastAsia" w:hAnsiTheme="minorEastAsia" w:eastAsiaTheme="minorEastAsia"/>
          <w:spacing w:val="-4"/>
          <w:kern w:val="2"/>
          <w:sz w:val="22"/>
          <w:szCs w:val="22"/>
        </w:rPr>
      </w:pPr>
      <w:r>
        <w:rPr>
          <w:rFonts w:hint="eastAsia" w:asciiTheme="minorEastAsia" w:hAnsiTheme="minorEastAsia" w:eastAsiaTheme="minorEastAsia"/>
          <w:spacing w:val="-4"/>
          <w:kern w:val="2"/>
          <w:sz w:val="22"/>
          <w:szCs w:val="22"/>
        </w:rPr>
        <w:t>系统具有较高的处理速度及执行效率。系统在使用时，如果需要在卡口处实时拦截车辆时，即车辆需要停留在卡口处等待处理结果，处理每辆车耗时应小于10秒。</w:t>
      </w:r>
    </w:p>
    <w:p>
      <w:pPr>
        <w:pStyle w:val="142"/>
        <w:spacing w:line="360" w:lineRule="auto"/>
        <w:ind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系统具有高可靠性及安全性。</w:t>
      </w:r>
    </w:p>
    <w:p>
      <w:pPr>
        <w:pStyle w:val="142"/>
        <w:spacing w:line="360" w:lineRule="auto"/>
        <w:ind w:firstLineChars="0"/>
        <w:rPr>
          <w:rFonts w:asciiTheme="minorEastAsia" w:hAnsiTheme="minorEastAsia" w:eastAsiaTheme="minorEastAsia"/>
          <w:color w:val="000000"/>
          <w:kern w:val="2"/>
          <w:sz w:val="22"/>
          <w:szCs w:val="22"/>
        </w:rPr>
      </w:pPr>
      <w:r>
        <w:rPr>
          <w:rFonts w:hint="eastAsia" w:asciiTheme="minorEastAsia" w:hAnsiTheme="minorEastAsia" w:eastAsiaTheme="minorEastAsia"/>
          <w:kern w:val="2"/>
          <w:sz w:val="22"/>
          <w:szCs w:val="22"/>
        </w:rPr>
        <w:t>软件系统根据</w:t>
      </w:r>
      <w:r>
        <w:rPr>
          <w:rFonts w:hint="eastAsia" w:asciiTheme="minorEastAsia" w:hAnsiTheme="minorEastAsia" w:eastAsiaTheme="minorEastAsia"/>
          <w:color w:val="000000"/>
          <w:kern w:val="2"/>
          <w:sz w:val="22"/>
          <w:szCs w:val="22"/>
        </w:rPr>
        <w:t>杭州萧山国际机场国际快件中心</w:t>
      </w:r>
    </w:p>
    <w:p>
      <w:pPr>
        <w:pStyle w:val="142"/>
        <w:spacing w:line="360" w:lineRule="auto"/>
        <w:ind w:firstLineChars="0"/>
        <w:rPr>
          <w:rFonts w:asciiTheme="minorEastAsia" w:hAnsiTheme="minorEastAsia" w:eastAsiaTheme="minorEastAsia"/>
          <w:kern w:val="2"/>
          <w:sz w:val="22"/>
          <w:szCs w:val="22"/>
        </w:rPr>
      </w:pPr>
      <w:r>
        <w:rPr>
          <w:rFonts w:hint="eastAsia" w:asciiTheme="minorEastAsia" w:hAnsiTheme="minorEastAsia" w:eastAsiaTheme="minorEastAsia"/>
          <w:color w:val="000000"/>
          <w:kern w:val="2"/>
          <w:sz w:val="22"/>
          <w:szCs w:val="22"/>
        </w:rPr>
        <w:t>海关监管点</w:t>
      </w:r>
      <w:r>
        <w:rPr>
          <w:rFonts w:hint="eastAsia" w:asciiTheme="minorEastAsia" w:hAnsiTheme="minorEastAsia" w:eastAsiaTheme="minorEastAsia"/>
          <w:kern w:val="2"/>
          <w:sz w:val="22"/>
          <w:szCs w:val="22"/>
        </w:rPr>
        <w:t>的业务需求编制。</w:t>
      </w:r>
    </w:p>
    <w:p>
      <w:pPr>
        <w:pStyle w:val="142"/>
        <w:spacing w:line="360" w:lineRule="auto"/>
        <w:ind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系统具有较强的兼容性，能够支持不同种类的系统平台和不同的程序语言。</w:t>
      </w:r>
    </w:p>
    <w:p>
      <w:pPr>
        <w:pStyle w:val="142"/>
        <w:spacing w:line="360" w:lineRule="auto"/>
        <w:ind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系统具备完备的加密与安全机制。</w:t>
      </w:r>
    </w:p>
    <w:p>
      <w:pPr>
        <w:pStyle w:val="142"/>
        <w:spacing w:line="360" w:lineRule="auto"/>
        <w:ind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系统能够实现远程自动升级功能。</w:t>
      </w:r>
    </w:p>
    <w:p>
      <w:pPr>
        <w:pStyle w:val="142"/>
        <w:spacing w:line="360" w:lineRule="auto"/>
        <w:ind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本系统能够提供多种适配器与外平台进行无缝对接。</w:t>
      </w:r>
    </w:p>
    <w:p>
      <w:pPr>
        <w:pStyle w:val="142"/>
        <w:spacing w:line="360" w:lineRule="auto"/>
        <w:ind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本系统应能够实现对卡口系统cpu利用率、内存利用率、磁盘利用率等性能参数进行监控，对系统服务活动测试和远程重启。</w:t>
      </w:r>
    </w:p>
    <w:p>
      <w:pPr>
        <w:pStyle w:val="142"/>
        <w:spacing w:line="360" w:lineRule="auto"/>
        <w:ind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本系统能够实现卡口系统服务进程守护，如果服务程序意外终止,守护进程会检测到并重新启动服务。</w:t>
      </w:r>
    </w:p>
    <w:p>
      <w:pPr>
        <w:pStyle w:val="142"/>
        <w:spacing w:line="360" w:lineRule="auto"/>
        <w:ind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本系统具备在异常状态下实行人工干预处理功能。</w:t>
      </w:r>
    </w:p>
    <w:p>
      <w:pPr>
        <w:pStyle w:val="142"/>
        <w:spacing w:line="360" w:lineRule="auto"/>
        <w:ind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本系统能根据各道口工作情况、现场设备工作状态，灵活地进行工作模式切换 (A/B/C)，保证各通道系统正常运行。</w:t>
      </w:r>
    </w:p>
    <w:p>
      <w:pPr>
        <w:pStyle w:val="142"/>
        <w:spacing w:line="360" w:lineRule="auto"/>
        <w:ind w:firstLineChars="0"/>
        <w:rPr>
          <w:rFonts w:asciiTheme="minorEastAsia" w:hAnsiTheme="minorEastAsia" w:eastAsiaTheme="minorEastAsia"/>
          <w:color w:val="000000"/>
          <w:kern w:val="2"/>
          <w:sz w:val="22"/>
          <w:szCs w:val="22"/>
        </w:rPr>
      </w:pPr>
      <w:r>
        <w:rPr>
          <w:rFonts w:hint="eastAsia" w:asciiTheme="minorEastAsia" w:hAnsiTheme="minorEastAsia" w:eastAsiaTheme="minorEastAsia"/>
          <w:kern w:val="2"/>
          <w:sz w:val="22"/>
          <w:szCs w:val="22"/>
        </w:rPr>
        <w:t>本系统能够确保卡口系统正常运行，车牌光学识别的准确率在95%以上，地磅采集重量与仪表误差在50KG以内。</w:t>
      </w:r>
    </w:p>
    <w:p>
      <w:pPr>
        <w:pStyle w:val="142"/>
        <w:spacing w:line="360" w:lineRule="auto"/>
        <w:ind w:left="840" w:firstLineChars="0"/>
        <w:rPr>
          <w:rFonts w:asciiTheme="minorEastAsia" w:hAnsiTheme="minorEastAsia" w:eastAsiaTheme="minorEastAsia"/>
          <w:color w:val="000000"/>
          <w:kern w:val="2"/>
          <w:sz w:val="22"/>
          <w:szCs w:val="22"/>
        </w:rPr>
      </w:pPr>
      <w:r>
        <w:rPr>
          <w:rFonts w:hint="eastAsia" w:asciiTheme="minorEastAsia" w:hAnsiTheme="minorEastAsia" w:eastAsiaTheme="minorEastAsia"/>
          <w:color w:val="000000"/>
          <w:kern w:val="2"/>
          <w:sz w:val="22"/>
          <w:szCs w:val="22"/>
        </w:rPr>
        <w:t>海关监管场所监控系统要与海关现有监控平台对接，并能满足海关监控系统标准。</w:t>
      </w:r>
    </w:p>
    <w:p>
      <w:pPr>
        <w:pStyle w:val="142"/>
        <w:spacing w:line="360" w:lineRule="auto"/>
        <w:ind w:left="840" w:firstLineChars="0"/>
        <w:rPr>
          <w:rFonts w:asciiTheme="minorEastAsia" w:hAnsiTheme="minorEastAsia" w:eastAsiaTheme="minorEastAsia"/>
          <w:color w:val="000000"/>
          <w:kern w:val="2"/>
          <w:sz w:val="22"/>
          <w:szCs w:val="22"/>
        </w:rPr>
      </w:pPr>
      <w:r>
        <w:rPr>
          <w:rFonts w:hint="eastAsia" w:asciiTheme="minorEastAsia" w:hAnsiTheme="minorEastAsia" w:eastAsiaTheme="minorEastAsia"/>
          <w:color w:val="000000"/>
          <w:kern w:val="2"/>
          <w:sz w:val="22"/>
          <w:szCs w:val="22"/>
        </w:rPr>
        <w:t>卡口系统通讯必须接入机场ICT楼机房。</w:t>
      </w:r>
    </w:p>
    <w:p>
      <w:pPr>
        <w:pStyle w:val="142"/>
        <w:spacing w:line="360" w:lineRule="auto"/>
        <w:ind w:left="840" w:firstLineChars="0"/>
        <w:rPr>
          <w:rFonts w:asciiTheme="minorEastAsia" w:hAnsiTheme="minorEastAsia" w:eastAsiaTheme="minorEastAsia"/>
          <w:color w:val="000000"/>
          <w:kern w:val="2"/>
          <w:sz w:val="22"/>
          <w:szCs w:val="22"/>
        </w:rPr>
      </w:pPr>
      <w:r>
        <w:rPr>
          <w:rFonts w:hint="eastAsia" w:asciiTheme="minorEastAsia" w:hAnsiTheme="minorEastAsia" w:eastAsiaTheme="minorEastAsia"/>
          <w:color w:val="000000"/>
          <w:kern w:val="2"/>
          <w:sz w:val="22"/>
          <w:szCs w:val="22"/>
        </w:rPr>
        <w:t>多功能显示屏要求配备信号灯及语音提示，并与卡口系统联动实时显示相关信息。</w:t>
      </w:r>
    </w:p>
    <w:p>
      <w:pPr>
        <w:pStyle w:val="142"/>
        <w:spacing w:line="360" w:lineRule="auto"/>
        <w:ind w:left="840" w:firstLineChars="0"/>
        <w:rPr>
          <w:rFonts w:asciiTheme="minorEastAsia" w:hAnsiTheme="minorEastAsia" w:eastAsiaTheme="minorEastAsia"/>
          <w:color w:val="000000"/>
          <w:kern w:val="2"/>
          <w:sz w:val="22"/>
          <w:szCs w:val="22"/>
        </w:rPr>
      </w:pPr>
      <w:r>
        <w:rPr>
          <w:rFonts w:hint="eastAsia" w:asciiTheme="minorEastAsia" w:hAnsiTheme="minorEastAsia" w:eastAsiaTheme="minorEastAsia"/>
          <w:color w:val="000000"/>
          <w:kern w:val="2"/>
          <w:sz w:val="22"/>
          <w:szCs w:val="22"/>
        </w:rPr>
        <w:t>伸缩门控制系统必须接入海关监控控制中心实现远程控制。</w:t>
      </w:r>
    </w:p>
    <w:p>
      <w:pPr>
        <w:pStyle w:val="142"/>
        <w:spacing w:line="360" w:lineRule="auto"/>
        <w:ind w:left="840" w:firstLineChars="0"/>
        <w:rPr>
          <w:rFonts w:asciiTheme="minorEastAsia" w:hAnsiTheme="minorEastAsia" w:eastAsiaTheme="minorEastAsia"/>
          <w:color w:val="000000"/>
          <w:kern w:val="2"/>
          <w:sz w:val="22"/>
          <w:szCs w:val="22"/>
        </w:rPr>
      </w:pPr>
      <w:r>
        <w:rPr>
          <w:rFonts w:hint="eastAsia" w:asciiTheme="minorEastAsia" w:hAnsiTheme="minorEastAsia" w:eastAsiaTheme="minorEastAsia"/>
          <w:color w:val="000000"/>
          <w:kern w:val="2"/>
          <w:sz w:val="22"/>
          <w:szCs w:val="22"/>
        </w:rPr>
        <w:t>地磅数据必需与卡口系统对接，实现卡口车辆通行记录内有重量参数。</w:t>
      </w:r>
    </w:p>
    <w:p>
      <w:pPr>
        <w:pStyle w:val="142"/>
        <w:spacing w:line="360" w:lineRule="auto"/>
        <w:ind w:firstLine="0" w:firstLineChars="0"/>
        <w:rPr>
          <w:rFonts w:asciiTheme="minorEastAsia" w:hAnsiTheme="minorEastAsia" w:eastAsiaTheme="minorEastAsia"/>
          <w:b/>
          <w:color w:val="000000"/>
          <w:kern w:val="2"/>
          <w:sz w:val="22"/>
          <w:szCs w:val="22"/>
        </w:rPr>
      </w:pPr>
      <w:r>
        <w:rPr>
          <w:rFonts w:hint="eastAsia" w:asciiTheme="minorEastAsia" w:hAnsiTheme="minorEastAsia" w:eastAsiaTheme="minorEastAsia"/>
          <w:b/>
          <w:color w:val="000000"/>
          <w:kern w:val="2"/>
          <w:sz w:val="22"/>
          <w:szCs w:val="22"/>
        </w:rPr>
        <w:t>五、系统架构</w:t>
      </w:r>
    </w:p>
    <w:p>
      <w:pPr>
        <w:pStyle w:val="142"/>
        <w:spacing w:line="360" w:lineRule="auto"/>
        <w:ind w:firstLine="0" w:firstLineChars="0"/>
        <w:rPr>
          <w:rFonts w:asciiTheme="minorEastAsia" w:hAnsiTheme="minorEastAsia" w:eastAsiaTheme="minorEastAsia"/>
          <w:b/>
          <w:color w:val="000000"/>
          <w:kern w:val="2"/>
          <w:sz w:val="22"/>
          <w:szCs w:val="22"/>
        </w:rPr>
      </w:pPr>
      <w:r>
        <w:rPr>
          <w:rFonts w:hint="eastAsia" w:asciiTheme="minorEastAsia" w:hAnsiTheme="minorEastAsia" w:eastAsiaTheme="minorEastAsia"/>
          <w:b/>
          <w:color w:val="000000"/>
          <w:kern w:val="2"/>
          <w:sz w:val="22"/>
          <w:szCs w:val="22"/>
        </w:rPr>
        <w:t>5.1 系统功能架构</w:t>
      </w:r>
    </w:p>
    <w:p>
      <w:pPr>
        <w:spacing w:line="360" w:lineRule="auto"/>
        <w:rPr>
          <w:rFonts w:asciiTheme="minorEastAsia" w:hAnsiTheme="minorEastAsia"/>
          <w:sz w:val="22"/>
          <w:szCs w:val="22"/>
        </w:rPr>
      </w:pPr>
      <w:r>
        <w:rPr>
          <w:rFonts w:hint="eastAsia" w:asciiTheme="minorEastAsia" w:hAnsiTheme="minorEastAsia"/>
          <w:sz w:val="22"/>
          <w:szCs w:val="22"/>
        </w:rPr>
        <w:t>根据以上业务需求，我们对杭州萧山国际机场海关监管卡口系统规划设计如下：</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卡口系统由卡口前端采集系统、卡口集中监控中心系统、杭州海关智慧空港系统快件/跨境物流监控模块、杭州海关智慧空港智能卡口管理平台、停车场收费系统、视频监控系统六部分组成。系统功能架构如下图所示：</w:t>
      </w:r>
    </w:p>
    <w:p>
      <w:pPr>
        <w:spacing w:line="360" w:lineRule="auto"/>
        <w:jc w:val="center"/>
        <w:rPr>
          <w:rFonts w:asciiTheme="minorEastAsia" w:hAnsiTheme="minorEastAsia"/>
          <w:sz w:val="22"/>
          <w:szCs w:val="22"/>
        </w:rPr>
      </w:pPr>
      <w:r>
        <w:rPr>
          <w:rFonts w:asciiTheme="minorEastAsia" w:hAnsiTheme="minorEastAsia"/>
          <w:sz w:val="22"/>
          <w:szCs w:val="22"/>
        </w:rPr>
        <w:drawing>
          <wp:inline distT="0" distB="0" distL="0" distR="0">
            <wp:extent cx="5276850" cy="1905000"/>
            <wp:effectExtent l="0" t="0" r="0" b="0"/>
            <wp:docPr id="6" name="图片 6" descr="C:\Users\admin\AppData\Local\Temp\ksohtml\wps35DA.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AppData\Local\Temp\ksohtml\wps35DA.tmp.png"/>
                    <pic:cNvPicPr>
                      <a:picLocks noChangeAspect="1" noChangeArrowheads="1"/>
                    </pic:cNvPicPr>
                  </pic:nvPicPr>
                  <pic:blipFill>
                    <a:blip r:embed="rId11" cstate="print"/>
                    <a:srcRect/>
                    <a:stretch>
                      <a:fillRect/>
                    </a:stretch>
                  </pic:blipFill>
                  <pic:spPr>
                    <a:xfrm>
                      <a:off x="0" y="0"/>
                      <a:ext cx="5276850" cy="1905000"/>
                    </a:xfrm>
                    <a:prstGeom prst="rect">
                      <a:avLst/>
                    </a:prstGeom>
                    <a:noFill/>
                    <a:ln w="9525">
                      <a:noFill/>
                      <a:miter lim="800000"/>
                      <a:headEnd/>
                      <a:tailEnd/>
                    </a:ln>
                  </pic:spPr>
                </pic:pic>
              </a:graphicData>
            </a:graphic>
          </wp:inline>
        </w:drawing>
      </w:r>
    </w:p>
    <w:p>
      <w:pPr>
        <w:spacing w:line="360" w:lineRule="auto"/>
        <w:jc w:val="center"/>
        <w:rPr>
          <w:rFonts w:asciiTheme="minorEastAsia" w:hAnsiTheme="minorEastAsia"/>
          <w:sz w:val="22"/>
          <w:szCs w:val="22"/>
        </w:rPr>
      </w:pPr>
      <w:r>
        <w:rPr>
          <w:rFonts w:hint="eastAsia" w:asciiTheme="minorEastAsia" w:hAnsiTheme="minorEastAsia"/>
          <w:sz w:val="22"/>
          <w:szCs w:val="22"/>
        </w:rPr>
        <w:t>图3智能卡口系统功能架构图</w:t>
      </w:r>
    </w:p>
    <w:p>
      <w:pPr>
        <w:pStyle w:val="142"/>
        <w:spacing w:line="360" w:lineRule="auto"/>
        <w:ind w:firstLine="480"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卡口前端采集系统主要负责对通过卡口的车辆进行车辆重量采集、车牌图片抓拍识别，根据平台返回的放行指令控制挡杆。</w:t>
      </w:r>
    </w:p>
    <w:p>
      <w:pPr>
        <w:pStyle w:val="142"/>
        <w:spacing w:line="360" w:lineRule="auto"/>
        <w:ind w:firstLine="480"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卡口集中监控中心系统主要负责接收各通道的采集数据并保存数据库，同时通过智慧空港智能卡口管理平台转发前端采集数据到杭州海关系统和接收杭州海关系统返回的指令；对前端采集系统的工作状态及数据进行控制、监控、查询、分析、管理，并可对通道进行人工干预等。</w:t>
      </w:r>
    </w:p>
    <w:p>
      <w:pPr>
        <w:pStyle w:val="142"/>
        <w:spacing w:line="360" w:lineRule="auto"/>
        <w:ind w:firstLine="480"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海关管理网主要负责按照海关系统接口标准，处理卡口集中监控中心系统传递的数据，上报海关系统，并接收海关系统的放行指令，传递给卡口集中监控中心系统。</w:t>
      </w:r>
    </w:p>
    <w:p>
      <w:pPr>
        <w:pStyle w:val="142"/>
        <w:spacing w:line="360" w:lineRule="auto"/>
        <w:ind w:firstLine="480"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智慧空港智能卡口管理平台将按杭州海关实际业务需求定制，接收机场传递的车辆信息，完成审批规则的比对并反馈放行指令。</w:t>
      </w:r>
    </w:p>
    <w:p>
      <w:pPr>
        <w:pStyle w:val="142"/>
        <w:spacing w:line="360" w:lineRule="auto"/>
        <w:ind w:firstLine="480" w:firstLineChars="0"/>
        <w:rPr>
          <w:rFonts w:asciiTheme="minorEastAsia" w:hAnsiTheme="minorEastAsia" w:eastAsiaTheme="minorEastAsia"/>
          <w:kern w:val="2"/>
          <w:sz w:val="22"/>
          <w:szCs w:val="22"/>
        </w:rPr>
      </w:pPr>
      <w:r>
        <w:rPr>
          <w:rFonts w:hint="eastAsia" w:asciiTheme="minorEastAsia" w:hAnsiTheme="minorEastAsia" w:eastAsiaTheme="minorEastAsia"/>
          <w:kern w:val="2"/>
          <w:sz w:val="22"/>
          <w:szCs w:val="22"/>
        </w:rPr>
        <w:t>停车场收费系统与视频监控系统将按萧山机场统一标准安装部署，实现国际快件中心园区停车收费的智能化和完成海关要求的监控数据上传功能。</w:t>
      </w:r>
      <w:bookmarkStart w:id="76" w:name="_Toc511903857"/>
      <w:bookmarkEnd w:id="76"/>
    </w:p>
    <w:p>
      <w:pPr>
        <w:pStyle w:val="142"/>
        <w:spacing w:line="360" w:lineRule="auto"/>
        <w:ind w:firstLine="480" w:firstLineChars="0"/>
        <w:rPr>
          <w:rFonts w:asciiTheme="minorEastAsia" w:hAnsiTheme="minorEastAsia" w:eastAsiaTheme="minorEastAsia"/>
          <w:b/>
          <w:kern w:val="2"/>
          <w:sz w:val="22"/>
          <w:szCs w:val="22"/>
        </w:rPr>
      </w:pPr>
      <w:r>
        <w:rPr>
          <w:rFonts w:hint="eastAsia" w:asciiTheme="minorEastAsia" w:hAnsiTheme="minorEastAsia" w:eastAsiaTheme="minorEastAsia"/>
          <w:b/>
          <w:sz w:val="22"/>
          <w:szCs w:val="22"/>
        </w:rPr>
        <w:t>5.2系统逻辑架构</w:t>
      </w:r>
    </w:p>
    <w:p>
      <w:pPr>
        <w:spacing w:line="360" w:lineRule="auto"/>
        <w:ind w:firstLine="440" w:firstLineChars="200"/>
        <w:rPr>
          <w:rFonts w:asciiTheme="minorEastAsia" w:hAnsiTheme="minorEastAsia"/>
          <w:sz w:val="22"/>
          <w:szCs w:val="22"/>
        </w:rPr>
      </w:pPr>
      <w:r>
        <w:rPr>
          <w:rFonts w:hint="eastAsia" w:asciiTheme="minorEastAsia" w:hAnsiTheme="minorEastAsia"/>
          <w:sz w:val="22"/>
          <w:szCs w:val="22"/>
        </w:rPr>
        <w:t>智能卡口系统业务逻辑架构如下图所示：</w:t>
      </w:r>
    </w:p>
    <w:p>
      <w:pPr>
        <w:spacing w:line="360" w:lineRule="auto"/>
        <w:rPr>
          <w:rFonts w:asciiTheme="minorEastAsia" w:hAnsiTheme="minorEastAsia"/>
          <w:sz w:val="22"/>
          <w:szCs w:val="22"/>
        </w:rPr>
      </w:pPr>
      <w:r>
        <w:rPr>
          <w:rFonts w:asciiTheme="minorEastAsia" w:hAnsiTheme="minorEastAsia"/>
          <w:sz w:val="22"/>
          <w:szCs w:val="22"/>
        </w:rPr>
        <w:drawing>
          <wp:inline distT="0" distB="0" distL="0" distR="0">
            <wp:extent cx="5105400" cy="4305300"/>
            <wp:effectExtent l="0" t="0" r="0" b="0"/>
            <wp:docPr id="7" name="图片 7" descr="C:\Users\admin\AppData\Local\Temp\ksohtml\wps35D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AppData\Local\Temp\ksohtml\wps35DB.tmp.png"/>
                    <pic:cNvPicPr>
                      <a:picLocks noChangeAspect="1" noChangeArrowheads="1"/>
                    </pic:cNvPicPr>
                  </pic:nvPicPr>
                  <pic:blipFill>
                    <a:blip r:embed="rId12" cstate="print"/>
                    <a:srcRect/>
                    <a:stretch>
                      <a:fillRect/>
                    </a:stretch>
                  </pic:blipFill>
                  <pic:spPr>
                    <a:xfrm>
                      <a:off x="0" y="0"/>
                      <a:ext cx="5105400" cy="4305300"/>
                    </a:xfrm>
                    <a:prstGeom prst="rect">
                      <a:avLst/>
                    </a:prstGeom>
                    <a:noFill/>
                    <a:ln w="9525">
                      <a:noFill/>
                      <a:miter lim="800000"/>
                      <a:headEnd/>
                      <a:tailEnd/>
                    </a:ln>
                  </pic:spPr>
                </pic:pic>
              </a:graphicData>
            </a:graphic>
          </wp:inline>
        </w:drawing>
      </w:r>
    </w:p>
    <w:p>
      <w:pPr>
        <w:widowControl/>
        <w:spacing w:line="360" w:lineRule="auto"/>
        <w:jc w:val="center"/>
        <w:rPr>
          <w:rFonts w:asciiTheme="minorEastAsia" w:hAnsiTheme="minorEastAsia"/>
          <w:sz w:val="22"/>
          <w:szCs w:val="22"/>
        </w:rPr>
      </w:pPr>
      <w:r>
        <w:rPr>
          <w:rFonts w:hint="eastAsia" w:asciiTheme="minorEastAsia" w:hAnsiTheme="minorEastAsia"/>
          <w:sz w:val="22"/>
          <w:szCs w:val="22"/>
        </w:rPr>
        <w:t>图4智能卡口系统业务逻辑架构图</w:t>
      </w:r>
    </w:p>
    <w:p>
      <w:pPr>
        <w:pStyle w:val="141"/>
        <w:spacing w:line="240" w:lineRule="auto"/>
        <w:ind w:firstLine="442"/>
        <w:rPr>
          <w:rFonts w:asciiTheme="minorEastAsia" w:hAnsiTheme="minorEastAsia" w:eastAsiaTheme="minorEastAsia"/>
          <w:sz w:val="22"/>
          <w:szCs w:val="22"/>
        </w:rPr>
      </w:pPr>
      <w:r>
        <w:rPr>
          <w:rFonts w:hint="eastAsia" w:asciiTheme="minorEastAsia" w:hAnsiTheme="minorEastAsia" w:eastAsiaTheme="minorEastAsia"/>
          <w:sz w:val="22"/>
          <w:szCs w:val="22"/>
        </w:rPr>
        <w:t>六、</w:t>
      </w:r>
      <w:r>
        <w:rPr>
          <w:rFonts w:asciiTheme="minorEastAsia" w:hAnsiTheme="minorEastAsia" w:eastAsiaTheme="minorEastAsia"/>
          <w:sz w:val="22"/>
          <w:szCs w:val="22"/>
        </w:rPr>
        <w:t>产品</w:t>
      </w:r>
      <w:r>
        <w:rPr>
          <w:rFonts w:hint="eastAsia" w:asciiTheme="minorEastAsia" w:hAnsiTheme="minorEastAsia" w:eastAsiaTheme="minorEastAsia"/>
          <w:sz w:val="22"/>
          <w:szCs w:val="22"/>
        </w:rPr>
        <w:t>需满足的</w:t>
      </w:r>
      <w:r>
        <w:rPr>
          <w:rFonts w:asciiTheme="minorEastAsia" w:hAnsiTheme="minorEastAsia" w:eastAsiaTheme="minorEastAsia"/>
          <w:sz w:val="22"/>
          <w:szCs w:val="22"/>
        </w:rPr>
        <w:t>标准和规范</w:t>
      </w:r>
    </w:p>
    <w:p>
      <w:pPr>
        <w:pStyle w:val="141"/>
        <w:spacing w:line="240" w:lineRule="auto"/>
        <w:ind w:firstLine="440"/>
        <w:rPr>
          <w:rFonts w:asciiTheme="minorEastAsia" w:hAnsiTheme="minorEastAsia" w:eastAsiaTheme="minorEastAsia"/>
          <w:b w:val="0"/>
          <w:sz w:val="22"/>
          <w:szCs w:val="22"/>
        </w:rPr>
      </w:pPr>
      <w:r>
        <w:rPr>
          <w:rFonts w:hint="eastAsia" w:asciiTheme="minorEastAsia" w:hAnsiTheme="minorEastAsia" w:eastAsiaTheme="minorEastAsia"/>
          <w:b w:val="0"/>
          <w:sz w:val="22"/>
          <w:szCs w:val="22"/>
        </w:rPr>
        <w:t>6.1正规渠道货源，不存在任何质量瑕疵或因质量瑕疵而导致的安全隐患，且规格型号符合招标文件的要求。</w:t>
      </w:r>
    </w:p>
    <w:p>
      <w:pPr>
        <w:pStyle w:val="141"/>
        <w:spacing w:line="240" w:lineRule="auto"/>
        <w:ind w:firstLine="440"/>
        <w:rPr>
          <w:rFonts w:asciiTheme="minorEastAsia" w:hAnsiTheme="minorEastAsia" w:eastAsiaTheme="minorEastAsia"/>
          <w:b w:val="0"/>
          <w:sz w:val="22"/>
          <w:szCs w:val="22"/>
        </w:rPr>
      </w:pPr>
      <w:r>
        <w:rPr>
          <w:rFonts w:hint="eastAsia" w:asciiTheme="minorEastAsia" w:hAnsiTheme="minorEastAsia" w:eastAsiaTheme="minorEastAsia"/>
          <w:b w:val="0"/>
          <w:sz w:val="22"/>
          <w:szCs w:val="22"/>
        </w:rPr>
        <w:t>6.2除特殊要求质保期外，产品均要求原厂标准质保。</w:t>
      </w:r>
    </w:p>
    <w:p>
      <w:pPr>
        <w:pStyle w:val="141"/>
        <w:spacing w:line="240" w:lineRule="auto"/>
        <w:ind w:firstLine="440"/>
        <w:rPr>
          <w:rFonts w:asciiTheme="minorEastAsia" w:hAnsiTheme="minorEastAsia" w:eastAsiaTheme="minorEastAsia"/>
          <w:sz w:val="22"/>
          <w:szCs w:val="22"/>
        </w:rPr>
      </w:pPr>
      <w:r>
        <w:rPr>
          <w:rFonts w:hint="eastAsia" w:asciiTheme="minorEastAsia" w:hAnsiTheme="minorEastAsia" w:eastAsiaTheme="minorEastAsia"/>
          <w:b w:val="0"/>
          <w:sz w:val="22"/>
          <w:szCs w:val="22"/>
        </w:rPr>
        <w:t>6</w:t>
      </w:r>
      <w:r>
        <w:rPr>
          <w:rFonts w:asciiTheme="minorEastAsia" w:hAnsiTheme="minorEastAsia" w:eastAsiaTheme="minorEastAsia"/>
          <w:b w:val="0"/>
          <w:sz w:val="22"/>
          <w:szCs w:val="22"/>
        </w:rPr>
        <w:t>.3</w:t>
      </w:r>
      <w:r>
        <w:rPr>
          <w:rFonts w:hint="eastAsia" w:asciiTheme="minorEastAsia" w:hAnsiTheme="minorEastAsia" w:eastAsiaTheme="minorEastAsia"/>
          <w:b w:val="0"/>
          <w:sz w:val="22"/>
          <w:szCs w:val="22"/>
        </w:rPr>
        <w:t>投标人须保证所提供硬件产品包括相关附件为相应硬件厂家原装正品，软件产品为相关厂家正版软件，符合国家有关规定。投标人须保证所提供产品具有合法的版权或使用权，本项目采购的产品，如在本项目范围内使用过程中出现版权或使用权纠纷，应由中标人负责，招标人不承担责任。</w:t>
      </w:r>
    </w:p>
    <w:p>
      <w:pPr>
        <w:pStyle w:val="141"/>
        <w:spacing w:line="240" w:lineRule="auto"/>
        <w:ind w:firstLine="442"/>
        <w:rPr>
          <w:rFonts w:asciiTheme="minorEastAsia" w:hAnsiTheme="minorEastAsia" w:eastAsiaTheme="minorEastAsia"/>
          <w:sz w:val="22"/>
          <w:szCs w:val="22"/>
        </w:rPr>
      </w:pPr>
      <w:r>
        <w:rPr>
          <w:rFonts w:hint="eastAsia" w:asciiTheme="minorEastAsia" w:hAnsiTheme="minorEastAsia" w:eastAsiaTheme="minorEastAsia"/>
          <w:sz w:val="22"/>
          <w:szCs w:val="22"/>
        </w:rPr>
        <w:t>七、 资料要求</w:t>
      </w:r>
    </w:p>
    <w:p>
      <w:pPr>
        <w:pStyle w:val="146"/>
        <w:spacing w:line="240" w:lineRule="auto"/>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使用说明书、质量检验证明书、随配附件和工具以及清单一并附于货物内。</w:t>
      </w:r>
    </w:p>
    <w:p>
      <w:pPr>
        <w:pStyle w:val="141"/>
        <w:spacing w:line="240" w:lineRule="auto"/>
        <w:ind w:firstLine="442"/>
        <w:rPr>
          <w:rFonts w:asciiTheme="minorEastAsia" w:hAnsiTheme="minorEastAsia" w:eastAsiaTheme="minorEastAsia"/>
          <w:sz w:val="22"/>
          <w:szCs w:val="22"/>
        </w:rPr>
      </w:pPr>
      <w:r>
        <w:rPr>
          <w:rFonts w:hint="eastAsia" w:asciiTheme="minorEastAsia" w:hAnsiTheme="minorEastAsia" w:eastAsiaTheme="minorEastAsia"/>
          <w:sz w:val="22"/>
          <w:szCs w:val="22"/>
        </w:rPr>
        <w:t>八、运输和安装要求</w:t>
      </w:r>
    </w:p>
    <w:p>
      <w:pPr>
        <w:pStyle w:val="146"/>
        <w:spacing w:line="240" w:lineRule="auto"/>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8.1中标人负责将全部货物运送到杭州萧山国际机场内指定地点，并承担一切费用及风险。</w:t>
      </w:r>
    </w:p>
    <w:p>
      <w:pPr>
        <w:pStyle w:val="146"/>
        <w:spacing w:line="240" w:lineRule="auto"/>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8</w:t>
      </w:r>
      <w:r>
        <w:rPr>
          <w:rFonts w:asciiTheme="minorEastAsia" w:hAnsiTheme="minorEastAsia" w:eastAsiaTheme="minorEastAsia"/>
          <w:sz w:val="22"/>
          <w:szCs w:val="22"/>
        </w:rPr>
        <w:t>.2</w:t>
      </w:r>
      <w:r>
        <w:rPr>
          <w:rFonts w:hint="eastAsia" w:asciiTheme="minorEastAsia" w:hAnsiTheme="minorEastAsia" w:eastAsiaTheme="minorEastAsia"/>
          <w:sz w:val="22"/>
          <w:szCs w:val="22"/>
        </w:rPr>
        <w:t>运输方式中标人自定，但必须确保运输方式适合货物特性及质量要求。</w:t>
      </w:r>
    </w:p>
    <w:p>
      <w:pPr>
        <w:pStyle w:val="146"/>
        <w:spacing w:line="240" w:lineRule="auto"/>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8</w:t>
      </w:r>
      <w:r>
        <w:rPr>
          <w:rFonts w:asciiTheme="minorEastAsia" w:hAnsiTheme="minorEastAsia" w:eastAsiaTheme="minorEastAsia"/>
          <w:sz w:val="22"/>
          <w:szCs w:val="22"/>
        </w:rPr>
        <w:t>.3</w:t>
      </w:r>
      <w:r>
        <w:rPr>
          <w:rFonts w:hint="eastAsia" w:asciiTheme="minorEastAsia" w:hAnsiTheme="minorEastAsia" w:eastAsiaTheme="minorEastAsia"/>
          <w:sz w:val="22"/>
          <w:szCs w:val="22"/>
        </w:rPr>
        <w:t>安装：需配合甲方就国际快件中心海关监管卡口的安装，与停车场收费系统、海关智慧空港智能卡口系统对接，并完成调试。</w:t>
      </w:r>
    </w:p>
    <w:p>
      <w:pPr>
        <w:pStyle w:val="141"/>
        <w:spacing w:line="240" w:lineRule="auto"/>
        <w:ind w:firstLine="442"/>
        <w:rPr>
          <w:rFonts w:asciiTheme="minorEastAsia" w:hAnsiTheme="minorEastAsia" w:eastAsiaTheme="minorEastAsia"/>
          <w:sz w:val="22"/>
          <w:szCs w:val="22"/>
        </w:rPr>
      </w:pPr>
      <w:r>
        <w:rPr>
          <w:rFonts w:hint="eastAsia" w:asciiTheme="minorEastAsia" w:hAnsiTheme="minorEastAsia" w:eastAsiaTheme="minorEastAsia"/>
          <w:sz w:val="22"/>
          <w:szCs w:val="22"/>
        </w:rPr>
        <w:t>九、验收</w:t>
      </w:r>
    </w:p>
    <w:p>
      <w:pPr>
        <w:pStyle w:val="146"/>
        <w:spacing w:line="240" w:lineRule="auto"/>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项目完成后经甲方同意，新版功能上线试运行。试运行期为1个月，系统稳定后可提交终验申请，进行项目验收。</w:t>
      </w:r>
    </w:p>
    <w:p>
      <w:pPr>
        <w:pStyle w:val="141"/>
        <w:spacing w:line="240" w:lineRule="auto"/>
        <w:ind w:firstLine="442"/>
        <w:rPr>
          <w:rFonts w:asciiTheme="minorEastAsia" w:hAnsiTheme="minorEastAsia" w:eastAsiaTheme="minorEastAsia"/>
          <w:sz w:val="22"/>
          <w:szCs w:val="22"/>
        </w:rPr>
      </w:pPr>
      <w:r>
        <w:rPr>
          <w:rFonts w:hint="eastAsia" w:asciiTheme="minorEastAsia" w:hAnsiTheme="minorEastAsia" w:eastAsiaTheme="minorEastAsia"/>
          <w:sz w:val="22"/>
          <w:szCs w:val="22"/>
        </w:rPr>
        <w:t>十、售后服务</w:t>
      </w:r>
    </w:p>
    <w:p>
      <w:pPr>
        <w:pStyle w:val="146"/>
        <w:spacing w:line="240" w:lineRule="auto"/>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10</w:t>
      </w:r>
      <w:r>
        <w:rPr>
          <w:rFonts w:asciiTheme="minorEastAsia" w:hAnsiTheme="minorEastAsia" w:eastAsiaTheme="minorEastAsia"/>
          <w:sz w:val="22"/>
          <w:szCs w:val="22"/>
        </w:rPr>
        <w:t>.1</w:t>
      </w:r>
      <w:r>
        <w:rPr>
          <w:rFonts w:hint="eastAsia" w:asciiTheme="minorEastAsia" w:hAnsiTheme="minorEastAsia" w:eastAsiaTheme="minorEastAsia"/>
          <w:sz w:val="22"/>
          <w:szCs w:val="22"/>
        </w:rPr>
        <w:t>中标人按招标文件规定的货物性能、技术要求、质量标准、数量要求等全部条件向招标人提供未经使用的全新产品。</w:t>
      </w:r>
    </w:p>
    <w:p>
      <w:pPr>
        <w:pStyle w:val="146"/>
        <w:spacing w:line="240" w:lineRule="auto"/>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10</w:t>
      </w:r>
      <w:r>
        <w:rPr>
          <w:rFonts w:asciiTheme="minorEastAsia" w:hAnsiTheme="minorEastAsia" w:eastAsiaTheme="minorEastAsia"/>
          <w:sz w:val="22"/>
          <w:szCs w:val="22"/>
        </w:rPr>
        <w:t>.2</w:t>
      </w:r>
      <w:r>
        <w:rPr>
          <w:rFonts w:hint="eastAsia" w:asciiTheme="minorEastAsia" w:hAnsiTheme="minorEastAsia" w:eastAsiaTheme="minorEastAsia"/>
          <w:sz w:val="22"/>
          <w:szCs w:val="22"/>
        </w:rPr>
        <w:t xml:space="preserve"> 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pStyle w:val="146"/>
        <w:spacing w:line="240" w:lineRule="auto"/>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10</w:t>
      </w:r>
      <w:r>
        <w:rPr>
          <w:rFonts w:asciiTheme="minorEastAsia" w:hAnsiTheme="minorEastAsia" w:eastAsiaTheme="minorEastAsia"/>
          <w:sz w:val="22"/>
          <w:szCs w:val="22"/>
        </w:rPr>
        <w:t>.3</w:t>
      </w:r>
      <w:r>
        <w:rPr>
          <w:rFonts w:hint="eastAsia" w:asciiTheme="minorEastAsia" w:hAnsiTheme="minorEastAsia" w:eastAsiaTheme="minorEastAsia"/>
          <w:sz w:val="22"/>
          <w:szCs w:val="22"/>
        </w:rPr>
        <w:t xml:space="preserve"> 如在使用过程中发生质量问题，投标人必须在接到用户通知后在24小时内到达现场予以解决。</w:t>
      </w:r>
    </w:p>
    <w:p>
      <w:pPr>
        <w:pStyle w:val="146"/>
        <w:spacing w:line="240" w:lineRule="auto"/>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10</w:t>
      </w:r>
      <w:r>
        <w:rPr>
          <w:rFonts w:asciiTheme="minorEastAsia" w:hAnsiTheme="minorEastAsia" w:eastAsiaTheme="minorEastAsia"/>
          <w:sz w:val="22"/>
          <w:szCs w:val="22"/>
        </w:rPr>
        <w:t>.4</w:t>
      </w:r>
      <w:r>
        <w:rPr>
          <w:rFonts w:hint="eastAsia" w:asciiTheme="minorEastAsia" w:hAnsiTheme="minorEastAsia" w:eastAsiaTheme="minorEastAsia"/>
          <w:sz w:val="22"/>
          <w:szCs w:val="22"/>
        </w:rPr>
        <w:t xml:space="preserve"> 在质保期内，投标人应对货物出现的质量及安全问题负责处理解决并承担一切费用。如对货物出现的质量及安全问题经处理仍不能解决的，则招标人有权退货或要求投标人更换货物。</w:t>
      </w:r>
    </w:p>
    <w:p>
      <w:pPr>
        <w:pStyle w:val="146"/>
        <w:spacing w:line="240" w:lineRule="auto"/>
        <w:ind w:firstLine="440"/>
        <w:rPr>
          <w:rFonts w:asciiTheme="minorEastAsia" w:hAnsiTheme="minorEastAsia" w:eastAsiaTheme="minorEastAsia"/>
          <w:sz w:val="22"/>
          <w:szCs w:val="22"/>
        </w:rPr>
      </w:pPr>
      <w:r>
        <w:rPr>
          <w:rFonts w:hint="eastAsia" w:asciiTheme="minorEastAsia" w:hAnsiTheme="minorEastAsia" w:eastAsiaTheme="minorEastAsia"/>
          <w:sz w:val="22"/>
          <w:szCs w:val="22"/>
        </w:rPr>
        <w:t>10</w:t>
      </w:r>
      <w:r>
        <w:rPr>
          <w:rFonts w:asciiTheme="minorEastAsia" w:hAnsiTheme="minorEastAsia" w:eastAsiaTheme="minorEastAsia"/>
          <w:sz w:val="22"/>
          <w:szCs w:val="22"/>
        </w:rPr>
        <w:t>.5</w:t>
      </w:r>
      <w:r>
        <w:rPr>
          <w:rFonts w:hint="eastAsia" w:asciiTheme="minorEastAsia" w:hAnsiTheme="minorEastAsia" w:eastAsiaTheme="minorEastAsia"/>
          <w:sz w:val="22"/>
          <w:szCs w:val="22"/>
        </w:rPr>
        <w:t>上述的货物免费保修期按照本文件要求，因招标人人为因素出现的故障不在免费保修范围内。对于超过保修期的机器设备，投标人仍负责终生维修，维修时只收部件成本费。</w:t>
      </w:r>
    </w:p>
    <w:p>
      <w:pPr>
        <w:widowControl/>
        <w:spacing w:line="360" w:lineRule="auto"/>
        <w:rPr>
          <w:rFonts w:asciiTheme="minorEastAsia" w:hAnsiTheme="minorEastAsia"/>
          <w:sz w:val="22"/>
          <w:szCs w:val="22"/>
        </w:rPr>
      </w:pPr>
    </w:p>
    <w:p>
      <w:pPr>
        <w:pStyle w:val="142"/>
        <w:spacing w:line="360" w:lineRule="auto"/>
        <w:ind w:firstLine="0" w:firstLineChars="0"/>
        <w:rPr>
          <w:rFonts w:asciiTheme="minorEastAsia" w:hAnsiTheme="minorEastAsia" w:eastAsiaTheme="minorEastAsia"/>
          <w:b/>
          <w:color w:val="000000"/>
          <w:kern w:val="2"/>
          <w:sz w:val="22"/>
          <w:szCs w:val="22"/>
        </w:rPr>
      </w:pPr>
    </w:p>
    <w:p>
      <w:pPr>
        <w:spacing w:line="360" w:lineRule="auto"/>
        <w:rPr>
          <w:rFonts w:ascii="宋体" w:hAnsi="宋体"/>
          <w:color w:val="000000"/>
        </w:rPr>
      </w:pPr>
    </w:p>
    <w:p>
      <w:pPr>
        <w:widowControl/>
        <w:jc w:val="left"/>
        <w:rPr>
          <w:rFonts w:ascii="Cambria" w:hAnsi="Cambria" w:eastAsia="黑体" w:cs="Times New Roman"/>
          <w:b/>
          <w:bCs/>
          <w:kern w:val="0"/>
          <w:sz w:val="32"/>
          <w:szCs w:val="32"/>
        </w:rPr>
      </w:pPr>
    </w:p>
    <w:p>
      <w:pPr>
        <w:pStyle w:val="48"/>
      </w:pPr>
      <w:bookmarkStart w:id="77" w:name="_Toc321925454"/>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p>
    <w:p>
      <w:pPr>
        <w:pStyle w:val="48"/>
      </w:pPr>
      <w:r>
        <w:rPr>
          <w:rFonts w:hint="eastAsia"/>
        </w:rPr>
        <w:t>第四章</w:t>
      </w:r>
      <w:r>
        <w:t>合同条款</w:t>
      </w:r>
      <w:bookmarkEnd w:id="77"/>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甲方：杭州萧山国际机场有限公司</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住所地：杭州萧山国际机场内</w:t>
      </w: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乙方:</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住所地:</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0" w:firstLineChars="200"/>
        <w:jc w:val="left"/>
        <w:rPr>
          <w:rFonts w:asciiTheme="minorEastAsia" w:hAnsiTheme="minorEastAsia"/>
          <w:bCs/>
          <w:sz w:val="22"/>
          <w:szCs w:val="22"/>
        </w:rPr>
      </w:pPr>
      <w:r>
        <w:rPr>
          <w:rFonts w:hint="eastAsia" w:asciiTheme="minorEastAsia" w:hAnsiTheme="minorEastAsia"/>
          <w:bCs/>
          <w:sz w:val="22"/>
          <w:szCs w:val="22"/>
        </w:rPr>
        <w:t>一、产品规格型号及参数</w:t>
      </w:r>
    </w:p>
    <w:tbl>
      <w:tblPr>
        <w:tblStyle w:val="52"/>
        <w:tblW w:w="112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555"/>
        <w:gridCol w:w="957"/>
        <w:gridCol w:w="1323"/>
        <w:gridCol w:w="1216"/>
        <w:gridCol w:w="1072"/>
        <w:gridCol w:w="972"/>
        <w:gridCol w:w="1172"/>
        <w:gridCol w:w="1072"/>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3"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133"/>
              <w:snapToGrid w:val="0"/>
              <w:jc w:val="left"/>
              <w:rPr>
                <w:rFonts w:asciiTheme="minorEastAsia" w:hAnsiTheme="minorEastAsia" w:eastAsiaTheme="minorEastAsia"/>
                <w:sz w:val="22"/>
              </w:rPr>
            </w:pPr>
            <w:r>
              <w:rPr>
                <w:rFonts w:hint="eastAsia" w:asciiTheme="minorEastAsia" w:hAnsiTheme="minorEastAsia" w:eastAsiaTheme="minorEastAsia"/>
                <w:sz w:val="22"/>
              </w:rPr>
              <w:t>序号</w:t>
            </w:r>
          </w:p>
        </w:tc>
        <w:tc>
          <w:tcPr>
            <w:tcW w:w="555" w:type="dxa"/>
            <w:tcBorders>
              <w:top w:val="single" w:color="auto" w:sz="4" w:space="0"/>
              <w:left w:val="single" w:color="auto" w:sz="4" w:space="0"/>
              <w:bottom w:val="single" w:color="auto" w:sz="4" w:space="0"/>
              <w:right w:val="single" w:color="auto" w:sz="4" w:space="0"/>
            </w:tcBorders>
            <w:vAlign w:val="center"/>
          </w:tcPr>
          <w:p>
            <w:pPr>
              <w:pStyle w:val="133"/>
              <w:snapToGrid w:val="0"/>
              <w:jc w:val="left"/>
              <w:rPr>
                <w:rFonts w:hint="eastAsia" w:asciiTheme="minorEastAsia" w:hAnsiTheme="minorEastAsia" w:eastAsiaTheme="minorEastAsia"/>
                <w:sz w:val="22"/>
              </w:rPr>
            </w:pPr>
            <w:r>
              <w:rPr>
                <w:rFonts w:hint="eastAsia" w:asciiTheme="minorEastAsia" w:hAnsiTheme="minorEastAsia" w:eastAsiaTheme="minorEastAsia"/>
                <w:sz w:val="22"/>
              </w:rPr>
              <w:t>产品名称</w:t>
            </w:r>
          </w:p>
        </w:tc>
        <w:tc>
          <w:tcPr>
            <w:tcW w:w="957" w:type="dxa"/>
            <w:tcBorders>
              <w:top w:val="single" w:color="auto" w:sz="4" w:space="0"/>
              <w:left w:val="single" w:color="auto" w:sz="4" w:space="0"/>
              <w:bottom w:val="single" w:color="auto" w:sz="4" w:space="0"/>
              <w:right w:val="single" w:color="auto" w:sz="4" w:space="0"/>
            </w:tcBorders>
            <w:vAlign w:val="center"/>
          </w:tcPr>
          <w:p>
            <w:pPr>
              <w:pStyle w:val="133"/>
              <w:snapToGrid w:val="0"/>
              <w:jc w:val="left"/>
              <w:rPr>
                <w:rFonts w:hint="eastAsia" w:asciiTheme="minorEastAsia" w:hAnsiTheme="minorEastAsia" w:eastAsiaTheme="minorEastAsia"/>
                <w:sz w:val="22"/>
              </w:rPr>
            </w:pPr>
            <w:r>
              <w:rPr>
                <w:rFonts w:hint="eastAsia" w:asciiTheme="minorEastAsia" w:hAnsiTheme="minorEastAsia" w:eastAsiaTheme="minorEastAsia"/>
                <w:sz w:val="22"/>
              </w:rPr>
              <w:t>品牌型号</w:t>
            </w:r>
          </w:p>
        </w:tc>
        <w:tc>
          <w:tcPr>
            <w:tcW w:w="1323" w:type="dxa"/>
            <w:tcBorders>
              <w:top w:val="single" w:color="auto" w:sz="4" w:space="0"/>
              <w:left w:val="single" w:color="auto" w:sz="4" w:space="0"/>
              <w:bottom w:val="single" w:color="auto" w:sz="4" w:space="0"/>
              <w:right w:val="single" w:color="auto" w:sz="4" w:space="0"/>
            </w:tcBorders>
            <w:vAlign w:val="center"/>
          </w:tcPr>
          <w:p>
            <w:pPr>
              <w:pStyle w:val="133"/>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单位</w:t>
            </w:r>
          </w:p>
        </w:tc>
        <w:tc>
          <w:tcPr>
            <w:tcW w:w="1216" w:type="dxa"/>
            <w:tcBorders>
              <w:top w:val="single" w:color="auto" w:sz="4" w:space="0"/>
              <w:left w:val="single" w:color="auto" w:sz="4" w:space="0"/>
              <w:bottom w:val="single" w:color="auto" w:sz="4" w:space="0"/>
              <w:right w:val="single" w:color="auto" w:sz="4" w:space="0"/>
            </w:tcBorders>
            <w:vAlign w:val="center"/>
          </w:tcPr>
          <w:p>
            <w:pPr>
              <w:pStyle w:val="133"/>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数量</w:t>
            </w:r>
          </w:p>
        </w:tc>
        <w:tc>
          <w:tcPr>
            <w:tcW w:w="1072" w:type="dxa"/>
            <w:tcBorders>
              <w:top w:val="single" w:color="auto" w:sz="4" w:space="0"/>
              <w:left w:val="single" w:color="auto" w:sz="4" w:space="0"/>
              <w:bottom w:val="single" w:color="auto" w:sz="4" w:space="0"/>
              <w:right w:val="single" w:color="auto" w:sz="4" w:space="0"/>
            </w:tcBorders>
          </w:tcPr>
          <w:p>
            <w:pPr>
              <w:pStyle w:val="133"/>
              <w:snapToGrid w:val="0"/>
              <w:jc w:val="center"/>
              <w:rPr>
                <w:rFonts w:hint="eastAsia" w:asciiTheme="minorEastAsia" w:hAnsiTheme="minorEastAsia" w:eastAsiaTheme="minorEastAsia"/>
                <w:sz w:val="22"/>
              </w:rPr>
            </w:pPr>
          </w:p>
          <w:p>
            <w:pPr>
              <w:pStyle w:val="133"/>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单价(元，不含税)</w:t>
            </w:r>
          </w:p>
        </w:tc>
        <w:tc>
          <w:tcPr>
            <w:tcW w:w="972" w:type="dxa"/>
            <w:tcBorders>
              <w:top w:val="single" w:color="auto" w:sz="4" w:space="0"/>
              <w:left w:val="single" w:color="auto" w:sz="4" w:space="0"/>
              <w:bottom w:val="single" w:color="auto" w:sz="4" w:space="0"/>
              <w:right w:val="single" w:color="auto" w:sz="4" w:space="0"/>
            </w:tcBorders>
          </w:tcPr>
          <w:p>
            <w:pPr>
              <w:pStyle w:val="133"/>
              <w:snapToGrid w:val="0"/>
              <w:jc w:val="center"/>
              <w:rPr>
                <w:rFonts w:hint="eastAsia" w:asciiTheme="minorEastAsia" w:hAnsiTheme="minorEastAsia" w:eastAsiaTheme="minorEastAsia"/>
                <w:sz w:val="22"/>
              </w:rPr>
            </w:pPr>
          </w:p>
          <w:p>
            <w:pPr>
              <w:pStyle w:val="133"/>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合价（元，不含税）</w:t>
            </w:r>
          </w:p>
        </w:tc>
        <w:tc>
          <w:tcPr>
            <w:tcW w:w="1172" w:type="dxa"/>
            <w:tcBorders>
              <w:top w:val="single" w:color="auto" w:sz="4" w:space="0"/>
              <w:left w:val="single" w:color="auto" w:sz="4" w:space="0"/>
              <w:bottom w:val="single" w:color="auto" w:sz="4" w:space="0"/>
              <w:right w:val="single" w:color="auto" w:sz="4" w:space="0"/>
            </w:tcBorders>
          </w:tcPr>
          <w:p>
            <w:pPr>
              <w:pStyle w:val="133"/>
              <w:snapToGrid w:val="0"/>
              <w:jc w:val="center"/>
              <w:rPr>
                <w:rFonts w:hint="eastAsia" w:asciiTheme="minorEastAsia" w:hAnsiTheme="minorEastAsia" w:eastAsiaTheme="minorEastAsia"/>
                <w:sz w:val="22"/>
              </w:rPr>
            </w:pPr>
          </w:p>
          <w:p>
            <w:pPr>
              <w:pStyle w:val="133"/>
              <w:snapToGrid w:val="0"/>
              <w:jc w:val="center"/>
              <w:rPr>
                <w:rFonts w:hint="eastAsia" w:asciiTheme="minorEastAsia" w:hAnsiTheme="minorEastAsia" w:eastAsiaTheme="minorEastAsia"/>
                <w:sz w:val="22"/>
              </w:rPr>
            </w:pPr>
          </w:p>
          <w:p>
            <w:pPr>
              <w:pStyle w:val="133"/>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增值税税率</w:t>
            </w:r>
          </w:p>
          <w:p>
            <w:pPr>
              <w:pStyle w:val="133"/>
              <w:snapToGrid w:val="0"/>
              <w:rPr>
                <w:rFonts w:hint="eastAsia" w:asciiTheme="minorEastAsia" w:hAnsiTheme="minorEastAsia" w:eastAsiaTheme="minorEastAsia"/>
                <w:sz w:val="22"/>
              </w:rPr>
            </w:pPr>
          </w:p>
        </w:tc>
        <w:tc>
          <w:tcPr>
            <w:tcW w:w="1072" w:type="dxa"/>
            <w:tcBorders>
              <w:top w:val="single" w:color="auto" w:sz="4" w:space="0"/>
              <w:left w:val="single" w:color="auto" w:sz="4" w:space="0"/>
              <w:bottom w:val="single" w:color="auto" w:sz="4" w:space="0"/>
              <w:right w:val="single" w:color="auto" w:sz="4" w:space="0"/>
            </w:tcBorders>
            <w:vAlign w:val="center"/>
          </w:tcPr>
          <w:p>
            <w:pPr>
              <w:pStyle w:val="133"/>
              <w:snapToGrid w:val="0"/>
              <w:jc w:val="center"/>
              <w:rPr>
                <w:rFonts w:hint="eastAsia" w:asciiTheme="minorEastAsia" w:hAnsiTheme="minorEastAsia" w:eastAsiaTheme="minorEastAsia"/>
                <w:sz w:val="22"/>
              </w:rPr>
            </w:pPr>
            <w:r>
              <w:rPr>
                <w:rFonts w:hint="eastAsia" w:asciiTheme="minorEastAsia" w:hAnsiTheme="minorEastAsia" w:eastAsiaTheme="minorEastAsia"/>
                <w:sz w:val="22"/>
              </w:rPr>
              <w:t>单价（元，含税）</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cs="Times New Roman" w:asciiTheme="minorEastAsia" w:hAnsiTheme="minorEastAsia"/>
                <w:sz w:val="22"/>
                <w:szCs w:val="22"/>
              </w:rPr>
            </w:pPr>
            <w:r>
              <w:rPr>
                <w:rFonts w:hint="eastAsia" w:cs="Times New Roman" w:asciiTheme="minorEastAsia" w:hAnsiTheme="minorEastAsia"/>
                <w:sz w:val="22"/>
                <w:szCs w:val="22"/>
              </w:rPr>
              <w:t>合  价</w:t>
            </w:r>
          </w:p>
          <w:p>
            <w:pPr>
              <w:pStyle w:val="133"/>
              <w:snapToGrid w:val="0"/>
              <w:jc w:val="left"/>
              <w:rPr>
                <w:rFonts w:hint="eastAsia" w:asciiTheme="minorEastAsia" w:hAnsiTheme="minorEastAsia" w:eastAsiaTheme="minorEastAsia"/>
                <w:sz w:val="22"/>
              </w:rPr>
            </w:pPr>
            <w:r>
              <w:rPr>
                <w:rFonts w:hint="eastAsia" w:asciiTheme="minorEastAsia" w:hAnsiTheme="minorEastAsia" w:eastAsiaTheme="minorEastAsia"/>
                <w:sz w:val="22"/>
              </w:rPr>
              <w:t xml:space="preserve"> (元，含税)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c>
          <w:tcPr>
            <w:tcW w:w="555" w:type="dxa"/>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c>
          <w:tcPr>
            <w:tcW w:w="957" w:type="dxa"/>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c>
          <w:tcPr>
            <w:tcW w:w="1323" w:type="dxa"/>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c>
          <w:tcPr>
            <w:tcW w:w="1216" w:type="dxa"/>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c>
          <w:tcPr>
            <w:tcW w:w="1072" w:type="dxa"/>
            <w:tcBorders>
              <w:top w:val="single" w:color="auto" w:sz="4" w:space="0"/>
              <w:left w:val="single" w:color="auto" w:sz="4" w:space="0"/>
              <w:bottom w:val="single" w:color="auto" w:sz="4" w:space="0"/>
              <w:right w:val="single" w:color="auto" w:sz="4" w:space="0"/>
            </w:tcBorders>
          </w:tcPr>
          <w:p>
            <w:pPr>
              <w:pStyle w:val="133"/>
              <w:snapToGrid w:val="0"/>
              <w:ind w:firstLine="440" w:firstLineChars="200"/>
              <w:jc w:val="left"/>
              <w:rPr>
                <w:rFonts w:hint="eastAsia" w:asciiTheme="minorEastAsia" w:hAnsiTheme="minorEastAsia" w:eastAsiaTheme="minorEastAsia"/>
                <w:sz w:val="22"/>
              </w:rPr>
            </w:pPr>
          </w:p>
        </w:tc>
        <w:tc>
          <w:tcPr>
            <w:tcW w:w="972" w:type="dxa"/>
            <w:tcBorders>
              <w:top w:val="single" w:color="auto" w:sz="4" w:space="0"/>
              <w:left w:val="single" w:color="auto" w:sz="4" w:space="0"/>
              <w:bottom w:val="single" w:color="auto" w:sz="4" w:space="0"/>
              <w:right w:val="single" w:color="auto" w:sz="4" w:space="0"/>
            </w:tcBorders>
          </w:tcPr>
          <w:p>
            <w:pPr>
              <w:pStyle w:val="133"/>
              <w:snapToGrid w:val="0"/>
              <w:ind w:firstLine="440" w:firstLineChars="200"/>
              <w:jc w:val="left"/>
              <w:rPr>
                <w:rFonts w:hint="eastAsia" w:asciiTheme="minorEastAsia" w:hAnsiTheme="minorEastAsia" w:eastAsiaTheme="minorEastAsia"/>
                <w:sz w:val="22"/>
              </w:rPr>
            </w:pPr>
          </w:p>
        </w:tc>
        <w:tc>
          <w:tcPr>
            <w:tcW w:w="1172" w:type="dxa"/>
            <w:tcBorders>
              <w:top w:val="single" w:color="auto" w:sz="4" w:space="0"/>
              <w:left w:val="single" w:color="auto" w:sz="4" w:space="0"/>
              <w:bottom w:val="single" w:color="auto" w:sz="4" w:space="0"/>
              <w:right w:val="single" w:color="auto" w:sz="4" w:space="0"/>
            </w:tcBorders>
          </w:tcPr>
          <w:p>
            <w:pPr>
              <w:pStyle w:val="133"/>
              <w:snapToGrid w:val="0"/>
              <w:ind w:firstLine="440" w:firstLineChars="200"/>
              <w:jc w:val="left"/>
              <w:rPr>
                <w:rFonts w:hint="eastAsia" w:asciiTheme="minorEastAsia" w:hAnsiTheme="minorEastAsia" w:eastAsiaTheme="minorEastAsia"/>
                <w:sz w:val="22"/>
              </w:rPr>
            </w:pPr>
          </w:p>
        </w:tc>
        <w:tc>
          <w:tcPr>
            <w:tcW w:w="1072" w:type="dxa"/>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c>
          <w:tcPr>
            <w:tcW w:w="1058" w:type="dxa"/>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c>
          <w:tcPr>
            <w:tcW w:w="555" w:type="dxa"/>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c>
          <w:tcPr>
            <w:tcW w:w="957" w:type="dxa"/>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c>
          <w:tcPr>
            <w:tcW w:w="1323" w:type="dxa"/>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c>
          <w:tcPr>
            <w:tcW w:w="1216" w:type="dxa"/>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c>
          <w:tcPr>
            <w:tcW w:w="1072" w:type="dxa"/>
            <w:tcBorders>
              <w:top w:val="single" w:color="auto" w:sz="4" w:space="0"/>
              <w:left w:val="single" w:color="auto" w:sz="4" w:space="0"/>
              <w:bottom w:val="single" w:color="auto" w:sz="4" w:space="0"/>
              <w:right w:val="single" w:color="auto" w:sz="4" w:space="0"/>
            </w:tcBorders>
          </w:tcPr>
          <w:p>
            <w:pPr>
              <w:pStyle w:val="133"/>
              <w:snapToGrid w:val="0"/>
              <w:ind w:firstLine="440" w:firstLineChars="200"/>
              <w:jc w:val="left"/>
              <w:rPr>
                <w:rFonts w:hint="eastAsia" w:asciiTheme="minorEastAsia" w:hAnsiTheme="minorEastAsia" w:eastAsiaTheme="minorEastAsia"/>
                <w:sz w:val="22"/>
              </w:rPr>
            </w:pPr>
          </w:p>
        </w:tc>
        <w:tc>
          <w:tcPr>
            <w:tcW w:w="972" w:type="dxa"/>
            <w:tcBorders>
              <w:top w:val="single" w:color="auto" w:sz="4" w:space="0"/>
              <w:left w:val="single" w:color="auto" w:sz="4" w:space="0"/>
              <w:bottom w:val="single" w:color="auto" w:sz="4" w:space="0"/>
              <w:right w:val="single" w:color="auto" w:sz="4" w:space="0"/>
            </w:tcBorders>
          </w:tcPr>
          <w:p>
            <w:pPr>
              <w:pStyle w:val="133"/>
              <w:snapToGrid w:val="0"/>
              <w:ind w:firstLine="440" w:firstLineChars="200"/>
              <w:jc w:val="left"/>
              <w:rPr>
                <w:rFonts w:hint="eastAsia" w:asciiTheme="minorEastAsia" w:hAnsiTheme="minorEastAsia" w:eastAsiaTheme="minorEastAsia"/>
                <w:sz w:val="22"/>
              </w:rPr>
            </w:pPr>
          </w:p>
        </w:tc>
        <w:tc>
          <w:tcPr>
            <w:tcW w:w="1172" w:type="dxa"/>
            <w:tcBorders>
              <w:top w:val="single" w:color="auto" w:sz="4" w:space="0"/>
              <w:left w:val="single" w:color="auto" w:sz="4" w:space="0"/>
              <w:bottom w:val="single" w:color="auto" w:sz="4" w:space="0"/>
              <w:right w:val="single" w:color="auto" w:sz="4" w:space="0"/>
            </w:tcBorders>
          </w:tcPr>
          <w:p>
            <w:pPr>
              <w:pStyle w:val="133"/>
              <w:snapToGrid w:val="0"/>
              <w:ind w:firstLine="440" w:firstLineChars="200"/>
              <w:jc w:val="left"/>
              <w:rPr>
                <w:rFonts w:hint="eastAsia" w:asciiTheme="minorEastAsia" w:hAnsiTheme="minorEastAsia" w:eastAsiaTheme="minorEastAsia"/>
                <w:sz w:val="22"/>
              </w:rPr>
            </w:pPr>
          </w:p>
        </w:tc>
        <w:tc>
          <w:tcPr>
            <w:tcW w:w="1072" w:type="dxa"/>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c>
          <w:tcPr>
            <w:tcW w:w="1058" w:type="dxa"/>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7"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c>
          <w:tcPr>
            <w:tcW w:w="555" w:type="dxa"/>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c>
          <w:tcPr>
            <w:tcW w:w="957" w:type="dxa"/>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c>
          <w:tcPr>
            <w:tcW w:w="1323" w:type="dxa"/>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c>
          <w:tcPr>
            <w:tcW w:w="1216" w:type="dxa"/>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c>
          <w:tcPr>
            <w:tcW w:w="1072" w:type="dxa"/>
            <w:tcBorders>
              <w:top w:val="single" w:color="auto" w:sz="4" w:space="0"/>
              <w:left w:val="single" w:color="auto" w:sz="4" w:space="0"/>
              <w:bottom w:val="single" w:color="auto" w:sz="4" w:space="0"/>
              <w:right w:val="single" w:color="auto" w:sz="4" w:space="0"/>
            </w:tcBorders>
          </w:tcPr>
          <w:p>
            <w:pPr>
              <w:pStyle w:val="133"/>
              <w:snapToGrid w:val="0"/>
              <w:ind w:firstLine="440" w:firstLineChars="200"/>
              <w:jc w:val="left"/>
              <w:rPr>
                <w:rFonts w:hint="eastAsia" w:asciiTheme="minorEastAsia" w:hAnsiTheme="minorEastAsia" w:eastAsiaTheme="minorEastAsia"/>
                <w:sz w:val="22"/>
              </w:rPr>
            </w:pPr>
          </w:p>
        </w:tc>
        <w:tc>
          <w:tcPr>
            <w:tcW w:w="972" w:type="dxa"/>
            <w:tcBorders>
              <w:top w:val="single" w:color="auto" w:sz="4" w:space="0"/>
              <w:left w:val="single" w:color="auto" w:sz="4" w:space="0"/>
              <w:bottom w:val="single" w:color="auto" w:sz="4" w:space="0"/>
              <w:right w:val="single" w:color="auto" w:sz="4" w:space="0"/>
            </w:tcBorders>
          </w:tcPr>
          <w:p>
            <w:pPr>
              <w:pStyle w:val="133"/>
              <w:snapToGrid w:val="0"/>
              <w:ind w:firstLine="440" w:firstLineChars="200"/>
              <w:jc w:val="left"/>
              <w:rPr>
                <w:rFonts w:hint="eastAsia" w:asciiTheme="minorEastAsia" w:hAnsiTheme="minorEastAsia" w:eastAsiaTheme="minorEastAsia"/>
                <w:sz w:val="22"/>
              </w:rPr>
            </w:pPr>
          </w:p>
        </w:tc>
        <w:tc>
          <w:tcPr>
            <w:tcW w:w="1172" w:type="dxa"/>
            <w:tcBorders>
              <w:top w:val="single" w:color="auto" w:sz="4" w:space="0"/>
              <w:left w:val="single" w:color="auto" w:sz="4" w:space="0"/>
              <w:bottom w:val="single" w:color="auto" w:sz="4" w:space="0"/>
              <w:right w:val="single" w:color="auto" w:sz="4" w:space="0"/>
            </w:tcBorders>
          </w:tcPr>
          <w:p>
            <w:pPr>
              <w:pStyle w:val="133"/>
              <w:snapToGrid w:val="0"/>
              <w:ind w:firstLine="440" w:firstLineChars="200"/>
              <w:jc w:val="left"/>
              <w:rPr>
                <w:rFonts w:hint="eastAsia" w:asciiTheme="minorEastAsia" w:hAnsiTheme="minorEastAsia" w:eastAsiaTheme="minorEastAsia"/>
                <w:sz w:val="22"/>
              </w:rPr>
            </w:pPr>
          </w:p>
        </w:tc>
        <w:tc>
          <w:tcPr>
            <w:tcW w:w="1072" w:type="dxa"/>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c>
          <w:tcPr>
            <w:tcW w:w="1058" w:type="dxa"/>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133"/>
              <w:snapToGrid w:val="0"/>
              <w:jc w:val="left"/>
              <w:rPr>
                <w:rFonts w:hint="eastAsia" w:asciiTheme="minorEastAsia" w:hAnsiTheme="minorEastAsia" w:eastAsiaTheme="minorEastAsia"/>
                <w:sz w:val="22"/>
              </w:rPr>
            </w:pPr>
            <w:r>
              <w:rPr>
                <w:rFonts w:hint="eastAsia" w:asciiTheme="minorEastAsia" w:hAnsiTheme="minorEastAsia" w:eastAsiaTheme="minorEastAsia"/>
                <w:sz w:val="22"/>
              </w:rPr>
              <w:t>不含税价格合计（元）</w:t>
            </w:r>
          </w:p>
        </w:tc>
        <w:tc>
          <w:tcPr>
            <w:tcW w:w="9397" w:type="dxa"/>
            <w:gridSpan w:val="9"/>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133"/>
              <w:snapToGrid w:val="0"/>
              <w:jc w:val="left"/>
              <w:rPr>
                <w:rFonts w:hint="eastAsia" w:asciiTheme="minorEastAsia" w:hAnsiTheme="minorEastAsia" w:eastAsiaTheme="minorEastAsia"/>
                <w:sz w:val="22"/>
              </w:rPr>
            </w:pPr>
            <w:r>
              <w:rPr>
                <w:rFonts w:hint="eastAsia" w:asciiTheme="minorEastAsia" w:hAnsiTheme="minorEastAsia" w:eastAsiaTheme="minorEastAsia"/>
                <w:sz w:val="22"/>
              </w:rPr>
              <w:t>税金（元）</w:t>
            </w:r>
          </w:p>
        </w:tc>
        <w:tc>
          <w:tcPr>
            <w:tcW w:w="9397" w:type="dxa"/>
            <w:gridSpan w:val="9"/>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left"/>
              <w:rPr>
                <w:rFonts w:hint="eastAsia"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pStyle w:val="133"/>
              <w:snapToGrid w:val="0"/>
              <w:jc w:val="left"/>
              <w:rPr>
                <w:rFonts w:hint="eastAsia" w:asciiTheme="minorEastAsia" w:hAnsiTheme="minorEastAsia" w:eastAsiaTheme="minorEastAsia"/>
                <w:sz w:val="22"/>
              </w:rPr>
            </w:pPr>
            <w:r>
              <w:rPr>
                <w:rFonts w:hint="eastAsia" w:asciiTheme="minorEastAsia" w:hAnsiTheme="minorEastAsia" w:eastAsiaTheme="minorEastAsia"/>
                <w:sz w:val="22"/>
              </w:rPr>
              <w:t>价税合计（元）</w:t>
            </w:r>
          </w:p>
        </w:tc>
        <w:tc>
          <w:tcPr>
            <w:tcW w:w="9397" w:type="dxa"/>
            <w:gridSpan w:val="9"/>
            <w:tcBorders>
              <w:top w:val="single" w:color="auto" w:sz="4" w:space="0"/>
              <w:left w:val="single" w:color="auto" w:sz="4" w:space="0"/>
              <w:bottom w:val="single" w:color="auto" w:sz="4" w:space="0"/>
              <w:right w:val="single" w:color="auto" w:sz="4" w:space="0"/>
            </w:tcBorders>
            <w:vAlign w:val="center"/>
          </w:tcPr>
          <w:p>
            <w:pPr>
              <w:pStyle w:val="133"/>
              <w:snapToGrid w:val="0"/>
              <w:ind w:firstLine="440" w:firstLineChars="200"/>
              <w:jc w:val="center"/>
              <w:rPr>
                <w:rFonts w:hint="eastAsia" w:asciiTheme="minorEastAsia" w:hAnsiTheme="minorEastAsia" w:eastAsiaTheme="minorEastAsia"/>
                <w:sz w:val="22"/>
              </w:rPr>
            </w:pPr>
            <w:r>
              <w:rPr>
                <w:rFonts w:hint="eastAsia" w:asciiTheme="minorEastAsia" w:hAnsiTheme="minorEastAsia" w:eastAsiaTheme="minorEastAsia"/>
                <w:sz w:val="22"/>
              </w:rPr>
              <w:t>人民币大写     元，¥   .00</w:t>
            </w:r>
          </w:p>
        </w:tc>
      </w:tr>
    </w:tbl>
    <w:p>
      <w:pPr>
        <w:adjustRightInd w:val="0"/>
        <w:snapToGrid w:val="0"/>
        <w:spacing w:line="360" w:lineRule="exact"/>
        <w:ind w:firstLine="440" w:firstLineChars="200"/>
        <w:jc w:val="left"/>
        <w:rPr>
          <w:rFonts w:hint="eastAsia"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二、合同金额</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本合同金额为固定总价合同，合同金额为（大写）：，（小写）¥  元。本合同价为杭州萧山国际机场内交货价，含产品价格、运输费、包装费、保险费、税费等所有费用。甲方不再承担其他任何费用。</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三、技术资料</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1.乙方应在交付合同产品时同时向甲方提供使用产品的有关技术资料。</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四、知识产权</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五、产权担保</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六、转包或分包</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2.如有未经甲方书面同意的转让和分包行为，甲方有权解除合同，并有权要求乙方承担合同总金额【10】%的违约金。</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七、产品包装、发运及运输</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1. 乙方应在产品发运前对其按满足运输距离、防潮、防震、防锈和防破损装卸等要求进行包装，以保证产品安全运达甲方指定地点。</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2. 使用说明书、质量检验证明书、技术资料、随配附件和工具以及清单一并附于产品内同时向甲方交付。如资料和工具、附件不全的，视为乙方未完全履行交付义务。</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3. 乙方在产品发运手续办理完毕后【24】小时内必须书面通知甲方，以便甲方准备接货。</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4. 产品在本合同规定的交货地点交付甲方前发生的一切风险包括产品运输风险均由乙方负责。</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5. 产品在规定的交付期限内由乙方送达甲方指定的交货地点并经甲方签收后视为交付，乙方同时必须在产品到达的当天立即通知甲方产品已送达。</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八、交货期、交货方式及交货地点</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1. 交货期：合同签订之日起45日内</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2. 交货方式：乙方送货上门</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3. 交货地点：杭州萧山国际机场内</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九、安装与验收</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1.甲方对乙方交付的货物依据甲方要求和国家有关质量标准进行现场初步验收，产品外观、数量、品种、规格和说明书等资料符合甲方要求的，视为初步验收合格，给予签收，初步验收不合格的不予签收并在到货之日起【5】日内以书面或电话形式向乙方提出异议。乙方在甲方初步验收完毕后，负责在【10】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5】日内以书面方式向乙方提出相关异议。</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2.乙方交货前应对产品作出全面检查和对验收文件进行整理，并列出清单，作为甲方收货验收和使用的技术条件依据，乙方检验的结果应随货物交甲方。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3.乙方应当在收到甲方前述第1款异议之日起【10】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4.具体的安装要求：</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乙方技术负责人员在设备安装时必须到杭州萧山国际机场设备使用现场，否则甲方有权终止合同。</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5.具体的验收要求：</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乙方提供的国际快件中心海关监管卡口项目安装设备必须通过杭州海关卡口建设验收标准。</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十、货款支付</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1. 设备安装调试完成后，并经甲方验收合格后【15】个工作日内，支付至合同总金额的95%。</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2.质量保证金为合同总价5%，质量保证金于质量保证期满后【十五】工作日内一并无息支付。</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3.乙方在甲方每次付款前开具正式增值税发票。</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 xml:space="preserve">    十一、履约保证金</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1．甲方发出中标通知书后【10】日内，乙方应向甲方支付合同总价的【10%】作为履约保证金。如果逾期未缴纳，甲方有权解除本合同，并要求乙方承担由此给甲方造成的损失。</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2．在合同履行期间，如果乙方存在违约情形，甲方有权优先从履约保证金中扣除相应款项，并书面通知乙方。乙方自收到书面通知之日起【10】日内补足履约保证金。如果乙方不及时补足履约保证金，视为乙方违约，甲方有权解除合同，并要求乙方承担相应的违约责任。待合同约定服务内容全部履行并完毕，乙方不存在任何违约情形并收到甲方书面认可后【15】日内，甲方无息返还履约保证金。</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十二、免费质保期及服务内容</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1、乙方保证其所供应的产品符合相关产品质量标准，不存在任何质量瑕疵或因质量瑕疵而导致的安全隐患，且为未经使用的全新产品。</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2、乙方应为产品提供【24】个月的免费质保期(含工时费和零部件费)，时间自甲方最终签署安装验收合格报告之日起计算。</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4． 乙方提供【7*24】小时售后服务，在接到报修通知后，维修人员应在【2】小时内赶到杭州萧山国际机场，并连续进行维修，直到产品恢复正常。修复部分的质保期自修复之日起重新开始计算。</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5． 免费质保期结束的【10】天前，乙方负责对产品进行一次全面的检修和维护，并由甲方验收认可。甲方验收认可并不免除乙方对于验收认可后发生的但尚在质保期限内的产品故障或损坏的维修、退换货义务。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6、若乙方提供的产品属于伪劣产品或者假冒产品或者欺诈甲方，使得甲方遭受损失，乙方应向甲方承担违约责任，同时，甲方可依法寻求其他法律救济。</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十三、违约责任</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1. 甲方无故逾期支付货款的,甲方应按逾期付款总额每日【0.05】%向乙方支付违约金。</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 xml:space="preserve">2. 乙方逾期交付产品和本合同规定的文件资料的，或者未按甲方时间要求完成安装调试并通过甲方终验收的，乙方应按合同总额每日【0.5】%向甲方支付违约金，由甲方从货款中扣除。逾期超过约定日期【15】个工作日的，甲方可解除本合同。乙方因逾期交货或因其他违约行为导致甲方解除合同的，乙方应向甲方支付合同总额【10】%的违约金，且全额没收乙方的履约保证金，如造成甲方损失超过违约金的，超出部分由乙方继续承担赔偿责任。 </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7．对于本合同项下乙方应支付的赔偿款或违约金，甲方有权从应付乙方的货款及履约保证金中直接扣除，不足的部分，继续向乙方追偿。</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十四、不可抗力事件处理</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1. 在合同有效期内，任何一方因不可抗力事件导致不能履行合同，则合同履行期可延长，其延长期与不可抗力影响期相同。</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2. 不可抗力事件发生后，遭遇不可抗力的一方应立即通知对方，并寄送有关官方权威机构出具的证明。</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3. 不可抗力事件延续【140 】天以上，双方应通过友好协商，确定是否继续履行合同；协商无法达成一致的，本合同自动终止，双方互不承担赔偿或违约责任。</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十五、争议解决</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双方在执行合同中所发生的一切争议，应通过协商解决。如协商不成，由甲方所在地的人民法院管辖审理。</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十六、合同组成文件包含下列内容，且解释顺序如下：</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1.本合同协议书</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2.中标通知书</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3.投标书及其附件</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4.招标文件</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5.标准、规范及有关技术文件</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十七、合同生效及其它</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1. 合同经双方法定代表人或授权代表签字（包含签章）并加盖单位公章或者合同章之日起生效。</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2.本合同未尽事宜，双方可签订补充协议予以执行；未达成补充协议的，遵照《合同法》及有关法律法规执行。</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3.本合同一式陆份，甲执四份，乙方持二份，具有同等法律效力。</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附件：1.廉洁自律承诺书；</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2.保密承诺书；</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　　　　3.备品备件分项报价表</w:t>
      </w: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（以下为签署页）</w:t>
      </w: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r>
        <w:rPr>
          <w:rFonts w:asciiTheme="minorEastAsia" w:hAnsiTheme="minorEastAsia"/>
          <w:sz w:val="22"/>
          <w:szCs w:val="22"/>
        </w:rPr>
        <w:tab/>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甲方：杭州萧山国际机场有限公司  乙方：杭州芬得检测技术有限公司</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地址：杭州萧山国际机场内        地址：</w:t>
      </w: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法定代表人：                     法定代表人：</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或                               或</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授权代表：                       授权代表：</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 xml:space="preserve">签字日期：                       签字日期： </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年  月  日                      年  月  日</w:t>
      </w: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附件1：</w:t>
      </w:r>
    </w:p>
    <w:p>
      <w:pPr>
        <w:adjustRightInd w:val="0"/>
        <w:snapToGrid w:val="0"/>
        <w:spacing w:line="360" w:lineRule="exact"/>
        <w:ind w:firstLine="781" w:firstLineChars="355"/>
        <w:jc w:val="center"/>
        <w:rPr>
          <w:rFonts w:asciiTheme="minorEastAsia" w:hAnsiTheme="minorEastAsia"/>
          <w:sz w:val="22"/>
          <w:szCs w:val="22"/>
        </w:rPr>
      </w:pPr>
      <w:r>
        <w:rPr>
          <w:rFonts w:hint="eastAsia" w:asciiTheme="minorEastAsia" w:hAnsiTheme="minorEastAsia"/>
          <w:sz w:val="22"/>
          <w:szCs w:val="22"/>
        </w:rPr>
        <w:t>杭州萧山国际机场有限公司廉洁自律承诺书</w:t>
      </w: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杭州萧山国际机场有限公司：</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二、不以任何名义为贵公司有关人员或项目第三方人员报销应由贵公司或个人支付的费用；</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三、不向贵公司有关人员或项目第三方人员提供宴请、旅游、和健身娱乐等活动；</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四、不为贵公司有关人员或项目第三方人员出国（境）、旅游等提供方便；</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五、不为贵公司有关人员或项目第三方人员个人装修住房、婚丧嫁娶、配偶子女工作安排等提供好处或便利条件；</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六、严格遵守国家招标投标法、合同法等法律规定，诚实守信，合法经营，坚决杜绝各种违法违纪行为。</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八、如违反上述廉洁自律承诺，贵公司有权：</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（1）</w:t>
      </w:r>
      <w:r>
        <w:rPr>
          <w:rFonts w:hint="eastAsia" w:asciiTheme="minorEastAsia" w:hAnsiTheme="minorEastAsia"/>
          <w:sz w:val="22"/>
          <w:szCs w:val="22"/>
        </w:rPr>
        <w:tab/>
      </w:r>
      <w:r>
        <w:rPr>
          <w:rFonts w:hint="eastAsia" w:asciiTheme="minorEastAsia" w:hAnsiTheme="minorEastAsia"/>
          <w:sz w:val="22"/>
          <w:szCs w:val="22"/>
        </w:rPr>
        <w:t>立即取消我单位投标、中标或在建项目的实施资格；</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（2）</w:t>
      </w:r>
      <w:r>
        <w:rPr>
          <w:rFonts w:hint="eastAsia" w:asciiTheme="minorEastAsia" w:hAnsiTheme="minorEastAsia"/>
          <w:sz w:val="22"/>
          <w:szCs w:val="22"/>
        </w:rPr>
        <w:tab/>
      </w:r>
      <w:r>
        <w:rPr>
          <w:rFonts w:hint="eastAsia" w:asciiTheme="minorEastAsia" w:hAnsiTheme="minorEastAsia"/>
          <w:sz w:val="22"/>
          <w:szCs w:val="22"/>
        </w:rPr>
        <w:t>扣除我方向贵公司缴纳的履约保证金的10%作为违反廉洁自律承诺的违约金。如该违约金不足以弥补贵公司损失的，我单位仍将承担实际损失赔偿责任。</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（3）</w:t>
      </w:r>
      <w:r>
        <w:rPr>
          <w:rFonts w:hint="eastAsia" w:asciiTheme="minorEastAsia" w:hAnsiTheme="minorEastAsia"/>
          <w:sz w:val="22"/>
          <w:szCs w:val="22"/>
        </w:rPr>
        <w:tab/>
      </w:r>
      <w:r>
        <w:rPr>
          <w:rFonts w:hint="eastAsia" w:asciiTheme="minorEastAsia" w:hAnsiTheme="minorEastAsia"/>
          <w:sz w:val="22"/>
          <w:szCs w:val="22"/>
        </w:rPr>
        <w:t>拒绝我单位在一定时期内进入贵公司进行项目建设或其它经营活动；</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（4）</w:t>
      </w:r>
      <w:r>
        <w:rPr>
          <w:rFonts w:hint="eastAsia" w:asciiTheme="minorEastAsia" w:hAnsiTheme="minorEastAsia"/>
          <w:sz w:val="22"/>
          <w:szCs w:val="22"/>
        </w:rPr>
        <w:tab/>
      </w:r>
      <w:r>
        <w:rPr>
          <w:rFonts w:hint="eastAsia" w:asciiTheme="minorEastAsia" w:hAnsiTheme="minorEastAsia"/>
          <w:sz w:val="22"/>
          <w:szCs w:val="22"/>
        </w:rPr>
        <w:t>由此引起的相应损失均由我单位承担。</w:t>
      </w: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 xml:space="preserve">承诺人单位名称（盖章）：            </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 xml:space="preserve">法定代表人 ：                    </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 xml:space="preserve">或                            </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 xml:space="preserve">委托代理人：                   </w:t>
      </w: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 xml:space="preserve">                           年     月     日</w:t>
      </w: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 xml:space="preserve">附件2： </w:t>
      </w:r>
    </w:p>
    <w:p>
      <w:pPr>
        <w:adjustRightInd w:val="0"/>
        <w:snapToGrid w:val="0"/>
        <w:spacing w:line="360" w:lineRule="exact"/>
        <w:ind w:firstLine="452"/>
        <w:jc w:val="center"/>
        <w:rPr>
          <w:rFonts w:asciiTheme="minorEastAsia" w:hAnsiTheme="minorEastAsia"/>
          <w:sz w:val="22"/>
          <w:szCs w:val="22"/>
        </w:rPr>
      </w:pPr>
      <w:r>
        <w:rPr>
          <w:rFonts w:hint="eastAsia" w:asciiTheme="minorEastAsia" w:hAnsiTheme="minorEastAsia"/>
          <w:sz w:val="22"/>
          <w:szCs w:val="22"/>
        </w:rPr>
        <w:t>保密承诺书</w:t>
      </w:r>
    </w:p>
    <w:p>
      <w:pPr>
        <w:adjustRightInd w:val="0"/>
        <w:snapToGrid w:val="0"/>
        <w:spacing w:line="360" w:lineRule="exact"/>
        <w:ind w:firstLine="452"/>
        <w:jc w:val="center"/>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鉴于我方愿成为杭州萧山国际机场有限公司（以下简称“机场公司”）的供应商或潜在供应商候选人，为机场公司提供</w:t>
      </w:r>
      <w:r>
        <w:rPr>
          <w:rFonts w:hint="eastAsia" w:asciiTheme="minorEastAsia" w:hAnsiTheme="minorEastAsia"/>
          <w:sz w:val="22"/>
          <w:szCs w:val="22"/>
          <w:u w:val="single"/>
        </w:rPr>
        <w:t>国际快件中心海关监管卡口设备采购项目</w:t>
      </w:r>
      <w:r>
        <w:rPr>
          <w:rFonts w:hint="eastAsia" w:asciiTheme="minorEastAsia" w:hAnsiTheme="minorEastAsia"/>
          <w:sz w:val="22"/>
          <w:szCs w:val="22"/>
        </w:rPr>
        <w:t>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1.商业秘密</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1.1商业秘密是指机场公司（包括机场公司关联公司）一切专有、不对外公开的资料和信息。包括但不限于以下方面：</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（1）经营信息（发展规划、运营状况、客户资源、货源情报、投融资计划、开发计划、标书等）；</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（2）管理信息（管理方法、管理制度、员工管理、合同管理、纠纷管理等）；</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（3）产品及技术信息（设计及图纸、样品及服务、技术方案、质量标准、技术标准、计算机程序等）；</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（4）财务信息（财务收支、固定资产、流动资金、成本核算等）；</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（5）我方单独或机场公司（包括机场公司关联公司）和我方共同为机场公司开发、设计、生产的产品、资料及相关信息；</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1.3、对于上述提及的商业秘密，不能仅因为公开发表的文章或资讯中包含其内容，就认为是可对外公开的特殊情况。</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1.4、以下资料不属于本承诺所指的商业秘密：</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（2）已经公开或已成为常识性的资料，且该等公开并非因违反本承诺所致。</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（1）披露、使用或者允许他人以不正当手段获取的商业秘密；</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（2）为机场公司以外的第三人窃取、刺探、收买、非法提供商业秘密。</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（3）在电子公告系统、聊天系统、电子邮箱、论坛等计算机网络系统上传递、转发、抄送、发布、谈论和传播商业秘密；</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 xml:space="preserve">（4）在私人交往和通信中，向亲属、朋友以及与工作无关人员泄露商业秘密，或在公共场所谈论商业秘密； </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（5）擅自将属于商业秘密的文件、资料和其他物品携带、传递、寄运出机场公司办公场所或国（境）外。</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（6）未经机场公司同意就以任何方式私自保存、截留含有机场公司商业秘密的任何形式资料、文件和物品的复印件、复制品、副本。</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（7）将含有机场公司商业秘密的产品、技术或其他资料、信息向第三人销售、使用或以任何方式提供。</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8、违约责任</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8.1因我方违反保密义务的行为造成机场公司的一切损失，我方应当全部予以赔偿。</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8.2如我方违反本承诺书下保密义务，应当承担违约责任，除赔偿损失外，还应依据合同向机场公司支付相应的违约金；</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9、本承诺书适用中华人民共和国法律，如因履行本承诺书发生争议，则双方均有权向机场公司所在地法院提起诉讼。</w:t>
      </w: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 xml:space="preserve">                   供应商(盖章):</w:t>
      </w: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法定代表人或授权代表：</w:t>
      </w: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 xml:space="preserve">                       电话/传真：</w:t>
      </w:r>
    </w:p>
    <w:p>
      <w:pPr>
        <w:adjustRightInd w:val="0"/>
        <w:snapToGrid w:val="0"/>
        <w:spacing w:line="360" w:lineRule="exact"/>
        <w:ind w:firstLine="452"/>
        <w:jc w:val="left"/>
        <w:rPr>
          <w:rFonts w:asciiTheme="minorEastAsia" w:hAnsiTheme="minorEastAsia"/>
          <w:sz w:val="22"/>
          <w:szCs w:val="22"/>
        </w:rPr>
      </w:pPr>
    </w:p>
    <w:p>
      <w:pPr>
        <w:adjustRightInd w:val="0"/>
        <w:snapToGrid w:val="0"/>
        <w:spacing w:line="360" w:lineRule="exact"/>
        <w:ind w:firstLine="452"/>
        <w:jc w:val="left"/>
        <w:rPr>
          <w:rFonts w:asciiTheme="minorEastAsia" w:hAnsiTheme="minorEastAsia"/>
          <w:sz w:val="22"/>
          <w:szCs w:val="22"/>
        </w:rPr>
      </w:pPr>
      <w:r>
        <w:rPr>
          <w:rFonts w:hint="eastAsia" w:asciiTheme="minorEastAsia" w:hAnsiTheme="minorEastAsia"/>
          <w:sz w:val="22"/>
          <w:szCs w:val="22"/>
        </w:rPr>
        <w:t xml:space="preserve">                       地址：</w:t>
      </w:r>
      <w:bookmarkStart w:id="78" w:name="_Toc321925456"/>
      <w:bookmarkStart w:id="79" w:name="_Toc448002987"/>
      <w:bookmarkStart w:id="80" w:name="_Toc275274581"/>
    </w:p>
    <w:p/>
    <w:p/>
    <w:p/>
    <w:p/>
    <w:p/>
    <w:p/>
    <w:p/>
    <w:p/>
    <w:p/>
    <w:p/>
    <w:p/>
    <w:p/>
    <w:p/>
    <w:p/>
    <w:p/>
    <w:p/>
    <w:p/>
    <w:p/>
    <w:p/>
    <w:p/>
    <w:p/>
    <w:p/>
    <w:p/>
    <w:p/>
    <w:p/>
    <w:p/>
    <w:p/>
    <w:p/>
    <w:p/>
    <w:p/>
    <w:p/>
    <w:p/>
    <w:p/>
    <w:p/>
    <w:p/>
    <w:p/>
    <w:p/>
    <w:p/>
    <w:p>
      <w:pPr>
        <w:sectPr>
          <w:footerReference r:id="rId7" w:type="first"/>
          <w:pgSz w:w="11906" w:h="16838"/>
          <w:pgMar w:top="1134" w:right="1247" w:bottom="1134" w:left="1247" w:header="851" w:footer="992" w:gutter="0"/>
          <w:pgNumType w:fmt="numberInDash"/>
          <w:cols w:space="720" w:num="1"/>
          <w:docGrid w:linePitch="312" w:charSpace="0"/>
        </w:sectPr>
      </w:pPr>
    </w:p>
    <w:p/>
    <w:p>
      <w:pPr>
        <w:pStyle w:val="48"/>
      </w:pPr>
      <w:r>
        <w:t>第</w:t>
      </w:r>
      <w:r>
        <w:rPr>
          <w:rFonts w:hint="eastAsia"/>
        </w:rPr>
        <w:t>五</w:t>
      </w:r>
      <w:r>
        <w:t>章评标方法及标准</w:t>
      </w:r>
      <w:bookmarkEnd w:id="78"/>
      <w:bookmarkEnd w:id="79"/>
    </w:p>
    <w:p>
      <w:pPr>
        <w:pStyle w:val="29"/>
        <w:spacing w:line="360" w:lineRule="exact"/>
        <w:ind w:firstLine="42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cs="Calibri" w:asciiTheme="minorEastAsia" w:hAnsiTheme="minorEastAsia" w:eastAsiaTheme="minorEastAsia"/>
          <w:b/>
          <w:bCs/>
          <w:sz w:val="22"/>
          <w:szCs w:val="22"/>
        </w:rPr>
      </w:pPr>
      <w:r>
        <w:rPr>
          <w:rFonts w:cs="Calibri" w:asciiTheme="minorEastAsia" w:hAnsiTheme="minorEastAsia" w:eastAsiaTheme="minorEastAsia"/>
          <w:b/>
          <w:bCs/>
          <w:sz w:val="22"/>
          <w:szCs w:val="22"/>
        </w:rPr>
        <w:t>一、评标原则</w:t>
      </w:r>
    </w:p>
    <w:p>
      <w:pPr>
        <w:pStyle w:val="29"/>
        <w:spacing w:line="360" w:lineRule="exact"/>
        <w:ind w:firstLine="420"/>
        <w:rPr>
          <w:rFonts w:cs="Calibri" w:asciiTheme="minorEastAsia" w:hAnsiTheme="minorEastAsia" w:eastAsiaTheme="minorEastAsia"/>
          <w:sz w:val="22"/>
          <w:szCs w:val="22"/>
        </w:rPr>
      </w:pPr>
      <w:r>
        <w:rPr>
          <w:rFonts w:cs="Calibri" w:asciiTheme="minorEastAsia" w:hAnsiTheme="minorEastAsia" w:eastAsiaTheme="minorEastAsia"/>
          <w:bCs/>
          <w:sz w:val="22"/>
          <w:szCs w:val="22"/>
        </w:rPr>
        <w:t>评标应遵循公平、公正、科学、择优的原则。</w:t>
      </w:r>
    </w:p>
    <w:p>
      <w:pPr>
        <w:pStyle w:val="29"/>
        <w:spacing w:line="360" w:lineRule="exact"/>
        <w:rPr>
          <w:rFonts w:cs="Calibri" w:asciiTheme="minorEastAsia" w:hAnsiTheme="minorEastAsia" w:eastAsiaTheme="minorEastAsia"/>
          <w:b/>
          <w:bCs/>
          <w:sz w:val="22"/>
          <w:szCs w:val="22"/>
        </w:rPr>
      </w:pPr>
      <w:r>
        <w:rPr>
          <w:rFonts w:cs="Calibri" w:asciiTheme="minorEastAsia" w:hAnsiTheme="minorEastAsia" w:eastAsiaTheme="minorEastAsia"/>
          <w:b/>
          <w:bCs/>
          <w:sz w:val="22"/>
          <w:szCs w:val="22"/>
        </w:rPr>
        <w:t>二、评标组织</w:t>
      </w:r>
    </w:p>
    <w:p>
      <w:pPr>
        <w:pStyle w:val="29"/>
        <w:spacing w:line="360" w:lineRule="exact"/>
        <w:ind w:firstLine="420"/>
        <w:rPr>
          <w:rFonts w:cs="Calibri" w:asciiTheme="minorEastAsia" w:hAnsiTheme="minorEastAsia" w:eastAsiaTheme="minorEastAsia"/>
          <w:sz w:val="22"/>
          <w:szCs w:val="22"/>
        </w:rPr>
      </w:pPr>
      <w:r>
        <w:rPr>
          <w:rFonts w:cs="Calibri" w:asciiTheme="minorEastAsia" w:hAnsiTheme="minorEastAsia" w:eastAsiaTheme="minorEastAsia"/>
          <w:sz w:val="22"/>
          <w:szCs w:val="22"/>
        </w:rPr>
        <w:t>评标工作由招标人依法组建的评标委员会（小组）负责。评标委员会成员为</w:t>
      </w:r>
      <w:r>
        <w:rPr>
          <w:rFonts w:hint="eastAsia" w:cs="Calibri" w:asciiTheme="minorEastAsia" w:hAnsiTheme="minorEastAsia" w:eastAsiaTheme="minorEastAsia"/>
          <w:sz w:val="22"/>
          <w:szCs w:val="22"/>
        </w:rPr>
        <w:t>3</w:t>
      </w:r>
      <w:r>
        <w:rPr>
          <w:rFonts w:cs="Calibri" w:asciiTheme="minorEastAsia" w:hAnsiTheme="minorEastAsia" w:eastAsiaTheme="minorEastAsia"/>
          <w:sz w:val="22"/>
          <w:szCs w:val="22"/>
        </w:rPr>
        <w:t>人及以上单数，</w:t>
      </w:r>
      <w:r>
        <w:rPr>
          <w:rFonts w:hint="eastAsia" w:asciiTheme="minorEastAsia" w:hAnsiTheme="minorEastAsia" w:eastAsiaTheme="minorEastAsia"/>
          <w:sz w:val="22"/>
          <w:szCs w:val="22"/>
        </w:rPr>
        <w:t>评标委员会由招标人自行组建。</w:t>
      </w:r>
    </w:p>
    <w:p>
      <w:pPr>
        <w:pStyle w:val="29"/>
        <w:spacing w:line="360" w:lineRule="exact"/>
        <w:rPr>
          <w:rFonts w:cs="Calibri" w:asciiTheme="minorEastAsia" w:hAnsiTheme="minorEastAsia" w:eastAsiaTheme="minorEastAsia"/>
          <w:b/>
          <w:bCs/>
          <w:sz w:val="22"/>
          <w:szCs w:val="22"/>
        </w:rPr>
      </w:pPr>
      <w:r>
        <w:rPr>
          <w:rFonts w:cs="Calibri" w:asciiTheme="minorEastAsia" w:hAnsiTheme="minorEastAsia" w:eastAsiaTheme="minorEastAsia"/>
          <w:b/>
          <w:bCs/>
          <w:sz w:val="22"/>
          <w:szCs w:val="22"/>
        </w:rPr>
        <w:t>三、投标文件的评审</w:t>
      </w:r>
    </w:p>
    <w:p>
      <w:pPr>
        <w:pStyle w:val="29"/>
        <w:spacing w:line="360" w:lineRule="exact"/>
        <w:ind w:firstLine="442" w:firstLineChars="200"/>
        <w:rPr>
          <w:rFonts w:cs="Calibri" w:asciiTheme="minorEastAsia" w:hAnsiTheme="minorEastAsia" w:eastAsiaTheme="minorEastAsia"/>
          <w:b/>
          <w:sz w:val="22"/>
          <w:szCs w:val="22"/>
        </w:rPr>
      </w:pPr>
      <w:r>
        <w:rPr>
          <w:rFonts w:cs="Calibri" w:asciiTheme="minorEastAsia" w:hAnsiTheme="minorEastAsia" w:eastAsiaTheme="minorEastAsia"/>
          <w:b/>
          <w:sz w:val="22"/>
          <w:szCs w:val="22"/>
        </w:rPr>
        <w:t>3.1 符合性评审</w:t>
      </w:r>
    </w:p>
    <w:p>
      <w:pPr>
        <w:widowControl/>
        <w:tabs>
          <w:tab w:val="left" w:pos="709"/>
        </w:tabs>
        <w:snapToGrid w:val="0"/>
        <w:spacing w:line="360" w:lineRule="exact"/>
        <w:ind w:firstLine="444" w:firstLineChars="202"/>
        <w:rPr>
          <w:rFonts w:cs="Calibri" w:asciiTheme="minorEastAsia" w:hAnsiTheme="minorEastAsia"/>
          <w:bCs/>
          <w:kern w:val="0"/>
          <w:sz w:val="22"/>
          <w:szCs w:val="22"/>
        </w:rPr>
      </w:pPr>
      <w:r>
        <w:rPr>
          <w:rFonts w:cs="Calibri" w:asciiTheme="minorEastAsia" w:hAnsiTheme="minorEastAsia"/>
          <w:bCs/>
          <w:kern w:val="0"/>
          <w:sz w:val="22"/>
          <w:szCs w:val="22"/>
        </w:rPr>
        <w:t>3.1.1评标委员会应依照招标文件的要求和规定首先对投标人的投标资格和投标文件进行符合性审查，</w:t>
      </w:r>
      <w:r>
        <w:rPr>
          <w:rFonts w:cs="Calibri" w:asciiTheme="minorEastAsia" w:hAnsiTheme="minorEastAsia"/>
          <w:b/>
          <w:kern w:val="0"/>
          <w:sz w:val="22"/>
          <w:szCs w:val="22"/>
        </w:rPr>
        <w:t>审查过程中评标委员会可以要求投标人提交下列审查项所需的有关证明和证件的原件，以便核验。</w:t>
      </w:r>
      <w:r>
        <w:rPr>
          <w:rFonts w:cs="Calibri" w:asciiTheme="minorEastAsia" w:hAnsiTheme="minorEastAsia"/>
          <w:bCs/>
          <w:kern w:val="0"/>
          <w:sz w:val="22"/>
          <w:szCs w:val="22"/>
        </w:rPr>
        <w:t>投标文件如存在以下情况之一的，经评标委员会三分之二以上的成员认定，符合性审查不予通过，</w:t>
      </w:r>
      <w:r>
        <w:rPr>
          <w:rFonts w:cs="Calibri" w:asciiTheme="minorEastAsia" w:hAnsiTheme="minorEastAsia"/>
          <w:b/>
          <w:bCs/>
          <w:kern w:val="0"/>
          <w:sz w:val="22"/>
          <w:szCs w:val="22"/>
        </w:rPr>
        <w:t>作</w:t>
      </w:r>
      <w:r>
        <w:rPr>
          <w:rFonts w:hint="eastAsia" w:cs="Calibri" w:asciiTheme="minorEastAsia" w:hAnsiTheme="minorEastAsia"/>
          <w:b/>
          <w:bCs/>
          <w:kern w:val="0"/>
          <w:sz w:val="22"/>
          <w:szCs w:val="22"/>
        </w:rPr>
        <w:t>否决投标</w:t>
      </w:r>
      <w:r>
        <w:rPr>
          <w:rFonts w:cs="Calibri" w:asciiTheme="minorEastAsia" w:hAnsiTheme="minorEastAsia"/>
          <w:b/>
          <w:bCs/>
          <w:kern w:val="0"/>
          <w:sz w:val="22"/>
          <w:szCs w:val="22"/>
        </w:rPr>
        <w:t>处理，</w:t>
      </w:r>
      <w:r>
        <w:rPr>
          <w:rFonts w:cs="Calibri" w:asciiTheme="minorEastAsia" w:hAnsiTheme="minorEastAsia"/>
          <w:bCs/>
          <w:kern w:val="0"/>
          <w:sz w:val="22"/>
          <w:szCs w:val="22"/>
        </w:rPr>
        <w:t>不再进行详细评审：</w:t>
      </w:r>
    </w:p>
    <w:p>
      <w:pPr>
        <w:spacing w:line="360" w:lineRule="exact"/>
        <w:ind w:firstLine="470" w:firstLineChars="214"/>
        <w:rPr>
          <w:rFonts w:cs="Calibri" w:asciiTheme="minorEastAsia" w:hAnsiTheme="minorEastAsia"/>
          <w:sz w:val="22"/>
          <w:szCs w:val="22"/>
        </w:rPr>
      </w:pPr>
      <w:r>
        <w:rPr>
          <w:rFonts w:cs="Calibri" w:asciiTheme="minorEastAsia" w:hAnsiTheme="minorEastAsia"/>
          <w:sz w:val="22"/>
          <w:szCs w:val="22"/>
        </w:rPr>
        <w:t>1、</w:t>
      </w:r>
      <w:r>
        <w:rPr>
          <w:rFonts w:cs="Calibri" w:asciiTheme="minorEastAsia" w:hAnsiTheme="minorEastAsia"/>
          <w:bCs/>
          <w:kern w:val="0"/>
          <w:sz w:val="22"/>
          <w:szCs w:val="22"/>
        </w:rPr>
        <w:t>投标人的投标资格不满足国家有关规定或招标文件载明的投标资格条件的；</w:t>
      </w:r>
    </w:p>
    <w:p>
      <w:pPr>
        <w:spacing w:line="360" w:lineRule="exact"/>
        <w:ind w:firstLine="470" w:firstLineChars="214"/>
        <w:rPr>
          <w:rFonts w:cs="Calibri" w:asciiTheme="minorEastAsia" w:hAnsiTheme="minorEastAsia"/>
          <w:sz w:val="22"/>
          <w:szCs w:val="22"/>
        </w:rPr>
      </w:pPr>
      <w:r>
        <w:rPr>
          <w:rFonts w:cs="Calibri" w:asciiTheme="minorEastAsia" w:hAnsiTheme="minorEastAsia"/>
          <w:sz w:val="22"/>
          <w:szCs w:val="22"/>
        </w:rPr>
        <w:t>2、投标文件未按招标文件的要求签署和盖章的（仅限于单位印章和法定代表人或其委托代理人签字或盖章）；</w:t>
      </w:r>
    </w:p>
    <w:p>
      <w:pPr>
        <w:spacing w:line="360" w:lineRule="exact"/>
        <w:ind w:firstLine="470" w:firstLineChars="214"/>
        <w:rPr>
          <w:rFonts w:cs="Calibri" w:asciiTheme="minorEastAsia" w:hAnsiTheme="minorEastAsia"/>
          <w:sz w:val="22"/>
          <w:szCs w:val="22"/>
        </w:rPr>
      </w:pPr>
      <w:r>
        <w:rPr>
          <w:rFonts w:cs="Calibri" w:asciiTheme="minorEastAsia" w:hAnsiTheme="minorEastAsia"/>
          <w:sz w:val="22"/>
          <w:szCs w:val="22"/>
        </w:rPr>
        <w:t>3、投标文件未按规定的格式填写，内容不全或关键字迹模糊、无法辨认的；</w:t>
      </w:r>
    </w:p>
    <w:p>
      <w:pPr>
        <w:spacing w:line="360" w:lineRule="exact"/>
        <w:ind w:firstLine="470" w:firstLineChars="214"/>
        <w:rPr>
          <w:rFonts w:cs="Calibri" w:asciiTheme="minorEastAsia" w:hAnsiTheme="minorEastAsia"/>
          <w:sz w:val="22"/>
          <w:szCs w:val="22"/>
        </w:rPr>
      </w:pPr>
      <w:r>
        <w:rPr>
          <w:rFonts w:cs="Calibri" w:asciiTheme="minorEastAsia" w:hAnsiTheme="minorEastAsia"/>
          <w:sz w:val="22"/>
          <w:szCs w:val="22"/>
        </w:rPr>
        <w:t>4、投标人递交两份或多份内容不同的投标文件，或在一份投标文件中对同一招标项目报有两个或多个报价，且未声明哪一个有效；</w:t>
      </w:r>
    </w:p>
    <w:p>
      <w:pPr>
        <w:spacing w:line="360" w:lineRule="exact"/>
        <w:ind w:firstLine="470" w:firstLineChars="214"/>
        <w:rPr>
          <w:rFonts w:cs="Calibri" w:asciiTheme="minorEastAsia" w:hAnsiTheme="minorEastAsia"/>
          <w:sz w:val="22"/>
          <w:szCs w:val="22"/>
        </w:rPr>
      </w:pPr>
      <w:r>
        <w:rPr>
          <w:rFonts w:cs="Calibri" w:asciiTheme="minorEastAsia" w:hAnsiTheme="minorEastAsia"/>
          <w:sz w:val="22"/>
          <w:szCs w:val="22"/>
        </w:rPr>
        <w:t>5、</w:t>
      </w:r>
      <w:r>
        <w:rPr>
          <w:rFonts w:hint="eastAsia" w:cs="Calibri" w:asciiTheme="minorEastAsia" w:hAnsiTheme="minorEastAsia"/>
          <w:sz w:val="22"/>
          <w:szCs w:val="22"/>
        </w:rPr>
        <w:t>供货</w:t>
      </w:r>
      <w:r>
        <w:rPr>
          <w:rFonts w:cs="Calibri" w:asciiTheme="minorEastAsia" w:hAnsiTheme="minorEastAsia"/>
          <w:sz w:val="22"/>
          <w:szCs w:val="22"/>
        </w:rPr>
        <w:t>期不满足招标文件要求的；</w:t>
      </w:r>
    </w:p>
    <w:p>
      <w:pPr>
        <w:spacing w:line="360" w:lineRule="exact"/>
        <w:ind w:firstLine="470" w:firstLineChars="214"/>
        <w:rPr>
          <w:rFonts w:cs="Calibri" w:asciiTheme="minorEastAsia" w:hAnsiTheme="minorEastAsia"/>
          <w:sz w:val="22"/>
          <w:szCs w:val="22"/>
        </w:rPr>
      </w:pPr>
      <w:r>
        <w:rPr>
          <w:rFonts w:cs="Calibri" w:asciiTheme="minorEastAsia" w:hAnsiTheme="minorEastAsia"/>
          <w:sz w:val="22"/>
          <w:szCs w:val="22"/>
        </w:rPr>
        <w:t>6、不</w:t>
      </w:r>
      <w:r>
        <w:rPr>
          <w:rFonts w:cs="Calibri" w:asciiTheme="minorEastAsia" w:hAnsiTheme="minorEastAsia"/>
          <w:kern w:val="0"/>
          <w:sz w:val="22"/>
          <w:szCs w:val="22"/>
        </w:rPr>
        <w:t>响应招标文件规定的实质性要求（包括具体条文前用“★”标示的）</w:t>
      </w:r>
    </w:p>
    <w:p>
      <w:pPr>
        <w:spacing w:line="360" w:lineRule="exact"/>
        <w:ind w:firstLine="470" w:firstLineChars="214"/>
        <w:rPr>
          <w:rFonts w:cs="Calibri" w:asciiTheme="minorEastAsia" w:hAnsiTheme="minorEastAsia"/>
          <w:sz w:val="22"/>
          <w:szCs w:val="22"/>
        </w:rPr>
      </w:pPr>
      <w:r>
        <w:rPr>
          <w:rFonts w:cs="Calibri" w:asciiTheme="minorEastAsia" w:hAnsiTheme="minorEastAsia"/>
          <w:sz w:val="22"/>
          <w:szCs w:val="22"/>
        </w:rPr>
        <w:t>7、投标人不以自己的名义或未按招标文件的要求提供投标保证金或提供的保证金有缺陷而不能接受的；</w:t>
      </w:r>
    </w:p>
    <w:p>
      <w:pPr>
        <w:spacing w:line="360" w:lineRule="exact"/>
        <w:ind w:firstLine="470" w:firstLineChars="214"/>
        <w:rPr>
          <w:rFonts w:cs="Calibri" w:asciiTheme="minorEastAsia" w:hAnsiTheme="minorEastAsia"/>
          <w:sz w:val="22"/>
          <w:szCs w:val="22"/>
        </w:rPr>
      </w:pPr>
      <w:r>
        <w:rPr>
          <w:rFonts w:cs="Calibri" w:asciiTheme="minorEastAsia" w:hAnsiTheme="minorEastAsia"/>
          <w:sz w:val="22"/>
          <w:szCs w:val="22"/>
        </w:rPr>
        <w:t>8、投标人以他人名义投标、或与他人串通投标、或以行贿手段谋取中标，或弄虚作假的；</w:t>
      </w:r>
    </w:p>
    <w:p>
      <w:pPr>
        <w:spacing w:line="360" w:lineRule="exact"/>
        <w:ind w:firstLine="470" w:firstLineChars="214"/>
        <w:rPr>
          <w:rFonts w:cs="Calibri" w:asciiTheme="minorEastAsia" w:hAnsiTheme="minorEastAsia"/>
          <w:sz w:val="22"/>
          <w:szCs w:val="22"/>
        </w:rPr>
      </w:pPr>
      <w:r>
        <w:rPr>
          <w:rFonts w:hint="eastAsia" w:cs="Calibri" w:asciiTheme="minorEastAsia" w:hAnsiTheme="minorEastAsia"/>
          <w:sz w:val="22"/>
          <w:szCs w:val="22"/>
        </w:rPr>
        <w:t>9</w:t>
      </w:r>
      <w:r>
        <w:rPr>
          <w:rFonts w:cs="Calibri" w:asciiTheme="minorEastAsia" w:hAnsiTheme="minorEastAsia"/>
          <w:sz w:val="22"/>
          <w:szCs w:val="22"/>
        </w:rPr>
        <w:t>、存在法律、法规、规章规定的其它无效投标情况的</w:t>
      </w:r>
      <w:r>
        <w:rPr>
          <w:rFonts w:hint="eastAsia" w:cs="Calibri" w:asciiTheme="minorEastAsia" w:hAnsiTheme="minorEastAsia"/>
          <w:sz w:val="22"/>
          <w:szCs w:val="22"/>
        </w:rPr>
        <w:t>。</w:t>
      </w:r>
    </w:p>
    <w:p>
      <w:pPr>
        <w:spacing w:line="360" w:lineRule="exact"/>
        <w:ind w:firstLine="470" w:firstLineChars="214"/>
        <w:rPr>
          <w:rFonts w:cs="Calibri" w:asciiTheme="minorEastAsia" w:hAnsiTheme="minorEastAsia"/>
          <w:sz w:val="22"/>
          <w:szCs w:val="22"/>
        </w:rPr>
      </w:pPr>
      <w:r>
        <w:rPr>
          <w:rFonts w:hint="eastAsia" w:cs="Calibri" w:asciiTheme="minorEastAsia" w:hAnsiTheme="minorEastAsia"/>
          <w:sz w:val="22"/>
          <w:szCs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cs="Calibri" w:asciiTheme="minorEastAsia" w:hAnsiTheme="minorEastAsia"/>
          <w:b/>
          <w:sz w:val="22"/>
          <w:szCs w:val="22"/>
        </w:rPr>
      </w:pPr>
      <w:r>
        <w:rPr>
          <w:rFonts w:cs="Calibri" w:asciiTheme="minorEastAsia" w:hAnsiTheme="minorEastAsia"/>
          <w:b/>
          <w:sz w:val="22"/>
          <w:szCs w:val="22"/>
        </w:rPr>
        <w:t>3.1.2 报价算术性修正</w:t>
      </w:r>
    </w:p>
    <w:p>
      <w:pPr>
        <w:pStyle w:val="29"/>
        <w:spacing w:line="360" w:lineRule="exact"/>
        <w:ind w:firstLine="440" w:firstLineChars="200"/>
        <w:rPr>
          <w:rFonts w:cs="Calibri" w:asciiTheme="minorEastAsia" w:hAnsiTheme="minorEastAsia" w:eastAsiaTheme="minorEastAsia"/>
          <w:sz w:val="22"/>
          <w:szCs w:val="22"/>
        </w:rPr>
      </w:pPr>
      <w:r>
        <w:rPr>
          <w:rFonts w:cs="Calibri" w:asciiTheme="minorEastAsia" w:hAnsiTheme="minorEastAsia" w:eastAsiaTheme="minorEastAsia"/>
          <w:sz w:val="22"/>
          <w:szCs w:val="22"/>
        </w:rPr>
        <w:t>评标委员会按以下原则对通过符合性审查的投标文件报价进行算术性修正：</w:t>
      </w:r>
    </w:p>
    <w:p>
      <w:pPr>
        <w:pStyle w:val="29"/>
        <w:numPr>
          <w:ilvl w:val="0"/>
          <w:numId w:val="5"/>
        </w:numPr>
        <w:adjustRightInd w:val="0"/>
        <w:spacing w:line="360" w:lineRule="exact"/>
        <w:ind w:left="0" w:firstLine="440" w:firstLineChars="200"/>
        <w:rPr>
          <w:rFonts w:cs="Calibri" w:asciiTheme="minorEastAsia" w:hAnsiTheme="minorEastAsia" w:eastAsiaTheme="minorEastAsia"/>
          <w:sz w:val="22"/>
          <w:szCs w:val="22"/>
        </w:rPr>
      </w:pPr>
      <w:r>
        <w:rPr>
          <w:rFonts w:cs="Calibri" w:asciiTheme="minorEastAsia" w:hAnsiTheme="minorEastAsia" w:eastAsiaTheme="minorEastAsia"/>
          <w:sz w:val="22"/>
          <w:szCs w:val="22"/>
        </w:rPr>
        <w:t>投标文件中的大写金额与小写金额不一致的，以大写金额为准；</w:t>
      </w:r>
    </w:p>
    <w:p>
      <w:pPr>
        <w:pStyle w:val="29"/>
        <w:numPr>
          <w:ilvl w:val="0"/>
          <w:numId w:val="5"/>
        </w:numPr>
        <w:adjustRightInd w:val="0"/>
        <w:spacing w:line="360" w:lineRule="exact"/>
        <w:ind w:left="0" w:firstLine="440" w:firstLineChars="200"/>
        <w:rPr>
          <w:rFonts w:cs="Calibri" w:asciiTheme="minorEastAsia" w:hAnsiTheme="minorEastAsia" w:eastAsiaTheme="minorEastAsia"/>
          <w:sz w:val="22"/>
          <w:szCs w:val="22"/>
        </w:rPr>
      </w:pPr>
      <w:r>
        <w:rPr>
          <w:rFonts w:cs="Calibri" w:asciiTheme="minorEastAsia" w:hAnsiTheme="minorEastAsia" w:eastAsiaTheme="minorEastAsia"/>
          <w:sz w:val="22"/>
          <w:szCs w:val="22"/>
        </w:rPr>
        <w:t>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cs="Calibri" w:asciiTheme="minorEastAsia" w:hAnsiTheme="minorEastAsia" w:eastAsiaTheme="minorEastAsia"/>
          <w:b/>
          <w:sz w:val="22"/>
          <w:szCs w:val="22"/>
        </w:rPr>
      </w:pPr>
      <w:r>
        <w:rPr>
          <w:rFonts w:cs="Calibri" w:asciiTheme="minorEastAsia" w:hAnsiTheme="minorEastAsia" w:eastAsiaTheme="minorEastAsia"/>
          <w:sz w:val="22"/>
          <w:szCs w:val="22"/>
        </w:rPr>
        <w:t>★修正的价格经投标人书面确认后具有约束力。投标人不接受修正价格的，其投标作</w:t>
      </w:r>
      <w:r>
        <w:rPr>
          <w:rFonts w:hint="eastAsia" w:cs="Calibri" w:asciiTheme="minorEastAsia" w:hAnsiTheme="minorEastAsia" w:eastAsiaTheme="minorEastAsia"/>
          <w:b/>
          <w:sz w:val="22"/>
          <w:szCs w:val="22"/>
        </w:rPr>
        <w:t>否决投标</w:t>
      </w:r>
      <w:r>
        <w:rPr>
          <w:rFonts w:cs="Calibri" w:asciiTheme="minorEastAsia" w:hAnsiTheme="minorEastAsia" w:eastAsiaTheme="minorEastAsia"/>
          <w:b/>
          <w:sz w:val="22"/>
          <w:szCs w:val="22"/>
        </w:rPr>
        <w:t>处理</w:t>
      </w:r>
      <w:r>
        <w:rPr>
          <w:rFonts w:cs="Calibri" w:asciiTheme="minorEastAsia" w:hAnsiTheme="minorEastAsia" w:eastAsiaTheme="minorEastAsia"/>
          <w:sz w:val="22"/>
          <w:szCs w:val="22"/>
        </w:rPr>
        <w:t>。</w:t>
      </w:r>
    </w:p>
    <w:p>
      <w:pPr>
        <w:pStyle w:val="29"/>
        <w:spacing w:line="360" w:lineRule="exact"/>
        <w:ind w:firstLine="440" w:firstLineChars="200"/>
        <w:rPr>
          <w:rFonts w:cs="Calibri" w:asciiTheme="minorEastAsia" w:hAnsiTheme="minorEastAsia" w:eastAsiaTheme="minorEastAsia"/>
          <w:b/>
          <w:sz w:val="22"/>
          <w:szCs w:val="22"/>
        </w:rPr>
      </w:pPr>
      <w:r>
        <w:rPr>
          <w:rFonts w:cs="Calibri" w:asciiTheme="minorEastAsia" w:hAnsiTheme="minorEastAsia" w:eastAsiaTheme="minorEastAsia"/>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cs="Calibri" w:asciiTheme="minorEastAsia" w:hAnsiTheme="minorEastAsia" w:eastAsiaTheme="minorEastAsia"/>
          <w:b/>
          <w:sz w:val="22"/>
          <w:szCs w:val="22"/>
        </w:rPr>
      </w:pPr>
      <w:r>
        <w:rPr>
          <w:rFonts w:cs="Calibri" w:asciiTheme="minorEastAsia" w:hAnsiTheme="minorEastAsia" w:eastAsiaTheme="minorEastAsia"/>
          <w:b/>
          <w:sz w:val="22"/>
          <w:szCs w:val="22"/>
        </w:rPr>
        <w:t>3.2 投标文件的澄清和补正</w:t>
      </w:r>
    </w:p>
    <w:p>
      <w:pPr>
        <w:pStyle w:val="29"/>
        <w:adjustRightInd w:val="0"/>
        <w:snapToGrid w:val="0"/>
        <w:spacing w:line="360" w:lineRule="exact"/>
        <w:ind w:firstLine="440" w:firstLineChars="200"/>
        <w:rPr>
          <w:rFonts w:cs="Calibri" w:asciiTheme="minorEastAsia" w:hAnsiTheme="minorEastAsia" w:eastAsiaTheme="minorEastAsia"/>
          <w:sz w:val="22"/>
          <w:szCs w:val="22"/>
        </w:rPr>
      </w:pPr>
      <w:r>
        <w:rPr>
          <w:rFonts w:cs="Calibri" w:asciiTheme="minorEastAsia" w:hAnsiTheme="minorEastAsia" w:eastAsiaTheme="minorEastAsia"/>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cs="Calibri" w:asciiTheme="minorEastAsia" w:hAnsiTheme="minorEastAsia" w:eastAsiaTheme="minorEastAsia"/>
          <w:sz w:val="22"/>
          <w:szCs w:val="22"/>
        </w:rPr>
      </w:pPr>
      <w:r>
        <w:rPr>
          <w:rFonts w:cs="Calibri" w:asciiTheme="minorEastAsia" w:hAnsiTheme="minorEastAsia" w:eastAsiaTheme="minorEastAsia"/>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cs="Calibri" w:asciiTheme="minorEastAsia" w:hAnsiTheme="minorEastAsia" w:eastAsiaTheme="minorEastAsia"/>
          <w:sz w:val="22"/>
          <w:szCs w:val="22"/>
        </w:rPr>
      </w:pPr>
      <w:r>
        <w:rPr>
          <w:rFonts w:cs="Calibri" w:asciiTheme="minorEastAsia" w:hAnsiTheme="minorEastAsia" w:eastAsiaTheme="minorEastAsia"/>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Theme="minorEastAsia" w:hAnsiTheme="minorEastAsia"/>
          <w:b/>
          <w:color w:val="000000"/>
          <w:sz w:val="22"/>
          <w:szCs w:val="22"/>
        </w:rPr>
      </w:pPr>
      <w:r>
        <w:rPr>
          <w:rFonts w:cs="Calibri" w:asciiTheme="minorEastAsia" w:hAnsiTheme="minorEastAsia"/>
          <w:b/>
          <w:sz w:val="22"/>
          <w:szCs w:val="22"/>
        </w:rPr>
        <w:t>3.3</w:t>
      </w:r>
      <w:r>
        <w:rPr>
          <w:rFonts w:hint="eastAsia" w:asciiTheme="minorEastAsia" w:hAnsiTheme="minorEastAsia"/>
          <w:b/>
          <w:color w:val="000000"/>
          <w:sz w:val="22"/>
          <w:szCs w:val="22"/>
        </w:rPr>
        <w:t>评标细则</w:t>
      </w:r>
    </w:p>
    <w:p>
      <w:pPr>
        <w:pStyle w:val="29"/>
        <w:adjustRightInd w:val="0"/>
        <w:snapToGrid w:val="0"/>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9"/>
        <w:adjustRightInd w:val="0"/>
        <w:snapToGrid w:val="0"/>
        <w:spacing w:line="360" w:lineRule="exact"/>
        <w:ind w:firstLine="442" w:firstLineChars="200"/>
        <w:rPr>
          <w:rFonts w:cs="Calibri" w:asciiTheme="minorEastAsia" w:hAnsiTheme="minorEastAsia" w:eastAsiaTheme="minorEastAsia"/>
          <w:sz w:val="22"/>
          <w:szCs w:val="22"/>
        </w:rPr>
      </w:pPr>
      <w:r>
        <w:rPr>
          <w:rFonts w:hint="eastAsia" w:asciiTheme="minorEastAsia" w:hAnsiTheme="minorEastAsia" w:eastAsiaTheme="minorEastAsia"/>
          <w:b/>
          <w:color w:val="000000"/>
          <w:sz w:val="22"/>
          <w:szCs w:val="22"/>
        </w:rPr>
        <w:t>每个投标人最终得分=商务报价分+资信及技术分</w:t>
      </w:r>
    </w:p>
    <w:p>
      <w:pPr>
        <w:pStyle w:val="29"/>
        <w:adjustRightInd w:val="0"/>
        <w:snapToGrid w:val="0"/>
        <w:spacing w:line="360" w:lineRule="exact"/>
        <w:ind w:firstLine="440" w:firstLineChars="200"/>
        <w:rPr>
          <w:rFonts w:cs="Arial" w:asciiTheme="minorEastAsia" w:hAnsiTheme="minorEastAsia" w:eastAsiaTheme="minorEastAsia"/>
          <w:b/>
          <w:sz w:val="22"/>
          <w:szCs w:val="22"/>
        </w:rPr>
      </w:pPr>
      <w:r>
        <w:rPr>
          <w:rFonts w:hint="eastAsia" w:cs="Calibri" w:asciiTheme="minorEastAsia" w:hAnsiTheme="minorEastAsia" w:eastAsiaTheme="minorEastAsia"/>
          <w:sz w:val="22"/>
          <w:szCs w:val="22"/>
        </w:rPr>
        <w:t>3.3.1商务报价分70分</w:t>
      </w:r>
    </w:p>
    <w:p>
      <w:pPr>
        <w:pStyle w:val="29"/>
        <w:adjustRightInd w:val="0"/>
        <w:snapToGrid w:val="0"/>
        <w:spacing w:line="360" w:lineRule="exact"/>
        <w:ind w:firstLine="440" w:firstLineChars="200"/>
        <w:rPr>
          <w:rFonts w:cs="Calibri" w:asciiTheme="minorEastAsia" w:hAnsiTheme="minorEastAsia" w:eastAsiaTheme="minorEastAsia"/>
          <w:sz w:val="22"/>
          <w:szCs w:val="22"/>
        </w:rPr>
      </w:pPr>
      <w:r>
        <w:rPr>
          <w:rFonts w:hint="eastAsia" w:asciiTheme="minorEastAsia" w:hAnsiTheme="minorEastAsia" w:eastAsiaTheme="minorEastAsia"/>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9"/>
        <w:adjustRightInd w:val="0"/>
        <w:snapToGrid w:val="0"/>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投标人的投标价等于评标基准价的得70分，每高于评标基准价</w:t>
      </w:r>
      <w:r>
        <w:rPr>
          <w:rFonts w:cs="Calibri" w:asciiTheme="minorEastAsia" w:hAnsiTheme="minorEastAsia" w:eastAsiaTheme="minorEastAsia"/>
          <w:sz w:val="22"/>
          <w:szCs w:val="22"/>
        </w:rPr>
        <w:t>1%</w:t>
      </w:r>
      <w:r>
        <w:rPr>
          <w:rFonts w:hint="eastAsia" w:cs="Calibri" w:asciiTheme="minorEastAsia" w:hAnsiTheme="minorEastAsia" w:eastAsiaTheme="minorEastAsia"/>
          <w:sz w:val="22"/>
          <w:szCs w:val="22"/>
        </w:rPr>
        <w:t>的扣</w:t>
      </w:r>
      <w:r>
        <w:rPr>
          <w:rFonts w:cs="Calibri" w:asciiTheme="minorEastAsia" w:hAnsiTheme="minorEastAsia" w:eastAsiaTheme="minorEastAsia"/>
          <w:sz w:val="22"/>
          <w:szCs w:val="22"/>
        </w:rPr>
        <w:t>1</w:t>
      </w:r>
      <w:r>
        <w:rPr>
          <w:rFonts w:hint="eastAsia" w:cs="Calibri" w:asciiTheme="minorEastAsia" w:hAnsiTheme="minorEastAsia" w:eastAsiaTheme="minorEastAsia"/>
          <w:sz w:val="22"/>
          <w:szCs w:val="22"/>
        </w:rPr>
        <w:t>分，每低于评标基准价</w:t>
      </w:r>
      <w:r>
        <w:rPr>
          <w:rFonts w:cs="Calibri" w:asciiTheme="minorEastAsia" w:hAnsiTheme="minorEastAsia" w:eastAsiaTheme="minorEastAsia"/>
          <w:sz w:val="22"/>
          <w:szCs w:val="22"/>
        </w:rPr>
        <w:t>1%</w:t>
      </w:r>
      <w:r>
        <w:rPr>
          <w:rFonts w:hint="eastAsia" w:cs="Calibri" w:asciiTheme="minorEastAsia" w:hAnsiTheme="minorEastAsia" w:eastAsiaTheme="minorEastAsia"/>
          <w:sz w:val="22"/>
          <w:szCs w:val="22"/>
        </w:rPr>
        <w:t>的扣</w:t>
      </w:r>
      <w:r>
        <w:rPr>
          <w:rFonts w:cs="Calibri" w:asciiTheme="minorEastAsia" w:hAnsiTheme="minorEastAsia" w:eastAsiaTheme="minorEastAsia"/>
          <w:sz w:val="22"/>
          <w:szCs w:val="22"/>
        </w:rPr>
        <w:t>0.5</w:t>
      </w:r>
      <w:r>
        <w:rPr>
          <w:rFonts w:hint="eastAsia" w:cs="Calibri" w:asciiTheme="minorEastAsia" w:hAnsiTheme="minorEastAsia" w:eastAsiaTheme="minorEastAsia"/>
          <w:sz w:val="22"/>
          <w:szCs w:val="22"/>
        </w:rPr>
        <w:t>分（不足</w:t>
      </w:r>
      <w:r>
        <w:rPr>
          <w:rFonts w:cs="Calibri" w:asciiTheme="minorEastAsia" w:hAnsiTheme="minorEastAsia" w:eastAsiaTheme="minorEastAsia"/>
          <w:sz w:val="22"/>
          <w:szCs w:val="22"/>
        </w:rPr>
        <w:t>1</w:t>
      </w:r>
      <w:r>
        <w:rPr>
          <w:rFonts w:hint="eastAsia" w:cs="Calibri" w:asciiTheme="minorEastAsia" w:hAnsiTheme="minorEastAsia" w:eastAsiaTheme="minorEastAsia"/>
          <w:sz w:val="22"/>
          <w:szCs w:val="22"/>
        </w:rPr>
        <w:t>个百分点按插值法计算，小数点后保留二位，四舍五入，商务分最低得分为</w:t>
      </w:r>
      <w:r>
        <w:rPr>
          <w:rFonts w:cs="Calibri" w:asciiTheme="minorEastAsia" w:hAnsiTheme="minorEastAsia" w:eastAsiaTheme="minorEastAsia"/>
          <w:sz w:val="22"/>
          <w:szCs w:val="22"/>
        </w:rPr>
        <w:t>30</w:t>
      </w:r>
      <w:r>
        <w:rPr>
          <w:rFonts w:hint="eastAsia" w:cs="Calibri" w:asciiTheme="minorEastAsia" w:hAnsiTheme="minorEastAsia" w:eastAsiaTheme="minorEastAsia"/>
          <w:sz w:val="22"/>
          <w:szCs w:val="22"/>
        </w:rPr>
        <w:t>分）</w:t>
      </w:r>
    </w:p>
    <w:p>
      <w:pPr>
        <w:pStyle w:val="29"/>
        <w:adjustRightInd w:val="0"/>
        <w:snapToGrid w:val="0"/>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此项由评标委员会集体核实后统一打分。</w:t>
      </w:r>
    </w:p>
    <w:p>
      <w:pPr>
        <w:pStyle w:val="29"/>
        <w:adjustRightInd w:val="0"/>
        <w:snapToGrid w:val="0"/>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2、资信及技术评分   0-30分</w:t>
      </w:r>
    </w:p>
    <w:p>
      <w:pPr>
        <w:pStyle w:val="29"/>
        <w:adjustRightInd w:val="0"/>
        <w:snapToGrid w:val="0"/>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该评分分值由评标委员会成员独立打分（具体分值设定详见下表），小数点后保留</w:t>
      </w:r>
      <w:r>
        <w:rPr>
          <w:rFonts w:cs="Calibri" w:asciiTheme="minorEastAsia" w:hAnsiTheme="minorEastAsia" w:eastAsiaTheme="minorEastAsia"/>
          <w:sz w:val="22"/>
          <w:szCs w:val="22"/>
        </w:rPr>
        <w:t>1</w:t>
      </w:r>
      <w:r>
        <w:rPr>
          <w:rFonts w:hint="eastAsia" w:cs="Calibri" w:asciiTheme="minorEastAsia" w:hAnsiTheme="minorEastAsia" w:eastAsiaTheme="minorEastAsia"/>
          <w:sz w:val="22"/>
          <w:szCs w:val="22"/>
        </w:rPr>
        <w:t>位小数。每个投标人的最终资信及技术得分为评标委员会打分的算术平均值（小数点后保留</w:t>
      </w:r>
      <w:r>
        <w:rPr>
          <w:rFonts w:cs="Calibri" w:asciiTheme="minorEastAsia" w:hAnsiTheme="minorEastAsia" w:eastAsiaTheme="minorEastAsia"/>
          <w:sz w:val="22"/>
          <w:szCs w:val="22"/>
        </w:rPr>
        <w:t>2</w:t>
      </w:r>
      <w:r>
        <w:rPr>
          <w:rFonts w:hint="eastAsia" w:cs="Calibri" w:asciiTheme="minorEastAsia" w:hAnsiTheme="minorEastAsia" w:eastAsiaTheme="minorEastAsia"/>
          <w:sz w:val="22"/>
          <w:szCs w:val="22"/>
        </w:rPr>
        <w:t>位，第三位四舍五入）。</w:t>
      </w:r>
    </w:p>
    <w:p>
      <w:pPr>
        <w:pStyle w:val="29"/>
        <w:adjustRightInd w:val="0"/>
        <w:snapToGrid w:val="0"/>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资信及技术评分分值设定标准</w:t>
      </w:r>
    </w:p>
    <w:tbl>
      <w:tblPr>
        <w:tblStyle w:val="52"/>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1864"/>
        <w:gridCol w:w="505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14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kern w:val="0"/>
                <w:sz w:val="22"/>
                <w:szCs w:val="22"/>
              </w:rPr>
            </w:pPr>
            <w:r>
              <w:rPr>
                <w:rFonts w:hint="eastAsia" w:cs="Calibri" w:asciiTheme="minorEastAsia" w:hAnsiTheme="minorEastAsia"/>
                <w:kern w:val="0"/>
                <w:sz w:val="22"/>
                <w:szCs w:val="22"/>
              </w:rPr>
              <w:t>评分因素</w:t>
            </w:r>
          </w:p>
          <w:p>
            <w:pPr>
              <w:snapToGrid w:val="0"/>
              <w:jc w:val="center"/>
              <w:rPr>
                <w:rFonts w:cs="Calibri" w:asciiTheme="minorEastAsia" w:hAnsiTheme="minorEastAsia"/>
                <w:kern w:val="0"/>
                <w:sz w:val="22"/>
                <w:szCs w:val="22"/>
              </w:rPr>
            </w:pPr>
            <w:r>
              <w:rPr>
                <w:rFonts w:hint="eastAsia" w:cs="Calibri" w:asciiTheme="minorEastAsia" w:hAnsiTheme="minorEastAsia"/>
                <w:kern w:val="0"/>
                <w:sz w:val="22"/>
                <w:szCs w:val="22"/>
              </w:rPr>
              <w:t>及分值权重</w:t>
            </w:r>
          </w:p>
        </w:tc>
        <w:tc>
          <w:tcPr>
            <w:tcW w:w="1864"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kern w:val="0"/>
                <w:sz w:val="22"/>
                <w:szCs w:val="22"/>
              </w:rPr>
            </w:pPr>
            <w:r>
              <w:rPr>
                <w:rFonts w:hint="eastAsia" w:cs="Calibri" w:asciiTheme="minorEastAsia" w:hAnsiTheme="minorEastAsia"/>
                <w:kern w:val="0"/>
                <w:sz w:val="22"/>
                <w:szCs w:val="22"/>
              </w:rPr>
              <w:t>评审因素子项</w:t>
            </w:r>
          </w:p>
        </w:tc>
        <w:tc>
          <w:tcPr>
            <w:tcW w:w="50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kern w:val="0"/>
                <w:sz w:val="22"/>
                <w:szCs w:val="22"/>
              </w:rPr>
            </w:pPr>
            <w:r>
              <w:rPr>
                <w:rFonts w:hint="eastAsia" w:cs="Calibri" w:asciiTheme="minorEastAsia" w:hAnsiTheme="minorEastAsia"/>
                <w:kern w:val="0"/>
                <w:sz w:val="22"/>
                <w:szCs w:val="22"/>
              </w:rPr>
              <w:t>评分标准</w:t>
            </w: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kern w:val="0"/>
                <w:sz w:val="22"/>
                <w:szCs w:val="22"/>
              </w:rPr>
            </w:pPr>
            <w:r>
              <w:rPr>
                <w:rFonts w:hint="eastAsia" w:cs="Calibri" w:asciiTheme="minorEastAsia" w:hAnsiTheme="minorEastAsia"/>
                <w:kern w:val="0"/>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1443" w:type="dxa"/>
            <w:vMerge w:val="restart"/>
            <w:vAlign w:val="center"/>
          </w:tcPr>
          <w:p>
            <w:pPr>
              <w:snapToGrid w:val="0"/>
              <w:jc w:val="center"/>
              <w:rPr>
                <w:rFonts w:cs="Calibri" w:asciiTheme="minorEastAsia" w:hAnsiTheme="minorEastAsia"/>
                <w:kern w:val="0"/>
                <w:sz w:val="22"/>
                <w:szCs w:val="22"/>
              </w:rPr>
            </w:pPr>
            <w:r>
              <w:rPr>
                <w:rFonts w:hint="eastAsia" w:cs="Calibri" w:asciiTheme="minorEastAsia" w:hAnsiTheme="minorEastAsia"/>
                <w:kern w:val="0"/>
                <w:sz w:val="22"/>
                <w:szCs w:val="22"/>
              </w:rPr>
              <w:t>技术标评分（满分3</w:t>
            </w:r>
            <w:r>
              <w:rPr>
                <w:rFonts w:cs="Calibri" w:asciiTheme="minorEastAsia" w:hAnsiTheme="minorEastAsia"/>
                <w:kern w:val="0"/>
                <w:sz w:val="22"/>
                <w:szCs w:val="22"/>
              </w:rPr>
              <w:t>0</w:t>
            </w:r>
            <w:r>
              <w:rPr>
                <w:rFonts w:hint="eastAsia" w:cs="Calibri" w:asciiTheme="minorEastAsia" w:hAnsiTheme="minorEastAsia"/>
                <w:kern w:val="0"/>
                <w:sz w:val="22"/>
                <w:szCs w:val="22"/>
              </w:rPr>
              <w:t>分）</w:t>
            </w:r>
          </w:p>
          <w:p>
            <w:pPr>
              <w:snapToGrid w:val="0"/>
              <w:jc w:val="center"/>
              <w:rPr>
                <w:rFonts w:cs="Calibri" w:asciiTheme="minorEastAsia" w:hAnsiTheme="minorEastAsia"/>
                <w:kern w:val="0"/>
                <w:sz w:val="22"/>
                <w:szCs w:val="22"/>
              </w:rPr>
            </w:pPr>
          </w:p>
        </w:tc>
        <w:tc>
          <w:tcPr>
            <w:tcW w:w="1864" w:type="dxa"/>
            <w:vMerge w:val="restart"/>
            <w:vAlign w:val="center"/>
          </w:tcPr>
          <w:p>
            <w:pPr>
              <w:jc w:val="center"/>
              <w:rPr>
                <w:rFonts w:cs="Calibri" w:asciiTheme="minorEastAsia" w:hAnsiTheme="minorEastAsia"/>
                <w:kern w:val="0"/>
                <w:sz w:val="22"/>
                <w:szCs w:val="22"/>
              </w:rPr>
            </w:pPr>
            <w:r>
              <w:rPr>
                <w:rFonts w:hint="eastAsia" w:cs="Calibri" w:asciiTheme="minorEastAsia" w:hAnsiTheme="minorEastAsia"/>
                <w:kern w:val="0"/>
                <w:sz w:val="22"/>
                <w:szCs w:val="22"/>
              </w:rPr>
              <w:t>整体设计方案</w:t>
            </w:r>
          </w:p>
          <w:p>
            <w:pPr>
              <w:snapToGrid w:val="0"/>
              <w:jc w:val="center"/>
              <w:rPr>
                <w:rFonts w:cs="Calibri" w:asciiTheme="minorEastAsia" w:hAnsiTheme="minorEastAsia"/>
                <w:kern w:val="0"/>
                <w:sz w:val="22"/>
                <w:szCs w:val="22"/>
              </w:rPr>
            </w:pPr>
            <w:r>
              <w:rPr>
                <w:rFonts w:hint="eastAsia" w:cs="Calibri" w:asciiTheme="minorEastAsia" w:hAnsiTheme="minorEastAsia"/>
                <w:kern w:val="0"/>
                <w:sz w:val="22"/>
                <w:szCs w:val="22"/>
              </w:rPr>
              <w:t>（9分）</w:t>
            </w:r>
          </w:p>
        </w:tc>
        <w:tc>
          <w:tcPr>
            <w:tcW w:w="5057" w:type="dxa"/>
            <w:tcBorders>
              <w:bottom w:val="single" w:color="auto" w:sz="4" w:space="0"/>
            </w:tcBorders>
            <w:vAlign w:val="center"/>
          </w:tcPr>
          <w:p>
            <w:pPr>
              <w:rPr>
                <w:rFonts w:cs="Calibri" w:asciiTheme="minorEastAsia" w:hAnsiTheme="minorEastAsia"/>
                <w:kern w:val="0"/>
                <w:sz w:val="22"/>
                <w:szCs w:val="22"/>
              </w:rPr>
            </w:pPr>
            <w:r>
              <w:rPr>
                <w:rFonts w:hint="eastAsia" w:cs="Calibri" w:asciiTheme="minorEastAsia" w:hAnsiTheme="minorEastAsia"/>
                <w:kern w:val="0"/>
                <w:sz w:val="22"/>
                <w:szCs w:val="22"/>
              </w:rPr>
              <w:t>投标文件制作规范，编制完善、详细、清晰</w:t>
            </w:r>
          </w:p>
        </w:tc>
        <w:tc>
          <w:tcPr>
            <w:tcW w:w="1276" w:type="dxa"/>
            <w:tcBorders>
              <w:bottom w:val="single" w:color="auto" w:sz="4" w:space="0"/>
            </w:tcBorders>
            <w:vAlign w:val="center"/>
          </w:tcPr>
          <w:p>
            <w:pPr>
              <w:snapToGrid w:val="0"/>
              <w:jc w:val="center"/>
              <w:rPr>
                <w:rFonts w:cs="Calibri" w:asciiTheme="minorEastAsia" w:hAnsiTheme="minorEastAsia"/>
                <w:kern w:val="0"/>
                <w:sz w:val="22"/>
                <w:szCs w:val="22"/>
              </w:rPr>
            </w:pPr>
            <w:r>
              <w:rPr>
                <w:rFonts w:cs="Calibri" w:asciiTheme="minorEastAsia" w:hAnsiTheme="minorEastAsia"/>
                <w:kern w:val="0"/>
                <w:sz w:val="22"/>
                <w:szCs w:val="22"/>
              </w:rPr>
              <w:t>0-</w:t>
            </w:r>
            <w:r>
              <w:rPr>
                <w:rFonts w:hint="eastAsia" w:cs="Calibri" w:asciiTheme="minorEastAsia" w:hAnsiTheme="minorEastAsia"/>
                <w:kern w:val="0"/>
                <w:sz w:val="22"/>
                <w:szCs w:val="22"/>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443" w:type="dxa"/>
            <w:vMerge w:val="continue"/>
            <w:vAlign w:val="center"/>
          </w:tcPr>
          <w:p>
            <w:pPr>
              <w:snapToGrid w:val="0"/>
              <w:jc w:val="center"/>
              <w:rPr>
                <w:rFonts w:cs="Calibri" w:asciiTheme="minorEastAsia" w:hAnsiTheme="minorEastAsia"/>
                <w:kern w:val="0"/>
                <w:sz w:val="22"/>
                <w:szCs w:val="22"/>
              </w:rPr>
            </w:pPr>
          </w:p>
        </w:tc>
        <w:tc>
          <w:tcPr>
            <w:tcW w:w="1864" w:type="dxa"/>
            <w:vMerge w:val="continue"/>
            <w:vAlign w:val="center"/>
          </w:tcPr>
          <w:p>
            <w:pPr>
              <w:jc w:val="center"/>
              <w:rPr>
                <w:rFonts w:cs="Calibri" w:asciiTheme="minorEastAsia" w:hAnsiTheme="minorEastAsia"/>
                <w:kern w:val="0"/>
                <w:sz w:val="22"/>
                <w:szCs w:val="22"/>
              </w:rPr>
            </w:pPr>
          </w:p>
        </w:tc>
        <w:tc>
          <w:tcPr>
            <w:tcW w:w="5057" w:type="dxa"/>
            <w:vAlign w:val="center"/>
          </w:tcPr>
          <w:p>
            <w:pPr>
              <w:rPr>
                <w:rFonts w:cs="Calibri" w:asciiTheme="minorEastAsia" w:hAnsiTheme="minorEastAsia"/>
                <w:kern w:val="0"/>
                <w:sz w:val="22"/>
                <w:szCs w:val="22"/>
              </w:rPr>
            </w:pPr>
            <w:r>
              <w:rPr>
                <w:rFonts w:hint="eastAsia" w:cs="Calibri" w:asciiTheme="minorEastAsia" w:hAnsiTheme="minorEastAsia"/>
                <w:kern w:val="0"/>
                <w:sz w:val="22"/>
                <w:szCs w:val="22"/>
              </w:rPr>
              <w:t>对采购文件规定要求提交的技术资料完整齐全</w:t>
            </w:r>
          </w:p>
        </w:tc>
        <w:tc>
          <w:tcPr>
            <w:tcW w:w="1276" w:type="dxa"/>
            <w:vAlign w:val="center"/>
          </w:tcPr>
          <w:p>
            <w:pPr>
              <w:snapToGrid w:val="0"/>
              <w:jc w:val="center"/>
              <w:rPr>
                <w:rFonts w:cs="Calibri" w:asciiTheme="minorEastAsia" w:hAnsiTheme="minorEastAsia"/>
                <w:kern w:val="0"/>
                <w:sz w:val="22"/>
                <w:szCs w:val="22"/>
              </w:rPr>
            </w:pPr>
            <w:r>
              <w:rPr>
                <w:rFonts w:cs="Calibri" w:asciiTheme="minorEastAsia" w:hAnsiTheme="minorEastAsia"/>
                <w:kern w:val="0"/>
                <w:sz w:val="22"/>
                <w:szCs w:val="22"/>
              </w:rPr>
              <w:t>0-</w:t>
            </w:r>
            <w:r>
              <w:rPr>
                <w:rFonts w:hint="eastAsia" w:cs="Calibri" w:asciiTheme="minorEastAsia" w:hAnsiTheme="minorEastAsia"/>
                <w:kern w:val="0"/>
                <w:sz w:val="22"/>
                <w:szCs w:val="22"/>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1443" w:type="dxa"/>
            <w:vMerge w:val="continue"/>
            <w:vAlign w:val="center"/>
          </w:tcPr>
          <w:p>
            <w:pPr>
              <w:snapToGrid w:val="0"/>
              <w:jc w:val="center"/>
              <w:rPr>
                <w:rFonts w:cs="Calibri" w:asciiTheme="minorEastAsia" w:hAnsiTheme="minorEastAsia"/>
                <w:kern w:val="0"/>
                <w:sz w:val="22"/>
                <w:szCs w:val="22"/>
              </w:rPr>
            </w:pPr>
          </w:p>
        </w:tc>
        <w:tc>
          <w:tcPr>
            <w:tcW w:w="1864" w:type="dxa"/>
            <w:vMerge w:val="continue"/>
            <w:vAlign w:val="center"/>
          </w:tcPr>
          <w:p>
            <w:pPr>
              <w:jc w:val="center"/>
              <w:rPr>
                <w:rFonts w:cs="Calibri" w:asciiTheme="minorEastAsia" w:hAnsiTheme="minorEastAsia"/>
                <w:kern w:val="0"/>
                <w:sz w:val="22"/>
                <w:szCs w:val="22"/>
              </w:rPr>
            </w:pPr>
          </w:p>
        </w:tc>
        <w:tc>
          <w:tcPr>
            <w:tcW w:w="5057" w:type="dxa"/>
            <w:vAlign w:val="center"/>
          </w:tcPr>
          <w:p>
            <w:pPr>
              <w:rPr>
                <w:rFonts w:cs="Calibri" w:asciiTheme="minorEastAsia" w:hAnsiTheme="minorEastAsia"/>
                <w:kern w:val="0"/>
                <w:sz w:val="22"/>
                <w:szCs w:val="22"/>
              </w:rPr>
            </w:pPr>
            <w:r>
              <w:rPr>
                <w:rFonts w:hint="eastAsia" w:cs="Calibri" w:asciiTheme="minorEastAsia" w:hAnsiTheme="minorEastAsia"/>
                <w:kern w:val="0"/>
                <w:sz w:val="22"/>
                <w:szCs w:val="22"/>
              </w:rPr>
              <w:t>整体方案完全满足采购要求，由专家评委横向比较打分。</w:t>
            </w:r>
          </w:p>
        </w:tc>
        <w:tc>
          <w:tcPr>
            <w:tcW w:w="1276" w:type="dxa"/>
            <w:vAlign w:val="center"/>
          </w:tcPr>
          <w:p>
            <w:pPr>
              <w:snapToGrid w:val="0"/>
              <w:jc w:val="center"/>
              <w:rPr>
                <w:rFonts w:cs="Calibri" w:asciiTheme="minorEastAsia" w:hAnsiTheme="minorEastAsia"/>
                <w:kern w:val="0"/>
                <w:sz w:val="22"/>
                <w:szCs w:val="22"/>
              </w:rPr>
            </w:pPr>
            <w:r>
              <w:rPr>
                <w:rFonts w:hint="eastAsia" w:cs="Calibri" w:asciiTheme="minorEastAsia" w:hAnsiTheme="minorEastAsia"/>
                <w:kern w:val="0"/>
                <w:sz w:val="22"/>
                <w:szCs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trPr>
        <w:tc>
          <w:tcPr>
            <w:tcW w:w="1443" w:type="dxa"/>
            <w:vMerge w:val="continue"/>
            <w:vAlign w:val="center"/>
          </w:tcPr>
          <w:p>
            <w:pPr>
              <w:snapToGrid w:val="0"/>
              <w:jc w:val="center"/>
              <w:rPr>
                <w:rFonts w:cs="Calibri" w:asciiTheme="minorEastAsia" w:hAnsiTheme="minorEastAsia"/>
                <w:kern w:val="0"/>
                <w:sz w:val="22"/>
                <w:szCs w:val="22"/>
              </w:rPr>
            </w:pPr>
          </w:p>
        </w:tc>
        <w:tc>
          <w:tcPr>
            <w:tcW w:w="1864" w:type="dxa"/>
            <w:vMerge w:val="restart"/>
            <w:vAlign w:val="center"/>
          </w:tcPr>
          <w:p>
            <w:pPr>
              <w:jc w:val="center"/>
              <w:rPr>
                <w:rFonts w:cs="Calibri" w:asciiTheme="minorEastAsia" w:hAnsiTheme="minorEastAsia"/>
                <w:kern w:val="0"/>
                <w:sz w:val="22"/>
                <w:szCs w:val="22"/>
              </w:rPr>
            </w:pPr>
            <w:r>
              <w:rPr>
                <w:rFonts w:hint="eastAsia" w:cs="Calibri" w:asciiTheme="minorEastAsia" w:hAnsiTheme="minorEastAsia"/>
                <w:kern w:val="0"/>
                <w:sz w:val="22"/>
                <w:szCs w:val="22"/>
              </w:rPr>
              <w:t>技术参数指标</w:t>
            </w:r>
          </w:p>
          <w:p>
            <w:pPr>
              <w:snapToGrid w:val="0"/>
              <w:jc w:val="center"/>
              <w:rPr>
                <w:rFonts w:cs="Calibri" w:asciiTheme="minorEastAsia" w:hAnsiTheme="minorEastAsia"/>
                <w:kern w:val="0"/>
                <w:sz w:val="22"/>
                <w:szCs w:val="22"/>
              </w:rPr>
            </w:pPr>
            <w:r>
              <w:rPr>
                <w:rFonts w:hint="eastAsia" w:cs="Calibri" w:asciiTheme="minorEastAsia" w:hAnsiTheme="minorEastAsia"/>
                <w:kern w:val="0"/>
                <w:sz w:val="22"/>
                <w:szCs w:val="22"/>
              </w:rPr>
              <w:t>（16分）</w:t>
            </w:r>
          </w:p>
        </w:tc>
        <w:tc>
          <w:tcPr>
            <w:tcW w:w="5057" w:type="dxa"/>
            <w:vAlign w:val="center"/>
          </w:tcPr>
          <w:p>
            <w:pPr>
              <w:rPr>
                <w:rFonts w:cs="Calibri" w:asciiTheme="minorEastAsia" w:hAnsiTheme="minorEastAsia"/>
                <w:kern w:val="0"/>
                <w:sz w:val="22"/>
                <w:szCs w:val="22"/>
              </w:rPr>
            </w:pPr>
            <w:r>
              <w:rPr>
                <w:rFonts w:hint="eastAsia" w:cs="Calibri" w:asciiTheme="minorEastAsia" w:hAnsiTheme="minorEastAsia"/>
                <w:kern w:val="0"/>
                <w:sz w:val="22"/>
                <w:szCs w:val="22"/>
              </w:rPr>
              <w:t>系统软件功能满足招标文件所有功能要求，由专家评委横向比较打分。</w:t>
            </w:r>
          </w:p>
        </w:tc>
        <w:tc>
          <w:tcPr>
            <w:tcW w:w="1276" w:type="dxa"/>
            <w:vAlign w:val="center"/>
          </w:tcPr>
          <w:p>
            <w:pPr>
              <w:snapToGrid w:val="0"/>
              <w:jc w:val="center"/>
              <w:rPr>
                <w:rFonts w:cs="Calibri" w:asciiTheme="minorEastAsia" w:hAnsiTheme="minorEastAsia"/>
                <w:kern w:val="0"/>
                <w:sz w:val="22"/>
                <w:szCs w:val="22"/>
              </w:rPr>
            </w:pPr>
            <w:r>
              <w:rPr>
                <w:rFonts w:cs="Calibri" w:asciiTheme="minorEastAsia" w:hAnsiTheme="minorEastAsia"/>
                <w:kern w:val="0"/>
                <w:sz w:val="22"/>
                <w:szCs w:val="22"/>
              </w:rPr>
              <w:t>0-</w:t>
            </w:r>
            <w:r>
              <w:rPr>
                <w:rFonts w:hint="eastAsia" w:cs="Calibri" w:asciiTheme="minorEastAsia" w:hAnsiTheme="minorEastAsia"/>
                <w:kern w:val="0"/>
                <w:sz w:val="22"/>
                <w:szCs w:val="2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9" w:hRule="atLeast"/>
        </w:trPr>
        <w:tc>
          <w:tcPr>
            <w:tcW w:w="1443" w:type="dxa"/>
            <w:vMerge w:val="continue"/>
            <w:vAlign w:val="center"/>
          </w:tcPr>
          <w:p>
            <w:pPr>
              <w:snapToGrid w:val="0"/>
              <w:jc w:val="center"/>
              <w:rPr>
                <w:rFonts w:cs="Calibri" w:asciiTheme="minorEastAsia" w:hAnsiTheme="minorEastAsia"/>
                <w:kern w:val="0"/>
                <w:sz w:val="22"/>
                <w:szCs w:val="22"/>
              </w:rPr>
            </w:pPr>
          </w:p>
        </w:tc>
        <w:tc>
          <w:tcPr>
            <w:tcW w:w="1864" w:type="dxa"/>
            <w:vMerge w:val="continue"/>
            <w:tcBorders>
              <w:bottom w:val="nil"/>
            </w:tcBorders>
            <w:vAlign w:val="center"/>
          </w:tcPr>
          <w:p>
            <w:pPr>
              <w:snapToGrid w:val="0"/>
              <w:jc w:val="center"/>
              <w:rPr>
                <w:rFonts w:cs="Calibri" w:asciiTheme="minorEastAsia" w:hAnsiTheme="minorEastAsia"/>
                <w:kern w:val="0"/>
                <w:sz w:val="22"/>
                <w:szCs w:val="22"/>
              </w:rPr>
            </w:pPr>
          </w:p>
        </w:tc>
        <w:tc>
          <w:tcPr>
            <w:tcW w:w="5057" w:type="dxa"/>
            <w:vAlign w:val="center"/>
          </w:tcPr>
          <w:p>
            <w:pPr>
              <w:rPr>
                <w:rFonts w:cs="Calibri" w:asciiTheme="minorEastAsia" w:hAnsiTheme="minorEastAsia"/>
                <w:kern w:val="0"/>
                <w:sz w:val="22"/>
                <w:szCs w:val="22"/>
              </w:rPr>
            </w:pPr>
            <w:r>
              <w:rPr>
                <w:rFonts w:hint="eastAsia" w:cs="Calibri" w:asciiTheme="minorEastAsia" w:hAnsiTheme="minorEastAsia"/>
                <w:kern w:val="0"/>
                <w:sz w:val="22"/>
                <w:szCs w:val="22"/>
              </w:rPr>
              <w:t>系统硬件功能满足招标文件所有功能要求，由专家评委横向比较打分。</w:t>
            </w:r>
          </w:p>
        </w:tc>
        <w:tc>
          <w:tcPr>
            <w:tcW w:w="1276" w:type="dxa"/>
            <w:vAlign w:val="center"/>
          </w:tcPr>
          <w:p>
            <w:pPr>
              <w:snapToGrid w:val="0"/>
              <w:jc w:val="center"/>
              <w:rPr>
                <w:rFonts w:cs="Calibri" w:asciiTheme="minorEastAsia" w:hAnsiTheme="minorEastAsia"/>
                <w:kern w:val="0"/>
                <w:sz w:val="22"/>
                <w:szCs w:val="22"/>
              </w:rPr>
            </w:pPr>
            <w:r>
              <w:rPr>
                <w:rFonts w:cs="Calibri" w:asciiTheme="minorEastAsia" w:hAnsiTheme="minorEastAsia"/>
                <w:kern w:val="0"/>
                <w:sz w:val="22"/>
                <w:szCs w:val="22"/>
              </w:rPr>
              <w:t>0-</w:t>
            </w:r>
            <w:r>
              <w:rPr>
                <w:rFonts w:hint="eastAsia" w:cs="Calibri" w:asciiTheme="minorEastAsia" w:hAnsiTheme="minorEastAsia"/>
                <w:kern w:val="0"/>
                <w:sz w:val="22"/>
                <w:szCs w:val="22"/>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1" w:hRule="atLeast"/>
        </w:trPr>
        <w:tc>
          <w:tcPr>
            <w:tcW w:w="1443" w:type="dxa"/>
            <w:vMerge w:val="continue"/>
            <w:vAlign w:val="center"/>
          </w:tcPr>
          <w:p>
            <w:pPr>
              <w:snapToGrid w:val="0"/>
              <w:jc w:val="center"/>
              <w:rPr>
                <w:rFonts w:cs="Calibri" w:asciiTheme="minorEastAsia" w:hAnsiTheme="minorEastAsia"/>
                <w:kern w:val="0"/>
                <w:sz w:val="22"/>
                <w:szCs w:val="22"/>
              </w:rPr>
            </w:pPr>
          </w:p>
        </w:tc>
        <w:tc>
          <w:tcPr>
            <w:tcW w:w="1864" w:type="dxa"/>
            <w:vMerge w:val="continue"/>
            <w:tcBorders>
              <w:top w:val="nil"/>
            </w:tcBorders>
            <w:vAlign w:val="center"/>
          </w:tcPr>
          <w:p>
            <w:pPr>
              <w:snapToGrid w:val="0"/>
              <w:jc w:val="center"/>
              <w:rPr>
                <w:rFonts w:cs="Calibri" w:asciiTheme="minorEastAsia" w:hAnsiTheme="minorEastAsia"/>
                <w:kern w:val="0"/>
                <w:sz w:val="22"/>
                <w:szCs w:val="22"/>
              </w:rPr>
            </w:pPr>
          </w:p>
        </w:tc>
        <w:tc>
          <w:tcPr>
            <w:tcW w:w="5057" w:type="dxa"/>
            <w:vAlign w:val="center"/>
          </w:tcPr>
          <w:p>
            <w:pPr>
              <w:rPr>
                <w:rFonts w:cs="Calibri" w:asciiTheme="minorEastAsia" w:hAnsiTheme="minorEastAsia"/>
                <w:kern w:val="0"/>
                <w:sz w:val="22"/>
                <w:szCs w:val="22"/>
              </w:rPr>
            </w:pPr>
            <w:r>
              <w:rPr>
                <w:rFonts w:hint="eastAsia" w:cs="Calibri" w:asciiTheme="minorEastAsia" w:hAnsiTheme="minorEastAsia"/>
                <w:kern w:val="0"/>
                <w:sz w:val="22"/>
                <w:szCs w:val="22"/>
              </w:rPr>
              <w:t>提供详细的现场安装方案，优得4分，良得2分，整体缺失得0分。</w:t>
            </w:r>
          </w:p>
        </w:tc>
        <w:tc>
          <w:tcPr>
            <w:tcW w:w="1276" w:type="dxa"/>
            <w:vAlign w:val="center"/>
          </w:tcPr>
          <w:p>
            <w:pPr>
              <w:snapToGrid w:val="0"/>
              <w:jc w:val="center"/>
              <w:rPr>
                <w:rFonts w:cs="Calibri" w:asciiTheme="minorEastAsia" w:hAnsiTheme="minorEastAsia"/>
                <w:kern w:val="0"/>
                <w:sz w:val="22"/>
                <w:szCs w:val="22"/>
              </w:rPr>
            </w:pPr>
            <w:r>
              <w:rPr>
                <w:rFonts w:hint="eastAsia" w:cs="Calibri" w:asciiTheme="minorEastAsia" w:hAnsiTheme="minorEastAsia"/>
                <w:kern w:val="0"/>
                <w:sz w:val="22"/>
                <w:szCs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trPr>
        <w:tc>
          <w:tcPr>
            <w:tcW w:w="1443" w:type="dxa"/>
            <w:vMerge w:val="continue"/>
            <w:vAlign w:val="center"/>
          </w:tcPr>
          <w:p>
            <w:pPr>
              <w:snapToGrid w:val="0"/>
              <w:jc w:val="center"/>
              <w:rPr>
                <w:rFonts w:cs="Calibri" w:asciiTheme="minorEastAsia" w:hAnsiTheme="minorEastAsia"/>
                <w:kern w:val="0"/>
                <w:sz w:val="22"/>
                <w:szCs w:val="22"/>
              </w:rPr>
            </w:pPr>
          </w:p>
        </w:tc>
        <w:tc>
          <w:tcPr>
            <w:tcW w:w="1864" w:type="dxa"/>
            <w:vAlign w:val="center"/>
          </w:tcPr>
          <w:p>
            <w:pPr>
              <w:jc w:val="center"/>
              <w:rPr>
                <w:rFonts w:cs="Calibri" w:asciiTheme="minorEastAsia" w:hAnsiTheme="minorEastAsia"/>
                <w:kern w:val="0"/>
                <w:sz w:val="22"/>
                <w:szCs w:val="22"/>
              </w:rPr>
            </w:pPr>
            <w:r>
              <w:rPr>
                <w:rFonts w:hint="eastAsia" w:cs="Calibri" w:asciiTheme="minorEastAsia" w:hAnsiTheme="minorEastAsia"/>
                <w:kern w:val="0"/>
                <w:sz w:val="22"/>
                <w:szCs w:val="22"/>
              </w:rPr>
              <w:t>相关业绩</w:t>
            </w:r>
          </w:p>
          <w:p>
            <w:pPr>
              <w:jc w:val="center"/>
              <w:rPr>
                <w:rFonts w:cs="Calibri" w:asciiTheme="minorEastAsia" w:hAnsiTheme="minorEastAsia"/>
                <w:kern w:val="0"/>
                <w:sz w:val="22"/>
                <w:szCs w:val="22"/>
              </w:rPr>
            </w:pPr>
            <w:r>
              <w:rPr>
                <w:rFonts w:hint="eastAsia" w:cs="Calibri" w:asciiTheme="minorEastAsia" w:hAnsiTheme="minorEastAsia"/>
                <w:kern w:val="0"/>
                <w:sz w:val="22"/>
                <w:szCs w:val="22"/>
              </w:rPr>
              <w:t>（5分）</w:t>
            </w:r>
          </w:p>
        </w:tc>
        <w:tc>
          <w:tcPr>
            <w:tcW w:w="5057" w:type="dxa"/>
            <w:vAlign w:val="center"/>
          </w:tcPr>
          <w:p>
            <w:pPr>
              <w:jc w:val="left"/>
              <w:rPr>
                <w:rFonts w:cs="Calibri" w:asciiTheme="minorEastAsia" w:hAnsiTheme="minorEastAsia"/>
                <w:kern w:val="0"/>
                <w:sz w:val="22"/>
                <w:szCs w:val="22"/>
              </w:rPr>
            </w:pPr>
            <w:r>
              <w:rPr>
                <w:rFonts w:hint="eastAsia" w:cs="Calibri" w:asciiTheme="minorEastAsia" w:hAnsiTheme="minorEastAsia"/>
                <w:kern w:val="0"/>
                <w:sz w:val="22"/>
                <w:szCs w:val="22"/>
              </w:rPr>
              <w:t>投标人具备与海关智慧空港系统开发方中国电子口岸数据中心对接的海关智能卡口建设案例得5分。（提供相关合同复印件并加盖投标人公章，原件备查）。</w:t>
            </w:r>
          </w:p>
        </w:tc>
        <w:tc>
          <w:tcPr>
            <w:tcW w:w="1276" w:type="dxa"/>
            <w:vAlign w:val="center"/>
          </w:tcPr>
          <w:p>
            <w:pPr>
              <w:snapToGrid w:val="0"/>
              <w:jc w:val="center"/>
              <w:rPr>
                <w:rFonts w:cs="Calibri" w:asciiTheme="minorEastAsia" w:hAnsiTheme="minorEastAsia"/>
                <w:kern w:val="0"/>
                <w:sz w:val="22"/>
                <w:szCs w:val="22"/>
              </w:rPr>
            </w:pPr>
            <w:r>
              <w:rPr>
                <w:rFonts w:hint="eastAsia" w:cs="Calibri" w:asciiTheme="minorEastAsia" w:hAnsiTheme="minorEastAsia"/>
                <w:kern w:val="0"/>
                <w:sz w:val="22"/>
                <w:szCs w:val="22"/>
              </w:rPr>
              <w:t>5分</w:t>
            </w:r>
          </w:p>
        </w:tc>
      </w:tr>
    </w:tbl>
    <w:p>
      <w:pPr>
        <w:pStyle w:val="29"/>
        <w:spacing w:line="360" w:lineRule="exact"/>
        <w:ind w:firstLine="442"/>
        <w:rPr>
          <w:rFonts w:cs="Calibri" w:asciiTheme="minorEastAsia" w:hAnsiTheme="minorEastAsia" w:eastAsiaTheme="minorEastAsia"/>
          <w:b/>
          <w:sz w:val="22"/>
          <w:szCs w:val="22"/>
        </w:rPr>
      </w:pPr>
      <w:r>
        <w:rPr>
          <w:rFonts w:cs="Calibri" w:asciiTheme="minorEastAsia" w:hAnsiTheme="minorEastAsia" w:eastAsiaTheme="minorEastAsia"/>
          <w:b/>
          <w:sz w:val="22"/>
          <w:szCs w:val="22"/>
        </w:rPr>
        <w:t>3.4推荐中标候选人</w:t>
      </w:r>
    </w:p>
    <w:p>
      <w:pPr>
        <w:pStyle w:val="29"/>
        <w:adjustRightInd w:val="0"/>
        <w:snapToGrid w:val="0"/>
        <w:spacing w:line="360" w:lineRule="exact"/>
        <w:ind w:firstLine="440" w:firstLineChars="200"/>
        <w:rPr>
          <w:rFonts w:cs="Calibri" w:asciiTheme="minorEastAsia" w:hAnsiTheme="minorEastAsia" w:eastAsiaTheme="minorEastAsia"/>
          <w:sz w:val="22"/>
          <w:szCs w:val="22"/>
        </w:rPr>
      </w:pPr>
      <w:r>
        <w:rPr>
          <w:rFonts w:cs="Calibri" w:asciiTheme="minorEastAsia" w:hAnsiTheme="minorEastAsia" w:eastAsiaTheme="minorEastAsia"/>
          <w:sz w:val="22"/>
          <w:szCs w:val="22"/>
        </w:rPr>
        <w:t>3.4.1当有效投标文件大于等于二名时，评标委员会</w:t>
      </w:r>
      <w:r>
        <w:rPr>
          <w:rFonts w:hint="eastAsia" w:cs="Calibri" w:asciiTheme="minorEastAsia" w:hAnsiTheme="minorEastAsia" w:eastAsiaTheme="minorEastAsia"/>
          <w:sz w:val="22"/>
          <w:szCs w:val="22"/>
        </w:rPr>
        <w:t>得分最高、次高的投标人为中标候选人（如果得分相同则按投标人报价从低到高顺序推荐为中标候选人，如果投标报价也相同，则抽签决定）。</w:t>
      </w:r>
    </w:p>
    <w:p>
      <w:pPr>
        <w:pStyle w:val="29"/>
        <w:adjustRightInd w:val="0"/>
        <w:snapToGrid w:val="0"/>
        <w:spacing w:line="360" w:lineRule="exact"/>
        <w:ind w:firstLine="440" w:firstLineChars="200"/>
        <w:rPr>
          <w:rFonts w:cs="Calibri" w:asciiTheme="minorEastAsia" w:hAnsiTheme="minorEastAsia" w:eastAsiaTheme="minorEastAsia"/>
          <w:sz w:val="22"/>
          <w:szCs w:val="22"/>
        </w:rPr>
      </w:pPr>
      <w:r>
        <w:rPr>
          <w:rFonts w:cs="Calibri" w:asciiTheme="minorEastAsia" w:hAnsiTheme="minorEastAsia" w:eastAsiaTheme="minorEastAsia"/>
          <w:sz w:val="22"/>
          <w:szCs w:val="22"/>
        </w:rPr>
        <w:t>3.4.3当有效投标文件只有一名时，则由评标委员会确定是否推荐为中标候选人。</w:t>
      </w:r>
    </w:p>
    <w:p>
      <w:pPr>
        <w:pStyle w:val="29"/>
        <w:spacing w:line="360" w:lineRule="exact"/>
        <w:rPr>
          <w:rFonts w:cs="Calibri" w:asciiTheme="minorEastAsia" w:hAnsiTheme="minorEastAsia" w:eastAsiaTheme="minorEastAsia"/>
          <w:b/>
          <w:sz w:val="22"/>
          <w:szCs w:val="22"/>
        </w:rPr>
      </w:pPr>
      <w:r>
        <w:rPr>
          <w:rFonts w:cs="Calibri" w:asciiTheme="minorEastAsia" w:hAnsiTheme="minorEastAsia" w:eastAsiaTheme="minorEastAsia"/>
          <w:b/>
          <w:sz w:val="22"/>
          <w:szCs w:val="22"/>
        </w:rPr>
        <w:t>3.</w:t>
      </w:r>
      <w:r>
        <w:rPr>
          <w:rFonts w:hint="eastAsia" w:cs="Calibri" w:asciiTheme="minorEastAsia" w:hAnsiTheme="minorEastAsia" w:eastAsiaTheme="minorEastAsia"/>
          <w:b/>
          <w:sz w:val="22"/>
          <w:szCs w:val="22"/>
        </w:rPr>
        <w:t>5</w:t>
      </w:r>
      <w:r>
        <w:rPr>
          <w:rFonts w:cs="Calibri" w:asciiTheme="minorEastAsia" w:hAnsiTheme="minorEastAsia" w:eastAsiaTheme="minorEastAsia"/>
          <w:b/>
          <w:sz w:val="22"/>
          <w:szCs w:val="22"/>
        </w:rPr>
        <w:t>评标报告</w:t>
      </w:r>
    </w:p>
    <w:p>
      <w:pPr>
        <w:pStyle w:val="29"/>
        <w:adjustRightInd w:val="0"/>
        <w:snapToGrid w:val="0"/>
        <w:spacing w:line="360" w:lineRule="exact"/>
        <w:ind w:firstLine="440" w:firstLineChars="200"/>
        <w:rPr>
          <w:rFonts w:cs="Calibri" w:asciiTheme="minorEastAsia" w:hAnsiTheme="minorEastAsia" w:eastAsiaTheme="minorEastAsia"/>
          <w:sz w:val="22"/>
          <w:szCs w:val="22"/>
        </w:rPr>
      </w:pPr>
      <w:r>
        <w:rPr>
          <w:rFonts w:cs="Calibri" w:asciiTheme="minorEastAsia" w:hAnsiTheme="minorEastAsia" w:eastAsiaTheme="minorEastAsia"/>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cs="Calibri" w:asciiTheme="minorEastAsia" w:hAnsiTheme="minorEastAsia" w:eastAsiaTheme="minorEastAsia"/>
          <w:b/>
          <w:sz w:val="22"/>
          <w:szCs w:val="22"/>
        </w:rPr>
      </w:pPr>
      <w:r>
        <w:rPr>
          <w:rFonts w:cs="Calibri" w:asciiTheme="minorEastAsia" w:hAnsiTheme="minorEastAsia" w:eastAsiaTheme="minorEastAsia"/>
          <w:b/>
          <w:sz w:val="22"/>
          <w:szCs w:val="22"/>
        </w:rPr>
        <w:t>四、</w:t>
      </w:r>
      <w:r>
        <w:rPr>
          <w:rFonts w:hint="eastAsia" w:cs="Calibri" w:asciiTheme="minorEastAsia" w:hAnsiTheme="minorEastAsia" w:eastAsiaTheme="minorEastAsia"/>
          <w:b/>
          <w:sz w:val="22"/>
          <w:szCs w:val="22"/>
        </w:rPr>
        <w:t>定</w:t>
      </w:r>
      <w:r>
        <w:rPr>
          <w:rFonts w:cs="Calibri" w:asciiTheme="minorEastAsia" w:hAnsiTheme="minorEastAsia" w:eastAsiaTheme="minorEastAsia"/>
          <w:b/>
          <w:sz w:val="22"/>
          <w:szCs w:val="22"/>
        </w:rPr>
        <w:t>标</w:t>
      </w:r>
    </w:p>
    <w:p>
      <w:pPr>
        <w:pStyle w:val="29"/>
        <w:adjustRightInd w:val="0"/>
        <w:snapToGrid w:val="0"/>
        <w:spacing w:line="360" w:lineRule="exact"/>
        <w:ind w:firstLine="440" w:firstLineChars="200"/>
        <w:rPr>
          <w:rFonts w:cs="Calibri" w:asciiTheme="minorEastAsia" w:hAnsiTheme="minorEastAsia" w:eastAsiaTheme="minorEastAsia"/>
          <w:sz w:val="22"/>
          <w:szCs w:val="22"/>
        </w:rPr>
      </w:pPr>
      <w:r>
        <w:rPr>
          <w:rFonts w:cs="Calibri" w:asciiTheme="minorEastAsia" w:hAnsiTheme="minorEastAsia" w:eastAsiaTheme="minorEastAsia"/>
          <w:sz w:val="22"/>
          <w:szCs w:val="22"/>
        </w:rPr>
        <w:t>4.</w:t>
      </w:r>
      <w:r>
        <w:rPr>
          <w:rFonts w:hint="eastAsia" w:cs="Calibri" w:asciiTheme="minorEastAsia" w:hAnsiTheme="minorEastAsia" w:eastAsiaTheme="minorEastAsia"/>
          <w:sz w:val="22"/>
          <w:szCs w:val="22"/>
        </w:rPr>
        <w:t>1</w:t>
      </w:r>
      <w:r>
        <w:rPr>
          <w:rFonts w:cs="Calibri" w:asciiTheme="minorEastAsia" w:hAnsiTheme="minorEastAsia" w:eastAsiaTheme="minorEastAsia"/>
          <w:sz w:val="22"/>
          <w:szCs w:val="22"/>
        </w:rPr>
        <w:t>招标人将确定评标委员会推荐的</w:t>
      </w:r>
      <w:r>
        <w:rPr>
          <w:rFonts w:hint="eastAsia" w:cs="Calibri" w:asciiTheme="minorEastAsia" w:hAnsiTheme="minorEastAsia" w:eastAsiaTheme="minorEastAsia"/>
          <w:sz w:val="22"/>
          <w:szCs w:val="22"/>
        </w:rPr>
        <w:t>第一</w:t>
      </w:r>
      <w:r>
        <w:rPr>
          <w:rFonts w:cs="Calibri" w:asciiTheme="minorEastAsia" w:hAnsiTheme="minorEastAsia" w:eastAsiaTheme="minorEastAsia"/>
          <w:sz w:val="22"/>
          <w:szCs w:val="22"/>
        </w:rPr>
        <w:t>中标候选人为中标人。</w:t>
      </w:r>
      <w:r>
        <w:rPr>
          <w:rFonts w:hint="eastAsia" w:cs="Calibri" w:asciiTheme="minorEastAsia" w:hAnsiTheme="minorEastAsia" w:eastAsiaTheme="minorEastAsia"/>
          <w:sz w:val="22"/>
          <w:szCs w:val="22"/>
        </w:rPr>
        <w:t>第一</w:t>
      </w:r>
      <w:r>
        <w:rPr>
          <w:rFonts w:cs="Calibri" w:asciiTheme="minorEastAsia" w:hAnsiTheme="minorEastAsia" w:eastAsiaTheme="minorEastAsia"/>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cs="Calibri" w:asciiTheme="minorEastAsia" w:hAnsiTheme="minorEastAsia" w:eastAsiaTheme="minorEastAsia"/>
          <w:sz w:val="22"/>
          <w:szCs w:val="22"/>
        </w:rPr>
        <w:t>或</w:t>
      </w:r>
      <w:r>
        <w:rPr>
          <w:rFonts w:cs="Calibri" w:asciiTheme="minorEastAsia" w:hAnsiTheme="minorEastAsia" w:eastAsiaTheme="minorEastAsia"/>
          <w:sz w:val="22"/>
          <w:szCs w:val="22"/>
        </w:rPr>
        <w:t>重新招标。</w:t>
      </w:r>
    </w:p>
    <w:p>
      <w:pPr>
        <w:pStyle w:val="29"/>
        <w:adjustRightInd w:val="0"/>
        <w:snapToGrid w:val="0"/>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4.2</w:t>
      </w:r>
      <w:r>
        <w:rPr>
          <w:rFonts w:cs="Calibri" w:asciiTheme="minorEastAsia" w:hAnsiTheme="minorEastAsia" w:eastAsiaTheme="minorEastAsia"/>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cs="Calibri" w:asciiTheme="minorEastAsia" w:hAnsiTheme="minorEastAsia" w:eastAsiaTheme="minorEastAsia"/>
          <w:sz w:val="22"/>
          <w:szCs w:val="22"/>
        </w:rPr>
      </w:pPr>
      <w:r>
        <w:rPr>
          <w:rFonts w:cs="Calibri" w:asciiTheme="minorEastAsia" w:hAnsiTheme="minorEastAsia" w:eastAsiaTheme="minorEastAsia"/>
          <w:sz w:val="22"/>
          <w:szCs w:val="22"/>
        </w:rPr>
        <w:t>4.</w:t>
      </w:r>
      <w:r>
        <w:rPr>
          <w:rFonts w:hint="eastAsia" w:cs="Calibri" w:asciiTheme="minorEastAsia" w:hAnsiTheme="minorEastAsia" w:eastAsiaTheme="minorEastAsia"/>
          <w:sz w:val="22"/>
          <w:szCs w:val="22"/>
        </w:rPr>
        <w:t>3</w:t>
      </w:r>
      <w:r>
        <w:rPr>
          <w:rFonts w:cs="Calibri" w:asciiTheme="minorEastAsia" w:hAnsiTheme="minorEastAsia" w:eastAsiaTheme="minorEastAsia"/>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cs="Calibri" w:asciiTheme="minorEastAsia" w:hAnsiTheme="minorEastAsia" w:eastAsiaTheme="minorEastAsia"/>
          <w:sz w:val="22"/>
          <w:szCs w:val="22"/>
        </w:rPr>
        <w:t>或</w:t>
      </w:r>
      <w:r>
        <w:rPr>
          <w:rFonts w:cs="Calibri" w:asciiTheme="minorEastAsia" w:hAnsiTheme="minorEastAsia" w:eastAsiaTheme="minorEastAsia"/>
          <w:sz w:val="22"/>
          <w:szCs w:val="22"/>
        </w:rPr>
        <w:t>重新招标。</w:t>
      </w:r>
    </w:p>
    <w:p>
      <w:pPr>
        <w:pStyle w:val="29"/>
        <w:adjustRightInd w:val="0"/>
        <w:snapToGrid w:val="0"/>
        <w:spacing w:line="360" w:lineRule="exact"/>
        <w:ind w:firstLine="442" w:firstLineChars="200"/>
        <w:rPr>
          <w:rFonts w:cs="Calibri" w:asciiTheme="minorEastAsia" w:hAnsiTheme="minorEastAsia" w:eastAsiaTheme="minorEastAsia"/>
          <w:b/>
          <w:sz w:val="22"/>
          <w:szCs w:val="22"/>
        </w:rPr>
      </w:pPr>
      <w:r>
        <w:rPr>
          <w:rFonts w:hint="eastAsia" w:cs="Calibri" w:asciiTheme="minorEastAsia" w:hAnsiTheme="minorEastAsia" w:eastAsiaTheme="minorEastAsia"/>
          <w:b/>
          <w:sz w:val="22"/>
          <w:szCs w:val="22"/>
        </w:rPr>
        <w:t>4.4招标人对评标、定标结果不负责解释。</w:t>
      </w:r>
    </w:p>
    <w:p>
      <w:pPr>
        <w:widowControl/>
        <w:jc w:val="left"/>
        <w:rPr>
          <w:rFonts w:cs="Times New Roman" w:asciiTheme="minorEastAsia" w:hAnsiTheme="minorEastAsia"/>
          <w:b/>
          <w:bCs/>
          <w:kern w:val="0"/>
          <w:sz w:val="22"/>
          <w:szCs w:val="22"/>
        </w:rPr>
      </w:pPr>
      <w:r>
        <w:rPr>
          <w:rFonts w:asciiTheme="minorEastAsia" w:hAnsiTheme="minorEastAsia"/>
          <w:sz w:val="22"/>
          <w:szCs w:val="22"/>
        </w:rPr>
        <w:br w:type="page"/>
      </w:r>
    </w:p>
    <w:p>
      <w:pPr>
        <w:pStyle w:val="48"/>
      </w:pPr>
      <w:bookmarkStart w:id="81" w:name="_Toc321925457"/>
      <w:r>
        <w:t>第</w:t>
      </w:r>
      <w:r>
        <w:rPr>
          <w:rFonts w:hint="eastAsia"/>
        </w:rPr>
        <w:t>六</w:t>
      </w:r>
      <w:r>
        <w:t>章投标文件格式</w:t>
      </w:r>
      <w:bookmarkEnd w:id="80"/>
      <w:bookmarkEnd w:id="81"/>
    </w:p>
    <w:p>
      <w:pPr>
        <w:spacing w:line="440" w:lineRule="exact"/>
        <w:jc w:val="center"/>
        <w:rPr>
          <w:rFonts w:cs="Calibri"/>
          <w:b/>
          <w:color w:val="000000"/>
          <w:sz w:val="28"/>
          <w:szCs w:val="28"/>
        </w:rPr>
      </w:pPr>
      <w:r>
        <w:rPr>
          <w:rFonts w:cs="Calibri"/>
          <w:b/>
          <w:color w:val="000000"/>
          <w:sz w:val="28"/>
          <w:szCs w:val="28"/>
        </w:rPr>
        <w:t>目录</w:t>
      </w:r>
    </w:p>
    <w:p>
      <w:pPr>
        <w:spacing w:line="440" w:lineRule="exact"/>
        <w:ind w:firstLine="440" w:firstLineChars="200"/>
        <w:rPr>
          <w:rFonts w:ascii="宋体" w:hAnsi="宋体" w:cs="Calibri"/>
          <w:color w:val="000000"/>
          <w:sz w:val="22"/>
          <w:szCs w:val="22"/>
        </w:rPr>
      </w:pPr>
      <w:r>
        <w:rPr>
          <w:rFonts w:ascii="宋体" w:hAnsi="宋体" w:cs="Calibri"/>
          <w:color w:val="000000"/>
          <w:sz w:val="22"/>
          <w:szCs w:val="22"/>
        </w:rPr>
        <w:t>封面</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一、</w:t>
      </w:r>
      <w:r>
        <w:rPr>
          <w:rFonts w:ascii="宋体" w:hAnsi="宋体" w:cs="Calibri"/>
          <w:sz w:val="22"/>
          <w:szCs w:val="22"/>
        </w:rPr>
        <w:t>投标函；</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二、</w:t>
      </w:r>
      <w:r>
        <w:rPr>
          <w:rFonts w:cs="Calibri" w:asciiTheme="minorEastAsia" w:hAnsiTheme="minorEastAsia"/>
          <w:color w:val="000000"/>
          <w:sz w:val="22"/>
          <w:szCs w:val="22"/>
        </w:rPr>
        <w:t>法定代表人资格证明书；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三、</w:t>
      </w:r>
      <w:r>
        <w:rPr>
          <w:rFonts w:cs="Calibri" w:asciiTheme="minorEastAsia" w:hAnsiTheme="minorEastAsia"/>
          <w:color w:val="000000"/>
          <w:sz w:val="22"/>
          <w:szCs w:val="22"/>
        </w:rPr>
        <w:t>授权委托书；</w:t>
      </w:r>
    </w:p>
    <w:p>
      <w:pPr>
        <w:adjustRightInd w:val="0"/>
        <w:snapToGrid w:val="0"/>
        <w:spacing w:line="400" w:lineRule="exact"/>
        <w:ind w:firstLine="440" w:firstLineChars="200"/>
        <w:rPr>
          <w:rFonts w:cs="Calibri" w:asciiTheme="minorEastAsia" w:hAnsiTheme="minorEastAsia"/>
          <w:color w:val="000000"/>
          <w:sz w:val="22"/>
          <w:szCs w:val="22"/>
        </w:rPr>
      </w:pPr>
      <w:r>
        <w:rPr>
          <w:rFonts w:hint="eastAsia" w:cs="Calibri" w:asciiTheme="minorEastAsia" w:hAnsiTheme="minorEastAsia"/>
          <w:color w:val="000000"/>
          <w:sz w:val="22"/>
          <w:szCs w:val="22"/>
        </w:rPr>
        <w:t>四、</w:t>
      </w:r>
      <w:r>
        <w:rPr>
          <w:rFonts w:cs="Calibri" w:asciiTheme="minorEastAsia" w:hAnsiTheme="minorEastAsia"/>
          <w:color w:val="000000"/>
          <w:sz w:val="22"/>
          <w:szCs w:val="22"/>
        </w:rPr>
        <w:t>投标报价表；</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五、</w:t>
      </w:r>
      <w:r>
        <w:rPr>
          <w:rFonts w:ascii="宋体" w:hAnsi="宋体" w:cs="Calibri"/>
          <w:sz w:val="22"/>
          <w:szCs w:val="22"/>
        </w:rPr>
        <w:t>投标人资格证明文件：</w:t>
      </w:r>
    </w:p>
    <w:p>
      <w:pPr>
        <w:adjustRightInd w:val="0"/>
        <w:snapToGrid w:val="0"/>
        <w:spacing w:line="400" w:lineRule="exact"/>
        <w:ind w:firstLine="440" w:firstLineChars="200"/>
        <w:rPr>
          <w:rFonts w:ascii="宋体" w:hAnsi="宋体" w:cs="Calibri"/>
          <w:sz w:val="22"/>
          <w:szCs w:val="22"/>
        </w:rPr>
      </w:pPr>
      <w:r>
        <w:rPr>
          <w:rFonts w:ascii="宋体" w:hAnsi="宋体" w:cs="Calibri"/>
          <w:sz w:val="22"/>
          <w:szCs w:val="22"/>
        </w:rPr>
        <w:t>（1）</w:t>
      </w:r>
      <w:r>
        <w:rPr>
          <w:rFonts w:cs="Calibri" w:asciiTheme="minorEastAsia" w:hAnsiTheme="minorEastAsia"/>
          <w:color w:val="000000"/>
          <w:sz w:val="22"/>
          <w:szCs w:val="22"/>
        </w:rPr>
        <w:t>投标人一般情况</w:t>
      </w:r>
      <w:r>
        <w:rPr>
          <w:rFonts w:hint="eastAsia" w:cs="Calibri" w:asciiTheme="minorEastAsia" w:hAnsiTheme="minorEastAsia"/>
          <w:color w:val="000000"/>
          <w:sz w:val="22"/>
          <w:szCs w:val="22"/>
        </w:rPr>
        <w:t>及</w:t>
      </w:r>
      <w:r>
        <w:rPr>
          <w:rFonts w:cs="Calibri" w:asciiTheme="minorEastAsia" w:hAnsiTheme="minorEastAsia"/>
          <w:color w:val="000000"/>
          <w:sz w:val="22"/>
          <w:szCs w:val="22"/>
        </w:rPr>
        <w:t>有关证明投标人法律地位的文件</w:t>
      </w:r>
      <w:r>
        <w:rPr>
          <w:rFonts w:hint="eastAsia" w:ascii="宋体" w:hAnsi="宋体" w:cs="Calibri"/>
          <w:sz w:val="22"/>
          <w:szCs w:val="22"/>
        </w:rPr>
        <w:t>（附营业执照、税务登记证、相关</w:t>
      </w:r>
      <w:r>
        <w:rPr>
          <w:rFonts w:ascii="宋体" w:hAnsi="宋体" w:cs="Calibri"/>
          <w:sz w:val="22"/>
          <w:szCs w:val="22"/>
        </w:rPr>
        <w:t>产品质量认证证书</w:t>
      </w:r>
      <w:r>
        <w:rPr>
          <w:rFonts w:hint="eastAsia" w:ascii="宋体" w:hAnsi="宋体" w:cs="Arial"/>
          <w:kern w:val="0"/>
          <w:sz w:val="22"/>
          <w:szCs w:val="22"/>
        </w:rPr>
        <w:t>、</w:t>
      </w:r>
      <w:r>
        <w:rPr>
          <w:rFonts w:hint="eastAsia" w:ascii="宋体" w:hAnsi="宋体" w:cs="Calibri"/>
          <w:sz w:val="22"/>
          <w:szCs w:val="22"/>
        </w:rPr>
        <w:t>相关</w:t>
      </w:r>
      <w:r>
        <w:rPr>
          <w:rFonts w:ascii="宋体" w:hAnsi="宋体" w:cs="Calibri"/>
          <w:sz w:val="22"/>
          <w:szCs w:val="22"/>
        </w:rPr>
        <w:t>产品鉴定证书</w:t>
      </w:r>
      <w:r>
        <w:rPr>
          <w:rFonts w:hint="eastAsia" w:ascii="宋体" w:hAnsi="宋体" w:cs="Calibri"/>
          <w:sz w:val="22"/>
          <w:szCs w:val="22"/>
        </w:rPr>
        <w:t>等）。</w:t>
      </w:r>
    </w:p>
    <w:p>
      <w:pPr>
        <w:adjustRightInd w:val="0"/>
        <w:snapToGrid w:val="0"/>
        <w:spacing w:line="400" w:lineRule="exact"/>
        <w:ind w:firstLine="440" w:firstLineChars="200"/>
        <w:rPr>
          <w:rFonts w:ascii="宋体" w:hAnsi="宋体" w:cs="Calibri"/>
          <w:sz w:val="22"/>
          <w:szCs w:val="22"/>
        </w:rPr>
      </w:pPr>
      <w:r>
        <w:rPr>
          <w:rFonts w:hint="eastAsia" w:ascii="宋体" w:hAnsi="宋体" w:cs="Calibri"/>
          <w:sz w:val="22"/>
          <w:szCs w:val="22"/>
        </w:rPr>
        <w:t>（2）信用中国网站www.creditchina.gov.cn 、中国裁判文书网http://wenshu.court.gov.cn查询结果证材料。</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Calibri"/>
          <w:sz w:val="22"/>
          <w:szCs w:val="22"/>
        </w:rPr>
        <w:t>（</w:t>
      </w:r>
      <w:r>
        <w:rPr>
          <w:rFonts w:ascii="宋体" w:hAnsi="宋体" w:cs="Calibri"/>
          <w:sz w:val="22"/>
          <w:szCs w:val="22"/>
        </w:rPr>
        <w:t>3</w:t>
      </w:r>
      <w:r>
        <w:rPr>
          <w:rFonts w:hint="eastAsia" w:ascii="宋体" w:hAnsi="宋体" w:cs="Calibri"/>
          <w:sz w:val="22"/>
          <w:szCs w:val="22"/>
        </w:rPr>
        <w:t>）</w:t>
      </w:r>
      <w:r>
        <w:rPr>
          <w:rFonts w:hint="eastAsia" w:ascii="宋体" w:hAnsi="宋体" w:cs="宋体"/>
          <w:sz w:val="22"/>
          <w:szCs w:val="22"/>
        </w:rPr>
        <w:t>制造商资格声明</w:t>
      </w:r>
      <w:r>
        <w:rPr>
          <w:rFonts w:hint="eastAsia" w:ascii="宋体" w:hAnsi="宋体" w:cs="Arial"/>
          <w:kern w:val="0"/>
          <w:sz w:val="22"/>
          <w:szCs w:val="22"/>
        </w:rPr>
        <w:t>。</w:t>
      </w:r>
    </w:p>
    <w:p>
      <w:pPr>
        <w:adjustRightInd w:val="0"/>
        <w:snapToGrid w:val="0"/>
        <w:spacing w:line="400" w:lineRule="exact"/>
        <w:ind w:firstLine="440" w:firstLineChars="200"/>
        <w:rPr>
          <w:rFonts w:ascii="宋体" w:hAnsi="宋体" w:cs="Arial"/>
          <w:kern w:val="0"/>
          <w:sz w:val="22"/>
          <w:szCs w:val="22"/>
        </w:rPr>
      </w:pPr>
      <w:r>
        <w:rPr>
          <w:rFonts w:hint="eastAsia" w:ascii="宋体" w:hAnsi="宋体" w:cs="Arial"/>
          <w:kern w:val="0"/>
          <w:sz w:val="22"/>
          <w:szCs w:val="22"/>
        </w:rPr>
        <w:t>（</w:t>
      </w:r>
      <w:r>
        <w:rPr>
          <w:rFonts w:ascii="宋体" w:hAnsi="宋体" w:cs="Arial"/>
          <w:kern w:val="0"/>
          <w:sz w:val="22"/>
          <w:szCs w:val="22"/>
        </w:rPr>
        <w:t>4</w:t>
      </w:r>
      <w:r>
        <w:rPr>
          <w:rFonts w:hint="eastAsia" w:ascii="宋体" w:hAnsi="宋体" w:cs="Arial"/>
          <w:kern w:val="0"/>
          <w:sz w:val="22"/>
          <w:szCs w:val="22"/>
        </w:rPr>
        <w:t>）</w:t>
      </w:r>
      <w:r>
        <w:rPr>
          <w:rFonts w:ascii="宋体" w:hAnsi="宋体" w:cs="Calibri"/>
          <w:color w:val="000000"/>
          <w:sz w:val="22"/>
          <w:szCs w:val="22"/>
        </w:rPr>
        <w:t>设备制造商的授权书</w:t>
      </w:r>
      <w:r>
        <w:rPr>
          <w:rFonts w:hint="eastAsia" w:ascii="宋体" w:hAnsi="宋体" w:cs="Calibri"/>
          <w:color w:val="000000"/>
          <w:sz w:val="22"/>
          <w:szCs w:val="22"/>
        </w:rPr>
        <w:t>（代理商投标时提供）</w:t>
      </w:r>
    </w:p>
    <w:p>
      <w:pPr>
        <w:adjustRightInd w:val="0"/>
        <w:snapToGrid w:val="0"/>
        <w:spacing w:line="400" w:lineRule="exact"/>
        <w:ind w:firstLine="440" w:firstLineChars="200"/>
        <w:rPr>
          <w:rFonts w:ascii="宋体" w:hAnsi="宋体" w:cs="Calibri"/>
          <w:sz w:val="22"/>
          <w:szCs w:val="22"/>
        </w:rPr>
      </w:pPr>
      <w:r>
        <w:rPr>
          <w:rFonts w:hint="eastAsia" w:ascii="宋体" w:hAnsi="宋体" w:cs="Arial"/>
          <w:kern w:val="0"/>
          <w:sz w:val="22"/>
          <w:szCs w:val="22"/>
        </w:rPr>
        <w:t>（</w:t>
      </w:r>
      <w:r>
        <w:rPr>
          <w:rFonts w:ascii="宋体" w:hAnsi="宋体" w:cs="Arial"/>
          <w:kern w:val="0"/>
          <w:sz w:val="22"/>
          <w:szCs w:val="22"/>
        </w:rPr>
        <w:t>5</w:t>
      </w:r>
      <w:r>
        <w:rPr>
          <w:rFonts w:hint="eastAsia" w:ascii="宋体" w:hAnsi="宋体" w:cs="Arial"/>
          <w:kern w:val="0"/>
          <w:sz w:val="22"/>
          <w:szCs w:val="22"/>
        </w:rPr>
        <w:t>）</w:t>
      </w:r>
      <w:r>
        <w:rPr>
          <w:rFonts w:hint="eastAsia" w:ascii="宋体" w:hAnsi="宋体" w:cs="Calibri"/>
          <w:sz w:val="22"/>
          <w:szCs w:val="22"/>
        </w:rPr>
        <w:t>投标产品近三年的销售业绩一览表（附业绩的合同）。</w:t>
      </w:r>
    </w:p>
    <w:p>
      <w:pPr>
        <w:adjustRightInd w:val="0"/>
        <w:snapToGrid w:val="0"/>
        <w:spacing w:line="400" w:lineRule="exact"/>
        <w:ind w:firstLine="440" w:firstLineChars="200"/>
        <w:rPr>
          <w:rFonts w:ascii="宋体" w:hAnsi="宋体" w:cs="宋体"/>
          <w:sz w:val="22"/>
          <w:szCs w:val="22"/>
        </w:rPr>
      </w:pPr>
      <w:r>
        <w:rPr>
          <w:rFonts w:hint="eastAsia" w:ascii="宋体" w:hAnsi="宋体" w:cs="Calibri"/>
          <w:sz w:val="22"/>
          <w:szCs w:val="22"/>
        </w:rPr>
        <w:t>六、</w:t>
      </w:r>
      <w:r>
        <w:rPr>
          <w:rFonts w:hint="eastAsia" w:ascii="宋体" w:hAnsi="宋体" w:cs="宋体"/>
          <w:sz w:val="22"/>
          <w:szCs w:val="22"/>
        </w:rPr>
        <w:t>技术规格偏离表；</w:t>
      </w:r>
    </w:p>
    <w:p>
      <w:pPr>
        <w:adjustRightInd w:val="0"/>
        <w:snapToGrid w:val="0"/>
        <w:spacing w:line="400" w:lineRule="exact"/>
        <w:ind w:firstLine="440" w:firstLineChars="200"/>
        <w:rPr>
          <w:rFonts w:ascii="宋体" w:hAnsi="宋体" w:cs="Calibri"/>
          <w:sz w:val="22"/>
          <w:szCs w:val="22"/>
        </w:rPr>
      </w:pPr>
      <w:r>
        <w:rPr>
          <w:rFonts w:hint="eastAsia" w:ascii="宋体" w:hAnsi="宋体" w:cs="宋体"/>
          <w:sz w:val="22"/>
          <w:szCs w:val="22"/>
        </w:rPr>
        <w:t>七、商务条款响应偏离表；</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九、技术参数、结构及性能特点等产品技术规格书；</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十、主要原材料及部件性能和生产厂家；</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十一、产品制造、安装、验收标准和验收方法；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十二、现场指导、调试；</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十三、</w:t>
      </w:r>
      <w:r>
        <w:rPr>
          <w:rFonts w:ascii="宋体" w:hAnsi="宋体" w:cs="宋体"/>
          <w:sz w:val="22"/>
          <w:szCs w:val="22"/>
        </w:rPr>
        <w:t>产品的技术服务和售后服务的内容、措施、承诺</w:t>
      </w:r>
      <w:r>
        <w:rPr>
          <w:rFonts w:hint="eastAsia" w:ascii="宋体" w:hAnsi="宋体" w:cs="宋体"/>
          <w:sz w:val="22"/>
          <w:szCs w:val="22"/>
        </w:rPr>
        <w:t>；</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十五、关于质量保证期的说明；</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szCs w:val="22"/>
        </w:rPr>
      </w:pPr>
      <w:r>
        <w:rPr>
          <w:rFonts w:hint="eastAsia" w:ascii="宋体" w:hAnsi="宋体" w:cs="宋体"/>
          <w:sz w:val="22"/>
          <w:szCs w:val="22"/>
        </w:rPr>
        <w:t>十七、</w:t>
      </w:r>
      <w:r>
        <w:rPr>
          <w:rFonts w:hint="eastAsia" w:cs="Arial" w:asciiTheme="minorEastAsia" w:hAnsiTheme="minorEastAsia"/>
          <w:color w:val="000000"/>
          <w:sz w:val="22"/>
          <w:szCs w:val="22"/>
        </w:rPr>
        <w:t>投标人认为</w:t>
      </w:r>
      <w:r>
        <w:rPr>
          <w:rFonts w:cs="Arial" w:asciiTheme="minorEastAsia" w:hAnsiTheme="minorEastAsia"/>
          <w:color w:val="000000"/>
          <w:sz w:val="22"/>
          <w:szCs w:val="22"/>
        </w:rPr>
        <w:t>应该提供的其他材料</w:t>
      </w:r>
      <w:r>
        <w:rPr>
          <w:rFonts w:hint="eastAsia" w:ascii="宋体" w:hAnsi="宋体" w:cs="宋体"/>
          <w:sz w:val="22"/>
          <w:szCs w:val="22"/>
        </w:rPr>
        <w:t>。</w:t>
      </w:r>
    </w:p>
    <w:p>
      <w:pPr>
        <w:adjustRightInd w:val="0"/>
        <w:snapToGrid w:val="0"/>
        <w:spacing w:line="400" w:lineRule="exact"/>
        <w:ind w:firstLine="440" w:firstLineChars="200"/>
        <w:rPr>
          <w:rFonts w:ascii="宋体" w:hAnsi="宋体" w:cs="Calibri"/>
          <w:color w:val="000000"/>
          <w:sz w:val="22"/>
          <w:szCs w:val="22"/>
        </w:rPr>
      </w:pPr>
    </w:p>
    <w:p>
      <w:pPr>
        <w:rPr>
          <w:rFonts w:ascii="宋体" w:hAnsi="宋体" w:cs="Calibri"/>
          <w:sz w:val="22"/>
          <w:szCs w:val="22"/>
        </w:rPr>
      </w:pPr>
    </w:p>
    <w:p>
      <w:pPr>
        <w:spacing w:line="440" w:lineRule="exact"/>
        <w:rPr>
          <w:rFonts w:ascii="宋体" w:hAnsi="宋体" w:cs="Calibri"/>
          <w:color w:val="000000"/>
          <w:sz w:val="22"/>
          <w:szCs w:val="22"/>
        </w:rPr>
      </w:pPr>
    </w:p>
    <w:p>
      <w:pPr>
        <w:widowControl/>
        <w:jc w:val="left"/>
        <w:rPr>
          <w:rFonts w:ascii="宋体" w:hAnsi="宋体" w:cs="Calibri"/>
          <w:color w:val="000000"/>
          <w:sz w:val="22"/>
          <w:szCs w:val="22"/>
        </w:rPr>
      </w:pPr>
      <w:r>
        <w:rPr>
          <w:rFonts w:hint="eastAsia" w:ascii="宋体" w:hAnsi="宋体" w:cs="Calibri"/>
          <w:color w:val="000000"/>
          <w:sz w:val="22"/>
          <w:szCs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82" w:name="_Toc171421958"/>
      <w:r>
        <w:rPr>
          <w:rFonts w:cs="Calibri"/>
          <w:color w:val="000000"/>
        </w:rPr>
        <w:t>封面</w:t>
      </w:r>
      <w:bookmarkEnd w:id="82"/>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rPr>
      </w:pPr>
    </w:p>
    <w:p>
      <w:pPr>
        <w:spacing w:line="440" w:lineRule="exact"/>
        <w:ind w:firstLine="480" w:firstLineChars="200"/>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440" w:lineRule="exact"/>
        <w:ind w:firstLine="48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（盖单位章）</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（签字或盖章）</w:t>
      </w:r>
    </w:p>
    <w:p>
      <w:pPr>
        <w:spacing w:line="360" w:lineRule="auto"/>
        <w:ind w:firstLine="1400" w:firstLineChars="500"/>
        <w:rPr>
          <w:rFonts w:cs="Calibri"/>
          <w:color w:val="000000"/>
          <w:sz w:val="28"/>
          <w:szCs w:val="28"/>
        </w:rPr>
      </w:pPr>
      <w:r>
        <w:rPr>
          <w:rFonts w:cs="Calibri"/>
          <w:color w:val="000000"/>
          <w:sz w:val="28"/>
          <w:szCs w:val="28"/>
        </w:rPr>
        <w:t>日期：年月日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根据贵方杭州萧山国际机场采购项目的招标文件，授权代表(全名、职务)经正式授权，代表投标人(投标人名称、地址)递交下述文件正本一份、副本二份。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75" w:leftChars="198" w:firstLine="440" w:firstLineChars="200"/>
        <w:rPr>
          <w:rFonts w:ascii="宋体" w:hAnsi="宋体"/>
          <w:sz w:val="22"/>
        </w:rPr>
      </w:pPr>
      <w:r>
        <w:rPr>
          <w:rFonts w:hint="eastAsia" w:ascii="宋体" w:hAnsi="宋体"/>
          <w:sz w:val="22"/>
        </w:rPr>
        <w:t>(大写)</w:t>
      </w:r>
      <w:r>
        <w:rPr>
          <w:rFonts w:ascii="宋体" w:hAnsi="宋体"/>
          <w:sz w:val="22"/>
          <w:u w:val="single"/>
        </w:rPr>
        <w:t xml:space="preserve">                         </w:t>
      </w:r>
      <w:r>
        <w:rPr>
          <w:rFonts w:hint="eastAsia" w:ascii="宋体" w:hAnsi="宋体"/>
          <w:sz w:val="22"/>
        </w:rPr>
        <w:t>(小写)</w:t>
      </w:r>
      <w:r>
        <w:rPr>
          <w:rFonts w:ascii="宋体" w:hAnsi="宋体"/>
          <w:sz w:val="22"/>
          <w:u w:val="single"/>
        </w:rPr>
        <w:t xml:space="preserve">                          </w:t>
      </w:r>
      <w:r>
        <w:rPr>
          <w:rFonts w:ascii="宋体" w:hAnsi="宋体"/>
          <w:sz w:val="22"/>
        </w:rPr>
        <w:t xml:space="preserve"> </w:t>
      </w:r>
      <w:r>
        <w:rPr>
          <w:rFonts w:hint="eastAsia" w:ascii="宋体" w:hAnsi="宋体"/>
          <w:sz w:val="22"/>
        </w:rPr>
        <w:t>。</w:t>
      </w:r>
    </w:p>
    <w:p>
      <w:pPr>
        <w:overflowPunct w:val="0"/>
        <w:autoSpaceDE w:val="0"/>
        <w:autoSpaceDN w:val="0"/>
        <w:spacing w:line="440" w:lineRule="exact"/>
        <w:ind w:left="475" w:leftChars="198" w:firstLine="440" w:firstLineChars="200"/>
        <w:rPr>
          <w:rFonts w:ascii="宋体" w:hAnsi="宋体"/>
          <w:sz w:val="22"/>
        </w:rPr>
      </w:pPr>
      <w:r>
        <w:rPr>
          <w:rFonts w:hint="eastAsia" w:ascii="宋体" w:hAnsi="宋体"/>
          <w:sz w:val="22"/>
        </w:rPr>
        <w:t>供货期：合同签订后日历天、投标品牌：</w:t>
      </w:r>
    </w:p>
    <w:p>
      <w:pPr>
        <w:numPr>
          <w:ilvl w:val="0"/>
          <w:numId w:val="6"/>
        </w:numPr>
        <w:tabs>
          <w:tab w:val="left" w:pos="840"/>
        </w:tabs>
        <w:overflowPunct w:val="0"/>
        <w:autoSpaceDE w:val="0"/>
        <w:autoSpaceDN w:val="0"/>
        <w:spacing w:line="440" w:lineRule="exact"/>
        <w:rPr>
          <w:rFonts w:ascii="宋体" w:hAnsi="宋体"/>
          <w:sz w:val="22"/>
        </w:rPr>
      </w:pPr>
      <w:r>
        <w:rPr>
          <w:rFonts w:hint="eastAsia" w:ascii="宋体" w:hAnsi="宋体"/>
          <w:sz w:val="22"/>
        </w:rPr>
        <w:t>我方承诺：</w:t>
      </w:r>
    </w:p>
    <w:p>
      <w:pPr>
        <w:numPr>
          <w:ilvl w:val="0"/>
          <w:numId w:val="7"/>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我方不是失信被执行人；</w:t>
      </w:r>
    </w:p>
    <w:p>
      <w:pPr>
        <w:numPr>
          <w:ilvl w:val="0"/>
          <w:numId w:val="7"/>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我方在规定期限内无行贿犯罪记录；</w:t>
      </w:r>
    </w:p>
    <w:p>
      <w:pPr>
        <w:numPr>
          <w:ilvl w:val="0"/>
          <w:numId w:val="7"/>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我方具有一般纳税人资格，可提供增值税专用发票。</w:t>
      </w:r>
    </w:p>
    <w:p>
      <w:pPr>
        <w:numPr>
          <w:ilvl w:val="0"/>
          <w:numId w:val="6"/>
        </w:numPr>
        <w:tabs>
          <w:tab w:val="left" w:pos="840"/>
        </w:tabs>
        <w:overflowPunct w:val="0"/>
        <w:autoSpaceDE w:val="0"/>
        <w:autoSpaceDN w:val="0"/>
        <w:spacing w:line="440" w:lineRule="exact"/>
        <w:rPr>
          <w:rFonts w:ascii="宋体" w:hAnsi="宋体"/>
          <w:sz w:val="22"/>
        </w:rPr>
      </w:pPr>
      <w:r>
        <w:rPr>
          <w:rFonts w:hint="eastAsia" w:ascii="宋体" w:hAnsi="宋体"/>
          <w:sz w:val="22"/>
        </w:rPr>
        <w:t>如我方中标，我方承诺：</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在收到中标通知书后，在中标通知书规定的期限内与你方签订合同；</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在签订合同时不向你方提出附加条件；</w:t>
      </w:r>
    </w:p>
    <w:p>
      <w:pPr>
        <w:numPr>
          <w:ilvl w:val="0"/>
          <w:numId w:val="8"/>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ascii="宋体" w:hAnsi="宋体"/>
          <w:sz w:val="22"/>
        </w:rPr>
      </w:pPr>
      <w:r>
        <w:rPr>
          <w:rFonts w:hint="eastAsia" w:ascii="宋体" w:hAnsi="宋体"/>
          <w:sz w:val="22"/>
        </w:rPr>
        <w:t>④在合同约定的期限内完成合同规定的全部义务。</w:t>
      </w:r>
    </w:p>
    <w:p>
      <w:pPr>
        <w:numPr>
          <w:ilvl w:val="0"/>
          <w:numId w:val="6"/>
        </w:numPr>
        <w:tabs>
          <w:tab w:val="left" w:pos="840"/>
        </w:tabs>
        <w:overflowPunct w:val="0"/>
        <w:autoSpaceDE w:val="0"/>
        <w:autoSpaceDN w:val="0"/>
        <w:spacing w:line="440" w:lineRule="exact"/>
        <w:rPr>
          <w:rFonts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我方同意按照你方可能提出的要求，提供有关的任何其它数字或资料，并对贵方可能不接受最低报价及任何报价表示理解。</w:t>
      </w: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ascii="宋体" w:hAnsi="宋体"/>
          <w:sz w:val="22"/>
          <w:szCs w:val="22"/>
        </w:rPr>
      </w:pP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投标人：（盖单位章）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地    址：</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邮政编码：</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电    话：</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传    真：</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开户银行：</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账    号：</w:t>
      </w:r>
    </w:p>
    <w:p>
      <w:pPr>
        <w:snapToGrid w:val="0"/>
        <w:spacing w:line="440" w:lineRule="exact"/>
        <w:ind w:firstLine="3300" w:firstLineChars="1500"/>
        <w:rPr>
          <w:rFonts w:cs="Calibri" w:asciiTheme="minorEastAsia" w:hAnsiTheme="minorEastAsia"/>
          <w:color w:val="000000"/>
          <w:sz w:val="22"/>
          <w:szCs w:val="22"/>
        </w:rPr>
      </w:pPr>
      <w:r>
        <w:rPr>
          <w:rFonts w:cs="Calibri" w:asciiTheme="minorEastAsia" w:hAnsiTheme="minorEastAsia"/>
          <w:color w:val="000000"/>
          <w:sz w:val="22"/>
          <w:szCs w:val="22"/>
        </w:rPr>
        <w:t>日    期：    年     月     日</w:t>
      </w:r>
    </w:p>
    <w:p>
      <w:pPr>
        <w:adjustRightInd w:val="0"/>
        <w:snapToGrid w:val="0"/>
        <w:jc w:val="center"/>
        <w:rPr>
          <w:rFonts w:eastAsia="黑体" w:cs="Calibri"/>
          <w:color w:val="000000"/>
          <w:sz w:val="32"/>
          <w:szCs w:val="32"/>
        </w:rPr>
      </w:pPr>
      <w:r>
        <w:rPr>
          <w:rFonts w:ascii="宋体" w:hAnsi="宋体" w:cs="Arial"/>
          <w:sz w:val="22"/>
          <w:szCs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rPr>
      </w:pPr>
    </w:p>
    <w:p>
      <w:pPr>
        <w:spacing w:after="120" w:afterLines="50" w:line="440" w:lineRule="exact"/>
        <w:rPr>
          <w:rFonts w:cs="Calibri"/>
          <w:color w:val="000000"/>
          <w:sz w:val="22"/>
          <w:szCs w:val="22"/>
          <w:u w:val="single"/>
        </w:rPr>
      </w:pPr>
      <w:r>
        <w:rPr>
          <w:rFonts w:cs="Calibri"/>
          <w:color w:val="000000"/>
          <w:sz w:val="22"/>
          <w:szCs w:val="22"/>
        </w:rPr>
        <w:t>投标人名称：</w:t>
      </w:r>
    </w:p>
    <w:p>
      <w:pPr>
        <w:spacing w:after="120" w:afterLines="50" w:line="440" w:lineRule="exact"/>
        <w:rPr>
          <w:rFonts w:cs="Calibri"/>
          <w:color w:val="000000"/>
          <w:sz w:val="22"/>
          <w:szCs w:val="22"/>
          <w:u w:val="single"/>
        </w:rPr>
      </w:pPr>
      <w:r>
        <w:rPr>
          <w:rFonts w:cs="Calibri"/>
          <w:color w:val="000000"/>
          <w:sz w:val="22"/>
          <w:szCs w:val="22"/>
        </w:rPr>
        <w:t>单位性质：</w:t>
      </w:r>
    </w:p>
    <w:p>
      <w:pPr>
        <w:spacing w:after="120" w:afterLines="50" w:line="440" w:lineRule="exact"/>
        <w:rPr>
          <w:rFonts w:cs="Calibri"/>
          <w:color w:val="000000"/>
          <w:sz w:val="22"/>
          <w:szCs w:val="22"/>
          <w:u w:val="single"/>
        </w:rPr>
      </w:pPr>
      <w:r>
        <w:rPr>
          <w:rFonts w:cs="Calibri"/>
          <w:color w:val="000000"/>
          <w:sz w:val="22"/>
          <w:szCs w:val="22"/>
        </w:rPr>
        <w:t>地址：</w:t>
      </w:r>
    </w:p>
    <w:p>
      <w:pPr>
        <w:spacing w:after="120" w:afterLines="50" w:line="440" w:lineRule="exact"/>
        <w:rPr>
          <w:rFonts w:cs="Calibri"/>
          <w:color w:val="000000"/>
          <w:sz w:val="22"/>
          <w:szCs w:val="22"/>
          <w:u w:val="single"/>
        </w:rPr>
      </w:pPr>
      <w:r>
        <w:rPr>
          <w:rFonts w:cs="Calibri"/>
          <w:color w:val="000000"/>
          <w:sz w:val="22"/>
          <w:szCs w:val="22"/>
        </w:rPr>
        <w:t>成立时间：年月日</w:t>
      </w:r>
    </w:p>
    <w:p>
      <w:pPr>
        <w:spacing w:after="120" w:afterLines="50" w:line="440" w:lineRule="exact"/>
        <w:rPr>
          <w:rFonts w:cs="Calibri"/>
          <w:color w:val="000000"/>
          <w:sz w:val="22"/>
          <w:szCs w:val="22"/>
          <w:u w:val="single"/>
        </w:rPr>
      </w:pPr>
      <w:r>
        <w:rPr>
          <w:rFonts w:cs="Calibri"/>
          <w:color w:val="000000"/>
          <w:sz w:val="22"/>
          <w:szCs w:val="22"/>
        </w:rPr>
        <w:t>经营期限：</w:t>
      </w:r>
    </w:p>
    <w:p>
      <w:pPr>
        <w:spacing w:after="120" w:afterLines="50" w:line="440" w:lineRule="exact"/>
        <w:rPr>
          <w:rFonts w:cs="Calibri"/>
          <w:color w:val="000000"/>
          <w:sz w:val="22"/>
          <w:szCs w:val="22"/>
          <w:u w:val="single"/>
        </w:rPr>
      </w:pPr>
      <w:r>
        <w:rPr>
          <w:rFonts w:cs="Calibri"/>
          <w:color w:val="000000"/>
          <w:sz w:val="22"/>
          <w:szCs w:val="22"/>
        </w:rPr>
        <w:t>姓名：性别：年龄：职务：</w:t>
      </w:r>
    </w:p>
    <w:p>
      <w:pPr>
        <w:spacing w:after="120" w:afterLines="50" w:line="440" w:lineRule="exact"/>
        <w:rPr>
          <w:rFonts w:cs="Calibri"/>
          <w:color w:val="000000"/>
          <w:sz w:val="22"/>
          <w:szCs w:val="22"/>
          <w:u w:val="single"/>
        </w:rPr>
      </w:pPr>
      <w:r>
        <w:rPr>
          <w:rFonts w:cs="Calibri"/>
          <w:color w:val="000000"/>
          <w:sz w:val="22"/>
          <w:szCs w:val="22"/>
        </w:rPr>
        <w:t>身份证号码：</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系（投标人名称）的法定代表人。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投标人：（盖单位章）</w:t>
      </w:r>
    </w:p>
    <w:p>
      <w:pPr>
        <w:spacing w:line="440" w:lineRule="exact"/>
        <w:ind w:firstLine="4936" w:firstLineChars="2235"/>
        <w:rPr>
          <w:rFonts w:cs="Calibri"/>
          <w:b/>
          <w:color w:val="000000"/>
          <w:sz w:val="22"/>
          <w:szCs w:val="22"/>
        </w:rPr>
      </w:pPr>
      <w:r>
        <w:rPr>
          <w:rFonts w:cs="Calibri"/>
          <w:b/>
          <w:color w:val="000000"/>
          <w:sz w:val="22"/>
          <w:szCs w:val="22"/>
        </w:rPr>
        <w:pict>
          <v:shape id="Text Box 6" o:spid="_x0000_s1026" o:spt="202" type="#_x0000_t202" style="position:absolute;left:0pt;margin-left:0pt;margin-top:63.25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日期：年月日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日期：年月日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b/>
          <w:bCs/>
          <w:color w:val="000000"/>
          <w:szCs w:val="21"/>
        </w:rPr>
      </w:pP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p>
    <w:p>
      <w:pPr>
        <w:spacing w:line="360" w:lineRule="auto"/>
        <w:jc w:val="left"/>
        <w:rPr>
          <w:rFonts w:ascii="宋体" w:hAnsi="宋体" w:cs="宋体"/>
          <w:sz w:val="22"/>
        </w:rPr>
      </w:pPr>
    </w:p>
    <w:p>
      <w:pPr>
        <w:pStyle w:val="29"/>
        <w:spacing w:after="120" w:afterLines="50" w:line="360" w:lineRule="auto"/>
        <w:jc w:val="left"/>
        <w:rPr>
          <w:rFonts w:hAnsi="宋体" w:cs="宋体"/>
          <w:b/>
        </w:rPr>
      </w:pPr>
      <w:r>
        <w:rPr>
          <w:rFonts w:hAnsi="宋体" w:cs="宋体"/>
          <w:b/>
        </w:rPr>
        <w:br w:type="page"/>
      </w:r>
      <w:bookmarkStart w:id="83" w:name="_Toc133470542"/>
      <w:bookmarkStart w:id="84" w:name="_Toc137373398"/>
      <w:bookmarkStart w:id="85" w:name="_Toc144265958"/>
      <w:bookmarkStart w:id="86" w:name="_Toc133214102"/>
      <w:bookmarkStart w:id="87" w:name="_Toc133214309"/>
    </w:p>
    <w:p>
      <w:pPr>
        <w:pStyle w:val="29"/>
        <w:spacing w:after="120" w:afterLines="50" w:line="360" w:lineRule="auto"/>
        <w:jc w:val="left"/>
        <w:rPr>
          <w:rFonts w:hAnsi="宋体" w:cs="宋体"/>
          <w:sz w:val="22"/>
          <w:szCs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四、投标报价表</w:t>
      </w:r>
    </w:p>
    <w:p>
      <w:pPr>
        <w:pStyle w:val="29"/>
        <w:spacing w:after="120" w:afterLines="50" w:line="360" w:lineRule="auto"/>
        <w:jc w:val="center"/>
        <w:rPr>
          <w:rFonts w:hAnsi="宋体" w:cs="宋体"/>
        </w:rPr>
      </w:pPr>
    </w:p>
    <w:p>
      <w:pPr>
        <w:pStyle w:val="29"/>
        <w:numPr>
          <w:ilvl w:val="1"/>
          <w:numId w:val="9"/>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9"/>
        <w:numPr>
          <w:ilvl w:val="1"/>
          <w:numId w:val="10"/>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9"/>
        <w:numPr>
          <w:ilvl w:val="1"/>
          <w:numId w:val="10"/>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9"/>
        <w:numPr>
          <w:ilvl w:val="1"/>
          <w:numId w:val="10"/>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9"/>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9"/>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9"/>
        <w:numPr>
          <w:ilvl w:val="1"/>
          <w:numId w:val="10"/>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9"/>
        <w:numPr>
          <w:ilvl w:val="1"/>
          <w:numId w:val="9"/>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83"/>
    <w:bookmarkEnd w:id="84"/>
    <w:bookmarkEnd w:id="85"/>
    <w:bookmarkEnd w:id="86"/>
    <w:bookmarkEnd w:id="87"/>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52"/>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11"/>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88" w:name="_Toc133470544"/>
      <w:bookmarkStart w:id="89" w:name="_Toc133214310"/>
      <w:bookmarkStart w:id="90" w:name="_Toc133214103"/>
      <w:bookmarkStart w:id="91" w:name="_Toc137373399"/>
    </w:p>
    <w:p>
      <w:pPr>
        <w:spacing w:line="360" w:lineRule="auto"/>
        <w:jc w:val="center"/>
        <w:rPr>
          <w:rFonts w:ascii="宋体" w:hAnsi="宋体" w:cs="宋体"/>
          <w:b/>
          <w:sz w:val="32"/>
          <w:szCs w:val="32"/>
        </w:rPr>
      </w:pPr>
      <w:bookmarkStart w:id="92" w:name="_Toc144265959"/>
      <w:r>
        <w:rPr>
          <w:rFonts w:hint="eastAsia" w:ascii="宋体" w:hAnsi="宋体" w:cs="宋体"/>
          <w:b/>
          <w:sz w:val="32"/>
          <w:szCs w:val="32"/>
        </w:rPr>
        <w:br w:type="page"/>
      </w:r>
    </w:p>
    <w:bookmarkEnd w:id="88"/>
    <w:bookmarkEnd w:id="89"/>
    <w:bookmarkEnd w:id="90"/>
    <w:bookmarkEnd w:id="91"/>
    <w:bookmarkEnd w:id="92"/>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52"/>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7192" w:type="dxa"/>
            <w:gridSpan w:val="7"/>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计（不含税价）</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7192" w:type="dxa"/>
            <w:gridSpan w:val="7"/>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7192" w:type="dxa"/>
            <w:gridSpan w:val="7"/>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w:t>
            </w:r>
            <w:r>
              <w:rPr>
                <w:rFonts w:ascii="宋体" w:hAnsi="宋体" w:cs="宋体"/>
                <w:b/>
                <w:bCs/>
                <w:kern w:val="0"/>
                <w:sz w:val="20"/>
              </w:rPr>
              <w:t>（</w:t>
            </w:r>
            <w:r>
              <w:rPr>
                <w:rFonts w:hint="eastAsia" w:ascii="宋体" w:hAnsi="宋体" w:cs="宋体"/>
                <w:b/>
                <w:bCs/>
                <w:kern w:val="0"/>
                <w:sz w:val="20"/>
              </w:rPr>
              <w:t>含税价</w:t>
            </w:r>
            <w:r>
              <w:rPr>
                <w:rFonts w:ascii="宋体" w:hAnsi="宋体" w:cs="宋体"/>
                <w:b/>
                <w:bCs/>
                <w:kern w:val="0"/>
                <w:sz w:val="20"/>
              </w:rPr>
              <w:t>）</w:t>
            </w:r>
          </w:p>
        </w:tc>
        <w:tc>
          <w:tcPr>
            <w:tcW w:w="1456" w:type="dxa"/>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2"/>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ascii="宋体" w:hAnsi="宋体" w:cs="宋体"/>
          <w:b/>
          <w:sz w:val="32"/>
          <w:szCs w:val="32"/>
        </w:rPr>
        <w:t>4.3</w:t>
      </w:r>
      <w:r>
        <w:rPr>
          <w:rFonts w:hint="eastAsia" w:ascii="宋体" w:hAnsi="宋体" w:cs="宋体"/>
          <w:b/>
          <w:sz w:val="32"/>
          <w:szCs w:val="32"/>
        </w:rPr>
        <w:t xml:space="preserve"> 随机配件和专用工具分项报价表</w:t>
      </w:r>
    </w:p>
    <w:tbl>
      <w:tblPr>
        <w:tblStyle w:val="52"/>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52"/>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五、</w:t>
      </w:r>
      <w:r>
        <w:rPr>
          <w:rFonts w:ascii="Calibri" w:hAnsi="Calibri"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52"/>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6"/>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3"/>
        </w:numPr>
        <w:adjustRightInd w:val="0"/>
        <w:spacing w:before="120" w:beforeLines="50" w:line="360" w:lineRule="auto"/>
        <w:textAlignment w:val="baseline"/>
        <w:rPr>
          <w:rFonts w:ascii="宋体" w:hAnsi="宋体" w:cs="宋体"/>
          <w:sz w:val="22"/>
          <w:szCs w:val="22"/>
        </w:rPr>
      </w:pPr>
      <w:r>
        <w:rPr>
          <w:rFonts w:hint="eastAsia" w:ascii="宋体" w:hAnsi="宋体" w:cs="宋体"/>
          <w:sz w:val="22"/>
          <w:szCs w:val="22"/>
        </w:rPr>
        <w:t>名称及概况：</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制造商名称：</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总部地址：</w:t>
      </w:r>
    </w:p>
    <w:p>
      <w:pPr>
        <w:spacing w:line="360" w:lineRule="auto"/>
        <w:ind w:left="840" w:firstLine="120"/>
        <w:rPr>
          <w:rFonts w:ascii="宋体" w:hAnsi="宋体" w:cs="宋体"/>
          <w:sz w:val="22"/>
          <w:szCs w:val="22"/>
          <w:u w:val="single"/>
        </w:rPr>
      </w:pPr>
      <w:r>
        <w:rPr>
          <w:rFonts w:hint="eastAsia" w:ascii="宋体" w:hAnsi="宋体" w:cs="宋体"/>
          <w:sz w:val="22"/>
          <w:szCs w:val="22"/>
        </w:rPr>
        <w:t>电传/传真/电话号码：</w:t>
      </w:r>
    </w:p>
    <w:p>
      <w:pPr>
        <w:numPr>
          <w:ilvl w:val="0"/>
          <w:numId w:val="14"/>
        </w:numPr>
        <w:adjustRightInd w:val="0"/>
        <w:spacing w:line="360" w:lineRule="auto"/>
        <w:textAlignment w:val="baseline"/>
        <w:rPr>
          <w:rFonts w:ascii="宋体" w:hAnsi="宋体" w:cs="宋体"/>
          <w:sz w:val="22"/>
          <w:szCs w:val="22"/>
          <w:u w:val="single"/>
        </w:rPr>
      </w:pPr>
      <w:r>
        <w:rPr>
          <w:rFonts w:hint="eastAsia" w:ascii="宋体" w:hAnsi="宋体" w:cs="宋体"/>
          <w:sz w:val="22"/>
          <w:szCs w:val="22"/>
        </w:rPr>
        <w:t>成立和/或注册日期：</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实收资本：</w:t>
      </w:r>
    </w:p>
    <w:p>
      <w:pPr>
        <w:numPr>
          <w:ilvl w:val="0"/>
          <w:numId w:val="14"/>
        </w:numPr>
        <w:adjustRightInd w:val="0"/>
        <w:spacing w:line="360" w:lineRule="auto"/>
        <w:textAlignment w:val="baseline"/>
        <w:rPr>
          <w:rFonts w:ascii="宋体" w:hAnsi="宋体" w:cs="宋体"/>
          <w:sz w:val="22"/>
          <w:szCs w:val="22"/>
        </w:rPr>
      </w:pPr>
      <w:r>
        <w:rPr>
          <w:rFonts w:hint="eastAsia" w:ascii="宋体" w:hAnsi="宋体" w:cs="宋体"/>
          <w:sz w:val="22"/>
          <w:szCs w:val="22"/>
        </w:rPr>
        <w:t>近期资产负债表（到年月日止）</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固定资产：</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流动资产：</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长期负债：</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流动负债：</w:t>
      </w:r>
    </w:p>
    <w:p>
      <w:pPr>
        <w:numPr>
          <w:ilvl w:val="0"/>
          <w:numId w:val="15"/>
        </w:numPr>
        <w:adjustRightInd w:val="0"/>
        <w:spacing w:line="360" w:lineRule="auto"/>
        <w:textAlignment w:val="baseline"/>
        <w:rPr>
          <w:rFonts w:ascii="宋体" w:hAnsi="宋体" w:cs="宋体"/>
          <w:sz w:val="22"/>
          <w:szCs w:val="22"/>
        </w:rPr>
      </w:pPr>
      <w:r>
        <w:rPr>
          <w:rFonts w:hint="eastAsia" w:ascii="宋体" w:hAnsi="宋体" w:cs="宋体"/>
          <w:sz w:val="22"/>
          <w:szCs w:val="22"/>
        </w:rPr>
        <w:t>净值：</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主要负责人姓名：（可选填）</w:t>
      </w:r>
    </w:p>
    <w:p>
      <w:pPr>
        <w:numPr>
          <w:ilvl w:val="0"/>
          <w:numId w:val="16"/>
        </w:numPr>
        <w:adjustRightInd w:val="0"/>
        <w:spacing w:line="360" w:lineRule="auto"/>
        <w:textAlignment w:val="baseline"/>
        <w:rPr>
          <w:rFonts w:ascii="宋体" w:hAnsi="宋体" w:cs="宋体"/>
          <w:sz w:val="22"/>
          <w:szCs w:val="22"/>
        </w:rPr>
      </w:pPr>
      <w:r>
        <w:rPr>
          <w:rFonts w:hint="eastAsia" w:ascii="宋体" w:hAnsi="宋体" w:cs="宋体"/>
          <w:sz w:val="22"/>
          <w:szCs w:val="22"/>
        </w:rPr>
        <w:t>制造商在中国的代表的姓名和地址：（如有的话）</w:t>
      </w:r>
    </w:p>
    <w:p>
      <w:pPr>
        <w:spacing w:line="360" w:lineRule="auto"/>
        <w:ind w:left="425"/>
        <w:rPr>
          <w:rFonts w:ascii="宋体" w:hAnsi="宋体" w:cs="宋体"/>
          <w:sz w:val="22"/>
          <w:szCs w:val="22"/>
        </w:rPr>
      </w:pPr>
    </w:p>
    <w:p>
      <w:pPr>
        <w:numPr>
          <w:ilvl w:val="0"/>
          <w:numId w:val="9"/>
        </w:numPr>
        <w:adjustRightInd w:val="0"/>
        <w:spacing w:line="360" w:lineRule="auto"/>
        <w:textAlignment w:val="baseline"/>
        <w:rPr>
          <w:rFonts w:ascii="宋体" w:hAnsi="宋体" w:cs="宋体"/>
          <w:sz w:val="22"/>
          <w:szCs w:val="22"/>
        </w:rPr>
      </w:pPr>
      <w:r>
        <w:rPr>
          <w:rFonts w:hint="eastAsia" w:ascii="宋体" w:hAnsi="宋体" w:cs="宋体"/>
          <w:sz w:val="22"/>
          <w:szCs w:val="22"/>
        </w:rPr>
        <w:t>(1) 关于制造投标货物的设施及其它情况：</w:t>
      </w:r>
    </w:p>
    <w:p>
      <w:pPr>
        <w:spacing w:line="360" w:lineRule="auto"/>
        <w:ind w:firstLine="360"/>
        <w:rPr>
          <w:rFonts w:ascii="宋体" w:hAnsi="宋体" w:cs="宋体"/>
          <w:sz w:val="22"/>
          <w:szCs w:val="22"/>
        </w:rPr>
      </w:pPr>
      <w:r>
        <w:rPr>
          <w:rFonts w:hint="eastAsia" w:ascii="宋体" w:hAnsi="宋体" w:cs="宋体"/>
          <w:sz w:val="22"/>
          <w:szCs w:val="22"/>
        </w:rPr>
        <w:t>工厂名称地址       生产的项目       年生产能力       职工人数</w:t>
      </w:r>
    </w:p>
    <w:p>
      <w:pPr>
        <w:spacing w:line="360" w:lineRule="auto"/>
        <w:rPr>
          <w:rFonts w:ascii="宋体" w:hAnsi="宋体" w:cs="宋体"/>
          <w:sz w:val="22"/>
          <w:szCs w:val="22"/>
        </w:rPr>
      </w:pPr>
    </w:p>
    <w:p>
      <w:pPr>
        <w:spacing w:line="360" w:lineRule="auto"/>
        <w:rPr>
          <w:rFonts w:ascii="宋体" w:hAnsi="宋体" w:cs="宋体"/>
          <w:sz w:val="22"/>
          <w:szCs w:val="22"/>
        </w:rPr>
      </w:pPr>
    </w:p>
    <w:p>
      <w:pPr>
        <w:numPr>
          <w:ilvl w:val="1"/>
          <w:numId w:val="17"/>
        </w:numPr>
        <w:tabs>
          <w:tab w:val="left" w:pos="780"/>
          <w:tab w:val="clear" w:pos="840"/>
        </w:tabs>
        <w:adjustRightInd w:val="0"/>
        <w:spacing w:line="360" w:lineRule="auto"/>
        <w:ind w:left="780" w:hanging="360"/>
        <w:textAlignment w:val="baseline"/>
        <w:rPr>
          <w:rFonts w:ascii="宋体" w:hAnsi="宋体" w:cs="宋体"/>
          <w:sz w:val="22"/>
          <w:szCs w:val="22"/>
        </w:rPr>
      </w:pPr>
      <w:r>
        <w:rPr>
          <w:rFonts w:hint="eastAsia" w:ascii="宋体" w:hAnsi="宋体" w:cs="宋体"/>
          <w:sz w:val="22"/>
          <w:szCs w:val="22"/>
        </w:rPr>
        <w:t xml:space="preserve"> 本制造商不生产，而需从其它制造商购买的主要零部件：</w:t>
      </w:r>
    </w:p>
    <w:p>
      <w:pPr>
        <w:spacing w:line="360" w:lineRule="auto"/>
        <w:ind w:firstLine="360"/>
        <w:rPr>
          <w:rFonts w:ascii="宋体" w:hAnsi="宋体" w:cs="宋体"/>
          <w:sz w:val="22"/>
          <w:szCs w:val="22"/>
        </w:rPr>
      </w:pPr>
      <w:r>
        <w:rPr>
          <w:rFonts w:hint="eastAsia" w:ascii="宋体" w:hAnsi="宋体" w:cs="宋体"/>
          <w:sz w:val="22"/>
          <w:szCs w:val="22"/>
        </w:rPr>
        <w:t>制造商名称和地址               主要零部件名称</w:t>
      </w:r>
    </w:p>
    <w:p>
      <w:pPr>
        <w:spacing w:line="360" w:lineRule="auto"/>
        <w:rPr>
          <w:rFonts w:ascii="宋体" w:hAnsi="宋体" w:cs="宋体"/>
          <w:sz w:val="22"/>
          <w:szCs w:val="22"/>
          <w:u w:val="single"/>
        </w:rPr>
      </w:pPr>
    </w:p>
    <w:p>
      <w:pPr>
        <w:spacing w:line="360" w:lineRule="auto"/>
        <w:rPr>
          <w:rFonts w:ascii="宋体" w:hAnsi="宋体" w:cs="宋体"/>
          <w:sz w:val="22"/>
          <w:szCs w:val="22"/>
          <w:u w:val="single"/>
        </w:rPr>
      </w:pPr>
    </w:p>
    <w:p>
      <w:pPr>
        <w:numPr>
          <w:ilvl w:val="0"/>
          <w:numId w:val="18"/>
        </w:numPr>
        <w:adjustRightInd w:val="0"/>
        <w:spacing w:line="360" w:lineRule="auto"/>
        <w:ind w:right="506" w:rightChars="211"/>
        <w:textAlignment w:val="baseline"/>
        <w:rPr>
          <w:rFonts w:ascii="宋体" w:hAnsi="宋体" w:cs="宋体"/>
          <w:sz w:val="22"/>
          <w:szCs w:val="22"/>
        </w:rPr>
      </w:pPr>
      <w:r>
        <w:rPr>
          <w:rFonts w:hint="eastAsia" w:ascii="宋体" w:hAnsi="宋体" w:cs="宋体"/>
          <w:sz w:val="22"/>
          <w:szCs w:val="22"/>
        </w:rPr>
        <w:t>本制造商生产投标货物的经验（包括年限、项目业主、额定能力、商业运营的起始日期等）：</w:t>
      </w:r>
    </w:p>
    <w:p>
      <w:pPr>
        <w:spacing w:line="360" w:lineRule="auto"/>
        <w:ind w:firstLine="360"/>
        <w:rPr>
          <w:rFonts w:ascii="宋体" w:hAnsi="宋体" w:cs="宋体"/>
          <w:sz w:val="22"/>
          <w:szCs w:val="22"/>
        </w:rPr>
      </w:pPr>
    </w:p>
    <w:p>
      <w:pPr>
        <w:spacing w:line="360" w:lineRule="auto"/>
        <w:ind w:firstLine="360"/>
        <w:rPr>
          <w:rFonts w:ascii="宋体" w:hAnsi="宋体" w:cs="宋体"/>
          <w:sz w:val="22"/>
          <w:szCs w:val="22"/>
        </w:rPr>
      </w:pPr>
    </w:p>
    <w:p>
      <w:pPr>
        <w:numPr>
          <w:ilvl w:val="0"/>
          <w:numId w:val="18"/>
        </w:numPr>
        <w:adjustRightInd w:val="0"/>
        <w:spacing w:line="360" w:lineRule="auto"/>
        <w:textAlignment w:val="baseline"/>
        <w:rPr>
          <w:rFonts w:ascii="宋体" w:hAnsi="宋体" w:cs="宋体"/>
          <w:sz w:val="22"/>
          <w:szCs w:val="22"/>
        </w:rPr>
      </w:pPr>
      <w:r>
        <w:rPr>
          <w:rFonts w:hint="eastAsia" w:ascii="宋体" w:hAnsi="宋体" w:cs="宋体"/>
          <w:sz w:val="22"/>
          <w:szCs w:val="22"/>
        </w:rPr>
        <w:t>近3年该货物主要销售给国内、外主要客户的名称地址：</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出口销售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p>
    <w:p>
      <w:pPr>
        <w:numPr>
          <w:ilvl w:val="0"/>
          <w:numId w:val="19"/>
        </w:numPr>
        <w:adjustRightInd w:val="0"/>
        <w:spacing w:line="360" w:lineRule="auto"/>
        <w:textAlignment w:val="baseline"/>
        <w:rPr>
          <w:rFonts w:ascii="宋体" w:hAnsi="宋体" w:cs="宋体"/>
          <w:sz w:val="22"/>
          <w:szCs w:val="22"/>
        </w:rPr>
      </w:pPr>
      <w:r>
        <w:rPr>
          <w:rFonts w:hint="eastAsia" w:ascii="宋体" w:hAnsi="宋体" w:cs="宋体"/>
          <w:sz w:val="22"/>
          <w:szCs w:val="22"/>
        </w:rPr>
        <w:t>国内销售</w:t>
      </w:r>
    </w:p>
    <w:p>
      <w:pPr>
        <w:spacing w:line="360" w:lineRule="auto"/>
        <w:ind w:firstLine="840"/>
        <w:rPr>
          <w:rFonts w:ascii="宋体" w:hAnsi="宋体" w:cs="宋体"/>
          <w:sz w:val="22"/>
          <w:szCs w:val="22"/>
          <w:u w:val="single"/>
        </w:rPr>
      </w:pPr>
      <w:r>
        <w:rPr>
          <w:rFonts w:hint="eastAsia" w:ascii="宋体" w:hAnsi="宋体" w:cs="宋体"/>
          <w:sz w:val="22"/>
          <w:szCs w:val="22"/>
        </w:rPr>
        <w:t>（</w:t>
      </w:r>
      <w:r>
        <w:rPr>
          <w:rFonts w:hint="eastAsia" w:ascii="宋体" w:hAnsi="宋体" w:cs="宋体"/>
          <w:i/>
          <w:sz w:val="22"/>
          <w:szCs w:val="22"/>
          <w:u w:val="single"/>
        </w:rPr>
        <w:t>名称和地址</w:t>
      </w:r>
      <w:r>
        <w:rPr>
          <w:rFonts w:hint="eastAsia" w:ascii="宋体" w:hAnsi="宋体" w:cs="宋体"/>
          <w:sz w:val="22"/>
          <w:szCs w:val="22"/>
        </w:rPr>
        <w:t>）（</w:t>
      </w:r>
      <w:r>
        <w:rPr>
          <w:rFonts w:hint="eastAsia" w:ascii="宋体" w:hAnsi="宋体" w:cs="宋体"/>
          <w:i/>
          <w:sz w:val="22"/>
          <w:szCs w:val="22"/>
          <w:u w:val="single"/>
        </w:rPr>
        <w:t>销售项目</w:t>
      </w:r>
      <w:r>
        <w:rPr>
          <w:rFonts w:hint="eastAsia" w:ascii="宋体" w:hAnsi="宋体" w:cs="宋体"/>
          <w:sz w:val="22"/>
          <w:szCs w:val="22"/>
        </w:rPr>
        <w:t>）</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近三年的年营业额</w:t>
      </w:r>
    </w:p>
    <w:p>
      <w:pPr>
        <w:spacing w:line="360" w:lineRule="auto"/>
        <w:ind w:firstLine="480"/>
        <w:rPr>
          <w:rFonts w:ascii="宋体" w:hAnsi="宋体" w:cs="宋体"/>
          <w:sz w:val="22"/>
          <w:szCs w:val="22"/>
        </w:rPr>
      </w:pPr>
      <w:r>
        <w:rPr>
          <w:rFonts w:hint="eastAsia" w:ascii="宋体" w:hAnsi="宋体" w:cs="宋体"/>
          <w:sz w:val="22"/>
          <w:szCs w:val="22"/>
        </w:rPr>
        <w:t>年份             国内             出口             总额</w:t>
      </w:r>
    </w:p>
    <w:p>
      <w:pPr>
        <w:spacing w:line="360" w:lineRule="auto"/>
        <w:ind w:left="360"/>
        <w:rPr>
          <w:rFonts w:ascii="宋体" w:hAnsi="宋体" w:cs="宋体"/>
          <w:sz w:val="22"/>
          <w:szCs w:val="22"/>
          <w:u w:val="single"/>
        </w:rPr>
      </w:pPr>
      <w:r>
        <w:rPr>
          <w:rFonts w:hint="eastAsia" w:ascii="宋体" w:hAnsi="宋体" w:cs="宋体"/>
          <w:sz w:val="22"/>
          <w:szCs w:val="22"/>
          <w:u w:val="single"/>
        </w:rPr>
        <w:br w:type="textWrapping"/>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易损件供应商的名称和地址：</w:t>
      </w:r>
    </w:p>
    <w:p>
      <w:pPr>
        <w:spacing w:line="360" w:lineRule="auto"/>
        <w:ind w:firstLine="720"/>
        <w:rPr>
          <w:rFonts w:ascii="宋体" w:hAnsi="宋体" w:cs="宋体"/>
          <w:sz w:val="22"/>
          <w:szCs w:val="22"/>
        </w:rPr>
      </w:pPr>
      <w:r>
        <w:rPr>
          <w:rFonts w:hint="eastAsia" w:ascii="宋体" w:hAnsi="宋体" w:cs="宋体"/>
          <w:sz w:val="22"/>
          <w:szCs w:val="22"/>
        </w:rPr>
        <w:t>部件名称                              供应商</w:t>
      </w:r>
    </w:p>
    <w:p>
      <w:pPr>
        <w:spacing w:line="360" w:lineRule="auto"/>
        <w:ind w:firstLine="720"/>
        <w:rPr>
          <w:rFonts w:ascii="宋体" w:hAnsi="宋体" w:cs="宋体"/>
          <w:sz w:val="22"/>
          <w:szCs w:val="22"/>
          <w:u w:val="single"/>
        </w:rPr>
      </w:pPr>
    </w:p>
    <w:p>
      <w:pPr>
        <w:spacing w:line="360" w:lineRule="auto"/>
        <w:ind w:firstLine="720"/>
        <w:rPr>
          <w:rFonts w:ascii="宋体" w:hAnsi="宋体" w:cs="宋体"/>
          <w:sz w:val="22"/>
          <w:szCs w:val="22"/>
        </w:rPr>
      </w:pP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有关开户银行的名称和地址：</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制造商所属的集团公司（如有的话）：</w:t>
      </w:r>
    </w:p>
    <w:p>
      <w:pPr>
        <w:numPr>
          <w:ilvl w:val="0"/>
          <w:numId w:val="20"/>
        </w:numPr>
        <w:adjustRightInd w:val="0"/>
        <w:spacing w:line="360" w:lineRule="auto"/>
        <w:textAlignment w:val="baseline"/>
        <w:rPr>
          <w:rFonts w:ascii="宋体" w:hAnsi="宋体" w:cs="宋体"/>
          <w:sz w:val="22"/>
          <w:szCs w:val="22"/>
        </w:rPr>
      </w:pPr>
      <w:r>
        <w:rPr>
          <w:rFonts w:hint="eastAsia" w:ascii="宋体" w:hAnsi="宋体" w:cs="宋体"/>
          <w:sz w:val="22"/>
          <w:szCs w:val="22"/>
        </w:rPr>
        <w:t>其他情况：</w:t>
      </w:r>
    </w:p>
    <w:p>
      <w:pPr>
        <w:spacing w:line="360" w:lineRule="auto"/>
        <w:ind w:left="425"/>
        <w:rPr>
          <w:rFonts w:ascii="宋体" w:hAnsi="宋体" w:cs="宋体"/>
          <w:sz w:val="22"/>
          <w:szCs w:val="22"/>
        </w:rPr>
      </w:pPr>
    </w:p>
    <w:p>
      <w:pPr>
        <w:spacing w:line="360" w:lineRule="auto"/>
        <w:ind w:firstLine="440" w:firstLineChars="200"/>
        <w:rPr>
          <w:rFonts w:ascii="宋体" w:hAnsi="宋体" w:cs="宋体"/>
          <w:sz w:val="22"/>
          <w:szCs w:val="22"/>
        </w:rPr>
      </w:pPr>
      <w:r>
        <w:rPr>
          <w:rFonts w:hint="eastAsia" w:ascii="宋体" w:hAnsi="宋体" w:cs="宋体"/>
          <w:sz w:val="22"/>
          <w:szCs w:val="22"/>
        </w:rPr>
        <w:t>兹证明上述声明是真实、正确的，并提供了全部能提供的资料和数据，我们同意遵照贵方要求出示有关证明文件。</w:t>
      </w:r>
    </w:p>
    <w:p>
      <w:pPr>
        <w:spacing w:line="360" w:lineRule="auto"/>
        <w:rPr>
          <w:rFonts w:ascii="宋体" w:hAnsi="宋体" w:cs="宋体"/>
          <w:sz w:val="22"/>
          <w:szCs w:val="22"/>
        </w:rPr>
      </w:pPr>
    </w:p>
    <w:p>
      <w:pPr>
        <w:spacing w:line="360" w:lineRule="auto"/>
        <w:rPr>
          <w:rFonts w:ascii="宋体" w:hAnsi="宋体" w:cs="宋体"/>
          <w:sz w:val="22"/>
          <w:szCs w:val="22"/>
        </w:rPr>
      </w:pPr>
    </w:p>
    <w:p>
      <w:pPr>
        <w:spacing w:before="120" w:beforeLines="50" w:line="360" w:lineRule="auto"/>
        <w:rPr>
          <w:rFonts w:ascii="宋体" w:hAnsi="宋体" w:cs="宋体"/>
          <w:sz w:val="22"/>
          <w:szCs w:val="22"/>
        </w:rPr>
      </w:pPr>
      <w:r>
        <w:rPr>
          <w:rFonts w:hint="eastAsia" w:ascii="宋体" w:hAnsi="宋体" w:cs="宋体"/>
          <w:sz w:val="22"/>
          <w:szCs w:val="22"/>
        </w:rPr>
        <w:t>制造商名称 （公章）</w:t>
      </w:r>
    </w:p>
    <w:p>
      <w:pPr>
        <w:spacing w:before="120" w:beforeLines="50" w:line="360" w:lineRule="auto"/>
        <w:rPr>
          <w:rFonts w:ascii="宋体" w:hAnsi="宋体" w:cs="宋体"/>
          <w:sz w:val="22"/>
          <w:szCs w:val="22"/>
          <w:u w:val="single"/>
        </w:rPr>
      </w:pPr>
      <w:r>
        <w:rPr>
          <w:rFonts w:hint="eastAsia" w:ascii="宋体" w:hAnsi="宋体" w:cs="宋体"/>
          <w:sz w:val="22"/>
          <w:szCs w:val="22"/>
        </w:rPr>
        <w:t>签字人姓名和职务</w:t>
      </w:r>
    </w:p>
    <w:p>
      <w:pPr>
        <w:spacing w:before="120" w:beforeLines="50" w:line="360" w:lineRule="auto"/>
        <w:rPr>
          <w:rFonts w:ascii="宋体" w:hAnsi="宋体" w:cs="宋体"/>
          <w:sz w:val="22"/>
          <w:szCs w:val="22"/>
          <w:u w:val="single"/>
        </w:rPr>
      </w:pPr>
      <w:r>
        <w:rPr>
          <w:rFonts w:hint="eastAsia" w:ascii="宋体" w:hAnsi="宋体" w:cs="宋体"/>
          <w:sz w:val="22"/>
          <w:szCs w:val="22"/>
        </w:rPr>
        <w:t>签字人签字</w:t>
      </w:r>
    </w:p>
    <w:p>
      <w:pPr>
        <w:spacing w:before="120" w:beforeLines="50" w:line="360" w:lineRule="auto"/>
        <w:rPr>
          <w:rFonts w:ascii="宋体" w:hAnsi="宋体" w:cs="宋体"/>
          <w:sz w:val="22"/>
          <w:szCs w:val="22"/>
          <w:u w:val="single"/>
        </w:rPr>
      </w:pPr>
      <w:r>
        <w:rPr>
          <w:rFonts w:hint="eastAsia" w:ascii="宋体" w:hAnsi="宋体" w:cs="宋体"/>
          <w:sz w:val="22"/>
          <w:szCs w:val="22"/>
        </w:rPr>
        <w:t>签字日期</w:t>
      </w:r>
    </w:p>
    <w:p>
      <w:pPr>
        <w:spacing w:before="120" w:beforeLines="50" w:line="360" w:lineRule="auto"/>
        <w:rPr>
          <w:rFonts w:ascii="宋体" w:hAnsi="宋体" w:cs="宋体"/>
          <w:sz w:val="22"/>
          <w:szCs w:val="22"/>
          <w:u w:val="single"/>
        </w:rPr>
      </w:pPr>
      <w:r>
        <w:rPr>
          <w:rFonts w:hint="eastAsia" w:ascii="宋体" w:hAnsi="宋体" w:cs="宋体"/>
          <w:sz w:val="22"/>
          <w:szCs w:val="22"/>
        </w:rPr>
        <w:t>传真</w:t>
      </w:r>
    </w:p>
    <w:p>
      <w:pPr>
        <w:spacing w:before="120" w:beforeLines="50" w:line="360" w:lineRule="auto"/>
        <w:rPr>
          <w:rFonts w:ascii="宋体" w:hAnsi="宋体" w:cs="宋体"/>
          <w:sz w:val="22"/>
          <w:szCs w:val="22"/>
          <w:u w:val="single"/>
        </w:rPr>
      </w:pPr>
      <w:r>
        <w:rPr>
          <w:rFonts w:hint="eastAsia" w:ascii="宋体" w:hAnsi="宋体" w:cs="宋体"/>
          <w:sz w:val="22"/>
          <w:szCs w:val="22"/>
        </w:rPr>
        <w:t>电话</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（三）投标产品近三年的销售业绩一览表</w:t>
      </w:r>
    </w:p>
    <w:tbl>
      <w:tblPr>
        <w:tblStyle w:val="52"/>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29"/>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六、技术规格偏离表</w:t>
      </w:r>
    </w:p>
    <w:p>
      <w:pPr>
        <w:spacing w:line="560" w:lineRule="exact"/>
        <w:rPr>
          <w:rFonts w:ascii="宋体" w:hAnsi="宋体"/>
        </w:rPr>
      </w:pPr>
    </w:p>
    <w:tbl>
      <w:tblPr>
        <w:tblStyle w:val="5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29"/>
        <w:adjustRightInd w:val="0"/>
        <w:snapToGrid w:val="0"/>
        <w:spacing w:line="560" w:lineRule="exact"/>
        <w:rPr>
          <w:rFonts w:hAnsi="宋体"/>
          <w:b/>
        </w:rPr>
      </w:pPr>
    </w:p>
    <w:p>
      <w:pPr>
        <w:spacing w:line="440" w:lineRule="exact"/>
        <w:jc w:val="center"/>
        <w:rPr>
          <w:rFonts w:ascii="Calibri" w:hAnsi="Calibri" w:eastAsia="黑体" w:cs="Calibri"/>
          <w:color w:val="000000"/>
          <w:sz w:val="32"/>
          <w:szCs w:val="32"/>
        </w:rPr>
      </w:pPr>
      <w:r>
        <w:rPr>
          <w:rFonts w:hint="eastAsia" w:ascii="Calibri" w:hAnsi="Calibri" w:eastAsia="黑体" w:cs="Calibri"/>
          <w:color w:val="000000"/>
          <w:sz w:val="32"/>
          <w:szCs w:val="32"/>
        </w:rPr>
        <w:t>七、</w:t>
      </w:r>
      <w:r>
        <w:rPr>
          <w:rFonts w:ascii="Calibri" w:hAnsi="Calibri" w:eastAsia="黑体" w:cs="Calibri"/>
          <w:color w:val="000000"/>
          <w:sz w:val="32"/>
          <w:szCs w:val="32"/>
        </w:rPr>
        <w:t>商务条款响应</w:t>
      </w:r>
      <w:r>
        <w:rPr>
          <w:rFonts w:hint="eastAsia" w:ascii="Calibri" w:hAnsi="Calibri" w:eastAsia="黑体" w:cs="Calibri"/>
          <w:color w:val="000000"/>
          <w:sz w:val="32"/>
          <w:szCs w:val="32"/>
        </w:rPr>
        <w:t>偏离</w:t>
      </w:r>
      <w:r>
        <w:rPr>
          <w:rFonts w:ascii="Calibri" w:hAnsi="Calibri" w:eastAsia="黑体" w:cs="Calibri"/>
          <w:color w:val="000000"/>
          <w:sz w:val="32"/>
          <w:szCs w:val="32"/>
        </w:rPr>
        <w:t>表</w:t>
      </w:r>
    </w:p>
    <w:tbl>
      <w:tblPr>
        <w:tblStyle w:val="52"/>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r>
              <w:rPr>
                <w:rFonts w:hAnsi="宋体"/>
                <w:kern w:val="2"/>
                <w:sz w:val="21"/>
              </w:rPr>
              <w:t>序号</w:t>
            </w:r>
          </w:p>
        </w:tc>
        <w:tc>
          <w:tcPr>
            <w:tcW w:w="900" w:type="dxa"/>
            <w:vAlign w:val="center"/>
          </w:tcPr>
          <w:p>
            <w:pPr>
              <w:pStyle w:val="29"/>
              <w:adjustRightInd w:val="0"/>
              <w:snapToGrid w:val="0"/>
              <w:jc w:val="center"/>
              <w:rPr>
                <w:rFonts w:hAnsi="宋体"/>
                <w:kern w:val="2"/>
                <w:sz w:val="21"/>
              </w:rPr>
            </w:pPr>
            <w:r>
              <w:rPr>
                <w:rFonts w:hAnsi="宋体"/>
                <w:kern w:val="2"/>
                <w:sz w:val="21"/>
              </w:rPr>
              <w:t>内容</w:t>
            </w:r>
          </w:p>
        </w:tc>
        <w:tc>
          <w:tcPr>
            <w:tcW w:w="3510" w:type="dxa"/>
            <w:vAlign w:val="center"/>
          </w:tcPr>
          <w:p>
            <w:pPr>
              <w:pStyle w:val="29"/>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29"/>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29"/>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9"/>
              <w:adjustRightInd w:val="0"/>
              <w:snapToGrid w:val="0"/>
              <w:jc w:val="center"/>
              <w:rPr>
                <w:rFonts w:hAnsi="宋体"/>
                <w:kern w:val="2"/>
                <w:sz w:val="21"/>
              </w:rPr>
            </w:pPr>
          </w:p>
        </w:tc>
        <w:tc>
          <w:tcPr>
            <w:tcW w:w="90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3510" w:type="dxa"/>
            <w:vAlign w:val="center"/>
          </w:tcPr>
          <w:p>
            <w:pPr>
              <w:pStyle w:val="29"/>
              <w:adjustRightInd w:val="0"/>
              <w:snapToGrid w:val="0"/>
              <w:jc w:val="center"/>
              <w:rPr>
                <w:rFonts w:hAnsi="宋体"/>
                <w:kern w:val="2"/>
                <w:sz w:val="21"/>
              </w:rPr>
            </w:pPr>
          </w:p>
        </w:tc>
        <w:tc>
          <w:tcPr>
            <w:tcW w:w="827" w:type="dxa"/>
            <w:vAlign w:val="center"/>
          </w:tcPr>
          <w:p>
            <w:pPr>
              <w:pStyle w:val="29"/>
              <w:adjustRightInd w:val="0"/>
              <w:snapToGrid w:val="0"/>
              <w:jc w:val="center"/>
              <w:rPr>
                <w:rFonts w:hAnsi="宋体"/>
                <w:kern w:val="2"/>
                <w:sz w:val="21"/>
              </w:rPr>
            </w:pPr>
          </w:p>
        </w:tc>
      </w:tr>
    </w:tbl>
    <w:p>
      <w:pPr>
        <w:pStyle w:val="29"/>
        <w:adjustRightInd w:val="0"/>
        <w:snapToGrid w:val="0"/>
        <w:spacing w:line="560" w:lineRule="exact"/>
        <w:rPr>
          <w:rFonts w:hAnsi="宋体"/>
          <w:bCs/>
          <w:sz w:val="24"/>
          <w:szCs w:val="24"/>
        </w:rPr>
      </w:pPr>
    </w:p>
    <w:p>
      <w:pPr>
        <w:pStyle w:val="29"/>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29"/>
        <w:adjustRightInd w:val="0"/>
        <w:snapToGrid w:val="0"/>
        <w:spacing w:line="560" w:lineRule="exact"/>
        <w:rPr>
          <w:rFonts w:hAnsi="宋体"/>
          <w:bCs/>
          <w:sz w:val="24"/>
          <w:szCs w:val="24"/>
        </w:rPr>
      </w:pPr>
    </w:p>
    <w:p>
      <w:pPr>
        <w:widowControl/>
        <w:jc w:val="left"/>
        <w:rPr>
          <w:rFonts w:ascii="Calibri" w:hAnsi="Calibri" w:eastAsia="黑体" w:cs="Calibri"/>
          <w:color w:val="000000"/>
          <w:sz w:val="32"/>
          <w:szCs w:val="32"/>
        </w:rPr>
      </w:pPr>
    </w:p>
    <w:p/>
    <w:p>
      <w:pPr>
        <w:rPr>
          <w:b/>
        </w:rPr>
      </w:pPr>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4"/>
          <w:jc w:val="center"/>
        </w:pPr>
        <w:r>
          <w:fldChar w:fldCharType="begin"/>
        </w:r>
        <w:r>
          <w:instrText xml:space="preserve"> PAGE   \* MERGEFORMAT </w:instrText>
        </w:r>
        <w:r>
          <w:fldChar w:fldCharType="separate"/>
        </w:r>
        <w:r>
          <w:rPr>
            <w:lang w:val="zh-CN"/>
          </w:rPr>
          <w:t>-</w:t>
        </w:r>
        <w:r>
          <w:t xml:space="preserve"> 30 -</w:t>
        </w:r>
        <w:r>
          <w:fldChar w:fldCharType="end"/>
        </w:r>
      </w:p>
    </w:sdtContent>
  </w:sdt>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杭州萧山国际机场国际快件中心海关监管卡口设备采购项目招标文件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4">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6">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17">
    <w:nsid w:val="5D8DDFA0"/>
    <w:multiLevelType w:val="singleLevel"/>
    <w:tmpl w:val="5D8DDFA0"/>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18">
    <w:nsid w:val="5D8DDFC1"/>
    <w:multiLevelType w:val="singleLevel"/>
    <w:tmpl w:val="5D8DDFC1"/>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19">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31"/>
      <w:lvlText w:val=""/>
      <w:lvlJc w:val="left"/>
      <w:pPr>
        <w:tabs>
          <w:tab w:val="left" w:pos="3780"/>
        </w:tabs>
        <w:ind w:left="3780" w:hanging="420"/>
      </w:pPr>
      <w:rPr>
        <w:rFonts w:hint="default" w:ascii="Wingdings" w:hAnsi="Wingdings"/>
      </w:rPr>
    </w:lvl>
  </w:abstractNum>
  <w:num w:numId="1">
    <w:abstractNumId w:val="14"/>
  </w:num>
  <w:num w:numId="2">
    <w:abstractNumId w:val="17"/>
  </w:num>
  <w:num w:numId="3">
    <w:abstractNumId w:val="18"/>
  </w:num>
  <w:num w:numId="4">
    <w:abstractNumId w:val="19"/>
  </w:num>
  <w:num w:numId="5">
    <w:abstractNumId w:val="2"/>
  </w:num>
  <w:num w:numId="6">
    <w:abstractNumId w:val="13"/>
    <w:lvlOverride w:ilvl="0">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5"/>
  </w:num>
  <w:num w:numId="11">
    <w:abstractNumId w:val="12"/>
  </w:num>
  <w:num w:numId="12">
    <w:abstractNumId w:val="1"/>
  </w:num>
  <w:num w:numId="13">
    <w:abstractNumId w:val="6"/>
  </w:num>
  <w:num w:numId="14">
    <w:abstractNumId w:val="8"/>
  </w:num>
  <w:num w:numId="15">
    <w:abstractNumId w:val="4"/>
  </w:num>
  <w:num w:numId="16">
    <w:abstractNumId w:val="0"/>
  </w:num>
  <w:num w:numId="17">
    <w:abstractNumId w:val="3"/>
  </w:num>
  <w:num w:numId="18">
    <w:abstractNumId w:val="10"/>
  </w:num>
  <w:num w:numId="19">
    <w:abstractNumId w:val="7"/>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217C13"/>
    <w:rsid w:val="683F6B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0" w:semiHidden="0" w:name="index 1"/>
    <w:lsdException w:uiPriority="99" w:name="index 2"/>
    <w:lsdException w:uiPriority="99" w:name="index 3"/>
    <w:lsdException w:uiPriority="99" w:name="index 4"/>
    <w:lsdException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uiPriority="0" w:semiHidden="0" w:name="toc 2"/>
    <w:lsdException w:qFormat="1" w:uiPriority="0" w:semiHidden="0" w:name="toc 3"/>
    <w:lsdException w:qFormat="1" w:uiPriority="0" w:semiHidden="0" w:name="toc 4"/>
    <w:lsdException w:uiPriority="0" w:semiHidden="0" w:name="toc 5"/>
    <w:lsdException w:uiPriority="0" w:semiHidden="0" w:name="toc 6"/>
    <w:lsdException w:uiPriority="0" w:semiHidden="0" w:name="toc 7"/>
    <w:lsdException w:qFormat="1" w:uiPriority="0" w:semiHidden="0" w:name="toc 8"/>
    <w:lsdException w:qFormat="1" w:uiPriority="0" w:semiHidden="0" w:name="toc 9"/>
    <w:lsdException w:uiPriority="0" w:semiHidden="0" w:name="Normal Indent"/>
    <w:lsdException w:uiPriority="99" w:name="footnote text"/>
    <w:lsdException w:uiPriority="0" w:semiHidden="0" w:name="annotation text"/>
    <w:lsdException w:qFormat="1" w:uiPriority="0" w:semiHidden="0" w:name="header"/>
    <w:lsdException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uiPriority="0" w:semiHidden="0" w:name="page number"/>
    <w:lsdException w:uiPriority="99" w:name="endnote reference"/>
    <w:lsdException w:uiPriority="99" w:name="endnote text"/>
    <w:lsdException w:uiPriority="0" w:semiHidden="0" w:name="table of authorities"/>
    <w:lsdException w:uiPriority="99" w:name="macro"/>
    <w:lsdException w:uiPriority="99" w:name="toa heading"/>
    <w:lsdException w:uiPriority="0" w:semiHidden="0" w:name="List"/>
    <w:lsdException w:uiPriority="0" w:semiHidden="0" w:name="List Bullet"/>
    <w:lsdException w:uiPriority="99" w:name="List Number"/>
    <w:lsdException w:qFormat="1" w:uiPriority="0" w:semiHidden="0" w:name="List 2"/>
    <w:lsdException w:uiPriority="0" w:semiHidden="0" w:name="List 3"/>
    <w:lsdException w:qFormat="1" w:uiPriority="0" w:semiHidden="0"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0" w:semiHidden="0" w:name="Body Text"/>
    <w:lsdException w:uiPriority="0" w:semiHidden="0" w:name="Body Text Indent"/>
    <w:lsdException w:uiPriority="0" w:semiHidden="0" w:name="List Continue"/>
    <w:lsdException w:qFormat="1"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0" w:semiHidden="0" w:name="Date"/>
    <w:lsdException w:uiPriority="0" w:semiHidden="0" w:name="Body Text First Indent"/>
    <w:lsdException w:qFormat="1" w:uiPriority="0" w:semiHidden="0" w:name="Body Text First Indent 2"/>
    <w:lsdException w:uiPriority="99" w:name="Note Heading"/>
    <w:lsdException w:qFormat="1" w:uiPriority="0" w:semiHidden="0" w:name="Body Text 2"/>
    <w:lsdException w:uiPriority="0" w:semiHidden="0" w:name="Body Text 3"/>
    <w:lsdException w:qFormat="1" w:uiPriority="0" w:semiHidden="0" w:name="Body Text Indent 2"/>
    <w:lsdException w:uiPriority="0" w:semiHidden="0" w:name="Body Text Indent 3"/>
    <w:lsdException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0" w:semiHidden="0" w:name="Document Map"/>
    <w:lsdException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unhideWhenUsed/>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unhideWhenUsed/>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unhideWhenUsed/>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unhideWhenUsed/>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unhideWhenUsed/>
    <w:qFormat/>
    <w:uiPriority w:val="0"/>
    <w:pPr>
      <w:keepNext/>
      <w:keepLines/>
      <w:spacing w:before="240" w:after="64" w:line="320" w:lineRule="auto"/>
      <w:outlineLvl w:val="5"/>
    </w:pPr>
    <w:rPr>
      <w:rFonts w:ascii="Arial" w:hAnsi="Arial" w:eastAsia="黑体" w:cs="Times New Roman"/>
      <w:b/>
      <w:bCs/>
      <w:kern w:val="0"/>
    </w:rPr>
  </w:style>
  <w:style w:type="paragraph" w:styleId="8">
    <w:name w:val="heading 7"/>
    <w:basedOn w:val="1"/>
    <w:next w:val="1"/>
    <w:link w:val="66"/>
    <w:unhideWhenUsed/>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rPr>
  </w:style>
  <w:style w:type="paragraph" w:styleId="9">
    <w:name w:val="heading 8"/>
    <w:basedOn w:val="1"/>
    <w:next w:val="1"/>
    <w:link w:val="67"/>
    <w:unhideWhenUsed/>
    <w:qFormat/>
    <w:uiPriority w:val="0"/>
    <w:pPr>
      <w:keepNext/>
      <w:keepLines/>
      <w:tabs>
        <w:tab w:val="left" w:pos="1440"/>
      </w:tabs>
      <w:spacing w:before="240" w:after="64" w:line="320" w:lineRule="auto"/>
      <w:ind w:left="1440" w:hanging="1440"/>
      <w:outlineLvl w:val="7"/>
    </w:pPr>
    <w:rPr>
      <w:rFonts w:ascii="Arial" w:hAnsi="Arial" w:eastAsia="黑体" w:cs="Times New Roman"/>
      <w:kern w:val="0"/>
    </w:rPr>
  </w:style>
  <w:style w:type="paragraph" w:styleId="10">
    <w:name w:val="heading 9"/>
    <w:basedOn w:val="1"/>
    <w:next w:val="1"/>
    <w:link w:val="68"/>
    <w:unhideWhenUsed/>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unhideWhenUsed/>
    <w:uiPriority w:val="1"/>
  </w:style>
  <w:style w:type="table" w:default="1" w:styleId="52">
    <w:name w:val="Normal Table"/>
    <w:unhideWhenUsed/>
    <w:uiPriority w:val="99"/>
    <w:tblPr>
      <w:tblLayout w:type="fixed"/>
      <w:tblCellMar>
        <w:top w:w="0" w:type="dxa"/>
        <w:left w:w="108" w:type="dxa"/>
        <w:bottom w:w="0" w:type="dxa"/>
        <w:right w:w="108" w:type="dxa"/>
      </w:tblCellMar>
    </w:tblPr>
  </w:style>
  <w:style w:type="paragraph" w:styleId="11">
    <w:name w:val="List 3"/>
    <w:basedOn w:val="1"/>
    <w:unhideWhenUsed/>
    <w:uiPriority w:val="0"/>
    <w:pPr>
      <w:ind w:left="100" w:leftChars="400" w:hanging="200" w:hangingChars="200"/>
    </w:pPr>
    <w:rPr>
      <w:rFonts w:ascii="Times New Roman" w:hAnsi="Times New Roman" w:eastAsia="宋体" w:cs="Times New Roman"/>
      <w:sz w:val="21"/>
    </w:rPr>
  </w:style>
  <w:style w:type="paragraph" w:styleId="12">
    <w:name w:val="toc 7"/>
    <w:basedOn w:val="1"/>
    <w:next w:val="1"/>
    <w:unhideWhenUsed/>
    <w:uiPriority w:val="0"/>
    <w:pPr>
      <w:ind w:left="1260"/>
      <w:jc w:val="left"/>
    </w:pPr>
    <w:rPr>
      <w:rFonts w:ascii="Times New Roman" w:hAnsi="Times New Roman" w:eastAsia="宋体" w:cs="Times New Roman"/>
      <w:sz w:val="20"/>
      <w:szCs w:val="20"/>
    </w:rPr>
  </w:style>
  <w:style w:type="paragraph" w:styleId="13">
    <w:name w:val="table of authorities"/>
    <w:basedOn w:val="1"/>
    <w:next w:val="1"/>
    <w:unhideWhenUsed/>
    <w:uiPriority w:val="0"/>
    <w:pPr>
      <w:ind w:left="420" w:leftChars="200"/>
    </w:pPr>
    <w:rPr>
      <w:rFonts w:ascii="Times New Roman" w:hAnsi="Times New Roman" w:eastAsia="宋体" w:cs="Times New Roman"/>
      <w:sz w:val="21"/>
    </w:rPr>
  </w:style>
  <w:style w:type="paragraph" w:styleId="14">
    <w:name w:val="Normal Indent"/>
    <w:basedOn w:val="1"/>
    <w:unhideWhenUsed/>
    <w:uiPriority w:val="0"/>
    <w:pPr>
      <w:ind w:firstLine="420"/>
    </w:pPr>
    <w:rPr>
      <w:rFonts w:ascii="Times New Roman" w:hAnsi="Times New Roman" w:eastAsia="宋体" w:cs="Times New Roman"/>
      <w:sz w:val="21"/>
      <w:szCs w:val="20"/>
    </w:rPr>
  </w:style>
  <w:style w:type="paragraph" w:styleId="15">
    <w:name w:val="caption"/>
    <w:basedOn w:val="1"/>
    <w:next w:val="1"/>
    <w:unhideWhenUsed/>
    <w:qFormat/>
    <w:uiPriority w:val="0"/>
    <w:rPr>
      <w:rFonts w:ascii="Arial" w:hAnsi="Arial" w:eastAsia="黑体" w:cs="Arial"/>
      <w:sz w:val="20"/>
      <w:szCs w:val="20"/>
    </w:rPr>
  </w:style>
  <w:style w:type="paragraph" w:styleId="16">
    <w:name w:val="index 5"/>
    <w:basedOn w:val="1"/>
    <w:next w:val="1"/>
    <w:unhideWhenUsed/>
    <w:uiPriority w:val="0"/>
    <w:pPr>
      <w:ind w:left="800" w:leftChars="800"/>
    </w:pPr>
    <w:rPr>
      <w:rFonts w:ascii="Times New Roman" w:hAnsi="Times New Roman" w:eastAsia="宋体" w:cs="Times New Roman"/>
      <w:sz w:val="21"/>
    </w:rPr>
  </w:style>
  <w:style w:type="paragraph" w:styleId="17">
    <w:name w:val="List Bullet"/>
    <w:basedOn w:val="1"/>
    <w:unhideWhenUsed/>
    <w:uiPriority w:val="0"/>
    <w:pPr>
      <w:numPr>
        <w:ilvl w:val="0"/>
        <w:numId w:val="2"/>
      </w:numPr>
    </w:pPr>
  </w:style>
  <w:style w:type="paragraph" w:styleId="18">
    <w:name w:val="Document Map"/>
    <w:basedOn w:val="1"/>
    <w:link w:val="73"/>
    <w:unhideWhenUsed/>
    <w:uiPriority w:val="0"/>
    <w:pPr>
      <w:shd w:val="clear" w:color="auto" w:fill="000080"/>
    </w:pPr>
    <w:rPr>
      <w:rFonts w:ascii="Times New Roman" w:hAnsi="Times New Roman" w:eastAsia="宋体" w:cs="Times New Roman"/>
      <w:kern w:val="0"/>
      <w:sz w:val="20"/>
    </w:rPr>
  </w:style>
  <w:style w:type="paragraph" w:styleId="19">
    <w:name w:val="annotation text"/>
    <w:basedOn w:val="1"/>
    <w:link w:val="69"/>
    <w:unhideWhenUsed/>
    <w:uiPriority w:val="0"/>
    <w:pPr>
      <w:jc w:val="left"/>
    </w:pPr>
  </w:style>
  <w:style w:type="paragraph" w:styleId="20">
    <w:name w:val="Body Text 3"/>
    <w:basedOn w:val="1"/>
    <w:link w:val="74"/>
    <w:unhideWhenUsed/>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71"/>
    <w:unhideWhenUsed/>
    <w:uiPriority w:val="0"/>
    <w:pPr>
      <w:spacing w:after="120"/>
    </w:pPr>
  </w:style>
  <w:style w:type="paragraph" w:styleId="22">
    <w:name w:val="Body Text Indent"/>
    <w:basedOn w:val="1"/>
    <w:link w:val="75"/>
    <w:unhideWhenUsed/>
    <w:uiPriority w:val="0"/>
    <w:pPr>
      <w:ind w:firstLine="560" w:firstLineChars="200"/>
    </w:pPr>
    <w:rPr>
      <w:rFonts w:ascii="宋体" w:hAnsi="宋体" w:eastAsia="宋体" w:cs="Times New Roman"/>
      <w:kern w:val="0"/>
      <w:sz w:val="28"/>
      <w:szCs w:val="28"/>
    </w:rPr>
  </w:style>
  <w:style w:type="paragraph" w:styleId="23">
    <w:name w:val="List 2"/>
    <w:basedOn w:val="1"/>
    <w:unhideWhenUsed/>
    <w:qFormat/>
    <w:uiPriority w:val="0"/>
    <w:pPr>
      <w:ind w:left="100" w:leftChars="200" w:hanging="200" w:hangingChars="200"/>
    </w:pPr>
    <w:rPr>
      <w:rFonts w:ascii="Times New Roman" w:hAnsi="Times New Roman" w:eastAsia="宋体" w:cs="Times New Roman"/>
      <w:sz w:val="21"/>
    </w:rPr>
  </w:style>
  <w:style w:type="paragraph" w:styleId="24">
    <w:name w:val="List Continue"/>
    <w:basedOn w:val="1"/>
    <w:unhideWhenUsed/>
    <w:uiPriority w:val="0"/>
    <w:pPr>
      <w:spacing w:after="120"/>
      <w:ind w:left="420" w:leftChars="200"/>
    </w:pPr>
    <w:rPr>
      <w:rFonts w:ascii="Times New Roman" w:hAnsi="Times New Roman" w:eastAsia="宋体" w:cs="Times New Roman"/>
      <w:sz w:val="21"/>
    </w:rPr>
  </w:style>
  <w:style w:type="paragraph" w:styleId="25">
    <w:name w:val="Block Text"/>
    <w:basedOn w:val="1"/>
    <w:unhideWhenUsed/>
    <w:uiPriority w:val="0"/>
    <w:pPr>
      <w:spacing w:before="120" w:after="120" w:line="360" w:lineRule="auto"/>
      <w:ind w:left="525" w:right="202"/>
    </w:pPr>
    <w:rPr>
      <w:rFonts w:ascii="宋体" w:hAnsi="宋体" w:eastAsia="宋体" w:cs="Times New Roman"/>
      <w:spacing w:val="-4"/>
    </w:rPr>
  </w:style>
  <w:style w:type="paragraph" w:styleId="26">
    <w:name w:val="List Bullet 2"/>
    <w:basedOn w:val="1"/>
    <w:unhideWhenUsed/>
    <w:qFormat/>
    <w:uiPriority w:val="0"/>
    <w:pPr>
      <w:numPr>
        <w:ilvl w:val="0"/>
        <w:numId w:val="3"/>
      </w:numPr>
    </w:pPr>
  </w:style>
  <w:style w:type="paragraph" w:styleId="27">
    <w:name w:val="toc 5"/>
    <w:basedOn w:val="1"/>
    <w:next w:val="1"/>
    <w:unhideWhenUsed/>
    <w:uiPriority w:val="0"/>
    <w:pPr>
      <w:ind w:left="840"/>
      <w:jc w:val="left"/>
    </w:pPr>
    <w:rPr>
      <w:rFonts w:ascii="Times New Roman" w:hAnsi="Times New Roman" w:eastAsia="宋体" w:cs="Times New Roman"/>
      <w:sz w:val="20"/>
      <w:szCs w:val="20"/>
    </w:rPr>
  </w:style>
  <w:style w:type="paragraph" w:styleId="28">
    <w:name w:val="toc 3"/>
    <w:basedOn w:val="1"/>
    <w:next w:val="1"/>
    <w:unhideWhenUsed/>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6"/>
    <w:unhideWhenUsed/>
    <w:uiPriority w:val="0"/>
    <w:rPr>
      <w:rFonts w:ascii="宋体" w:hAnsi="Courier New" w:eastAsia="宋体" w:cs="Times New Roman"/>
      <w:kern w:val="0"/>
      <w:sz w:val="20"/>
      <w:szCs w:val="21"/>
    </w:rPr>
  </w:style>
  <w:style w:type="paragraph" w:styleId="30">
    <w:name w:val="toc 8"/>
    <w:basedOn w:val="1"/>
    <w:next w:val="1"/>
    <w:unhideWhenUsed/>
    <w:qFormat/>
    <w:uiPriority w:val="0"/>
    <w:pPr>
      <w:ind w:left="1470"/>
      <w:jc w:val="left"/>
    </w:pPr>
    <w:rPr>
      <w:rFonts w:ascii="Times New Roman" w:hAnsi="Times New Roman" w:eastAsia="宋体" w:cs="Times New Roman"/>
      <w:sz w:val="20"/>
      <w:szCs w:val="20"/>
    </w:rPr>
  </w:style>
  <w:style w:type="paragraph" w:styleId="31">
    <w:name w:val="Date"/>
    <w:basedOn w:val="1"/>
    <w:next w:val="1"/>
    <w:link w:val="77"/>
    <w:unhideWhenUsed/>
    <w:uiPriority w:val="0"/>
    <w:pPr>
      <w:ind w:left="100" w:leftChars="2500"/>
    </w:pPr>
    <w:rPr>
      <w:rFonts w:ascii="Times New Roman" w:hAnsi="Times New Roman" w:eastAsia="宋体" w:cs="Times New Roman"/>
      <w:kern w:val="0"/>
      <w:sz w:val="20"/>
    </w:rPr>
  </w:style>
  <w:style w:type="paragraph" w:styleId="32">
    <w:name w:val="Body Text Indent 2"/>
    <w:basedOn w:val="1"/>
    <w:link w:val="78"/>
    <w:unhideWhenUsed/>
    <w:qFormat/>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79"/>
    <w:unhideWhenUsed/>
    <w:uiPriority w:val="0"/>
    <w:rPr>
      <w:rFonts w:ascii="Times New Roman" w:hAnsi="Times New Roman" w:eastAsia="宋体" w:cs="Times New Roman"/>
      <w:kern w:val="0"/>
      <w:sz w:val="18"/>
      <w:szCs w:val="18"/>
    </w:rPr>
  </w:style>
  <w:style w:type="paragraph" w:styleId="34">
    <w:name w:val="footer"/>
    <w:basedOn w:val="1"/>
    <w:link w:val="80"/>
    <w:unhideWhenUsed/>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5">
    <w:name w:val="header"/>
    <w:basedOn w:val="1"/>
    <w:link w:val="82"/>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6">
    <w:name w:val="toc 1"/>
    <w:basedOn w:val="1"/>
    <w:next w:val="1"/>
    <w:unhideWhenUsed/>
    <w:qFormat/>
    <w:uiPriority w:val="39"/>
    <w:pPr>
      <w:adjustRightInd w:val="0"/>
      <w:snapToGrid w:val="0"/>
    </w:pPr>
    <w:rPr>
      <w:rFonts w:ascii="Times New Roman" w:hAnsi="Times New Roman" w:eastAsia="仿宋" w:cs="Times New Roman"/>
      <w:sz w:val="21"/>
    </w:rPr>
  </w:style>
  <w:style w:type="paragraph" w:styleId="37">
    <w:name w:val="toc 4"/>
    <w:basedOn w:val="1"/>
    <w:next w:val="1"/>
    <w:unhideWhenUsed/>
    <w:qFormat/>
    <w:uiPriority w:val="0"/>
    <w:pPr>
      <w:ind w:left="630"/>
      <w:jc w:val="left"/>
    </w:pPr>
    <w:rPr>
      <w:rFonts w:ascii="楷体_GB2312" w:hAnsi="Times New Roman" w:eastAsia="楷体_GB2312" w:cs="Times New Roman"/>
      <w:sz w:val="28"/>
      <w:szCs w:val="20"/>
    </w:rPr>
  </w:style>
  <w:style w:type="paragraph" w:styleId="38">
    <w:name w:val="List"/>
    <w:basedOn w:val="1"/>
    <w:unhideWhenUsed/>
    <w:uiPriority w:val="0"/>
    <w:pPr>
      <w:ind w:left="200" w:hanging="200" w:hangingChars="200"/>
    </w:pPr>
    <w:rPr>
      <w:rFonts w:ascii="Times New Roman" w:hAnsi="Times New Roman" w:eastAsia="宋体" w:cs="Times New Roman"/>
      <w:sz w:val="21"/>
    </w:rPr>
  </w:style>
  <w:style w:type="paragraph" w:styleId="39">
    <w:name w:val="toc 6"/>
    <w:basedOn w:val="1"/>
    <w:next w:val="1"/>
    <w:unhideWhenUsed/>
    <w:uiPriority w:val="0"/>
    <w:pPr>
      <w:ind w:left="1050"/>
      <w:jc w:val="left"/>
    </w:pPr>
    <w:rPr>
      <w:rFonts w:ascii="Times New Roman" w:hAnsi="Times New Roman" w:eastAsia="宋体" w:cs="Times New Roman"/>
      <w:sz w:val="20"/>
      <w:szCs w:val="20"/>
    </w:rPr>
  </w:style>
  <w:style w:type="paragraph" w:styleId="40">
    <w:name w:val="Body Text Indent 3"/>
    <w:basedOn w:val="1"/>
    <w:link w:val="83"/>
    <w:unhideWhenUsed/>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unhideWhenUsed/>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Cs w:val="28"/>
    </w:rPr>
  </w:style>
  <w:style w:type="paragraph" w:styleId="42">
    <w:name w:val="toc 9"/>
    <w:basedOn w:val="1"/>
    <w:next w:val="1"/>
    <w:unhideWhenUsed/>
    <w:qFormat/>
    <w:uiPriority w:val="0"/>
    <w:pPr>
      <w:ind w:left="1680"/>
      <w:jc w:val="left"/>
    </w:pPr>
    <w:rPr>
      <w:rFonts w:ascii="Times New Roman" w:hAnsi="Times New Roman" w:eastAsia="宋体" w:cs="Times New Roman"/>
      <w:sz w:val="20"/>
      <w:szCs w:val="20"/>
    </w:rPr>
  </w:style>
  <w:style w:type="paragraph" w:styleId="43">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4">
    <w:name w:val="List 4"/>
    <w:basedOn w:val="1"/>
    <w:unhideWhenUsed/>
    <w:qFormat/>
    <w:uiPriority w:val="0"/>
    <w:pPr>
      <w:ind w:left="100" w:leftChars="600" w:hanging="200" w:hangingChars="200"/>
    </w:pPr>
    <w:rPr>
      <w:rFonts w:ascii="Times New Roman" w:hAnsi="Times New Roman" w:eastAsia="宋体" w:cs="Times New Roman"/>
      <w:sz w:val="21"/>
    </w:rPr>
  </w:style>
  <w:style w:type="paragraph" w:styleId="45">
    <w:name w:val="List Continue 2"/>
    <w:basedOn w:val="1"/>
    <w:unhideWhenUsed/>
    <w:qFormat/>
    <w:uiPriority w:val="0"/>
    <w:pPr>
      <w:spacing w:after="120"/>
      <w:ind w:left="840" w:leftChars="400"/>
    </w:pPr>
    <w:rPr>
      <w:rFonts w:ascii="Times New Roman" w:hAnsi="Times New Roman" w:eastAsia="宋体" w:cs="Times New Roman"/>
      <w:sz w:val="21"/>
    </w:rPr>
  </w:style>
  <w:style w:type="paragraph" w:styleId="46">
    <w:name w:val="Normal (Web)"/>
    <w:basedOn w:val="1"/>
    <w:unhideWhenUsed/>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unhideWhenUsed/>
    <w:uiPriority w:val="0"/>
    <w:pPr>
      <w:adjustRightInd w:val="0"/>
      <w:snapToGrid w:val="0"/>
      <w:jc w:val="center"/>
    </w:pPr>
    <w:rPr>
      <w:rFonts w:ascii="Times New Roman" w:hAnsi="Times New Roman" w:eastAsia="宋体" w:cs="Times New Roman"/>
      <w:sz w:val="21"/>
      <w:szCs w:val="20"/>
    </w:rPr>
  </w:style>
  <w:style w:type="paragraph" w:styleId="48">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70"/>
    <w:unhideWhenUsed/>
    <w:qFormat/>
    <w:uiPriority w:val="0"/>
    <w:rPr>
      <w:rFonts w:ascii="Times New Roman" w:hAnsi="Times New Roman" w:eastAsia="宋体" w:cs="Times New Roman"/>
      <w:b/>
      <w:bCs/>
      <w:kern w:val="0"/>
      <w:sz w:val="20"/>
    </w:rPr>
  </w:style>
  <w:style w:type="paragraph" w:styleId="50">
    <w:name w:val="Body Text First Indent"/>
    <w:basedOn w:val="21"/>
    <w:link w:val="72"/>
    <w:unhideWhenUsed/>
    <w:uiPriority w:val="0"/>
    <w:pPr>
      <w:ind w:firstLine="420" w:firstLineChars="100"/>
    </w:pPr>
    <w:rPr>
      <w:rFonts w:ascii="Times New Roman" w:hAnsi="Times New Roman" w:eastAsia="宋体" w:cs="Times New Roman"/>
      <w:kern w:val="0"/>
      <w:sz w:val="20"/>
    </w:rPr>
  </w:style>
  <w:style w:type="paragraph" w:styleId="51">
    <w:name w:val="Body Text First Indent 2"/>
    <w:basedOn w:val="22"/>
    <w:link w:val="81"/>
    <w:unhideWhenUsed/>
    <w:qFormat/>
    <w:uiPriority w:val="0"/>
    <w:pPr>
      <w:spacing w:after="120"/>
      <w:ind w:left="420" w:leftChars="200" w:firstLine="420"/>
    </w:pPr>
    <w:rPr>
      <w:szCs w:val="24"/>
    </w:rPr>
  </w:style>
  <w:style w:type="table" w:styleId="53">
    <w:name w:val="Table Grid"/>
    <w:basedOn w:val="52"/>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styleId="55">
    <w:name w:val="Strong"/>
    <w:qFormat/>
    <w:uiPriority w:val="0"/>
    <w:rPr>
      <w:rFonts w:asciiTheme="minorHAnsi" w:hAnsiTheme="minorHAnsi" w:eastAsiaTheme="minorEastAsia" w:cstheme="minorBidi"/>
      <w:b/>
      <w:bCs/>
      <w:kern w:val="2"/>
      <w:sz w:val="21"/>
      <w:szCs w:val="22"/>
      <w:lang w:val="en-US" w:eastAsia="zh-CN" w:bidi="ar-SA"/>
    </w:rPr>
  </w:style>
  <w:style w:type="character" w:styleId="56">
    <w:name w:val="page number"/>
    <w:basedOn w:val="54"/>
    <w:unhideWhenUsed/>
    <w:uiPriority w:val="0"/>
    <w:rPr>
      <w:rFonts w:asciiTheme="minorHAnsi" w:hAnsiTheme="minorHAnsi" w:eastAsiaTheme="minorEastAsia" w:cstheme="minorBidi"/>
      <w:kern w:val="2"/>
      <w:sz w:val="21"/>
      <w:szCs w:val="22"/>
      <w:lang w:val="en-US" w:eastAsia="zh-CN" w:bidi="ar-SA"/>
    </w:rPr>
  </w:style>
  <w:style w:type="character" w:styleId="57">
    <w:name w:val="FollowedHyperlink"/>
    <w:unhideWhenUsed/>
    <w:qFormat/>
    <w:uiPriority w:val="99"/>
    <w:rPr>
      <w:rFonts w:asciiTheme="minorHAnsi" w:hAnsiTheme="minorHAnsi" w:eastAsiaTheme="minorEastAsia" w:cstheme="minorBidi"/>
      <w:color w:val="800080"/>
      <w:kern w:val="2"/>
      <w:sz w:val="21"/>
      <w:szCs w:val="22"/>
      <w:u w:val="single"/>
      <w:lang w:val="en-US" w:eastAsia="zh-CN" w:bidi="ar-SA"/>
    </w:rPr>
  </w:style>
  <w:style w:type="character" w:styleId="58">
    <w:name w:val="Hyperlink"/>
    <w:unhideWhenUsed/>
    <w:qFormat/>
    <w:uiPriority w:val="99"/>
    <w:rPr>
      <w:rFonts w:asciiTheme="minorHAnsi" w:hAnsiTheme="minorHAnsi" w:eastAsiaTheme="minorEastAsia" w:cstheme="minorBidi"/>
      <w:color w:val="0000FF"/>
      <w:kern w:val="2"/>
      <w:sz w:val="21"/>
      <w:szCs w:val="22"/>
      <w:u w:val="single"/>
      <w:lang w:val="en-US" w:eastAsia="zh-CN" w:bidi="ar-SA"/>
    </w:rPr>
  </w:style>
  <w:style w:type="character" w:styleId="59">
    <w:name w:val="annotation reference"/>
    <w:unhideWhenUsed/>
    <w:uiPriority w:val="0"/>
    <w:rPr>
      <w:rFonts w:asciiTheme="minorHAnsi" w:hAnsiTheme="minorHAnsi" w:eastAsiaTheme="minorEastAsia" w:cstheme="minorBidi"/>
      <w:kern w:val="2"/>
      <w:sz w:val="21"/>
      <w:szCs w:val="21"/>
      <w:lang w:val="en-US" w:eastAsia="zh-CN" w:bidi="ar-SA"/>
    </w:rPr>
  </w:style>
  <w:style w:type="character" w:customStyle="1" w:styleId="60">
    <w:name w:val="标题 1 字符"/>
    <w:basedOn w:val="54"/>
    <w:link w:val="2"/>
    <w:uiPriority w:val="0"/>
    <w:rPr>
      <w:rFonts w:ascii="Times New Roman" w:hAnsi="Times New Roman" w:eastAsia="宋体" w:cs="Times New Roman"/>
      <w:b/>
      <w:bCs/>
      <w:kern w:val="44"/>
      <w:sz w:val="30"/>
      <w:szCs w:val="44"/>
      <w:lang w:val="en-US" w:eastAsia="zh-CN" w:bidi="ar-SA"/>
    </w:rPr>
  </w:style>
  <w:style w:type="character" w:customStyle="1" w:styleId="61">
    <w:name w:val="标题 2 字符"/>
    <w:basedOn w:val="54"/>
    <w:link w:val="3"/>
    <w:uiPriority w:val="0"/>
    <w:rPr>
      <w:rFonts w:ascii="Arial" w:hAnsi="Arial" w:eastAsia="宋体" w:cs="Times New Roman"/>
      <w:b/>
      <w:bCs/>
      <w:kern w:val="0"/>
      <w:sz w:val="28"/>
      <w:szCs w:val="32"/>
      <w:lang w:val="en-US" w:eastAsia="zh-CN" w:bidi="ar-SA"/>
    </w:rPr>
  </w:style>
  <w:style w:type="character" w:customStyle="1" w:styleId="62">
    <w:name w:val="标题 3 字符"/>
    <w:basedOn w:val="54"/>
    <w:link w:val="4"/>
    <w:uiPriority w:val="0"/>
    <w:rPr>
      <w:rFonts w:ascii="宋体" w:hAnsi="Times New Roman" w:eastAsia="宋体" w:cs="Times New Roman"/>
      <w:b/>
      <w:kern w:val="0"/>
      <w:sz w:val="28"/>
      <w:szCs w:val="20"/>
      <w:lang w:val="en-US" w:eastAsia="zh-CN" w:bidi="ar-SA"/>
    </w:rPr>
  </w:style>
  <w:style w:type="character" w:customStyle="1" w:styleId="63">
    <w:name w:val="标题 4 字符"/>
    <w:basedOn w:val="54"/>
    <w:link w:val="5"/>
    <w:uiPriority w:val="0"/>
    <w:rPr>
      <w:rFonts w:ascii="Arial" w:hAnsi="Arial" w:eastAsia="黑体" w:cs="Times New Roman"/>
      <w:b/>
      <w:bCs/>
      <w:kern w:val="0"/>
      <w:sz w:val="28"/>
      <w:szCs w:val="28"/>
      <w:lang w:val="en-US" w:eastAsia="zh-CN" w:bidi="ar-SA"/>
    </w:rPr>
  </w:style>
  <w:style w:type="character" w:customStyle="1" w:styleId="64">
    <w:name w:val="标题 5 字符"/>
    <w:basedOn w:val="54"/>
    <w:link w:val="6"/>
    <w:qFormat/>
    <w:uiPriority w:val="0"/>
    <w:rPr>
      <w:rFonts w:ascii="Times New Roman" w:hAnsi="Times New Roman" w:eastAsia="宋体" w:cs="Times New Roman"/>
      <w:b/>
      <w:bCs/>
      <w:kern w:val="0"/>
      <w:sz w:val="28"/>
      <w:szCs w:val="28"/>
      <w:lang w:val="en-US" w:eastAsia="zh-CN" w:bidi="ar-SA"/>
    </w:rPr>
  </w:style>
  <w:style w:type="character" w:customStyle="1" w:styleId="65">
    <w:name w:val="标题 6 字符"/>
    <w:basedOn w:val="54"/>
    <w:link w:val="7"/>
    <w:uiPriority w:val="0"/>
    <w:rPr>
      <w:rFonts w:ascii="Arial" w:hAnsi="Arial" w:eastAsia="黑体" w:cs="Times New Roman"/>
      <w:b/>
      <w:bCs/>
      <w:kern w:val="0"/>
      <w:sz w:val="21"/>
      <w:szCs w:val="22"/>
      <w:lang w:val="en-US" w:eastAsia="zh-CN" w:bidi="ar-SA"/>
    </w:rPr>
  </w:style>
  <w:style w:type="character" w:customStyle="1" w:styleId="66">
    <w:name w:val="标题 7 字符"/>
    <w:basedOn w:val="54"/>
    <w:link w:val="8"/>
    <w:uiPriority w:val="0"/>
    <w:rPr>
      <w:rFonts w:ascii="Times New Roman" w:hAnsi="Times New Roman" w:eastAsia="宋体" w:cs="Times New Roman"/>
      <w:b/>
      <w:bCs/>
      <w:kern w:val="0"/>
      <w:sz w:val="21"/>
      <w:szCs w:val="22"/>
      <w:lang w:val="en-US" w:eastAsia="zh-CN" w:bidi="ar-SA"/>
    </w:rPr>
  </w:style>
  <w:style w:type="character" w:customStyle="1" w:styleId="67">
    <w:name w:val="标题 8 字符"/>
    <w:basedOn w:val="54"/>
    <w:link w:val="9"/>
    <w:qFormat/>
    <w:uiPriority w:val="0"/>
    <w:rPr>
      <w:rFonts w:ascii="Arial" w:hAnsi="Arial" w:eastAsia="黑体" w:cs="Times New Roman"/>
      <w:kern w:val="0"/>
      <w:sz w:val="21"/>
      <w:szCs w:val="22"/>
      <w:lang w:val="en-US" w:eastAsia="zh-CN" w:bidi="ar-SA"/>
    </w:rPr>
  </w:style>
  <w:style w:type="character" w:customStyle="1" w:styleId="68">
    <w:name w:val="标题 9 字符"/>
    <w:basedOn w:val="54"/>
    <w:link w:val="10"/>
    <w:qFormat/>
    <w:uiPriority w:val="0"/>
    <w:rPr>
      <w:rFonts w:ascii="Arial" w:hAnsi="Arial" w:eastAsia="黑体" w:cs="Times New Roman"/>
      <w:kern w:val="0"/>
      <w:sz w:val="20"/>
      <w:szCs w:val="21"/>
      <w:lang w:val="en-US" w:eastAsia="zh-CN" w:bidi="ar-SA"/>
    </w:rPr>
  </w:style>
  <w:style w:type="character" w:customStyle="1" w:styleId="69">
    <w:name w:val="批注文字 字符"/>
    <w:basedOn w:val="54"/>
    <w:link w:val="19"/>
    <w:uiPriority w:val="0"/>
    <w:rPr>
      <w:rFonts w:asciiTheme="minorHAnsi" w:hAnsiTheme="minorHAnsi" w:eastAsiaTheme="minorEastAsia" w:cstheme="minorBidi"/>
      <w:kern w:val="2"/>
      <w:sz w:val="21"/>
      <w:szCs w:val="22"/>
      <w:lang w:val="en-US" w:eastAsia="zh-CN" w:bidi="ar-SA"/>
    </w:rPr>
  </w:style>
  <w:style w:type="character" w:customStyle="1" w:styleId="70">
    <w:name w:val="批注主题 字符"/>
    <w:basedOn w:val="69"/>
    <w:link w:val="49"/>
    <w:semiHidden/>
    <w:uiPriority w:val="0"/>
    <w:rPr>
      <w:rFonts w:ascii="Times New Roman" w:hAnsi="Times New Roman" w:eastAsia="宋体" w:cs="Times New Roman"/>
      <w:b/>
      <w:bCs/>
      <w:kern w:val="0"/>
      <w:sz w:val="20"/>
    </w:rPr>
  </w:style>
  <w:style w:type="character" w:customStyle="1" w:styleId="71">
    <w:name w:val="正文文本 字符"/>
    <w:basedOn w:val="54"/>
    <w:link w:val="21"/>
    <w:uiPriority w:val="0"/>
    <w:rPr>
      <w:rFonts w:asciiTheme="minorHAnsi" w:hAnsiTheme="minorHAnsi" w:eastAsiaTheme="minorEastAsia" w:cstheme="minorBidi"/>
      <w:kern w:val="2"/>
      <w:sz w:val="21"/>
      <w:szCs w:val="22"/>
      <w:lang w:val="en-US" w:eastAsia="zh-CN" w:bidi="ar-SA"/>
    </w:rPr>
  </w:style>
  <w:style w:type="character" w:customStyle="1" w:styleId="72">
    <w:name w:val="正文首行缩进 字符"/>
    <w:basedOn w:val="71"/>
    <w:link w:val="50"/>
    <w:uiPriority w:val="0"/>
    <w:rPr>
      <w:rFonts w:ascii="Times New Roman" w:hAnsi="Times New Roman" w:eastAsia="宋体" w:cs="Times New Roman"/>
      <w:kern w:val="0"/>
      <w:sz w:val="20"/>
    </w:rPr>
  </w:style>
  <w:style w:type="character" w:customStyle="1" w:styleId="73">
    <w:name w:val="文档结构图 字符"/>
    <w:basedOn w:val="54"/>
    <w:link w:val="18"/>
    <w:qFormat/>
    <w:uiPriority w:val="0"/>
    <w:rPr>
      <w:rFonts w:ascii="Times New Roman" w:hAnsi="Times New Roman" w:eastAsia="宋体" w:cs="Times New Roman"/>
      <w:kern w:val="0"/>
      <w:sz w:val="20"/>
      <w:szCs w:val="22"/>
      <w:lang w:val="en-US" w:eastAsia="zh-CN" w:bidi="ar-SA"/>
    </w:rPr>
  </w:style>
  <w:style w:type="character" w:customStyle="1" w:styleId="74">
    <w:name w:val="正文文本 3 字符"/>
    <w:basedOn w:val="54"/>
    <w:link w:val="20"/>
    <w:qFormat/>
    <w:uiPriority w:val="0"/>
    <w:rPr>
      <w:rFonts w:ascii="Times New Roman" w:hAnsi="Times New Roman" w:eastAsia="宋体" w:cs="Times New Roman"/>
      <w:kern w:val="0"/>
      <w:sz w:val="16"/>
      <w:szCs w:val="16"/>
      <w:lang w:val="en-US" w:eastAsia="zh-CN" w:bidi="ar-SA"/>
    </w:rPr>
  </w:style>
  <w:style w:type="character" w:customStyle="1" w:styleId="75">
    <w:name w:val="正文文本缩进 字符"/>
    <w:basedOn w:val="54"/>
    <w:link w:val="22"/>
    <w:qFormat/>
    <w:uiPriority w:val="0"/>
    <w:rPr>
      <w:rFonts w:ascii="宋体" w:hAnsi="宋体" w:eastAsia="宋体" w:cs="Times New Roman"/>
      <w:kern w:val="0"/>
      <w:sz w:val="28"/>
      <w:szCs w:val="28"/>
      <w:lang w:val="en-US" w:eastAsia="zh-CN" w:bidi="ar-SA"/>
    </w:rPr>
  </w:style>
  <w:style w:type="character" w:customStyle="1" w:styleId="76">
    <w:name w:val="纯文本 字符"/>
    <w:basedOn w:val="54"/>
    <w:link w:val="29"/>
    <w:qFormat/>
    <w:uiPriority w:val="0"/>
    <w:rPr>
      <w:rFonts w:ascii="宋体" w:hAnsi="Courier New" w:eastAsia="宋体" w:cs="Times New Roman"/>
      <w:kern w:val="0"/>
      <w:sz w:val="20"/>
      <w:szCs w:val="21"/>
      <w:lang w:val="en-US" w:eastAsia="zh-CN" w:bidi="ar-SA"/>
    </w:rPr>
  </w:style>
  <w:style w:type="character" w:customStyle="1" w:styleId="77">
    <w:name w:val="日期 字符"/>
    <w:basedOn w:val="54"/>
    <w:link w:val="31"/>
    <w:qFormat/>
    <w:uiPriority w:val="0"/>
    <w:rPr>
      <w:rFonts w:ascii="Times New Roman" w:hAnsi="Times New Roman" w:eastAsia="宋体" w:cs="Times New Roman"/>
      <w:kern w:val="0"/>
      <w:sz w:val="20"/>
      <w:szCs w:val="22"/>
      <w:lang w:val="en-US" w:eastAsia="zh-CN" w:bidi="ar-SA"/>
    </w:rPr>
  </w:style>
  <w:style w:type="character" w:customStyle="1" w:styleId="78">
    <w:name w:val="正文文本缩进 2 字符"/>
    <w:basedOn w:val="54"/>
    <w:link w:val="32"/>
    <w:qFormat/>
    <w:uiPriority w:val="0"/>
    <w:rPr>
      <w:rFonts w:ascii="Times New Roman" w:hAnsi="Times New Roman" w:eastAsia="宋体" w:cs="Times New Roman"/>
      <w:kern w:val="0"/>
      <w:sz w:val="20"/>
      <w:szCs w:val="22"/>
      <w:lang w:val="en-US" w:eastAsia="zh-CN" w:bidi="ar-SA"/>
    </w:rPr>
  </w:style>
  <w:style w:type="character" w:customStyle="1" w:styleId="79">
    <w:name w:val="批注框文本 字符"/>
    <w:basedOn w:val="54"/>
    <w:link w:val="33"/>
    <w:semiHidden/>
    <w:qFormat/>
    <w:uiPriority w:val="0"/>
    <w:rPr>
      <w:rFonts w:ascii="Times New Roman" w:hAnsi="Times New Roman" w:eastAsia="宋体" w:cs="Times New Roman"/>
      <w:kern w:val="0"/>
      <w:sz w:val="18"/>
      <w:szCs w:val="18"/>
      <w:lang w:val="en-US" w:eastAsia="zh-CN" w:bidi="ar-SA"/>
    </w:rPr>
  </w:style>
  <w:style w:type="character" w:customStyle="1" w:styleId="80">
    <w:name w:val="页脚 字符"/>
    <w:basedOn w:val="54"/>
    <w:link w:val="34"/>
    <w:qFormat/>
    <w:uiPriority w:val="99"/>
    <w:rPr>
      <w:rFonts w:ascii="Times New Roman" w:hAnsi="Times New Roman" w:eastAsia="宋体" w:cs="Times New Roman"/>
      <w:kern w:val="0"/>
      <w:sz w:val="18"/>
      <w:szCs w:val="20"/>
      <w:lang w:val="en-US" w:eastAsia="zh-CN" w:bidi="ar-SA"/>
    </w:rPr>
  </w:style>
  <w:style w:type="character" w:customStyle="1" w:styleId="81">
    <w:name w:val="正文首行缩进 2 字符"/>
    <w:basedOn w:val="75"/>
    <w:link w:val="51"/>
    <w:qFormat/>
    <w:uiPriority w:val="0"/>
    <w:rPr>
      <w:szCs w:val="24"/>
    </w:rPr>
  </w:style>
  <w:style w:type="character" w:customStyle="1" w:styleId="82">
    <w:name w:val="页眉 字符"/>
    <w:basedOn w:val="54"/>
    <w:link w:val="35"/>
    <w:qFormat/>
    <w:uiPriority w:val="0"/>
    <w:rPr>
      <w:rFonts w:ascii="Times New Roman" w:hAnsi="Times New Roman" w:eastAsia="宋体" w:cs="Times New Roman"/>
      <w:kern w:val="0"/>
      <w:sz w:val="18"/>
      <w:szCs w:val="20"/>
      <w:lang w:val="en-US" w:eastAsia="zh-CN" w:bidi="ar-SA"/>
    </w:rPr>
  </w:style>
  <w:style w:type="character" w:customStyle="1" w:styleId="83">
    <w:name w:val="正文文本缩进 3 字符"/>
    <w:basedOn w:val="54"/>
    <w:link w:val="40"/>
    <w:qFormat/>
    <w:uiPriority w:val="0"/>
    <w:rPr>
      <w:rFonts w:ascii="Times New Roman" w:hAnsi="Times New Roman" w:eastAsia="宋体" w:cs="Times New Roman"/>
      <w:kern w:val="0"/>
      <w:sz w:val="16"/>
      <w:szCs w:val="16"/>
      <w:lang w:val="en-US" w:eastAsia="zh-CN" w:bidi="ar-SA"/>
    </w:rPr>
  </w:style>
  <w:style w:type="character" w:customStyle="1" w:styleId="84">
    <w:name w:val="正文文本 2 字符"/>
    <w:basedOn w:val="54"/>
    <w:link w:val="43"/>
    <w:qFormat/>
    <w:uiPriority w:val="0"/>
    <w:rPr>
      <w:rFonts w:ascii="Times New Roman" w:hAnsi="Times New Roman" w:eastAsia="宋体" w:cs="Times New Roman"/>
      <w:kern w:val="0"/>
      <w:sz w:val="20"/>
      <w:szCs w:val="22"/>
      <w:lang w:val="en-US" w:eastAsia="zh-CN" w:bidi="ar-SA"/>
    </w:rPr>
  </w:style>
  <w:style w:type="character" w:customStyle="1" w:styleId="85">
    <w:name w:val="标题 字符"/>
    <w:basedOn w:val="54"/>
    <w:link w:val="48"/>
    <w:qFormat/>
    <w:uiPriority w:val="0"/>
    <w:rPr>
      <w:rFonts w:ascii="Cambria" w:hAnsi="Cambria" w:eastAsia="黑体" w:cs="Times New Roman"/>
      <w:b/>
      <w:bCs/>
      <w:kern w:val="0"/>
      <w:sz w:val="32"/>
      <w:szCs w:val="32"/>
      <w:lang w:val="en-US" w:eastAsia="zh-CN" w:bidi="ar-SA"/>
    </w:rPr>
  </w:style>
  <w:style w:type="character" w:customStyle="1" w:styleId="86">
    <w:name w:val="font51"/>
    <w:qFormat/>
    <w:uiPriority w:val="0"/>
    <w:rPr>
      <w:rFonts w:hint="default" w:ascii="Times New Roman" w:hAnsi="Times New Roman" w:cs="Times New Roman" w:eastAsiaTheme="minorEastAsia"/>
      <w:b/>
      <w:color w:val="000000"/>
      <w:kern w:val="2"/>
      <w:sz w:val="24"/>
      <w:szCs w:val="24"/>
      <w:u w:val="none"/>
      <w:lang w:val="en-US" w:eastAsia="zh-CN" w:bidi="ar-SA"/>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89">
    <w:name w:val="Char Char3"/>
    <w:qFormat/>
    <w:uiPriority w:val="0"/>
    <w:rPr>
      <w:rFonts w:eastAsia="宋体" w:asciiTheme="minorHAnsi" w:hAnsiTheme="minorHAnsi" w:cstheme="minorBidi"/>
      <w:kern w:val="2"/>
      <w:sz w:val="18"/>
      <w:szCs w:val="18"/>
      <w:lang w:val="en-US" w:eastAsia="zh-CN" w:bidi="ar-SA"/>
    </w:rPr>
  </w:style>
  <w:style w:type="character" w:customStyle="1" w:styleId="90">
    <w:name w:val="font61"/>
    <w:qFormat/>
    <w:uiPriority w:val="0"/>
    <w:rPr>
      <w:rFonts w:hint="default" w:ascii="Times New Roman" w:hAnsi="Times New Roman" w:cs="Times New Roman" w:eastAsiaTheme="minorEastAsia"/>
      <w:color w:val="000000"/>
      <w:kern w:val="2"/>
      <w:sz w:val="24"/>
      <w:szCs w:val="24"/>
      <w:u w:val="none"/>
      <w:lang w:val="en-US" w:eastAsia="zh-CN" w:bidi="ar-SA"/>
    </w:rPr>
  </w:style>
  <w:style w:type="character" w:customStyle="1" w:styleId="91">
    <w:name w:val="font21"/>
    <w:qFormat/>
    <w:uiPriority w:val="0"/>
    <w:rPr>
      <w:rFonts w:hint="default" w:ascii="Times New Roman" w:hAnsi="Times New Roman" w:cs="Times New Roman" w:eastAsiaTheme="minorEastAsia"/>
      <w:color w:val="000000"/>
      <w:kern w:val="2"/>
      <w:sz w:val="24"/>
      <w:szCs w:val="24"/>
      <w:u w:val="none"/>
      <w:vertAlign w:val="superscript"/>
      <w:lang w:val="en-US" w:eastAsia="zh-CN" w:bidi="ar-SA"/>
    </w:rPr>
  </w:style>
  <w:style w:type="character" w:customStyle="1" w:styleId="92">
    <w:name w:val="font71"/>
    <w:qFormat/>
    <w:uiPriority w:val="0"/>
    <w:rPr>
      <w:rFonts w:hint="eastAsia" w:ascii="宋体" w:hAnsi="宋体" w:eastAsia="宋体" w:cs="宋体"/>
      <w:color w:val="000000"/>
      <w:kern w:val="2"/>
      <w:sz w:val="24"/>
      <w:szCs w:val="24"/>
      <w:u w:val="none"/>
      <w:lang w:val="en-US" w:eastAsia="zh-CN" w:bidi="ar-SA"/>
    </w:rPr>
  </w:style>
  <w:style w:type="character" w:customStyle="1" w:styleId="93">
    <w:name w:val="zbggmain style9"/>
    <w:basedOn w:val="54"/>
    <w:qFormat/>
    <w:uiPriority w:val="0"/>
    <w:rPr>
      <w:rFonts w:asciiTheme="minorHAnsi" w:hAnsiTheme="minorHAnsi" w:eastAsiaTheme="minorEastAsia" w:cstheme="minorBidi"/>
      <w:kern w:val="2"/>
      <w:sz w:val="21"/>
      <w:szCs w:val="22"/>
      <w:lang w:val="en-US" w:eastAsia="zh-CN" w:bidi="ar-SA"/>
    </w:rPr>
  </w:style>
  <w:style w:type="character" w:customStyle="1" w:styleId="94">
    <w:name w:val="px1233"/>
    <w:basedOn w:val="54"/>
    <w:uiPriority w:val="0"/>
    <w:rPr>
      <w:rFonts w:asciiTheme="minorHAnsi" w:hAnsiTheme="minorHAnsi" w:eastAsiaTheme="minorEastAsia" w:cstheme="minorBidi"/>
      <w:kern w:val="2"/>
      <w:sz w:val="21"/>
      <w:szCs w:val="22"/>
      <w:lang w:val="en-US" w:eastAsia="zh-CN" w:bidi="ar-SA"/>
    </w:rPr>
  </w:style>
  <w:style w:type="character" w:customStyle="1" w:styleId="95">
    <w:name w:val="font11"/>
    <w:qFormat/>
    <w:uiPriority w:val="0"/>
    <w:rPr>
      <w:rFonts w:hint="default" w:ascii="Times New Roman" w:hAnsi="Times New Roman" w:cs="Times New Roman" w:eastAsiaTheme="minorEastAsia"/>
      <w:color w:val="000000"/>
      <w:kern w:val="2"/>
      <w:sz w:val="21"/>
      <w:szCs w:val="21"/>
      <w:u w:val="none"/>
      <w:lang w:val="en-US" w:eastAsia="zh-CN" w:bidi="ar-SA"/>
    </w:rPr>
  </w:style>
  <w:style w:type="character" w:customStyle="1" w:styleId="96">
    <w:name w:val="font41"/>
    <w:qFormat/>
    <w:uiPriority w:val="0"/>
    <w:rPr>
      <w:rFonts w:hint="eastAsia" w:ascii="宋体" w:hAnsi="宋体" w:eastAsia="宋体" w:cs="宋体"/>
      <w:b/>
      <w:color w:val="000000"/>
      <w:kern w:val="2"/>
      <w:sz w:val="24"/>
      <w:szCs w:val="24"/>
      <w:u w:val="none"/>
      <w:lang w:val="en-US" w:eastAsia="zh-CN" w:bidi="ar-SA"/>
    </w:rPr>
  </w:style>
  <w:style w:type="character" w:customStyle="1" w:styleId="97">
    <w:name w:val="正文文本字符"/>
    <w:uiPriority w:val="0"/>
    <w:rPr>
      <w:rFonts w:ascii="Times New Roman" w:hAnsi="Times New Roman" w:eastAsia="宋体" w:cs="Times New Roman"/>
      <w:kern w:val="0"/>
      <w:sz w:val="20"/>
      <w:szCs w:val="24"/>
      <w:lang w:val="en-US" w:eastAsia="zh-CN" w:bidi="ar-SA"/>
    </w:rPr>
  </w:style>
  <w:style w:type="character" w:customStyle="1" w:styleId="98">
    <w:name w:val="Char Char2"/>
    <w:uiPriority w:val="0"/>
    <w:rPr>
      <w:rFonts w:eastAsia="宋体" w:asciiTheme="minorHAnsi" w:hAnsiTheme="minorHAnsi" w:cstheme="minorBidi"/>
      <w:kern w:val="2"/>
      <w:sz w:val="18"/>
      <w:szCs w:val="18"/>
      <w:lang w:val="en-US" w:eastAsia="zh-CN" w:bidi="ar-SA"/>
    </w:rPr>
  </w:style>
  <w:style w:type="character" w:customStyle="1" w:styleId="99">
    <w:name w:val="font01"/>
    <w:qFormat/>
    <w:uiPriority w:val="0"/>
    <w:rPr>
      <w:rFonts w:hint="eastAsia" w:ascii="宋体" w:hAnsi="宋体" w:eastAsia="宋体" w:cs="宋体"/>
      <w:color w:val="000000"/>
      <w:kern w:val="2"/>
      <w:sz w:val="21"/>
      <w:szCs w:val="21"/>
      <w:u w:val="none"/>
      <w:lang w:val="en-US" w:eastAsia="zh-CN" w:bidi="ar-SA"/>
    </w:rPr>
  </w:style>
  <w:style w:type="paragraph" w:customStyle="1" w:styleId="100">
    <w:name w:val="样式1"/>
    <w:basedOn w:val="5"/>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uiPriority w:val="0"/>
    <w:rPr>
      <w:rFonts w:ascii="Times New Roman" w:hAnsi="Times New Roman" w:eastAsia="宋体" w:cs="Times New Roman"/>
      <w:sz w:val="21"/>
    </w:rPr>
  </w:style>
  <w:style w:type="paragraph" w:customStyle="1" w:styleId="102">
    <w:name w:val="Char Char Char Char Char Char"/>
    <w:basedOn w:val="1"/>
    <w:uiPriority w:val="0"/>
    <w:rPr>
      <w:rFonts w:ascii="Times New Roman" w:hAnsi="Times New Roman" w:eastAsia="宋体" w:cs="Times New Roman"/>
      <w:sz w:val="21"/>
    </w:rPr>
  </w:style>
  <w:style w:type="character" w:customStyle="1" w:styleId="103">
    <w:name w:val="批注框文本字符1"/>
    <w:basedOn w:val="54"/>
    <w:semiHidden/>
    <w:qFormat/>
    <w:uiPriority w:val="99"/>
    <w:rPr>
      <w:rFonts w:ascii="Heiti SC Light" w:eastAsia="Heiti SC Light" w:hAnsiTheme="minorHAnsi" w:cstheme="minorBidi"/>
      <w:kern w:val="2"/>
      <w:sz w:val="18"/>
      <w:szCs w:val="18"/>
      <w:lang w:val="en-US" w:eastAsia="zh-CN" w:bidi="ar-SA"/>
    </w:rPr>
  </w:style>
  <w:style w:type="character" w:customStyle="1" w:styleId="104">
    <w:name w:val="日期字符1"/>
    <w:basedOn w:val="54"/>
    <w:semiHidden/>
    <w:qFormat/>
    <w:uiPriority w:val="99"/>
    <w:rPr>
      <w:rFonts w:asciiTheme="minorHAnsi" w:hAnsiTheme="minorHAnsi" w:eastAsiaTheme="minorEastAsia" w:cstheme="minorBidi"/>
      <w:kern w:val="2"/>
      <w:sz w:val="21"/>
      <w:szCs w:val="22"/>
      <w:lang w:val="en-US" w:eastAsia="zh-CN" w:bidi="ar-SA"/>
    </w:rPr>
  </w:style>
  <w:style w:type="character" w:customStyle="1" w:styleId="105">
    <w:name w:val="纯文本字符1"/>
    <w:basedOn w:val="54"/>
    <w:semiHidden/>
    <w:uiPriority w:val="99"/>
    <w:rPr>
      <w:rFonts w:ascii="宋体" w:hAnsi="Courier" w:eastAsia="宋体" w:cstheme="minorBidi"/>
      <w:kern w:val="2"/>
      <w:sz w:val="21"/>
      <w:szCs w:val="22"/>
      <w:lang w:val="en-US" w:eastAsia="zh-CN" w:bidi="ar-SA"/>
    </w:rPr>
  </w:style>
  <w:style w:type="character" w:customStyle="1" w:styleId="106">
    <w:name w:val="批注主题字符1"/>
    <w:basedOn w:val="69"/>
    <w:semiHidden/>
    <w:uiPriority w:val="99"/>
    <w:rPr>
      <w:b/>
      <w:bCs/>
      <w:kern w:val="2"/>
      <w:sz w:val="24"/>
      <w:szCs w:val="24"/>
    </w:rPr>
  </w:style>
  <w:style w:type="paragraph" w:customStyle="1" w:styleId="107">
    <w:name w:val="Char Char Char Char"/>
    <w:basedOn w:val="1"/>
    <w:uiPriority w:val="0"/>
    <w:rPr>
      <w:rFonts w:ascii="Times New Roman" w:hAnsi="Times New Roman" w:eastAsia="宋体" w:cs="Times New Roman"/>
      <w:sz w:val="21"/>
    </w:rPr>
  </w:style>
  <w:style w:type="character" w:customStyle="1" w:styleId="108">
    <w:name w:val="正文首行缩进字符1"/>
    <w:basedOn w:val="71"/>
    <w:semiHidden/>
    <w:uiPriority w:val="99"/>
    <w:rPr>
      <w:kern w:val="2"/>
      <w:sz w:val="24"/>
      <w:szCs w:val="24"/>
    </w:rPr>
  </w:style>
  <w:style w:type="character" w:customStyle="1" w:styleId="109">
    <w:name w:val="正文文本缩进 3字符1"/>
    <w:basedOn w:val="54"/>
    <w:semiHidden/>
    <w:uiPriority w:val="99"/>
    <w:rPr>
      <w:rFonts w:asciiTheme="minorHAnsi" w:hAnsiTheme="minorHAnsi" w:eastAsiaTheme="minorEastAsia" w:cstheme="minorBidi"/>
      <w:kern w:val="2"/>
      <w:sz w:val="16"/>
      <w:szCs w:val="16"/>
      <w:lang w:val="en-US" w:eastAsia="zh-CN" w:bidi="ar-SA"/>
    </w:rPr>
  </w:style>
  <w:style w:type="paragraph" w:customStyle="1" w:styleId="110">
    <w:name w:val="p0"/>
    <w:basedOn w:val="1"/>
    <w:uiPriority w:val="0"/>
    <w:pPr>
      <w:widowControl/>
    </w:pPr>
    <w:rPr>
      <w:rFonts w:ascii="Times New Roman" w:hAnsi="Times New Roman" w:eastAsia="宋体" w:cs="Times New Roman"/>
      <w:kern w:val="0"/>
      <w:sz w:val="21"/>
      <w:szCs w:val="21"/>
    </w:rPr>
  </w:style>
  <w:style w:type="character" w:customStyle="1" w:styleId="111">
    <w:name w:val="文档结构图 字符1"/>
    <w:basedOn w:val="54"/>
    <w:semiHidden/>
    <w:uiPriority w:val="99"/>
    <w:rPr>
      <w:rFonts w:ascii="Heiti SC Light" w:eastAsia="Heiti SC Light" w:hAnsiTheme="minorHAnsi" w:cstheme="minorBidi"/>
      <w:kern w:val="2"/>
      <w:sz w:val="21"/>
      <w:szCs w:val="22"/>
      <w:lang w:val="en-US" w:eastAsia="zh-CN" w:bidi="ar-SA"/>
    </w:rPr>
  </w:style>
  <w:style w:type="character" w:customStyle="1" w:styleId="112">
    <w:name w:val="正文文本 3字符1"/>
    <w:basedOn w:val="54"/>
    <w:semiHidden/>
    <w:uiPriority w:val="99"/>
    <w:rPr>
      <w:rFonts w:asciiTheme="minorHAnsi" w:hAnsiTheme="minorHAnsi" w:eastAsiaTheme="minorEastAsia" w:cstheme="minorBidi"/>
      <w:kern w:val="2"/>
      <w:sz w:val="16"/>
      <w:szCs w:val="16"/>
      <w:lang w:val="en-US" w:eastAsia="zh-CN" w:bidi="ar-SA"/>
    </w:rPr>
  </w:style>
  <w:style w:type="character" w:customStyle="1" w:styleId="113">
    <w:name w:val="正文文本缩进字符1"/>
    <w:basedOn w:val="54"/>
    <w:semiHidden/>
    <w:uiPriority w:val="99"/>
    <w:rPr>
      <w:rFonts w:asciiTheme="minorHAnsi" w:hAnsiTheme="minorHAnsi" w:eastAsiaTheme="minorEastAsia" w:cstheme="minorBidi"/>
      <w:kern w:val="2"/>
      <w:sz w:val="21"/>
      <w:szCs w:val="22"/>
      <w:lang w:val="en-US" w:eastAsia="zh-CN" w:bidi="ar-SA"/>
    </w:rPr>
  </w:style>
  <w:style w:type="character" w:customStyle="1" w:styleId="114">
    <w:name w:val="正文文本缩进 2字符1"/>
    <w:basedOn w:val="54"/>
    <w:semiHidden/>
    <w:qFormat/>
    <w:uiPriority w:val="99"/>
    <w:rPr>
      <w:rFonts w:asciiTheme="minorHAnsi" w:hAnsiTheme="minorHAnsi" w:eastAsiaTheme="minorEastAsia" w:cstheme="minorBidi"/>
      <w:kern w:val="2"/>
      <w:sz w:val="21"/>
      <w:szCs w:val="22"/>
      <w:lang w:val="en-US" w:eastAsia="zh-CN" w:bidi="ar-SA"/>
    </w:rPr>
  </w:style>
  <w:style w:type="paragraph" w:customStyle="1" w:styleId="115">
    <w:name w:val="Legal 3"/>
    <w:basedOn w:val="116"/>
    <w:next w:val="116"/>
    <w:qFormat/>
    <w:uiPriority w:val="0"/>
    <w:pPr>
      <w:spacing w:after="120"/>
    </w:pPr>
    <w:rPr>
      <w:rFonts w:cs="Times New Roman"/>
      <w:color w:val="auto"/>
    </w:rPr>
  </w:style>
  <w:style w:type="paragraph" w:customStyle="1" w:styleId="116">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17">
    <w:name w:val="页脚字符1"/>
    <w:basedOn w:val="54"/>
    <w:semiHidden/>
    <w:qFormat/>
    <w:uiPriority w:val="99"/>
    <w:rPr>
      <w:rFonts w:asciiTheme="minorHAnsi" w:hAnsiTheme="minorHAnsi" w:eastAsiaTheme="minorEastAsia" w:cstheme="minorBidi"/>
      <w:kern w:val="2"/>
      <w:sz w:val="18"/>
      <w:szCs w:val="18"/>
      <w:lang w:val="en-US" w:eastAsia="zh-CN" w:bidi="ar-SA"/>
    </w:rPr>
  </w:style>
  <w:style w:type="character" w:customStyle="1" w:styleId="118">
    <w:name w:val="正文首行缩进 2字符1"/>
    <w:basedOn w:val="113"/>
    <w:semiHidden/>
    <w:qFormat/>
    <w:uiPriority w:val="99"/>
  </w:style>
  <w:style w:type="character" w:customStyle="1" w:styleId="119">
    <w:name w:val="页眉字符1"/>
    <w:basedOn w:val="54"/>
    <w:semiHidden/>
    <w:qFormat/>
    <w:uiPriority w:val="99"/>
    <w:rPr>
      <w:rFonts w:asciiTheme="minorHAnsi" w:hAnsiTheme="minorHAnsi" w:eastAsiaTheme="minorEastAsia" w:cstheme="minorBidi"/>
      <w:kern w:val="2"/>
      <w:sz w:val="18"/>
      <w:szCs w:val="18"/>
      <w:lang w:val="en-US" w:eastAsia="zh-CN" w:bidi="ar-SA"/>
    </w:rPr>
  </w:style>
  <w:style w:type="character" w:customStyle="1" w:styleId="120">
    <w:name w:val="正文文本 2字符1"/>
    <w:basedOn w:val="54"/>
    <w:semiHidden/>
    <w:qFormat/>
    <w:uiPriority w:val="99"/>
    <w:rPr>
      <w:rFonts w:asciiTheme="minorHAnsi" w:hAnsiTheme="minorHAnsi" w:eastAsiaTheme="minorEastAsia" w:cstheme="minorBidi"/>
      <w:kern w:val="2"/>
      <w:sz w:val="21"/>
      <w:szCs w:val="22"/>
      <w:lang w:val="en-US" w:eastAsia="zh-CN" w:bidi="ar-SA"/>
    </w:rPr>
  </w:style>
  <w:style w:type="character" w:customStyle="1" w:styleId="121">
    <w:name w:val="标题字符1"/>
    <w:basedOn w:val="54"/>
    <w:qFormat/>
    <w:uiPriority w:val="10"/>
    <w:rPr>
      <w:rFonts w:eastAsia="宋体" w:asciiTheme="majorHAnsi" w:hAnsiTheme="majorHAnsi" w:cstheme="majorBidi"/>
      <w:b/>
      <w:bCs/>
      <w:kern w:val="2"/>
      <w:sz w:val="32"/>
      <w:szCs w:val="32"/>
      <w:lang w:val="en-US" w:eastAsia="zh-CN" w:bidi="ar-SA"/>
    </w:rPr>
  </w:style>
  <w:style w:type="paragraph" w:customStyle="1" w:styleId="122">
    <w:name w:val="列出段落1"/>
    <w:basedOn w:val="1"/>
    <w:unhideWhenUsed/>
    <w:qFormat/>
    <w:uiPriority w:val="99"/>
    <w:pPr>
      <w:ind w:firstLine="420" w:firstLineChars="200"/>
    </w:pPr>
    <w:rPr>
      <w:rFonts w:ascii="Calibri" w:hAnsi="Calibri" w:eastAsia="宋体" w:cs="Times New Roman"/>
      <w:sz w:val="21"/>
      <w:szCs w:val="22"/>
    </w:rPr>
  </w:style>
  <w:style w:type="paragraph" w:customStyle="1" w:styleId="123">
    <w:name w:val="图表标题"/>
    <w:basedOn w:val="1"/>
    <w:next w:val="21"/>
    <w:qFormat/>
    <w:uiPriority w:val="0"/>
    <w:rPr>
      <w:rFonts w:ascii="Times New Roman" w:hAnsi="Times New Roman" w:eastAsia="宋体" w:cs="Times New Roman"/>
      <w:sz w:val="30"/>
      <w:szCs w:val="20"/>
    </w:rPr>
  </w:style>
  <w:style w:type="paragraph" w:customStyle="1" w:styleId="124">
    <w:name w:val="样式 正文文本"/>
    <w:basedOn w:val="1"/>
    <w:uiPriority w:val="0"/>
    <w:pPr>
      <w:adjustRightInd w:val="0"/>
      <w:snapToGrid w:val="0"/>
      <w:spacing w:line="400" w:lineRule="exact"/>
      <w:ind w:firstLine="200" w:firstLineChars="200"/>
    </w:pPr>
    <w:rPr>
      <w:rFonts w:ascii="Arial" w:hAnsi="Arial" w:eastAsia="宋体" w:cs="Times New Roman"/>
      <w:color w:val="000000"/>
      <w:sz w:val="21"/>
      <w:szCs w:val="20"/>
    </w:rPr>
  </w:style>
  <w:style w:type="paragraph" w:customStyle="1" w:styleId="125">
    <w:name w:val="Char"/>
    <w:basedOn w:val="1"/>
    <w:qFormat/>
    <w:uiPriority w:val="0"/>
    <w:rPr>
      <w:rFonts w:ascii="仿宋_GB2312" w:hAnsi="Times New Roman" w:eastAsia="仿宋_GB2312" w:cs="Times New Roman"/>
      <w:b/>
      <w:sz w:val="32"/>
      <w:szCs w:val="32"/>
    </w:rPr>
  </w:style>
  <w:style w:type="paragraph" w:customStyle="1" w:styleId="126">
    <w:name w:val="Char4 Char Char Char"/>
    <w:basedOn w:val="18"/>
    <w:qFormat/>
    <w:uiPriority w:val="0"/>
    <w:rPr>
      <w:rFonts w:ascii="Tahoma" w:hAnsi="Tahoma"/>
      <w:sz w:val="24"/>
    </w:rPr>
  </w:style>
  <w:style w:type="paragraph" w:customStyle="1" w:styleId="127">
    <w:name w:val="表内文字"/>
    <w:basedOn w:val="1"/>
    <w:qFormat/>
    <w:uiPriority w:val="0"/>
    <w:pPr>
      <w:widowControl/>
      <w:ind w:firstLine="120" w:firstLineChars="50"/>
    </w:pPr>
    <w:rPr>
      <w:rFonts w:ascii="宋体" w:hAnsi="宋体" w:eastAsia="宋体" w:cs="Times New Roman"/>
      <w:szCs w:val="20"/>
    </w:rPr>
  </w:style>
  <w:style w:type="paragraph" w:customStyle="1" w:styleId="128">
    <w:name w:val="Char Char Char"/>
    <w:basedOn w:val="1"/>
    <w:uiPriority w:val="0"/>
    <w:pPr>
      <w:ind w:firstLine="360" w:firstLineChars="150"/>
    </w:pPr>
    <w:rPr>
      <w:rFonts w:ascii="Tahoma" w:hAnsi="Tahoma" w:eastAsia="宋体" w:cs="Times New Roman"/>
      <w:szCs w:val="20"/>
    </w:rPr>
  </w:style>
  <w:style w:type="paragraph" w:customStyle="1" w:styleId="129">
    <w:name w:val="样式 样式1 + 首行缩进:  2 字符"/>
    <w:basedOn w:val="1"/>
    <w:uiPriority w:val="0"/>
    <w:pPr>
      <w:spacing w:line="360" w:lineRule="exact"/>
      <w:ind w:firstLine="420" w:firstLineChars="200"/>
    </w:pPr>
    <w:rPr>
      <w:rFonts w:ascii="Arial" w:hAnsi="Arial" w:eastAsia="宋体" w:cs="Times New Roman"/>
      <w:sz w:val="21"/>
      <w:szCs w:val="20"/>
    </w:rPr>
  </w:style>
  <w:style w:type="paragraph" w:customStyle="1" w:styleId="130">
    <w:name w:val="legal 2"/>
    <w:basedOn w:val="116"/>
    <w:next w:val="116"/>
    <w:uiPriority w:val="0"/>
    <w:pPr>
      <w:spacing w:after="120"/>
    </w:pPr>
    <w:rPr>
      <w:rFonts w:cs="Times New Roman"/>
      <w:color w:val="auto"/>
    </w:rPr>
  </w:style>
  <w:style w:type="paragraph" w:customStyle="1" w:styleId="131">
    <w:name w:val="列表延续"/>
    <w:basedOn w:val="1"/>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32">
    <w:name w:val="Legal 5"/>
    <w:basedOn w:val="116"/>
    <w:next w:val="116"/>
    <w:uiPriority w:val="0"/>
    <w:pPr>
      <w:spacing w:after="120"/>
    </w:pPr>
    <w:rPr>
      <w:rFonts w:cs="Times New Roman"/>
      <w:color w:val="auto"/>
    </w:rPr>
  </w:style>
  <w:style w:type="paragraph" w:customStyle="1" w:styleId="13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Legal 4"/>
    <w:basedOn w:val="116"/>
    <w:next w:val="116"/>
    <w:uiPriority w:val="0"/>
    <w:pPr>
      <w:spacing w:after="120"/>
    </w:pPr>
    <w:rPr>
      <w:rFonts w:cs="Times New Roman"/>
      <w:color w:val="auto"/>
    </w:rPr>
  </w:style>
  <w:style w:type="paragraph" w:customStyle="1" w:styleId="135">
    <w:name w:val="_Style 41"/>
    <w:next w:val="1"/>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正文文字3"/>
    <w:basedOn w:val="21"/>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37">
    <w:name w:val="1"/>
    <w:basedOn w:val="1"/>
    <w:uiPriority w:val="0"/>
    <w:rPr>
      <w:rFonts w:ascii="仿宋_GB2312" w:hAnsi="Times New Roman" w:eastAsia="仿宋_GB2312" w:cs="Times New Roman"/>
      <w:b/>
      <w:sz w:val="32"/>
      <w:szCs w:val="32"/>
    </w:rPr>
  </w:style>
  <w:style w:type="paragraph" w:customStyle="1" w:styleId="1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p16"/>
    <w:basedOn w:val="1"/>
    <w:uiPriority w:val="0"/>
    <w:pPr>
      <w:widowControl/>
      <w:spacing w:line="360" w:lineRule="auto"/>
      <w:ind w:left="-2" w:firstLine="2"/>
      <w:jc w:val="left"/>
    </w:pPr>
    <w:rPr>
      <w:rFonts w:ascii="宋体" w:hAnsi="宋体" w:eastAsia="宋体" w:cs="宋体"/>
      <w:kern w:val="0"/>
      <w:sz w:val="30"/>
      <w:szCs w:val="30"/>
    </w:rPr>
  </w:style>
  <w:style w:type="character" w:customStyle="1" w:styleId="140">
    <w:name w:val="一、 Char"/>
    <w:link w:val="141"/>
    <w:qFormat/>
    <w:uiPriority w:val="0"/>
    <w:rPr>
      <w:rFonts w:ascii="仿宋_GB2312" w:hAnsi="宋体" w:eastAsia="仿宋_GB2312" w:cstheme="minorBidi"/>
      <w:b/>
      <w:kern w:val="2"/>
      <w:sz w:val="28"/>
      <w:szCs w:val="28"/>
      <w:lang w:val="en-US" w:eastAsia="zh-CN" w:bidi="ar-SA"/>
    </w:rPr>
  </w:style>
  <w:style w:type="paragraph" w:customStyle="1" w:styleId="141">
    <w:name w:val="一、"/>
    <w:basedOn w:val="1"/>
    <w:link w:val="140"/>
    <w:qFormat/>
    <w:uiPriority w:val="0"/>
    <w:pPr>
      <w:widowControl/>
      <w:tabs>
        <w:tab w:val="left" w:pos="720"/>
      </w:tabs>
      <w:spacing w:line="560" w:lineRule="exact"/>
      <w:ind w:firstLine="562" w:firstLineChars="200"/>
      <w:jc w:val="left"/>
      <w:outlineLvl w:val="1"/>
    </w:pPr>
    <w:rPr>
      <w:rFonts w:ascii="仿宋_GB2312" w:hAnsi="宋体" w:eastAsia="仿宋_GB2312"/>
      <w:b/>
      <w:sz w:val="28"/>
      <w:szCs w:val="28"/>
    </w:rPr>
  </w:style>
  <w:style w:type="paragraph" w:customStyle="1" w:styleId="142">
    <w:name w:val="msolistparagraph"/>
    <w:basedOn w:val="1"/>
    <w:uiPriority w:val="0"/>
    <w:pPr>
      <w:ind w:firstLine="420" w:firstLineChars="200"/>
    </w:pPr>
    <w:rPr>
      <w:rFonts w:ascii="Calibri" w:hAnsi="Calibri" w:eastAsia="宋体" w:cs="Calibri"/>
      <w:kern w:val="0"/>
      <w:sz w:val="20"/>
      <w:szCs w:val="20"/>
    </w:rPr>
  </w:style>
  <w:style w:type="paragraph" w:customStyle="1" w:styleId="143">
    <w:name w:val="List Paragraph"/>
    <w:basedOn w:val="1"/>
    <w:link w:val="144"/>
    <w:qFormat/>
    <w:uiPriority w:val="34"/>
    <w:pPr>
      <w:ind w:firstLine="420" w:firstLineChars="200"/>
    </w:pPr>
    <w:rPr>
      <w:sz w:val="21"/>
      <w:szCs w:val="22"/>
    </w:rPr>
  </w:style>
  <w:style w:type="character" w:customStyle="1" w:styleId="144">
    <w:name w:val="列出段落 字符"/>
    <w:link w:val="143"/>
    <w:qFormat/>
    <w:uiPriority w:val="34"/>
    <w:rPr>
      <w:rFonts w:asciiTheme="minorHAnsi" w:hAnsiTheme="minorHAnsi" w:eastAsiaTheme="minorEastAsia" w:cstheme="minorBidi"/>
      <w:kern w:val="2"/>
      <w:sz w:val="21"/>
      <w:szCs w:val="22"/>
      <w:lang w:val="en-US" w:eastAsia="zh-CN" w:bidi="ar-SA"/>
    </w:rPr>
  </w:style>
  <w:style w:type="character" w:customStyle="1" w:styleId="145">
    <w:name w:val="小正文 Char"/>
    <w:link w:val="146"/>
    <w:qFormat/>
    <w:uiPriority w:val="0"/>
    <w:rPr>
      <w:rFonts w:ascii="仿宋_GB2312" w:hAnsi="宋体" w:eastAsia="仿宋_GB2312" w:cstheme="minorBidi"/>
      <w:kern w:val="2"/>
      <w:sz w:val="28"/>
      <w:szCs w:val="28"/>
      <w:lang w:val="en-US" w:eastAsia="zh-CN" w:bidi="ar-SA"/>
    </w:rPr>
  </w:style>
  <w:style w:type="paragraph" w:customStyle="1" w:styleId="146">
    <w:name w:val="小正文"/>
    <w:basedOn w:val="1"/>
    <w:link w:val="145"/>
    <w:qFormat/>
    <w:uiPriority w:val="0"/>
    <w:pPr>
      <w:spacing w:line="560" w:lineRule="exact"/>
      <w:ind w:firstLine="560" w:firstLineChars="200"/>
      <w:jc w:val="left"/>
    </w:pPr>
    <w:rPr>
      <w:rFonts w:ascii="仿宋_GB2312" w:hAnsi="宋体" w:eastAsia="仿宋_GB2312"/>
      <w:sz w:val="28"/>
      <w:szCs w:val="28"/>
    </w:rPr>
  </w:style>
  <w:style w:type="character" w:customStyle="1" w:styleId="147">
    <w:name w:val="news_zi"/>
    <w:basedOn w:val="54"/>
    <w:uiPriority w:val="0"/>
    <w:rPr>
      <w:rFonts w:asciiTheme="minorHAnsi" w:hAnsiTheme="minorHAnsi" w:eastAsiaTheme="minorEastAsia" w:cstheme="minorBidi"/>
      <w:kern w:val="2"/>
      <w:sz w:val="21"/>
      <w:szCs w:val="22"/>
      <w:lang w:val="en-US" w:eastAsia="zh-CN" w:bidi="ar-SA"/>
    </w:rPr>
  </w:style>
  <w:style w:type="paragraph" w:customStyle="1" w:styleId="148">
    <w:name w:val="图表批注"/>
    <w:basedOn w:val="1"/>
    <w:link w:val="149"/>
    <w:qFormat/>
    <w:uiPriority w:val="0"/>
    <w:pPr>
      <w:spacing w:line="360" w:lineRule="auto"/>
      <w:ind w:right="240" w:rightChars="100"/>
      <w:contextualSpacing/>
      <w:jc w:val="center"/>
    </w:pPr>
    <w:rPr>
      <w:rFonts w:ascii="宋体" w:hAnsi="宋体" w:eastAsia="仿宋" w:cs="Times New Roman"/>
      <w:b/>
      <w:kern w:val="0"/>
      <w:sz w:val="18"/>
      <w:lang w:bidi="en-US"/>
    </w:rPr>
  </w:style>
  <w:style w:type="character" w:customStyle="1" w:styleId="149">
    <w:name w:val="图表批注 Char"/>
    <w:link w:val="148"/>
    <w:qFormat/>
    <w:uiPriority w:val="0"/>
    <w:rPr>
      <w:rFonts w:ascii="宋体" w:hAnsi="宋体" w:eastAsia="仿宋" w:cs="Times New Roman"/>
      <w:b/>
      <w:kern w:val="0"/>
      <w:sz w:val="18"/>
      <w:szCs w:val="22"/>
      <w:lang w:val="en-US" w:eastAsia="zh-CN"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6154</Words>
  <Characters>35082</Characters>
  <Lines>292</Lines>
  <Paragraphs>82</Paragraphs>
  <TotalTime>6</TotalTime>
  <ScaleCrop>false</ScaleCrop>
  <LinksUpToDate>false</LinksUpToDate>
  <CharactersWithSpaces>41154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2019-09-19T08:26:00Z</dcterms:created>
  <dc:creator>zhouping01</dc:creator>
  <cp:lastModifiedBy>宋宇</cp:lastModifiedBy>
  <dcterms:modified xsi:type="dcterms:W3CDTF">2019-10-27T23:41:43Z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