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Arial" w:eastAsia="方正小标宋简体" w:cs="Arial"/>
          <w:color w:val="414141"/>
          <w:kern w:val="0"/>
          <w:sz w:val="44"/>
          <w:szCs w:val="44"/>
          <w:highlight w:val="none"/>
        </w:rPr>
      </w:pPr>
      <w:r>
        <w:rPr>
          <w:rFonts w:hint="eastAsia" w:ascii="方正小标宋简体" w:hAnsi="Arial" w:eastAsia="方正小标宋简体" w:cs="Arial"/>
          <w:color w:val="414141"/>
          <w:kern w:val="0"/>
          <w:sz w:val="44"/>
          <w:szCs w:val="44"/>
          <w:highlight w:val="none"/>
        </w:rPr>
        <w:t>杭州萧山国际机场</w:t>
      </w:r>
      <w:r>
        <w:rPr>
          <w:rFonts w:hint="eastAsia" w:ascii="方正小标宋简体" w:hAnsi="Arial" w:eastAsia="方正小标宋简体" w:cs="Arial"/>
          <w:color w:val="414141"/>
          <w:kern w:val="0"/>
          <w:sz w:val="44"/>
          <w:szCs w:val="44"/>
          <w:highlight w:val="none"/>
          <w:lang w:val="en-US" w:eastAsia="zh-CN"/>
        </w:rPr>
        <w:t>可变车道相关设备采购</w:t>
      </w:r>
      <w:r>
        <w:rPr>
          <w:rFonts w:hint="eastAsia" w:ascii="方正小标宋简体" w:hAnsi="Arial" w:eastAsia="方正小标宋简体" w:cs="Arial"/>
          <w:color w:val="414141"/>
          <w:kern w:val="0"/>
          <w:sz w:val="44"/>
          <w:szCs w:val="44"/>
          <w:highlight w:val="none"/>
        </w:rPr>
        <w:t>询价</w:t>
      </w:r>
      <w:r>
        <w:rPr>
          <w:rFonts w:hint="eastAsia" w:ascii="方正小标宋简体" w:hAnsi="Arial" w:eastAsia="方正小标宋简体" w:cs="Arial"/>
          <w:color w:val="414141"/>
          <w:kern w:val="0"/>
          <w:sz w:val="44"/>
          <w:szCs w:val="44"/>
          <w:highlight w:val="none"/>
          <w:lang w:eastAsia="zh-CN"/>
        </w:rPr>
        <w:t>公告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795"/>
        <w:jc w:val="left"/>
        <w:textAlignment w:val="auto"/>
        <w:outlineLvl w:val="9"/>
        <w:rPr>
          <w:rFonts w:hint="eastAsia" w:ascii="仿宋_GB2312" w:hAnsi="Arial" w:eastAsia="仿宋_GB2312" w:cs="Arial"/>
          <w:color w:val="414141"/>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由于业务生产需要，杭州萧山国际机场有限公司现就可变车道相关设备进行采购，欢迎具有相关资格和能力的供应商前来参加。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一、要求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1</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具有独立法人资格。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2</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具有一般纳税人证书，可提供增值税专用发票。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3</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报价为含税到货价格，运输配送、安装调试等费用</w:t>
      </w:r>
      <w:r>
        <w:rPr>
          <w:rFonts w:hint="eastAsia" w:ascii="仿宋_GB2312" w:hAnsi="Arial" w:eastAsia="仿宋_GB2312" w:cs="Arial"/>
          <w:color w:val="414141"/>
          <w:kern w:val="0"/>
          <w:sz w:val="32"/>
          <w:szCs w:val="32"/>
          <w:highlight w:val="none"/>
          <w:lang w:val="en-US" w:eastAsia="zh-CN"/>
        </w:rPr>
        <w:t>单独列出</w:t>
      </w:r>
      <w:r>
        <w:rPr>
          <w:rFonts w:hint="eastAsia" w:ascii="仿宋_GB2312" w:hAnsi="Arial" w:eastAsia="仿宋_GB2312" w:cs="Arial"/>
          <w:color w:val="414141"/>
          <w:kern w:val="0"/>
          <w:sz w:val="32"/>
          <w:szCs w:val="32"/>
          <w:highlight w:val="none"/>
        </w:rPr>
        <w:t>，具体品名、规格要求请下载附件。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4</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如有质量问题，需及时更换，不得另行收取费用。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二、供应商提供材料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1</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报价</w:t>
      </w:r>
      <w:r>
        <w:rPr>
          <w:rFonts w:hint="eastAsia" w:ascii="仿宋_GB2312" w:hAnsi="Arial" w:eastAsia="仿宋_GB2312" w:cs="Arial"/>
          <w:color w:val="414141"/>
          <w:kern w:val="0"/>
          <w:sz w:val="32"/>
          <w:szCs w:val="32"/>
          <w:highlight w:val="none"/>
          <w:lang w:val="en-US" w:eastAsia="zh-CN"/>
        </w:rPr>
        <w:t>表</w:t>
      </w:r>
      <w:r>
        <w:rPr>
          <w:rFonts w:hint="eastAsia" w:ascii="仿宋_GB2312" w:hAnsi="Arial" w:eastAsia="仿宋_GB2312" w:cs="Arial"/>
          <w:color w:val="414141"/>
          <w:kern w:val="0"/>
          <w:sz w:val="32"/>
          <w:szCs w:val="32"/>
          <w:highlight w:val="none"/>
        </w:rPr>
        <w:t>（盖公章）。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2</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有效的投标厂商企业法人营业执照副本复印件（加盖公章）。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三、报价方式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Arial" w:hAnsi="Arial" w:eastAsia="宋体" w:cs="Arial"/>
          <w:color w:val="414141"/>
          <w:kern w:val="0"/>
          <w:sz w:val="18"/>
          <w:szCs w:val="18"/>
          <w:highlight w:val="none"/>
        </w:rPr>
      </w:pPr>
      <w:r>
        <w:rPr>
          <w:rFonts w:hint="eastAsia" w:ascii="仿宋_GB2312" w:hAnsi="Arial" w:eastAsia="仿宋_GB2312" w:cs="Arial"/>
          <w:color w:val="414141"/>
          <w:kern w:val="0"/>
          <w:sz w:val="32"/>
          <w:szCs w:val="32"/>
          <w:highlight w:val="none"/>
        </w:rPr>
        <w:t>如有供货意向，请将以上材料于2019年</w:t>
      </w:r>
      <w:r>
        <w:rPr>
          <w:rFonts w:hint="eastAsia" w:ascii="仿宋_GB2312" w:hAnsi="Arial" w:eastAsia="仿宋_GB2312" w:cs="Arial"/>
          <w:color w:val="414141"/>
          <w:kern w:val="0"/>
          <w:sz w:val="32"/>
          <w:szCs w:val="32"/>
          <w:highlight w:val="none"/>
          <w:lang w:val="en-US" w:eastAsia="zh-CN"/>
        </w:rPr>
        <w:t>11</w:t>
      </w:r>
      <w:r>
        <w:rPr>
          <w:rFonts w:hint="eastAsia" w:ascii="仿宋_GB2312" w:hAnsi="Arial" w:eastAsia="仿宋_GB2312" w:cs="Arial"/>
          <w:color w:val="414141"/>
          <w:kern w:val="0"/>
          <w:sz w:val="32"/>
          <w:szCs w:val="32"/>
          <w:highlight w:val="none"/>
        </w:rPr>
        <w:t>月</w:t>
      </w:r>
      <w:r>
        <w:rPr>
          <w:rFonts w:hint="eastAsia" w:ascii="仿宋_GB2312" w:hAnsi="Arial" w:eastAsia="仿宋_GB2312" w:cs="Arial"/>
          <w:color w:val="414141"/>
          <w:kern w:val="0"/>
          <w:sz w:val="32"/>
          <w:szCs w:val="32"/>
          <w:highlight w:val="none"/>
          <w:lang w:val="en-US" w:eastAsia="zh-CN"/>
        </w:rPr>
        <w:t>21</w:t>
      </w:r>
      <w:r>
        <w:rPr>
          <w:rFonts w:hint="eastAsia" w:ascii="仿宋_GB2312" w:hAnsi="Arial" w:eastAsia="仿宋_GB2312" w:cs="Arial"/>
          <w:color w:val="414141"/>
          <w:kern w:val="0"/>
          <w:sz w:val="32"/>
          <w:szCs w:val="32"/>
          <w:highlight w:val="none"/>
        </w:rPr>
        <w:t>日</w:t>
      </w:r>
      <w:r>
        <w:rPr>
          <w:rFonts w:ascii="仿宋_GB2312" w:hAnsi="Arial" w:eastAsia="仿宋_GB2312" w:cs="Arial"/>
          <w:color w:val="414141"/>
          <w:kern w:val="0"/>
          <w:sz w:val="32"/>
          <w:szCs w:val="32"/>
          <w:highlight w:val="none"/>
        </w:rPr>
        <w:t>09</w:t>
      </w:r>
      <w:r>
        <w:rPr>
          <w:rFonts w:hint="eastAsia" w:ascii="仿宋_GB2312" w:hAnsi="Arial" w:eastAsia="仿宋_GB2312" w:cs="Arial"/>
          <w:color w:val="414141"/>
          <w:kern w:val="0"/>
          <w:sz w:val="32"/>
          <w:szCs w:val="32"/>
          <w:highlight w:val="none"/>
        </w:rPr>
        <w:t>：3</w:t>
      </w:r>
      <w:r>
        <w:rPr>
          <w:rFonts w:ascii="仿宋_GB2312" w:hAnsi="Arial" w:eastAsia="仿宋_GB2312" w:cs="Arial"/>
          <w:color w:val="414141"/>
          <w:kern w:val="0"/>
          <w:sz w:val="32"/>
          <w:szCs w:val="32"/>
          <w:highlight w:val="none"/>
        </w:rPr>
        <w:t>0</w:t>
      </w:r>
      <w:r>
        <w:rPr>
          <w:rFonts w:hint="eastAsia" w:ascii="仿宋_GB2312" w:hAnsi="Arial" w:eastAsia="仿宋_GB2312" w:cs="Arial"/>
          <w:color w:val="414141"/>
          <w:kern w:val="0"/>
          <w:sz w:val="32"/>
          <w:szCs w:val="32"/>
          <w:highlight w:val="none"/>
        </w:rPr>
        <w:t>前快递或当面递交至杭州萧山国际机场有限公司</w:t>
      </w:r>
      <w:r>
        <w:rPr>
          <w:rFonts w:hint="eastAsia" w:ascii="仿宋_GB2312" w:hAnsi="Arial" w:eastAsia="仿宋_GB2312" w:cs="Arial"/>
          <w:color w:val="414141"/>
          <w:kern w:val="0"/>
          <w:sz w:val="32"/>
          <w:szCs w:val="32"/>
          <w:highlight w:val="none"/>
          <w:lang w:eastAsia="zh-CN"/>
        </w:rPr>
        <w:t>招标中心</w:t>
      </w:r>
      <w:r>
        <w:rPr>
          <w:rFonts w:hint="eastAsia" w:ascii="仿宋_GB2312" w:hAnsi="Arial" w:eastAsia="仿宋_GB2312" w:cs="Arial"/>
          <w:color w:val="414141"/>
          <w:kern w:val="0"/>
          <w:sz w:val="32"/>
          <w:szCs w:val="32"/>
          <w:highlight w:val="none"/>
        </w:rPr>
        <w:t>，我公司将取投标总价最低者为最终供应商。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联系人：</w:t>
      </w:r>
      <w:r>
        <w:rPr>
          <w:rFonts w:hint="eastAsia" w:ascii="仿宋_GB2312" w:hAnsi="Arial" w:eastAsia="仿宋_GB2312" w:cs="Arial"/>
          <w:color w:val="414141"/>
          <w:kern w:val="0"/>
          <w:sz w:val="32"/>
          <w:szCs w:val="32"/>
          <w:highlight w:val="none"/>
          <w:lang w:val="en-US" w:eastAsia="zh-CN"/>
        </w:rPr>
        <w:t>陈文鑫</w:t>
      </w:r>
      <w:r>
        <w:rPr>
          <w:rFonts w:hint="eastAsia" w:ascii="仿宋_GB2312" w:hAnsi="Arial" w:eastAsia="仿宋_GB2312" w:cs="Arial"/>
          <w:color w:val="414141"/>
          <w:kern w:val="0"/>
          <w:sz w:val="32"/>
          <w:szCs w:val="32"/>
          <w:highlight w:val="none"/>
        </w:rPr>
        <w:t>，联系电话：0571-8</w:t>
      </w:r>
      <w:r>
        <w:rPr>
          <w:rFonts w:ascii="仿宋_GB2312" w:hAnsi="Arial" w:eastAsia="仿宋_GB2312" w:cs="Arial"/>
          <w:color w:val="414141"/>
          <w:kern w:val="0"/>
          <w:sz w:val="32"/>
          <w:szCs w:val="32"/>
          <w:highlight w:val="none"/>
        </w:rPr>
        <w:t>383</w:t>
      </w:r>
      <w:r>
        <w:rPr>
          <w:rFonts w:hint="eastAsia" w:ascii="仿宋_GB2312" w:hAnsi="Arial" w:eastAsia="仿宋_GB2312" w:cs="Arial"/>
          <w:color w:val="414141"/>
          <w:kern w:val="0"/>
          <w:sz w:val="32"/>
          <w:szCs w:val="32"/>
          <w:highlight w:val="none"/>
          <w:lang w:val="en-US" w:eastAsia="zh-CN"/>
        </w:rPr>
        <w:t>7739</w:t>
      </w:r>
      <w:r>
        <w:rPr>
          <w:rFonts w:hint="eastAsia" w:ascii="仿宋_GB2312" w:hAnsi="Arial" w:eastAsia="仿宋_GB2312" w:cs="Arial"/>
          <w:color w:val="414141"/>
          <w:kern w:val="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br w:type="page"/>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四、采购清单</w:t>
      </w:r>
    </w:p>
    <w:tbl>
      <w:tblPr>
        <w:tblStyle w:val="8"/>
        <w:tblW w:w="9760" w:type="dxa"/>
        <w:jc w:val="center"/>
        <w:tblInd w:w="-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913"/>
        <w:gridCol w:w="3557"/>
        <w:gridCol w:w="962"/>
        <w:gridCol w:w="158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kern w:val="0"/>
                <w:sz w:val="24"/>
                <w:szCs w:val="24"/>
                <w:highlight w:val="none"/>
              </w:rPr>
              <w:t>序号</w:t>
            </w:r>
          </w:p>
        </w:tc>
        <w:tc>
          <w:tcPr>
            <w:tcW w:w="191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kern w:val="0"/>
                <w:sz w:val="24"/>
                <w:szCs w:val="24"/>
                <w:highlight w:val="none"/>
              </w:rPr>
              <w:t>项目名称</w:t>
            </w:r>
          </w:p>
        </w:tc>
        <w:tc>
          <w:tcPr>
            <w:tcW w:w="3557"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kern w:val="0"/>
                <w:sz w:val="24"/>
                <w:szCs w:val="24"/>
                <w:highlight w:val="none"/>
              </w:rPr>
              <w:t>型号配置</w:t>
            </w:r>
          </w:p>
        </w:tc>
        <w:tc>
          <w:tcPr>
            <w:tcW w:w="96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kern w:val="0"/>
                <w:sz w:val="24"/>
                <w:szCs w:val="24"/>
                <w:highlight w:val="none"/>
              </w:rPr>
              <w:t>数量</w:t>
            </w:r>
          </w:p>
        </w:tc>
        <w:tc>
          <w:tcPr>
            <w:tcW w:w="1581"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性质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kern w:val="0"/>
                <w:sz w:val="24"/>
                <w:szCs w:val="24"/>
                <w:highlight w:val="none"/>
              </w:rPr>
              <w:t>（内/外场）</w:t>
            </w:r>
          </w:p>
        </w:tc>
        <w:tc>
          <w:tcPr>
            <w:tcW w:w="99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91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可变车道指示牌</w:t>
            </w:r>
          </w:p>
        </w:tc>
        <w:tc>
          <w:tcPr>
            <w:tcW w:w="3557"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显示尺寸：512mm*816mm；</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LED发光管点间距：16mm，颜色白色；单颗发光亮度：不低于6000mcd；形状：符合国标，可单独显示。</w:t>
            </w:r>
          </w:p>
        </w:tc>
        <w:tc>
          <w:tcPr>
            <w:tcW w:w="96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c>
          <w:tcPr>
            <w:tcW w:w="1581"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w:t>
            </w:r>
            <w:r>
              <w:rPr>
                <w:rFonts w:hint="eastAsia" w:ascii="仿宋_GB2312" w:hAnsi="仿宋_GB2312" w:eastAsia="仿宋_GB2312" w:cs="仿宋_GB2312"/>
                <w:sz w:val="24"/>
                <w:szCs w:val="24"/>
                <w:highlight w:val="none"/>
                <w:lang w:val="en-US" w:eastAsia="zh-CN"/>
              </w:rPr>
              <w:t>场</w:t>
            </w:r>
          </w:p>
        </w:tc>
        <w:tc>
          <w:tcPr>
            <w:tcW w:w="99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91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方案控制器</w:t>
            </w:r>
          </w:p>
        </w:tc>
        <w:tc>
          <w:tcPr>
            <w:tcW w:w="3557"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输入：4路开关量输入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输出：4路继电器输出</w:t>
            </w:r>
          </w:p>
        </w:tc>
        <w:tc>
          <w:tcPr>
            <w:tcW w:w="96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581"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w:t>
            </w:r>
            <w:r>
              <w:rPr>
                <w:rFonts w:hint="eastAsia" w:ascii="仿宋_GB2312" w:hAnsi="仿宋_GB2312" w:eastAsia="仿宋_GB2312" w:cs="仿宋_GB2312"/>
                <w:sz w:val="24"/>
                <w:szCs w:val="24"/>
                <w:highlight w:val="none"/>
                <w:lang w:val="en-US" w:eastAsia="zh-CN"/>
              </w:rPr>
              <w:t>场</w:t>
            </w:r>
          </w:p>
        </w:tc>
        <w:tc>
          <w:tcPr>
            <w:tcW w:w="99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91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设备运输费</w:t>
            </w:r>
          </w:p>
        </w:tc>
        <w:tc>
          <w:tcPr>
            <w:tcW w:w="3557"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包括新、旧设备的运输费</w:t>
            </w:r>
          </w:p>
        </w:tc>
        <w:tc>
          <w:tcPr>
            <w:tcW w:w="96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c>
          <w:tcPr>
            <w:tcW w:w="1581"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w:t>
            </w:r>
            <w:r>
              <w:rPr>
                <w:rFonts w:hint="eastAsia" w:ascii="仿宋_GB2312" w:hAnsi="仿宋_GB2312" w:eastAsia="仿宋_GB2312" w:cs="仿宋_GB2312"/>
                <w:sz w:val="24"/>
                <w:szCs w:val="24"/>
                <w:highlight w:val="none"/>
                <w:lang w:val="en-US" w:eastAsia="zh-CN"/>
              </w:rPr>
              <w:t>场</w:t>
            </w:r>
          </w:p>
        </w:tc>
        <w:tc>
          <w:tcPr>
            <w:tcW w:w="99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55"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913"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安装费</w:t>
            </w:r>
          </w:p>
        </w:tc>
        <w:tc>
          <w:tcPr>
            <w:tcW w:w="3557"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包括指示牌、方案控制器安装所需的物料费、人工费，以及线路接通过程中产生的其他费用等。</w:t>
            </w:r>
          </w:p>
        </w:tc>
        <w:tc>
          <w:tcPr>
            <w:tcW w:w="96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p>
        </w:tc>
        <w:tc>
          <w:tcPr>
            <w:tcW w:w="1581"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w:t>
            </w:r>
            <w:r>
              <w:rPr>
                <w:rFonts w:hint="eastAsia" w:ascii="仿宋_GB2312" w:hAnsi="仿宋_GB2312" w:eastAsia="仿宋_GB2312" w:cs="仿宋_GB2312"/>
                <w:sz w:val="24"/>
                <w:szCs w:val="24"/>
                <w:highlight w:val="none"/>
                <w:lang w:val="en-US" w:eastAsia="zh-CN"/>
              </w:rPr>
              <w:t>场</w:t>
            </w:r>
          </w:p>
        </w:tc>
        <w:tc>
          <w:tcPr>
            <w:tcW w:w="992" w:type="dxa"/>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highlight w:val="none"/>
              </w:rPr>
            </w:pPr>
          </w:p>
        </w:tc>
      </w:tr>
    </w:tbl>
    <w:p>
      <w:pPr>
        <w:spacing w:line="560" w:lineRule="exact"/>
        <w:rPr>
          <w:rFonts w:hint="eastAsia" w:ascii="仿宋_GB2312" w:hAnsi="Arial" w:eastAsia="仿宋_GB2312" w:cs="Arial"/>
          <w:color w:val="414141"/>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lang w:val="en-US" w:eastAsia="zh-CN"/>
        </w:rPr>
        <w:t>五</w:t>
      </w:r>
      <w:r>
        <w:rPr>
          <w:rFonts w:hint="eastAsia" w:ascii="仿宋_GB2312" w:hAnsi="Arial" w:eastAsia="仿宋_GB2312" w:cs="Arial"/>
          <w:color w:val="414141"/>
          <w:kern w:val="0"/>
          <w:sz w:val="32"/>
          <w:szCs w:val="32"/>
          <w:highlight w:val="none"/>
        </w:rPr>
        <w:t>、产权担保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lang w:val="en-US" w:eastAsia="zh-CN"/>
        </w:rPr>
        <w:t>六</w:t>
      </w:r>
      <w:r>
        <w:rPr>
          <w:rFonts w:hint="eastAsia" w:ascii="仿宋_GB2312" w:hAnsi="Arial" w:eastAsia="仿宋_GB2312" w:cs="Arial"/>
          <w:color w:val="414141"/>
          <w:kern w:val="0"/>
          <w:sz w:val="32"/>
          <w:szCs w:val="32"/>
          <w:highlight w:val="none"/>
        </w:rPr>
        <w:t>、货物包装、发货及运输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2</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使用说明书、质量检验证明书、技术资料、随配附件和工具以及清单一并附于货物内同时向甲方交付。如资料不全的，视为乙方未完全履行交付义务。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3</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乙方在货物发运手续办理完毕后【24】小时内必须书面通知甲方，以便甲方准备接货。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4</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货物在规定的交货地点交付甲方前发生的一切风险包括货物运输风险均由乙方负责。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5</w:t>
      </w:r>
      <w:r>
        <w:rPr>
          <w:rFonts w:hint="eastAsia" w:ascii="仿宋_GB2312" w:hAnsi="Arial" w:eastAsia="仿宋_GB2312" w:cs="Arial"/>
          <w:color w:val="414141"/>
          <w:kern w:val="0"/>
          <w:sz w:val="32"/>
          <w:szCs w:val="32"/>
          <w:highlight w:val="none"/>
          <w:lang w:eastAsia="zh-CN"/>
        </w:rPr>
        <w:t>.</w:t>
      </w:r>
      <w:r>
        <w:rPr>
          <w:rFonts w:hint="eastAsia" w:ascii="仿宋_GB2312" w:hAnsi="Arial" w:eastAsia="仿宋_GB2312" w:cs="Arial"/>
          <w:color w:val="414141"/>
          <w:kern w:val="0"/>
          <w:sz w:val="32"/>
          <w:szCs w:val="32"/>
          <w:highlight w:val="none"/>
        </w:rPr>
        <w:t>货物在规定的交付期限内由乙方送达甲方指定的交货地点并经甲方签收后视为交付，乙方同时必须在货物到达的当天立即通知甲方货物已送达。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八、交货期、交货方式及交货地点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 交货期：见招标文件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2. 交货方式：乙方送货上门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3. 交货地点：杭州萧山国际机场内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九、安装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1.乙方需按照甲方要求，派技术人员上门配合完成</w:t>
      </w:r>
      <w:r>
        <w:rPr>
          <w:rFonts w:hint="eastAsia" w:ascii="仿宋_GB2312" w:hAnsi="Arial" w:eastAsia="仿宋_GB2312" w:cs="Arial"/>
          <w:color w:val="414141"/>
          <w:kern w:val="0"/>
          <w:sz w:val="32"/>
          <w:szCs w:val="32"/>
          <w:highlight w:val="none"/>
          <w:lang w:val="en-US" w:eastAsia="zh-CN"/>
        </w:rPr>
        <w:t>可变车道指示牌、方案控制器的</w:t>
      </w:r>
      <w:r>
        <w:rPr>
          <w:rFonts w:hint="eastAsia" w:ascii="仿宋_GB2312" w:hAnsi="Arial" w:eastAsia="仿宋_GB2312" w:cs="Arial"/>
          <w:color w:val="414141"/>
          <w:kern w:val="0"/>
          <w:sz w:val="32"/>
          <w:szCs w:val="32"/>
          <w:highlight w:val="none"/>
        </w:rPr>
        <w:t>安装及调试工作。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十、验收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2.乙方交货前应对货物作出全面检查和对验收文件进行整理，并列出清单，作为甲方收货验收和使用的技术条件依据，乙方质量检验证书应随货物交甲方。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3.甲方签收货物后如发现货物的品种、数量、花色或质量不符合合同约定或相关质量要求，甲方应在签收之日起【3】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十一、货款支付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1.经甲方终验合格（甲方签署验收合格确认书）后15日内，甲方凭乙方出具的全额增值税专用发票，一次性全额支付乙方货款。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十二、评标办法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Arial" w:eastAsia="仿宋_GB2312" w:cs="Arial"/>
          <w:color w:val="414141"/>
          <w:kern w:val="0"/>
          <w:sz w:val="32"/>
          <w:szCs w:val="32"/>
          <w:highlight w:val="none"/>
        </w:rPr>
      </w:pPr>
      <w:r>
        <w:rPr>
          <w:rFonts w:hint="eastAsia" w:ascii="仿宋_GB2312" w:hAnsi="Arial" w:eastAsia="仿宋_GB2312" w:cs="Arial"/>
          <w:color w:val="414141"/>
          <w:kern w:val="0"/>
          <w:sz w:val="32"/>
          <w:szCs w:val="32"/>
          <w:highlight w:val="none"/>
        </w:rPr>
        <w:t>1.本项目采用最低价评分法。</w:t>
      </w:r>
    </w:p>
    <w:p>
      <w:pPr>
        <w:spacing w:line="560" w:lineRule="exact"/>
        <w:rPr>
          <w:rFonts w:hint="eastAsia" w:ascii="仿宋_GB2312" w:hAnsi="宋体" w:eastAsia="仿宋_GB2312"/>
          <w:b w:val="0"/>
          <w:bCs w:val="0"/>
          <w:kern w:val="0"/>
          <w:sz w:val="30"/>
          <w:szCs w:val="30"/>
          <w:highlight w:val="none"/>
        </w:rPr>
      </w:pPr>
      <w:r>
        <w:rPr>
          <w:rFonts w:ascii="仿宋_GB2312" w:hAnsi="Arial" w:eastAsia="仿宋_GB2312" w:cs="Arial"/>
          <w:color w:val="414141"/>
          <w:kern w:val="0"/>
          <w:sz w:val="32"/>
          <w:szCs w:val="32"/>
          <w:highlight w:val="none"/>
        </w:rPr>
        <w:br w:type="page"/>
      </w:r>
      <w:r>
        <w:rPr>
          <w:rFonts w:hint="eastAsia" w:ascii="仿宋_GB2312" w:hAnsi="宋体" w:eastAsia="仿宋_GB2312"/>
          <w:b w:val="0"/>
          <w:bCs w:val="0"/>
          <w:kern w:val="0"/>
          <w:sz w:val="30"/>
          <w:szCs w:val="30"/>
          <w:highlight w:val="none"/>
        </w:rPr>
        <w:t>附件：报价</w:t>
      </w:r>
      <w:r>
        <w:rPr>
          <w:rFonts w:hint="eastAsia" w:ascii="仿宋_GB2312" w:hAnsi="宋体" w:eastAsia="仿宋_GB2312"/>
          <w:b w:val="0"/>
          <w:bCs w:val="0"/>
          <w:kern w:val="0"/>
          <w:sz w:val="30"/>
          <w:szCs w:val="30"/>
          <w:highlight w:val="none"/>
          <w:lang w:val="en-US" w:eastAsia="zh-CN"/>
        </w:rPr>
        <w:t>表</w:t>
      </w:r>
    </w:p>
    <w:p>
      <w:pPr>
        <w:ind w:firstLine="405"/>
        <w:jc w:val="center"/>
        <w:rPr>
          <w:rFonts w:hint="eastAsia" w:ascii="方正小标宋简体" w:eastAsia="方正小标宋简体"/>
          <w:sz w:val="36"/>
          <w:szCs w:val="36"/>
          <w:highlight w:val="none"/>
        </w:rPr>
      </w:pPr>
    </w:p>
    <w:p>
      <w:pPr>
        <w:ind w:firstLine="405"/>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 xml:space="preserve">报 价 </w:t>
      </w:r>
      <w:r>
        <w:rPr>
          <w:rFonts w:hint="eastAsia" w:ascii="方正小标宋简体" w:eastAsia="方正小标宋简体"/>
          <w:sz w:val="36"/>
          <w:szCs w:val="36"/>
          <w:highlight w:val="none"/>
          <w:lang w:val="en-US" w:eastAsia="zh-CN"/>
        </w:rPr>
        <w:t>表</w:t>
      </w:r>
    </w:p>
    <w:tbl>
      <w:tblPr>
        <w:tblStyle w:val="7"/>
        <w:tblW w:w="8152" w:type="dxa"/>
        <w:jc w:val="center"/>
        <w:tblInd w:w="0" w:type="dxa"/>
        <w:tblLayout w:type="fixed"/>
        <w:tblCellMar>
          <w:top w:w="0" w:type="dxa"/>
          <w:left w:w="108" w:type="dxa"/>
          <w:bottom w:w="0" w:type="dxa"/>
          <w:right w:w="108" w:type="dxa"/>
        </w:tblCellMar>
      </w:tblPr>
      <w:tblGrid>
        <w:gridCol w:w="842"/>
        <w:gridCol w:w="637"/>
        <w:gridCol w:w="1041"/>
        <w:gridCol w:w="2360"/>
        <w:gridCol w:w="772"/>
        <w:gridCol w:w="1462"/>
        <w:gridCol w:w="1038"/>
      </w:tblGrid>
      <w:tr>
        <w:tblPrEx>
          <w:tblLayout w:type="fixed"/>
          <w:tblCellMar>
            <w:top w:w="0" w:type="dxa"/>
            <w:left w:w="108" w:type="dxa"/>
            <w:bottom w:w="0" w:type="dxa"/>
            <w:right w:w="108" w:type="dxa"/>
          </w:tblCellMar>
        </w:tblPrEx>
        <w:trPr>
          <w:trHeight w:val="738"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序号</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项目名称</w:t>
            </w: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型号配置</w:t>
            </w: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数量</w:t>
            </w: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b/>
                <w:bCs/>
                <w:kern w:val="0"/>
                <w:sz w:val="24"/>
                <w:szCs w:val="24"/>
                <w:highlight w:val="none"/>
                <w:lang w:eastAsia="zh-CN"/>
              </w:rPr>
            </w:pPr>
            <w:r>
              <w:rPr>
                <w:rFonts w:hint="eastAsia" w:ascii="仿宋_GB2312" w:hAnsi="宋体" w:eastAsia="仿宋_GB2312"/>
                <w:b/>
                <w:bCs/>
                <w:kern w:val="0"/>
                <w:sz w:val="24"/>
                <w:szCs w:val="24"/>
                <w:highlight w:val="none"/>
                <w:lang w:val="en-US" w:eastAsia="zh-CN"/>
              </w:rPr>
              <w:t>单价（含税）</w:t>
            </w: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合价</w:t>
            </w:r>
          </w:p>
        </w:tc>
      </w:tr>
      <w:tr>
        <w:tblPrEx>
          <w:tblLayout w:type="fixed"/>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1</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r>
      <w:tr>
        <w:tblPrEx>
          <w:tblLayout w:type="fixed"/>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2</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r>
      <w:tr>
        <w:tblPrEx>
          <w:tblLayout w:type="fixed"/>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3</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r>
      <w:tr>
        <w:tblPrEx>
          <w:tblLayout w:type="fixed"/>
          <w:tblCellMar>
            <w:top w:w="0" w:type="dxa"/>
            <w:left w:w="108" w:type="dxa"/>
            <w:bottom w:w="0" w:type="dxa"/>
            <w:right w:w="108" w:type="dxa"/>
          </w:tblCellMar>
        </w:tblPrEx>
        <w:trPr>
          <w:trHeight w:val="545"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宋体" w:eastAsia="仿宋_GB2312"/>
                <w:kern w:val="0"/>
                <w:sz w:val="24"/>
                <w:szCs w:val="24"/>
                <w:highlight w:val="none"/>
                <w:lang w:val="en-US" w:eastAsia="zh-CN"/>
              </w:rPr>
            </w:pPr>
            <w:r>
              <w:rPr>
                <w:rFonts w:hint="eastAsia" w:ascii="仿宋_GB2312" w:hAnsi="宋体" w:eastAsia="仿宋_GB2312"/>
                <w:kern w:val="0"/>
                <w:sz w:val="24"/>
                <w:szCs w:val="24"/>
                <w:highlight w:val="none"/>
                <w:lang w:val="en-US" w:eastAsia="zh-CN"/>
              </w:rPr>
              <w:t>4</w:t>
            </w:r>
          </w:p>
        </w:tc>
        <w:tc>
          <w:tcPr>
            <w:tcW w:w="1678"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23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p>
        </w:tc>
        <w:tc>
          <w:tcPr>
            <w:tcW w:w="77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4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p>
        </w:tc>
        <w:tc>
          <w:tcPr>
            <w:tcW w:w="10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kern w:val="0"/>
                <w:sz w:val="24"/>
                <w:szCs w:val="24"/>
                <w:highlight w:val="none"/>
              </w:rPr>
            </w:pPr>
            <w:bookmarkStart w:id="0" w:name="_GoBack"/>
            <w:bookmarkEnd w:id="0"/>
          </w:p>
        </w:tc>
      </w:tr>
      <w:tr>
        <w:tblPrEx>
          <w:tblLayout w:type="fixed"/>
          <w:tblCellMar>
            <w:top w:w="0" w:type="dxa"/>
            <w:left w:w="108" w:type="dxa"/>
            <w:bottom w:w="0" w:type="dxa"/>
            <w:right w:w="108" w:type="dxa"/>
          </w:tblCellMar>
        </w:tblPrEx>
        <w:trPr>
          <w:trHeight w:val="3256" w:hRule="atLeast"/>
          <w:jc w:val="center"/>
        </w:trPr>
        <w:tc>
          <w:tcPr>
            <w:tcW w:w="8152" w:type="dxa"/>
            <w:gridSpan w:val="7"/>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szCs w:val="24"/>
                <w:highlight w:val="none"/>
              </w:rPr>
            </w:pPr>
            <w:r>
              <w:rPr>
                <w:rFonts w:hint="eastAsia" w:ascii="仿宋_GB2312" w:hAnsi="宋体" w:eastAsia="仿宋_GB2312"/>
                <w:b/>
                <w:bCs/>
                <w:kern w:val="0"/>
                <w:sz w:val="24"/>
                <w:szCs w:val="24"/>
                <w:highlight w:val="none"/>
              </w:rPr>
              <w:t>报价总价（人民币）￥：              大写：</w:t>
            </w:r>
          </w:p>
        </w:tc>
      </w:tr>
      <w:tr>
        <w:tblPrEx>
          <w:tblLayout w:type="fixed"/>
          <w:tblCellMar>
            <w:top w:w="0" w:type="dxa"/>
            <w:left w:w="108" w:type="dxa"/>
            <w:bottom w:w="0" w:type="dxa"/>
            <w:right w:w="108" w:type="dxa"/>
          </w:tblCellMar>
        </w:tblPrEx>
        <w:trPr>
          <w:trHeight w:val="3256" w:hRule="atLeast"/>
          <w:jc w:val="center"/>
        </w:trPr>
        <w:tc>
          <w:tcPr>
            <w:tcW w:w="1479" w:type="dxa"/>
            <w:gridSpan w:val="2"/>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其他事项</w:t>
            </w:r>
          </w:p>
        </w:tc>
        <w:tc>
          <w:tcPr>
            <w:tcW w:w="6673" w:type="dxa"/>
            <w:gridSpan w:val="5"/>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交货时间：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交货地点：杭州萧山国际机场内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相关优惠措施：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仿宋_GB2312" w:hAnsi="宋体" w:eastAsia="仿宋_GB2312"/>
                <w:b/>
                <w:bCs/>
                <w:kern w:val="0"/>
                <w:sz w:val="24"/>
                <w:highlight w:val="none"/>
              </w:rPr>
            </w:pPr>
            <w:r>
              <w:rPr>
                <w:rFonts w:hint="eastAsia" w:ascii="仿宋_GB2312" w:hAnsi="宋体" w:eastAsia="仿宋_GB2312"/>
                <w:b/>
                <w:bCs/>
                <w:kern w:val="0"/>
                <w:sz w:val="24"/>
                <w:highlight w:val="none"/>
              </w:rPr>
              <w:t>报价有效期：一年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highlight w:val="none"/>
              </w:rPr>
            </w:pPr>
          </w:p>
        </w:tc>
      </w:tr>
    </w:tbl>
    <w:p>
      <w:pPr>
        <w:rPr>
          <w:b/>
          <w:bCs/>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1.以上报价包含产品价格、售后服务、税费等所有费用。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2.发票：增值税专用发票。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3.支付方式：货到付款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4.交货地点：杭州萧山国际机场内。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5.*交货时间：</w:t>
      </w:r>
      <w:r>
        <w:rPr>
          <w:rFonts w:hint="eastAsia" w:ascii="仿宋_GB2312" w:hAnsi="仿宋_GB2312" w:eastAsia="仿宋_GB2312" w:cs="仿宋_GB2312"/>
          <w:b/>
          <w:bCs/>
          <w:sz w:val="28"/>
          <w:szCs w:val="28"/>
          <w:highlight w:val="none"/>
        </w:rPr>
        <w:t>订货后</w:t>
      </w:r>
      <w:r>
        <w:rPr>
          <w:rFonts w:hint="eastAsia" w:ascii="仿宋_GB2312" w:hAnsi="仿宋_GB2312" w:eastAsia="仿宋_GB2312" w:cs="仿宋_GB2312"/>
          <w:b/>
          <w:bCs/>
          <w:sz w:val="28"/>
          <w:szCs w:val="28"/>
          <w:highlight w:val="none"/>
          <w:lang w:val="en-US" w:eastAsia="zh-CN"/>
        </w:rPr>
        <w:t>XX</w:t>
      </w:r>
      <w:r>
        <w:rPr>
          <w:rFonts w:hint="eastAsia" w:ascii="仿宋_GB2312" w:hAnsi="仿宋_GB2312" w:eastAsia="仿宋_GB2312" w:cs="仿宋_GB2312"/>
          <w:b/>
          <w:bCs/>
          <w:sz w:val="28"/>
          <w:szCs w:val="28"/>
          <w:highlight w:val="none"/>
        </w:rPr>
        <w:t>天内交货，</w:t>
      </w:r>
      <w:r>
        <w:rPr>
          <w:rFonts w:hint="eastAsia" w:ascii="仿宋_GB2312" w:hAnsi="仿宋_GB2312" w:eastAsia="仿宋_GB2312" w:cs="仿宋_GB2312"/>
          <w:sz w:val="28"/>
          <w:szCs w:val="28"/>
          <w:highlight w:val="none"/>
        </w:rPr>
        <w:t>交货地点为杭州萧山国际机场内。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6.*货物包装：原厂原包装，未开封，新品</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7.报价有效期：30天</w:t>
      </w:r>
    </w:p>
    <w:p>
      <w:pPr>
        <w:rPr>
          <w:rFonts w:hint="eastAsia" w:ascii="宋体" w:hAnsi="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单位名称（盖章）：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    年    月   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交通标志专用字体">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F"/>
    <w:rsid w:val="00052013"/>
    <w:rsid w:val="002764D2"/>
    <w:rsid w:val="002E1C46"/>
    <w:rsid w:val="003450B5"/>
    <w:rsid w:val="003B31E6"/>
    <w:rsid w:val="006D29C0"/>
    <w:rsid w:val="008369F3"/>
    <w:rsid w:val="00C52CAF"/>
    <w:rsid w:val="00EC30D1"/>
    <w:rsid w:val="00F76A69"/>
    <w:rsid w:val="00FC7664"/>
    <w:rsid w:val="02BE371F"/>
    <w:rsid w:val="0BEF6933"/>
    <w:rsid w:val="0D9E51D6"/>
    <w:rsid w:val="3C220E41"/>
    <w:rsid w:val="3CFE01E0"/>
    <w:rsid w:val="418504BE"/>
    <w:rsid w:val="562D74EC"/>
    <w:rsid w:val="605538C4"/>
    <w:rsid w:val="639461CA"/>
    <w:rsid w:val="7AF11F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zxwd_zi"/>
    <w:basedOn w:val="1"/>
    <w:uiPriority w:val="0"/>
    <w:pPr>
      <w:widowControl/>
      <w:spacing w:before="100" w:beforeAutospacing="1" w:after="100" w:afterAutospacing="1"/>
      <w:jc w:val="left"/>
    </w:pPr>
    <w:rPr>
      <w:rFonts w:ascii="宋体" w:hAnsi="宋体" w:eastAsia="宋体" w:cs="宋体"/>
      <w:b/>
      <w:bCs/>
      <w:color w:val="382090"/>
      <w:kern w:val="0"/>
      <w:szCs w:val="21"/>
    </w:rPr>
  </w:style>
  <w:style w:type="character" w:customStyle="1" w:styleId="10">
    <w:name w:val="news_zi1"/>
    <w:basedOn w:val="6"/>
    <w:uiPriority w:val="0"/>
    <w:rPr>
      <w:color w:val="2A4C71"/>
    </w:rPr>
  </w:style>
  <w:style w:type="character" w:customStyle="1" w:styleId="11">
    <w:name w:val="批注框文本 字符"/>
    <w:basedOn w:val="6"/>
    <w:link w:val="2"/>
    <w:semiHidden/>
    <w:qFormat/>
    <w:uiPriority w:val="99"/>
    <w:rPr>
      <w:sz w:val="18"/>
      <w:szCs w:val="18"/>
    </w:rPr>
  </w:style>
  <w:style w:type="character" w:customStyle="1" w:styleId="12">
    <w:name w:val="页眉 字符"/>
    <w:basedOn w:val="6"/>
    <w:link w:val="4"/>
    <w:qFormat/>
    <w:uiPriority w:val="99"/>
    <w:rPr>
      <w:sz w:val="18"/>
      <w:szCs w:val="18"/>
    </w:rPr>
  </w:style>
  <w:style w:type="character" w:customStyle="1" w:styleId="13">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332</Words>
  <Characters>1899</Characters>
  <Lines>15</Lines>
  <Paragraphs>4</Paragraphs>
  <ScaleCrop>false</ScaleCrop>
  <LinksUpToDate>false</LinksUpToDate>
  <CharactersWithSpaces>2227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2019-08-30T01:55:00Z</dcterms:created>
  <dc:creator>沈力</dc:creator>
  <cp:lastModifiedBy>陈文鑫</cp:lastModifiedBy>
  <dcterms:modified xsi:type="dcterms:W3CDTF">2019-11-14T08:42:24Z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