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utoSpaceDE w:val="0"/>
        <w:autoSpaceDN w:val="0"/>
        <w:adjustRightInd w:val="0"/>
        <w:spacing w:line="500" w:lineRule="exact"/>
        <w:rPr>
          <w:rFonts w:hint="eastAsia" w:cs="Calibri"/>
          <w:kern w:val="0"/>
          <w:sz w:val="24"/>
          <w:szCs w:val="52"/>
        </w:rPr>
      </w:pPr>
      <w:bookmarkStart w:id="0" w:name="_Toc143421653"/>
      <w:bookmarkStart w:id="1" w:name="_Toc128451845"/>
      <w:bookmarkStart w:id="2" w:name="_Toc140045840"/>
    </w:p>
    <w:p>
      <w:pPr>
        <w:autoSpaceDE w:val="0"/>
        <w:autoSpaceDN w:val="0"/>
        <w:adjustRightInd w:val="0"/>
        <w:spacing w:line="500" w:lineRule="exact"/>
        <w:jc w:val="center"/>
        <w:rPr>
          <w:rFonts w:eastAsia="黑体" w:cs="Calibri"/>
          <w:b/>
          <w:sz w:val="44"/>
          <w:szCs w:val="44"/>
        </w:rPr>
      </w:pPr>
    </w:p>
    <w:p>
      <w:pPr>
        <w:autoSpaceDE w:val="0"/>
        <w:autoSpaceDN w:val="0"/>
        <w:adjustRightInd w:val="0"/>
        <w:spacing w:line="500" w:lineRule="exact"/>
        <w:jc w:val="center"/>
        <w:rPr>
          <w:rFonts w:eastAsia="黑体" w:cs="Calibri"/>
          <w:b/>
          <w:sz w:val="44"/>
          <w:szCs w:val="44"/>
        </w:rPr>
      </w:pPr>
    </w:p>
    <w:p>
      <w:pPr>
        <w:autoSpaceDE w:val="0"/>
        <w:autoSpaceDN w:val="0"/>
        <w:adjustRightInd w:val="0"/>
        <w:spacing w:line="500" w:lineRule="exact"/>
        <w:jc w:val="center"/>
        <w:rPr>
          <w:rFonts w:hint="eastAsia" w:eastAsia="黑体" w:cs="Calibri"/>
          <w:b/>
          <w:sz w:val="44"/>
          <w:szCs w:val="44"/>
        </w:rPr>
      </w:pPr>
      <w:bookmarkStart w:id="3" w:name="OLE_LINK1"/>
      <w:r>
        <w:rPr>
          <w:rFonts w:hint="eastAsia" w:eastAsia="黑体" w:cs="Calibri"/>
          <w:b/>
          <w:sz w:val="44"/>
          <w:szCs w:val="44"/>
        </w:rPr>
        <w:t>浙江省机场集团</w:t>
      </w:r>
    </w:p>
    <w:p>
      <w:pPr>
        <w:autoSpaceDE w:val="0"/>
        <w:autoSpaceDN w:val="0"/>
        <w:adjustRightInd w:val="0"/>
        <w:spacing w:line="500" w:lineRule="exact"/>
        <w:ind w:firstLine="900"/>
        <w:jc w:val="center"/>
        <w:rPr>
          <w:rFonts w:eastAsia="黑体" w:cs="Calibri"/>
          <w:b/>
          <w:sz w:val="44"/>
          <w:szCs w:val="44"/>
        </w:rPr>
      </w:pPr>
      <w:r>
        <w:rPr>
          <w:rFonts w:hint="eastAsia" w:eastAsia="黑体" w:cs="Calibri"/>
          <w:b/>
          <w:sz w:val="44"/>
          <w:szCs w:val="44"/>
        </w:rPr>
        <w:t>20</w:t>
      </w:r>
      <w:r>
        <w:rPr>
          <w:rFonts w:eastAsia="黑体" w:cs="Calibri"/>
          <w:b/>
          <w:sz w:val="44"/>
          <w:szCs w:val="44"/>
        </w:rPr>
        <w:t>20</w:t>
      </w:r>
      <w:r>
        <w:rPr>
          <w:rFonts w:hint="eastAsia" w:eastAsia="黑体" w:cs="Calibri"/>
          <w:b/>
          <w:sz w:val="44"/>
          <w:szCs w:val="44"/>
        </w:rPr>
        <w:t>-20</w:t>
      </w:r>
      <w:r>
        <w:rPr>
          <w:rFonts w:eastAsia="黑体" w:cs="Calibri"/>
          <w:b/>
          <w:sz w:val="44"/>
          <w:szCs w:val="44"/>
        </w:rPr>
        <w:t>22</w:t>
      </w:r>
      <w:r>
        <w:rPr>
          <w:rFonts w:hint="eastAsia" w:eastAsia="黑体" w:cs="Calibri"/>
          <w:b/>
          <w:sz w:val="44"/>
          <w:szCs w:val="44"/>
        </w:rPr>
        <w:t>年度招标代理机构选聘项目</w:t>
      </w:r>
    </w:p>
    <w:bookmarkEnd w:id="3"/>
    <w:p>
      <w:pPr>
        <w:autoSpaceDE w:val="0"/>
        <w:autoSpaceDN w:val="0"/>
        <w:adjustRightInd w:val="0"/>
        <w:spacing w:line="500" w:lineRule="exact"/>
        <w:ind w:firstLine="900"/>
        <w:jc w:val="center"/>
        <w:rPr>
          <w:rFonts w:hint="eastAsia" w:eastAsia="黑体" w:cs="Calibri"/>
          <w:b/>
          <w:sz w:val="44"/>
          <w:szCs w:val="44"/>
        </w:rPr>
      </w:pPr>
    </w:p>
    <w:p>
      <w:pPr>
        <w:autoSpaceDE w:val="0"/>
        <w:autoSpaceDN w:val="0"/>
        <w:adjustRightInd w:val="0"/>
        <w:spacing w:line="500" w:lineRule="exact"/>
        <w:ind w:firstLine="900"/>
        <w:jc w:val="center"/>
        <w:rPr>
          <w:rFonts w:eastAsia="黑体" w:cs="Calibri"/>
          <w:b/>
          <w:sz w:val="44"/>
          <w:szCs w:val="44"/>
        </w:rPr>
      </w:pPr>
    </w:p>
    <w:p>
      <w:pPr>
        <w:autoSpaceDE w:val="0"/>
        <w:autoSpaceDN w:val="0"/>
        <w:adjustRightInd w:val="0"/>
        <w:spacing w:line="500" w:lineRule="exact"/>
        <w:ind w:firstLine="900"/>
        <w:jc w:val="center"/>
        <w:rPr>
          <w:rFonts w:eastAsia="黑体" w:cs="Calibri"/>
          <w:b/>
          <w:sz w:val="44"/>
          <w:szCs w:val="44"/>
        </w:rPr>
      </w:pPr>
    </w:p>
    <w:p>
      <w:pPr>
        <w:autoSpaceDE w:val="0"/>
        <w:autoSpaceDN w:val="0"/>
        <w:adjustRightInd w:val="0"/>
        <w:spacing w:line="500" w:lineRule="exact"/>
        <w:ind w:firstLine="900"/>
        <w:jc w:val="center"/>
        <w:rPr>
          <w:rFonts w:eastAsia="黑体" w:cs="Calibri"/>
          <w:b/>
          <w:sz w:val="44"/>
          <w:szCs w:val="44"/>
        </w:rPr>
      </w:pPr>
    </w:p>
    <w:p>
      <w:pPr>
        <w:autoSpaceDE w:val="0"/>
        <w:autoSpaceDN w:val="0"/>
        <w:adjustRightInd w:val="0"/>
        <w:spacing w:line="1000" w:lineRule="exact"/>
        <w:jc w:val="center"/>
        <w:rPr>
          <w:rFonts w:eastAsia="黑体" w:cs="Calibri"/>
          <w:b/>
          <w:bCs/>
          <w:spacing w:val="60"/>
          <w:sz w:val="82"/>
          <w:szCs w:val="82"/>
        </w:rPr>
      </w:pPr>
    </w:p>
    <w:p>
      <w:pPr>
        <w:autoSpaceDE w:val="0"/>
        <w:autoSpaceDN w:val="0"/>
        <w:adjustRightInd w:val="0"/>
        <w:spacing w:line="1000" w:lineRule="exact"/>
        <w:jc w:val="center"/>
        <w:rPr>
          <w:rFonts w:eastAsia="黑体" w:cs="Calibri"/>
          <w:b/>
          <w:bCs/>
          <w:spacing w:val="60"/>
          <w:sz w:val="82"/>
          <w:szCs w:val="82"/>
        </w:rPr>
      </w:pPr>
      <w:r>
        <w:rPr>
          <w:rFonts w:eastAsia="黑体" w:cs="Calibri"/>
          <w:b/>
          <w:bCs/>
          <w:spacing w:val="60"/>
          <w:sz w:val="82"/>
          <w:szCs w:val="82"/>
        </w:rPr>
        <w:t>招标文件</w:t>
      </w:r>
    </w:p>
    <w:p>
      <w:pPr>
        <w:autoSpaceDE w:val="0"/>
        <w:autoSpaceDN w:val="0"/>
        <w:adjustRightInd w:val="0"/>
        <w:spacing w:line="500" w:lineRule="exact"/>
        <w:jc w:val="center"/>
        <w:rPr>
          <w:rFonts w:cs="Calibri"/>
          <w:b/>
          <w:kern w:val="0"/>
          <w:sz w:val="44"/>
          <w:szCs w:val="44"/>
        </w:rPr>
      </w:pPr>
    </w:p>
    <w:p>
      <w:pPr>
        <w:autoSpaceDE w:val="0"/>
        <w:autoSpaceDN w:val="0"/>
        <w:adjustRightInd w:val="0"/>
        <w:spacing w:line="500" w:lineRule="exact"/>
        <w:jc w:val="center"/>
        <w:rPr>
          <w:rFonts w:cs="Calibri"/>
          <w:b/>
          <w:kern w:val="0"/>
          <w:sz w:val="44"/>
          <w:szCs w:val="44"/>
        </w:rPr>
      </w:pPr>
    </w:p>
    <w:p>
      <w:pPr>
        <w:autoSpaceDE w:val="0"/>
        <w:autoSpaceDN w:val="0"/>
        <w:adjustRightInd w:val="0"/>
        <w:spacing w:line="500" w:lineRule="exact"/>
        <w:jc w:val="center"/>
        <w:rPr>
          <w:rFonts w:cs="Calibri"/>
          <w:kern w:val="0"/>
          <w:sz w:val="32"/>
          <w:szCs w:val="32"/>
        </w:rPr>
      </w:pPr>
    </w:p>
    <w:p>
      <w:pPr>
        <w:pStyle w:val="21"/>
        <w:spacing w:line="500" w:lineRule="exact"/>
        <w:jc w:val="center"/>
        <w:rPr>
          <w:rFonts w:ascii="Calibri" w:hAnsi="Calibri" w:eastAsia="隶书" w:cs="Calibri"/>
          <w:sz w:val="32"/>
        </w:rPr>
      </w:pPr>
    </w:p>
    <w:p>
      <w:pPr>
        <w:pStyle w:val="21"/>
        <w:spacing w:line="500" w:lineRule="exact"/>
        <w:jc w:val="center"/>
        <w:rPr>
          <w:rFonts w:ascii="Calibri" w:hAnsi="Calibri" w:eastAsia="隶书" w:cs="Calibri"/>
          <w:sz w:val="32"/>
        </w:rPr>
      </w:pPr>
    </w:p>
    <w:p>
      <w:pPr>
        <w:pStyle w:val="21"/>
        <w:spacing w:line="500" w:lineRule="exact"/>
        <w:jc w:val="center"/>
        <w:rPr>
          <w:rFonts w:ascii="Calibri" w:hAnsi="Calibri" w:eastAsia="隶书" w:cs="Calibri"/>
          <w:sz w:val="32"/>
        </w:rPr>
      </w:pPr>
    </w:p>
    <w:p>
      <w:pPr>
        <w:pStyle w:val="21"/>
        <w:spacing w:line="500" w:lineRule="exact"/>
        <w:rPr>
          <w:rFonts w:ascii="Calibri" w:hAnsi="Calibri" w:eastAsia="隶书" w:cs="Calibri"/>
          <w:sz w:val="32"/>
        </w:rPr>
      </w:pPr>
    </w:p>
    <w:p>
      <w:pPr>
        <w:pStyle w:val="21"/>
        <w:spacing w:line="500" w:lineRule="exact"/>
        <w:jc w:val="center"/>
        <w:rPr>
          <w:rFonts w:ascii="Calibri" w:hAnsi="Calibri" w:eastAsia="隶书" w:cs="Calibri"/>
          <w:sz w:val="32"/>
        </w:rPr>
      </w:pPr>
    </w:p>
    <w:p>
      <w:pPr>
        <w:snapToGrid w:val="0"/>
        <w:spacing w:line="500" w:lineRule="exact"/>
        <w:jc w:val="center"/>
        <w:rPr>
          <w:rFonts w:hint="eastAsia" w:eastAsia="黑体" w:cs="Calibri"/>
          <w:sz w:val="32"/>
          <w:szCs w:val="32"/>
        </w:rPr>
      </w:pPr>
      <w:r>
        <w:rPr>
          <w:rFonts w:eastAsia="黑体" w:cs="Calibri"/>
          <w:sz w:val="32"/>
          <w:szCs w:val="32"/>
        </w:rPr>
        <w:t>浙江省机场集团有限公司</w:t>
      </w:r>
    </w:p>
    <w:p>
      <w:pPr>
        <w:spacing w:line="500" w:lineRule="exact"/>
        <w:rPr>
          <w:rFonts w:eastAsia="黑体" w:cs="Calibri"/>
          <w:sz w:val="32"/>
          <w:szCs w:val="32"/>
        </w:rPr>
      </w:pPr>
    </w:p>
    <w:p>
      <w:pPr>
        <w:pStyle w:val="21"/>
        <w:spacing w:line="500" w:lineRule="exact"/>
        <w:jc w:val="center"/>
        <w:rPr>
          <w:rFonts w:ascii="Calibri" w:hAnsi="Calibri" w:eastAsia="楷体_GB2312" w:cs="Calibri"/>
          <w:sz w:val="24"/>
          <w:szCs w:val="24"/>
          <w:u w:val="single"/>
        </w:rPr>
      </w:pPr>
      <w:r>
        <w:rPr>
          <w:rFonts w:hint="eastAsia" w:ascii="Calibri" w:hAnsi="Calibri" w:eastAsia="黑体" w:cs="Calibri"/>
          <w:sz w:val="32"/>
          <w:szCs w:val="32"/>
        </w:rPr>
        <w:t>二</w:t>
      </w:r>
      <w:r>
        <w:rPr>
          <w:rFonts w:hint="eastAsia" w:ascii="黑体" w:hAnsi="黑体" w:eastAsia="黑体" w:cs="Calibri"/>
          <w:sz w:val="32"/>
          <w:szCs w:val="32"/>
        </w:rPr>
        <w:t>Ο</w:t>
      </w:r>
      <w:r>
        <w:rPr>
          <w:rFonts w:hint="eastAsia" w:ascii="Calibri" w:hAnsi="Calibri" w:eastAsia="黑体" w:cs="Calibri"/>
          <w:sz w:val="32"/>
          <w:szCs w:val="32"/>
        </w:rPr>
        <w:t>一九年</w:t>
      </w:r>
      <w:r>
        <w:rPr>
          <w:rFonts w:hint="eastAsia" w:ascii="Calibri" w:hAnsi="Calibri" w:eastAsia="黑体" w:cs="Calibri"/>
          <w:sz w:val="32"/>
          <w:szCs w:val="32"/>
          <w:u w:val="single"/>
        </w:rPr>
        <w:t>十一</w:t>
      </w:r>
      <w:r>
        <w:rPr>
          <w:rFonts w:ascii="Calibri" w:hAnsi="Calibri" w:eastAsia="黑体" w:cs="Calibri"/>
          <w:sz w:val="32"/>
          <w:szCs w:val="32"/>
        </w:rPr>
        <w:t>月</w:t>
      </w:r>
    </w:p>
    <w:p>
      <w:pPr>
        <w:snapToGrid w:val="0"/>
        <w:spacing w:line="500" w:lineRule="exact"/>
        <w:jc w:val="center"/>
        <w:rPr>
          <w:rFonts w:cs="Calibri"/>
          <w:color w:val="000000"/>
          <w:sz w:val="32"/>
          <w:szCs w:val="32"/>
        </w:rPr>
      </w:pPr>
    </w:p>
    <w:p>
      <w:pPr>
        <w:pStyle w:val="30"/>
        <w:spacing w:line="500" w:lineRule="exact"/>
        <w:rPr>
          <w:rFonts w:ascii="Calibri" w:cs="Calibri"/>
          <w:b/>
          <w:color w:val="000000"/>
          <w:sz w:val="44"/>
        </w:rPr>
      </w:pPr>
      <w:bookmarkStart w:id="4" w:name="_Toc349007685"/>
      <w:bookmarkStart w:id="5" w:name="_Toc349011855"/>
      <w:bookmarkStart w:id="6" w:name="_Toc386359390"/>
      <w:bookmarkStart w:id="7" w:name="_Toc386363314"/>
      <w:r>
        <w:rPr>
          <w:rFonts w:hint="eastAsia" w:ascii="Calibri" w:cs="Calibri"/>
          <w:b/>
          <w:color w:val="000000"/>
          <w:sz w:val="44"/>
        </w:rPr>
        <w:t xml:space="preserve"> </w:t>
      </w:r>
    </w:p>
    <w:p>
      <w:pPr>
        <w:pStyle w:val="30"/>
        <w:spacing w:line="500" w:lineRule="exact"/>
        <w:rPr>
          <w:rFonts w:ascii="Calibri" w:hAnsi="Calibri" w:cs="Calibri"/>
          <w:b/>
          <w:color w:val="000000"/>
          <w:sz w:val="44"/>
        </w:rPr>
      </w:pPr>
      <w:bookmarkStart w:id="8" w:name="_Toc400369182"/>
      <w:bookmarkStart w:id="9" w:name="_Toc444173456"/>
      <w:bookmarkStart w:id="10" w:name="_Toc444174976"/>
      <w:bookmarkStart w:id="11" w:name="_Toc444811406"/>
      <w:bookmarkStart w:id="12" w:name="_Toc448002981"/>
      <w:r>
        <w:rPr>
          <w:rFonts w:ascii="Calibri" w:cs="Calibri"/>
          <w:b/>
          <w:color w:val="000000"/>
          <w:sz w:val="44"/>
        </w:rPr>
        <w:t>目</w:t>
      </w:r>
      <w:r>
        <w:rPr>
          <w:rFonts w:ascii="Calibri" w:hAnsi="Calibri" w:cs="Calibri"/>
          <w:b/>
          <w:color w:val="000000"/>
          <w:sz w:val="44"/>
        </w:rPr>
        <w:t xml:space="preserve">  </w:t>
      </w:r>
      <w:r>
        <w:rPr>
          <w:rFonts w:ascii="Calibri" w:cs="Calibri"/>
          <w:b/>
          <w:color w:val="000000"/>
          <w:sz w:val="44"/>
        </w:rPr>
        <w:t>录</w:t>
      </w:r>
      <w:bookmarkEnd w:id="4"/>
      <w:bookmarkEnd w:id="5"/>
      <w:bookmarkEnd w:id="6"/>
      <w:bookmarkEnd w:id="7"/>
      <w:bookmarkEnd w:id="8"/>
      <w:bookmarkEnd w:id="9"/>
      <w:bookmarkEnd w:id="10"/>
      <w:bookmarkEnd w:id="11"/>
      <w:bookmarkEnd w:id="12"/>
    </w:p>
    <w:p>
      <w:pPr>
        <w:pStyle w:val="30"/>
        <w:spacing w:line="500" w:lineRule="exact"/>
        <w:rPr>
          <w:rFonts w:ascii="黑体" w:hAnsi="黑体" w:eastAsia="黑体"/>
          <w:bCs w:val="0"/>
          <w:kern w:val="2"/>
          <w:sz w:val="22"/>
          <w:szCs w:val="22"/>
          <w:lang/>
        </w:rPr>
      </w:pPr>
      <w:r>
        <w:rPr>
          <w:rFonts w:hint="eastAsia" w:ascii="黑体" w:hAnsi="黑体" w:eastAsia="黑体" w:cs="Calibri"/>
          <w:color w:val="000000"/>
          <w:sz w:val="22"/>
          <w:szCs w:val="22"/>
        </w:rPr>
        <w:fldChar w:fldCharType="begin"/>
      </w:r>
      <w:r>
        <w:rPr>
          <w:rFonts w:hint="eastAsia" w:ascii="黑体" w:hAnsi="黑体" w:eastAsia="黑体" w:cs="Calibri"/>
          <w:color w:val="000000"/>
          <w:sz w:val="22"/>
          <w:szCs w:val="22"/>
        </w:rPr>
        <w:instrText xml:space="preserve"> TOC \o "1-3" \h \z \u </w:instrText>
      </w:r>
      <w:r>
        <w:rPr>
          <w:rFonts w:hint="eastAsia" w:ascii="黑体" w:hAnsi="黑体" w:eastAsia="黑体" w:cs="Calibri"/>
          <w:color w:val="000000"/>
          <w:sz w:val="22"/>
          <w:szCs w:val="22"/>
        </w:rPr>
        <w:fldChar w:fldCharType="separate"/>
      </w:r>
    </w:p>
    <w:p>
      <w:pPr>
        <w:pStyle w:val="30"/>
        <w:spacing w:line="500" w:lineRule="exact"/>
        <w:rPr>
          <w:rFonts w:ascii="黑体" w:hAnsi="黑体" w:eastAsia="黑体"/>
          <w:bCs w:val="0"/>
          <w:kern w:val="2"/>
          <w:sz w:val="22"/>
          <w:szCs w:val="22"/>
          <w:lang/>
        </w:rPr>
      </w:pPr>
      <w:r>
        <w:fldChar w:fldCharType="begin"/>
      </w:r>
      <w:r>
        <w:instrText xml:space="preserve"> HYPERLINK \l "_Toc448002982" </w:instrText>
      </w:r>
      <w:r>
        <w:fldChar w:fldCharType="separate"/>
      </w:r>
      <w:r>
        <w:rPr>
          <w:rStyle w:val="50"/>
          <w:rFonts w:hint="eastAsia" w:ascii="黑体" w:hAnsi="黑体" w:eastAsia="黑体" w:cs="Calibri"/>
          <w:kern w:val="0"/>
          <w:sz w:val="22"/>
          <w:szCs w:val="22"/>
          <w:lang/>
        </w:rPr>
        <w:t>第一章  招标公告</w:t>
      </w:r>
      <w:r>
        <w:rPr>
          <w:rFonts w:hint="eastAsia" w:ascii="黑体" w:hAnsi="黑体" w:eastAsia="黑体"/>
          <w:sz w:val="22"/>
          <w:szCs w:val="22"/>
          <w:lang/>
        </w:rPr>
        <w:tab/>
      </w:r>
      <w:r>
        <w:rPr>
          <w:rFonts w:hint="eastAsia" w:ascii="黑体" w:hAnsi="黑体" w:eastAsia="黑体"/>
          <w:sz w:val="22"/>
          <w:szCs w:val="22"/>
          <w:lang/>
        </w:rPr>
        <w:fldChar w:fldCharType="begin"/>
      </w:r>
      <w:r>
        <w:rPr>
          <w:rFonts w:hint="eastAsia" w:ascii="黑体" w:hAnsi="黑体" w:eastAsia="黑体"/>
          <w:sz w:val="22"/>
          <w:szCs w:val="22"/>
          <w:lang/>
        </w:rPr>
        <w:instrText xml:space="preserve"> PAGEREF _Toc448002982 \h </w:instrText>
      </w:r>
      <w:r>
        <w:rPr>
          <w:rFonts w:hint="eastAsia" w:ascii="黑体" w:hAnsi="黑体" w:eastAsia="黑体"/>
          <w:sz w:val="22"/>
          <w:szCs w:val="22"/>
          <w:lang/>
        </w:rPr>
        <w:fldChar w:fldCharType="separate"/>
      </w:r>
      <w:r>
        <w:rPr>
          <w:rFonts w:ascii="黑体" w:hAnsi="黑体" w:eastAsia="黑体"/>
          <w:sz w:val="22"/>
          <w:szCs w:val="22"/>
          <w:lang/>
        </w:rPr>
        <w:t>- 2 -</w:t>
      </w:r>
      <w:r>
        <w:rPr>
          <w:rFonts w:hint="eastAsia" w:ascii="黑体" w:hAnsi="黑体" w:eastAsia="黑体"/>
          <w:sz w:val="22"/>
          <w:szCs w:val="22"/>
          <w:lang/>
        </w:rPr>
        <w:fldChar w:fldCharType="end"/>
      </w:r>
      <w:r>
        <w:rPr>
          <w:rFonts w:ascii="黑体" w:hAnsi="黑体" w:eastAsia="黑体"/>
          <w:sz w:val="22"/>
          <w:szCs w:val="22"/>
          <w:lang/>
        </w:rPr>
        <w:fldChar w:fldCharType="end"/>
      </w:r>
    </w:p>
    <w:p>
      <w:pPr>
        <w:pStyle w:val="30"/>
        <w:spacing w:line="500" w:lineRule="exact"/>
        <w:rPr>
          <w:rFonts w:ascii="黑体" w:hAnsi="黑体" w:eastAsia="黑体"/>
          <w:bCs w:val="0"/>
          <w:kern w:val="2"/>
          <w:sz w:val="22"/>
          <w:szCs w:val="22"/>
          <w:lang/>
        </w:rPr>
      </w:pPr>
      <w:r>
        <w:fldChar w:fldCharType="begin"/>
      </w:r>
      <w:r>
        <w:instrText xml:space="preserve"> HYPERLINK \l "_Toc448002983" </w:instrText>
      </w:r>
      <w:r>
        <w:fldChar w:fldCharType="separate"/>
      </w:r>
      <w:r>
        <w:rPr>
          <w:rStyle w:val="50"/>
          <w:rFonts w:hint="eastAsia" w:ascii="黑体" w:hAnsi="黑体" w:eastAsia="黑体" w:cs="Calibri"/>
          <w:kern w:val="0"/>
          <w:sz w:val="22"/>
          <w:szCs w:val="22"/>
          <w:lang/>
        </w:rPr>
        <w:t>第二章  投标人须知</w:t>
      </w:r>
      <w:r>
        <w:rPr>
          <w:rFonts w:hint="eastAsia" w:ascii="黑体" w:hAnsi="黑体" w:eastAsia="黑体"/>
          <w:sz w:val="22"/>
          <w:szCs w:val="22"/>
          <w:lang/>
        </w:rPr>
        <w:tab/>
      </w:r>
      <w:r>
        <w:rPr>
          <w:rFonts w:hint="eastAsia" w:ascii="黑体" w:hAnsi="黑体" w:eastAsia="黑体"/>
          <w:sz w:val="22"/>
          <w:szCs w:val="22"/>
          <w:lang/>
        </w:rPr>
        <w:fldChar w:fldCharType="begin"/>
      </w:r>
      <w:r>
        <w:rPr>
          <w:rFonts w:hint="eastAsia" w:ascii="黑体" w:hAnsi="黑体" w:eastAsia="黑体"/>
          <w:sz w:val="22"/>
          <w:szCs w:val="22"/>
          <w:lang/>
        </w:rPr>
        <w:instrText xml:space="preserve"> PAGEREF _Toc448002983 \h </w:instrText>
      </w:r>
      <w:r>
        <w:rPr>
          <w:rFonts w:hint="eastAsia" w:ascii="黑体" w:hAnsi="黑体" w:eastAsia="黑体"/>
          <w:sz w:val="22"/>
          <w:szCs w:val="22"/>
          <w:lang/>
        </w:rPr>
        <w:fldChar w:fldCharType="separate"/>
      </w:r>
      <w:r>
        <w:rPr>
          <w:rFonts w:ascii="黑体" w:hAnsi="黑体" w:eastAsia="黑体"/>
          <w:sz w:val="22"/>
          <w:szCs w:val="22"/>
          <w:lang/>
        </w:rPr>
        <w:t>- 4 -</w:t>
      </w:r>
      <w:r>
        <w:rPr>
          <w:rFonts w:hint="eastAsia" w:ascii="黑体" w:hAnsi="黑体" w:eastAsia="黑体"/>
          <w:sz w:val="22"/>
          <w:szCs w:val="22"/>
          <w:lang/>
        </w:rPr>
        <w:fldChar w:fldCharType="end"/>
      </w:r>
      <w:r>
        <w:rPr>
          <w:rFonts w:ascii="黑体" w:hAnsi="黑体" w:eastAsia="黑体"/>
          <w:sz w:val="22"/>
          <w:szCs w:val="22"/>
          <w:lang/>
        </w:rPr>
        <w:fldChar w:fldCharType="end"/>
      </w:r>
    </w:p>
    <w:p>
      <w:pPr>
        <w:pStyle w:val="30"/>
        <w:spacing w:line="500" w:lineRule="exact"/>
        <w:rPr>
          <w:rFonts w:ascii="黑体" w:hAnsi="黑体" w:eastAsia="黑体"/>
          <w:bCs w:val="0"/>
          <w:kern w:val="2"/>
          <w:sz w:val="22"/>
          <w:szCs w:val="22"/>
          <w:lang/>
        </w:rPr>
      </w:pPr>
      <w:r>
        <w:fldChar w:fldCharType="begin"/>
      </w:r>
      <w:r>
        <w:instrText xml:space="preserve"> HYPERLINK \l "_Toc448002985" </w:instrText>
      </w:r>
      <w:r>
        <w:fldChar w:fldCharType="separate"/>
      </w:r>
      <w:r>
        <w:rPr>
          <w:rStyle w:val="50"/>
          <w:rFonts w:hint="eastAsia" w:ascii="黑体" w:hAnsi="黑体" w:eastAsia="黑体" w:cs="Calibri"/>
          <w:kern w:val="0"/>
          <w:sz w:val="22"/>
          <w:szCs w:val="22"/>
          <w:lang/>
        </w:rPr>
        <w:t>第三章  服务技术标准及要求</w:t>
      </w:r>
      <w:r>
        <w:rPr>
          <w:rFonts w:hint="eastAsia" w:ascii="黑体" w:hAnsi="黑体" w:eastAsia="黑体"/>
          <w:sz w:val="22"/>
          <w:szCs w:val="22"/>
          <w:lang/>
        </w:rPr>
        <w:tab/>
      </w:r>
      <w:r>
        <w:rPr>
          <w:rFonts w:hint="eastAsia" w:ascii="黑体" w:hAnsi="黑体" w:eastAsia="黑体"/>
          <w:sz w:val="22"/>
          <w:szCs w:val="22"/>
          <w:lang/>
        </w:rPr>
        <w:fldChar w:fldCharType="begin"/>
      </w:r>
      <w:r>
        <w:rPr>
          <w:rFonts w:hint="eastAsia" w:ascii="黑体" w:hAnsi="黑体" w:eastAsia="黑体"/>
          <w:sz w:val="22"/>
          <w:szCs w:val="22"/>
          <w:lang/>
        </w:rPr>
        <w:instrText xml:space="preserve"> PAGEREF _Toc448002985 \h </w:instrText>
      </w:r>
      <w:r>
        <w:rPr>
          <w:rFonts w:hint="eastAsia" w:ascii="黑体" w:hAnsi="黑体" w:eastAsia="黑体"/>
          <w:sz w:val="22"/>
          <w:szCs w:val="22"/>
          <w:lang/>
        </w:rPr>
        <w:fldChar w:fldCharType="separate"/>
      </w:r>
      <w:r>
        <w:rPr>
          <w:rFonts w:ascii="黑体" w:hAnsi="黑体" w:eastAsia="黑体"/>
          <w:sz w:val="22"/>
          <w:szCs w:val="22"/>
          <w:lang/>
        </w:rPr>
        <w:t>- 14 -</w:t>
      </w:r>
      <w:r>
        <w:rPr>
          <w:rFonts w:hint="eastAsia" w:ascii="黑体" w:hAnsi="黑体" w:eastAsia="黑体"/>
          <w:sz w:val="22"/>
          <w:szCs w:val="22"/>
          <w:lang/>
        </w:rPr>
        <w:fldChar w:fldCharType="end"/>
      </w:r>
      <w:r>
        <w:rPr>
          <w:rFonts w:ascii="黑体" w:hAnsi="黑体" w:eastAsia="黑体"/>
          <w:sz w:val="22"/>
          <w:szCs w:val="22"/>
          <w:lang/>
        </w:rPr>
        <w:fldChar w:fldCharType="end"/>
      </w:r>
    </w:p>
    <w:p>
      <w:pPr>
        <w:pStyle w:val="30"/>
        <w:spacing w:line="500" w:lineRule="exact"/>
        <w:rPr>
          <w:rFonts w:ascii="黑体" w:hAnsi="黑体" w:eastAsia="黑体"/>
          <w:bCs w:val="0"/>
          <w:kern w:val="2"/>
          <w:sz w:val="22"/>
          <w:szCs w:val="22"/>
          <w:lang/>
        </w:rPr>
      </w:pPr>
      <w:r>
        <w:fldChar w:fldCharType="begin"/>
      </w:r>
      <w:r>
        <w:instrText xml:space="preserve"> HYPERLINK \l "_Toc448002986" </w:instrText>
      </w:r>
      <w:r>
        <w:fldChar w:fldCharType="separate"/>
      </w:r>
      <w:r>
        <w:rPr>
          <w:rStyle w:val="50"/>
          <w:rFonts w:hint="eastAsia" w:ascii="黑体" w:hAnsi="黑体" w:eastAsia="黑体" w:cs="Calibri"/>
          <w:kern w:val="0"/>
          <w:sz w:val="22"/>
          <w:szCs w:val="22"/>
          <w:lang/>
        </w:rPr>
        <w:t>第四章  合同条款</w:t>
      </w:r>
      <w:r>
        <w:rPr>
          <w:rFonts w:hint="eastAsia" w:ascii="黑体" w:hAnsi="黑体" w:eastAsia="黑体"/>
          <w:sz w:val="22"/>
          <w:szCs w:val="22"/>
          <w:lang/>
        </w:rPr>
        <w:tab/>
      </w:r>
      <w:r>
        <w:rPr>
          <w:rFonts w:hint="eastAsia" w:ascii="黑体" w:hAnsi="黑体" w:eastAsia="黑体"/>
          <w:sz w:val="22"/>
          <w:szCs w:val="22"/>
          <w:lang/>
        </w:rPr>
        <w:fldChar w:fldCharType="begin"/>
      </w:r>
      <w:r>
        <w:rPr>
          <w:rFonts w:hint="eastAsia" w:ascii="黑体" w:hAnsi="黑体" w:eastAsia="黑体"/>
          <w:sz w:val="22"/>
          <w:szCs w:val="22"/>
          <w:lang/>
        </w:rPr>
        <w:instrText xml:space="preserve"> PAGEREF _Toc448002986 \h </w:instrText>
      </w:r>
      <w:r>
        <w:rPr>
          <w:rFonts w:hint="eastAsia" w:ascii="黑体" w:hAnsi="黑体" w:eastAsia="黑体"/>
          <w:sz w:val="22"/>
          <w:szCs w:val="22"/>
          <w:lang/>
        </w:rPr>
        <w:fldChar w:fldCharType="separate"/>
      </w:r>
      <w:r>
        <w:rPr>
          <w:rFonts w:ascii="黑体" w:hAnsi="黑体" w:eastAsia="黑体"/>
          <w:sz w:val="22"/>
          <w:szCs w:val="22"/>
          <w:lang/>
        </w:rPr>
        <w:t>- 17 -</w:t>
      </w:r>
      <w:r>
        <w:rPr>
          <w:rFonts w:hint="eastAsia" w:ascii="黑体" w:hAnsi="黑体" w:eastAsia="黑体"/>
          <w:sz w:val="22"/>
          <w:szCs w:val="22"/>
          <w:lang/>
        </w:rPr>
        <w:fldChar w:fldCharType="end"/>
      </w:r>
      <w:r>
        <w:rPr>
          <w:rFonts w:ascii="黑体" w:hAnsi="黑体" w:eastAsia="黑体"/>
          <w:sz w:val="22"/>
          <w:szCs w:val="22"/>
          <w:lang/>
        </w:rPr>
        <w:fldChar w:fldCharType="end"/>
      </w:r>
    </w:p>
    <w:p>
      <w:pPr>
        <w:pStyle w:val="30"/>
        <w:spacing w:line="500" w:lineRule="exact"/>
        <w:rPr>
          <w:rFonts w:ascii="黑体" w:hAnsi="黑体" w:eastAsia="黑体"/>
          <w:bCs w:val="0"/>
          <w:kern w:val="2"/>
          <w:sz w:val="22"/>
          <w:szCs w:val="22"/>
          <w:lang/>
        </w:rPr>
      </w:pPr>
      <w:r>
        <w:fldChar w:fldCharType="begin"/>
      </w:r>
      <w:r>
        <w:instrText xml:space="preserve"> HYPERLINK \l "_Toc448002987" </w:instrText>
      </w:r>
      <w:r>
        <w:fldChar w:fldCharType="separate"/>
      </w:r>
      <w:r>
        <w:rPr>
          <w:rStyle w:val="50"/>
          <w:rFonts w:hint="eastAsia" w:ascii="黑体" w:hAnsi="黑体" w:eastAsia="黑体" w:cs="Calibri"/>
          <w:kern w:val="0"/>
          <w:sz w:val="22"/>
          <w:szCs w:val="22"/>
          <w:lang/>
        </w:rPr>
        <w:t>第五章  评标方法及标准</w:t>
      </w:r>
      <w:r>
        <w:rPr>
          <w:rFonts w:hint="eastAsia" w:ascii="黑体" w:hAnsi="黑体" w:eastAsia="黑体"/>
          <w:sz w:val="22"/>
          <w:szCs w:val="22"/>
          <w:lang/>
        </w:rPr>
        <w:tab/>
      </w:r>
      <w:r>
        <w:rPr>
          <w:rFonts w:hint="eastAsia" w:ascii="黑体" w:hAnsi="黑体" w:eastAsia="黑体"/>
          <w:sz w:val="22"/>
          <w:szCs w:val="22"/>
          <w:lang/>
        </w:rPr>
        <w:fldChar w:fldCharType="begin"/>
      </w:r>
      <w:r>
        <w:rPr>
          <w:rFonts w:hint="eastAsia" w:ascii="黑体" w:hAnsi="黑体" w:eastAsia="黑体"/>
          <w:sz w:val="22"/>
          <w:szCs w:val="22"/>
          <w:lang/>
        </w:rPr>
        <w:instrText xml:space="preserve"> PAGEREF _Toc448002987 \h </w:instrText>
      </w:r>
      <w:r>
        <w:rPr>
          <w:rFonts w:hint="eastAsia" w:ascii="黑体" w:hAnsi="黑体" w:eastAsia="黑体"/>
          <w:sz w:val="22"/>
          <w:szCs w:val="22"/>
          <w:lang/>
        </w:rPr>
        <w:fldChar w:fldCharType="separate"/>
      </w:r>
      <w:r>
        <w:rPr>
          <w:rFonts w:ascii="黑体" w:hAnsi="黑体" w:eastAsia="黑体"/>
          <w:sz w:val="22"/>
          <w:szCs w:val="22"/>
          <w:lang/>
        </w:rPr>
        <w:t>- 41 -</w:t>
      </w:r>
      <w:r>
        <w:rPr>
          <w:rFonts w:hint="eastAsia" w:ascii="黑体" w:hAnsi="黑体" w:eastAsia="黑体"/>
          <w:sz w:val="22"/>
          <w:szCs w:val="22"/>
          <w:lang/>
        </w:rPr>
        <w:fldChar w:fldCharType="end"/>
      </w:r>
      <w:r>
        <w:rPr>
          <w:rFonts w:ascii="黑体" w:hAnsi="黑体" w:eastAsia="黑体"/>
          <w:sz w:val="22"/>
          <w:szCs w:val="22"/>
          <w:lang/>
        </w:rPr>
        <w:fldChar w:fldCharType="end"/>
      </w:r>
    </w:p>
    <w:p>
      <w:pPr>
        <w:pStyle w:val="30"/>
        <w:spacing w:line="500" w:lineRule="exact"/>
        <w:rPr>
          <w:rFonts w:ascii="黑体" w:hAnsi="黑体" w:eastAsia="黑体"/>
          <w:bCs w:val="0"/>
          <w:kern w:val="2"/>
          <w:sz w:val="22"/>
          <w:szCs w:val="22"/>
          <w:lang/>
        </w:rPr>
      </w:pPr>
      <w:r>
        <w:fldChar w:fldCharType="begin"/>
      </w:r>
      <w:r>
        <w:instrText xml:space="preserve"> HYPERLINK \l "_Toc448002988" </w:instrText>
      </w:r>
      <w:r>
        <w:fldChar w:fldCharType="separate"/>
      </w:r>
      <w:r>
        <w:rPr>
          <w:rStyle w:val="50"/>
          <w:rFonts w:hint="eastAsia" w:ascii="黑体" w:hAnsi="黑体" w:eastAsia="黑体" w:cs="Calibri"/>
          <w:kern w:val="0"/>
          <w:sz w:val="22"/>
          <w:szCs w:val="22"/>
          <w:lang/>
        </w:rPr>
        <w:t>第六章  投标文件格式</w:t>
      </w:r>
      <w:r>
        <w:rPr>
          <w:rFonts w:hint="eastAsia" w:ascii="黑体" w:hAnsi="黑体" w:eastAsia="黑体"/>
          <w:sz w:val="22"/>
          <w:szCs w:val="22"/>
          <w:lang/>
        </w:rPr>
        <w:tab/>
      </w:r>
      <w:r>
        <w:rPr>
          <w:rFonts w:hint="eastAsia" w:ascii="黑体" w:hAnsi="黑体" w:eastAsia="黑体"/>
          <w:sz w:val="22"/>
          <w:szCs w:val="22"/>
          <w:lang/>
        </w:rPr>
        <w:fldChar w:fldCharType="begin"/>
      </w:r>
      <w:r>
        <w:rPr>
          <w:rFonts w:hint="eastAsia" w:ascii="黑体" w:hAnsi="黑体" w:eastAsia="黑体"/>
          <w:sz w:val="22"/>
          <w:szCs w:val="22"/>
          <w:lang/>
        </w:rPr>
        <w:instrText xml:space="preserve"> PAGEREF _Toc448002988 \h </w:instrText>
      </w:r>
      <w:r>
        <w:rPr>
          <w:rFonts w:hint="eastAsia" w:ascii="黑体" w:hAnsi="黑体" w:eastAsia="黑体"/>
          <w:sz w:val="22"/>
          <w:szCs w:val="22"/>
          <w:lang/>
        </w:rPr>
        <w:fldChar w:fldCharType="separate"/>
      </w:r>
      <w:r>
        <w:rPr>
          <w:rFonts w:ascii="黑体" w:hAnsi="黑体" w:eastAsia="黑体"/>
          <w:sz w:val="22"/>
          <w:szCs w:val="22"/>
          <w:lang/>
        </w:rPr>
        <w:t>- 46 -</w:t>
      </w:r>
      <w:r>
        <w:rPr>
          <w:rFonts w:hint="eastAsia" w:ascii="黑体" w:hAnsi="黑体" w:eastAsia="黑体"/>
          <w:sz w:val="22"/>
          <w:szCs w:val="22"/>
          <w:lang/>
        </w:rPr>
        <w:fldChar w:fldCharType="end"/>
      </w:r>
      <w:r>
        <w:rPr>
          <w:rFonts w:ascii="黑体" w:hAnsi="黑体" w:eastAsia="黑体"/>
          <w:sz w:val="22"/>
          <w:szCs w:val="22"/>
          <w:lang/>
        </w:rPr>
        <w:fldChar w:fldCharType="end"/>
      </w:r>
    </w:p>
    <w:p>
      <w:pPr>
        <w:spacing w:line="500" w:lineRule="exact"/>
        <w:jc w:val="center"/>
        <w:rPr>
          <w:rFonts w:cs="Calibri"/>
          <w:color w:val="000000"/>
          <w:sz w:val="24"/>
        </w:rPr>
      </w:pPr>
      <w:r>
        <w:rPr>
          <w:rFonts w:hint="eastAsia" w:ascii="黑体" w:hAnsi="黑体" w:eastAsia="黑体" w:cs="Calibri"/>
          <w:color w:val="000000"/>
          <w:sz w:val="22"/>
        </w:rPr>
        <w:fldChar w:fldCharType="end"/>
      </w:r>
    </w:p>
    <w:p>
      <w:pPr>
        <w:spacing w:line="500" w:lineRule="exact"/>
        <w:ind w:right="480"/>
        <w:rPr>
          <w:rFonts w:cs="Calibri"/>
          <w:color w:val="000000"/>
          <w:sz w:val="24"/>
        </w:rPr>
      </w:pPr>
    </w:p>
    <w:p>
      <w:pPr>
        <w:pStyle w:val="2"/>
        <w:spacing w:before="0" w:after="0" w:line="400" w:lineRule="exact"/>
        <w:jc w:val="center"/>
        <w:rPr>
          <w:rFonts w:ascii="Calibri" w:eastAsia="黑体" w:cs="Calibri"/>
          <w:kern w:val="0"/>
          <w:sz w:val="32"/>
        </w:rPr>
      </w:pPr>
      <w:r>
        <w:rPr>
          <w:rFonts w:ascii="Calibri" w:hAnsi="Calibri" w:cs="Calibri"/>
          <w:color w:val="000000"/>
        </w:rPr>
        <w:br w:type="page"/>
      </w:r>
      <w:bookmarkStart w:id="13" w:name="_Toc24784"/>
      <w:bookmarkStart w:id="14" w:name="_Toc7641"/>
      <w:bookmarkStart w:id="15" w:name="_Toc6832"/>
      <w:bookmarkStart w:id="16" w:name="_Toc8110"/>
      <w:bookmarkStart w:id="17" w:name="_Toc6581"/>
      <w:bookmarkStart w:id="18" w:name="_Toc22293"/>
      <w:bookmarkStart w:id="19" w:name="_Toc24932"/>
      <w:bookmarkStart w:id="20" w:name="_Toc14628"/>
      <w:bookmarkStart w:id="21" w:name="_Toc18642"/>
      <w:bookmarkStart w:id="22" w:name="_Toc448002982"/>
      <w:bookmarkStart w:id="23" w:name="_Toc248766631"/>
      <w:bookmarkStart w:id="24" w:name="_Toc249322950"/>
      <w:r>
        <w:rPr>
          <w:rFonts w:ascii="Calibri" w:eastAsia="黑体" w:cs="Calibri"/>
          <w:kern w:val="0"/>
          <w:sz w:val="32"/>
        </w:rPr>
        <w:t>第一章</w:t>
      </w:r>
      <w:r>
        <w:rPr>
          <w:rFonts w:ascii="Calibri" w:hAnsi="Calibri" w:eastAsia="黑体" w:cs="Calibri"/>
          <w:kern w:val="0"/>
          <w:sz w:val="32"/>
        </w:rPr>
        <w:t xml:space="preserve"> </w:t>
      </w:r>
      <w:bookmarkEnd w:id="13"/>
      <w:bookmarkEnd w:id="14"/>
      <w:bookmarkEnd w:id="15"/>
      <w:bookmarkEnd w:id="16"/>
      <w:bookmarkEnd w:id="17"/>
      <w:bookmarkEnd w:id="18"/>
      <w:bookmarkEnd w:id="19"/>
      <w:bookmarkEnd w:id="20"/>
      <w:bookmarkEnd w:id="21"/>
      <w:r>
        <w:rPr>
          <w:rFonts w:hint="eastAsia" w:ascii="Calibri" w:eastAsia="黑体" w:cs="Calibri"/>
          <w:kern w:val="0"/>
          <w:sz w:val="32"/>
        </w:rPr>
        <w:t>招标公告</w:t>
      </w:r>
      <w:bookmarkEnd w:id="22"/>
    </w:p>
    <w:p>
      <w:pPr>
        <w:widowControl/>
        <w:snapToGrid w:val="0"/>
        <w:spacing w:line="400" w:lineRule="exact"/>
        <w:jc w:val="left"/>
        <w:rPr>
          <w:rFonts w:ascii="Arial" w:hAnsi="Arial" w:cs="Arial"/>
          <w:b/>
          <w:bCs/>
          <w:kern w:val="0"/>
          <w:sz w:val="22"/>
        </w:rPr>
      </w:pPr>
      <w:bookmarkStart w:id="119" w:name="_GoBack"/>
      <w:r>
        <w:rPr>
          <w:rFonts w:hint="eastAsia" w:ascii="Arial" w:hAnsi="Arial" w:cs="Arial"/>
          <w:b/>
          <w:bCs/>
          <w:kern w:val="0"/>
          <w:sz w:val="22"/>
        </w:rPr>
        <w:t>一、招标范围及内容</w:t>
      </w:r>
    </w:p>
    <w:p>
      <w:pPr>
        <w:widowControl/>
        <w:adjustRightInd w:val="0"/>
        <w:snapToGrid w:val="0"/>
        <w:spacing w:line="400" w:lineRule="exact"/>
        <w:ind w:firstLine="440" w:firstLineChars="200"/>
        <w:rPr>
          <w:rFonts w:ascii="宋体" w:hAnsi="宋体" w:cs="Arial"/>
          <w:kern w:val="0"/>
          <w:sz w:val="22"/>
        </w:rPr>
      </w:pPr>
      <w:r>
        <w:rPr>
          <w:rFonts w:hint="eastAsia" w:ascii="宋体" w:hAnsi="宋体" w:cs="Arial"/>
          <w:kern w:val="0"/>
          <w:sz w:val="22"/>
        </w:rPr>
        <w:t>（1）浙江省</w:t>
      </w:r>
      <w:r>
        <w:rPr>
          <w:rFonts w:ascii="宋体" w:hAnsi="宋体" w:cs="Arial"/>
          <w:kern w:val="0"/>
          <w:sz w:val="22"/>
        </w:rPr>
        <w:t>机场集团</w:t>
      </w:r>
      <w:r>
        <w:rPr>
          <w:rFonts w:hint="eastAsia" w:ascii="宋体" w:hAnsi="宋体" w:cs="Arial"/>
          <w:kern w:val="0"/>
          <w:sz w:val="22"/>
        </w:rPr>
        <w:t>有限</w:t>
      </w:r>
      <w:r>
        <w:rPr>
          <w:rFonts w:ascii="宋体" w:hAnsi="宋体" w:cs="Arial"/>
          <w:kern w:val="0"/>
          <w:sz w:val="22"/>
        </w:rPr>
        <w:t>公司</w:t>
      </w:r>
      <w:r>
        <w:rPr>
          <w:rFonts w:hint="eastAsia" w:ascii="等线" w:hAnsi="等线" w:cs="Arial"/>
          <w:kern w:val="0"/>
          <w:sz w:val="22"/>
        </w:rPr>
        <w:t>就招标</w:t>
      </w:r>
      <w:r>
        <w:rPr>
          <w:rFonts w:ascii="等线" w:hAnsi="等线" w:cs="Arial"/>
          <w:kern w:val="0"/>
          <w:sz w:val="22"/>
        </w:rPr>
        <w:t>人及下属杭州萧山国际机场有限公司、</w:t>
      </w:r>
      <w:r>
        <w:rPr>
          <w:rFonts w:hint="eastAsia" w:ascii="等线" w:hAnsi="等线" w:cs="Arial"/>
          <w:kern w:val="0"/>
          <w:sz w:val="22"/>
        </w:rPr>
        <w:t>浙江</w:t>
      </w:r>
      <w:r>
        <w:rPr>
          <w:rFonts w:ascii="等线" w:hAnsi="等线" w:cs="Arial"/>
          <w:kern w:val="0"/>
          <w:sz w:val="22"/>
        </w:rPr>
        <w:t>省机场集团</w:t>
      </w:r>
      <w:r>
        <w:rPr>
          <w:rFonts w:hint="eastAsia" w:ascii="等线" w:hAnsi="等线" w:cs="Arial"/>
          <w:kern w:val="0"/>
          <w:sz w:val="22"/>
        </w:rPr>
        <w:t>保安</w:t>
      </w:r>
      <w:r>
        <w:rPr>
          <w:rFonts w:ascii="等线" w:hAnsi="等线" w:cs="Arial"/>
          <w:kern w:val="0"/>
          <w:sz w:val="22"/>
        </w:rPr>
        <w:t>服务有限</w:t>
      </w:r>
      <w:r>
        <w:rPr>
          <w:rFonts w:hint="eastAsia" w:ascii="等线" w:hAnsi="等线" w:cs="Arial"/>
          <w:kern w:val="0"/>
          <w:sz w:val="22"/>
        </w:rPr>
        <w:t>公司</w:t>
      </w:r>
      <w:r>
        <w:rPr>
          <w:rFonts w:ascii="等线" w:hAnsi="等线" w:cs="Arial"/>
          <w:kern w:val="0"/>
          <w:sz w:val="22"/>
        </w:rPr>
        <w:t>、</w:t>
      </w:r>
      <w:r>
        <w:rPr>
          <w:rFonts w:hint="eastAsia" w:ascii="等线" w:hAnsi="等线" w:cs="Arial"/>
          <w:kern w:val="0"/>
          <w:sz w:val="22"/>
        </w:rPr>
        <w:t>浙江</w:t>
      </w:r>
      <w:r>
        <w:rPr>
          <w:rFonts w:ascii="等线" w:hAnsi="等线" w:cs="Arial"/>
          <w:kern w:val="0"/>
          <w:sz w:val="22"/>
        </w:rPr>
        <w:t>空港培训</w:t>
      </w:r>
      <w:r>
        <w:rPr>
          <w:rFonts w:hint="eastAsia" w:ascii="等线" w:hAnsi="等线" w:cs="Arial"/>
          <w:kern w:val="0"/>
          <w:sz w:val="22"/>
        </w:rPr>
        <w:t>服务</w:t>
      </w:r>
      <w:r>
        <w:rPr>
          <w:rFonts w:ascii="等线" w:hAnsi="等线" w:cs="Arial"/>
          <w:kern w:val="0"/>
          <w:sz w:val="22"/>
        </w:rPr>
        <w:t>咨询有限公司、</w:t>
      </w:r>
      <w:r>
        <w:rPr>
          <w:rFonts w:hint="eastAsia" w:ascii="等线" w:hAnsi="等线" w:cs="Arial"/>
          <w:kern w:val="0"/>
          <w:sz w:val="22"/>
        </w:rPr>
        <w:t>浙江省</w:t>
      </w:r>
      <w:r>
        <w:rPr>
          <w:rFonts w:ascii="等线" w:hAnsi="等线" w:cs="Arial"/>
          <w:kern w:val="0"/>
          <w:sz w:val="22"/>
        </w:rPr>
        <w:t>通用航空</w:t>
      </w:r>
      <w:r>
        <w:rPr>
          <w:rFonts w:hint="eastAsia" w:ascii="等线" w:hAnsi="等线" w:cs="Arial"/>
          <w:kern w:val="0"/>
          <w:sz w:val="22"/>
        </w:rPr>
        <w:t>产业</w:t>
      </w:r>
      <w:r>
        <w:rPr>
          <w:rFonts w:ascii="等线" w:hAnsi="等线" w:cs="Arial"/>
          <w:kern w:val="0"/>
          <w:sz w:val="22"/>
        </w:rPr>
        <w:t>发展有限</w:t>
      </w:r>
      <w:r>
        <w:rPr>
          <w:rFonts w:hint="eastAsia" w:ascii="等线" w:hAnsi="等线" w:cs="Arial"/>
          <w:kern w:val="0"/>
          <w:sz w:val="22"/>
        </w:rPr>
        <w:t>公司</w:t>
      </w:r>
      <w:r>
        <w:rPr>
          <w:rFonts w:ascii="等线" w:hAnsi="等线" w:cs="Arial"/>
          <w:kern w:val="0"/>
          <w:sz w:val="22"/>
        </w:rPr>
        <w:t>、</w:t>
      </w:r>
      <w:r>
        <w:rPr>
          <w:rFonts w:hint="eastAsia" w:ascii="等线" w:hAnsi="等线"/>
          <w:kern w:val="0"/>
          <w:sz w:val="22"/>
        </w:rPr>
        <w:t>浙江</w:t>
      </w:r>
      <w:r>
        <w:rPr>
          <w:rFonts w:ascii="等线" w:hAnsi="等线"/>
          <w:kern w:val="0"/>
          <w:sz w:val="22"/>
        </w:rPr>
        <w:t>省空港融资租赁有限公司</w:t>
      </w:r>
      <w:r>
        <w:rPr>
          <w:rFonts w:hint="eastAsia" w:ascii="宋体" w:hAnsi="宋体" w:cs="Arial"/>
          <w:kern w:val="0"/>
          <w:sz w:val="22"/>
        </w:rPr>
        <w:t>（下称“集团公司”或 “招标人”）20</w:t>
      </w:r>
      <w:r>
        <w:rPr>
          <w:rFonts w:ascii="宋体" w:hAnsi="宋体" w:cs="Arial"/>
          <w:kern w:val="0"/>
          <w:sz w:val="22"/>
        </w:rPr>
        <w:t>20</w:t>
      </w:r>
      <w:r>
        <w:rPr>
          <w:rFonts w:hint="eastAsia" w:ascii="宋体" w:hAnsi="宋体" w:cs="Arial"/>
          <w:kern w:val="0"/>
          <w:sz w:val="22"/>
        </w:rPr>
        <w:t>-20</w:t>
      </w:r>
      <w:r>
        <w:rPr>
          <w:rFonts w:ascii="宋体" w:hAnsi="宋体" w:cs="Arial"/>
          <w:kern w:val="0"/>
          <w:sz w:val="22"/>
        </w:rPr>
        <w:t>22</w:t>
      </w:r>
      <w:r>
        <w:rPr>
          <w:rFonts w:hint="eastAsia" w:ascii="宋体" w:hAnsi="宋体" w:cs="Arial"/>
          <w:kern w:val="0"/>
          <w:sz w:val="22"/>
        </w:rPr>
        <w:t>年度招标代理机构选聘项目（下称“项目”）进行公开招标，符合资格条件的投标人可按照本招标文件参与投标。</w:t>
      </w:r>
      <w:r>
        <w:rPr>
          <w:rFonts w:hint="eastAsia" w:ascii="宋体" w:hAnsi="宋体" w:cs="Calibri"/>
          <w:snapToGrid w:val="0"/>
          <w:kern w:val="0"/>
          <w:sz w:val="22"/>
        </w:rPr>
        <w:t>确定中标人后，各单位分别与中标人签署合同</w:t>
      </w:r>
      <w:r>
        <w:rPr>
          <w:rFonts w:hint="eastAsia" w:ascii="宋体" w:hAnsi="宋体" w:cs="Arial"/>
          <w:kern w:val="0"/>
          <w:sz w:val="22"/>
        </w:rPr>
        <w:t>。</w:t>
      </w:r>
    </w:p>
    <w:p>
      <w:pPr>
        <w:widowControl/>
        <w:adjustRightInd w:val="0"/>
        <w:snapToGrid w:val="0"/>
        <w:spacing w:line="400" w:lineRule="exact"/>
        <w:ind w:firstLine="440" w:firstLineChars="200"/>
        <w:rPr>
          <w:rFonts w:ascii="宋体" w:hAnsi="宋体" w:cs="Arial"/>
          <w:kern w:val="0"/>
          <w:sz w:val="22"/>
        </w:rPr>
      </w:pPr>
      <w:r>
        <w:rPr>
          <w:rFonts w:hint="eastAsia" w:ascii="宋体" w:hAnsi="宋体" w:cs="Arial"/>
          <w:kern w:val="0"/>
          <w:sz w:val="22"/>
        </w:rPr>
        <w:t>（2）项目概况：</w:t>
      </w:r>
    </w:p>
    <w:p>
      <w:pPr>
        <w:widowControl/>
        <w:adjustRightInd w:val="0"/>
        <w:snapToGrid w:val="0"/>
        <w:spacing w:line="400" w:lineRule="exact"/>
        <w:ind w:firstLine="440" w:firstLineChars="200"/>
        <w:rPr>
          <w:rFonts w:hint="eastAsia" w:ascii="宋体" w:hAnsi="宋体" w:cs="Arial"/>
          <w:kern w:val="0"/>
          <w:sz w:val="22"/>
        </w:rPr>
      </w:pPr>
      <w:r>
        <w:rPr>
          <w:rFonts w:hint="eastAsia" w:ascii="宋体" w:hAnsi="宋体" w:cs="Arial"/>
          <w:kern w:val="0"/>
          <w:sz w:val="22"/>
        </w:rPr>
        <w:t>为满足招标人重大项目招标工作需要，根据集团公司相关管理规定，对招标代理机构进行选聘。本项目划分为工程建设类项目和设备、货物及服务类项目两个标段，分别选聘四家招标代理机构组建招标代理机构库，服务期三年。</w:t>
      </w:r>
    </w:p>
    <w:p>
      <w:pPr>
        <w:widowControl/>
        <w:adjustRightInd w:val="0"/>
        <w:snapToGrid w:val="0"/>
        <w:spacing w:line="400" w:lineRule="exact"/>
        <w:ind w:firstLine="440" w:firstLineChars="200"/>
        <w:rPr>
          <w:rFonts w:ascii="宋体" w:hAnsi="宋体" w:cs="Arial"/>
          <w:kern w:val="0"/>
          <w:sz w:val="22"/>
        </w:rPr>
      </w:pPr>
      <w:r>
        <w:rPr>
          <w:rFonts w:hint="eastAsia" w:ascii="宋体" w:hAnsi="宋体" w:cs="Arial"/>
          <w:kern w:val="0"/>
          <w:sz w:val="22"/>
        </w:rPr>
        <w:t>服务期内，招标人将根据实际工作需要委托招标代理机构库中的其中一家，负责代理招标人指定项目的招标事宜。</w:t>
      </w:r>
    </w:p>
    <w:p>
      <w:pPr>
        <w:widowControl/>
        <w:adjustRightInd w:val="0"/>
        <w:snapToGrid w:val="0"/>
        <w:spacing w:line="400" w:lineRule="exact"/>
        <w:ind w:firstLine="440" w:firstLineChars="200"/>
        <w:rPr>
          <w:rFonts w:ascii="宋体" w:hAnsi="宋体" w:cs="Arial"/>
          <w:kern w:val="0"/>
          <w:sz w:val="22"/>
        </w:rPr>
      </w:pPr>
      <w:r>
        <w:rPr>
          <w:rFonts w:hint="eastAsia" w:ascii="宋体" w:hAnsi="宋体" w:cs="Arial"/>
          <w:kern w:val="0"/>
          <w:sz w:val="22"/>
        </w:rPr>
        <w:t>（3）标段划分：</w:t>
      </w:r>
    </w:p>
    <w:p>
      <w:pPr>
        <w:widowControl/>
        <w:adjustRightInd w:val="0"/>
        <w:snapToGrid w:val="0"/>
        <w:spacing w:line="400" w:lineRule="exact"/>
        <w:ind w:firstLine="440" w:firstLineChars="200"/>
        <w:rPr>
          <w:rFonts w:ascii="宋体" w:hAnsi="宋体" w:cs="Arial"/>
          <w:kern w:val="0"/>
          <w:sz w:val="22"/>
        </w:rPr>
      </w:pPr>
      <w:r>
        <w:rPr>
          <w:rFonts w:hint="eastAsia" w:ascii="宋体" w:hAnsi="宋体" w:cs="Arial"/>
          <w:kern w:val="0"/>
          <w:sz w:val="22"/>
        </w:rPr>
        <w:t>标段一：工程建设项目招标代理机构选聘项目；</w:t>
      </w:r>
    </w:p>
    <w:p>
      <w:pPr>
        <w:widowControl/>
        <w:adjustRightInd w:val="0"/>
        <w:snapToGrid w:val="0"/>
        <w:spacing w:line="400" w:lineRule="exact"/>
        <w:ind w:firstLine="440" w:firstLineChars="200"/>
        <w:rPr>
          <w:rFonts w:ascii="宋体" w:hAnsi="宋体" w:cs="Arial"/>
          <w:kern w:val="0"/>
          <w:sz w:val="22"/>
        </w:rPr>
      </w:pPr>
      <w:r>
        <w:rPr>
          <w:rFonts w:hint="eastAsia" w:ascii="宋体" w:hAnsi="宋体" w:cs="Arial"/>
          <w:kern w:val="0"/>
          <w:sz w:val="22"/>
        </w:rPr>
        <w:t>标段二：设备、货物及服务招标代理机构选聘项目；</w:t>
      </w:r>
    </w:p>
    <w:p>
      <w:pPr>
        <w:widowControl/>
        <w:adjustRightInd w:val="0"/>
        <w:snapToGrid w:val="0"/>
        <w:spacing w:line="400" w:lineRule="exact"/>
        <w:ind w:firstLine="440" w:firstLineChars="200"/>
        <w:rPr>
          <w:rFonts w:ascii="宋体" w:hAnsi="宋体" w:cs="Arial"/>
          <w:kern w:val="0"/>
          <w:sz w:val="22"/>
        </w:rPr>
      </w:pPr>
      <w:r>
        <w:rPr>
          <w:rFonts w:hint="eastAsia" w:ascii="宋体" w:hAnsi="宋体" w:cs="Arial"/>
          <w:kern w:val="0"/>
          <w:sz w:val="22"/>
        </w:rPr>
        <w:t>投标人可以根据自身情况选择任一标段或选择全部标段进行投标。</w:t>
      </w:r>
    </w:p>
    <w:p>
      <w:pPr>
        <w:widowControl/>
        <w:adjustRightInd w:val="0"/>
        <w:snapToGrid w:val="0"/>
        <w:spacing w:line="400" w:lineRule="exact"/>
        <w:ind w:firstLine="440" w:firstLineChars="200"/>
        <w:rPr>
          <w:rFonts w:ascii="宋体" w:hAnsi="宋体" w:cs="Arial"/>
          <w:kern w:val="0"/>
          <w:sz w:val="22"/>
        </w:rPr>
      </w:pPr>
      <w:r>
        <w:rPr>
          <w:rFonts w:hint="eastAsia" w:ascii="宋体" w:hAnsi="宋体" w:cs="Arial"/>
          <w:kern w:val="0"/>
          <w:sz w:val="22"/>
        </w:rPr>
        <w:t>（4）服务期：</w:t>
      </w:r>
    </w:p>
    <w:p>
      <w:pPr>
        <w:widowControl/>
        <w:adjustRightInd w:val="0"/>
        <w:snapToGrid w:val="0"/>
        <w:spacing w:line="400" w:lineRule="exact"/>
        <w:ind w:firstLine="440" w:firstLineChars="200"/>
        <w:rPr>
          <w:rFonts w:ascii="宋体" w:hAnsi="宋体" w:cs="Arial"/>
          <w:kern w:val="0"/>
          <w:sz w:val="22"/>
        </w:rPr>
      </w:pPr>
      <w:r>
        <w:rPr>
          <w:rFonts w:hint="eastAsia" w:ascii="宋体" w:hAnsi="宋体" w:cs="Arial"/>
          <w:kern w:val="0"/>
          <w:sz w:val="22"/>
        </w:rPr>
        <w:t>20</w:t>
      </w:r>
      <w:r>
        <w:rPr>
          <w:rFonts w:ascii="宋体" w:hAnsi="宋体" w:cs="Arial"/>
          <w:kern w:val="0"/>
          <w:sz w:val="22"/>
        </w:rPr>
        <w:t>20</w:t>
      </w:r>
      <w:r>
        <w:rPr>
          <w:rFonts w:hint="eastAsia" w:ascii="宋体" w:hAnsi="宋体" w:cs="Arial"/>
          <w:kern w:val="0"/>
          <w:sz w:val="22"/>
        </w:rPr>
        <w:t>年1月1日-20</w:t>
      </w:r>
      <w:r>
        <w:rPr>
          <w:rFonts w:ascii="宋体" w:hAnsi="宋体" w:cs="Arial"/>
          <w:kern w:val="0"/>
          <w:sz w:val="22"/>
        </w:rPr>
        <w:t>22</w:t>
      </w:r>
      <w:r>
        <w:rPr>
          <w:rFonts w:hint="eastAsia" w:ascii="宋体" w:hAnsi="宋体" w:cs="Arial"/>
          <w:kern w:val="0"/>
          <w:sz w:val="22"/>
        </w:rPr>
        <w:t>年12月31日</w:t>
      </w:r>
    </w:p>
    <w:p>
      <w:pPr>
        <w:widowControl/>
        <w:snapToGrid w:val="0"/>
        <w:spacing w:line="400" w:lineRule="exact"/>
        <w:jc w:val="left"/>
        <w:rPr>
          <w:rFonts w:ascii="Arial" w:hAnsi="Arial" w:cs="Arial"/>
          <w:b/>
          <w:bCs/>
          <w:kern w:val="0"/>
          <w:sz w:val="22"/>
        </w:rPr>
      </w:pPr>
      <w:r>
        <w:rPr>
          <w:rFonts w:hint="eastAsia" w:ascii="Arial" w:hAnsi="Arial" w:cs="Arial"/>
          <w:b/>
          <w:bCs/>
          <w:kern w:val="0"/>
          <w:sz w:val="22"/>
        </w:rPr>
        <w:t>二、</w:t>
      </w:r>
      <w:r>
        <w:rPr>
          <w:rFonts w:ascii="Arial" w:hAnsi="Arial" w:cs="Arial"/>
          <w:b/>
          <w:bCs/>
          <w:kern w:val="0"/>
          <w:sz w:val="22"/>
        </w:rPr>
        <w:t> </w:t>
      </w:r>
      <w:r>
        <w:rPr>
          <w:rFonts w:hint="eastAsia" w:ascii="Arial" w:hAnsi="Arial" w:cs="Arial"/>
          <w:b/>
          <w:bCs/>
          <w:kern w:val="0"/>
          <w:sz w:val="22"/>
        </w:rPr>
        <w:t>投标人资格要求</w:t>
      </w:r>
      <w:r>
        <w:rPr>
          <w:rFonts w:ascii="Arial" w:hAnsi="Arial" w:cs="Arial"/>
          <w:b/>
          <w:bCs/>
          <w:kern w:val="0"/>
          <w:sz w:val="22"/>
        </w:rPr>
        <w:t> </w:t>
      </w:r>
    </w:p>
    <w:p>
      <w:pPr>
        <w:widowControl/>
        <w:adjustRightInd w:val="0"/>
        <w:snapToGrid w:val="0"/>
        <w:spacing w:line="400" w:lineRule="exact"/>
        <w:ind w:firstLine="440" w:firstLineChars="200"/>
        <w:rPr>
          <w:rFonts w:ascii="宋体" w:hAnsi="宋体" w:cs="Arial"/>
          <w:kern w:val="0"/>
          <w:sz w:val="22"/>
        </w:rPr>
      </w:pPr>
      <w:r>
        <w:rPr>
          <w:rFonts w:hint="eastAsia" w:ascii="宋体" w:hAnsi="宋体" w:cs="Arial"/>
          <w:kern w:val="0"/>
          <w:sz w:val="22"/>
        </w:rPr>
        <w:t>（1）</w:t>
      </w:r>
      <w:r>
        <w:rPr>
          <w:rFonts w:ascii="宋体" w:hAnsi="宋体" w:cs="Arial"/>
          <w:kern w:val="0"/>
          <w:sz w:val="22"/>
        </w:rPr>
        <w:t>具有独立法人资格，持有有效营业执照</w:t>
      </w:r>
      <w:r>
        <w:rPr>
          <w:rFonts w:hint="eastAsia" w:ascii="宋体" w:hAnsi="宋体" w:cs="Arial"/>
          <w:kern w:val="0"/>
          <w:sz w:val="22"/>
        </w:rPr>
        <w:t>，需提供营业执照复印件并加盖投标人公章作为证明材料，原件备查。如营业执照未登记注册资本的，须另外提供企业在“全国企业信用信息公示系统”中自行公示的出资实缴情况，附相关公示网页复制件，并加盖投标人公章。</w:t>
      </w:r>
    </w:p>
    <w:p>
      <w:pPr>
        <w:widowControl/>
        <w:adjustRightInd w:val="0"/>
        <w:snapToGrid w:val="0"/>
        <w:spacing w:line="400" w:lineRule="exact"/>
        <w:ind w:firstLine="440" w:firstLineChars="200"/>
        <w:rPr>
          <w:rFonts w:ascii="宋体" w:hAnsi="宋体" w:cs="Arial"/>
          <w:kern w:val="0"/>
          <w:sz w:val="22"/>
        </w:rPr>
      </w:pPr>
      <w:r>
        <w:rPr>
          <w:rFonts w:hint="eastAsia" w:ascii="宋体" w:hAnsi="宋体" w:cs="Arial"/>
          <w:kern w:val="0"/>
          <w:sz w:val="22"/>
        </w:rPr>
        <w:t>（2）依据最高人民法院等九部门《关于在招标投标活动中对失信被执行人实施联合惩戒的通知》，投标人不得为失信被执行人。（通过信用中国网站www.creditchina.gov.cn 查询，查询结果以网站页面显示内容为准，投标时提供查询结果并加盖投标人公章作为证明材料或在投标函中承诺投标人不是失信被执行人）。若在中标候选人公示期间发现中标候选人在投标截止日前为失信被执行人的，招标人将依法取消其中标候选人资格，并有权不予退还其投标保证金。</w:t>
      </w:r>
    </w:p>
    <w:p>
      <w:pPr>
        <w:widowControl/>
        <w:adjustRightInd w:val="0"/>
        <w:snapToGrid w:val="0"/>
        <w:spacing w:line="400" w:lineRule="exact"/>
        <w:ind w:firstLine="440" w:firstLineChars="200"/>
        <w:rPr>
          <w:rFonts w:ascii="宋体" w:hAnsi="宋体" w:cs="Arial"/>
          <w:kern w:val="0"/>
          <w:sz w:val="22"/>
        </w:rPr>
      </w:pPr>
      <w:r>
        <w:rPr>
          <w:rFonts w:hint="eastAsia" w:ascii="宋体" w:hAnsi="宋体" w:cs="Arial"/>
          <w:kern w:val="0"/>
          <w:sz w:val="22"/>
        </w:rPr>
        <w:t>（3）近年（201</w:t>
      </w:r>
      <w:r>
        <w:rPr>
          <w:rFonts w:ascii="宋体" w:hAnsi="宋体" w:cs="Arial"/>
          <w:kern w:val="0"/>
          <w:sz w:val="22"/>
        </w:rPr>
        <w:t>6</w:t>
      </w:r>
      <w:r>
        <w:rPr>
          <w:rFonts w:hint="eastAsia" w:ascii="宋体" w:hAnsi="宋体" w:cs="Arial"/>
          <w:kern w:val="0"/>
          <w:sz w:val="22"/>
        </w:rPr>
        <w:t>年1月1日起至投标截止日止）无行贿犯罪记录(通过中国裁判文书网http://wenshu.court.gov.cn查询，查询结果以网站页面显示内容为准，投标时提供查询结果并加盖投标人公章作为证明材料或在投标函中承诺投标人在规定期限内无行贿犯罪记录)。若在中标候选人公示期间发现中标候选人在投标截止日前存在行贿犯罪记录的，招标人将依法取消其中标候选人资格，并有权不予退还其投标保证金。</w:t>
      </w:r>
    </w:p>
    <w:p>
      <w:pPr>
        <w:widowControl/>
        <w:adjustRightInd w:val="0"/>
        <w:snapToGrid w:val="0"/>
        <w:spacing w:line="400" w:lineRule="exact"/>
        <w:ind w:firstLine="440" w:firstLineChars="200"/>
        <w:rPr>
          <w:rFonts w:ascii="宋体" w:hAnsi="宋体" w:cs="Arial"/>
          <w:kern w:val="0"/>
          <w:sz w:val="22"/>
        </w:rPr>
      </w:pPr>
      <w:r>
        <w:rPr>
          <w:rFonts w:hint="eastAsia" w:ascii="宋体" w:hAnsi="宋体" w:cs="Arial"/>
          <w:kern w:val="0"/>
          <w:sz w:val="22"/>
        </w:rPr>
        <w:t>（4）具有一般纳税人资格，可提供增值税专用发票（需提供下列四项证明材料中任意一项并加盖公章，1、主管税务部门出具的一般纳税人资格认定《税务事项通知书》；2、《增值税一般纳税人登记表》；3、打印投标人电子税务局一般纳税人资格查询网页；4、在投标函中承诺投标人具有一般纳税人资格，可提供增值税专用发票）。若在中标候选人公示期间发现中标候选人不具有一般纳税人资格，招标人将依法取消其中标候选人资格，并有权不予退还其投标保证金。</w:t>
      </w:r>
    </w:p>
    <w:p>
      <w:pPr>
        <w:widowControl/>
        <w:adjustRightInd w:val="0"/>
        <w:snapToGrid w:val="0"/>
        <w:spacing w:line="400" w:lineRule="exact"/>
        <w:ind w:firstLine="440" w:firstLineChars="200"/>
        <w:rPr>
          <w:rFonts w:ascii="宋体" w:hAnsi="宋体" w:cs="Arial"/>
          <w:kern w:val="0"/>
          <w:sz w:val="22"/>
        </w:rPr>
      </w:pPr>
      <w:r>
        <w:rPr>
          <w:rFonts w:hint="eastAsia" w:ascii="宋体" w:hAnsi="宋体" w:cs="宋体"/>
          <w:kern w:val="0"/>
          <w:sz w:val="22"/>
        </w:rPr>
        <w:t>（5）投标人</w:t>
      </w:r>
      <w:r>
        <w:rPr>
          <w:rFonts w:hint="eastAsia" w:ascii="宋体" w:hAnsi="宋体" w:cs="Arial"/>
          <w:kern w:val="0"/>
          <w:sz w:val="22"/>
        </w:rPr>
        <w:t>拟派项目负责人及项目团队成员必须是投标人本单位在册职工（需提供近一年的社会保险经办机构出具的在本单位交纳社会保险证明复印件）；</w:t>
      </w:r>
    </w:p>
    <w:p>
      <w:pPr>
        <w:widowControl/>
        <w:adjustRightInd w:val="0"/>
        <w:snapToGrid w:val="0"/>
        <w:spacing w:line="400" w:lineRule="exact"/>
        <w:ind w:firstLine="440" w:firstLineChars="200"/>
        <w:rPr>
          <w:rFonts w:ascii="宋体" w:hAnsi="宋体" w:cs="Arial"/>
          <w:kern w:val="0"/>
          <w:sz w:val="22"/>
        </w:rPr>
      </w:pPr>
      <w:r>
        <w:rPr>
          <w:rFonts w:hint="eastAsia" w:ascii="宋体" w:hAnsi="宋体" w:cs="Arial"/>
          <w:kern w:val="0"/>
          <w:sz w:val="22"/>
        </w:rPr>
        <w:t>（6）资质要求</w:t>
      </w:r>
    </w:p>
    <w:p>
      <w:pPr>
        <w:widowControl/>
        <w:adjustRightInd w:val="0"/>
        <w:snapToGrid w:val="0"/>
        <w:spacing w:line="400" w:lineRule="exact"/>
        <w:ind w:firstLine="440" w:firstLineChars="200"/>
        <w:rPr>
          <w:rFonts w:ascii="宋体" w:hAnsi="宋体" w:cs="Arial"/>
          <w:kern w:val="0"/>
          <w:sz w:val="22"/>
        </w:rPr>
      </w:pPr>
      <w:r>
        <w:rPr>
          <w:rFonts w:hint="eastAsia" w:ascii="宋体" w:hAnsi="宋体" w:cs="Arial"/>
          <w:kern w:val="0"/>
          <w:sz w:val="22"/>
        </w:rPr>
        <w:t>标段一：具有住房和城乡建设部颁发的</w:t>
      </w:r>
      <w:r>
        <w:rPr>
          <w:rFonts w:ascii="宋体" w:hAnsi="宋体" w:cs="Arial"/>
          <w:kern w:val="0"/>
          <w:sz w:val="22"/>
        </w:rPr>
        <w:t>工程造价咨询企业</w:t>
      </w:r>
      <w:r>
        <w:rPr>
          <w:rFonts w:hint="eastAsia" w:ascii="宋体" w:hAnsi="宋体" w:cs="Arial"/>
          <w:kern w:val="0"/>
          <w:sz w:val="22"/>
        </w:rPr>
        <w:t>甲级</w:t>
      </w:r>
      <w:r>
        <w:rPr>
          <w:rFonts w:ascii="宋体" w:hAnsi="宋体" w:cs="Arial"/>
          <w:kern w:val="0"/>
          <w:sz w:val="22"/>
        </w:rPr>
        <w:t>，且在有效期内</w:t>
      </w:r>
      <w:r>
        <w:rPr>
          <w:rFonts w:hint="eastAsia" w:ascii="宋体" w:hAnsi="宋体" w:cs="Arial"/>
          <w:kern w:val="0"/>
          <w:sz w:val="22"/>
        </w:rPr>
        <w:t>；</w:t>
      </w:r>
      <w:r>
        <w:rPr>
          <w:rFonts w:ascii="宋体" w:hAnsi="宋体" w:cs="Arial"/>
          <w:kern w:val="0"/>
          <w:sz w:val="22"/>
        </w:rPr>
        <w:t xml:space="preserve"> </w:t>
      </w:r>
    </w:p>
    <w:p>
      <w:pPr>
        <w:widowControl/>
        <w:adjustRightInd w:val="0"/>
        <w:snapToGrid w:val="0"/>
        <w:spacing w:line="400" w:lineRule="exact"/>
        <w:ind w:firstLine="440" w:firstLineChars="200"/>
        <w:rPr>
          <w:rFonts w:ascii="宋体" w:hAnsi="宋体" w:cs="Arial"/>
          <w:kern w:val="0"/>
          <w:sz w:val="22"/>
        </w:rPr>
      </w:pPr>
      <w:r>
        <w:rPr>
          <w:rFonts w:hint="eastAsia" w:ascii="宋体" w:hAnsi="宋体" w:cs="Arial"/>
          <w:kern w:val="0"/>
          <w:sz w:val="22"/>
        </w:rPr>
        <w:t>标段二：无。</w:t>
      </w:r>
    </w:p>
    <w:p>
      <w:pPr>
        <w:widowControl/>
        <w:adjustRightInd w:val="0"/>
        <w:snapToGrid w:val="0"/>
        <w:spacing w:line="400" w:lineRule="exact"/>
        <w:ind w:firstLine="440" w:firstLineChars="200"/>
        <w:rPr>
          <w:rFonts w:ascii="宋体" w:hAnsi="宋体" w:cs="Arial"/>
          <w:kern w:val="0"/>
          <w:sz w:val="22"/>
        </w:rPr>
      </w:pPr>
      <w:r>
        <w:rPr>
          <w:rFonts w:hint="eastAsia" w:ascii="宋体" w:hAnsi="宋体" w:cs="Arial"/>
          <w:kern w:val="0"/>
          <w:sz w:val="22"/>
        </w:rPr>
        <w:t>（7）本次招标不接受联合体投标。</w:t>
      </w:r>
    </w:p>
    <w:p>
      <w:pPr>
        <w:widowControl/>
        <w:snapToGrid w:val="0"/>
        <w:spacing w:line="400" w:lineRule="exact"/>
        <w:jc w:val="left"/>
        <w:rPr>
          <w:rFonts w:ascii="Arial" w:hAnsi="Arial" w:cs="Arial"/>
          <w:b/>
          <w:bCs/>
          <w:kern w:val="0"/>
          <w:sz w:val="22"/>
        </w:rPr>
      </w:pPr>
      <w:r>
        <w:rPr>
          <w:rFonts w:hint="eastAsia" w:ascii="Arial" w:hAnsi="Arial" w:cs="Arial"/>
          <w:b/>
          <w:bCs/>
          <w:kern w:val="0"/>
          <w:sz w:val="22"/>
        </w:rPr>
        <w:t>三、招标文件获取</w:t>
      </w:r>
    </w:p>
    <w:p>
      <w:pPr>
        <w:widowControl/>
        <w:adjustRightInd w:val="0"/>
        <w:snapToGrid w:val="0"/>
        <w:spacing w:line="400" w:lineRule="exact"/>
        <w:ind w:firstLine="440" w:firstLineChars="200"/>
      </w:pPr>
      <w:r>
        <w:rPr>
          <w:rFonts w:hint="eastAsia" w:ascii="宋体" w:hAnsi="宋体" w:cs="Arial"/>
          <w:kern w:val="0"/>
          <w:sz w:val="22"/>
        </w:rPr>
        <w:t>凡符合资格条件并有投标意向的潜在投标人，请通过浙江省</w:t>
      </w:r>
      <w:r>
        <w:rPr>
          <w:rFonts w:ascii="宋体" w:hAnsi="宋体" w:cs="Arial"/>
          <w:kern w:val="0"/>
          <w:sz w:val="22"/>
        </w:rPr>
        <w:t>机场集团有限公司</w:t>
      </w:r>
      <w:r>
        <w:rPr>
          <w:rFonts w:hint="eastAsia" w:ascii="宋体" w:hAnsi="宋体" w:cs="Arial"/>
          <w:kern w:val="0"/>
          <w:sz w:val="22"/>
        </w:rPr>
        <w:t>主页</w:t>
      </w:r>
      <w:r>
        <w:rPr>
          <w:rFonts w:ascii="宋体" w:hAnsi="宋体" w:cs="Arial"/>
          <w:kern w:val="0"/>
          <w:sz w:val="22"/>
        </w:rPr>
        <w:fldChar w:fldCharType="begin"/>
      </w:r>
      <w:r>
        <w:rPr>
          <w:rFonts w:ascii="宋体" w:hAnsi="宋体" w:cs="Arial"/>
          <w:kern w:val="0"/>
          <w:sz w:val="22"/>
        </w:rPr>
        <w:instrText xml:space="preserve"> HYPERLINK "http://www.zjsairport.com" </w:instrText>
      </w:r>
      <w:r>
        <w:rPr>
          <w:rFonts w:ascii="宋体" w:hAnsi="宋体" w:cs="Arial"/>
          <w:kern w:val="0"/>
          <w:sz w:val="22"/>
        </w:rPr>
        <w:fldChar w:fldCharType="separate"/>
      </w:r>
      <w:r>
        <w:rPr>
          <w:rFonts w:ascii="宋体" w:hAnsi="宋体"/>
        </w:rPr>
        <w:t>http://www.zjsairport.com</w:t>
      </w:r>
      <w:r>
        <w:rPr>
          <w:rFonts w:ascii="宋体" w:hAnsi="宋体"/>
        </w:rPr>
        <w:fldChar w:fldCharType="end"/>
      </w:r>
      <w:r>
        <w:rPr>
          <w:rFonts w:hint="eastAsia" w:ascii="宋体" w:hAnsi="宋体" w:cs="Arial"/>
          <w:kern w:val="0"/>
          <w:sz w:val="22"/>
        </w:rPr>
        <w:t>自行下载招标文件。</w:t>
      </w:r>
    </w:p>
    <w:p>
      <w:pPr>
        <w:widowControl/>
        <w:adjustRightInd w:val="0"/>
        <w:snapToGrid w:val="0"/>
        <w:spacing w:line="400" w:lineRule="exact"/>
        <w:ind w:firstLine="440" w:firstLineChars="200"/>
        <w:rPr>
          <w:rFonts w:ascii="宋体" w:hAnsi="宋体" w:cs="Arial"/>
          <w:kern w:val="0"/>
          <w:sz w:val="22"/>
        </w:rPr>
      </w:pPr>
      <w:r>
        <w:rPr>
          <w:rFonts w:hint="eastAsia" w:ascii="宋体" w:hAnsi="宋体" w:cs="Arial"/>
          <w:kern w:val="0"/>
          <w:sz w:val="22"/>
        </w:rPr>
        <w:t>招标文件下载</w:t>
      </w:r>
    </w:p>
    <w:p>
      <w:pPr>
        <w:widowControl/>
        <w:snapToGrid w:val="0"/>
        <w:spacing w:line="400" w:lineRule="exact"/>
        <w:jc w:val="left"/>
        <w:rPr>
          <w:rFonts w:ascii="Arial" w:hAnsi="Arial" w:cs="Arial"/>
          <w:b/>
          <w:bCs/>
          <w:kern w:val="0"/>
          <w:sz w:val="22"/>
        </w:rPr>
      </w:pPr>
      <w:r>
        <w:rPr>
          <w:rFonts w:hint="eastAsia" w:ascii="Arial" w:hAnsi="Arial" w:cs="Arial"/>
          <w:b/>
          <w:bCs/>
          <w:kern w:val="0"/>
          <w:sz w:val="22"/>
        </w:rPr>
        <w:t>四、投标文件的递交</w:t>
      </w:r>
    </w:p>
    <w:p>
      <w:pPr>
        <w:widowControl/>
        <w:adjustRightInd w:val="0"/>
        <w:snapToGrid w:val="0"/>
        <w:spacing w:line="400" w:lineRule="exact"/>
        <w:ind w:firstLine="440" w:firstLineChars="200"/>
        <w:rPr>
          <w:rFonts w:ascii="宋体" w:hAnsi="宋体" w:cs="Arial"/>
          <w:kern w:val="0"/>
          <w:sz w:val="22"/>
        </w:rPr>
      </w:pPr>
      <w:r>
        <w:rPr>
          <w:rFonts w:hint="eastAsia" w:ascii="宋体" w:hAnsi="宋体" w:cs="Arial"/>
          <w:kern w:val="0"/>
          <w:sz w:val="22"/>
        </w:rPr>
        <w:t>（1）投标文件递交截止时间： 2019年</w:t>
      </w:r>
      <w:r>
        <w:rPr>
          <w:rFonts w:hint="eastAsia" w:ascii="宋体" w:hAnsi="宋体" w:cs="Arial"/>
          <w:kern w:val="0"/>
          <w:sz w:val="22"/>
          <w:lang w:val="en-US" w:eastAsia="zh-CN"/>
        </w:rPr>
        <w:t>12</w:t>
      </w:r>
      <w:r>
        <w:rPr>
          <w:rFonts w:hint="eastAsia" w:ascii="宋体" w:hAnsi="宋体" w:cs="Arial"/>
          <w:kern w:val="0"/>
          <w:sz w:val="22"/>
        </w:rPr>
        <w:t>月</w:t>
      </w:r>
      <w:r>
        <w:rPr>
          <w:rFonts w:hint="eastAsia" w:ascii="宋体" w:hAnsi="宋体" w:cs="Arial"/>
          <w:kern w:val="0"/>
          <w:sz w:val="22"/>
          <w:lang w:val="en-US" w:eastAsia="zh-CN"/>
        </w:rPr>
        <w:t>11</w:t>
      </w:r>
      <w:r>
        <w:rPr>
          <w:rFonts w:hint="eastAsia" w:ascii="宋体" w:hAnsi="宋体" w:cs="Arial"/>
          <w:kern w:val="0"/>
          <w:sz w:val="22"/>
        </w:rPr>
        <w:t>日上午9时00分（北京时间）。投标文件在封口处加盖公章，并派专人于2019年</w:t>
      </w:r>
      <w:r>
        <w:rPr>
          <w:rFonts w:hint="eastAsia" w:ascii="宋体" w:hAnsi="宋体" w:cs="Arial"/>
          <w:kern w:val="0"/>
          <w:sz w:val="22"/>
          <w:lang w:val="en-US" w:eastAsia="zh-CN"/>
        </w:rPr>
        <w:t>12</w:t>
      </w:r>
      <w:r>
        <w:rPr>
          <w:rFonts w:hint="eastAsia" w:ascii="宋体" w:hAnsi="宋体" w:cs="Arial"/>
          <w:kern w:val="0"/>
          <w:sz w:val="22"/>
        </w:rPr>
        <w:t>月</w:t>
      </w:r>
      <w:r>
        <w:rPr>
          <w:rFonts w:hint="eastAsia" w:ascii="宋体" w:hAnsi="宋体" w:cs="Arial"/>
          <w:kern w:val="0"/>
          <w:sz w:val="22"/>
          <w:lang w:val="en-US" w:eastAsia="zh-CN"/>
        </w:rPr>
        <w:t>11</w:t>
      </w:r>
      <w:r>
        <w:rPr>
          <w:rFonts w:hint="eastAsia" w:ascii="宋体" w:hAnsi="宋体" w:cs="Arial"/>
          <w:kern w:val="0"/>
          <w:sz w:val="22"/>
        </w:rPr>
        <w:t>日上午9时00分（北京时间）前送至杭州</w:t>
      </w:r>
      <w:r>
        <w:rPr>
          <w:rFonts w:ascii="宋体" w:hAnsi="宋体" w:cs="Arial"/>
          <w:kern w:val="0"/>
          <w:sz w:val="22"/>
        </w:rPr>
        <w:t>萧山国际机场</w:t>
      </w:r>
      <w:r>
        <w:rPr>
          <w:rFonts w:hint="eastAsia" w:ascii="宋体" w:hAnsi="宋体" w:cs="Arial"/>
          <w:kern w:val="0"/>
          <w:sz w:val="22"/>
        </w:rPr>
        <w:t>翔越路综合服务楼园区招标中心，逾期无效；若采用投递方式的，请于</w:t>
      </w:r>
      <w:r>
        <w:rPr>
          <w:rFonts w:hint="eastAsia" w:ascii="宋体" w:hAnsi="宋体" w:cs="Arial"/>
          <w:kern w:val="0"/>
          <w:sz w:val="22"/>
        </w:rPr>
        <w:t xml:space="preserve"> 2019年</w:t>
      </w:r>
      <w:r>
        <w:rPr>
          <w:rFonts w:hint="eastAsia" w:ascii="宋体" w:hAnsi="宋体" w:cs="Arial"/>
          <w:kern w:val="0"/>
          <w:sz w:val="22"/>
          <w:lang w:val="en-US" w:eastAsia="zh-CN"/>
        </w:rPr>
        <w:t>12</w:t>
      </w:r>
      <w:r>
        <w:rPr>
          <w:rFonts w:hint="eastAsia" w:ascii="宋体" w:hAnsi="宋体" w:cs="Arial"/>
          <w:kern w:val="0"/>
          <w:sz w:val="22"/>
        </w:rPr>
        <w:t>月</w:t>
      </w:r>
      <w:r>
        <w:rPr>
          <w:rFonts w:hint="eastAsia" w:ascii="宋体" w:hAnsi="宋体" w:cs="Arial"/>
          <w:kern w:val="0"/>
          <w:sz w:val="22"/>
          <w:lang w:val="en-US" w:eastAsia="zh-CN"/>
        </w:rPr>
        <w:t>11</w:t>
      </w:r>
      <w:r>
        <w:rPr>
          <w:rFonts w:hint="eastAsia" w:ascii="宋体" w:hAnsi="宋体" w:cs="Arial"/>
          <w:kern w:val="0"/>
          <w:sz w:val="22"/>
        </w:rPr>
        <w:t>日上午9时00分</w:t>
      </w:r>
      <w:r>
        <w:rPr>
          <w:rFonts w:hint="eastAsia" w:ascii="宋体" w:hAnsi="宋体" w:cs="Arial"/>
          <w:kern w:val="0"/>
          <w:sz w:val="22"/>
        </w:rPr>
        <w:t>（北京时间）前投递至杭州萧山</w:t>
      </w:r>
      <w:r>
        <w:rPr>
          <w:rFonts w:ascii="宋体" w:hAnsi="宋体" w:cs="Arial"/>
          <w:kern w:val="0"/>
          <w:sz w:val="22"/>
        </w:rPr>
        <w:t>国际机场</w:t>
      </w:r>
      <w:r>
        <w:rPr>
          <w:rFonts w:hint="eastAsia" w:ascii="宋体" w:hAnsi="宋体" w:cs="Arial"/>
          <w:kern w:val="0"/>
          <w:sz w:val="22"/>
        </w:rPr>
        <w:t>综合楼213室，逾期无效。</w:t>
      </w:r>
    </w:p>
    <w:p>
      <w:pPr>
        <w:widowControl/>
        <w:adjustRightInd w:val="0"/>
        <w:snapToGrid w:val="0"/>
        <w:spacing w:line="400" w:lineRule="exact"/>
        <w:ind w:firstLine="440" w:firstLineChars="200"/>
        <w:rPr>
          <w:rFonts w:ascii="宋体" w:hAnsi="宋体" w:cs="Arial"/>
          <w:kern w:val="0"/>
          <w:sz w:val="22"/>
        </w:rPr>
      </w:pPr>
      <w:r>
        <w:rPr>
          <w:rFonts w:hint="eastAsia" w:ascii="宋体" w:hAnsi="宋体" w:cs="Arial"/>
          <w:kern w:val="0"/>
          <w:sz w:val="22"/>
        </w:rPr>
        <w:t>（2）逾期送达或者未送达指定地点的投标文件，招标人不予受理。</w:t>
      </w:r>
    </w:p>
    <w:p>
      <w:pPr>
        <w:widowControl/>
        <w:snapToGrid w:val="0"/>
        <w:spacing w:line="340" w:lineRule="exact"/>
        <w:jc w:val="left"/>
        <w:rPr>
          <w:rFonts w:ascii="等线" w:hAnsi="等线" w:cs="Arial"/>
          <w:b/>
          <w:bCs/>
          <w:kern w:val="0"/>
          <w:sz w:val="22"/>
        </w:rPr>
      </w:pPr>
      <w:r>
        <w:rPr>
          <w:rFonts w:hint="eastAsia" w:ascii="等线" w:hAnsi="等线" w:cs="Arial"/>
          <w:b/>
          <w:bCs/>
          <w:kern w:val="0"/>
          <w:sz w:val="22"/>
        </w:rPr>
        <w:t>五、发布公告的媒介</w:t>
      </w:r>
    </w:p>
    <w:p>
      <w:pPr>
        <w:widowControl/>
        <w:adjustRightInd w:val="0"/>
        <w:snapToGrid w:val="0"/>
        <w:spacing w:line="400" w:lineRule="exact"/>
        <w:ind w:firstLine="440" w:firstLineChars="200"/>
        <w:rPr>
          <w:rFonts w:ascii="宋体" w:hAnsi="宋体" w:cs="Arial"/>
          <w:kern w:val="0"/>
          <w:sz w:val="22"/>
        </w:rPr>
      </w:pPr>
      <w:r>
        <w:rPr>
          <w:rFonts w:hint="eastAsia" w:ascii="宋体" w:hAnsi="宋体" w:cs="Arial"/>
          <w:kern w:val="0"/>
          <w:sz w:val="22"/>
        </w:rPr>
        <w:t>本次招标公告在</w:t>
      </w:r>
      <w:r>
        <w:rPr>
          <w:rFonts w:hint="eastAsia" w:ascii="宋体" w:hAnsi="宋体" w:cs="Arial"/>
          <w:b/>
          <w:kern w:val="0"/>
          <w:sz w:val="22"/>
        </w:rPr>
        <w:t>中国采购与招标网和浙江省机场集团有限公司主页</w:t>
      </w:r>
      <w:r>
        <w:rPr>
          <w:rFonts w:hint="eastAsia" w:ascii="宋体" w:hAnsi="宋体" w:cs="Arial"/>
          <w:kern w:val="0"/>
          <w:sz w:val="22"/>
        </w:rPr>
        <w:t>上发布</w:t>
      </w:r>
    </w:p>
    <w:p>
      <w:pPr>
        <w:widowControl/>
        <w:adjustRightInd w:val="0"/>
        <w:snapToGrid w:val="0"/>
        <w:spacing w:line="400" w:lineRule="exact"/>
        <w:ind w:firstLine="440" w:firstLineChars="200"/>
        <w:rPr>
          <w:rFonts w:ascii="宋体" w:hAnsi="宋体" w:cs="Arial"/>
          <w:kern w:val="0"/>
          <w:sz w:val="22"/>
        </w:rPr>
      </w:pPr>
      <w:r>
        <w:rPr>
          <w:rFonts w:hint="eastAsia" w:ascii="宋体" w:hAnsi="宋体" w:cs="Arial"/>
          <w:kern w:val="0"/>
          <w:sz w:val="22"/>
        </w:rPr>
        <w:t>中国采购与招标网</w:t>
      </w:r>
      <w:r>
        <w:rPr>
          <w:rFonts w:ascii="宋体" w:hAnsi="宋体" w:cs="Arial"/>
          <w:kern w:val="0"/>
          <w:sz w:val="22"/>
        </w:rPr>
        <w:t xml:space="preserve">  </w:t>
      </w:r>
      <w:r>
        <w:rPr>
          <w:rFonts w:ascii="宋体" w:hAnsi="宋体" w:cs="Arial"/>
          <w:kern w:val="0"/>
          <w:sz w:val="22"/>
        </w:rPr>
        <w:fldChar w:fldCharType="begin"/>
      </w:r>
      <w:r>
        <w:rPr>
          <w:rFonts w:ascii="宋体" w:hAnsi="宋体" w:cs="Arial"/>
          <w:kern w:val="0"/>
          <w:sz w:val="22"/>
        </w:rPr>
        <w:instrText xml:space="preserve"> HYPERLINK "http://www.chinabidding.com.cn" </w:instrText>
      </w:r>
      <w:r>
        <w:rPr>
          <w:rFonts w:ascii="宋体" w:hAnsi="宋体" w:cs="Arial"/>
          <w:kern w:val="0"/>
          <w:sz w:val="22"/>
        </w:rPr>
        <w:fldChar w:fldCharType="separate"/>
      </w:r>
      <w:r>
        <w:rPr>
          <w:rFonts w:ascii="宋体" w:hAnsi="宋体" w:cs="Arial"/>
          <w:kern w:val="0"/>
          <w:sz w:val="22"/>
        </w:rPr>
        <w:t>http://www.chinabidding.com.cn</w:t>
      </w:r>
      <w:r>
        <w:rPr>
          <w:rFonts w:ascii="宋体" w:hAnsi="宋体" w:cs="Arial"/>
          <w:kern w:val="0"/>
          <w:sz w:val="22"/>
        </w:rPr>
        <w:fldChar w:fldCharType="end"/>
      </w:r>
    </w:p>
    <w:p>
      <w:pPr>
        <w:widowControl/>
        <w:adjustRightInd w:val="0"/>
        <w:snapToGrid w:val="0"/>
        <w:spacing w:line="400" w:lineRule="exact"/>
        <w:ind w:firstLine="440" w:firstLineChars="200"/>
        <w:rPr>
          <w:rFonts w:ascii="宋体" w:hAnsi="宋体" w:cs="Arial"/>
          <w:kern w:val="0"/>
          <w:sz w:val="22"/>
        </w:rPr>
      </w:pPr>
      <w:r>
        <w:rPr>
          <w:rFonts w:hint="eastAsia" w:ascii="宋体" w:hAnsi="宋体" w:cs="Arial"/>
          <w:kern w:val="0"/>
          <w:sz w:val="22"/>
        </w:rPr>
        <w:t>浙江省机场集团有限公司主页</w:t>
      </w:r>
      <w:r>
        <w:rPr>
          <w:rFonts w:ascii="宋体" w:hAnsi="宋体" w:cs="Arial"/>
          <w:kern w:val="0"/>
          <w:sz w:val="22"/>
        </w:rPr>
        <w:fldChar w:fldCharType="begin"/>
      </w:r>
      <w:r>
        <w:rPr>
          <w:rFonts w:ascii="宋体" w:hAnsi="宋体" w:cs="Arial"/>
          <w:kern w:val="0"/>
          <w:sz w:val="22"/>
        </w:rPr>
        <w:instrText xml:space="preserve"> HYPERLINK "http://www.zjsairport.com" </w:instrText>
      </w:r>
      <w:r>
        <w:rPr>
          <w:rFonts w:ascii="宋体" w:hAnsi="宋体" w:cs="Arial"/>
          <w:kern w:val="0"/>
          <w:sz w:val="22"/>
        </w:rPr>
        <w:fldChar w:fldCharType="separate"/>
      </w:r>
      <w:r>
        <w:rPr>
          <w:rFonts w:ascii="宋体" w:hAnsi="宋体"/>
        </w:rPr>
        <w:t>http://www.zjsairport.com</w:t>
      </w:r>
      <w:r>
        <w:rPr>
          <w:rFonts w:ascii="宋体" w:hAnsi="宋体"/>
        </w:rPr>
        <w:fldChar w:fldCharType="end"/>
      </w:r>
    </w:p>
    <w:p>
      <w:pPr>
        <w:widowControl/>
        <w:adjustRightInd w:val="0"/>
        <w:snapToGrid w:val="0"/>
        <w:spacing w:line="340" w:lineRule="exact"/>
        <w:ind w:firstLine="440" w:firstLineChars="200"/>
        <w:rPr>
          <w:rFonts w:hint="eastAsia" w:ascii="等线" w:hAnsi="等线" w:cs="Arial"/>
          <w:kern w:val="0"/>
          <w:sz w:val="22"/>
        </w:rPr>
      </w:pPr>
    </w:p>
    <w:p>
      <w:pPr>
        <w:widowControl/>
        <w:snapToGrid w:val="0"/>
        <w:spacing w:line="340" w:lineRule="exact"/>
        <w:jc w:val="left"/>
        <w:rPr>
          <w:rFonts w:ascii="等线" w:hAnsi="等线" w:cs="Arial"/>
          <w:b/>
          <w:bCs/>
          <w:kern w:val="0"/>
          <w:sz w:val="22"/>
        </w:rPr>
      </w:pPr>
      <w:r>
        <w:rPr>
          <w:rFonts w:hint="eastAsia" w:ascii="等线" w:hAnsi="等线" w:cs="Arial"/>
          <w:b/>
          <w:bCs/>
          <w:kern w:val="0"/>
          <w:sz w:val="22"/>
        </w:rPr>
        <w:t>六、联系方式</w:t>
      </w:r>
    </w:p>
    <w:p>
      <w:pPr>
        <w:widowControl/>
        <w:adjustRightInd w:val="0"/>
        <w:snapToGrid w:val="0"/>
        <w:spacing w:line="340" w:lineRule="exact"/>
        <w:ind w:firstLine="440" w:firstLineChars="200"/>
        <w:rPr>
          <w:rFonts w:ascii="等线" w:hAnsi="等线"/>
          <w:sz w:val="22"/>
        </w:rPr>
      </w:pPr>
      <w:r>
        <w:rPr>
          <w:rFonts w:hint="eastAsia" w:ascii="等线" w:hAnsi="等线"/>
          <w:sz w:val="22"/>
        </w:rPr>
        <w:t xml:space="preserve">投标联系人：贾工        </w:t>
      </w:r>
      <w:r>
        <w:rPr>
          <w:rFonts w:ascii="等线" w:hAnsi="等线"/>
          <w:sz w:val="22"/>
        </w:rPr>
        <w:t xml:space="preserve"> </w:t>
      </w:r>
      <w:r>
        <w:rPr>
          <w:rFonts w:ascii="宋体" w:hAnsi="宋体"/>
          <w:sz w:val="22"/>
        </w:rPr>
        <w:t xml:space="preserve"> </w:t>
      </w:r>
      <w:r>
        <w:rPr>
          <w:rFonts w:hint="eastAsia" w:ascii="宋体" w:hAnsi="宋体"/>
          <w:sz w:val="22"/>
        </w:rPr>
        <w:t>联系电话： 0571-8</w:t>
      </w:r>
      <w:r>
        <w:rPr>
          <w:rFonts w:ascii="宋体" w:hAnsi="宋体"/>
          <w:sz w:val="22"/>
        </w:rPr>
        <w:t xml:space="preserve">3837612 </w:t>
      </w:r>
    </w:p>
    <w:p>
      <w:pPr>
        <w:widowControl/>
        <w:adjustRightInd w:val="0"/>
        <w:snapToGrid w:val="0"/>
        <w:spacing w:line="400" w:lineRule="exact"/>
        <w:ind w:firstLine="440" w:firstLineChars="200"/>
        <w:rPr>
          <w:rFonts w:hint="eastAsia" w:ascii="宋体" w:hAnsi="宋体"/>
          <w:sz w:val="22"/>
        </w:rPr>
      </w:pPr>
      <w:r>
        <w:rPr>
          <w:rFonts w:hint="eastAsia" w:ascii="宋体" w:hAnsi="宋体"/>
          <w:sz w:val="22"/>
        </w:rPr>
        <w:t xml:space="preserve">招标监督人：阮工         </w:t>
      </w:r>
      <w:r>
        <w:rPr>
          <w:rFonts w:ascii="宋体" w:hAnsi="宋体"/>
          <w:sz w:val="22"/>
        </w:rPr>
        <w:t xml:space="preserve"> </w:t>
      </w:r>
      <w:r>
        <w:rPr>
          <w:rFonts w:hint="eastAsia" w:ascii="宋体" w:hAnsi="宋体"/>
          <w:sz w:val="22"/>
        </w:rPr>
        <w:t>联系电话： 0571-86662133</w:t>
      </w:r>
    </w:p>
    <w:p>
      <w:pPr>
        <w:widowControl/>
        <w:adjustRightInd w:val="0"/>
        <w:snapToGrid w:val="0"/>
        <w:spacing w:line="400" w:lineRule="exact"/>
        <w:ind w:firstLine="440" w:firstLineChars="200"/>
        <w:rPr>
          <w:rFonts w:hint="eastAsia" w:ascii="宋体" w:hAnsi="宋体"/>
          <w:sz w:val="22"/>
        </w:rPr>
      </w:pPr>
    </w:p>
    <w:bookmarkEnd w:id="119"/>
    <w:p>
      <w:pPr>
        <w:widowControl/>
        <w:adjustRightInd w:val="0"/>
        <w:snapToGrid w:val="0"/>
        <w:spacing w:line="400" w:lineRule="exact"/>
        <w:ind w:firstLine="440" w:firstLineChars="200"/>
        <w:rPr>
          <w:rFonts w:hint="eastAsia" w:ascii="宋体" w:hAnsi="宋体"/>
          <w:sz w:val="22"/>
        </w:rPr>
      </w:pPr>
    </w:p>
    <w:p>
      <w:pPr>
        <w:pStyle w:val="2"/>
        <w:spacing w:before="0" w:after="0" w:line="400" w:lineRule="exact"/>
        <w:jc w:val="center"/>
        <w:rPr>
          <w:rFonts w:ascii="Calibri" w:hAnsi="Calibri" w:eastAsia="黑体" w:cs="Calibri"/>
          <w:kern w:val="0"/>
          <w:sz w:val="32"/>
        </w:rPr>
      </w:pPr>
      <w:bookmarkStart w:id="25" w:name="_Toc448002983"/>
      <w:r>
        <w:rPr>
          <w:rFonts w:ascii="Calibri" w:eastAsia="黑体" w:cs="Calibri"/>
          <w:kern w:val="0"/>
          <w:sz w:val="32"/>
        </w:rPr>
        <w:t>第二章</w:t>
      </w:r>
      <w:r>
        <w:rPr>
          <w:rFonts w:ascii="Calibri" w:hAnsi="Calibri" w:eastAsia="黑体" w:cs="Calibri"/>
          <w:kern w:val="0"/>
          <w:sz w:val="32"/>
        </w:rPr>
        <w:t xml:space="preserve">  </w:t>
      </w:r>
      <w:r>
        <w:rPr>
          <w:rFonts w:ascii="Calibri" w:eastAsia="黑体" w:cs="Calibri"/>
          <w:kern w:val="0"/>
          <w:sz w:val="32"/>
        </w:rPr>
        <w:t>投标人须知</w:t>
      </w:r>
      <w:bookmarkEnd w:id="0"/>
      <w:bookmarkEnd w:id="23"/>
      <w:bookmarkEnd w:id="24"/>
      <w:bookmarkEnd w:id="25"/>
      <w:bookmarkStart w:id="26" w:name="_Toc143421654"/>
    </w:p>
    <w:p>
      <w:pPr>
        <w:pStyle w:val="67"/>
        <w:spacing w:line="400" w:lineRule="exact"/>
        <w:jc w:val="center"/>
        <w:rPr>
          <w:rFonts w:ascii="Calibri" w:hAnsi="Calibri" w:eastAsia="黑体" w:cs="Calibri"/>
          <w:kern w:val="2"/>
          <w:sz w:val="28"/>
          <w:szCs w:val="32"/>
        </w:rPr>
      </w:pPr>
      <w:bookmarkStart w:id="27" w:name="_Toc11881"/>
      <w:bookmarkStart w:id="28" w:name="_Toc349007688"/>
      <w:bookmarkStart w:id="29" w:name="_Toc349011858"/>
      <w:bookmarkStart w:id="30" w:name="_Toc386359393"/>
      <w:bookmarkStart w:id="31" w:name="_Toc444174979"/>
      <w:bookmarkStart w:id="32" w:name="_Toc444173459"/>
      <w:bookmarkStart w:id="33" w:name="_Toc448002984"/>
      <w:bookmarkStart w:id="34" w:name="_Toc444811409"/>
      <w:bookmarkStart w:id="35" w:name="_Toc386363317"/>
      <w:bookmarkStart w:id="36" w:name="_Toc400369185"/>
      <w:r>
        <w:rPr>
          <w:rFonts w:ascii="Calibri" w:hAnsi="Arial" w:eastAsia="黑体" w:cs="Calibri"/>
          <w:kern w:val="2"/>
          <w:sz w:val="28"/>
          <w:szCs w:val="32"/>
        </w:rPr>
        <w:t>投标人须知前附表</w:t>
      </w:r>
      <w:bookmarkEnd w:id="26"/>
      <w:bookmarkEnd w:id="27"/>
      <w:bookmarkEnd w:id="28"/>
      <w:bookmarkEnd w:id="29"/>
      <w:bookmarkEnd w:id="30"/>
      <w:bookmarkEnd w:id="31"/>
      <w:bookmarkEnd w:id="32"/>
      <w:bookmarkEnd w:id="33"/>
      <w:bookmarkEnd w:id="34"/>
      <w:bookmarkEnd w:id="35"/>
      <w:bookmarkEnd w:id="36"/>
    </w:p>
    <w:tbl>
      <w:tblPr>
        <w:tblStyle w:val="53"/>
        <w:tblW w:w="9442" w:type="dxa"/>
        <w:jc w:val="center"/>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951"/>
        <w:gridCol w:w="2004"/>
        <w:gridCol w:w="6487"/>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tblHeader/>
          <w:jc w:val="center"/>
        </w:trPr>
        <w:tc>
          <w:tcPr>
            <w:tcW w:w="951" w:type="dxa"/>
            <w:tcBorders>
              <w:top w:val="single" w:color="auto" w:sz="12" w:space="0"/>
            </w:tcBorders>
            <w:vAlign w:val="center"/>
          </w:tcPr>
          <w:p>
            <w:pPr>
              <w:autoSpaceDE w:val="0"/>
              <w:autoSpaceDN w:val="0"/>
              <w:adjustRightInd w:val="0"/>
              <w:snapToGrid w:val="0"/>
              <w:spacing w:line="400" w:lineRule="exact"/>
              <w:jc w:val="center"/>
              <w:rPr>
                <w:rFonts w:ascii="宋体" w:hAnsi="宋体" w:cs="Calibri"/>
                <w:kern w:val="0"/>
                <w:sz w:val="22"/>
              </w:rPr>
            </w:pPr>
            <w:r>
              <w:rPr>
                <w:rFonts w:ascii="宋体" w:hAnsi="宋体" w:cs="Calibri"/>
                <w:kern w:val="0"/>
                <w:sz w:val="22"/>
              </w:rPr>
              <w:t>条款号</w:t>
            </w:r>
          </w:p>
        </w:tc>
        <w:tc>
          <w:tcPr>
            <w:tcW w:w="2004" w:type="dxa"/>
            <w:tcBorders>
              <w:top w:val="single" w:color="auto" w:sz="12" w:space="0"/>
            </w:tcBorders>
            <w:vAlign w:val="center"/>
          </w:tcPr>
          <w:p>
            <w:pPr>
              <w:autoSpaceDE w:val="0"/>
              <w:autoSpaceDN w:val="0"/>
              <w:adjustRightInd w:val="0"/>
              <w:snapToGrid w:val="0"/>
              <w:spacing w:line="400" w:lineRule="exact"/>
              <w:jc w:val="center"/>
              <w:rPr>
                <w:rFonts w:ascii="宋体" w:hAnsi="宋体" w:cs="Calibri"/>
                <w:kern w:val="0"/>
                <w:sz w:val="22"/>
              </w:rPr>
            </w:pPr>
            <w:r>
              <w:rPr>
                <w:rFonts w:ascii="宋体" w:hAnsi="宋体" w:cs="Calibri"/>
                <w:kern w:val="0"/>
                <w:sz w:val="22"/>
              </w:rPr>
              <w:t>条 款 名 称</w:t>
            </w:r>
          </w:p>
        </w:tc>
        <w:tc>
          <w:tcPr>
            <w:tcW w:w="6487" w:type="dxa"/>
            <w:tcBorders>
              <w:top w:val="single" w:color="auto" w:sz="12" w:space="0"/>
            </w:tcBorders>
            <w:vAlign w:val="center"/>
          </w:tcPr>
          <w:p>
            <w:pPr>
              <w:autoSpaceDE w:val="0"/>
              <w:autoSpaceDN w:val="0"/>
              <w:adjustRightInd w:val="0"/>
              <w:snapToGrid w:val="0"/>
              <w:spacing w:line="400" w:lineRule="exact"/>
              <w:jc w:val="center"/>
              <w:rPr>
                <w:rFonts w:ascii="宋体" w:hAnsi="宋体" w:cs="Calibri"/>
                <w:kern w:val="0"/>
                <w:sz w:val="22"/>
              </w:rPr>
            </w:pPr>
            <w:r>
              <w:rPr>
                <w:rFonts w:ascii="宋体" w:hAnsi="宋体" w:cs="Calibri"/>
                <w:kern w:val="0"/>
                <w:sz w:val="22"/>
              </w:rPr>
              <w:t>编 列 内 容</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spacing w:line="400" w:lineRule="exact"/>
              <w:jc w:val="center"/>
              <w:rPr>
                <w:rFonts w:ascii="宋体" w:hAnsi="宋体" w:cs="Calibri"/>
                <w:kern w:val="0"/>
                <w:sz w:val="22"/>
              </w:rPr>
            </w:pPr>
            <w:r>
              <w:rPr>
                <w:rFonts w:ascii="宋体" w:hAnsi="宋体" w:cs="Calibri"/>
                <w:sz w:val="22"/>
              </w:rPr>
              <w:t>1.1</w:t>
            </w:r>
            <w:r>
              <w:rPr>
                <w:rFonts w:hint="eastAsia" w:ascii="宋体" w:hAnsi="宋体" w:cs="Calibri"/>
                <w:sz w:val="22"/>
              </w:rPr>
              <w:t>.1</w:t>
            </w:r>
          </w:p>
        </w:tc>
        <w:tc>
          <w:tcPr>
            <w:tcW w:w="2004" w:type="dxa"/>
            <w:vAlign w:val="center"/>
          </w:tcPr>
          <w:p>
            <w:pPr>
              <w:autoSpaceDE w:val="0"/>
              <w:autoSpaceDN w:val="0"/>
              <w:adjustRightInd w:val="0"/>
              <w:snapToGrid w:val="0"/>
              <w:spacing w:line="400" w:lineRule="exact"/>
              <w:jc w:val="center"/>
              <w:rPr>
                <w:rFonts w:ascii="宋体" w:hAnsi="宋体" w:cs="Calibri"/>
                <w:kern w:val="0"/>
                <w:sz w:val="22"/>
              </w:rPr>
            </w:pPr>
            <w:r>
              <w:rPr>
                <w:rFonts w:ascii="宋体" w:hAnsi="宋体" w:cs="Calibri"/>
                <w:kern w:val="0"/>
                <w:sz w:val="22"/>
              </w:rPr>
              <w:t>项目名称</w:t>
            </w:r>
          </w:p>
        </w:tc>
        <w:tc>
          <w:tcPr>
            <w:tcW w:w="6487" w:type="dxa"/>
            <w:vAlign w:val="center"/>
          </w:tcPr>
          <w:p>
            <w:pPr>
              <w:autoSpaceDE w:val="0"/>
              <w:autoSpaceDN w:val="0"/>
              <w:adjustRightInd w:val="0"/>
              <w:snapToGrid w:val="0"/>
              <w:spacing w:line="400" w:lineRule="exact"/>
              <w:rPr>
                <w:rFonts w:ascii="宋体" w:hAnsi="宋体" w:cs="Calibri"/>
                <w:kern w:val="0"/>
                <w:sz w:val="22"/>
              </w:rPr>
            </w:pPr>
            <w:r>
              <w:rPr>
                <w:rFonts w:ascii="宋体" w:hAnsi="宋体" w:cs="Arial"/>
                <w:kern w:val="0"/>
                <w:sz w:val="22"/>
              </w:rPr>
              <w:t>浙江省机场集团</w:t>
            </w:r>
            <w:r>
              <w:rPr>
                <w:rFonts w:hint="eastAsia" w:ascii="宋体" w:hAnsi="宋体" w:cs="Arial"/>
                <w:kern w:val="0"/>
                <w:sz w:val="22"/>
              </w:rPr>
              <w:t xml:space="preserve"> 2020</w:t>
            </w:r>
            <w:r>
              <w:rPr>
                <w:rFonts w:ascii="宋体" w:hAnsi="宋体" w:cs="Arial"/>
                <w:kern w:val="0"/>
                <w:sz w:val="22"/>
              </w:rPr>
              <w:t>-2022</w:t>
            </w:r>
            <w:r>
              <w:rPr>
                <w:rFonts w:hint="eastAsia" w:ascii="宋体" w:hAnsi="宋体" w:cs="Arial"/>
                <w:kern w:val="0"/>
                <w:sz w:val="22"/>
              </w:rPr>
              <w:t>年度招标代理机构选聘项目</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spacing w:line="400" w:lineRule="exact"/>
              <w:jc w:val="center"/>
              <w:rPr>
                <w:rFonts w:ascii="宋体" w:hAnsi="宋体" w:cs="Calibri"/>
                <w:sz w:val="22"/>
              </w:rPr>
            </w:pPr>
            <w:r>
              <w:rPr>
                <w:rFonts w:ascii="宋体" w:hAnsi="宋体" w:cs="Calibri"/>
                <w:sz w:val="22"/>
              </w:rPr>
              <w:t>1.1.2</w:t>
            </w:r>
          </w:p>
        </w:tc>
        <w:tc>
          <w:tcPr>
            <w:tcW w:w="2004" w:type="dxa"/>
            <w:vAlign w:val="center"/>
          </w:tcPr>
          <w:p>
            <w:pPr>
              <w:autoSpaceDE w:val="0"/>
              <w:autoSpaceDN w:val="0"/>
              <w:adjustRightInd w:val="0"/>
              <w:snapToGrid w:val="0"/>
              <w:spacing w:line="400" w:lineRule="exact"/>
              <w:jc w:val="center"/>
              <w:rPr>
                <w:rFonts w:ascii="宋体" w:hAnsi="宋体" w:cs="Calibri"/>
                <w:kern w:val="0"/>
                <w:sz w:val="22"/>
              </w:rPr>
            </w:pPr>
            <w:r>
              <w:rPr>
                <w:rFonts w:hint="eastAsia" w:ascii="宋体" w:hAnsi="宋体" w:cs="Calibri"/>
                <w:kern w:val="0"/>
                <w:sz w:val="22"/>
              </w:rPr>
              <w:t>实施</w:t>
            </w:r>
            <w:r>
              <w:rPr>
                <w:rFonts w:ascii="宋体" w:hAnsi="宋体" w:cs="Calibri"/>
                <w:kern w:val="0"/>
                <w:sz w:val="22"/>
              </w:rPr>
              <w:t>地点</w:t>
            </w:r>
          </w:p>
        </w:tc>
        <w:tc>
          <w:tcPr>
            <w:tcW w:w="6487" w:type="dxa"/>
            <w:vAlign w:val="center"/>
          </w:tcPr>
          <w:p>
            <w:pPr>
              <w:autoSpaceDE w:val="0"/>
              <w:autoSpaceDN w:val="0"/>
              <w:adjustRightInd w:val="0"/>
              <w:snapToGrid w:val="0"/>
              <w:spacing w:line="400" w:lineRule="exact"/>
              <w:rPr>
                <w:rFonts w:ascii="宋体" w:hAnsi="宋体" w:cs="Calibri"/>
                <w:kern w:val="0"/>
                <w:sz w:val="22"/>
              </w:rPr>
            </w:pPr>
            <w:r>
              <w:rPr>
                <w:rFonts w:hint="eastAsia" w:ascii="宋体" w:hAnsi="宋体" w:cs="Calibri"/>
                <w:kern w:val="0"/>
                <w:sz w:val="22"/>
              </w:rPr>
              <w:t>杭州萧山</w:t>
            </w:r>
            <w:r>
              <w:rPr>
                <w:rFonts w:ascii="宋体" w:hAnsi="宋体" w:cs="Calibri"/>
                <w:kern w:val="0"/>
                <w:sz w:val="22"/>
              </w:rPr>
              <w:t>国际</w:t>
            </w:r>
            <w:r>
              <w:rPr>
                <w:rFonts w:hint="eastAsia" w:ascii="宋体" w:hAnsi="宋体" w:cs="Calibri"/>
                <w:kern w:val="0"/>
                <w:sz w:val="22"/>
              </w:rPr>
              <w:t>机场</w:t>
            </w:r>
            <w:r>
              <w:rPr>
                <w:rFonts w:ascii="宋体" w:hAnsi="宋体" w:cs="Calibri"/>
                <w:sz w:val="22"/>
              </w:rPr>
              <w:t>内</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spacing w:line="400" w:lineRule="exact"/>
              <w:jc w:val="center"/>
              <w:rPr>
                <w:rFonts w:ascii="宋体" w:hAnsi="宋体" w:cs="Calibri"/>
                <w:kern w:val="0"/>
                <w:sz w:val="22"/>
              </w:rPr>
            </w:pPr>
            <w:r>
              <w:rPr>
                <w:rFonts w:ascii="宋体" w:hAnsi="宋体" w:cs="Calibri"/>
                <w:kern w:val="0"/>
                <w:sz w:val="22"/>
              </w:rPr>
              <w:t>1.</w:t>
            </w:r>
            <w:r>
              <w:rPr>
                <w:rFonts w:hint="eastAsia" w:ascii="宋体" w:hAnsi="宋体" w:cs="Calibri"/>
                <w:kern w:val="0"/>
                <w:sz w:val="22"/>
              </w:rPr>
              <w:t>2</w:t>
            </w:r>
          </w:p>
        </w:tc>
        <w:tc>
          <w:tcPr>
            <w:tcW w:w="2004" w:type="dxa"/>
            <w:vAlign w:val="center"/>
          </w:tcPr>
          <w:p>
            <w:pPr>
              <w:autoSpaceDE w:val="0"/>
              <w:autoSpaceDN w:val="0"/>
              <w:adjustRightInd w:val="0"/>
              <w:snapToGrid w:val="0"/>
              <w:spacing w:line="400" w:lineRule="exact"/>
              <w:jc w:val="center"/>
              <w:rPr>
                <w:rFonts w:ascii="宋体" w:hAnsi="宋体" w:cs="Calibri"/>
                <w:kern w:val="0"/>
                <w:sz w:val="22"/>
              </w:rPr>
            </w:pPr>
            <w:r>
              <w:rPr>
                <w:rFonts w:ascii="宋体" w:hAnsi="宋体" w:cs="Calibri"/>
                <w:kern w:val="0"/>
                <w:sz w:val="22"/>
              </w:rPr>
              <w:t>资金来源</w:t>
            </w:r>
          </w:p>
        </w:tc>
        <w:tc>
          <w:tcPr>
            <w:tcW w:w="6487" w:type="dxa"/>
            <w:vAlign w:val="center"/>
          </w:tcPr>
          <w:p>
            <w:pPr>
              <w:autoSpaceDE w:val="0"/>
              <w:autoSpaceDN w:val="0"/>
              <w:adjustRightInd w:val="0"/>
              <w:snapToGrid w:val="0"/>
              <w:spacing w:line="400" w:lineRule="exact"/>
              <w:rPr>
                <w:rFonts w:ascii="宋体" w:hAnsi="宋体" w:cs="Calibri"/>
                <w:kern w:val="0"/>
                <w:sz w:val="22"/>
              </w:rPr>
            </w:pPr>
            <w:r>
              <w:rPr>
                <w:rStyle w:val="114"/>
                <w:rFonts w:hint="eastAsia" w:ascii="宋体" w:hAnsi="宋体" w:cs="Calibri"/>
                <w:sz w:val="22"/>
              </w:rPr>
              <w:t>自筹</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spacing w:line="400" w:lineRule="exact"/>
              <w:jc w:val="center"/>
              <w:rPr>
                <w:rFonts w:ascii="宋体" w:hAnsi="宋体" w:cs="Calibri"/>
                <w:kern w:val="0"/>
                <w:sz w:val="22"/>
              </w:rPr>
            </w:pPr>
            <w:r>
              <w:rPr>
                <w:rFonts w:ascii="宋体" w:hAnsi="宋体" w:cs="Calibri"/>
                <w:kern w:val="0"/>
                <w:sz w:val="22"/>
              </w:rPr>
              <w:t>1.</w:t>
            </w:r>
            <w:r>
              <w:rPr>
                <w:rFonts w:hint="eastAsia" w:ascii="宋体" w:hAnsi="宋体" w:cs="Calibri"/>
                <w:kern w:val="0"/>
                <w:sz w:val="22"/>
              </w:rPr>
              <w:t>3</w:t>
            </w:r>
          </w:p>
        </w:tc>
        <w:tc>
          <w:tcPr>
            <w:tcW w:w="2004" w:type="dxa"/>
            <w:vAlign w:val="center"/>
          </w:tcPr>
          <w:p>
            <w:pPr>
              <w:autoSpaceDE w:val="0"/>
              <w:autoSpaceDN w:val="0"/>
              <w:adjustRightInd w:val="0"/>
              <w:snapToGrid w:val="0"/>
              <w:spacing w:line="400" w:lineRule="exact"/>
              <w:jc w:val="center"/>
              <w:rPr>
                <w:rFonts w:ascii="宋体" w:hAnsi="宋体" w:cs="Calibri"/>
                <w:kern w:val="0"/>
                <w:sz w:val="22"/>
              </w:rPr>
            </w:pPr>
            <w:r>
              <w:rPr>
                <w:rFonts w:ascii="宋体" w:hAnsi="宋体" w:cs="Calibri"/>
                <w:kern w:val="0"/>
                <w:sz w:val="22"/>
              </w:rPr>
              <w:t>招标</w:t>
            </w:r>
            <w:r>
              <w:rPr>
                <w:rFonts w:hint="eastAsia" w:ascii="宋体" w:hAnsi="宋体" w:cs="Calibri"/>
                <w:kern w:val="0"/>
                <w:sz w:val="22"/>
              </w:rPr>
              <w:t>内容</w:t>
            </w:r>
          </w:p>
        </w:tc>
        <w:tc>
          <w:tcPr>
            <w:tcW w:w="6487" w:type="dxa"/>
            <w:vAlign w:val="center"/>
          </w:tcPr>
          <w:p>
            <w:pPr>
              <w:autoSpaceDE w:val="0"/>
              <w:autoSpaceDN w:val="0"/>
              <w:adjustRightInd w:val="0"/>
              <w:snapToGrid w:val="0"/>
              <w:spacing w:line="400" w:lineRule="exact"/>
              <w:rPr>
                <w:rFonts w:ascii="宋体" w:hAnsi="宋体" w:cs="Calibri"/>
                <w:kern w:val="0"/>
                <w:sz w:val="22"/>
              </w:rPr>
            </w:pPr>
            <w:r>
              <w:rPr>
                <w:rFonts w:ascii="宋体" w:hAnsi="宋体" w:cs="Calibri"/>
                <w:kern w:val="0"/>
                <w:sz w:val="22"/>
              </w:rPr>
              <w:t>见招标公告，具体要求详见</w:t>
            </w:r>
            <w:r>
              <w:rPr>
                <w:rFonts w:hint="eastAsia" w:ascii="宋体" w:hAnsi="宋体" w:cs="Calibri"/>
                <w:kern w:val="0"/>
                <w:sz w:val="22"/>
              </w:rPr>
              <w:t>招标文件</w:t>
            </w:r>
            <w:r>
              <w:rPr>
                <w:rFonts w:ascii="宋体" w:hAnsi="宋体" w:cs="Calibri"/>
                <w:kern w:val="0"/>
                <w:sz w:val="22"/>
              </w:rPr>
              <w:t>第</w:t>
            </w:r>
            <w:r>
              <w:rPr>
                <w:rFonts w:hint="eastAsia" w:ascii="宋体" w:hAnsi="宋体" w:cs="Calibri"/>
                <w:kern w:val="0"/>
                <w:sz w:val="22"/>
              </w:rPr>
              <w:t>三</w:t>
            </w:r>
            <w:r>
              <w:rPr>
                <w:rFonts w:ascii="宋体" w:hAnsi="宋体" w:cs="Calibri"/>
                <w:kern w:val="0"/>
                <w:sz w:val="22"/>
              </w:rPr>
              <w:t>章“</w:t>
            </w:r>
            <w:r>
              <w:rPr>
                <w:rFonts w:hint="eastAsia" w:ascii="宋体" w:hAnsi="宋体" w:cs="Calibri"/>
                <w:kern w:val="0"/>
                <w:sz w:val="22"/>
              </w:rPr>
              <w:t>服务技术标准及要求</w:t>
            </w:r>
            <w:r>
              <w:rPr>
                <w:rFonts w:ascii="宋体" w:hAnsi="宋体" w:cs="Calibri"/>
                <w:kern w:val="0"/>
                <w:sz w:val="22"/>
              </w:rPr>
              <w:t>”</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spacing w:line="400" w:lineRule="exact"/>
              <w:jc w:val="center"/>
              <w:rPr>
                <w:rFonts w:ascii="宋体" w:hAnsi="宋体" w:cs="Calibri"/>
                <w:kern w:val="0"/>
                <w:sz w:val="22"/>
              </w:rPr>
            </w:pPr>
            <w:r>
              <w:rPr>
                <w:rFonts w:ascii="宋体" w:hAnsi="宋体" w:cs="Calibri"/>
                <w:kern w:val="0"/>
                <w:sz w:val="22"/>
              </w:rPr>
              <w:t>1.</w:t>
            </w:r>
            <w:r>
              <w:rPr>
                <w:rFonts w:hint="eastAsia" w:ascii="宋体" w:hAnsi="宋体" w:cs="Calibri"/>
                <w:kern w:val="0"/>
                <w:sz w:val="22"/>
              </w:rPr>
              <w:t>4</w:t>
            </w:r>
          </w:p>
        </w:tc>
        <w:tc>
          <w:tcPr>
            <w:tcW w:w="2004" w:type="dxa"/>
            <w:vAlign w:val="center"/>
          </w:tcPr>
          <w:p>
            <w:pPr>
              <w:autoSpaceDE w:val="0"/>
              <w:autoSpaceDN w:val="0"/>
              <w:adjustRightInd w:val="0"/>
              <w:snapToGrid w:val="0"/>
              <w:spacing w:line="400" w:lineRule="exact"/>
              <w:jc w:val="center"/>
              <w:rPr>
                <w:rFonts w:ascii="宋体" w:hAnsi="宋体" w:cs="Calibri"/>
                <w:kern w:val="0"/>
                <w:sz w:val="22"/>
              </w:rPr>
            </w:pPr>
            <w:r>
              <w:rPr>
                <w:rFonts w:ascii="宋体" w:hAnsi="宋体" w:cs="Calibri"/>
                <w:kern w:val="0"/>
                <w:sz w:val="22"/>
              </w:rPr>
              <w:t>招标方式</w:t>
            </w:r>
          </w:p>
        </w:tc>
        <w:tc>
          <w:tcPr>
            <w:tcW w:w="6487" w:type="dxa"/>
            <w:vAlign w:val="center"/>
          </w:tcPr>
          <w:p>
            <w:pPr>
              <w:autoSpaceDE w:val="0"/>
              <w:autoSpaceDN w:val="0"/>
              <w:adjustRightInd w:val="0"/>
              <w:snapToGrid w:val="0"/>
              <w:spacing w:line="400" w:lineRule="exact"/>
              <w:rPr>
                <w:rFonts w:ascii="宋体" w:hAnsi="宋体" w:cs="Calibri"/>
                <w:kern w:val="0"/>
                <w:sz w:val="22"/>
              </w:rPr>
            </w:pPr>
            <w:r>
              <w:rPr>
                <w:rFonts w:ascii="宋体" w:hAnsi="宋体" w:cs="Calibri"/>
                <w:kern w:val="0"/>
                <w:sz w:val="22"/>
              </w:rPr>
              <w:t>公开招标</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spacing w:line="400" w:lineRule="exact"/>
              <w:jc w:val="center"/>
              <w:rPr>
                <w:rFonts w:ascii="宋体" w:hAnsi="宋体" w:cs="Calibri"/>
                <w:kern w:val="0"/>
                <w:sz w:val="22"/>
              </w:rPr>
            </w:pPr>
            <w:r>
              <w:rPr>
                <w:rFonts w:ascii="宋体" w:hAnsi="宋体" w:cs="Calibri"/>
                <w:kern w:val="0"/>
                <w:sz w:val="22"/>
              </w:rPr>
              <w:t>1.</w:t>
            </w:r>
            <w:r>
              <w:rPr>
                <w:rFonts w:hint="eastAsia" w:ascii="宋体" w:hAnsi="宋体" w:cs="Calibri"/>
                <w:kern w:val="0"/>
                <w:sz w:val="22"/>
              </w:rPr>
              <w:t>5</w:t>
            </w:r>
          </w:p>
        </w:tc>
        <w:tc>
          <w:tcPr>
            <w:tcW w:w="2004" w:type="dxa"/>
            <w:vAlign w:val="center"/>
          </w:tcPr>
          <w:p>
            <w:pPr>
              <w:autoSpaceDE w:val="0"/>
              <w:autoSpaceDN w:val="0"/>
              <w:adjustRightInd w:val="0"/>
              <w:snapToGrid w:val="0"/>
              <w:spacing w:line="400" w:lineRule="exact"/>
              <w:jc w:val="center"/>
              <w:rPr>
                <w:rFonts w:ascii="宋体" w:hAnsi="宋体" w:cs="Calibri"/>
                <w:kern w:val="0"/>
                <w:sz w:val="22"/>
              </w:rPr>
            </w:pPr>
            <w:r>
              <w:rPr>
                <w:rFonts w:ascii="宋体" w:hAnsi="宋体" w:cs="Calibri"/>
                <w:kern w:val="0"/>
                <w:sz w:val="22"/>
              </w:rPr>
              <w:t>资格审查</w:t>
            </w:r>
          </w:p>
        </w:tc>
        <w:tc>
          <w:tcPr>
            <w:tcW w:w="6487" w:type="dxa"/>
            <w:vAlign w:val="center"/>
          </w:tcPr>
          <w:p>
            <w:pPr>
              <w:autoSpaceDE w:val="0"/>
              <w:autoSpaceDN w:val="0"/>
              <w:adjustRightInd w:val="0"/>
              <w:snapToGrid w:val="0"/>
              <w:spacing w:line="400" w:lineRule="exact"/>
              <w:rPr>
                <w:rFonts w:ascii="宋体" w:hAnsi="宋体" w:cs="Calibri"/>
                <w:kern w:val="0"/>
                <w:sz w:val="22"/>
              </w:rPr>
            </w:pPr>
            <w:r>
              <w:rPr>
                <w:rFonts w:ascii="宋体" w:hAnsi="宋体" w:cs="Calibri"/>
                <w:kern w:val="0"/>
                <w:sz w:val="22"/>
              </w:rPr>
              <w:t>采用资格后审</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spacing w:line="400" w:lineRule="exact"/>
              <w:jc w:val="center"/>
              <w:rPr>
                <w:rFonts w:ascii="宋体" w:hAnsi="宋体" w:cs="Calibri"/>
                <w:kern w:val="0"/>
                <w:sz w:val="22"/>
              </w:rPr>
            </w:pPr>
            <w:r>
              <w:rPr>
                <w:rFonts w:ascii="宋体" w:hAnsi="宋体" w:cs="Calibri"/>
                <w:kern w:val="0"/>
                <w:sz w:val="22"/>
              </w:rPr>
              <w:t>1.</w:t>
            </w:r>
            <w:r>
              <w:rPr>
                <w:rFonts w:hint="eastAsia" w:ascii="宋体" w:hAnsi="宋体" w:cs="Calibri"/>
                <w:kern w:val="0"/>
                <w:sz w:val="22"/>
              </w:rPr>
              <w:t>6</w:t>
            </w:r>
          </w:p>
        </w:tc>
        <w:tc>
          <w:tcPr>
            <w:tcW w:w="2004" w:type="dxa"/>
            <w:vAlign w:val="center"/>
          </w:tcPr>
          <w:p>
            <w:pPr>
              <w:autoSpaceDE w:val="0"/>
              <w:autoSpaceDN w:val="0"/>
              <w:adjustRightInd w:val="0"/>
              <w:snapToGrid w:val="0"/>
              <w:spacing w:line="400" w:lineRule="exact"/>
              <w:jc w:val="center"/>
              <w:rPr>
                <w:rFonts w:ascii="宋体" w:hAnsi="宋体" w:cs="Calibri"/>
                <w:kern w:val="0"/>
                <w:sz w:val="22"/>
              </w:rPr>
            </w:pPr>
            <w:r>
              <w:rPr>
                <w:rFonts w:ascii="宋体" w:hAnsi="宋体" w:cs="Calibri"/>
                <w:kern w:val="0"/>
                <w:sz w:val="22"/>
              </w:rPr>
              <w:t>投标人资质条件、能力和信誉</w:t>
            </w:r>
          </w:p>
        </w:tc>
        <w:tc>
          <w:tcPr>
            <w:tcW w:w="6487" w:type="dxa"/>
            <w:vAlign w:val="center"/>
          </w:tcPr>
          <w:p>
            <w:pPr>
              <w:autoSpaceDE w:val="0"/>
              <w:autoSpaceDN w:val="0"/>
              <w:adjustRightInd w:val="0"/>
              <w:snapToGrid w:val="0"/>
              <w:spacing w:line="400" w:lineRule="exact"/>
              <w:rPr>
                <w:rFonts w:ascii="宋体" w:hAnsi="宋体" w:cs="Calibri"/>
                <w:color w:val="FF0000"/>
                <w:kern w:val="0"/>
                <w:sz w:val="22"/>
              </w:rPr>
            </w:pPr>
            <w:r>
              <w:rPr>
                <w:rFonts w:ascii="宋体" w:hAnsi="宋体" w:cs="Calibri"/>
                <w:kern w:val="0"/>
                <w:sz w:val="22"/>
              </w:rPr>
              <w:t>详见招标公告</w:t>
            </w:r>
            <w:r>
              <w:rPr>
                <w:rFonts w:hint="eastAsia" w:ascii="宋体" w:hAnsi="宋体" w:cs="Calibri"/>
                <w:kern w:val="0"/>
                <w:sz w:val="22"/>
              </w:rPr>
              <w:t>“</w:t>
            </w:r>
            <w:r>
              <w:rPr>
                <w:rFonts w:hint="eastAsia" w:ascii="宋体" w:hAnsi="宋体" w:cs="黑体"/>
                <w:kern w:val="0"/>
                <w:sz w:val="22"/>
              </w:rPr>
              <w:t>投标人资格要求”</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spacing w:line="400" w:lineRule="exact"/>
              <w:jc w:val="center"/>
              <w:rPr>
                <w:rFonts w:ascii="宋体" w:hAnsi="宋体" w:cs="Calibri"/>
                <w:kern w:val="0"/>
                <w:sz w:val="22"/>
              </w:rPr>
            </w:pPr>
            <w:r>
              <w:rPr>
                <w:rFonts w:ascii="宋体" w:hAnsi="宋体" w:cs="Calibri"/>
                <w:kern w:val="0"/>
                <w:sz w:val="22"/>
              </w:rPr>
              <w:t>1.</w:t>
            </w:r>
            <w:r>
              <w:rPr>
                <w:rFonts w:hint="eastAsia" w:ascii="宋体" w:hAnsi="宋体" w:cs="Calibri"/>
                <w:kern w:val="0"/>
                <w:sz w:val="22"/>
              </w:rPr>
              <w:t>7</w:t>
            </w:r>
          </w:p>
        </w:tc>
        <w:tc>
          <w:tcPr>
            <w:tcW w:w="2004" w:type="dxa"/>
            <w:vAlign w:val="center"/>
          </w:tcPr>
          <w:p>
            <w:pPr>
              <w:autoSpaceDE w:val="0"/>
              <w:autoSpaceDN w:val="0"/>
              <w:adjustRightInd w:val="0"/>
              <w:snapToGrid w:val="0"/>
              <w:spacing w:line="400" w:lineRule="exact"/>
              <w:jc w:val="center"/>
              <w:rPr>
                <w:rFonts w:ascii="宋体" w:hAnsi="宋体" w:cs="Calibri"/>
                <w:kern w:val="0"/>
                <w:sz w:val="22"/>
              </w:rPr>
            </w:pPr>
            <w:r>
              <w:rPr>
                <w:rFonts w:hint="eastAsia" w:ascii="宋体" w:hAnsi="宋体" w:cs="Calibri"/>
                <w:kern w:val="0"/>
                <w:sz w:val="22"/>
              </w:rPr>
              <w:t>服务期</w:t>
            </w:r>
          </w:p>
        </w:tc>
        <w:tc>
          <w:tcPr>
            <w:tcW w:w="6487" w:type="dxa"/>
            <w:vAlign w:val="center"/>
          </w:tcPr>
          <w:p>
            <w:pPr>
              <w:spacing w:line="400" w:lineRule="exact"/>
              <w:rPr>
                <w:rFonts w:ascii="宋体" w:hAnsi="宋体"/>
                <w:color w:val="000000"/>
                <w:sz w:val="22"/>
              </w:rPr>
            </w:pPr>
            <w:r>
              <w:rPr>
                <w:rFonts w:hint="eastAsia" w:ascii="宋体" w:hAnsi="宋体"/>
                <w:color w:val="000000"/>
                <w:sz w:val="22"/>
              </w:rPr>
              <w:t>20</w:t>
            </w:r>
            <w:r>
              <w:rPr>
                <w:rFonts w:ascii="宋体" w:hAnsi="宋体"/>
                <w:color w:val="000000"/>
                <w:sz w:val="22"/>
              </w:rPr>
              <w:t>20</w:t>
            </w:r>
            <w:r>
              <w:rPr>
                <w:rFonts w:hint="eastAsia" w:ascii="宋体" w:hAnsi="宋体"/>
                <w:color w:val="000000"/>
                <w:sz w:val="22"/>
              </w:rPr>
              <w:t>年1月1日-20</w:t>
            </w:r>
            <w:r>
              <w:rPr>
                <w:rFonts w:ascii="宋体" w:hAnsi="宋体"/>
                <w:color w:val="000000"/>
                <w:sz w:val="22"/>
              </w:rPr>
              <w:t>22</w:t>
            </w:r>
            <w:r>
              <w:rPr>
                <w:rFonts w:hint="eastAsia" w:ascii="宋体" w:hAnsi="宋体"/>
                <w:color w:val="000000"/>
                <w:sz w:val="22"/>
              </w:rPr>
              <w:t>年12月31日</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spacing w:line="400" w:lineRule="exact"/>
              <w:jc w:val="center"/>
              <w:rPr>
                <w:rFonts w:ascii="宋体" w:hAnsi="宋体" w:cs="Calibri"/>
                <w:kern w:val="0"/>
                <w:sz w:val="22"/>
              </w:rPr>
            </w:pPr>
            <w:r>
              <w:rPr>
                <w:rFonts w:hint="eastAsia" w:ascii="宋体" w:hAnsi="宋体" w:cs="Calibri"/>
                <w:kern w:val="0"/>
                <w:sz w:val="22"/>
              </w:rPr>
              <w:t>1.8</w:t>
            </w:r>
          </w:p>
        </w:tc>
        <w:tc>
          <w:tcPr>
            <w:tcW w:w="2004" w:type="dxa"/>
            <w:vAlign w:val="center"/>
          </w:tcPr>
          <w:p>
            <w:pPr>
              <w:autoSpaceDE w:val="0"/>
              <w:autoSpaceDN w:val="0"/>
              <w:adjustRightInd w:val="0"/>
              <w:snapToGrid w:val="0"/>
              <w:spacing w:line="400" w:lineRule="exact"/>
              <w:jc w:val="center"/>
              <w:rPr>
                <w:rFonts w:ascii="宋体" w:hAnsi="宋体" w:cs="Calibri"/>
                <w:kern w:val="0"/>
                <w:sz w:val="22"/>
              </w:rPr>
            </w:pPr>
            <w:r>
              <w:rPr>
                <w:rFonts w:hint="eastAsia" w:ascii="宋体" w:hAnsi="宋体" w:cs="Calibri"/>
                <w:kern w:val="0"/>
                <w:sz w:val="22"/>
              </w:rPr>
              <w:t>质量要求</w:t>
            </w:r>
          </w:p>
        </w:tc>
        <w:tc>
          <w:tcPr>
            <w:tcW w:w="6487" w:type="dxa"/>
            <w:vAlign w:val="center"/>
          </w:tcPr>
          <w:p>
            <w:pPr>
              <w:spacing w:line="400" w:lineRule="exact"/>
              <w:rPr>
                <w:rFonts w:ascii="宋体" w:hAnsi="宋体"/>
                <w:color w:val="000000"/>
                <w:sz w:val="22"/>
              </w:rPr>
            </w:pPr>
            <w:r>
              <w:rPr>
                <w:rFonts w:hint="eastAsia" w:ascii="宋体" w:hAnsi="宋体"/>
                <w:iCs/>
                <w:sz w:val="22"/>
              </w:rPr>
              <w:t>符</w:t>
            </w:r>
            <w:r>
              <w:rPr>
                <w:rFonts w:hint="eastAsia" w:ascii="宋体" w:hAnsi="宋体"/>
                <w:sz w:val="22"/>
              </w:rPr>
              <w:t>合国家有关招投标要求</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spacing w:line="400" w:lineRule="exact"/>
              <w:jc w:val="center"/>
              <w:rPr>
                <w:rFonts w:ascii="宋体" w:hAnsi="宋体" w:cs="Calibri"/>
                <w:kern w:val="0"/>
                <w:sz w:val="22"/>
              </w:rPr>
            </w:pPr>
            <w:r>
              <w:rPr>
                <w:rFonts w:ascii="宋体" w:hAnsi="宋体" w:cs="Calibri"/>
                <w:kern w:val="0"/>
                <w:sz w:val="22"/>
              </w:rPr>
              <w:t>1.</w:t>
            </w:r>
            <w:r>
              <w:rPr>
                <w:rFonts w:hint="eastAsia" w:ascii="宋体" w:hAnsi="宋体" w:cs="Calibri"/>
                <w:kern w:val="0"/>
                <w:sz w:val="22"/>
              </w:rPr>
              <w:t>9</w:t>
            </w:r>
            <w:r>
              <w:rPr>
                <w:rFonts w:ascii="宋体" w:hAnsi="宋体" w:cs="Calibri"/>
                <w:kern w:val="0"/>
                <w:sz w:val="22"/>
              </w:rPr>
              <w:t>.1</w:t>
            </w:r>
          </w:p>
        </w:tc>
        <w:tc>
          <w:tcPr>
            <w:tcW w:w="2004" w:type="dxa"/>
            <w:vAlign w:val="center"/>
          </w:tcPr>
          <w:p>
            <w:pPr>
              <w:autoSpaceDE w:val="0"/>
              <w:autoSpaceDN w:val="0"/>
              <w:adjustRightInd w:val="0"/>
              <w:snapToGrid w:val="0"/>
              <w:spacing w:line="400" w:lineRule="exact"/>
              <w:jc w:val="center"/>
              <w:rPr>
                <w:rFonts w:ascii="宋体" w:hAnsi="宋体" w:cs="Calibri"/>
                <w:kern w:val="0"/>
                <w:sz w:val="22"/>
              </w:rPr>
            </w:pPr>
            <w:r>
              <w:rPr>
                <w:rFonts w:ascii="宋体" w:hAnsi="宋体" w:cs="Calibri"/>
                <w:kern w:val="0"/>
                <w:sz w:val="22"/>
              </w:rPr>
              <w:t>踏勘现场</w:t>
            </w:r>
          </w:p>
        </w:tc>
        <w:tc>
          <w:tcPr>
            <w:tcW w:w="6487" w:type="dxa"/>
            <w:vAlign w:val="center"/>
          </w:tcPr>
          <w:p>
            <w:pPr>
              <w:autoSpaceDE w:val="0"/>
              <w:autoSpaceDN w:val="0"/>
              <w:adjustRightInd w:val="0"/>
              <w:snapToGrid w:val="0"/>
              <w:spacing w:line="400" w:lineRule="exact"/>
              <w:rPr>
                <w:rFonts w:ascii="宋体" w:hAnsi="宋体" w:cs="Calibri"/>
                <w:kern w:val="0"/>
                <w:sz w:val="22"/>
              </w:rPr>
            </w:pPr>
            <w:r>
              <w:rPr>
                <w:rFonts w:ascii="宋体" w:hAnsi="宋体" w:cs="Calibri"/>
                <w:kern w:val="0"/>
                <w:sz w:val="22"/>
              </w:rPr>
              <w:sym w:font="Wingdings" w:char="F0FE"/>
            </w:r>
            <w:r>
              <w:rPr>
                <w:rFonts w:ascii="宋体" w:hAnsi="宋体" w:cs="Calibri"/>
                <w:kern w:val="0"/>
                <w:sz w:val="22"/>
              </w:rPr>
              <w:t>不组织</w:t>
            </w:r>
          </w:p>
          <w:p>
            <w:pPr>
              <w:autoSpaceDE w:val="0"/>
              <w:autoSpaceDN w:val="0"/>
              <w:adjustRightInd w:val="0"/>
              <w:snapToGrid w:val="0"/>
              <w:spacing w:line="400" w:lineRule="exact"/>
              <w:rPr>
                <w:rFonts w:ascii="宋体" w:hAnsi="宋体" w:cs="Calibri"/>
                <w:kern w:val="0"/>
                <w:sz w:val="22"/>
              </w:rPr>
            </w:pPr>
            <w:r>
              <w:rPr>
                <w:rFonts w:ascii="宋体" w:hAnsi="宋体" w:cs="Calibri"/>
                <w:kern w:val="0"/>
                <w:sz w:val="22"/>
              </w:rPr>
              <w:t>□组织，踏勘时间：</w:t>
            </w:r>
          </w:p>
          <w:p>
            <w:pPr>
              <w:autoSpaceDE w:val="0"/>
              <w:autoSpaceDN w:val="0"/>
              <w:adjustRightInd w:val="0"/>
              <w:snapToGrid w:val="0"/>
              <w:spacing w:line="400" w:lineRule="exact"/>
              <w:rPr>
                <w:rFonts w:ascii="宋体" w:hAnsi="宋体" w:cs="Calibri"/>
                <w:kern w:val="0"/>
                <w:sz w:val="22"/>
              </w:rPr>
            </w:pPr>
            <w:r>
              <w:rPr>
                <w:rFonts w:ascii="宋体" w:hAnsi="宋体" w:cs="Calibri"/>
                <w:kern w:val="0"/>
                <w:sz w:val="22"/>
              </w:rPr>
              <w:t xml:space="preserve">踏勘集中地点： </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spacing w:line="400" w:lineRule="exact"/>
              <w:jc w:val="center"/>
              <w:rPr>
                <w:rFonts w:ascii="宋体" w:hAnsi="宋体" w:cs="Calibri"/>
                <w:kern w:val="0"/>
                <w:sz w:val="22"/>
              </w:rPr>
            </w:pPr>
            <w:r>
              <w:rPr>
                <w:rFonts w:ascii="宋体" w:hAnsi="宋体" w:cs="Calibri"/>
                <w:kern w:val="0"/>
                <w:sz w:val="22"/>
              </w:rPr>
              <w:t>1.</w:t>
            </w:r>
            <w:r>
              <w:rPr>
                <w:rFonts w:hint="eastAsia" w:ascii="宋体" w:hAnsi="宋体" w:cs="Calibri"/>
                <w:kern w:val="0"/>
                <w:sz w:val="22"/>
              </w:rPr>
              <w:t>10</w:t>
            </w:r>
          </w:p>
        </w:tc>
        <w:tc>
          <w:tcPr>
            <w:tcW w:w="2004" w:type="dxa"/>
            <w:vAlign w:val="center"/>
          </w:tcPr>
          <w:p>
            <w:pPr>
              <w:autoSpaceDE w:val="0"/>
              <w:autoSpaceDN w:val="0"/>
              <w:adjustRightInd w:val="0"/>
              <w:snapToGrid w:val="0"/>
              <w:spacing w:line="400" w:lineRule="exact"/>
              <w:jc w:val="center"/>
              <w:rPr>
                <w:rFonts w:ascii="宋体" w:hAnsi="宋体" w:cs="Calibri"/>
                <w:kern w:val="0"/>
                <w:sz w:val="22"/>
              </w:rPr>
            </w:pPr>
            <w:r>
              <w:rPr>
                <w:rFonts w:ascii="宋体" w:hAnsi="宋体" w:cs="Calibri"/>
                <w:kern w:val="0"/>
                <w:sz w:val="22"/>
              </w:rPr>
              <w:t>投标预备会</w:t>
            </w:r>
          </w:p>
        </w:tc>
        <w:tc>
          <w:tcPr>
            <w:tcW w:w="6487" w:type="dxa"/>
            <w:vAlign w:val="center"/>
          </w:tcPr>
          <w:p>
            <w:pPr>
              <w:autoSpaceDE w:val="0"/>
              <w:autoSpaceDN w:val="0"/>
              <w:adjustRightInd w:val="0"/>
              <w:snapToGrid w:val="0"/>
              <w:spacing w:line="400" w:lineRule="exact"/>
              <w:rPr>
                <w:rFonts w:ascii="宋体" w:hAnsi="宋体" w:cs="Calibri"/>
                <w:kern w:val="0"/>
                <w:sz w:val="22"/>
              </w:rPr>
            </w:pPr>
            <w:r>
              <w:rPr>
                <w:rFonts w:ascii="宋体" w:hAnsi="宋体" w:cs="Calibri"/>
                <w:kern w:val="0"/>
                <w:sz w:val="22"/>
              </w:rPr>
              <w:sym w:font="Wingdings" w:char="F0FE"/>
            </w:r>
            <w:r>
              <w:rPr>
                <w:rFonts w:ascii="宋体" w:hAnsi="宋体" w:cs="Calibri"/>
                <w:kern w:val="0"/>
                <w:sz w:val="22"/>
              </w:rPr>
              <w:t>不召开</w:t>
            </w:r>
          </w:p>
          <w:p>
            <w:pPr>
              <w:autoSpaceDE w:val="0"/>
              <w:autoSpaceDN w:val="0"/>
              <w:adjustRightInd w:val="0"/>
              <w:snapToGrid w:val="0"/>
              <w:spacing w:line="400" w:lineRule="exact"/>
              <w:rPr>
                <w:rFonts w:ascii="宋体" w:hAnsi="宋体" w:cs="Calibri"/>
                <w:kern w:val="0"/>
                <w:sz w:val="22"/>
              </w:rPr>
            </w:pPr>
            <w:r>
              <w:rPr>
                <w:rFonts w:ascii="宋体" w:hAnsi="宋体" w:cs="Calibri"/>
                <w:kern w:val="0"/>
                <w:sz w:val="22"/>
              </w:rPr>
              <w:t>□召开，召开时间：</w:t>
            </w:r>
          </w:p>
          <w:p>
            <w:pPr>
              <w:autoSpaceDE w:val="0"/>
              <w:autoSpaceDN w:val="0"/>
              <w:adjustRightInd w:val="0"/>
              <w:snapToGrid w:val="0"/>
              <w:spacing w:line="400" w:lineRule="exact"/>
              <w:rPr>
                <w:rFonts w:ascii="宋体" w:hAnsi="宋体" w:cs="Calibri"/>
                <w:kern w:val="0"/>
                <w:sz w:val="22"/>
              </w:rPr>
            </w:pPr>
            <w:r>
              <w:rPr>
                <w:rFonts w:ascii="宋体" w:hAnsi="宋体" w:cs="Calibri"/>
                <w:kern w:val="0"/>
                <w:sz w:val="22"/>
              </w:rPr>
              <w:t xml:space="preserve">召开地点： </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spacing w:line="400" w:lineRule="exact"/>
              <w:jc w:val="center"/>
              <w:rPr>
                <w:rFonts w:ascii="宋体" w:hAnsi="宋体" w:cs="Calibri"/>
                <w:kern w:val="0"/>
                <w:sz w:val="22"/>
              </w:rPr>
            </w:pPr>
            <w:r>
              <w:rPr>
                <w:rFonts w:ascii="宋体" w:hAnsi="宋体" w:cs="Calibri"/>
                <w:kern w:val="0"/>
                <w:sz w:val="22"/>
              </w:rPr>
              <w:t>2.2.1</w:t>
            </w:r>
          </w:p>
        </w:tc>
        <w:tc>
          <w:tcPr>
            <w:tcW w:w="2004" w:type="dxa"/>
            <w:vAlign w:val="center"/>
          </w:tcPr>
          <w:p>
            <w:pPr>
              <w:autoSpaceDE w:val="0"/>
              <w:autoSpaceDN w:val="0"/>
              <w:adjustRightInd w:val="0"/>
              <w:snapToGrid w:val="0"/>
              <w:spacing w:line="400" w:lineRule="exact"/>
              <w:jc w:val="center"/>
              <w:rPr>
                <w:rFonts w:ascii="宋体" w:hAnsi="宋体" w:cs="Calibri"/>
                <w:kern w:val="0"/>
                <w:sz w:val="22"/>
              </w:rPr>
            </w:pPr>
            <w:r>
              <w:rPr>
                <w:rFonts w:ascii="宋体" w:hAnsi="宋体" w:cs="Calibri"/>
                <w:kern w:val="0"/>
                <w:sz w:val="22"/>
              </w:rPr>
              <w:t>投标人提出问题的截止时间</w:t>
            </w:r>
          </w:p>
        </w:tc>
        <w:tc>
          <w:tcPr>
            <w:tcW w:w="6487" w:type="dxa"/>
            <w:vAlign w:val="center"/>
          </w:tcPr>
          <w:p>
            <w:pPr>
              <w:autoSpaceDE w:val="0"/>
              <w:autoSpaceDN w:val="0"/>
              <w:adjustRightInd w:val="0"/>
              <w:snapToGrid w:val="0"/>
              <w:spacing w:line="400" w:lineRule="exact"/>
              <w:rPr>
                <w:rFonts w:ascii="宋体" w:hAnsi="宋体" w:cs="Calibri"/>
                <w:kern w:val="0"/>
                <w:sz w:val="22"/>
              </w:rPr>
            </w:pPr>
            <w:r>
              <w:rPr>
                <w:rFonts w:ascii="宋体" w:hAnsi="宋体" w:cs="Calibri"/>
                <w:kern w:val="0"/>
                <w:sz w:val="22"/>
              </w:rPr>
              <w:t>2019年</w:t>
            </w:r>
            <w:r>
              <w:rPr>
                <w:rFonts w:hint="eastAsia" w:ascii="宋体" w:hAnsi="宋体" w:cs="Calibri"/>
                <w:kern w:val="0"/>
                <w:sz w:val="22"/>
                <w:lang w:val="en-US" w:eastAsia="zh-CN"/>
              </w:rPr>
              <w:t>12</w:t>
            </w:r>
            <w:r>
              <w:rPr>
                <w:rFonts w:ascii="宋体" w:hAnsi="宋体" w:cs="Calibri"/>
                <w:kern w:val="0"/>
                <w:sz w:val="22"/>
              </w:rPr>
              <w:t>月</w:t>
            </w:r>
            <w:r>
              <w:rPr>
                <w:rFonts w:hint="eastAsia" w:ascii="宋体" w:hAnsi="宋体" w:cs="Calibri"/>
                <w:kern w:val="0"/>
                <w:sz w:val="22"/>
                <w:lang w:val="en-US" w:eastAsia="zh-CN"/>
              </w:rPr>
              <w:t>4</w:t>
            </w:r>
            <w:r>
              <w:rPr>
                <w:rFonts w:ascii="宋体" w:hAnsi="宋体" w:cs="Calibri"/>
                <w:kern w:val="0"/>
                <w:sz w:val="22"/>
              </w:rPr>
              <w:t>日</w:t>
            </w:r>
            <w:r>
              <w:rPr>
                <w:rFonts w:hint="eastAsia" w:ascii="宋体" w:hAnsi="宋体" w:cs="Calibri"/>
                <w:kern w:val="0"/>
                <w:sz w:val="22"/>
              </w:rPr>
              <w:t>上午</w:t>
            </w:r>
            <w:r>
              <w:rPr>
                <w:rFonts w:ascii="宋体" w:hAnsi="宋体" w:cs="Calibri"/>
                <w:kern w:val="0"/>
                <w:sz w:val="22"/>
              </w:rPr>
              <w:t>11</w:t>
            </w:r>
            <w:r>
              <w:rPr>
                <w:rFonts w:hint="eastAsia" w:ascii="宋体" w:hAnsi="宋体" w:cs="Calibri"/>
                <w:kern w:val="0"/>
                <w:sz w:val="22"/>
              </w:rPr>
              <w:t>点</w:t>
            </w:r>
            <w:r>
              <w:rPr>
                <w:rFonts w:ascii="宋体" w:hAnsi="宋体" w:cs="Calibri"/>
                <w:kern w:val="0"/>
                <w:sz w:val="22"/>
              </w:rPr>
              <w:t>30</w:t>
            </w:r>
            <w:r>
              <w:rPr>
                <w:rFonts w:hint="eastAsia" w:ascii="宋体" w:hAnsi="宋体" w:cs="Calibri"/>
                <w:kern w:val="0"/>
                <w:sz w:val="22"/>
              </w:rPr>
              <w:t>分</w:t>
            </w:r>
            <w:r>
              <w:rPr>
                <w:rFonts w:ascii="宋体" w:hAnsi="宋体" w:cs="Calibri"/>
                <w:kern w:val="0"/>
                <w:sz w:val="22"/>
              </w:rPr>
              <w:t>前，以E-mail及书面（传真）形式提交</w:t>
            </w:r>
            <w:r>
              <w:rPr>
                <w:rFonts w:hint="eastAsia" w:ascii="宋体" w:hAnsi="宋体" w:cs="Calibri"/>
                <w:kern w:val="0"/>
                <w:sz w:val="22"/>
              </w:rPr>
              <w:t>投标联系人（</w:t>
            </w:r>
            <w:r>
              <w:rPr>
                <w:rFonts w:hint="eastAsia" w:ascii="宋体" w:hAnsi="宋体" w:cs="宋体"/>
                <w:kern w:val="0"/>
                <w:sz w:val="22"/>
              </w:rPr>
              <w:t>投标联系人:贾思勰，</w:t>
            </w:r>
            <w:r>
              <w:rPr>
                <w:rFonts w:hint="eastAsia" w:ascii="宋体" w:hAnsi="宋体" w:cs="Calibri"/>
                <w:kern w:val="0"/>
                <w:sz w:val="22"/>
              </w:rPr>
              <w:t>联系电话：0571-8</w:t>
            </w:r>
            <w:r>
              <w:rPr>
                <w:rFonts w:ascii="宋体" w:hAnsi="宋体" w:cs="Calibri"/>
                <w:kern w:val="0"/>
                <w:sz w:val="22"/>
              </w:rPr>
              <w:t>3837612</w:t>
            </w:r>
            <w:r>
              <w:rPr>
                <w:rFonts w:hint="eastAsia" w:ascii="宋体" w:hAnsi="宋体" w:cs="Calibri"/>
                <w:kern w:val="0"/>
                <w:sz w:val="22"/>
              </w:rPr>
              <w:t>，邮箱：</w:t>
            </w:r>
            <w:r>
              <w:rPr>
                <w:rFonts w:hint="eastAsia" w:ascii="宋体" w:hAnsi="宋体" w:cs="宋体"/>
                <w:kern w:val="0"/>
                <w:sz w:val="22"/>
              </w:rPr>
              <w:t>zbzx@hzairport.com</w:t>
            </w:r>
            <w:r>
              <w:rPr>
                <w:rFonts w:hint="eastAsia" w:ascii="宋体" w:hAnsi="宋体" w:cs="Calibri"/>
                <w:kern w:val="0"/>
                <w:sz w:val="22"/>
              </w:rPr>
              <w:t>），</w:t>
            </w:r>
            <w:r>
              <w:rPr>
                <w:rFonts w:ascii="宋体" w:hAnsi="宋体" w:cs="Calibri"/>
                <w:kern w:val="0"/>
                <w:sz w:val="22"/>
              </w:rPr>
              <w:t>投标人必须在规定时间前提出对招标文件的疑问，否则招标人有权拒绝接收和拒绝回答未在截止时间前提出的疑问。</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spacing w:line="400" w:lineRule="exact"/>
              <w:jc w:val="center"/>
              <w:rPr>
                <w:rFonts w:ascii="宋体" w:hAnsi="宋体" w:cs="Calibri"/>
                <w:kern w:val="0"/>
                <w:sz w:val="22"/>
              </w:rPr>
            </w:pPr>
            <w:r>
              <w:rPr>
                <w:rFonts w:ascii="宋体" w:hAnsi="宋体" w:cs="Calibri"/>
                <w:kern w:val="0"/>
                <w:sz w:val="22"/>
              </w:rPr>
              <w:t>2.2.2</w:t>
            </w:r>
          </w:p>
        </w:tc>
        <w:tc>
          <w:tcPr>
            <w:tcW w:w="2004" w:type="dxa"/>
            <w:vAlign w:val="center"/>
          </w:tcPr>
          <w:p>
            <w:pPr>
              <w:autoSpaceDE w:val="0"/>
              <w:autoSpaceDN w:val="0"/>
              <w:adjustRightInd w:val="0"/>
              <w:snapToGrid w:val="0"/>
              <w:spacing w:line="400" w:lineRule="exact"/>
              <w:jc w:val="center"/>
              <w:rPr>
                <w:rFonts w:ascii="宋体" w:hAnsi="宋体" w:cs="Calibri"/>
                <w:kern w:val="0"/>
                <w:sz w:val="22"/>
              </w:rPr>
            </w:pPr>
            <w:r>
              <w:rPr>
                <w:rFonts w:ascii="宋体" w:hAnsi="宋体" w:cs="Calibri"/>
                <w:kern w:val="0"/>
                <w:sz w:val="22"/>
              </w:rPr>
              <w:t>投标截止时间</w:t>
            </w:r>
          </w:p>
        </w:tc>
        <w:tc>
          <w:tcPr>
            <w:tcW w:w="6487" w:type="dxa"/>
            <w:vAlign w:val="center"/>
          </w:tcPr>
          <w:p>
            <w:pPr>
              <w:autoSpaceDE w:val="0"/>
              <w:autoSpaceDN w:val="0"/>
              <w:adjustRightInd w:val="0"/>
              <w:snapToGrid w:val="0"/>
              <w:spacing w:line="400" w:lineRule="exact"/>
              <w:rPr>
                <w:rFonts w:ascii="宋体" w:hAnsi="宋体" w:cs="Calibri"/>
                <w:b/>
                <w:kern w:val="0"/>
                <w:sz w:val="22"/>
              </w:rPr>
            </w:pPr>
            <w:r>
              <w:rPr>
                <w:rFonts w:hint="eastAsia" w:ascii="宋体" w:hAnsi="宋体" w:cs="Calibri"/>
                <w:b/>
                <w:kern w:val="0"/>
                <w:sz w:val="22"/>
              </w:rPr>
              <w:t xml:space="preserve"> 2019年</w:t>
            </w:r>
            <w:r>
              <w:rPr>
                <w:rFonts w:hint="eastAsia" w:ascii="宋体" w:hAnsi="宋体" w:cs="Calibri"/>
                <w:b/>
                <w:kern w:val="0"/>
                <w:sz w:val="22"/>
                <w:lang w:val="en-US" w:eastAsia="zh-CN"/>
              </w:rPr>
              <w:t>12</w:t>
            </w:r>
            <w:r>
              <w:rPr>
                <w:rFonts w:hint="eastAsia" w:ascii="宋体" w:hAnsi="宋体" w:cs="Calibri"/>
                <w:b/>
                <w:kern w:val="0"/>
                <w:sz w:val="22"/>
              </w:rPr>
              <w:t>月</w:t>
            </w:r>
            <w:r>
              <w:rPr>
                <w:rFonts w:hint="eastAsia" w:ascii="宋体" w:hAnsi="宋体" w:cs="Calibri"/>
                <w:b/>
                <w:kern w:val="0"/>
                <w:sz w:val="22"/>
                <w:lang w:val="en-US" w:eastAsia="zh-CN"/>
              </w:rPr>
              <w:t>11</w:t>
            </w:r>
            <w:r>
              <w:rPr>
                <w:rFonts w:hint="eastAsia" w:ascii="宋体" w:hAnsi="宋体" w:cs="Calibri"/>
                <w:b/>
                <w:kern w:val="0"/>
                <w:sz w:val="22"/>
              </w:rPr>
              <w:t>日上午9时00分（北京时间）</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spacing w:line="400" w:lineRule="exact"/>
              <w:jc w:val="center"/>
              <w:rPr>
                <w:rFonts w:ascii="宋体" w:hAnsi="宋体" w:cs="Calibri"/>
                <w:kern w:val="0"/>
                <w:sz w:val="22"/>
              </w:rPr>
            </w:pPr>
            <w:r>
              <w:rPr>
                <w:rFonts w:ascii="宋体" w:hAnsi="宋体" w:cs="Calibri"/>
                <w:kern w:val="0"/>
                <w:sz w:val="22"/>
              </w:rPr>
              <w:t>2.2.3</w:t>
            </w:r>
          </w:p>
        </w:tc>
        <w:tc>
          <w:tcPr>
            <w:tcW w:w="2004" w:type="dxa"/>
            <w:vAlign w:val="center"/>
          </w:tcPr>
          <w:p>
            <w:pPr>
              <w:autoSpaceDE w:val="0"/>
              <w:autoSpaceDN w:val="0"/>
              <w:adjustRightInd w:val="0"/>
              <w:snapToGrid w:val="0"/>
              <w:spacing w:line="400" w:lineRule="exact"/>
              <w:jc w:val="center"/>
              <w:rPr>
                <w:rFonts w:ascii="宋体" w:hAnsi="宋体" w:cs="Calibri"/>
                <w:kern w:val="0"/>
                <w:sz w:val="22"/>
              </w:rPr>
            </w:pPr>
            <w:r>
              <w:rPr>
                <w:rFonts w:ascii="宋体" w:hAnsi="宋体" w:cs="Calibri"/>
                <w:kern w:val="0"/>
                <w:sz w:val="22"/>
              </w:rPr>
              <w:t>投标人确认收到招标文件澄清的时间</w:t>
            </w:r>
          </w:p>
        </w:tc>
        <w:tc>
          <w:tcPr>
            <w:tcW w:w="6487" w:type="dxa"/>
            <w:vAlign w:val="center"/>
          </w:tcPr>
          <w:p>
            <w:pPr>
              <w:autoSpaceDE w:val="0"/>
              <w:autoSpaceDN w:val="0"/>
              <w:adjustRightInd w:val="0"/>
              <w:snapToGrid w:val="0"/>
              <w:spacing w:line="400" w:lineRule="exact"/>
              <w:rPr>
                <w:rFonts w:ascii="宋体" w:hAnsi="宋体" w:cs="Calibri"/>
                <w:kern w:val="0"/>
                <w:sz w:val="22"/>
              </w:rPr>
            </w:pPr>
            <w:r>
              <w:rPr>
                <w:rFonts w:hint="eastAsia" w:ascii="宋体" w:hAnsi="宋体" w:cs="Calibri"/>
                <w:kern w:val="0"/>
                <w:sz w:val="22"/>
              </w:rPr>
              <w:t>招标人可主动地或在解答投标人提出的澄清问题时对招标文件进行修改，</w:t>
            </w:r>
            <w:bookmarkStart w:id="37" w:name="_Toc226175287"/>
            <w:bookmarkStart w:id="38" w:name="_Toc236586447"/>
            <w:r>
              <w:rPr>
                <w:rFonts w:hint="eastAsia" w:ascii="宋体" w:hAnsi="宋体" w:cs="Calibri"/>
                <w:kern w:val="0"/>
                <w:sz w:val="22"/>
              </w:rPr>
              <w:t>对招标文件的修改将以补充公告的形式发布，所有获得招标文件的投标人应自行关注网站公告，招标人不再一一通知。</w:t>
            </w:r>
            <w:r>
              <w:rPr>
                <w:rFonts w:ascii="宋体" w:hAnsi="宋体" w:cs="Calibri"/>
                <w:kern w:val="0"/>
                <w:sz w:val="22"/>
              </w:rPr>
              <w:t>投标人</w:t>
            </w:r>
            <w:r>
              <w:rPr>
                <w:rFonts w:hint="eastAsia" w:ascii="宋体" w:hAnsi="宋体" w:cs="Calibri"/>
                <w:kern w:val="0"/>
                <w:sz w:val="22"/>
              </w:rPr>
              <w:t>无需</w:t>
            </w:r>
            <w:r>
              <w:rPr>
                <w:rFonts w:ascii="宋体" w:hAnsi="宋体" w:cs="Calibri"/>
                <w:kern w:val="0"/>
                <w:sz w:val="22"/>
              </w:rPr>
              <w:t>确认收到招标文件澄清的时间</w:t>
            </w:r>
            <w:r>
              <w:rPr>
                <w:rFonts w:hint="eastAsia" w:ascii="宋体" w:hAnsi="宋体" w:cs="Calibri"/>
                <w:kern w:val="0"/>
                <w:sz w:val="22"/>
              </w:rPr>
              <w:t>，投标人因自身贻误行为导致投标失败的，责任自负</w:t>
            </w:r>
            <w:bookmarkEnd w:id="37"/>
            <w:bookmarkEnd w:id="38"/>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spacing w:line="400" w:lineRule="exact"/>
              <w:jc w:val="center"/>
              <w:rPr>
                <w:rFonts w:ascii="宋体" w:hAnsi="宋体" w:cs="Calibri"/>
                <w:kern w:val="0"/>
                <w:sz w:val="22"/>
              </w:rPr>
            </w:pPr>
            <w:r>
              <w:rPr>
                <w:rFonts w:ascii="宋体" w:hAnsi="宋体" w:cs="Calibri"/>
                <w:kern w:val="0"/>
                <w:sz w:val="22"/>
              </w:rPr>
              <w:t>2.3.2</w:t>
            </w:r>
          </w:p>
        </w:tc>
        <w:tc>
          <w:tcPr>
            <w:tcW w:w="2004" w:type="dxa"/>
            <w:vAlign w:val="center"/>
          </w:tcPr>
          <w:p>
            <w:pPr>
              <w:autoSpaceDE w:val="0"/>
              <w:autoSpaceDN w:val="0"/>
              <w:adjustRightInd w:val="0"/>
              <w:snapToGrid w:val="0"/>
              <w:spacing w:line="400" w:lineRule="exact"/>
              <w:jc w:val="center"/>
              <w:rPr>
                <w:rFonts w:ascii="宋体" w:hAnsi="宋体" w:cs="Calibri"/>
                <w:kern w:val="0"/>
                <w:sz w:val="22"/>
              </w:rPr>
            </w:pPr>
            <w:r>
              <w:rPr>
                <w:rFonts w:ascii="宋体" w:hAnsi="宋体" w:cs="Calibri"/>
                <w:kern w:val="0"/>
                <w:sz w:val="22"/>
              </w:rPr>
              <w:t>投标人确认收到招标文件修改的时间</w:t>
            </w:r>
          </w:p>
        </w:tc>
        <w:tc>
          <w:tcPr>
            <w:tcW w:w="6487" w:type="dxa"/>
            <w:vAlign w:val="center"/>
          </w:tcPr>
          <w:p>
            <w:pPr>
              <w:autoSpaceDE w:val="0"/>
              <w:autoSpaceDN w:val="0"/>
              <w:adjustRightInd w:val="0"/>
              <w:snapToGrid w:val="0"/>
              <w:spacing w:line="400" w:lineRule="exact"/>
              <w:rPr>
                <w:rFonts w:ascii="宋体" w:hAnsi="宋体" w:cs="Calibri"/>
                <w:kern w:val="0"/>
                <w:sz w:val="22"/>
              </w:rPr>
            </w:pPr>
            <w:r>
              <w:rPr>
                <w:rFonts w:hint="eastAsia" w:ascii="宋体" w:hAnsi="宋体" w:cs="Calibri"/>
                <w:kern w:val="0"/>
                <w:sz w:val="22"/>
              </w:rPr>
              <w:t>招标人可主动地或在解答投标人提出的澄清问题时对招标文件进行修改，对招标文件的修改将以补充公告的形式发布，所有获得招标文件的投标人应自行关注网站公告，招标人不再一一通知。</w:t>
            </w:r>
            <w:r>
              <w:rPr>
                <w:rFonts w:ascii="宋体" w:hAnsi="宋体" w:cs="Calibri"/>
                <w:kern w:val="0"/>
                <w:sz w:val="22"/>
              </w:rPr>
              <w:t>投标人</w:t>
            </w:r>
            <w:r>
              <w:rPr>
                <w:rFonts w:hint="eastAsia" w:ascii="宋体" w:hAnsi="宋体" w:cs="Calibri"/>
                <w:kern w:val="0"/>
                <w:sz w:val="22"/>
              </w:rPr>
              <w:t>无需</w:t>
            </w:r>
            <w:r>
              <w:rPr>
                <w:rFonts w:ascii="宋体" w:hAnsi="宋体" w:cs="Calibri"/>
                <w:kern w:val="0"/>
                <w:sz w:val="22"/>
              </w:rPr>
              <w:t>确认收到招标文件</w:t>
            </w:r>
            <w:r>
              <w:rPr>
                <w:rFonts w:hint="eastAsia" w:ascii="宋体" w:hAnsi="宋体" w:cs="Calibri"/>
                <w:kern w:val="0"/>
                <w:sz w:val="22"/>
              </w:rPr>
              <w:t>修改</w:t>
            </w:r>
            <w:r>
              <w:rPr>
                <w:rFonts w:ascii="宋体" w:hAnsi="宋体" w:cs="Calibri"/>
                <w:kern w:val="0"/>
                <w:sz w:val="22"/>
              </w:rPr>
              <w:t>的时间</w:t>
            </w:r>
            <w:r>
              <w:rPr>
                <w:rFonts w:hint="eastAsia" w:ascii="宋体" w:hAnsi="宋体" w:cs="Calibri"/>
                <w:kern w:val="0"/>
                <w:sz w:val="22"/>
              </w:rPr>
              <w:t>，投标人因自身贻误行为导致投标失败的，责任自负。</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spacing w:line="400" w:lineRule="exact"/>
              <w:jc w:val="center"/>
              <w:rPr>
                <w:rFonts w:ascii="宋体" w:hAnsi="宋体" w:cs="Calibri"/>
                <w:kern w:val="0"/>
                <w:sz w:val="22"/>
              </w:rPr>
            </w:pPr>
            <w:r>
              <w:rPr>
                <w:rFonts w:ascii="宋体" w:hAnsi="宋体" w:cs="Calibri"/>
                <w:kern w:val="0"/>
                <w:sz w:val="22"/>
              </w:rPr>
              <w:t>3.4.1</w:t>
            </w:r>
          </w:p>
        </w:tc>
        <w:tc>
          <w:tcPr>
            <w:tcW w:w="2004" w:type="dxa"/>
            <w:vAlign w:val="center"/>
          </w:tcPr>
          <w:p>
            <w:pPr>
              <w:autoSpaceDE w:val="0"/>
              <w:autoSpaceDN w:val="0"/>
              <w:adjustRightInd w:val="0"/>
              <w:snapToGrid w:val="0"/>
              <w:spacing w:line="400" w:lineRule="exact"/>
              <w:jc w:val="center"/>
              <w:rPr>
                <w:rFonts w:ascii="宋体" w:hAnsi="宋体" w:cs="Calibri"/>
                <w:kern w:val="0"/>
                <w:sz w:val="22"/>
              </w:rPr>
            </w:pPr>
            <w:r>
              <w:rPr>
                <w:rFonts w:ascii="宋体" w:hAnsi="宋体" w:cs="Calibri"/>
                <w:kern w:val="0"/>
                <w:sz w:val="22"/>
              </w:rPr>
              <w:t>投标有效期</w:t>
            </w:r>
          </w:p>
        </w:tc>
        <w:tc>
          <w:tcPr>
            <w:tcW w:w="6487" w:type="dxa"/>
            <w:vAlign w:val="center"/>
          </w:tcPr>
          <w:p>
            <w:pPr>
              <w:autoSpaceDE w:val="0"/>
              <w:autoSpaceDN w:val="0"/>
              <w:adjustRightInd w:val="0"/>
              <w:snapToGrid w:val="0"/>
              <w:spacing w:line="400" w:lineRule="exact"/>
              <w:rPr>
                <w:rFonts w:ascii="宋体" w:hAnsi="宋体" w:cs="Calibri"/>
                <w:kern w:val="0"/>
                <w:sz w:val="22"/>
              </w:rPr>
            </w:pPr>
            <w:r>
              <w:rPr>
                <w:rFonts w:hint="eastAsia" w:ascii="宋体" w:hAnsi="宋体" w:cs="Calibri"/>
                <w:kern w:val="0"/>
                <w:sz w:val="22"/>
              </w:rPr>
              <w:t>12</w:t>
            </w:r>
            <w:r>
              <w:rPr>
                <w:rFonts w:ascii="宋体" w:hAnsi="宋体" w:cs="Calibri"/>
                <w:kern w:val="0"/>
                <w:sz w:val="22"/>
              </w:rPr>
              <w:t>0日历天（从投标截止之日算起）</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spacing w:line="400" w:lineRule="exact"/>
              <w:jc w:val="center"/>
              <w:rPr>
                <w:rFonts w:ascii="宋体" w:hAnsi="宋体" w:cs="Calibri"/>
                <w:kern w:val="0"/>
                <w:sz w:val="22"/>
              </w:rPr>
            </w:pPr>
            <w:r>
              <w:rPr>
                <w:rFonts w:ascii="宋体" w:hAnsi="宋体" w:cs="Calibri"/>
                <w:kern w:val="0"/>
                <w:sz w:val="22"/>
              </w:rPr>
              <w:t>3.5.1</w:t>
            </w:r>
          </w:p>
        </w:tc>
        <w:tc>
          <w:tcPr>
            <w:tcW w:w="2004" w:type="dxa"/>
            <w:vAlign w:val="center"/>
          </w:tcPr>
          <w:p>
            <w:pPr>
              <w:autoSpaceDE w:val="0"/>
              <w:autoSpaceDN w:val="0"/>
              <w:adjustRightInd w:val="0"/>
              <w:snapToGrid w:val="0"/>
              <w:spacing w:line="400" w:lineRule="exact"/>
              <w:jc w:val="center"/>
              <w:rPr>
                <w:rFonts w:ascii="宋体" w:hAnsi="宋体" w:cs="Calibri"/>
                <w:kern w:val="0"/>
                <w:sz w:val="22"/>
              </w:rPr>
            </w:pPr>
            <w:r>
              <w:rPr>
                <w:rFonts w:ascii="宋体" w:hAnsi="宋体" w:cs="Calibri"/>
                <w:kern w:val="0"/>
                <w:sz w:val="22"/>
              </w:rPr>
              <w:t>投标保证金</w:t>
            </w:r>
          </w:p>
        </w:tc>
        <w:tc>
          <w:tcPr>
            <w:tcW w:w="6487" w:type="dxa"/>
            <w:vAlign w:val="center"/>
          </w:tcPr>
          <w:p>
            <w:pPr>
              <w:autoSpaceDE w:val="0"/>
              <w:autoSpaceDN w:val="0"/>
              <w:adjustRightInd w:val="0"/>
              <w:snapToGrid w:val="0"/>
              <w:spacing w:line="400" w:lineRule="exact"/>
              <w:rPr>
                <w:rFonts w:ascii="宋体" w:hAnsi="宋体" w:cs="Calibri"/>
                <w:kern w:val="0"/>
                <w:sz w:val="22"/>
              </w:rPr>
            </w:pPr>
            <w:r>
              <w:rPr>
                <w:rFonts w:hint="eastAsia" w:ascii="宋体" w:hAnsi="宋体" w:cs="Calibri"/>
                <w:kern w:val="0"/>
                <w:sz w:val="22"/>
              </w:rPr>
              <w:t>投标保证金的形式：银行转账，</w:t>
            </w:r>
            <w:r>
              <w:rPr>
                <w:rFonts w:hint="eastAsia" w:ascii="宋体" w:hAnsi="宋体" w:cs="Calibri"/>
                <w:b/>
                <w:kern w:val="0"/>
                <w:sz w:val="22"/>
              </w:rPr>
              <w:t>必须在投标截止时间前通过投标人的基本账户以银行转账方式缴纳。</w:t>
            </w:r>
          </w:p>
          <w:p>
            <w:pPr>
              <w:autoSpaceDE w:val="0"/>
              <w:autoSpaceDN w:val="0"/>
              <w:adjustRightInd w:val="0"/>
              <w:snapToGrid w:val="0"/>
              <w:spacing w:line="400" w:lineRule="exact"/>
              <w:rPr>
                <w:rFonts w:ascii="宋体" w:hAnsi="宋体" w:cs="Calibri"/>
                <w:b/>
                <w:kern w:val="0"/>
                <w:sz w:val="22"/>
              </w:rPr>
            </w:pPr>
            <w:r>
              <w:rPr>
                <w:rFonts w:hint="eastAsia" w:ascii="宋体" w:hAnsi="宋体" w:cs="Calibri"/>
                <w:b/>
                <w:kern w:val="0"/>
                <w:sz w:val="22"/>
              </w:rPr>
              <w:t>投标保证金的金额：每标段人民币1万元整</w:t>
            </w:r>
          </w:p>
          <w:p>
            <w:pPr>
              <w:autoSpaceDE w:val="0"/>
              <w:autoSpaceDN w:val="0"/>
              <w:adjustRightInd w:val="0"/>
              <w:snapToGrid w:val="0"/>
              <w:spacing w:line="400" w:lineRule="exact"/>
              <w:rPr>
                <w:rFonts w:ascii="宋体" w:hAnsi="宋体" w:cs="Calibri"/>
                <w:kern w:val="0"/>
                <w:sz w:val="22"/>
              </w:rPr>
            </w:pPr>
            <w:r>
              <w:rPr>
                <w:rFonts w:hint="eastAsia" w:ascii="宋体" w:hAnsi="宋体" w:cs="Calibri"/>
                <w:kern w:val="0"/>
                <w:sz w:val="22"/>
              </w:rPr>
              <w:t>投标保证金应在投标截止时间前汇入以下帐户：</w:t>
            </w:r>
          </w:p>
          <w:p>
            <w:pPr>
              <w:autoSpaceDE w:val="0"/>
              <w:autoSpaceDN w:val="0"/>
              <w:adjustRightInd w:val="0"/>
              <w:snapToGrid w:val="0"/>
              <w:spacing w:line="400" w:lineRule="exact"/>
              <w:rPr>
                <w:rFonts w:ascii="宋体" w:hAnsi="宋体" w:cs="Calibri"/>
                <w:kern w:val="0"/>
                <w:sz w:val="22"/>
              </w:rPr>
            </w:pPr>
            <w:r>
              <w:rPr>
                <w:rFonts w:hint="eastAsia" w:ascii="宋体" w:hAnsi="宋体" w:cs="Calibri"/>
                <w:kern w:val="0"/>
                <w:sz w:val="22"/>
              </w:rPr>
              <w:t>开户名：浙江省机场集团有限公司</w:t>
            </w:r>
          </w:p>
          <w:p>
            <w:pPr>
              <w:autoSpaceDE w:val="0"/>
              <w:autoSpaceDN w:val="0"/>
              <w:adjustRightInd w:val="0"/>
              <w:snapToGrid w:val="0"/>
              <w:spacing w:line="400" w:lineRule="exact"/>
              <w:rPr>
                <w:rFonts w:ascii="宋体" w:hAnsi="宋体" w:cs="Calibri"/>
                <w:kern w:val="0"/>
                <w:sz w:val="22"/>
              </w:rPr>
            </w:pPr>
            <w:r>
              <w:rPr>
                <w:rFonts w:hint="eastAsia" w:ascii="宋体" w:hAnsi="宋体" w:cs="Calibri"/>
                <w:kern w:val="0"/>
                <w:sz w:val="22"/>
              </w:rPr>
              <w:t>开户银行：工行杭州空港城支行</w:t>
            </w:r>
          </w:p>
          <w:p>
            <w:pPr>
              <w:autoSpaceDE w:val="0"/>
              <w:autoSpaceDN w:val="0"/>
              <w:adjustRightInd w:val="0"/>
              <w:snapToGrid w:val="0"/>
              <w:spacing w:line="400" w:lineRule="exact"/>
              <w:rPr>
                <w:rFonts w:ascii="宋体" w:hAnsi="宋体" w:cs="Calibri"/>
                <w:kern w:val="0"/>
                <w:sz w:val="22"/>
              </w:rPr>
            </w:pPr>
            <w:r>
              <w:rPr>
                <w:rFonts w:hint="eastAsia" w:ascii="宋体" w:hAnsi="宋体" w:cs="Calibri"/>
                <w:kern w:val="0"/>
                <w:sz w:val="22"/>
              </w:rPr>
              <w:t>帐号：1202050219900012004</w:t>
            </w:r>
          </w:p>
          <w:p>
            <w:pPr>
              <w:autoSpaceDE w:val="0"/>
              <w:autoSpaceDN w:val="0"/>
              <w:adjustRightInd w:val="0"/>
              <w:snapToGrid w:val="0"/>
              <w:spacing w:line="400" w:lineRule="exact"/>
              <w:rPr>
                <w:rFonts w:ascii="宋体" w:hAnsi="宋体"/>
                <w:sz w:val="22"/>
              </w:rPr>
            </w:pPr>
            <w:r>
              <w:rPr>
                <w:rFonts w:hint="eastAsia" w:ascii="宋体" w:hAnsi="宋体" w:cs="Calibri"/>
                <w:kern w:val="0"/>
                <w:sz w:val="22"/>
              </w:rPr>
              <w:t>投标人提交投标保证金时需注明</w:t>
            </w:r>
            <w:r>
              <w:rPr>
                <w:rFonts w:hint="eastAsia" w:ascii="宋体" w:hAnsi="宋体" w:cs="Calibri"/>
                <w:b/>
                <w:kern w:val="0"/>
                <w:sz w:val="22"/>
              </w:rPr>
              <w:t>“招标代理项目标段*投标保证金”</w:t>
            </w:r>
            <w:r>
              <w:rPr>
                <w:rFonts w:hint="eastAsia" w:ascii="宋体" w:hAnsi="宋体" w:cs="Calibri"/>
                <w:kern w:val="0"/>
                <w:sz w:val="22"/>
              </w:rPr>
              <w:t xml:space="preserve">，银行回单复印件注明投标人户名、开户行、账号等信息随投标函单独封装，随投标文件一同递交。 </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spacing w:line="400" w:lineRule="exact"/>
              <w:jc w:val="center"/>
              <w:rPr>
                <w:rFonts w:ascii="宋体" w:hAnsi="宋体" w:cs="Calibri"/>
                <w:kern w:val="0"/>
                <w:sz w:val="22"/>
              </w:rPr>
            </w:pPr>
            <w:r>
              <w:rPr>
                <w:rFonts w:ascii="宋体" w:hAnsi="宋体" w:cs="Calibri"/>
                <w:kern w:val="0"/>
                <w:sz w:val="22"/>
              </w:rPr>
              <w:t>3.6.3</w:t>
            </w:r>
          </w:p>
        </w:tc>
        <w:tc>
          <w:tcPr>
            <w:tcW w:w="2004" w:type="dxa"/>
            <w:vAlign w:val="center"/>
          </w:tcPr>
          <w:p>
            <w:pPr>
              <w:autoSpaceDE w:val="0"/>
              <w:autoSpaceDN w:val="0"/>
              <w:adjustRightInd w:val="0"/>
              <w:snapToGrid w:val="0"/>
              <w:spacing w:line="400" w:lineRule="exact"/>
              <w:jc w:val="center"/>
              <w:rPr>
                <w:rFonts w:ascii="宋体" w:hAnsi="宋体" w:cs="Calibri"/>
                <w:kern w:val="0"/>
                <w:sz w:val="22"/>
              </w:rPr>
            </w:pPr>
            <w:r>
              <w:rPr>
                <w:rFonts w:ascii="宋体" w:hAnsi="宋体" w:cs="Calibri"/>
                <w:kern w:val="0"/>
                <w:sz w:val="22"/>
              </w:rPr>
              <w:t>签字或盖章要求</w:t>
            </w:r>
          </w:p>
        </w:tc>
        <w:tc>
          <w:tcPr>
            <w:tcW w:w="6487" w:type="dxa"/>
            <w:vAlign w:val="center"/>
          </w:tcPr>
          <w:p>
            <w:pPr>
              <w:autoSpaceDE w:val="0"/>
              <w:autoSpaceDN w:val="0"/>
              <w:adjustRightInd w:val="0"/>
              <w:snapToGrid w:val="0"/>
              <w:spacing w:line="400" w:lineRule="exact"/>
              <w:rPr>
                <w:rFonts w:ascii="宋体" w:hAnsi="宋体" w:cs="Calibri"/>
                <w:kern w:val="0"/>
                <w:sz w:val="22"/>
              </w:rPr>
            </w:pPr>
            <w:r>
              <w:rPr>
                <w:rFonts w:ascii="宋体" w:hAnsi="宋体" w:cs="Calibri"/>
                <w:b/>
                <w:kern w:val="0"/>
                <w:sz w:val="22"/>
              </w:rPr>
              <w:t>投标文件封面（或扉页）、投标函以及各类报价表</w:t>
            </w:r>
            <w:r>
              <w:rPr>
                <w:rFonts w:ascii="宋体" w:hAnsi="宋体" w:cs="Calibri"/>
                <w:kern w:val="0"/>
                <w:sz w:val="22"/>
              </w:rPr>
              <w:t>均须加盖投标人单位章，并经法定代表人（或其委托代理人）签字或盖章。</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spacing w:line="400" w:lineRule="exact"/>
              <w:jc w:val="center"/>
              <w:rPr>
                <w:rFonts w:ascii="宋体" w:hAnsi="宋体" w:cs="Calibri"/>
                <w:kern w:val="0"/>
                <w:sz w:val="22"/>
              </w:rPr>
            </w:pPr>
            <w:r>
              <w:rPr>
                <w:rFonts w:ascii="宋体" w:hAnsi="宋体" w:cs="Calibri"/>
                <w:kern w:val="0"/>
                <w:sz w:val="22"/>
              </w:rPr>
              <w:t>3.6.4</w:t>
            </w:r>
          </w:p>
        </w:tc>
        <w:tc>
          <w:tcPr>
            <w:tcW w:w="2004" w:type="dxa"/>
            <w:vAlign w:val="center"/>
          </w:tcPr>
          <w:p>
            <w:pPr>
              <w:autoSpaceDE w:val="0"/>
              <w:autoSpaceDN w:val="0"/>
              <w:adjustRightInd w:val="0"/>
              <w:snapToGrid w:val="0"/>
              <w:spacing w:line="400" w:lineRule="exact"/>
              <w:jc w:val="center"/>
              <w:rPr>
                <w:rFonts w:ascii="宋体" w:hAnsi="宋体" w:cs="Calibri"/>
                <w:kern w:val="0"/>
                <w:sz w:val="22"/>
              </w:rPr>
            </w:pPr>
            <w:r>
              <w:rPr>
                <w:rFonts w:ascii="宋体" w:hAnsi="宋体" w:cs="Calibri"/>
                <w:kern w:val="0"/>
                <w:sz w:val="22"/>
              </w:rPr>
              <w:t>投标文件副本份数</w:t>
            </w:r>
          </w:p>
        </w:tc>
        <w:tc>
          <w:tcPr>
            <w:tcW w:w="6487" w:type="dxa"/>
            <w:vAlign w:val="center"/>
          </w:tcPr>
          <w:p>
            <w:pPr>
              <w:autoSpaceDE w:val="0"/>
              <w:autoSpaceDN w:val="0"/>
              <w:adjustRightInd w:val="0"/>
              <w:snapToGrid w:val="0"/>
              <w:spacing w:line="400" w:lineRule="exact"/>
              <w:rPr>
                <w:rFonts w:ascii="宋体" w:hAnsi="宋体" w:cs="Calibri"/>
                <w:kern w:val="0"/>
                <w:sz w:val="22"/>
              </w:rPr>
            </w:pPr>
            <w:r>
              <w:rPr>
                <w:rFonts w:hint="eastAsia" w:ascii="宋体" w:hAnsi="宋体" w:cs="Calibri"/>
                <w:kern w:val="0"/>
                <w:sz w:val="22"/>
              </w:rPr>
              <w:t>正本一份，</w:t>
            </w:r>
            <w:r>
              <w:rPr>
                <w:rFonts w:ascii="宋体" w:hAnsi="宋体" w:cs="Calibri"/>
                <w:kern w:val="0"/>
                <w:sz w:val="22"/>
              </w:rPr>
              <w:t>副本</w:t>
            </w:r>
            <w:r>
              <w:rPr>
                <w:rFonts w:hint="eastAsia" w:ascii="宋体" w:hAnsi="宋体" w:cs="Calibri"/>
                <w:kern w:val="0"/>
                <w:sz w:val="22"/>
              </w:rPr>
              <w:t>四</w:t>
            </w:r>
            <w:r>
              <w:rPr>
                <w:rFonts w:ascii="宋体" w:hAnsi="宋体" w:cs="Calibri"/>
                <w:kern w:val="0"/>
                <w:sz w:val="22"/>
              </w:rPr>
              <w:t>份</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spacing w:line="400" w:lineRule="exact"/>
              <w:jc w:val="center"/>
              <w:rPr>
                <w:rFonts w:ascii="宋体" w:hAnsi="宋体" w:cs="Calibri"/>
                <w:kern w:val="0"/>
                <w:sz w:val="22"/>
              </w:rPr>
            </w:pPr>
            <w:r>
              <w:rPr>
                <w:rFonts w:ascii="宋体" w:hAnsi="宋体" w:cs="Calibri"/>
                <w:kern w:val="0"/>
                <w:sz w:val="22"/>
              </w:rPr>
              <w:t>3.6.5</w:t>
            </w:r>
          </w:p>
        </w:tc>
        <w:tc>
          <w:tcPr>
            <w:tcW w:w="2004" w:type="dxa"/>
            <w:vAlign w:val="center"/>
          </w:tcPr>
          <w:p>
            <w:pPr>
              <w:autoSpaceDE w:val="0"/>
              <w:autoSpaceDN w:val="0"/>
              <w:adjustRightInd w:val="0"/>
              <w:snapToGrid w:val="0"/>
              <w:spacing w:line="400" w:lineRule="exact"/>
              <w:jc w:val="center"/>
              <w:rPr>
                <w:rFonts w:ascii="宋体" w:hAnsi="宋体" w:cs="Calibri"/>
                <w:kern w:val="0"/>
                <w:sz w:val="22"/>
              </w:rPr>
            </w:pPr>
            <w:r>
              <w:rPr>
                <w:rFonts w:ascii="宋体" w:hAnsi="宋体" w:cs="Calibri"/>
                <w:kern w:val="0"/>
                <w:sz w:val="22"/>
              </w:rPr>
              <w:t>装订要求</w:t>
            </w:r>
          </w:p>
        </w:tc>
        <w:tc>
          <w:tcPr>
            <w:tcW w:w="6487" w:type="dxa"/>
            <w:vAlign w:val="center"/>
          </w:tcPr>
          <w:p>
            <w:pPr>
              <w:autoSpaceDE w:val="0"/>
              <w:autoSpaceDN w:val="0"/>
              <w:adjustRightInd w:val="0"/>
              <w:snapToGrid w:val="0"/>
              <w:spacing w:line="400" w:lineRule="exact"/>
              <w:rPr>
                <w:rFonts w:ascii="宋体" w:hAnsi="宋体" w:cs="Calibri"/>
                <w:kern w:val="0"/>
                <w:sz w:val="22"/>
              </w:rPr>
            </w:pPr>
            <w:r>
              <w:rPr>
                <w:rFonts w:ascii="宋体" w:hAnsi="宋体" w:cs="Calibri"/>
                <w:kern w:val="0"/>
                <w:sz w:val="22"/>
              </w:rPr>
              <w:t>按照投标人须知3.2项约定的投标文件组成内容，投标文件应按以下要求装订：</w:t>
            </w:r>
          </w:p>
          <w:p>
            <w:pPr>
              <w:autoSpaceDE w:val="0"/>
              <w:autoSpaceDN w:val="0"/>
              <w:adjustRightInd w:val="0"/>
              <w:snapToGrid w:val="0"/>
              <w:spacing w:line="400" w:lineRule="exact"/>
              <w:rPr>
                <w:rFonts w:ascii="宋体" w:hAnsi="宋体" w:cs="Calibri"/>
                <w:kern w:val="0"/>
                <w:sz w:val="22"/>
              </w:rPr>
            </w:pPr>
            <w:r>
              <w:rPr>
                <w:rFonts w:ascii="宋体" w:hAnsi="宋体" w:cs="Calibri"/>
                <w:kern w:val="0"/>
                <w:sz w:val="22"/>
              </w:rPr>
              <w:sym w:font="Wingdings" w:char="F0FE"/>
            </w:r>
            <w:r>
              <w:rPr>
                <w:rFonts w:ascii="宋体" w:hAnsi="宋体" w:cs="Calibri"/>
                <w:kern w:val="0"/>
                <w:sz w:val="22"/>
              </w:rPr>
              <w:t>不分册装订</w:t>
            </w:r>
          </w:p>
          <w:p>
            <w:pPr>
              <w:autoSpaceDE w:val="0"/>
              <w:autoSpaceDN w:val="0"/>
              <w:adjustRightInd w:val="0"/>
              <w:snapToGrid w:val="0"/>
              <w:spacing w:line="400" w:lineRule="exact"/>
              <w:rPr>
                <w:rFonts w:ascii="宋体" w:hAnsi="宋体" w:cs="Calibri"/>
                <w:kern w:val="0"/>
                <w:sz w:val="22"/>
              </w:rPr>
            </w:pPr>
            <w:r>
              <w:rPr>
                <w:rFonts w:ascii="宋体" w:hAnsi="宋体" w:cs="Calibri"/>
                <w:kern w:val="0"/>
                <w:sz w:val="22"/>
              </w:rPr>
              <w:t>□分册装订</w:t>
            </w:r>
          </w:p>
          <w:p>
            <w:pPr>
              <w:autoSpaceDE w:val="0"/>
              <w:autoSpaceDN w:val="0"/>
              <w:adjustRightInd w:val="0"/>
              <w:snapToGrid w:val="0"/>
              <w:spacing w:line="400" w:lineRule="exact"/>
              <w:rPr>
                <w:rFonts w:ascii="宋体" w:hAnsi="宋体" w:cs="Calibri"/>
                <w:kern w:val="0"/>
                <w:sz w:val="22"/>
              </w:rPr>
            </w:pPr>
            <w:r>
              <w:rPr>
                <w:rFonts w:ascii="宋体" w:hAnsi="宋体" w:cs="Calibri"/>
                <w:kern w:val="0"/>
                <w:sz w:val="22"/>
              </w:rPr>
              <w:t>每册采用</w:t>
            </w:r>
            <w:r>
              <w:rPr>
                <w:rFonts w:ascii="宋体" w:hAnsi="宋体" w:cs="Calibri"/>
                <w:kern w:val="0"/>
                <w:sz w:val="22"/>
                <w:u w:val="single"/>
              </w:rPr>
              <w:t xml:space="preserve"> 胶装 </w:t>
            </w:r>
            <w:r>
              <w:rPr>
                <w:rFonts w:ascii="宋体" w:hAnsi="宋体" w:cs="Calibri"/>
                <w:kern w:val="0"/>
                <w:sz w:val="22"/>
              </w:rPr>
              <w:t>方式装订，装订应牢固、不易拆散和换页，不得采用活页装订</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spacing w:line="400" w:lineRule="exact"/>
              <w:jc w:val="center"/>
              <w:rPr>
                <w:rFonts w:ascii="宋体" w:hAnsi="宋体" w:cs="Calibri"/>
                <w:kern w:val="0"/>
                <w:sz w:val="22"/>
              </w:rPr>
            </w:pPr>
            <w:r>
              <w:rPr>
                <w:rFonts w:ascii="宋体" w:hAnsi="宋体" w:cs="Calibri"/>
                <w:kern w:val="0"/>
                <w:sz w:val="22"/>
              </w:rPr>
              <w:t>4.1.2</w:t>
            </w:r>
          </w:p>
        </w:tc>
        <w:tc>
          <w:tcPr>
            <w:tcW w:w="2004" w:type="dxa"/>
            <w:vAlign w:val="center"/>
          </w:tcPr>
          <w:p>
            <w:pPr>
              <w:autoSpaceDE w:val="0"/>
              <w:autoSpaceDN w:val="0"/>
              <w:adjustRightInd w:val="0"/>
              <w:snapToGrid w:val="0"/>
              <w:spacing w:line="400" w:lineRule="exact"/>
              <w:jc w:val="center"/>
              <w:rPr>
                <w:rFonts w:ascii="宋体" w:hAnsi="宋体" w:cs="Calibri"/>
                <w:kern w:val="0"/>
                <w:sz w:val="22"/>
              </w:rPr>
            </w:pPr>
            <w:r>
              <w:rPr>
                <w:rFonts w:ascii="宋体" w:hAnsi="宋体" w:cs="Calibri"/>
                <w:kern w:val="0"/>
                <w:sz w:val="22"/>
              </w:rPr>
              <w:t>封套上写明</w:t>
            </w:r>
          </w:p>
        </w:tc>
        <w:tc>
          <w:tcPr>
            <w:tcW w:w="6487" w:type="dxa"/>
            <w:vAlign w:val="center"/>
          </w:tcPr>
          <w:p>
            <w:pPr>
              <w:autoSpaceDE w:val="0"/>
              <w:autoSpaceDN w:val="0"/>
              <w:adjustRightInd w:val="0"/>
              <w:snapToGrid w:val="0"/>
              <w:spacing w:line="400" w:lineRule="exact"/>
              <w:rPr>
                <w:rFonts w:ascii="宋体" w:hAnsi="宋体" w:cs="Calibri"/>
                <w:kern w:val="0"/>
                <w:sz w:val="22"/>
              </w:rPr>
            </w:pPr>
            <w:r>
              <w:rPr>
                <w:rFonts w:ascii="宋体" w:hAnsi="宋体" w:cs="Calibri"/>
                <w:kern w:val="0"/>
                <w:sz w:val="22"/>
              </w:rPr>
              <w:t>招标人的地址：</w:t>
            </w:r>
            <w:r>
              <w:rPr>
                <w:rFonts w:hint="eastAsia" w:ascii="宋体" w:hAnsi="宋体"/>
                <w:sz w:val="22"/>
                <w:u w:val="single"/>
              </w:rPr>
              <w:t>杭州萧山</w:t>
            </w:r>
            <w:r>
              <w:rPr>
                <w:rFonts w:ascii="宋体" w:hAnsi="宋体"/>
                <w:sz w:val="22"/>
                <w:u w:val="single"/>
              </w:rPr>
              <w:t>国际</w:t>
            </w:r>
            <w:r>
              <w:rPr>
                <w:rFonts w:hint="eastAsia" w:ascii="宋体" w:hAnsi="宋体"/>
                <w:sz w:val="22"/>
                <w:u w:val="single"/>
              </w:rPr>
              <w:t>机场内</w:t>
            </w:r>
          </w:p>
          <w:p>
            <w:pPr>
              <w:autoSpaceDE w:val="0"/>
              <w:autoSpaceDN w:val="0"/>
              <w:adjustRightInd w:val="0"/>
              <w:snapToGrid w:val="0"/>
              <w:spacing w:line="400" w:lineRule="exact"/>
              <w:rPr>
                <w:rFonts w:ascii="宋体" w:hAnsi="宋体" w:cs="Calibri"/>
                <w:kern w:val="0"/>
                <w:sz w:val="22"/>
              </w:rPr>
            </w:pPr>
            <w:r>
              <w:rPr>
                <w:rFonts w:ascii="宋体" w:hAnsi="宋体" w:cs="Calibri"/>
                <w:kern w:val="0"/>
                <w:sz w:val="22"/>
              </w:rPr>
              <w:t>招标人名称：</w:t>
            </w:r>
            <w:r>
              <w:rPr>
                <w:rFonts w:ascii="宋体" w:hAnsi="宋体" w:cs="Calibri"/>
                <w:kern w:val="0"/>
                <w:sz w:val="22"/>
                <w:u w:val="single"/>
              </w:rPr>
              <w:t>浙江省机场集团有限公司</w:t>
            </w:r>
          </w:p>
          <w:p>
            <w:pPr>
              <w:autoSpaceDE w:val="0"/>
              <w:autoSpaceDN w:val="0"/>
              <w:adjustRightInd w:val="0"/>
              <w:snapToGrid w:val="0"/>
              <w:spacing w:line="400" w:lineRule="exact"/>
              <w:rPr>
                <w:rFonts w:ascii="宋体" w:hAnsi="宋体" w:cs="Calibri"/>
                <w:kern w:val="0"/>
                <w:sz w:val="22"/>
              </w:rPr>
            </w:pPr>
            <w:r>
              <w:rPr>
                <w:rFonts w:hint="eastAsia" w:ascii="宋体" w:hAnsi="宋体" w:cs="宋体"/>
                <w:sz w:val="22"/>
              </w:rPr>
              <w:t>项目名称：</w:t>
            </w:r>
            <w:r>
              <w:rPr>
                <w:rFonts w:hint="eastAsia" w:ascii="宋体" w:hAnsi="宋体" w:cs="Calibri"/>
                <w:kern w:val="0"/>
                <w:sz w:val="22"/>
                <w:u w:val="single"/>
              </w:rPr>
              <w:t>浙江省机场集团</w:t>
            </w:r>
            <w:r>
              <w:rPr>
                <w:rFonts w:hint="eastAsia" w:ascii="宋体" w:hAnsi="宋体" w:cs="Arial"/>
                <w:kern w:val="0"/>
                <w:sz w:val="22"/>
              </w:rPr>
              <w:t>2020</w:t>
            </w:r>
            <w:r>
              <w:rPr>
                <w:rFonts w:ascii="宋体" w:hAnsi="宋体" w:cs="Arial"/>
                <w:kern w:val="0"/>
                <w:sz w:val="22"/>
              </w:rPr>
              <w:t>-2022</w:t>
            </w:r>
            <w:r>
              <w:rPr>
                <w:rFonts w:hint="eastAsia" w:ascii="宋体" w:hAnsi="宋体" w:cs="Arial"/>
                <w:kern w:val="0"/>
                <w:sz w:val="22"/>
              </w:rPr>
              <w:t>年度招标代理机构选聘项目</w:t>
            </w:r>
            <w:r>
              <w:rPr>
                <w:rFonts w:hint="eastAsia" w:ascii="宋体" w:hAnsi="宋体" w:cs="Calibri"/>
                <w:kern w:val="0"/>
                <w:sz w:val="22"/>
                <w:u w:val="single"/>
              </w:rPr>
              <w:t>标段*</w:t>
            </w:r>
            <w:r>
              <w:rPr>
                <w:rFonts w:hint="eastAsia" w:ascii="宋体" w:hAnsi="宋体" w:cs="宋体"/>
                <w:sz w:val="22"/>
              </w:rPr>
              <w:t>投标文件</w:t>
            </w:r>
          </w:p>
          <w:p>
            <w:pPr>
              <w:autoSpaceDE w:val="0"/>
              <w:autoSpaceDN w:val="0"/>
              <w:adjustRightInd w:val="0"/>
              <w:snapToGrid w:val="0"/>
              <w:spacing w:line="400" w:lineRule="exact"/>
              <w:rPr>
                <w:rFonts w:ascii="宋体" w:hAnsi="宋体" w:cs="Calibri"/>
                <w:kern w:val="0"/>
                <w:sz w:val="22"/>
              </w:rPr>
            </w:pPr>
            <w:r>
              <w:rPr>
                <w:rFonts w:ascii="宋体" w:hAnsi="宋体" w:cs="Calibri"/>
                <w:kern w:val="0"/>
                <w:sz w:val="22"/>
              </w:rPr>
              <w:t>在</w:t>
            </w:r>
            <w:r>
              <w:rPr>
                <w:rFonts w:hint="eastAsia" w:ascii="宋体" w:hAnsi="宋体" w:cs="Arial"/>
                <w:kern w:val="0"/>
                <w:sz w:val="22"/>
              </w:rPr>
              <w:t xml:space="preserve"> 2019年</w:t>
            </w:r>
            <w:r>
              <w:rPr>
                <w:rFonts w:hint="eastAsia" w:ascii="宋体" w:hAnsi="宋体" w:cs="Arial"/>
                <w:kern w:val="0"/>
                <w:sz w:val="22"/>
                <w:lang w:val="en-US" w:eastAsia="zh-CN"/>
              </w:rPr>
              <w:t>12</w:t>
            </w:r>
            <w:r>
              <w:rPr>
                <w:rFonts w:hint="eastAsia" w:ascii="宋体" w:hAnsi="宋体" w:cs="Arial"/>
                <w:kern w:val="0"/>
                <w:sz w:val="22"/>
              </w:rPr>
              <w:t>月</w:t>
            </w:r>
            <w:r>
              <w:rPr>
                <w:rFonts w:hint="eastAsia" w:ascii="宋体" w:hAnsi="宋体" w:cs="Arial"/>
                <w:kern w:val="0"/>
                <w:sz w:val="22"/>
                <w:lang w:val="en-US" w:eastAsia="zh-CN"/>
              </w:rPr>
              <w:t>11</w:t>
            </w:r>
            <w:r>
              <w:rPr>
                <w:rFonts w:hint="eastAsia" w:ascii="宋体" w:hAnsi="宋体" w:cs="Arial"/>
                <w:kern w:val="0"/>
                <w:sz w:val="22"/>
              </w:rPr>
              <w:t>日上午9时00分</w:t>
            </w:r>
            <w:r>
              <w:rPr>
                <w:rFonts w:ascii="宋体" w:hAnsi="宋体" w:cs="Calibri"/>
                <w:kern w:val="0"/>
                <w:sz w:val="22"/>
              </w:rPr>
              <w:t>（即开标时间）前不得开启</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spacing w:line="400" w:lineRule="exact"/>
              <w:jc w:val="center"/>
              <w:rPr>
                <w:rFonts w:ascii="宋体" w:hAnsi="宋体" w:cs="Calibri"/>
                <w:kern w:val="0"/>
                <w:sz w:val="22"/>
              </w:rPr>
            </w:pPr>
            <w:r>
              <w:rPr>
                <w:rFonts w:ascii="宋体" w:hAnsi="宋体" w:cs="Calibri"/>
                <w:kern w:val="0"/>
                <w:sz w:val="22"/>
              </w:rPr>
              <w:t>4.2.2</w:t>
            </w:r>
          </w:p>
        </w:tc>
        <w:tc>
          <w:tcPr>
            <w:tcW w:w="2004" w:type="dxa"/>
            <w:vAlign w:val="center"/>
          </w:tcPr>
          <w:p>
            <w:pPr>
              <w:autoSpaceDE w:val="0"/>
              <w:autoSpaceDN w:val="0"/>
              <w:adjustRightInd w:val="0"/>
              <w:snapToGrid w:val="0"/>
              <w:spacing w:line="400" w:lineRule="exact"/>
              <w:jc w:val="center"/>
              <w:rPr>
                <w:rFonts w:ascii="宋体" w:hAnsi="宋体" w:cs="Calibri"/>
                <w:kern w:val="0"/>
                <w:sz w:val="22"/>
              </w:rPr>
            </w:pPr>
            <w:r>
              <w:rPr>
                <w:rFonts w:ascii="宋体" w:hAnsi="宋体" w:cs="Calibri"/>
                <w:kern w:val="0"/>
                <w:sz w:val="22"/>
              </w:rPr>
              <w:t>递交投标文件地点</w:t>
            </w:r>
          </w:p>
        </w:tc>
        <w:tc>
          <w:tcPr>
            <w:tcW w:w="6487" w:type="dxa"/>
            <w:vAlign w:val="center"/>
          </w:tcPr>
          <w:p>
            <w:pPr>
              <w:autoSpaceDE w:val="0"/>
              <w:autoSpaceDN w:val="0"/>
              <w:adjustRightInd w:val="0"/>
              <w:snapToGrid w:val="0"/>
              <w:spacing w:line="400" w:lineRule="exact"/>
              <w:rPr>
                <w:rFonts w:ascii="宋体" w:hAnsi="宋体" w:cs="Calibri"/>
                <w:kern w:val="0"/>
                <w:sz w:val="22"/>
              </w:rPr>
            </w:pPr>
            <w:r>
              <w:rPr>
                <w:rFonts w:hint="eastAsia" w:ascii="等线" w:hAnsi="等线" w:cs="Arial"/>
                <w:kern w:val="0"/>
                <w:sz w:val="22"/>
              </w:rPr>
              <w:t>杭州萧山</w:t>
            </w:r>
            <w:r>
              <w:rPr>
                <w:rFonts w:ascii="等线" w:hAnsi="等线" w:cs="Arial"/>
                <w:kern w:val="0"/>
                <w:sz w:val="22"/>
              </w:rPr>
              <w:t>国际机场</w:t>
            </w:r>
            <w:r>
              <w:rPr>
                <w:rFonts w:hint="eastAsia" w:ascii="等线" w:hAnsi="等线" w:cs="Arial"/>
                <w:kern w:val="0"/>
                <w:sz w:val="22"/>
              </w:rPr>
              <w:t>翔越路综合服务楼园区招标中心</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spacing w:line="400" w:lineRule="exact"/>
              <w:jc w:val="center"/>
              <w:rPr>
                <w:rFonts w:ascii="宋体" w:hAnsi="宋体" w:cs="Calibri"/>
                <w:kern w:val="0"/>
                <w:sz w:val="22"/>
              </w:rPr>
            </w:pPr>
            <w:r>
              <w:rPr>
                <w:rFonts w:ascii="宋体" w:hAnsi="宋体" w:cs="Calibri"/>
                <w:kern w:val="0"/>
                <w:sz w:val="22"/>
              </w:rPr>
              <w:t>4.2.3</w:t>
            </w:r>
          </w:p>
        </w:tc>
        <w:tc>
          <w:tcPr>
            <w:tcW w:w="2004" w:type="dxa"/>
            <w:vAlign w:val="center"/>
          </w:tcPr>
          <w:p>
            <w:pPr>
              <w:autoSpaceDE w:val="0"/>
              <w:autoSpaceDN w:val="0"/>
              <w:adjustRightInd w:val="0"/>
              <w:snapToGrid w:val="0"/>
              <w:spacing w:line="400" w:lineRule="exact"/>
              <w:jc w:val="center"/>
              <w:rPr>
                <w:rFonts w:ascii="宋体" w:hAnsi="宋体" w:cs="Calibri"/>
                <w:kern w:val="0"/>
                <w:sz w:val="22"/>
              </w:rPr>
            </w:pPr>
            <w:r>
              <w:rPr>
                <w:rFonts w:ascii="宋体" w:hAnsi="宋体" w:cs="Calibri"/>
                <w:kern w:val="0"/>
                <w:sz w:val="22"/>
              </w:rPr>
              <w:t>是否退还投标文件</w:t>
            </w:r>
          </w:p>
        </w:tc>
        <w:tc>
          <w:tcPr>
            <w:tcW w:w="6487" w:type="dxa"/>
            <w:vAlign w:val="center"/>
          </w:tcPr>
          <w:p>
            <w:pPr>
              <w:autoSpaceDE w:val="0"/>
              <w:autoSpaceDN w:val="0"/>
              <w:adjustRightInd w:val="0"/>
              <w:snapToGrid w:val="0"/>
              <w:spacing w:line="400" w:lineRule="exact"/>
              <w:rPr>
                <w:rFonts w:ascii="宋体" w:hAnsi="宋体" w:cs="Calibri"/>
                <w:kern w:val="0"/>
                <w:sz w:val="22"/>
              </w:rPr>
            </w:pPr>
            <w:r>
              <w:rPr>
                <w:rFonts w:ascii="宋体" w:hAnsi="宋体" w:cs="Calibri"/>
                <w:kern w:val="0"/>
                <w:sz w:val="22"/>
              </w:rPr>
              <w:sym w:font="Wingdings" w:char="F0FE"/>
            </w:r>
            <w:r>
              <w:rPr>
                <w:rFonts w:ascii="宋体" w:hAnsi="宋体" w:cs="Calibri"/>
                <w:kern w:val="0"/>
                <w:sz w:val="22"/>
              </w:rPr>
              <w:t>否</w:t>
            </w:r>
          </w:p>
          <w:p>
            <w:pPr>
              <w:autoSpaceDE w:val="0"/>
              <w:autoSpaceDN w:val="0"/>
              <w:adjustRightInd w:val="0"/>
              <w:snapToGrid w:val="0"/>
              <w:spacing w:line="400" w:lineRule="exact"/>
              <w:rPr>
                <w:rFonts w:ascii="宋体" w:hAnsi="宋体" w:cs="Calibri"/>
                <w:kern w:val="0"/>
                <w:sz w:val="22"/>
              </w:rPr>
            </w:pPr>
            <w:r>
              <w:rPr>
                <w:rFonts w:ascii="宋体" w:hAnsi="宋体" w:cs="Calibri"/>
                <w:kern w:val="0"/>
                <w:sz w:val="22"/>
              </w:rPr>
              <w:t>□是</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spacing w:line="400" w:lineRule="exact"/>
              <w:jc w:val="center"/>
              <w:rPr>
                <w:rFonts w:ascii="宋体" w:hAnsi="宋体" w:cs="Calibri"/>
                <w:kern w:val="0"/>
                <w:sz w:val="22"/>
              </w:rPr>
            </w:pPr>
            <w:r>
              <w:rPr>
                <w:rFonts w:ascii="宋体" w:hAnsi="宋体" w:cs="Calibri"/>
                <w:kern w:val="0"/>
                <w:sz w:val="22"/>
              </w:rPr>
              <w:t>5.1.1</w:t>
            </w:r>
          </w:p>
        </w:tc>
        <w:tc>
          <w:tcPr>
            <w:tcW w:w="2004" w:type="dxa"/>
            <w:vAlign w:val="center"/>
          </w:tcPr>
          <w:p>
            <w:pPr>
              <w:autoSpaceDE w:val="0"/>
              <w:autoSpaceDN w:val="0"/>
              <w:adjustRightInd w:val="0"/>
              <w:snapToGrid w:val="0"/>
              <w:spacing w:line="400" w:lineRule="exact"/>
              <w:jc w:val="center"/>
              <w:rPr>
                <w:rFonts w:ascii="宋体" w:hAnsi="宋体" w:cs="Calibri"/>
                <w:kern w:val="0"/>
                <w:sz w:val="22"/>
              </w:rPr>
            </w:pPr>
            <w:r>
              <w:rPr>
                <w:rFonts w:ascii="宋体" w:hAnsi="宋体" w:cs="Calibri"/>
                <w:kern w:val="0"/>
                <w:sz w:val="22"/>
              </w:rPr>
              <w:t>开标时间和地点</w:t>
            </w:r>
          </w:p>
        </w:tc>
        <w:tc>
          <w:tcPr>
            <w:tcW w:w="6487" w:type="dxa"/>
            <w:vAlign w:val="center"/>
          </w:tcPr>
          <w:p>
            <w:pPr>
              <w:autoSpaceDE w:val="0"/>
              <w:autoSpaceDN w:val="0"/>
              <w:adjustRightInd w:val="0"/>
              <w:snapToGrid w:val="0"/>
              <w:spacing w:line="400" w:lineRule="exact"/>
              <w:rPr>
                <w:rFonts w:ascii="宋体" w:hAnsi="宋体" w:cs="Calibri"/>
                <w:kern w:val="0"/>
                <w:sz w:val="22"/>
              </w:rPr>
            </w:pPr>
            <w:r>
              <w:rPr>
                <w:rFonts w:ascii="宋体" w:hAnsi="宋体" w:cs="Calibri"/>
                <w:kern w:val="0"/>
                <w:sz w:val="22"/>
              </w:rPr>
              <w:t>开标时间：同投标截止时间</w:t>
            </w:r>
          </w:p>
          <w:p>
            <w:pPr>
              <w:autoSpaceDE w:val="0"/>
              <w:autoSpaceDN w:val="0"/>
              <w:adjustRightInd w:val="0"/>
              <w:snapToGrid w:val="0"/>
              <w:spacing w:line="400" w:lineRule="exact"/>
              <w:rPr>
                <w:rFonts w:ascii="宋体" w:hAnsi="宋体" w:cs="Calibri"/>
                <w:kern w:val="0"/>
                <w:sz w:val="22"/>
              </w:rPr>
            </w:pPr>
            <w:r>
              <w:rPr>
                <w:rFonts w:ascii="宋体" w:hAnsi="宋体" w:cs="Calibri"/>
                <w:kern w:val="0"/>
                <w:sz w:val="22"/>
              </w:rPr>
              <w:t>开标地点：</w:t>
            </w:r>
            <w:r>
              <w:rPr>
                <w:rFonts w:hint="eastAsia" w:ascii="等线" w:hAnsi="等线" w:cs="Arial"/>
                <w:kern w:val="0"/>
                <w:sz w:val="22"/>
              </w:rPr>
              <w:t>杭州萧山</w:t>
            </w:r>
            <w:r>
              <w:rPr>
                <w:rFonts w:ascii="等线" w:hAnsi="等线" w:cs="Arial"/>
                <w:kern w:val="0"/>
                <w:sz w:val="22"/>
              </w:rPr>
              <w:t>国际</w:t>
            </w:r>
            <w:r>
              <w:rPr>
                <w:rFonts w:hint="eastAsia" w:ascii="等线" w:hAnsi="等线" w:cs="Arial"/>
                <w:kern w:val="0"/>
                <w:sz w:val="22"/>
              </w:rPr>
              <w:t>机场翔越路综合服务楼园区招标中心</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spacing w:line="400" w:lineRule="exact"/>
              <w:jc w:val="center"/>
              <w:rPr>
                <w:rFonts w:ascii="宋体" w:hAnsi="宋体" w:cs="Calibri"/>
                <w:kern w:val="0"/>
                <w:sz w:val="22"/>
              </w:rPr>
            </w:pPr>
            <w:r>
              <w:rPr>
                <w:rFonts w:ascii="宋体" w:hAnsi="宋体" w:cs="Calibri"/>
                <w:kern w:val="0"/>
                <w:sz w:val="22"/>
              </w:rPr>
              <w:t>5.2</w:t>
            </w:r>
          </w:p>
        </w:tc>
        <w:tc>
          <w:tcPr>
            <w:tcW w:w="2004" w:type="dxa"/>
            <w:vAlign w:val="center"/>
          </w:tcPr>
          <w:p>
            <w:pPr>
              <w:autoSpaceDE w:val="0"/>
              <w:autoSpaceDN w:val="0"/>
              <w:adjustRightInd w:val="0"/>
              <w:snapToGrid w:val="0"/>
              <w:spacing w:line="400" w:lineRule="exact"/>
              <w:jc w:val="center"/>
              <w:rPr>
                <w:rFonts w:ascii="宋体" w:hAnsi="宋体" w:cs="Calibri"/>
                <w:kern w:val="0"/>
                <w:sz w:val="22"/>
              </w:rPr>
            </w:pPr>
            <w:r>
              <w:rPr>
                <w:rFonts w:ascii="宋体" w:hAnsi="宋体" w:cs="Calibri"/>
                <w:kern w:val="0"/>
                <w:sz w:val="22"/>
              </w:rPr>
              <w:t>开标程序</w:t>
            </w:r>
          </w:p>
        </w:tc>
        <w:tc>
          <w:tcPr>
            <w:tcW w:w="6487" w:type="dxa"/>
            <w:vAlign w:val="center"/>
          </w:tcPr>
          <w:p>
            <w:pPr>
              <w:autoSpaceDE w:val="0"/>
              <w:autoSpaceDN w:val="0"/>
              <w:adjustRightInd w:val="0"/>
              <w:snapToGrid w:val="0"/>
              <w:spacing w:line="400" w:lineRule="exact"/>
              <w:rPr>
                <w:rFonts w:ascii="宋体" w:hAnsi="宋体" w:cs="Calibri"/>
                <w:kern w:val="0"/>
                <w:sz w:val="22"/>
              </w:rPr>
            </w:pPr>
            <w:r>
              <w:rPr>
                <w:rFonts w:ascii="宋体" w:hAnsi="宋体" w:cs="Calibri"/>
                <w:kern w:val="0"/>
                <w:sz w:val="22"/>
              </w:rPr>
              <w:t>（1）密封情况检查：由投标人或者其集体推选的代表检查投标文件的密封情况。</w:t>
            </w:r>
          </w:p>
          <w:p>
            <w:pPr>
              <w:autoSpaceDE w:val="0"/>
              <w:autoSpaceDN w:val="0"/>
              <w:adjustRightInd w:val="0"/>
              <w:snapToGrid w:val="0"/>
              <w:spacing w:line="400" w:lineRule="exact"/>
              <w:rPr>
                <w:rFonts w:ascii="宋体" w:hAnsi="宋体" w:cs="Calibri"/>
                <w:kern w:val="0"/>
                <w:sz w:val="22"/>
              </w:rPr>
            </w:pPr>
            <w:r>
              <w:rPr>
                <w:rFonts w:ascii="宋体" w:hAnsi="宋体" w:cs="Calibri"/>
                <w:kern w:val="0"/>
                <w:sz w:val="22"/>
              </w:rPr>
              <w:t>（2）开标顺序：按照后送达先开的顺序</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spacing w:line="400" w:lineRule="exact"/>
              <w:jc w:val="center"/>
              <w:rPr>
                <w:rFonts w:ascii="宋体" w:hAnsi="宋体" w:cs="Calibri"/>
                <w:kern w:val="0"/>
                <w:sz w:val="22"/>
              </w:rPr>
            </w:pPr>
            <w:r>
              <w:rPr>
                <w:rFonts w:ascii="宋体" w:hAnsi="宋体" w:cs="Calibri"/>
                <w:kern w:val="0"/>
                <w:sz w:val="22"/>
              </w:rPr>
              <w:t>6.1.1</w:t>
            </w:r>
          </w:p>
        </w:tc>
        <w:tc>
          <w:tcPr>
            <w:tcW w:w="2004" w:type="dxa"/>
            <w:vAlign w:val="center"/>
          </w:tcPr>
          <w:p>
            <w:pPr>
              <w:autoSpaceDE w:val="0"/>
              <w:autoSpaceDN w:val="0"/>
              <w:adjustRightInd w:val="0"/>
              <w:snapToGrid w:val="0"/>
              <w:spacing w:line="400" w:lineRule="exact"/>
              <w:jc w:val="center"/>
              <w:rPr>
                <w:rFonts w:ascii="宋体" w:hAnsi="宋体" w:cs="Calibri"/>
                <w:kern w:val="0"/>
                <w:sz w:val="22"/>
              </w:rPr>
            </w:pPr>
            <w:r>
              <w:rPr>
                <w:rFonts w:ascii="宋体" w:hAnsi="宋体" w:cs="Calibri"/>
                <w:kern w:val="0"/>
                <w:sz w:val="22"/>
              </w:rPr>
              <w:t>评标委员会的组建</w:t>
            </w:r>
          </w:p>
        </w:tc>
        <w:tc>
          <w:tcPr>
            <w:tcW w:w="6487" w:type="dxa"/>
            <w:vAlign w:val="center"/>
          </w:tcPr>
          <w:p>
            <w:pPr>
              <w:autoSpaceDE w:val="0"/>
              <w:autoSpaceDN w:val="0"/>
              <w:adjustRightInd w:val="0"/>
              <w:snapToGrid w:val="0"/>
              <w:spacing w:line="400" w:lineRule="exact"/>
              <w:jc w:val="left"/>
              <w:rPr>
                <w:rFonts w:ascii="宋体" w:hAnsi="宋体"/>
                <w:sz w:val="22"/>
              </w:rPr>
            </w:pPr>
            <w:r>
              <w:rPr>
                <w:rFonts w:hint="eastAsia" w:ascii="宋体" w:hAnsi="宋体"/>
                <w:sz w:val="22"/>
              </w:rPr>
              <w:t>评标委员会构成</w:t>
            </w:r>
            <w:r>
              <w:rPr>
                <w:rFonts w:hint="eastAsia" w:ascii="宋体" w:hAnsi="宋体" w:cs="Calibri"/>
                <w:kern w:val="0"/>
                <w:sz w:val="22"/>
              </w:rPr>
              <w:t>：</w:t>
            </w:r>
            <w:r>
              <w:rPr>
                <w:rFonts w:ascii="宋体" w:hAnsi="宋体" w:cs="Calibri"/>
                <w:kern w:val="0"/>
                <w:sz w:val="22"/>
              </w:rPr>
              <w:t>3</w:t>
            </w:r>
            <w:r>
              <w:rPr>
                <w:rFonts w:hint="eastAsia" w:ascii="宋体" w:hAnsi="宋体"/>
                <w:sz w:val="22"/>
              </w:rPr>
              <w:t>人及以上单数</w:t>
            </w:r>
          </w:p>
          <w:p>
            <w:pPr>
              <w:autoSpaceDE w:val="0"/>
              <w:autoSpaceDN w:val="0"/>
              <w:adjustRightInd w:val="0"/>
              <w:snapToGrid w:val="0"/>
              <w:spacing w:line="400" w:lineRule="exact"/>
              <w:jc w:val="left"/>
              <w:rPr>
                <w:rFonts w:ascii="宋体" w:hAnsi="宋体"/>
                <w:sz w:val="22"/>
              </w:rPr>
            </w:pPr>
            <w:r>
              <w:rPr>
                <w:rFonts w:hint="eastAsia" w:ascii="宋体" w:hAnsi="宋体"/>
                <w:sz w:val="22"/>
              </w:rPr>
              <w:t>评标专家确定方式：评标委员会由招标人自行组建。</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spacing w:line="400" w:lineRule="exact"/>
              <w:jc w:val="center"/>
              <w:rPr>
                <w:rFonts w:ascii="宋体" w:hAnsi="宋体" w:cs="Calibri"/>
                <w:kern w:val="0"/>
                <w:sz w:val="22"/>
              </w:rPr>
            </w:pPr>
            <w:r>
              <w:rPr>
                <w:rFonts w:ascii="宋体" w:hAnsi="宋体" w:cs="Calibri"/>
                <w:kern w:val="0"/>
                <w:sz w:val="22"/>
              </w:rPr>
              <w:t>7.1</w:t>
            </w:r>
          </w:p>
        </w:tc>
        <w:tc>
          <w:tcPr>
            <w:tcW w:w="2004" w:type="dxa"/>
            <w:vAlign w:val="center"/>
          </w:tcPr>
          <w:p>
            <w:pPr>
              <w:autoSpaceDE w:val="0"/>
              <w:autoSpaceDN w:val="0"/>
              <w:adjustRightInd w:val="0"/>
              <w:snapToGrid w:val="0"/>
              <w:spacing w:line="400" w:lineRule="exact"/>
              <w:jc w:val="center"/>
              <w:rPr>
                <w:rFonts w:ascii="宋体" w:hAnsi="宋体" w:cs="Calibri"/>
                <w:kern w:val="0"/>
                <w:sz w:val="22"/>
              </w:rPr>
            </w:pPr>
            <w:r>
              <w:rPr>
                <w:rFonts w:ascii="宋体" w:hAnsi="宋体" w:cs="Calibri"/>
                <w:kern w:val="0"/>
                <w:sz w:val="22"/>
              </w:rPr>
              <w:t>是否授权评标委员会确定中标人</w:t>
            </w:r>
          </w:p>
        </w:tc>
        <w:tc>
          <w:tcPr>
            <w:tcW w:w="6487" w:type="dxa"/>
            <w:vAlign w:val="center"/>
          </w:tcPr>
          <w:p>
            <w:pPr>
              <w:autoSpaceDE w:val="0"/>
              <w:autoSpaceDN w:val="0"/>
              <w:adjustRightInd w:val="0"/>
              <w:snapToGrid w:val="0"/>
              <w:spacing w:line="400" w:lineRule="exact"/>
              <w:rPr>
                <w:rFonts w:ascii="宋体" w:hAnsi="宋体" w:cs="Calibri"/>
                <w:kern w:val="0"/>
                <w:sz w:val="22"/>
              </w:rPr>
            </w:pPr>
            <w:r>
              <w:rPr>
                <w:rFonts w:ascii="宋体" w:hAnsi="宋体" w:cs="Calibri"/>
                <w:kern w:val="0"/>
                <w:sz w:val="22"/>
              </w:rPr>
              <w:t>□是</w:t>
            </w:r>
          </w:p>
          <w:p>
            <w:pPr>
              <w:autoSpaceDE w:val="0"/>
              <w:autoSpaceDN w:val="0"/>
              <w:adjustRightInd w:val="0"/>
              <w:snapToGrid w:val="0"/>
              <w:spacing w:line="400" w:lineRule="exact"/>
              <w:rPr>
                <w:rFonts w:ascii="宋体" w:hAnsi="宋体" w:cs="Calibri"/>
                <w:kern w:val="0"/>
                <w:sz w:val="22"/>
              </w:rPr>
            </w:pPr>
            <w:r>
              <w:rPr>
                <w:rFonts w:ascii="宋体" w:hAnsi="宋体" w:cs="Calibri"/>
                <w:kern w:val="0"/>
                <w:sz w:val="22"/>
              </w:rPr>
              <w:sym w:font="Wingdings" w:char="F0FE"/>
            </w:r>
            <w:r>
              <w:rPr>
                <w:rFonts w:ascii="宋体" w:hAnsi="宋体" w:cs="Calibri"/>
                <w:kern w:val="0"/>
                <w:sz w:val="22"/>
              </w:rPr>
              <w:t>否，推荐的中标候选人数：</w:t>
            </w:r>
            <w:r>
              <w:rPr>
                <w:rFonts w:hint="eastAsia" w:ascii="宋体" w:hAnsi="宋体" w:cs="Calibri"/>
                <w:kern w:val="0"/>
                <w:sz w:val="22"/>
              </w:rPr>
              <w:t>由评标委员会依据综合得分由高到低的顺序按标段分别推荐排名前四位的投标人作为浙江省机场集团20</w:t>
            </w:r>
            <w:r>
              <w:rPr>
                <w:rFonts w:ascii="宋体" w:hAnsi="宋体" w:cs="Calibri"/>
                <w:kern w:val="0"/>
                <w:sz w:val="22"/>
              </w:rPr>
              <w:t>20</w:t>
            </w:r>
            <w:r>
              <w:rPr>
                <w:rFonts w:hint="eastAsia" w:ascii="宋体" w:hAnsi="宋体" w:cs="Calibri"/>
                <w:kern w:val="0"/>
                <w:sz w:val="22"/>
              </w:rPr>
              <w:t>-20</w:t>
            </w:r>
            <w:r>
              <w:rPr>
                <w:rFonts w:ascii="宋体" w:hAnsi="宋体" w:cs="Calibri"/>
                <w:kern w:val="0"/>
                <w:sz w:val="22"/>
              </w:rPr>
              <w:t>22</w:t>
            </w:r>
            <w:r>
              <w:rPr>
                <w:rFonts w:hint="eastAsia" w:ascii="宋体" w:hAnsi="宋体" w:cs="Calibri"/>
                <w:kern w:val="0"/>
                <w:sz w:val="22"/>
              </w:rPr>
              <w:t>年度招标代理机构选聘项目的中标候选人。</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spacing w:line="400" w:lineRule="exact"/>
              <w:jc w:val="center"/>
              <w:rPr>
                <w:rFonts w:ascii="宋体" w:hAnsi="宋体" w:cs="Calibri"/>
                <w:kern w:val="0"/>
                <w:sz w:val="22"/>
              </w:rPr>
            </w:pPr>
            <w:r>
              <w:rPr>
                <w:rFonts w:ascii="宋体" w:hAnsi="宋体" w:cs="Calibri"/>
                <w:kern w:val="0"/>
                <w:sz w:val="22"/>
              </w:rPr>
              <w:t>7.3.1</w:t>
            </w:r>
          </w:p>
        </w:tc>
        <w:tc>
          <w:tcPr>
            <w:tcW w:w="2004" w:type="dxa"/>
            <w:vAlign w:val="center"/>
          </w:tcPr>
          <w:p>
            <w:pPr>
              <w:autoSpaceDE w:val="0"/>
              <w:autoSpaceDN w:val="0"/>
              <w:adjustRightInd w:val="0"/>
              <w:snapToGrid w:val="0"/>
              <w:spacing w:line="400" w:lineRule="exact"/>
              <w:jc w:val="center"/>
              <w:rPr>
                <w:rFonts w:ascii="宋体" w:hAnsi="宋体" w:cs="Calibri"/>
                <w:kern w:val="0"/>
                <w:sz w:val="22"/>
              </w:rPr>
            </w:pPr>
            <w:r>
              <w:rPr>
                <w:rFonts w:ascii="宋体" w:hAnsi="宋体" w:cs="Calibri"/>
                <w:kern w:val="0"/>
                <w:sz w:val="22"/>
              </w:rPr>
              <w:t>履约担保</w:t>
            </w:r>
          </w:p>
        </w:tc>
        <w:tc>
          <w:tcPr>
            <w:tcW w:w="6487" w:type="dxa"/>
            <w:vAlign w:val="center"/>
          </w:tcPr>
          <w:p>
            <w:pPr>
              <w:autoSpaceDE w:val="0"/>
              <w:autoSpaceDN w:val="0"/>
              <w:adjustRightInd w:val="0"/>
              <w:snapToGrid w:val="0"/>
              <w:spacing w:line="400" w:lineRule="exact"/>
              <w:jc w:val="left"/>
              <w:rPr>
                <w:rFonts w:ascii="宋体" w:hAnsi="宋体"/>
                <w:sz w:val="22"/>
              </w:rPr>
            </w:pPr>
            <w:r>
              <w:rPr>
                <w:rFonts w:ascii="宋体" w:hAnsi="宋体"/>
                <w:sz w:val="22"/>
              </w:rPr>
              <w:t>履约担保的形式：</w:t>
            </w:r>
            <w:r>
              <w:rPr>
                <w:rFonts w:hint="eastAsia" w:ascii="宋体" w:hAnsi="宋体"/>
                <w:sz w:val="22"/>
              </w:rPr>
              <w:t>银行转账</w:t>
            </w:r>
          </w:p>
          <w:p>
            <w:pPr>
              <w:autoSpaceDE w:val="0"/>
              <w:autoSpaceDN w:val="0"/>
              <w:adjustRightInd w:val="0"/>
              <w:snapToGrid w:val="0"/>
              <w:spacing w:line="400" w:lineRule="exact"/>
              <w:jc w:val="left"/>
              <w:rPr>
                <w:rFonts w:hint="eastAsia" w:ascii="宋体" w:hAnsi="宋体"/>
                <w:sz w:val="22"/>
              </w:rPr>
            </w:pPr>
            <w:r>
              <w:rPr>
                <w:rFonts w:ascii="宋体" w:hAnsi="宋体"/>
                <w:sz w:val="22"/>
              </w:rPr>
              <w:t>履约担保的金额：</w:t>
            </w:r>
            <w:r>
              <w:rPr>
                <w:rFonts w:hint="eastAsia" w:ascii="宋体" w:hAnsi="宋体"/>
                <w:sz w:val="22"/>
              </w:rPr>
              <w:t>杭州萧山</w:t>
            </w:r>
            <w:r>
              <w:rPr>
                <w:rFonts w:ascii="宋体" w:hAnsi="宋体"/>
                <w:sz w:val="22"/>
              </w:rPr>
              <w:t>国际机场</w:t>
            </w:r>
            <w:r>
              <w:rPr>
                <w:rFonts w:hint="eastAsia" w:ascii="宋体" w:hAnsi="宋体"/>
                <w:sz w:val="22"/>
              </w:rPr>
              <w:t>有限</w:t>
            </w:r>
            <w:r>
              <w:rPr>
                <w:rFonts w:ascii="宋体" w:hAnsi="宋体"/>
                <w:sz w:val="22"/>
              </w:rPr>
              <w:t>公司</w:t>
            </w:r>
            <w:r>
              <w:rPr>
                <w:rFonts w:hint="eastAsia" w:ascii="宋体" w:hAnsi="宋体"/>
                <w:sz w:val="22"/>
              </w:rPr>
              <w:t>每家代理机构壹万元；浙江</w:t>
            </w:r>
            <w:r>
              <w:rPr>
                <w:rFonts w:ascii="宋体" w:hAnsi="宋体"/>
                <w:sz w:val="22"/>
              </w:rPr>
              <w:t>省机场</w:t>
            </w:r>
            <w:r>
              <w:rPr>
                <w:rFonts w:hint="eastAsia" w:ascii="宋体" w:hAnsi="宋体"/>
                <w:sz w:val="22"/>
              </w:rPr>
              <w:t>集团本级</w:t>
            </w:r>
            <w:r>
              <w:rPr>
                <w:rFonts w:ascii="宋体" w:hAnsi="宋体"/>
                <w:sz w:val="22"/>
              </w:rPr>
              <w:t>及</w:t>
            </w:r>
            <w:r>
              <w:rPr>
                <w:rFonts w:hint="eastAsia" w:ascii="宋体" w:hAnsi="宋体"/>
                <w:sz w:val="22"/>
              </w:rPr>
              <w:t>下属</w:t>
            </w:r>
            <w:r>
              <w:rPr>
                <w:rFonts w:hint="eastAsia" w:ascii="等线" w:hAnsi="等线" w:cs="Arial"/>
                <w:kern w:val="0"/>
                <w:sz w:val="22"/>
              </w:rPr>
              <w:t>浙江</w:t>
            </w:r>
            <w:r>
              <w:rPr>
                <w:rFonts w:ascii="等线" w:hAnsi="等线" w:cs="Arial"/>
                <w:kern w:val="0"/>
                <w:sz w:val="22"/>
              </w:rPr>
              <w:t>省机场集团</w:t>
            </w:r>
            <w:r>
              <w:rPr>
                <w:rFonts w:hint="eastAsia" w:ascii="等线" w:hAnsi="等线" w:cs="Arial"/>
                <w:kern w:val="0"/>
                <w:sz w:val="22"/>
              </w:rPr>
              <w:t>保安</w:t>
            </w:r>
            <w:r>
              <w:rPr>
                <w:rFonts w:ascii="等线" w:hAnsi="等线" w:cs="Arial"/>
                <w:kern w:val="0"/>
                <w:sz w:val="22"/>
              </w:rPr>
              <w:t>服务有限</w:t>
            </w:r>
            <w:r>
              <w:rPr>
                <w:rFonts w:hint="eastAsia" w:ascii="等线" w:hAnsi="等线" w:cs="Arial"/>
                <w:kern w:val="0"/>
                <w:sz w:val="22"/>
              </w:rPr>
              <w:t>公司</w:t>
            </w:r>
            <w:r>
              <w:rPr>
                <w:rFonts w:ascii="等线" w:hAnsi="等线" w:cs="Arial"/>
                <w:kern w:val="0"/>
                <w:sz w:val="22"/>
              </w:rPr>
              <w:t>、</w:t>
            </w:r>
            <w:r>
              <w:rPr>
                <w:rFonts w:hint="eastAsia" w:ascii="等线" w:hAnsi="等线" w:cs="Arial"/>
                <w:kern w:val="0"/>
                <w:sz w:val="22"/>
              </w:rPr>
              <w:t>浙江</w:t>
            </w:r>
            <w:r>
              <w:rPr>
                <w:rFonts w:ascii="等线" w:hAnsi="等线" w:cs="Arial"/>
                <w:kern w:val="0"/>
                <w:sz w:val="22"/>
              </w:rPr>
              <w:t>空港培训</w:t>
            </w:r>
            <w:r>
              <w:rPr>
                <w:rFonts w:hint="eastAsia" w:ascii="等线" w:hAnsi="等线" w:cs="Arial"/>
                <w:kern w:val="0"/>
                <w:sz w:val="22"/>
              </w:rPr>
              <w:t>服务</w:t>
            </w:r>
            <w:r>
              <w:rPr>
                <w:rFonts w:ascii="等线" w:hAnsi="等线" w:cs="Arial"/>
                <w:kern w:val="0"/>
                <w:sz w:val="22"/>
              </w:rPr>
              <w:t>咨询有限公司、</w:t>
            </w:r>
            <w:r>
              <w:rPr>
                <w:rFonts w:hint="eastAsia" w:ascii="等线" w:hAnsi="等线" w:cs="Arial"/>
                <w:kern w:val="0"/>
                <w:sz w:val="22"/>
              </w:rPr>
              <w:t>浙江省</w:t>
            </w:r>
            <w:r>
              <w:rPr>
                <w:rFonts w:ascii="等线" w:hAnsi="等线" w:cs="Arial"/>
                <w:kern w:val="0"/>
                <w:sz w:val="22"/>
              </w:rPr>
              <w:t>通用航空</w:t>
            </w:r>
            <w:r>
              <w:rPr>
                <w:rFonts w:hint="eastAsia" w:ascii="等线" w:hAnsi="等线" w:cs="Arial"/>
                <w:kern w:val="0"/>
                <w:sz w:val="22"/>
              </w:rPr>
              <w:t>产业</w:t>
            </w:r>
            <w:r>
              <w:rPr>
                <w:rFonts w:ascii="等线" w:hAnsi="等线" w:cs="Arial"/>
                <w:kern w:val="0"/>
                <w:sz w:val="22"/>
              </w:rPr>
              <w:t>发展有限</w:t>
            </w:r>
            <w:r>
              <w:rPr>
                <w:rFonts w:hint="eastAsia" w:ascii="等线" w:hAnsi="等线" w:cs="Arial"/>
                <w:kern w:val="0"/>
                <w:sz w:val="22"/>
              </w:rPr>
              <w:t>公司</w:t>
            </w:r>
            <w:r>
              <w:rPr>
                <w:rFonts w:ascii="等线" w:hAnsi="等线" w:cs="Arial"/>
                <w:kern w:val="0"/>
                <w:sz w:val="22"/>
              </w:rPr>
              <w:t>、</w:t>
            </w:r>
            <w:r>
              <w:rPr>
                <w:rFonts w:hint="eastAsia" w:ascii="等线" w:hAnsi="等线"/>
                <w:kern w:val="0"/>
                <w:sz w:val="22"/>
              </w:rPr>
              <w:t>浙江</w:t>
            </w:r>
            <w:r>
              <w:rPr>
                <w:rFonts w:ascii="等线" w:hAnsi="等线"/>
                <w:kern w:val="0"/>
                <w:sz w:val="22"/>
              </w:rPr>
              <w:t>省空港融资租赁有限公司</w:t>
            </w:r>
            <w:r>
              <w:rPr>
                <w:rFonts w:hint="eastAsia" w:ascii="宋体" w:hAnsi="宋体"/>
                <w:sz w:val="22"/>
              </w:rPr>
              <w:t>每家</w:t>
            </w:r>
            <w:r>
              <w:rPr>
                <w:rFonts w:ascii="宋体" w:hAnsi="宋体"/>
                <w:sz w:val="22"/>
              </w:rPr>
              <w:t>代理机构</w:t>
            </w:r>
            <w:r>
              <w:rPr>
                <w:rFonts w:hint="eastAsia" w:ascii="等线" w:hAnsi="等线"/>
                <w:kern w:val="0"/>
                <w:sz w:val="22"/>
              </w:rPr>
              <w:t>5家</w:t>
            </w:r>
            <w:r>
              <w:rPr>
                <w:rFonts w:ascii="等线" w:hAnsi="等线"/>
                <w:kern w:val="0"/>
                <w:sz w:val="22"/>
              </w:rPr>
              <w:t>单位</w:t>
            </w:r>
            <w:r>
              <w:rPr>
                <w:rFonts w:hint="eastAsia" w:ascii="宋体" w:hAnsi="宋体"/>
                <w:sz w:val="22"/>
              </w:rPr>
              <w:t>各贰仟元，</w:t>
            </w:r>
            <w:r>
              <w:rPr>
                <w:rFonts w:ascii="宋体" w:hAnsi="宋体"/>
                <w:sz w:val="22"/>
              </w:rPr>
              <w:t>共</w:t>
            </w:r>
            <w:r>
              <w:rPr>
                <w:rFonts w:hint="eastAsia" w:ascii="宋体" w:hAnsi="宋体"/>
                <w:sz w:val="22"/>
              </w:rPr>
              <w:t>壹万元</w:t>
            </w:r>
            <w:r>
              <w:rPr>
                <w:rFonts w:ascii="等线" w:hAnsi="等线"/>
                <w:kern w:val="0"/>
                <w:sz w:val="22"/>
              </w:rPr>
              <w:t>。</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spacing w:line="400" w:lineRule="exact"/>
              <w:jc w:val="center"/>
              <w:rPr>
                <w:rFonts w:ascii="宋体" w:hAnsi="宋体" w:cs="Calibri"/>
                <w:kern w:val="0"/>
                <w:sz w:val="22"/>
              </w:rPr>
            </w:pPr>
            <w:r>
              <w:rPr>
                <w:rFonts w:ascii="宋体" w:hAnsi="宋体" w:cs="Calibri"/>
                <w:kern w:val="0"/>
                <w:sz w:val="22"/>
              </w:rPr>
              <w:t>10</w:t>
            </w:r>
          </w:p>
        </w:tc>
        <w:tc>
          <w:tcPr>
            <w:tcW w:w="8491" w:type="dxa"/>
            <w:gridSpan w:val="2"/>
            <w:vAlign w:val="center"/>
          </w:tcPr>
          <w:p>
            <w:pPr>
              <w:autoSpaceDE w:val="0"/>
              <w:autoSpaceDN w:val="0"/>
              <w:adjustRightInd w:val="0"/>
              <w:snapToGrid w:val="0"/>
              <w:spacing w:line="400" w:lineRule="exact"/>
              <w:jc w:val="center"/>
              <w:rPr>
                <w:rFonts w:ascii="宋体" w:hAnsi="宋体" w:cs="Calibri"/>
                <w:snapToGrid w:val="0"/>
                <w:sz w:val="22"/>
              </w:rPr>
            </w:pPr>
            <w:r>
              <w:rPr>
                <w:rFonts w:ascii="宋体" w:hAnsi="宋体" w:cs="Calibri"/>
                <w:kern w:val="0"/>
                <w:sz w:val="22"/>
              </w:rPr>
              <w:t>需要补充的其他内容</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1380" w:hRule="atLeast"/>
          <w:jc w:val="center"/>
        </w:trPr>
        <w:tc>
          <w:tcPr>
            <w:tcW w:w="951" w:type="dxa"/>
            <w:shd w:val="clear" w:color="auto" w:fill="auto"/>
            <w:vAlign w:val="center"/>
          </w:tcPr>
          <w:p>
            <w:pPr>
              <w:autoSpaceDE w:val="0"/>
              <w:autoSpaceDN w:val="0"/>
              <w:adjustRightInd w:val="0"/>
              <w:snapToGrid w:val="0"/>
              <w:spacing w:line="400" w:lineRule="exact"/>
              <w:jc w:val="center"/>
              <w:rPr>
                <w:rFonts w:ascii="宋体" w:hAnsi="宋体" w:cs="Calibri"/>
                <w:kern w:val="0"/>
                <w:sz w:val="22"/>
              </w:rPr>
            </w:pPr>
            <w:r>
              <w:rPr>
                <w:rFonts w:ascii="宋体" w:hAnsi="宋体" w:cs="Calibri"/>
                <w:kern w:val="0"/>
                <w:sz w:val="22"/>
              </w:rPr>
              <w:t>10.</w:t>
            </w:r>
            <w:r>
              <w:rPr>
                <w:rFonts w:hint="eastAsia" w:ascii="宋体" w:hAnsi="宋体" w:cs="Calibri"/>
                <w:kern w:val="0"/>
                <w:sz w:val="22"/>
              </w:rPr>
              <w:t>2</w:t>
            </w:r>
          </w:p>
        </w:tc>
        <w:tc>
          <w:tcPr>
            <w:tcW w:w="2004" w:type="dxa"/>
            <w:shd w:val="clear" w:color="auto" w:fill="auto"/>
            <w:vAlign w:val="center"/>
          </w:tcPr>
          <w:p>
            <w:pPr>
              <w:pStyle w:val="43"/>
              <w:adjustRightInd w:val="0"/>
              <w:snapToGrid w:val="0"/>
              <w:spacing w:line="400" w:lineRule="exact"/>
              <w:jc w:val="center"/>
              <w:rPr>
                <w:rFonts w:ascii="宋体" w:hAnsi="宋体" w:cs="Calibri"/>
                <w:color w:val="auto"/>
                <w:sz w:val="22"/>
                <w:szCs w:val="22"/>
              </w:rPr>
            </w:pPr>
            <w:r>
              <w:rPr>
                <w:rFonts w:ascii="宋体" w:hAnsi="宋体" w:cs="Calibri"/>
                <w:color w:val="auto"/>
                <w:sz w:val="22"/>
                <w:szCs w:val="22"/>
              </w:rPr>
              <w:t>其他</w:t>
            </w:r>
          </w:p>
        </w:tc>
        <w:tc>
          <w:tcPr>
            <w:tcW w:w="6487" w:type="dxa"/>
            <w:shd w:val="clear" w:color="auto" w:fill="FFFFFF"/>
            <w:vAlign w:val="center"/>
          </w:tcPr>
          <w:p>
            <w:pPr>
              <w:autoSpaceDE w:val="0"/>
              <w:autoSpaceDN w:val="0"/>
              <w:adjustRightInd w:val="0"/>
              <w:snapToGrid w:val="0"/>
              <w:spacing w:line="400" w:lineRule="exact"/>
              <w:jc w:val="left"/>
              <w:rPr>
                <w:rFonts w:ascii="宋体" w:hAnsi="宋体"/>
                <w:sz w:val="22"/>
              </w:rPr>
            </w:pPr>
            <w:r>
              <w:rPr>
                <w:rFonts w:ascii="宋体" w:hAnsi="宋体"/>
                <w:sz w:val="22"/>
              </w:rPr>
              <w:t>1、投标人如发现招标文件及其评标办法中存在含糊不清、相互矛盾、多种含义以及歧视性不公正条款或违法违规等内容时，请在投标截止十日前向招标人书面反映，逾期不得再对招标文件的条款提出</w:t>
            </w:r>
            <w:r>
              <w:rPr>
                <w:rFonts w:hint="eastAsia" w:ascii="宋体" w:hAnsi="宋体"/>
                <w:sz w:val="22"/>
              </w:rPr>
              <w:t>异议</w:t>
            </w:r>
            <w:r>
              <w:rPr>
                <w:rFonts w:ascii="宋体" w:hAnsi="宋体"/>
                <w:sz w:val="22"/>
              </w:rPr>
              <w:t>。</w:t>
            </w:r>
          </w:p>
          <w:p>
            <w:pPr>
              <w:autoSpaceDE w:val="0"/>
              <w:autoSpaceDN w:val="0"/>
              <w:adjustRightInd w:val="0"/>
              <w:snapToGrid w:val="0"/>
              <w:spacing w:line="400" w:lineRule="exact"/>
              <w:jc w:val="left"/>
              <w:rPr>
                <w:rFonts w:ascii="宋体" w:hAnsi="宋体"/>
                <w:sz w:val="22"/>
              </w:rPr>
            </w:pPr>
            <w:r>
              <w:rPr>
                <w:rFonts w:ascii="宋体" w:hAnsi="宋体"/>
                <w:sz w:val="22"/>
              </w:rPr>
              <w:t>2、本前附表内容与招标文件其他内容不一致之处，以本前附表为准。</w:t>
            </w:r>
          </w:p>
          <w:p>
            <w:pPr>
              <w:widowControl/>
              <w:adjustRightInd w:val="0"/>
              <w:snapToGrid w:val="0"/>
              <w:spacing w:line="400" w:lineRule="exact"/>
              <w:rPr>
                <w:rFonts w:hint="eastAsia" w:ascii="宋体" w:hAnsi="宋体" w:cs="Arial"/>
                <w:kern w:val="0"/>
                <w:sz w:val="22"/>
              </w:rPr>
            </w:pPr>
            <w:r>
              <w:rPr>
                <w:rFonts w:hint="eastAsia" w:ascii="宋体" w:hAnsi="宋体"/>
                <w:sz w:val="22"/>
              </w:rPr>
              <w:t>3、</w:t>
            </w:r>
            <w:r>
              <w:rPr>
                <w:rFonts w:hint="eastAsia" w:ascii="宋体" w:hAnsi="宋体" w:cs="Calibri"/>
                <w:snapToGrid w:val="0"/>
                <w:kern w:val="0"/>
                <w:sz w:val="22"/>
              </w:rPr>
              <w:t>确定中标人后，各单位分别与中标人签署合同</w:t>
            </w:r>
            <w:r>
              <w:rPr>
                <w:rFonts w:hint="eastAsia" w:ascii="宋体" w:hAnsi="宋体" w:cs="Arial"/>
                <w:kern w:val="0"/>
                <w:sz w:val="22"/>
              </w:rPr>
              <w:t>。</w:t>
            </w:r>
          </w:p>
        </w:tc>
      </w:tr>
      <w:bookmarkEnd w:id="1"/>
      <w:bookmarkEnd w:id="2"/>
    </w:tbl>
    <w:p>
      <w:pPr>
        <w:autoSpaceDE w:val="0"/>
        <w:autoSpaceDN w:val="0"/>
        <w:adjustRightInd w:val="0"/>
        <w:spacing w:line="400" w:lineRule="exact"/>
        <w:ind w:firstLine="420" w:firstLineChars="200"/>
        <w:rPr>
          <w:rFonts w:eastAsia="黑体" w:cs="Calibri"/>
          <w:b/>
          <w:bCs/>
          <w:kern w:val="0"/>
          <w:szCs w:val="21"/>
        </w:rPr>
      </w:pPr>
      <w:bookmarkStart w:id="39" w:name="_Toc143421656"/>
      <w:bookmarkStart w:id="40" w:name="_Toc11067"/>
    </w:p>
    <w:bookmarkEnd w:id="39"/>
    <w:bookmarkEnd w:id="40"/>
    <w:p>
      <w:pPr>
        <w:autoSpaceDE w:val="0"/>
        <w:autoSpaceDN w:val="0"/>
        <w:adjustRightInd w:val="0"/>
        <w:snapToGrid w:val="0"/>
        <w:spacing w:line="360" w:lineRule="exact"/>
        <w:rPr>
          <w:rFonts w:hint="eastAsia" w:eastAsia="黑体" w:cs="Calibri"/>
          <w:b/>
          <w:bCs/>
          <w:kern w:val="0"/>
          <w:szCs w:val="21"/>
        </w:rPr>
      </w:pPr>
    </w:p>
    <w:p>
      <w:pPr>
        <w:autoSpaceDE w:val="0"/>
        <w:autoSpaceDN w:val="0"/>
        <w:adjustRightInd w:val="0"/>
        <w:snapToGrid w:val="0"/>
        <w:spacing w:line="360" w:lineRule="exact"/>
        <w:rPr>
          <w:rFonts w:eastAsia="黑体" w:cs="Calibri"/>
          <w:b/>
          <w:bCs/>
          <w:kern w:val="0"/>
          <w:szCs w:val="21"/>
        </w:rPr>
      </w:pPr>
    </w:p>
    <w:p>
      <w:pPr>
        <w:autoSpaceDE w:val="0"/>
        <w:autoSpaceDN w:val="0"/>
        <w:adjustRightInd w:val="0"/>
        <w:snapToGrid w:val="0"/>
        <w:spacing w:line="360" w:lineRule="exact"/>
        <w:rPr>
          <w:rFonts w:eastAsia="黑体" w:cs="Calibri"/>
          <w:b/>
          <w:bCs/>
          <w:kern w:val="0"/>
          <w:szCs w:val="21"/>
        </w:rPr>
      </w:pPr>
    </w:p>
    <w:p>
      <w:pPr>
        <w:autoSpaceDE w:val="0"/>
        <w:autoSpaceDN w:val="0"/>
        <w:adjustRightInd w:val="0"/>
        <w:snapToGrid w:val="0"/>
        <w:spacing w:line="360" w:lineRule="exact"/>
        <w:rPr>
          <w:rFonts w:eastAsia="黑体" w:cs="Calibri"/>
          <w:b/>
          <w:bCs/>
          <w:kern w:val="0"/>
          <w:szCs w:val="21"/>
        </w:rPr>
      </w:pPr>
    </w:p>
    <w:p>
      <w:pPr>
        <w:autoSpaceDE w:val="0"/>
        <w:autoSpaceDN w:val="0"/>
        <w:adjustRightInd w:val="0"/>
        <w:snapToGrid w:val="0"/>
        <w:spacing w:line="360" w:lineRule="exact"/>
        <w:rPr>
          <w:rFonts w:eastAsia="黑体" w:cs="Calibri"/>
          <w:b/>
          <w:bCs/>
          <w:kern w:val="0"/>
          <w:szCs w:val="21"/>
        </w:rPr>
      </w:pPr>
    </w:p>
    <w:p>
      <w:pPr>
        <w:autoSpaceDE w:val="0"/>
        <w:autoSpaceDN w:val="0"/>
        <w:adjustRightInd w:val="0"/>
        <w:snapToGrid w:val="0"/>
        <w:spacing w:line="360" w:lineRule="exact"/>
        <w:rPr>
          <w:rFonts w:eastAsia="黑体" w:cs="Calibri"/>
          <w:b/>
          <w:bCs/>
          <w:kern w:val="0"/>
          <w:szCs w:val="21"/>
        </w:rPr>
      </w:pPr>
    </w:p>
    <w:p>
      <w:pPr>
        <w:autoSpaceDE w:val="0"/>
        <w:autoSpaceDN w:val="0"/>
        <w:adjustRightInd w:val="0"/>
        <w:snapToGrid w:val="0"/>
        <w:spacing w:line="360" w:lineRule="exact"/>
        <w:rPr>
          <w:rFonts w:eastAsia="黑体" w:cs="Calibri"/>
          <w:b/>
          <w:bCs/>
          <w:kern w:val="0"/>
          <w:szCs w:val="21"/>
        </w:rPr>
      </w:pPr>
    </w:p>
    <w:p>
      <w:pPr>
        <w:autoSpaceDE w:val="0"/>
        <w:autoSpaceDN w:val="0"/>
        <w:adjustRightInd w:val="0"/>
        <w:snapToGrid w:val="0"/>
        <w:spacing w:line="360" w:lineRule="exact"/>
        <w:rPr>
          <w:rFonts w:eastAsia="黑体" w:cs="Calibri"/>
          <w:b/>
          <w:bCs/>
          <w:kern w:val="0"/>
          <w:szCs w:val="21"/>
        </w:rPr>
      </w:pPr>
    </w:p>
    <w:p>
      <w:pPr>
        <w:autoSpaceDE w:val="0"/>
        <w:autoSpaceDN w:val="0"/>
        <w:adjustRightInd w:val="0"/>
        <w:snapToGrid w:val="0"/>
        <w:spacing w:line="360" w:lineRule="exact"/>
        <w:rPr>
          <w:rFonts w:eastAsia="黑体" w:cs="Calibri"/>
          <w:b/>
          <w:bCs/>
          <w:kern w:val="0"/>
          <w:szCs w:val="21"/>
        </w:rPr>
      </w:pPr>
    </w:p>
    <w:p>
      <w:pPr>
        <w:autoSpaceDE w:val="0"/>
        <w:autoSpaceDN w:val="0"/>
        <w:adjustRightInd w:val="0"/>
        <w:snapToGrid w:val="0"/>
        <w:spacing w:line="360" w:lineRule="exact"/>
        <w:rPr>
          <w:rFonts w:eastAsia="黑体" w:cs="Calibri"/>
          <w:b/>
          <w:bCs/>
          <w:kern w:val="0"/>
          <w:szCs w:val="21"/>
        </w:rPr>
      </w:pPr>
    </w:p>
    <w:p>
      <w:pPr>
        <w:autoSpaceDE w:val="0"/>
        <w:autoSpaceDN w:val="0"/>
        <w:adjustRightInd w:val="0"/>
        <w:snapToGrid w:val="0"/>
        <w:spacing w:line="360" w:lineRule="exact"/>
        <w:rPr>
          <w:rFonts w:eastAsia="黑体" w:cs="Calibri"/>
          <w:b/>
          <w:bCs/>
          <w:kern w:val="0"/>
          <w:szCs w:val="21"/>
        </w:rPr>
      </w:pPr>
    </w:p>
    <w:p>
      <w:pPr>
        <w:autoSpaceDE w:val="0"/>
        <w:autoSpaceDN w:val="0"/>
        <w:adjustRightInd w:val="0"/>
        <w:snapToGrid w:val="0"/>
        <w:spacing w:line="360" w:lineRule="exact"/>
        <w:rPr>
          <w:rFonts w:eastAsia="黑体" w:cs="Calibri"/>
          <w:b/>
          <w:bCs/>
          <w:kern w:val="0"/>
          <w:szCs w:val="21"/>
        </w:rPr>
      </w:pPr>
    </w:p>
    <w:p>
      <w:pPr>
        <w:autoSpaceDE w:val="0"/>
        <w:autoSpaceDN w:val="0"/>
        <w:adjustRightInd w:val="0"/>
        <w:snapToGrid w:val="0"/>
        <w:spacing w:line="360" w:lineRule="exact"/>
        <w:rPr>
          <w:rFonts w:eastAsia="黑体" w:cs="Calibri"/>
          <w:b/>
          <w:bCs/>
          <w:kern w:val="0"/>
          <w:szCs w:val="21"/>
        </w:rPr>
      </w:pPr>
    </w:p>
    <w:p>
      <w:pPr>
        <w:autoSpaceDE w:val="0"/>
        <w:autoSpaceDN w:val="0"/>
        <w:adjustRightInd w:val="0"/>
        <w:snapToGrid w:val="0"/>
        <w:spacing w:line="360" w:lineRule="exact"/>
        <w:rPr>
          <w:rFonts w:hint="eastAsia" w:eastAsia="黑体" w:cs="Calibri"/>
          <w:b/>
          <w:bCs/>
          <w:kern w:val="0"/>
          <w:szCs w:val="21"/>
        </w:rPr>
      </w:pPr>
    </w:p>
    <w:p>
      <w:pPr>
        <w:autoSpaceDE w:val="0"/>
        <w:autoSpaceDN w:val="0"/>
        <w:adjustRightInd w:val="0"/>
        <w:snapToGrid w:val="0"/>
        <w:spacing w:line="360" w:lineRule="exact"/>
        <w:rPr>
          <w:rFonts w:ascii="宋体" w:hAnsi="宋体" w:cs="Calibri"/>
          <w:b/>
          <w:bCs/>
          <w:kern w:val="0"/>
          <w:sz w:val="22"/>
        </w:rPr>
      </w:pPr>
      <w:r>
        <w:rPr>
          <w:rFonts w:ascii="宋体" w:hAnsi="宋体" w:cs="Calibri"/>
          <w:b/>
          <w:bCs/>
          <w:kern w:val="0"/>
          <w:sz w:val="22"/>
        </w:rPr>
        <w:t>1.</w:t>
      </w:r>
      <w:r>
        <w:rPr>
          <w:rFonts w:hint="eastAsia" w:ascii="宋体" w:hAnsi="宋体" w:cs="Calibri"/>
          <w:b/>
          <w:bCs/>
          <w:kern w:val="0"/>
          <w:sz w:val="22"/>
        </w:rPr>
        <w:t xml:space="preserve"> </w:t>
      </w:r>
      <w:r>
        <w:rPr>
          <w:rFonts w:ascii="宋体" w:hAnsi="宋体" w:cs="Calibri"/>
          <w:b/>
          <w:bCs/>
          <w:kern w:val="0"/>
          <w:sz w:val="22"/>
        </w:rPr>
        <w:t>总则</w:t>
      </w:r>
    </w:p>
    <w:p>
      <w:pPr>
        <w:autoSpaceDE w:val="0"/>
        <w:autoSpaceDN w:val="0"/>
        <w:adjustRightInd w:val="0"/>
        <w:snapToGrid w:val="0"/>
        <w:spacing w:line="360" w:lineRule="exact"/>
        <w:rPr>
          <w:rFonts w:ascii="宋体" w:hAnsi="宋体" w:cs="Calibri"/>
          <w:b/>
          <w:bCs/>
          <w:kern w:val="0"/>
          <w:sz w:val="22"/>
        </w:rPr>
      </w:pPr>
      <w:bookmarkStart w:id="41" w:name="_Toc26216"/>
      <w:r>
        <w:rPr>
          <w:rFonts w:ascii="宋体" w:hAnsi="宋体" w:cs="Calibri"/>
          <w:b/>
          <w:bCs/>
          <w:kern w:val="0"/>
          <w:sz w:val="22"/>
        </w:rPr>
        <w:t>1.1 项目</w:t>
      </w:r>
      <w:bookmarkEnd w:id="41"/>
      <w:r>
        <w:rPr>
          <w:rFonts w:ascii="宋体" w:hAnsi="宋体" w:cs="Calibri"/>
          <w:b/>
          <w:bCs/>
          <w:kern w:val="0"/>
          <w:sz w:val="22"/>
        </w:rPr>
        <w:t>概况</w:t>
      </w:r>
    </w:p>
    <w:p>
      <w:pPr>
        <w:adjustRightInd w:val="0"/>
        <w:snapToGrid w:val="0"/>
        <w:spacing w:line="360" w:lineRule="exact"/>
        <w:ind w:firstLine="440" w:firstLineChars="200"/>
        <w:rPr>
          <w:rFonts w:ascii="宋体" w:hAnsi="宋体" w:cs="Calibri"/>
          <w:color w:val="000000"/>
          <w:kern w:val="0"/>
          <w:sz w:val="22"/>
        </w:rPr>
      </w:pPr>
      <w:r>
        <w:rPr>
          <w:rFonts w:ascii="宋体" w:hAnsi="宋体" w:cs="Calibri"/>
          <w:color w:val="000000"/>
          <w:kern w:val="0"/>
          <w:sz w:val="22"/>
        </w:rPr>
        <w:t>1.1.1项目名称见投标人须知前附表。根据《中华人民共和国招标投标法》、《中华人民共和国招标投标法实施条例》等有关法律、法规和规章的规定，本招标项目已具备招标条件，现对本项目进行招标。</w:t>
      </w:r>
    </w:p>
    <w:p>
      <w:pPr>
        <w:adjustRightInd w:val="0"/>
        <w:snapToGrid w:val="0"/>
        <w:spacing w:line="360" w:lineRule="exact"/>
        <w:ind w:firstLine="440" w:firstLineChars="200"/>
        <w:rPr>
          <w:rFonts w:ascii="宋体" w:hAnsi="宋体" w:cs="Calibri"/>
          <w:color w:val="000000"/>
          <w:sz w:val="22"/>
        </w:rPr>
      </w:pPr>
      <w:r>
        <w:rPr>
          <w:rFonts w:ascii="宋体" w:hAnsi="宋体" w:cs="Calibri"/>
          <w:color w:val="000000"/>
          <w:kern w:val="0"/>
          <w:sz w:val="22"/>
        </w:rPr>
        <w:t>1.1.2项目</w:t>
      </w:r>
      <w:r>
        <w:rPr>
          <w:rFonts w:hint="eastAsia" w:ascii="宋体" w:hAnsi="宋体" w:cs="Calibri"/>
          <w:color w:val="000000"/>
          <w:kern w:val="0"/>
          <w:sz w:val="22"/>
        </w:rPr>
        <w:t>实施</w:t>
      </w:r>
      <w:r>
        <w:rPr>
          <w:rFonts w:ascii="宋体" w:hAnsi="宋体" w:cs="Calibri"/>
          <w:color w:val="000000"/>
          <w:kern w:val="0"/>
          <w:sz w:val="22"/>
        </w:rPr>
        <w:t>地点见投标人须知前附表</w:t>
      </w:r>
      <w:r>
        <w:rPr>
          <w:rFonts w:ascii="宋体" w:hAnsi="宋体" w:cs="Calibri"/>
          <w:color w:val="000000"/>
          <w:sz w:val="22"/>
        </w:rPr>
        <w:t>。</w:t>
      </w:r>
    </w:p>
    <w:p>
      <w:pPr>
        <w:autoSpaceDE w:val="0"/>
        <w:autoSpaceDN w:val="0"/>
        <w:adjustRightInd w:val="0"/>
        <w:snapToGrid w:val="0"/>
        <w:spacing w:line="360" w:lineRule="exact"/>
        <w:rPr>
          <w:rFonts w:ascii="宋体" w:hAnsi="宋体" w:cs="Calibri"/>
          <w:b/>
          <w:bCs/>
          <w:kern w:val="0"/>
          <w:sz w:val="22"/>
        </w:rPr>
      </w:pPr>
      <w:bookmarkStart w:id="42" w:name="_Toc9136"/>
      <w:r>
        <w:rPr>
          <w:rFonts w:ascii="宋体" w:hAnsi="宋体" w:cs="Calibri"/>
          <w:b/>
          <w:bCs/>
          <w:kern w:val="0"/>
          <w:sz w:val="22"/>
        </w:rPr>
        <w:t>1.</w:t>
      </w:r>
      <w:r>
        <w:rPr>
          <w:rFonts w:hint="eastAsia" w:ascii="宋体" w:hAnsi="宋体" w:cs="Calibri"/>
          <w:b/>
          <w:bCs/>
          <w:kern w:val="0"/>
          <w:sz w:val="22"/>
        </w:rPr>
        <w:t>2</w:t>
      </w:r>
      <w:r>
        <w:rPr>
          <w:rFonts w:ascii="宋体" w:hAnsi="宋体" w:cs="Calibri"/>
          <w:b/>
          <w:bCs/>
          <w:kern w:val="0"/>
          <w:sz w:val="22"/>
        </w:rPr>
        <w:t xml:space="preserve"> 资金来源</w:t>
      </w:r>
      <w:bookmarkEnd w:id="42"/>
    </w:p>
    <w:p>
      <w:pPr>
        <w:adjustRightInd w:val="0"/>
        <w:snapToGrid w:val="0"/>
        <w:spacing w:line="360" w:lineRule="exact"/>
        <w:ind w:firstLine="440" w:firstLineChars="200"/>
        <w:rPr>
          <w:rFonts w:ascii="宋体" w:hAnsi="宋体" w:cs="Calibri"/>
          <w:color w:val="000000"/>
          <w:sz w:val="22"/>
        </w:rPr>
      </w:pPr>
      <w:r>
        <w:rPr>
          <w:rFonts w:ascii="宋体" w:hAnsi="宋体" w:cs="Calibri"/>
          <w:color w:val="000000"/>
          <w:sz w:val="22"/>
        </w:rPr>
        <w:t>见投标人须知前附表。</w:t>
      </w:r>
    </w:p>
    <w:p>
      <w:pPr>
        <w:autoSpaceDE w:val="0"/>
        <w:autoSpaceDN w:val="0"/>
        <w:adjustRightInd w:val="0"/>
        <w:snapToGrid w:val="0"/>
        <w:spacing w:line="360" w:lineRule="exact"/>
        <w:rPr>
          <w:rFonts w:ascii="宋体" w:hAnsi="宋体" w:cs="Calibri"/>
          <w:b/>
          <w:bCs/>
          <w:kern w:val="0"/>
          <w:sz w:val="22"/>
        </w:rPr>
      </w:pPr>
      <w:bookmarkStart w:id="43" w:name="_Toc10673"/>
      <w:r>
        <w:rPr>
          <w:rFonts w:ascii="宋体" w:hAnsi="宋体" w:cs="Calibri"/>
          <w:b/>
          <w:bCs/>
          <w:kern w:val="0"/>
          <w:sz w:val="22"/>
        </w:rPr>
        <w:t>1.</w:t>
      </w:r>
      <w:r>
        <w:rPr>
          <w:rFonts w:hint="eastAsia" w:ascii="宋体" w:hAnsi="宋体" w:cs="Calibri"/>
          <w:b/>
          <w:bCs/>
          <w:kern w:val="0"/>
          <w:sz w:val="22"/>
        </w:rPr>
        <w:t>3</w:t>
      </w:r>
      <w:r>
        <w:rPr>
          <w:rFonts w:ascii="宋体" w:hAnsi="宋体" w:cs="Calibri"/>
          <w:b/>
          <w:bCs/>
          <w:kern w:val="0"/>
          <w:sz w:val="22"/>
        </w:rPr>
        <w:t xml:space="preserve"> 招标</w:t>
      </w:r>
      <w:bookmarkEnd w:id="43"/>
      <w:r>
        <w:rPr>
          <w:rFonts w:hint="eastAsia" w:ascii="宋体" w:hAnsi="宋体" w:cs="Calibri"/>
          <w:b/>
          <w:bCs/>
          <w:kern w:val="0"/>
          <w:sz w:val="22"/>
        </w:rPr>
        <w:t>内容</w:t>
      </w:r>
    </w:p>
    <w:p>
      <w:pPr>
        <w:adjustRightInd w:val="0"/>
        <w:snapToGrid w:val="0"/>
        <w:spacing w:line="360" w:lineRule="exact"/>
        <w:ind w:firstLine="440" w:firstLineChars="200"/>
        <w:rPr>
          <w:rFonts w:ascii="宋体" w:hAnsi="宋体" w:cs="Calibri"/>
          <w:color w:val="000000"/>
          <w:sz w:val="22"/>
        </w:rPr>
      </w:pPr>
      <w:r>
        <w:rPr>
          <w:rFonts w:ascii="宋体" w:hAnsi="宋体" w:cs="Calibri"/>
          <w:color w:val="000000"/>
          <w:sz w:val="22"/>
        </w:rPr>
        <w:t>见投标人须知前附表。</w:t>
      </w:r>
    </w:p>
    <w:p>
      <w:pPr>
        <w:autoSpaceDE w:val="0"/>
        <w:autoSpaceDN w:val="0"/>
        <w:adjustRightInd w:val="0"/>
        <w:snapToGrid w:val="0"/>
        <w:spacing w:line="360" w:lineRule="exact"/>
        <w:rPr>
          <w:rFonts w:ascii="宋体" w:hAnsi="宋体" w:cs="Calibri"/>
          <w:b/>
          <w:bCs/>
          <w:kern w:val="0"/>
          <w:sz w:val="22"/>
        </w:rPr>
      </w:pPr>
      <w:bookmarkStart w:id="44" w:name="_Toc718"/>
      <w:r>
        <w:rPr>
          <w:rFonts w:ascii="宋体" w:hAnsi="宋体" w:cs="Calibri"/>
          <w:b/>
          <w:bCs/>
          <w:kern w:val="0"/>
          <w:sz w:val="22"/>
        </w:rPr>
        <w:t>1.</w:t>
      </w:r>
      <w:r>
        <w:rPr>
          <w:rFonts w:hint="eastAsia" w:ascii="宋体" w:hAnsi="宋体" w:cs="Calibri"/>
          <w:b/>
          <w:bCs/>
          <w:kern w:val="0"/>
          <w:sz w:val="22"/>
        </w:rPr>
        <w:t>4</w:t>
      </w:r>
      <w:r>
        <w:rPr>
          <w:rFonts w:ascii="宋体" w:hAnsi="宋体" w:cs="Calibri"/>
          <w:b/>
          <w:bCs/>
          <w:kern w:val="0"/>
          <w:sz w:val="22"/>
        </w:rPr>
        <w:t xml:space="preserve"> 招标方式</w:t>
      </w:r>
      <w:bookmarkEnd w:id="44"/>
    </w:p>
    <w:p>
      <w:pPr>
        <w:adjustRightInd w:val="0"/>
        <w:snapToGrid w:val="0"/>
        <w:spacing w:line="360" w:lineRule="exact"/>
        <w:ind w:firstLine="440" w:firstLineChars="200"/>
        <w:rPr>
          <w:rFonts w:ascii="宋体" w:hAnsi="宋体" w:cs="Calibri"/>
          <w:color w:val="000000"/>
          <w:sz w:val="22"/>
        </w:rPr>
      </w:pPr>
      <w:r>
        <w:rPr>
          <w:rFonts w:ascii="宋体" w:hAnsi="宋体" w:cs="Calibri"/>
          <w:color w:val="000000"/>
          <w:sz w:val="22"/>
        </w:rPr>
        <w:t>见投标人须知前附表。</w:t>
      </w:r>
    </w:p>
    <w:p>
      <w:pPr>
        <w:autoSpaceDE w:val="0"/>
        <w:autoSpaceDN w:val="0"/>
        <w:adjustRightInd w:val="0"/>
        <w:snapToGrid w:val="0"/>
        <w:spacing w:line="360" w:lineRule="exact"/>
        <w:rPr>
          <w:rFonts w:ascii="宋体" w:hAnsi="宋体" w:cs="Calibri"/>
          <w:b/>
          <w:bCs/>
          <w:kern w:val="0"/>
          <w:sz w:val="22"/>
        </w:rPr>
      </w:pPr>
      <w:bookmarkStart w:id="45" w:name="_Toc9161"/>
      <w:r>
        <w:rPr>
          <w:rFonts w:ascii="宋体" w:hAnsi="宋体" w:cs="Calibri"/>
          <w:b/>
          <w:bCs/>
          <w:kern w:val="0"/>
          <w:sz w:val="22"/>
        </w:rPr>
        <w:t>1.</w:t>
      </w:r>
      <w:r>
        <w:rPr>
          <w:rFonts w:hint="eastAsia" w:ascii="宋体" w:hAnsi="宋体" w:cs="Calibri"/>
          <w:b/>
          <w:bCs/>
          <w:kern w:val="0"/>
          <w:sz w:val="22"/>
        </w:rPr>
        <w:t xml:space="preserve">5 </w:t>
      </w:r>
      <w:r>
        <w:rPr>
          <w:rFonts w:ascii="宋体" w:hAnsi="宋体" w:cs="Calibri"/>
          <w:b/>
          <w:bCs/>
          <w:kern w:val="0"/>
          <w:sz w:val="22"/>
        </w:rPr>
        <w:t>资格审查</w:t>
      </w:r>
      <w:bookmarkEnd w:id="45"/>
    </w:p>
    <w:p>
      <w:pPr>
        <w:adjustRightInd w:val="0"/>
        <w:snapToGrid w:val="0"/>
        <w:spacing w:line="360" w:lineRule="exact"/>
        <w:ind w:firstLine="440" w:firstLineChars="200"/>
        <w:rPr>
          <w:rFonts w:ascii="宋体" w:hAnsi="宋体" w:cs="Calibri"/>
          <w:color w:val="000000"/>
          <w:sz w:val="22"/>
        </w:rPr>
      </w:pPr>
      <w:r>
        <w:rPr>
          <w:rFonts w:ascii="宋体" w:hAnsi="宋体" w:cs="Calibri"/>
          <w:color w:val="000000"/>
          <w:sz w:val="22"/>
        </w:rPr>
        <w:t>见投标人须知前附表。</w:t>
      </w:r>
    </w:p>
    <w:p>
      <w:pPr>
        <w:autoSpaceDE w:val="0"/>
        <w:autoSpaceDN w:val="0"/>
        <w:adjustRightInd w:val="0"/>
        <w:snapToGrid w:val="0"/>
        <w:spacing w:line="360" w:lineRule="exact"/>
        <w:rPr>
          <w:rFonts w:ascii="宋体" w:hAnsi="宋体" w:cs="Calibri"/>
          <w:b/>
          <w:bCs/>
          <w:kern w:val="0"/>
          <w:sz w:val="22"/>
        </w:rPr>
      </w:pPr>
      <w:bookmarkStart w:id="46" w:name="_Toc13012"/>
      <w:r>
        <w:rPr>
          <w:rFonts w:ascii="宋体" w:hAnsi="宋体" w:cs="Calibri"/>
          <w:b/>
          <w:bCs/>
          <w:kern w:val="0"/>
          <w:sz w:val="22"/>
        </w:rPr>
        <w:t>1.</w:t>
      </w:r>
      <w:r>
        <w:rPr>
          <w:rFonts w:hint="eastAsia" w:ascii="宋体" w:hAnsi="宋体" w:cs="Calibri"/>
          <w:b/>
          <w:bCs/>
          <w:kern w:val="0"/>
          <w:sz w:val="22"/>
        </w:rPr>
        <w:t>6</w:t>
      </w:r>
      <w:r>
        <w:rPr>
          <w:rFonts w:ascii="宋体" w:hAnsi="宋体" w:cs="Calibri"/>
          <w:b/>
          <w:bCs/>
          <w:kern w:val="0"/>
          <w:sz w:val="22"/>
        </w:rPr>
        <w:t xml:space="preserve"> 投标人资质条件、能力和信誉</w:t>
      </w:r>
      <w:bookmarkEnd w:id="46"/>
    </w:p>
    <w:p>
      <w:pPr>
        <w:adjustRightInd w:val="0"/>
        <w:snapToGrid w:val="0"/>
        <w:spacing w:line="360" w:lineRule="exact"/>
        <w:ind w:firstLine="440" w:firstLineChars="200"/>
        <w:rPr>
          <w:rFonts w:ascii="宋体" w:hAnsi="宋体" w:cs="Calibri"/>
          <w:color w:val="000000"/>
          <w:sz w:val="22"/>
        </w:rPr>
      </w:pPr>
      <w:r>
        <w:rPr>
          <w:rFonts w:ascii="宋体" w:hAnsi="宋体" w:cs="Calibri"/>
          <w:color w:val="000000"/>
          <w:sz w:val="22"/>
        </w:rPr>
        <w:t>见投标人须知前附表。</w:t>
      </w:r>
    </w:p>
    <w:p>
      <w:pPr>
        <w:autoSpaceDE w:val="0"/>
        <w:autoSpaceDN w:val="0"/>
        <w:adjustRightInd w:val="0"/>
        <w:snapToGrid w:val="0"/>
        <w:spacing w:line="360" w:lineRule="exact"/>
        <w:rPr>
          <w:rFonts w:ascii="宋体" w:hAnsi="宋体" w:cs="Calibri"/>
          <w:b/>
          <w:bCs/>
          <w:kern w:val="0"/>
          <w:sz w:val="22"/>
        </w:rPr>
      </w:pPr>
      <w:bookmarkStart w:id="47" w:name="_Toc2796"/>
      <w:r>
        <w:rPr>
          <w:rFonts w:ascii="宋体" w:hAnsi="宋体" w:cs="Calibri"/>
          <w:b/>
          <w:bCs/>
          <w:kern w:val="0"/>
          <w:sz w:val="22"/>
        </w:rPr>
        <w:t>1.</w:t>
      </w:r>
      <w:r>
        <w:rPr>
          <w:rFonts w:hint="eastAsia" w:ascii="宋体" w:hAnsi="宋体" w:cs="Calibri"/>
          <w:b/>
          <w:bCs/>
          <w:kern w:val="0"/>
          <w:sz w:val="22"/>
        </w:rPr>
        <w:t>7</w:t>
      </w:r>
      <w:r>
        <w:rPr>
          <w:rFonts w:ascii="宋体" w:hAnsi="宋体" w:cs="Calibri"/>
          <w:b/>
          <w:bCs/>
          <w:kern w:val="0"/>
          <w:sz w:val="22"/>
        </w:rPr>
        <w:t xml:space="preserve"> </w:t>
      </w:r>
      <w:r>
        <w:rPr>
          <w:rFonts w:hint="eastAsia" w:ascii="宋体" w:hAnsi="宋体" w:cs="Calibri"/>
          <w:b/>
          <w:bCs/>
          <w:kern w:val="0"/>
          <w:sz w:val="22"/>
        </w:rPr>
        <w:t>服务</w:t>
      </w:r>
      <w:r>
        <w:rPr>
          <w:rFonts w:ascii="宋体" w:hAnsi="宋体" w:cs="Calibri"/>
          <w:b/>
          <w:bCs/>
          <w:kern w:val="0"/>
          <w:sz w:val="22"/>
        </w:rPr>
        <w:t>期</w:t>
      </w:r>
      <w:bookmarkEnd w:id="47"/>
    </w:p>
    <w:p>
      <w:pPr>
        <w:adjustRightInd w:val="0"/>
        <w:snapToGrid w:val="0"/>
        <w:spacing w:line="360" w:lineRule="exact"/>
        <w:ind w:firstLine="440" w:firstLineChars="200"/>
        <w:rPr>
          <w:rFonts w:ascii="宋体" w:hAnsi="宋体" w:cs="Calibri"/>
          <w:color w:val="000000"/>
          <w:sz w:val="22"/>
        </w:rPr>
      </w:pPr>
      <w:r>
        <w:rPr>
          <w:rFonts w:ascii="宋体" w:hAnsi="宋体" w:cs="Calibri"/>
          <w:color w:val="000000"/>
          <w:sz w:val="22"/>
        </w:rPr>
        <w:t>见投标人须知前附表。</w:t>
      </w:r>
    </w:p>
    <w:p>
      <w:pPr>
        <w:autoSpaceDE w:val="0"/>
        <w:autoSpaceDN w:val="0"/>
        <w:adjustRightInd w:val="0"/>
        <w:snapToGrid w:val="0"/>
        <w:spacing w:line="360" w:lineRule="exact"/>
        <w:rPr>
          <w:rFonts w:ascii="宋体" w:hAnsi="宋体" w:cs="Calibri"/>
          <w:b/>
          <w:bCs/>
          <w:kern w:val="0"/>
          <w:sz w:val="22"/>
        </w:rPr>
      </w:pPr>
      <w:r>
        <w:rPr>
          <w:rFonts w:hint="eastAsia" w:ascii="宋体" w:hAnsi="宋体" w:cs="Calibri"/>
          <w:b/>
          <w:bCs/>
          <w:kern w:val="0"/>
          <w:sz w:val="22"/>
        </w:rPr>
        <w:t>1.8 质量要求</w:t>
      </w:r>
    </w:p>
    <w:p>
      <w:pPr>
        <w:adjustRightInd w:val="0"/>
        <w:snapToGrid w:val="0"/>
        <w:spacing w:line="360" w:lineRule="exact"/>
        <w:ind w:firstLine="440" w:firstLineChars="200"/>
        <w:rPr>
          <w:rFonts w:ascii="宋体" w:hAnsi="宋体" w:cs="Calibri"/>
          <w:color w:val="000000"/>
          <w:sz w:val="22"/>
        </w:rPr>
      </w:pPr>
      <w:bookmarkStart w:id="48" w:name="_Toc13907"/>
      <w:r>
        <w:rPr>
          <w:rFonts w:ascii="宋体" w:hAnsi="宋体" w:cs="Calibri"/>
          <w:color w:val="000000"/>
          <w:sz w:val="22"/>
        </w:rPr>
        <w:t>见投标人须知前附表。</w:t>
      </w:r>
    </w:p>
    <w:p>
      <w:pPr>
        <w:autoSpaceDE w:val="0"/>
        <w:autoSpaceDN w:val="0"/>
        <w:adjustRightInd w:val="0"/>
        <w:snapToGrid w:val="0"/>
        <w:spacing w:line="360" w:lineRule="exact"/>
        <w:rPr>
          <w:rFonts w:ascii="宋体" w:hAnsi="宋体" w:cs="Calibri"/>
          <w:b/>
          <w:bCs/>
          <w:kern w:val="0"/>
          <w:sz w:val="22"/>
        </w:rPr>
      </w:pPr>
      <w:r>
        <w:rPr>
          <w:rFonts w:ascii="宋体" w:hAnsi="宋体" w:cs="Calibri"/>
          <w:b/>
          <w:bCs/>
          <w:kern w:val="0"/>
          <w:sz w:val="22"/>
        </w:rPr>
        <w:t>1.</w:t>
      </w:r>
      <w:r>
        <w:rPr>
          <w:rFonts w:hint="eastAsia" w:ascii="宋体" w:hAnsi="宋体" w:cs="Calibri"/>
          <w:b/>
          <w:bCs/>
          <w:kern w:val="0"/>
          <w:sz w:val="22"/>
        </w:rPr>
        <w:t>9</w:t>
      </w:r>
      <w:r>
        <w:rPr>
          <w:rFonts w:ascii="宋体" w:hAnsi="宋体" w:cs="Calibri"/>
          <w:b/>
          <w:bCs/>
          <w:kern w:val="0"/>
          <w:sz w:val="22"/>
        </w:rPr>
        <w:t xml:space="preserve"> 踏勘现场</w:t>
      </w:r>
      <w:bookmarkEnd w:id="48"/>
    </w:p>
    <w:p>
      <w:pPr>
        <w:adjustRightInd w:val="0"/>
        <w:snapToGrid w:val="0"/>
        <w:spacing w:line="360" w:lineRule="exact"/>
        <w:ind w:firstLine="440" w:firstLineChars="200"/>
        <w:rPr>
          <w:rFonts w:ascii="宋体" w:hAnsi="宋体" w:cs="Calibri"/>
          <w:color w:val="000000"/>
          <w:sz w:val="22"/>
        </w:rPr>
      </w:pPr>
      <w:r>
        <w:rPr>
          <w:rFonts w:ascii="宋体" w:hAnsi="宋体" w:cs="Calibri"/>
          <w:sz w:val="22"/>
        </w:rPr>
        <w:t>1.</w:t>
      </w:r>
      <w:r>
        <w:rPr>
          <w:rFonts w:hint="eastAsia" w:ascii="宋体" w:hAnsi="宋体" w:cs="Calibri"/>
          <w:sz w:val="22"/>
        </w:rPr>
        <w:t>9</w:t>
      </w:r>
      <w:r>
        <w:rPr>
          <w:rFonts w:ascii="宋体" w:hAnsi="宋体" w:cs="Calibri"/>
          <w:sz w:val="22"/>
        </w:rPr>
        <w:t>.1</w:t>
      </w:r>
      <w:r>
        <w:rPr>
          <w:rFonts w:ascii="宋体" w:hAnsi="宋体" w:cs="Calibri"/>
          <w:color w:val="000000"/>
          <w:sz w:val="22"/>
        </w:rPr>
        <w:t>投标人须知前附表规定组织踏勘现场的，招标人按投标人须知前附表规定的时间、地点组织投标人踏勘项目现场。</w:t>
      </w:r>
    </w:p>
    <w:p>
      <w:pPr>
        <w:adjustRightInd w:val="0"/>
        <w:snapToGrid w:val="0"/>
        <w:spacing w:line="360" w:lineRule="exact"/>
        <w:ind w:firstLine="440" w:firstLineChars="200"/>
        <w:rPr>
          <w:rFonts w:ascii="宋体" w:hAnsi="宋体" w:cs="Calibri"/>
          <w:color w:val="000000"/>
          <w:sz w:val="22"/>
        </w:rPr>
      </w:pPr>
      <w:r>
        <w:rPr>
          <w:rFonts w:ascii="宋体" w:hAnsi="宋体" w:cs="Calibri"/>
          <w:color w:val="000000"/>
          <w:sz w:val="22"/>
        </w:rPr>
        <w:t>1.</w:t>
      </w:r>
      <w:r>
        <w:rPr>
          <w:rFonts w:hint="eastAsia" w:ascii="宋体" w:hAnsi="宋体" w:cs="Calibri"/>
          <w:color w:val="000000"/>
          <w:sz w:val="22"/>
        </w:rPr>
        <w:t>9</w:t>
      </w:r>
      <w:r>
        <w:rPr>
          <w:rFonts w:ascii="宋体" w:hAnsi="宋体" w:cs="Calibri"/>
          <w:color w:val="000000"/>
          <w:sz w:val="22"/>
        </w:rPr>
        <w:t>.2 投标人踏勘现场发生的费用自理。</w:t>
      </w:r>
    </w:p>
    <w:p>
      <w:pPr>
        <w:adjustRightInd w:val="0"/>
        <w:snapToGrid w:val="0"/>
        <w:spacing w:line="360" w:lineRule="exact"/>
        <w:ind w:firstLine="440" w:firstLineChars="200"/>
        <w:rPr>
          <w:rFonts w:ascii="宋体" w:hAnsi="宋体" w:cs="Calibri"/>
          <w:color w:val="000000"/>
          <w:sz w:val="22"/>
        </w:rPr>
      </w:pPr>
      <w:r>
        <w:rPr>
          <w:rFonts w:ascii="宋体" w:hAnsi="宋体" w:cs="Calibri"/>
          <w:color w:val="000000"/>
          <w:sz w:val="22"/>
        </w:rPr>
        <w:t>1.</w:t>
      </w:r>
      <w:r>
        <w:rPr>
          <w:rFonts w:hint="eastAsia" w:ascii="宋体" w:hAnsi="宋体" w:cs="Calibri"/>
          <w:color w:val="000000"/>
          <w:sz w:val="22"/>
        </w:rPr>
        <w:t>9</w:t>
      </w:r>
      <w:r>
        <w:rPr>
          <w:rFonts w:ascii="宋体" w:hAnsi="宋体" w:cs="Calibri"/>
          <w:color w:val="000000"/>
          <w:sz w:val="22"/>
        </w:rPr>
        <w:t>.3 投标人自行负责在踏勘现场中所发生的人员伤亡和财产损失。</w:t>
      </w:r>
    </w:p>
    <w:p>
      <w:pPr>
        <w:adjustRightInd w:val="0"/>
        <w:snapToGrid w:val="0"/>
        <w:spacing w:line="360" w:lineRule="exact"/>
        <w:ind w:firstLine="440" w:firstLineChars="200"/>
        <w:rPr>
          <w:rFonts w:ascii="宋体" w:hAnsi="宋体" w:cs="Calibri"/>
          <w:color w:val="000000"/>
          <w:sz w:val="22"/>
        </w:rPr>
      </w:pPr>
      <w:r>
        <w:rPr>
          <w:rFonts w:ascii="宋体" w:hAnsi="宋体" w:cs="Calibri"/>
          <w:color w:val="000000"/>
          <w:sz w:val="22"/>
        </w:rPr>
        <w:t>1.</w:t>
      </w:r>
      <w:r>
        <w:rPr>
          <w:rFonts w:hint="eastAsia" w:ascii="宋体" w:hAnsi="宋体" w:cs="Calibri"/>
          <w:color w:val="000000"/>
          <w:sz w:val="22"/>
        </w:rPr>
        <w:t>9</w:t>
      </w:r>
      <w:r>
        <w:rPr>
          <w:rFonts w:ascii="宋体" w:hAnsi="宋体" w:cs="Calibri"/>
          <w:color w:val="000000"/>
          <w:sz w:val="22"/>
        </w:rPr>
        <w:t>.4 招标人向投标人提供的有关现场的数据和资料，仅供投标人在编制投标文件时参考，招标人不对投标人据此作出的判断和决策负责。</w:t>
      </w:r>
    </w:p>
    <w:p>
      <w:pPr>
        <w:autoSpaceDE w:val="0"/>
        <w:autoSpaceDN w:val="0"/>
        <w:adjustRightInd w:val="0"/>
        <w:snapToGrid w:val="0"/>
        <w:spacing w:line="360" w:lineRule="exact"/>
        <w:rPr>
          <w:rFonts w:ascii="宋体" w:hAnsi="宋体" w:cs="Calibri"/>
          <w:b/>
          <w:bCs/>
          <w:kern w:val="0"/>
          <w:sz w:val="22"/>
        </w:rPr>
      </w:pPr>
      <w:bookmarkStart w:id="49" w:name="_Toc4199"/>
      <w:r>
        <w:rPr>
          <w:rFonts w:ascii="宋体" w:hAnsi="宋体" w:cs="Calibri"/>
          <w:b/>
          <w:bCs/>
          <w:kern w:val="0"/>
          <w:sz w:val="22"/>
        </w:rPr>
        <w:t>1.</w:t>
      </w:r>
      <w:r>
        <w:rPr>
          <w:rFonts w:hint="eastAsia" w:ascii="宋体" w:hAnsi="宋体" w:cs="Calibri"/>
          <w:b/>
          <w:bCs/>
          <w:kern w:val="0"/>
          <w:sz w:val="22"/>
        </w:rPr>
        <w:t>10</w:t>
      </w:r>
      <w:r>
        <w:rPr>
          <w:rFonts w:ascii="宋体" w:hAnsi="宋体" w:cs="Calibri"/>
          <w:b/>
          <w:bCs/>
          <w:kern w:val="0"/>
          <w:sz w:val="22"/>
        </w:rPr>
        <w:t xml:space="preserve"> 投标预备会</w:t>
      </w:r>
      <w:bookmarkEnd w:id="49"/>
    </w:p>
    <w:p>
      <w:pPr>
        <w:adjustRightInd w:val="0"/>
        <w:snapToGrid w:val="0"/>
        <w:spacing w:line="360" w:lineRule="exact"/>
        <w:ind w:firstLine="440" w:firstLineChars="200"/>
        <w:rPr>
          <w:rFonts w:ascii="宋体" w:hAnsi="宋体" w:cs="Calibri"/>
          <w:color w:val="000000"/>
          <w:sz w:val="22"/>
        </w:rPr>
      </w:pPr>
      <w:r>
        <w:rPr>
          <w:rFonts w:ascii="宋体" w:hAnsi="宋体" w:cs="Calibri"/>
          <w:color w:val="000000"/>
          <w:sz w:val="22"/>
        </w:rPr>
        <w:t>见投标人须知前附表。</w:t>
      </w:r>
    </w:p>
    <w:p>
      <w:pPr>
        <w:autoSpaceDE w:val="0"/>
        <w:autoSpaceDN w:val="0"/>
        <w:adjustRightInd w:val="0"/>
        <w:snapToGrid w:val="0"/>
        <w:spacing w:line="360" w:lineRule="exact"/>
        <w:rPr>
          <w:rFonts w:ascii="宋体" w:hAnsi="宋体" w:cs="Calibri"/>
          <w:b/>
          <w:bCs/>
          <w:kern w:val="0"/>
          <w:sz w:val="22"/>
        </w:rPr>
      </w:pPr>
      <w:bookmarkStart w:id="50" w:name="_Toc4584"/>
      <w:r>
        <w:rPr>
          <w:rFonts w:ascii="宋体" w:hAnsi="宋体" w:cs="Calibri"/>
          <w:b/>
          <w:bCs/>
          <w:kern w:val="0"/>
          <w:sz w:val="22"/>
        </w:rPr>
        <w:t>1.1</w:t>
      </w:r>
      <w:r>
        <w:rPr>
          <w:rFonts w:hint="eastAsia" w:ascii="宋体" w:hAnsi="宋体" w:cs="Calibri"/>
          <w:b/>
          <w:bCs/>
          <w:kern w:val="0"/>
          <w:sz w:val="22"/>
        </w:rPr>
        <w:t>1</w:t>
      </w:r>
      <w:r>
        <w:rPr>
          <w:rFonts w:ascii="宋体" w:hAnsi="宋体" w:cs="Calibri"/>
          <w:b/>
          <w:bCs/>
          <w:kern w:val="0"/>
          <w:sz w:val="22"/>
        </w:rPr>
        <w:t xml:space="preserve"> 分包</w:t>
      </w:r>
      <w:bookmarkEnd w:id="50"/>
    </w:p>
    <w:p>
      <w:pPr>
        <w:adjustRightInd w:val="0"/>
        <w:snapToGrid w:val="0"/>
        <w:spacing w:line="360" w:lineRule="exact"/>
        <w:ind w:firstLine="440" w:firstLineChars="200"/>
        <w:rPr>
          <w:rFonts w:ascii="宋体" w:hAnsi="宋体" w:cs="Calibri"/>
          <w:color w:val="000000"/>
          <w:sz w:val="22"/>
        </w:rPr>
      </w:pPr>
      <w:r>
        <w:rPr>
          <w:rFonts w:ascii="宋体" w:hAnsi="宋体" w:cs="Calibri"/>
          <w:color w:val="000000"/>
          <w:sz w:val="22"/>
        </w:rPr>
        <w:t>本项目</w:t>
      </w:r>
      <w:r>
        <w:rPr>
          <w:rFonts w:hint="eastAsia" w:ascii="宋体" w:hAnsi="宋体" w:cs="Calibri"/>
          <w:color w:val="000000"/>
          <w:sz w:val="22"/>
        </w:rPr>
        <w:t>涉及到其它专业的部分分项工作</w:t>
      </w:r>
      <w:r>
        <w:rPr>
          <w:rFonts w:ascii="宋体" w:hAnsi="宋体" w:cs="Calibri"/>
          <w:color w:val="000000"/>
          <w:sz w:val="22"/>
        </w:rPr>
        <w:t>允许分包。</w:t>
      </w:r>
    </w:p>
    <w:p>
      <w:pPr>
        <w:autoSpaceDE w:val="0"/>
        <w:autoSpaceDN w:val="0"/>
        <w:adjustRightInd w:val="0"/>
        <w:snapToGrid w:val="0"/>
        <w:spacing w:line="360" w:lineRule="exact"/>
        <w:rPr>
          <w:rFonts w:ascii="宋体" w:hAnsi="宋体" w:cs="Calibri"/>
          <w:b/>
          <w:bCs/>
          <w:kern w:val="0"/>
          <w:sz w:val="22"/>
        </w:rPr>
      </w:pPr>
      <w:bookmarkStart w:id="51" w:name="_Toc3996"/>
      <w:r>
        <w:rPr>
          <w:rFonts w:ascii="宋体" w:hAnsi="宋体" w:cs="Calibri"/>
          <w:b/>
          <w:bCs/>
          <w:kern w:val="0"/>
          <w:sz w:val="22"/>
        </w:rPr>
        <w:t>1.1</w:t>
      </w:r>
      <w:r>
        <w:rPr>
          <w:rFonts w:hint="eastAsia" w:ascii="宋体" w:hAnsi="宋体" w:cs="Calibri"/>
          <w:b/>
          <w:bCs/>
          <w:kern w:val="0"/>
          <w:sz w:val="22"/>
        </w:rPr>
        <w:t>2</w:t>
      </w:r>
      <w:r>
        <w:rPr>
          <w:rFonts w:ascii="宋体" w:hAnsi="宋体" w:cs="Calibri"/>
          <w:b/>
          <w:bCs/>
          <w:kern w:val="0"/>
          <w:sz w:val="22"/>
        </w:rPr>
        <w:t xml:space="preserve"> 投标费用</w:t>
      </w:r>
      <w:bookmarkEnd w:id="51"/>
    </w:p>
    <w:p>
      <w:pPr>
        <w:adjustRightInd w:val="0"/>
        <w:snapToGrid w:val="0"/>
        <w:spacing w:line="360" w:lineRule="exact"/>
        <w:ind w:firstLine="440" w:firstLineChars="200"/>
        <w:rPr>
          <w:rFonts w:ascii="宋体" w:hAnsi="宋体" w:cs="Calibri"/>
          <w:color w:val="000000"/>
          <w:sz w:val="22"/>
        </w:rPr>
      </w:pPr>
      <w:r>
        <w:rPr>
          <w:rFonts w:ascii="宋体" w:hAnsi="宋体" w:cs="Calibri"/>
          <w:color w:val="000000"/>
          <w:sz w:val="22"/>
        </w:rPr>
        <w:t>投标人在投标过程中的一切费用，不论中标与否，均由投标人自理。</w:t>
      </w:r>
    </w:p>
    <w:p>
      <w:pPr>
        <w:autoSpaceDE w:val="0"/>
        <w:autoSpaceDN w:val="0"/>
        <w:adjustRightInd w:val="0"/>
        <w:snapToGrid w:val="0"/>
        <w:spacing w:line="360" w:lineRule="exact"/>
        <w:rPr>
          <w:rFonts w:ascii="宋体" w:hAnsi="宋体" w:cs="Calibri"/>
          <w:b/>
          <w:bCs/>
          <w:kern w:val="0"/>
          <w:sz w:val="22"/>
        </w:rPr>
      </w:pPr>
      <w:bookmarkStart w:id="52" w:name="_Toc143421657"/>
      <w:bookmarkStart w:id="53" w:name="_Toc15241"/>
      <w:r>
        <w:rPr>
          <w:rFonts w:ascii="宋体" w:hAnsi="宋体" w:cs="Calibri"/>
          <w:b/>
          <w:bCs/>
          <w:kern w:val="0"/>
          <w:sz w:val="22"/>
        </w:rPr>
        <w:t>2.招标文件</w:t>
      </w:r>
      <w:bookmarkEnd w:id="52"/>
      <w:bookmarkEnd w:id="53"/>
    </w:p>
    <w:p>
      <w:pPr>
        <w:autoSpaceDE w:val="0"/>
        <w:autoSpaceDN w:val="0"/>
        <w:adjustRightInd w:val="0"/>
        <w:snapToGrid w:val="0"/>
        <w:spacing w:line="360" w:lineRule="exact"/>
        <w:rPr>
          <w:rFonts w:ascii="宋体" w:hAnsi="宋体" w:cs="Calibri"/>
          <w:b/>
          <w:bCs/>
          <w:kern w:val="0"/>
          <w:sz w:val="22"/>
        </w:rPr>
      </w:pPr>
      <w:bookmarkStart w:id="54" w:name="_Toc1426"/>
      <w:r>
        <w:rPr>
          <w:rFonts w:ascii="宋体" w:hAnsi="宋体" w:cs="Calibri"/>
          <w:b/>
          <w:bCs/>
          <w:kern w:val="0"/>
          <w:sz w:val="22"/>
        </w:rPr>
        <w:t>2.1 招标文件的组成</w:t>
      </w:r>
      <w:bookmarkEnd w:id="54"/>
    </w:p>
    <w:p>
      <w:pPr>
        <w:adjustRightInd w:val="0"/>
        <w:snapToGrid w:val="0"/>
        <w:spacing w:line="360" w:lineRule="exact"/>
        <w:ind w:firstLine="440" w:firstLineChars="200"/>
        <w:rPr>
          <w:rFonts w:ascii="宋体" w:hAnsi="宋体" w:cs="Calibri"/>
          <w:color w:val="000000"/>
          <w:kern w:val="0"/>
          <w:sz w:val="22"/>
        </w:rPr>
      </w:pPr>
      <w:r>
        <w:rPr>
          <w:rFonts w:ascii="宋体" w:hAnsi="宋体" w:cs="Calibri"/>
          <w:color w:val="000000"/>
          <w:kern w:val="0"/>
          <w:sz w:val="22"/>
        </w:rPr>
        <w:t>本招标文件包括：</w:t>
      </w:r>
    </w:p>
    <w:p>
      <w:pPr>
        <w:adjustRightInd w:val="0"/>
        <w:snapToGrid w:val="0"/>
        <w:spacing w:line="360" w:lineRule="exact"/>
        <w:ind w:firstLine="440" w:firstLineChars="200"/>
        <w:rPr>
          <w:rFonts w:ascii="宋体" w:hAnsi="宋体" w:cs="Calibri"/>
          <w:color w:val="000000"/>
          <w:kern w:val="0"/>
          <w:sz w:val="22"/>
        </w:rPr>
      </w:pPr>
      <w:r>
        <w:rPr>
          <w:rFonts w:ascii="宋体" w:hAnsi="宋体" w:cs="Calibri"/>
          <w:color w:val="000000"/>
          <w:kern w:val="0"/>
          <w:sz w:val="22"/>
        </w:rPr>
        <w:t>（1）招标公告</w:t>
      </w:r>
    </w:p>
    <w:p>
      <w:pPr>
        <w:adjustRightInd w:val="0"/>
        <w:snapToGrid w:val="0"/>
        <w:spacing w:line="360" w:lineRule="exact"/>
        <w:ind w:firstLine="440" w:firstLineChars="200"/>
        <w:rPr>
          <w:rFonts w:ascii="宋体" w:hAnsi="宋体" w:cs="Calibri"/>
          <w:color w:val="000000"/>
          <w:kern w:val="0"/>
          <w:sz w:val="22"/>
        </w:rPr>
      </w:pPr>
      <w:r>
        <w:rPr>
          <w:rFonts w:ascii="宋体" w:hAnsi="宋体" w:cs="Calibri"/>
          <w:color w:val="000000"/>
          <w:kern w:val="0"/>
          <w:sz w:val="22"/>
        </w:rPr>
        <w:t>（2）投标人须知</w:t>
      </w:r>
    </w:p>
    <w:p>
      <w:pPr>
        <w:adjustRightInd w:val="0"/>
        <w:snapToGrid w:val="0"/>
        <w:spacing w:line="360" w:lineRule="exact"/>
        <w:ind w:firstLine="440" w:firstLineChars="200"/>
        <w:rPr>
          <w:rFonts w:ascii="宋体" w:hAnsi="宋体" w:cs="Calibri"/>
          <w:kern w:val="0"/>
          <w:sz w:val="22"/>
        </w:rPr>
      </w:pPr>
      <w:r>
        <w:rPr>
          <w:rFonts w:ascii="宋体" w:hAnsi="宋体" w:cs="Calibri"/>
          <w:color w:val="000000"/>
          <w:kern w:val="0"/>
          <w:sz w:val="22"/>
        </w:rPr>
        <w:t>（3）</w:t>
      </w:r>
      <w:r>
        <w:rPr>
          <w:rFonts w:hint="eastAsia" w:ascii="宋体" w:hAnsi="宋体" w:cs="Calibri"/>
          <w:kern w:val="0"/>
          <w:sz w:val="22"/>
        </w:rPr>
        <w:t>服务技术标准及要求</w:t>
      </w:r>
    </w:p>
    <w:p>
      <w:pPr>
        <w:adjustRightInd w:val="0"/>
        <w:snapToGrid w:val="0"/>
        <w:spacing w:line="360" w:lineRule="exact"/>
        <w:ind w:firstLine="440" w:firstLineChars="200"/>
        <w:rPr>
          <w:rFonts w:ascii="宋体" w:hAnsi="宋体" w:cs="Calibri"/>
          <w:color w:val="000000"/>
          <w:kern w:val="0"/>
          <w:sz w:val="22"/>
        </w:rPr>
      </w:pPr>
      <w:r>
        <w:rPr>
          <w:rFonts w:ascii="宋体" w:hAnsi="宋体" w:cs="Calibri"/>
          <w:color w:val="000000"/>
          <w:kern w:val="0"/>
          <w:sz w:val="22"/>
        </w:rPr>
        <w:t>（</w:t>
      </w:r>
      <w:r>
        <w:rPr>
          <w:rFonts w:hint="eastAsia" w:ascii="宋体" w:hAnsi="宋体" w:cs="Calibri"/>
          <w:color w:val="000000"/>
          <w:kern w:val="0"/>
          <w:sz w:val="22"/>
        </w:rPr>
        <w:t>4</w:t>
      </w:r>
      <w:r>
        <w:rPr>
          <w:rFonts w:ascii="宋体" w:hAnsi="宋体" w:cs="Calibri"/>
          <w:color w:val="000000"/>
          <w:kern w:val="0"/>
          <w:sz w:val="22"/>
        </w:rPr>
        <w:t>）合同条款</w:t>
      </w:r>
    </w:p>
    <w:p>
      <w:pPr>
        <w:adjustRightInd w:val="0"/>
        <w:snapToGrid w:val="0"/>
        <w:spacing w:line="360" w:lineRule="exact"/>
        <w:ind w:firstLine="440" w:firstLineChars="200"/>
        <w:rPr>
          <w:rFonts w:ascii="宋体" w:hAnsi="宋体" w:cs="Calibri"/>
          <w:color w:val="000000"/>
          <w:kern w:val="0"/>
          <w:sz w:val="22"/>
        </w:rPr>
      </w:pPr>
      <w:r>
        <w:rPr>
          <w:rFonts w:ascii="宋体" w:hAnsi="宋体" w:cs="Calibri"/>
          <w:color w:val="000000"/>
          <w:kern w:val="0"/>
          <w:sz w:val="22"/>
        </w:rPr>
        <w:t>（</w:t>
      </w:r>
      <w:r>
        <w:rPr>
          <w:rFonts w:hint="eastAsia" w:ascii="宋体" w:hAnsi="宋体" w:cs="Calibri"/>
          <w:color w:val="000000"/>
          <w:kern w:val="0"/>
          <w:sz w:val="22"/>
        </w:rPr>
        <w:t>5</w:t>
      </w:r>
      <w:r>
        <w:rPr>
          <w:rFonts w:ascii="宋体" w:hAnsi="宋体" w:cs="Calibri"/>
          <w:color w:val="000000"/>
          <w:kern w:val="0"/>
          <w:sz w:val="22"/>
        </w:rPr>
        <w:t>）评标办法及标准</w:t>
      </w:r>
    </w:p>
    <w:p>
      <w:pPr>
        <w:adjustRightInd w:val="0"/>
        <w:snapToGrid w:val="0"/>
        <w:spacing w:line="360" w:lineRule="exact"/>
        <w:ind w:firstLine="440" w:firstLineChars="200"/>
        <w:rPr>
          <w:rFonts w:ascii="宋体" w:hAnsi="宋体" w:cs="Calibri"/>
          <w:color w:val="000000"/>
          <w:kern w:val="0"/>
          <w:sz w:val="22"/>
        </w:rPr>
      </w:pPr>
      <w:r>
        <w:rPr>
          <w:rFonts w:ascii="宋体" w:hAnsi="宋体" w:cs="Calibri"/>
          <w:color w:val="000000"/>
          <w:kern w:val="0"/>
          <w:sz w:val="22"/>
        </w:rPr>
        <w:t>（</w:t>
      </w:r>
      <w:r>
        <w:rPr>
          <w:rFonts w:hint="eastAsia" w:ascii="宋体" w:hAnsi="宋体" w:cs="Calibri"/>
          <w:color w:val="000000"/>
          <w:kern w:val="0"/>
          <w:sz w:val="22"/>
        </w:rPr>
        <w:t>6</w:t>
      </w:r>
      <w:r>
        <w:rPr>
          <w:rFonts w:ascii="宋体" w:hAnsi="宋体" w:cs="Calibri"/>
          <w:color w:val="000000"/>
          <w:kern w:val="0"/>
          <w:sz w:val="22"/>
        </w:rPr>
        <w:t>）投标文件格式</w:t>
      </w:r>
    </w:p>
    <w:p>
      <w:pPr>
        <w:adjustRightInd w:val="0"/>
        <w:snapToGrid w:val="0"/>
        <w:spacing w:line="360" w:lineRule="exact"/>
        <w:ind w:firstLine="440" w:firstLineChars="200"/>
        <w:rPr>
          <w:rFonts w:ascii="宋体" w:hAnsi="宋体" w:cs="Calibri"/>
          <w:color w:val="000000"/>
          <w:kern w:val="0"/>
          <w:sz w:val="22"/>
        </w:rPr>
      </w:pPr>
      <w:r>
        <w:rPr>
          <w:rFonts w:ascii="宋体" w:hAnsi="宋体" w:cs="Calibri"/>
          <w:color w:val="000000"/>
          <w:sz w:val="22"/>
        </w:rPr>
        <w:t>根据本须知第2.2款和2.3款对招标文件做出的澄清、修改，构成招标文件的组成部分。</w:t>
      </w:r>
    </w:p>
    <w:p>
      <w:pPr>
        <w:autoSpaceDE w:val="0"/>
        <w:autoSpaceDN w:val="0"/>
        <w:adjustRightInd w:val="0"/>
        <w:snapToGrid w:val="0"/>
        <w:spacing w:line="360" w:lineRule="exact"/>
        <w:rPr>
          <w:rFonts w:ascii="宋体" w:hAnsi="宋体" w:cs="Calibri"/>
          <w:b/>
          <w:bCs/>
          <w:kern w:val="0"/>
          <w:sz w:val="22"/>
        </w:rPr>
      </w:pPr>
      <w:bookmarkStart w:id="55" w:name="_Toc18230"/>
      <w:r>
        <w:rPr>
          <w:rFonts w:ascii="宋体" w:hAnsi="宋体" w:cs="Calibri"/>
          <w:b/>
          <w:bCs/>
          <w:kern w:val="0"/>
          <w:sz w:val="22"/>
        </w:rPr>
        <w:t>2.2 招标文件的澄清</w:t>
      </w:r>
      <w:bookmarkEnd w:id="55"/>
    </w:p>
    <w:p>
      <w:pPr>
        <w:adjustRightInd w:val="0"/>
        <w:snapToGrid w:val="0"/>
        <w:spacing w:line="360" w:lineRule="exact"/>
        <w:ind w:firstLine="440"/>
        <w:rPr>
          <w:rFonts w:ascii="宋体" w:hAnsi="宋体" w:cs="Calibri"/>
          <w:color w:val="000000"/>
          <w:sz w:val="22"/>
        </w:rPr>
      </w:pPr>
      <w:bookmarkStart w:id="56" w:name="_Toc18303"/>
      <w:r>
        <w:rPr>
          <w:rFonts w:ascii="宋体" w:hAnsi="宋体" w:cs="Calibri"/>
          <w:color w:val="000000"/>
          <w:sz w:val="22"/>
        </w:rPr>
        <w:t>2.2.1投标人应仔细阅读和检查招标文件的全部内容。如发现缺页或附件不全，应及时向招标人提出，以便补齐。如有疑问，应在投标人须知前附表规定的时间前以书面形式（包括信函、电报、传真等可以有形地表现所载内容的形式、下同），要求招标人对招标文件予以澄清。</w:t>
      </w:r>
    </w:p>
    <w:p>
      <w:pPr>
        <w:adjustRightInd w:val="0"/>
        <w:snapToGrid w:val="0"/>
        <w:spacing w:line="360" w:lineRule="exact"/>
        <w:ind w:firstLine="440"/>
        <w:rPr>
          <w:rFonts w:ascii="宋体" w:hAnsi="宋体" w:cs="Calibri"/>
          <w:color w:val="000000"/>
          <w:sz w:val="22"/>
        </w:rPr>
      </w:pPr>
      <w:r>
        <w:rPr>
          <w:rFonts w:ascii="宋体" w:hAnsi="宋体" w:cs="Calibri"/>
          <w:color w:val="000000"/>
          <w:sz w:val="22"/>
        </w:rPr>
        <w:t>2.2.2</w:t>
      </w:r>
      <w:r>
        <w:rPr>
          <w:rFonts w:hint="eastAsia" w:ascii="宋体" w:hAnsi="宋体" w:cs="Calibri"/>
          <w:kern w:val="0"/>
          <w:sz w:val="22"/>
        </w:rPr>
        <w:t>招标人将视情况采用补充公告的方式予以澄清。</w:t>
      </w:r>
    </w:p>
    <w:p>
      <w:pPr>
        <w:autoSpaceDE w:val="0"/>
        <w:autoSpaceDN w:val="0"/>
        <w:adjustRightInd w:val="0"/>
        <w:snapToGrid w:val="0"/>
        <w:spacing w:line="360" w:lineRule="exact"/>
        <w:rPr>
          <w:rFonts w:ascii="宋体" w:hAnsi="宋体" w:cs="Calibri"/>
          <w:b/>
          <w:bCs/>
          <w:kern w:val="0"/>
          <w:sz w:val="22"/>
        </w:rPr>
      </w:pPr>
      <w:r>
        <w:rPr>
          <w:rFonts w:ascii="宋体" w:hAnsi="宋体" w:cs="Calibri"/>
          <w:b/>
          <w:bCs/>
          <w:kern w:val="0"/>
          <w:sz w:val="22"/>
        </w:rPr>
        <w:t>2.3 招标文件的修改</w:t>
      </w:r>
      <w:bookmarkEnd w:id="56"/>
    </w:p>
    <w:p>
      <w:pPr>
        <w:adjustRightInd w:val="0"/>
        <w:snapToGrid w:val="0"/>
        <w:spacing w:line="360" w:lineRule="exact"/>
        <w:ind w:firstLine="440"/>
        <w:rPr>
          <w:rFonts w:ascii="宋体" w:hAnsi="宋体" w:cs="Calibri"/>
          <w:color w:val="000000"/>
          <w:sz w:val="22"/>
        </w:rPr>
      </w:pPr>
      <w:r>
        <w:rPr>
          <w:rFonts w:ascii="宋体" w:hAnsi="宋体" w:cs="Calibri"/>
          <w:color w:val="000000"/>
          <w:kern w:val="0"/>
          <w:sz w:val="22"/>
        </w:rPr>
        <w:t>2.3.1</w:t>
      </w:r>
      <w:r>
        <w:rPr>
          <w:rFonts w:hint="eastAsia" w:ascii="宋体" w:hAnsi="宋体" w:cs="Calibri"/>
          <w:kern w:val="0"/>
          <w:sz w:val="22"/>
        </w:rPr>
        <w:t>招标人可主动地或在解答投标人提出的澄清问题时对招标文件进行修改，对招标文件的修改将以补充公告的形式发布，所有获得招标文件的投标人应自行关注网站公告，招标人不再一一通知。投标人因自身贻误行为导致投标失败的，责任自负。</w:t>
      </w:r>
    </w:p>
    <w:p>
      <w:pPr>
        <w:adjustRightInd w:val="0"/>
        <w:snapToGrid w:val="0"/>
        <w:spacing w:line="360" w:lineRule="exact"/>
        <w:ind w:firstLine="440"/>
        <w:rPr>
          <w:rFonts w:ascii="宋体" w:hAnsi="宋体" w:cs="Calibri"/>
          <w:color w:val="000000"/>
          <w:sz w:val="22"/>
        </w:rPr>
      </w:pPr>
      <w:r>
        <w:rPr>
          <w:rFonts w:ascii="宋体" w:hAnsi="宋体" w:cs="Calibri"/>
          <w:color w:val="000000"/>
          <w:sz w:val="22"/>
        </w:rPr>
        <w:t>2.3.2</w:t>
      </w:r>
      <w:r>
        <w:rPr>
          <w:rFonts w:hint="eastAsia" w:ascii="宋体" w:hAnsi="宋体" w:cs="Calibri"/>
          <w:color w:val="000000"/>
          <w:sz w:val="22"/>
        </w:rPr>
        <w:t>招标文件的修改为招标文件的组成部分，对投标人有约束力。</w:t>
      </w:r>
    </w:p>
    <w:p>
      <w:pPr>
        <w:autoSpaceDE w:val="0"/>
        <w:autoSpaceDN w:val="0"/>
        <w:adjustRightInd w:val="0"/>
        <w:snapToGrid w:val="0"/>
        <w:spacing w:line="360" w:lineRule="exact"/>
        <w:rPr>
          <w:rFonts w:ascii="宋体" w:hAnsi="宋体" w:cs="Calibri"/>
          <w:b/>
          <w:bCs/>
          <w:kern w:val="0"/>
          <w:sz w:val="22"/>
        </w:rPr>
      </w:pPr>
      <w:bookmarkStart w:id="57" w:name="_Toc143421658"/>
      <w:bookmarkStart w:id="58" w:name="_Toc18870"/>
      <w:r>
        <w:rPr>
          <w:rFonts w:ascii="宋体" w:hAnsi="宋体" w:cs="Calibri"/>
          <w:b/>
          <w:bCs/>
          <w:kern w:val="0"/>
          <w:sz w:val="22"/>
        </w:rPr>
        <w:t>3.投标文件</w:t>
      </w:r>
      <w:bookmarkEnd w:id="57"/>
      <w:bookmarkEnd w:id="58"/>
    </w:p>
    <w:p>
      <w:pPr>
        <w:autoSpaceDE w:val="0"/>
        <w:autoSpaceDN w:val="0"/>
        <w:adjustRightInd w:val="0"/>
        <w:snapToGrid w:val="0"/>
        <w:spacing w:line="360" w:lineRule="exact"/>
        <w:rPr>
          <w:rFonts w:ascii="宋体" w:hAnsi="宋体" w:cs="Calibri"/>
          <w:b/>
          <w:bCs/>
          <w:kern w:val="0"/>
          <w:sz w:val="22"/>
        </w:rPr>
      </w:pPr>
      <w:bookmarkStart w:id="59" w:name="_Toc461"/>
      <w:r>
        <w:rPr>
          <w:rFonts w:ascii="宋体" w:hAnsi="宋体" w:cs="Calibri"/>
          <w:b/>
          <w:bCs/>
          <w:kern w:val="0"/>
          <w:sz w:val="22"/>
        </w:rPr>
        <w:t>3.1 投标文件的语言和计量单位</w:t>
      </w:r>
      <w:bookmarkEnd w:id="59"/>
    </w:p>
    <w:p>
      <w:pPr>
        <w:adjustRightInd w:val="0"/>
        <w:snapToGrid w:val="0"/>
        <w:spacing w:line="360" w:lineRule="exact"/>
        <w:ind w:firstLine="440" w:firstLineChars="200"/>
        <w:rPr>
          <w:rFonts w:ascii="宋体" w:hAnsi="宋体" w:cs="Calibri"/>
          <w:color w:val="000000"/>
          <w:kern w:val="0"/>
          <w:sz w:val="22"/>
        </w:rPr>
      </w:pPr>
      <w:r>
        <w:rPr>
          <w:rFonts w:ascii="宋体" w:hAnsi="宋体" w:cs="Calibri"/>
          <w:color w:val="000000"/>
          <w:sz w:val="22"/>
        </w:rPr>
        <w:t>3.1.1投标文件与投标有关的所有文件均应使用中文。</w:t>
      </w:r>
    </w:p>
    <w:p>
      <w:pPr>
        <w:adjustRightInd w:val="0"/>
        <w:snapToGrid w:val="0"/>
        <w:spacing w:line="360" w:lineRule="exact"/>
        <w:ind w:firstLine="440" w:firstLineChars="200"/>
        <w:rPr>
          <w:rFonts w:ascii="宋体" w:hAnsi="宋体" w:cs="Calibri"/>
          <w:color w:val="000000"/>
          <w:kern w:val="0"/>
          <w:sz w:val="22"/>
        </w:rPr>
      </w:pPr>
      <w:r>
        <w:rPr>
          <w:rFonts w:ascii="宋体" w:hAnsi="宋体" w:cs="Calibri"/>
          <w:color w:val="000000"/>
          <w:kern w:val="0"/>
          <w:sz w:val="22"/>
        </w:rPr>
        <w:t>3.1.2除规范另有规定外，投标文件使用的度量衡单位，均采用中华人民共和国法定计量单位。</w:t>
      </w:r>
    </w:p>
    <w:p>
      <w:pPr>
        <w:adjustRightInd w:val="0"/>
        <w:snapToGrid w:val="0"/>
        <w:spacing w:line="360" w:lineRule="exact"/>
        <w:ind w:firstLine="440" w:firstLineChars="200"/>
        <w:rPr>
          <w:rFonts w:ascii="宋体" w:hAnsi="宋体" w:cs="Calibri"/>
          <w:color w:val="000000"/>
          <w:kern w:val="0"/>
          <w:sz w:val="22"/>
        </w:rPr>
      </w:pPr>
      <w:r>
        <w:rPr>
          <w:rFonts w:ascii="宋体" w:hAnsi="宋体" w:cs="Calibri"/>
          <w:color w:val="000000"/>
          <w:kern w:val="0"/>
          <w:sz w:val="22"/>
        </w:rPr>
        <w:t>3.1.3招标文件中的“天”除特别说明外，均为日历天。</w:t>
      </w:r>
    </w:p>
    <w:p>
      <w:pPr>
        <w:adjustRightInd w:val="0"/>
        <w:snapToGrid w:val="0"/>
        <w:spacing w:line="360" w:lineRule="exact"/>
        <w:ind w:firstLine="440" w:firstLineChars="200"/>
        <w:rPr>
          <w:rFonts w:ascii="宋体" w:hAnsi="宋体" w:cs="Calibri"/>
          <w:color w:val="000000"/>
          <w:kern w:val="0"/>
          <w:sz w:val="22"/>
        </w:rPr>
      </w:pPr>
      <w:r>
        <w:rPr>
          <w:rFonts w:ascii="宋体" w:hAnsi="宋体" w:cs="Calibri"/>
          <w:color w:val="000000"/>
          <w:kern w:val="0"/>
          <w:sz w:val="22"/>
        </w:rPr>
        <w:t>3.1.4招标文件中所指的“合同”除特别说明外，指 “</w:t>
      </w:r>
      <w:r>
        <w:rPr>
          <w:rFonts w:hint="eastAsia" w:ascii="宋体" w:hAnsi="宋体" w:cs="Calibri"/>
          <w:color w:val="000000"/>
          <w:kern w:val="0"/>
          <w:sz w:val="22"/>
        </w:rPr>
        <w:t>服务</w:t>
      </w:r>
      <w:r>
        <w:rPr>
          <w:rFonts w:ascii="宋体" w:hAnsi="宋体" w:cs="Calibri"/>
          <w:color w:val="000000"/>
          <w:kern w:val="0"/>
          <w:sz w:val="22"/>
        </w:rPr>
        <w:t>合同”。</w:t>
      </w:r>
    </w:p>
    <w:p>
      <w:pPr>
        <w:autoSpaceDE w:val="0"/>
        <w:autoSpaceDN w:val="0"/>
        <w:adjustRightInd w:val="0"/>
        <w:snapToGrid w:val="0"/>
        <w:spacing w:line="360" w:lineRule="exact"/>
        <w:rPr>
          <w:rFonts w:ascii="宋体" w:hAnsi="宋体" w:cs="Calibri"/>
          <w:b/>
          <w:bCs/>
          <w:kern w:val="0"/>
          <w:sz w:val="22"/>
        </w:rPr>
      </w:pPr>
      <w:bookmarkStart w:id="60" w:name="_Toc1411"/>
      <w:r>
        <w:rPr>
          <w:rFonts w:ascii="宋体" w:hAnsi="宋体" w:cs="Calibri"/>
          <w:b/>
          <w:bCs/>
          <w:kern w:val="0"/>
          <w:sz w:val="22"/>
        </w:rPr>
        <w:t>3.2 投标文件的组成</w:t>
      </w:r>
      <w:bookmarkEnd w:id="60"/>
    </w:p>
    <w:p>
      <w:pPr>
        <w:adjustRightInd w:val="0"/>
        <w:snapToGrid w:val="0"/>
        <w:spacing w:line="360" w:lineRule="exact"/>
        <w:ind w:firstLine="440" w:firstLineChars="200"/>
        <w:rPr>
          <w:rFonts w:ascii="宋体" w:hAnsi="宋体" w:cs="Calibri"/>
          <w:color w:val="000000"/>
          <w:sz w:val="22"/>
        </w:rPr>
      </w:pPr>
      <w:bookmarkStart w:id="61" w:name="_Toc32225"/>
      <w:r>
        <w:rPr>
          <w:rFonts w:ascii="宋体" w:hAnsi="宋体" w:cs="Calibri"/>
          <w:color w:val="000000"/>
          <w:sz w:val="22"/>
        </w:rPr>
        <w:t>3.2.1投标函；</w:t>
      </w:r>
    </w:p>
    <w:p>
      <w:pPr>
        <w:adjustRightInd w:val="0"/>
        <w:snapToGrid w:val="0"/>
        <w:spacing w:line="360" w:lineRule="exact"/>
        <w:ind w:firstLine="440" w:firstLineChars="200"/>
        <w:rPr>
          <w:rFonts w:ascii="宋体" w:hAnsi="宋体" w:cs="Calibri"/>
          <w:color w:val="000000"/>
          <w:sz w:val="22"/>
        </w:rPr>
      </w:pPr>
      <w:r>
        <w:rPr>
          <w:rFonts w:ascii="宋体" w:hAnsi="宋体" w:cs="Calibri"/>
          <w:color w:val="000000"/>
          <w:sz w:val="22"/>
        </w:rPr>
        <w:t>3.2.</w:t>
      </w:r>
      <w:r>
        <w:rPr>
          <w:rFonts w:hint="eastAsia" w:ascii="宋体" w:hAnsi="宋体" w:cs="Calibri"/>
          <w:color w:val="000000"/>
          <w:sz w:val="22"/>
        </w:rPr>
        <w:t>2</w:t>
      </w:r>
      <w:r>
        <w:rPr>
          <w:rFonts w:ascii="宋体" w:hAnsi="宋体" w:cs="Calibri"/>
          <w:color w:val="000000"/>
          <w:sz w:val="22"/>
        </w:rPr>
        <w:t>法定代表人资格证明书；</w:t>
      </w:r>
    </w:p>
    <w:p>
      <w:pPr>
        <w:adjustRightInd w:val="0"/>
        <w:snapToGrid w:val="0"/>
        <w:spacing w:line="360" w:lineRule="exact"/>
        <w:ind w:firstLine="440" w:firstLineChars="200"/>
        <w:rPr>
          <w:rFonts w:ascii="宋体" w:hAnsi="宋体" w:cs="Calibri"/>
          <w:color w:val="000000"/>
          <w:sz w:val="22"/>
        </w:rPr>
      </w:pPr>
      <w:r>
        <w:rPr>
          <w:rFonts w:ascii="宋体" w:hAnsi="宋体" w:cs="Calibri"/>
          <w:color w:val="000000"/>
          <w:sz w:val="22"/>
        </w:rPr>
        <w:t>3.2.</w:t>
      </w:r>
      <w:r>
        <w:rPr>
          <w:rFonts w:hint="eastAsia" w:ascii="宋体" w:hAnsi="宋体" w:cs="Calibri"/>
          <w:color w:val="000000"/>
          <w:sz w:val="22"/>
        </w:rPr>
        <w:t>3</w:t>
      </w:r>
      <w:r>
        <w:rPr>
          <w:rFonts w:ascii="宋体" w:hAnsi="宋体" w:cs="Calibri"/>
          <w:color w:val="000000"/>
          <w:sz w:val="22"/>
        </w:rPr>
        <w:t>授权委托书；</w:t>
      </w:r>
    </w:p>
    <w:p>
      <w:pPr>
        <w:adjustRightInd w:val="0"/>
        <w:snapToGrid w:val="0"/>
        <w:spacing w:line="360" w:lineRule="exact"/>
        <w:ind w:firstLine="440" w:firstLineChars="200"/>
        <w:rPr>
          <w:rFonts w:ascii="宋体" w:hAnsi="宋体" w:cs="Calibri"/>
          <w:color w:val="000000"/>
          <w:sz w:val="22"/>
        </w:rPr>
      </w:pPr>
      <w:r>
        <w:rPr>
          <w:rFonts w:ascii="宋体" w:hAnsi="宋体" w:cs="Calibri"/>
          <w:color w:val="000000"/>
          <w:sz w:val="22"/>
        </w:rPr>
        <w:t>3.2.</w:t>
      </w:r>
      <w:r>
        <w:rPr>
          <w:rFonts w:hint="eastAsia" w:ascii="宋体" w:hAnsi="宋体" w:cs="Calibri"/>
          <w:color w:val="000000"/>
          <w:sz w:val="22"/>
        </w:rPr>
        <w:t>4</w:t>
      </w:r>
      <w:r>
        <w:rPr>
          <w:rFonts w:ascii="宋体" w:hAnsi="宋体" w:cs="Calibri"/>
          <w:color w:val="000000"/>
          <w:sz w:val="22"/>
        </w:rPr>
        <w:t xml:space="preserve"> 投标报价表；</w:t>
      </w:r>
    </w:p>
    <w:p>
      <w:pPr>
        <w:adjustRightInd w:val="0"/>
        <w:snapToGrid w:val="0"/>
        <w:spacing w:line="360" w:lineRule="exact"/>
        <w:ind w:firstLine="440" w:firstLineChars="200"/>
        <w:rPr>
          <w:rFonts w:ascii="宋体" w:hAnsi="宋体" w:cs="Calibri"/>
          <w:color w:val="000000"/>
          <w:sz w:val="22"/>
        </w:rPr>
      </w:pPr>
      <w:r>
        <w:rPr>
          <w:rFonts w:ascii="宋体" w:hAnsi="宋体" w:cs="Calibri"/>
          <w:color w:val="000000"/>
          <w:sz w:val="22"/>
        </w:rPr>
        <w:t>3.2.5投标人资格证明文件：</w:t>
      </w:r>
    </w:p>
    <w:p>
      <w:pPr>
        <w:adjustRightInd w:val="0"/>
        <w:snapToGrid w:val="0"/>
        <w:spacing w:line="360" w:lineRule="exact"/>
        <w:ind w:firstLine="440" w:firstLineChars="200"/>
        <w:rPr>
          <w:rFonts w:ascii="宋体" w:hAnsi="宋体" w:cs="Calibri"/>
          <w:color w:val="000000"/>
          <w:sz w:val="22"/>
        </w:rPr>
      </w:pPr>
      <w:r>
        <w:rPr>
          <w:rFonts w:ascii="宋体" w:hAnsi="宋体" w:cs="Calibri"/>
          <w:color w:val="000000"/>
          <w:sz w:val="22"/>
        </w:rPr>
        <w:t>（1）投标人一般情况</w:t>
      </w:r>
      <w:r>
        <w:rPr>
          <w:rFonts w:hint="eastAsia" w:ascii="宋体" w:hAnsi="宋体" w:cs="Calibri"/>
          <w:color w:val="000000"/>
          <w:sz w:val="22"/>
        </w:rPr>
        <w:t>及</w:t>
      </w:r>
      <w:r>
        <w:rPr>
          <w:rFonts w:ascii="宋体" w:hAnsi="宋体" w:cs="Calibri"/>
          <w:color w:val="000000"/>
          <w:sz w:val="22"/>
        </w:rPr>
        <w:t>有关证明投标人法律地位的文件（包括营业执照</w:t>
      </w:r>
      <w:r>
        <w:rPr>
          <w:rFonts w:hint="eastAsia" w:ascii="宋体" w:hAnsi="宋体" w:cs="Calibri"/>
          <w:color w:val="000000"/>
          <w:sz w:val="22"/>
        </w:rPr>
        <w:t>、</w:t>
      </w:r>
      <w:r>
        <w:rPr>
          <w:rFonts w:hint="eastAsia" w:ascii="宋体" w:hAnsi="宋体" w:cs="Calibri"/>
          <w:sz w:val="22"/>
        </w:rPr>
        <w:t>税务登记证、</w:t>
      </w:r>
      <w:r>
        <w:rPr>
          <w:rFonts w:ascii="宋体" w:hAnsi="宋体" w:cs="Calibri"/>
          <w:color w:val="000000"/>
          <w:sz w:val="22"/>
        </w:rPr>
        <w:t>资质</w:t>
      </w:r>
      <w:r>
        <w:rPr>
          <w:rFonts w:hint="eastAsia" w:ascii="宋体" w:hAnsi="宋体" w:cs="Calibri"/>
          <w:color w:val="000000"/>
          <w:sz w:val="22"/>
        </w:rPr>
        <w:t>证书</w:t>
      </w:r>
      <w:r>
        <w:rPr>
          <w:rFonts w:ascii="宋体" w:hAnsi="宋体" w:cs="Calibri"/>
          <w:color w:val="000000"/>
          <w:sz w:val="22"/>
        </w:rPr>
        <w:t>等），说明投标人的注册地点和主要经营范围；</w:t>
      </w:r>
    </w:p>
    <w:p>
      <w:pPr>
        <w:adjustRightInd w:val="0"/>
        <w:snapToGrid w:val="0"/>
        <w:spacing w:line="360" w:lineRule="exact"/>
        <w:ind w:firstLine="440" w:firstLineChars="200"/>
        <w:rPr>
          <w:rFonts w:ascii="宋体" w:hAnsi="宋体" w:cs="Calibri"/>
          <w:color w:val="000000"/>
          <w:sz w:val="22"/>
        </w:rPr>
      </w:pPr>
      <w:r>
        <w:rPr>
          <w:rFonts w:hint="eastAsia" w:ascii="宋体" w:hAnsi="宋体" w:cs="Calibri"/>
          <w:color w:val="000000"/>
          <w:sz w:val="22"/>
        </w:rPr>
        <w:t>（2）信用中国网站www.creditchina.gov.cn 、中国裁判文书网http://wenshu.court.gov.cn查询结果以及主管税务部门出具的一般纳税人资格认定《税务事项通知书》或《增值税一般纳税人登记表》或投标人电子税务局一般纳税人资格查询网页；</w:t>
      </w:r>
    </w:p>
    <w:p>
      <w:pPr>
        <w:adjustRightInd w:val="0"/>
        <w:snapToGrid w:val="0"/>
        <w:spacing w:line="360" w:lineRule="exact"/>
        <w:ind w:firstLine="440" w:firstLineChars="200"/>
        <w:rPr>
          <w:rFonts w:ascii="宋体" w:hAnsi="宋体" w:cs="Calibri"/>
          <w:color w:val="000000"/>
          <w:sz w:val="22"/>
        </w:rPr>
      </w:pPr>
      <w:r>
        <w:rPr>
          <w:rFonts w:ascii="宋体" w:hAnsi="宋体" w:cs="Calibri"/>
          <w:color w:val="000000"/>
          <w:sz w:val="22"/>
        </w:rPr>
        <w:t>（3）有关证明投标人的企业信誉及获得各种奖励等资料；</w:t>
      </w:r>
    </w:p>
    <w:p>
      <w:pPr>
        <w:adjustRightInd w:val="0"/>
        <w:snapToGrid w:val="0"/>
        <w:spacing w:line="360" w:lineRule="exact"/>
        <w:ind w:firstLine="440" w:firstLineChars="200"/>
        <w:rPr>
          <w:rFonts w:ascii="宋体" w:hAnsi="宋体" w:cs="Calibri"/>
          <w:color w:val="000000"/>
          <w:sz w:val="22"/>
        </w:rPr>
      </w:pPr>
      <w:r>
        <w:rPr>
          <w:rFonts w:ascii="宋体" w:hAnsi="宋体" w:cs="Calibri"/>
          <w:color w:val="000000"/>
          <w:sz w:val="22"/>
        </w:rPr>
        <w:t>（4）投标人经济实力：包括企业注册资金、财务报告与报表中反映的财务状况</w:t>
      </w:r>
      <w:r>
        <w:rPr>
          <w:rFonts w:hint="eastAsia" w:ascii="宋体" w:hAnsi="宋体" w:cs="Calibri"/>
          <w:color w:val="000000"/>
          <w:sz w:val="22"/>
        </w:rPr>
        <w:t>；</w:t>
      </w:r>
    </w:p>
    <w:p>
      <w:pPr>
        <w:adjustRightInd w:val="0"/>
        <w:snapToGrid w:val="0"/>
        <w:spacing w:line="360" w:lineRule="exact"/>
        <w:ind w:firstLine="440" w:firstLineChars="200"/>
        <w:rPr>
          <w:rFonts w:ascii="宋体" w:hAnsi="宋体" w:cs="Calibri"/>
          <w:color w:val="000000"/>
          <w:sz w:val="22"/>
        </w:rPr>
      </w:pPr>
      <w:r>
        <w:rPr>
          <w:rFonts w:hint="eastAsia" w:ascii="宋体" w:hAnsi="宋体" w:cs="Calibri"/>
          <w:color w:val="000000"/>
          <w:sz w:val="22"/>
        </w:rPr>
        <w:t>（</w:t>
      </w:r>
      <w:r>
        <w:rPr>
          <w:rFonts w:ascii="宋体" w:hAnsi="宋体" w:cs="Calibri"/>
          <w:color w:val="000000"/>
          <w:sz w:val="22"/>
        </w:rPr>
        <w:t>5</w:t>
      </w:r>
      <w:r>
        <w:rPr>
          <w:rFonts w:hint="eastAsia" w:ascii="宋体" w:hAnsi="宋体" w:cs="Calibri"/>
          <w:color w:val="000000"/>
          <w:sz w:val="22"/>
        </w:rPr>
        <w:t>）</w:t>
      </w:r>
      <w:r>
        <w:rPr>
          <w:rFonts w:ascii="宋体" w:hAnsi="宋体" w:cs="Calibri"/>
          <w:color w:val="000000"/>
          <w:sz w:val="22"/>
        </w:rPr>
        <w:t>近三年</w:t>
      </w:r>
      <w:r>
        <w:rPr>
          <w:rFonts w:hint="eastAsia" w:ascii="宋体" w:hAnsi="宋体" w:cs="Calibri"/>
          <w:color w:val="000000"/>
          <w:sz w:val="22"/>
        </w:rPr>
        <w:t>（2016年1月1日至投标截止日）</w:t>
      </w:r>
      <w:r>
        <w:rPr>
          <w:rFonts w:ascii="宋体" w:hAnsi="宋体" w:cs="Calibri"/>
          <w:color w:val="000000"/>
          <w:sz w:val="22"/>
        </w:rPr>
        <w:t>完成类似项目业绩情况</w:t>
      </w:r>
      <w:r>
        <w:rPr>
          <w:rFonts w:hint="eastAsia" w:ascii="宋体" w:hAnsi="宋体" w:cs="Calibri"/>
          <w:color w:val="000000"/>
          <w:sz w:val="22"/>
        </w:rPr>
        <w:t>；</w:t>
      </w:r>
    </w:p>
    <w:p>
      <w:pPr>
        <w:adjustRightInd w:val="0"/>
        <w:snapToGrid w:val="0"/>
        <w:spacing w:line="360" w:lineRule="exact"/>
        <w:ind w:firstLine="440" w:firstLineChars="200"/>
        <w:rPr>
          <w:rFonts w:ascii="宋体" w:hAnsi="宋体" w:cs="Calibri"/>
          <w:color w:val="000000"/>
          <w:sz w:val="22"/>
        </w:rPr>
      </w:pPr>
      <w:r>
        <w:rPr>
          <w:rFonts w:hint="eastAsia" w:ascii="宋体" w:hAnsi="宋体" w:cs="Calibri"/>
          <w:color w:val="000000"/>
          <w:sz w:val="22"/>
        </w:rPr>
        <w:t>（</w:t>
      </w:r>
      <w:r>
        <w:rPr>
          <w:rFonts w:ascii="宋体" w:hAnsi="宋体" w:cs="Calibri"/>
          <w:color w:val="000000"/>
          <w:sz w:val="22"/>
        </w:rPr>
        <w:t>6</w:t>
      </w:r>
      <w:r>
        <w:rPr>
          <w:rFonts w:hint="eastAsia" w:ascii="宋体" w:hAnsi="宋体" w:cs="Calibri"/>
          <w:color w:val="000000"/>
          <w:sz w:val="22"/>
        </w:rPr>
        <w:t>）招标文件投标人资格要求中提供的相关材料。</w:t>
      </w:r>
    </w:p>
    <w:p>
      <w:pPr>
        <w:adjustRightInd w:val="0"/>
        <w:snapToGrid w:val="0"/>
        <w:spacing w:line="360" w:lineRule="exact"/>
        <w:ind w:firstLine="440" w:firstLineChars="200"/>
        <w:rPr>
          <w:rFonts w:ascii="宋体" w:hAnsi="宋体" w:cs="Calibri"/>
          <w:color w:val="000000"/>
          <w:sz w:val="22"/>
        </w:rPr>
      </w:pPr>
      <w:r>
        <w:rPr>
          <w:rFonts w:ascii="宋体" w:hAnsi="宋体" w:cs="Calibri"/>
          <w:color w:val="000000"/>
          <w:sz w:val="22"/>
        </w:rPr>
        <w:t>3.2.6</w:t>
      </w:r>
      <w:r>
        <w:rPr>
          <w:rFonts w:hint="eastAsia" w:ascii="宋体" w:hAnsi="宋体" w:cs="Calibri"/>
          <w:color w:val="000000"/>
          <w:sz w:val="22"/>
        </w:rPr>
        <w:t xml:space="preserve"> </w:t>
      </w:r>
      <w:r>
        <w:rPr>
          <w:rFonts w:ascii="宋体" w:hAnsi="宋体" w:cs="Calibri"/>
          <w:color w:val="000000"/>
          <w:sz w:val="22"/>
        </w:rPr>
        <w:t>服务大纲</w:t>
      </w:r>
    </w:p>
    <w:p>
      <w:pPr>
        <w:adjustRightInd w:val="0"/>
        <w:snapToGrid w:val="0"/>
        <w:spacing w:line="360" w:lineRule="exact"/>
        <w:ind w:firstLine="440" w:firstLineChars="200"/>
        <w:rPr>
          <w:rFonts w:ascii="宋体" w:hAnsi="宋体" w:cs="Calibri"/>
          <w:color w:val="000000"/>
          <w:sz w:val="22"/>
        </w:rPr>
      </w:pPr>
      <w:r>
        <w:rPr>
          <w:rFonts w:ascii="宋体" w:hAnsi="宋体" w:cs="Calibri"/>
          <w:color w:val="000000"/>
          <w:sz w:val="22"/>
        </w:rPr>
        <w:t>（1）本项目概况；</w:t>
      </w:r>
    </w:p>
    <w:p>
      <w:pPr>
        <w:adjustRightInd w:val="0"/>
        <w:snapToGrid w:val="0"/>
        <w:spacing w:line="360" w:lineRule="exact"/>
        <w:ind w:firstLine="440" w:firstLineChars="200"/>
        <w:rPr>
          <w:rFonts w:ascii="宋体" w:hAnsi="宋体" w:cs="Calibri"/>
          <w:color w:val="000000"/>
          <w:sz w:val="22"/>
        </w:rPr>
      </w:pPr>
      <w:r>
        <w:rPr>
          <w:rFonts w:ascii="宋体" w:hAnsi="宋体" w:cs="Calibri"/>
          <w:color w:val="000000"/>
          <w:sz w:val="22"/>
        </w:rPr>
        <w:t>（2）工作内容和依据；</w:t>
      </w:r>
    </w:p>
    <w:p>
      <w:pPr>
        <w:adjustRightInd w:val="0"/>
        <w:snapToGrid w:val="0"/>
        <w:spacing w:line="360" w:lineRule="exact"/>
        <w:ind w:firstLine="440" w:firstLineChars="200"/>
        <w:rPr>
          <w:rFonts w:ascii="宋体" w:hAnsi="宋体" w:cs="Calibri"/>
          <w:color w:val="000000"/>
          <w:sz w:val="22"/>
        </w:rPr>
      </w:pPr>
      <w:r>
        <w:rPr>
          <w:rFonts w:ascii="宋体" w:hAnsi="宋体" w:cs="Calibri"/>
          <w:color w:val="000000"/>
          <w:sz w:val="22"/>
        </w:rPr>
        <w:t>（3）</w:t>
      </w:r>
      <w:r>
        <w:rPr>
          <w:rFonts w:hint="eastAsia" w:ascii="宋体" w:hAnsi="宋体" w:cs="Calibri"/>
          <w:color w:val="000000"/>
          <w:sz w:val="22"/>
        </w:rPr>
        <w:t>现场机构、人力、物资设备配置</w:t>
      </w:r>
      <w:r>
        <w:rPr>
          <w:rFonts w:ascii="宋体" w:hAnsi="宋体" w:cs="Calibri"/>
          <w:color w:val="000000"/>
          <w:sz w:val="22"/>
        </w:rPr>
        <w:t>；</w:t>
      </w:r>
    </w:p>
    <w:p>
      <w:pPr>
        <w:adjustRightInd w:val="0"/>
        <w:snapToGrid w:val="0"/>
        <w:spacing w:line="360" w:lineRule="exact"/>
        <w:ind w:firstLine="440" w:firstLineChars="200"/>
        <w:rPr>
          <w:rFonts w:ascii="宋体" w:hAnsi="宋体" w:cs="Calibri"/>
          <w:color w:val="000000"/>
          <w:sz w:val="22"/>
        </w:rPr>
      </w:pPr>
      <w:r>
        <w:rPr>
          <w:rFonts w:ascii="宋体" w:hAnsi="宋体" w:cs="Calibri"/>
          <w:color w:val="000000"/>
          <w:sz w:val="22"/>
        </w:rPr>
        <w:t>（4）服务人员的作业安排和进场计划；</w:t>
      </w:r>
    </w:p>
    <w:p>
      <w:pPr>
        <w:adjustRightInd w:val="0"/>
        <w:snapToGrid w:val="0"/>
        <w:spacing w:line="360" w:lineRule="exact"/>
        <w:ind w:firstLine="440" w:firstLineChars="200"/>
        <w:rPr>
          <w:rFonts w:ascii="宋体" w:hAnsi="宋体" w:cs="Calibri"/>
          <w:color w:val="000000"/>
          <w:sz w:val="22"/>
        </w:rPr>
      </w:pPr>
      <w:r>
        <w:rPr>
          <w:rFonts w:ascii="宋体" w:hAnsi="宋体" w:cs="Calibri"/>
          <w:color w:val="000000"/>
          <w:sz w:val="22"/>
        </w:rPr>
        <w:t>（5）</w:t>
      </w:r>
      <w:r>
        <w:rPr>
          <w:rFonts w:hint="eastAsia" w:ascii="宋体" w:hAnsi="宋体" w:cs="Calibri"/>
          <w:color w:val="000000"/>
          <w:sz w:val="22"/>
        </w:rPr>
        <w:t>运行、安全、服务等相关管理方案</w:t>
      </w:r>
      <w:r>
        <w:rPr>
          <w:rFonts w:ascii="宋体" w:hAnsi="宋体" w:cs="Calibri"/>
          <w:color w:val="000000"/>
          <w:sz w:val="22"/>
        </w:rPr>
        <w:t>；</w:t>
      </w:r>
    </w:p>
    <w:p>
      <w:pPr>
        <w:adjustRightInd w:val="0"/>
        <w:snapToGrid w:val="0"/>
        <w:spacing w:line="360" w:lineRule="exact"/>
        <w:ind w:firstLine="440" w:firstLineChars="200"/>
        <w:rPr>
          <w:rFonts w:ascii="宋体" w:hAnsi="宋体" w:cs="Calibri"/>
          <w:color w:val="000000"/>
          <w:sz w:val="22"/>
        </w:rPr>
      </w:pPr>
      <w:r>
        <w:rPr>
          <w:rFonts w:ascii="宋体" w:hAnsi="宋体" w:cs="Calibri"/>
          <w:color w:val="000000"/>
          <w:sz w:val="22"/>
        </w:rPr>
        <w:t>（6）对本项目的实施意见及重点</w:t>
      </w:r>
      <w:r>
        <w:rPr>
          <w:rFonts w:hint="eastAsia" w:ascii="宋体" w:hAnsi="宋体" w:cs="Calibri"/>
          <w:color w:val="000000"/>
          <w:sz w:val="22"/>
        </w:rPr>
        <w:t>、</w:t>
      </w:r>
      <w:r>
        <w:rPr>
          <w:rFonts w:ascii="宋体" w:hAnsi="宋体" w:cs="Calibri"/>
          <w:color w:val="000000"/>
          <w:sz w:val="22"/>
        </w:rPr>
        <w:t>难点控制；</w:t>
      </w:r>
    </w:p>
    <w:p>
      <w:pPr>
        <w:adjustRightInd w:val="0"/>
        <w:snapToGrid w:val="0"/>
        <w:spacing w:line="360" w:lineRule="exact"/>
        <w:ind w:firstLine="440" w:firstLineChars="200"/>
        <w:rPr>
          <w:rFonts w:ascii="宋体" w:hAnsi="宋体" w:cs="Calibri"/>
          <w:color w:val="000000"/>
          <w:sz w:val="22"/>
        </w:rPr>
      </w:pPr>
      <w:r>
        <w:rPr>
          <w:rFonts w:hint="eastAsia" w:ascii="宋体" w:hAnsi="宋体" w:cs="Calibri"/>
          <w:color w:val="000000"/>
          <w:sz w:val="22"/>
        </w:rPr>
        <w:t>（7）对特殊情况的承诺以及灾害性、突发事件的应急预案；</w:t>
      </w:r>
    </w:p>
    <w:p>
      <w:pPr>
        <w:adjustRightInd w:val="0"/>
        <w:snapToGrid w:val="0"/>
        <w:spacing w:line="360" w:lineRule="exact"/>
        <w:ind w:firstLine="440" w:firstLineChars="200"/>
        <w:rPr>
          <w:rFonts w:ascii="宋体" w:hAnsi="宋体" w:cs="Calibri"/>
          <w:color w:val="000000"/>
          <w:sz w:val="22"/>
        </w:rPr>
      </w:pPr>
      <w:r>
        <w:rPr>
          <w:rFonts w:ascii="宋体" w:hAnsi="宋体" w:cs="Calibri"/>
          <w:color w:val="000000"/>
          <w:sz w:val="22"/>
        </w:rPr>
        <w:t>（</w:t>
      </w:r>
      <w:r>
        <w:rPr>
          <w:rFonts w:hint="eastAsia" w:ascii="宋体" w:hAnsi="宋体" w:cs="Calibri"/>
          <w:color w:val="000000"/>
          <w:sz w:val="22"/>
        </w:rPr>
        <w:t>8</w:t>
      </w:r>
      <w:r>
        <w:rPr>
          <w:rFonts w:ascii="宋体" w:hAnsi="宋体" w:cs="Calibri"/>
          <w:color w:val="000000"/>
          <w:sz w:val="22"/>
        </w:rPr>
        <w:t>）投入到本项目的项目负责人、其他人员的情况汇总表及业绩、经历、能力介绍、资格证明材料及人员到位率的承诺；</w:t>
      </w:r>
    </w:p>
    <w:p>
      <w:pPr>
        <w:adjustRightInd w:val="0"/>
        <w:snapToGrid w:val="0"/>
        <w:spacing w:line="360" w:lineRule="exact"/>
        <w:ind w:firstLine="440" w:firstLineChars="200"/>
        <w:rPr>
          <w:rFonts w:ascii="宋体" w:hAnsi="宋体" w:cs="Calibri"/>
          <w:color w:val="000000"/>
          <w:sz w:val="22"/>
        </w:rPr>
      </w:pPr>
      <w:r>
        <w:rPr>
          <w:rFonts w:ascii="宋体" w:hAnsi="宋体" w:cs="Calibri"/>
          <w:color w:val="000000"/>
          <w:sz w:val="22"/>
        </w:rPr>
        <w:t>（</w:t>
      </w:r>
      <w:r>
        <w:rPr>
          <w:rFonts w:hint="eastAsia" w:ascii="宋体" w:hAnsi="宋体" w:cs="Calibri"/>
          <w:color w:val="000000"/>
          <w:sz w:val="22"/>
        </w:rPr>
        <w:t>9</w:t>
      </w:r>
      <w:r>
        <w:rPr>
          <w:rFonts w:ascii="宋体" w:hAnsi="宋体" w:cs="Calibri"/>
          <w:color w:val="000000"/>
          <w:sz w:val="22"/>
        </w:rPr>
        <w:t>）投入本项目服务的仪器、仪表、设备及交通工具汇总表</w:t>
      </w:r>
      <w:r>
        <w:rPr>
          <w:rFonts w:hint="eastAsia" w:ascii="宋体" w:hAnsi="宋体" w:cs="Calibri"/>
          <w:color w:val="000000"/>
          <w:sz w:val="22"/>
        </w:rPr>
        <w:t>。</w:t>
      </w:r>
    </w:p>
    <w:p>
      <w:pPr>
        <w:adjustRightInd w:val="0"/>
        <w:snapToGrid w:val="0"/>
        <w:spacing w:line="360" w:lineRule="exact"/>
        <w:ind w:firstLine="440" w:firstLineChars="200"/>
        <w:rPr>
          <w:rFonts w:ascii="宋体" w:hAnsi="宋体"/>
          <w:sz w:val="22"/>
        </w:rPr>
      </w:pPr>
      <w:r>
        <w:rPr>
          <w:rFonts w:ascii="宋体" w:hAnsi="宋体" w:cs="Calibri"/>
          <w:color w:val="000000"/>
          <w:sz w:val="22"/>
        </w:rPr>
        <w:t>3.2.7</w:t>
      </w:r>
      <w:r>
        <w:rPr>
          <w:rFonts w:hint="eastAsia" w:ascii="宋体" w:hAnsi="宋体" w:cs="Arial"/>
          <w:color w:val="000000"/>
          <w:sz w:val="22"/>
        </w:rPr>
        <w:t>投标人认为</w:t>
      </w:r>
      <w:r>
        <w:rPr>
          <w:rFonts w:ascii="宋体" w:hAnsi="宋体" w:cs="Arial"/>
          <w:color w:val="000000"/>
          <w:sz w:val="22"/>
        </w:rPr>
        <w:t>应该提供的其他材料</w:t>
      </w:r>
      <w:r>
        <w:rPr>
          <w:rFonts w:hint="eastAsia" w:ascii="宋体" w:hAnsi="宋体" w:cs="Arial"/>
          <w:color w:val="000000"/>
          <w:sz w:val="22"/>
        </w:rPr>
        <w:t>。</w:t>
      </w:r>
    </w:p>
    <w:p>
      <w:pPr>
        <w:autoSpaceDE w:val="0"/>
        <w:autoSpaceDN w:val="0"/>
        <w:adjustRightInd w:val="0"/>
        <w:snapToGrid w:val="0"/>
        <w:spacing w:line="360" w:lineRule="exact"/>
        <w:rPr>
          <w:rFonts w:ascii="宋体" w:hAnsi="宋体" w:cs="Calibri"/>
          <w:b/>
          <w:bCs/>
          <w:kern w:val="0"/>
          <w:sz w:val="22"/>
        </w:rPr>
      </w:pPr>
      <w:r>
        <w:rPr>
          <w:rFonts w:ascii="宋体" w:hAnsi="宋体" w:cs="Calibri"/>
          <w:b/>
          <w:bCs/>
          <w:kern w:val="0"/>
          <w:sz w:val="22"/>
        </w:rPr>
        <w:t>3.3 投标报价</w:t>
      </w:r>
      <w:bookmarkEnd w:id="61"/>
    </w:p>
    <w:p>
      <w:pPr>
        <w:adjustRightInd w:val="0"/>
        <w:snapToGrid w:val="0"/>
        <w:spacing w:line="360" w:lineRule="exact"/>
        <w:ind w:firstLine="440" w:firstLineChars="200"/>
        <w:rPr>
          <w:rFonts w:ascii="宋体" w:hAnsi="宋体" w:cs="Calibri"/>
          <w:color w:val="000000"/>
          <w:kern w:val="0"/>
          <w:sz w:val="22"/>
        </w:rPr>
      </w:pPr>
      <w:bookmarkStart w:id="62" w:name="_Toc13307"/>
      <w:r>
        <w:rPr>
          <w:rFonts w:ascii="宋体" w:hAnsi="宋体" w:cs="Calibri"/>
          <w:color w:val="000000"/>
          <w:kern w:val="0"/>
          <w:sz w:val="22"/>
        </w:rPr>
        <w:t>3.2.1 投标人应按本招标文件中“投标文件格式”的要求填写相应表格。</w:t>
      </w:r>
    </w:p>
    <w:p>
      <w:pPr>
        <w:adjustRightInd w:val="0"/>
        <w:snapToGrid w:val="0"/>
        <w:spacing w:line="360" w:lineRule="exact"/>
        <w:ind w:firstLine="440" w:firstLineChars="200"/>
        <w:rPr>
          <w:rFonts w:ascii="宋体" w:hAnsi="宋体" w:cs="Calibri"/>
          <w:color w:val="000000"/>
          <w:kern w:val="0"/>
          <w:sz w:val="22"/>
        </w:rPr>
      </w:pPr>
      <w:r>
        <w:rPr>
          <w:rFonts w:ascii="宋体" w:hAnsi="宋体" w:cs="Calibri"/>
          <w:color w:val="000000"/>
          <w:kern w:val="0"/>
          <w:sz w:val="22"/>
        </w:rPr>
        <w:t>3.2.2 投标人在投标截止时间前修改投标函中的投标总报价，应同时修改本招标文件中“投标文件格式”中的相应报价。此修改须符合本章第4.3款的有关要求。</w:t>
      </w:r>
    </w:p>
    <w:p>
      <w:pPr>
        <w:adjustRightInd w:val="0"/>
        <w:snapToGrid w:val="0"/>
        <w:spacing w:line="360" w:lineRule="exact"/>
        <w:ind w:firstLine="440" w:firstLineChars="200"/>
        <w:rPr>
          <w:rFonts w:ascii="宋体" w:hAnsi="宋体" w:cs="Calibri"/>
          <w:color w:val="000000"/>
          <w:kern w:val="0"/>
          <w:sz w:val="22"/>
        </w:rPr>
      </w:pPr>
      <w:r>
        <w:rPr>
          <w:rFonts w:ascii="宋体" w:hAnsi="宋体" w:cs="Calibri"/>
          <w:color w:val="000000"/>
          <w:kern w:val="0"/>
          <w:sz w:val="22"/>
        </w:rPr>
        <w:t>3.2.3招标人设有最高投标限价的，投标人的投标报价不得超过最高投标限价，最高投标限价详见投标人须知前附表。</w:t>
      </w:r>
    </w:p>
    <w:p>
      <w:pPr>
        <w:adjustRightInd w:val="0"/>
        <w:snapToGrid w:val="0"/>
        <w:spacing w:line="360" w:lineRule="exact"/>
        <w:ind w:firstLine="440" w:firstLineChars="200"/>
        <w:rPr>
          <w:rFonts w:ascii="宋体" w:hAnsi="宋体" w:cs="Calibri"/>
          <w:color w:val="000000"/>
          <w:kern w:val="0"/>
          <w:sz w:val="22"/>
        </w:rPr>
      </w:pPr>
      <w:r>
        <w:rPr>
          <w:rFonts w:ascii="宋体" w:hAnsi="宋体" w:cs="Calibri"/>
          <w:color w:val="000000"/>
          <w:kern w:val="0"/>
          <w:sz w:val="22"/>
        </w:rPr>
        <w:t>3.2.4投标报价的其他要求</w:t>
      </w:r>
      <w:r>
        <w:rPr>
          <w:rFonts w:hint="eastAsia" w:ascii="宋体" w:hAnsi="宋体" w:cs="Calibri"/>
          <w:color w:val="000000"/>
          <w:kern w:val="0"/>
          <w:sz w:val="22"/>
        </w:rPr>
        <w:t>：</w:t>
      </w:r>
      <w:r>
        <w:rPr>
          <w:rFonts w:hint="eastAsia" w:ascii="宋体" w:hAnsi="宋体" w:cs="Calibri"/>
          <w:b/>
          <w:color w:val="000000"/>
          <w:kern w:val="0"/>
          <w:sz w:val="22"/>
          <w:u w:val="single"/>
        </w:rPr>
        <w:t>投标报价如有漏项，风险由投标人承担，即在评标时，按照最不利原则予以修正，但在签订合同时，认为这些漏项或者缺项已包含在投标报价的其他部分中，不再单独计价，也不因此增加合同价格</w:t>
      </w:r>
      <w:r>
        <w:rPr>
          <w:rFonts w:ascii="宋体" w:hAnsi="宋体" w:cs="Calibri"/>
          <w:b/>
          <w:color w:val="000000"/>
          <w:kern w:val="0"/>
          <w:sz w:val="22"/>
        </w:rPr>
        <w:t>。</w:t>
      </w:r>
    </w:p>
    <w:p>
      <w:pPr>
        <w:autoSpaceDE w:val="0"/>
        <w:autoSpaceDN w:val="0"/>
        <w:adjustRightInd w:val="0"/>
        <w:snapToGrid w:val="0"/>
        <w:spacing w:line="360" w:lineRule="exact"/>
        <w:rPr>
          <w:rFonts w:ascii="宋体" w:hAnsi="宋体" w:cs="Calibri"/>
          <w:b/>
          <w:bCs/>
          <w:kern w:val="0"/>
          <w:sz w:val="22"/>
        </w:rPr>
      </w:pPr>
      <w:r>
        <w:rPr>
          <w:rFonts w:ascii="宋体" w:hAnsi="宋体" w:cs="Calibri"/>
          <w:b/>
          <w:bCs/>
          <w:kern w:val="0"/>
          <w:sz w:val="22"/>
        </w:rPr>
        <w:t>3.4 投标有效期</w:t>
      </w:r>
      <w:bookmarkEnd w:id="62"/>
    </w:p>
    <w:p>
      <w:pPr>
        <w:adjustRightInd w:val="0"/>
        <w:snapToGrid w:val="0"/>
        <w:spacing w:line="360" w:lineRule="exact"/>
        <w:ind w:firstLine="440" w:firstLineChars="200"/>
        <w:rPr>
          <w:rFonts w:ascii="宋体" w:hAnsi="宋体" w:cs="Calibri"/>
          <w:color w:val="000000"/>
          <w:kern w:val="0"/>
          <w:sz w:val="22"/>
        </w:rPr>
      </w:pPr>
      <w:r>
        <w:rPr>
          <w:rFonts w:ascii="宋体" w:hAnsi="宋体" w:cs="Calibri"/>
          <w:color w:val="000000"/>
          <w:kern w:val="0"/>
          <w:sz w:val="22"/>
        </w:rPr>
        <w:t>3.4.1在投标人须知前附表规定的投标有效期内，投标人不得要求撤销和修改其投标文件。</w:t>
      </w:r>
    </w:p>
    <w:p>
      <w:pPr>
        <w:adjustRightInd w:val="0"/>
        <w:snapToGrid w:val="0"/>
        <w:spacing w:line="360" w:lineRule="exact"/>
        <w:ind w:firstLine="440" w:firstLineChars="200"/>
        <w:rPr>
          <w:rFonts w:ascii="宋体" w:hAnsi="宋体" w:cs="Calibri"/>
          <w:color w:val="000000"/>
          <w:kern w:val="0"/>
          <w:sz w:val="22"/>
        </w:rPr>
      </w:pPr>
      <w:r>
        <w:rPr>
          <w:rFonts w:ascii="宋体" w:hAnsi="宋体" w:cs="Calibri"/>
          <w:color w:val="000000"/>
          <w:kern w:val="0"/>
          <w:sz w:val="22"/>
        </w:rPr>
        <w:t>3.4.2出现特殊情况需要延长投标有效期的，招标人以书面形式通知所有投标人延长投标有效期。投标人同意延长的，应相应延长其投标保证金有效期，但不要求或被允许修改或撤销其投标文件；投标人拒绝延长的，其投标失效，但投标人有权收回其投标保证金。</w:t>
      </w:r>
    </w:p>
    <w:p>
      <w:pPr>
        <w:autoSpaceDE w:val="0"/>
        <w:autoSpaceDN w:val="0"/>
        <w:adjustRightInd w:val="0"/>
        <w:snapToGrid w:val="0"/>
        <w:spacing w:line="360" w:lineRule="exact"/>
        <w:rPr>
          <w:rFonts w:ascii="宋体" w:hAnsi="宋体" w:cs="Calibri"/>
          <w:b/>
          <w:bCs/>
          <w:kern w:val="0"/>
          <w:sz w:val="22"/>
        </w:rPr>
      </w:pPr>
      <w:bookmarkStart w:id="63" w:name="_Toc30464"/>
      <w:r>
        <w:rPr>
          <w:rFonts w:ascii="宋体" w:hAnsi="宋体" w:cs="Calibri"/>
          <w:b/>
          <w:bCs/>
          <w:kern w:val="0"/>
          <w:sz w:val="22"/>
        </w:rPr>
        <w:t>3.5 投标保证金</w:t>
      </w:r>
      <w:bookmarkEnd w:id="63"/>
      <w:r>
        <w:rPr>
          <w:rFonts w:hint="eastAsia" w:ascii="宋体" w:hAnsi="宋体" w:cs="Calibri"/>
          <w:b/>
          <w:bCs/>
          <w:kern w:val="0"/>
          <w:sz w:val="22"/>
        </w:rPr>
        <w:t>（如有）</w:t>
      </w:r>
    </w:p>
    <w:p>
      <w:pPr>
        <w:adjustRightInd w:val="0"/>
        <w:snapToGrid w:val="0"/>
        <w:spacing w:line="360" w:lineRule="exact"/>
        <w:ind w:firstLine="440"/>
        <w:rPr>
          <w:rFonts w:ascii="宋体" w:hAnsi="宋体" w:cs="Calibri"/>
          <w:kern w:val="0"/>
          <w:sz w:val="22"/>
        </w:rPr>
      </w:pPr>
      <w:bookmarkStart w:id="64" w:name="_Toc29989"/>
      <w:r>
        <w:rPr>
          <w:rFonts w:ascii="宋体" w:hAnsi="宋体" w:cs="Calibri"/>
          <w:kern w:val="0"/>
          <w:sz w:val="22"/>
        </w:rPr>
        <w:t>3.5.1投标人在递交投标文件的同时，应按投标人须知前附表规定的金额、担保形式和第</w:t>
      </w:r>
      <w:r>
        <w:rPr>
          <w:rFonts w:hint="eastAsia" w:ascii="宋体" w:hAnsi="宋体" w:cs="Calibri"/>
          <w:kern w:val="0"/>
          <w:sz w:val="22"/>
        </w:rPr>
        <w:t>六</w:t>
      </w:r>
      <w:r>
        <w:rPr>
          <w:rFonts w:ascii="宋体" w:hAnsi="宋体" w:cs="Calibri"/>
          <w:kern w:val="0"/>
          <w:sz w:val="22"/>
        </w:rPr>
        <w:t>章</w:t>
      </w:r>
      <w:r>
        <w:rPr>
          <w:rFonts w:ascii="宋体" w:hAnsi="宋体" w:cs="Calibri"/>
          <w:sz w:val="22"/>
        </w:rPr>
        <w:t>“投标文件格式”</w:t>
      </w:r>
      <w:r>
        <w:rPr>
          <w:rFonts w:ascii="宋体" w:hAnsi="宋体" w:cs="Calibri"/>
          <w:kern w:val="0"/>
          <w:sz w:val="22"/>
        </w:rPr>
        <w:t>规定的投标保证金格式递交投标保证金，并作为其投标文件的组成部分。否则，视为投标人自动放弃投标资格。</w:t>
      </w:r>
    </w:p>
    <w:p>
      <w:pPr>
        <w:adjustRightInd w:val="0"/>
        <w:snapToGrid w:val="0"/>
        <w:spacing w:line="360" w:lineRule="exact"/>
        <w:ind w:firstLine="440"/>
        <w:rPr>
          <w:rFonts w:ascii="宋体" w:hAnsi="宋体" w:cs="Calibri"/>
          <w:kern w:val="0"/>
          <w:sz w:val="22"/>
        </w:rPr>
      </w:pPr>
      <w:r>
        <w:rPr>
          <w:rFonts w:ascii="宋体" w:hAnsi="宋体" w:cs="Calibri"/>
          <w:kern w:val="0"/>
          <w:sz w:val="22"/>
        </w:rPr>
        <w:t>3.5.2</w:t>
      </w:r>
      <w:r>
        <w:rPr>
          <w:rFonts w:hint="eastAsia" w:ascii="宋体" w:hAnsi="宋体" w:cs="Calibri"/>
          <w:kern w:val="0"/>
          <w:sz w:val="22"/>
        </w:rPr>
        <w:t>中标人的投标保证金，将在与招标人签订合同后</w:t>
      </w:r>
      <w:r>
        <w:rPr>
          <w:rFonts w:ascii="宋体" w:hAnsi="宋体" w:cs="Calibri"/>
          <w:kern w:val="0"/>
          <w:sz w:val="22"/>
        </w:rPr>
        <w:t>5</w:t>
      </w:r>
      <w:r>
        <w:rPr>
          <w:rFonts w:hint="eastAsia" w:ascii="宋体" w:hAnsi="宋体" w:cs="Calibri"/>
          <w:kern w:val="0"/>
          <w:sz w:val="22"/>
        </w:rPr>
        <w:t>日内无息退还（以银行转账方式）；未中标的投标保证金，将在中标公示结束后15个工作日后无息退还（以银行转账形式）。办理退保证金手续时需向招标人提供投标人开具的投标保证金收据，并同时提供书面的退款账户详细信息（包含所投标段名称、户名、开户行、账号），快递方式送达投标地址。</w:t>
      </w:r>
    </w:p>
    <w:p>
      <w:pPr>
        <w:adjustRightInd w:val="0"/>
        <w:snapToGrid w:val="0"/>
        <w:spacing w:line="360" w:lineRule="exact"/>
        <w:ind w:firstLine="440"/>
        <w:rPr>
          <w:rFonts w:ascii="宋体" w:hAnsi="宋体" w:cs="Calibri"/>
          <w:kern w:val="0"/>
          <w:sz w:val="22"/>
        </w:rPr>
      </w:pPr>
      <w:r>
        <w:rPr>
          <w:rFonts w:ascii="宋体" w:hAnsi="宋体" w:cs="Calibri"/>
          <w:kern w:val="0"/>
          <w:sz w:val="22"/>
        </w:rPr>
        <w:t>3.5.3投标人如有下列情形之一的，投标保证金将不予退还：</w:t>
      </w:r>
    </w:p>
    <w:p>
      <w:pPr>
        <w:adjustRightInd w:val="0"/>
        <w:snapToGrid w:val="0"/>
        <w:spacing w:line="360" w:lineRule="exact"/>
        <w:ind w:firstLine="440"/>
        <w:rPr>
          <w:rFonts w:ascii="宋体" w:hAnsi="宋体" w:cs="Calibri"/>
          <w:kern w:val="0"/>
          <w:sz w:val="22"/>
        </w:rPr>
      </w:pPr>
      <w:r>
        <w:rPr>
          <w:rFonts w:ascii="宋体" w:hAnsi="宋体" w:cs="Calibri"/>
          <w:kern w:val="0"/>
          <w:sz w:val="22"/>
        </w:rPr>
        <w:t>（1）投标人在规定的投标有效期内撤销或修改其投标文件；</w:t>
      </w:r>
    </w:p>
    <w:p>
      <w:pPr>
        <w:adjustRightInd w:val="0"/>
        <w:snapToGrid w:val="0"/>
        <w:spacing w:line="360" w:lineRule="exact"/>
        <w:ind w:firstLine="440"/>
        <w:rPr>
          <w:rFonts w:ascii="宋体" w:hAnsi="宋体" w:cs="Calibri"/>
          <w:sz w:val="22"/>
        </w:rPr>
      </w:pPr>
      <w:r>
        <w:rPr>
          <w:rFonts w:ascii="宋体" w:hAnsi="宋体" w:cs="Calibri"/>
          <w:kern w:val="0"/>
          <w:sz w:val="22"/>
        </w:rPr>
        <w:t>（2）</w:t>
      </w:r>
      <w:r>
        <w:rPr>
          <w:rFonts w:ascii="宋体" w:hAnsi="宋体" w:cs="Calibri"/>
          <w:color w:val="000000"/>
          <w:kern w:val="0"/>
          <w:sz w:val="22"/>
        </w:rPr>
        <w:t>中标人在收到中标通知书后，</w:t>
      </w:r>
      <w:r>
        <w:rPr>
          <w:rFonts w:ascii="宋体" w:hAnsi="宋体" w:cs="Calibri"/>
          <w:color w:val="000000"/>
          <w:sz w:val="22"/>
        </w:rPr>
        <w:t>无正当理由拒签合同协议书或未按招标文件规定提交履约担保，或因投标人在投标文件中未如实填报或隐瞒不报投标人的行贿犯罪记录导致取消中标资格的</w:t>
      </w:r>
      <w:r>
        <w:rPr>
          <w:rFonts w:ascii="宋体" w:hAnsi="宋体" w:cs="Calibri"/>
          <w:sz w:val="22"/>
        </w:rPr>
        <w:t>；</w:t>
      </w:r>
    </w:p>
    <w:p>
      <w:pPr>
        <w:adjustRightInd w:val="0"/>
        <w:snapToGrid w:val="0"/>
        <w:spacing w:line="360" w:lineRule="exact"/>
        <w:ind w:firstLine="440"/>
        <w:rPr>
          <w:rFonts w:ascii="宋体" w:hAnsi="宋体" w:cs="Calibri"/>
          <w:kern w:val="0"/>
          <w:sz w:val="22"/>
        </w:rPr>
      </w:pPr>
      <w:r>
        <w:rPr>
          <w:rFonts w:ascii="宋体" w:hAnsi="宋体" w:cs="Calibri"/>
          <w:kern w:val="0"/>
          <w:sz w:val="22"/>
        </w:rPr>
        <w:t>（</w:t>
      </w:r>
      <w:r>
        <w:rPr>
          <w:rFonts w:hint="eastAsia" w:ascii="宋体" w:hAnsi="宋体" w:cs="Calibri"/>
          <w:kern w:val="0"/>
          <w:sz w:val="22"/>
        </w:rPr>
        <w:t>3</w:t>
      </w:r>
      <w:r>
        <w:rPr>
          <w:rFonts w:ascii="宋体" w:hAnsi="宋体" w:cs="Calibri"/>
          <w:kern w:val="0"/>
          <w:sz w:val="22"/>
        </w:rPr>
        <w:t>）第一中标候选人因不可抗力之外的原因放弃中标权的，必须按招标文件的规定不予退还其投标保证金。不予退还的投标保证金不能弥补由于其放弃中标权而给招标人造成中标价的差额损失的，由放弃中标权的中标候选人承担。</w:t>
      </w:r>
    </w:p>
    <w:p>
      <w:pPr>
        <w:autoSpaceDE w:val="0"/>
        <w:autoSpaceDN w:val="0"/>
        <w:adjustRightInd w:val="0"/>
        <w:snapToGrid w:val="0"/>
        <w:spacing w:line="360" w:lineRule="exact"/>
        <w:rPr>
          <w:rFonts w:ascii="宋体" w:hAnsi="宋体" w:cs="Calibri"/>
          <w:b/>
          <w:bCs/>
          <w:kern w:val="0"/>
          <w:sz w:val="22"/>
        </w:rPr>
      </w:pPr>
      <w:r>
        <w:rPr>
          <w:rFonts w:ascii="宋体" w:hAnsi="宋体" w:cs="Calibri"/>
          <w:b/>
          <w:bCs/>
          <w:kern w:val="0"/>
          <w:sz w:val="22"/>
        </w:rPr>
        <w:t>3.6 投标文件的编制</w:t>
      </w:r>
      <w:bookmarkEnd w:id="64"/>
    </w:p>
    <w:p>
      <w:pPr>
        <w:adjustRightInd w:val="0"/>
        <w:snapToGrid w:val="0"/>
        <w:spacing w:line="360" w:lineRule="exact"/>
        <w:ind w:firstLine="440" w:firstLineChars="200"/>
        <w:rPr>
          <w:rFonts w:ascii="宋体" w:hAnsi="宋体" w:cs="Calibri"/>
          <w:color w:val="000000"/>
          <w:sz w:val="22"/>
        </w:rPr>
      </w:pPr>
      <w:r>
        <w:rPr>
          <w:rFonts w:ascii="宋体" w:hAnsi="宋体" w:cs="Calibri"/>
          <w:color w:val="000000"/>
          <w:sz w:val="22"/>
        </w:rPr>
        <w:t>3.6.1 投标文件应按本须知第3.2款规定的内容和第</w:t>
      </w:r>
      <w:r>
        <w:rPr>
          <w:rFonts w:hint="eastAsia" w:ascii="宋体" w:hAnsi="宋体" w:cs="Calibri"/>
          <w:color w:val="000000"/>
          <w:sz w:val="22"/>
        </w:rPr>
        <w:t>六</w:t>
      </w:r>
      <w:r>
        <w:rPr>
          <w:rFonts w:ascii="宋体" w:hAnsi="宋体" w:cs="Calibri"/>
          <w:color w:val="000000"/>
          <w:sz w:val="22"/>
        </w:rPr>
        <w:t>章“投标文件格式”进行编写，如有必要，可以增加附页，作为投标文件的组成部分，“投标文件格式”中没有规定的可自行编制格式。其中，</w:t>
      </w:r>
      <w:r>
        <w:rPr>
          <w:rFonts w:hint="eastAsia" w:ascii="宋体" w:hAnsi="宋体" w:cs="Calibri"/>
          <w:sz w:val="22"/>
        </w:rPr>
        <w:t>服务期</w:t>
      </w:r>
      <w:r>
        <w:rPr>
          <w:rFonts w:ascii="宋体" w:hAnsi="宋体" w:cs="Calibri"/>
          <w:sz w:val="22"/>
        </w:rPr>
        <w:t>在满足招标文件实质性要求的基础上，可以提出比招标文件要求更有利于招标人的承诺。</w:t>
      </w:r>
    </w:p>
    <w:p>
      <w:pPr>
        <w:adjustRightInd w:val="0"/>
        <w:snapToGrid w:val="0"/>
        <w:spacing w:line="360" w:lineRule="exact"/>
        <w:ind w:firstLine="440" w:firstLineChars="200"/>
        <w:rPr>
          <w:rFonts w:ascii="宋体" w:hAnsi="宋体" w:cs="Calibri"/>
          <w:color w:val="000000"/>
          <w:kern w:val="0"/>
          <w:sz w:val="22"/>
        </w:rPr>
      </w:pPr>
      <w:r>
        <w:rPr>
          <w:rFonts w:ascii="宋体" w:hAnsi="宋体" w:cs="Calibri"/>
          <w:color w:val="000000"/>
          <w:sz w:val="22"/>
        </w:rPr>
        <w:t xml:space="preserve">3.6.2 </w:t>
      </w:r>
      <w:r>
        <w:rPr>
          <w:rFonts w:ascii="宋体" w:hAnsi="宋体" w:cs="Calibri"/>
          <w:color w:val="000000"/>
          <w:kern w:val="0"/>
          <w:sz w:val="22"/>
        </w:rPr>
        <w:t>投标文件应对招标文件有关</w:t>
      </w:r>
      <w:r>
        <w:rPr>
          <w:rFonts w:hint="eastAsia" w:ascii="宋体" w:hAnsi="宋体" w:cs="Calibri"/>
          <w:color w:val="000000"/>
          <w:kern w:val="0"/>
          <w:sz w:val="22"/>
        </w:rPr>
        <w:t>服务</w:t>
      </w:r>
      <w:r>
        <w:rPr>
          <w:rFonts w:ascii="宋体" w:hAnsi="宋体" w:cs="Calibri"/>
          <w:color w:val="000000"/>
          <w:kern w:val="0"/>
          <w:sz w:val="22"/>
        </w:rPr>
        <w:t>期、投标有效期、招标</w:t>
      </w:r>
      <w:r>
        <w:rPr>
          <w:rFonts w:hint="eastAsia" w:ascii="宋体" w:hAnsi="宋体" w:cs="Calibri"/>
          <w:color w:val="000000"/>
          <w:kern w:val="0"/>
          <w:sz w:val="22"/>
        </w:rPr>
        <w:t>内容</w:t>
      </w:r>
      <w:r>
        <w:rPr>
          <w:rFonts w:ascii="宋体" w:hAnsi="宋体" w:cs="Calibri"/>
          <w:color w:val="000000"/>
          <w:kern w:val="0"/>
          <w:sz w:val="22"/>
        </w:rPr>
        <w:t>等实质性内容作出响应。</w:t>
      </w:r>
    </w:p>
    <w:p>
      <w:pPr>
        <w:adjustRightInd w:val="0"/>
        <w:snapToGrid w:val="0"/>
        <w:spacing w:line="360" w:lineRule="exact"/>
        <w:ind w:firstLine="440" w:firstLineChars="200"/>
        <w:rPr>
          <w:rFonts w:ascii="宋体" w:hAnsi="宋体" w:cs="Calibri"/>
          <w:color w:val="000000"/>
          <w:sz w:val="22"/>
        </w:rPr>
      </w:pPr>
      <w:r>
        <w:rPr>
          <w:rFonts w:ascii="宋体" w:hAnsi="宋体" w:cs="Calibri"/>
          <w:color w:val="000000"/>
          <w:sz w:val="22"/>
        </w:rPr>
        <w:t>3.6.3 投标文件应用不褪色的材料书写、打印或复印，并由投标人的法定代表人或其委托代理人签字或盖章。委托代理人签字的，投标文件应附法定代表人签署的授权委托书。投标文件应尽量避免涂改、行间插字或删除。如果出现上述情况，改动之处应加盖单位章或由投标人的法定代表人签字或其委托代理人签字。</w:t>
      </w:r>
      <w:r>
        <w:rPr>
          <w:rFonts w:ascii="宋体" w:hAnsi="宋体" w:cs="Calibri"/>
          <w:color w:val="000000"/>
          <w:kern w:val="0"/>
          <w:sz w:val="22"/>
        </w:rPr>
        <w:t>签字或盖章的具体要求见投标人须知前附表。</w:t>
      </w:r>
    </w:p>
    <w:p>
      <w:pPr>
        <w:adjustRightInd w:val="0"/>
        <w:snapToGrid w:val="0"/>
        <w:spacing w:line="360" w:lineRule="exact"/>
        <w:ind w:firstLine="440" w:firstLineChars="200"/>
        <w:rPr>
          <w:rFonts w:ascii="宋体" w:hAnsi="宋体" w:cs="Calibri"/>
          <w:color w:val="000000"/>
          <w:sz w:val="22"/>
        </w:rPr>
      </w:pPr>
      <w:r>
        <w:rPr>
          <w:rFonts w:ascii="宋体" w:hAnsi="宋体" w:cs="Calibri"/>
          <w:color w:val="000000"/>
          <w:sz w:val="22"/>
        </w:rPr>
        <w:t>3.6.4投标文件正本一份， 副本份数见投标人须知前附表。正本、副本的封面上应清楚地标记</w:t>
      </w:r>
      <w:r>
        <w:rPr>
          <w:rFonts w:ascii="宋体" w:hAnsi="宋体" w:cs="Calibri"/>
          <w:b/>
          <w:bCs/>
          <w:color w:val="000000"/>
          <w:sz w:val="22"/>
        </w:rPr>
        <w:t>“正本</w:t>
      </w:r>
      <w:r>
        <w:rPr>
          <w:rFonts w:ascii="宋体" w:hAnsi="宋体" w:cs="Calibri"/>
          <w:color w:val="000000"/>
          <w:sz w:val="22"/>
        </w:rPr>
        <w:t>”或“</w:t>
      </w:r>
      <w:r>
        <w:rPr>
          <w:rFonts w:ascii="宋体" w:hAnsi="宋体" w:cs="Calibri"/>
          <w:b/>
          <w:bCs/>
          <w:color w:val="000000"/>
          <w:sz w:val="22"/>
        </w:rPr>
        <w:t>副本</w:t>
      </w:r>
      <w:r>
        <w:rPr>
          <w:rFonts w:ascii="宋体" w:hAnsi="宋体" w:cs="Calibri"/>
          <w:color w:val="000000"/>
          <w:sz w:val="22"/>
        </w:rPr>
        <w:t>”的字样。当副本和正本不一致时，以正本为准。</w:t>
      </w:r>
    </w:p>
    <w:p>
      <w:pPr>
        <w:adjustRightInd w:val="0"/>
        <w:snapToGrid w:val="0"/>
        <w:spacing w:line="360" w:lineRule="exact"/>
        <w:ind w:firstLine="440" w:firstLineChars="200"/>
        <w:rPr>
          <w:rFonts w:ascii="宋体" w:hAnsi="宋体" w:cs="Calibri"/>
          <w:color w:val="000000"/>
          <w:sz w:val="22"/>
        </w:rPr>
      </w:pPr>
      <w:r>
        <w:rPr>
          <w:rFonts w:ascii="宋体" w:hAnsi="宋体" w:cs="Calibri"/>
          <w:color w:val="000000"/>
          <w:sz w:val="22"/>
        </w:rPr>
        <w:t>3.6.5投标文件的正本与副本应分别按A4规格装订成册，具体装订要求见投标人须知前附表规定。</w:t>
      </w:r>
      <w:bookmarkStart w:id="65" w:name="_Toc143421659"/>
    </w:p>
    <w:p>
      <w:pPr>
        <w:autoSpaceDE w:val="0"/>
        <w:autoSpaceDN w:val="0"/>
        <w:adjustRightInd w:val="0"/>
        <w:snapToGrid w:val="0"/>
        <w:spacing w:line="360" w:lineRule="exact"/>
        <w:rPr>
          <w:rFonts w:ascii="宋体" w:hAnsi="宋体" w:cs="Calibri"/>
          <w:b/>
          <w:bCs/>
          <w:kern w:val="0"/>
          <w:sz w:val="22"/>
        </w:rPr>
      </w:pPr>
      <w:bookmarkStart w:id="66" w:name="_Toc32652"/>
      <w:r>
        <w:rPr>
          <w:rFonts w:ascii="宋体" w:hAnsi="宋体" w:cs="Calibri"/>
          <w:b/>
          <w:bCs/>
          <w:kern w:val="0"/>
          <w:sz w:val="22"/>
        </w:rPr>
        <w:t>4.投标</w:t>
      </w:r>
      <w:bookmarkEnd w:id="65"/>
      <w:bookmarkEnd w:id="66"/>
    </w:p>
    <w:p>
      <w:pPr>
        <w:autoSpaceDE w:val="0"/>
        <w:autoSpaceDN w:val="0"/>
        <w:adjustRightInd w:val="0"/>
        <w:snapToGrid w:val="0"/>
        <w:spacing w:line="360" w:lineRule="exact"/>
        <w:rPr>
          <w:rFonts w:ascii="宋体" w:hAnsi="宋体" w:cs="Calibri"/>
          <w:b/>
          <w:bCs/>
          <w:kern w:val="0"/>
          <w:sz w:val="22"/>
        </w:rPr>
      </w:pPr>
      <w:bookmarkStart w:id="67" w:name="_Toc649"/>
      <w:r>
        <w:rPr>
          <w:rFonts w:ascii="宋体" w:hAnsi="宋体" w:cs="Calibri"/>
          <w:b/>
          <w:bCs/>
          <w:kern w:val="0"/>
          <w:sz w:val="22"/>
        </w:rPr>
        <w:t>4.1 投标文件的密封和标识</w:t>
      </w:r>
      <w:bookmarkEnd w:id="67"/>
    </w:p>
    <w:p>
      <w:pPr>
        <w:adjustRightInd w:val="0"/>
        <w:snapToGrid w:val="0"/>
        <w:spacing w:line="360" w:lineRule="exact"/>
        <w:ind w:firstLine="440" w:firstLineChars="200"/>
        <w:rPr>
          <w:rFonts w:ascii="宋体" w:hAnsi="宋体" w:cs="Calibri"/>
          <w:color w:val="000000"/>
          <w:kern w:val="0"/>
          <w:sz w:val="22"/>
        </w:rPr>
      </w:pPr>
      <w:r>
        <w:rPr>
          <w:rFonts w:ascii="宋体" w:hAnsi="宋体" w:cs="Calibri"/>
          <w:color w:val="000000"/>
          <w:sz w:val="22"/>
        </w:rPr>
        <w:t>4.1.1</w:t>
      </w:r>
      <w:r>
        <w:rPr>
          <w:rFonts w:ascii="宋体" w:hAnsi="宋体" w:cs="Calibri"/>
          <w:color w:val="000000"/>
          <w:kern w:val="0"/>
          <w:sz w:val="22"/>
        </w:rPr>
        <w:t>投标文件的正本、副本可一同</w:t>
      </w:r>
      <w:r>
        <w:rPr>
          <w:rFonts w:hint="eastAsia" w:ascii="宋体" w:hAnsi="宋体" w:cs="Calibri"/>
          <w:color w:val="000000"/>
          <w:kern w:val="0"/>
          <w:sz w:val="22"/>
        </w:rPr>
        <w:t>密封</w:t>
      </w:r>
      <w:r>
        <w:rPr>
          <w:rFonts w:ascii="宋体" w:hAnsi="宋体" w:cs="Calibri"/>
          <w:color w:val="000000"/>
          <w:kern w:val="0"/>
          <w:sz w:val="22"/>
        </w:rPr>
        <w:t>包装，并在封口处加盖投标人单位章或法定代表人盖章（或签字）或委托代理人盖章（或签字）。</w:t>
      </w:r>
    </w:p>
    <w:p>
      <w:pPr>
        <w:adjustRightInd w:val="0"/>
        <w:snapToGrid w:val="0"/>
        <w:spacing w:line="360" w:lineRule="exact"/>
        <w:ind w:firstLine="440" w:firstLineChars="200"/>
        <w:rPr>
          <w:rFonts w:ascii="宋体" w:hAnsi="宋体" w:cs="Calibri"/>
          <w:color w:val="000000"/>
          <w:sz w:val="22"/>
        </w:rPr>
      </w:pPr>
      <w:r>
        <w:rPr>
          <w:rFonts w:ascii="宋体" w:hAnsi="宋体" w:cs="Calibri"/>
          <w:color w:val="000000"/>
          <w:sz w:val="22"/>
        </w:rPr>
        <w:t>4.1.2 投标文件的封套上应清楚地标记“投标文件”字样，封套上应写明的其他内容见投标人须知前附表。</w:t>
      </w:r>
    </w:p>
    <w:p>
      <w:pPr>
        <w:adjustRightInd w:val="0"/>
        <w:snapToGrid w:val="0"/>
        <w:spacing w:line="360" w:lineRule="exact"/>
        <w:ind w:firstLine="440" w:firstLineChars="200"/>
        <w:rPr>
          <w:rFonts w:ascii="宋体" w:hAnsi="宋体" w:cs="Calibri"/>
          <w:color w:val="000000"/>
          <w:sz w:val="22"/>
        </w:rPr>
      </w:pPr>
      <w:r>
        <w:rPr>
          <w:rFonts w:ascii="宋体" w:hAnsi="宋体" w:cs="Calibri"/>
          <w:color w:val="000000"/>
          <w:sz w:val="22"/>
        </w:rPr>
        <w:t>4.1.3 未按本章第4.1.1项或第4.1.2项要求密封和加写标记的投标文件，招标人不予受理。</w:t>
      </w:r>
    </w:p>
    <w:p>
      <w:pPr>
        <w:adjustRightInd w:val="0"/>
        <w:snapToGrid w:val="0"/>
        <w:spacing w:line="360" w:lineRule="exact"/>
        <w:ind w:firstLine="440" w:firstLineChars="200"/>
        <w:rPr>
          <w:rFonts w:ascii="宋体" w:hAnsi="宋体" w:cs="Calibri"/>
          <w:color w:val="000000"/>
          <w:kern w:val="0"/>
          <w:sz w:val="22"/>
        </w:rPr>
      </w:pPr>
      <w:r>
        <w:rPr>
          <w:rFonts w:ascii="宋体" w:hAnsi="宋体" w:cs="Calibri"/>
          <w:color w:val="000000"/>
          <w:kern w:val="0"/>
          <w:sz w:val="22"/>
        </w:rPr>
        <w:t>4.1.</w:t>
      </w:r>
      <w:r>
        <w:rPr>
          <w:rFonts w:hint="eastAsia" w:ascii="宋体" w:hAnsi="宋体" w:cs="Calibri"/>
          <w:color w:val="000000"/>
          <w:kern w:val="0"/>
          <w:sz w:val="22"/>
        </w:rPr>
        <w:t>4</w:t>
      </w:r>
      <w:r>
        <w:rPr>
          <w:rFonts w:ascii="宋体" w:hAnsi="宋体" w:cs="Calibri"/>
          <w:sz w:val="22"/>
        </w:rPr>
        <w:t>如果包封上没有按上述规定密封并加以标记，招标人将不承担投标文件错放或提前开封的责任。</w:t>
      </w:r>
    </w:p>
    <w:p>
      <w:pPr>
        <w:autoSpaceDE w:val="0"/>
        <w:autoSpaceDN w:val="0"/>
        <w:adjustRightInd w:val="0"/>
        <w:snapToGrid w:val="0"/>
        <w:spacing w:line="360" w:lineRule="exact"/>
        <w:rPr>
          <w:rFonts w:ascii="宋体" w:hAnsi="宋体" w:cs="Calibri"/>
          <w:b/>
          <w:bCs/>
          <w:kern w:val="0"/>
          <w:sz w:val="22"/>
        </w:rPr>
      </w:pPr>
      <w:bookmarkStart w:id="68" w:name="_Toc16616"/>
      <w:r>
        <w:rPr>
          <w:rFonts w:ascii="宋体" w:hAnsi="宋体" w:cs="Calibri"/>
          <w:b/>
          <w:bCs/>
          <w:kern w:val="0"/>
          <w:sz w:val="22"/>
        </w:rPr>
        <w:t xml:space="preserve">4.2 投标文件的递交 </w:t>
      </w:r>
      <w:bookmarkEnd w:id="68"/>
    </w:p>
    <w:p>
      <w:pPr>
        <w:autoSpaceDE w:val="0"/>
        <w:autoSpaceDN w:val="0"/>
        <w:adjustRightInd w:val="0"/>
        <w:snapToGrid w:val="0"/>
        <w:spacing w:line="360" w:lineRule="exact"/>
        <w:ind w:firstLine="440" w:firstLineChars="200"/>
        <w:rPr>
          <w:rFonts w:ascii="宋体" w:hAnsi="宋体" w:cs="Calibri"/>
          <w:b/>
          <w:bCs/>
          <w:kern w:val="0"/>
          <w:sz w:val="22"/>
        </w:rPr>
      </w:pPr>
      <w:r>
        <w:rPr>
          <w:rFonts w:ascii="宋体" w:hAnsi="宋体" w:cs="Calibri"/>
          <w:b/>
          <w:bCs/>
          <w:kern w:val="0"/>
          <w:sz w:val="22"/>
        </w:rPr>
        <w:t>4.2.1投标人应在本须知前附表规定的投标截止时间前递交投标文件。</w:t>
      </w:r>
    </w:p>
    <w:p>
      <w:pPr>
        <w:adjustRightInd w:val="0"/>
        <w:snapToGrid w:val="0"/>
        <w:spacing w:line="360" w:lineRule="exact"/>
        <w:ind w:firstLine="440" w:firstLineChars="200"/>
        <w:rPr>
          <w:rFonts w:ascii="宋体" w:hAnsi="宋体" w:cs="Calibri"/>
          <w:color w:val="000000"/>
          <w:sz w:val="22"/>
        </w:rPr>
      </w:pPr>
      <w:r>
        <w:rPr>
          <w:rFonts w:ascii="宋体" w:hAnsi="宋体" w:cs="Calibri"/>
          <w:color w:val="000000"/>
          <w:sz w:val="22"/>
        </w:rPr>
        <w:t>4.2.2投标人送达投标文件的地点：见投标人须知前附表。</w:t>
      </w:r>
    </w:p>
    <w:p>
      <w:pPr>
        <w:adjustRightInd w:val="0"/>
        <w:snapToGrid w:val="0"/>
        <w:spacing w:line="360" w:lineRule="exact"/>
        <w:ind w:firstLine="440" w:firstLineChars="200"/>
        <w:rPr>
          <w:rFonts w:ascii="宋体" w:hAnsi="宋体" w:cs="Calibri"/>
          <w:color w:val="000000"/>
          <w:sz w:val="22"/>
        </w:rPr>
      </w:pPr>
      <w:r>
        <w:rPr>
          <w:rFonts w:ascii="宋体" w:hAnsi="宋体" w:cs="Calibri"/>
          <w:color w:val="000000"/>
          <w:sz w:val="22"/>
        </w:rPr>
        <w:t>4.2.3除投标人须知前附表另有规定外，投标人所递交的投标文件不予退还。</w:t>
      </w:r>
    </w:p>
    <w:p>
      <w:pPr>
        <w:adjustRightInd w:val="0"/>
        <w:snapToGrid w:val="0"/>
        <w:spacing w:line="360" w:lineRule="exact"/>
        <w:ind w:firstLine="440" w:firstLineChars="200"/>
        <w:rPr>
          <w:rFonts w:ascii="宋体" w:hAnsi="宋体" w:cs="Calibri"/>
          <w:color w:val="000000"/>
          <w:sz w:val="22"/>
        </w:rPr>
      </w:pPr>
      <w:r>
        <w:rPr>
          <w:rFonts w:ascii="宋体" w:hAnsi="宋体" w:cs="Calibri"/>
          <w:color w:val="000000"/>
          <w:sz w:val="22"/>
        </w:rPr>
        <w:t>4.2.</w:t>
      </w:r>
      <w:r>
        <w:rPr>
          <w:rFonts w:hint="eastAsia" w:ascii="宋体" w:hAnsi="宋体" w:cs="Calibri"/>
          <w:color w:val="000000"/>
          <w:sz w:val="22"/>
        </w:rPr>
        <w:t>4</w:t>
      </w:r>
      <w:r>
        <w:rPr>
          <w:rFonts w:ascii="宋体" w:hAnsi="宋体" w:cs="Calibri"/>
          <w:color w:val="000000"/>
          <w:sz w:val="22"/>
        </w:rPr>
        <w:t>逾期送达的或者未送达指定地点的投标文件，招标人不予受理。</w:t>
      </w:r>
    </w:p>
    <w:p>
      <w:pPr>
        <w:autoSpaceDE w:val="0"/>
        <w:autoSpaceDN w:val="0"/>
        <w:adjustRightInd w:val="0"/>
        <w:snapToGrid w:val="0"/>
        <w:spacing w:line="360" w:lineRule="exact"/>
        <w:rPr>
          <w:rFonts w:ascii="宋体" w:hAnsi="宋体" w:cs="Calibri"/>
          <w:b/>
          <w:bCs/>
          <w:kern w:val="0"/>
          <w:sz w:val="22"/>
        </w:rPr>
      </w:pPr>
      <w:bookmarkStart w:id="69" w:name="_Toc26099"/>
      <w:r>
        <w:rPr>
          <w:rFonts w:ascii="宋体" w:hAnsi="宋体" w:cs="Calibri"/>
          <w:b/>
          <w:bCs/>
          <w:kern w:val="0"/>
          <w:sz w:val="22"/>
        </w:rPr>
        <w:t>4.3 投标文件的修改和撤回</w:t>
      </w:r>
      <w:bookmarkEnd w:id="69"/>
    </w:p>
    <w:p>
      <w:pPr>
        <w:adjustRightInd w:val="0"/>
        <w:snapToGrid w:val="0"/>
        <w:spacing w:line="360" w:lineRule="exact"/>
        <w:ind w:firstLine="440" w:firstLineChars="200"/>
        <w:rPr>
          <w:rFonts w:ascii="宋体" w:hAnsi="宋体" w:cs="Calibri"/>
          <w:color w:val="000000"/>
          <w:kern w:val="0"/>
          <w:sz w:val="22"/>
        </w:rPr>
      </w:pPr>
      <w:r>
        <w:rPr>
          <w:rFonts w:ascii="宋体" w:hAnsi="宋体" w:cs="Calibri"/>
          <w:color w:val="000000"/>
          <w:kern w:val="0"/>
          <w:sz w:val="22"/>
        </w:rPr>
        <w:t>4.3.1在规定的投标截止时间前，投标人可以修改或撤回已递交的投标文件，但应以书面形式通知招标人。</w:t>
      </w:r>
    </w:p>
    <w:p>
      <w:pPr>
        <w:adjustRightInd w:val="0"/>
        <w:snapToGrid w:val="0"/>
        <w:spacing w:line="360" w:lineRule="exact"/>
        <w:ind w:firstLine="440" w:firstLineChars="200"/>
        <w:rPr>
          <w:rFonts w:ascii="宋体" w:hAnsi="宋体" w:cs="Calibri"/>
          <w:color w:val="000000"/>
          <w:kern w:val="0"/>
          <w:sz w:val="22"/>
        </w:rPr>
      </w:pPr>
      <w:r>
        <w:rPr>
          <w:rFonts w:ascii="宋体" w:hAnsi="宋体" w:cs="Calibri"/>
          <w:color w:val="000000"/>
          <w:kern w:val="0"/>
          <w:sz w:val="22"/>
        </w:rPr>
        <w:t>4.3.2投标人修改或撤回已递交投标文件的书面通知应按照规定的要求签字。招标人收到书面通知后，向投标人出具签收凭证。</w:t>
      </w:r>
    </w:p>
    <w:p>
      <w:pPr>
        <w:adjustRightInd w:val="0"/>
        <w:snapToGrid w:val="0"/>
        <w:spacing w:line="360" w:lineRule="exact"/>
        <w:ind w:firstLine="440" w:firstLineChars="200"/>
        <w:rPr>
          <w:rFonts w:ascii="宋体" w:hAnsi="宋体" w:cs="Calibri"/>
          <w:color w:val="000000"/>
          <w:kern w:val="0"/>
          <w:sz w:val="22"/>
        </w:rPr>
      </w:pPr>
      <w:r>
        <w:rPr>
          <w:rFonts w:ascii="宋体" w:hAnsi="宋体" w:cs="Calibri"/>
          <w:color w:val="000000"/>
          <w:kern w:val="0"/>
          <w:sz w:val="22"/>
        </w:rPr>
        <w:t>4.3.3修改的内容为投标文件的组成部分。修改的投标文件应按照本须知3、4规定进行编制、密封、标识和递交，并标明“修改”字样。</w:t>
      </w:r>
    </w:p>
    <w:p>
      <w:pPr>
        <w:autoSpaceDE w:val="0"/>
        <w:autoSpaceDN w:val="0"/>
        <w:adjustRightInd w:val="0"/>
        <w:snapToGrid w:val="0"/>
        <w:spacing w:line="360" w:lineRule="exact"/>
        <w:rPr>
          <w:rFonts w:ascii="宋体" w:hAnsi="宋体" w:cs="Calibri"/>
          <w:b/>
          <w:bCs/>
          <w:kern w:val="0"/>
          <w:sz w:val="22"/>
        </w:rPr>
      </w:pPr>
      <w:bookmarkStart w:id="70" w:name="_Toc29641"/>
      <w:r>
        <w:rPr>
          <w:rFonts w:ascii="宋体" w:hAnsi="宋体" w:cs="Calibri"/>
          <w:b/>
          <w:bCs/>
          <w:kern w:val="0"/>
          <w:sz w:val="22"/>
        </w:rPr>
        <w:t>5.开标</w:t>
      </w:r>
      <w:bookmarkEnd w:id="70"/>
    </w:p>
    <w:p>
      <w:pPr>
        <w:autoSpaceDE w:val="0"/>
        <w:autoSpaceDN w:val="0"/>
        <w:adjustRightInd w:val="0"/>
        <w:snapToGrid w:val="0"/>
        <w:spacing w:line="360" w:lineRule="exact"/>
        <w:rPr>
          <w:rFonts w:ascii="宋体" w:hAnsi="宋体" w:cs="Calibri"/>
          <w:b/>
          <w:bCs/>
          <w:kern w:val="0"/>
          <w:sz w:val="22"/>
        </w:rPr>
      </w:pPr>
      <w:bookmarkStart w:id="71" w:name="_Toc15123"/>
      <w:r>
        <w:rPr>
          <w:rFonts w:ascii="宋体" w:hAnsi="宋体" w:cs="Calibri"/>
          <w:b/>
          <w:bCs/>
          <w:kern w:val="0"/>
          <w:sz w:val="22"/>
        </w:rPr>
        <w:t>5.1 开标时间和地点</w:t>
      </w:r>
      <w:bookmarkEnd w:id="71"/>
    </w:p>
    <w:p>
      <w:pPr>
        <w:adjustRightInd w:val="0"/>
        <w:snapToGrid w:val="0"/>
        <w:spacing w:line="360" w:lineRule="exact"/>
        <w:ind w:firstLine="440" w:firstLineChars="200"/>
        <w:rPr>
          <w:rFonts w:ascii="宋体" w:hAnsi="宋体" w:cs="Calibri"/>
          <w:color w:val="000000"/>
          <w:sz w:val="22"/>
        </w:rPr>
      </w:pPr>
      <w:r>
        <w:rPr>
          <w:rFonts w:ascii="宋体" w:hAnsi="宋体" w:cs="Calibri"/>
          <w:color w:val="000000"/>
          <w:sz w:val="22"/>
        </w:rPr>
        <w:t>5.1.1</w:t>
      </w:r>
      <w:r>
        <w:rPr>
          <w:rFonts w:ascii="宋体" w:hAnsi="宋体" w:cs="Calibri"/>
          <w:sz w:val="22"/>
        </w:rPr>
        <w:t>招标人在投标人须知规定的投标截止时间（开标时间）和地点公开开标，并邀请所有投标人的法定代表人或其委托代理人准时参加</w:t>
      </w:r>
      <w:r>
        <w:rPr>
          <w:rFonts w:hint="eastAsia" w:ascii="宋体" w:hAnsi="宋体" w:cs="Calibri"/>
          <w:sz w:val="22"/>
        </w:rPr>
        <w:t>，参加开标的代表应签名报到以证明其出席，未参加开标的投标人视作默认开标结果。</w:t>
      </w:r>
    </w:p>
    <w:p>
      <w:pPr>
        <w:adjustRightInd w:val="0"/>
        <w:snapToGrid w:val="0"/>
        <w:spacing w:line="360" w:lineRule="exact"/>
        <w:ind w:firstLine="440" w:firstLineChars="200"/>
        <w:rPr>
          <w:rFonts w:ascii="宋体" w:hAnsi="宋体" w:cs="Calibri"/>
          <w:color w:val="000000"/>
          <w:sz w:val="22"/>
        </w:rPr>
      </w:pPr>
      <w:r>
        <w:rPr>
          <w:rFonts w:ascii="宋体" w:hAnsi="宋体" w:cs="Calibri"/>
          <w:color w:val="000000"/>
          <w:sz w:val="22"/>
        </w:rPr>
        <w:t>5.1.2投标人在投标时应随身携带下列资料提交招标人</w:t>
      </w:r>
    </w:p>
    <w:p>
      <w:pPr>
        <w:adjustRightInd w:val="0"/>
        <w:snapToGrid w:val="0"/>
        <w:spacing w:line="360" w:lineRule="exact"/>
        <w:ind w:firstLine="440" w:firstLineChars="200"/>
        <w:rPr>
          <w:rFonts w:ascii="宋体" w:hAnsi="宋体" w:cs="Calibri"/>
          <w:sz w:val="22"/>
        </w:rPr>
      </w:pPr>
      <w:bookmarkStart w:id="72" w:name="_Toc7101"/>
      <w:r>
        <w:rPr>
          <w:rFonts w:ascii="宋体" w:hAnsi="宋体" w:cs="Calibri"/>
          <w:sz w:val="22"/>
        </w:rPr>
        <w:t>（1）委托代理人的身份证、法定代表人授权委托书</w:t>
      </w:r>
      <w:r>
        <w:rPr>
          <w:rFonts w:hint="eastAsia" w:ascii="宋体" w:hAnsi="宋体" w:cs="Calibri"/>
          <w:sz w:val="22"/>
        </w:rPr>
        <w:t>（装订在投标文件内亦可）</w:t>
      </w:r>
      <w:r>
        <w:rPr>
          <w:rFonts w:ascii="宋体" w:hAnsi="宋体" w:cs="Calibri"/>
          <w:sz w:val="22"/>
        </w:rPr>
        <w:t>；</w:t>
      </w:r>
    </w:p>
    <w:p>
      <w:pPr>
        <w:adjustRightInd w:val="0"/>
        <w:snapToGrid w:val="0"/>
        <w:spacing w:line="360" w:lineRule="exact"/>
        <w:ind w:firstLine="440" w:firstLineChars="200"/>
        <w:rPr>
          <w:rFonts w:ascii="宋体" w:hAnsi="宋体" w:cs="Calibri"/>
          <w:sz w:val="22"/>
        </w:rPr>
      </w:pPr>
      <w:r>
        <w:rPr>
          <w:rFonts w:ascii="宋体" w:hAnsi="宋体" w:cs="Calibri"/>
          <w:sz w:val="22"/>
        </w:rPr>
        <w:t>（2）投标保证金收执证明或汇款凭证或银行回单</w:t>
      </w:r>
      <w:r>
        <w:rPr>
          <w:rFonts w:hint="eastAsia" w:ascii="宋体" w:hAnsi="宋体" w:cs="Calibri"/>
          <w:sz w:val="22"/>
        </w:rPr>
        <w:t>（装订在投标文件内亦可）</w:t>
      </w:r>
      <w:r>
        <w:rPr>
          <w:rFonts w:ascii="宋体" w:hAnsi="宋体" w:cs="Calibri"/>
          <w:sz w:val="22"/>
        </w:rPr>
        <w:t>。</w:t>
      </w:r>
    </w:p>
    <w:p>
      <w:pPr>
        <w:autoSpaceDE w:val="0"/>
        <w:autoSpaceDN w:val="0"/>
        <w:adjustRightInd w:val="0"/>
        <w:snapToGrid w:val="0"/>
        <w:spacing w:line="360" w:lineRule="exact"/>
        <w:rPr>
          <w:rFonts w:ascii="宋体" w:hAnsi="宋体" w:cs="Calibri"/>
          <w:b/>
          <w:bCs/>
          <w:kern w:val="0"/>
          <w:sz w:val="22"/>
        </w:rPr>
      </w:pPr>
      <w:r>
        <w:rPr>
          <w:rFonts w:ascii="宋体" w:hAnsi="宋体" w:cs="Calibri"/>
          <w:b/>
          <w:bCs/>
          <w:kern w:val="0"/>
          <w:sz w:val="22"/>
        </w:rPr>
        <w:t>5.2 开标程序</w:t>
      </w:r>
      <w:bookmarkEnd w:id="72"/>
    </w:p>
    <w:p>
      <w:pPr>
        <w:adjustRightInd w:val="0"/>
        <w:snapToGrid w:val="0"/>
        <w:spacing w:line="360" w:lineRule="exact"/>
        <w:ind w:firstLine="440" w:firstLineChars="200"/>
        <w:rPr>
          <w:rFonts w:ascii="宋体" w:hAnsi="宋体" w:cs="Calibri"/>
          <w:color w:val="000000"/>
          <w:kern w:val="0"/>
          <w:sz w:val="22"/>
        </w:rPr>
      </w:pPr>
      <w:r>
        <w:rPr>
          <w:rFonts w:ascii="宋体" w:hAnsi="宋体" w:cs="Calibri"/>
          <w:color w:val="000000"/>
          <w:kern w:val="0"/>
          <w:sz w:val="22"/>
        </w:rPr>
        <w:t>主持人按下列程序进行开标：</w:t>
      </w:r>
    </w:p>
    <w:p>
      <w:pPr>
        <w:adjustRightInd w:val="0"/>
        <w:snapToGrid w:val="0"/>
        <w:spacing w:line="360" w:lineRule="exact"/>
        <w:ind w:firstLine="440" w:firstLineChars="200"/>
        <w:rPr>
          <w:rFonts w:ascii="宋体" w:hAnsi="宋体" w:cs="Calibri"/>
          <w:color w:val="000000"/>
          <w:kern w:val="0"/>
          <w:sz w:val="22"/>
        </w:rPr>
      </w:pPr>
      <w:r>
        <w:rPr>
          <w:rFonts w:ascii="宋体" w:hAnsi="宋体" w:cs="Calibri"/>
          <w:color w:val="000000"/>
          <w:kern w:val="0"/>
          <w:sz w:val="22"/>
        </w:rPr>
        <w:t>（1）宣布开标纪律；</w:t>
      </w:r>
    </w:p>
    <w:p>
      <w:pPr>
        <w:adjustRightInd w:val="0"/>
        <w:snapToGrid w:val="0"/>
        <w:spacing w:line="360" w:lineRule="exact"/>
        <w:ind w:firstLine="440" w:firstLineChars="200"/>
        <w:rPr>
          <w:rFonts w:ascii="宋体" w:hAnsi="宋体" w:cs="Calibri"/>
          <w:color w:val="000000"/>
          <w:kern w:val="0"/>
          <w:sz w:val="22"/>
        </w:rPr>
      </w:pPr>
      <w:r>
        <w:rPr>
          <w:rFonts w:ascii="宋体" w:hAnsi="宋体" w:cs="Calibri"/>
          <w:color w:val="000000"/>
          <w:kern w:val="0"/>
          <w:sz w:val="22"/>
        </w:rPr>
        <w:t>（2）公布在投标截止时间前递交投标文件的投标人名称，并点名确认投标人是否派人到场；</w:t>
      </w:r>
    </w:p>
    <w:p>
      <w:pPr>
        <w:adjustRightInd w:val="0"/>
        <w:snapToGrid w:val="0"/>
        <w:spacing w:line="360" w:lineRule="exact"/>
        <w:ind w:firstLine="440" w:firstLineChars="200"/>
        <w:rPr>
          <w:rFonts w:ascii="宋体" w:hAnsi="宋体" w:cs="Calibri"/>
          <w:color w:val="000000"/>
          <w:kern w:val="0"/>
          <w:sz w:val="22"/>
        </w:rPr>
      </w:pPr>
      <w:r>
        <w:rPr>
          <w:rFonts w:ascii="宋体" w:hAnsi="宋体" w:cs="Calibri"/>
          <w:color w:val="000000"/>
          <w:kern w:val="0"/>
          <w:sz w:val="22"/>
        </w:rPr>
        <w:t>（3）宣布开标人、唱标人、记录人、监标人等有关人员姓名；</w:t>
      </w:r>
    </w:p>
    <w:p>
      <w:pPr>
        <w:adjustRightInd w:val="0"/>
        <w:snapToGrid w:val="0"/>
        <w:spacing w:line="360" w:lineRule="exact"/>
        <w:ind w:firstLine="440" w:firstLineChars="200"/>
        <w:rPr>
          <w:rFonts w:ascii="宋体" w:hAnsi="宋体" w:cs="Calibri"/>
          <w:color w:val="000000"/>
          <w:kern w:val="0"/>
          <w:sz w:val="22"/>
        </w:rPr>
      </w:pPr>
      <w:r>
        <w:rPr>
          <w:rFonts w:ascii="宋体" w:hAnsi="宋体" w:cs="Calibri"/>
          <w:color w:val="000000"/>
          <w:kern w:val="0"/>
          <w:sz w:val="22"/>
        </w:rPr>
        <w:t>（4）按照投标人须知前附表规定检查投标文件的密封情况；</w:t>
      </w:r>
    </w:p>
    <w:p>
      <w:pPr>
        <w:adjustRightInd w:val="0"/>
        <w:snapToGrid w:val="0"/>
        <w:spacing w:line="360" w:lineRule="exact"/>
        <w:ind w:firstLine="440" w:firstLineChars="200"/>
        <w:rPr>
          <w:rFonts w:ascii="宋体" w:hAnsi="宋体" w:cs="Calibri"/>
          <w:color w:val="000000"/>
          <w:kern w:val="0"/>
          <w:sz w:val="22"/>
        </w:rPr>
      </w:pPr>
      <w:r>
        <w:rPr>
          <w:rFonts w:ascii="宋体" w:hAnsi="宋体" w:cs="Calibri"/>
          <w:color w:val="000000"/>
          <w:kern w:val="0"/>
          <w:sz w:val="22"/>
        </w:rPr>
        <w:t>（5）按照投标人须知前附表的规定确定并宣布投标文件开标顺序；</w:t>
      </w:r>
    </w:p>
    <w:p>
      <w:pPr>
        <w:adjustRightInd w:val="0"/>
        <w:snapToGrid w:val="0"/>
        <w:spacing w:line="360" w:lineRule="exact"/>
        <w:ind w:firstLine="440" w:firstLineChars="200"/>
        <w:rPr>
          <w:rFonts w:ascii="宋体" w:hAnsi="宋体" w:cs="Calibri"/>
          <w:color w:val="000000"/>
          <w:kern w:val="0"/>
          <w:sz w:val="22"/>
        </w:rPr>
      </w:pPr>
      <w:r>
        <w:rPr>
          <w:rFonts w:ascii="宋体" w:hAnsi="宋体" w:cs="Calibri"/>
          <w:color w:val="000000"/>
          <w:kern w:val="0"/>
          <w:sz w:val="22"/>
        </w:rPr>
        <w:t>（6）</w:t>
      </w:r>
      <w:r>
        <w:rPr>
          <w:rFonts w:ascii="宋体" w:hAnsi="宋体" w:cs="Calibri"/>
          <w:color w:val="000000"/>
          <w:sz w:val="22"/>
        </w:rPr>
        <w:t>按照宣布的开标顺序当众开标，公布投标人名称、投标保证金的递交情况、投标报价、</w:t>
      </w:r>
      <w:r>
        <w:rPr>
          <w:rFonts w:hint="eastAsia" w:ascii="宋体" w:hAnsi="宋体" w:cs="Calibri"/>
          <w:color w:val="000000"/>
          <w:sz w:val="22"/>
        </w:rPr>
        <w:t>服务期</w:t>
      </w:r>
      <w:r>
        <w:rPr>
          <w:rFonts w:ascii="宋体" w:hAnsi="宋体" w:cs="Calibri"/>
          <w:color w:val="000000"/>
          <w:sz w:val="22"/>
        </w:rPr>
        <w:t>及其他内容，并记录在案；</w:t>
      </w:r>
    </w:p>
    <w:p>
      <w:pPr>
        <w:adjustRightInd w:val="0"/>
        <w:snapToGrid w:val="0"/>
        <w:spacing w:line="360" w:lineRule="exact"/>
        <w:ind w:firstLine="440" w:firstLineChars="200"/>
        <w:rPr>
          <w:rFonts w:ascii="宋体" w:hAnsi="宋体" w:cs="Calibri"/>
          <w:color w:val="000000"/>
          <w:kern w:val="0"/>
          <w:sz w:val="22"/>
        </w:rPr>
      </w:pPr>
      <w:r>
        <w:rPr>
          <w:rFonts w:ascii="宋体" w:hAnsi="宋体" w:cs="Calibri"/>
          <w:color w:val="000000"/>
          <w:kern w:val="0"/>
          <w:sz w:val="22"/>
        </w:rPr>
        <w:t>（7）投标人代表、招标人代表、监标人、记录人等有关人员在开标记录上签字确认；</w:t>
      </w:r>
    </w:p>
    <w:p>
      <w:pPr>
        <w:adjustRightInd w:val="0"/>
        <w:snapToGrid w:val="0"/>
        <w:spacing w:line="360" w:lineRule="exact"/>
        <w:ind w:firstLine="440" w:firstLineChars="200"/>
        <w:rPr>
          <w:rFonts w:ascii="宋体" w:hAnsi="宋体" w:cs="Calibri"/>
          <w:color w:val="000000"/>
          <w:kern w:val="0"/>
          <w:sz w:val="22"/>
        </w:rPr>
      </w:pPr>
      <w:r>
        <w:rPr>
          <w:rFonts w:ascii="宋体" w:hAnsi="宋体" w:cs="Calibri"/>
          <w:color w:val="000000"/>
          <w:kern w:val="0"/>
          <w:sz w:val="22"/>
        </w:rPr>
        <w:t>（8）开标结束。</w:t>
      </w:r>
    </w:p>
    <w:p>
      <w:pPr>
        <w:autoSpaceDE w:val="0"/>
        <w:autoSpaceDN w:val="0"/>
        <w:adjustRightInd w:val="0"/>
        <w:snapToGrid w:val="0"/>
        <w:spacing w:line="360" w:lineRule="exact"/>
        <w:rPr>
          <w:rFonts w:ascii="宋体" w:hAnsi="宋体" w:cs="Calibri"/>
          <w:b/>
          <w:bCs/>
          <w:kern w:val="0"/>
          <w:sz w:val="22"/>
        </w:rPr>
      </w:pPr>
      <w:bookmarkStart w:id="73" w:name="_Toc31578"/>
      <w:r>
        <w:rPr>
          <w:rFonts w:ascii="宋体" w:hAnsi="宋体" w:cs="Calibri"/>
          <w:b/>
          <w:bCs/>
          <w:kern w:val="0"/>
          <w:sz w:val="22"/>
        </w:rPr>
        <w:t>6.评标</w:t>
      </w:r>
      <w:bookmarkEnd w:id="73"/>
    </w:p>
    <w:p>
      <w:pPr>
        <w:autoSpaceDE w:val="0"/>
        <w:autoSpaceDN w:val="0"/>
        <w:adjustRightInd w:val="0"/>
        <w:snapToGrid w:val="0"/>
        <w:spacing w:line="360" w:lineRule="exact"/>
        <w:rPr>
          <w:rFonts w:ascii="宋体" w:hAnsi="宋体" w:cs="Calibri"/>
          <w:b/>
          <w:bCs/>
          <w:kern w:val="0"/>
          <w:sz w:val="22"/>
        </w:rPr>
      </w:pPr>
      <w:bookmarkStart w:id="74" w:name="_Toc10279"/>
      <w:r>
        <w:rPr>
          <w:rFonts w:ascii="宋体" w:hAnsi="宋体" w:cs="Calibri"/>
          <w:b/>
          <w:bCs/>
          <w:kern w:val="0"/>
          <w:sz w:val="22"/>
        </w:rPr>
        <w:t>6.1 评标委员会</w:t>
      </w:r>
      <w:bookmarkEnd w:id="74"/>
    </w:p>
    <w:p>
      <w:pPr>
        <w:adjustRightInd w:val="0"/>
        <w:snapToGrid w:val="0"/>
        <w:spacing w:line="360" w:lineRule="exact"/>
        <w:ind w:firstLine="440" w:firstLineChars="200"/>
        <w:rPr>
          <w:rFonts w:ascii="宋体" w:hAnsi="宋体" w:cs="Calibri"/>
          <w:color w:val="000000"/>
          <w:kern w:val="0"/>
          <w:sz w:val="22"/>
        </w:rPr>
      </w:pPr>
      <w:r>
        <w:rPr>
          <w:rFonts w:ascii="宋体" w:hAnsi="宋体" w:cs="Calibri"/>
          <w:color w:val="000000"/>
          <w:kern w:val="0"/>
          <w:sz w:val="22"/>
        </w:rPr>
        <w:t>6.1.1</w:t>
      </w:r>
      <w:r>
        <w:rPr>
          <w:rFonts w:ascii="宋体" w:hAnsi="宋体" w:cs="Calibri"/>
          <w:kern w:val="0"/>
          <w:sz w:val="22"/>
        </w:rPr>
        <w:t>评标由招标人依法组建的评标委员会负责。评标委员会成员人数以及技术、经济等方面专家的确定方式见投标人须知前附表。</w:t>
      </w:r>
    </w:p>
    <w:p>
      <w:pPr>
        <w:adjustRightInd w:val="0"/>
        <w:snapToGrid w:val="0"/>
        <w:spacing w:line="360" w:lineRule="exact"/>
        <w:ind w:firstLine="440" w:firstLineChars="200"/>
        <w:rPr>
          <w:rFonts w:ascii="宋体" w:hAnsi="宋体" w:cs="Calibri"/>
          <w:color w:val="000000"/>
          <w:kern w:val="0"/>
          <w:sz w:val="22"/>
        </w:rPr>
      </w:pPr>
      <w:r>
        <w:rPr>
          <w:rFonts w:ascii="宋体" w:hAnsi="宋体" w:cs="Calibri"/>
          <w:color w:val="000000"/>
          <w:kern w:val="0"/>
          <w:sz w:val="22"/>
        </w:rPr>
        <w:t>6.1.2评标委员会成员有下列情形之一的，应当回避：</w:t>
      </w:r>
    </w:p>
    <w:p>
      <w:pPr>
        <w:adjustRightInd w:val="0"/>
        <w:snapToGrid w:val="0"/>
        <w:spacing w:line="360" w:lineRule="exact"/>
        <w:ind w:firstLine="440" w:firstLineChars="200"/>
        <w:rPr>
          <w:rFonts w:ascii="宋体" w:hAnsi="宋体" w:cs="Calibri"/>
          <w:color w:val="000000"/>
          <w:kern w:val="0"/>
          <w:sz w:val="22"/>
        </w:rPr>
      </w:pPr>
      <w:r>
        <w:rPr>
          <w:rFonts w:ascii="宋体" w:hAnsi="宋体" w:cs="Calibri"/>
          <w:color w:val="000000"/>
          <w:kern w:val="0"/>
          <w:sz w:val="22"/>
        </w:rPr>
        <w:t>（1）招标人或投标人的主要负责人的近亲属；</w:t>
      </w:r>
    </w:p>
    <w:p>
      <w:pPr>
        <w:adjustRightInd w:val="0"/>
        <w:snapToGrid w:val="0"/>
        <w:spacing w:line="360" w:lineRule="exact"/>
        <w:ind w:firstLine="440" w:firstLineChars="200"/>
        <w:rPr>
          <w:rFonts w:ascii="宋体" w:hAnsi="宋体" w:cs="Calibri"/>
          <w:color w:val="000000"/>
          <w:kern w:val="0"/>
          <w:sz w:val="22"/>
        </w:rPr>
      </w:pPr>
      <w:r>
        <w:rPr>
          <w:rFonts w:ascii="宋体" w:hAnsi="宋体" w:cs="Calibri"/>
          <w:color w:val="000000"/>
          <w:kern w:val="0"/>
          <w:sz w:val="22"/>
        </w:rPr>
        <w:t>（2）项目主管部门或者行政监督部门的人员；</w:t>
      </w:r>
    </w:p>
    <w:p>
      <w:pPr>
        <w:adjustRightInd w:val="0"/>
        <w:snapToGrid w:val="0"/>
        <w:spacing w:line="360" w:lineRule="exact"/>
        <w:ind w:firstLine="440" w:firstLineChars="200"/>
        <w:rPr>
          <w:rFonts w:ascii="宋体" w:hAnsi="宋体" w:cs="Calibri"/>
          <w:color w:val="000000"/>
          <w:kern w:val="0"/>
          <w:sz w:val="22"/>
        </w:rPr>
      </w:pPr>
      <w:r>
        <w:rPr>
          <w:rFonts w:ascii="宋体" w:hAnsi="宋体" w:cs="Calibri"/>
          <w:color w:val="000000"/>
          <w:kern w:val="0"/>
          <w:sz w:val="22"/>
        </w:rPr>
        <w:t>（3）与投标人有经济利益关系，可能影响对投标公正评审的；</w:t>
      </w:r>
    </w:p>
    <w:p>
      <w:pPr>
        <w:adjustRightInd w:val="0"/>
        <w:snapToGrid w:val="0"/>
        <w:spacing w:line="360" w:lineRule="exact"/>
        <w:ind w:firstLine="440" w:firstLineChars="200"/>
        <w:rPr>
          <w:rFonts w:ascii="宋体" w:hAnsi="宋体" w:cs="Calibri"/>
          <w:color w:val="000000"/>
          <w:kern w:val="0"/>
          <w:sz w:val="22"/>
        </w:rPr>
      </w:pPr>
      <w:r>
        <w:rPr>
          <w:rFonts w:ascii="宋体" w:hAnsi="宋体" w:cs="Calibri"/>
          <w:color w:val="000000"/>
          <w:kern w:val="0"/>
          <w:sz w:val="22"/>
        </w:rPr>
        <w:t>（4）曾因在招标、评标以及其他与招标投标有关活动中从事违法行为而受过行政处罚或刑事处罚的。</w:t>
      </w:r>
    </w:p>
    <w:p>
      <w:pPr>
        <w:autoSpaceDE w:val="0"/>
        <w:autoSpaceDN w:val="0"/>
        <w:adjustRightInd w:val="0"/>
        <w:snapToGrid w:val="0"/>
        <w:spacing w:line="360" w:lineRule="exact"/>
        <w:rPr>
          <w:rFonts w:ascii="宋体" w:hAnsi="宋体" w:cs="Calibri"/>
          <w:b/>
          <w:bCs/>
          <w:kern w:val="0"/>
          <w:sz w:val="22"/>
        </w:rPr>
      </w:pPr>
      <w:bookmarkStart w:id="75" w:name="_Toc3460"/>
      <w:r>
        <w:rPr>
          <w:rFonts w:ascii="宋体" w:hAnsi="宋体" w:cs="Calibri"/>
          <w:b/>
          <w:bCs/>
          <w:kern w:val="0"/>
          <w:sz w:val="22"/>
        </w:rPr>
        <w:t>6.2 评标原则</w:t>
      </w:r>
      <w:bookmarkEnd w:id="75"/>
    </w:p>
    <w:p>
      <w:pPr>
        <w:adjustRightInd w:val="0"/>
        <w:snapToGrid w:val="0"/>
        <w:spacing w:line="360" w:lineRule="exact"/>
        <w:ind w:firstLine="440" w:firstLineChars="200"/>
        <w:rPr>
          <w:rFonts w:ascii="宋体" w:hAnsi="宋体" w:cs="Calibri"/>
          <w:color w:val="000000"/>
          <w:kern w:val="0"/>
          <w:sz w:val="22"/>
        </w:rPr>
      </w:pPr>
      <w:r>
        <w:rPr>
          <w:rFonts w:ascii="宋体" w:hAnsi="宋体" w:cs="Calibri"/>
          <w:color w:val="000000"/>
          <w:kern w:val="0"/>
          <w:sz w:val="22"/>
        </w:rPr>
        <w:t>评标活动遵循公平、公正、科学和择优的原则。</w:t>
      </w:r>
    </w:p>
    <w:p>
      <w:pPr>
        <w:autoSpaceDE w:val="0"/>
        <w:autoSpaceDN w:val="0"/>
        <w:adjustRightInd w:val="0"/>
        <w:snapToGrid w:val="0"/>
        <w:spacing w:line="360" w:lineRule="exact"/>
        <w:rPr>
          <w:rFonts w:ascii="宋体" w:hAnsi="宋体" w:cs="Calibri"/>
          <w:b/>
          <w:bCs/>
          <w:kern w:val="0"/>
          <w:sz w:val="22"/>
        </w:rPr>
      </w:pPr>
      <w:bookmarkStart w:id="76" w:name="_Toc28178"/>
      <w:r>
        <w:rPr>
          <w:rFonts w:ascii="宋体" w:hAnsi="宋体" w:cs="Calibri"/>
          <w:b/>
          <w:bCs/>
          <w:kern w:val="0"/>
          <w:sz w:val="22"/>
        </w:rPr>
        <w:t>6.3 评标</w:t>
      </w:r>
      <w:bookmarkEnd w:id="76"/>
    </w:p>
    <w:p>
      <w:pPr>
        <w:adjustRightInd w:val="0"/>
        <w:snapToGrid w:val="0"/>
        <w:spacing w:line="360" w:lineRule="exact"/>
        <w:ind w:firstLine="440" w:firstLineChars="200"/>
        <w:rPr>
          <w:rFonts w:ascii="宋体" w:hAnsi="宋体" w:cs="Calibri"/>
          <w:color w:val="000000"/>
          <w:kern w:val="0"/>
          <w:sz w:val="22"/>
        </w:rPr>
      </w:pPr>
      <w:r>
        <w:rPr>
          <w:rFonts w:ascii="宋体" w:hAnsi="宋体" w:cs="Calibri"/>
          <w:color w:val="000000"/>
          <w:kern w:val="0"/>
          <w:sz w:val="22"/>
        </w:rPr>
        <w:t>评标委员会按照第</w:t>
      </w:r>
      <w:r>
        <w:rPr>
          <w:rFonts w:hint="eastAsia" w:ascii="宋体" w:hAnsi="宋体" w:cs="Calibri"/>
          <w:color w:val="000000"/>
          <w:kern w:val="0"/>
          <w:sz w:val="22"/>
        </w:rPr>
        <w:t>五</w:t>
      </w:r>
      <w:r>
        <w:rPr>
          <w:rFonts w:ascii="宋体" w:hAnsi="宋体" w:cs="Calibri"/>
          <w:color w:val="000000"/>
          <w:kern w:val="0"/>
          <w:sz w:val="22"/>
        </w:rPr>
        <w:t>章“评标方法及标准”对投标文件进行评审。第</w:t>
      </w:r>
      <w:r>
        <w:rPr>
          <w:rFonts w:hint="eastAsia" w:ascii="宋体" w:hAnsi="宋体" w:cs="Calibri"/>
          <w:color w:val="000000"/>
          <w:kern w:val="0"/>
          <w:sz w:val="22"/>
        </w:rPr>
        <w:t>五</w:t>
      </w:r>
      <w:r>
        <w:rPr>
          <w:rFonts w:ascii="宋体" w:hAnsi="宋体" w:cs="Calibri"/>
          <w:color w:val="000000"/>
          <w:kern w:val="0"/>
          <w:sz w:val="22"/>
        </w:rPr>
        <w:t>章“评标方法及标准”没有规定的方法、评审因素和标准，不作为评标依据。</w:t>
      </w:r>
    </w:p>
    <w:p>
      <w:pPr>
        <w:autoSpaceDE w:val="0"/>
        <w:autoSpaceDN w:val="0"/>
        <w:adjustRightInd w:val="0"/>
        <w:snapToGrid w:val="0"/>
        <w:spacing w:line="360" w:lineRule="exact"/>
        <w:rPr>
          <w:rFonts w:ascii="宋体" w:hAnsi="宋体" w:cs="Calibri"/>
          <w:b/>
          <w:bCs/>
          <w:kern w:val="0"/>
          <w:sz w:val="22"/>
        </w:rPr>
      </w:pPr>
      <w:bookmarkStart w:id="77" w:name="_Toc24237"/>
      <w:r>
        <w:rPr>
          <w:rFonts w:ascii="宋体" w:hAnsi="宋体" w:cs="Calibri"/>
          <w:b/>
          <w:bCs/>
          <w:kern w:val="0"/>
          <w:sz w:val="22"/>
        </w:rPr>
        <w:t>7.合同授予</w:t>
      </w:r>
      <w:bookmarkEnd w:id="77"/>
    </w:p>
    <w:p>
      <w:pPr>
        <w:autoSpaceDE w:val="0"/>
        <w:autoSpaceDN w:val="0"/>
        <w:adjustRightInd w:val="0"/>
        <w:snapToGrid w:val="0"/>
        <w:spacing w:line="360" w:lineRule="exact"/>
        <w:rPr>
          <w:rFonts w:ascii="宋体" w:hAnsi="宋体" w:cs="Calibri"/>
          <w:b/>
          <w:bCs/>
          <w:kern w:val="0"/>
          <w:sz w:val="22"/>
        </w:rPr>
      </w:pPr>
      <w:bookmarkStart w:id="78" w:name="_Toc18809"/>
      <w:r>
        <w:rPr>
          <w:rFonts w:ascii="宋体" w:hAnsi="宋体" w:cs="Calibri"/>
          <w:b/>
          <w:bCs/>
          <w:kern w:val="0"/>
          <w:sz w:val="22"/>
        </w:rPr>
        <w:t>7.1 定标方式</w:t>
      </w:r>
      <w:bookmarkEnd w:id="78"/>
    </w:p>
    <w:p>
      <w:pPr>
        <w:adjustRightInd w:val="0"/>
        <w:snapToGrid w:val="0"/>
        <w:spacing w:line="360" w:lineRule="exact"/>
        <w:ind w:firstLine="440" w:firstLineChars="200"/>
        <w:rPr>
          <w:rFonts w:ascii="宋体" w:hAnsi="宋体" w:cs="Calibri"/>
          <w:color w:val="000000"/>
          <w:sz w:val="22"/>
        </w:rPr>
      </w:pPr>
      <w:r>
        <w:rPr>
          <w:rFonts w:ascii="宋体" w:hAnsi="宋体" w:cs="Calibri"/>
          <w:color w:val="000000"/>
          <w:sz w:val="22"/>
        </w:rPr>
        <w:t>除投标人须知前附表规定评标委员会直接确定中标人外，招标人依据评标委员会推荐的中标候选人确定中标人，评标委员会推荐中标候选人的人数见投标人须知前附表。</w:t>
      </w:r>
    </w:p>
    <w:p>
      <w:pPr>
        <w:autoSpaceDE w:val="0"/>
        <w:autoSpaceDN w:val="0"/>
        <w:adjustRightInd w:val="0"/>
        <w:snapToGrid w:val="0"/>
        <w:spacing w:line="360" w:lineRule="exact"/>
        <w:rPr>
          <w:rFonts w:ascii="宋体" w:hAnsi="宋体" w:cs="Calibri"/>
          <w:b/>
          <w:bCs/>
          <w:kern w:val="0"/>
          <w:sz w:val="22"/>
        </w:rPr>
      </w:pPr>
      <w:bookmarkStart w:id="79" w:name="_Toc14573"/>
      <w:r>
        <w:rPr>
          <w:rFonts w:ascii="宋体" w:hAnsi="宋体" w:cs="Calibri"/>
          <w:b/>
          <w:bCs/>
          <w:kern w:val="0"/>
          <w:sz w:val="22"/>
        </w:rPr>
        <w:t>7.2 中标通知</w:t>
      </w:r>
      <w:bookmarkEnd w:id="79"/>
    </w:p>
    <w:p>
      <w:pPr>
        <w:adjustRightInd w:val="0"/>
        <w:snapToGrid w:val="0"/>
        <w:spacing w:line="360" w:lineRule="exact"/>
        <w:ind w:firstLine="440" w:firstLineChars="200"/>
        <w:rPr>
          <w:rFonts w:ascii="宋体" w:hAnsi="宋体" w:cs="Calibri"/>
          <w:color w:val="000000"/>
          <w:kern w:val="0"/>
          <w:sz w:val="22"/>
        </w:rPr>
      </w:pPr>
      <w:r>
        <w:rPr>
          <w:rFonts w:ascii="宋体" w:hAnsi="宋体" w:cs="Calibri"/>
          <w:color w:val="000000"/>
          <w:kern w:val="0"/>
          <w:sz w:val="22"/>
        </w:rPr>
        <w:t>在投标人须知第3.4款规定的投标有效期内，招标人以书面形式向中标人发出中标通知书。</w:t>
      </w:r>
    </w:p>
    <w:p>
      <w:pPr>
        <w:autoSpaceDE w:val="0"/>
        <w:autoSpaceDN w:val="0"/>
        <w:adjustRightInd w:val="0"/>
        <w:snapToGrid w:val="0"/>
        <w:spacing w:line="360" w:lineRule="exact"/>
        <w:rPr>
          <w:rFonts w:ascii="宋体" w:hAnsi="宋体" w:cs="Calibri"/>
          <w:b/>
          <w:bCs/>
          <w:kern w:val="0"/>
          <w:sz w:val="22"/>
        </w:rPr>
      </w:pPr>
      <w:bookmarkStart w:id="80" w:name="_Toc27132"/>
      <w:bookmarkStart w:id="81" w:name="_Toc27581"/>
      <w:r>
        <w:rPr>
          <w:rFonts w:ascii="宋体" w:hAnsi="宋体" w:cs="Calibri"/>
          <w:b/>
          <w:bCs/>
          <w:kern w:val="0"/>
          <w:sz w:val="22"/>
        </w:rPr>
        <w:t>7.3 履约</w:t>
      </w:r>
      <w:r>
        <w:rPr>
          <w:rFonts w:hint="eastAsia" w:ascii="宋体" w:hAnsi="宋体" w:cs="Calibri"/>
          <w:b/>
          <w:bCs/>
          <w:kern w:val="0"/>
          <w:sz w:val="22"/>
        </w:rPr>
        <w:t>保证金</w:t>
      </w:r>
      <w:bookmarkEnd w:id="80"/>
    </w:p>
    <w:p>
      <w:pPr>
        <w:adjustRightInd w:val="0"/>
        <w:snapToGrid w:val="0"/>
        <w:spacing w:line="360" w:lineRule="exact"/>
        <w:ind w:firstLine="440" w:firstLineChars="200"/>
        <w:rPr>
          <w:rFonts w:ascii="宋体" w:hAnsi="宋体" w:cs="Calibri"/>
          <w:kern w:val="0"/>
          <w:sz w:val="22"/>
        </w:rPr>
      </w:pPr>
      <w:r>
        <w:rPr>
          <w:rFonts w:ascii="宋体" w:hAnsi="宋体" w:cs="Calibri"/>
          <w:kern w:val="0"/>
          <w:sz w:val="22"/>
        </w:rPr>
        <w:t>7.3.1在签订合同前，中标人应按投标人须知前附表规定的金额</w:t>
      </w:r>
      <w:r>
        <w:rPr>
          <w:rFonts w:hint="eastAsia" w:ascii="宋体" w:hAnsi="宋体" w:cs="Calibri"/>
          <w:kern w:val="0"/>
          <w:sz w:val="22"/>
        </w:rPr>
        <w:t>和</w:t>
      </w:r>
      <w:r>
        <w:rPr>
          <w:rFonts w:ascii="宋体" w:hAnsi="宋体" w:cs="Calibri"/>
          <w:kern w:val="0"/>
          <w:sz w:val="22"/>
        </w:rPr>
        <w:t>担保形式向招标人提交履约</w:t>
      </w:r>
      <w:r>
        <w:rPr>
          <w:rFonts w:hint="eastAsia" w:ascii="宋体" w:hAnsi="宋体" w:cs="Calibri"/>
          <w:kern w:val="0"/>
          <w:sz w:val="22"/>
        </w:rPr>
        <w:t>保证金</w:t>
      </w:r>
      <w:r>
        <w:rPr>
          <w:rFonts w:ascii="宋体" w:hAnsi="宋体" w:cs="Calibri"/>
          <w:kern w:val="0"/>
          <w:sz w:val="22"/>
        </w:rPr>
        <w:t>。</w:t>
      </w:r>
    </w:p>
    <w:p>
      <w:pPr>
        <w:adjustRightInd w:val="0"/>
        <w:snapToGrid w:val="0"/>
        <w:spacing w:line="360" w:lineRule="exact"/>
        <w:ind w:firstLine="440" w:firstLineChars="200"/>
        <w:rPr>
          <w:rFonts w:ascii="宋体" w:hAnsi="宋体" w:cs="Calibri"/>
          <w:kern w:val="0"/>
          <w:sz w:val="22"/>
        </w:rPr>
      </w:pPr>
      <w:r>
        <w:rPr>
          <w:rFonts w:ascii="宋体" w:hAnsi="宋体" w:cs="Calibri"/>
          <w:kern w:val="0"/>
          <w:sz w:val="22"/>
        </w:rPr>
        <w:t>7.3.2 中标人不能按本章第7.3.1项要求提交履约</w:t>
      </w:r>
      <w:r>
        <w:rPr>
          <w:rFonts w:hint="eastAsia" w:ascii="宋体" w:hAnsi="宋体" w:cs="Calibri"/>
          <w:kern w:val="0"/>
          <w:sz w:val="22"/>
        </w:rPr>
        <w:t>保证金</w:t>
      </w:r>
      <w:r>
        <w:rPr>
          <w:rFonts w:ascii="宋体" w:hAnsi="宋体" w:cs="Calibri"/>
          <w:kern w:val="0"/>
          <w:sz w:val="22"/>
        </w:rPr>
        <w:t>的，视为放弃中标，其投标保证金不予退还，给招标人造成的损失超过投标保证金数额的，中标人还应当对超过部分予以赔偿。</w:t>
      </w:r>
    </w:p>
    <w:p>
      <w:pPr>
        <w:autoSpaceDE w:val="0"/>
        <w:autoSpaceDN w:val="0"/>
        <w:adjustRightInd w:val="0"/>
        <w:snapToGrid w:val="0"/>
        <w:spacing w:line="360" w:lineRule="exact"/>
        <w:rPr>
          <w:rFonts w:ascii="宋体" w:hAnsi="宋体" w:cs="Calibri"/>
          <w:b/>
          <w:bCs/>
          <w:kern w:val="0"/>
          <w:sz w:val="22"/>
        </w:rPr>
      </w:pPr>
      <w:r>
        <w:rPr>
          <w:rFonts w:ascii="宋体" w:hAnsi="宋体" w:cs="Calibri"/>
          <w:b/>
          <w:bCs/>
          <w:kern w:val="0"/>
          <w:sz w:val="22"/>
        </w:rPr>
        <w:t>7.4 签订合同</w:t>
      </w:r>
      <w:bookmarkEnd w:id="81"/>
    </w:p>
    <w:p>
      <w:pPr>
        <w:adjustRightInd w:val="0"/>
        <w:snapToGrid w:val="0"/>
        <w:spacing w:line="360" w:lineRule="exact"/>
        <w:ind w:firstLine="440" w:firstLineChars="200"/>
        <w:rPr>
          <w:rFonts w:ascii="宋体" w:hAnsi="宋体" w:cs="Calibri"/>
          <w:color w:val="000000"/>
          <w:kern w:val="0"/>
          <w:sz w:val="22"/>
        </w:rPr>
      </w:pPr>
      <w:r>
        <w:rPr>
          <w:rFonts w:ascii="宋体" w:hAnsi="宋体" w:cs="Calibri"/>
          <w:color w:val="000000"/>
          <w:sz w:val="22"/>
        </w:rPr>
        <w:t>7</w:t>
      </w:r>
      <w:bookmarkStart w:id="82" w:name="_Toc219809801"/>
      <w:bookmarkStart w:id="83" w:name="_Toc220123241"/>
      <w:bookmarkStart w:id="84" w:name="_Toc11806"/>
      <w:r>
        <w:rPr>
          <w:rFonts w:ascii="宋体" w:hAnsi="宋体" w:cs="Calibri"/>
          <w:color w:val="000000"/>
          <w:kern w:val="0"/>
          <w:sz w:val="22"/>
        </w:rPr>
        <w:t>.4.1招标人和中标人应当自中标通知书发出之日起30个工作日内订立书面合同（合同条款按第</w:t>
      </w:r>
      <w:r>
        <w:rPr>
          <w:rFonts w:hint="eastAsia" w:ascii="宋体" w:hAnsi="宋体" w:cs="Calibri"/>
          <w:color w:val="000000"/>
          <w:kern w:val="0"/>
          <w:sz w:val="22"/>
        </w:rPr>
        <w:t>四</w:t>
      </w:r>
      <w:r>
        <w:rPr>
          <w:rFonts w:ascii="宋体" w:hAnsi="宋体" w:cs="Calibri"/>
          <w:color w:val="000000"/>
          <w:kern w:val="0"/>
          <w:sz w:val="22"/>
        </w:rPr>
        <w:t>章</w:t>
      </w:r>
      <w:r>
        <w:rPr>
          <w:rFonts w:hint="eastAsia" w:ascii="宋体" w:hAnsi="宋体" w:cs="Calibri"/>
          <w:kern w:val="0"/>
          <w:sz w:val="22"/>
        </w:rPr>
        <w:t>“</w:t>
      </w:r>
      <w:r>
        <w:rPr>
          <w:rFonts w:ascii="宋体" w:hAnsi="宋体" w:cs="Calibri"/>
          <w:kern w:val="0"/>
          <w:sz w:val="22"/>
        </w:rPr>
        <w:t>合同条款</w:t>
      </w:r>
      <w:r>
        <w:rPr>
          <w:rFonts w:hint="eastAsia" w:ascii="宋体" w:hAnsi="宋体" w:cs="Calibri"/>
          <w:kern w:val="0"/>
          <w:sz w:val="22"/>
        </w:rPr>
        <w:t>”</w:t>
      </w:r>
      <w:r>
        <w:rPr>
          <w:rFonts w:ascii="宋体" w:hAnsi="宋体" w:cs="Calibri"/>
          <w:color w:val="000000"/>
          <w:kern w:val="0"/>
          <w:sz w:val="22"/>
        </w:rPr>
        <w:t>）。中标人无正当理由拒签协议的，招标人取消其中标资格，其投标保证金不予退还；给招标人造成的损失超过投标保证金数额的，中标人还应当对超过部分予以赔偿。</w:t>
      </w:r>
    </w:p>
    <w:p>
      <w:pPr>
        <w:adjustRightInd w:val="0"/>
        <w:snapToGrid w:val="0"/>
        <w:spacing w:line="360" w:lineRule="exact"/>
        <w:ind w:firstLine="440" w:firstLineChars="200"/>
        <w:rPr>
          <w:rFonts w:ascii="宋体" w:hAnsi="宋体" w:cs="Calibri"/>
          <w:color w:val="000000"/>
          <w:kern w:val="0"/>
          <w:sz w:val="22"/>
        </w:rPr>
      </w:pPr>
      <w:r>
        <w:rPr>
          <w:rFonts w:ascii="宋体" w:hAnsi="宋体" w:cs="Calibri"/>
          <w:color w:val="000000"/>
          <w:kern w:val="0"/>
          <w:sz w:val="22"/>
        </w:rPr>
        <w:t>7.4.2 发出中标通知书后，招标人无正当理由拒签合同的，招标人向中标人退还投标保证金；给中标人造成损失的，还应当赔偿损失。</w:t>
      </w:r>
    </w:p>
    <w:p>
      <w:pPr>
        <w:adjustRightInd w:val="0"/>
        <w:snapToGrid w:val="0"/>
        <w:spacing w:line="360" w:lineRule="exact"/>
        <w:ind w:firstLine="440" w:firstLineChars="200"/>
        <w:rPr>
          <w:rFonts w:ascii="宋体" w:hAnsi="宋体" w:cs="Calibri"/>
          <w:b/>
          <w:color w:val="000000"/>
          <w:kern w:val="0"/>
          <w:sz w:val="22"/>
        </w:rPr>
      </w:pPr>
      <w:r>
        <w:rPr>
          <w:rFonts w:hint="eastAsia" w:ascii="宋体" w:hAnsi="宋体" w:cs="Calibri"/>
          <w:color w:val="000000"/>
          <w:kern w:val="0"/>
          <w:sz w:val="22"/>
        </w:rPr>
        <w:t xml:space="preserve">7.4.3 </w:t>
      </w:r>
      <w:r>
        <w:rPr>
          <w:rFonts w:hint="eastAsia" w:ascii="宋体" w:hAnsi="宋体" w:cs="Calibri"/>
          <w:b/>
          <w:color w:val="000000"/>
          <w:kern w:val="0"/>
          <w:sz w:val="22"/>
        </w:rPr>
        <w:t>招标人在授予合同有权对本项目的服务内容等予以增加或者减少，中标人不得提出异议，否则招标人有权取消其中标资格。</w:t>
      </w:r>
    </w:p>
    <w:p>
      <w:pPr>
        <w:adjustRightInd w:val="0"/>
        <w:snapToGrid w:val="0"/>
        <w:spacing w:line="360" w:lineRule="exact"/>
        <w:ind w:firstLine="440" w:firstLineChars="200"/>
        <w:rPr>
          <w:rFonts w:ascii="宋体" w:hAnsi="宋体" w:cs="Calibri"/>
          <w:color w:val="000000"/>
          <w:kern w:val="0"/>
          <w:sz w:val="22"/>
        </w:rPr>
      </w:pPr>
      <w:r>
        <w:rPr>
          <w:rFonts w:hint="eastAsia" w:ascii="宋体" w:hAnsi="宋体" w:cs="Calibri"/>
          <w:color w:val="000000"/>
          <w:kern w:val="0"/>
          <w:sz w:val="22"/>
        </w:rPr>
        <w:t xml:space="preserve">7.4.4 </w:t>
      </w:r>
      <w:r>
        <w:rPr>
          <w:rFonts w:hint="eastAsia" w:ascii="宋体" w:hAnsi="宋体" w:cs="Calibri"/>
          <w:b/>
          <w:color w:val="000000"/>
          <w:kern w:val="0"/>
          <w:sz w:val="22"/>
        </w:rPr>
        <w:t>招标人在授予合同前的任何时候，仍保留接受或者拒绝任何投标和拒绝所有投标的权利。</w:t>
      </w:r>
    </w:p>
    <w:p>
      <w:pPr>
        <w:autoSpaceDE w:val="0"/>
        <w:autoSpaceDN w:val="0"/>
        <w:adjustRightInd w:val="0"/>
        <w:snapToGrid w:val="0"/>
        <w:spacing w:line="360" w:lineRule="exact"/>
        <w:rPr>
          <w:rFonts w:ascii="宋体" w:hAnsi="宋体" w:cs="Calibri"/>
          <w:b/>
          <w:bCs/>
          <w:kern w:val="0"/>
          <w:sz w:val="22"/>
        </w:rPr>
      </w:pPr>
      <w:r>
        <w:rPr>
          <w:rFonts w:ascii="宋体" w:hAnsi="宋体" w:cs="Calibri"/>
          <w:b/>
          <w:bCs/>
          <w:kern w:val="0"/>
          <w:sz w:val="22"/>
        </w:rPr>
        <w:t>8.重新招标和不再招标</w:t>
      </w:r>
      <w:bookmarkEnd w:id="82"/>
      <w:bookmarkEnd w:id="83"/>
      <w:bookmarkEnd w:id="84"/>
    </w:p>
    <w:p>
      <w:pPr>
        <w:autoSpaceDE w:val="0"/>
        <w:autoSpaceDN w:val="0"/>
        <w:adjustRightInd w:val="0"/>
        <w:snapToGrid w:val="0"/>
        <w:spacing w:line="360" w:lineRule="exact"/>
        <w:rPr>
          <w:rFonts w:ascii="宋体" w:hAnsi="宋体" w:cs="Calibri"/>
          <w:b/>
          <w:bCs/>
          <w:kern w:val="0"/>
          <w:sz w:val="22"/>
        </w:rPr>
      </w:pPr>
      <w:bookmarkStart w:id="85" w:name="_Toc219809802"/>
      <w:bookmarkStart w:id="86" w:name="_Toc220123242"/>
      <w:bookmarkStart w:id="87" w:name="_Toc15553"/>
      <w:r>
        <w:rPr>
          <w:rFonts w:ascii="宋体" w:hAnsi="宋体" w:cs="Calibri"/>
          <w:b/>
          <w:bCs/>
          <w:kern w:val="0"/>
          <w:sz w:val="22"/>
        </w:rPr>
        <w:t>8.1 重新招标</w:t>
      </w:r>
      <w:bookmarkEnd w:id="85"/>
      <w:bookmarkEnd w:id="86"/>
      <w:bookmarkEnd w:id="87"/>
    </w:p>
    <w:p>
      <w:pPr>
        <w:adjustRightInd w:val="0"/>
        <w:snapToGrid w:val="0"/>
        <w:spacing w:line="360" w:lineRule="exact"/>
        <w:ind w:firstLine="440" w:firstLineChars="200"/>
        <w:rPr>
          <w:rFonts w:ascii="宋体" w:hAnsi="宋体" w:cs="Calibri"/>
          <w:color w:val="000000"/>
          <w:sz w:val="22"/>
        </w:rPr>
      </w:pPr>
      <w:r>
        <w:rPr>
          <w:rFonts w:ascii="宋体" w:hAnsi="宋体" w:cs="Calibri"/>
          <w:color w:val="000000"/>
          <w:sz w:val="22"/>
        </w:rPr>
        <w:t>有下列情形之一的，招标人将重新招标；</w:t>
      </w:r>
    </w:p>
    <w:p>
      <w:pPr>
        <w:adjustRightInd w:val="0"/>
        <w:snapToGrid w:val="0"/>
        <w:spacing w:line="360" w:lineRule="exact"/>
        <w:ind w:firstLine="440" w:firstLineChars="200"/>
        <w:rPr>
          <w:rFonts w:ascii="宋体" w:hAnsi="宋体" w:cs="Calibri"/>
          <w:color w:val="000000"/>
          <w:kern w:val="0"/>
          <w:sz w:val="22"/>
        </w:rPr>
      </w:pPr>
      <w:r>
        <w:rPr>
          <w:rFonts w:ascii="宋体" w:hAnsi="宋体" w:cs="Calibri"/>
          <w:color w:val="000000"/>
          <w:kern w:val="0"/>
          <w:sz w:val="22"/>
        </w:rPr>
        <w:t>（1）投标截止时间止，投标人少于3个的；</w:t>
      </w:r>
    </w:p>
    <w:p>
      <w:pPr>
        <w:adjustRightInd w:val="0"/>
        <w:snapToGrid w:val="0"/>
        <w:spacing w:line="360" w:lineRule="exact"/>
        <w:ind w:firstLine="440" w:firstLineChars="200"/>
        <w:rPr>
          <w:rFonts w:ascii="宋体" w:hAnsi="宋体" w:cs="Calibri"/>
          <w:color w:val="000000"/>
          <w:kern w:val="0"/>
          <w:sz w:val="22"/>
        </w:rPr>
      </w:pPr>
      <w:r>
        <w:rPr>
          <w:rFonts w:hint="eastAsia" w:ascii="宋体" w:hAnsi="宋体" w:cs="Calibri"/>
          <w:color w:val="000000"/>
          <w:kern w:val="0"/>
          <w:sz w:val="22"/>
        </w:rPr>
        <w:t>（2）</w:t>
      </w:r>
      <w:r>
        <w:rPr>
          <w:rFonts w:hint="eastAsia" w:ascii="宋体" w:hAnsi="宋体"/>
          <w:b/>
          <w:bCs/>
          <w:sz w:val="22"/>
        </w:rPr>
        <w:t>所有投标人的报价均偏高，招标人无法接受的；</w:t>
      </w:r>
    </w:p>
    <w:p>
      <w:pPr>
        <w:adjustRightInd w:val="0"/>
        <w:snapToGrid w:val="0"/>
        <w:spacing w:line="360" w:lineRule="exact"/>
        <w:ind w:firstLine="440" w:firstLineChars="200"/>
        <w:rPr>
          <w:rFonts w:ascii="宋体" w:hAnsi="宋体" w:cs="Calibri"/>
          <w:color w:val="000000"/>
          <w:sz w:val="22"/>
        </w:rPr>
      </w:pPr>
      <w:r>
        <w:rPr>
          <w:rFonts w:ascii="宋体" w:hAnsi="宋体" w:cs="Calibri"/>
          <w:color w:val="000000"/>
          <w:kern w:val="0"/>
          <w:sz w:val="22"/>
        </w:rPr>
        <w:t>（</w:t>
      </w:r>
      <w:r>
        <w:rPr>
          <w:rFonts w:hint="eastAsia" w:ascii="宋体" w:hAnsi="宋体" w:cs="Calibri"/>
          <w:color w:val="000000"/>
          <w:kern w:val="0"/>
          <w:sz w:val="22"/>
        </w:rPr>
        <w:t>3</w:t>
      </w:r>
      <w:r>
        <w:rPr>
          <w:rFonts w:ascii="宋体" w:hAnsi="宋体" w:cs="Calibri"/>
          <w:color w:val="000000"/>
          <w:kern w:val="0"/>
          <w:sz w:val="22"/>
        </w:rPr>
        <w:t>）经评标委员会评审后否决所有投标的。</w:t>
      </w:r>
    </w:p>
    <w:p>
      <w:pPr>
        <w:autoSpaceDE w:val="0"/>
        <w:autoSpaceDN w:val="0"/>
        <w:adjustRightInd w:val="0"/>
        <w:snapToGrid w:val="0"/>
        <w:spacing w:line="360" w:lineRule="exact"/>
        <w:rPr>
          <w:rFonts w:ascii="宋体" w:hAnsi="宋体" w:cs="Calibri"/>
          <w:b/>
          <w:bCs/>
          <w:kern w:val="0"/>
          <w:sz w:val="22"/>
        </w:rPr>
      </w:pPr>
      <w:bookmarkStart w:id="88" w:name="_Toc219809803"/>
      <w:bookmarkStart w:id="89" w:name="_Toc220123243"/>
      <w:bookmarkStart w:id="90" w:name="_Toc18806"/>
      <w:r>
        <w:rPr>
          <w:rFonts w:ascii="宋体" w:hAnsi="宋体" w:cs="Calibri"/>
          <w:b/>
          <w:bCs/>
          <w:kern w:val="0"/>
          <w:sz w:val="22"/>
        </w:rPr>
        <w:t>8.2 不再招标</w:t>
      </w:r>
      <w:bookmarkEnd w:id="88"/>
      <w:bookmarkEnd w:id="89"/>
      <w:bookmarkEnd w:id="90"/>
    </w:p>
    <w:p>
      <w:pPr>
        <w:adjustRightInd w:val="0"/>
        <w:snapToGrid w:val="0"/>
        <w:spacing w:line="360" w:lineRule="exact"/>
        <w:ind w:firstLine="440" w:firstLineChars="200"/>
        <w:rPr>
          <w:rFonts w:ascii="宋体" w:hAnsi="宋体" w:cs="Calibri"/>
          <w:color w:val="000000"/>
          <w:sz w:val="22"/>
        </w:rPr>
      </w:pPr>
      <w:r>
        <w:rPr>
          <w:rFonts w:ascii="宋体" w:hAnsi="宋体" w:cs="Calibri"/>
          <w:color w:val="000000"/>
          <w:sz w:val="22"/>
        </w:rPr>
        <w:t>重新招标后投标人仍少于3个或者所有投标被否决的，经批准后不再进行招标。</w:t>
      </w:r>
    </w:p>
    <w:p>
      <w:pPr>
        <w:autoSpaceDE w:val="0"/>
        <w:autoSpaceDN w:val="0"/>
        <w:adjustRightInd w:val="0"/>
        <w:snapToGrid w:val="0"/>
        <w:spacing w:line="360" w:lineRule="exact"/>
        <w:rPr>
          <w:rFonts w:ascii="宋体" w:hAnsi="宋体" w:cs="Calibri"/>
          <w:b/>
          <w:bCs/>
          <w:kern w:val="0"/>
          <w:sz w:val="22"/>
        </w:rPr>
      </w:pPr>
      <w:bookmarkStart w:id="91" w:name="_Toc215941254"/>
      <w:bookmarkStart w:id="92" w:name="_Toc219809804"/>
      <w:bookmarkStart w:id="93" w:name="_Toc220123244"/>
      <w:bookmarkStart w:id="94" w:name="_Toc2986"/>
      <w:r>
        <w:rPr>
          <w:rFonts w:ascii="宋体" w:hAnsi="宋体" w:cs="Calibri"/>
          <w:b/>
          <w:bCs/>
          <w:kern w:val="0"/>
          <w:sz w:val="22"/>
        </w:rPr>
        <w:t>9.纪律和监督</w:t>
      </w:r>
      <w:bookmarkEnd w:id="91"/>
      <w:bookmarkEnd w:id="92"/>
      <w:bookmarkEnd w:id="93"/>
      <w:bookmarkEnd w:id="94"/>
    </w:p>
    <w:p>
      <w:pPr>
        <w:autoSpaceDE w:val="0"/>
        <w:autoSpaceDN w:val="0"/>
        <w:adjustRightInd w:val="0"/>
        <w:snapToGrid w:val="0"/>
        <w:spacing w:line="360" w:lineRule="exact"/>
        <w:rPr>
          <w:rFonts w:ascii="宋体" w:hAnsi="宋体" w:cs="Calibri"/>
          <w:b/>
          <w:bCs/>
          <w:kern w:val="0"/>
          <w:sz w:val="22"/>
        </w:rPr>
      </w:pPr>
      <w:bookmarkStart w:id="95" w:name="_Toc219809805"/>
      <w:bookmarkStart w:id="96" w:name="_Toc220123245"/>
      <w:bookmarkStart w:id="97" w:name="_Toc5509"/>
      <w:r>
        <w:rPr>
          <w:rFonts w:ascii="宋体" w:hAnsi="宋体" w:cs="Calibri"/>
          <w:b/>
          <w:bCs/>
          <w:kern w:val="0"/>
          <w:sz w:val="22"/>
        </w:rPr>
        <w:t>9.1 对招标人的纪律要求</w:t>
      </w:r>
      <w:bookmarkEnd w:id="95"/>
      <w:bookmarkEnd w:id="96"/>
      <w:bookmarkEnd w:id="97"/>
    </w:p>
    <w:p>
      <w:pPr>
        <w:adjustRightInd w:val="0"/>
        <w:snapToGrid w:val="0"/>
        <w:spacing w:line="360" w:lineRule="exact"/>
        <w:ind w:firstLine="440" w:firstLineChars="200"/>
        <w:rPr>
          <w:rFonts w:ascii="宋体" w:hAnsi="宋体" w:cs="Calibri"/>
          <w:color w:val="000000"/>
          <w:sz w:val="22"/>
        </w:rPr>
      </w:pPr>
      <w:r>
        <w:rPr>
          <w:rFonts w:ascii="宋体" w:hAnsi="宋体" w:cs="Calibri"/>
          <w:color w:val="000000"/>
          <w:sz w:val="22"/>
        </w:rPr>
        <w:t>招标人不得泄漏招标投标活动中应当保密的情况和资料，不得与投标人串通损害国家利益、社会公共利益或者他人合法权益。</w:t>
      </w:r>
    </w:p>
    <w:p>
      <w:pPr>
        <w:autoSpaceDE w:val="0"/>
        <w:autoSpaceDN w:val="0"/>
        <w:adjustRightInd w:val="0"/>
        <w:snapToGrid w:val="0"/>
        <w:spacing w:line="360" w:lineRule="exact"/>
        <w:rPr>
          <w:rFonts w:ascii="宋体" w:hAnsi="宋体" w:cs="Calibri"/>
          <w:b/>
          <w:bCs/>
          <w:kern w:val="0"/>
          <w:sz w:val="22"/>
        </w:rPr>
      </w:pPr>
      <w:bookmarkStart w:id="98" w:name="_Toc219809806"/>
      <w:bookmarkStart w:id="99" w:name="_Toc220123246"/>
      <w:bookmarkStart w:id="100" w:name="_Toc10820"/>
      <w:r>
        <w:rPr>
          <w:rFonts w:ascii="宋体" w:hAnsi="宋体" w:cs="Calibri"/>
          <w:b/>
          <w:bCs/>
          <w:kern w:val="0"/>
          <w:sz w:val="22"/>
        </w:rPr>
        <w:t>9.2 对投标人的纪律要求</w:t>
      </w:r>
      <w:bookmarkEnd w:id="98"/>
      <w:bookmarkEnd w:id="99"/>
      <w:bookmarkEnd w:id="100"/>
    </w:p>
    <w:p>
      <w:pPr>
        <w:adjustRightInd w:val="0"/>
        <w:snapToGrid w:val="0"/>
        <w:spacing w:line="360" w:lineRule="exact"/>
        <w:ind w:firstLine="440" w:firstLineChars="200"/>
        <w:rPr>
          <w:rFonts w:ascii="宋体" w:hAnsi="宋体" w:cs="Calibri"/>
          <w:color w:val="000000"/>
          <w:sz w:val="22"/>
        </w:rPr>
      </w:pPr>
      <w:r>
        <w:rPr>
          <w:rFonts w:ascii="宋体" w:hAnsi="宋体" w:cs="Calibri"/>
          <w:color w:val="000000"/>
          <w:sz w:val="22"/>
        </w:rPr>
        <w:t>投标人不得相互串通投标或者与招标人串通投标，不得向招标人或者评标委员会成员行贿谋取中标，不得以他人名义投标或者以其他方式弄虚作假骗取中标；投标人不得以任何方式干扰、影响评标工作。</w:t>
      </w:r>
    </w:p>
    <w:p>
      <w:pPr>
        <w:adjustRightInd w:val="0"/>
        <w:snapToGrid w:val="0"/>
        <w:spacing w:line="360" w:lineRule="exact"/>
        <w:ind w:firstLine="440"/>
        <w:rPr>
          <w:rFonts w:ascii="宋体" w:hAnsi="宋体" w:cs="Calibri"/>
          <w:color w:val="000000"/>
          <w:sz w:val="22"/>
        </w:rPr>
      </w:pPr>
      <w:r>
        <w:rPr>
          <w:rFonts w:hint="eastAsia" w:ascii="宋体" w:hAnsi="宋体" w:cs="Calibri"/>
          <w:b/>
          <w:color w:val="000000"/>
          <w:sz w:val="22"/>
        </w:rPr>
        <w:t>若投标人存在串通投标或弄虚作假或有其他违法行为的，招标人有权不予退还投标人的投标保证金，2年内禁止参与招标人所有招标项目的投标，给招标人造成损失的，还需承担赔偿责任。</w:t>
      </w:r>
    </w:p>
    <w:p>
      <w:pPr>
        <w:autoSpaceDE w:val="0"/>
        <w:autoSpaceDN w:val="0"/>
        <w:adjustRightInd w:val="0"/>
        <w:snapToGrid w:val="0"/>
        <w:spacing w:line="360" w:lineRule="exact"/>
        <w:rPr>
          <w:rFonts w:ascii="宋体" w:hAnsi="宋体" w:cs="Calibri"/>
          <w:b/>
          <w:bCs/>
          <w:kern w:val="0"/>
          <w:sz w:val="22"/>
        </w:rPr>
      </w:pPr>
      <w:bookmarkStart w:id="101" w:name="_Toc219809807"/>
      <w:bookmarkStart w:id="102" w:name="_Toc220123247"/>
      <w:bookmarkStart w:id="103" w:name="_Toc10756"/>
      <w:r>
        <w:rPr>
          <w:rFonts w:ascii="宋体" w:hAnsi="宋体" w:cs="Calibri"/>
          <w:b/>
          <w:bCs/>
          <w:kern w:val="0"/>
          <w:sz w:val="22"/>
        </w:rPr>
        <w:t>9.3 对评标委员会成员的纪律要求</w:t>
      </w:r>
      <w:bookmarkEnd w:id="101"/>
      <w:bookmarkEnd w:id="102"/>
      <w:bookmarkEnd w:id="103"/>
    </w:p>
    <w:p>
      <w:pPr>
        <w:adjustRightInd w:val="0"/>
        <w:snapToGrid w:val="0"/>
        <w:spacing w:line="360" w:lineRule="exact"/>
        <w:ind w:firstLine="440" w:firstLineChars="200"/>
        <w:rPr>
          <w:rFonts w:ascii="宋体" w:hAnsi="宋体" w:cs="Calibri"/>
          <w:color w:val="000000"/>
          <w:sz w:val="22"/>
        </w:rPr>
      </w:pPr>
      <w:r>
        <w:rPr>
          <w:rFonts w:ascii="宋体" w:hAnsi="宋体" w:cs="Calibri"/>
          <w:color w:val="000000"/>
          <w:sz w:val="22"/>
        </w:rPr>
        <w:t>评标委员会成员不得收受他人的财物或者其他好处，不得向他人透露对投标文件的评审和比较、中标候选人的推荐情况以及评标有关的其他情况。在评标活动中，评标委员会成员不得擅离职守，影响评标程序正常进行，不得使用第</w:t>
      </w:r>
      <w:r>
        <w:rPr>
          <w:rFonts w:hint="eastAsia" w:ascii="宋体" w:hAnsi="宋体" w:cs="Calibri"/>
          <w:color w:val="000000"/>
          <w:sz w:val="22"/>
        </w:rPr>
        <w:t>五</w:t>
      </w:r>
      <w:r>
        <w:rPr>
          <w:rFonts w:ascii="宋体" w:hAnsi="宋体" w:cs="Calibri"/>
          <w:color w:val="000000"/>
          <w:sz w:val="22"/>
        </w:rPr>
        <w:t>章“评标办法及标准”没有规定的评审因素和标准进行评标。</w:t>
      </w:r>
    </w:p>
    <w:p>
      <w:pPr>
        <w:autoSpaceDE w:val="0"/>
        <w:autoSpaceDN w:val="0"/>
        <w:adjustRightInd w:val="0"/>
        <w:snapToGrid w:val="0"/>
        <w:spacing w:line="360" w:lineRule="exact"/>
        <w:rPr>
          <w:rFonts w:ascii="宋体" w:hAnsi="宋体" w:cs="Calibri"/>
          <w:b/>
          <w:bCs/>
          <w:kern w:val="0"/>
          <w:sz w:val="22"/>
        </w:rPr>
      </w:pPr>
      <w:bookmarkStart w:id="104" w:name="_Toc219809808"/>
      <w:bookmarkStart w:id="105" w:name="_Toc220123248"/>
      <w:bookmarkStart w:id="106" w:name="_Toc12792"/>
      <w:r>
        <w:rPr>
          <w:rFonts w:ascii="宋体" w:hAnsi="宋体" w:cs="Calibri"/>
          <w:b/>
          <w:bCs/>
          <w:kern w:val="0"/>
          <w:sz w:val="22"/>
        </w:rPr>
        <w:t>9.4 对评标活动有关的工作人员的纪律要求</w:t>
      </w:r>
      <w:bookmarkEnd w:id="104"/>
      <w:bookmarkEnd w:id="105"/>
      <w:bookmarkEnd w:id="106"/>
    </w:p>
    <w:p>
      <w:pPr>
        <w:adjustRightInd w:val="0"/>
        <w:snapToGrid w:val="0"/>
        <w:spacing w:line="360" w:lineRule="exact"/>
        <w:ind w:firstLine="440" w:firstLineChars="200"/>
        <w:rPr>
          <w:rFonts w:ascii="宋体" w:hAnsi="宋体" w:cs="Calibri"/>
          <w:color w:val="000000"/>
          <w:sz w:val="22"/>
        </w:rPr>
      </w:pPr>
      <w:r>
        <w:rPr>
          <w:rFonts w:ascii="宋体" w:hAnsi="宋体" w:cs="Calibri"/>
          <w:color w:val="000000"/>
          <w:sz w:val="22"/>
        </w:rPr>
        <w:t>与评标活动有关的工作人员不得收受他人的财务或者其他好处，不得向他人透露对投标文件的评审和比较、中标候选人的推荐情况以及评标有关的其他情况。在评标活动中，与评标活动有关的工作人员不得擅离职守，影响评标程序正常进行。</w:t>
      </w:r>
    </w:p>
    <w:p>
      <w:pPr>
        <w:autoSpaceDE w:val="0"/>
        <w:autoSpaceDN w:val="0"/>
        <w:adjustRightInd w:val="0"/>
        <w:snapToGrid w:val="0"/>
        <w:spacing w:line="360" w:lineRule="exact"/>
        <w:rPr>
          <w:rFonts w:ascii="宋体" w:hAnsi="宋体" w:cs="Calibri"/>
          <w:b/>
          <w:bCs/>
          <w:kern w:val="0"/>
          <w:sz w:val="22"/>
        </w:rPr>
      </w:pPr>
      <w:bookmarkStart w:id="107" w:name="_Toc219809809"/>
      <w:bookmarkStart w:id="108" w:name="_Toc220123249"/>
      <w:bookmarkStart w:id="109" w:name="_Toc239"/>
      <w:r>
        <w:rPr>
          <w:rFonts w:ascii="宋体" w:hAnsi="宋体" w:cs="Calibri"/>
          <w:b/>
          <w:bCs/>
          <w:kern w:val="0"/>
          <w:sz w:val="22"/>
        </w:rPr>
        <w:t>9.5 投诉</w:t>
      </w:r>
      <w:bookmarkEnd w:id="107"/>
      <w:bookmarkEnd w:id="108"/>
      <w:bookmarkEnd w:id="109"/>
    </w:p>
    <w:p>
      <w:pPr>
        <w:adjustRightInd w:val="0"/>
        <w:snapToGrid w:val="0"/>
        <w:spacing w:line="360" w:lineRule="exact"/>
        <w:ind w:firstLine="440" w:firstLineChars="200"/>
        <w:rPr>
          <w:rFonts w:ascii="宋体" w:hAnsi="宋体" w:cs="Calibri"/>
          <w:color w:val="000000"/>
          <w:sz w:val="22"/>
        </w:rPr>
      </w:pPr>
      <w:r>
        <w:rPr>
          <w:rFonts w:ascii="宋体" w:hAnsi="宋体" w:cs="Calibri"/>
          <w:color w:val="000000"/>
          <w:sz w:val="22"/>
        </w:rPr>
        <w:t>投标人和其他利害关系人认为本次招标活动违反法律、法规和规章规定的，有权向有关行政监督部门投诉。</w:t>
      </w:r>
    </w:p>
    <w:p>
      <w:pPr>
        <w:autoSpaceDE w:val="0"/>
        <w:autoSpaceDN w:val="0"/>
        <w:adjustRightInd w:val="0"/>
        <w:snapToGrid w:val="0"/>
        <w:spacing w:line="360" w:lineRule="exact"/>
        <w:rPr>
          <w:rFonts w:ascii="宋体" w:hAnsi="宋体" w:cs="Calibri"/>
          <w:b/>
          <w:bCs/>
          <w:kern w:val="0"/>
          <w:sz w:val="22"/>
        </w:rPr>
      </w:pPr>
      <w:bookmarkStart w:id="110" w:name="_Toc10817"/>
      <w:r>
        <w:rPr>
          <w:rFonts w:ascii="宋体" w:hAnsi="宋体" w:cs="Calibri"/>
          <w:b/>
          <w:bCs/>
          <w:kern w:val="0"/>
          <w:sz w:val="22"/>
        </w:rPr>
        <w:t>10. 需要补充的其他内容</w:t>
      </w:r>
      <w:bookmarkEnd w:id="110"/>
    </w:p>
    <w:p>
      <w:pPr>
        <w:autoSpaceDE w:val="0"/>
        <w:autoSpaceDN w:val="0"/>
        <w:adjustRightInd w:val="0"/>
        <w:snapToGrid w:val="0"/>
        <w:spacing w:line="360" w:lineRule="exact"/>
        <w:ind w:firstLine="440" w:firstLineChars="200"/>
        <w:jc w:val="left"/>
        <w:rPr>
          <w:rFonts w:ascii="宋体" w:hAnsi="宋体" w:cs="Calibri"/>
          <w:color w:val="000000"/>
          <w:sz w:val="22"/>
        </w:rPr>
      </w:pPr>
      <w:r>
        <w:rPr>
          <w:rFonts w:ascii="宋体" w:hAnsi="宋体" w:cs="Calibri"/>
          <w:color w:val="000000"/>
          <w:sz w:val="22"/>
        </w:rPr>
        <w:t>需要补充的其他内容：见投标人须知前附表。</w:t>
      </w:r>
    </w:p>
    <w:p>
      <w:pPr>
        <w:pStyle w:val="2"/>
        <w:snapToGrid w:val="0"/>
        <w:spacing w:before="0" w:after="0" w:line="400" w:lineRule="exact"/>
        <w:rPr>
          <w:rFonts w:hint="eastAsia" w:ascii="宋体" w:hAnsi="宋体"/>
          <w:sz w:val="22"/>
          <w:szCs w:val="22"/>
        </w:rPr>
        <w:sectPr>
          <w:footerReference r:id="rId6" w:type="first"/>
          <w:headerReference r:id="rId3" w:type="default"/>
          <w:footerReference r:id="rId4" w:type="default"/>
          <w:footerReference r:id="rId5" w:type="even"/>
          <w:pgSz w:w="11906" w:h="16838"/>
          <w:pgMar w:top="1440" w:right="1800" w:bottom="1440" w:left="1800" w:header="851" w:footer="992" w:gutter="0"/>
          <w:cols w:space="425" w:num="1"/>
          <w:docGrid w:type="lines" w:linePitch="312" w:charSpace="0"/>
        </w:sectPr>
      </w:pPr>
    </w:p>
    <w:p>
      <w:pPr>
        <w:spacing w:line="400" w:lineRule="exact"/>
        <w:jc w:val="center"/>
        <w:rPr>
          <w:rFonts w:ascii="仿宋_GB2312" w:hAnsi="宋体" w:eastAsia="仿宋_GB2312"/>
          <w:b/>
          <w:sz w:val="28"/>
          <w:szCs w:val="28"/>
        </w:rPr>
      </w:pPr>
      <w:bookmarkStart w:id="111" w:name="_Toc223327527"/>
      <w:bookmarkStart w:id="112" w:name="_Toc213036227"/>
    </w:p>
    <w:p>
      <w:pPr>
        <w:pStyle w:val="2"/>
        <w:spacing w:before="0" w:after="0" w:line="400" w:lineRule="exact"/>
        <w:jc w:val="center"/>
        <w:rPr>
          <w:rFonts w:ascii="Calibri" w:hAnsi="Calibri" w:eastAsia="黑体" w:cs="Calibri"/>
          <w:kern w:val="0"/>
          <w:sz w:val="32"/>
        </w:rPr>
      </w:pPr>
      <w:bookmarkStart w:id="113" w:name="_Toc448002985"/>
      <w:r>
        <w:rPr>
          <w:rFonts w:ascii="Calibri" w:hAnsi="Calibri" w:eastAsia="黑体" w:cs="Calibri"/>
          <w:kern w:val="0"/>
          <w:sz w:val="32"/>
        </w:rPr>
        <w:t>第</w:t>
      </w:r>
      <w:r>
        <w:rPr>
          <w:rFonts w:hint="eastAsia" w:ascii="Calibri" w:hAnsi="Calibri" w:eastAsia="黑体" w:cs="Calibri"/>
          <w:kern w:val="0"/>
          <w:sz w:val="32"/>
        </w:rPr>
        <w:t>三</w:t>
      </w:r>
      <w:r>
        <w:rPr>
          <w:rFonts w:ascii="Calibri" w:hAnsi="Calibri" w:eastAsia="黑体" w:cs="Calibri"/>
          <w:kern w:val="0"/>
          <w:sz w:val="32"/>
        </w:rPr>
        <w:t xml:space="preserve">章  </w:t>
      </w:r>
      <w:bookmarkEnd w:id="111"/>
      <w:bookmarkEnd w:id="112"/>
      <w:r>
        <w:rPr>
          <w:rFonts w:hint="eastAsia" w:ascii="Calibri" w:hAnsi="Calibri" w:eastAsia="黑体" w:cs="Calibri"/>
          <w:kern w:val="0"/>
          <w:sz w:val="32"/>
        </w:rPr>
        <w:t>服务技术标准及要求</w:t>
      </w:r>
      <w:bookmarkEnd w:id="113"/>
    </w:p>
    <w:p>
      <w:pPr>
        <w:pStyle w:val="2"/>
        <w:spacing w:before="0" w:after="0" w:line="400" w:lineRule="exact"/>
        <w:jc w:val="left"/>
        <w:rPr>
          <w:rFonts w:ascii="宋体" w:hAnsi="宋体" w:cs="Calibri"/>
          <w:color w:val="000000"/>
          <w:kern w:val="2"/>
          <w:sz w:val="22"/>
        </w:rPr>
      </w:pPr>
      <w:r>
        <w:rPr>
          <w:rFonts w:hint="eastAsia" w:ascii="宋体" w:hAnsi="宋体" w:cs="Calibri"/>
          <w:color w:val="000000"/>
          <w:kern w:val="2"/>
          <w:sz w:val="22"/>
        </w:rPr>
        <w:t>一、服务内容及要求</w:t>
      </w:r>
    </w:p>
    <w:p>
      <w:pPr>
        <w:adjustRightInd w:val="0"/>
        <w:snapToGrid w:val="0"/>
        <w:spacing w:line="400" w:lineRule="exact"/>
        <w:ind w:firstLine="440" w:firstLineChars="200"/>
        <w:rPr>
          <w:rFonts w:ascii="宋体" w:hAnsi="宋体" w:cs="Calibri"/>
          <w:b/>
          <w:color w:val="000000"/>
          <w:sz w:val="22"/>
        </w:rPr>
      </w:pPr>
      <w:r>
        <w:rPr>
          <w:rFonts w:hint="eastAsia" w:ascii="宋体" w:hAnsi="宋体" w:cs="Calibri"/>
          <w:b/>
          <w:color w:val="000000"/>
          <w:sz w:val="22"/>
        </w:rPr>
        <w:t>标段一：工程建设项目招标代理机构选聘项目（包含工程建设项目所涉及的勘察、设计、监理施工等）</w:t>
      </w:r>
    </w:p>
    <w:p>
      <w:pPr>
        <w:adjustRightInd w:val="0"/>
        <w:snapToGrid w:val="0"/>
        <w:spacing w:line="400" w:lineRule="exact"/>
        <w:ind w:firstLine="440" w:firstLineChars="200"/>
        <w:rPr>
          <w:rFonts w:ascii="宋体" w:hAnsi="宋体" w:cs="Calibri"/>
          <w:color w:val="000000"/>
          <w:sz w:val="22"/>
        </w:rPr>
      </w:pPr>
      <w:r>
        <w:rPr>
          <w:rFonts w:hint="eastAsia" w:ascii="宋体" w:hAnsi="宋体" w:cs="Calibri"/>
          <w:color w:val="000000"/>
          <w:sz w:val="22"/>
        </w:rPr>
        <w:t>1、招标准备阶段主要工作内容</w:t>
      </w:r>
    </w:p>
    <w:p>
      <w:pPr>
        <w:adjustRightInd w:val="0"/>
        <w:snapToGrid w:val="0"/>
        <w:spacing w:line="400" w:lineRule="exact"/>
        <w:ind w:firstLine="440" w:firstLineChars="200"/>
        <w:rPr>
          <w:rFonts w:ascii="宋体" w:hAnsi="宋体" w:cs="Calibri"/>
          <w:color w:val="000000"/>
          <w:sz w:val="22"/>
        </w:rPr>
      </w:pPr>
      <w:r>
        <w:rPr>
          <w:rFonts w:hint="eastAsia" w:ascii="宋体" w:hAnsi="宋体" w:cs="Calibri"/>
          <w:color w:val="000000"/>
          <w:sz w:val="22"/>
        </w:rPr>
        <w:t>1.1全面了解项目工程情况和计划安排；</w:t>
      </w:r>
    </w:p>
    <w:p>
      <w:pPr>
        <w:adjustRightInd w:val="0"/>
        <w:snapToGrid w:val="0"/>
        <w:spacing w:line="400" w:lineRule="exact"/>
        <w:ind w:firstLine="440" w:firstLineChars="200"/>
        <w:rPr>
          <w:rFonts w:ascii="宋体" w:hAnsi="宋体" w:cs="Calibri"/>
          <w:color w:val="000000"/>
          <w:sz w:val="22"/>
        </w:rPr>
      </w:pPr>
      <w:r>
        <w:rPr>
          <w:rFonts w:hint="eastAsia" w:ascii="宋体" w:hAnsi="宋体" w:cs="Calibri"/>
          <w:color w:val="000000"/>
          <w:sz w:val="22"/>
        </w:rPr>
        <w:t>1.2协助招标人初步拟订招标方案、招标计划、标段划分；</w:t>
      </w:r>
    </w:p>
    <w:p>
      <w:pPr>
        <w:adjustRightInd w:val="0"/>
        <w:snapToGrid w:val="0"/>
        <w:spacing w:line="400" w:lineRule="exact"/>
        <w:ind w:firstLine="440" w:firstLineChars="200"/>
        <w:rPr>
          <w:rFonts w:ascii="宋体" w:hAnsi="宋体" w:cs="Calibri"/>
          <w:color w:val="000000"/>
          <w:sz w:val="22"/>
        </w:rPr>
      </w:pPr>
      <w:r>
        <w:rPr>
          <w:rFonts w:hint="eastAsia" w:ascii="宋体" w:hAnsi="宋体" w:cs="Calibri"/>
          <w:color w:val="000000"/>
          <w:sz w:val="22"/>
        </w:rPr>
        <w:t xml:space="preserve">1.3编制资格预审文件或招标文件；根据招标人要求，制定合同专用条款；编制各标段工程量清单和各标段工程预算价，做好与工程造价咨询机构编制的工程量清单和预算价复核工作；根据投标单位的反馈意见做好工程量清单的复核、调整工作；协助招标人确定最高投标限价； </w:t>
      </w:r>
    </w:p>
    <w:p>
      <w:pPr>
        <w:adjustRightInd w:val="0"/>
        <w:snapToGrid w:val="0"/>
        <w:spacing w:line="400" w:lineRule="exact"/>
        <w:ind w:firstLine="440" w:firstLineChars="200"/>
        <w:rPr>
          <w:rFonts w:ascii="宋体" w:hAnsi="宋体" w:cs="Calibri"/>
          <w:color w:val="000000"/>
          <w:sz w:val="22"/>
        </w:rPr>
      </w:pPr>
      <w:r>
        <w:rPr>
          <w:rFonts w:hint="eastAsia" w:ascii="宋体" w:hAnsi="宋体" w:cs="Calibri"/>
          <w:color w:val="000000"/>
          <w:sz w:val="22"/>
        </w:rPr>
        <w:t>1.4向招标人提供有关招投标的法律咨询服务。</w:t>
      </w:r>
    </w:p>
    <w:p>
      <w:pPr>
        <w:adjustRightInd w:val="0"/>
        <w:snapToGrid w:val="0"/>
        <w:spacing w:line="400" w:lineRule="exact"/>
        <w:ind w:firstLine="440" w:firstLineChars="200"/>
        <w:rPr>
          <w:rFonts w:ascii="宋体" w:hAnsi="宋体" w:cs="Calibri"/>
          <w:color w:val="000000"/>
          <w:sz w:val="22"/>
        </w:rPr>
      </w:pPr>
      <w:r>
        <w:rPr>
          <w:rFonts w:hint="eastAsia" w:ascii="宋体" w:hAnsi="宋体" w:cs="Calibri"/>
          <w:color w:val="000000"/>
          <w:sz w:val="22"/>
        </w:rPr>
        <w:t>2、招标、评标阶段主要工作内容</w:t>
      </w:r>
    </w:p>
    <w:p>
      <w:pPr>
        <w:adjustRightInd w:val="0"/>
        <w:snapToGrid w:val="0"/>
        <w:spacing w:line="400" w:lineRule="exact"/>
        <w:ind w:firstLine="440" w:firstLineChars="200"/>
        <w:rPr>
          <w:rFonts w:ascii="宋体" w:hAnsi="宋体" w:cs="Calibri"/>
          <w:color w:val="000000"/>
          <w:sz w:val="22"/>
        </w:rPr>
      </w:pPr>
      <w:r>
        <w:rPr>
          <w:rFonts w:hint="eastAsia" w:ascii="宋体" w:hAnsi="宋体" w:cs="Calibri"/>
          <w:color w:val="000000"/>
          <w:sz w:val="22"/>
        </w:rPr>
        <w:t>2.1负责做好向招投标管理部门办理工程报建和发包申请，以及资格预审文件或招标文件的备案审定和修改工作。</w:t>
      </w:r>
    </w:p>
    <w:p>
      <w:pPr>
        <w:adjustRightInd w:val="0"/>
        <w:snapToGrid w:val="0"/>
        <w:spacing w:line="400" w:lineRule="exact"/>
        <w:ind w:firstLine="440" w:firstLineChars="200"/>
        <w:rPr>
          <w:rFonts w:ascii="宋体" w:hAnsi="宋体" w:cs="Calibri"/>
          <w:color w:val="000000"/>
          <w:sz w:val="22"/>
        </w:rPr>
      </w:pPr>
      <w:r>
        <w:rPr>
          <w:rFonts w:hint="eastAsia" w:ascii="宋体" w:hAnsi="宋体" w:cs="Calibri"/>
          <w:color w:val="000000"/>
          <w:sz w:val="22"/>
        </w:rPr>
        <w:t>2.2起草、发布招标公告，并发售资格预审文件或招标文件；及时向招标人反馈报名情况。</w:t>
      </w:r>
    </w:p>
    <w:p>
      <w:pPr>
        <w:adjustRightInd w:val="0"/>
        <w:snapToGrid w:val="0"/>
        <w:spacing w:line="400" w:lineRule="exact"/>
        <w:ind w:firstLine="440" w:firstLineChars="200"/>
        <w:rPr>
          <w:rFonts w:ascii="宋体" w:hAnsi="宋体" w:cs="Calibri"/>
          <w:color w:val="000000"/>
          <w:sz w:val="22"/>
        </w:rPr>
      </w:pPr>
      <w:r>
        <w:rPr>
          <w:rFonts w:hint="eastAsia" w:ascii="宋体" w:hAnsi="宋体" w:cs="Calibri"/>
          <w:color w:val="000000"/>
          <w:sz w:val="22"/>
        </w:rPr>
        <w:t>2.3负责组织标前会及现场踏勘；并负责做好资格预审文件或招标文件的澄清和答疑工作；</w:t>
      </w:r>
    </w:p>
    <w:p>
      <w:pPr>
        <w:adjustRightInd w:val="0"/>
        <w:snapToGrid w:val="0"/>
        <w:spacing w:line="400" w:lineRule="exact"/>
        <w:ind w:firstLine="440" w:firstLineChars="200"/>
        <w:rPr>
          <w:rFonts w:ascii="宋体" w:hAnsi="宋体" w:cs="Calibri"/>
          <w:color w:val="000000"/>
          <w:sz w:val="22"/>
        </w:rPr>
      </w:pPr>
      <w:r>
        <w:rPr>
          <w:rFonts w:hint="eastAsia" w:ascii="宋体" w:hAnsi="宋体" w:cs="Calibri"/>
          <w:color w:val="000000"/>
          <w:sz w:val="22"/>
        </w:rPr>
        <w:t>2.4组织开标、评标工作；协助招标人审查投标人资格；出具书面招标情况汇报和评标报告，送招标人及有关部门备案和公示；</w:t>
      </w:r>
    </w:p>
    <w:p>
      <w:pPr>
        <w:adjustRightInd w:val="0"/>
        <w:snapToGrid w:val="0"/>
        <w:spacing w:line="400" w:lineRule="exact"/>
        <w:ind w:firstLine="440" w:firstLineChars="200"/>
        <w:rPr>
          <w:rFonts w:ascii="宋体" w:hAnsi="宋体" w:cs="Calibri"/>
          <w:color w:val="000000"/>
          <w:sz w:val="22"/>
        </w:rPr>
      </w:pPr>
      <w:r>
        <w:rPr>
          <w:rFonts w:hint="eastAsia" w:ascii="宋体" w:hAnsi="宋体" w:cs="Calibri"/>
          <w:color w:val="000000"/>
          <w:sz w:val="22"/>
        </w:rPr>
        <w:t>2.5负责做好投标人提出的异议和投诉的处理。</w:t>
      </w:r>
    </w:p>
    <w:p>
      <w:pPr>
        <w:adjustRightInd w:val="0"/>
        <w:snapToGrid w:val="0"/>
        <w:spacing w:line="400" w:lineRule="exact"/>
        <w:ind w:firstLine="440" w:firstLineChars="200"/>
        <w:rPr>
          <w:rFonts w:ascii="宋体" w:hAnsi="宋体" w:cs="Calibri"/>
          <w:color w:val="000000"/>
          <w:sz w:val="22"/>
        </w:rPr>
      </w:pPr>
      <w:r>
        <w:rPr>
          <w:rFonts w:hint="eastAsia" w:ascii="宋体" w:hAnsi="宋体" w:cs="Calibri"/>
          <w:color w:val="000000"/>
          <w:sz w:val="22"/>
        </w:rPr>
        <w:t>2.6负责向中标人发中标通知书，并将中标结果通知所有未中标的投标人。</w:t>
      </w:r>
    </w:p>
    <w:p>
      <w:pPr>
        <w:adjustRightInd w:val="0"/>
        <w:snapToGrid w:val="0"/>
        <w:spacing w:line="400" w:lineRule="exact"/>
        <w:ind w:firstLine="440" w:firstLineChars="200"/>
        <w:rPr>
          <w:rFonts w:ascii="宋体" w:hAnsi="宋体" w:cs="Calibri"/>
          <w:color w:val="000000"/>
          <w:sz w:val="22"/>
        </w:rPr>
      </w:pPr>
      <w:r>
        <w:rPr>
          <w:rFonts w:hint="eastAsia" w:ascii="宋体" w:hAnsi="宋体" w:cs="Calibri"/>
          <w:color w:val="000000"/>
          <w:sz w:val="22"/>
        </w:rPr>
        <w:t>2.7协助招标人做好与中标人在合同签订前有关事项的书面确认，并根据招投标管理部门的有关规定，负责办理合同报备工作。</w:t>
      </w:r>
    </w:p>
    <w:p>
      <w:pPr>
        <w:adjustRightInd w:val="0"/>
        <w:snapToGrid w:val="0"/>
        <w:spacing w:line="400" w:lineRule="exact"/>
        <w:ind w:firstLine="440" w:firstLineChars="200"/>
        <w:rPr>
          <w:rFonts w:ascii="宋体" w:hAnsi="宋体" w:cs="Calibri"/>
          <w:color w:val="000000"/>
          <w:sz w:val="22"/>
        </w:rPr>
      </w:pPr>
      <w:r>
        <w:rPr>
          <w:rFonts w:hint="eastAsia" w:ascii="宋体" w:hAnsi="宋体" w:cs="Calibri"/>
          <w:color w:val="000000"/>
          <w:sz w:val="22"/>
        </w:rPr>
        <w:t>2.9协助委托人做好与中标人在合同签订前有关事项的书面确认，并根据招投标管理部门的有关规定，负责办理合同报备工作。</w:t>
      </w:r>
    </w:p>
    <w:p>
      <w:pPr>
        <w:adjustRightInd w:val="0"/>
        <w:snapToGrid w:val="0"/>
        <w:spacing w:line="400" w:lineRule="exact"/>
        <w:ind w:firstLine="440" w:firstLineChars="200"/>
        <w:rPr>
          <w:rFonts w:ascii="宋体" w:hAnsi="宋体" w:cs="Calibri"/>
          <w:color w:val="000000"/>
          <w:sz w:val="22"/>
        </w:rPr>
      </w:pPr>
      <w:r>
        <w:rPr>
          <w:rFonts w:hint="eastAsia" w:ascii="宋体" w:hAnsi="宋体" w:cs="Calibri"/>
          <w:color w:val="000000"/>
          <w:sz w:val="22"/>
        </w:rPr>
        <w:t>2.10负责整理汇总招标、评标过程中的有关原始文件和资料，按招标人档案管理要求提交存档；</w:t>
      </w:r>
    </w:p>
    <w:p>
      <w:pPr>
        <w:adjustRightInd w:val="0"/>
        <w:snapToGrid w:val="0"/>
        <w:spacing w:line="400" w:lineRule="exact"/>
        <w:ind w:firstLine="440" w:firstLineChars="200"/>
        <w:rPr>
          <w:rFonts w:ascii="宋体" w:hAnsi="宋体" w:cs="Calibri"/>
          <w:color w:val="000000"/>
          <w:sz w:val="22"/>
        </w:rPr>
      </w:pPr>
      <w:r>
        <w:rPr>
          <w:rFonts w:ascii="宋体" w:hAnsi="宋体" w:cs="Calibri"/>
          <w:color w:val="000000"/>
          <w:sz w:val="22"/>
        </w:rPr>
        <w:t>2.11</w:t>
      </w:r>
      <w:r>
        <w:rPr>
          <w:rFonts w:hint="eastAsia" w:ascii="宋体" w:hAnsi="宋体" w:cs="Calibri"/>
          <w:color w:val="000000"/>
          <w:sz w:val="22"/>
        </w:rPr>
        <w:t>按照招标工作的有关规定，做好相关其它工作。</w:t>
      </w:r>
    </w:p>
    <w:p>
      <w:pPr>
        <w:adjustRightInd w:val="0"/>
        <w:snapToGrid w:val="0"/>
        <w:spacing w:line="400" w:lineRule="exact"/>
        <w:ind w:firstLine="440" w:firstLineChars="200"/>
        <w:rPr>
          <w:rFonts w:hint="eastAsia" w:ascii="宋体" w:hAnsi="宋体" w:cs="Calibri"/>
          <w:color w:val="000000"/>
          <w:sz w:val="22"/>
        </w:rPr>
      </w:pPr>
      <w:r>
        <w:rPr>
          <w:rFonts w:hint="eastAsia" w:ascii="宋体" w:hAnsi="宋体" w:cs="Calibri"/>
          <w:color w:val="000000"/>
          <w:sz w:val="22"/>
        </w:rPr>
        <w:t>2.12</w:t>
      </w:r>
      <w:r>
        <w:rPr>
          <w:rFonts w:ascii="Microsoft YaHei,Segoe UI Emoji" w:hAnsi="Microsoft YaHei,Segoe UI Emoji"/>
          <w:color w:val="000000"/>
          <w:szCs w:val="21"/>
        </w:rPr>
        <w:t>负责核实合同条款内容发布的招标文件、中标单位提供的投标文件、投标承诺等内容相符，并出具书面承诺函（详见附件）后，</w:t>
      </w:r>
      <w:r>
        <w:rPr>
          <w:rFonts w:hint="eastAsia" w:ascii="Microsoft YaHei,Segoe UI Emoji" w:hAnsi="Microsoft YaHei,Segoe UI Emoji"/>
          <w:color w:val="000000"/>
          <w:szCs w:val="21"/>
        </w:rPr>
        <w:t>委托人</w:t>
      </w:r>
      <w:r>
        <w:rPr>
          <w:rFonts w:ascii="Microsoft YaHei,Segoe UI Emoji" w:hAnsi="Microsoft YaHei,Segoe UI Emoji"/>
          <w:color w:val="000000"/>
          <w:szCs w:val="21"/>
        </w:rPr>
        <w:t>所属的具体经办部门才可以申报合同审核流程。</w:t>
      </w:r>
    </w:p>
    <w:p>
      <w:pPr>
        <w:adjustRightInd w:val="0"/>
        <w:snapToGrid w:val="0"/>
        <w:spacing w:line="400" w:lineRule="exact"/>
        <w:ind w:firstLine="330" w:firstLineChars="150"/>
        <w:rPr>
          <w:rFonts w:ascii="宋体" w:hAnsi="宋体" w:cs="Calibri"/>
          <w:color w:val="000000"/>
          <w:sz w:val="22"/>
        </w:rPr>
      </w:pPr>
      <w:r>
        <w:rPr>
          <w:rFonts w:hint="eastAsia" w:ascii="宋体" w:hAnsi="宋体" w:cs="Calibri"/>
          <w:color w:val="000000"/>
          <w:sz w:val="22"/>
        </w:rPr>
        <w:t xml:space="preserve"> 3、后期服务阶段</w:t>
      </w:r>
    </w:p>
    <w:p>
      <w:pPr>
        <w:adjustRightInd w:val="0"/>
        <w:snapToGrid w:val="0"/>
        <w:spacing w:line="400" w:lineRule="exact"/>
        <w:ind w:firstLine="440" w:firstLineChars="200"/>
        <w:rPr>
          <w:rFonts w:ascii="宋体" w:hAnsi="宋体" w:cs="Calibri"/>
          <w:color w:val="000000"/>
          <w:sz w:val="22"/>
        </w:rPr>
      </w:pPr>
      <w:r>
        <w:rPr>
          <w:rFonts w:hint="eastAsia" w:ascii="宋体" w:hAnsi="宋体" w:cs="Calibri"/>
          <w:color w:val="000000"/>
          <w:sz w:val="22"/>
        </w:rPr>
        <w:t>合同执行过程中应定期进行回访，并应协助招标人督促中标人按投标承诺认真履行合同。</w:t>
      </w:r>
    </w:p>
    <w:p>
      <w:pPr>
        <w:adjustRightInd w:val="0"/>
        <w:snapToGrid w:val="0"/>
        <w:spacing w:line="400" w:lineRule="exact"/>
        <w:ind w:firstLine="440" w:firstLineChars="200"/>
        <w:rPr>
          <w:rFonts w:ascii="宋体" w:hAnsi="宋体" w:cs="Calibri"/>
          <w:b/>
          <w:color w:val="000000"/>
          <w:sz w:val="22"/>
        </w:rPr>
      </w:pPr>
      <w:r>
        <w:rPr>
          <w:rFonts w:hint="eastAsia" w:ascii="宋体" w:hAnsi="宋体" w:cs="Calibri"/>
          <w:b/>
          <w:color w:val="000000"/>
          <w:sz w:val="22"/>
        </w:rPr>
        <w:t>标段二：设备、货物及服务招标代理机构选聘项目</w:t>
      </w:r>
    </w:p>
    <w:p>
      <w:pPr>
        <w:adjustRightInd w:val="0"/>
        <w:snapToGrid w:val="0"/>
        <w:spacing w:line="400" w:lineRule="exact"/>
        <w:ind w:firstLine="440" w:firstLineChars="200"/>
        <w:rPr>
          <w:rFonts w:ascii="宋体" w:hAnsi="宋体" w:cs="Calibri"/>
          <w:color w:val="000000"/>
          <w:sz w:val="22"/>
        </w:rPr>
      </w:pPr>
      <w:r>
        <w:rPr>
          <w:rFonts w:hint="eastAsia" w:ascii="宋体" w:hAnsi="宋体" w:cs="Calibri"/>
          <w:color w:val="000000"/>
          <w:sz w:val="22"/>
        </w:rPr>
        <w:t xml:space="preserve">1、主要服务内容 </w:t>
      </w:r>
    </w:p>
    <w:p>
      <w:pPr>
        <w:adjustRightInd w:val="0"/>
        <w:snapToGrid w:val="0"/>
        <w:spacing w:line="400" w:lineRule="exact"/>
        <w:ind w:firstLine="440" w:firstLineChars="200"/>
        <w:rPr>
          <w:rFonts w:ascii="宋体" w:hAnsi="宋体" w:cs="Calibri"/>
          <w:color w:val="000000"/>
          <w:sz w:val="22"/>
        </w:rPr>
      </w:pPr>
      <w:r>
        <w:rPr>
          <w:rFonts w:hint="eastAsia" w:ascii="宋体" w:hAnsi="宋体" w:cs="Calibri"/>
          <w:color w:val="000000"/>
          <w:sz w:val="22"/>
        </w:rPr>
        <w:t xml:space="preserve">1.1协助招标人办理项目立项申报事宜。 </w:t>
      </w:r>
    </w:p>
    <w:p>
      <w:pPr>
        <w:adjustRightInd w:val="0"/>
        <w:snapToGrid w:val="0"/>
        <w:spacing w:line="400" w:lineRule="exact"/>
        <w:ind w:firstLine="440" w:firstLineChars="200"/>
        <w:rPr>
          <w:rFonts w:ascii="宋体" w:hAnsi="宋体" w:cs="Calibri"/>
          <w:color w:val="000000"/>
          <w:sz w:val="22"/>
        </w:rPr>
      </w:pPr>
      <w:r>
        <w:rPr>
          <w:rFonts w:hint="eastAsia" w:ascii="宋体" w:hAnsi="宋体" w:cs="Calibri"/>
          <w:color w:val="000000"/>
          <w:sz w:val="22"/>
        </w:rPr>
        <w:t>1.2编制招标相关文件报送招标人审核后报相关主管部门批准。</w:t>
      </w:r>
    </w:p>
    <w:p>
      <w:pPr>
        <w:adjustRightInd w:val="0"/>
        <w:snapToGrid w:val="0"/>
        <w:spacing w:line="400" w:lineRule="exact"/>
        <w:ind w:firstLine="440" w:firstLineChars="200"/>
        <w:rPr>
          <w:rFonts w:ascii="宋体" w:hAnsi="宋体" w:cs="Calibri"/>
          <w:color w:val="000000"/>
          <w:sz w:val="22"/>
        </w:rPr>
      </w:pPr>
      <w:r>
        <w:rPr>
          <w:rFonts w:hint="eastAsia" w:ascii="宋体" w:hAnsi="宋体" w:cs="Calibri"/>
          <w:color w:val="000000"/>
          <w:sz w:val="22"/>
        </w:rPr>
        <w:t xml:space="preserve">1.3依法代表招标人发布招标公告，负责与政府招标管理部门进行协调。 </w:t>
      </w:r>
    </w:p>
    <w:p>
      <w:pPr>
        <w:adjustRightInd w:val="0"/>
        <w:snapToGrid w:val="0"/>
        <w:spacing w:line="400" w:lineRule="exact"/>
        <w:ind w:firstLine="440" w:firstLineChars="200"/>
        <w:rPr>
          <w:rFonts w:ascii="宋体" w:hAnsi="宋体" w:cs="Calibri"/>
          <w:color w:val="000000"/>
          <w:sz w:val="22"/>
        </w:rPr>
      </w:pPr>
      <w:r>
        <w:rPr>
          <w:rFonts w:hint="eastAsia" w:ascii="宋体" w:hAnsi="宋体" w:cs="Calibri"/>
          <w:color w:val="000000"/>
          <w:sz w:val="22"/>
        </w:rPr>
        <w:t xml:space="preserve">1.4组织现场踏勘和答疑。 </w:t>
      </w:r>
    </w:p>
    <w:p>
      <w:pPr>
        <w:adjustRightInd w:val="0"/>
        <w:snapToGrid w:val="0"/>
        <w:spacing w:line="400" w:lineRule="exact"/>
        <w:ind w:firstLine="440" w:firstLineChars="200"/>
        <w:rPr>
          <w:rFonts w:ascii="宋体" w:hAnsi="宋体" w:cs="Calibri"/>
          <w:color w:val="000000"/>
          <w:sz w:val="22"/>
        </w:rPr>
      </w:pPr>
      <w:r>
        <w:rPr>
          <w:rFonts w:hint="eastAsia" w:ascii="宋体" w:hAnsi="宋体" w:cs="Calibri"/>
          <w:color w:val="000000"/>
          <w:sz w:val="22"/>
        </w:rPr>
        <w:t>1.5.组织标前会议，负责资格预审文件和招标文件的澄清、修改与补充。</w:t>
      </w:r>
    </w:p>
    <w:p>
      <w:pPr>
        <w:adjustRightInd w:val="0"/>
        <w:snapToGrid w:val="0"/>
        <w:spacing w:line="400" w:lineRule="exact"/>
        <w:ind w:firstLine="440" w:firstLineChars="200"/>
        <w:rPr>
          <w:rFonts w:ascii="宋体" w:hAnsi="宋体" w:cs="Calibri"/>
          <w:color w:val="000000"/>
          <w:sz w:val="22"/>
        </w:rPr>
      </w:pPr>
      <w:r>
        <w:rPr>
          <w:rFonts w:hint="eastAsia" w:ascii="宋体" w:hAnsi="宋体" w:cs="Calibri"/>
          <w:color w:val="000000"/>
          <w:sz w:val="22"/>
        </w:rPr>
        <w:t xml:space="preserve">1.6组织开标。 </w:t>
      </w:r>
    </w:p>
    <w:p>
      <w:pPr>
        <w:adjustRightInd w:val="0"/>
        <w:snapToGrid w:val="0"/>
        <w:spacing w:line="400" w:lineRule="exact"/>
        <w:ind w:firstLine="440" w:firstLineChars="200"/>
        <w:rPr>
          <w:rFonts w:ascii="宋体" w:hAnsi="宋体" w:cs="Calibri"/>
          <w:color w:val="000000"/>
          <w:sz w:val="22"/>
        </w:rPr>
      </w:pPr>
      <w:r>
        <w:rPr>
          <w:rFonts w:hint="eastAsia" w:ascii="宋体" w:hAnsi="宋体" w:cs="Calibri"/>
          <w:color w:val="000000"/>
          <w:sz w:val="22"/>
        </w:rPr>
        <w:t>1.7组织专家评审，编制招标情况书面报告，并将评审报告报送招标人，并报相关主管部门审批。</w:t>
      </w:r>
    </w:p>
    <w:p>
      <w:pPr>
        <w:adjustRightInd w:val="0"/>
        <w:snapToGrid w:val="0"/>
        <w:spacing w:line="400" w:lineRule="exact"/>
        <w:ind w:firstLine="440" w:firstLineChars="200"/>
        <w:rPr>
          <w:rFonts w:ascii="宋体" w:hAnsi="宋体" w:cs="Calibri"/>
          <w:color w:val="000000"/>
          <w:sz w:val="22"/>
        </w:rPr>
      </w:pPr>
      <w:r>
        <w:rPr>
          <w:rFonts w:hint="eastAsia" w:ascii="宋体" w:hAnsi="宋体" w:cs="Calibri"/>
          <w:color w:val="000000"/>
          <w:sz w:val="22"/>
        </w:rPr>
        <w:t>1.8负责做好投标人提出的异议和投诉的处理。</w:t>
      </w:r>
    </w:p>
    <w:p>
      <w:pPr>
        <w:adjustRightInd w:val="0"/>
        <w:snapToGrid w:val="0"/>
        <w:spacing w:line="400" w:lineRule="exact"/>
        <w:ind w:firstLine="440" w:firstLineChars="200"/>
        <w:rPr>
          <w:rFonts w:ascii="宋体" w:hAnsi="宋体" w:cs="Calibri"/>
          <w:color w:val="000000"/>
          <w:sz w:val="22"/>
        </w:rPr>
      </w:pPr>
      <w:r>
        <w:rPr>
          <w:rFonts w:hint="eastAsia" w:ascii="宋体" w:hAnsi="宋体" w:cs="Calibri"/>
          <w:color w:val="000000"/>
          <w:sz w:val="22"/>
        </w:rPr>
        <w:t>1.9负责向中标人发中标通知书，并将中标结果通知所有未中标的投标人。</w:t>
      </w:r>
    </w:p>
    <w:p>
      <w:pPr>
        <w:adjustRightInd w:val="0"/>
        <w:snapToGrid w:val="0"/>
        <w:spacing w:line="400" w:lineRule="exact"/>
        <w:ind w:firstLine="440" w:firstLineChars="200"/>
        <w:rPr>
          <w:rFonts w:ascii="宋体" w:hAnsi="宋体" w:cs="Calibri"/>
          <w:color w:val="000000"/>
          <w:sz w:val="22"/>
        </w:rPr>
      </w:pPr>
      <w:r>
        <w:rPr>
          <w:rFonts w:hint="eastAsia" w:ascii="宋体" w:hAnsi="宋体" w:cs="Calibri"/>
          <w:color w:val="000000"/>
          <w:sz w:val="22"/>
        </w:rPr>
        <w:t>1.10负责办理与招标项目有关的报批手续。</w:t>
      </w:r>
    </w:p>
    <w:p>
      <w:pPr>
        <w:adjustRightInd w:val="0"/>
        <w:snapToGrid w:val="0"/>
        <w:spacing w:line="400" w:lineRule="exact"/>
        <w:ind w:firstLine="440" w:firstLineChars="200"/>
        <w:rPr>
          <w:rFonts w:ascii="宋体" w:hAnsi="宋体" w:cs="Calibri"/>
          <w:color w:val="000000"/>
          <w:sz w:val="22"/>
        </w:rPr>
      </w:pPr>
      <w:r>
        <w:rPr>
          <w:rFonts w:hint="eastAsia" w:ascii="宋体" w:hAnsi="宋体" w:cs="Calibri"/>
          <w:color w:val="000000"/>
          <w:sz w:val="22"/>
        </w:rPr>
        <w:t>1.11负责整理汇总招标、评标过程中的有关原始文件和资料，按招标人档案管理要求提交存档。</w:t>
      </w:r>
    </w:p>
    <w:p>
      <w:pPr>
        <w:adjustRightInd w:val="0"/>
        <w:snapToGrid w:val="0"/>
        <w:spacing w:line="400" w:lineRule="exact"/>
        <w:ind w:firstLine="440" w:firstLineChars="200"/>
        <w:rPr>
          <w:rFonts w:ascii="宋体" w:hAnsi="宋体" w:cs="Calibri"/>
          <w:color w:val="000000"/>
          <w:sz w:val="22"/>
        </w:rPr>
      </w:pPr>
      <w:r>
        <w:rPr>
          <w:rFonts w:hint="eastAsia" w:ascii="宋体" w:hAnsi="宋体" w:cs="Calibri"/>
          <w:color w:val="000000"/>
          <w:sz w:val="22"/>
        </w:rPr>
        <w:t>1.12按照招标工作的有关规定，做好相关其它工作</w:t>
      </w:r>
    </w:p>
    <w:p>
      <w:pPr>
        <w:adjustRightInd w:val="0"/>
        <w:snapToGrid w:val="0"/>
        <w:spacing w:line="400" w:lineRule="exact"/>
        <w:ind w:firstLine="440" w:firstLineChars="200"/>
        <w:rPr>
          <w:rFonts w:hint="eastAsia" w:ascii="宋体" w:hAnsi="宋体" w:cs="Calibri"/>
          <w:color w:val="000000"/>
          <w:sz w:val="22"/>
        </w:rPr>
      </w:pPr>
      <w:r>
        <w:rPr>
          <w:rFonts w:hint="eastAsia" w:ascii="宋体" w:hAnsi="宋体" w:cs="Calibri"/>
          <w:color w:val="000000"/>
          <w:sz w:val="22"/>
        </w:rPr>
        <w:t>1.132.12</w:t>
      </w:r>
      <w:r>
        <w:rPr>
          <w:rFonts w:ascii="Microsoft YaHei,Segoe UI Emoji" w:hAnsi="Microsoft YaHei,Segoe UI Emoji"/>
          <w:color w:val="000000"/>
          <w:szCs w:val="21"/>
        </w:rPr>
        <w:t>负责核实合同条款内容发布的招标文件、中标单位提供的投标文件、投标承诺等内容相符，并出具书面承诺函（详见附件）后，</w:t>
      </w:r>
      <w:r>
        <w:rPr>
          <w:rFonts w:hint="eastAsia" w:ascii="Microsoft YaHei,Segoe UI Emoji" w:hAnsi="Microsoft YaHei,Segoe UI Emoji"/>
          <w:color w:val="000000"/>
          <w:szCs w:val="21"/>
        </w:rPr>
        <w:t>委托人</w:t>
      </w:r>
      <w:r>
        <w:rPr>
          <w:rFonts w:ascii="Microsoft YaHei,Segoe UI Emoji" w:hAnsi="Microsoft YaHei,Segoe UI Emoji"/>
          <w:color w:val="000000"/>
          <w:szCs w:val="21"/>
        </w:rPr>
        <w:t>所属的具体经办部门才可以申报合同审核流程。</w:t>
      </w:r>
    </w:p>
    <w:p>
      <w:pPr>
        <w:pStyle w:val="2"/>
        <w:spacing w:before="0" w:after="0" w:line="400" w:lineRule="exact"/>
        <w:jc w:val="left"/>
        <w:rPr>
          <w:rFonts w:ascii="宋体" w:hAnsi="宋体" w:cs="Calibri"/>
          <w:color w:val="000000"/>
          <w:kern w:val="2"/>
          <w:sz w:val="22"/>
        </w:rPr>
      </w:pPr>
      <w:r>
        <w:rPr>
          <w:rFonts w:hint="eastAsia" w:ascii="宋体" w:hAnsi="宋体" w:cs="Calibri"/>
          <w:color w:val="000000"/>
          <w:kern w:val="2"/>
          <w:sz w:val="22"/>
        </w:rPr>
        <w:t>二、其他配套服务要求：</w:t>
      </w:r>
    </w:p>
    <w:p>
      <w:pPr>
        <w:adjustRightInd w:val="0"/>
        <w:snapToGrid w:val="0"/>
        <w:spacing w:line="400" w:lineRule="exact"/>
        <w:ind w:firstLine="440" w:firstLineChars="200"/>
        <w:rPr>
          <w:rFonts w:ascii="宋体" w:hAnsi="宋体" w:cs="Calibri"/>
          <w:color w:val="000000"/>
          <w:sz w:val="22"/>
        </w:rPr>
      </w:pPr>
      <w:r>
        <w:rPr>
          <w:rFonts w:hint="eastAsia" w:ascii="宋体" w:hAnsi="宋体" w:cs="Calibri"/>
          <w:color w:val="000000"/>
          <w:sz w:val="22"/>
        </w:rPr>
        <w:t>1、 为招标人提供招标有关的法律、法规、政策等方面的建议；</w:t>
      </w:r>
    </w:p>
    <w:p>
      <w:pPr>
        <w:adjustRightInd w:val="0"/>
        <w:snapToGrid w:val="0"/>
        <w:spacing w:line="400" w:lineRule="exact"/>
        <w:ind w:firstLine="440" w:firstLineChars="200"/>
        <w:rPr>
          <w:rFonts w:ascii="宋体" w:hAnsi="宋体" w:cs="Calibri"/>
          <w:color w:val="000000"/>
          <w:sz w:val="22"/>
        </w:rPr>
      </w:pPr>
      <w:r>
        <w:rPr>
          <w:rFonts w:hint="eastAsia" w:ascii="宋体" w:hAnsi="宋体" w:cs="Calibri"/>
          <w:color w:val="000000"/>
          <w:sz w:val="22"/>
        </w:rPr>
        <w:t>2、 招标人在自行组织实施招标项目时，投标人按招标人要求在（省、全国性的招标网站）发布招标公告；</w:t>
      </w:r>
    </w:p>
    <w:p>
      <w:pPr>
        <w:adjustRightInd w:val="0"/>
        <w:snapToGrid w:val="0"/>
        <w:spacing w:line="400" w:lineRule="exact"/>
        <w:ind w:firstLine="440" w:firstLineChars="200"/>
        <w:rPr>
          <w:rFonts w:ascii="宋体" w:hAnsi="宋体" w:cs="Calibri"/>
          <w:color w:val="000000"/>
          <w:sz w:val="22"/>
        </w:rPr>
      </w:pPr>
      <w:r>
        <w:rPr>
          <w:rFonts w:hint="eastAsia" w:ascii="宋体" w:hAnsi="宋体" w:cs="Calibri"/>
          <w:color w:val="000000"/>
          <w:sz w:val="22"/>
        </w:rPr>
        <w:t>3、 为招标人提供招标咨询服务，协助对招标人自行组织实施的项目招标文件进行编制，并提出修改意见；</w:t>
      </w:r>
    </w:p>
    <w:p>
      <w:pPr>
        <w:adjustRightInd w:val="0"/>
        <w:snapToGrid w:val="0"/>
        <w:spacing w:line="400" w:lineRule="exact"/>
        <w:ind w:firstLine="440" w:firstLineChars="200"/>
        <w:rPr>
          <w:rFonts w:ascii="宋体" w:hAnsi="宋体" w:cs="Calibri"/>
          <w:color w:val="000000"/>
          <w:sz w:val="22"/>
        </w:rPr>
      </w:pPr>
      <w:r>
        <w:rPr>
          <w:rFonts w:hint="eastAsia" w:ascii="宋体" w:hAnsi="宋体" w:cs="Calibri"/>
          <w:color w:val="000000"/>
          <w:sz w:val="22"/>
        </w:rPr>
        <w:t>4、 协助对招标人自行组织实施的招标项目工程项目工程量清单及预算价进行编制；</w:t>
      </w:r>
    </w:p>
    <w:p>
      <w:pPr>
        <w:adjustRightInd w:val="0"/>
        <w:snapToGrid w:val="0"/>
        <w:spacing w:line="400" w:lineRule="exact"/>
        <w:ind w:firstLine="440" w:firstLineChars="200"/>
        <w:rPr>
          <w:rFonts w:hint="eastAsia" w:ascii="宋体" w:hAnsi="宋体" w:cs="Calibri"/>
          <w:color w:val="000000"/>
          <w:sz w:val="22"/>
        </w:rPr>
      </w:pPr>
      <w:r>
        <w:rPr>
          <w:rFonts w:hint="eastAsia" w:ascii="宋体" w:hAnsi="宋体" w:cs="Calibri"/>
          <w:color w:val="000000"/>
          <w:sz w:val="22"/>
        </w:rPr>
        <w:t>5、每项招标代理业务结束后，向委托人无偿提供该项招标代理完整成果的纸质资料一套，电子版资料一套。</w:t>
      </w:r>
    </w:p>
    <w:p>
      <w:pPr>
        <w:adjustRightInd w:val="0"/>
        <w:snapToGrid w:val="0"/>
        <w:spacing w:line="400" w:lineRule="exact"/>
        <w:ind w:firstLine="440" w:firstLineChars="200"/>
        <w:rPr>
          <w:rFonts w:ascii="宋体" w:hAnsi="宋体" w:cs="Calibri"/>
          <w:color w:val="000000"/>
          <w:sz w:val="22"/>
        </w:rPr>
      </w:pPr>
      <w:r>
        <w:rPr>
          <w:rFonts w:hint="eastAsia" w:ascii="宋体" w:hAnsi="宋体" w:cs="Calibri"/>
          <w:color w:val="000000"/>
          <w:sz w:val="22"/>
        </w:rPr>
        <w:t>6、 按招标人要求，对招标人员工开展招标知识讲座培训，每年至少一次，内容由招标人决定；</w:t>
      </w:r>
    </w:p>
    <w:p>
      <w:pPr>
        <w:adjustRightInd w:val="0"/>
        <w:snapToGrid w:val="0"/>
        <w:spacing w:line="400" w:lineRule="exact"/>
        <w:ind w:firstLine="440" w:firstLineChars="200"/>
        <w:rPr>
          <w:rFonts w:ascii="宋体" w:hAnsi="宋体" w:cs="Calibri"/>
          <w:color w:val="000000"/>
          <w:sz w:val="22"/>
        </w:rPr>
      </w:pPr>
      <w:r>
        <w:rPr>
          <w:rFonts w:hint="eastAsia" w:ascii="宋体" w:hAnsi="宋体" w:cs="Calibri"/>
          <w:color w:val="000000"/>
          <w:sz w:val="22"/>
        </w:rPr>
        <w:t>7、其他应招标人要求提供的服务。</w:t>
      </w:r>
    </w:p>
    <w:p>
      <w:pPr>
        <w:pStyle w:val="2"/>
        <w:spacing w:before="0" w:after="0" w:line="400" w:lineRule="exact"/>
        <w:jc w:val="left"/>
        <w:rPr>
          <w:rFonts w:ascii="宋体" w:hAnsi="宋体" w:cs="Calibri"/>
          <w:color w:val="000000"/>
          <w:kern w:val="2"/>
          <w:sz w:val="22"/>
        </w:rPr>
      </w:pPr>
      <w:r>
        <w:rPr>
          <w:rFonts w:hint="eastAsia" w:ascii="宋体" w:hAnsi="宋体" w:cs="Calibri"/>
          <w:color w:val="000000"/>
          <w:kern w:val="2"/>
          <w:sz w:val="22"/>
        </w:rPr>
        <w:t>三、招标代理报价</w:t>
      </w:r>
    </w:p>
    <w:p>
      <w:pPr>
        <w:adjustRightInd w:val="0"/>
        <w:snapToGrid w:val="0"/>
        <w:spacing w:line="400" w:lineRule="exact"/>
        <w:ind w:firstLine="440" w:firstLineChars="200"/>
        <w:rPr>
          <w:rFonts w:hint="eastAsia" w:ascii="宋体" w:hAnsi="宋体" w:cs="Calibri"/>
          <w:color w:val="000000"/>
          <w:sz w:val="22"/>
        </w:rPr>
      </w:pPr>
      <w:r>
        <w:rPr>
          <w:rFonts w:hint="eastAsia" w:ascii="宋体" w:hAnsi="宋体" w:cs="Calibri"/>
          <w:color w:val="000000"/>
          <w:sz w:val="22"/>
        </w:rPr>
        <w:t>1、招标代理报价方案。投标人以</w:t>
      </w:r>
      <w:r>
        <w:rPr>
          <w:rFonts w:ascii="宋体" w:hAnsi="宋体" w:cs="Calibri"/>
          <w:color w:val="000000"/>
          <w:sz w:val="22"/>
        </w:rPr>
        <w:t>国家</w:t>
      </w:r>
      <w:r>
        <w:rPr>
          <w:rFonts w:hint="eastAsia" w:ascii="宋体" w:hAnsi="宋体" w:cs="Calibri"/>
          <w:color w:val="000000"/>
          <w:sz w:val="22"/>
        </w:rPr>
        <w:t>发展改革委员会发布的</w:t>
      </w:r>
      <w:r>
        <w:rPr>
          <w:rFonts w:ascii="宋体" w:hAnsi="宋体" w:cs="Calibri"/>
          <w:color w:val="000000"/>
          <w:sz w:val="22"/>
        </w:rPr>
        <w:t>发改办价格[2003]857号文</w:t>
      </w:r>
      <w:r>
        <w:rPr>
          <w:rFonts w:hint="eastAsia" w:ascii="宋体" w:hAnsi="宋体" w:cs="Calibri"/>
          <w:color w:val="000000"/>
          <w:sz w:val="22"/>
        </w:rPr>
        <w:t>、发改价格[2011]534号文</w:t>
      </w:r>
      <w:r>
        <w:rPr>
          <w:rFonts w:ascii="宋体" w:hAnsi="宋体" w:cs="Calibri"/>
          <w:color w:val="000000"/>
          <w:sz w:val="22"/>
        </w:rPr>
        <w:t>的规定</w:t>
      </w:r>
      <w:r>
        <w:rPr>
          <w:rFonts w:hint="eastAsia" w:ascii="宋体" w:hAnsi="宋体" w:cs="Calibri"/>
          <w:color w:val="000000"/>
          <w:sz w:val="22"/>
        </w:rPr>
        <w:t>为基数，对三年内所承接招标项目不分金额大小、不分项目性质自行确定优惠幅度，提出</w:t>
      </w:r>
      <w:r>
        <w:rPr>
          <w:rFonts w:hint="eastAsia" w:ascii="宋体" w:hAnsi="宋体" w:cs="Calibri"/>
          <w:b/>
          <w:color w:val="000000"/>
          <w:sz w:val="22"/>
        </w:rPr>
        <w:t>优惠费率（优惠</w:t>
      </w:r>
      <w:r>
        <w:rPr>
          <w:rFonts w:ascii="宋体" w:hAnsi="宋体" w:cs="Calibri"/>
          <w:b/>
          <w:color w:val="000000"/>
          <w:sz w:val="22"/>
        </w:rPr>
        <w:t>费率</w:t>
      </w:r>
      <w:r>
        <w:rPr>
          <w:rFonts w:hint="eastAsia" w:ascii="宋体" w:hAnsi="宋体" w:cs="Calibri"/>
          <w:b/>
          <w:color w:val="000000"/>
          <w:sz w:val="22"/>
        </w:rPr>
        <w:t>=</w:t>
      </w:r>
      <w:r>
        <w:rPr>
          <w:rFonts w:ascii="宋体" w:hAnsi="宋体" w:cs="Calibri"/>
          <w:b/>
          <w:color w:val="000000"/>
          <w:sz w:val="22"/>
        </w:rPr>
        <w:t>1-下浮率</w:t>
      </w:r>
      <w:r>
        <w:rPr>
          <w:rFonts w:hint="eastAsia" w:ascii="宋体" w:hAnsi="宋体" w:cs="Calibri"/>
          <w:b/>
          <w:color w:val="000000"/>
          <w:sz w:val="22"/>
        </w:rPr>
        <w:t>）</w:t>
      </w:r>
      <w:r>
        <w:rPr>
          <w:rFonts w:hint="eastAsia" w:ascii="宋体" w:hAnsi="宋体" w:cs="Calibri"/>
          <w:color w:val="000000"/>
          <w:sz w:val="22"/>
        </w:rPr>
        <w:t>。即招标代理服务费＝基数×优惠费率。</w:t>
      </w:r>
      <w:r>
        <w:rPr>
          <w:rFonts w:hint="eastAsia" w:ascii="宋体" w:hAnsi="宋体" w:cs="Calibri"/>
          <w:b/>
          <w:color w:val="000000"/>
          <w:sz w:val="22"/>
        </w:rPr>
        <w:t>招标代理服务费原则上由各项目中标单位负责支付给招标代理公司，政府部门有相关规定的从其规定。其中标段</w:t>
      </w:r>
      <w:r>
        <w:rPr>
          <w:rFonts w:ascii="宋体" w:hAnsi="宋体" w:cs="Calibri"/>
          <w:b/>
          <w:color w:val="000000"/>
          <w:sz w:val="22"/>
        </w:rPr>
        <w:t>二</w:t>
      </w:r>
      <w:r>
        <w:rPr>
          <w:rFonts w:hint="eastAsia" w:ascii="宋体" w:hAnsi="宋体" w:cs="Calibri"/>
          <w:b/>
          <w:color w:val="000000"/>
          <w:sz w:val="22"/>
        </w:rPr>
        <w:t>涉及</w:t>
      </w:r>
      <w:r>
        <w:rPr>
          <w:rFonts w:ascii="宋体" w:hAnsi="宋体" w:cs="Calibri"/>
          <w:b/>
          <w:color w:val="000000"/>
          <w:sz w:val="22"/>
        </w:rPr>
        <w:t>的服务类项目（</w:t>
      </w:r>
      <w:r>
        <w:rPr>
          <w:rFonts w:hint="eastAsia" w:ascii="宋体" w:hAnsi="宋体" w:cs="Calibri"/>
          <w:b/>
          <w:color w:val="000000"/>
          <w:sz w:val="22"/>
        </w:rPr>
        <w:t>如</w:t>
      </w:r>
      <w:r>
        <w:rPr>
          <w:rFonts w:ascii="宋体" w:hAnsi="宋体" w:cs="Calibri"/>
          <w:b/>
          <w:color w:val="000000"/>
          <w:sz w:val="22"/>
        </w:rPr>
        <w:t>外包等），</w:t>
      </w:r>
      <w:r>
        <w:rPr>
          <w:rFonts w:hint="eastAsia" w:ascii="宋体" w:hAnsi="宋体" w:cs="Calibri"/>
          <w:b/>
          <w:color w:val="000000"/>
          <w:sz w:val="22"/>
        </w:rPr>
        <w:t>若</w:t>
      </w:r>
      <w:r>
        <w:rPr>
          <w:rFonts w:ascii="宋体" w:hAnsi="宋体" w:cs="Calibri"/>
          <w:b/>
          <w:color w:val="000000"/>
          <w:sz w:val="22"/>
        </w:rPr>
        <w:t>合同期大于</w:t>
      </w:r>
      <w:r>
        <w:rPr>
          <w:rFonts w:hint="eastAsia" w:ascii="宋体" w:hAnsi="宋体" w:cs="Calibri"/>
          <w:b/>
          <w:color w:val="000000"/>
          <w:sz w:val="22"/>
        </w:rPr>
        <w:t>一年</w:t>
      </w:r>
      <w:r>
        <w:rPr>
          <w:rFonts w:ascii="宋体" w:hAnsi="宋体" w:cs="Calibri"/>
          <w:b/>
          <w:color w:val="000000"/>
          <w:sz w:val="22"/>
        </w:rPr>
        <w:t>，</w:t>
      </w:r>
      <w:r>
        <w:rPr>
          <w:rFonts w:hint="eastAsia" w:ascii="宋体" w:hAnsi="宋体" w:cs="Calibri"/>
          <w:b/>
          <w:color w:val="000000"/>
          <w:sz w:val="22"/>
        </w:rPr>
        <w:t>计算</w:t>
      </w:r>
      <w:r>
        <w:rPr>
          <w:rFonts w:ascii="宋体" w:hAnsi="宋体" w:cs="Calibri"/>
          <w:b/>
          <w:color w:val="000000"/>
          <w:sz w:val="22"/>
        </w:rPr>
        <w:t>招标代理服务费时</w:t>
      </w:r>
      <w:r>
        <w:rPr>
          <w:rFonts w:hint="eastAsia" w:ascii="宋体" w:hAnsi="宋体" w:cs="Calibri"/>
          <w:b/>
          <w:color w:val="000000"/>
          <w:sz w:val="22"/>
        </w:rPr>
        <w:t>，以</w:t>
      </w:r>
      <w:r>
        <w:rPr>
          <w:rFonts w:ascii="宋体" w:hAnsi="宋体" w:cs="Calibri"/>
          <w:b/>
          <w:color w:val="000000"/>
          <w:sz w:val="22"/>
        </w:rPr>
        <w:t>第一年的中标金额</w:t>
      </w:r>
      <w:r>
        <w:rPr>
          <w:rFonts w:hint="eastAsia" w:ascii="宋体" w:hAnsi="宋体" w:cs="Calibri"/>
          <w:b/>
          <w:color w:val="000000"/>
          <w:sz w:val="22"/>
        </w:rPr>
        <w:t>计算</w:t>
      </w:r>
      <w:r>
        <w:rPr>
          <w:rFonts w:ascii="宋体" w:hAnsi="宋体" w:cs="Calibri"/>
          <w:b/>
          <w:color w:val="000000"/>
          <w:sz w:val="22"/>
        </w:rPr>
        <w:t>基数</w:t>
      </w:r>
      <w:r>
        <w:rPr>
          <w:rFonts w:hint="eastAsia" w:ascii="宋体" w:hAnsi="宋体" w:cs="Calibri"/>
          <w:b/>
          <w:color w:val="000000"/>
          <w:sz w:val="22"/>
        </w:rPr>
        <w:t>，无</w:t>
      </w:r>
      <w:r>
        <w:rPr>
          <w:rFonts w:ascii="宋体" w:hAnsi="宋体" w:cs="Calibri"/>
          <w:b/>
          <w:color w:val="000000"/>
          <w:sz w:val="22"/>
        </w:rPr>
        <w:t>具体</w:t>
      </w:r>
      <w:r>
        <w:rPr>
          <w:rFonts w:hint="eastAsia" w:ascii="宋体" w:hAnsi="宋体" w:cs="Calibri"/>
          <w:b/>
          <w:color w:val="000000"/>
          <w:sz w:val="22"/>
        </w:rPr>
        <w:t>中标</w:t>
      </w:r>
      <w:r>
        <w:rPr>
          <w:rFonts w:ascii="宋体" w:hAnsi="宋体" w:cs="Calibri"/>
          <w:b/>
          <w:color w:val="000000"/>
          <w:sz w:val="22"/>
        </w:rPr>
        <w:t>金额的</w:t>
      </w:r>
      <w:r>
        <w:rPr>
          <w:rFonts w:hint="eastAsia" w:ascii="宋体" w:hAnsi="宋体" w:cs="Calibri"/>
          <w:b/>
          <w:color w:val="000000"/>
          <w:sz w:val="22"/>
        </w:rPr>
        <w:t>招标项目</w:t>
      </w:r>
      <w:r>
        <w:rPr>
          <w:rFonts w:ascii="宋体" w:hAnsi="宋体" w:cs="Calibri"/>
          <w:b/>
          <w:color w:val="000000"/>
          <w:sz w:val="22"/>
        </w:rPr>
        <w:t>，招标代理</w:t>
      </w:r>
      <w:r>
        <w:rPr>
          <w:rFonts w:hint="eastAsia" w:ascii="宋体" w:hAnsi="宋体" w:cs="Calibri"/>
          <w:b/>
          <w:color w:val="000000"/>
          <w:sz w:val="22"/>
        </w:rPr>
        <w:t>服务</w:t>
      </w:r>
      <w:r>
        <w:rPr>
          <w:rFonts w:ascii="宋体" w:hAnsi="宋体" w:cs="Calibri"/>
          <w:b/>
          <w:color w:val="000000"/>
          <w:sz w:val="22"/>
        </w:rPr>
        <w:t>费</w:t>
      </w:r>
      <w:r>
        <w:rPr>
          <w:rFonts w:hint="eastAsia" w:ascii="宋体" w:hAnsi="宋体" w:cs="Calibri"/>
          <w:b/>
          <w:color w:val="000000"/>
          <w:sz w:val="22"/>
        </w:rPr>
        <w:t>另行</w:t>
      </w:r>
      <w:r>
        <w:rPr>
          <w:rFonts w:ascii="宋体" w:hAnsi="宋体" w:cs="Calibri"/>
          <w:b/>
          <w:color w:val="000000"/>
          <w:sz w:val="22"/>
        </w:rPr>
        <w:t>协商明确。</w:t>
      </w:r>
    </w:p>
    <w:p>
      <w:pPr>
        <w:adjustRightInd w:val="0"/>
        <w:snapToGrid w:val="0"/>
        <w:spacing w:line="400" w:lineRule="exact"/>
        <w:ind w:firstLine="440" w:firstLineChars="200"/>
        <w:rPr>
          <w:rFonts w:hint="eastAsia" w:ascii="宋体" w:cs="宋体"/>
          <w:color w:val="000000"/>
        </w:rPr>
      </w:pPr>
      <w:r>
        <w:rPr>
          <w:rFonts w:hint="eastAsia" w:ascii="宋体" w:hAnsi="宋体" w:cs="Calibri"/>
          <w:color w:val="000000"/>
          <w:sz w:val="22"/>
        </w:rPr>
        <w:t>2、招标代理服务费报价应包括为完成项目招标代理服务过程中可能发生的所有费用，包括但</w:t>
      </w:r>
      <w:r>
        <w:rPr>
          <w:rFonts w:ascii="宋体" w:hAnsi="宋体" w:cs="Calibri"/>
          <w:color w:val="000000"/>
          <w:sz w:val="22"/>
        </w:rPr>
        <w:t>不限于</w:t>
      </w:r>
      <w:r>
        <w:rPr>
          <w:rFonts w:hint="eastAsia" w:ascii="宋体" w:hAnsi="宋体" w:cs="Calibri"/>
          <w:color w:val="000000"/>
          <w:sz w:val="22"/>
        </w:rPr>
        <w:t>受托人的人员工资、设备的费用，交通费、通信费、招标文件印刷费，招标公告发布费用，组织投标人踏勘现场并答疑，组织开标、评标、定标，评标场租费，专家评审费以及协助合同签订等业务工作的费用，以及风险(政策调整等因素)、税费、管理、利润、和为完成所有要求而可能产生的不可预见的所有费用。</w:t>
      </w:r>
    </w:p>
    <w:p>
      <w:pPr>
        <w:adjustRightInd w:val="0"/>
        <w:snapToGrid w:val="0"/>
        <w:spacing w:line="400" w:lineRule="exact"/>
        <w:ind w:firstLine="440" w:firstLineChars="200"/>
        <w:rPr>
          <w:rFonts w:ascii="宋体" w:hAnsi="宋体" w:cs="Calibri"/>
          <w:b/>
          <w:color w:val="000000"/>
          <w:sz w:val="22"/>
        </w:rPr>
      </w:pPr>
      <w:r>
        <w:rPr>
          <w:rFonts w:hint="eastAsia" w:ascii="宋体" w:hAnsi="宋体" w:cs="Calibri"/>
          <w:b/>
          <w:color w:val="000000"/>
          <w:sz w:val="22"/>
        </w:rPr>
        <w:t>3、如招标项目为民航专业工程，评标专家应为民航专业工程及货物招标投标评标专家库成员。鉴于上述专家库为国家级专家库，成员来自全国各地，故该类项目工程招标代理服务费用除前款内容以外，还应包括专家往来交通费（含机票、车船票、市内交通费等）、住宿费、餐饮费等（食宿标准不得低于财政部相关规定），评标专家咨询费标准按照民航系统标准，并派专人、专车接送，遇专家往返时间不一致时，须分别接送，不得要求专家等候统一接送。各投标人进行报价时应统筹考虑民航专业工程额外服务费用问题，综合计算优惠费率。</w:t>
      </w:r>
    </w:p>
    <w:p>
      <w:pPr>
        <w:adjustRightInd w:val="0"/>
        <w:snapToGrid w:val="0"/>
        <w:spacing w:line="400" w:lineRule="exact"/>
        <w:ind w:firstLine="440" w:firstLineChars="200"/>
        <w:rPr>
          <w:rFonts w:ascii="宋体" w:hAnsi="宋体" w:cs="Calibri"/>
          <w:b/>
          <w:color w:val="000000"/>
          <w:sz w:val="22"/>
        </w:rPr>
      </w:pPr>
      <w:r>
        <w:rPr>
          <w:rFonts w:hint="eastAsia" w:ascii="宋体" w:hAnsi="宋体" w:cs="Calibri"/>
          <w:b/>
          <w:color w:val="000000"/>
          <w:sz w:val="22"/>
        </w:rPr>
        <w:t>4、根据华东局发明电[201</w:t>
      </w:r>
      <w:r>
        <w:rPr>
          <w:rFonts w:ascii="宋体" w:hAnsi="宋体" w:cs="Calibri"/>
          <w:b/>
          <w:color w:val="000000"/>
          <w:sz w:val="22"/>
        </w:rPr>
        <w:t>5</w:t>
      </w:r>
      <w:r>
        <w:rPr>
          <w:rFonts w:hint="eastAsia" w:ascii="宋体" w:hAnsi="宋体" w:cs="Calibri"/>
          <w:b/>
          <w:color w:val="000000"/>
          <w:sz w:val="22"/>
        </w:rPr>
        <w:t>]3044号、华东局发明电[2016]627号，民航专业工程建设项目统一开评标地点为上海或者北京，故该类项目工程招标代理服务费用除前款内容以外，还应包括招标代理机构人员及招标人监督人员的往来交通费（含机票、车船票、市内交通费等）、住宿费、餐饮费等，各投标人进行报价时应统筹考虑民航专业工程额外服务费用问题，综合计算优惠费率。</w:t>
      </w:r>
    </w:p>
    <w:p>
      <w:pPr>
        <w:adjustRightInd w:val="0"/>
        <w:snapToGrid w:val="0"/>
        <w:spacing w:line="400" w:lineRule="exact"/>
        <w:ind w:firstLine="440" w:firstLineChars="200"/>
        <w:rPr>
          <w:rFonts w:ascii="宋体" w:hAnsi="宋体" w:cs="Calibri"/>
          <w:b/>
          <w:color w:val="000000"/>
          <w:sz w:val="22"/>
        </w:rPr>
      </w:pPr>
      <w:r>
        <w:rPr>
          <w:rFonts w:hint="eastAsia" w:ascii="宋体" w:hAnsi="宋体" w:cs="Calibri"/>
          <w:b/>
          <w:color w:val="000000"/>
          <w:sz w:val="22"/>
        </w:rPr>
        <w:t>5、根据浙发改法规[2014]645号，省重点建设项目的评标专家在全库内部分地区随机抽取，不受地域限制，故该类项目招标代理服务费用除前款内容以外，还应包括专家往来交通费（含机票、车船票、市内交通费等）、住宿费、餐饮费等（食宿标准不得低于财政部相关规定），各投标人进行报价时应统筹考虑上述因素，综合计算优惠费率。</w:t>
      </w:r>
    </w:p>
    <w:p>
      <w:pPr>
        <w:adjustRightInd w:val="0"/>
        <w:snapToGrid w:val="0"/>
        <w:spacing w:line="400" w:lineRule="exact"/>
        <w:ind w:firstLine="440" w:firstLineChars="200"/>
        <w:rPr>
          <w:rFonts w:hint="eastAsia" w:ascii="宋体" w:hAnsi="宋体" w:cs="Calibri"/>
          <w:b/>
          <w:color w:val="000000"/>
          <w:sz w:val="22"/>
        </w:rPr>
      </w:pPr>
    </w:p>
    <w:p>
      <w:pPr>
        <w:widowControl/>
        <w:spacing w:line="400" w:lineRule="exact"/>
        <w:jc w:val="left"/>
        <w:rPr>
          <w:rFonts w:eastAsia="黑体" w:cs="Calibri"/>
          <w:b/>
          <w:bCs/>
          <w:kern w:val="0"/>
          <w:sz w:val="32"/>
          <w:szCs w:val="44"/>
        </w:rPr>
      </w:pPr>
      <w:bookmarkStart w:id="114" w:name="_Toc448002986"/>
      <w:r>
        <w:rPr>
          <w:rFonts w:eastAsia="黑体" w:cs="Calibri"/>
          <w:kern w:val="0"/>
          <w:sz w:val="32"/>
        </w:rPr>
        <w:br w:type="page"/>
      </w:r>
    </w:p>
    <w:p>
      <w:pPr>
        <w:pStyle w:val="2"/>
        <w:spacing w:before="0" w:after="0" w:line="400" w:lineRule="exact"/>
        <w:jc w:val="center"/>
        <w:rPr>
          <w:rFonts w:ascii="Calibri" w:hAnsi="Calibri" w:eastAsia="黑体" w:cs="Calibri"/>
          <w:kern w:val="0"/>
          <w:sz w:val="32"/>
        </w:rPr>
      </w:pPr>
      <w:r>
        <w:rPr>
          <w:rFonts w:hint="eastAsia" w:ascii="Calibri" w:hAnsi="Calibri" w:eastAsia="黑体" w:cs="Calibri"/>
          <w:kern w:val="0"/>
          <w:sz w:val="32"/>
        </w:rPr>
        <w:t xml:space="preserve">第四章  </w:t>
      </w:r>
      <w:r>
        <w:rPr>
          <w:rFonts w:ascii="Calibri" w:hAnsi="Calibri" w:eastAsia="黑体" w:cs="Calibri"/>
          <w:kern w:val="0"/>
          <w:sz w:val="32"/>
        </w:rPr>
        <w:t>合同</w:t>
      </w:r>
      <w:r>
        <w:rPr>
          <w:rFonts w:hint="eastAsia" w:ascii="Calibri" w:hAnsi="Calibri" w:eastAsia="黑体" w:cs="Calibri"/>
          <w:kern w:val="0"/>
          <w:sz w:val="32"/>
        </w:rPr>
        <w:t>主要</w:t>
      </w:r>
      <w:r>
        <w:rPr>
          <w:rFonts w:ascii="Calibri" w:hAnsi="Calibri" w:eastAsia="黑体" w:cs="Calibri"/>
          <w:kern w:val="0"/>
          <w:sz w:val="32"/>
        </w:rPr>
        <w:t>条款</w:t>
      </w:r>
      <w:bookmarkEnd w:id="114"/>
    </w:p>
    <w:p>
      <w:pPr>
        <w:widowControl/>
        <w:jc w:val="left"/>
        <w:rPr>
          <w:rFonts w:ascii="宋体" w:hAnsi="宋体"/>
          <w:b/>
          <w:sz w:val="32"/>
        </w:rPr>
      </w:pPr>
      <w:r>
        <w:rPr>
          <w:rFonts w:ascii="宋体" w:hAnsi="宋体"/>
          <w:b/>
          <w:sz w:val="32"/>
        </w:rPr>
        <w:br w:type="page"/>
      </w:r>
    </w:p>
    <w:p>
      <w:pPr>
        <w:spacing w:line="400" w:lineRule="exact"/>
        <w:jc w:val="center"/>
        <w:rPr>
          <w:rFonts w:ascii="宋体" w:hAnsi="宋体"/>
          <w:b/>
          <w:sz w:val="32"/>
        </w:rPr>
      </w:pPr>
      <w:r>
        <w:rPr>
          <w:rFonts w:hint="eastAsia" w:ascii="宋体" w:hAnsi="宋体"/>
          <w:b/>
          <w:sz w:val="32"/>
        </w:rPr>
        <w:t>工程建设项目招标代理合同</w:t>
      </w:r>
    </w:p>
    <w:p>
      <w:pPr>
        <w:adjustRightInd w:val="0"/>
        <w:snapToGrid w:val="0"/>
        <w:spacing w:line="400" w:lineRule="exact"/>
        <w:ind w:firstLine="440" w:firstLineChars="200"/>
        <w:jc w:val="center"/>
        <w:rPr>
          <w:rFonts w:ascii="宋体" w:hAnsi="宋体" w:cs="Calibri"/>
          <w:b/>
          <w:color w:val="000000"/>
          <w:sz w:val="22"/>
        </w:rPr>
      </w:pPr>
      <w:r>
        <w:rPr>
          <w:rFonts w:hint="eastAsia" w:ascii="宋体" w:hAnsi="宋体" w:cs="Calibri"/>
          <w:b/>
          <w:color w:val="000000"/>
          <w:sz w:val="22"/>
        </w:rPr>
        <w:t>第一部分 合同协议书</w:t>
      </w:r>
    </w:p>
    <w:p>
      <w:pPr>
        <w:adjustRightInd w:val="0"/>
        <w:snapToGrid w:val="0"/>
        <w:spacing w:line="400" w:lineRule="exact"/>
        <w:ind w:firstLine="440" w:firstLineChars="200"/>
        <w:rPr>
          <w:rFonts w:ascii="宋体" w:hAnsi="宋体" w:cs="Calibri"/>
          <w:color w:val="000000"/>
          <w:sz w:val="22"/>
        </w:rPr>
      </w:pPr>
      <w:r>
        <w:rPr>
          <w:rFonts w:hint="eastAsia" w:ascii="宋体" w:hAnsi="宋体" w:cs="Calibri"/>
          <w:color w:val="000000"/>
          <w:sz w:val="22"/>
        </w:rPr>
        <w:t>委托人：</w:t>
      </w:r>
      <w:r>
        <w:rPr>
          <w:rFonts w:ascii="宋体" w:hAnsi="宋体" w:cs="Calibri"/>
          <w:color w:val="000000"/>
          <w:sz w:val="22"/>
        </w:rPr>
        <w:t xml:space="preserve"> </w:t>
      </w:r>
    </w:p>
    <w:p>
      <w:pPr>
        <w:adjustRightInd w:val="0"/>
        <w:snapToGrid w:val="0"/>
        <w:spacing w:line="400" w:lineRule="exact"/>
        <w:ind w:firstLine="440" w:firstLineChars="200"/>
        <w:rPr>
          <w:rFonts w:ascii="宋体" w:hAnsi="宋体" w:cs="Calibri"/>
          <w:color w:val="000000"/>
          <w:sz w:val="22"/>
        </w:rPr>
      </w:pPr>
      <w:r>
        <w:rPr>
          <w:rFonts w:hint="eastAsia" w:ascii="宋体" w:hAnsi="宋体" w:cs="Calibri"/>
          <w:color w:val="000000"/>
          <w:sz w:val="22"/>
        </w:rPr>
        <w:t>住所地：</w:t>
      </w:r>
      <w:r>
        <w:rPr>
          <w:rFonts w:ascii="宋体" w:hAnsi="宋体" w:cs="Calibri"/>
          <w:color w:val="000000"/>
          <w:sz w:val="22"/>
        </w:rPr>
        <w:t xml:space="preserve"> </w:t>
      </w:r>
    </w:p>
    <w:p>
      <w:pPr>
        <w:adjustRightInd w:val="0"/>
        <w:snapToGrid w:val="0"/>
        <w:spacing w:line="400" w:lineRule="exact"/>
        <w:ind w:firstLine="440" w:firstLineChars="200"/>
        <w:rPr>
          <w:rFonts w:hint="eastAsia" w:ascii="宋体" w:hAnsi="宋体" w:cs="Calibri"/>
          <w:color w:val="000000"/>
          <w:sz w:val="22"/>
        </w:rPr>
      </w:pPr>
      <w:r>
        <w:rPr>
          <w:rFonts w:hint="eastAsia" w:ascii="宋体" w:hAnsi="宋体" w:cs="Calibri"/>
          <w:color w:val="000000"/>
          <w:sz w:val="22"/>
        </w:rPr>
        <w:t xml:space="preserve">受托人： </w:t>
      </w:r>
    </w:p>
    <w:p>
      <w:pPr>
        <w:adjustRightInd w:val="0"/>
        <w:snapToGrid w:val="0"/>
        <w:spacing w:line="400" w:lineRule="exact"/>
        <w:ind w:firstLine="440" w:firstLineChars="200"/>
        <w:rPr>
          <w:rFonts w:hint="eastAsia" w:ascii="宋体" w:hAnsi="宋体" w:cs="Calibri"/>
          <w:color w:val="000000"/>
          <w:sz w:val="22"/>
        </w:rPr>
      </w:pPr>
      <w:r>
        <w:rPr>
          <w:rFonts w:hint="eastAsia" w:ascii="宋体" w:hAnsi="宋体" w:cs="Calibri"/>
          <w:color w:val="000000"/>
          <w:sz w:val="22"/>
        </w:rPr>
        <w:t xml:space="preserve">住所地： </w:t>
      </w:r>
    </w:p>
    <w:p>
      <w:pPr>
        <w:adjustRightInd w:val="0"/>
        <w:snapToGrid w:val="0"/>
        <w:spacing w:line="400" w:lineRule="exact"/>
        <w:ind w:firstLine="440" w:firstLineChars="200"/>
        <w:rPr>
          <w:rFonts w:hint="eastAsia" w:ascii="宋体" w:hAnsi="宋体" w:cs="Calibri"/>
          <w:color w:val="000000"/>
          <w:sz w:val="22"/>
        </w:rPr>
      </w:pPr>
    </w:p>
    <w:p>
      <w:pPr>
        <w:adjustRightInd w:val="0"/>
        <w:snapToGrid w:val="0"/>
        <w:spacing w:line="400" w:lineRule="exact"/>
        <w:ind w:firstLine="440" w:firstLineChars="200"/>
        <w:rPr>
          <w:rFonts w:ascii="宋体" w:hAnsi="宋体" w:cs="Calibri"/>
          <w:color w:val="000000"/>
          <w:sz w:val="22"/>
        </w:rPr>
      </w:pPr>
      <w:r>
        <w:rPr>
          <w:rFonts w:hint="eastAsia" w:ascii="宋体" w:hAnsi="宋体" w:cs="Calibri"/>
          <w:color w:val="000000"/>
          <w:sz w:val="22"/>
        </w:rPr>
        <w:t>依照《中华人民共和国合同法》、 《中华人民共和国招标投标法》及实施条例和国家的有关法律、行政法规，遵循平等、自愿、公平和诚实信用的原则，双方就工程建设项目招标代理事项协商一致，订立本合同。</w:t>
      </w:r>
    </w:p>
    <w:p>
      <w:pPr>
        <w:adjustRightInd w:val="0"/>
        <w:snapToGrid w:val="0"/>
        <w:spacing w:line="400" w:lineRule="exact"/>
        <w:ind w:firstLine="440" w:firstLineChars="200"/>
        <w:rPr>
          <w:rFonts w:ascii="宋体" w:hAnsi="宋体" w:cs="Calibri"/>
          <w:b/>
          <w:color w:val="000000"/>
          <w:sz w:val="22"/>
        </w:rPr>
      </w:pPr>
      <w:r>
        <w:rPr>
          <w:rFonts w:hint="eastAsia" w:ascii="宋体" w:hAnsi="宋体" w:cs="Calibri"/>
          <w:b/>
          <w:color w:val="000000"/>
          <w:sz w:val="22"/>
        </w:rPr>
        <w:t>一、委托招标代理内容</w:t>
      </w:r>
    </w:p>
    <w:p>
      <w:pPr>
        <w:adjustRightInd w:val="0"/>
        <w:snapToGrid w:val="0"/>
        <w:spacing w:line="400" w:lineRule="exact"/>
        <w:ind w:firstLine="440" w:firstLineChars="200"/>
        <w:rPr>
          <w:rFonts w:ascii="宋体" w:hAnsi="宋体" w:cs="Calibri"/>
          <w:color w:val="000000"/>
          <w:sz w:val="22"/>
        </w:rPr>
      </w:pPr>
      <w:r>
        <w:rPr>
          <w:rFonts w:hint="eastAsia" w:ascii="宋体" w:hAnsi="宋体" w:cs="Calibri"/>
          <w:color w:val="000000"/>
          <w:sz w:val="22"/>
        </w:rPr>
        <w:t>工程建设项目施工及相关设计、监理、咨询等，具体以委托人实际委托为准。</w:t>
      </w:r>
    </w:p>
    <w:p>
      <w:pPr>
        <w:adjustRightInd w:val="0"/>
        <w:snapToGrid w:val="0"/>
        <w:spacing w:line="400" w:lineRule="exact"/>
        <w:ind w:firstLine="440" w:firstLineChars="200"/>
        <w:rPr>
          <w:rFonts w:ascii="宋体" w:hAnsi="宋体" w:cs="Calibri"/>
          <w:color w:val="000000"/>
          <w:sz w:val="22"/>
        </w:rPr>
      </w:pPr>
      <w:r>
        <w:rPr>
          <w:rFonts w:hint="eastAsia" w:ascii="宋体" w:hAnsi="宋体" w:cs="Calibri"/>
          <w:color w:val="000000"/>
          <w:sz w:val="22"/>
        </w:rPr>
        <w:t>1、招标准备阶段主要工作内容</w:t>
      </w:r>
    </w:p>
    <w:p>
      <w:pPr>
        <w:adjustRightInd w:val="0"/>
        <w:snapToGrid w:val="0"/>
        <w:spacing w:line="400" w:lineRule="exact"/>
        <w:ind w:firstLine="440" w:firstLineChars="200"/>
        <w:rPr>
          <w:rFonts w:ascii="宋体" w:hAnsi="宋体" w:cs="Calibri"/>
          <w:color w:val="000000"/>
          <w:sz w:val="22"/>
        </w:rPr>
      </w:pPr>
      <w:r>
        <w:rPr>
          <w:rFonts w:hint="eastAsia" w:ascii="宋体" w:hAnsi="宋体" w:cs="Calibri"/>
          <w:color w:val="000000"/>
          <w:sz w:val="22"/>
        </w:rPr>
        <w:t>1.1全面了解项目工程情况和计划安排；</w:t>
      </w:r>
    </w:p>
    <w:p>
      <w:pPr>
        <w:adjustRightInd w:val="0"/>
        <w:snapToGrid w:val="0"/>
        <w:spacing w:line="400" w:lineRule="exact"/>
        <w:ind w:firstLine="440" w:firstLineChars="200"/>
        <w:rPr>
          <w:rFonts w:ascii="宋体" w:hAnsi="宋体" w:cs="Calibri"/>
          <w:color w:val="000000"/>
          <w:sz w:val="22"/>
        </w:rPr>
      </w:pPr>
      <w:r>
        <w:rPr>
          <w:rFonts w:hint="eastAsia" w:ascii="宋体" w:hAnsi="宋体" w:cs="Calibri"/>
          <w:color w:val="000000"/>
          <w:sz w:val="22"/>
        </w:rPr>
        <w:t>1.2协助招标人初步拟订招标方案、招标计划、标段划分；</w:t>
      </w:r>
    </w:p>
    <w:p>
      <w:pPr>
        <w:adjustRightInd w:val="0"/>
        <w:snapToGrid w:val="0"/>
        <w:spacing w:line="400" w:lineRule="exact"/>
        <w:ind w:firstLine="440" w:firstLineChars="200"/>
        <w:rPr>
          <w:rFonts w:ascii="宋体" w:hAnsi="宋体" w:cs="Calibri"/>
          <w:color w:val="000000"/>
          <w:sz w:val="22"/>
        </w:rPr>
      </w:pPr>
      <w:r>
        <w:rPr>
          <w:rFonts w:hint="eastAsia" w:ascii="宋体" w:hAnsi="宋体" w:cs="Calibri"/>
          <w:color w:val="000000"/>
          <w:sz w:val="22"/>
        </w:rPr>
        <w:t xml:space="preserve">1.3编制资格预审文件或招标文件；根据招标人要求，制定合同专用条款；编制各标段工程量清单和各标段工程预算价，做好与工程造价咨询机构编制的工程量清单和预算价复核工作；根据投标单位的反馈意见做好工程量清单的复核、调整工作；协助招标人确定最高投标限价； </w:t>
      </w:r>
    </w:p>
    <w:p>
      <w:pPr>
        <w:adjustRightInd w:val="0"/>
        <w:snapToGrid w:val="0"/>
        <w:spacing w:line="400" w:lineRule="exact"/>
        <w:ind w:firstLine="440" w:firstLineChars="200"/>
        <w:rPr>
          <w:rFonts w:ascii="宋体" w:hAnsi="宋体" w:cs="Calibri"/>
          <w:color w:val="000000"/>
          <w:sz w:val="22"/>
        </w:rPr>
      </w:pPr>
      <w:r>
        <w:rPr>
          <w:rFonts w:hint="eastAsia" w:ascii="宋体" w:hAnsi="宋体" w:cs="Calibri"/>
          <w:color w:val="000000"/>
          <w:sz w:val="22"/>
        </w:rPr>
        <w:t>1.4向招标人提供有关招投标的法律咨询服务。</w:t>
      </w:r>
    </w:p>
    <w:p>
      <w:pPr>
        <w:adjustRightInd w:val="0"/>
        <w:snapToGrid w:val="0"/>
        <w:spacing w:line="400" w:lineRule="exact"/>
        <w:ind w:firstLine="440" w:firstLineChars="200"/>
        <w:rPr>
          <w:rFonts w:ascii="宋体" w:hAnsi="宋体" w:cs="Calibri"/>
          <w:color w:val="000000"/>
          <w:sz w:val="22"/>
        </w:rPr>
      </w:pPr>
      <w:r>
        <w:rPr>
          <w:rFonts w:hint="eastAsia" w:ascii="宋体" w:hAnsi="宋体" w:cs="Calibri"/>
          <w:color w:val="000000"/>
          <w:sz w:val="22"/>
        </w:rPr>
        <w:t>2、招标、评标阶段主要工作内容</w:t>
      </w:r>
    </w:p>
    <w:p>
      <w:pPr>
        <w:adjustRightInd w:val="0"/>
        <w:snapToGrid w:val="0"/>
        <w:spacing w:line="400" w:lineRule="exact"/>
        <w:ind w:firstLine="440" w:firstLineChars="200"/>
        <w:rPr>
          <w:rFonts w:ascii="宋体" w:hAnsi="宋体" w:cs="Calibri"/>
          <w:color w:val="000000"/>
          <w:sz w:val="22"/>
        </w:rPr>
      </w:pPr>
      <w:r>
        <w:rPr>
          <w:rFonts w:hint="eastAsia" w:ascii="宋体" w:hAnsi="宋体" w:cs="Calibri"/>
          <w:color w:val="000000"/>
          <w:sz w:val="22"/>
        </w:rPr>
        <w:t>2.1负责做好向招投标管理部门办理工程报建和发包申请，以及资格预审文件或招标文件的备案审定和修改工作；</w:t>
      </w:r>
    </w:p>
    <w:p>
      <w:pPr>
        <w:adjustRightInd w:val="0"/>
        <w:snapToGrid w:val="0"/>
        <w:spacing w:line="400" w:lineRule="exact"/>
        <w:ind w:firstLine="440" w:firstLineChars="200"/>
        <w:rPr>
          <w:rFonts w:ascii="宋体" w:hAnsi="宋体" w:cs="Calibri"/>
          <w:color w:val="000000"/>
          <w:sz w:val="22"/>
        </w:rPr>
      </w:pPr>
      <w:r>
        <w:rPr>
          <w:rFonts w:hint="eastAsia" w:ascii="宋体" w:hAnsi="宋体" w:cs="Calibri"/>
          <w:color w:val="000000"/>
          <w:sz w:val="22"/>
        </w:rPr>
        <w:t>2.2起草、发布招标公告，并发售资格预审文件或招标文件；及时向招标人反馈报名情况；</w:t>
      </w:r>
    </w:p>
    <w:p>
      <w:pPr>
        <w:adjustRightInd w:val="0"/>
        <w:snapToGrid w:val="0"/>
        <w:spacing w:line="400" w:lineRule="exact"/>
        <w:ind w:firstLine="440" w:firstLineChars="200"/>
        <w:rPr>
          <w:rFonts w:ascii="宋体" w:hAnsi="宋体" w:cs="Calibri"/>
          <w:color w:val="000000"/>
          <w:sz w:val="22"/>
        </w:rPr>
      </w:pPr>
      <w:r>
        <w:rPr>
          <w:rFonts w:hint="eastAsia" w:ascii="宋体" w:hAnsi="宋体" w:cs="Calibri"/>
          <w:color w:val="000000"/>
          <w:sz w:val="22"/>
        </w:rPr>
        <w:t>2.3负责组织标前会及现场踏勘；并负责做好资格预审文件或招标文件的澄清和答疑工作；</w:t>
      </w:r>
    </w:p>
    <w:p>
      <w:pPr>
        <w:adjustRightInd w:val="0"/>
        <w:snapToGrid w:val="0"/>
        <w:spacing w:line="400" w:lineRule="exact"/>
        <w:ind w:firstLine="440" w:firstLineChars="200"/>
        <w:rPr>
          <w:rFonts w:ascii="宋体" w:hAnsi="宋体" w:cs="Calibri"/>
          <w:color w:val="000000"/>
          <w:sz w:val="22"/>
        </w:rPr>
      </w:pPr>
      <w:r>
        <w:rPr>
          <w:rFonts w:hint="eastAsia" w:ascii="宋体" w:hAnsi="宋体" w:cs="Calibri"/>
          <w:color w:val="000000"/>
          <w:sz w:val="22"/>
        </w:rPr>
        <w:t>2.4组织开标、评标工作；协助招标人审查投标人资格；出具书面招标情况汇报和评标报告，送招标人及有关部门备案和公示；</w:t>
      </w:r>
    </w:p>
    <w:p>
      <w:pPr>
        <w:adjustRightInd w:val="0"/>
        <w:snapToGrid w:val="0"/>
        <w:spacing w:line="400" w:lineRule="exact"/>
        <w:ind w:firstLine="440" w:firstLineChars="200"/>
        <w:rPr>
          <w:rFonts w:ascii="宋体" w:hAnsi="宋体" w:cs="Calibri"/>
          <w:color w:val="000000"/>
          <w:sz w:val="22"/>
        </w:rPr>
      </w:pPr>
      <w:r>
        <w:rPr>
          <w:rFonts w:hint="eastAsia" w:ascii="宋体" w:hAnsi="宋体" w:cs="Calibri"/>
          <w:color w:val="000000"/>
          <w:sz w:val="22"/>
        </w:rPr>
        <w:t>2.5负责做好投标人提出的异议和投诉的处理；</w:t>
      </w:r>
    </w:p>
    <w:p>
      <w:pPr>
        <w:adjustRightInd w:val="0"/>
        <w:snapToGrid w:val="0"/>
        <w:spacing w:line="400" w:lineRule="exact"/>
        <w:ind w:firstLine="440" w:firstLineChars="200"/>
        <w:rPr>
          <w:rFonts w:ascii="宋体" w:hAnsi="宋体" w:cs="Calibri"/>
          <w:color w:val="000000"/>
          <w:sz w:val="22"/>
        </w:rPr>
      </w:pPr>
      <w:r>
        <w:rPr>
          <w:rFonts w:hint="eastAsia" w:ascii="宋体" w:hAnsi="宋体" w:cs="Calibri"/>
          <w:color w:val="000000"/>
          <w:sz w:val="22"/>
        </w:rPr>
        <w:t>2.6负责向中标人发中标通知书，并将中标结果通知所有未中标的投标人；</w:t>
      </w:r>
    </w:p>
    <w:p>
      <w:pPr>
        <w:adjustRightInd w:val="0"/>
        <w:snapToGrid w:val="0"/>
        <w:spacing w:line="400" w:lineRule="exact"/>
        <w:ind w:firstLine="440" w:firstLineChars="200"/>
        <w:rPr>
          <w:rFonts w:ascii="宋体" w:hAnsi="宋体" w:cs="Calibri"/>
          <w:color w:val="000000"/>
          <w:sz w:val="22"/>
        </w:rPr>
      </w:pPr>
      <w:r>
        <w:rPr>
          <w:rFonts w:hint="eastAsia" w:ascii="宋体" w:hAnsi="宋体" w:cs="Calibri"/>
          <w:color w:val="000000"/>
          <w:sz w:val="22"/>
        </w:rPr>
        <w:t>2.7协助招标人做好与中标人在合同签订前有关事项的书面确认，并根据招投标管理部门的有关规定，负责办理合同报备工作；</w:t>
      </w:r>
    </w:p>
    <w:p>
      <w:pPr>
        <w:adjustRightInd w:val="0"/>
        <w:snapToGrid w:val="0"/>
        <w:spacing w:line="400" w:lineRule="exact"/>
        <w:ind w:firstLine="440" w:firstLineChars="200"/>
        <w:rPr>
          <w:rFonts w:ascii="宋体" w:hAnsi="宋体" w:cs="Calibri"/>
          <w:color w:val="000000"/>
          <w:sz w:val="22"/>
        </w:rPr>
      </w:pPr>
      <w:r>
        <w:rPr>
          <w:rFonts w:hint="eastAsia" w:ascii="宋体" w:hAnsi="宋体" w:cs="Calibri"/>
          <w:color w:val="000000"/>
          <w:sz w:val="22"/>
        </w:rPr>
        <w:t>2.8负责整理汇总招标、评标过程中的有关原始文件和资料，按招标人档案管理要求提交存档；</w:t>
      </w:r>
    </w:p>
    <w:p>
      <w:pPr>
        <w:adjustRightInd w:val="0"/>
        <w:snapToGrid w:val="0"/>
        <w:spacing w:line="400" w:lineRule="exact"/>
        <w:ind w:firstLine="440" w:firstLineChars="200"/>
        <w:rPr>
          <w:rFonts w:ascii="宋体" w:hAnsi="宋体" w:cs="Calibri"/>
          <w:color w:val="000000"/>
          <w:sz w:val="22"/>
        </w:rPr>
      </w:pPr>
      <w:r>
        <w:rPr>
          <w:rFonts w:hint="eastAsia" w:ascii="宋体" w:hAnsi="宋体" w:cs="Calibri"/>
          <w:color w:val="000000"/>
          <w:sz w:val="22"/>
        </w:rPr>
        <w:t>2.9按照招标工作的有关规定，做好相关其它工作。</w:t>
      </w:r>
    </w:p>
    <w:p>
      <w:pPr>
        <w:adjustRightInd w:val="0"/>
        <w:snapToGrid w:val="0"/>
        <w:spacing w:line="400" w:lineRule="exact"/>
        <w:ind w:firstLine="440" w:firstLineChars="200"/>
        <w:rPr>
          <w:rFonts w:hint="eastAsia" w:ascii="宋体" w:hAnsi="宋体" w:cs="Calibri"/>
          <w:color w:val="000000"/>
          <w:sz w:val="22"/>
        </w:rPr>
      </w:pPr>
      <w:r>
        <w:rPr>
          <w:rFonts w:hint="eastAsia" w:ascii="宋体" w:hAnsi="宋体" w:cs="Calibri"/>
          <w:color w:val="000000"/>
          <w:sz w:val="22"/>
        </w:rPr>
        <w:t>2.10</w:t>
      </w:r>
      <w:r>
        <w:rPr>
          <w:rFonts w:ascii="Microsoft YaHei,Segoe UI Emoji" w:hAnsi="Microsoft YaHei,Segoe UI Emoji"/>
          <w:color w:val="000000"/>
          <w:szCs w:val="21"/>
        </w:rPr>
        <w:t>负责核实合同条款内容发布的招标文件、中标单位提供的投标文件、投标承诺等内容相符，并出具书面承诺函（详见附件）后，</w:t>
      </w:r>
      <w:r>
        <w:rPr>
          <w:rFonts w:hint="eastAsia" w:ascii="Microsoft YaHei,Segoe UI Emoji" w:hAnsi="Microsoft YaHei,Segoe UI Emoji"/>
          <w:color w:val="000000"/>
          <w:szCs w:val="21"/>
        </w:rPr>
        <w:t>委托人</w:t>
      </w:r>
      <w:r>
        <w:rPr>
          <w:rFonts w:ascii="Microsoft YaHei,Segoe UI Emoji" w:hAnsi="Microsoft YaHei,Segoe UI Emoji"/>
          <w:color w:val="000000"/>
          <w:szCs w:val="21"/>
        </w:rPr>
        <w:t>所属的具体经办部门才可以申报合同审核流程。</w:t>
      </w:r>
    </w:p>
    <w:p>
      <w:pPr>
        <w:adjustRightInd w:val="0"/>
        <w:snapToGrid w:val="0"/>
        <w:spacing w:line="400" w:lineRule="exact"/>
        <w:ind w:firstLine="440" w:firstLineChars="200"/>
        <w:rPr>
          <w:rFonts w:hint="eastAsia" w:ascii="宋体" w:hAnsi="宋体" w:cs="Calibri"/>
          <w:color w:val="000000"/>
          <w:sz w:val="22"/>
        </w:rPr>
      </w:pPr>
    </w:p>
    <w:p>
      <w:pPr>
        <w:adjustRightInd w:val="0"/>
        <w:snapToGrid w:val="0"/>
        <w:spacing w:line="400" w:lineRule="exact"/>
        <w:ind w:firstLine="330" w:firstLineChars="150"/>
        <w:rPr>
          <w:rFonts w:ascii="宋体" w:hAnsi="宋体" w:cs="Calibri"/>
          <w:color w:val="000000"/>
          <w:sz w:val="22"/>
        </w:rPr>
      </w:pPr>
      <w:r>
        <w:rPr>
          <w:rFonts w:hint="eastAsia" w:ascii="宋体" w:hAnsi="宋体" w:cs="Calibri"/>
          <w:color w:val="000000"/>
          <w:sz w:val="22"/>
        </w:rPr>
        <w:t xml:space="preserve"> 3、后期服务阶段</w:t>
      </w:r>
    </w:p>
    <w:p>
      <w:pPr>
        <w:adjustRightInd w:val="0"/>
        <w:snapToGrid w:val="0"/>
        <w:spacing w:line="400" w:lineRule="exact"/>
        <w:ind w:firstLine="440" w:firstLineChars="200"/>
        <w:rPr>
          <w:rFonts w:ascii="宋体" w:hAnsi="宋体" w:cs="Calibri"/>
          <w:color w:val="000000"/>
          <w:sz w:val="22"/>
        </w:rPr>
      </w:pPr>
      <w:r>
        <w:rPr>
          <w:rFonts w:hint="eastAsia" w:ascii="宋体" w:hAnsi="宋体" w:cs="Calibri"/>
          <w:color w:val="000000"/>
          <w:sz w:val="22"/>
        </w:rPr>
        <w:t>合同执行过程中应定期进行回访，并应协助招标人督促中标人按投标承诺认真履行合同。</w:t>
      </w:r>
    </w:p>
    <w:p>
      <w:pPr>
        <w:adjustRightInd w:val="0"/>
        <w:snapToGrid w:val="0"/>
        <w:spacing w:line="400" w:lineRule="exact"/>
        <w:ind w:firstLine="440" w:firstLineChars="200"/>
        <w:rPr>
          <w:rFonts w:ascii="宋体" w:hAnsi="宋体" w:cs="Calibri"/>
          <w:b/>
          <w:color w:val="000000"/>
          <w:sz w:val="22"/>
        </w:rPr>
      </w:pPr>
      <w:r>
        <w:rPr>
          <w:rFonts w:hint="eastAsia" w:ascii="宋体" w:hAnsi="宋体" w:cs="Calibri"/>
          <w:b/>
          <w:color w:val="000000"/>
          <w:sz w:val="22"/>
        </w:rPr>
        <w:t>二、招标代理服务费及支付方式</w:t>
      </w:r>
    </w:p>
    <w:p>
      <w:pPr>
        <w:adjustRightInd w:val="0"/>
        <w:snapToGrid w:val="0"/>
        <w:spacing w:line="400" w:lineRule="exact"/>
        <w:ind w:firstLine="440" w:firstLineChars="200"/>
        <w:rPr>
          <w:rFonts w:ascii="宋体" w:hAnsi="宋体" w:cs="Calibri"/>
          <w:color w:val="000000"/>
          <w:sz w:val="22"/>
        </w:rPr>
      </w:pPr>
      <w:r>
        <w:rPr>
          <w:rFonts w:hint="eastAsia" w:ascii="宋体" w:hAnsi="宋体" w:cs="Calibri"/>
          <w:color w:val="000000"/>
          <w:sz w:val="22"/>
        </w:rPr>
        <w:t>1、招标代理服务费报价应包括为完成项目招标代理服务过程中可能发生的所有费用，包括但不仅限于公告公示费、资格预审文件或招标文件制作费、工程量清单编制、复核费、预算编制费、评标专家咨询费、市内交通费用、场租费等。</w:t>
      </w:r>
    </w:p>
    <w:p>
      <w:pPr>
        <w:adjustRightInd w:val="0"/>
        <w:snapToGrid w:val="0"/>
        <w:spacing w:line="400" w:lineRule="exact"/>
        <w:ind w:firstLine="440" w:firstLineChars="200"/>
        <w:rPr>
          <w:rFonts w:ascii="宋体" w:hAnsi="宋体" w:cs="Calibri"/>
          <w:color w:val="000000"/>
          <w:sz w:val="22"/>
        </w:rPr>
      </w:pPr>
      <w:r>
        <w:rPr>
          <w:rFonts w:hint="eastAsia" w:ascii="宋体" w:hAnsi="宋体" w:cs="Calibri"/>
          <w:color w:val="000000"/>
          <w:sz w:val="22"/>
        </w:rPr>
        <w:t>2、政府交易中心收取的费用，由委托人、受托人各自承担。</w:t>
      </w:r>
    </w:p>
    <w:p>
      <w:pPr>
        <w:adjustRightInd w:val="0"/>
        <w:snapToGrid w:val="0"/>
        <w:spacing w:line="400" w:lineRule="exact"/>
        <w:ind w:firstLine="440" w:firstLineChars="200"/>
        <w:rPr>
          <w:rFonts w:ascii="宋体" w:hAnsi="宋体" w:cs="Calibri"/>
          <w:color w:val="000000"/>
          <w:sz w:val="22"/>
        </w:rPr>
      </w:pPr>
      <w:r>
        <w:rPr>
          <w:rFonts w:hint="eastAsia" w:ascii="宋体" w:hAnsi="宋体" w:cs="Calibri"/>
          <w:color w:val="000000"/>
          <w:sz w:val="22"/>
        </w:rPr>
        <w:t>3、如招标项目为民航专业工程，招标评标专家应为民航总局专家库成员。因民航总局专家库为国家级专家库，成员来自全国各地，故该类项目工程招标代理服务费用除前款内容以外，还应包括专家往来交通费（含机票、车船票、市内交通费等）、住宿费、餐饮费等（食宿标准不得低于财政部相关规定），评标专家咨询费标准按照民航系统标准，并派专人、专车接送，遇专家往返时间不一致时，须分别接送，不得要求专家等候统一接送。</w:t>
      </w:r>
    </w:p>
    <w:p>
      <w:pPr>
        <w:adjustRightInd w:val="0"/>
        <w:snapToGrid w:val="0"/>
        <w:spacing w:line="400" w:lineRule="exact"/>
        <w:ind w:firstLine="440" w:firstLineChars="200"/>
        <w:rPr>
          <w:rFonts w:ascii="宋体" w:hAnsi="宋体" w:cs="Calibri"/>
          <w:color w:val="000000"/>
          <w:sz w:val="22"/>
        </w:rPr>
      </w:pPr>
      <w:r>
        <w:rPr>
          <w:rFonts w:hint="eastAsia" w:ascii="宋体" w:hAnsi="宋体" w:cs="Calibri"/>
          <w:color w:val="000000"/>
          <w:sz w:val="22"/>
        </w:rPr>
        <w:t>4、根据华东局发明电[201</w:t>
      </w:r>
      <w:r>
        <w:rPr>
          <w:rFonts w:ascii="宋体" w:hAnsi="宋体" w:cs="Calibri"/>
          <w:color w:val="000000"/>
          <w:sz w:val="22"/>
        </w:rPr>
        <w:t>5</w:t>
      </w:r>
      <w:r>
        <w:rPr>
          <w:rFonts w:hint="eastAsia" w:ascii="宋体" w:hAnsi="宋体" w:cs="Calibri"/>
          <w:color w:val="000000"/>
          <w:sz w:val="22"/>
        </w:rPr>
        <w:t>]3044号、华东局发明电[2016]627号文件，民航专业工程建设项目统一开评标地点为上海或者北京，故该类项目工程招标代理服务费用除前款内容以外，还应包括受托人人员及委托人监督人员的往来交通费（含机票、车船票、市内交通费等）、住宿费、餐饮费等。</w:t>
      </w:r>
    </w:p>
    <w:p>
      <w:pPr>
        <w:adjustRightInd w:val="0"/>
        <w:snapToGrid w:val="0"/>
        <w:spacing w:line="400" w:lineRule="exact"/>
        <w:ind w:firstLine="440" w:firstLineChars="200"/>
        <w:rPr>
          <w:rFonts w:ascii="宋体" w:hAnsi="宋体" w:cs="Calibri"/>
          <w:color w:val="000000"/>
          <w:sz w:val="22"/>
        </w:rPr>
      </w:pPr>
      <w:r>
        <w:rPr>
          <w:rFonts w:hint="eastAsia" w:ascii="宋体" w:hAnsi="宋体" w:cs="Calibri"/>
          <w:color w:val="000000"/>
          <w:sz w:val="22"/>
        </w:rPr>
        <w:t>5、根据浙发改法规[2014]645号，省重点建设项目的评标专家在全库内部分地区随机抽取，不受地域限制，故该类项目招标代理服务费用除前款内容以外，还应包括专家往来交通费（含机票、车船票、市内交通费等）、住宿费、餐饮费等（食宿标准不得低于财政部相关规定）。</w:t>
      </w:r>
    </w:p>
    <w:p>
      <w:pPr>
        <w:adjustRightInd w:val="0"/>
        <w:snapToGrid w:val="0"/>
        <w:spacing w:line="400" w:lineRule="exact"/>
        <w:ind w:firstLine="440" w:firstLineChars="200"/>
        <w:rPr>
          <w:rFonts w:ascii="宋体" w:hAnsi="宋体" w:cs="Calibri"/>
          <w:color w:val="000000"/>
          <w:sz w:val="22"/>
        </w:rPr>
      </w:pPr>
      <w:r>
        <w:rPr>
          <w:rFonts w:hint="eastAsia" w:ascii="宋体" w:hAnsi="宋体" w:cs="Calibri"/>
          <w:color w:val="000000"/>
          <w:sz w:val="22"/>
        </w:rPr>
        <w:t>6、由受托人向中标人收取，招标代理服务费为</w:t>
      </w:r>
      <w:r>
        <w:rPr>
          <w:rFonts w:ascii="宋体" w:hAnsi="宋体" w:cs="Calibri"/>
          <w:color w:val="000000"/>
          <w:sz w:val="22"/>
        </w:rPr>
        <w:t>发改办价格[2003]857号文</w:t>
      </w:r>
      <w:r>
        <w:rPr>
          <w:rFonts w:hint="eastAsia" w:ascii="宋体" w:hAnsi="宋体" w:cs="Calibri"/>
          <w:color w:val="000000"/>
          <w:sz w:val="22"/>
        </w:rPr>
        <w:t>、发改价格[2011]534号文规定的基数*优惠费率。若政府部门规定招标代理服务费必须由委托人支付的，按照前述计算方式确定招标代理服务费后，由受托人提供招标完成的请款报告由委托人经办部门确认后支付。</w:t>
      </w:r>
    </w:p>
    <w:p>
      <w:pPr>
        <w:adjustRightInd w:val="0"/>
        <w:snapToGrid w:val="0"/>
        <w:spacing w:line="400" w:lineRule="exact"/>
        <w:ind w:firstLine="440" w:firstLineChars="200"/>
        <w:rPr>
          <w:rFonts w:ascii="宋体" w:hAnsi="宋体" w:cs="Calibri"/>
          <w:b/>
          <w:color w:val="000000"/>
          <w:sz w:val="22"/>
        </w:rPr>
      </w:pPr>
      <w:r>
        <w:rPr>
          <w:rFonts w:hint="eastAsia" w:ascii="宋体" w:hAnsi="宋体" w:cs="Calibri"/>
          <w:b/>
          <w:color w:val="000000"/>
          <w:sz w:val="22"/>
        </w:rPr>
        <w:t>三、组成本合同的文件及解释顺序：</w:t>
      </w:r>
    </w:p>
    <w:p>
      <w:pPr>
        <w:adjustRightInd w:val="0"/>
        <w:snapToGrid w:val="0"/>
        <w:spacing w:line="400" w:lineRule="exact"/>
        <w:ind w:firstLine="440" w:firstLineChars="200"/>
        <w:rPr>
          <w:rFonts w:ascii="宋体" w:hAnsi="宋体" w:cs="Calibri"/>
          <w:color w:val="000000"/>
          <w:sz w:val="22"/>
        </w:rPr>
      </w:pPr>
      <w:r>
        <w:rPr>
          <w:rFonts w:hint="eastAsia" w:ascii="宋体" w:hAnsi="宋体" w:cs="Calibri"/>
          <w:color w:val="000000"/>
          <w:sz w:val="22"/>
        </w:rPr>
        <w:t>1、本合同履行过程中双方以书面形式签署的补充和修正文件；</w:t>
      </w:r>
    </w:p>
    <w:p>
      <w:pPr>
        <w:adjustRightInd w:val="0"/>
        <w:snapToGrid w:val="0"/>
        <w:spacing w:line="400" w:lineRule="exact"/>
        <w:ind w:firstLine="440" w:firstLineChars="200"/>
        <w:rPr>
          <w:rFonts w:ascii="宋体" w:hAnsi="宋体" w:cs="Calibri"/>
          <w:color w:val="000000"/>
          <w:sz w:val="22"/>
        </w:rPr>
      </w:pPr>
      <w:r>
        <w:rPr>
          <w:rFonts w:hint="eastAsia" w:ascii="宋体" w:hAnsi="宋体" w:cs="Calibri"/>
          <w:color w:val="000000"/>
          <w:sz w:val="22"/>
        </w:rPr>
        <w:t>2、本合同协议书；</w:t>
      </w:r>
    </w:p>
    <w:p>
      <w:pPr>
        <w:adjustRightInd w:val="0"/>
        <w:snapToGrid w:val="0"/>
        <w:spacing w:line="400" w:lineRule="exact"/>
        <w:ind w:firstLine="440" w:firstLineChars="200"/>
        <w:rPr>
          <w:rFonts w:ascii="宋体" w:hAnsi="宋体" w:cs="Calibri"/>
          <w:color w:val="000000"/>
          <w:sz w:val="22"/>
        </w:rPr>
      </w:pPr>
      <w:r>
        <w:rPr>
          <w:rFonts w:hint="eastAsia" w:ascii="宋体" w:hAnsi="宋体" w:cs="Calibri"/>
          <w:color w:val="000000"/>
          <w:sz w:val="22"/>
        </w:rPr>
        <w:t>3、本合同专用条款；</w:t>
      </w:r>
    </w:p>
    <w:p>
      <w:pPr>
        <w:adjustRightInd w:val="0"/>
        <w:snapToGrid w:val="0"/>
        <w:spacing w:line="400" w:lineRule="exact"/>
        <w:ind w:firstLine="440" w:firstLineChars="200"/>
        <w:rPr>
          <w:rFonts w:ascii="宋体" w:hAnsi="宋体" w:cs="Calibri"/>
          <w:color w:val="000000"/>
          <w:sz w:val="22"/>
        </w:rPr>
      </w:pPr>
      <w:r>
        <w:rPr>
          <w:rFonts w:hint="eastAsia" w:ascii="宋体" w:hAnsi="宋体" w:cs="Calibri"/>
          <w:color w:val="000000"/>
          <w:sz w:val="22"/>
        </w:rPr>
        <w:t>4、本合同通用条款；</w:t>
      </w:r>
    </w:p>
    <w:p>
      <w:pPr>
        <w:adjustRightInd w:val="0"/>
        <w:snapToGrid w:val="0"/>
        <w:spacing w:line="400" w:lineRule="exact"/>
        <w:ind w:firstLine="440" w:firstLineChars="200"/>
        <w:rPr>
          <w:rFonts w:ascii="宋体" w:hAnsi="宋体" w:cs="Calibri"/>
          <w:color w:val="000000"/>
          <w:sz w:val="22"/>
        </w:rPr>
      </w:pPr>
      <w:r>
        <w:rPr>
          <w:rFonts w:hint="eastAsia" w:ascii="宋体" w:hAnsi="宋体" w:cs="Calibri"/>
          <w:color w:val="000000"/>
          <w:sz w:val="22"/>
        </w:rPr>
        <w:t>5、招标文件；</w:t>
      </w:r>
    </w:p>
    <w:p>
      <w:pPr>
        <w:adjustRightInd w:val="0"/>
        <w:snapToGrid w:val="0"/>
        <w:spacing w:line="400" w:lineRule="exact"/>
        <w:ind w:firstLine="440" w:firstLineChars="200"/>
        <w:rPr>
          <w:rFonts w:ascii="宋体" w:hAnsi="宋体" w:cs="Calibri"/>
          <w:color w:val="000000"/>
          <w:sz w:val="22"/>
        </w:rPr>
      </w:pPr>
      <w:r>
        <w:rPr>
          <w:rFonts w:hint="eastAsia" w:ascii="宋体" w:hAnsi="宋体" w:cs="Calibri"/>
          <w:color w:val="000000"/>
          <w:sz w:val="22"/>
        </w:rPr>
        <w:t>6、投标文件。</w:t>
      </w:r>
    </w:p>
    <w:p>
      <w:pPr>
        <w:adjustRightInd w:val="0"/>
        <w:snapToGrid w:val="0"/>
        <w:spacing w:line="400" w:lineRule="exact"/>
        <w:ind w:firstLine="440" w:firstLineChars="200"/>
        <w:rPr>
          <w:rFonts w:ascii="宋体" w:hAnsi="宋体" w:cs="Calibri"/>
          <w:color w:val="000000"/>
          <w:sz w:val="22"/>
        </w:rPr>
      </w:pPr>
      <w:r>
        <w:rPr>
          <w:rFonts w:hint="eastAsia" w:ascii="宋体" w:hAnsi="宋体" w:cs="Calibri"/>
          <w:color w:val="000000"/>
          <w:sz w:val="22"/>
        </w:rPr>
        <w:t>四、本协议书中的有关词语定义与本合同第一部分《通用条款》中分别赋予它们的定义相同。</w:t>
      </w:r>
    </w:p>
    <w:p>
      <w:pPr>
        <w:adjustRightInd w:val="0"/>
        <w:snapToGrid w:val="0"/>
        <w:spacing w:line="400" w:lineRule="exact"/>
        <w:ind w:firstLine="440" w:firstLineChars="200"/>
        <w:rPr>
          <w:rFonts w:ascii="宋体" w:hAnsi="宋体" w:cs="Calibri"/>
          <w:color w:val="000000"/>
          <w:sz w:val="22"/>
        </w:rPr>
      </w:pPr>
      <w:r>
        <w:rPr>
          <w:rFonts w:hint="eastAsia" w:ascii="宋体" w:hAnsi="宋体" w:cs="Calibri"/>
          <w:color w:val="000000"/>
          <w:sz w:val="22"/>
        </w:rPr>
        <w:t>五、受托人向委托人承诺，按照本合同的约定，承担本合同专用条款中约定范围内的代理业务。</w:t>
      </w:r>
    </w:p>
    <w:p>
      <w:pPr>
        <w:adjustRightInd w:val="0"/>
        <w:snapToGrid w:val="0"/>
        <w:spacing w:line="400" w:lineRule="exact"/>
        <w:ind w:firstLine="440" w:firstLineChars="200"/>
        <w:rPr>
          <w:rFonts w:ascii="宋体" w:hAnsi="宋体" w:cs="Calibri"/>
          <w:b/>
          <w:color w:val="000000"/>
          <w:sz w:val="22"/>
        </w:rPr>
      </w:pPr>
      <w:r>
        <w:rPr>
          <w:rFonts w:hint="eastAsia" w:ascii="宋体" w:hAnsi="宋体" w:cs="Calibri"/>
          <w:b/>
          <w:color w:val="000000"/>
          <w:sz w:val="22"/>
        </w:rPr>
        <w:t>六、合同订立</w:t>
      </w:r>
    </w:p>
    <w:p>
      <w:pPr>
        <w:adjustRightInd w:val="0"/>
        <w:snapToGrid w:val="0"/>
        <w:spacing w:line="400" w:lineRule="exact"/>
        <w:ind w:firstLine="440" w:firstLineChars="200"/>
        <w:rPr>
          <w:rFonts w:ascii="宋体" w:hAnsi="宋体" w:cs="Calibri"/>
          <w:color w:val="000000"/>
          <w:sz w:val="22"/>
        </w:rPr>
      </w:pPr>
      <w:r>
        <w:rPr>
          <w:rFonts w:hint="eastAsia" w:ascii="宋体" w:hAnsi="宋体" w:cs="Calibri"/>
          <w:color w:val="000000"/>
          <w:sz w:val="22"/>
        </w:rPr>
        <w:t>代理服务期限为三年。</w:t>
      </w:r>
    </w:p>
    <w:p>
      <w:pPr>
        <w:adjustRightInd w:val="0"/>
        <w:snapToGrid w:val="0"/>
        <w:spacing w:line="400" w:lineRule="exact"/>
        <w:ind w:firstLine="440" w:firstLineChars="200"/>
        <w:rPr>
          <w:rFonts w:ascii="宋体" w:hAnsi="宋体" w:cs="Calibri"/>
          <w:color w:val="000000"/>
          <w:sz w:val="22"/>
        </w:rPr>
      </w:pPr>
      <w:r>
        <w:rPr>
          <w:rFonts w:hint="eastAsia" w:ascii="宋体" w:hAnsi="宋体" w:cs="Calibri"/>
          <w:color w:val="000000"/>
          <w:sz w:val="22"/>
        </w:rPr>
        <w:t>1、起始时间： 20</w:t>
      </w:r>
      <w:r>
        <w:rPr>
          <w:rFonts w:ascii="宋体" w:hAnsi="宋体" w:cs="Calibri"/>
          <w:color w:val="000000"/>
          <w:sz w:val="22"/>
        </w:rPr>
        <w:t>20</w:t>
      </w:r>
      <w:r>
        <w:rPr>
          <w:rFonts w:hint="eastAsia" w:ascii="宋体" w:hAnsi="宋体" w:cs="Calibri"/>
          <w:color w:val="000000"/>
          <w:sz w:val="22"/>
        </w:rPr>
        <w:t>年1月1日；</w:t>
      </w:r>
    </w:p>
    <w:p>
      <w:pPr>
        <w:adjustRightInd w:val="0"/>
        <w:snapToGrid w:val="0"/>
        <w:spacing w:line="400" w:lineRule="exact"/>
        <w:ind w:firstLine="440" w:firstLineChars="200"/>
        <w:rPr>
          <w:rFonts w:ascii="宋体" w:hAnsi="宋体" w:cs="Calibri"/>
          <w:color w:val="000000"/>
          <w:sz w:val="22"/>
        </w:rPr>
      </w:pPr>
      <w:r>
        <w:rPr>
          <w:rFonts w:hint="eastAsia" w:ascii="宋体" w:hAnsi="宋体" w:cs="Calibri"/>
          <w:color w:val="000000"/>
          <w:sz w:val="22"/>
        </w:rPr>
        <w:t>2、终止时间： 20</w:t>
      </w:r>
      <w:r>
        <w:rPr>
          <w:rFonts w:ascii="宋体" w:hAnsi="宋体" w:cs="Calibri"/>
          <w:color w:val="000000"/>
          <w:sz w:val="22"/>
        </w:rPr>
        <w:t>22</w:t>
      </w:r>
      <w:r>
        <w:rPr>
          <w:rFonts w:hint="eastAsia" w:ascii="宋体" w:hAnsi="宋体" w:cs="Calibri"/>
          <w:color w:val="000000"/>
          <w:sz w:val="22"/>
        </w:rPr>
        <w:t>年12月 31日。</w:t>
      </w:r>
    </w:p>
    <w:p>
      <w:pPr>
        <w:adjustRightInd w:val="0"/>
        <w:snapToGrid w:val="0"/>
        <w:spacing w:line="400" w:lineRule="exact"/>
        <w:ind w:firstLine="440" w:firstLineChars="200"/>
        <w:rPr>
          <w:rFonts w:ascii="宋体" w:hAnsi="宋体" w:cs="Calibri"/>
          <w:color w:val="000000"/>
          <w:sz w:val="22"/>
        </w:rPr>
      </w:pPr>
      <w:r>
        <w:rPr>
          <w:rFonts w:hint="eastAsia" w:ascii="宋体" w:hAnsi="宋体" w:cs="Calibri"/>
          <w:color w:val="000000"/>
          <w:sz w:val="22"/>
        </w:rPr>
        <w:t>合同订立地点：</w:t>
      </w:r>
      <w:r>
        <w:rPr>
          <w:rFonts w:ascii="宋体" w:hAnsi="宋体" w:cs="Calibri"/>
          <w:color w:val="000000"/>
          <w:sz w:val="22"/>
        </w:rPr>
        <w:t xml:space="preserve"> </w:t>
      </w:r>
    </w:p>
    <w:p>
      <w:pPr>
        <w:adjustRightInd w:val="0"/>
        <w:snapToGrid w:val="0"/>
        <w:spacing w:line="400" w:lineRule="exact"/>
        <w:ind w:firstLine="440" w:firstLineChars="200"/>
        <w:rPr>
          <w:rFonts w:ascii="宋体" w:hAnsi="宋体" w:cs="Calibri"/>
          <w:b/>
          <w:color w:val="000000"/>
          <w:sz w:val="22"/>
        </w:rPr>
      </w:pPr>
      <w:r>
        <w:rPr>
          <w:rFonts w:hint="eastAsia" w:ascii="宋体" w:hAnsi="宋体" w:cs="Calibri"/>
          <w:b/>
          <w:color w:val="000000"/>
          <w:sz w:val="22"/>
        </w:rPr>
        <w:t>七、合同生效</w:t>
      </w:r>
    </w:p>
    <w:p>
      <w:pPr>
        <w:adjustRightInd w:val="0"/>
        <w:snapToGrid w:val="0"/>
        <w:spacing w:line="400" w:lineRule="exact"/>
        <w:ind w:firstLine="440" w:firstLineChars="200"/>
        <w:rPr>
          <w:rFonts w:ascii="宋体" w:hAnsi="宋体" w:cs="Calibri"/>
          <w:color w:val="000000"/>
          <w:sz w:val="22"/>
        </w:rPr>
      </w:pPr>
      <w:r>
        <w:rPr>
          <w:rFonts w:hint="eastAsia" w:ascii="宋体" w:hAnsi="宋体" w:cs="Calibri"/>
          <w:color w:val="000000"/>
          <w:sz w:val="22"/>
        </w:rPr>
        <w:t>本合同经双方法定代表人或者授权代理人签字盖章之日起生效。</w:t>
      </w:r>
    </w:p>
    <w:p>
      <w:pPr>
        <w:adjustRightInd w:val="0"/>
        <w:snapToGrid w:val="0"/>
        <w:spacing w:line="400" w:lineRule="exact"/>
        <w:ind w:firstLine="440" w:firstLineChars="200"/>
        <w:rPr>
          <w:rFonts w:ascii="宋体" w:hAnsi="宋体" w:cs="Calibri"/>
          <w:color w:val="000000"/>
          <w:sz w:val="22"/>
        </w:rPr>
      </w:pPr>
      <w:r>
        <w:rPr>
          <w:rFonts w:hint="eastAsia" w:ascii="宋体" w:hAnsi="宋体" w:cs="Calibri"/>
          <w:color w:val="000000"/>
          <w:sz w:val="22"/>
        </w:rPr>
        <w:t>八、本合同一式陆份，双方各执叁份，双方法定代表人或者授权代理人签字并加盖公章之日起生效。</w:t>
      </w:r>
    </w:p>
    <w:p>
      <w:pPr>
        <w:adjustRightInd w:val="0"/>
        <w:snapToGrid w:val="0"/>
        <w:spacing w:line="400" w:lineRule="exact"/>
        <w:ind w:firstLine="440" w:firstLineChars="200"/>
        <w:rPr>
          <w:rFonts w:ascii="宋体" w:hAnsi="宋体" w:cs="Calibri"/>
          <w:color w:val="000000"/>
          <w:sz w:val="22"/>
        </w:rPr>
      </w:pPr>
    </w:p>
    <w:p>
      <w:pPr>
        <w:adjustRightInd w:val="0"/>
        <w:snapToGrid w:val="0"/>
        <w:spacing w:line="400" w:lineRule="exact"/>
        <w:ind w:firstLine="440" w:firstLineChars="200"/>
        <w:rPr>
          <w:rFonts w:ascii="宋体" w:hAnsi="宋体" w:cs="Calibri"/>
          <w:color w:val="000000"/>
          <w:sz w:val="22"/>
        </w:rPr>
      </w:pPr>
      <w:r>
        <w:rPr>
          <w:rFonts w:ascii="宋体" w:hAnsi="宋体" w:cs="Calibri"/>
          <w:color w:val="000000"/>
          <w:sz w:val="22"/>
        </w:rPr>
        <w:t xml:space="preserve"> </w:t>
      </w:r>
    </w:p>
    <w:p>
      <w:pPr>
        <w:adjustRightInd w:val="0"/>
        <w:snapToGrid w:val="0"/>
        <w:spacing w:line="400" w:lineRule="exact"/>
        <w:ind w:firstLine="440" w:firstLineChars="200"/>
        <w:rPr>
          <w:rFonts w:ascii="宋体" w:hAnsi="宋体" w:cs="Calibri"/>
          <w:color w:val="000000"/>
          <w:sz w:val="22"/>
        </w:rPr>
      </w:pPr>
      <w:r>
        <w:rPr>
          <w:rFonts w:ascii="宋体" w:hAnsi="宋体" w:cs="Calibri"/>
          <w:color w:val="000000"/>
          <w:sz w:val="22"/>
        </w:rPr>
        <w:t xml:space="preserve"> </w:t>
      </w:r>
    </w:p>
    <w:p>
      <w:pPr>
        <w:adjustRightInd w:val="0"/>
        <w:snapToGrid w:val="0"/>
        <w:spacing w:line="400" w:lineRule="exact"/>
        <w:ind w:firstLine="440" w:firstLineChars="200"/>
        <w:rPr>
          <w:rFonts w:ascii="宋体" w:hAnsi="宋体" w:cs="Calibri"/>
          <w:color w:val="000000"/>
          <w:sz w:val="22"/>
        </w:rPr>
      </w:pPr>
      <w:r>
        <w:rPr>
          <w:rFonts w:hint="eastAsia" w:ascii="宋体" w:hAnsi="宋体" w:cs="Calibri"/>
          <w:color w:val="000000"/>
          <w:sz w:val="22"/>
        </w:rPr>
        <w:t>委托人（盖章）：                      受托人（盖章）：</w:t>
      </w:r>
    </w:p>
    <w:p>
      <w:pPr>
        <w:adjustRightInd w:val="0"/>
        <w:snapToGrid w:val="0"/>
        <w:spacing w:line="400" w:lineRule="exact"/>
        <w:ind w:firstLine="440" w:firstLineChars="200"/>
        <w:rPr>
          <w:rFonts w:ascii="宋体" w:hAnsi="宋体" w:cs="Calibri"/>
          <w:color w:val="000000"/>
          <w:sz w:val="22"/>
        </w:rPr>
      </w:pPr>
      <w:r>
        <w:rPr>
          <w:rFonts w:hint="eastAsia" w:ascii="宋体" w:hAnsi="宋体" w:cs="Calibri"/>
          <w:color w:val="000000"/>
          <w:sz w:val="22"/>
        </w:rPr>
        <w:t>法定代表人（签字或盖章）：            法定代表人（签字或盖章）：</w:t>
      </w:r>
    </w:p>
    <w:p>
      <w:pPr>
        <w:adjustRightInd w:val="0"/>
        <w:snapToGrid w:val="0"/>
        <w:spacing w:line="400" w:lineRule="exact"/>
        <w:ind w:firstLine="440" w:firstLineChars="200"/>
        <w:rPr>
          <w:rFonts w:ascii="宋体" w:hAnsi="宋体" w:cs="Calibri"/>
          <w:color w:val="000000"/>
          <w:sz w:val="22"/>
        </w:rPr>
      </w:pPr>
      <w:r>
        <w:rPr>
          <w:rFonts w:hint="eastAsia" w:ascii="宋体" w:hAnsi="宋体" w:cs="Calibri"/>
          <w:color w:val="000000"/>
          <w:sz w:val="22"/>
        </w:rPr>
        <w:t>授权代理人（签字或盖章）：            授权代理人（签字或盖章）：</w:t>
      </w:r>
    </w:p>
    <w:p>
      <w:pPr>
        <w:adjustRightInd w:val="0"/>
        <w:snapToGrid w:val="0"/>
        <w:spacing w:line="400" w:lineRule="exact"/>
        <w:ind w:firstLine="440" w:firstLineChars="200"/>
        <w:rPr>
          <w:rFonts w:ascii="宋体" w:hAnsi="宋体" w:cs="Calibri"/>
          <w:color w:val="000000"/>
          <w:sz w:val="22"/>
        </w:rPr>
      </w:pPr>
      <w:r>
        <w:rPr>
          <w:rFonts w:hint="eastAsia" w:ascii="宋体" w:hAnsi="宋体" w:cs="Calibri"/>
          <w:color w:val="000000"/>
          <w:sz w:val="22"/>
        </w:rPr>
        <w:t>单位地址：                            单位地址：</w:t>
      </w:r>
    </w:p>
    <w:p>
      <w:pPr>
        <w:adjustRightInd w:val="0"/>
        <w:snapToGrid w:val="0"/>
        <w:spacing w:line="400" w:lineRule="exact"/>
        <w:ind w:firstLine="440" w:firstLineChars="200"/>
        <w:rPr>
          <w:rFonts w:ascii="宋体" w:hAnsi="宋体" w:cs="Calibri"/>
          <w:color w:val="000000"/>
          <w:sz w:val="22"/>
        </w:rPr>
      </w:pPr>
      <w:r>
        <w:rPr>
          <w:rFonts w:hint="eastAsia" w:ascii="宋体" w:hAnsi="宋体" w:cs="Calibri"/>
          <w:color w:val="000000"/>
          <w:sz w:val="22"/>
        </w:rPr>
        <w:t>邮政编码：                            邮政编码：</w:t>
      </w:r>
    </w:p>
    <w:p>
      <w:pPr>
        <w:adjustRightInd w:val="0"/>
        <w:snapToGrid w:val="0"/>
        <w:spacing w:line="400" w:lineRule="exact"/>
        <w:ind w:firstLine="440" w:firstLineChars="200"/>
        <w:rPr>
          <w:rFonts w:ascii="宋体" w:hAnsi="宋体" w:cs="Calibri"/>
          <w:color w:val="000000"/>
          <w:sz w:val="22"/>
        </w:rPr>
      </w:pPr>
      <w:r>
        <w:rPr>
          <w:rFonts w:hint="eastAsia" w:ascii="宋体" w:hAnsi="宋体" w:cs="Calibri"/>
          <w:color w:val="000000"/>
          <w:sz w:val="22"/>
        </w:rPr>
        <w:t>联系电话：                            联系电话：</w:t>
      </w:r>
    </w:p>
    <w:p>
      <w:pPr>
        <w:adjustRightInd w:val="0"/>
        <w:snapToGrid w:val="0"/>
        <w:spacing w:line="400" w:lineRule="exact"/>
        <w:ind w:firstLine="440" w:firstLineChars="200"/>
        <w:rPr>
          <w:rFonts w:ascii="宋体" w:hAnsi="宋体" w:cs="Calibri"/>
          <w:color w:val="000000"/>
          <w:sz w:val="22"/>
        </w:rPr>
      </w:pPr>
      <w:r>
        <w:rPr>
          <w:rFonts w:hint="eastAsia" w:ascii="宋体" w:hAnsi="宋体" w:cs="Calibri"/>
          <w:color w:val="000000"/>
          <w:sz w:val="22"/>
        </w:rPr>
        <w:t>传    真：                            传    真：</w:t>
      </w:r>
    </w:p>
    <w:p>
      <w:pPr>
        <w:adjustRightInd w:val="0"/>
        <w:snapToGrid w:val="0"/>
        <w:spacing w:line="400" w:lineRule="exact"/>
        <w:ind w:firstLine="440" w:firstLineChars="200"/>
        <w:rPr>
          <w:rFonts w:ascii="宋体" w:hAnsi="宋体" w:cs="Calibri"/>
          <w:color w:val="000000"/>
          <w:sz w:val="22"/>
        </w:rPr>
      </w:pPr>
      <w:r>
        <w:rPr>
          <w:rFonts w:hint="eastAsia" w:ascii="宋体" w:hAnsi="宋体" w:cs="Calibri"/>
          <w:color w:val="000000"/>
          <w:sz w:val="22"/>
        </w:rPr>
        <w:t>电子信箱：                            电子信箱：</w:t>
      </w:r>
    </w:p>
    <w:p>
      <w:pPr>
        <w:adjustRightInd w:val="0"/>
        <w:snapToGrid w:val="0"/>
        <w:spacing w:line="400" w:lineRule="exact"/>
        <w:ind w:firstLine="440" w:firstLineChars="200"/>
        <w:rPr>
          <w:rFonts w:ascii="宋体" w:hAnsi="宋体" w:cs="Calibri"/>
          <w:color w:val="000000"/>
          <w:sz w:val="22"/>
        </w:rPr>
      </w:pPr>
      <w:r>
        <w:rPr>
          <w:rFonts w:hint="eastAsia" w:ascii="宋体" w:hAnsi="宋体" w:cs="Calibri"/>
          <w:color w:val="000000"/>
          <w:sz w:val="22"/>
        </w:rPr>
        <w:t>开户银行：                            开户银行：</w:t>
      </w:r>
    </w:p>
    <w:p>
      <w:pPr>
        <w:adjustRightInd w:val="0"/>
        <w:snapToGrid w:val="0"/>
        <w:spacing w:line="400" w:lineRule="exact"/>
        <w:ind w:firstLine="440" w:firstLineChars="200"/>
        <w:rPr>
          <w:rFonts w:ascii="宋体" w:hAnsi="宋体" w:cs="Calibri"/>
          <w:color w:val="000000"/>
          <w:sz w:val="22"/>
        </w:rPr>
      </w:pPr>
      <w:r>
        <w:rPr>
          <w:rFonts w:hint="eastAsia" w:ascii="宋体" w:hAnsi="宋体" w:cs="Calibri"/>
          <w:color w:val="000000"/>
          <w:sz w:val="22"/>
        </w:rPr>
        <w:t>帐    号：                            帐    号：</w:t>
      </w:r>
    </w:p>
    <w:p>
      <w:pPr>
        <w:adjustRightInd w:val="0"/>
        <w:snapToGrid w:val="0"/>
        <w:spacing w:line="400" w:lineRule="exact"/>
        <w:ind w:firstLine="440" w:firstLineChars="200"/>
        <w:rPr>
          <w:rFonts w:ascii="宋体" w:hAnsi="宋体" w:cs="Calibri"/>
          <w:color w:val="000000"/>
          <w:sz w:val="22"/>
        </w:rPr>
      </w:pPr>
      <w:r>
        <w:rPr>
          <w:rFonts w:hint="eastAsia" w:ascii="宋体" w:hAnsi="宋体" w:cs="Calibri"/>
          <w:color w:val="000000"/>
          <w:sz w:val="22"/>
        </w:rPr>
        <w:t>签订时间：</w:t>
      </w:r>
    </w:p>
    <w:p>
      <w:pPr>
        <w:adjustRightInd w:val="0"/>
        <w:snapToGrid w:val="0"/>
        <w:spacing w:line="400" w:lineRule="exact"/>
        <w:ind w:firstLine="440" w:firstLineChars="200"/>
        <w:rPr>
          <w:rFonts w:ascii="宋体" w:hAnsi="宋体" w:cs="Calibri"/>
          <w:color w:val="000000"/>
          <w:sz w:val="22"/>
        </w:rPr>
      </w:pPr>
      <w:r>
        <w:rPr>
          <w:rFonts w:ascii="宋体" w:hAnsi="宋体" w:cs="Calibri"/>
          <w:color w:val="000000"/>
          <w:sz w:val="22"/>
        </w:rPr>
        <w:t xml:space="preserve"> </w:t>
      </w:r>
    </w:p>
    <w:p>
      <w:pPr>
        <w:adjustRightInd w:val="0"/>
        <w:snapToGrid w:val="0"/>
        <w:spacing w:line="400" w:lineRule="exact"/>
        <w:ind w:firstLine="440" w:firstLineChars="200"/>
        <w:rPr>
          <w:rFonts w:ascii="宋体" w:hAnsi="宋体" w:cs="Calibri"/>
          <w:color w:val="000000"/>
          <w:sz w:val="22"/>
        </w:rPr>
      </w:pPr>
      <w:r>
        <w:rPr>
          <w:rFonts w:ascii="宋体" w:hAnsi="宋体" w:cs="Calibri"/>
          <w:color w:val="000000"/>
          <w:sz w:val="22"/>
        </w:rPr>
        <w:t xml:space="preserve"> </w:t>
      </w:r>
    </w:p>
    <w:p>
      <w:pPr>
        <w:adjustRightInd w:val="0"/>
        <w:snapToGrid w:val="0"/>
        <w:spacing w:line="400" w:lineRule="exact"/>
        <w:ind w:firstLine="440" w:firstLineChars="200"/>
        <w:rPr>
          <w:rFonts w:ascii="宋体" w:hAnsi="宋体" w:cs="Calibri"/>
          <w:color w:val="000000"/>
          <w:sz w:val="22"/>
        </w:rPr>
      </w:pPr>
      <w:r>
        <w:rPr>
          <w:rFonts w:ascii="宋体" w:hAnsi="宋体" w:cs="Calibri"/>
          <w:color w:val="000000"/>
          <w:sz w:val="22"/>
        </w:rPr>
        <w:t xml:space="preserve"> </w:t>
      </w:r>
    </w:p>
    <w:p>
      <w:pPr>
        <w:widowControl/>
        <w:spacing w:line="400" w:lineRule="exact"/>
        <w:jc w:val="left"/>
        <w:rPr>
          <w:rFonts w:ascii="宋体" w:hAnsi="宋体" w:cs="Calibri"/>
          <w:b/>
          <w:color w:val="000000"/>
          <w:sz w:val="22"/>
        </w:rPr>
      </w:pPr>
      <w:r>
        <w:rPr>
          <w:rFonts w:ascii="宋体" w:hAnsi="宋体" w:cs="Calibri"/>
          <w:b/>
          <w:color w:val="000000"/>
          <w:sz w:val="22"/>
        </w:rPr>
        <w:br w:type="page"/>
      </w:r>
    </w:p>
    <w:p>
      <w:pPr>
        <w:adjustRightInd w:val="0"/>
        <w:snapToGrid w:val="0"/>
        <w:spacing w:line="400" w:lineRule="exact"/>
        <w:ind w:firstLine="440" w:firstLineChars="200"/>
        <w:jc w:val="center"/>
        <w:rPr>
          <w:rFonts w:ascii="宋体" w:hAnsi="宋体" w:cs="Calibri"/>
          <w:b/>
          <w:color w:val="000000"/>
          <w:sz w:val="22"/>
        </w:rPr>
      </w:pPr>
      <w:r>
        <w:rPr>
          <w:rFonts w:hint="eastAsia" w:ascii="宋体" w:hAnsi="宋体" w:cs="Calibri"/>
          <w:b/>
          <w:color w:val="000000"/>
          <w:sz w:val="22"/>
        </w:rPr>
        <w:t>第二部分    合同通用条款</w:t>
      </w:r>
    </w:p>
    <w:p>
      <w:pPr>
        <w:adjustRightInd w:val="0"/>
        <w:snapToGrid w:val="0"/>
        <w:spacing w:line="400" w:lineRule="exact"/>
        <w:ind w:firstLine="440" w:firstLineChars="200"/>
        <w:rPr>
          <w:rFonts w:ascii="宋体" w:hAnsi="宋体" w:cs="Calibri"/>
          <w:color w:val="000000"/>
          <w:sz w:val="22"/>
        </w:rPr>
      </w:pPr>
    </w:p>
    <w:p>
      <w:pPr>
        <w:adjustRightInd w:val="0"/>
        <w:snapToGrid w:val="0"/>
        <w:spacing w:line="400" w:lineRule="exact"/>
        <w:ind w:firstLine="440" w:firstLineChars="200"/>
        <w:rPr>
          <w:rFonts w:hint="eastAsia" w:ascii="宋体" w:hAnsi="宋体" w:cs="Calibri"/>
          <w:b/>
          <w:color w:val="000000"/>
          <w:sz w:val="22"/>
        </w:rPr>
      </w:pPr>
      <w:r>
        <w:rPr>
          <w:rFonts w:hint="eastAsia" w:ascii="宋体" w:hAnsi="宋体" w:cs="Calibri"/>
          <w:b/>
          <w:color w:val="000000"/>
          <w:sz w:val="22"/>
        </w:rPr>
        <w:t>一、词语定义和适用法律</w:t>
      </w:r>
    </w:p>
    <w:p>
      <w:pPr>
        <w:adjustRightInd w:val="0"/>
        <w:snapToGrid w:val="0"/>
        <w:spacing w:line="400" w:lineRule="exact"/>
        <w:ind w:firstLine="440" w:firstLineChars="200"/>
        <w:rPr>
          <w:rFonts w:hint="eastAsia" w:ascii="宋体" w:hAnsi="宋体" w:cs="Calibri"/>
          <w:color w:val="000000"/>
          <w:sz w:val="22"/>
        </w:rPr>
      </w:pPr>
      <w:r>
        <w:rPr>
          <w:rFonts w:hint="eastAsia" w:ascii="宋体" w:hAnsi="宋体" w:cs="Calibri"/>
          <w:color w:val="000000"/>
          <w:sz w:val="22"/>
        </w:rPr>
        <w:t>l、词语定义</w:t>
      </w:r>
    </w:p>
    <w:p>
      <w:pPr>
        <w:adjustRightInd w:val="0"/>
        <w:snapToGrid w:val="0"/>
        <w:spacing w:line="400" w:lineRule="exact"/>
        <w:ind w:firstLine="440" w:firstLineChars="200"/>
        <w:rPr>
          <w:rFonts w:hint="eastAsia" w:ascii="宋体" w:hAnsi="宋体" w:cs="Calibri"/>
          <w:color w:val="000000"/>
          <w:sz w:val="22"/>
        </w:rPr>
      </w:pPr>
      <w:r>
        <w:rPr>
          <w:rFonts w:hint="eastAsia" w:ascii="宋体" w:hAnsi="宋体" w:cs="Calibri"/>
          <w:color w:val="000000"/>
          <w:sz w:val="22"/>
        </w:rPr>
        <w:t>下列词语除本合同专用条款另有约定外，应具有本条款所赋予的定义</w:t>
      </w:r>
    </w:p>
    <w:p>
      <w:pPr>
        <w:adjustRightInd w:val="0"/>
        <w:snapToGrid w:val="0"/>
        <w:spacing w:line="400" w:lineRule="exact"/>
        <w:ind w:firstLine="440" w:firstLineChars="200"/>
        <w:rPr>
          <w:rFonts w:hint="eastAsia" w:ascii="宋体" w:hAnsi="宋体" w:cs="Calibri"/>
          <w:color w:val="000000"/>
          <w:sz w:val="22"/>
        </w:rPr>
      </w:pPr>
      <w:r>
        <w:rPr>
          <w:rFonts w:hint="eastAsia" w:ascii="宋体" w:hAnsi="宋体" w:cs="Calibri"/>
          <w:color w:val="000000"/>
          <w:sz w:val="22"/>
        </w:rPr>
        <w:t>1.1招标代理合同：委托人将工程建设项目招标工作委托给具有相应招标代理资质的受托人，实施招标活动签订的委托合同，</w:t>
      </w:r>
    </w:p>
    <w:p>
      <w:pPr>
        <w:adjustRightInd w:val="0"/>
        <w:snapToGrid w:val="0"/>
        <w:spacing w:line="400" w:lineRule="exact"/>
        <w:ind w:firstLine="440" w:firstLineChars="200"/>
        <w:rPr>
          <w:rFonts w:hint="eastAsia" w:ascii="宋体" w:hAnsi="宋体" w:cs="Calibri"/>
          <w:color w:val="000000"/>
          <w:sz w:val="22"/>
        </w:rPr>
      </w:pPr>
      <w:r>
        <w:rPr>
          <w:rFonts w:hint="eastAsia" w:ascii="宋体" w:hAnsi="宋体" w:cs="Calibri"/>
          <w:color w:val="000000"/>
          <w:sz w:val="22"/>
        </w:rPr>
        <w:t>1.2通用条款：是根据有关法律、行政法规和工程建设项目招标代理的需要所订立，通用于各类工程建设项目招标代理的条款。</w:t>
      </w:r>
    </w:p>
    <w:p>
      <w:pPr>
        <w:adjustRightInd w:val="0"/>
        <w:snapToGrid w:val="0"/>
        <w:spacing w:line="400" w:lineRule="exact"/>
        <w:ind w:firstLine="440" w:firstLineChars="200"/>
        <w:rPr>
          <w:rFonts w:hint="eastAsia" w:ascii="宋体" w:hAnsi="宋体" w:cs="Calibri"/>
          <w:color w:val="000000"/>
          <w:sz w:val="22"/>
        </w:rPr>
      </w:pPr>
      <w:r>
        <w:rPr>
          <w:rFonts w:hint="eastAsia" w:ascii="宋体" w:hAnsi="宋体" w:cs="Calibri"/>
          <w:color w:val="000000"/>
          <w:sz w:val="22"/>
        </w:rPr>
        <w:t>1.3专用条款：是委托人与受托人根据有关法律、行政法规规定，结合具体工程建设项目招标代理的实际，经协商达成一致意见的条款，是对通用条款的具体化、补充或修改。</w:t>
      </w:r>
    </w:p>
    <w:p>
      <w:pPr>
        <w:adjustRightInd w:val="0"/>
        <w:snapToGrid w:val="0"/>
        <w:spacing w:line="400" w:lineRule="exact"/>
        <w:ind w:firstLine="440" w:firstLineChars="200"/>
        <w:rPr>
          <w:rFonts w:hint="eastAsia" w:ascii="宋体" w:hAnsi="宋体" w:cs="Calibri"/>
          <w:color w:val="000000"/>
          <w:sz w:val="22"/>
        </w:rPr>
      </w:pPr>
      <w:r>
        <w:rPr>
          <w:rFonts w:hint="eastAsia" w:ascii="宋体" w:hAnsi="宋体" w:cs="Calibri"/>
          <w:color w:val="000000"/>
          <w:sz w:val="22"/>
        </w:rPr>
        <w:t>1.4委托人：指在合同中约定的，具有建设项目招标委托主体资格的当事人，以及取得该当事人资格的合法继承人。</w:t>
      </w:r>
    </w:p>
    <w:p>
      <w:pPr>
        <w:adjustRightInd w:val="0"/>
        <w:snapToGrid w:val="0"/>
        <w:spacing w:line="400" w:lineRule="exact"/>
        <w:ind w:firstLine="440" w:firstLineChars="200"/>
        <w:rPr>
          <w:rFonts w:hint="eastAsia" w:ascii="宋体" w:hAnsi="宋体" w:cs="Calibri"/>
          <w:color w:val="000000"/>
          <w:sz w:val="22"/>
        </w:rPr>
      </w:pPr>
      <w:r>
        <w:rPr>
          <w:rFonts w:hint="eastAsia" w:ascii="宋体" w:hAnsi="宋体" w:cs="Calibri"/>
          <w:color w:val="000000"/>
          <w:sz w:val="22"/>
        </w:rPr>
        <w:t>1.5受托人：指在合同中约定的，被委托人接受的具有建设项目招标代理主体资格的当事人，以及取得该当事人资格的合法继承人。</w:t>
      </w:r>
    </w:p>
    <w:p>
      <w:pPr>
        <w:adjustRightInd w:val="0"/>
        <w:snapToGrid w:val="0"/>
        <w:spacing w:line="400" w:lineRule="exact"/>
        <w:ind w:firstLine="440" w:firstLineChars="200"/>
        <w:rPr>
          <w:rFonts w:hint="eastAsia" w:ascii="宋体" w:hAnsi="宋体" w:cs="Calibri"/>
          <w:color w:val="000000"/>
          <w:sz w:val="22"/>
        </w:rPr>
      </w:pPr>
      <w:r>
        <w:rPr>
          <w:rFonts w:hint="eastAsia" w:ascii="宋体" w:hAnsi="宋体" w:cs="Calibri"/>
          <w:color w:val="000000"/>
          <w:sz w:val="22"/>
        </w:rPr>
        <w:t>1.6招标代理项目负责人：指受托人在专用条款中指定的负责合同履行的代表。</w:t>
      </w:r>
    </w:p>
    <w:p>
      <w:pPr>
        <w:adjustRightInd w:val="0"/>
        <w:snapToGrid w:val="0"/>
        <w:spacing w:line="400" w:lineRule="exact"/>
        <w:ind w:firstLine="440" w:firstLineChars="200"/>
        <w:rPr>
          <w:rFonts w:hint="eastAsia" w:ascii="宋体" w:hAnsi="宋体" w:cs="Calibri"/>
          <w:color w:val="000000"/>
          <w:sz w:val="22"/>
        </w:rPr>
      </w:pPr>
      <w:r>
        <w:rPr>
          <w:rFonts w:hint="eastAsia" w:ascii="宋体" w:hAnsi="宋体" w:cs="Calibri"/>
          <w:color w:val="000000"/>
          <w:sz w:val="22"/>
        </w:rPr>
        <w:t>1.7工程建设项目：指由委托人和受托人在合同中约定的委托代理招标的工程。</w:t>
      </w:r>
    </w:p>
    <w:p>
      <w:pPr>
        <w:adjustRightInd w:val="0"/>
        <w:snapToGrid w:val="0"/>
        <w:spacing w:line="400" w:lineRule="exact"/>
        <w:ind w:firstLine="440" w:firstLineChars="200"/>
        <w:rPr>
          <w:rFonts w:hint="eastAsia" w:ascii="宋体" w:hAnsi="宋体" w:cs="Calibri"/>
          <w:color w:val="000000"/>
          <w:sz w:val="22"/>
        </w:rPr>
      </w:pPr>
      <w:r>
        <w:rPr>
          <w:rFonts w:hint="eastAsia" w:ascii="宋体" w:hAnsi="宋体" w:cs="Calibri"/>
          <w:color w:val="000000"/>
          <w:sz w:val="22"/>
        </w:rPr>
        <w:t>1.8招标代理业务：委托人委托受托人代理实施工程建设项目招标的工作内容。</w:t>
      </w:r>
    </w:p>
    <w:p>
      <w:pPr>
        <w:adjustRightInd w:val="0"/>
        <w:snapToGrid w:val="0"/>
        <w:spacing w:line="400" w:lineRule="exact"/>
        <w:ind w:firstLine="440" w:firstLineChars="200"/>
        <w:rPr>
          <w:rFonts w:hint="eastAsia" w:ascii="宋体" w:hAnsi="宋体" w:cs="Calibri"/>
          <w:color w:val="000000"/>
          <w:sz w:val="22"/>
        </w:rPr>
      </w:pPr>
      <w:r>
        <w:rPr>
          <w:rFonts w:hint="eastAsia" w:ascii="宋体" w:hAnsi="宋体" w:cs="Calibri"/>
          <w:color w:val="000000"/>
          <w:sz w:val="22"/>
        </w:rPr>
        <w:t>1.9附加服务：指委托人和受托人在本合同通用条款4.1款和专用条款4.1款中双方约定工作范围之外的附加工作。</w:t>
      </w:r>
    </w:p>
    <w:p>
      <w:pPr>
        <w:adjustRightInd w:val="0"/>
        <w:snapToGrid w:val="0"/>
        <w:spacing w:line="400" w:lineRule="exact"/>
        <w:ind w:firstLine="440" w:firstLineChars="200"/>
        <w:rPr>
          <w:rFonts w:hint="eastAsia" w:ascii="宋体" w:hAnsi="宋体" w:cs="Calibri"/>
          <w:color w:val="000000"/>
          <w:sz w:val="22"/>
        </w:rPr>
      </w:pPr>
      <w:r>
        <w:rPr>
          <w:rFonts w:hint="eastAsia" w:ascii="宋体" w:hAnsi="宋体" w:cs="Calibri"/>
          <w:color w:val="000000"/>
          <w:sz w:val="22"/>
        </w:rPr>
        <w:t>1.10代理报酬：委托人和受托人在合同中约定的，受托人按照约定应收取的代理报酬总额。</w:t>
      </w:r>
    </w:p>
    <w:p>
      <w:pPr>
        <w:adjustRightInd w:val="0"/>
        <w:snapToGrid w:val="0"/>
        <w:spacing w:line="400" w:lineRule="exact"/>
        <w:ind w:firstLine="440" w:firstLineChars="200"/>
        <w:rPr>
          <w:rFonts w:hint="eastAsia" w:ascii="宋体" w:hAnsi="宋体" w:cs="Calibri"/>
          <w:color w:val="000000"/>
          <w:sz w:val="22"/>
        </w:rPr>
      </w:pPr>
      <w:r>
        <w:rPr>
          <w:rFonts w:hint="eastAsia" w:ascii="宋体" w:hAnsi="宋体" w:cs="Calibri"/>
          <w:color w:val="000000"/>
          <w:sz w:val="22"/>
        </w:rPr>
        <w:t>1.11图纸：指由委托人提供的满足招标需要的所有图纸、计算书、配套说明以及相关的技术资料。</w:t>
      </w:r>
    </w:p>
    <w:p>
      <w:pPr>
        <w:adjustRightInd w:val="0"/>
        <w:snapToGrid w:val="0"/>
        <w:spacing w:line="400" w:lineRule="exact"/>
        <w:ind w:firstLine="440" w:firstLineChars="200"/>
        <w:rPr>
          <w:rFonts w:hint="eastAsia" w:ascii="宋体" w:hAnsi="宋体" w:cs="Calibri"/>
          <w:color w:val="000000"/>
          <w:sz w:val="22"/>
        </w:rPr>
      </w:pPr>
      <w:r>
        <w:rPr>
          <w:rFonts w:hint="eastAsia" w:ascii="宋体" w:hAnsi="宋体" w:cs="Calibri"/>
          <w:color w:val="000000"/>
          <w:sz w:val="22"/>
        </w:rPr>
        <w:t>1.12书面形式：指具有公章、法定代表人或授权代理人签字的合同书、信件和数据电文(包括电报、电传、传真)等可以有形地表现所载内容的形式。</w:t>
      </w:r>
    </w:p>
    <w:p>
      <w:pPr>
        <w:adjustRightInd w:val="0"/>
        <w:snapToGrid w:val="0"/>
        <w:spacing w:line="400" w:lineRule="exact"/>
        <w:ind w:firstLine="440" w:firstLineChars="200"/>
        <w:rPr>
          <w:rFonts w:hint="eastAsia" w:ascii="宋体" w:hAnsi="宋体" w:cs="Calibri"/>
          <w:color w:val="000000"/>
          <w:sz w:val="22"/>
        </w:rPr>
      </w:pPr>
      <w:r>
        <w:rPr>
          <w:rFonts w:hint="eastAsia" w:ascii="宋体" w:hAnsi="宋体" w:cs="Calibri"/>
          <w:color w:val="000000"/>
          <w:sz w:val="22"/>
        </w:rPr>
        <w:t>1.13违约责任：指合同一方不履行合同义务或履行合同义务不符合约定所应承担的责任。</w:t>
      </w:r>
    </w:p>
    <w:p>
      <w:pPr>
        <w:adjustRightInd w:val="0"/>
        <w:snapToGrid w:val="0"/>
        <w:spacing w:line="400" w:lineRule="exact"/>
        <w:ind w:firstLine="440" w:firstLineChars="200"/>
        <w:rPr>
          <w:rFonts w:hint="eastAsia" w:ascii="宋体" w:hAnsi="宋体" w:cs="Calibri"/>
          <w:color w:val="000000"/>
          <w:sz w:val="22"/>
        </w:rPr>
      </w:pPr>
      <w:r>
        <w:rPr>
          <w:rFonts w:hint="eastAsia" w:ascii="宋体" w:hAnsi="宋体" w:cs="Calibri"/>
          <w:color w:val="000000"/>
          <w:sz w:val="22"/>
        </w:rPr>
        <w:t>1.14索赔：指在合同履行过程中，对于并非自己的过错，而是应由对方承担责任的情况造成的实际损失，向对方提出经济补偿或其他的要求。</w:t>
      </w:r>
    </w:p>
    <w:p>
      <w:pPr>
        <w:adjustRightInd w:val="0"/>
        <w:snapToGrid w:val="0"/>
        <w:spacing w:line="400" w:lineRule="exact"/>
        <w:ind w:firstLine="440" w:firstLineChars="200"/>
        <w:rPr>
          <w:rFonts w:hint="eastAsia" w:ascii="宋体" w:hAnsi="宋体" w:cs="Calibri"/>
          <w:color w:val="000000"/>
          <w:sz w:val="22"/>
        </w:rPr>
      </w:pPr>
      <w:r>
        <w:rPr>
          <w:rFonts w:hint="eastAsia" w:ascii="宋体" w:hAnsi="宋体" w:cs="Calibri"/>
          <w:color w:val="000000"/>
          <w:sz w:val="22"/>
        </w:rPr>
        <w:t>1.15不可抗力：指双方无法控制和不可预见的事件，但不包括双方的违约或疏忽。这些事件包括但不限于战争、严重火灾、洪水、台风、地震，或其他双方一致认为属于不可抗力的事件。</w:t>
      </w:r>
    </w:p>
    <w:p>
      <w:pPr>
        <w:adjustRightInd w:val="0"/>
        <w:snapToGrid w:val="0"/>
        <w:spacing w:line="400" w:lineRule="exact"/>
        <w:ind w:firstLine="440" w:firstLineChars="200"/>
        <w:rPr>
          <w:rFonts w:hint="eastAsia" w:ascii="宋体" w:hAnsi="宋体" w:cs="Calibri"/>
          <w:color w:val="000000"/>
          <w:sz w:val="22"/>
        </w:rPr>
      </w:pPr>
      <w:r>
        <w:rPr>
          <w:rFonts w:hint="eastAsia" w:ascii="宋体" w:hAnsi="宋体" w:cs="Calibri"/>
          <w:color w:val="000000"/>
          <w:sz w:val="22"/>
        </w:rPr>
        <w:t>1.16小时或天：本合同中规定按小时计算时间的，从事件有效开始时计算(不扣除休息时间)；规定按天计算时间的，开始当天不计入，从次日开始计算。时限的最后一天是休息日或者其他法定节假日的，以节假日次日为时限的最后一天。时限的最后一天的截止时间为当日24时。</w:t>
      </w:r>
    </w:p>
    <w:p>
      <w:pPr>
        <w:adjustRightInd w:val="0"/>
        <w:snapToGrid w:val="0"/>
        <w:spacing w:line="400" w:lineRule="exact"/>
        <w:ind w:firstLine="440" w:firstLineChars="200"/>
        <w:rPr>
          <w:rFonts w:hint="eastAsia" w:ascii="宋体" w:hAnsi="宋体" w:cs="Calibri"/>
          <w:color w:val="000000"/>
          <w:sz w:val="22"/>
        </w:rPr>
      </w:pPr>
      <w:r>
        <w:rPr>
          <w:rFonts w:hint="eastAsia" w:ascii="宋体" w:hAnsi="宋体" w:cs="Calibri"/>
          <w:color w:val="000000"/>
          <w:sz w:val="22"/>
        </w:rPr>
        <w:t>2、合同文件及解释顺序</w:t>
      </w:r>
    </w:p>
    <w:p>
      <w:pPr>
        <w:adjustRightInd w:val="0"/>
        <w:snapToGrid w:val="0"/>
        <w:spacing w:line="400" w:lineRule="exact"/>
        <w:ind w:firstLine="440" w:firstLineChars="200"/>
        <w:rPr>
          <w:rFonts w:hint="eastAsia" w:ascii="宋体" w:hAnsi="宋体" w:cs="Calibri"/>
          <w:color w:val="000000"/>
          <w:sz w:val="22"/>
        </w:rPr>
      </w:pPr>
      <w:r>
        <w:rPr>
          <w:rFonts w:hint="eastAsia" w:ascii="宋体" w:hAnsi="宋体" w:cs="Calibri"/>
          <w:color w:val="000000"/>
          <w:sz w:val="22"/>
        </w:rPr>
        <w:t>2.1合同文件应能互相解释，互为说明。除本合同专用条款另有约定外，组成本合同的文件及优先解释顺序如下：</w:t>
      </w:r>
    </w:p>
    <w:p>
      <w:pPr>
        <w:adjustRightInd w:val="0"/>
        <w:snapToGrid w:val="0"/>
        <w:spacing w:line="400" w:lineRule="exact"/>
        <w:ind w:firstLine="440" w:firstLineChars="200"/>
        <w:rPr>
          <w:rFonts w:hint="eastAsia" w:ascii="宋体" w:hAnsi="宋体" w:cs="Calibri"/>
          <w:color w:val="000000"/>
          <w:sz w:val="22"/>
        </w:rPr>
      </w:pPr>
      <w:r>
        <w:rPr>
          <w:rFonts w:hint="eastAsia" w:ascii="宋体" w:hAnsi="宋体" w:cs="Calibri"/>
          <w:color w:val="000000"/>
          <w:sz w:val="22"/>
        </w:rPr>
        <w:t>(1)本合同履行过程中双方以书面形式签署的补充和修正文件；</w:t>
      </w:r>
    </w:p>
    <w:p>
      <w:pPr>
        <w:adjustRightInd w:val="0"/>
        <w:snapToGrid w:val="0"/>
        <w:spacing w:line="400" w:lineRule="exact"/>
        <w:ind w:firstLine="440" w:firstLineChars="200"/>
        <w:rPr>
          <w:rFonts w:hint="eastAsia" w:ascii="宋体" w:hAnsi="宋体" w:cs="Calibri"/>
          <w:color w:val="000000"/>
          <w:sz w:val="22"/>
        </w:rPr>
      </w:pPr>
      <w:r>
        <w:rPr>
          <w:rFonts w:hint="eastAsia" w:ascii="宋体" w:hAnsi="宋体" w:cs="Calibri"/>
          <w:color w:val="000000"/>
          <w:sz w:val="22"/>
        </w:rPr>
        <w:t>(2)本合同协议书：</w:t>
      </w:r>
    </w:p>
    <w:p>
      <w:pPr>
        <w:adjustRightInd w:val="0"/>
        <w:snapToGrid w:val="0"/>
        <w:spacing w:line="400" w:lineRule="exact"/>
        <w:ind w:firstLine="440" w:firstLineChars="200"/>
        <w:rPr>
          <w:rFonts w:hint="eastAsia" w:ascii="宋体" w:hAnsi="宋体" w:cs="Calibri"/>
          <w:color w:val="000000"/>
          <w:sz w:val="22"/>
        </w:rPr>
      </w:pPr>
      <w:r>
        <w:rPr>
          <w:rFonts w:hint="eastAsia" w:ascii="宋体" w:hAnsi="宋体" w:cs="Calibri"/>
          <w:color w:val="000000"/>
          <w:sz w:val="22"/>
        </w:rPr>
        <w:t>(3)本合同专用条款；</w:t>
      </w:r>
    </w:p>
    <w:p>
      <w:pPr>
        <w:adjustRightInd w:val="0"/>
        <w:snapToGrid w:val="0"/>
        <w:spacing w:line="400" w:lineRule="exact"/>
        <w:ind w:firstLine="440" w:firstLineChars="200"/>
        <w:rPr>
          <w:rFonts w:hint="eastAsia" w:ascii="宋体" w:hAnsi="宋体" w:cs="Calibri"/>
          <w:color w:val="000000"/>
          <w:sz w:val="22"/>
        </w:rPr>
      </w:pPr>
      <w:r>
        <w:rPr>
          <w:rFonts w:hint="eastAsia" w:ascii="宋体" w:hAnsi="宋体" w:cs="Calibri"/>
          <w:color w:val="000000"/>
          <w:sz w:val="22"/>
        </w:rPr>
        <w:t>(4)本合同通用条款。</w:t>
      </w:r>
    </w:p>
    <w:p>
      <w:pPr>
        <w:adjustRightInd w:val="0"/>
        <w:snapToGrid w:val="0"/>
        <w:spacing w:line="400" w:lineRule="exact"/>
        <w:ind w:firstLine="440" w:firstLineChars="200"/>
        <w:rPr>
          <w:rFonts w:hint="eastAsia" w:ascii="宋体" w:hAnsi="宋体" w:cs="Calibri"/>
          <w:color w:val="000000"/>
          <w:sz w:val="22"/>
        </w:rPr>
      </w:pPr>
      <w:r>
        <w:rPr>
          <w:rFonts w:hint="eastAsia" w:ascii="宋体" w:hAnsi="宋体" w:cs="Calibri"/>
          <w:color w:val="000000"/>
          <w:sz w:val="22"/>
        </w:rPr>
        <w:t>2.2当合同文件内容出现含糊不清或不相一致时，应在不影响招标</w:t>
      </w:r>
    </w:p>
    <w:p>
      <w:pPr>
        <w:adjustRightInd w:val="0"/>
        <w:snapToGrid w:val="0"/>
        <w:spacing w:line="400" w:lineRule="exact"/>
        <w:ind w:firstLine="440" w:firstLineChars="200"/>
        <w:rPr>
          <w:rFonts w:hint="eastAsia" w:ascii="宋体" w:hAnsi="宋体" w:cs="Calibri"/>
          <w:color w:val="000000"/>
          <w:sz w:val="22"/>
        </w:rPr>
      </w:pPr>
      <w:r>
        <w:rPr>
          <w:rFonts w:hint="eastAsia" w:ascii="宋体" w:hAnsi="宋体" w:cs="Calibri"/>
          <w:color w:val="000000"/>
          <w:sz w:val="22"/>
        </w:rPr>
        <w:t>代理业务正常进行的情况下，  由委托人和受托人协商解决。双方协商不成时，按本合同通用条款第12条关于争议的约定处理。</w:t>
      </w:r>
    </w:p>
    <w:p>
      <w:pPr>
        <w:adjustRightInd w:val="0"/>
        <w:snapToGrid w:val="0"/>
        <w:spacing w:line="400" w:lineRule="exact"/>
        <w:ind w:firstLine="440" w:firstLineChars="200"/>
        <w:rPr>
          <w:rFonts w:hint="eastAsia" w:ascii="宋体" w:hAnsi="宋体" w:cs="Calibri"/>
          <w:color w:val="000000"/>
          <w:sz w:val="22"/>
        </w:rPr>
      </w:pPr>
      <w:r>
        <w:rPr>
          <w:rFonts w:hint="eastAsia" w:ascii="宋体" w:hAnsi="宋体" w:cs="Calibri"/>
          <w:color w:val="000000"/>
          <w:sz w:val="22"/>
        </w:rPr>
        <w:t>3、语言文字和适用法律</w:t>
      </w:r>
    </w:p>
    <w:p>
      <w:pPr>
        <w:adjustRightInd w:val="0"/>
        <w:snapToGrid w:val="0"/>
        <w:spacing w:line="400" w:lineRule="exact"/>
        <w:ind w:firstLine="440" w:firstLineChars="200"/>
        <w:rPr>
          <w:rFonts w:hint="eastAsia" w:ascii="宋体" w:hAnsi="宋体" w:cs="Calibri"/>
          <w:color w:val="000000"/>
          <w:sz w:val="22"/>
        </w:rPr>
      </w:pPr>
      <w:r>
        <w:rPr>
          <w:rFonts w:hint="eastAsia" w:ascii="宋体" w:hAnsi="宋体" w:cs="Calibri"/>
          <w:color w:val="000000"/>
          <w:sz w:val="22"/>
        </w:rPr>
        <w:t>3.1语言文字</w:t>
      </w:r>
    </w:p>
    <w:p>
      <w:pPr>
        <w:adjustRightInd w:val="0"/>
        <w:snapToGrid w:val="0"/>
        <w:spacing w:line="400" w:lineRule="exact"/>
        <w:ind w:firstLine="440" w:firstLineChars="200"/>
        <w:rPr>
          <w:rFonts w:hint="eastAsia" w:ascii="宋体" w:hAnsi="宋体" w:cs="Calibri"/>
          <w:color w:val="000000"/>
          <w:sz w:val="22"/>
        </w:rPr>
      </w:pPr>
      <w:r>
        <w:rPr>
          <w:rFonts w:hint="eastAsia" w:ascii="宋体" w:hAnsi="宋体" w:cs="Calibri"/>
          <w:color w:val="000000"/>
          <w:sz w:val="22"/>
        </w:rPr>
        <w:t>除本合同专用条款中另有约定，本合同文件使用汉语语言文字书写、解释和说明。如本合同专用条款约定使用两种以上(含两种)语言文字时，汉语应为解释和说明本合同的标准语言文字。</w:t>
      </w:r>
    </w:p>
    <w:p>
      <w:pPr>
        <w:adjustRightInd w:val="0"/>
        <w:snapToGrid w:val="0"/>
        <w:spacing w:line="400" w:lineRule="exact"/>
        <w:ind w:firstLine="440" w:firstLineChars="200"/>
        <w:rPr>
          <w:rFonts w:hint="eastAsia" w:ascii="宋体" w:hAnsi="宋体" w:cs="Calibri"/>
          <w:color w:val="000000"/>
          <w:sz w:val="22"/>
        </w:rPr>
      </w:pPr>
      <w:r>
        <w:rPr>
          <w:rFonts w:hint="eastAsia" w:ascii="宋体" w:hAnsi="宋体" w:cs="Calibri"/>
          <w:color w:val="000000"/>
          <w:sz w:val="22"/>
        </w:rPr>
        <w:t>3.2适用法律和行政法规</w:t>
      </w:r>
    </w:p>
    <w:p>
      <w:pPr>
        <w:adjustRightInd w:val="0"/>
        <w:snapToGrid w:val="0"/>
        <w:spacing w:line="400" w:lineRule="exact"/>
        <w:ind w:firstLine="440" w:firstLineChars="200"/>
        <w:rPr>
          <w:rFonts w:hint="eastAsia" w:ascii="宋体" w:hAnsi="宋体" w:cs="Calibri"/>
          <w:color w:val="000000"/>
          <w:sz w:val="22"/>
        </w:rPr>
      </w:pPr>
      <w:r>
        <w:rPr>
          <w:rFonts w:hint="eastAsia" w:ascii="宋体" w:hAnsi="宋体" w:cs="Calibri"/>
          <w:color w:val="000000"/>
          <w:sz w:val="22"/>
        </w:rPr>
        <w:t>本合同文件适用有关法律和行政法规。需要明示的法律和行政法规，双方可在本合同专用条款中约定。</w:t>
      </w:r>
    </w:p>
    <w:p>
      <w:pPr>
        <w:adjustRightInd w:val="0"/>
        <w:snapToGrid w:val="0"/>
        <w:spacing w:line="400" w:lineRule="exact"/>
        <w:ind w:firstLine="440" w:firstLineChars="200"/>
        <w:rPr>
          <w:rFonts w:hint="eastAsia" w:ascii="宋体" w:hAnsi="宋体" w:cs="Calibri"/>
          <w:b/>
          <w:color w:val="000000"/>
          <w:sz w:val="22"/>
        </w:rPr>
      </w:pPr>
      <w:r>
        <w:rPr>
          <w:rFonts w:hint="eastAsia" w:ascii="宋体" w:hAnsi="宋体" w:cs="Calibri"/>
          <w:b/>
          <w:color w:val="000000"/>
          <w:sz w:val="22"/>
        </w:rPr>
        <w:t xml:space="preserve"> 二、双方一般权利和义务</w:t>
      </w:r>
    </w:p>
    <w:p>
      <w:pPr>
        <w:adjustRightInd w:val="0"/>
        <w:snapToGrid w:val="0"/>
        <w:spacing w:line="400" w:lineRule="exact"/>
        <w:ind w:firstLine="440" w:firstLineChars="200"/>
        <w:rPr>
          <w:rFonts w:hint="eastAsia" w:ascii="宋体" w:hAnsi="宋体" w:cs="Calibri"/>
          <w:color w:val="000000"/>
          <w:sz w:val="22"/>
        </w:rPr>
      </w:pPr>
      <w:r>
        <w:rPr>
          <w:rFonts w:hint="eastAsia" w:ascii="宋体" w:hAnsi="宋体" w:cs="Calibri"/>
          <w:color w:val="000000"/>
          <w:sz w:val="22"/>
        </w:rPr>
        <w:t>4、委托人的义务</w:t>
      </w:r>
    </w:p>
    <w:p>
      <w:pPr>
        <w:adjustRightInd w:val="0"/>
        <w:snapToGrid w:val="0"/>
        <w:spacing w:line="400" w:lineRule="exact"/>
        <w:ind w:firstLine="440" w:firstLineChars="200"/>
        <w:rPr>
          <w:rFonts w:hint="eastAsia" w:ascii="宋体" w:hAnsi="宋体" w:cs="Calibri"/>
          <w:color w:val="000000"/>
          <w:sz w:val="22"/>
        </w:rPr>
      </w:pPr>
      <w:r>
        <w:rPr>
          <w:rFonts w:hint="eastAsia" w:ascii="宋体" w:hAnsi="宋体" w:cs="Calibri"/>
          <w:color w:val="000000"/>
          <w:sz w:val="22"/>
        </w:rPr>
        <w:t>4.1委托人将委托招标代理工作的具体范围和内容在本合同专用条款中约定。</w:t>
      </w:r>
    </w:p>
    <w:p>
      <w:pPr>
        <w:adjustRightInd w:val="0"/>
        <w:snapToGrid w:val="0"/>
        <w:spacing w:line="400" w:lineRule="exact"/>
        <w:ind w:firstLine="440" w:firstLineChars="200"/>
        <w:rPr>
          <w:rFonts w:hint="eastAsia" w:ascii="宋体" w:hAnsi="宋体" w:cs="Calibri"/>
          <w:color w:val="000000"/>
          <w:sz w:val="22"/>
        </w:rPr>
      </w:pPr>
      <w:r>
        <w:rPr>
          <w:rFonts w:hint="eastAsia" w:ascii="宋体" w:hAnsi="宋体" w:cs="Calibri"/>
          <w:color w:val="000000"/>
          <w:sz w:val="22"/>
        </w:rPr>
        <w:t>4.2委托人按本合同专用条款约定的内容和时间完成下列工作：</w:t>
      </w:r>
    </w:p>
    <w:p>
      <w:pPr>
        <w:adjustRightInd w:val="0"/>
        <w:snapToGrid w:val="0"/>
        <w:spacing w:line="400" w:lineRule="exact"/>
        <w:ind w:firstLine="440" w:firstLineChars="200"/>
        <w:rPr>
          <w:rFonts w:hint="eastAsia" w:ascii="宋体" w:hAnsi="宋体" w:cs="Calibri"/>
          <w:color w:val="000000"/>
          <w:sz w:val="22"/>
        </w:rPr>
      </w:pPr>
      <w:r>
        <w:rPr>
          <w:rFonts w:hint="eastAsia" w:ascii="宋体" w:hAnsi="宋体" w:cs="Calibri"/>
          <w:color w:val="000000"/>
          <w:sz w:val="22"/>
        </w:rPr>
        <w:t>(1)  向受托人提供本工程招标代理业务应具备的相关工程前期资料(如立项批准手续规划许可、报建证等)及资金落实情况资料；</w:t>
      </w:r>
    </w:p>
    <w:p>
      <w:pPr>
        <w:adjustRightInd w:val="0"/>
        <w:snapToGrid w:val="0"/>
        <w:spacing w:line="400" w:lineRule="exact"/>
        <w:ind w:firstLine="440" w:firstLineChars="200"/>
        <w:rPr>
          <w:rFonts w:hint="eastAsia" w:ascii="宋体" w:hAnsi="宋体" w:cs="Calibri"/>
          <w:color w:val="000000"/>
          <w:sz w:val="22"/>
        </w:rPr>
      </w:pPr>
      <w:r>
        <w:rPr>
          <w:rFonts w:hint="eastAsia" w:ascii="宋体" w:hAnsi="宋体" w:cs="Calibri"/>
          <w:color w:val="000000"/>
          <w:sz w:val="22"/>
        </w:rPr>
        <w:t>(2)向受托人提供完成本工程：招标代理业务所需的全部技术资料和图纸，需要交底的须向受托人详细交底，并对提供资料的真实性、完整性、准确性负责；</w:t>
      </w:r>
    </w:p>
    <w:p>
      <w:pPr>
        <w:adjustRightInd w:val="0"/>
        <w:snapToGrid w:val="0"/>
        <w:spacing w:line="400" w:lineRule="exact"/>
        <w:ind w:firstLine="440" w:firstLineChars="200"/>
        <w:rPr>
          <w:rFonts w:hint="eastAsia" w:ascii="宋体" w:hAnsi="宋体" w:cs="Calibri"/>
          <w:color w:val="000000"/>
          <w:sz w:val="22"/>
        </w:rPr>
      </w:pPr>
      <w:r>
        <w:rPr>
          <w:rFonts w:hint="eastAsia" w:ascii="宋体" w:hAnsi="宋体" w:cs="Calibri"/>
          <w:color w:val="000000"/>
          <w:sz w:val="22"/>
        </w:rPr>
        <w:t>(3)向受托人提供保证招标工作顺利完成的条件，提供的条件在本合同专用条款内约定；</w:t>
      </w:r>
    </w:p>
    <w:p>
      <w:pPr>
        <w:adjustRightInd w:val="0"/>
        <w:snapToGrid w:val="0"/>
        <w:spacing w:line="400" w:lineRule="exact"/>
        <w:ind w:firstLine="440" w:firstLineChars="200"/>
        <w:rPr>
          <w:rFonts w:hint="eastAsia" w:ascii="宋体" w:hAnsi="宋体" w:cs="Calibri"/>
          <w:color w:val="000000"/>
          <w:sz w:val="22"/>
        </w:rPr>
      </w:pPr>
      <w:r>
        <w:rPr>
          <w:rFonts w:hint="eastAsia" w:ascii="宋体" w:hAnsi="宋体" w:cs="Calibri"/>
          <w:color w:val="000000"/>
          <w:sz w:val="22"/>
        </w:rPr>
        <w:t>(4)指定专人与受托人联系，指定人员的姓名、职务、职称在本合同专用条款内约定；</w:t>
      </w:r>
    </w:p>
    <w:p>
      <w:pPr>
        <w:adjustRightInd w:val="0"/>
        <w:snapToGrid w:val="0"/>
        <w:spacing w:line="400" w:lineRule="exact"/>
        <w:ind w:firstLine="440" w:firstLineChars="200"/>
        <w:rPr>
          <w:rFonts w:hint="eastAsia" w:ascii="宋体" w:hAnsi="宋体" w:cs="Calibri"/>
          <w:color w:val="000000"/>
          <w:sz w:val="22"/>
        </w:rPr>
      </w:pPr>
      <w:r>
        <w:rPr>
          <w:rFonts w:hint="eastAsia" w:ascii="宋体" w:hAnsi="宋体" w:cs="Calibri"/>
          <w:color w:val="000000"/>
          <w:sz w:val="22"/>
        </w:rPr>
        <w:t>(5)根据需要，作好与第三方的协调工作；</w:t>
      </w:r>
    </w:p>
    <w:p>
      <w:pPr>
        <w:adjustRightInd w:val="0"/>
        <w:snapToGrid w:val="0"/>
        <w:spacing w:line="400" w:lineRule="exact"/>
        <w:ind w:firstLine="440" w:firstLineChars="200"/>
        <w:rPr>
          <w:rFonts w:hint="eastAsia" w:ascii="宋体" w:hAnsi="宋体" w:cs="Calibri"/>
          <w:color w:val="000000"/>
          <w:sz w:val="22"/>
        </w:rPr>
      </w:pPr>
      <w:r>
        <w:rPr>
          <w:rFonts w:hint="eastAsia" w:ascii="宋体" w:hAnsi="宋体" w:cs="Calibri"/>
          <w:color w:val="000000"/>
          <w:sz w:val="22"/>
        </w:rPr>
        <w:t>(6)按本合同专用条款的约定支付代理报酬；</w:t>
      </w:r>
    </w:p>
    <w:p>
      <w:pPr>
        <w:adjustRightInd w:val="0"/>
        <w:snapToGrid w:val="0"/>
        <w:spacing w:line="400" w:lineRule="exact"/>
        <w:ind w:firstLine="440" w:firstLineChars="200"/>
        <w:rPr>
          <w:rFonts w:hint="eastAsia" w:ascii="宋体" w:hAnsi="宋体" w:cs="Calibri"/>
          <w:color w:val="000000"/>
          <w:sz w:val="22"/>
        </w:rPr>
      </w:pPr>
      <w:r>
        <w:rPr>
          <w:rFonts w:hint="eastAsia" w:ascii="宋体" w:hAnsi="宋体" w:cs="Calibri"/>
          <w:color w:val="000000"/>
          <w:sz w:val="22"/>
        </w:rPr>
        <w:t>(7)依法应尽的其他义务，双方在本合同专用条款内约定。</w:t>
      </w:r>
    </w:p>
    <w:p>
      <w:pPr>
        <w:adjustRightInd w:val="0"/>
        <w:snapToGrid w:val="0"/>
        <w:spacing w:line="400" w:lineRule="exact"/>
        <w:ind w:firstLine="440" w:firstLineChars="200"/>
        <w:rPr>
          <w:rFonts w:hint="eastAsia" w:ascii="宋体" w:hAnsi="宋体" w:cs="Calibri"/>
          <w:color w:val="000000"/>
          <w:sz w:val="22"/>
        </w:rPr>
      </w:pPr>
      <w:r>
        <w:rPr>
          <w:rFonts w:hint="eastAsia" w:ascii="宋体" w:hAnsi="宋体" w:cs="Calibri"/>
          <w:color w:val="000000"/>
          <w:sz w:val="22"/>
        </w:rPr>
        <w:t>4.3受托人在履行招标代理业务过程中，提出的超出招标代理范围的合理化建议，经委托人同意并取得经济效益，委托人应向受托人支付一定的经济奖励。</w:t>
      </w:r>
    </w:p>
    <w:p>
      <w:pPr>
        <w:adjustRightInd w:val="0"/>
        <w:snapToGrid w:val="0"/>
        <w:spacing w:line="400" w:lineRule="exact"/>
        <w:ind w:firstLine="440" w:firstLineChars="200"/>
        <w:rPr>
          <w:rFonts w:hint="eastAsia" w:ascii="宋体" w:hAnsi="宋体" w:cs="Calibri"/>
          <w:color w:val="000000"/>
          <w:sz w:val="22"/>
        </w:rPr>
      </w:pPr>
      <w:r>
        <w:rPr>
          <w:rFonts w:hint="eastAsia" w:ascii="宋体" w:hAnsi="宋体" w:cs="Calibri"/>
          <w:color w:val="000000"/>
          <w:sz w:val="22"/>
        </w:rPr>
        <w:t>4.4委托人负有对受托人为本合同提供的技术服务进行知识产权保护的责任。</w:t>
      </w:r>
    </w:p>
    <w:p>
      <w:pPr>
        <w:adjustRightInd w:val="0"/>
        <w:snapToGrid w:val="0"/>
        <w:spacing w:line="400" w:lineRule="exact"/>
        <w:ind w:firstLine="440" w:firstLineChars="200"/>
        <w:rPr>
          <w:rFonts w:hint="eastAsia" w:ascii="宋体" w:hAnsi="宋体" w:cs="Calibri"/>
          <w:color w:val="000000"/>
          <w:sz w:val="22"/>
        </w:rPr>
      </w:pPr>
      <w:r>
        <w:rPr>
          <w:rFonts w:hint="eastAsia" w:ascii="宋体" w:hAnsi="宋体" w:cs="Calibri"/>
          <w:color w:val="000000"/>
          <w:sz w:val="22"/>
        </w:rPr>
        <w:t>4.5委托人未能履行以上各项义务，给受托人造成损失的，应当赔偿受托人的有关损失。</w:t>
      </w:r>
    </w:p>
    <w:p>
      <w:pPr>
        <w:adjustRightInd w:val="0"/>
        <w:snapToGrid w:val="0"/>
        <w:spacing w:line="400" w:lineRule="exact"/>
        <w:ind w:firstLine="440" w:firstLineChars="200"/>
        <w:rPr>
          <w:rFonts w:hint="eastAsia" w:ascii="宋体" w:hAnsi="宋体" w:cs="Calibri"/>
          <w:color w:val="000000"/>
          <w:sz w:val="22"/>
        </w:rPr>
      </w:pPr>
      <w:r>
        <w:rPr>
          <w:rFonts w:hint="eastAsia" w:ascii="宋体" w:hAnsi="宋体" w:cs="Calibri"/>
          <w:color w:val="000000"/>
          <w:sz w:val="22"/>
        </w:rPr>
        <w:t>5、受托人的义务</w:t>
      </w:r>
    </w:p>
    <w:p>
      <w:pPr>
        <w:adjustRightInd w:val="0"/>
        <w:snapToGrid w:val="0"/>
        <w:spacing w:line="400" w:lineRule="exact"/>
        <w:ind w:firstLine="440" w:firstLineChars="200"/>
        <w:rPr>
          <w:rFonts w:hint="eastAsia" w:ascii="宋体" w:hAnsi="宋体" w:cs="Calibri"/>
          <w:color w:val="000000"/>
          <w:sz w:val="22"/>
        </w:rPr>
      </w:pPr>
      <w:r>
        <w:rPr>
          <w:rFonts w:hint="eastAsia" w:ascii="宋体" w:hAnsi="宋体" w:cs="Calibri"/>
          <w:color w:val="000000"/>
          <w:sz w:val="22"/>
        </w:rPr>
        <w:t>5.1受托人应根据本合同专用条款中约定的委托招标代理业务的工作范围和内容，选择有足够经验的专职技术经济人员担任招标代理项目负责人。招标代理项目负责人的姓名、身份证号在专用条款内写明。</w:t>
      </w:r>
    </w:p>
    <w:p>
      <w:pPr>
        <w:adjustRightInd w:val="0"/>
        <w:snapToGrid w:val="0"/>
        <w:spacing w:line="400" w:lineRule="exact"/>
        <w:ind w:firstLine="440" w:firstLineChars="200"/>
        <w:rPr>
          <w:rFonts w:hint="eastAsia" w:ascii="宋体" w:hAnsi="宋体" w:cs="Calibri"/>
          <w:color w:val="000000"/>
          <w:sz w:val="22"/>
        </w:rPr>
      </w:pPr>
      <w:r>
        <w:rPr>
          <w:rFonts w:hint="eastAsia" w:ascii="宋体" w:hAnsi="宋体" w:cs="Calibri"/>
          <w:color w:val="000000"/>
          <w:sz w:val="22"/>
        </w:rPr>
        <w:t>5.2受托人按本合同专用条款约定的内容和时间完成下列工作：</w:t>
      </w:r>
    </w:p>
    <w:p>
      <w:pPr>
        <w:adjustRightInd w:val="0"/>
        <w:snapToGrid w:val="0"/>
        <w:spacing w:line="400" w:lineRule="exact"/>
        <w:ind w:firstLine="440" w:firstLineChars="200"/>
        <w:rPr>
          <w:rFonts w:hint="eastAsia" w:ascii="宋体" w:hAnsi="宋体" w:cs="Calibri"/>
          <w:color w:val="000000"/>
          <w:sz w:val="22"/>
        </w:rPr>
      </w:pPr>
      <w:r>
        <w:rPr>
          <w:rFonts w:hint="eastAsia" w:ascii="宋体" w:hAnsi="宋体" w:cs="Calibri"/>
          <w:color w:val="000000"/>
          <w:sz w:val="22"/>
        </w:rPr>
        <w:t>(1)依法按照公开、公平、公正和诚实信用原则，组织招标工作，维护各方的合法权益；</w:t>
      </w:r>
    </w:p>
    <w:p>
      <w:pPr>
        <w:adjustRightInd w:val="0"/>
        <w:snapToGrid w:val="0"/>
        <w:spacing w:line="400" w:lineRule="exact"/>
        <w:ind w:firstLine="440" w:firstLineChars="200"/>
        <w:rPr>
          <w:rFonts w:hint="eastAsia" w:ascii="宋体" w:hAnsi="宋体" w:cs="Calibri"/>
          <w:color w:val="000000"/>
          <w:sz w:val="22"/>
        </w:rPr>
      </w:pPr>
      <w:r>
        <w:rPr>
          <w:rFonts w:hint="eastAsia" w:ascii="宋体" w:hAnsi="宋体" w:cs="Calibri"/>
          <w:color w:val="000000"/>
          <w:sz w:val="22"/>
        </w:rPr>
        <w:t>(2)应用专业技术与技能为委托人提供完成招标工作相关的咨询服务；</w:t>
      </w:r>
    </w:p>
    <w:p>
      <w:pPr>
        <w:adjustRightInd w:val="0"/>
        <w:snapToGrid w:val="0"/>
        <w:spacing w:line="400" w:lineRule="exact"/>
        <w:ind w:firstLine="440" w:firstLineChars="200"/>
        <w:rPr>
          <w:rFonts w:hint="eastAsia" w:ascii="宋体" w:hAnsi="宋体" w:cs="Calibri"/>
          <w:color w:val="000000"/>
          <w:sz w:val="22"/>
        </w:rPr>
      </w:pPr>
      <w:r>
        <w:rPr>
          <w:rFonts w:hint="eastAsia" w:ascii="宋体" w:hAnsi="宋体" w:cs="Calibri"/>
          <w:color w:val="000000"/>
          <w:sz w:val="22"/>
        </w:rPr>
        <w:t>(3)向委托人宣传有关工程招标的法律、行政法规和规章，解释合理的招标程序，  以便得到委托人的支持和配合；</w:t>
      </w:r>
    </w:p>
    <w:p>
      <w:pPr>
        <w:adjustRightInd w:val="0"/>
        <w:snapToGrid w:val="0"/>
        <w:spacing w:line="400" w:lineRule="exact"/>
        <w:ind w:firstLine="440" w:firstLineChars="200"/>
        <w:rPr>
          <w:rFonts w:hint="eastAsia" w:ascii="宋体" w:hAnsi="宋体" w:cs="Calibri"/>
          <w:color w:val="000000"/>
          <w:sz w:val="22"/>
        </w:rPr>
      </w:pPr>
      <w:r>
        <w:rPr>
          <w:rFonts w:hint="eastAsia" w:ascii="宋体" w:hAnsi="宋体" w:cs="Calibri"/>
          <w:color w:val="000000"/>
          <w:sz w:val="22"/>
        </w:rPr>
        <w:t>(4)依法应尽的其他义务，双方在本合同专用条款内约定。</w:t>
      </w:r>
    </w:p>
    <w:p>
      <w:pPr>
        <w:adjustRightInd w:val="0"/>
        <w:snapToGrid w:val="0"/>
        <w:spacing w:line="400" w:lineRule="exact"/>
        <w:ind w:firstLine="440" w:firstLineChars="200"/>
        <w:rPr>
          <w:rFonts w:hint="eastAsia" w:ascii="宋体" w:hAnsi="宋体" w:cs="Calibri"/>
          <w:color w:val="000000"/>
          <w:sz w:val="22"/>
        </w:rPr>
      </w:pPr>
      <w:r>
        <w:rPr>
          <w:rFonts w:hint="eastAsia" w:ascii="宋体" w:hAnsi="宋体" w:cs="Calibri"/>
          <w:color w:val="000000"/>
          <w:sz w:val="22"/>
        </w:rPr>
        <w:t>5.3受托人应对招标工作中受托人所出具有关数据的计算、技术经济资料等的科学性和准确性负责。</w:t>
      </w:r>
    </w:p>
    <w:p>
      <w:pPr>
        <w:adjustRightInd w:val="0"/>
        <w:snapToGrid w:val="0"/>
        <w:spacing w:line="400" w:lineRule="exact"/>
        <w:ind w:firstLine="440" w:firstLineChars="200"/>
        <w:rPr>
          <w:rFonts w:hint="eastAsia" w:ascii="宋体" w:hAnsi="宋体" w:cs="Calibri"/>
          <w:color w:val="000000"/>
          <w:sz w:val="22"/>
        </w:rPr>
      </w:pPr>
      <w:r>
        <w:rPr>
          <w:rFonts w:hint="eastAsia" w:ascii="宋体" w:hAnsi="宋体" w:cs="Calibri"/>
          <w:color w:val="000000"/>
          <w:sz w:val="22"/>
        </w:rPr>
        <w:t>5.4受托人不得接受与本合同工程建设项目中委托招标范围之内的相关的咨询业务。</w:t>
      </w:r>
    </w:p>
    <w:p>
      <w:pPr>
        <w:adjustRightInd w:val="0"/>
        <w:snapToGrid w:val="0"/>
        <w:spacing w:line="400" w:lineRule="exact"/>
        <w:ind w:firstLine="440" w:firstLineChars="200"/>
        <w:rPr>
          <w:rFonts w:hint="eastAsia" w:ascii="宋体" w:hAnsi="宋体" w:cs="Calibri"/>
          <w:color w:val="000000"/>
          <w:sz w:val="22"/>
        </w:rPr>
      </w:pPr>
      <w:r>
        <w:rPr>
          <w:rFonts w:hint="eastAsia" w:ascii="宋体" w:hAnsi="宋体" w:cs="Calibri"/>
          <w:color w:val="000000"/>
          <w:sz w:val="22"/>
        </w:rPr>
        <w:t>5.5受托人为本合同提供技术服务的知识产权应属受托人专有。任何第三方如果提出侵权指控，受托人须与第三方交涉并承担由此而引起的一切法律责任和费用。</w:t>
      </w:r>
    </w:p>
    <w:p>
      <w:pPr>
        <w:adjustRightInd w:val="0"/>
        <w:snapToGrid w:val="0"/>
        <w:spacing w:line="400" w:lineRule="exact"/>
        <w:ind w:firstLine="440" w:firstLineChars="200"/>
        <w:rPr>
          <w:rFonts w:hint="eastAsia" w:ascii="宋体" w:hAnsi="宋体" w:cs="Calibri"/>
          <w:color w:val="000000"/>
          <w:sz w:val="22"/>
        </w:rPr>
      </w:pPr>
      <w:r>
        <w:rPr>
          <w:rFonts w:hint="eastAsia" w:ascii="宋体" w:hAnsi="宋体" w:cs="Calibri"/>
          <w:color w:val="000000"/>
          <w:sz w:val="22"/>
        </w:rPr>
        <w:t>5.6未经委托人同意，受托人不得分包或转让本合同的任何权利和义务。</w:t>
      </w:r>
    </w:p>
    <w:p>
      <w:pPr>
        <w:adjustRightInd w:val="0"/>
        <w:snapToGrid w:val="0"/>
        <w:spacing w:line="400" w:lineRule="exact"/>
        <w:ind w:firstLine="440" w:firstLineChars="200"/>
        <w:rPr>
          <w:rFonts w:hint="eastAsia" w:ascii="宋体" w:hAnsi="宋体" w:cs="Calibri"/>
          <w:color w:val="000000"/>
          <w:sz w:val="22"/>
        </w:rPr>
      </w:pPr>
      <w:r>
        <w:rPr>
          <w:rFonts w:hint="eastAsia" w:ascii="宋体" w:hAnsi="宋体" w:cs="Calibri"/>
          <w:color w:val="000000"/>
          <w:sz w:val="22"/>
        </w:rPr>
        <w:t>5.7受托人不得接受所有投标人的礼品、宴请和任何其它好处，不得泄露招标、评标、定标过程中依法需要保密的内容。合同终止后，未经委托人同意，受托人不得泄漏与本合同工程相关的任何招标资料和情况。</w:t>
      </w:r>
    </w:p>
    <w:p>
      <w:pPr>
        <w:adjustRightInd w:val="0"/>
        <w:snapToGrid w:val="0"/>
        <w:spacing w:line="400" w:lineRule="exact"/>
        <w:ind w:firstLine="440" w:firstLineChars="200"/>
        <w:rPr>
          <w:rFonts w:hint="eastAsia" w:ascii="宋体" w:hAnsi="宋体" w:cs="Calibri"/>
          <w:color w:val="000000"/>
          <w:sz w:val="22"/>
        </w:rPr>
      </w:pPr>
      <w:r>
        <w:rPr>
          <w:rFonts w:hint="eastAsia" w:ascii="宋体" w:hAnsi="宋体" w:cs="Calibri"/>
          <w:color w:val="000000"/>
          <w:sz w:val="22"/>
        </w:rPr>
        <w:t xml:space="preserve">5.8受托人未能履行以上各项义务，给委托人造成损失的，应当赔偿委托人的有关损失。    </w:t>
      </w:r>
    </w:p>
    <w:p>
      <w:pPr>
        <w:adjustRightInd w:val="0"/>
        <w:snapToGrid w:val="0"/>
        <w:spacing w:line="400" w:lineRule="exact"/>
        <w:ind w:firstLine="440" w:firstLineChars="200"/>
        <w:rPr>
          <w:rFonts w:hint="eastAsia" w:ascii="宋体" w:hAnsi="宋体" w:cs="Calibri"/>
          <w:color w:val="000000"/>
          <w:sz w:val="22"/>
        </w:rPr>
      </w:pPr>
      <w:r>
        <w:rPr>
          <w:rFonts w:hint="eastAsia" w:ascii="宋体" w:hAnsi="宋体" w:cs="Calibri"/>
          <w:color w:val="000000"/>
          <w:sz w:val="22"/>
        </w:rPr>
        <w:t>6、委托人的权利</w:t>
      </w:r>
    </w:p>
    <w:p>
      <w:pPr>
        <w:adjustRightInd w:val="0"/>
        <w:snapToGrid w:val="0"/>
        <w:spacing w:line="400" w:lineRule="exact"/>
        <w:ind w:firstLine="440" w:firstLineChars="200"/>
        <w:rPr>
          <w:rFonts w:hint="eastAsia" w:ascii="宋体" w:hAnsi="宋体" w:cs="Calibri"/>
          <w:color w:val="000000"/>
          <w:sz w:val="22"/>
        </w:rPr>
      </w:pPr>
      <w:r>
        <w:rPr>
          <w:rFonts w:hint="eastAsia" w:ascii="宋体" w:hAnsi="宋体" w:cs="Calibri"/>
          <w:color w:val="000000"/>
          <w:sz w:val="22"/>
        </w:rPr>
        <w:t>6.1委托人拥有下列权利：</w:t>
      </w:r>
    </w:p>
    <w:p>
      <w:pPr>
        <w:adjustRightInd w:val="0"/>
        <w:snapToGrid w:val="0"/>
        <w:spacing w:line="400" w:lineRule="exact"/>
        <w:ind w:firstLine="440" w:firstLineChars="200"/>
        <w:rPr>
          <w:rFonts w:hint="eastAsia" w:ascii="宋体" w:hAnsi="宋体" w:cs="Calibri"/>
          <w:color w:val="000000"/>
          <w:sz w:val="22"/>
        </w:rPr>
      </w:pPr>
      <w:r>
        <w:rPr>
          <w:rFonts w:hint="eastAsia" w:ascii="宋体" w:hAnsi="宋体" w:cs="Calibri"/>
          <w:color w:val="000000"/>
          <w:sz w:val="22"/>
        </w:rPr>
        <w:t xml:space="preserve">(1)按合同约定，接收招标代理成果； </w:t>
      </w:r>
    </w:p>
    <w:p>
      <w:pPr>
        <w:adjustRightInd w:val="0"/>
        <w:snapToGrid w:val="0"/>
        <w:spacing w:line="400" w:lineRule="exact"/>
        <w:ind w:firstLine="440" w:firstLineChars="200"/>
        <w:rPr>
          <w:rFonts w:hint="eastAsia" w:ascii="宋体" w:hAnsi="宋体" w:cs="Calibri"/>
          <w:color w:val="000000"/>
          <w:sz w:val="22"/>
        </w:rPr>
      </w:pPr>
      <w:r>
        <w:rPr>
          <w:rFonts w:hint="eastAsia" w:ascii="宋体" w:hAnsi="宋体" w:cs="Calibri"/>
          <w:color w:val="000000"/>
          <w:sz w:val="22"/>
        </w:rPr>
        <w:t>(2)  向受托人询问本合同工程招标工作进展情况和相关内容或提出不违反法律、行政法规的建议；</w:t>
      </w:r>
    </w:p>
    <w:p>
      <w:pPr>
        <w:adjustRightInd w:val="0"/>
        <w:snapToGrid w:val="0"/>
        <w:spacing w:line="400" w:lineRule="exact"/>
        <w:ind w:firstLine="440" w:firstLineChars="200"/>
        <w:rPr>
          <w:rFonts w:hint="eastAsia" w:ascii="宋体" w:hAnsi="宋体" w:cs="Calibri"/>
          <w:color w:val="000000"/>
          <w:sz w:val="22"/>
        </w:rPr>
      </w:pPr>
      <w:r>
        <w:rPr>
          <w:rFonts w:hint="eastAsia" w:ascii="宋体" w:hAnsi="宋体" w:cs="Calibri"/>
          <w:color w:val="000000"/>
          <w:sz w:val="22"/>
        </w:rPr>
        <w:t>(3)审查受托人为本合同工程编制的各种文件，并提出修正意见；</w:t>
      </w:r>
    </w:p>
    <w:p>
      <w:pPr>
        <w:adjustRightInd w:val="0"/>
        <w:snapToGrid w:val="0"/>
        <w:spacing w:line="400" w:lineRule="exact"/>
        <w:ind w:firstLine="440" w:firstLineChars="200"/>
        <w:rPr>
          <w:rFonts w:hint="eastAsia" w:ascii="宋体" w:hAnsi="宋体" w:cs="Calibri"/>
          <w:color w:val="000000"/>
          <w:sz w:val="22"/>
        </w:rPr>
      </w:pPr>
      <w:r>
        <w:rPr>
          <w:rFonts w:hint="eastAsia" w:ascii="宋体" w:hAnsi="宋体" w:cs="Calibri"/>
          <w:color w:val="000000"/>
          <w:sz w:val="22"/>
        </w:rPr>
        <w:t>(4)要求受托人提交招标代理业务工作报告；</w:t>
      </w:r>
    </w:p>
    <w:p>
      <w:pPr>
        <w:adjustRightInd w:val="0"/>
        <w:snapToGrid w:val="0"/>
        <w:spacing w:line="400" w:lineRule="exact"/>
        <w:ind w:firstLine="440" w:firstLineChars="200"/>
        <w:rPr>
          <w:rFonts w:hint="eastAsia" w:ascii="宋体" w:hAnsi="宋体" w:cs="Calibri"/>
          <w:color w:val="000000"/>
          <w:sz w:val="22"/>
        </w:rPr>
      </w:pPr>
      <w:r>
        <w:rPr>
          <w:rFonts w:hint="eastAsia" w:ascii="宋体" w:hAnsi="宋体" w:cs="Calibri"/>
          <w:color w:val="000000"/>
          <w:sz w:val="22"/>
        </w:rPr>
        <w:t>(5)与受托人协商，建议更换其不称职的招标代理从业人员；</w:t>
      </w:r>
    </w:p>
    <w:p>
      <w:pPr>
        <w:adjustRightInd w:val="0"/>
        <w:snapToGrid w:val="0"/>
        <w:spacing w:line="400" w:lineRule="exact"/>
        <w:ind w:firstLine="440" w:firstLineChars="200"/>
        <w:rPr>
          <w:rFonts w:hint="eastAsia" w:ascii="宋体" w:hAnsi="宋体" w:cs="Calibri"/>
          <w:color w:val="000000"/>
          <w:sz w:val="22"/>
        </w:rPr>
      </w:pPr>
      <w:r>
        <w:rPr>
          <w:rFonts w:hint="eastAsia" w:ascii="宋体" w:hAnsi="宋体" w:cs="Calibri"/>
          <w:color w:val="000000"/>
          <w:sz w:val="22"/>
        </w:rPr>
        <w:t>(6)依法选择中标人；</w:t>
      </w:r>
    </w:p>
    <w:p>
      <w:pPr>
        <w:adjustRightInd w:val="0"/>
        <w:snapToGrid w:val="0"/>
        <w:spacing w:line="400" w:lineRule="exact"/>
        <w:ind w:firstLine="440" w:firstLineChars="200"/>
        <w:rPr>
          <w:rFonts w:hint="eastAsia" w:ascii="宋体" w:hAnsi="宋体" w:cs="Calibri"/>
          <w:color w:val="000000"/>
          <w:sz w:val="22"/>
        </w:rPr>
      </w:pPr>
      <w:r>
        <w:rPr>
          <w:rFonts w:hint="eastAsia" w:ascii="宋体" w:hAnsi="宋体" w:cs="Calibri"/>
          <w:color w:val="000000"/>
          <w:sz w:val="22"/>
        </w:rPr>
        <w:t>(7)本合同履行期间，由于受托人不履行合同约定的内容，给委托人造成损失或影响招标工作正常进行的，委托人有权终止本合同，并依法向受托人追索经济赔偿，直至追究法律责任；</w:t>
      </w:r>
    </w:p>
    <w:p>
      <w:pPr>
        <w:adjustRightInd w:val="0"/>
        <w:snapToGrid w:val="0"/>
        <w:spacing w:line="400" w:lineRule="exact"/>
        <w:ind w:firstLine="440" w:firstLineChars="200"/>
        <w:rPr>
          <w:rFonts w:hint="eastAsia" w:ascii="宋体" w:hAnsi="宋体" w:cs="Calibri"/>
          <w:color w:val="000000"/>
          <w:sz w:val="22"/>
        </w:rPr>
      </w:pPr>
      <w:r>
        <w:rPr>
          <w:rFonts w:hint="eastAsia" w:ascii="宋体" w:hAnsi="宋体" w:cs="Calibri"/>
          <w:color w:val="000000"/>
          <w:sz w:val="22"/>
        </w:rPr>
        <w:t>(8)依法享有的其他权利，双方在本合同专用条款内约定。</w:t>
      </w:r>
    </w:p>
    <w:p>
      <w:pPr>
        <w:adjustRightInd w:val="0"/>
        <w:snapToGrid w:val="0"/>
        <w:spacing w:line="400" w:lineRule="exact"/>
        <w:ind w:firstLine="440" w:firstLineChars="200"/>
        <w:rPr>
          <w:rFonts w:hint="eastAsia" w:ascii="宋体" w:hAnsi="宋体" w:cs="Calibri"/>
          <w:color w:val="000000"/>
          <w:sz w:val="22"/>
        </w:rPr>
      </w:pPr>
      <w:r>
        <w:rPr>
          <w:rFonts w:hint="eastAsia" w:ascii="宋体" w:hAnsi="宋体" w:cs="Calibri"/>
          <w:color w:val="000000"/>
          <w:sz w:val="22"/>
        </w:rPr>
        <w:t>7、受托人的权利</w:t>
      </w:r>
    </w:p>
    <w:p>
      <w:pPr>
        <w:adjustRightInd w:val="0"/>
        <w:snapToGrid w:val="0"/>
        <w:spacing w:line="400" w:lineRule="exact"/>
        <w:ind w:firstLine="440" w:firstLineChars="200"/>
        <w:rPr>
          <w:rFonts w:hint="eastAsia" w:ascii="宋体" w:hAnsi="宋体" w:cs="Calibri"/>
          <w:color w:val="000000"/>
          <w:sz w:val="22"/>
        </w:rPr>
      </w:pPr>
      <w:r>
        <w:rPr>
          <w:rFonts w:hint="eastAsia" w:ascii="宋体" w:hAnsi="宋体" w:cs="Calibri"/>
          <w:color w:val="000000"/>
          <w:sz w:val="22"/>
        </w:rPr>
        <w:t>7.1受托人拥有下列权利：</w:t>
      </w:r>
    </w:p>
    <w:p>
      <w:pPr>
        <w:adjustRightInd w:val="0"/>
        <w:snapToGrid w:val="0"/>
        <w:spacing w:line="400" w:lineRule="exact"/>
        <w:ind w:firstLine="440" w:firstLineChars="200"/>
        <w:rPr>
          <w:rFonts w:hint="eastAsia" w:ascii="宋体" w:hAnsi="宋体" w:cs="Calibri"/>
          <w:color w:val="000000"/>
          <w:sz w:val="22"/>
        </w:rPr>
      </w:pPr>
      <w:r>
        <w:rPr>
          <w:rFonts w:hint="eastAsia" w:ascii="宋体" w:hAnsi="宋体" w:cs="Calibri"/>
          <w:color w:val="000000"/>
          <w:sz w:val="22"/>
        </w:rPr>
        <w:t>(1)按合同约定收取委托代理报酬；</w:t>
      </w:r>
    </w:p>
    <w:p>
      <w:pPr>
        <w:adjustRightInd w:val="0"/>
        <w:snapToGrid w:val="0"/>
        <w:spacing w:line="400" w:lineRule="exact"/>
        <w:ind w:firstLine="440" w:firstLineChars="200"/>
        <w:rPr>
          <w:rFonts w:hint="eastAsia" w:ascii="宋体" w:hAnsi="宋体" w:cs="Calibri"/>
          <w:color w:val="000000"/>
          <w:sz w:val="22"/>
        </w:rPr>
      </w:pPr>
      <w:r>
        <w:rPr>
          <w:rFonts w:hint="eastAsia" w:ascii="宋体" w:hAnsi="宋体" w:cs="Calibri"/>
          <w:color w:val="000000"/>
          <w:sz w:val="22"/>
        </w:rPr>
        <w:t>(2)对招标过程中应由委托人做出的决定，受托人有权提出建议</w:t>
      </w:r>
    </w:p>
    <w:p>
      <w:pPr>
        <w:adjustRightInd w:val="0"/>
        <w:snapToGrid w:val="0"/>
        <w:spacing w:line="400" w:lineRule="exact"/>
        <w:ind w:firstLine="440" w:firstLineChars="200"/>
        <w:rPr>
          <w:rFonts w:hint="eastAsia" w:ascii="宋体" w:hAnsi="宋体" w:cs="Calibri"/>
          <w:color w:val="000000"/>
          <w:sz w:val="22"/>
        </w:rPr>
      </w:pPr>
      <w:r>
        <w:rPr>
          <w:rFonts w:hint="eastAsia" w:ascii="宋体" w:hAnsi="宋体" w:cs="Calibri"/>
          <w:color w:val="000000"/>
          <w:sz w:val="22"/>
        </w:rPr>
        <w:t>(3)当委托人提供的资料不足或不明确时，有权要求委托人补足材料或作出明确的答复；</w:t>
      </w:r>
    </w:p>
    <w:p>
      <w:pPr>
        <w:adjustRightInd w:val="0"/>
        <w:snapToGrid w:val="0"/>
        <w:spacing w:line="400" w:lineRule="exact"/>
        <w:ind w:firstLine="440" w:firstLineChars="200"/>
        <w:rPr>
          <w:rFonts w:hint="eastAsia" w:ascii="宋体" w:hAnsi="宋体" w:cs="Calibri"/>
          <w:color w:val="000000"/>
          <w:sz w:val="22"/>
        </w:rPr>
      </w:pPr>
      <w:r>
        <w:rPr>
          <w:rFonts w:hint="eastAsia" w:ascii="宋体" w:hAnsi="宋体" w:cs="Calibri"/>
          <w:color w:val="000000"/>
          <w:sz w:val="22"/>
        </w:rPr>
        <w:t>(4)拒绝委托人提出的违反法律、行政法规的要求，并向委托作出解释；</w:t>
      </w:r>
    </w:p>
    <w:p>
      <w:pPr>
        <w:adjustRightInd w:val="0"/>
        <w:snapToGrid w:val="0"/>
        <w:spacing w:line="400" w:lineRule="exact"/>
        <w:ind w:firstLine="440" w:firstLineChars="200"/>
        <w:rPr>
          <w:rFonts w:hint="eastAsia" w:ascii="宋体" w:hAnsi="宋体" w:cs="Calibri"/>
          <w:color w:val="000000"/>
          <w:sz w:val="22"/>
        </w:rPr>
      </w:pPr>
      <w:r>
        <w:rPr>
          <w:rFonts w:hint="eastAsia" w:ascii="宋体" w:hAnsi="宋体" w:cs="Calibri"/>
          <w:color w:val="000000"/>
          <w:sz w:val="22"/>
        </w:rPr>
        <w:t>(5)有权参加委托人组织的涉及招标工作的所有会议和活动；</w:t>
      </w:r>
    </w:p>
    <w:p>
      <w:pPr>
        <w:adjustRightInd w:val="0"/>
        <w:snapToGrid w:val="0"/>
        <w:spacing w:line="400" w:lineRule="exact"/>
        <w:ind w:firstLine="440" w:firstLineChars="200"/>
        <w:rPr>
          <w:rFonts w:hint="eastAsia" w:ascii="宋体" w:hAnsi="宋体" w:cs="Calibri"/>
          <w:color w:val="000000"/>
          <w:sz w:val="22"/>
        </w:rPr>
      </w:pPr>
      <w:r>
        <w:rPr>
          <w:rFonts w:hint="eastAsia" w:ascii="宋体" w:hAnsi="宋体" w:cs="Calibri"/>
          <w:color w:val="000000"/>
          <w:sz w:val="22"/>
        </w:rPr>
        <w:t>(6)对于为本合同工程编制的所有文件拥有知识产权，委托人，使用或复制的权利；</w:t>
      </w:r>
    </w:p>
    <w:p>
      <w:pPr>
        <w:adjustRightInd w:val="0"/>
        <w:snapToGrid w:val="0"/>
        <w:spacing w:line="400" w:lineRule="exact"/>
        <w:ind w:firstLine="440" w:firstLineChars="200"/>
        <w:rPr>
          <w:rFonts w:hint="eastAsia" w:ascii="宋体" w:hAnsi="宋体" w:cs="Calibri"/>
          <w:color w:val="000000"/>
          <w:sz w:val="22"/>
        </w:rPr>
      </w:pPr>
      <w:r>
        <w:rPr>
          <w:rFonts w:hint="eastAsia" w:ascii="宋体" w:hAnsi="宋体" w:cs="Calibri"/>
          <w:color w:val="000000"/>
          <w:sz w:val="22"/>
        </w:rPr>
        <w:t>(7)依法享有的其他权利，双方在本合同专用条款内约定。</w:t>
      </w:r>
    </w:p>
    <w:p>
      <w:pPr>
        <w:adjustRightInd w:val="0"/>
        <w:snapToGrid w:val="0"/>
        <w:spacing w:line="400" w:lineRule="exact"/>
        <w:ind w:firstLine="440" w:firstLineChars="200"/>
        <w:rPr>
          <w:rFonts w:hint="eastAsia" w:ascii="宋体" w:hAnsi="宋体" w:cs="Calibri"/>
          <w:b/>
          <w:color w:val="000000"/>
          <w:sz w:val="22"/>
        </w:rPr>
      </w:pPr>
      <w:r>
        <w:rPr>
          <w:rFonts w:hint="eastAsia" w:ascii="宋体" w:hAnsi="宋体" w:cs="Calibri"/>
          <w:b/>
          <w:color w:val="000000"/>
          <w:sz w:val="22"/>
        </w:rPr>
        <w:t>三、委托代理报酬与收取</w:t>
      </w:r>
    </w:p>
    <w:p>
      <w:pPr>
        <w:adjustRightInd w:val="0"/>
        <w:snapToGrid w:val="0"/>
        <w:spacing w:line="400" w:lineRule="exact"/>
        <w:ind w:firstLine="440" w:firstLineChars="200"/>
        <w:rPr>
          <w:rFonts w:hint="eastAsia" w:ascii="宋体" w:hAnsi="宋体" w:cs="Calibri"/>
          <w:color w:val="000000"/>
          <w:sz w:val="22"/>
        </w:rPr>
      </w:pPr>
      <w:r>
        <w:rPr>
          <w:rFonts w:hint="eastAsia" w:ascii="宋体" w:hAnsi="宋体" w:cs="Calibri"/>
          <w:color w:val="000000"/>
          <w:sz w:val="22"/>
        </w:rPr>
        <w:t>8、委托代理报酬</w:t>
      </w:r>
    </w:p>
    <w:p>
      <w:pPr>
        <w:adjustRightInd w:val="0"/>
        <w:snapToGrid w:val="0"/>
        <w:spacing w:line="400" w:lineRule="exact"/>
        <w:ind w:firstLine="440" w:firstLineChars="200"/>
        <w:rPr>
          <w:rFonts w:hint="eastAsia" w:ascii="宋体" w:hAnsi="宋体" w:cs="Calibri"/>
          <w:color w:val="000000"/>
          <w:sz w:val="22"/>
        </w:rPr>
      </w:pPr>
      <w:r>
        <w:rPr>
          <w:rFonts w:hint="eastAsia" w:ascii="宋体" w:hAnsi="宋体" w:cs="Calibri"/>
          <w:color w:val="000000"/>
          <w:sz w:val="22"/>
        </w:rPr>
        <w:t>8.1双方按照本合同约定的招标代理业务范围，在本合同专用条款内约定委托代理报酬的计算方法、金额、币种、汇率和支付方式、时间。</w:t>
      </w:r>
    </w:p>
    <w:p>
      <w:pPr>
        <w:adjustRightInd w:val="0"/>
        <w:snapToGrid w:val="0"/>
        <w:spacing w:line="400" w:lineRule="exact"/>
        <w:ind w:firstLine="440" w:firstLineChars="200"/>
        <w:rPr>
          <w:rFonts w:hint="eastAsia" w:ascii="宋体" w:hAnsi="宋体" w:cs="Calibri"/>
          <w:color w:val="000000"/>
          <w:sz w:val="22"/>
        </w:rPr>
      </w:pPr>
      <w:r>
        <w:rPr>
          <w:rFonts w:hint="eastAsia" w:ascii="宋体" w:hAnsi="宋体" w:cs="Calibri"/>
          <w:color w:val="000000"/>
          <w:sz w:val="22"/>
        </w:rPr>
        <w:t>8.2受托人对所承接的招标代理业务需要出外考察的，其外出人员数量和费用，经委托人同意后，向委托人实报实销。</w:t>
      </w:r>
    </w:p>
    <w:p>
      <w:pPr>
        <w:adjustRightInd w:val="0"/>
        <w:snapToGrid w:val="0"/>
        <w:spacing w:line="400" w:lineRule="exact"/>
        <w:ind w:firstLine="440" w:firstLineChars="200"/>
        <w:rPr>
          <w:rFonts w:hint="eastAsia" w:ascii="宋体" w:hAnsi="宋体" w:cs="Calibri"/>
          <w:color w:val="000000"/>
          <w:sz w:val="22"/>
        </w:rPr>
      </w:pPr>
      <w:r>
        <w:rPr>
          <w:rFonts w:hint="eastAsia" w:ascii="宋体" w:hAnsi="宋体" w:cs="Calibri"/>
          <w:color w:val="000000"/>
          <w:sz w:val="22"/>
        </w:rPr>
        <w:t>8.3在招标代理业务范围内所发生的费用  (如：评标会务费、评标专家的差旅费、劳务费、公证费等)，由委托人与受托人在补充条款中约定。</w:t>
      </w:r>
    </w:p>
    <w:p>
      <w:pPr>
        <w:adjustRightInd w:val="0"/>
        <w:snapToGrid w:val="0"/>
        <w:spacing w:line="400" w:lineRule="exact"/>
        <w:ind w:firstLine="440" w:firstLineChars="200"/>
        <w:rPr>
          <w:rFonts w:hint="eastAsia" w:ascii="宋体" w:hAnsi="宋体" w:cs="Calibri"/>
          <w:color w:val="000000"/>
          <w:sz w:val="22"/>
        </w:rPr>
      </w:pPr>
      <w:r>
        <w:rPr>
          <w:rFonts w:hint="eastAsia" w:ascii="宋体" w:hAnsi="宋体" w:cs="Calibri"/>
          <w:color w:val="000000"/>
          <w:sz w:val="22"/>
        </w:rPr>
        <w:t>9、委托代理报酬的收取</w:t>
      </w:r>
    </w:p>
    <w:p>
      <w:pPr>
        <w:adjustRightInd w:val="0"/>
        <w:snapToGrid w:val="0"/>
        <w:spacing w:line="400" w:lineRule="exact"/>
        <w:ind w:firstLine="440" w:firstLineChars="200"/>
        <w:rPr>
          <w:rFonts w:hint="eastAsia" w:ascii="宋体" w:hAnsi="宋体" w:cs="Calibri"/>
          <w:color w:val="000000"/>
          <w:sz w:val="22"/>
        </w:rPr>
      </w:pPr>
      <w:r>
        <w:rPr>
          <w:rFonts w:hint="eastAsia" w:ascii="宋体" w:hAnsi="宋体" w:cs="Calibri"/>
          <w:color w:val="000000"/>
          <w:sz w:val="22"/>
        </w:rPr>
        <w:t>9.1由委托人支付代理报酬的，在本合同签订后10日内，委托人应向受托人支付不少于全部代理报酬20％的代理预付款，具体额度(或比例)双方在专用条款内约定。</w:t>
      </w:r>
    </w:p>
    <w:p>
      <w:pPr>
        <w:adjustRightInd w:val="0"/>
        <w:snapToGrid w:val="0"/>
        <w:spacing w:line="400" w:lineRule="exact"/>
        <w:ind w:firstLine="440" w:firstLineChars="200"/>
        <w:rPr>
          <w:rFonts w:hint="eastAsia" w:ascii="宋体" w:hAnsi="宋体" w:cs="Calibri"/>
          <w:color w:val="000000"/>
          <w:sz w:val="22"/>
        </w:rPr>
      </w:pPr>
      <w:r>
        <w:rPr>
          <w:rFonts w:hint="eastAsia" w:ascii="宋体" w:hAnsi="宋体" w:cs="Calibri"/>
          <w:color w:val="000000"/>
          <w:sz w:val="22"/>
        </w:rPr>
        <w:t>由中标人支付代理报酬的，在中标人与委托人签订承包合同5日内，将本合同约定的全部委托代理报酬一次性支付给受托人。</w:t>
      </w:r>
    </w:p>
    <w:p>
      <w:pPr>
        <w:adjustRightInd w:val="0"/>
        <w:snapToGrid w:val="0"/>
        <w:spacing w:line="400" w:lineRule="exact"/>
        <w:ind w:firstLine="440" w:firstLineChars="200"/>
        <w:rPr>
          <w:rFonts w:hint="eastAsia" w:ascii="宋体" w:hAnsi="宋体" w:cs="Calibri"/>
          <w:color w:val="000000"/>
          <w:sz w:val="22"/>
        </w:rPr>
      </w:pPr>
      <w:r>
        <w:rPr>
          <w:rFonts w:hint="eastAsia" w:ascii="宋体" w:hAnsi="宋体" w:cs="Calibri"/>
          <w:color w:val="000000"/>
          <w:sz w:val="22"/>
        </w:rPr>
        <w:t>9.2受托人完成委托人委托的招标代理工作范围以外的工作，为附加服务项目，应收取的报酬由双方协商，签订补充协议。</w:t>
      </w:r>
    </w:p>
    <w:p>
      <w:pPr>
        <w:adjustRightInd w:val="0"/>
        <w:snapToGrid w:val="0"/>
        <w:spacing w:line="400" w:lineRule="exact"/>
        <w:ind w:firstLine="440" w:firstLineChars="200"/>
        <w:rPr>
          <w:rFonts w:hint="eastAsia" w:ascii="宋体" w:hAnsi="宋体" w:cs="Calibri"/>
          <w:color w:val="000000"/>
          <w:sz w:val="22"/>
        </w:rPr>
      </w:pPr>
      <w:r>
        <w:rPr>
          <w:rFonts w:hint="eastAsia" w:ascii="宋体" w:hAnsi="宋体" w:cs="Calibri"/>
          <w:color w:val="000000"/>
          <w:sz w:val="22"/>
        </w:rPr>
        <w:t>9.3委托人在本合同专用条款约定的支付时间内，未能如期支付代理预付费用，自应支付之日起，按同期银行贷款利率，计算支付代理预付费用的利息。</w:t>
      </w:r>
    </w:p>
    <w:p>
      <w:pPr>
        <w:adjustRightInd w:val="0"/>
        <w:snapToGrid w:val="0"/>
        <w:spacing w:line="400" w:lineRule="exact"/>
        <w:ind w:firstLine="440" w:firstLineChars="200"/>
        <w:rPr>
          <w:rFonts w:hint="eastAsia" w:ascii="宋体" w:hAnsi="宋体" w:cs="Calibri"/>
          <w:color w:val="000000"/>
          <w:sz w:val="22"/>
        </w:rPr>
      </w:pPr>
      <w:r>
        <w:rPr>
          <w:rFonts w:hint="eastAsia" w:ascii="宋体" w:hAnsi="宋体" w:cs="Calibri"/>
          <w:color w:val="000000"/>
          <w:sz w:val="22"/>
        </w:rPr>
        <w:t>9.4委托人在本合同专用条款约定的支付时间内，未能如期支付代理报酬，除应承担违约责任外，还应按同期银行贷款利率，计算支付应付代理报酬的利息。</w:t>
      </w:r>
    </w:p>
    <w:p>
      <w:pPr>
        <w:adjustRightInd w:val="0"/>
        <w:snapToGrid w:val="0"/>
        <w:spacing w:line="400" w:lineRule="exact"/>
        <w:ind w:firstLine="440" w:firstLineChars="200"/>
        <w:rPr>
          <w:rFonts w:hint="eastAsia" w:ascii="宋体" w:hAnsi="宋体" w:cs="Calibri"/>
          <w:color w:val="000000"/>
          <w:sz w:val="22"/>
        </w:rPr>
      </w:pPr>
      <w:r>
        <w:rPr>
          <w:rFonts w:hint="eastAsia" w:ascii="宋体" w:hAnsi="宋体" w:cs="Calibri"/>
          <w:color w:val="000000"/>
          <w:sz w:val="22"/>
        </w:rPr>
        <w:t>9.5委托代理报酬应由委托人按本合同专用条款约定的支付方法和时间，直接向受托人支付；或受托人按照约定直接向中标人收取。</w:t>
      </w:r>
    </w:p>
    <w:p>
      <w:pPr>
        <w:adjustRightInd w:val="0"/>
        <w:snapToGrid w:val="0"/>
        <w:spacing w:line="400" w:lineRule="exact"/>
        <w:ind w:firstLine="440" w:firstLineChars="200"/>
        <w:rPr>
          <w:rFonts w:hint="eastAsia" w:ascii="宋体" w:hAnsi="宋体" w:cs="Calibri"/>
          <w:b/>
          <w:color w:val="000000"/>
          <w:sz w:val="22"/>
        </w:rPr>
      </w:pPr>
      <w:r>
        <w:rPr>
          <w:rFonts w:hint="eastAsia" w:ascii="宋体" w:hAnsi="宋体" w:cs="Calibri"/>
          <w:b/>
          <w:color w:val="000000"/>
          <w:sz w:val="22"/>
        </w:rPr>
        <w:t>四、违约、索赔和争议</w:t>
      </w:r>
    </w:p>
    <w:p>
      <w:pPr>
        <w:adjustRightInd w:val="0"/>
        <w:snapToGrid w:val="0"/>
        <w:spacing w:line="400" w:lineRule="exact"/>
        <w:ind w:firstLine="440" w:firstLineChars="200"/>
        <w:rPr>
          <w:rFonts w:hint="eastAsia" w:ascii="宋体" w:hAnsi="宋体" w:cs="Calibri"/>
          <w:color w:val="000000"/>
          <w:sz w:val="22"/>
        </w:rPr>
      </w:pPr>
      <w:r>
        <w:rPr>
          <w:rFonts w:hint="eastAsia" w:ascii="宋体" w:hAnsi="宋体" w:cs="Calibri"/>
          <w:color w:val="000000"/>
          <w:sz w:val="22"/>
        </w:rPr>
        <w:t>10、违约</w:t>
      </w:r>
    </w:p>
    <w:p>
      <w:pPr>
        <w:adjustRightInd w:val="0"/>
        <w:snapToGrid w:val="0"/>
        <w:spacing w:line="400" w:lineRule="exact"/>
        <w:ind w:firstLine="440" w:firstLineChars="200"/>
        <w:rPr>
          <w:rFonts w:hint="eastAsia" w:ascii="宋体" w:hAnsi="宋体" w:cs="Calibri"/>
          <w:color w:val="000000"/>
          <w:sz w:val="22"/>
        </w:rPr>
      </w:pPr>
      <w:r>
        <w:rPr>
          <w:rFonts w:hint="eastAsia" w:ascii="宋体" w:hAnsi="宋体" w:cs="Calibri"/>
          <w:color w:val="000000"/>
          <w:sz w:val="22"/>
        </w:rPr>
        <w:t>10.1委托人违约。当发生下列情况时：</w:t>
      </w:r>
    </w:p>
    <w:p>
      <w:pPr>
        <w:adjustRightInd w:val="0"/>
        <w:snapToGrid w:val="0"/>
        <w:spacing w:line="400" w:lineRule="exact"/>
        <w:ind w:firstLine="440" w:firstLineChars="200"/>
        <w:rPr>
          <w:rFonts w:hint="eastAsia" w:ascii="宋体" w:hAnsi="宋体" w:cs="Calibri"/>
          <w:color w:val="000000"/>
          <w:sz w:val="22"/>
        </w:rPr>
      </w:pPr>
      <w:r>
        <w:rPr>
          <w:rFonts w:hint="eastAsia" w:ascii="宋体" w:hAnsi="宋体" w:cs="Calibri"/>
          <w:color w:val="000000"/>
          <w:sz w:val="22"/>
        </w:rPr>
        <w:t>(1)本合同通用条款第4.2一(3)款提到的委托人未按本合同专用条款的约定向委托人提供为保证招标工作顺利完成的条件，致使招标工作无法进行；</w:t>
      </w:r>
    </w:p>
    <w:p>
      <w:pPr>
        <w:adjustRightInd w:val="0"/>
        <w:snapToGrid w:val="0"/>
        <w:spacing w:line="400" w:lineRule="exact"/>
        <w:ind w:firstLine="440" w:firstLineChars="200"/>
        <w:rPr>
          <w:rFonts w:hint="eastAsia" w:ascii="宋体" w:hAnsi="宋体" w:cs="Calibri"/>
          <w:color w:val="000000"/>
          <w:sz w:val="22"/>
        </w:rPr>
      </w:pPr>
      <w:r>
        <w:rPr>
          <w:rFonts w:hint="eastAsia" w:ascii="宋体" w:hAnsi="宋体" w:cs="Calibri"/>
          <w:color w:val="000000"/>
          <w:sz w:val="22"/>
        </w:rPr>
        <w:t>(2)本合同通用条款第4.2一(6)款提到的委托人未按本合同专用条款的约定向受托人支付委托代理报酬；</w:t>
      </w:r>
    </w:p>
    <w:p>
      <w:pPr>
        <w:adjustRightInd w:val="0"/>
        <w:snapToGrid w:val="0"/>
        <w:spacing w:line="400" w:lineRule="exact"/>
        <w:ind w:firstLine="440" w:firstLineChars="200"/>
        <w:rPr>
          <w:rFonts w:hint="eastAsia" w:ascii="宋体" w:hAnsi="宋体" w:cs="Calibri"/>
          <w:color w:val="000000"/>
          <w:sz w:val="22"/>
        </w:rPr>
      </w:pPr>
      <w:r>
        <w:rPr>
          <w:rFonts w:hint="eastAsia" w:ascii="宋体" w:hAnsi="宋体" w:cs="Calibri"/>
          <w:color w:val="000000"/>
          <w:sz w:val="22"/>
        </w:rPr>
        <w:t>(3)委托人不履行合同义务或不按合同约定履行义务的其他情况。</w:t>
      </w:r>
    </w:p>
    <w:p>
      <w:pPr>
        <w:adjustRightInd w:val="0"/>
        <w:snapToGrid w:val="0"/>
        <w:spacing w:line="400" w:lineRule="exact"/>
        <w:ind w:firstLine="440" w:firstLineChars="200"/>
        <w:rPr>
          <w:rFonts w:hint="eastAsia" w:ascii="宋体" w:hAnsi="宋体" w:cs="Calibri"/>
          <w:color w:val="000000"/>
          <w:sz w:val="22"/>
        </w:rPr>
      </w:pPr>
      <w:r>
        <w:rPr>
          <w:rFonts w:hint="eastAsia" w:ascii="宋体" w:hAnsi="宋体" w:cs="Calibri"/>
          <w:color w:val="000000"/>
          <w:sz w:val="22"/>
        </w:rPr>
        <w:t xml:space="preserve">    委托人承担违约责任，赔偿因其违约给受托人造成的经济损失，双方在本合同专用条款内约定委托人赔偿受托人损失的计算方法或委托人应当支付违约金的数额或计算方法。</w:t>
      </w:r>
    </w:p>
    <w:p>
      <w:pPr>
        <w:adjustRightInd w:val="0"/>
        <w:snapToGrid w:val="0"/>
        <w:spacing w:line="400" w:lineRule="exact"/>
        <w:ind w:firstLine="440" w:firstLineChars="200"/>
        <w:rPr>
          <w:rFonts w:hint="eastAsia" w:ascii="宋体" w:hAnsi="宋体" w:cs="Calibri"/>
          <w:color w:val="000000"/>
          <w:sz w:val="22"/>
        </w:rPr>
      </w:pPr>
      <w:r>
        <w:rPr>
          <w:rFonts w:hint="eastAsia" w:ascii="宋体" w:hAnsi="宋体" w:cs="Calibri"/>
          <w:color w:val="000000"/>
          <w:sz w:val="22"/>
        </w:rPr>
        <w:t>10.2受托人违约。当发生下列情况时：</w:t>
      </w:r>
    </w:p>
    <w:p>
      <w:pPr>
        <w:adjustRightInd w:val="0"/>
        <w:snapToGrid w:val="0"/>
        <w:spacing w:line="400" w:lineRule="exact"/>
        <w:ind w:firstLine="440" w:firstLineChars="200"/>
        <w:rPr>
          <w:rFonts w:hint="eastAsia" w:ascii="宋体" w:hAnsi="宋体" w:cs="Calibri"/>
          <w:color w:val="000000"/>
          <w:sz w:val="22"/>
        </w:rPr>
      </w:pPr>
      <w:r>
        <w:rPr>
          <w:rFonts w:hint="eastAsia" w:ascii="宋体" w:hAnsi="宋体" w:cs="Calibri"/>
          <w:color w:val="000000"/>
          <w:sz w:val="22"/>
        </w:rPr>
        <w:t>(1)本合同通用条款第5.2一(2)款提到的受托人未按本合同专用条款的约定，向委托人提供为完成招标工作的咨询服务；</w:t>
      </w:r>
    </w:p>
    <w:p>
      <w:pPr>
        <w:adjustRightInd w:val="0"/>
        <w:snapToGrid w:val="0"/>
        <w:spacing w:line="400" w:lineRule="exact"/>
        <w:ind w:firstLine="440" w:firstLineChars="200"/>
        <w:rPr>
          <w:rFonts w:hint="eastAsia" w:ascii="宋体" w:hAnsi="宋体" w:cs="Calibri"/>
          <w:color w:val="000000"/>
          <w:sz w:val="22"/>
        </w:rPr>
      </w:pPr>
      <w:r>
        <w:rPr>
          <w:rFonts w:hint="eastAsia" w:ascii="宋体" w:hAnsi="宋体" w:cs="Calibri"/>
          <w:color w:val="000000"/>
          <w:sz w:val="22"/>
        </w:rPr>
        <w:t>(2)本合同通用条款第5.4款提到的受托人未按本合同专用条款的约定，接受了与本合同工程建设项目有关的投标咨询业务；</w:t>
      </w:r>
    </w:p>
    <w:p>
      <w:pPr>
        <w:adjustRightInd w:val="0"/>
        <w:snapToGrid w:val="0"/>
        <w:spacing w:line="400" w:lineRule="exact"/>
        <w:ind w:firstLine="440" w:firstLineChars="200"/>
        <w:rPr>
          <w:rFonts w:hint="eastAsia" w:ascii="宋体" w:hAnsi="宋体" w:cs="Calibri"/>
          <w:color w:val="000000"/>
          <w:sz w:val="22"/>
        </w:rPr>
      </w:pPr>
      <w:r>
        <w:rPr>
          <w:rFonts w:hint="eastAsia" w:ascii="宋体" w:hAnsi="宋体" w:cs="Calibri"/>
          <w:color w:val="000000"/>
          <w:sz w:val="22"/>
        </w:rPr>
        <w:t>(3)本合同通用条款第5.7款提到的受托人未按本合同专用条款的约定，泄露了与本合同工程相关的任何招标资料和情况；</w:t>
      </w:r>
    </w:p>
    <w:p>
      <w:pPr>
        <w:adjustRightInd w:val="0"/>
        <w:snapToGrid w:val="0"/>
        <w:spacing w:line="400" w:lineRule="exact"/>
        <w:ind w:firstLine="440" w:firstLineChars="200"/>
        <w:rPr>
          <w:rFonts w:hint="eastAsia" w:ascii="宋体" w:hAnsi="宋体" w:cs="Calibri"/>
          <w:color w:val="000000"/>
          <w:sz w:val="22"/>
        </w:rPr>
      </w:pPr>
      <w:r>
        <w:rPr>
          <w:rFonts w:hint="eastAsia" w:ascii="宋体" w:hAnsi="宋体" w:cs="Calibri"/>
          <w:color w:val="000000"/>
          <w:sz w:val="22"/>
        </w:rPr>
        <w:t>(4)受托人不履行合同义务或不按合同约定履行义务的其他情况。</w:t>
      </w:r>
    </w:p>
    <w:p>
      <w:pPr>
        <w:adjustRightInd w:val="0"/>
        <w:snapToGrid w:val="0"/>
        <w:spacing w:line="400" w:lineRule="exact"/>
        <w:ind w:firstLine="440" w:firstLineChars="200"/>
        <w:rPr>
          <w:rFonts w:hint="eastAsia" w:ascii="宋体" w:hAnsi="宋体" w:cs="Calibri"/>
          <w:color w:val="000000"/>
          <w:sz w:val="22"/>
        </w:rPr>
      </w:pPr>
      <w:r>
        <w:rPr>
          <w:rFonts w:hint="eastAsia" w:ascii="宋体" w:hAnsi="宋体" w:cs="Calibri"/>
          <w:color w:val="000000"/>
          <w:sz w:val="22"/>
        </w:rPr>
        <w:t>受托人承担违约责任，赔偿因其违约给委托人造成的经济损失，双方在本合同专用条款内约定受托人赔偿委托人损失的计算方法或受托人应当支付违约金的数额或计算方法。受托人承担违约责任，赔偿金额最高不应超过委托代理报酬的金额(扣除税金)。</w:t>
      </w:r>
    </w:p>
    <w:p>
      <w:pPr>
        <w:adjustRightInd w:val="0"/>
        <w:snapToGrid w:val="0"/>
        <w:spacing w:line="400" w:lineRule="exact"/>
        <w:ind w:firstLine="440" w:firstLineChars="200"/>
        <w:rPr>
          <w:rFonts w:hint="eastAsia" w:ascii="宋体" w:hAnsi="宋体" w:cs="Calibri"/>
          <w:color w:val="000000"/>
          <w:sz w:val="22"/>
        </w:rPr>
      </w:pPr>
      <w:r>
        <w:rPr>
          <w:rFonts w:hint="eastAsia" w:ascii="宋体" w:hAnsi="宋体" w:cs="Calibri"/>
          <w:color w:val="000000"/>
          <w:sz w:val="22"/>
        </w:rPr>
        <w:t>10.3第三方违约。如果一方的违约被认定为是与第三方共同造成</w:t>
      </w:r>
    </w:p>
    <w:p>
      <w:pPr>
        <w:adjustRightInd w:val="0"/>
        <w:snapToGrid w:val="0"/>
        <w:spacing w:line="400" w:lineRule="exact"/>
        <w:ind w:firstLine="440" w:firstLineChars="200"/>
        <w:rPr>
          <w:rFonts w:hint="eastAsia" w:ascii="宋体" w:hAnsi="宋体" w:cs="Calibri"/>
          <w:color w:val="000000"/>
          <w:sz w:val="22"/>
        </w:rPr>
      </w:pPr>
      <w:r>
        <w:rPr>
          <w:rFonts w:hint="eastAsia" w:ascii="宋体" w:hAnsi="宋体" w:cs="Calibri"/>
          <w:color w:val="000000"/>
          <w:sz w:val="22"/>
        </w:rPr>
        <w:t>的，则应由合同双方中有违约的一方先行向另一方承担全部违约责任，再由承担违约责任的一方向第三方追索。</w:t>
      </w:r>
    </w:p>
    <w:p>
      <w:pPr>
        <w:adjustRightInd w:val="0"/>
        <w:snapToGrid w:val="0"/>
        <w:spacing w:line="400" w:lineRule="exact"/>
        <w:ind w:firstLine="440" w:firstLineChars="200"/>
        <w:rPr>
          <w:rFonts w:hint="eastAsia" w:ascii="宋体" w:hAnsi="宋体" w:cs="Calibri"/>
          <w:color w:val="000000"/>
          <w:sz w:val="22"/>
        </w:rPr>
      </w:pPr>
      <w:r>
        <w:rPr>
          <w:rFonts w:hint="eastAsia" w:ascii="宋体" w:hAnsi="宋体" w:cs="Calibri"/>
          <w:color w:val="000000"/>
          <w:sz w:val="22"/>
        </w:rPr>
        <w:t>11、索赔</w:t>
      </w:r>
    </w:p>
    <w:p>
      <w:pPr>
        <w:adjustRightInd w:val="0"/>
        <w:snapToGrid w:val="0"/>
        <w:spacing w:line="400" w:lineRule="exact"/>
        <w:ind w:firstLine="440" w:firstLineChars="200"/>
        <w:rPr>
          <w:rFonts w:hint="eastAsia" w:ascii="宋体" w:hAnsi="宋体" w:cs="Calibri"/>
          <w:color w:val="000000"/>
          <w:sz w:val="22"/>
        </w:rPr>
      </w:pPr>
      <w:r>
        <w:rPr>
          <w:rFonts w:hint="eastAsia" w:ascii="宋体" w:hAnsi="宋体" w:cs="Calibri"/>
          <w:color w:val="000000"/>
          <w:sz w:val="22"/>
        </w:rPr>
        <w:t>11.1当事人一方向另一方提出索赔时，要有正当的索赔理由，且有索赔事件发生时的有效证据。</w:t>
      </w:r>
    </w:p>
    <w:p>
      <w:pPr>
        <w:adjustRightInd w:val="0"/>
        <w:snapToGrid w:val="0"/>
        <w:spacing w:line="400" w:lineRule="exact"/>
        <w:ind w:firstLine="440" w:firstLineChars="200"/>
        <w:rPr>
          <w:rFonts w:hint="eastAsia" w:ascii="宋体" w:hAnsi="宋体" w:cs="Calibri"/>
          <w:color w:val="000000"/>
          <w:sz w:val="22"/>
        </w:rPr>
      </w:pPr>
      <w:r>
        <w:rPr>
          <w:rFonts w:hint="eastAsia" w:ascii="宋体" w:hAnsi="宋体" w:cs="Calibri"/>
          <w:color w:val="000000"/>
          <w:sz w:val="22"/>
        </w:rPr>
        <w:t>11.2委托人未能按合同约定履行自己的各项义务，或者发生应由委托人承担责任的其他情况，给受托人造成损失，受托人可按下列程序以书面形式向委托人索赔：</w:t>
      </w:r>
    </w:p>
    <w:p>
      <w:pPr>
        <w:adjustRightInd w:val="0"/>
        <w:snapToGrid w:val="0"/>
        <w:spacing w:line="400" w:lineRule="exact"/>
        <w:ind w:firstLine="440" w:firstLineChars="200"/>
        <w:rPr>
          <w:rFonts w:hint="eastAsia" w:ascii="宋体" w:hAnsi="宋体" w:cs="Calibri"/>
          <w:color w:val="000000"/>
          <w:sz w:val="22"/>
        </w:rPr>
      </w:pPr>
      <w:r>
        <w:rPr>
          <w:rFonts w:hint="eastAsia" w:ascii="宋体" w:hAnsi="宋体" w:cs="Calibri"/>
          <w:color w:val="000000"/>
          <w:sz w:val="22"/>
        </w:rPr>
        <w:t>(1)索赔事件发生后7天内，向委托人发出索赔报告及有关资料；</w:t>
      </w:r>
    </w:p>
    <w:p>
      <w:pPr>
        <w:adjustRightInd w:val="0"/>
        <w:snapToGrid w:val="0"/>
        <w:spacing w:line="400" w:lineRule="exact"/>
        <w:ind w:firstLine="440" w:firstLineChars="200"/>
        <w:rPr>
          <w:rFonts w:hint="eastAsia" w:ascii="宋体" w:hAnsi="宋体" w:cs="Calibri"/>
          <w:color w:val="000000"/>
          <w:sz w:val="22"/>
        </w:rPr>
      </w:pPr>
      <w:r>
        <w:rPr>
          <w:rFonts w:hint="eastAsia" w:ascii="宋体" w:hAnsi="宋体" w:cs="Calibri"/>
          <w:color w:val="000000"/>
          <w:sz w:val="22"/>
        </w:rPr>
        <w:t>(2)委托人收到受托人的索赔报告及有关资料后，于7天内给予答复，或要求受托人进一步补充索赔理由和证据；</w:t>
      </w:r>
    </w:p>
    <w:p>
      <w:pPr>
        <w:adjustRightInd w:val="0"/>
        <w:snapToGrid w:val="0"/>
        <w:spacing w:line="400" w:lineRule="exact"/>
        <w:ind w:firstLine="440" w:firstLineChars="200"/>
        <w:rPr>
          <w:rFonts w:hint="eastAsia" w:ascii="宋体" w:hAnsi="宋体" w:cs="Calibri"/>
          <w:color w:val="000000"/>
          <w:sz w:val="22"/>
        </w:rPr>
      </w:pPr>
      <w:r>
        <w:rPr>
          <w:rFonts w:hint="eastAsia" w:ascii="宋体" w:hAnsi="宋体" w:cs="Calibri"/>
          <w:color w:val="000000"/>
          <w:sz w:val="22"/>
        </w:rPr>
        <w:t>(3)委托人在收到受托人送交的索赔报告和有关资料后7天内未予答复，或未对受托人作进一步要求，视为该项索赔已经认可。</w:t>
      </w:r>
    </w:p>
    <w:p>
      <w:pPr>
        <w:adjustRightInd w:val="0"/>
        <w:snapToGrid w:val="0"/>
        <w:spacing w:line="400" w:lineRule="exact"/>
        <w:ind w:firstLine="440" w:firstLineChars="200"/>
        <w:rPr>
          <w:rFonts w:hint="eastAsia" w:ascii="宋体" w:hAnsi="宋体" w:cs="Calibri"/>
          <w:color w:val="000000"/>
          <w:sz w:val="22"/>
        </w:rPr>
      </w:pPr>
      <w:r>
        <w:rPr>
          <w:rFonts w:hint="eastAsia" w:ascii="宋体" w:hAnsi="宋体" w:cs="Calibri"/>
          <w:color w:val="000000"/>
          <w:sz w:val="22"/>
        </w:rPr>
        <w:t>11.3受托人未能按合同约定履行自己的各项义务，或者发生应由受托人承担责任的其他情况，给委托人造成经济损失，委托人可按11.2款确定的时限和程序向受托人提出索赔。</w:t>
      </w:r>
    </w:p>
    <w:p>
      <w:pPr>
        <w:adjustRightInd w:val="0"/>
        <w:snapToGrid w:val="0"/>
        <w:spacing w:line="400" w:lineRule="exact"/>
        <w:ind w:firstLine="440" w:firstLineChars="200"/>
        <w:rPr>
          <w:rFonts w:hint="eastAsia" w:ascii="宋体" w:hAnsi="宋体" w:cs="Calibri"/>
          <w:color w:val="000000"/>
          <w:sz w:val="22"/>
        </w:rPr>
      </w:pPr>
      <w:r>
        <w:rPr>
          <w:rFonts w:hint="eastAsia" w:ascii="宋体" w:hAnsi="宋体" w:cs="Calibri"/>
          <w:color w:val="000000"/>
          <w:sz w:val="22"/>
        </w:rPr>
        <w:t>12、争议</w:t>
      </w:r>
    </w:p>
    <w:p>
      <w:pPr>
        <w:adjustRightInd w:val="0"/>
        <w:snapToGrid w:val="0"/>
        <w:spacing w:line="400" w:lineRule="exact"/>
        <w:ind w:firstLine="440" w:firstLineChars="200"/>
        <w:rPr>
          <w:rFonts w:hint="eastAsia" w:ascii="宋体" w:hAnsi="宋体" w:cs="Calibri"/>
          <w:color w:val="000000"/>
          <w:sz w:val="22"/>
        </w:rPr>
      </w:pPr>
      <w:r>
        <w:rPr>
          <w:rFonts w:hint="eastAsia" w:ascii="宋体" w:hAnsi="宋体" w:cs="Calibri"/>
          <w:color w:val="000000"/>
          <w:sz w:val="22"/>
        </w:rPr>
        <w:t>12.1委托人和受托人在履行合同时发生争议，可以和解或者向有关部门或机构申请调解。  当事人不愿和解、调解或者和解、调解不成的，双方可以在本合同专用条款内约定以下一种方式解决争议：</w:t>
      </w:r>
    </w:p>
    <w:p>
      <w:pPr>
        <w:adjustRightInd w:val="0"/>
        <w:snapToGrid w:val="0"/>
        <w:spacing w:line="400" w:lineRule="exact"/>
        <w:ind w:firstLine="440" w:firstLineChars="200"/>
        <w:rPr>
          <w:rFonts w:hint="eastAsia" w:ascii="宋体" w:hAnsi="宋体" w:cs="Calibri"/>
          <w:color w:val="000000"/>
          <w:sz w:val="22"/>
        </w:rPr>
      </w:pPr>
      <w:r>
        <w:rPr>
          <w:rFonts w:hint="eastAsia" w:ascii="宋体" w:hAnsi="宋体" w:cs="Calibri"/>
          <w:color w:val="000000"/>
          <w:sz w:val="22"/>
        </w:rPr>
        <w:t>(1)</w:t>
      </w:r>
      <w:r>
        <w:rPr>
          <w:rFonts w:hint="eastAsia" w:ascii="宋体" w:hAnsi="宋体" w:cs="Calibri"/>
          <w:color w:val="000000"/>
          <w:sz w:val="22"/>
        </w:rPr>
        <w:tab/>
      </w:r>
      <w:r>
        <w:rPr>
          <w:rFonts w:hint="eastAsia" w:ascii="宋体" w:hAnsi="宋体" w:cs="Calibri"/>
          <w:color w:val="000000"/>
          <w:sz w:val="22"/>
        </w:rPr>
        <w:t>双方达成仲裁协议，向约定的仲裁委员会申请仲裁；</w:t>
      </w:r>
    </w:p>
    <w:p>
      <w:pPr>
        <w:adjustRightInd w:val="0"/>
        <w:snapToGrid w:val="0"/>
        <w:spacing w:line="400" w:lineRule="exact"/>
        <w:ind w:firstLine="440" w:firstLineChars="200"/>
        <w:rPr>
          <w:rFonts w:hint="eastAsia" w:ascii="宋体" w:hAnsi="宋体" w:cs="Calibri"/>
          <w:color w:val="000000"/>
          <w:sz w:val="22"/>
        </w:rPr>
      </w:pPr>
      <w:r>
        <w:rPr>
          <w:rFonts w:hint="eastAsia" w:ascii="宋体" w:hAnsi="宋体" w:cs="Calibri"/>
          <w:color w:val="000000"/>
          <w:sz w:val="22"/>
        </w:rPr>
        <w:t>(2)向有管辖权的人民法院起诉。</w:t>
      </w:r>
    </w:p>
    <w:p>
      <w:pPr>
        <w:adjustRightInd w:val="0"/>
        <w:snapToGrid w:val="0"/>
        <w:spacing w:line="400" w:lineRule="exact"/>
        <w:ind w:firstLine="440" w:firstLineChars="200"/>
        <w:rPr>
          <w:rFonts w:hint="eastAsia" w:ascii="宋体" w:hAnsi="宋体" w:cs="Calibri"/>
          <w:b/>
          <w:color w:val="000000"/>
          <w:sz w:val="22"/>
        </w:rPr>
      </w:pPr>
      <w:r>
        <w:rPr>
          <w:rFonts w:hint="eastAsia" w:ascii="宋体" w:hAnsi="宋体" w:cs="Calibri"/>
          <w:b/>
          <w:color w:val="000000"/>
          <w:sz w:val="22"/>
        </w:rPr>
        <w:t>五、合同变更、生效与终止</w:t>
      </w:r>
    </w:p>
    <w:p>
      <w:pPr>
        <w:adjustRightInd w:val="0"/>
        <w:snapToGrid w:val="0"/>
        <w:spacing w:line="400" w:lineRule="exact"/>
        <w:ind w:firstLine="440" w:firstLineChars="200"/>
        <w:rPr>
          <w:rFonts w:hint="eastAsia" w:ascii="宋体" w:hAnsi="宋体" w:cs="Calibri"/>
          <w:color w:val="000000"/>
          <w:sz w:val="22"/>
        </w:rPr>
      </w:pPr>
      <w:r>
        <w:rPr>
          <w:rFonts w:hint="eastAsia" w:ascii="宋体" w:hAnsi="宋体" w:cs="Calibri"/>
          <w:color w:val="000000"/>
          <w:sz w:val="22"/>
        </w:rPr>
        <w:t>13、合同变更或解除</w:t>
      </w:r>
    </w:p>
    <w:p>
      <w:pPr>
        <w:adjustRightInd w:val="0"/>
        <w:snapToGrid w:val="0"/>
        <w:spacing w:line="400" w:lineRule="exact"/>
        <w:ind w:firstLine="440" w:firstLineChars="200"/>
        <w:rPr>
          <w:rFonts w:hint="eastAsia" w:ascii="宋体" w:hAnsi="宋体" w:cs="Calibri"/>
          <w:color w:val="000000"/>
          <w:sz w:val="22"/>
        </w:rPr>
      </w:pPr>
      <w:r>
        <w:rPr>
          <w:rFonts w:hint="eastAsia" w:ascii="宋体" w:hAnsi="宋体" w:cs="Calibri"/>
          <w:color w:val="000000"/>
          <w:sz w:val="22"/>
        </w:rPr>
        <w:t>13.1本合同签订后，由于委托人原因，使得受托人不能持续履行招标代理业务时，委托人应及时通知受托人暂停招标代理业务。 当需要恢复招标代理业务时，应当在正式恢复前7天通知受托人。</w:t>
      </w:r>
    </w:p>
    <w:p>
      <w:pPr>
        <w:adjustRightInd w:val="0"/>
        <w:snapToGrid w:val="0"/>
        <w:spacing w:line="400" w:lineRule="exact"/>
        <w:ind w:firstLine="440" w:firstLineChars="200"/>
        <w:rPr>
          <w:rFonts w:hint="eastAsia" w:ascii="宋体" w:hAnsi="宋体" w:cs="Calibri"/>
          <w:color w:val="000000"/>
          <w:sz w:val="22"/>
        </w:rPr>
      </w:pPr>
      <w:r>
        <w:rPr>
          <w:rFonts w:hint="eastAsia" w:ascii="宋体" w:hAnsi="宋体" w:cs="Calibri"/>
          <w:color w:val="000000"/>
          <w:sz w:val="22"/>
        </w:rPr>
        <w:t>若暂停时间超过六个月，当需要恢复招标代理业务时，委托人应支付重新启动该招标代理工作一定的补偿费用，具体计算方法经双方协商以补充协议确定。</w:t>
      </w:r>
    </w:p>
    <w:p>
      <w:pPr>
        <w:adjustRightInd w:val="0"/>
        <w:snapToGrid w:val="0"/>
        <w:spacing w:line="400" w:lineRule="exact"/>
        <w:ind w:firstLine="440" w:firstLineChars="200"/>
        <w:rPr>
          <w:rFonts w:hint="eastAsia" w:ascii="宋体" w:hAnsi="宋体" w:cs="Calibri"/>
          <w:color w:val="000000"/>
          <w:sz w:val="22"/>
        </w:rPr>
      </w:pPr>
      <w:r>
        <w:rPr>
          <w:rFonts w:hint="eastAsia" w:ascii="宋体" w:hAnsi="宋体" w:cs="Calibri"/>
          <w:color w:val="000000"/>
          <w:sz w:val="22"/>
        </w:rPr>
        <w:t>13.2本合同签订后，如因法律、行政法规发生变化或由于任何后续新颁布的法律、行政法规导致服务所需的成本或时间发生改变，则本合同约定的服务报酬和服务期限由双方签订补充协议进行相应调整。</w:t>
      </w:r>
    </w:p>
    <w:p>
      <w:pPr>
        <w:adjustRightInd w:val="0"/>
        <w:snapToGrid w:val="0"/>
        <w:spacing w:line="400" w:lineRule="exact"/>
        <w:ind w:firstLine="440" w:firstLineChars="200"/>
        <w:rPr>
          <w:rFonts w:hint="eastAsia" w:ascii="宋体" w:hAnsi="宋体" w:cs="Calibri"/>
          <w:color w:val="000000"/>
          <w:sz w:val="22"/>
        </w:rPr>
      </w:pPr>
      <w:r>
        <w:rPr>
          <w:rFonts w:hint="eastAsia" w:ascii="宋体" w:hAnsi="宋体" w:cs="Calibri"/>
          <w:color w:val="000000"/>
          <w:sz w:val="22"/>
        </w:rPr>
        <w:t>13.3本合同当事人一方要求变更或解除合同时，除法律、行政法规另有规定外，应与对方当事人协商一致并达成书面协议。末达成书面协议的，本合同依然有效。</w:t>
      </w:r>
    </w:p>
    <w:p>
      <w:pPr>
        <w:adjustRightInd w:val="0"/>
        <w:snapToGrid w:val="0"/>
        <w:spacing w:line="400" w:lineRule="exact"/>
        <w:ind w:firstLine="440" w:firstLineChars="200"/>
        <w:rPr>
          <w:rFonts w:hint="eastAsia" w:ascii="宋体" w:hAnsi="宋体" w:cs="Calibri"/>
          <w:color w:val="000000"/>
          <w:sz w:val="22"/>
        </w:rPr>
      </w:pPr>
      <w:r>
        <w:rPr>
          <w:rFonts w:hint="eastAsia" w:ascii="宋体" w:hAnsi="宋体" w:cs="Calibri"/>
          <w:color w:val="000000"/>
          <w:sz w:val="22"/>
        </w:rPr>
        <w:t>13.4因解除合同使当事人一方遭受损失的，除依法可以免除责任外，应由责任方负责赔偿对方的损失，赔偿方法与金额由双方在协议书中约定。</w:t>
      </w:r>
    </w:p>
    <w:p>
      <w:pPr>
        <w:adjustRightInd w:val="0"/>
        <w:snapToGrid w:val="0"/>
        <w:spacing w:line="400" w:lineRule="exact"/>
        <w:ind w:firstLine="440" w:firstLineChars="200"/>
        <w:rPr>
          <w:rFonts w:hint="eastAsia" w:ascii="宋体" w:hAnsi="宋体" w:cs="Calibri"/>
          <w:color w:val="000000"/>
          <w:sz w:val="22"/>
        </w:rPr>
      </w:pPr>
      <w:r>
        <w:rPr>
          <w:rFonts w:hint="eastAsia" w:ascii="宋体" w:hAnsi="宋体" w:cs="Calibri"/>
          <w:color w:val="000000"/>
          <w:sz w:val="22"/>
        </w:rPr>
        <w:t>14、合同生效</w:t>
      </w:r>
    </w:p>
    <w:p>
      <w:pPr>
        <w:adjustRightInd w:val="0"/>
        <w:snapToGrid w:val="0"/>
        <w:spacing w:line="400" w:lineRule="exact"/>
        <w:ind w:firstLine="440" w:firstLineChars="200"/>
        <w:rPr>
          <w:rFonts w:hint="eastAsia" w:ascii="宋体" w:hAnsi="宋体" w:cs="Calibri"/>
          <w:color w:val="000000"/>
          <w:sz w:val="22"/>
        </w:rPr>
      </w:pPr>
      <w:r>
        <w:rPr>
          <w:rFonts w:hint="eastAsia" w:ascii="宋体" w:hAnsi="宋体" w:cs="Calibri"/>
          <w:color w:val="000000"/>
          <w:sz w:val="22"/>
        </w:rPr>
        <w:t>14.1除生效条件双方在协议书中另有约定外，本合同自双方签字盖章之日起生效。</w:t>
      </w:r>
    </w:p>
    <w:p>
      <w:pPr>
        <w:adjustRightInd w:val="0"/>
        <w:snapToGrid w:val="0"/>
        <w:spacing w:line="400" w:lineRule="exact"/>
        <w:ind w:firstLine="440" w:firstLineChars="200"/>
        <w:rPr>
          <w:rFonts w:hint="eastAsia" w:ascii="宋体" w:hAnsi="宋体" w:cs="Calibri"/>
          <w:color w:val="000000"/>
          <w:sz w:val="22"/>
        </w:rPr>
      </w:pPr>
      <w:r>
        <w:rPr>
          <w:rFonts w:hint="eastAsia" w:ascii="宋体" w:hAnsi="宋体" w:cs="Calibri"/>
          <w:color w:val="000000"/>
          <w:sz w:val="22"/>
        </w:rPr>
        <w:t>15、合同终止</w:t>
      </w:r>
    </w:p>
    <w:p>
      <w:pPr>
        <w:adjustRightInd w:val="0"/>
        <w:snapToGrid w:val="0"/>
        <w:spacing w:line="400" w:lineRule="exact"/>
        <w:ind w:firstLine="440" w:firstLineChars="200"/>
        <w:rPr>
          <w:rFonts w:hint="eastAsia" w:ascii="宋体" w:hAnsi="宋体" w:cs="Calibri"/>
          <w:color w:val="000000"/>
          <w:sz w:val="22"/>
        </w:rPr>
      </w:pPr>
      <w:r>
        <w:rPr>
          <w:rFonts w:hint="eastAsia" w:ascii="宋体" w:hAnsi="宋体" w:cs="Calibri"/>
          <w:color w:val="000000"/>
          <w:sz w:val="22"/>
        </w:rPr>
        <w:t>15.1受托人完成委托人全部委托招标代理业务，且委托人或中标人支付了全部代理报酬(含附加服务的报酬)后本合同终止。</w:t>
      </w:r>
    </w:p>
    <w:p>
      <w:pPr>
        <w:adjustRightInd w:val="0"/>
        <w:snapToGrid w:val="0"/>
        <w:spacing w:line="400" w:lineRule="exact"/>
        <w:ind w:firstLine="440" w:firstLineChars="200"/>
        <w:rPr>
          <w:rFonts w:hint="eastAsia" w:ascii="宋体" w:hAnsi="宋体" w:cs="Calibri"/>
          <w:color w:val="000000"/>
          <w:sz w:val="22"/>
        </w:rPr>
      </w:pPr>
      <w:r>
        <w:rPr>
          <w:rFonts w:hint="eastAsia" w:ascii="宋体" w:hAnsi="宋体" w:cs="Calibri"/>
          <w:color w:val="000000"/>
          <w:sz w:val="22"/>
        </w:rPr>
        <w:t>15.2本合同终止并不影响各方应有的权利和应承担的义务。</w:t>
      </w:r>
    </w:p>
    <w:p>
      <w:pPr>
        <w:adjustRightInd w:val="0"/>
        <w:snapToGrid w:val="0"/>
        <w:spacing w:line="400" w:lineRule="exact"/>
        <w:ind w:firstLine="440" w:firstLineChars="200"/>
        <w:rPr>
          <w:rFonts w:hint="eastAsia" w:ascii="宋体" w:hAnsi="宋体" w:cs="Calibri"/>
          <w:color w:val="000000"/>
          <w:sz w:val="22"/>
        </w:rPr>
      </w:pPr>
      <w:r>
        <w:rPr>
          <w:rFonts w:hint="eastAsia" w:ascii="宋体" w:hAnsi="宋体" w:cs="Calibri"/>
          <w:color w:val="000000"/>
          <w:sz w:val="22"/>
        </w:rPr>
        <w:t>15.3因不可抗力，致使当事人一方或双方不能履行本合同时，双方应协商确定本合同继续履行的条件或终止本合同。如果双方不能就本合同继续履行的条件或终止本合同达成一致意见，本合同自行终止。除委托人应付给受托人已完成工作的报酬外，各自承担相应的损失。</w:t>
      </w:r>
    </w:p>
    <w:p>
      <w:pPr>
        <w:adjustRightInd w:val="0"/>
        <w:snapToGrid w:val="0"/>
        <w:spacing w:line="400" w:lineRule="exact"/>
        <w:ind w:firstLine="440" w:firstLineChars="200"/>
        <w:rPr>
          <w:rFonts w:ascii="宋体" w:hAnsi="宋体" w:cs="Calibri"/>
          <w:color w:val="000000"/>
          <w:sz w:val="22"/>
        </w:rPr>
      </w:pPr>
      <w:r>
        <w:rPr>
          <w:rFonts w:hint="eastAsia" w:ascii="宋体" w:hAnsi="宋体" w:cs="Calibri"/>
          <w:color w:val="000000"/>
          <w:sz w:val="22"/>
        </w:rPr>
        <w:t>15.4本合同的权利义务终止后，委托人和受托人应当遵循诚实信用原则，履行通知、协助、保密等义务。</w:t>
      </w:r>
    </w:p>
    <w:p>
      <w:pPr>
        <w:adjustRightInd/>
        <w:snapToGrid/>
        <w:spacing w:line="400" w:lineRule="exact"/>
        <w:ind w:firstLine="440" w:firstLineChars="200"/>
        <w:rPr>
          <w:rFonts w:hint="eastAsia" w:ascii="宋体" w:hAnsi="宋体" w:cs="Times New Roman"/>
          <w:snapToGrid w:val="0"/>
          <w:color w:val="auto"/>
          <w:kern w:val="0"/>
          <w:sz w:val="22"/>
        </w:rPr>
      </w:pPr>
      <w:r>
        <w:rPr>
          <w:rFonts w:hint="eastAsia" w:ascii="宋体" w:hAnsi="宋体" w:cs="Calibri"/>
          <w:color w:val="000000"/>
          <w:sz w:val="22"/>
        </w:rPr>
        <w:t>15.5</w:t>
      </w:r>
      <w:r>
        <w:rPr>
          <w:rFonts w:ascii="Microsoft YaHei,Segoe UI Emoji" w:hAnsi="Microsoft YaHei,Segoe UI Emoji"/>
          <w:color w:val="000000"/>
          <w:szCs w:val="21"/>
        </w:rPr>
        <w:t>甲方有权因自身管理模式或者组织结构调整等原因而提前解除合同，乙方承诺接受并不提出任何异议，且甲方不向乙方承担任何违约责</w:t>
      </w:r>
      <w:r>
        <w:rPr>
          <w:rFonts w:hint="eastAsia" w:ascii="Microsoft YaHei,Segoe UI Emoji" w:hAnsi="Microsoft YaHei,Segoe UI Emoji"/>
          <w:color w:val="000000"/>
          <w:szCs w:val="21"/>
        </w:rPr>
        <w:t>任</w:t>
      </w:r>
      <w:r>
        <w:rPr>
          <w:rFonts w:ascii="Microsoft YaHei,Segoe UI Emoji" w:hAnsi="Microsoft YaHei,Segoe UI Emoji"/>
          <w:color w:val="000000"/>
          <w:szCs w:val="21"/>
        </w:rPr>
        <w:t>。</w:t>
      </w:r>
    </w:p>
    <w:p>
      <w:pPr>
        <w:adjustRightInd w:val="0"/>
        <w:snapToGrid w:val="0"/>
        <w:spacing w:line="400" w:lineRule="exact"/>
        <w:ind w:firstLine="440" w:firstLineChars="200"/>
        <w:rPr>
          <w:rFonts w:hint="eastAsia" w:ascii="宋体" w:hAnsi="宋体" w:cs="Calibri"/>
          <w:b/>
          <w:color w:val="000000"/>
          <w:sz w:val="22"/>
        </w:rPr>
      </w:pPr>
      <w:r>
        <w:rPr>
          <w:rFonts w:hint="eastAsia" w:ascii="宋体" w:hAnsi="宋体" w:cs="Calibri"/>
          <w:b/>
          <w:color w:val="000000"/>
          <w:sz w:val="22"/>
        </w:rPr>
        <w:t>六、其他</w:t>
      </w:r>
    </w:p>
    <w:p>
      <w:pPr>
        <w:adjustRightInd w:val="0"/>
        <w:snapToGrid w:val="0"/>
        <w:spacing w:line="400" w:lineRule="exact"/>
        <w:ind w:firstLine="440" w:firstLineChars="200"/>
        <w:rPr>
          <w:rFonts w:hint="eastAsia" w:ascii="宋体" w:hAnsi="宋体" w:cs="Calibri"/>
          <w:color w:val="000000"/>
          <w:sz w:val="22"/>
        </w:rPr>
      </w:pPr>
      <w:r>
        <w:rPr>
          <w:rFonts w:hint="eastAsia" w:ascii="宋体" w:hAnsi="宋体" w:cs="Calibri"/>
          <w:color w:val="000000"/>
          <w:sz w:val="22"/>
        </w:rPr>
        <w:t>16、合同的份数</w:t>
      </w:r>
    </w:p>
    <w:p>
      <w:pPr>
        <w:adjustRightInd w:val="0"/>
        <w:snapToGrid w:val="0"/>
        <w:spacing w:line="400" w:lineRule="exact"/>
        <w:ind w:firstLine="440" w:firstLineChars="200"/>
        <w:rPr>
          <w:rFonts w:hint="eastAsia" w:ascii="宋体" w:hAnsi="宋体" w:cs="Calibri"/>
          <w:color w:val="000000"/>
          <w:sz w:val="22"/>
        </w:rPr>
      </w:pPr>
      <w:r>
        <w:rPr>
          <w:rFonts w:hint="eastAsia" w:ascii="宋体" w:hAnsi="宋体" w:cs="Calibri"/>
          <w:color w:val="000000"/>
          <w:sz w:val="22"/>
        </w:rPr>
        <w:t>16.1本合同正本一式陆份，委托人和受托人各执三份。副本根据双方需要在本合同专用条款内约定。</w:t>
      </w:r>
    </w:p>
    <w:p>
      <w:pPr>
        <w:adjustRightInd w:val="0"/>
        <w:snapToGrid w:val="0"/>
        <w:spacing w:line="400" w:lineRule="exact"/>
        <w:ind w:firstLine="440" w:firstLineChars="200"/>
        <w:rPr>
          <w:rFonts w:hint="eastAsia" w:ascii="宋体" w:hAnsi="宋体" w:cs="Calibri"/>
          <w:color w:val="000000"/>
          <w:sz w:val="22"/>
        </w:rPr>
      </w:pPr>
      <w:r>
        <w:rPr>
          <w:rFonts w:hint="eastAsia" w:ascii="宋体" w:hAnsi="宋体" w:cs="Calibri"/>
          <w:color w:val="000000"/>
          <w:sz w:val="22"/>
        </w:rPr>
        <w:t>17、补充条款</w:t>
      </w:r>
    </w:p>
    <w:p>
      <w:pPr>
        <w:adjustRightInd w:val="0"/>
        <w:snapToGrid w:val="0"/>
        <w:spacing w:line="400" w:lineRule="exact"/>
        <w:ind w:firstLine="440" w:firstLineChars="200"/>
        <w:rPr>
          <w:rFonts w:ascii="宋体" w:hAnsi="宋体" w:cs="Calibri"/>
          <w:color w:val="000000"/>
          <w:sz w:val="22"/>
        </w:rPr>
      </w:pPr>
      <w:r>
        <w:rPr>
          <w:rFonts w:hint="eastAsia" w:ascii="宋体" w:hAnsi="宋体" w:cs="Calibri"/>
          <w:color w:val="000000"/>
          <w:sz w:val="22"/>
        </w:rPr>
        <w:t>双方根据有关法律、行政法规规定，结合本合同招标工程实际，经协商一致后，可对本合同通用条款未涉及的内容进行补充。</w:t>
      </w:r>
    </w:p>
    <w:p>
      <w:pPr>
        <w:adjustRightInd w:val="0"/>
        <w:snapToGrid w:val="0"/>
        <w:spacing w:line="400" w:lineRule="exact"/>
        <w:ind w:firstLine="440" w:firstLineChars="200"/>
        <w:rPr>
          <w:rFonts w:ascii="宋体" w:hAnsi="宋体" w:cs="Calibri"/>
          <w:color w:val="000000"/>
          <w:sz w:val="22"/>
        </w:rPr>
      </w:pPr>
      <w:r>
        <w:rPr>
          <w:rFonts w:ascii="宋体" w:hAnsi="宋体" w:cs="Calibri"/>
          <w:color w:val="000000"/>
          <w:sz w:val="22"/>
        </w:rPr>
        <w:t xml:space="preserve"> </w:t>
      </w:r>
    </w:p>
    <w:p>
      <w:pPr>
        <w:adjustRightInd w:val="0"/>
        <w:snapToGrid w:val="0"/>
        <w:spacing w:line="400" w:lineRule="exact"/>
        <w:ind w:firstLine="440" w:firstLineChars="200"/>
        <w:rPr>
          <w:rFonts w:ascii="宋体" w:hAnsi="宋体" w:cs="Calibri"/>
          <w:color w:val="000000"/>
          <w:sz w:val="22"/>
        </w:rPr>
      </w:pPr>
      <w:r>
        <w:rPr>
          <w:rFonts w:ascii="宋体" w:hAnsi="宋体" w:cs="Calibri"/>
          <w:color w:val="000000"/>
          <w:sz w:val="22"/>
        </w:rPr>
        <w:t xml:space="preserve"> </w:t>
      </w:r>
    </w:p>
    <w:p>
      <w:pPr>
        <w:adjustRightInd w:val="0"/>
        <w:snapToGrid w:val="0"/>
        <w:spacing w:line="400" w:lineRule="exact"/>
        <w:ind w:firstLine="440" w:firstLineChars="200"/>
        <w:rPr>
          <w:rFonts w:ascii="宋体" w:hAnsi="宋体" w:cs="Calibri"/>
          <w:color w:val="000000"/>
          <w:sz w:val="22"/>
        </w:rPr>
      </w:pPr>
      <w:r>
        <w:rPr>
          <w:rFonts w:ascii="宋体" w:hAnsi="宋体" w:cs="Calibri"/>
          <w:color w:val="000000"/>
          <w:sz w:val="22"/>
        </w:rPr>
        <w:t xml:space="preserve"> </w:t>
      </w:r>
    </w:p>
    <w:p>
      <w:pPr>
        <w:adjustRightInd w:val="0"/>
        <w:snapToGrid w:val="0"/>
        <w:spacing w:line="400" w:lineRule="exact"/>
        <w:ind w:firstLine="440" w:firstLineChars="200"/>
        <w:rPr>
          <w:rFonts w:ascii="宋体" w:hAnsi="宋体" w:cs="Calibri"/>
          <w:color w:val="000000"/>
          <w:sz w:val="22"/>
        </w:rPr>
      </w:pPr>
      <w:r>
        <w:rPr>
          <w:rFonts w:ascii="宋体" w:hAnsi="宋体" w:cs="Calibri"/>
          <w:color w:val="000000"/>
          <w:sz w:val="22"/>
        </w:rPr>
        <w:t xml:space="preserve"> </w:t>
      </w:r>
    </w:p>
    <w:p>
      <w:pPr>
        <w:adjustRightInd w:val="0"/>
        <w:snapToGrid w:val="0"/>
        <w:spacing w:line="400" w:lineRule="exact"/>
        <w:ind w:firstLine="440" w:firstLineChars="200"/>
        <w:rPr>
          <w:rFonts w:ascii="宋体" w:hAnsi="宋体" w:cs="Calibri"/>
          <w:color w:val="000000"/>
          <w:sz w:val="22"/>
        </w:rPr>
      </w:pPr>
      <w:r>
        <w:rPr>
          <w:rFonts w:ascii="宋体" w:hAnsi="宋体" w:cs="Calibri"/>
          <w:color w:val="000000"/>
          <w:sz w:val="22"/>
        </w:rPr>
        <w:t xml:space="preserve"> </w:t>
      </w:r>
    </w:p>
    <w:p>
      <w:pPr>
        <w:adjustRightInd w:val="0"/>
        <w:snapToGrid w:val="0"/>
        <w:spacing w:line="400" w:lineRule="exact"/>
        <w:ind w:firstLine="440" w:firstLineChars="200"/>
        <w:rPr>
          <w:rFonts w:ascii="宋体" w:hAnsi="宋体" w:cs="Calibri"/>
          <w:color w:val="000000"/>
          <w:sz w:val="22"/>
        </w:rPr>
      </w:pPr>
    </w:p>
    <w:p>
      <w:pPr>
        <w:adjustRightInd w:val="0"/>
        <w:snapToGrid w:val="0"/>
        <w:spacing w:line="400" w:lineRule="exact"/>
        <w:rPr>
          <w:rFonts w:hint="eastAsia" w:ascii="宋体" w:hAnsi="宋体" w:cs="Calibri"/>
          <w:b/>
          <w:color w:val="000000"/>
          <w:sz w:val="22"/>
        </w:rPr>
      </w:pPr>
    </w:p>
    <w:p>
      <w:pPr>
        <w:adjustRightInd w:val="0"/>
        <w:snapToGrid w:val="0"/>
        <w:spacing w:line="400" w:lineRule="exact"/>
        <w:ind w:firstLine="440" w:firstLineChars="200"/>
        <w:jc w:val="center"/>
        <w:rPr>
          <w:rFonts w:ascii="宋体" w:hAnsi="宋体" w:cs="Calibri"/>
          <w:b/>
          <w:color w:val="000000"/>
          <w:sz w:val="22"/>
        </w:rPr>
      </w:pPr>
      <w:r>
        <w:rPr>
          <w:rFonts w:hint="eastAsia" w:ascii="宋体" w:hAnsi="宋体" w:cs="Calibri"/>
          <w:b/>
          <w:color w:val="000000"/>
          <w:sz w:val="22"/>
        </w:rPr>
        <w:t>第三部分   合同专用条款</w:t>
      </w:r>
    </w:p>
    <w:p>
      <w:pPr>
        <w:adjustRightInd w:val="0"/>
        <w:snapToGrid w:val="0"/>
        <w:spacing w:line="400" w:lineRule="exact"/>
        <w:ind w:firstLine="440" w:firstLineChars="200"/>
        <w:rPr>
          <w:rFonts w:ascii="宋体" w:hAnsi="宋体" w:cs="Calibri"/>
          <w:color w:val="000000"/>
          <w:sz w:val="22"/>
        </w:rPr>
      </w:pPr>
      <w:r>
        <w:rPr>
          <w:rFonts w:ascii="宋体" w:hAnsi="宋体" w:cs="Calibri"/>
          <w:color w:val="000000"/>
          <w:sz w:val="22"/>
        </w:rPr>
        <w:t xml:space="preserve"> </w:t>
      </w:r>
    </w:p>
    <w:p>
      <w:pPr>
        <w:adjustRightInd w:val="0"/>
        <w:snapToGrid w:val="0"/>
        <w:spacing w:line="400" w:lineRule="exact"/>
        <w:ind w:firstLine="440" w:firstLineChars="200"/>
        <w:rPr>
          <w:rFonts w:ascii="宋体" w:hAnsi="宋体" w:cs="Calibri"/>
          <w:b/>
          <w:color w:val="000000"/>
          <w:sz w:val="22"/>
        </w:rPr>
      </w:pPr>
      <w:r>
        <w:rPr>
          <w:rFonts w:hint="eastAsia" w:ascii="宋体" w:hAnsi="宋体" w:cs="Calibri"/>
          <w:b/>
          <w:color w:val="000000"/>
          <w:sz w:val="22"/>
        </w:rPr>
        <w:t>一、双方一般权利和义务</w:t>
      </w:r>
    </w:p>
    <w:p>
      <w:pPr>
        <w:adjustRightInd w:val="0"/>
        <w:snapToGrid w:val="0"/>
        <w:spacing w:line="400" w:lineRule="exact"/>
        <w:ind w:firstLine="440" w:firstLineChars="200"/>
        <w:rPr>
          <w:rFonts w:ascii="宋体" w:hAnsi="宋体" w:cs="Calibri"/>
          <w:color w:val="000000"/>
          <w:sz w:val="22"/>
        </w:rPr>
      </w:pPr>
      <w:r>
        <w:rPr>
          <w:rFonts w:hint="eastAsia" w:ascii="宋体" w:hAnsi="宋体" w:cs="Calibri"/>
          <w:color w:val="000000"/>
          <w:sz w:val="22"/>
        </w:rPr>
        <w:t>1、委托人的权利和义务</w:t>
      </w:r>
    </w:p>
    <w:p>
      <w:pPr>
        <w:adjustRightInd w:val="0"/>
        <w:snapToGrid w:val="0"/>
        <w:spacing w:line="400" w:lineRule="exact"/>
        <w:ind w:firstLine="440" w:firstLineChars="200"/>
        <w:rPr>
          <w:rFonts w:ascii="宋体" w:hAnsi="宋体" w:cs="Calibri"/>
          <w:color w:val="000000"/>
          <w:sz w:val="22"/>
        </w:rPr>
      </w:pPr>
      <w:r>
        <w:rPr>
          <w:rFonts w:hint="eastAsia" w:ascii="宋体" w:hAnsi="宋体" w:cs="Calibri"/>
          <w:color w:val="000000"/>
          <w:sz w:val="22"/>
        </w:rPr>
        <w:t xml:space="preserve">1.1 指派人员与受托人联系具体招标事宜；     </w:t>
      </w:r>
    </w:p>
    <w:p>
      <w:pPr>
        <w:adjustRightInd w:val="0"/>
        <w:snapToGrid w:val="0"/>
        <w:spacing w:line="400" w:lineRule="exact"/>
        <w:ind w:firstLine="440" w:firstLineChars="200"/>
        <w:rPr>
          <w:rFonts w:ascii="宋体" w:hAnsi="宋体" w:cs="Calibri"/>
          <w:color w:val="000000"/>
          <w:sz w:val="22"/>
        </w:rPr>
      </w:pPr>
      <w:r>
        <w:rPr>
          <w:rFonts w:hint="eastAsia" w:ascii="宋体" w:hAnsi="宋体" w:cs="Calibri"/>
          <w:color w:val="000000"/>
          <w:sz w:val="22"/>
        </w:rPr>
        <w:t>1.2 向受托人提供具体招标项目申请发包的有关基础资料、技术资料、图纸以及相关要求；</w:t>
      </w:r>
    </w:p>
    <w:p>
      <w:pPr>
        <w:adjustRightInd w:val="0"/>
        <w:snapToGrid w:val="0"/>
        <w:spacing w:line="400" w:lineRule="exact"/>
        <w:ind w:firstLine="440" w:firstLineChars="200"/>
        <w:rPr>
          <w:rFonts w:ascii="宋体" w:hAnsi="宋体" w:cs="Calibri"/>
          <w:color w:val="000000"/>
          <w:sz w:val="22"/>
        </w:rPr>
      </w:pPr>
      <w:r>
        <w:rPr>
          <w:rFonts w:hint="eastAsia" w:ascii="宋体" w:hAnsi="宋体" w:cs="Calibri"/>
          <w:color w:val="000000"/>
          <w:sz w:val="22"/>
        </w:rPr>
        <w:t>1.3 负责审定招标文件，确定招标方式和评标办法；</w:t>
      </w:r>
    </w:p>
    <w:p>
      <w:pPr>
        <w:adjustRightInd w:val="0"/>
        <w:snapToGrid w:val="0"/>
        <w:spacing w:line="400" w:lineRule="exact"/>
        <w:ind w:firstLine="440" w:firstLineChars="200"/>
        <w:rPr>
          <w:rFonts w:ascii="宋体" w:hAnsi="宋体" w:cs="Calibri"/>
          <w:color w:val="000000"/>
          <w:sz w:val="22"/>
        </w:rPr>
      </w:pPr>
      <w:r>
        <w:rPr>
          <w:rFonts w:hint="eastAsia" w:ascii="宋体" w:hAnsi="宋体" w:cs="Calibri"/>
          <w:color w:val="000000"/>
          <w:sz w:val="22"/>
        </w:rPr>
        <w:t>1.4 负责协调与设计有关的工作，并协助受托人对招标文件的内容进行解释、答疑等咨询工作；</w:t>
      </w:r>
    </w:p>
    <w:p>
      <w:pPr>
        <w:adjustRightInd w:val="0"/>
        <w:snapToGrid w:val="0"/>
        <w:spacing w:line="400" w:lineRule="exact"/>
        <w:ind w:firstLine="440" w:firstLineChars="200"/>
        <w:rPr>
          <w:rFonts w:ascii="宋体" w:hAnsi="宋体" w:cs="Calibri"/>
          <w:color w:val="000000"/>
          <w:sz w:val="22"/>
        </w:rPr>
      </w:pPr>
      <w:r>
        <w:rPr>
          <w:rFonts w:hint="eastAsia" w:ascii="宋体" w:hAnsi="宋体" w:cs="Calibri"/>
          <w:color w:val="000000"/>
          <w:sz w:val="22"/>
        </w:rPr>
        <w:t>1.5协助受托人组建评标委员会，并按有关规定派专业人员出任评委；</w:t>
      </w:r>
    </w:p>
    <w:p>
      <w:pPr>
        <w:adjustRightInd w:val="0"/>
        <w:snapToGrid w:val="0"/>
        <w:spacing w:line="400" w:lineRule="exact"/>
        <w:ind w:firstLine="440" w:firstLineChars="200"/>
        <w:rPr>
          <w:rFonts w:ascii="宋体" w:hAnsi="宋体" w:cs="Calibri"/>
          <w:color w:val="000000"/>
          <w:sz w:val="22"/>
        </w:rPr>
      </w:pPr>
      <w:r>
        <w:rPr>
          <w:rFonts w:hint="eastAsia" w:ascii="宋体" w:hAnsi="宋体" w:cs="Calibri"/>
          <w:color w:val="000000"/>
          <w:sz w:val="22"/>
        </w:rPr>
        <w:t>1.6 参与开标、评标、询标工作；</w:t>
      </w:r>
    </w:p>
    <w:p>
      <w:pPr>
        <w:adjustRightInd w:val="0"/>
        <w:snapToGrid w:val="0"/>
        <w:spacing w:line="400" w:lineRule="exact"/>
        <w:ind w:firstLine="440" w:firstLineChars="200"/>
        <w:rPr>
          <w:rFonts w:ascii="宋体" w:hAnsi="宋体" w:cs="Calibri"/>
          <w:color w:val="000000"/>
          <w:sz w:val="22"/>
        </w:rPr>
      </w:pPr>
      <w:r>
        <w:rPr>
          <w:rFonts w:hint="eastAsia" w:ascii="宋体" w:hAnsi="宋体" w:cs="Calibri"/>
          <w:color w:val="000000"/>
          <w:sz w:val="22"/>
        </w:rPr>
        <w:t>1.7对于不能胜任本协议委托事项的受托人人员，要求受托人立即更换。</w:t>
      </w:r>
    </w:p>
    <w:p>
      <w:pPr>
        <w:adjustRightInd w:val="0"/>
        <w:snapToGrid w:val="0"/>
        <w:spacing w:line="400" w:lineRule="exact"/>
        <w:ind w:firstLine="440" w:firstLineChars="200"/>
        <w:rPr>
          <w:rFonts w:ascii="宋体" w:hAnsi="宋体" w:cs="Calibri"/>
          <w:color w:val="000000"/>
          <w:sz w:val="22"/>
        </w:rPr>
      </w:pPr>
      <w:r>
        <w:rPr>
          <w:rFonts w:hint="eastAsia" w:ascii="宋体" w:hAnsi="宋体" w:cs="Calibri"/>
          <w:color w:val="000000"/>
          <w:sz w:val="22"/>
        </w:rPr>
        <w:t>2、受托人的权利和义务</w:t>
      </w:r>
    </w:p>
    <w:p>
      <w:pPr>
        <w:adjustRightInd w:val="0"/>
        <w:snapToGrid w:val="0"/>
        <w:spacing w:line="400" w:lineRule="exact"/>
        <w:ind w:firstLine="440" w:firstLineChars="200"/>
        <w:rPr>
          <w:rFonts w:ascii="宋体" w:hAnsi="宋体" w:cs="Calibri"/>
          <w:color w:val="000000"/>
          <w:sz w:val="22"/>
        </w:rPr>
      </w:pPr>
      <w:r>
        <w:rPr>
          <w:rFonts w:hint="eastAsia" w:ascii="宋体" w:hAnsi="宋体" w:cs="Calibri"/>
          <w:color w:val="000000"/>
          <w:sz w:val="22"/>
        </w:rPr>
        <w:t>2.1成立招标代理项目组，由项目负责人与委托人联系招标事宜，项目负责人原则上不得更换，应委托人要求更换的除外；</w:t>
      </w:r>
    </w:p>
    <w:p>
      <w:pPr>
        <w:adjustRightInd w:val="0"/>
        <w:snapToGrid w:val="0"/>
        <w:spacing w:line="400" w:lineRule="exact"/>
        <w:ind w:firstLine="440" w:firstLineChars="200"/>
        <w:rPr>
          <w:rFonts w:ascii="宋体" w:hAnsi="宋体" w:cs="Calibri"/>
          <w:color w:val="000000"/>
          <w:sz w:val="22"/>
        </w:rPr>
      </w:pPr>
      <w:r>
        <w:rPr>
          <w:rFonts w:hint="eastAsia" w:ascii="宋体" w:hAnsi="宋体" w:cs="Calibri"/>
          <w:color w:val="000000"/>
          <w:sz w:val="22"/>
        </w:rPr>
        <w:t>2.2项目负责人原则上应在招投标活动的主要时间节点到场，如招标文件讨论、开评标、投诉处理等；</w:t>
      </w:r>
    </w:p>
    <w:p>
      <w:pPr>
        <w:adjustRightInd w:val="0"/>
        <w:snapToGrid w:val="0"/>
        <w:spacing w:line="400" w:lineRule="exact"/>
        <w:ind w:firstLine="440" w:firstLineChars="200"/>
        <w:rPr>
          <w:rFonts w:ascii="宋体" w:hAnsi="宋体" w:cs="Calibri"/>
          <w:color w:val="000000"/>
          <w:sz w:val="22"/>
        </w:rPr>
      </w:pPr>
      <w:r>
        <w:rPr>
          <w:rFonts w:hint="eastAsia" w:ascii="宋体" w:hAnsi="宋体" w:cs="Calibri"/>
          <w:color w:val="000000"/>
          <w:sz w:val="22"/>
        </w:rPr>
        <w:t>2.3受托人应根据工作需要，合理增加项目班子成员，在任何情况下，若委托人认为项目负责人或项目班子成员不能胜任工作，有权要求受托人进行更换；受托人应在收到委托人通知之日起的7天内，按照委托人要求，提出新的人选，报委托人批准后，立即到位；</w:t>
      </w:r>
    </w:p>
    <w:p>
      <w:pPr>
        <w:adjustRightInd w:val="0"/>
        <w:snapToGrid w:val="0"/>
        <w:spacing w:line="400" w:lineRule="exact"/>
        <w:ind w:firstLine="440" w:firstLineChars="200"/>
        <w:rPr>
          <w:rFonts w:ascii="宋体" w:hAnsi="宋体" w:cs="Calibri"/>
          <w:color w:val="000000"/>
          <w:sz w:val="22"/>
        </w:rPr>
      </w:pPr>
      <w:r>
        <w:rPr>
          <w:rFonts w:hint="eastAsia" w:ascii="宋体" w:hAnsi="宋体" w:cs="Calibri"/>
          <w:color w:val="000000"/>
          <w:sz w:val="22"/>
        </w:rPr>
        <w:t>2.4受托人应按照委托人要求，独立完成各项目的代理工作，遵守国家相关法律法规及委托人的相关制度规定，提供专业的代理服务。</w:t>
      </w:r>
    </w:p>
    <w:p>
      <w:pPr>
        <w:adjustRightInd w:val="0"/>
        <w:snapToGrid w:val="0"/>
        <w:spacing w:line="400" w:lineRule="exact"/>
        <w:ind w:firstLine="440" w:firstLineChars="200"/>
        <w:rPr>
          <w:rFonts w:ascii="宋体" w:hAnsi="宋体" w:cs="Calibri"/>
          <w:b/>
          <w:color w:val="000000"/>
          <w:sz w:val="22"/>
        </w:rPr>
      </w:pPr>
      <w:r>
        <w:rPr>
          <w:rFonts w:hint="eastAsia" w:ascii="宋体" w:hAnsi="宋体" w:cs="Calibri"/>
          <w:b/>
          <w:color w:val="000000"/>
          <w:sz w:val="22"/>
        </w:rPr>
        <w:t>二、委托代理报酬与收取</w:t>
      </w:r>
    </w:p>
    <w:p>
      <w:pPr>
        <w:adjustRightInd w:val="0"/>
        <w:snapToGrid w:val="0"/>
        <w:spacing w:line="400" w:lineRule="exact"/>
        <w:ind w:firstLine="440" w:firstLineChars="200"/>
        <w:rPr>
          <w:rFonts w:ascii="宋体" w:hAnsi="宋体" w:cs="Calibri"/>
          <w:color w:val="000000"/>
          <w:sz w:val="22"/>
        </w:rPr>
      </w:pPr>
      <w:r>
        <w:rPr>
          <w:rFonts w:hint="eastAsia" w:ascii="宋体" w:hAnsi="宋体" w:cs="Calibri"/>
          <w:color w:val="000000"/>
          <w:sz w:val="22"/>
        </w:rPr>
        <w:t>1、招标代理服务费报价应包括为完成项目招标代理服务过程中可能发生的所有费用，包括但不仅限于公告公示费、资格预审文件或招标文件制作费、工程量清单编制、复核费、预算编制费、评标专家咨询费、市内交通费用、场租费等。招标代理服务费由受托人向中标人收取，招标代理服务费为</w:t>
      </w:r>
      <w:r>
        <w:rPr>
          <w:rFonts w:ascii="宋体" w:hAnsi="宋体" w:cs="Calibri"/>
          <w:color w:val="000000"/>
          <w:sz w:val="22"/>
        </w:rPr>
        <w:t>发改办价格[2003]857号</w:t>
      </w:r>
      <w:r>
        <w:rPr>
          <w:rFonts w:hint="eastAsia" w:ascii="宋体" w:hAnsi="宋体" w:cs="Calibri"/>
          <w:color w:val="000000"/>
          <w:sz w:val="22"/>
        </w:rPr>
        <w:t>、发改价格[2011]534号文件规定的基数*优惠费率。若政府部门规定招标代理服务费必须由委托人支付的，按照前述计算方式确定招标代理服务费后，由受托人提供招标完成的请款报告由委托人经办部门确认后支付。</w:t>
      </w:r>
    </w:p>
    <w:p>
      <w:pPr>
        <w:adjustRightInd w:val="0"/>
        <w:snapToGrid w:val="0"/>
        <w:spacing w:line="400" w:lineRule="exact"/>
        <w:ind w:firstLine="440" w:firstLineChars="200"/>
        <w:rPr>
          <w:rFonts w:ascii="宋体" w:hAnsi="宋体" w:cs="Calibri"/>
          <w:color w:val="000000"/>
          <w:sz w:val="22"/>
        </w:rPr>
      </w:pPr>
      <w:r>
        <w:rPr>
          <w:rFonts w:hint="eastAsia" w:ascii="宋体" w:hAnsi="宋体" w:cs="Calibri"/>
          <w:color w:val="000000"/>
          <w:sz w:val="22"/>
        </w:rPr>
        <w:t>2、政府交易中心收取的费用，由委托人、受托人各自承担。</w:t>
      </w:r>
    </w:p>
    <w:p>
      <w:pPr>
        <w:adjustRightInd w:val="0"/>
        <w:snapToGrid w:val="0"/>
        <w:spacing w:line="400" w:lineRule="exact"/>
        <w:ind w:firstLine="440" w:firstLineChars="200"/>
        <w:rPr>
          <w:rFonts w:ascii="宋体" w:hAnsi="宋体" w:cs="Calibri"/>
          <w:color w:val="000000"/>
          <w:sz w:val="22"/>
        </w:rPr>
      </w:pPr>
      <w:r>
        <w:rPr>
          <w:rFonts w:hint="eastAsia" w:ascii="宋体" w:hAnsi="宋体" w:cs="Calibri"/>
          <w:color w:val="000000"/>
          <w:sz w:val="22"/>
        </w:rPr>
        <w:t>3、如招标项目为民航专业工程，招标评标专家应为民航总局专家库成员。因民航总局专家库为国家级专家库，成员来自全国各地，故该类项目工程招标代理服务费用除前款内容以外，还应包括专家往来交通费（含机票、车船票、市内交通费等）、住宿费、餐饮费（食宿标准不得低于财政部相关规定）等，评标专家咨询费标准按照民航系统标准，并派专人、专车接送，遇专家往返时间不一致时，须分别接送，不得要求专家等候统一接送。</w:t>
      </w:r>
    </w:p>
    <w:p>
      <w:pPr>
        <w:adjustRightInd w:val="0"/>
        <w:snapToGrid w:val="0"/>
        <w:spacing w:line="400" w:lineRule="exact"/>
        <w:ind w:firstLine="440" w:firstLineChars="200"/>
        <w:rPr>
          <w:rFonts w:ascii="宋体" w:hAnsi="宋体" w:cs="Calibri"/>
          <w:color w:val="000000"/>
          <w:sz w:val="22"/>
        </w:rPr>
      </w:pPr>
      <w:r>
        <w:rPr>
          <w:rFonts w:hint="eastAsia" w:ascii="宋体" w:hAnsi="宋体" w:cs="Calibri"/>
          <w:color w:val="000000"/>
          <w:sz w:val="22"/>
        </w:rPr>
        <w:t>4、根据华东局发明电[201</w:t>
      </w:r>
      <w:r>
        <w:rPr>
          <w:rFonts w:ascii="宋体" w:hAnsi="宋体" w:cs="Calibri"/>
          <w:color w:val="000000"/>
          <w:sz w:val="22"/>
        </w:rPr>
        <w:t>5</w:t>
      </w:r>
      <w:r>
        <w:rPr>
          <w:rFonts w:hint="eastAsia" w:ascii="宋体" w:hAnsi="宋体" w:cs="Calibri"/>
          <w:color w:val="000000"/>
          <w:sz w:val="22"/>
        </w:rPr>
        <w:t>]3044号、华东局发明电[2016]627号文件，民航专业工程建设项目统一开评标地点为上海或者北京，故该类项目工程招标代理服务费用除前款内容以外，还应包括受托人人员及委托人监督人员的往来交通费（含机票、车船票、市内交通费等）、住宿费、餐饮费等。</w:t>
      </w:r>
    </w:p>
    <w:p>
      <w:pPr>
        <w:adjustRightInd w:val="0"/>
        <w:snapToGrid w:val="0"/>
        <w:spacing w:line="400" w:lineRule="exact"/>
        <w:ind w:firstLine="440" w:firstLineChars="200"/>
        <w:rPr>
          <w:rFonts w:ascii="宋体" w:hAnsi="宋体" w:cs="Calibri"/>
          <w:color w:val="000000"/>
          <w:sz w:val="22"/>
        </w:rPr>
      </w:pPr>
      <w:r>
        <w:rPr>
          <w:rFonts w:hint="eastAsia" w:ascii="宋体" w:hAnsi="宋体" w:cs="Calibri"/>
          <w:color w:val="000000"/>
          <w:sz w:val="22"/>
        </w:rPr>
        <w:t>5、根据浙发改法规[2014]645号，省重点建设项目的评标专家在全库内不分地区随机抽取，不受地域限制，故该类项目招标代理服务费用除前款内容以外，还应包括专家往来交通费（含机票、车船票、市内交通费等）、住宿费、餐饮费等（食宿标准不得低于财政部相关规定）。</w:t>
      </w:r>
    </w:p>
    <w:p>
      <w:pPr>
        <w:adjustRightInd w:val="0"/>
        <w:snapToGrid w:val="0"/>
        <w:spacing w:line="400" w:lineRule="exact"/>
        <w:ind w:firstLine="440" w:firstLineChars="200"/>
        <w:rPr>
          <w:rFonts w:ascii="宋体" w:hAnsi="宋体" w:cs="Calibri"/>
          <w:b/>
          <w:color w:val="000000"/>
          <w:sz w:val="22"/>
        </w:rPr>
      </w:pPr>
      <w:r>
        <w:rPr>
          <w:rFonts w:hint="eastAsia" w:ascii="宋体" w:hAnsi="宋体" w:cs="Calibri"/>
          <w:b/>
          <w:color w:val="000000"/>
          <w:sz w:val="22"/>
        </w:rPr>
        <w:t>三、违约、索赔和争议</w:t>
      </w:r>
    </w:p>
    <w:p>
      <w:pPr>
        <w:adjustRightInd w:val="0"/>
        <w:snapToGrid w:val="0"/>
        <w:spacing w:line="400" w:lineRule="exact"/>
        <w:ind w:firstLine="440" w:firstLineChars="200"/>
        <w:rPr>
          <w:rFonts w:ascii="宋体" w:hAnsi="宋体" w:cs="Calibri"/>
          <w:color w:val="000000"/>
          <w:sz w:val="22"/>
        </w:rPr>
      </w:pPr>
      <w:r>
        <w:rPr>
          <w:rFonts w:hint="eastAsia" w:ascii="宋体" w:hAnsi="宋体" w:cs="Calibri"/>
          <w:color w:val="000000"/>
          <w:sz w:val="22"/>
        </w:rPr>
        <w:t>1、由于受托人原因造成委托人招标工作完成时间的延误（按双方确定的时间计划或时间表），每延误一天，受托人应按委托人要求赔偿委托该项招标代理服务费的千分之三作为违约金；情形严重延误达到10日的，委托人有权立即中止或终止合同，并不予退还受托人的履约保证金。</w:t>
      </w:r>
    </w:p>
    <w:p>
      <w:pPr>
        <w:adjustRightInd w:val="0"/>
        <w:snapToGrid w:val="0"/>
        <w:spacing w:line="400" w:lineRule="exact"/>
        <w:ind w:firstLine="440" w:firstLineChars="200"/>
        <w:rPr>
          <w:rFonts w:ascii="宋体" w:hAnsi="宋体" w:cs="Calibri"/>
          <w:color w:val="000000"/>
          <w:sz w:val="22"/>
        </w:rPr>
      </w:pPr>
      <w:r>
        <w:rPr>
          <w:rFonts w:hint="eastAsia" w:ascii="宋体" w:hAnsi="宋体" w:cs="Calibri"/>
          <w:color w:val="000000"/>
          <w:sz w:val="22"/>
        </w:rPr>
        <w:t>2、工程施工过程中，如发现工程量清单数量有错算、漏算的，受托人应及时派员进行复核，且委托人有权委托第三方进行复核并从履约保证金中扣除委托所发生的费用。经复核确认，若发现错算、漏算项目累计工程价款超过施工合同价的正负3%（不含）以上的，则按每超过1%受托人应按该项工程招标代理服务费的10%进行赔偿，最高不超过该项工程招标代理服务费的30%。</w:t>
      </w:r>
    </w:p>
    <w:p>
      <w:pPr>
        <w:adjustRightInd w:val="0"/>
        <w:snapToGrid w:val="0"/>
        <w:spacing w:line="400" w:lineRule="exact"/>
        <w:ind w:firstLine="440" w:firstLineChars="200"/>
        <w:rPr>
          <w:rFonts w:ascii="宋体" w:hAnsi="宋体" w:cs="Calibri"/>
          <w:color w:val="000000"/>
          <w:sz w:val="22"/>
        </w:rPr>
      </w:pPr>
      <w:r>
        <w:rPr>
          <w:rFonts w:hint="eastAsia" w:ascii="宋体" w:hAnsi="宋体" w:cs="Calibri"/>
          <w:color w:val="000000"/>
          <w:sz w:val="22"/>
        </w:rPr>
        <w:t>3、受托人有下列情形之一的，直接列入黑名单，委托人有权立即终止合同，并不予退还受托人的履约保证金：</w:t>
      </w:r>
    </w:p>
    <w:p>
      <w:pPr>
        <w:adjustRightInd w:val="0"/>
        <w:snapToGrid w:val="0"/>
        <w:spacing w:line="400" w:lineRule="exact"/>
        <w:ind w:firstLine="440" w:firstLineChars="200"/>
        <w:rPr>
          <w:rFonts w:ascii="宋体" w:hAnsi="宋体" w:cs="Calibri"/>
          <w:color w:val="000000"/>
          <w:sz w:val="22"/>
        </w:rPr>
      </w:pPr>
      <w:r>
        <w:rPr>
          <w:rFonts w:hint="eastAsia" w:ascii="宋体" w:hAnsi="宋体" w:cs="Calibri"/>
          <w:color w:val="000000"/>
          <w:sz w:val="22"/>
        </w:rPr>
        <w:t xml:space="preserve">（一）与投标人串通投标的； </w:t>
      </w:r>
    </w:p>
    <w:p>
      <w:pPr>
        <w:adjustRightInd w:val="0"/>
        <w:snapToGrid w:val="0"/>
        <w:spacing w:line="400" w:lineRule="exact"/>
        <w:ind w:firstLine="440" w:firstLineChars="200"/>
        <w:rPr>
          <w:rFonts w:ascii="宋体" w:hAnsi="宋体" w:cs="Calibri"/>
          <w:color w:val="000000"/>
          <w:sz w:val="22"/>
        </w:rPr>
      </w:pPr>
      <w:r>
        <w:rPr>
          <w:rFonts w:hint="eastAsia" w:ascii="宋体" w:hAnsi="宋体" w:cs="Calibri"/>
          <w:color w:val="000000"/>
          <w:sz w:val="22"/>
        </w:rPr>
        <w:t>（二）在招投标活动中有行贿行为或受贿行为的；</w:t>
      </w:r>
    </w:p>
    <w:p>
      <w:pPr>
        <w:adjustRightInd w:val="0"/>
        <w:snapToGrid w:val="0"/>
        <w:spacing w:line="400" w:lineRule="exact"/>
        <w:ind w:firstLine="440" w:firstLineChars="200"/>
        <w:rPr>
          <w:rFonts w:ascii="宋体" w:hAnsi="宋体" w:cs="Calibri"/>
          <w:color w:val="000000"/>
          <w:sz w:val="22"/>
        </w:rPr>
      </w:pPr>
      <w:r>
        <w:rPr>
          <w:rFonts w:hint="eastAsia" w:ascii="宋体" w:hAnsi="宋体" w:cs="Calibri"/>
          <w:color w:val="000000"/>
          <w:sz w:val="22"/>
        </w:rPr>
        <w:t>（三）提供虚假材料骗取招投标代理业务的；</w:t>
      </w:r>
    </w:p>
    <w:p>
      <w:pPr>
        <w:adjustRightInd w:val="0"/>
        <w:snapToGrid w:val="0"/>
        <w:spacing w:line="400" w:lineRule="exact"/>
        <w:ind w:firstLine="440" w:firstLineChars="200"/>
        <w:rPr>
          <w:rFonts w:ascii="宋体" w:hAnsi="宋体" w:cs="Calibri"/>
          <w:color w:val="000000"/>
          <w:sz w:val="22"/>
        </w:rPr>
      </w:pPr>
      <w:r>
        <w:rPr>
          <w:rFonts w:hint="eastAsia" w:ascii="宋体" w:hAnsi="宋体" w:cs="Calibri"/>
          <w:color w:val="000000"/>
          <w:sz w:val="22"/>
        </w:rPr>
        <w:t>（四）非法转让招标代理、咨询业务的；</w:t>
      </w:r>
    </w:p>
    <w:p>
      <w:pPr>
        <w:adjustRightInd w:val="0"/>
        <w:snapToGrid w:val="0"/>
        <w:spacing w:line="400" w:lineRule="exact"/>
        <w:ind w:firstLine="440" w:firstLineChars="200"/>
        <w:rPr>
          <w:rFonts w:ascii="宋体" w:hAnsi="宋体" w:cs="Calibri"/>
          <w:color w:val="000000"/>
          <w:sz w:val="22"/>
        </w:rPr>
      </w:pPr>
      <w:r>
        <w:rPr>
          <w:rFonts w:hint="eastAsia" w:ascii="宋体" w:hAnsi="宋体" w:cs="Calibri"/>
          <w:color w:val="000000"/>
          <w:sz w:val="22"/>
        </w:rPr>
        <w:t>（五）为其它单位或个人以挂靠名义投标或承接业务的；</w:t>
      </w:r>
    </w:p>
    <w:p>
      <w:pPr>
        <w:adjustRightInd w:val="0"/>
        <w:snapToGrid w:val="0"/>
        <w:spacing w:line="400" w:lineRule="exact"/>
        <w:ind w:firstLine="440" w:firstLineChars="200"/>
        <w:rPr>
          <w:rFonts w:ascii="宋体" w:hAnsi="宋体" w:cs="Calibri"/>
          <w:color w:val="000000"/>
          <w:sz w:val="22"/>
        </w:rPr>
      </w:pPr>
      <w:r>
        <w:rPr>
          <w:rFonts w:hint="eastAsia" w:ascii="宋体" w:hAnsi="宋体" w:cs="Calibri"/>
          <w:color w:val="000000"/>
          <w:sz w:val="22"/>
        </w:rPr>
        <w:t>（六）泄露应当保密的潜在投标人名称、数量、项目的标底、预算价的；</w:t>
      </w:r>
    </w:p>
    <w:p>
      <w:pPr>
        <w:adjustRightInd w:val="0"/>
        <w:snapToGrid w:val="0"/>
        <w:spacing w:line="400" w:lineRule="exact"/>
        <w:ind w:firstLine="440" w:firstLineChars="200"/>
        <w:rPr>
          <w:rFonts w:ascii="宋体" w:hAnsi="宋体" w:cs="Calibri"/>
          <w:color w:val="000000"/>
          <w:sz w:val="22"/>
        </w:rPr>
      </w:pPr>
      <w:r>
        <w:rPr>
          <w:rFonts w:hint="eastAsia" w:ascii="宋体" w:hAnsi="宋体" w:cs="Calibri"/>
          <w:color w:val="000000"/>
          <w:sz w:val="22"/>
        </w:rPr>
        <w:t>（七）接受同一项目的招标代理和投标咨询业务的；</w:t>
      </w:r>
    </w:p>
    <w:p>
      <w:pPr>
        <w:adjustRightInd w:val="0"/>
        <w:snapToGrid w:val="0"/>
        <w:spacing w:line="400" w:lineRule="exact"/>
        <w:ind w:firstLine="440" w:firstLineChars="200"/>
        <w:rPr>
          <w:rFonts w:ascii="宋体" w:hAnsi="宋体" w:cs="Calibri"/>
          <w:color w:val="000000"/>
          <w:sz w:val="22"/>
        </w:rPr>
      </w:pPr>
      <w:r>
        <w:rPr>
          <w:rFonts w:hint="eastAsia" w:ascii="宋体" w:hAnsi="宋体" w:cs="Calibri"/>
          <w:color w:val="000000"/>
          <w:sz w:val="22"/>
        </w:rPr>
        <w:t>（八）在评标过程中泄露参评人员名单或评标内容的；</w:t>
      </w:r>
    </w:p>
    <w:p>
      <w:pPr>
        <w:adjustRightInd w:val="0"/>
        <w:snapToGrid w:val="0"/>
        <w:spacing w:line="400" w:lineRule="exact"/>
        <w:ind w:firstLine="440" w:firstLineChars="200"/>
        <w:rPr>
          <w:rFonts w:ascii="宋体" w:hAnsi="宋体" w:cs="Calibri"/>
          <w:color w:val="000000"/>
          <w:sz w:val="22"/>
        </w:rPr>
      </w:pPr>
      <w:r>
        <w:rPr>
          <w:rFonts w:hint="eastAsia" w:ascii="宋体" w:hAnsi="宋体" w:cs="Calibri"/>
          <w:color w:val="000000"/>
          <w:sz w:val="22"/>
        </w:rPr>
        <w:t>（九）弄虚作假，将必须进行公开招标项目化整为零或以其他方式规避招标、违规分包的；</w:t>
      </w:r>
    </w:p>
    <w:p>
      <w:pPr>
        <w:adjustRightInd w:val="0"/>
        <w:snapToGrid w:val="0"/>
        <w:spacing w:line="400" w:lineRule="exact"/>
        <w:ind w:firstLine="440" w:firstLineChars="200"/>
        <w:rPr>
          <w:rFonts w:ascii="宋体" w:hAnsi="宋体" w:cs="Calibri"/>
          <w:color w:val="000000"/>
          <w:sz w:val="22"/>
        </w:rPr>
      </w:pPr>
      <w:r>
        <w:rPr>
          <w:rFonts w:hint="eastAsia" w:ascii="宋体" w:hAnsi="宋体" w:cs="Calibri"/>
          <w:color w:val="000000"/>
          <w:sz w:val="22"/>
        </w:rPr>
        <w:t>（十) 不服从行业主管部门管理监督的，或者具有抵触、不改正、遇有投诉不积极处理等情况发生的。</w:t>
      </w:r>
    </w:p>
    <w:p>
      <w:pPr>
        <w:adjustRightInd w:val="0"/>
        <w:snapToGrid w:val="0"/>
        <w:spacing w:line="400" w:lineRule="exact"/>
        <w:ind w:firstLine="440" w:firstLineChars="200"/>
        <w:rPr>
          <w:rFonts w:ascii="宋体" w:hAnsi="宋体" w:cs="Calibri"/>
          <w:color w:val="000000"/>
          <w:sz w:val="22"/>
        </w:rPr>
      </w:pPr>
      <w:r>
        <w:rPr>
          <w:rFonts w:hint="eastAsia" w:ascii="宋体" w:hAnsi="宋体" w:cs="Calibri"/>
          <w:color w:val="000000"/>
          <w:sz w:val="22"/>
        </w:rPr>
        <w:t>4、受托人有下列情形之一的，第一次暂停进入委托人招标代理机构备选库三个月，第二次委托人有权立即中止或终止合同，并不予退还受托人的履约保证金：</w:t>
      </w:r>
    </w:p>
    <w:p>
      <w:pPr>
        <w:adjustRightInd w:val="0"/>
        <w:snapToGrid w:val="0"/>
        <w:spacing w:line="400" w:lineRule="exact"/>
        <w:ind w:firstLine="440" w:firstLineChars="200"/>
        <w:rPr>
          <w:rFonts w:ascii="宋体" w:hAnsi="宋体" w:cs="Calibri"/>
          <w:color w:val="000000"/>
          <w:sz w:val="22"/>
        </w:rPr>
      </w:pPr>
      <w:r>
        <w:rPr>
          <w:rFonts w:hint="eastAsia" w:ascii="宋体" w:hAnsi="宋体" w:cs="Calibri"/>
          <w:color w:val="000000"/>
          <w:sz w:val="22"/>
        </w:rPr>
        <w:t>（一）招标代理过程中，因存在过失，导致项目投诉、复评、流标、引起争议的，影响项目进度或造成不良影响的；</w:t>
      </w:r>
    </w:p>
    <w:p>
      <w:pPr>
        <w:adjustRightInd w:val="0"/>
        <w:snapToGrid w:val="0"/>
        <w:spacing w:line="400" w:lineRule="exact"/>
        <w:ind w:firstLine="440" w:firstLineChars="200"/>
        <w:rPr>
          <w:rFonts w:ascii="宋体" w:hAnsi="宋体" w:cs="Calibri"/>
          <w:color w:val="000000"/>
          <w:sz w:val="22"/>
        </w:rPr>
      </w:pPr>
      <w:r>
        <w:rPr>
          <w:rFonts w:hint="eastAsia" w:ascii="宋体" w:hAnsi="宋体" w:cs="Calibri"/>
          <w:color w:val="000000"/>
          <w:sz w:val="22"/>
        </w:rPr>
        <w:t>（二）收到其他部门转交信访、投诉等情况的，情况属实不属于第3条规定，且情节不严重的；</w:t>
      </w:r>
    </w:p>
    <w:p>
      <w:pPr>
        <w:adjustRightInd w:val="0"/>
        <w:snapToGrid w:val="0"/>
        <w:spacing w:line="400" w:lineRule="exact"/>
        <w:ind w:firstLine="440" w:firstLineChars="200"/>
        <w:rPr>
          <w:rFonts w:ascii="宋体" w:hAnsi="宋体" w:cs="Calibri"/>
          <w:color w:val="000000"/>
          <w:sz w:val="22"/>
        </w:rPr>
      </w:pPr>
      <w:r>
        <w:rPr>
          <w:rFonts w:hint="eastAsia" w:ascii="宋体" w:hAnsi="宋体" w:cs="Calibri"/>
          <w:color w:val="000000"/>
          <w:sz w:val="22"/>
        </w:rPr>
        <w:t>（三）招标公告、招标文件、预审文件等设置明显不符合国家现行法律法规、明显有倾向性等；</w:t>
      </w:r>
    </w:p>
    <w:p>
      <w:pPr>
        <w:adjustRightInd w:val="0"/>
        <w:snapToGrid w:val="0"/>
        <w:spacing w:line="400" w:lineRule="exact"/>
        <w:ind w:firstLine="440" w:firstLineChars="200"/>
        <w:rPr>
          <w:rFonts w:ascii="宋体" w:hAnsi="宋体" w:cs="Calibri"/>
          <w:color w:val="000000"/>
          <w:sz w:val="22"/>
        </w:rPr>
      </w:pPr>
      <w:r>
        <w:rPr>
          <w:rFonts w:hint="eastAsia" w:ascii="宋体" w:hAnsi="宋体" w:cs="Calibri"/>
          <w:color w:val="000000"/>
          <w:sz w:val="22"/>
        </w:rPr>
        <w:t>（四）确定代理项目后非因特殊原因，无故放弃代理的；</w:t>
      </w:r>
    </w:p>
    <w:p>
      <w:pPr>
        <w:adjustRightInd w:val="0"/>
        <w:snapToGrid w:val="0"/>
        <w:spacing w:line="400" w:lineRule="exact"/>
        <w:ind w:firstLine="440" w:firstLineChars="200"/>
        <w:rPr>
          <w:rFonts w:ascii="宋体" w:hAnsi="宋体" w:cs="Calibri"/>
          <w:color w:val="000000"/>
          <w:sz w:val="22"/>
        </w:rPr>
      </w:pPr>
      <w:r>
        <w:rPr>
          <w:rFonts w:hint="eastAsia" w:ascii="宋体" w:hAnsi="宋体" w:cs="Calibri"/>
          <w:color w:val="000000"/>
          <w:sz w:val="22"/>
        </w:rPr>
        <w:t>（五）影响项目推进速度的；</w:t>
      </w:r>
    </w:p>
    <w:p>
      <w:pPr>
        <w:adjustRightInd w:val="0"/>
        <w:snapToGrid w:val="0"/>
        <w:spacing w:line="400" w:lineRule="exact"/>
        <w:ind w:firstLine="440" w:firstLineChars="200"/>
        <w:rPr>
          <w:rFonts w:ascii="宋体" w:hAnsi="宋体" w:cs="Calibri"/>
          <w:color w:val="000000"/>
          <w:sz w:val="22"/>
        </w:rPr>
      </w:pPr>
      <w:r>
        <w:rPr>
          <w:rFonts w:hint="eastAsia" w:ascii="宋体" w:hAnsi="宋体" w:cs="Calibri"/>
          <w:color w:val="000000"/>
          <w:sz w:val="22"/>
        </w:rPr>
        <w:t>（六）未严格按照相关法律法规或招标文件要求发布招标公告、补充文件、中标公示，开、评标程序不规范、评标报告书写不规范等情形。</w:t>
      </w:r>
    </w:p>
    <w:p>
      <w:pPr>
        <w:adjustRightInd w:val="0"/>
        <w:snapToGrid w:val="0"/>
        <w:spacing w:line="400" w:lineRule="exact"/>
        <w:ind w:firstLine="440" w:firstLineChars="200"/>
        <w:rPr>
          <w:rFonts w:ascii="宋体" w:hAnsi="宋体" w:cs="Calibri"/>
          <w:color w:val="000000"/>
          <w:sz w:val="22"/>
        </w:rPr>
      </w:pPr>
      <w:r>
        <w:rPr>
          <w:rFonts w:hint="eastAsia" w:ascii="宋体" w:hAnsi="宋体" w:cs="Calibri"/>
          <w:color w:val="000000"/>
          <w:sz w:val="22"/>
        </w:rPr>
        <w:t>5、受托人有下列情形之一的，第一次警告，第二次暂停进入委托人招标代理机构备选库一个月，第三次取消当年度进入委托人招标代理机构备选库资格：</w:t>
      </w:r>
    </w:p>
    <w:p>
      <w:pPr>
        <w:adjustRightInd w:val="0"/>
        <w:snapToGrid w:val="0"/>
        <w:spacing w:line="400" w:lineRule="exact"/>
        <w:ind w:firstLine="440" w:firstLineChars="200"/>
        <w:rPr>
          <w:rFonts w:ascii="宋体" w:hAnsi="宋体" w:cs="Calibri"/>
          <w:color w:val="000000"/>
          <w:sz w:val="22"/>
        </w:rPr>
      </w:pPr>
      <w:r>
        <w:rPr>
          <w:rFonts w:hint="eastAsia" w:ascii="宋体" w:hAnsi="宋体" w:cs="Calibri"/>
          <w:color w:val="000000"/>
          <w:sz w:val="22"/>
        </w:rPr>
        <w:t>（一）招标公告、招标文件、预审文件等出现明显的低级失误；</w:t>
      </w:r>
    </w:p>
    <w:p>
      <w:pPr>
        <w:adjustRightInd w:val="0"/>
        <w:snapToGrid w:val="0"/>
        <w:spacing w:line="400" w:lineRule="exact"/>
        <w:ind w:firstLine="440" w:firstLineChars="200"/>
        <w:rPr>
          <w:rFonts w:ascii="宋体" w:hAnsi="宋体" w:cs="Calibri"/>
          <w:color w:val="000000"/>
          <w:sz w:val="22"/>
        </w:rPr>
      </w:pPr>
      <w:r>
        <w:rPr>
          <w:rFonts w:hint="eastAsia" w:ascii="宋体" w:hAnsi="宋体" w:cs="Calibri"/>
          <w:color w:val="000000"/>
          <w:sz w:val="22"/>
        </w:rPr>
        <w:t>（二）拒绝或懈怠履行所承诺提供的额外服务；</w:t>
      </w:r>
    </w:p>
    <w:p>
      <w:pPr>
        <w:adjustRightInd w:val="0"/>
        <w:snapToGrid w:val="0"/>
        <w:spacing w:line="400" w:lineRule="exact"/>
        <w:ind w:firstLine="440" w:firstLineChars="200"/>
        <w:rPr>
          <w:rFonts w:ascii="宋体" w:hAnsi="宋体" w:cs="Calibri"/>
          <w:color w:val="000000"/>
          <w:sz w:val="22"/>
        </w:rPr>
      </w:pPr>
      <w:r>
        <w:rPr>
          <w:rFonts w:hint="eastAsia" w:ascii="宋体" w:hAnsi="宋体" w:cs="Calibri"/>
          <w:color w:val="000000"/>
          <w:sz w:val="22"/>
        </w:rPr>
        <w:t>（三）未按时移交招投标相关资料或移交的资料不齐全。</w:t>
      </w:r>
    </w:p>
    <w:p>
      <w:pPr>
        <w:adjustRightInd w:val="0"/>
        <w:snapToGrid w:val="0"/>
        <w:spacing w:line="400" w:lineRule="exact"/>
        <w:ind w:firstLine="440" w:firstLineChars="200"/>
        <w:rPr>
          <w:rFonts w:ascii="宋体" w:hAnsi="宋体" w:cs="Calibri"/>
          <w:color w:val="000000"/>
          <w:sz w:val="22"/>
        </w:rPr>
      </w:pPr>
      <w:r>
        <w:rPr>
          <w:rFonts w:hint="eastAsia" w:ascii="宋体" w:hAnsi="宋体" w:cs="Calibri"/>
          <w:color w:val="000000"/>
          <w:sz w:val="22"/>
        </w:rPr>
        <w:t>6、委托人无正当理由擅自解除本协议的，应退还履约保证金。除非发生法定的受托人有权利解除本合同的情形，受托人不得解除本协议，擅自解除本协议的，委托人有权拒绝支付本协议项下的代理费用并不予退还受托人的履约保证金。</w:t>
      </w:r>
    </w:p>
    <w:p>
      <w:pPr>
        <w:adjustRightInd w:val="0"/>
        <w:snapToGrid w:val="0"/>
        <w:spacing w:line="400" w:lineRule="exact"/>
        <w:ind w:firstLine="440" w:firstLineChars="200"/>
        <w:rPr>
          <w:rFonts w:ascii="宋体" w:hAnsi="宋体" w:cs="Calibri"/>
          <w:color w:val="000000"/>
          <w:sz w:val="22"/>
        </w:rPr>
      </w:pPr>
      <w:r>
        <w:rPr>
          <w:rFonts w:hint="eastAsia" w:ascii="宋体" w:hAnsi="宋体" w:cs="Calibri"/>
          <w:color w:val="000000"/>
          <w:sz w:val="22"/>
        </w:rPr>
        <w:t>7、受托人及其人员违反法律法规应当行政处罚的，视情节轻重移交有关职能部门处理；构成犯罪的，由司法机关追究其刑事责任。</w:t>
      </w:r>
    </w:p>
    <w:p>
      <w:pPr>
        <w:adjustRightInd w:val="0"/>
        <w:snapToGrid w:val="0"/>
        <w:spacing w:line="400" w:lineRule="exact"/>
        <w:ind w:firstLine="440" w:firstLineChars="200"/>
        <w:rPr>
          <w:rFonts w:ascii="宋体" w:hAnsi="宋体" w:cs="Calibri"/>
          <w:color w:val="000000"/>
          <w:sz w:val="22"/>
        </w:rPr>
      </w:pPr>
      <w:r>
        <w:rPr>
          <w:rFonts w:hint="eastAsia" w:ascii="宋体" w:hAnsi="宋体" w:cs="Calibri"/>
          <w:color w:val="000000"/>
          <w:sz w:val="22"/>
        </w:rPr>
        <w:t>8、受托人应在代理服务过程中遵守包括招投标相关法律，诚实守信，勤勉尽责，保守委托人的商业秘密和维护委托人的知识产权，违反本协议的，应承担赔偿责任。</w:t>
      </w:r>
    </w:p>
    <w:p>
      <w:pPr>
        <w:adjustRightInd w:val="0"/>
        <w:snapToGrid w:val="0"/>
        <w:spacing w:line="400" w:lineRule="exact"/>
        <w:ind w:firstLine="440" w:firstLineChars="200"/>
        <w:rPr>
          <w:rFonts w:ascii="宋体" w:hAnsi="宋体" w:cs="Calibri"/>
          <w:color w:val="000000"/>
          <w:sz w:val="22"/>
        </w:rPr>
      </w:pPr>
      <w:r>
        <w:rPr>
          <w:rFonts w:hint="eastAsia" w:ascii="宋体" w:hAnsi="宋体" w:cs="Calibri"/>
          <w:color w:val="000000"/>
          <w:sz w:val="22"/>
        </w:rPr>
        <w:t>9、除本协议另有规定外，根据本协议约定守约方向违约方支付的违约金、赔偿金或不予退还的履约保证金不足以弥补守约方遭受的全部损失的，违约方应就守约方遭受的全部损失承担赔偿责任。</w:t>
      </w:r>
    </w:p>
    <w:p>
      <w:pPr>
        <w:adjustRightInd w:val="0"/>
        <w:snapToGrid w:val="0"/>
        <w:spacing w:line="400" w:lineRule="exact"/>
        <w:ind w:firstLine="440" w:firstLineChars="200"/>
        <w:rPr>
          <w:rFonts w:ascii="宋体" w:hAnsi="宋体" w:cs="Calibri"/>
          <w:color w:val="000000"/>
          <w:sz w:val="22"/>
        </w:rPr>
      </w:pPr>
      <w:r>
        <w:rPr>
          <w:rFonts w:hint="eastAsia" w:ascii="宋体" w:hAnsi="宋体" w:cs="Calibri"/>
          <w:color w:val="000000"/>
          <w:sz w:val="22"/>
        </w:rPr>
        <w:t>10、</w:t>
      </w:r>
      <w:r>
        <w:rPr>
          <w:rFonts w:hint="eastAsia" w:ascii="宋体" w:hAnsi="宋体" w:cs="Arial"/>
          <w:sz w:val="22"/>
        </w:rPr>
        <w:t>本合同履行中，</w:t>
      </w:r>
      <w:r>
        <w:rPr>
          <w:rFonts w:hint="eastAsia" w:ascii="宋体" w:hAnsi="宋体"/>
          <w:sz w:val="22"/>
        </w:rPr>
        <w:t>因承包人违约，发包人扣除全部或部分履约金的</w:t>
      </w:r>
      <w:r>
        <w:rPr>
          <w:rFonts w:hint="eastAsia" w:ascii="宋体" w:hAnsi="宋体" w:cs="Arial"/>
          <w:sz w:val="22"/>
        </w:rPr>
        <w:t>，则自发包人书面通知之日起</w:t>
      </w:r>
      <w:r>
        <w:rPr>
          <w:rFonts w:ascii="宋体" w:hAnsi="宋体" w:cs="Arial"/>
          <w:sz w:val="22"/>
        </w:rPr>
        <w:t>5日内，承包人应以转账支票、银行汇票或电汇方式向发包人补足该履约保证金；逾期补足的，承包人应向发包人按未补足金额的千分之一每日计付违约金。</w:t>
      </w:r>
    </w:p>
    <w:p>
      <w:pPr>
        <w:adjustRightInd w:val="0"/>
        <w:snapToGrid w:val="0"/>
        <w:spacing w:line="400" w:lineRule="exact"/>
        <w:ind w:firstLine="440" w:firstLineChars="200"/>
        <w:rPr>
          <w:rFonts w:ascii="宋体" w:hAnsi="宋体" w:cs="Calibri"/>
          <w:color w:val="000000"/>
          <w:sz w:val="22"/>
        </w:rPr>
      </w:pPr>
      <w:r>
        <w:rPr>
          <w:rFonts w:hint="eastAsia" w:ascii="宋体" w:hAnsi="宋体" w:cs="Calibri"/>
          <w:color w:val="000000"/>
          <w:sz w:val="22"/>
        </w:rPr>
        <w:t>11、因履行本协议的过程发生各种纠纷，双方应友好协商解决。如不能协商解决，双方均可向委托人所在地的人民法院提起诉讼。</w:t>
      </w:r>
    </w:p>
    <w:p>
      <w:pPr>
        <w:adjustRightInd w:val="0"/>
        <w:snapToGrid w:val="0"/>
        <w:spacing w:line="400" w:lineRule="exact"/>
        <w:ind w:firstLine="440" w:firstLineChars="200"/>
        <w:rPr>
          <w:rFonts w:hint="eastAsia" w:ascii="宋体" w:hAnsi="宋体" w:cs="Calibri"/>
          <w:color w:val="000000"/>
          <w:sz w:val="22"/>
        </w:rPr>
      </w:pPr>
      <w:r>
        <w:rPr>
          <w:rFonts w:hint="eastAsia" w:ascii="宋体" w:hAnsi="宋体" w:cs="Calibri"/>
          <w:color w:val="000000"/>
          <w:sz w:val="22"/>
        </w:rPr>
        <w:t>12、</w:t>
      </w:r>
      <w:r>
        <w:rPr>
          <w:rFonts w:ascii="Microsoft YaHei,Segoe UI Emoji" w:hAnsi="Microsoft YaHei,Segoe UI Emoji"/>
          <w:color w:val="000000"/>
          <w:szCs w:val="21"/>
        </w:rPr>
        <w:t>若经</w:t>
      </w:r>
      <w:r>
        <w:rPr>
          <w:rFonts w:hint="eastAsia" w:ascii="Microsoft YaHei,Segoe UI Emoji" w:hAnsi="Microsoft YaHei,Segoe UI Emoji"/>
          <w:color w:val="000000"/>
          <w:szCs w:val="21"/>
        </w:rPr>
        <w:t>受托人</w:t>
      </w:r>
      <w:r>
        <w:rPr>
          <w:rFonts w:ascii="Microsoft YaHei,Segoe UI Emoji" w:hAnsi="Microsoft YaHei,Segoe UI Emoji"/>
          <w:color w:val="000000"/>
          <w:szCs w:val="21"/>
        </w:rPr>
        <w:t>招标的项目，未按照</w:t>
      </w:r>
      <w:r>
        <w:rPr>
          <w:rFonts w:hint="eastAsia" w:ascii="Microsoft YaHei,Segoe UI Emoji" w:hAnsi="Microsoft YaHei,Segoe UI Emoji"/>
          <w:color w:val="000000"/>
          <w:szCs w:val="21"/>
        </w:rPr>
        <w:t>委托人</w:t>
      </w:r>
      <w:r>
        <w:rPr>
          <w:rFonts w:ascii="Microsoft YaHei,Segoe UI Emoji" w:hAnsi="Microsoft YaHei,Segoe UI Emoji"/>
          <w:color w:val="000000"/>
          <w:szCs w:val="21"/>
        </w:rPr>
        <w:t>要求确认合同条款并出具书面承诺，</w:t>
      </w:r>
      <w:r>
        <w:rPr>
          <w:rFonts w:hint="eastAsia" w:ascii="Microsoft YaHei,Segoe UI Emoji" w:hAnsi="Microsoft YaHei,Segoe UI Emoji"/>
          <w:color w:val="000000"/>
          <w:szCs w:val="21"/>
        </w:rPr>
        <w:t>委托人</w:t>
      </w:r>
      <w:r>
        <w:rPr>
          <w:rFonts w:ascii="Microsoft YaHei,Segoe UI Emoji" w:hAnsi="Microsoft YaHei,Segoe UI Emoji"/>
          <w:color w:val="000000"/>
          <w:szCs w:val="21"/>
        </w:rPr>
        <w:t>发现一次，则扣除</w:t>
      </w:r>
      <w:r>
        <w:rPr>
          <w:rFonts w:hint="eastAsia" w:ascii="Microsoft YaHei,Segoe UI Emoji" w:hAnsi="Microsoft YaHei,Segoe UI Emoji"/>
          <w:color w:val="000000"/>
          <w:szCs w:val="21"/>
        </w:rPr>
        <w:t>受托人</w:t>
      </w:r>
      <w:r>
        <w:rPr>
          <w:rFonts w:ascii="Microsoft YaHei,Segoe UI Emoji" w:hAnsi="Microsoft YaHei,Segoe UI Emoji"/>
          <w:color w:val="000000"/>
          <w:szCs w:val="21"/>
        </w:rPr>
        <w:t>10%的履约保证金，若发现三次（含第三次），则</w:t>
      </w:r>
      <w:r>
        <w:rPr>
          <w:rFonts w:hint="eastAsia" w:ascii="Microsoft YaHei,Segoe UI Emoji" w:hAnsi="Microsoft YaHei,Segoe UI Emoji"/>
          <w:color w:val="000000"/>
          <w:szCs w:val="21"/>
        </w:rPr>
        <w:t>委托人</w:t>
      </w:r>
      <w:r>
        <w:rPr>
          <w:rFonts w:ascii="Microsoft YaHei,Segoe UI Emoji" w:hAnsi="Microsoft YaHei,Segoe UI Emoji"/>
          <w:color w:val="000000"/>
          <w:szCs w:val="21"/>
        </w:rPr>
        <w:t>有权解除本合同，</w:t>
      </w:r>
      <w:r>
        <w:rPr>
          <w:rFonts w:hint="eastAsia" w:ascii="Microsoft YaHei,Segoe UI Emoji" w:hAnsi="Microsoft YaHei,Segoe UI Emoji"/>
          <w:color w:val="000000"/>
          <w:szCs w:val="21"/>
        </w:rPr>
        <w:t>受托人</w:t>
      </w:r>
      <w:r>
        <w:rPr>
          <w:rFonts w:ascii="Microsoft YaHei,Segoe UI Emoji" w:hAnsi="Microsoft YaHei,Segoe UI Emoji"/>
          <w:color w:val="000000"/>
          <w:szCs w:val="21"/>
        </w:rPr>
        <w:t>缴纳的履约保证金全额不予以退还。</w:t>
      </w:r>
    </w:p>
    <w:p>
      <w:pPr>
        <w:adjustRightInd w:val="0"/>
        <w:snapToGrid w:val="0"/>
        <w:spacing w:line="400" w:lineRule="exact"/>
        <w:ind w:firstLine="440" w:firstLineChars="200"/>
        <w:rPr>
          <w:rFonts w:ascii="宋体" w:hAnsi="宋体" w:cs="Calibri"/>
          <w:b/>
          <w:color w:val="000000"/>
          <w:sz w:val="22"/>
        </w:rPr>
      </w:pPr>
      <w:r>
        <w:rPr>
          <w:rFonts w:hint="eastAsia" w:ascii="宋体" w:hAnsi="宋体" w:cs="Calibri"/>
          <w:b/>
          <w:color w:val="000000"/>
          <w:sz w:val="22"/>
        </w:rPr>
        <w:t>五、其他</w:t>
      </w:r>
    </w:p>
    <w:p>
      <w:pPr>
        <w:adjustRightInd w:val="0"/>
        <w:snapToGrid w:val="0"/>
        <w:spacing w:line="400" w:lineRule="exact"/>
        <w:ind w:firstLine="440" w:firstLineChars="200"/>
        <w:rPr>
          <w:rFonts w:ascii="宋体" w:hAnsi="宋体" w:cs="Calibri"/>
          <w:color w:val="000000"/>
          <w:sz w:val="22"/>
        </w:rPr>
      </w:pPr>
      <w:r>
        <w:rPr>
          <w:rFonts w:hint="eastAsia" w:ascii="宋体" w:hAnsi="宋体" w:cs="Calibri"/>
          <w:color w:val="000000"/>
          <w:sz w:val="22"/>
        </w:rPr>
        <w:t>1、</w:t>
      </w:r>
      <w:r>
        <w:rPr>
          <w:rFonts w:hint="eastAsia" w:ascii="宋体" w:hAnsi="宋体"/>
          <w:sz w:val="22"/>
        </w:rPr>
        <w:t>不同项目、不同专业工程</w:t>
      </w:r>
      <w:r>
        <w:rPr>
          <w:rFonts w:hint="eastAsia" w:ascii="宋体" w:hAnsi="宋体" w:cs="Calibri"/>
          <w:color w:val="000000"/>
          <w:sz w:val="22"/>
        </w:rPr>
        <w:t>同时开标，必须分开进行评标，不得使用同一评标委员会评审。</w:t>
      </w:r>
    </w:p>
    <w:p>
      <w:pPr>
        <w:adjustRightInd w:val="0"/>
        <w:snapToGrid w:val="0"/>
        <w:spacing w:line="400" w:lineRule="exact"/>
        <w:ind w:firstLine="440" w:firstLineChars="200"/>
        <w:rPr>
          <w:rFonts w:ascii="宋体" w:hAnsi="宋体" w:cs="Calibri"/>
          <w:color w:val="000000"/>
          <w:sz w:val="22"/>
        </w:rPr>
      </w:pPr>
      <w:r>
        <w:rPr>
          <w:rFonts w:hint="eastAsia" w:ascii="宋体" w:hAnsi="宋体" w:cs="Calibri"/>
          <w:color w:val="000000"/>
          <w:sz w:val="22"/>
        </w:rPr>
        <w:t>2、专家评标咨询费标准需经委托人同意。</w:t>
      </w:r>
    </w:p>
    <w:p>
      <w:pPr>
        <w:adjustRightInd w:val="0"/>
        <w:snapToGrid w:val="0"/>
        <w:spacing w:line="400" w:lineRule="exact"/>
        <w:ind w:firstLine="440" w:firstLineChars="200"/>
        <w:rPr>
          <w:rFonts w:ascii="宋体" w:hAnsi="宋体" w:cs="Calibri"/>
          <w:color w:val="000000"/>
          <w:sz w:val="22"/>
        </w:rPr>
      </w:pPr>
      <w:r>
        <w:rPr>
          <w:rFonts w:hint="eastAsia" w:ascii="宋体" w:hAnsi="宋体" w:cs="Calibri"/>
          <w:color w:val="000000"/>
          <w:sz w:val="22"/>
        </w:rPr>
        <w:t>3、受托人严格按投标文件所列项目管理班子成员履行合同，未经委托人同意擅自更换人员影响招标时间计划的，则针对项目负责人情形的，受托人支付1万元违约金，针对其他人员情形的，受托人按每人3000元的标准支付违约金。受托人承担违约责任后，仍应按照委托人要求恢复或更换人员。</w:t>
      </w:r>
    </w:p>
    <w:p>
      <w:pPr>
        <w:adjustRightInd w:val="0"/>
        <w:snapToGrid w:val="0"/>
        <w:spacing w:line="400" w:lineRule="exact"/>
        <w:ind w:firstLine="440" w:firstLineChars="200"/>
        <w:rPr>
          <w:rFonts w:ascii="宋体" w:hAnsi="宋体" w:cs="Calibri"/>
          <w:color w:val="000000"/>
          <w:sz w:val="22"/>
        </w:rPr>
      </w:pPr>
      <w:r>
        <w:rPr>
          <w:rFonts w:hint="eastAsia" w:ascii="宋体" w:hAnsi="宋体" w:cs="Calibri"/>
          <w:color w:val="000000"/>
          <w:sz w:val="22"/>
        </w:rPr>
        <w:t>4、在具体项目招标过程中受托人已恰当充分的履行了本协议所规定的相应职责与义务的前提下，如招标失败，则由委托人据实承担已由受托人专为履行本协议而实际开支且经委托人确认的招标费用（不包括受托人自身人员薪酬及其他一切日常营运开支），受托人应向委托人提供相应的开支凭据。</w:t>
      </w:r>
    </w:p>
    <w:p>
      <w:pPr>
        <w:adjustRightInd w:val="0"/>
        <w:snapToGrid w:val="0"/>
        <w:spacing w:line="400" w:lineRule="exact"/>
        <w:ind w:firstLine="440" w:firstLineChars="200"/>
        <w:rPr>
          <w:rFonts w:ascii="宋体" w:hAnsi="宋体" w:cs="Calibri"/>
          <w:color w:val="000000"/>
          <w:sz w:val="22"/>
        </w:rPr>
      </w:pPr>
      <w:r>
        <w:rPr>
          <w:rFonts w:hint="eastAsia" w:ascii="宋体" w:hAnsi="宋体" w:cs="Calibri"/>
          <w:color w:val="000000"/>
          <w:sz w:val="22"/>
        </w:rPr>
        <w:t>5、本协议未尽事宜，双方应通过友好协商解决。</w:t>
      </w:r>
    </w:p>
    <w:p>
      <w:pPr>
        <w:widowControl/>
        <w:spacing w:line="400" w:lineRule="exact"/>
        <w:jc w:val="left"/>
        <w:rPr>
          <w:rFonts w:ascii="宋体" w:hAnsi="宋体" w:cs="Calibri"/>
          <w:color w:val="000000"/>
          <w:sz w:val="22"/>
        </w:rPr>
      </w:pPr>
    </w:p>
    <w:p>
      <w:pPr>
        <w:widowControl/>
        <w:spacing w:line="400" w:lineRule="exact"/>
        <w:jc w:val="left"/>
        <w:rPr>
          <w:rFonts w:hint="eastAsia" w:ascii="宋体" w:hAnsi="宋体" w:cs="Calibri"/>
          <w:color w:val="000000"/>
          <w:sz w:val="22"/>
        </w:rPr>
      </w:pPr>
    </w:p>
    <w:p>
      <w:pPr>
        <w:widowControl/>
        <w:spacing w:line="400" w:lineRule="exact"/>
        <w:jc w:val="left"/>
        <w:rPr>
          <w:rFonts w:hint="eastAsia" w:ascii="宋体" w:hAnsi="宋体" w:cs="Calibri"/>
          <w:color w:val="000000"/>
          <w:sz w:val="22"/>
        </w:rPr>
      </w:pPr>
    </w:p>
    <w:p>
      <w:pPr>
        <w:spacing w:line="400" w:lineRule="exact"/>
        <w:jc w:val="center"/>
        <w:rPr>
          <w:rFonts w:hint="eastAsia" w:ascii="宋体" w:hAnsi="宋体"/>
          <w:snapToGrid w:val="0"/>
          <w:kern w:val="0"/>
          <w:sz w:val="22"/>
        </w:rPr>
      </w:pPr>
      <w:r>
        <w:rPr>
          <w:rFonts w:hint="eastAsia" w:ascii="宋体" w:hAnsi="宋体"/>
          <w:b/>
          <w:sz w:val="22"/>
        </w:rPr>
        <w:t>设备、货物及服务项目招标代理合同</w:t>
      </w:r>
    </w:p>
    <w:p>
      <w:pPr>
        <w:spacing w:line="400" w:lineRule="exact"/>
        <w:ind w:firstLine="440" w:firstLineChars="200"/>
        <w:rPr>
          <w:rFonts w:ascii="宋体" w:hAnsi="宋体"/>
          <w:snapToGrid w:val="0"/>
          <w:kern w:val="0"/>
          <w:sz w:val="22"/>
        </w:rPr>
      </w:pPr>
    </w:p>
    <w:p>
      <w:pPr>
        <w:spacing w:line="400" w:lineRule="exact"/>
        <w:ind w:firstLine="440" w:firstLineChars="200"/>
        <w:rPr>
          <w:rFonts w:ascii="宋体" w:hAnsi="宋体"/>
          <w:snapToGrid w:val="0"/>
          <w:kern w:val="0"/>
          <w:sz w:val="22"/>
        </w:rPr>
      </w:pPr>
      <w:r>
        <w:rPr>
          <w:rFonts w:hint="eastAsia" w:ascii="宋体" w:hAnsi="宋体"/>
          <w:snapToGrid w:val="0"/>
          <w:kern w:val="0"/>
          <w:sz w:val="22"/>
        </w:rPr>
        <w:t>委托方：</w:t>
      </w:r>
    </w:p>
    <w:p>
      <w:pPr>
        <w:spacing w:line="400" w:lineRule="exact"/>
        <w:ind w:firstLine="440" w:firstLineChars="200"/>
        <w:rPr>
          <w:rFonts w:ascii="宋体" w:hAnsi="宋体"/>
          <w:snapToGrid w:val="0"/>
          <w:kern w:val="0"/>
          <w:sz w:val="22"/>
        </w:rPr>
      </w:pPr>
      <w:r>
        <w:rPr>
          <w:rFonts w:hint="eastAsia" w:ascii="宋体" w:hAnsi="宋体"/>
          <w:snapToGrid w:val="0"/>
          <w:kern w:val="0"/>
          <w:sz w:val="22"/>
        </w:rPr>
        <w:t>住址地：</w:t>
      </w:r>
      <w:r>
        <w:rPr>
          <w:rFonts w:ascii="宋体" w:hAnsi="宋体"/>
          <w:snapToGrid w:val="0"/>
          <w:kern w:val="0"/>
          <w:sz w:val="22"/>
        </w:rPr>
        <w:t xml:space="preserve"> </w:t>
      </w:r>
    </w:p>
    <w:p>
      <w:pPr>
        <w:spacing w:line="400" w:lineRule="exact"/>
        <w:ind w:firstLine="440" w:firstLineChars="200"/>
        <w:rPr>
          <w:rFonts w:hint="eastAsia" w:ascii="宋体" w:hAnsi="宋体"/>
          <w:snapToGrid w:val="0"/>
          <w:kern w:val="0"/>
          <w:sz w:val="22"/>
        </w:rPr>
      </w:pPr>
      <w:r>
        <w:rPr>
          <w:rFonts w:hint="eastAsia" w:ascii="宋体" w:hAnsi="宋体"/>
          <w:snapToGrid w:val="0"/>
          <w:kern w:val="0"/>
          <w:sz w:val="22"/>
        </w:rPr>
        <w:t xml:space="preserve">受托方： </w:t>
      </w:r>
    </w:p>
    <w:p>
      <w:pPr>
        <w:spacing w:line="400" w:lineRule="exact"/>
        <w:ind w:firstLine="440" w:firstLineChars="200"/>
        <w:rPr>
          <w:rFonts w:hint="eastAsia" w:ascii="宋体" w:hAnsi="宋体"/>
          <w:snapToGrid w:val="0"/>
          <w:kern w:val="0"/>
          <w:sz w:val="22"/>
        </w:rPr>
      </w:pPr>
      <w:r>
        <w:rPr>
          <w:rFonts w:hint="eastAsia" w:ascii="宋体" w:hAnsi="宋体"/>
          <w:snapToGrid w:val="0"/>
          <w:kern w:val="0"/>
          <w:sz w:val="22"/>
        </w:rPr>
        <w:t xml:space="preserve">住址地： </w:t>
      </w:r>
    </w:p>
    <w:p>
      <w:pPr>
        <w:spacing w:line="400" w:lineRule="exact"/>
        <w:ind w:firstLine="440" w:firstLineChars="200"/>
        <w:rPr>
          <w:rFonts w:ascii="宋体" w:hAnsi="宋体"/>
          <w:b/>
          <w:snapToGrid w:val="0"/>
          <w:kern w:val="0"/>
          <w:sz w:val="22"/>
        </w:rPr>
      </w:pPr>
    </w:p>
    <w:p>
      <w:pPr>
        <w:spacing w:line="400" w:lineRule="exact"/>
        <w:ind w:firstLine="440" w:firstLineChars="200"/>
        <w:rPr>
          <w:rFonts w:ascii="宋体" w:hAnsi="宋体"/>
          <w:snapToGrid w:val="0"/>
          <w:kern w:val="0"/>
          <w:sz w:val="22"/>
        </w:rPr>
      </w:pPr>
      <w:r>
        <w:rPr>
          <w:rFonts w:hint="eastAsia" w:ascii="宋体" w:hAnsi="宋体"/>
          <w:snapToGrid w:val="0"/>
          <w:kern w:val="0"/>
          <w:sz w:val="22"/>
        </w:rPr>
        <w:t>依照《中华人民共和国合同法》、《中华人民共和国招标投标法》及</w:t>
      </w:r>
      <w:r>
        <w:rPr>
          <w:rFonts w:hint="eastAsia" w:ascii="宋体" w:hAnsi="宋体" w:cs="Calibri"/>
          <w:color w:val="000000"/>
          <w:sz w:val="22"/>
        </w:rPr>
        <w:t>实施条例和</w:t>
      </w:r>
      <w:r>
        <w:rPr>
          <w:rFonts w:hint="eastAsia" w:ascii="宋体" w:hAnsi="宋体"/>
          <w:snapToGrid w:val="0"/>
          <w:kern w:val="0"/>
          <w:sz w:val="22"/>
        </w:rPr>
        <w:t>国家的有关法律、行政法规，遵循平等、自愿、公平和诚实信用的原则，双方就</w:t>
      </w:r>
      <w:r>
        <w:rPr>
          <w:rFonts w:hint="eastAsia" w:ascii="宋体" w:hAnsi="宋体"/>
          <w:sz w:val="22"/>
        </w:rPr>
        <w:t>设备、货物采购及服务项目代理</w:t>
      </w:r>
      <w:r>
        <w:rPr>
          <w:rFonts w:hint="eastAsia" w:ascii="宋体" w:hAnsi="宋体"/>
          <w:snapToGrid w:val="0"/>
          <w:kern w:val="0"/>
          <w:sz w:val="22"/>
        </w:rPr>
        <w:t>服务事项协商一致，订立本合同。</w:t>
      </w:r>
    </w:p>
    <w:p>
      <w:pPr>
        <w:spacing w:line="400" w:lineRule="exact"/>
        <w:ind w:firstLine="440" w:firstLineChars="200"/>
        <w:rPr>
          <w:rFonts w:ascii="宋体" w:hAnsi="宋体"/>
          <w:b/>
          <w:snapToGrid w:val="0"/>
          <w:kern w:val="0"/>
          <w:sz w:val="22"/>
        </w:rPr>
      </w:pPr>
      <w:r>
        <w:rPr>
          <w:rFonts w:hint="eastAsia" w:ascii="宋体" w:hAnsi="宋体"/>
          <w:b/>
          <w:snapToGrid w:val="0"/>
          <w:kern w:val="0"/>
          <w:sz w:val="22"/>
        </w:rPr>
        <w:t>第一条  定义</w:t>
      </w:r>
    </w:p>
    <w:p>
      <w:pPr>
        <w:spacing w:line="400" w:lineRule="exact"/>
        <w:ind w:firstLine="440" w:firstLineChars="200"/>
        <w:rPr>
          <w:rFonts w:ascii="宋体" w:hAnsi="宋体"/>
          <w:snapToGrid w:val="0"/>
          <w:kern w:val="0"/>
          <w:sz w:val="22"/>
        </w:rPr>
      </w:pPr>
      <w:r>
        <w:rPr>
          <w:rFonts w:hint="eastAsia" w:ascii="宋体" w:hAnsi="宋体"/>
          <w:snapToGrid w:val="0"/>
          <w:kern w:val="0"/>
          <w:sz w:val="22"/>
        </w:rPr>
        <w:t>1、招标代理工作：委托方委托代理方在具体招投标项目中开展具体的招标代理工作，代理招标工作内容详见第四条。</w:t>
      </w:r>
    </w:p>
    <w:p>
      <w:pPr>
        <w:spacing w:line="400" w:lineRule="exact"/>
        <w:ind w:firstLine="440" w:firstLineChars="200"/>
        <w:rPr>
          <w:rFonts w:ascii="宋体" w:hAnsi="宋体"/>
          <w:snapToGrid w:val="0"/>
          <w:kern w:val="0"/>
          <w:sz w:val="22"/>
        </w:rPr>
      </w:pPr>
      <w:r>
        <w:rPr>
          <w:rFonts w:hint="eastAsia" w:ascii="宋体" w:hAnsi="宋体"/>
          <w:snapToGrid w:val="0"/>
          <w:kern w:val="0"/>
          <w:sz w:val="22"/>
        </w:rPr>
        <w:t>2、其他规定：任何政府或行业主管部门、行业协会制定的，对招投标和招标代理工作具有合法约束力的规范性文件。</w:t>
      </w:r>
    </w:p>
    <w:p>
      <w:pPr>
        <w:spacing w:line="400" w:lineRule="exact"/>
        <w:ind w:firstLine="440" w:firstLineChars="200"/>
        <w:rPr>
          <w:rFonts w:ascii="宋体" w:hAnsi="宋体"/>
          <w:snapToGrid w:val="0"/>
          <w:kern w:val="0"/>
          <w:sz w:val="22"/>
        </w:rPr>
      </w:pPr>
      <w:r>
        <w:rPr>
          <w:rFonts w:hint="eastAsia" w:ascii="宋体" w:hAnsi="宋体"/>
          <w:snapToGrid w:val="0"/>
          <w:kern w:val="0"/>
          <w:sz w:val="22"/>
        </w:rPr>
        <w:t>3、任何其他与招投标相关的词汇，均应依照《中华人民共和国招标投标法》及实施条例的内容进行解释。</w:t>
      </w:r>
    </w:p>
    <w:p>
      <w:pPr>
        <w:spacing w:line="400" w:lineRule="exact"/>
        <w:ind w:firstLine="440" w:firstLineChars="200"/>
        <w:rPr>
          <w:rFonts w:ascii="宋体" w:hAnsi="宋体"/>
          <w:b/>
          <w:snapToGrid w:val="0"/>
          <w:kern w:val="0"/>
          <w:sz w:val="22"/>
        </w:rPr>
      </w:pPr>
      <w:r>
        <w:rPr>
          <w:rFonts w:hint="eastAsia" w:ascii="宋体" w:hAnsi="宋体"/>
          <w:b/>
          <w:snapToGrid w:val="0"/>
          <w:kern w:val="0"/>
          <w:sz w:val="22"/>
        </w:rPr>
        <w:t>第二条  委托招标代理内容</w:t>
      </w:r>
    </w:p>
    <w:p>
      <w:pPr>
        <w:spacing w:line="400" w:lineRule="exact"/>
        <w:ind w:firstLine="440" w:firstLineChars="200"/>
        <w:rPr>
          <w:rFonts w:ascii="宋体" w:hAnsi="宋体"/>
          <w:snapToGrid w:val="0"/>
          <w:kern w:val="0"/>
          <w:sz w:val="22"/>
        </w:rPr>
      </w:pPr>
      <w:r>
        <w:rPr>
          <w:rFonts w:hint="eastAsia" w:ascii="宋体" w:hAnsi="宋体"/>
          <w:snapToGrid w:val="0"/>
          <w:kern w:val="0"/>
          <w:sz w:val="22"/>
        </w:rPr>
        <w:t>设备、服务类项目供货及相关咨询等，具体以委托人实际委托为准。</w:t>
      </w:r>
    </w:p>
    <w:p>
      <w:pPr>
        <w:spacing w:line="400" w:lineRule="exact"/>
        <w:ind w:firstLine="440" w:firstLineChars="200"/>
        <w:jc w:val="left"/>
        <w:rPr>
          <w:rFonts w:ascii="宋体" w:hAnsi="宋体"/>
          <w:b/>
          <w:snapToGrid w:val="0"/>
          <w:kern w:val="0"/>
          <w:sz w:val="22"/>
        </w:rPr>
      </w:pPr>
      <w:r>
        <w:rPr>
          <w:rFonts w:hint="eastAsia" w:ascii="宋体" w:hAnsi="宋体"/>
          <w:b/>
          <w:snapToGrid w:val="0"/>
          <w:kern w:val="0"/>
          <w:sz w:val="22"/>
        </w:rPr>
        <w:t>第三条  委托代理报酬与收取</w:t>
      </w:r>
    </w:p>
    <w:p>
      <w:pPr>
        <w:adjustRightInd w:val="0"/>
        <w:snapToGrid w:val="0"/>
        <w:spacing w:line="400" w:lineRule="exact"/>
        <w:ind w:firstLine="440" w:firstLineChars="200"/>
        <w:rPr>
          <w:rFonts w:ascii="宋体" w:hAnsi="宋体" w:cs="Calibri"/>
          <w:snapToGrid/>
          <w:color w:val="000000"/>
          <w:kern w:val="2"/>
          <w:sz w:val="22"/>
        </w:rPr>
      </w:pPr>
      <w:r>
        <w:rPr>
          <w:rFonts w:hint="eastAsia" w:ascii="宋体" w:hAnsi="宋体" w:cs="Calibri"/>
          <w:color w:val="000000"/>
          <w:sz w:val="22"/>
        </w:rPr>
        <w:t>1、招标代理服务费费率中已包括完成招标代理服务过程中可能发生的所有费用，包括但不限于公示费、招标文件制作费、标底编制费、评标专家咨询费、场租费、从事代理服务中发生的受托方人员食宿、交通等任何其他费用等。</w:t>
      </w:r>
      <w:r>
        <w:rPr>
          <w:rFonts w:hint="eastAsia" w:ascii="宋体" w:hAnsi="宋体"/>
          <w:snapToGrid w:val="0"/>
          <w:kern w:val="0"/>
          <w:sz w:val="22"/>
        </w:rPr>
        <w:t>招标代理服务费由受托人向中标人收取，招标代理服务费为</w:t>
      </w:r>
      <w:r>
        <w:rPr>
          <w:rFonts w:ascii="宋体" w:hAnsi="宋体" w:cs="Calibri"/>
          <w:color w:val="000000"/>
          <w:sz w:val="22"/>
        </w:rPr>
        <w:t>发改办价格[2003]857号</w:t>
      </w:r>
      <w:r>
        <w:rPr>
          <w:rFonts w:hint="eastAsia" w:ascii="宋体" w:hAnsi="宋体" w:cs="Calibri"/>
          <w:color w:val="000000"/>
          <w:sz w:val="22"/>
        </w:rPr>
        <w:t>、发改价格[2011]534号</w:t>
      </w:r>
      <w:r>
        <w:rPr>
          <w:rFonts w:hint="eastAsia" w:ascii="宋体" w:hAnsi="宋体"/>
          <w:snapToGrid w:val="0"/>
          <w:kern w:val="0"/>
          <w:sz w:val="22"/>
        </w:rPr>
        <w:t>文件规定的基数</w:t>
      </w:r>
      <w:r>
        <w:rPr>
          <w:rFonts w:ascii="宋体" w:hAnsi="宋体"/>
          <w:snapToGrid w:val="0"/>
          <w:kern w:val="0"/>
          <w:sz w:val="22"/>
        </w:rPr>
        <w:t>*</w:t>
      </w:r>
      <w:r>
        <w:rPr>
          <w:rFonts w:hint="eastAsia" w:ascii="宋体" w:hAnsi="宋体"/>
          <w:snapToGrid w:val="0"/>
          <w:kern w:val="0"/>
          <w:sz w:val="22"/>
        </w:rPr>
        <w:t>优惠率。若相关政府部门规定必须由委托人支付的，按照前述计算方式，由受托人提供招标完成的请款报告由经办部门确认后支付。</w:t>
      </w:r>
      <w:r>
        <w:rPr>
          <w:rFonts w:hint="eastAsia" w:ascii="宋体" w:hAnsi="宋体" w:cs="Calibri"/>
          <w:b/>
          <w:color w:val="000000"/>
          <w:sz w:val="22"/>
        </w:rPr>
        <w:t>其中涉及</w:t>
      </w:r>
      <w:r>
        <w:rPr>
          <w:rFonts w:ascii="宋体" w:hAnsi="宋体" w:cs="Calibri"/>
          <w:b/>
          <w:color w:val="000000"/>
          <w:sz w:val="22"/>
        </w:rPr>
        <w:t>服务类项目（</w:t>
      </w:r>
      <w:r>
        <w:rPr>
          <w:rFonts w:hint="eastAsia" w:ascii="宋体" w:hAnsi="宋体" w:cs="Calibri"/>
          <w:b/>
          <w:color w:val="000000"/>
          <w:sz w:val="22"/>
        </w:rPr>
        <w:t>如</w:t>
      </w:r>
      <w:r>
        <w:rPr>
          <w:rFonts w:ascii="宋体" w:hAnsi="宋体" w:cs="Calibri"/>
          <w:b/>
          <w:color w:val="000000"/>
          <w:sz w:val="22"/>
        </w:rPr>
        <w:t>外包等），</w:t>
      </w:r>
      <w:r>
        <w:rPr>
          <w:rFonts w:hint="eastAsia" w:ascii="宋体" w:hAnsi="宋体" w:cs="Calibri"/>
          <w:b/>
          <w:color w:val="000000"/>
          <w:sz w:val="22"/>
        </w:rPr>
        <w:t>若</w:t>
      </w:r>
      <w:r>
        <w:rPr>
          <w:rFonts w:ascii="宋体" w:hAnsi="宋体" w:cs="Calibri"/>
          <w:b/>
          <w:color w:val="000000"/>
          <w:sz w:val="22"/>
        </w:rPr>
        <w:t>合同期大于</w:t>
      </w:r>
      <w:r>
        <w:rPr>
          <w:rFonts w:hint="eastAsia" w:ascii="宋体" w:hAnsi="宋体" w:cs="Calibri"/>
          <w:b/>
          <w:color w:val="000000"/>
          <w:sz w:val="22"/>
        </w:rPr>
        <w:t>一年</w:t>
      </w:r>
      <w:r>
        <w:rPr>
          <w:rFonts w:ascii="宋体" w:hAnsi="宋体" w:cs="Calibri"/>
          <w:b/>
          <w:color w:val="000000"/>
          <w:sz w:val="22"/>
        </w:rPr>
        <w:t>，</w:t>
      </w:r>
      <w:r>
        <w:rPr>
          <w:rFonts w:hint="eastAsia" w:ascii="宋体" w:hAnsi="宋体" w:cs="Calibri"/>
          <w:b/>
          <w:color w:val="000000"/>
          <w:sz w:val="22"/>
        </w:rPr>
        <w:t>计算</w:t>
      </w:r>
      <w:r>
        <w:rPr>
          <w:rFonts w:ascii="宋体" w:hAnsi="宋体" w:cs="Calibri"/>
          <w:b/>
          <w:color w:val="000000"/>
          <w:sz w:val="22"/>
        </w:rPr>
        <w:t>招标代理服务费时</w:t>
      </w:r>
      <w:r>
        <w:rPr>
          <w:rFonts w:hint="eastAsia" w:ascii="宋体" w:hAnsi="宋体" w:cs="Calibri"/>
          <w:b/>
          <w:color w:val="000000"/>
          <w:sz w:val="22"/>
        </w:rPr>
        <w:t>，以</w:t>
      </w:r>
      <w:r>
        <w:rPr>
          <w:rFonts w:ascii="宋体" w:hAnsi="宋体" w:cs="Calibri"/>
          <w:b/>
          <w:color w:val="000000"/>
          <w:sz w:val="22"/>
        </w:rPr>
        <w:t>第一年的中标金额</w:t>
      </w:r>
      <w:r>
        <w:rPr>
          <w:rFonts w:hint="eastAsia" w:ascii="宋体" w:hAnsi="宋体" w:cs="Calibri"/>
          <w:b/>
          <w:color w:val="000000"/>
          <w:sz w:val="22"/>
        </w:rPr>
        <w:t>计算</w:t>
      </w:r>
      <w:r>
        <w:rPr>
          <w:rFonts w:ascii="宋体" w:hAnsi="宋体" w:cs="Calibri"/>
          <w:b/>
          <w:color w:val="000000"/>
          <w:sz w:val="22"/>
        </w:rPr>
        <w:t>基数</w:t>
      </w:r>
      <w:r>
        <w:rPr>
          <w:rFonts w:hint="eastAsia" w:ascii="宋体" w:hAnsi="宋体" w:cs="Calibri"/>
          <w:b/>
          <w:color w:val="000000"/>
          <w:sz w:val="22"/>
        </w:rPr>
        <w:t>，无</w:t>
      </w:r>
      <w:r>
        <w:rPr>
          <w:rFonts w:ascii="宋体" w:hAnsi="宋体" w:cs="Calibri"/>
          <w:b/>
          <w:color w:val="000000"/>
          <w:sz w:val="22"/>
        </w:rPr>
        <w:t>具体</w:t>
      </w:r>
      <w:r>
        <w:rPr>
          <w:rFonts w:hint="eastAsia" w:ascii="宋体" w:hAnsi="宋体" w:cs="Calibri"/>
          <w:b/>
          <w:color w:val="000000"/>
          <w:sz w:val="22"/>
        </w:rPr>
        <w:t>中标</w:t>
      </w:r>
      <w:r>
        <w:rPr>
          <w:rFonts w:ascii="宋体" w:hAnsi="宋体" w:cs="Calibri"/>
          <w:b/>
          <w:color w:val="000000"/>
          <w:sz w:val="22"/>
        </w:rPr>
        <w:t>金额的</w:t>
      </w:r>
      <w:r>
        <w:rPr>
          <w:rFonts w:hint="eastAsia" w:ascii="宋体" w:hAnsi="宋体" w:cs="Calibri"/>
          <w:b/>
          <w:color w:val="000000"/>
          <w:sz w:val="22"/>
        </w:rPr>
        <w:t>招标项目</w:t>
      </w:r>
      <w:r>
        <w:rPr>
          <w:rFonts w:ascii="宋体" w:hAnsi="宋体" w:cs="Calibri"/>
          <w:b/>
          <w:color w:val="000000"/>
          <w:sz w:val="22"/>
        </w:rPr>
        <w:t>，招标代理</w:t>
      </w:r>
      <w:r>
        <w:rPr>
          <w:rFonts w:hint="eastAsia" w:ascii="宋体" w:hAnsi="宋体" w:cs="Calibri"/>
          <w:b/>
          <w:color w:val="000000"/>
          <w:sz w:val="22"/>
        </w:rPr>
        <w:t>服务</w:t>
      </w:r>
      <w:r>
        <w:rPr>
          <w:rFonts w:ascii="宋体" w:hAnsi="宋体" w:cs="Calibri"/>
          <w:b/>
          <w:color w:val="000000"/>
          <w:sz w:val="22"/>
        </w:rPr>
        <w:t>费</w:t>
      </w:r>
      <w:r>
        <w:rPr>
          <w:rFonts w:hint="eastAsia" w:ascii="宋体" w:hAnsi="宋体" w:cs="Calibri"/>
          <w:b/>
          <w:color w:val="000000"/>
          <w:sz w:val="22"/>
        </w:rPr>
        <w:t>另行</w:t>
      </w:r>
      <w:r>
        <w:rPr>
          <w:rFonts w:ascii="宋体" w:hAnsi="宋体" w:cs="Calibri"/>
          <w:b/>
          <w:color w:val="000000"/>
          <w:sz w:val="22"/>
        </w:rPr>
        <w:t>协商明确。</w:t>
      </w:r>
    </w:p>
    <w:p>
      <w:pPr>
        <w:spacing w:line="400" w:lineRule="exact"/>
        <w:ind w:firstLine="440" w:firstLineChars="200"/>
        <w:rPr>
          <w:rFonts w:ascii="宋体" w:hAnsi="宋体"/>
          <w:snapToGrid w:val="0"/>
          <w:kern w:val="0"/>
          <w:sz w:val="22"/>
        </w:rPr>
      </w:pPr>
      <w:r>
        <w:rPr>
          <w:rFonts w:hint="eastAsia" w:ascii="宋体" w:hAnsi="宋体"/>
          <w:snapToGrid w:val="0"/>
          <w:kern w:val="0"/>
          <w:sz w:val="22"/>
        </w:rPr>
        <w:t>2、政府交易中心收取的费用，由委托人、受托人各自承担。</w:t>
      </w:r>
    </w:p>
    <w:p>
      <w:pPr>
        <w:spacing w:line="400" w:lineRule="exact"/>
        <w:ind w:firstLine="440" w:firstLineChars="200"/>
        <w:rPr>
          <w:rFonts w:ascii="宋体" w:hAnsi="宋体"/>
          <w:snapToGrid w:val="0"/>
          <w:kern w:val="0"/>
          <w:sz w:val="22"/>
        </w:rPr>
      </w:pPr>
      <w:r>
        <w:rPr>
          <w:rFonts w:hint="eastAsia" w:ascii="宋体" w:hAnsi="宋体"/>
          <w:snapToGrid w:val="0"/>
          <w:kern w:val="0"/>
          <w:sz w:val="22"/>
        </w:rPr>
        <w:t>3、如招标项目为民航专业工程，招标评标专家应为民航总局专家库成员。因民航总局专家库为国家级专家库，成员来自全国各地，故该类项目工程招标代理服务费用除前款内容以外，还应包括专家往来交通费（含机票、车船票、市内交通费等）、住宿费、餐饮费等（食宿标准不得低于财政部相关规定），评标专家咨询费标准按照民航系统标准，并派专人、专车接送，遇专家往返时间不一致时，须分别接送，不得要求专家等候统一接送。</w:t>
      </w:r>
    </w:p>
    <w:p>
      <w:pPr>
        <w:spacing w:line="400" w:lineRule="exact"/>
        <w:ind w:firstLine="440" w:firstLineChars="200"/>
        <w:rPr>
          <w:rFonts w:ascii="宋体" w:hAnsi="宋体" w:cs="Calibri"/>
          <w:color w:val="000000"/>
          <w:sz w:val="22"/>
        </w:rPr>
      </w:pPr>
      <w:r>
        <w:rPr>
          <w:rFonts w:hint="eastAsia" w:ascii="宋体" w:hAnsi="宋体"/>
          <w:snapToGrid w:val="0"/>
          <w:kern w:val="0"/>
          <w:sz w:val="22"/>
        </w:rPr>
        <w:t>4、</w:t>
      </w:r>
      <w:r>
        <w:rPr>
          <w:rFonts w:hint="eastAsia" w:ascii="宋体" w:hAnsi="宋体" w:cs="Calibri"/>
          <w:color w:val="000000"/>
          <w:sz w:val="22"/>
        </w:rPr>
        <w:t>根据华东局发明电[201</w:t>
      </w:r>
      <w:r>
        <w:rPr>
          <w:rFonts w:ascii="宋体" w:hAnsi="宋体" w:cs="Calibri"/>
          <w:color w:val="000000"/>
          <w:sz w:val="22"/>
        </w:rPr>
        <w:t>5</w:t>
      </w:r>
      <w:r>
        <w:rPr>
          <w:rFonts w:hint="eastAsia" w:ascii="宋体" w:hAnsi="宋体" w:cs="Calibri"/>
          <w:color w:val="000000"/>
          <w:sz w:val="22"/>
        </w:rPr>
        <w:t>]3044号、华东局发明电[2016]627号文件，民航专业工程建设项目统一开评标地点为上海或者北京，故该类项目工程招标代理服务费用除前款内容以外，还应包括受托人人员及委托人监督人员的往来交通费（含机票、车船票、市内交通费等）、住宿费、餐饮费等。</w:t>
      </w:r>
    </w:p>
    <w:p>
      <w:pPr>
        <w:spacing w:line="400" w:lineRule="exact"/>
        <w:ind w:firstLine="440" w:firstLineChars="200"/>
        <w:rPr>
          <w:rFonts w:ascii="宋体" w:hAnsi="宋体"/>
          <w:snapToGrid w:val="0"/>
          <w:kern w:val="0"/>
          <w:sz w:val="22"/>
        </w:rPr>
      </w:pPr>
      <w:r>
        <w:rPr>
          <w:rFonts w:hint="eastAsia" w:ascii="宋体" w:hAnsi="宋体"/>
          <w:snapToGrid w:val="0"/>
          <w:kern w:val="0"/>
          <w:sz w:val="22"/>
        </w:rPr>
        <w:t>5、根据</w:t>
      </w:r>
      <w:r>
        <w:rPr>
          <w:rFonts w:hint="eastAsia" w:ascii="宋体" w:hAnsi="宋体" w:cs="Calibri"/>
          <w:color w:val="000000"/>
          <w:sz w:val="22"/>
        </w:rPr>
        <w:t>浙发改法规[2014]645号</w:t>
      </w:r>
      <w:r>
        <w:rPr>
          <w:rFonts w:hint="eastAsia" w:ascii="宋体" w:hAnsi="宋体"/>
          <w:snapToGrid w:val="0"/>
          <w:kern w:val="0"/>
          <w:sz w:val="22"/>
        </w:rPr>
        <w:t>，省重点建设项目的评标专家在全库内不分地区随机抽取，不受地域限制，故该类项目招标代理服务费用除前款内容以外，还应包括专家往来交通费（含机票、车船票、市内交通费等）、住宿费、餐饮费等（食宿标准不得低于财政部相关规定）。</w:t>
      </w:r>
    </w:p>
    <w:p>
      <w:pPr>
        <w:widowControl/>
        <w:spacing w:line="400" w:lineRule="exact"/>
        <w:jc w:val="left"/>
        <w:rPr>
          <w:rFonts w:ascii="宋体" w:hAnsi="宋体"/>
          <w:b/>
          <w:snapToGrid w:val="0"/>
          <w:kern w:val="0"/>
          <w:sz w:val="22"/>
        </w:rPr>
      </w:pPr>
      <w:r>
        <w:rPr>
          <w:rFonts w:hint="eastAsia" w:ascii="宋体" w:hAnsi="宋体"/>
          <w:snapToGrid w:val="0"/>
          <w:kern w:val="0"/>
          <w:sz w:val="22"/>
        </w:rPr>
        <w:t xml:space="preserve">   </w:t>
      </w:r>
      <w:r>
        <w:rPr>
          <w:rFonts w:hint="eastAsia" w:ascii="宋体" w:hAnsi="宋体"/>
          <w:snapToGrid w:val="0"/>
          <w:color w:val="FF0000"/>
          <w:kern w:val="0"/>
          <w:sz w:val="22"/>
        </w:rPr>
        <w:t xml:space="preserve"> </w:t>
      </w:r>
      <w:r>
        <w:rPr>
          <w:rFonts w:hint="eastAsia" w:ascii="宋体" w:hAnsi="宋体"/>
          <w:b/>
          <w:snapToGrid w:val="0"/>
          <w:kern w:val="0"/>
          <w:sz w:val="22"/>
        </w:rPr>
        <w:t>第四条  代理招标工作内容</w:t>
      </w:r>
    </w:p>
    <w:p>
      <w:pPr>
        <w:spacing w:line="400" w:lineRule="exact"/>
        <w:ind w:firstLine="440" w:firstLineChars="200"/>
        <w:jc w:val="left"/>
        <w:rPr>
          <w:rFonts w:ascii="宋体" w:hAnsi="宋体"/>
          <w:snapToGrid w:val="0"/>
          <w:kern w:val="0"/>
          <w:sz w:val="22"/>
        </w:rPr>
      </w:pPr>
      <w:r>
        <w:rPr>
          <w:rFonts w:hint="eastAsia" w:ascii="宋体" w:hAnsi="宋体"/>
          <w:snapToGrid w:val="0"/>
          <w:kern w:val="0"/>
          <w:sz w:val="22"/>
        </w:rPr>
        <w:t xml:space="preserve">1、协助招标人办理项目立项申报事宜。 </w:t>
      </w:r>
    </w:p>
    <w:p>
      <w:pPr>
        <w:spacing w:line="400" w:lineRule="exact"/>
        <w:ind w:firstLine="440" w:firstLineChars="200"/>
        <w:jc w:val="left"/>
        <w:rPr>
          <w:rFonts w:ascii="宋体" w:hAnsi="宋体"/>
          <w:snapToGrid w:val="0"/>
          <w:kern w:val="0"/>
          <w:sz w:val="22"/>
        </w:rPr>
      </w:pPr>
      <w:r>
        <w:rPr>
          <w:rFonts w:hint="eastAsia" w:ascii="宋体" w:hAnsi="宋体"/>
          <w:snapToGrid w:val="0"/>
          <w:kern w:val="0"/>
          <w:sz w:val="22"/>
        </w:rPr>
        <w:t>2、招标相关文件报送招标人审核后报相关主管部门批准。</w:t>
      </w:r>
    </w:p>
    <w:p>
      <w:pPr>
        <w:spacing w:line="400" w:lineRule="exact"/>
        <w:ind w:firstLine="440" w:firstLineChars="200"/>
        <w:jc w:val="left"/>
        <w:rPr>
          <w:rFonts w:ascii="宋体" w:hAnsi="宋体"/>
          <w:snapToGrid w:val="0"/>
          <w:kern w:val="0"/>
          <w:sz w:val="22"/>
        </w:rPr>
      </w:pPr>
      <w:r>
        <w:rPr>
          <w:rFonts w:hint="eastAsia" w:ascii="宋体" w:hAnsi="宋体"/>
          <w:snapToGrid w:val="0"/>
          <w:kern w:val="0"/>
          <w:sz w:val="22"/>
        </w:rPr>
        <w:t xml:space="preserve">3、依法代表招标人发布招标公告，负责与政府招标管理部门进行协调。 </w:t>
      </w:r>
    </w:p>
    <w:p>
      <w:pPr>
        <w:spacing w:line="400" w:lineRule="exact"/>
        <w:ind w:firstLine="440" w:firstLineChars="200"/>
        <w:jc w:val="left"/>
        <w:rPr>
          <w:rFonts w:ascii="宋体" w:hAnsi="宋体"/>
          <w:snapToGrid w:val="0"/>
          <w:kern w:val="0"/>
          <w:sz w:val="22"/>
        </w:rPr>
      </w:pPr>
      <w:r>
        <w:rPr>
          <w:rFonts w:hint="eastAsia" w:ascii="宋体" w:hAnsi="宋体"/>
          <w:snapToGrid w:val="0"/>
          <w:kern w:val="0"/>
          <w:sz w:val="22"/>
        </w:rPr>
        <w:t xml:space="preserve">4、组织现场踏勘和答疑。 </w:t>
      </w:r>
    </w:p>
    <w:p>
      <w:pPr>
        <w:spacing w:line="400" w:lineRule="exact"/>
        <w:ind w:firstLine="440" w:firstLineChars="200"/>
        <w:jc w:val="left"/>
        <w:rPr>
          <w:rFonts w:ascii="宋体" w:hAnsi="宋体"/>
          <w:snapToGrid w:val="0"/>
          <w:kern w:val="0"/>
          <w:sz w:val="22"/>
        </w:rPr>
      </w:pPr>
      <w:r>
        <w:rPr>
          <w:rFonts w:hint="eastAsia" w:ascii="宋体" w:hAnsi="宋体"/>
          <w:snapToGrid w:val="0"/>
          <w:kern w:val="0"/>
          <w:sz w:val="22"/>
        </w:rPr>
        <w:t>5、组织标前会议，负责资格预审文件和招标文件的澄清、修改与补充。</w:t>
      </w:r>
    </w:p>
    <w:p>
      <w:pPr>
        <w:spacing w:line="400" w:lineRule="exact"/>
        <w:ind w:firstLine="440" w:firstLineChars="200"/>
        <w:jc w:val="left"/>
        <w:rPr>
          <w:rFonts w:ascii="宋体" w:hAnsi="宋体"/>
          <w:snapToGrid w:val="0"/>
          <w:kern w:val="0"/>
          <w:sz w:val="22"/>
        </w:rPr>
      </w:pPr>
      <w:r>
        <w:rPr>
          <w:rFonts w:hint="eastAsia" w:ascii="宋体" w:hAnsi="宋体"/>
          <w:snapToGrid w:val="0"/>
          <w:kern w:val="0"/>
          <w:sz w:val="22"/>
        </w:rPr>
        <w:t xml:space="preserve">6、组织开标。 </w:t>
      </w:r>
    </w:p>
    <w:p>
      <w:pPr>
        <w:spacing w:line="400" w:lineRule="exact"/>
        <w:ind w:firstLine="440" w:firstLineChars="200"/>
        <w:jc w:val="left"/>
        <w:rPr>
          <w:rFonts w:ascii="宋体" w:hAnsi="宋体"/>
          <w:snapToGrid w:val="0"/>
          <w:kern w:val="0"/>
          <w:sz w:val="22"/>
        </w:rPr>
      </w:pPr>
      <w:r>
        <w:rPr>
          <w:rFonts w:hint="eastAsia" w:ascii="宋体" w:hAnsi="宋体"/>
          <w:snapToGrid w:val="0"/>
          <w:kern w:val="0"/>
          <w:sz w:val="22"/>
        </w:rPr>
        <w:t>7、组织专家评审，编制招标情况书面报告，并将评审报告报送招标人，并报相关主管部门审批。</w:t>
      </w:r>
    </w:p>
    <w:p>
      <w:pPr>
        <w:spacing w:line="400" w:lineRule="exact"/>
        <w:ind w:firstLine="440" w:firstLineChars="200"/>
        <w:jc w:val="left"/>
        <w:rPr>
          <w:rFonts w:ascii="宋体" w:hAnsi="宋体"/>
          <w:snapToGrid w:val="0"/>
          <w:kern w:val="0"/>
          <w:sz w:val="22"/>
        </w:rPr>
      </w:pPr>
      <w:r>
        <w:rPr>
          <w:rFonts w:hint="eastAsia" w:ascii="宋体" w:hAnsi="宋体"/>
          <w:snapToGrid w:val="0"/>
          <w:kern w:val="0"/>
          <w:sz w:val="22"/>
        </w:rPr>
        <w:t>8、负责向中标人发中标通知书，并将中标结果通知所有未中标的投标人。</w:t>
      </w:r>
    </w:p>
    <w:p>
      <w:pPr>
        <w:spacing w:line="400" w:lineRule="exact"/>
        <w:ind w:firstLine="440" w:firstLineChars="200"/>
        <w:jc w:val="left"/>
        <w:rPr>
          <w:rFonts w:ascii="宋体" w:hAnsi="宋体"/>
          <w:snapToGrid w:val="0"/>
          <w:kern w:val="0"/>
          <w:sz w:val="22"/>
        </w:rPr>
      </w:pPr>
      <w:r>
        <w:rPr>
          <w:rFonts w:hint="eastAsia" w:ascii="宋体" w:hAnsi="宋体"/>
          <w:snapToGrid w:val="0"/>
          <w:kern w:val="0"/>
          <w:sz w:val="22"/>
        </w:rPr>
        <w:t>9、负责办理与招标项目有关的报批手续。</w:t>
      </w:r>
    </w:p>
    <w:p>
      <w:pPr>
        <w:spacing w:line="400" w:lineRule="exact"/>
        <w:ind w:firstLine="440" w:firstLineChars="200"/>
        <w:jc w:val="left"/>
        <w:rPr>
          <w:rFonts w:ascii="宋体" w:hAnsi="宋体"/>
          <w:snapToGrid w:val="0"/>
          <w:kern w:val="0"/>
          <w:sz w:val="22"/>
        </w:rPr>
      </w:pPr>
      <w:r>
        <w:rPr>
          <w:rFonts w:hint="eastAsia" w:ascii="宋体" w:hAnsi="宋体"/>
          <w:snapToGrid w:val="0"/>
          <w:kern w:val="0"/>
          <w:sz w:val="22"/>
        </w:rPr>
        <w:t>10、负责整理汇总招标、评标过程中的有关原始文件和资料，按招标人档案管理要求提交存档。</w:t>
      </w:r>
    </w:p>
    <w:p>
      <w:pPr>
        <w:spacing w:line="400" w:lineRule="exact"/>
        <w:ind w:firstLine="440" w:firstLineChars="200"/>
        <w:jc w:val="left"/>
        <w:rPr>
          <w:rFonts w:ascii="宋体" w:hAnsi="宋体"/>
          <w:snapToGrid w:val="0"/>
          <w:kern w:val="0"/>
          <w:sz w:val="22"/>
        </w:rPr>
      </w:pPr>
      <w:r>
        <w:rPr>
          <w:rFonts w:hint="eastAsia" w:ascii="宋体" w:hAnsi="宋体"/>
          <w:snapToGrid w:val="0"/>
          <w:kern w:val="0"/>
          <w:sz w:val="22"/>
        </w:rPr>
        <w:t>11、按照招标工作的有关规定，做好相关其它工作。</w:t>
      </w:r>
    </w:p>
    <w:p>
      <w:pPr>
        <w:adjustRightInd w:val="0"/>
        <w:snapToGrid w:val="0"/>
        <w:spacing w:line="400" w:lineRule="exact"/>
        <w:ind w:firstLine="440" w:firstLineChars="200"/>
        <w:jc w:val="both"/>
        <w:rPr>
          <w:rFonts w:hint="eastAsia" w:ascii="宋体" w:hAnsi="宋体" w:cs="Calibri"/>
          <w:snapToGrid/>
          <w:color w:val="000000"/>
          <w:kern w:val="2"/>
          <w:sz w:val="22"/>
        </w:rPr>
      </w:pPr>
      <w:r>
        <w:rPr>
          <w:rFonts w:hint="eastAsia" w:ascii="宋体" w:hAnsi="宋体"/>
          <w:snapToGrid w:val="0"/>
          <w:kern w:val="0"/>
          <w:sz w:val="22"/>
        </w:rPr>
        <w:t>12、</w:t>
      </w:r>
      <w:r>
        <w:rPr>
          <w:rFonts w:ascii="Microsoft YaHei,Segoe UI Emoji" w:hAnsi="Microsoft YaHei,Segoe UI Emoji"/>
          <w:color w:val="000000"/>
          <w:szCs w:val="21"/>
        </w:rPr>
        <w:t>负责核实合同条款内容发布的招标文件、中标单位提供的投标文件、投标承诺等内容相符，并出具书面承诺函（详见附件）后，</w:t>
      </w:r>
      <w:r>
        <w:rPr>
          <w:rFonts w:hint="eastAsia" w:ascii="Microsoft YaHei,Segoe UI Emoji" w:hAnsi="Microsoft YaHei,Segoe UI Emoji"/>
          <w:color w:val="000000"/>
          <w:szCs w:val="21"/>
        </w:rPr>
        <w:t>委托人</w:t>
      </w:r>
      <w:r>
        <w:rPr>
          <w:rFonts w:ascii="Microsoft YaHei,Segoe UI Emoji" w:hAnsi="Microsoft YaHei,Segoe UI Emoji"/>
          <w:color w:val="000000"/>
          <w:szCs w:val="21"/>
        </w:rPr>
        <w:t>所属的具体经办部门才可以申报合同审核流程。</w:t>
      </w:r>
    </w:p>
    <w:p>
      <w:pPr>
        <w:spacing w:line="400" w:lineRule="exact"/>
        <w:ind w:firstLine="440" w:firstLineChars="200"/>
        <w:jc w:val="left"/>
        <w:rPr>
          <w:rFonts w:ascii="宋体" w:hAnsi="宋体"/>
          <w:b/>
          <w:snapToGrid w:val="0"/>
          <w:kern w:val="0"/>
          <w:sz w:val="22"/>
        </w:rPr>
      </w:pPr>
      <w:r>
        <w:rPr>
          <w:rFonts w:hint="eastAsia" w:ascii="宋体" w:hAnsi="宋体"/>
          <w:b/>
          <w:snapToGrid w:val="0"/>
          <w:kern w:val="0"/>
          <w:sz w:val="22"/>
        </w:rPr>
        <w:t>第五条  委托方的权利</w:t>
      </w:r>
    </w:p>
    <w:p>
      <w:pPr>
        <w:spacing w:line="400" w:lineRule="exact"/>
        <w:ind w:firstLine="440" w:firstLineChars="200"/>
        <w:jc w:val="left"/>
        <w:rPr>
          <w:rFonts w:ascii="宋体" w:hAnsi="宋体"/>
          <w:snapToGrid w:val="0"/>
          <w:kern w:val="0"/>
          <w:sz w:val="22"/>
        </w:rPr>
      </w:pPr>
      <w:r>
        <w:rPr>
          <w:rFonts w:hint="eastAsia" w:ascii="宋体" w:hAnsi="宋体"/>
          <w:snapToGrid w:val="0"/>
          <w:kern w:val="0"/>
          <w:sz w:val="22"/>
        </w:rPr>
        <w:t>1、参与招标代理工作的有关活动。</w:t>
      </w:r>
    </w:p>
    <w:p>
      <w:pPr>
        <w:spacing w:line="400" w:lineRule="exact"/>
        <w:ind w:firstLine="440" w:firstLineChars="200"/>
        <w:jc w:val="left"/>
        <w:rPr>
          <w:rFonts w:ascii="宋体" w:hAnsi="宋体"/>
          <w:snapToGrid w:val="0"/>
          <w:kern w:val="0"/>
          <w:sz w:val="22"/>
        </w:rPr>
      </w:pPr>
      <w:r>
        <w:rPr>
          <w:rFonts w:hint="eastAsia" w:ascii="宋体" w:hAnsi="宋体"/>
          <w:snapToGrid w:val="0"/>
          <w:kern w:val="0"/>
          <w:sz w:val="22"/>
        </w:rPr>
        <w:t>2、要求受托方及时提供招标代理工作进展情况。</w:t>
      </w:r>
    </w:p>
    <w:p>
      <w:pPr>
        <w:spacing w:line="400" w:lineRule="exact"/>
        <w:ind w:firstLine="440" w:firstLineChars="200"/>
        <w:jc w:val="left"/>
        <w:rPr>
          <w:rFonts w:ascii="宋体" w:hAnsi="宋体"/>
          <w:snapToGrid w:val="0"/>
          <w:kern w:val="0"/>
          <w:sz w:val="22"/>
        </w:rPr>
      </w:pPr>
      <w:r>
        <w:rPr>
          <w:rFonts w:hint="eastAsia" w:ascii="宋体" w:hAnsi="宋体"/>
          <w:snapToGrid w:val="0"/>
          <w:kern w:val="0"/>
          <w:sz w:val="22"/>
        </w:rPr>
        <w:t>3、要求受托方更换不称职的人员或按规定应回避的人员。</w:t>
      </w:r>
    </w:p>
    <w:p>
      <w:pPr>
        <w:spacing w:line="400" w:lineRule="exact"/>
        <w:ind w:firstLine="440" w:firstLineChars="200"/>
        <w:jc w:val="left"/>
        <w:rPr>
          <w:rFonts w:ascii="宋体" w:hAnsi="宋体"/>
          <w:snapToGrid w:val="0"/>
          <w:kern w:val="0"/>
          <w:sz w:val="22"/>
        </w:rPr>
      </w:pPr>
      <w:r>
        <w:rPr>
          <w:rFonts w:hint="eastAsia" w:ascii="宋体" w:hAnsi="宋体"/>
          <w:snapToGrid w:val="0"/>
          <w:kern w:val="0"/>
          <w:sz w:val="22"/>
        </w:rPr>
        <w:t>4、确定受托方的具体工作内容或提出具体要求。</w:t>
      </w:r>
    </w:p>
    <w:p>
      <w:pPr>
        <w:spacing w:line="400" w:lineRule="exact"/>
        <w:ind w:firstLine="440" w:firstLineChars="200"/>
        <w:jc w:val="left"/>
        <w:rPr>
          <w:rFonts w:ascii="宋体" w:hAnsi="宋体"/>
          <w:snapToGrid w:val="0"/>
          <w:kern w:val="0"/>
          <w:sz w:val="22"/>
        </w:rPr>
      </w:pPr>
      <w:r>
        <w:rPr>
          <w:rFonts w:hint="eastAsia" w:ascii="宋体" w:hAnsi="宋体"/>
          <w:snapToGrid w:val="0"/>
          <w:kern w:val="0"/>
          <w:sz w:val="22"/>
        </w:rPr>
        <w:t>5、委托方或政府有关部门发现受托方在招标代理工作中违反有关法律、法规或建设程序的，委托方有权要求受托方予以纠正。情节严重的，委托方可以解除本合同。</w:t>
      </w:r>
    </w:p>
    <w:p>
      <w:pPr>
        <w:spacing w:line="400" w:lineRule="exact"/>
        <w:ind w:firstLine="440" w:firstLineChars="200"/>
        <w:jc w:val="left"/>
        <w:rPr>
          <w:rFonts w:ascii="宋体" w:hAnsi="宋体"/>
          <w:snapToGrid w:val="0"/>
          <w:kern w:val="0"/>
          <w:sz w:val="22"/>
        </w:rPr>
      </w:pPr>
      <w:r>
        <w:rPr>
          <w:rFonts w:hint="eastAsia" w:ascii="宋体" w:hAnsi="宋体"/>
          <w:snapToGrid w:val="0"/>
          <w:kern w:val="0"/>
          <w:sz w:val="22"/>
        </w:rPr>
        <w:t>6、</w:t>
      </w:r>
      <w:r>
        <w:rPr>
          <w:rFonts w:ascii="宋体" w:hAnsi="宋体"/>
          <w:snapToGrid w:val="0"/>
          <w:kern w:val="0"/>
          <w:sz w:val="22"/>
        </w:rPr>
        <w:t>负责审定招标文件，确定</w:t>
      </w:r>
      <w:r>
        <w:rPr>
          <w:rFonts w:hint="eastAsia" w:ascii="宋体" w:hAnsi="宋体"/>
          <w:snapToGrid w:val="0"/>
          <w:kern w:val="0"/>
          <w:sz w:val="22"/>
        </w:rPr>
        <w:t>招标方</w:t>
      </w:r>
      <w:r>
        <w:rPr>
          <w:rFonts w:ascii="宋体" w:hAnsi="宋体"/>
          <w:snapToGrid w:val="0"/>
          <w:kern w:val="0"/>
          <w:sz w:val="22"/>
        </w:rPr>
        <w:t>式和评标办法</w:t>
      </w:r>
      <w:r>
        <w:rPr>
          <w:rFonts w:hint="eastAsia" w:ascii="宋体" w:hAnsi="宋体"/>
          <w:snapToGrid w:val="0"/>
          <w:kern w:val="0"/>
          <w:sz w:val="22"/>
        </w:rPr>
        <w:t>。</w:t>
      </w:r>
    </w:p>
    <w:p>
      <w:pPr>
        <w:spacing w:line="400" w:lineRule="exact"/>
        <w:ind w:firstLine="440" w:firstLineChars="200"/>
        <w:jc w:val="left"/>
        <w:rPr>
          <w:rFonts w:ascii="宋体" w:hAnsi="宋体"/>
          <w:sz w:val="22"/>
        </w:rPr>
      </w:pPr>
      <w:r>
        <w:rPr>
          <w:rFonts w:hint="eastAsia" w:ascii="宋体" w:hAnsi="宋体"/>
          <w:snapToGrid w:val="0"/>
          <w:kern w:val="0"/>
          <w:sz w:val="22"/>
        </w:rPr>
        <w:t>7、</w:t>
      </w:r>
      <w:r>
        <w:rPr>
          <w:rFonts w:ascii="宋体" w:hAnsi="宋体"/>
          <w:sz w:val="22"/>
        </w:rPr>
        <w:t>协助受托方组建评标委员会，并按有关规定派专业人员出任评委</w:t>
      </w:r>
      <w:r>
        <w:rPr>
          <w:rFonts w:hint="eastAsia" w:ascii="宋体" w:hAnsi="宋体"/>
          <w:sz w:val="22"/>
        </w:rPr>
        <w:t>。</w:t>
      </w:r>
    </w:p>
    <w:p>
      <w:pPr>
        <w:spacing w:line="400" w:lineRule="exact"/>
        <w:ind w:firstLine="440" w:firstLineChars="200"/>
        <w:jc w:val="left"/>
        <w:rPr>
          <w:rFonts w:ascii="宋体" w:hAnsi="宋体"/>
          <w:b/>
          <w:snapToGrid w:val="0"/>
          <w:kern w:val="0"/>
          <w:sz w:val="22"/>
        </w:rPr>
      </w:pPr>
      <w:r>
        <w:rPr>
          <w:rFonts w:hint="eastAsia" w:ascii="宋体" w:hAnsi="宋体"/>
          <w:b/>
          <w:snapToGrid w:val="0"/>
          <w:kern w:val="0"/>
          <w:sz w:val="22"/>
        </w:rPr>
        <w:t>第六条  委托方的义务</w:t>
      </w:r>
    </w:p>
    <w:p>
      <w:pPr>
        <w:spacing w:line="400" w:lineRule="exact"/>
        <w:ind w:firstLine="440" w:firstLineChars="200"/>
        <w:rPr>
          <w:rFonts w:ascii="宋体" w:hAnsi="宋体"/>
          <w:snapToGrid w:val="0"/>
          <w:kern w:val="0"/>
          <w:sz w:val="22"/>
        </w:rPr>
      </w:pPr>
      <w:r>
        <w:rPr>
          <w:rFonts w:hint="eastAsia" w:ascii="宋体" w:hAnsi="宋体"/>
          <w:snapToGrid w:val="0"/>
          <w:kern w:val="0"/>
          <w:sz w:val="22"/>
        </w:rPr>
        <w:t>1、在开展招标代理工作之前，按照有关规定完成项目所需的有关审批手续。</w:t>
      </w:r>
    </w:p>
    <w:p>
      <w:pPr>
        <w:spacing w:line="400" w:lineRule="exact"/>
        <w:ind w:firstLine="440" w:firstLineChars="200"/>
        <w:rPr>
          <w:rFonts w:ascii="宋体" w:hAnsi="宋体"/>
          <w:snapToGrid w:val="0"/>
          <w:kern w:val="0"/>
          <w:sz w:val="22"/>
        </w:rPr>
      </w:pPr>
      <w:r>
        <w:rPr>
          <w:rFonts w:hint="eastAsia" w:ascii="宋体" w:hAnsi="宋体"/>
          <w:snapToGrid w:val="0"/>
          <w:kern w:val="0"/>
          <w:sz w:val="22"/>
        </w:rPr>
        <w:t>2、应向受托方及时、无偿、真实、详细的提供招标代理工作范围内所需的文件和资料。受托方应对此予以指导。</w:t>
      </w:r>
    </w:p>
    <w:p>
      <w:pPr>
        <w:spacing w:line="400" w:lineRule="exact"/>
        <w:ind w:firstLine="440" w:firstLineChars="200"/>
        <w:rPr>
          <w:rFonts w:ascii="宋体" w:hAnsi="宋体"/>
          <w:sz w:val="22"/>
        </w:rPr>
      </w:pPr>
      <w:r>
        <w:rPr>
          <w:rFonts w:hint="eastAsia" w:ascii="宋体" w:hAnsi="宋体"/>
          <w:snapToGrid w:val="0"/>
          <w:kern w:val="0"/>
          <w:sz w:val="22"/>
        </w:rPr>
        <w:t>3</w:t>
      </w:r>
      <w:r>
        <w:rPr>
          <w:rFonts w:hint="eastAsia" w:ascii="宋体" w:hAnsi="宋体"/>
          <w:sz w:val="22"/>
        </w:rPr>
        <w:t>、</w:t>
      </w:r>
      <w:r>
        <w:rPr>
          <w:rFonts w:ascii="宋体" w:hAnsi="宋体"/>
          <w:sz w:val="22"/>
        </w:rPr>
        <w:t>协助受托方</w:t>
      </w:r>
      <w:r>
        <w:rPr>
          <w:rFonts w:hint="eastAsia" w:ascii="宋体" w:hAnsi="宋体"/>
          <w:sz w:val="22"/>
        </w:rPr>
        <w:t>对相关</w:t>
      </w:r>
      <w:r>
        <w:rPr>
          <w:rFonts w:ascii="宋体" w:hAnsi="宋体"/>
          <w:sz w:val="22"/>
        </w:rPr>
        <w:t>招标文件的</w:t>
      </w:r>
      <w:r>
        <w:rPr>
          <w:rFonts w:hint="eastAsia" w:ascii="宋体" w:hAnsi="宋体"/>
          <w:sz w:val="22"/>
        </w:rPr>
        <w:t>内容进行解释、</w:t>
      </w:r>
      <w:r>
        <w:rPr>
          <w:rFonts w:ascii="宋体" w:hAnsi="宋体"/>
          <w:sz w:val="22"/>
        </w:rPr>
        <w:t>答疑</w:t>
      </w:r>
      <w:r>
        <w:rPr>
          <w:rFonts w:hint="eastAsia" w:ascii="宋体" w:hAnsi="宋体"/>
          <w:sz w:val="22"/>
        </w:rPr>
        <w:t>等</w:t>
      </w:r>
      <w:r>
        <w:rPr>
          <w:rFonts w:ascii="宋体" w:hAnsi="宋体"/>
          <w:sz w:val="22"/>
        </w:rPr>
        <w:t>工作</w:t>
      </w:r>
      <w:r>
        <w:rPr>
          <w:rFonts w:hint="eastAsia" w:ascii="宋体" w:hAnsi="宋体"/>
          <w:sz w:val="22"/>
        </w:rPr>
        <w:t>。</w:t>
      </w:r>
    </w:p>
    <w:p>
      <w:pPr>
        <w:spacing w:line="400" w:lineRule="exact"/>
        <w:ind w:firstLine="440" w:firstLineChars="200"/>
        <w:rPr>
          <w:rFonts w:ascii="宋体" w:hAnsi="宋体"/>
          <w:sz w:val="22"/>
        </w:rPr>
      </w:pPr>
      <w:r>
        <w:rPr>
          <w:rFonts w:hint="eastAsia" w:ascii="宋体" w:hAnsi="宋体"/>
          <w:snapToGrid w:val="0"/>
          <w:kern w:val="0"/>
          <w:sz w:val="22"/>
        </w:rPr>
        <w:t>4、招标代理工作的内容、时间或项目的内容、时间等发生重大调整，应及时通知受托方，以便受</w:t>
      </w:r>
      <w:r>
        <w:rPr>
          <w:rFonts w:hint="eastAsia" w:ascii="宋体" w:hAnsi="宋体"/>
          <w:sz w:val="22"/>
        </w:rPr>
        <w:t>托方调整相应的工作安排。</w:t>
      </w:r>
    </w:p>
    <w:p>
      <w:pPr>
        <w:spacing w:line="400" w:lineRule="exact"/>
        <w:ind w:firstLine="440" w:firstLineChars="200"/>
        <w:rPr>
          <w:rFonts w:ascii="宋体" w:hAnsi="宋体"/>
          <w:snapToGrid w:val="0"/>
          <w:kern w:val="0"/>
          <w:sz w:val="22"/>
        </w:rPr>
      </w:pPr>
      <w:r>
        <w:rPr>
          <w:rFonts w:hint="eastAsia" w:ascii="宋体" w:hAnsi="宋体"/>
          <w:snapToGrid w:val="0"/>
          <w:kern w:val="0"/>
          <w:sz w:val="22"/>
        </w:rPr>
        <w:t>5、委托方及其工作人员不得以任何形式向受托方索要或收受回扣、礼金、好处费和其他礼物，或要求受托方报销应由委托方或其工作人员自行承担的费用。</w:t>
      </w:r>
    </w:p>
    <w:p>
      <w:pPr>
        <w:spacing w:line="400" w:lineRule="exact"/>
        <w:ind w:firstLine="440" w:firstLineChars="200"/>
        <w:rPr>
          <w:rFonts w:ascii="宋体" w:hAnsi="宋体"/>
          <w:b/>
          <w:snapToGrid w:val="0"/>
          <w:kern w:val="0"/>
          <w:sz w:val="22"/>
        </w:rPr>
      </w:pPr>
      <w:r>
        <w:rPr>
          <w:rFonts w:hint="eastAsia" w:ascii="宋体" w:hAnsi="宋体"/>
          <w:b/>
          <w:snapToGrid w:val="0"/>
          <w:kern w:val="0"/>
          <w:sz w:val="22"/>
        </w:rPr>
        <w:t>第七条  受托方的权利</w:t>
      </w:r>
    </w:p>
    <w:p>
      <w:pPr>
        <w:spacing w:line="400" w:lineRule="exact"/>
        <w:ind w:firstLine="440" w:firstLineChars="200"/>
        <w:rPr>
          <w:rFonts w:ascii="宋体" w:hAnsi="宋体" w:cs="Calibri"/>
          <w:color w:val="000000"/>
          <w:sz w:val="22"/>
        </w:rPr>
      </w:pPr>
      <w:r>
        <w:rPr>
          <w:rFonts w:hint="eastAsia" w:ascii="宋体" w:hAnsi="宋体"/>
          <w:snapToGrid w:val="0"/>
          <w:kern w:val="0"/>
          <w:sz w:val="22"/>
        </w:rPr>
        <w:t>1、成立招标代理项目组，由项目负责人</w:t>
      </w:r>
      <w:r>
        <w:rPr>
          <w:rFonts w:hint="eastAsia" w:ascii="宋体" w:hAnsi="宋体" w:cs="Calibri"/>
          <w:color w:val="000000"/>
          <w:sz w:val="22"/>
        </w:rPr>
        <w:t>与委托人联系招标事宜，项目负责人原则上不得更换，应委托人要求更换的除外。</w:t>
      </w:r>
    </w:p>
    <w:p>
      <w:pPr>
        <w:spacing w:line="400" w:lineRule="exact"/>
        <w:ind w:firstLine="440" w:firstLineChars="200"/>
        <w:rPr>
          <w:rFonts w:ascii="宋体" w:hAnsi="宋体"/>
          <w:snapToGrid w:val="0"/>
          <w:kern w:val="0"/>
          <w:sz w:val="22"/>
        </w:rPr>
      </w:pPr>
      <w:r>
        <w:rPr>
          <w:rFonts w:hint="eastAsia" w:ascii="宋体" w:hAnsi="宋体"/>
          <w:snapToGrid w:val="0"/>
          <w:kern w:val="0"/>
          <w:sz w:val="22"/>
        </w:rPr>
        <w:t>2、在招标代理工作中有权拒绝任何反法律、法规和其他规定的人为干预。</w:t>
      </w:r>
    </w:p>
    <w:p>
      <w:pPr>
        <w:spacing w:line="400" w:lineRule="exact"/>
        <w:ind w:firstLine="440" w:firstLineChars="200"/>
        <w:rPr>
          <w:rFonts w:ascii="宋体" w:hAnsi="宋体"/>
          <w:snapToGrid w:val="0"/>
          <w:kern w:val="0"/>
          <w:sz w:val="22"/>
        </w:rPr>
      </w:pPr>
      <w:r>
        <w:rPr>
          <w:rFonts w:hint="eastAsia" w:ascii="宋体" w:hAnsi="宋体"/>
          <w:snapToGrid w:val="0"/>
          <w:kern w:val="0"/>
          <w:sz w:val="22"/>
        </w:rPr>
        <w:t>3、委托方针对招标代理工作和项目提出的某些条件和要求不符合国家有关规定的，受托方可以建议委托方进行修改。</w:t>
      </w:r>
    </w:p>
    <w:p>
      <w:pPr>
        <w:spacing w:line="400" w:lineRule="exact"/>
        <w:ind w:firstLine="440" w:firstLineChars="200"/>
        <w:rPr>
          <w:rFonts w:ascii="宋体" w:hAnsi="宋体"/>
          <w:snapToGrid w:val="0"/>
          <w:kern w:val="0"/>
          <w:sz w:val="22"/>
        </w:rPr>
      </w:pPr>
      <w:r>
        <w:rPr>
          <w:rFonts w:hint="eastAsia" w:ascii="宋体" w:hAnsi="宋体" w:cs="Calibri"/>
          <w:color w:val="000000"/>
          <w:sz w:val="22"/>
        </w:rPr>
        <w:t>4受托人应按照委托人要求，独立完成各项目的代理工作，遵守国家相关法律法规及委托人的相关制度规定，提供专业的代理服务。</w:t>
      </w:r>
    </w:p>
    <w:p>
      <w:pPr>
        <w:spacing w:line="400" w:lineRule="exact"/>
        <w:ind w:firstLine="440" w:firstLineChars="200"/>
        <w:rPr>
          <w:rFonts w:ascii="宋体" w:hAnsi="宋体"/>
          <w:b/>
          <w:snapToGrid w:val="0"/>
          <w:kern w:val="0"/>
          <w:sz w:val="22"/>
        </w:rPr>
      </w:pPr>
      <w:r>
        <w:rPr>
          <w:rFonts w:hint="eastAsia" w:ascii="宋体" w:hAnsi="宋体"/>
          <w:b/>
          <w:snapToGrid w:val="0"/>
          <w:kern w:val="0"/>
          <w:sz w:val="22"/>
        </w:rPr>
        <w:t>第八条  受托方的义务</w:t>
      </w:r>
    </w:p>
    <w:p>
      <w:pPr>
        <w:spacing w:line="400" w:lineRule="exact"/>
        <w:ind w:firstLine="440" w:firstLineChars="200"/>
        <w:rPr>
          <w:rFonts w:ascii="宋体" w:hAnsi="宋体"/>
          <w:snapToGrid w:val="0"/>
          <w:kern w:val="0"/>
          <w:sz w:val="22"/>
        </w:rPr>
      </w:pPr>
      <w:r>
        <w:rPr>
          <w:rFonts w:hint="eastAsia" w:ascii="宋体" w:hAnsi="宋体"/>
          <w:snapToGrid w:val="0"/>
          <w:kern w:val="0"/>
          <w:sz w:val="22"/>
        </w:rPr>
        <w:t>1、不得将本合同确定的招标代理工作转让或分包给第三方。</w:t>
      </w:r>
    </w:p>
    <w:p>
      <w:pPr>
        <w:spacing w:line="400" w:lineRule="exact"/>
        <w:ind w:firstLine="440" w:firstLineChars="200"/>
        <w:rPr>
          <w:rFonts w:ascii="宋体" w:hAnsi="宋体"/>
          <w:snapToGrid w:val="0"/>
          <w:kern w:val="0"/>
          <w:sz w:val="22"/>
        </w:rPr>
      </w:pPr>
      <w:r>
        <w:rPr>
          <w:rFonts w:hint="eastAsia" w:ascii="宋体" w:hAnsi="宋体"/>
          <w:snapToGrid w:val="0"/>
          <w:kern w:val="0"/>
          <w:sz w:val="22"/>
        </w:rPr>
        <w:t>2、向委托方提供工作计划及相关资料，做好有关法律、法规和其他规定的解释工作。</w:t>
      </w:r>
    </w:p>
    <w:p>
      <w:pPr>
        <w:spacing w:line="400" w:lineRule="exact"/>
        <w:ind w:firstLine="440" w:firstLineChars="200"/>
        <w:rPr>
          <w:rFonts w:ascii="宋体" w:hAnsi="宋体"/>
          <w:snapToGrid w:val="0"/>
          <w:kern w:val="0"/>
          <w:sz w:val="22"/>
        </w:rPr>
      </w:pPr>
      <w:r>
        <w:rPr>
          <w:rFonts w:hint="eastAsia" w:ascii="宋体" w:hAnsi="宋体"/>
          <w:snapToGrid w:val="0"/>
          <w:kern w:val="0"/>
          <w:sz w:val="22"/>
        </w:rPr>
        <w:t>3、委派的人员如与项目潜在受托方有任何利益关系或其他可能影响招标代理工作公正性的情形，应主动向委托方提出回避。委托方同意回避的，受托方应立即更换其他合适的人员，不得因此而影响工作。</w:t>
      </w:r>
    </w:p>
    <w:p>
      <w:pPr>
        <w:spacing w:line="400" w:lineRule="exact"/>
        <w:ind w:firstLine="440" w:firstLineChars="200"/>
        <w:rPr>
          <w:rFonts w:ascii="宋体" w:hAnsi="宋体"/>
          <w:snapToGrid w:val="0"/>
          <w:kern w:val="0"/>
          <w:sz w:val="22"/>
        </w:rPr>
      </w:pPr>
      <w:r>
        <w:rPr>
          <w:rFonts w:hint="eastAsia" w:ascii="宋体" w:hAnsi="宋体"/>
          <w:snapToGrid w:val="0"/>
          <w:kern w:val="0"/>
          <w:sz w:val="22"/>
        </w:rPr>
        <w:t>4、对招标代理工作中提出的技术方案、数据参数、技术经济分析结论负责。</w:t>
      </w:r>
    </w:p>
    <w:p>
      <w:pPr>
        <w:spacing w:line="400" w:lineRule="exact"/>
        <w:ind w:firstLine="440" w:firstLineChars="200"/>
        <w:rPr>
          <w:rFonts w:ascii="宋体" w:hAnsi="宋体"/>
          <w:snapToGrid w:val="0"/>
          <w:kern w:val="0"/>
          <w:sz w:val="22"/>
        </w:rPr>
      </w:pPr>
      <w:r>
        <w:rPr>
          <w:rFonts w:hint="eastAsia" w:ascii="宋体" w:hAnsi="宋体"/>
          <w:snapToGrid w:val="0"/>
          <w:kern w:val="0"/>
          <w:sz w:val="22"/>
        </w:rPr>
        <w:t>5、对由于自身过错造成的委托方及或任何第三方的损失，承担赔偿责任。</w:t>
      </w:r>
    </w:p>
    <w:p>
      <w:pPr>
        <w:spacing w:line="400" w:lineRule="exact"/>
        <w:ind w:firstLine="440" w:firstLineChars="200"/>
        <w:rPr>
          <w:rFonts w:ascii="宋体" w:hAnsi="宋体"/>
          <w:snapToGrid w:val="0"/>
          <w:kern w:val="0"/>
          <w:sz w:val="22"/>
        </w:rPr>
      </w:pPr>
      <w:r>
        <w:rPr>
          <w:rFonts w:hint="eastAsia" w:ascii="宋体" w:hAnsi="宋体"/>
          <w:snapToGrid w:val="0"/>
          <w:kern w:val="0"/>
          <w:sz w:val="22"/>
        </w:rPr>
        <w:t>6、不得采用行贿、给予其他利益或者诋毁他人等不正当手段干扰招标代理工作的公正性。不得向委托人、潜在投标人、投标人或中标人索要或收受回扣、礼金、好处费和其他礼物，或要求报销应由受托方及其工作人员自行承担的费用。</w:t>
      </w:r>
    </w:p>
    <w:p>
      <w:pPr>
        <w:spacing w:line="400" w:lineRule="exact"/>
        <w:ind w:firstLine="440" w:firstLineChars="200"/>
        <w:rPr>
          <w:rFonts w:ascii="宋体" w:hAnsi="宋体"/>
          <w:snapToGrid w:val="0"/>
          <w:kern w:val="0"/>
          <w:sz w:val="22"/>
        </w:rPr>
      </w:pPr>
      <w:r>
        <w:rPr>
          <w:rFonts w:hint="eastAsia" w:ascii="宋体" w:hAnsi="宋体"/>
          <w:snapToGrid w:val="0"/>
          <w:kern w:val="0"/>
          <w:sz w:val="22"/>
        </w:rPr>
        <w:t>7、招标代理工作完成后，受托方应向委托方提供完整、详细的书面报告，并返还委托方提供的所有材料。</w:t>
      </w:r>
    </w:p>
    <w:p>
      <w:pPr>
        <w:spacing w:line="400" w:lineRule="exact"/>
        <w:ind w:firstLine="440" w:firstLineChars="200"/>
        <w:rPr>
          <w:rFonts w:ascii="宋体" w:hAnsi="宋体"/>
          <w:snapToGrid w:val="0"/>
          <w:kern w:val="0"/>
          <w:sz w:val="22"/>
        </w:rPr>
      </w:pPr>
      <w:r>
        <w:rPr>
          <w:rFonts w:hint="eastAsia" w:ascii="宋体" w:hAnsi="宋体"/>
          <w:snapToGrid w:val="0"/>
          <w:kern w:val="0"/>
          <w:sz w:val="22"/>
        </w:rPr>
        <w:t>8、受托方发现可能出现流标或其他任何可能影响正常的招标结果的情形，应立即向委托方报告并提供相应材料，以便委托方及时作出指示。</w:t>
      </w:r>
    </w:p>
    <w:p>
      <w:pPr>
        <w:spacing w:line="400" w:lineRule="exact"/>
        <w:ind w:firstLine="440" w:firstLineChars="200"/>
        <w:rPr>
          <w:rFonts w:ascii="宋体" w:hAnsi="宋体"/>
          <w:snapToGrid w:val="0"/>
          <w:kern w:val="0"/>
          <w:sz w:val="22"/>
        </w:rPr>
      </w:pPr>
      <w:r>
        <w:rPr>
          <w:rFonts w:hint="eastAsia" w:ascii="宋体" w:hAnsi="宋体"/>
          <w:snapToGrid w:val="0"/>
          <w:kern w:val="0"/>
          <w:sz w:val="22"/>
        </w:rPr>
        <w:t>9、受托方出具的任何对潜在投标人、投标人、中标人或其他第三方具有法律效力的文件，均应事先经委托方确认同意，并由委托方签字或盖章确认后，方可对外公布。</w:t>
      </w:r>
    </w:p>
    <w:p>
      <w:pPr>
        <w:spacing w:line="400" w:lineRule="exact"/>
        <w:ind w:firstLine="440" w:firstLineChars="200"/>
        <w:rPr>
          <w:rFonts w:ascii="宋体" w:hAnsi="宋体"/>
          <w:snapToGrid w:val="0"/>
          <w:kern w:val="0"/>
          <w:sz w:val="22"/>
        </w:rPr>
      </w:pPr>
      <w:r>
        <w:rPr>
          <w:rFonts w:hint="eastAsia" w:ascii="宋体" w:hAnsi="宋体"/>
          <w:snapToGrid w:val="0"/>
          <w:kern w:val="0"/>
          <w:sz w:val="22"/>
        </w:rPr>
        <w:t>10、协助委托方办理项目立项申报事宜，以及负责办理与招标项目有关的报批手续。</w:t>
      </w:r>
    </w:p>
    <w:p>
      <w:pPr>
        <w:spacing w:line="400" w:lineRule="exact"/>
        <w:ind w:firstLine="440" w:firstLineChars="200"/>
        <w:rPr>
          <w:rFonts w:ascii="宋体" w:hAnsi="宋体"/>
          <w:snapToGrid w:val="0"/>
          <w:kern w:val="0"/>
          <w:sz w:val="22"/>
        </w:rPr>
      </w:pPr>
      <w:r>
        <w:rPr>
          <w:rFonts w:hint="eastAsia" w:ascii="宋体" w:hAnsi="宋体"/>
          <w:snapToGrid w:val="0"/>
          <w:kern w:val="0"/>
          <w:sz w:val="22"/>
        </w:rPr>
        <w:t>11、将招标相关文件报送委托方审核后报相关主管部门审批。</w:t>
      </w:r>
    </w:p>
    <w:p>
      <w:pPr>
        <w:spacing w:line="400" w:lineRule="exact"/>
        <w:ind w:firstLine="440" w:firstLineChars="200"/>
        <w:rPr>
          <w:rFonts w:ascii="宋体" w:hAnsi="宋体"/>
          <w:snapToGrid w:val="0"/>
          <w:kern w:val="0"/>
          <w:sz w:val="22"/>
        </w:rPr>
      </w:pPr>
      <w:r>
        <w:rPr>
          <w:rFonts w:hint="eastAsia" w:ascii="宋体" w:hAnsi="宋体"/>
          <w:snapToGrid w:val="0"/>
          <w:kern w:val="0"/>
          <w:sz w:val="22"/>
        </w:rPr>
        <w:t>12、经委托方书面确认后，依法代表委托方发布招标公告，负责与政府招标管理部门进行协调。 </w:t>
      </w:r>
    </w:p>
    <w:p>
      <w:pPr>
        <w:spacing w:line="400" w:lineRule="exact"/>
        <w:ind w:firstLine="440" w:firstLineChars="200"/>
        <w:rPr>
          <w:rFonts w:ascii="宋体" w:hAnsi="宋体"/>
          <w:snapToGrid w:val="0"/>
          <w:kern w:val="0"/>
          <w:sz w:val="22"/>
        </w:rPr>
      </w:pPr>
      <w:r>
        <w:rPr>
          <w:rFonts w:hint="eastAsia" w:ascii="宋体" w:hAnsi="宋体"/>
          <w:snapToGrid w:val="0"/>
          <w:kern w:val="0"/>
          <w:sz w:val="22"/>
        </w:rPr>
        <w:t>13、组织标前会议，负责资格预审文件和招标文件的解释、修改与补充。</w:t>
      </w:r>
    </w:p>
    <w:p>
      <w:pPr>
        <w:spacing w:line="400" w:lineRule="exact"/>
        <w:ind w:firstLine="440" w:firstLineChars="200"/>
        <w:rPr>
          <w:rFonts w:ascii="宋体" w:hAnsi="宋体"/>
          <w:snapToGrid w:val="0"/>
          <w:kern w:val="0"/>
          <w:sz w:val="22"/>
        </w:rPr>
      </w:pPr>
      <w:r>
        <w:rPr>
          <w:rFonts w:hint="eastAsia" w:ascii="宋体" w:hAnsi="宋体"/>
          <w:snapToGrid w:val="0"/>
          <w:kern w:val="0"/>
          <w:sz w:val="22"/>
        </w:rPr>
        <w:t>14、</w:t>
      </w:r>
      <w:r>
        <w:rPr>
          <w:rFonts w:ascii="宋体" w:hAnsi="宋体"/>
          <w:snapToGrid w:val="0"/>
          <w:kern w:val="0"/>
          <w:sz w:val="22"/>
        </w:rPr>
        <w:t>负责整理汇总招标、评标过程中的有关原始文件和资料，按招标方档案管理要求提交存档</w:t>
      </w:r>
      <w:r>
        <w:rPr>
          <w:rFonts w:hint="eastAsia" w:ascii="宋体" w:hAnsi="宋体"/>
          <w:snapToGrid w:val="0"/>
          <w:kern w:val="0"/>
          <w:sz w:val="22"/>
        </w:rPr>
        <w:t>。</w:t>
      </w:r>
    </w:p>
    <w:p>
      <w:pPr>
        <w:spacing w:line="400" w:lineRule="exact"/>
        <w:ind w:firstLine="440" w:firstLineChars="200"/>
        <w:rPr>
          <w:rFonts w:ascii="宋体" w:hAnsi="宋体"/>
          <w:snapToGrid w:val="0"/>
          <w:kern w:val="0"/>
          <w:sz w:val="22"/>
        </w:rPr>
      </w:pPr>
      <w:r>
        <w:rPr>
          <w:rFonts w:hint="eastAsia" w:ascii="宋体" w:hAnsi="宋体"/>
          <w:snapToGrid w:val="0"/>
          <w:kern w:val="0"/>
          <w:sz w:val="22"/>
        </w:rPr>
        <w:t>15、为招标方提供招标有关的法律、法规、政策等方面的建议。</w:t>
      </w:r>
    </w:p>
    <w:p>
      <w:pPr>
        <w:spacing w:line="400" w:lineRule="exact"/>
        <w:ind w:firstLine="440" w:firstLineChars="200"/>
        <w:rPr>
          <w:rFonts w:ascii="宋体" w:hAnsi="宋体"/>
          <w:snapToGrid w:val="0"/>
          <w:kern w:val="0"/>
          <w:sz w:val="22"/>
        </w:rPr>
      </w:pPr>
      <w:r>
        <w:rPr>
          <w:rFonts w:hint="eastAsia" w:ascii="宋体" w:hAnsi="宋体"/>
          <w:snapToGrid w:val="0"/>
          <w:kern w:val="0"/>
          <w:sz w:val="22"/>
        </w:rPr>
        <w:t>16、</w:t>
      </w:r>
      <w:r>
        <w:rPr>
          <w:rFonts w:ascii="宋体" w:hAnsi="宋体"/>
          <w:snapToGrid w:val="0"/>
          <w:kern w:val="0"/>
          <w:sz w:val="22"/>
        </w:rPr>
        <w:t>委托方</w:t>
      </w:r>
      <w:r>
        <w:rPr>
          <w:rFonts w:hint="eastAsia" w:ascii="宋体" w:hAnsi="宋体"/>
          <w:snapToGrid w:val="0"/>
          <w:kern w:val="0"/>
          <w:sz w:val="22"/>
        </w:rPr>
        <w:t>在自行组织实施招标项目时，受托方按委托方要求在（省、全国性的招标网站）发布招标公告。</w:t>
      </w:r>
    </w:p>
    <w:p>
      <w:pPr>
        <w:spacing w:line="400" w:lineRule="exact"/>
        <w:ind w:firstLine="440" w:firstLineChars="200"/>
        <w:rPr>
          <w:rFonts w:ascii="宋体" w:hAnsi="宋体"/>
          <w:snapToGrid w:val="0"/>
          <w:kern w:val="0"/>
          <w:sz w:val="22"/>
        </w:rPr>
      </w:pPr>
      <w:r>
        <w:rPr>
          <w:rFonts w:hint="eastAsia" w:ascii="宋体" w:hAnsi="宋体"/>
          <w:snapToGrid w:val="0"/>
          <w:kern w:val="0"/>
          <w:sz w:val="22"/>
        </w:rPr>
        <w:t>17、</w:t>
      </w:r>
      <w:r>
        <w:rPr>
          <w:rFonts w:ascii="宋体" w:hAnsi="宋体"/>
          <w:snapToGrid w:val="0"/>
          <w:kern w:val="0"/>
          <w:sz w:val="22"/>
        </w:rPr>
        <w:t>为委托方提供</w:t>
      </w:r>
      <w:r>
        <w:rPr>
          <w:rFonts w:hint="eastAsia" w:ascii="宋体" w:hAnsi="宋体"/>
          <w:snapToGrid w:val="0"/>
          <w:kern w:val="0"/>
          <w:sz w:val="22"/>
        </w:rPr>
        <w:t>招标</w:t>
      </w:r>
      <w:r>
        <w:rPr>
          <w:rFonts w:ascii="宋体" w:hAnsi="宋体"/>
          <w:snapToGrid w:val="0"/>
          <w:kern w:val="0"/>
          <w:sz w:val="22"/>
        </w:rPr>
        <w:t>咨询服务，</w:t>
      </w:r>
      <w:r>
        <w:rPr>
          <w:rFonts w:hint="eastAsia" w:ascii="宋体" w:hAnsi="宋体"/>
          <w:snapToGrid w:val="0"/>
          <w:kern w:val="0"/>
          <w:sz w:val="22"/>
        </w:rPr>
        <w:t>协助编制</w:t>
      </w:r>
      <w:r>
        <w:rPr>
          <w:rFonts w:ascii="宋体" w:hAnsi="宋体"/>
          <w:snapToGrid w:val="0"/>
          <w:kern w:val="0"/>
          <w:sz w:val="22"/>
        </w:rPr>
        <w:t>委托方</w:t>
      </w:r>
      <w:r>
        <w:rPr>
          <w:rFonts w:hint="eastAsia" w:ascii="宋体" w:hAnsi="宋体"/>
          <w:snapToGrid w:val="0"/>
          <w:kern w:val="0"/>
          <w:sz w:val="22"/>
        </w:rPr>
        <w:t>自行组织实施招标项目的招标文件</w:t>
      </w:r>
      <w:r>
        <w:rPr>
          <w:rFonts w:ascii="宋体" w:hAnsi="宋体"/>
          <w:snapToGrid w:val="0"/>
          <w:kern w:val="0"/>
          <w:sz w:val="22"/>
        </w:rPr>
        <w:t>，</w:t>
      </w:r>
      <w:r>
        <w:rPr>
          <w:rFonts w:hint="eastAsia" w:ascii="宋体" w:hAnsi="宋体"/>
          <w:snapToGrid w:val="0"/>
          <w:kern w:val="0"/>
          <w:sz w:val="22"/>
        </w:rPr>
        <w:t>并提出修改意见。</w:t>
      </w:r>
    </w:p>
    <w:p>
      <w:pPr>
        <w:spacing w:line="400" w:lineRule="exact"/>
        <w:ind w:firstLine="440" w:firstLineChars="200"/>
        <w:rPr>
          <w:rFonts w:ascii="宋体" w:hAnsi="宋体"/>
          <w:snapToGrid w:val="0"/>
          <w:kern w:val="0"/>
          <w:sz w:val="22"/>
        </w:rPr>
      </w:pPr>
      <w:r>
        <w:rPr>
          <w:rFonts w:hint="eastAsia" w:ascii="宋体" w:hAnsi="宋体"/>
          <w:snapToGrid w:val="0"/>
          <w:kern w:val="0"/>
          <w:sz w:val="22"/>
        </w:rPr>
        <w:t>18、按委托方要求，</w:t>
      </w:r>
      <w:r>
        <w:rPr>
          <w:rFonts w:ascii="宋体" w:hAnsi="宋体"/>
          <w:snapToGrid w:val="0"/>
          <w:kern w:val="0"/>
          <w:sz w:val="22"/>
        </w:rPr>
        <w:t>对委托方员工</w:t>
      </w:r>
      <w:r>
        <w:rPr>
          <w:rFonts w:hint="eastAsia" w:ascii="宋体" w:hAnsi="宋体"/>
          <w:snapToGrid w:val="0"/>
          <w:kern w:val="0"/>
          <w:sz w:val="22"/>
        </w:rPr>
        <w:t>开展免费招标</w:t>
      </w:r>
      <w:r>
        <w:rPr>
          <w:rFonts w:ascii="宋体" w:hAnsi="宋体"/>
          <w:snapToGrid w:val="0"/>
          <w:kern w:val="0"/>
          <w:sz w:val="22"/>
        </w:rPr>
        <w:t>知识讲座和法制宣传教育</w:t>
      </w:r>
      <w:r>
        <w:rPr>
          <w:rFonts w:hint="eastAsia" w:ascii="宋体" w:hAnsi="宋体"/>
          <w:snapToGrid w:val="0"/>
          <w:kern w:val="0"/>
          <w:sz w:val="22"/>
        </w:rPr>
        <w:t>培训</w:t>
      </w:r>
      <w:r>
        <w:rPr>
          <w:rFonts w:ascii="宋体" w:hAnsi="宋体"/>
          <w:snapToGrid w:val="0"/>
          <w:kern w:val="0"/>
          <w:sz w:val="22"/>
        </w:rPr>
        <w:t>，每年至少一次，内容由委托方决定</w:t>
      </w:r>
      <w:r>
        <w:rPr>
          <w:rFonts w:hint="eastAsia" w:ascii="宋体" w:hAnsi="宋体"/>
          <w:snapToGrid w:val="0"/>
          <w:kern w:val="0"/>
          <w:sz w:val="22"/>
        </w:rPr>
        <w:t>。</w:t>
      </w:r>
    </w:p>
    <w:p>
      <w:pPr>
        <w:spacing w:line="400" w:lineRule="exact"/>
        <w:ind w:firstLine="440" w:firstLineChars="200"/>
        <w:rPr>
          <w:rFonts w:ascii="宋体" w:hAnsi="宋体"/>
          <w:snapToGrid w:val="0"/>
          <w:kern w:val="0"/>
          <w:sz w:val="22"/>
        </w:rPr>
      </w:pPr>
      <w:r>
        <w:rPr>
          <w:rFonts w:hint="eastAsia" w:ascii="宋体" w:hAnsi="宋体"/>
          <w:snapToGrid w:val="0"/>
          <w:kern w:val="0"/>
          <w:sz w:val="22"/>
        </w:rPr>
        <w:t>19、项目负责人原则上应在招投标活动的的主要时间节点到场，如招标文件讨论、开评标、投诉处理等。</w:t>
      </w:r>
    </w:p>
    <w:p>
      <w:pPr>
        <w:spacing w:line="400" w:lineRule="exact"/>
        <w:ind w:firstLine="440" w:firstLineChars="200"/>
        <w:rPr>
          <w:rFonts w:ascii="宋体" w:hAnsi="宋体"/>
          <w:snapToGrid w:val="0"/>
          <w:kern w:val="0"/>
          <w:sz w:val="22"/>
        </w:rPr>
      </w:pPr>
      <w:r>
        <w:rPr>
          <w:rFonts w:hint="eastAsia" w:ascii="宋体" w:hAnsi="宋体"/>
          <w:snapToGrid w:val="0"/>
          <w:kern w:val="0"/>
          <w:sz w:val="22"/>
        </w:rPr>
        <w:t>20、受托人应根据工作需要，合理增加项目班子成员，在任何情况下，若委托人认为项目负责人或项目班子成员不能胜任工作，有权要求受托人进行更换；受托人应在收到委托人通知之日起的7天内，按照委托人要求，提出新的人选，报委托人批准后，立即到位。</w:t>
      </w:r>
    </w:p>
    <w:p>
      <w:pPr>
        <w:spacing w:line="400" w:lineRule="exact"/>
        <w:ind w:firstLine="440" w:firstLineChars="200"/>
        <w:rPr>
          <w:rFonts w:ascii="宋体" w:hAnsi="宋体"/>
          <w:snapToGrid w:val="0"/>
          <w:kern w:val="0"/>
          <w:sz w:val="22"/>
        </w:rPr>
      </w:pPr>
      <w:r>
        <w:rPr>
          <w:rFonts w:hint="eastAsia" w:ascii="宋体" w:hAnsi="宋体"/>
          <w:snapToGrid w:val="0"/>
          <w:kern w:val="0"/>
          <w:sz w:val="22"/>
        </w:rPr>
        <w:t>21、其他</w:t>
      </w:r>
      <w:r>
        <w:rPr>
          <w:rFonts w:ascii="宋体" w:hAnsi="宋体"/>
          <w:snapToGrid w:val="0"/>
          <w:kern w:val="0"/>
          <w:sz w:val="22"/>
        </w:rPr>
        <w:t>应委托方要求</w:t>
      </w:r>
      <w:r>
        <w:rPr>
          <w:rFonts w:hint="eastAsia" w:ascii="宋体" w:hAnsi="宋体"/>
          <w:snapToGrid w:val="0"/>
          <w:kern w:val="0"/>
          <w:sz w:val="22"/>
        </w:rPr>
        <w:t>提供的服务。</w:t>
      </w:r>
    </w:p>
    <w:p>
      <w:pPr>
        <w:spacing w:line="400" w:lineRule="exact"/>
        <w:ind w:firstLine="440" w:firstLineChars="200"/>
        <w:rPr>
          <w:rFonts w:ascii="宋体" w:hAnsi="宋体"/>
          <w:b/>
          <w:snapToGrid w:val="0"/>
          <w:kern w:val="0"/>
          <w:sz w:val="22"/>
        </w:rPr>
      </w:pPr>
      <w:r>
        <w:rPr>
          <w:rFonts w:hint="eastAsia" w:ascii="宋体" w:hAnsi="宋体"/>
          <w:b/>
          <w:snapToGrid w:val="0"/>
          <w:kern w:val="0"/>
          <w:sz w:val="22"/>
        </w:rPr>
        <w:t>第九条  服务期限</w:t>
      </w:r>
    </w:p>
    <w:p>
      <w:pPr>
        <w:spacing w:line="400" w:lineRule="exact"/>
        <w:ind w:firstLine="440" w:firstLineChars="200"/>
        <w:rPr>
          <w:rFonts w:ascii="宋体" w:hAnsi="宋体"/>
          <w:snapToGrid w:val="0"/>
          <w:kern w:val="0"/>
          <w:sz w:val="22"/>
        </w:rPr>
      </w:pPr>
      <w:r>
        <w:rPr>
          <w:rFonts w:hint="eastAsia" w:ascii="宋体" w:hAnsi="宋体"/>
          <w:snapToGrid w:val="0"/>
          <w:kern w:val="0"/>
          <w:sz w:val="22"/>
        </w:rPr>
        <w:t>代理服务期限为三年。</w:t>
      </w:r>
    </w:p>
    <w:p>
      <w:pPr>
        <w:spacing w:line="400" w:lineRule="exact"/>
        <w:ind w:firstLine="440" w:firstLineChars="200"/>
        <w:rPr>
          <w:rFonts w:ascii="宋体" w:hAnsi="宋体"/>
          <w:snapToGrid w:val="0"/>
          <w:kern w:val="0"/>
          <w:sz w:val="22"/>
        </w:rPr>
      </w:pPr>
      <w:r>
        <w:rPr>
          <w:rFonts w:hint="eastAsia" w:ascii="宋体" w:hAnsi="宋体"/>
          <w:snapToGrid w:val="0"/>
          <w:kern w:val="0"/>
          <w:sz w:val="22"/>
        </w:rPr>
        <w:t>1、起始时间：20</w:t>
      </w:r>
      <w:r>
        <w:rPr>
          <w:rFonts w:ascii="宋体" w:hAnsi="宋体"/>
          <w:snapToGrid w:val="0"/>
          <w:kern w:val="0"/>
          <w:sz w:val="22"/>
        </w:rPr>
        <w:t>20</w:t>
      </w:r>
      <w:r>
        <w:rPr>
          <w:rFonts w:hint="eastAsia" w:ascii="宋体" w:hAnsi="宋体"/>
          <w:snapToGrid w:val="0"/>
          <w:kern w:val="0"/>
          <w:sz w:val="22"/>
        </w:rPr>
        <w:t>年1月1日；</w:t>
      </w:r>
    </w:p>
    <w:p>
      <w:pPr>
        <w:spacing w:line="400" w:lineRule="exact"/>
        <w:ind w:firstLine="440" w:firstLineChars="200"/>
        <w:rPr>
          <w:rFonts w:ascii="宋体" w:hAnsi="宋体"/>
          <w:snapToGrid w:val="0"/>
          <w:kern w:val="0"/>
          <w:sz w:val="22"/>
        </w:rPr>
      </w:pPr>
      <w:r>
        <w:rPr>
          <w:rFonts w:hint="eastAsia" w:ascii="宋体" w:hAnsi="宋体"/>
          <w:snapToGrid w:val="0"/>
          <w:kern w:val="0"/>
          <w:sz w:val="22"/>
        </w:rPr>
        <w:t>2、终止时间：20</w:t>
      </w:r>
      <w:r>
        <w:rPr>
          <w:rFonts w:ascii="宋体" w:hAnsi="宋体"/>
          <w:snapToGrid w:val="0"/>
          <w:kern w:val="0"/>
          <w:sz w:val="22"/>
        </w:rPr>
        <w:t>22</w:t>
      </w:r>
      <w:r>
        <w:rPr>
          <w:rFonts w:hint="eastAsia" w:ascii="宋体" w:hAnsi="宋体"/>
          <w:snapToGrid w:val="0"/>
          <w:kern w:val="0"/>
          <w:sz w:val="22"/>
        </w:rPr>
        <w:t>年12月31日。</w:t>
      </w:r>
    </w:p>
    <w:p>
      <w:pPr>
        <w:spacing w:line="400" w:lineRule="exact"/>
        <w:ind w:firstLine="440" w:firstLineChars="200"/>
        <w:rPr>
          <w:rFonts w:ascii="宋体" w:hAnsi="宋体"/>
          <w:b/>
          <w:snapToGrid w:val="0"/>
          <w:kern w:val="0"/>
          <w:sz w:val="22"/>
        </w:rPr>
      </w:pPr>
      <w:r>
        <w:rPr>
          <w:rFonts w:hint="eastAsia" w:ascii="宋体" w:hAnsi="宋体"/>
          <w:b/>
          <w:snapToGrid w:val="0"/>
          <w:kern w:val="0"/>
          <w:sz w:val="22"/>
        </w:rPr>
        <w:t>第十条  代理费的结算</w:t>
      </w:r>
    </w:p>
    <w:p>
      <w:pPr>
        <w:spacing w:line="400" w:lineRule="exact"/>
        <w:ind w:firstLine="440" w:firstLineChars="200"/>
        <w:rPr>
          <w:rFonts w:ascii="宋体" w:hAnsi="宋体"/>
          <w:snapToGrid w:val="0"/>
          <w:kern w:val="0"/>
          <w:sz w:val="22"/>
        </w:rPr>
      </w:pPr>
      <w:r>
        <w:rPr>
          <w:rFonts w:hint="eastAsia" w:ascii="宋体" w:hAnsi="宋体"/>
          <w:snapToGrid w:val="0"/>
          <w:kern w:val="0"/>
          <w:sz w:val="22"/>
        </w:rPr>
        <w:t>1</w:t>
      </w:r>
      <w:r>
        <w:rPr>
          <w:rFonts w:ascii="宋体" w:hAnsi="宋体"/>
          <w:snapToGrid w:val="0"/>
          <w:kern w:val="0"/>
          <w:sz w:val="22"/>
        </w:rPr>
        <w:t>、招标代理服务费费率中已包括完成招标代理服务过程中可能发生的所有费用，包括但不限于公示费、招标文件制作费、标底编制费、评标专家咨询费、场租费、从事代理服务中发生的受托方人员食宿、交通等任何其他费用等。</w:t>
      </w:r>
      <w:r>
        <w:rPr>
          <w:rFonts w:hint="eastAsia" w:ascii="宋体" w:hAnsi="宋体"/>
          <w:snapToGrid w:val="0"/>
          <w:kern w:val="0"/>
          <w:sz w:val="22"/>
        </w:rPr>
        <w:t>政府交易中心收取的费用，由委托人、受托人各自承担。</w:t>
      </w:r>
    </w:p>
    <w:p>
      <w:pPr>
        <w:spacing w:line="400" w:lineRule="exact"/>
        <w:ind w:firstLine="440" w:firstLineChars="200"/>
        <w:rPr>
          <w:rFonts w:ascii="宋体" w:hAnsi="宋体"/>
          <w:snapToGrid w:val="0"/>
          <w:kern w:val="0"/>
          <w:sz w:val="22"/>
        </w:rPr>
      </w:pPr>
      <w:r>
        <w:rPr>
          <w:rFonts w:hint="eastAsia" w:ascii="宋体" w:hAnsi="宋体"/>
          <w:snapToGrid w:val="0"/>
          <w:kern w:val="0"/>
          <w:sz w:val="22"/>
        </w:rPr>
        <w:t>2</w:t>
      </w:r>
      <w:r>
        <w:rPr>
          <w:rFonts w:ascii="宋体" w:hAnsi="宋体"/>
          <w:snapToGrid w:val="0"/>
          <w:kern w:val="0"/>
          <w:sz w:val="22"/>
        </w:rPr>
        <w:t>、如投标期间因</w:t>
      </w:r>
      <w:r>
        <w:rPr>
          <w:rFonts w:hint="eastAsia" w:ascii="宋体" w:hAnsi="宋体"/>
          <w:snapToGrid w:val="0"/>
          <w:kern w:val="0"/>
          <w:sz w:val="22"/>
        </w:rPr>
        <w:t>委托方需求变更</w:t>
      </w:r>
      <w:r>
        <w:rPr>
          <w:rFonts w:ascii="宋体" w:hAnsi="宋体"/>
          <w:snapToGrid w:val="0"/>
          <w:kern w:val="0"/>
          <w:sz w:val="22"/>
        </w:rPr>
        <w:t>造成</w:t>
      </w:r>
      <w:r>
        <w:rPr>
          <w:rFonts w:hint="eastAsia" w:ascii="宋体" w:hAnsi="宋体"/>
          <w:snapToGrid w:val="0"/>
          <w:kern w:val="0"/>
          <w:sz w:val="22"/>
        </w:rPr>
        <w:t>技术方案</w:t>
      </w:r>
      <w:r>
        <w:rPr>
          <w:rFonts w:ascii="宋体" w:hAnsi="宋体"/>
          <w:snapToGrid w:val="0"/>
          <w:kern w:val="0"/>
          <w:sz w:val="22"/>
        </w:rPr>
        <w:t>及参考标底需调整、修改的，不再另行收取费用。</w:t>
      </w:r>
    </w:p>
    <w:p>
      <w:pPr>
        <w:spacing w:line="400" w:lineRule="exact"/>
        <w:ind w:firstLine="440" w:firstLineChars="200"/>
        <w:rPr>
          <w:rFonts w:ascii="宋体" w:hAnsi="宋体"/>
          <w:snapToGrid w:val="0"/>
          <w:kern w:val="0"/>
          <w:sz w:val="22"/>
        </w:rPr>
      </w:pPr>
      <w:r>
        <w:rPr>
          <w:rFonts w:hint="eastAsia" w:ascii="宋体" w:hAnsi="宋体"/>
          <w:snapToGrid w:val="0"/>
          <w:kern w:val="0"/>
          <w:sz w:val="22"/>
        </w:rPr>
        <w:t>3</w:t>
      </w:r>
      <w:r>
        <w:rPr>
          <w:rFonts w:ascii="宋体" w:hAnsi="宋体"/>
          <w:snapToGrid w:val="0"/>
          <w:kern w:val="0"/>
          <w:sz w:val="22"/>
        </w:rPr>
        <w:t>、招标过程中所发生的费用，如招标成功（指按招标投标程序而确定了中标人，并已签订合同及收取相应的履约保证金），由</w:t>
      </w:r>
      <w:r>
        <w:rPr>
          <w:rFonts w:hint="eastAsia" w:ascii="宋体" w:hAnsi="宋体"/>
          <w:snapToGrid w:val="0"/>
          <w:kern w:val="0"/>
          <w:sz w:val="22"/>
        </w:rPr>
        <w:t>中标人</w:t>
      </w:r>
      <w:r>
        <w:rPr>
          <w:rFonts w:ascii="宋体" w:hAnsi="宋体"/>
          <w:snapToGrid w:val="0"/>
          <w:kern w:val="0"/>
          <w:sz w:val="22"/>
        </w:rPr>
        <w:t>承担</w:t>
      </w:r>
      <w:r>
        <w:rPr>
          <w:rFonts w:hint="eastAsia" w:ascii="宋体" w:hAnsi="宋体"/>
          <w:snapToGrid w:val="0"/>
          <w:kern w:val="0"/>
          <w:sz w:val="22"/>
        </w:rPr>
        <w:t>。</w:t>
      </w:r>
    </w:p>
    <w:p>
      <w:pPr>
        <w:spacing w:line="400" w:lineRule="exact"/>
        <w:ind w:firstLine="440" w:firstLineChars="200"/>
        <w:rPr>
          <w:rFonts w:ascii="宋体" w:hAnsi="宋体"/>
          <w:snapToGrid w:val="0"/>
          <w:kern w:val="0"/>
          <w:sz w:val="22"/>
        </w:rPr>
      </w:pPr>
      <w:r>
        <w:rPr>
          <w:rFonts w:hint="eastAsia" w:ascii="宋体" w:hAnsi="宋体"/>
          <w:snapToGrid w:val="0"/>
          <w:kern w:val="0"/>
          <w:sz w:val="22"/>
        </w:rPr>
        <w:t>4、在招标过程中，受托方已恰当充分的履行了本协议所规定的相应职责与义务，但招标失败的，则由委托人据实承担已由受托方专为履行本协议而实际开支的招标费用（不包括受托方自身人员薪酬及其他一切日常营运开支），受托方应向委托方提供相应的开支凭据。</w:t>
      </w:r>
    </w:p>
    <w:p>
      <w:pPr>
        <w:spacing w:line="400" w:lineRule="exact"/>
        <w:ind w:firstLine="440" w:firstLineChars="200"/>
        <w:rPr>
          <w:rFonts w:ascii="宋体" w:hAnsi="宋体"/>
          <w:snapToGrid w:val="0"/>
          <w:kern w:val="0"/>
          <w:sz w:val="22"/>
        </w:rPr>
      </w:pPr>
      <w:r>
        <w:rPr>
          <w:rFonts w:hint="eastAsia" w:ascii="宋体" w:hAnsi="宋体"/>
          <w:snapToGrid w:val="0"/>
          <w:kern w:val="0"/>
          <w:sz w:val="22"/>
        </w:rPr>
        <w:t>5</w:t>
      </w:r>
      <w:r>
        <w:rPr>
          <w:rFonts w:ascii="宋体" w:hAnsi="宋体"/>
          <w:snapToGrid w:val="0"/>
          <w:kern w:val="0"/>
          <w:sz w:val="22"/>
        </w:rPr>
        <w:t>、受托方在履行本协议期间存在违反或者懈怠情形，则无论该等情形是否直接导致招标失败，招标过程中所发生费用，均应由受托方承担</w:t>
      </w:r>
      <w:r>
        <w:rPr>
          <w:rFonts w:hint="eastAsia" w:ascii="宋体" w:hAnsi="宋体"/>
          <w:snapToGrid w:val="0"/>
          <w:kern w:val="0"/>
          <w:sz w:val="22"/>
        </w:rPr>
        <w:t>。</w:t>
      </w:r>
    </w:p>
    <w:p>
      <w:pPr>
        <w:spacing w:line="400" w:lineRule="exact"/>
        <w:ind w:firstLine="440" w:firstLineChars="200"/>
        <w:rPr>
          <w:rFonts w:ascii="宋体" w:hAnsi="宋体"/>
          <w:snapToGrid w:val="0"/>
          <w:kern w:val="0"/>
          <w:sz w:val="22"/>
        </w:rPr>
      </w:pPr>
      <w:r>
        <w:rPr>
          <w:rFonts w:hint="eastAsia" w:ascii="宋体" w:hAnsi="宋体"/>
          <w:snapToGrid w:val="0"/>
          <w:kern w:val="0"/>
          <w:sz w:val="22"/>
        </w:rPr>
        <w:t>6、如招标项目为民航专业工程，招标评标专家应为民航总局专家库成员。因民航总局专家库为国家级专家库，成员来自全国各地，故该类项目工程招标代理服务费用除前款内容以外，还应包括专家往来交通费（含机票、车船票、市内交通费等）、住宿费、餐饮费等（食宿标准不得低于财政部相关规定），评标专家咨询费标准按照民航系统标准，并派专人、专车接送，遇专家往返时间不一致时，须分别接送，不得要求专家等候统一接送。</w:t>
      </w:r>
    </w:p>
    <w:p>
      <w:pPr>
        <w:spacing w:line="400" w:lineRule="exact"/>
        <w:ind w:firstLine="440" w:firstLineChars="200"/>
        <w:rPr>
          <w:rFonts w:ascii="宋体" w:hAnsi="宋体"/>
          <w:b/>
          <w:snapToGrid w:val="0"/>
          <w:kern w:val="0"/>
          <w:sz w:val="22"/>
        </w:rPr>
      </w:pPr>
      <w:r>
        <w:rPr>
          <w:rFonts w:hint="eastAsia" w:ascii="宋体" w:hAnsi="宋体"/>
          <w:b/>
          <w:snapToGrid w:val="0"/>
          <w:kern w:val="0"/>
          <w:sz w:val="22"/>
        </w:rPr>
        <w:t>第十一条  违约责任</w:t>
      </w:r>
    </w:p>
    <w:p>
      <w:pPr>
        <w:spacing w:line="400" w:lineRule="exact"/>
        <w:ind w:firstLine="440" w:firstLineChars="200"/>
        <w:rPr>
          <w:rFonts w:ascii="宋体" w:hAnsi="宋体"/>
          <w:snapToGrid w:val="0"/>
          <w:kern w:val="0"/>
          <w:sz w:val="22"/>
        </w:rPr>
      </w:pPr>
      <w:r>
        <w:rPr>
          <w:rFonts w:hint="eastAsia" w:ascii="宋体" w:hAnsi="宋体"/>
          <w:snapToGrid w:val="0"/>
          <w:kern w:val="0"/>
          <w:sz w:val="22"/>
        </w:rPr>
        <w:t>1、任何一方发生任何违约行为的，除本协议另有规定外，违约方均应就因此给守约方造成的全部损失，包括间接损失、可预期利益损失，以及因主张权利而发生的诉讼费、仲裁费、调查费、律师费等，承担赔偿责任。</w:t>
      </w:r>
    </w:p>
    <w:p>
      <w:pPr>
        <w:spacing w:line="400" w:lineRule="exact"/>
        <w:ind w:firstLine="440" w:firstLineChars="200"/>
        <w:rPr>
          <w:rFonts w:ascii="宋体" w:hAnsi="宋体"/>
          <w:snapToGrid w:val="0"/>
          <w:kern w:val="0"/>
          <w:sz w:val="22"/>
        </w:rPr>
      </w:pPr>
      <w:r>
        <w:rPr>
          <w:rFonts w:hint="eastAsia" w:ascii="宋体" w:hAnsi="宋体"/>
          <w:snapToGrid w:val="0"/>
          <w:kern w:val="0"/>
          <w:sz w:val="22"/>
        </w:rPr>
        <w:t>2、发生下列情形之一的，守约方有权解除本合同，并要求违约方承担赔偿责任。</w:t>
      </w:r>
    </w:p>
    <w:p>
      <w:pPr>
        <w:spacing w:line="400" w:lineRule="exact"/>
        <w:ind w:firstLine="440" w:firstLineChars="200"/>
        <w:rPr>
          <w:rFonts w:ascii="宋体" w:hAnsi="宋体"/>
          <w:snapToGrid w:val="0"/>
          <w:kern w:val="0"/>
          <w:sz w:val="22"/>
        </w:rPr>
      </w:pPr>
      <w:r>
        <w:rPr>
          <w:rFonts w:hint="eastAsia" w:ascii="宋体" w:hAnsi="宋体"/>
          <w:snapToGrid w:val="0"/>
          <w:kern w:val="0"/>
          <w:sz w:val="22"/>
        </w:rPr>
        <w:t>（1）违约方发生违约行为并在守约方规定的期限内未改正；</w:t>
      </w:r>
    </w:p>
    <w:p>
      <w:pPr>
        <w:spacing w:line="400" w:lineRule="exact"/>
        <w:ind w:firstLine="440" w:firstLineChars="200"/>
        <w:rPr>
          <w:rFonts w:ascii="宋体" w:hAnsi="宋体"/>
          <w:snapToGrid w:val="0"/>
          <w:kern w:val="0"/>
          <w:sz w:val="22"/>
        </w:rPr>
      </w:pPr>
      <w:r>
        <w:rPr>
          <w:rFonts w:hint="eastAsia" w:ascii="宋体" w:hAnsi="宋体"/>
          <w:snapToGrid w:val="0"/>
          <w:kern w:val="0"/>
          <w:sz w:val="22"/>
        </w:rPr>
        <w:t>（2）违约行为影响恶劣或给守约方造成较大负面影响的；</w:t>
      </w:r>
    </w:p>
    <w:p>
      <w:pPr>
        <w:spacing w:line="400" w:lineRule="exact"/>
        <w:ind w:firstLine="440" w:firstLineChars="200"/>
        <w:rPr>
          <w:rFonts w:ascii="宋体" w:hAnsi="宋体"/>
          <w:snapToGrid w:val="0"/>
          <w:kern w:val="0"/>
          <w:sz w:val="22"/>
        </w:rPr>
      </w:pPr>
      <w:r>
        <w:rPr>
          <w:rFonts w:hint="eastAsia" w:ascii="宋体" w:hAnsi="宋体"/>
          <w:snapToGrid w:val="0"/>
          <w:kern w:val="0"/>
          <w:sz w:val="22"/>
        </w:rPr>
        <w:t>（3）违约行为发生三次（含）以上。</w:t>
      </w:r>
    </w:p>
    <w:p>
      <w:pPr>
        <w:spacing w:line="400" w:lineRule="exact"/>
        <w:ind w:firstLine="440" w:firstLineChars="200"/>
        <w:rPr>
          <w:rFonts w:ascii="宋体" w:hAnsi="宋体"/>
          <w:snapToGrid w:val="0"/>
          <w:kern w:val="0"/>
          <w:sz w:val="22"/>
        </w:rPr>
      </w:pPr>
      <w:r>
        <w:rPr>
          <w:rFonts w:hint="eastAsia" w:ascii="宋体" w:hAnsi="宋体"/>
          <w:snapToGrid w:val="0"/>
          <w:kern w:val="0"/>
          <w:sz w:val="22"/>
        </w:rPr>
        <w:t>3</w:t>
      </w:r>
      <w:r>
        <w:rPr>
          <w:rFonts w:ascii="宋体" w:hAnsi="宋体"/>
          <w:snapToGrid w:val="0"/>
          <w:kern w:val="0"/>
          <w:sz w:val="22"/>
        </w:rPr>
        <w:t>、</w:t>
      </w:r>
      <w:r>
        <w:rPr>
          <w:rFonts w:hint="eastAsia" w:ascii="宋体" w:hAnsi="宋体"/>
          <w:snapToGrid w:val="0"/>
          <w:kern w:val="0"/>
          <w:sz w:val="22"/>
        </w:rPr>
        <w:t>由于受托人原因造成委托人招标工作完成时间的延误（按双方确定的时间计划或时间表），每延误一天受托人应按委托人要求赔偿按相应项目合同总价千分之三的违约金；情形严重延误达到10日的，委托人有权立即中止或终止合同，并不予退还受托人的履约保证金。</w:t>
      </w:r>
    </w:p>
    <w:p>
      <w:pPr>
        <w:spacing w:line="400" w:lineRule="exact"/>
        <w:ind w:firstLine="440" w:firstLineChars="200"/>
        <w:rPr>
          <w:rFonts w:ascii="宋体" w:hAnsi="宋体"/>
          <w:snapToGrid w:val="0"/>
          <w:kern w:val="0"/>
          <w:sz w:val="22"/>
        </w:rPr>
      </w:pPr>
      <w:r>
        <w:rPr>
          <w:rFonts w:hint="eastAsia" w:ascii="宋体" w:hAnsi="宋体"/>
          <w:snapToGrid w:val="0"/>
          <w:kern w:val="0"/>
          <w:sz w:val="22"/>
        </w:rPr>
        <w:t>4、受托人有下列情形之一的，直接列入黑名单，委托人有权立即终止合同，并不予退还受托人的履约保证金：</w:t>
      </w:r>
    </w:p>
    <w:p>
      <w:pPr>
        <w:spacing w:line="400" w:lineRule="exact"/>
        <w:ind w:firstLine="440" w:firstLineChars="200"/>
        <w:rPr>
          <w:rFonts w:ascii="宋体" w:hAnsi="宋体"/>
          <w:snapToGrid w:val="0"/>
          <w:kern w:val="0"/>
          <w:sz w:val="22"/>
        </w:rPr>
      </w:pPr>
      <w:r>
        <w:rPr>
          <w:rFonts w:hint="eastAsia" w:ascii="宋体" w:hAnsi="宋体"/>
          <w:snapToGrid w:val="0"/>
          <w:kern w:val="0"/>
          <w:sz w:val="22"/>
        </w:rPr>
        <w:t xml:space="preserve">（一）与投标人串通投标的； </w:t>
      </w:r>
    </w:p>
    <w:p>
      <w:pPr>
        <w:tabs>
          <w:tab w:val="left" w:pos="972"/>
        </w:tabs>
        <w:spacing w:line="400" w:lineRule="exact"/>
        <w:ind w:firstLine="440" w:firstLineChars="200"/>
        <w:rPr>
          <w:rFonts w:ascii="宋体" w:hAnsi="宋体"/>
          <w:sz w:val="22"/>
        </w:rPr>
      </w:pPr>
      <w:r>
        <w:rPr>
          <w:rFonts w:hint="eastAsia" w:ascii="宋体" w:hAnsi="宋体"/>
          <w:sz w:val="22"/>
        </w:rPr>
        <w:t>（二）在招投标活动中有行贿行为或受贿行为的；</w:t>
      </w:r>
    </w:p>
    <w:p>
      <w:pPr>
        <w:tabs>
          <w:tab w:val="left" w:pos="972"/>
        </w:tabs>
        <w:spacing w:line="400" w:lineRule="exact"/>
        <w:ind w:firstLine="440" w:firstLineChars="200"/>
        <w:rPr>
          <w:rFonts w:ascii="宋体" w:hAnsi="宋体"/>
          <w:sz w:val="22"/>
        </w:rPr>
      </w:pPr>
      <w:r>
        <w:rPr>
          <w:rFonts w:hint="eastAsia" w:ascii="宋体" w:hAnsi="宋体"/>
          <w:sz w:val="22"/>
        </w:rPr>
        <w:t>（三）提供虚假材料骗取招投标代理业务的；</w:t>
      </w:r>
    </w:p>
    <w:p>
      <w:pPr>
        <w:tabs>
          <w:tab w:val="left" w:pos="972"/>
        </w:tabs>
        <w:spacing w:line="400" w:lineRule="exact"/>
        <w:ind w:firstLine="440" w:firstLineChars="200"/>
        <w:rPr>
          <w:rFonts w:ascii="宋体" w:hAnsi="宋体"/>
          <w:sz w:val="22"/>
        </w:rPr>
      </w:pPr>
      <w:r>
        <w:rPr>
          <w:rFonts w:hint="eastAsia" w:ascii="宋体" w:hAnsi="宋体"/>
          <w:sz w:val="22"/>
        </w:rPr>
        <w:t>（四）非法转让招标代理、咨询业务的；</w:t>
      </w:r>
    </w:p>
    <w:p>
      <w:pPr>
        <w:tabs>
          <w:tab w:val="left" w:pos="972"/>
        </w:tabs>
        <w:spacing w:line="400" w:lineRule="exact"/>
        <w:ind w:firstLine="440" w:firstLineChars="200"/>
        <w:rPr>
          <w:rFonts w:ascii="宋体" w:hAnsi="宋体"/>
          <w:sz w:val="22"/>
        </w:rPr>
      </w:pPr>
      <w:r>
        <w:rPr>
          <w:rFonts w:hint="eastAsia" w:ascii="宋体" w:hAnsi="宋体"/>
          <w:sz w:val="22"/>
        </w:rPr>
        <w:t>（五）为其它单位或个人以挂靠名义投标或承接业务的；</w:t>
      </w:r>
    </w:p>
    <w:p>
      <w:pPr>
        <w:tabs>
          <w:tab w:val="left" w:pos="972"/>
        </w:tabs>
        <w:spacing w:line="400" w:lineRule="exact"/>
        <w:ind w:firstLine="440" w:firstLineChars="200"/>
        <w:rPr>
          <w:rFonts w:ascii="宋体" w:hAnsi="宋体"/>
          <w:sz w:val="22"/>
        </w:rPr>
      </w:pPr>
      <w:r>
        <w:rPr>
          <w:rFonts w:hint="eastAsia" w:ascii="宋体" w:hAnsi="宋体"/>
          <w:sz w:val="22"/>
        </w:rPr>
        <w:t>（六）泄露应当保密的潜在投标人名称、数量、项目的标底、预算价的；</w:t>
      </w:r>
    </w:p>
    <w:p>
      <w:pPr>
        <w:tabs>
          <w:tab w:val="left" w:pos="972"/>
        </w:tabs>
        <w:spacing w:line="400" w:lineRule="exact"/>
        <w:ind w:firstLine="440" w:firstLineChars="200"/>
        <w:rPr>
          <w:rFonts w:ascii="宋体" w:hAnsi="宋体"/>
          <w:sz w:val="22"/>
        </w:rPr>
      </w:pPr>
      <w:r>
        <w:rPr>
          <w:rFonts w:hint="eastAsia" w:ascii="宋体" w:hAnsi="宋体"/>
          <w:sz w:val="22"/>
        </w:rPr>
        <w:t>（七）接受同一项目的招标代理和投标咨询业务的；</w:t>
      </w:r>
    </w:p>
    <w:p>
      <w:pPr>
        <w:tabs>
          <w:tab w:val="left" w:pos="972"/>
        </w:tabs>
        <w:spacing w:line="400" w:lineRule="exact"/>
        <w:ind w:firstLine="440" w:firstLineChars="200"/>
        <w:rPr>
          <w:rFonts w:ascii="宋体" w:hAnsi="宋体"/>
          <w:sz w:val="22"/>
        </w:rPr>
      </w:pPr>
      <w:r>
        <w:rPr>
          <w:rFonts w:hint="eastAsia" w:ascii="宋体" w:hAnsi="宋体"/>
          <w:sz w:val="22"/>
        </w:rPr>
        <w:t>（八）在评标过程中泄露参评人员名单或评标内容的；</w:t>
      </w:r>
    </w:p>
    <w:p>
      <w:pPr>
        <w:tabs>
          <w:tab w:val="left" w:pos="972"/>
        </w:tabs>
        <w:spacing w:line="400" w:lineRule="exact"/>
        <w:ind w:firstLine="440" w:firstLineChars="200"/>
        <w:rPr>
          <w:rFonts w:ascii="宋体" w:hAnsi="宋体"/>
          <w:sz w:val="22"/>
        </w:rPr>
      </w:pPr>
      <w:r>
        <w:rPr>
          <w:rFonts w:hint="eastAsia" w:ascii="宋体" w:hAnsi="宋体"/>
          <w:sz w:val="22"/>
        </w:rPr>
        <w:t>（九）弄虚作假，将必须进行公开招标项目化整为零或以其他方式规避招标、违规分包的；</w:t>
      </w:r>
    </w:p>
    <w:p>
      <w:pPr>
        <w:tabs>
          <w:tab w:val="left" w:pos="972"/>
        </w:tabs>
        <w:spacing w:line="400" w:lineRule="exact"/>
        <w:ind w:firstLine="440" w:firstLineChars="200"/>
        <w:rPr>
          <w:rFonts w:ascii="宋体" w:hAnsi="宋体"/>
          <w:sz w:val="22"/>
        </w:rPr>
      </w:pPr>
      <w:r>
        <w:rPr>
          <w:rFonts w:hint="eastAsia" w:ascii="宋体" w:hAnsi="宋体"/>
          <w:sz w:val="22"/>
        </w:rPr>
        <w:t>（十) 不服从行业主管部门管理监督的，或者具有抵触、不改正、遇有投诉不积极处理等情况发生的。</w:t>
      </w:r>
    </w:p>
    <w:p>
      <w:pPr>
        <w:spacing w:line="400" w:lineRule="exact"/>
        <w:ind w:firstLine="440" w:firstLineChars="200"/>
        <w:rPr>
          <w:rFonts w:ascii="宋体" w:hAnsi="宋体"/>
          <w:snapToGrid w:val="0"/>
          <w:kern w:val="0"/>
          <w:sz w:val="22"/>
        </w:rPr>
      </w:pPr>
      <w:r>
        <w:rPr>
          <w:rFonts w:hint="eastAsia" w:ascii="宋体" w:hAnsi="宋体"/>
          <w:snapToGrid w:val="0"/>
          <w:kern w:val="0"/>
          <w:sz w:val="22"/>
        </w:rPr>
        <w:t>5、受托人有下列情形之一的，第一次暂停进入委托人招标代理机构备选库三个月，第二次委托人有权立即中止或终止合同，并不予退还受托人的履约保证金：</w:t>
      </w:r>
    </w:p>
    <w:p>
      <w:pPr>
        <w:spacing w:line="400" w:lineRule="exact"/>
        <w:ind w:firstLine="440" w:firstLineChars="200"/>
        <w:rPr>
          <w:rFonts w:ascii="宋体" w:hAnsi="宋体"/>
          <w:snapToGrid w:val="0"/>
          <w:kern w:val="0"/>
          <w:sz w:val="22"/>
        </w:rPr>
      </w:pPr>
      <w:r>
        <w:rPr>
          <w:rFonts w:hint="eastAsia" w:ascii="宋体" w:hAnsi="宋体"/>
          <w:snapToGrid w:val="0"/>
          <w:kern w:val="0"/>
          <w:sz w:val="22"/>
        </w:rPr>
        <w:t>（一）招标代理过程中，因存在过失，导致项目投诉、复评、流标、引起争议的，影响项目进度或造成不良影响的；</w:t>
      </w:r>
    </w:p>
    <w:p>
      <w:pPr>
        <w:spacing w:line="400" w:lineRule="exact"/>
        <w:ind w:firstLine="440" w:firstLineChars="200"/>
        <w:rPr>
          <w:rFonts w:ascii="宋体" w:hAnsi="宋体"/>
          <w:snapToGrid w:val="0"/>
          <w:kern w:val="0"/>
          <w:sz w:val="22"/>
        </w:rPr>
      </w:pPr>
      <w:r>
        <w:rPr>
          <w:rFonts w:hint="eastAsia" w:ascii="宋体" w:hAnsi="宋体"/>
          <w:snapToGrid w:val="0"/>
          <w:kern w:val="0"/>
          <w:sz w:val="22"/>
        </w:rPr>
        <w:t>（二）收到其他部门转交信访、投诉等情况的，情况属实不属于第3条规定，且情节不严重的；</w:t>
      </w:r>
    </w:p>
    <w:p>
      <w:pPr>
        <w:spacing w:line="400" w:lineRule="exact"/>
        <w:ind w:firstLine="440" w:firstLineChars="200"/>
        <w:rPr>
          <w:rFonts w:ascii="宋体" w:hAnsi="宋体"/>
          <w:snapToGrid w:val="0"/>
          <w:kern w:val="0"/>
          <w:sz w:val="22"/>
        </w:rPr>
      </w:pPr>
      <w:r>
        <w:rPr>
          <w:rFonts w:hint="eastAsia" w:ascii="宋体" w:hAnsi="宋体"/>
          <w:snapToGrid w:val="0"/>
          <w:kern w:val="0"/>
          <w:sz w:val="22"/>
        </w:rPr>
        <w:t>（三）招标公告、招标文件、预审文件等设置明显不符合国家现行法律法规、明显有倾向性等；</w:t>
      </w:r>
    </w:p>
    <w:p>
      <w:pPr>
        <w:spacing w:line="400" w:lineRule="exact"/>
        <w:ind w:firstLine="440" w:firstLineChars="200"/>
        <w:rPr>
          <w:rFonts w:ascii="宋体" w:hAnsi="宋体"/>
          <w:snapToGrid w:val="0"/>
          <w:kern w:val="0"/>
          <w:sz w:val="22"/>
        </w:rPr>
      </w:pPr>
      <w:r>
        <w:rPr>
          <w:rFonts w:hint="eastAsia" w:ascii="宋体" w:hAnsi="宋体"/>
          <w:snapToGrid w:val="0"/>
          <w:kern w:val="0"/>
          <w:sz w:val="22"/>
        </w:rPr>
        <w:t>（四）确定代理项目后非因特殊原因，无故放弃代理的；</w:t>
      </w:r>
    </w:p>
    <w:p>
      <w:pPr>
        <w:spacing w:line="400" w:lineRule="exact"/>
        <w:ind w:firstLine="440" w:firstLineChars="200"/>
        <w:rPr>
          <w:rFonts w:ascii="宋体" w:hAnsi="宋体"/>
          <w:snapToGrid w:val="0"/>
          <w:kern w:val="0"/>
          <w:sz w:val="22"/>
        </w:rPr>
      </w:pPr>
      <w:r>
        <w:rPr>
          <w:rFonts w:hint="eastAsia" w:ascii="宋体" w:hAnsi="宋体"/>
          <w:snapToGrid w:val="0"/>
          <w:kern w:val="0"/>
          <w:sz w:val="22"/>
        </w:rPr>
        <w:t>（五）影响项目推进速度的；</w:t>
      </w:r>
    </w:p>
    <w:p>
      <w:pPr>
        <w:spacing w:line="400" w:lineRule="exact"/>
        <w:ind w:firstLine="440" w:firstLineChars="200"/>
        <w:rPr>
          <w:rFonts w:ascii="宋体" w:hAnsi="宋体"/>
          <w:snapToGrid w:val="0"/>
          <w:kern w:val="0"/>
          <w:sz w:val="22"/>
        </w:rPr>
      </w:pPr>
      <w:r>
        <w:rPr>
          <w:rFonts w:hint="eastAsia" w:ascii="宋体" w:hAnsi="宋体"/>
          <w:snapToGrid w:val="0"/>
          <w:kern w:val="0"/>
          <w:sz w:val="22"/>
        </w:rPr>
        <w:t>（六）未严格按照相关法律法规或招标文件要求发布招标公告、补充文件、中标公示，开、评标程序不规范、评标报告书写不规范等情形。</w:t>
      </w:r>
    </w:p>
    <w:p>
      <w:pPr>
        <w:spacing w:line="400" w:lineRule="exact"/>
        <w:ind w:firstLine="440" w:firstLineChars="200"/>
        <w:rPr>
          <w:rFonts w:ascii="宋体" w:hAnsi="宋体"/>
          <w:snapToGrid w:val="0"/>
          <w:kern w:val="0"/>
          <w:sz w:val="22"/>
        </w:rPr>
      </w:pPr>
      <w:r>
        <w:rPr>
          <w:rFonts w:hint="eastAsia" w:ascii="宋体" w:hAnsi="宋体"/>
          <w:snapToGrid w:val="0"/>
          <w:kern w:val="0"/>
          <w:sz w:val="22"/>
        </w:rPr>
        <w:t>6、受托人有下列情形之一的，第一次警告，第二次暂停进入委托人招标代理机构备选库一个月，第三次取消当年度进入委托人招标代理机构备选库资格：</w:t>
      </w:r>
    </w:p>
    <w:p>
      <w:pPr>
        <w:spacing w:line="400" w:lineRule="exact"/>
        <w:ind w:firstLine="440" w:firstLineChars="200"/>
        <w:rPr>
          <w:rFonts w:ascii="宋体" w:hAnsi="宋体"/>
          <w:snapToGrid w:val="0"/>
          <w:kern w:val="0"/>
          <w:sz w:val="22"/>
        </w:rPr>
      </w:pPr>
      <w:r>
        <w:rPr>
          <w:rFonts w:hint="eastAsia" w:ascii="宋体" w:hAnsi="宋体"/>
          <w:snapToGrid w:val="0"/>
          <w:kern w:val="0"/>
          <w:sz w:val="22"/>
        </w:rPr>
        <w:t>（一）招标公告、招标文件、预审文件等出现明显的低级失误；</w:t>
      </w:r>
    </w:p>
    <w:p>
      <w:pPr>
        <w:spacing w:line="400" w:lineRule="exact"/>
        <w:ind w:firstLine="440" w:firstLineChars="200"/>
        <w:rPr>
          <w:rFonts w:ascii="宋体" w:hAnsi="宋体"/>
          <w:snapToGrid w:val="0"/>
          <w:kern w:val="0"/>
          <w:sz w:val="22"/>
        </w:rPr>
      </w:pPr>
      <w:r>
        <w:rPr>
          <w:rFonts w:hint="eastAsia" w:ascii="宋体" w:hAnsi="宋体"/>
          <w:snapToGrid w:val="0"/>
          <w:kern w:val="0"/>
          <w:sz w:val="22"/>
        </w:rPr>
        <w:t>（二）拒绝或懈怠履行所承诺提供的额外服务；</w:t>
      </w:r>
    </w:p>
    <w:p>
      <w:pPr>
        <w:spacing w:line="400" w:lineRule="exact"/>
        <w:ind w:firstLine="440" w:firstLineChars="200"/>
        <w:rPr>
          <w:rFonts w:ascii="宋体" w:hAnsi="宋体"/>
          <w:snapToGrid w:val="0"/>
          <w:kern w:val="0"/>
          <w:sz w:val="22"/>
        </w:rPr>
      </w:pPr>
      <w:r>
        <w:rPr>
          <w:rFonts w:hint="eastAsia" w:ascii="宋体" w:hAnsi="宋体"/>
          <w:snapToGrid w:val="0"/>
          <w:kern w:val="0"/>
          <w:sz w:val="22"/>
        </w:rPr>
        <w:t>（三）未按时移交招投标相关资料或移交的资料不齐全。</w:t>
      </w:r>
    </w:p>
    <w:p>
      <w:pPr>
        <w:spacing w:line="400" w:lineRule="exact"/>
        <w:ind w:firstLine="440" w:firstLineChars="200"/>
        <w:rPr>
          <w:rFonts w:ascii="宋体" w:hAnsi="宋体"/>
          <w:snapToGrid w:val="0"/>
          <w:kern w:val="0"/>
          <w:sz w:val="22"/>
        </w:rPr>
      </w:pPr>
      <w:r>
        <w:rPr>
          <w:rFonts w:hint="eastAsia" w:ascii="宋体" w:hAnsi="宋体"/>
          <w:snapToGrid w:val="0"/>
          <w:kern w:val="0"/>
          <w:sz w:val="22"/>
        </w:rPr>
        <w:t>7</w:t>
      </w:r>
      <w:r>
        <w:rPr>
          <w:rFonts w:ascii="宋体" w:hAnsi="宋体"/>
          <w:snapToGrid w:val="0"/>
          <w:kern w:val="0"/>
          <w:sz w:val="22"/>
        </w:rPr>
        <w:t>、</w:t>
      </w:r>
      <w:r>
        <w:rPr>
          <w:rFonts w:hint="eastAsia" w:ascii="宋体" w:hAnsi="宋体"/>
          <w:snapToGrid w:val="0"/>
          <w:kern w:val="0"/>
          <w:sz w:val="22"/>
        </w:rPr>
        <w:t>委托人无正当理由擅自解除本协议的，应向受托人支付违约金1万元，并退还履约保证金。除非发生法定的受托人有权利解除本合同的情形，受托人不得解除本协议，擅自解除本协议的，委托人有权拒绝支付本协议项下的代理费用并不予退还受托人的履约保证金。</w:t>
      </w:r>
    </w:p>
    <w:p>
      <w:pPr>
        <w:spacing w:line="400" w:lineRule="exact"/>
        <w:ind w:firstLine="440" w:firstLineChars="200"/>
        <w:rPr>
          <w:rFonts w:ascii="宋体" w:hAnsi="宋体"/>
          <w:snapToGrid w:val="0"/>
          <w:kern w:val="0"/>
          <w:sz w:val="22"/>
        </w:rPr>
      </w:pPr>
      <w:r>
        <w:rPr>
          <w:rFonts w:hint="eastAsia" w:ascii="宋体" w:hAnsi="宋体"/>
          <w:snapToGrid w:val="0"/>
          <w:kern w:val="0"/>
          <w:sz w:val="22"/>
        </w:rPr>
        <w:t>8</w:t>
      </w:r>
      <w:r>
        <w:rPr>
          <w:rFonts w:ascii="宋体" w:hAnsi="宋体"/>
          <w:snapToGrid w:val="0"/>
          <w:kern w:val="0"/>
          <w:sz w:val="22"/>
        </w:rPr>
        <w:t>、</w:t>
      </w:r>
      <w:r>
        <w:rPr>
          <w:rFonts w:hint="eastAsia" w:ascii="宋体" w:hAnsi="宋体"/>
          <w:snapToGrid w:val="0"/>
          <w:kern w:val="0"/>
          <w:sz w:val="22"/>
        </w:rPr>
        <w:t>受托人及其人员违反法律法规应当行政处罚的，视情节轻重移交有关职能部门处理；构成犯罪的，由司法机关追究其刑事责任。</w:t>
      </w:r>
    </w:p>
    <w:p>
      <w:pPr>
        <w:spacing w:line="400" w:lineRule="exact"/>
        <w:ind w:firstLine="440" w:firstLineChars="200"/>
        <w:rPr>
          <w:rFonts w:ascii="宋体" w:hAnsi="宋体"/>
          <w:snapToGrid w:val="0"/>
          <w:kern w:val="0"/>
          <w:sz w:val="22"/>
        </w:rPr>
      </w:pPr>
      <w:r>
        <w:rPr>
          <w:rFonts w:hint="eastAsia" w:ascii="宋体" w:hAnsi="宋体"/>
          <w:snapToGrid w:val="0"/>
          <w:kern w:val="0"/>
          <w:sz w:val="22"/>
        </w:rPr>
        <w:t>9、除本协议另有规定外，根据本协议约定守约方向违约方支付的违约金、赔偿金或不予退还的履约保证金不足以弥补守约方遭受的全部损失的，违约方应就守约方遭受的全部损失承担赔偿责任。</w:t>
      </w:r>
    </w:p>
    <w:p>
      <w:pPr>
        <w:spacing w:line="400" w:lineRule="exact"/>
        <w:ind w:firstLine="440" w:firstLineChars="200"/>
        <w:rPr>
          <w:rFonts w:ascii="宋体" w:hAnsi="宋体"/>
          <w:snapToGrid w:val="0"/>
          <w:kern w:val="0"/>
          <w:sz w:val="22"/>
        </w:rPr>
      </w:pPr>
      <w:r>
        <w:rPr>
          <w:rFonts w:hint="eastAsia" w:ascii="宋体" w:hAnsi="宋体"/>
          <w:snapToGrid w:val="0"/>
          <w:kern w:val="0"/>
          <w:sz w:val="22"/>
        </w:rPr>
        <w:t>10</w:t>
      </w:r>
      <w:r>
        <w:rPr>
          <w:rFonts w:ascii="宋体" w:hAnsi="宋体"/>
          <w:snapToGrid w:val="0"/>
          <w:kern w:val="0"/>
          <w:sz w:val="22"/>
        </w:rPr>
        <w:t>、受托方应在代理服务过程中遵守包括招投标相关法律，诚实守信，勤勉尽责，保守委托方的商业秘密和维护委托方的知识产权，违反本协议的，应承担赔偿责任。</w:t>
      </w:r>
    </w:p>
    <w:p>
      <w:pPr>
        <w:spacing w:line="400" w:lineRule="exact"/>
        <w:ind w:firstLine="440" w:firstLineChars="200"/>
        <w:rPr>
          <w:rFonts w:ascii="宋体" w:hAnsi="宋体" w:cs="Arial"/>
          <w:sz w:val="22"/>
        </w:rPr>
      </w:pPr>
      <w:r>
        <w:rPr>
          <w:rFonts w:hint="eastAsia" w:ascii="宋体" w:hAnsi="宋体"/>
          <w:snapToGrid w:val="0"/>
          <w:kern w:val="0"/>
          <w:sz w:val="22"/>
        </w:rPr>
        <w:t>11、本合同履行中，因承包人违约，发包人扣除全部或部分履约金的，则自发包人书面通知之</w:t>
      </w:r>
      <w:r>
        <w:rPr>
          <w:rFonts w:hint="eastAsia" w:ascii="宋体" w:hAnsi="宋体" w:cs="Arial"/>
          <w:sz w:val="22"/>
        </w:rPr>
        <w:t>日起</w:t>
      </w:r>
      <w:r>
        <w:rPr>
          <w:rFonts w:ascii="宋体" w:hAnsi="宋体" w:cs="Arial"/>
          <w:sz w:val="22"/>
        </w:rPr>
        <w:t>5日内，承包人应以转账支票、银行汇票或电汇方式向发包人补足该履约保证金；逾期补足的，承包人应向发包人按未补足金额的千分之一每日计付违约金。</w:t>
      </w:r>
    </w:p>
    <w:p>
      <w:pPr>
        <w:adjustRightInd w:val="0"/>
        <w:snapToGrid w:val="0"/>
        <w:spacing w:line="400" w:lineRule="exact"/>
        <w:ind w:firstLine="440" w:firstLineChars="200"/>
        <w:rPr>
          <w:rFonts w:hint="eastAsia" w:ascii="宋体" w:hAnsi="宋体" w:cs="Calibri"/>
          <w:color w:val="000000"/>
          <w:sz w:val="22"/>
        </w:rPr>
      </w:pPr>
      <w:r>
        <w:rPr>
          <w:rFonts w:hint="eastAsia" w:ascii="宋体" w:hAnsi="宋体" w:cs="Arial"/>
          <w:sz w:val="22"/>
        </w:rPr>
        <w:t>12、</w:t>
      </w:r>
      <w:r>
        <w:rPr>
          <w:rFonts w:ascii="Microsoft YaHei,Segoe UI Emoji" w:hAnsi="Microsoft YaHei,Segoe UI Emoji"/>
          <w:color w:val="000000"/>
          <w:szCs w:val="21"/>
        </w:rPr>
        <w:t>若经</w:t>
      </w:r>
      <w:r>
        <w:rPr>
          <w:rFonts w:hint="eastAsia" w:ascii="Microsoft YaHei,Segoe UI Emoji" w:hAnsi="Microsoft YaHei,Segoe UI Emoji"/>
          <w:color w:val="000000"/>
          <w:szCs w:val="21"/>
        </w:rPr>
        <w:t>受托人</w:t>
      </w:r>
      <w:r>
        <w:rPr>
          <w:rFonts w:ascii="Microsoft YaHei,Segoe UI Emoji" w:hAnsi="Microsoft YaHei,Segoe UI Emoji"/>
          <w:color w:val="000000"/>
          <w:szCs w:val="21"/>
        </w:rPr>
        <w:t>招标的项目，未按照</w:t>
      </w:r>
      <w:r>
        <w:rPr>
          <w:rFonts w:hint="eastAsia" w:ascii="Microsoft YaHei,Segoe UI Emoji" w:hAnsi="Microsoft YaHei,Segoe UI Emoji"/>
          <w:color w:val="000000"/>
          <w:szCs w:val="21"/>
        </w:rPr>
        <w:t>委托人</w:t>
      </w:r>
      <w:r>
        <w:rPr>
          <w:rFonts w:ascii="Microsoft YaHei,Segoe UI Emoji" w:hAnsi="Microsoft YaHei,Segoe UI Emoji"/>
          <w:color w:val="000000"/>
          <w:szCs w:val="21"/>
        </w:rPr>
        <w:t>要求确认合同条款并出具书面承诺，</w:t>
      </w:r>
      <w:r>
        <w:rPr>
          <w:rFonts w:hint="eastAsia" w:ascii="Microsoft YaHei,Segoe UI Emoji" w:hAnsi="Microsoft YaHei,Segoe UI Emoji"/>
          <w:color w:val="000000"/>
          <w:szCs w:val="21"/>
        </w:rPr>
        <w:t>委托人</w:t>
      </w:r>
      <w:r>
        <w:rPr>
          <w:rFonts w:ascii="Microsoft YaHei,Segoe UI Emoji" w:hAnsi="Microsoft YaHei,Segoe UI Emoji"/>
          <w:color w:val="000000"/>
          <w:szCs w:val="21"/>
        </w:rPr>
        <w:t>发现一次，则扣除</w:t>
      </w:r>
      <w:r>
        <w:rPr>
          <w:rFonts w:hint="eastAsia" w:ascii="Microsoft YaHei,Segoe UI Emoji" w:hAnsi="Microsoft YaHei,Segoe UI Emoji"/>
          <w:color w:val="000000"/>
          <w:szCs w:val="21"/>
        </w:rPr>
        <w:t>受托人</w:t>
      </w:r>
      <w:r>
        <w:rPr>
          <w:rFonts w:ascii="Microsoft YaHei,Segoe UI Emoji" w:hAnsi="Microsoft YaHei,Segoe UI Emoji"/>
          <w:color w:val="000000"/>
          <w:szCs w:val="21"/>
        </w:rPr>
        <w:t>10%的履约保证金，若发现三次（含第三次），则</w:t>
      </w:r>
      <w:r>
        <w:rPr>
          <w:rFonts w:hint="eastAsia" w:ascii="Microsoft YaHei,Segoe UI Emoji" w:hAnsi="Microsoft YaHei,Segoe UI Emoji"/>
          <w:color w:val="000000"/>
          <w:szCs w:val="21"/>
        </w:rPr>
        <w:t>委托人</w:t>
      </w:r>
      <w:r>
        <w:rPr>
          <w:rFonts w:ascii="Microsoft YaHei,Segoe UI Emoji" w:hAnsi="Microsoft YaHei,Segoe UI Emoji"/>
          <w:color w:val="000000"/>
          <w:szCs w:val="21"/>
        </w:rPr>
        <w:t>有权解除本合同，</w:t>
      </w:r>
      <w:r>
        <w:rPr>
          <w:rFonts w:hint="eastAsia" w:ascii="Microsoft YaHei,Segoe UI Emoji" w:hAnsi="Microsoft YaHei,Segoe UI Emoji"/>
          <w:color w:val="000000"/>
          <w:szCs w:val="21"/>
        </w:rPr>
        <w:t>受托人</w:t>
      </w:r>
      <w:r>
        <w:rPr>
          <w:rFonts w:ascii="Microsoft YaHei,Segoe UI Emoji" w:hAnsi="Microsoft YaHei,Segoe UI Emoji"/>
          <w:color w:val="000000"/>
          <w:szCs w:val="21"/>
        </w:rPr>
        <w:t>缴纳的履约保证金全额不予以退还。</w:t>
      </w:r>
    </w:p>
    <w:p>
      <w:pPr>
        <w:spacing w:line="400" w:lineRule="exact"/>
        <w:ind w:firstLine="440" w:firstLineChars="200"/>
        <w:rPr>
          <w:rFonts w:ascii="宋体" w:hAnsi="宋体"/>
          <w:b/>
          <w:snapToGrid w:val="0"/>
          <w:kern w:val="0"/>
          <w:sz w:val="22"/>
        </w:rPr>
      </w:pPr>
      <w:r>
        <w:rPr>
          <w:rFonts w:hint="eastAsia" w:ascii="宋体" w:hAnsi="宋体"/>
          <w:b/>
          <w:snapToGrid w:val="0"/>
          <w:kern w:val="0"/>
          <w:sz w:val="22"/>
        </w:rPr>
        <w:t>第十二条  不可抗力</w:t>
      </w:r>
    </w:p>
    <w:p>
      <w:pPr>
        <w:spacing w:line="400" w:lineRule="exact"/>
        <w:ind w:firstLine="440" w:firstLineChars="200"/>
        <w:rPr>
          <w:rFonts w:ascii="宋体" w:hAnsi="宋体"/>
          <w:sz w:val="22"/>
        </w:rPr>
      </w:pPr>
      <w:r>
        <w:rPr>
          <w:rFonts w:hint="eastAsia" w:ascii="宋体" w:hAnsi="宋体"/>
          <w:sz w:val="22"/>
        </w:rPr>
        <w:t>1、“不可抗力”是指不能预见、不能避免并不能克服的客观情况，包括但不限于：天灾、水灾、地震或其他灾难，战争或暴乱，政府行为，以及其他在受影响的一方合理控制范围以外且经该方合理努力后也不能防止或避免的类似事件。“政府行为”是指国家依据法律、法规、规章或政策实施的强制行为，包括但不限于拆迁、征收、禁令，以及其他本合同当事方无法控制的且对合同履行有实质性影响的事件。</w:t>
      </w:r>
    </w:p>
    <w:p>
      <w:pPr>
        <w:spacing w:line="400" w:lineRule="exact"/>
        <w:ind w:firstLine="440" w:firstLineChars="200"/>
        <w:rPr>
          <w:rFonts w:ascii="宋体" w:hAnsi="宋体"/>
          <w:sz w:val="22"/>
        </w:rPr>
      </w:pPr>
      <w:r>
        <w:rPr>
          <w:rFonts w:hint="eastAsia" w:ascii="宋体" w:hAnsi="宋体"/>
          <w:sz w:val="22"/>
        </w:rPr>
        <w:t>2、由于不可抗力的原因而不能履行合同或延迟履行合同的一方可视不可抗力的实际影响免除部分或全部违约责任。但受不可抗力或政府行为影响的一方应在通知可能的情况下立即通知对方,并在不可抗力发生后15天内特快专递邮寄相关的主管部门签发的证明文件,以便对方审查、确认。</w:t>
      </w:r>
    </w:p>
    <w:p>
      <w:pPr>
        <w:spacing w:line="400" w:lineRule="exact"/>
        <w:ind w:firstLine="440" w:firstLineChars="200"/>
        <w:rPr>
          <w:rFonts w:ascii="宋体" w:hAnsi="宋体"/>
          <w:sz w:val="22"/>
        </w:rPr>
      </w:pPr>
      <w:r>
        <w:rPr>
          <w:rFonts w:hint="eastAsia" w:ascii="宋体" w:hAnsi="宋体"/>
          <w:sz w:val="22"/>
        </w:rPr>
        <w:t>3、发生不可抗力事件终止或消除后，受不可抗力影响的一方，应立即通知对方, 发生不可抗力事件终止或消除后15天内特快专递邮寄相关的主管部门签发的证明文件确认不可抗力或政府行为事件的终止或消除。</w:t>
      </w:r>
    </w:p>
    <w:p>
      <w:pPr>
        <w:spacing w:line="400" w:lineRule="exact"/>
        <w:ind w:firstLine="440" w:firstLineChars="200"/>
        <w:rPr>
          <w:rFonts w:ascii="宋体" w:hAnsi="宋体"/>
          <w:sz w:val="22"/>
        </w:rPr>
      </w:pPr>
      <w:r>
        <w:rPr>
          <w:rFonts w:hint="eastAsia" w:ascii="宋体" w:hAnsi="宋体"/>
          <w:sz w:val="22"/>
        </w:rPr>
        <w:t>4、因不可抗力导致合同无法继续履行的，双方可以解除本合同，互不承担责任。</w:t>
      </w:r>
    </w:p>
    <w:p>
      <w:pPr>
        <w:spacing w:line="400" w:lineRule="exact"/>
        <w:ind w:firstLine="440" w:firstLineChars="200"/>
        <w:rPr>
          <w:rFonts w:hint="eastAsia" w:ascii="宋体" w:hAnsi="宋体"/>
          <w:snapToGrid w:val="0"/>
          <w:kern w:val="0"/>
          <w:sz w:val="22"/>
        </w:rPr>
      </w:pPr>
      <w:r>
        <w:rPr>
          <w:rFonts w:hint="eastAsia" w:ascii="宋体" w:hAnsi="宋体"/>
          <w:sz w:val="22"/>
        </w:rPr>
        <w:t>5、</w:t>
      </w:r>
      <w:r>
        <w:rPr>
          <w:rFonts w:ascii="Microsoft YaHei,Segoe UI Emoji" w:hAnsi="Microsoft YaHei,Segoe UI Emoji"/>
          <w:color w:val="000000"/>
          <w:szCs w:val="21"/>
        </w:rPr>
        <w:t>甲方有权因自身管理模式或者组织结构调整等原因而提前解除合同，乙方承诺接受并不提出任何异议，且甲方不向乙方承担任何违约责</w:t>
      </w:r>
      <w:r>
        <w:rPr>
          <w:rFonts w:hint="eastAsia" w:ascii="Microsoft YaHei,Segoe UI Emoji" w:hAnsi="Microsoft YaHei,Segoe UI Emoji"/>
          <w:color w:val="000000"/>
          <w:szCs w:val="21"/>
        </w:rPr>
        <w:t>任</w:t>
      </w:r>
      <w:r>
        <w:rPr>
          <w:rFonts w:ascii="Microsoft YaHei,Segoe UI Emoji" w:hAnsi="Microsoft YaHei,Segoe UI Emoji"/>
          <w:color w:val="000000"/>
          <w:szCs w:val="21"/>
        </w:rPr>
        <w:t>。</w:t>
      </w:r>
    </w:p>
    <w:p>
      <w:pPr>
        <w:spacing w:line="400" w:lineRule="exact"/>
        <w:ind w:firstLine="440" w:firstLineChars="200"/>
        <w:rPr>
          <w:rFonts w:ascii="宋体" w:hAnsi="宋体"/>
          <w:b/>
          <w:snapToGrid w:val="0"/>
          <w:kern w:val="0"/>
          <w:sz w:val="22"/>
        </w:rPr>
      </w:pPr>
      <w:r>
        <w:rPr>
          <w:rFonts w:hint="eastAsia" w:ascii="宋体" w:hAnsi="宋体"/>
          <w:b/>
          <w:snapToGrid w:val="0"/>
          <w:kern w:val="0"/>
          <w:sz w:val="22"/>
        </w:rPr>
        <w:t>第十三条  附则</w:t>
      </w:r>
    </w:p>
    <w:p>
      <w:pPr>
        <w:spacing w:line="400" w:lineRule="exact"/>
        <w:ind w:firstLine="440" w:firstLineChars="200"/>
        <w:rPr>
          <w:rFonts w:ascii="宋体" w:hAnsi="宋体"/>
          <w:snapToGrid w:val="0"/>
          <w:kern w:val="0"/>
          <w:sz w:val="22"/>
        </w:rPr>
      </w:pPr>
      <w:r>
        <w:rPr>
          <w:rFonts w:hint="eastAsia" w:ascii="宋体" w:hAnsi="宋体"/>
          <w:snapToGrid w:val="0"/>
          <w:kern w:val="0"/>
          <w:sz w:val="22"/>
        </w:rPr>
        <w:t>1、在合同实施过程中，合同双方一切联系均以书面通知为准，特殊情况可先口头通知并即补书面通知。双方共同签署的有关文件，属于合同的补充文件。未作特殊约定的，通讯地址为本合同首部载明的地址。</w:t>
      </w:r>
    </w:p>
    <w:p>
      <w:pPr>
        <w:spacing w:line="400" w:lineRule="exact"/>
        <w:ind w:firstLine="440" w:firstLineChars="200"/>
        <w:rPr>
          <w:rFonts w:ascii="宋体" w:hAnsi="宋体"/>
          <w:snapToGrid w:val="0"/>
          <w:kern w:val="0"/>
          <w:sz w:val="22"/>
        </w:rPr>
      </w:pPr>
      <w:r>
        <w:rPr>
          <w:rFonts w:hint="eastAsia" w:ascii="宋体" w:hAnsi="宋体"/>
          <w:snapToGrid w:val="0"/>
          <w:kern w:val="0"/>
          <w:sz w:val="22"/>
        </w:rPr>
        <w:t>除非有相反证据，送达时间以下列规定为准：</w:t>
      </w:r>
    </w:p>
    <w:p>
      <w:pPr>
        <w:spacing w:line="400" w:lineRule="exact"/>
        <w:ind w:firstLine="440" w:firstLineChars="200"/>
        <w:rPr>
          <w:rFonts w:ascii="宋体" w:hAnsi="宋体"/>
          <w:snapToGrid w:val="0"/>
          <w:kern w:val="0"/>
          <w:sz w:val="22"/>
        </w:rPr>
      </w:pPr>
      <w:r>
        <w:rPr>
          <w:rFonts w:hint="eastAsia" w:ascii="宋体" w:hAnsi="宋体"/>
          <w:snapToGrid w:val="0"/>
          <w:kern w:val="0"/>
          <w:sz w:val="22"/>
        </w:rPr>
        <w:t>（1）专人交付之日视为送达之日；</w:t>
      </w:r>
    </w:p>
    <w:p>
      <w:pPr>
        <w:spacing w:line="400" w:lineRule="exact"/>
        <w:ind w:firstLine="440" w:firstLineChars="200"/>
        <w:rPr>
          <w:rFonts w:ascii="宋体" w:hAnsi="宋体"/>
          <w:snapToGrid w:val="0"/>
          <w:kern w:val="0"/>
          <w:sz w:val="22"/>
        </w:rPr>
      </w:pPr>
      <w:r>
        <w:rPr>
          <w:rFonts w:hint="eastAsia" w:ascii="宋体" w:hAnsi="宋体"/>
          <w:snapToGrid w:val="0"/>
          <w:kern w:val="0"/>
          <w:sz w:val="22"/>
        </w:rPr>
        <w:t>（2）邮递以邮政部门可以证明的收到日视为送达之日；</w:t>
      </w:r>
    </w:p>
    <w:p>
      <w:pPr>
        <w:spacing w:line="400" w:lineRule="exact"/>
        <w:ind w:firstLine="440" w:firstLineChars="200"/>
        <w:rPr>
          <w:rFonts w:ascii="宋体" w:hAnsi="宋体"/>
          <w:snapToGrid w:val="0"/>
          <w:kern w:val="0"/>
          <w:sz w:val="22"/>
        </w:rPr>
      </w:pPr>
      <w:r>
        <w:rPr>
          <w:rFonts w:hint="eastAsia" w:ascii="宋体" w:hAnsi="宋体"/>
          <w:snapToGrid w:val="0"/>
          <w:kern w:val="0"/>
          <w:sz w:val="22"/>
        </w:rPr>
        <w:t>（3）传真以顺利发出当天后的第一个工作日视为送达之日。</w:t>
      </w:r>
    </w:p>
    <w:p>
      <w:pPr>
        <w:spacing w:line="400" w:lineRule="exact"/>
        <w:ind w:firstLine="440" w:firstLineChars="200"/>
        <w:rPr>
          <w:rFonts w:ascii="宋体" w:hAnsi="宋体"/>
          <w:snapToGrid w:val="0"/>
          <w:kern w:val="0"/>
          <w:sz w:val="22"/>
        </w:rPr>
      </w:pPr>
      <w:r>
        <w:rPr>
          <w:rFonts w:hint="eastAsia" w:ascii="宋体" w:hAnsi="宋体"/>
          <w:snapToGrid w:val="0"/>
          <w:kern w:val="0"/>
          <w:sz w:val="22"/>
        </w:rPr>
        <w:t>2、除国家法律本身明确规定外，新立法或法律变更对本合同无追溯力。本合同可根据新立法或法律变更进行修改与补充，但必须采用书面形式提出修改意向并经双方签字同意后执行。</w:t>
      </w:r>
    </w:p>
    <w:p>
      <w:pPr>
        <w:spacing w:line="400" w:lineRule="exact"/>
        <w:ind w:firstLine="376" w:firstLineChars="171"/>
        <w:rPr>
          <w:rFonts w:ascii="宋体" w:hAnsi="宋体"/>
          <w:sz w:val="22"/>
        </w:rPr>
      </w:pPr>
      <w:r>
        <w:rPr>
          <w:rFonts w:hint="eastAsia" w:ascii="宋体" w:hAnsi="宋体"/>
          <w:snapToGrid w:val="0"/>
          <w:kern w:val="0"/>
          <w:sz w:val="22"/>
        </w:rPr>
        <w:t>3、本合同执行过程中发生争议，双方应协商解决，协商不成时，</w:t>
      </w:r>
      <w:r>
        <w:rPr>
          <w:rFonts w:hint="eastAsia" w:ascii="宋体" w:hAnsi="宋体"/>
          <w:sz w:val="22"/>
        </w:rPr>
        <w:t>依法向委托方所在地人民法院提起诉讼。</w:t>
      </w:r>
    </w:p>
    <w:p>
      <w:pPr>
        <w:spacing w:line="400" w:lineRule="exact"/>
        <w:ind w:firstLine="440" w:firstLineChars="200"/>
        <w:rPr>
          <w:rFonts w:ascii="宋体" w:hAnsi="宋体"/>
          <w:snapToGrid w:val="0"/>
          <w:kern w:val="0"/>
          <w:sz w:val="22"/>
        </w:rPr>
      </w:pPr>
      <w:r>
        <w:rPr>
          <w:rFonts w:hint="eastAsia" w:ascii="宋体" w:hAnsi="宋体"/>
          <w:snapToGrid w:val="0"/>
          <w:kern w:val="0"/>
          <w:sz w:val="22"/>
        </w:rPr>
        <w:t>4、本合同一式陆份，双方各执叁份，具有同等法律效力。</w:t>
      </w:r>
    </w:p>
    <w:p>
      <w:pPr>
        <w:spacing w:line="400" w:lineRule="exact"/>
        <w:ind w:firstLine="440" w:firstLineChars="200"/>
        <w:rPr>
          <w:rFonts w:ascii="宋体" w:hAnsi="宋体"/>
          <w:snapToGrid w:val="0"/>
          <w:kern w:val="0"/>
          <w:sz w:val="22"/>
        </w:rPr>
      </w:pPr>
      <w:r>
        <w:rPr>
          <w:rFonts w:hint="eastAsia" w:ascii="宋体" w:hAnsi="宋体"/>
          <w:snapToGrid w:val="0"/>
          <w:kern w:val="0"/>
          <w:sz w:val="22"/>
        </w:rPr>
        <w:t>5、本合同自双方法定代表人或者委托代理人签字盖章之日起生效。</w:t>
      </w:r>
    </w:p>
    <w:p>
      <w:pPr>
        <w:spacing w:line="400" w:lineRule="exact"/>
        <w:ind w:firstLine="440" w:firstLineChars="200"/>
        <w:rPr>
          <w:rFonts w:ascii="宋体" w:hAnsi="宋体"/>
          <w:snapToGrid w:val="0"/>
          <w:kern w:val="0"/>
          <w:sz w:val="22"/>
        </w:rPr>
      </w:pPr>
    </w:p>
    <w:p>
      <w:pPr>
        <w:spacing w:line="400" w:lineRule="exact"/>
        <w:ind w:firstLine="440" w:firstLineChars="200"/>
        <w:rPr>
          <w:rFonts w:hint="eastAsia" w:ascii="宋体" w:hAnsi="宋体"/>
          <w:snapToGrid w:val="0"/>
          <w:kern w:val="0"/>
          <w:sz w:val="22"/>
        </w:rPr>
      </w:pPr>
      <w:r>
        <w:rPr>
          <w:rFonts w:hint="eastAsia" w:ascii="宋体" w:hAnsi="宋体"/>
          <w:snapToGrid w:val="0"/>
          <w:kern w:val="0"/>
          <w:sz w:val="22"/>
        </w:rPr>
        <w:t>委托人（盖章）：                      受托人（盖章）：</w:t>
      </w:r>
    </w:p>
    <w:p>
      <w:pPr>
        <w:spacing w:line="400" w:lineRule="exact"/>
        <w:ind w:firstLine="440" w:firstLineChars="200"/>
        <w:rPr>
          <w:rFonts w:hint="eastAsia" w:ascii="宋体" w:hAnsi="宋体"/>
          <w:snapToGrid w:val="0"/>
          <w:kern w:val="0"/>
          <w:sz w:val="22"/>
        </w:rPr>
      </w:pPr>
      <w:r>
        <w:rPr>
          <w:rFonts w:hint="eastAsia" w:ascii="宋体" w:hAnsi="宋体"/>
          <w:snapToGrid w:val="0"/>
          <w:kern w:val="0"/>
          <w:sz w:val="22"/>
        </w:rPr>
        <w:t>法定代表人（签字或盖章）：            法定代表人（签字或盖章）：</w:t>
      </w:r>
    </w:p>
    <w:p>
      <w:pPr>
        <w:spacing w:line="400" w:lineRule="exact"/>
        <w:ind w:firstLine="440" w:firstLineChars="200"/>
        <w:rPr>
          <w:rFonts w:hint="eastAsia" w:ascii="宋体" w:hAnsi="宋体"/>
          <w:snapToGrid w:val="0"/>
          <w:kern w:val="0"/>
          <w:sz w:val="22"/>
        </w:rPr>
      </w:pPr>
      <w:r>
        <w:rPr>
          <w:rFonts w:hint="eastAsia" w:ascii="宋体" w:hAnsi="宋体"/>
          <w:snapToGrid w:val="0"/>
          <w:kern w:val="0"/>
          <w:sz w:val="22"/>
        </w:rPr>
        <w:t>授权代理人（签字或盖章）：            授权代理人（签字或盖章）：</w:t>
      </w:r>
    </w:p>
    <w:p>
      <w:pPr>
        <w:spacing w:line="400" w:lineRule="exact"/>
        <w:ind w:firstLine="440" w:firstLineChars="200"/>
        <w:rPr>
          <w:rFonts w:hint="eastAsia" w:ascii="宋体" w:hAnsi="宋体"/>
          <w:snapToGrid w:val="0"/>
          <w:kern w:val="0"/>
          <w:sz w:val="22"/>
        </w:rPr>
      </w:pPr>
      <w:r>
        <w:rPr>
          <w:rFonts w:hint="eastAsia" w:ascii="宋体" w:hAnsi="宋体"/>
          <w:snapToGrid w:val="0"/>
          <w:kern w:val="0"/>
          <w:sz w:val="22"/>
        </w:rPr>
        <w:t>单位地址：                            单位地址：</w:t>
      </w:r>
    </w:p>
    <w:p>
      <w:pPr>
        <w:spacing w:line="400" w:lineRule="exact"/>
        <w:ind w:firstLine="440" w:firstLineChars="200"/>
        <w:rPr>
          <w:rFonts w:hint="eastAsia" w:ascii="宋体" w:hAnsi="宋体"/>
          <w:snapToGrid w:val="0"/>
          <w:kern w:val="0"/>
          <w:sz w:val="22"/>
        </w:rPr>
      </w:pPr>
      <w:r>
        <w:rPr>
          <w:rFonts w:hint="eastAsia" w:ascii="宋体" w:hAnsi="宋体"/>
          <w:snapToGrid w:val="0"/>
          <w:kern w:val="0"/>
          <w:sz w:val="22"/>
        </w:rPr>
        <w:t>邮政编码：                            邮政编码：</w:t>
      </w:r>
    </w:p>
    <w:p>
      <w:pPr>
        <w:spacing w:line="400" w:lineRule="exact"/>
        <w:ind w:firstLine="440" w:firstLineChars="200"/>
        <w:rPr>
          <w:rFonts w:hint="eastAsia" w:ascii="宋体" w:hAnsi="宋体"/>
          <w:snapToGrid w:val="0"/>
          <w:kern w:val="0"/>
          <w:sz w:val="22"/>
        </w:rPr>
      </w:pPr>
      <w:r>
        <w:rPr>
          <w:rFonts w:hint="eastAsia" w:ascii="宋体" w:hAnsi="宋体"/>
          <w:snapToGrid w:val="0"/>
          <w:kern w:val="0"/>
          <w:sz w:val="22"/>
        </w:rPr>
        <w:t>联系电话：                            联系电话：</w:t>
      </w:r>
    </w:p>
    <w:p>
      <w:pPr>
        <w:spacing w:line="400" w:lineRule="exact"/>
        <w:ind w:firstLine="440" w:firstLineChars="200"/>
        <w:rPr>
          <w:rFonts w:hint="eastAsia" w:ascii="宋体" w:hAnsi="宋体"/>
          <w:snapToGrid w:val="0"/>
          <w:kern w:val="0"/>
          <w:sz w:val="22"/>
        </w:rPr>
      </w:pPr>
      <w:r>
        <w:rPr>
          <w:rFonts w:hint="eastAsia" w:ascii="宋体" w:hAnsi="宋体"/>
          <w:snapToGrid w:val="0"/>
          <w:kern w:val="0"/>
          <w:sz w:val="22"/>
        </w:rPr>
        <w:t>传    真：                            传    真：</w:t>
      </w:r>
    </w:p>
    <w:p>
      <w:pPr>
        <w:spacing w:line="400" w:lineRule="exact"/>
        <w:ind w:firstLine="440" w:firstLineChars="200"/>
        <w:rPr>
          <w:rFonts w:hint="eastAsia" w:ascii="宋体" w:hAnsi="宋体"/>
          <w:snapToGrid w:val="0"/>
          <w:kern w:val="0"/>
          <w:sz w:val="22"/>
        </w:rPr>
      </w:pPr>
      <w:r>
        <w:rPr>
          <w:rFonts w:hint="eastAsia" w:ascii="宋体" w:hAnsi="宋体"/>
          <w:snapToGrid w:val="0"/>
          <w:kern w:val="0"/>
          <w:sz w:val="22"/>
        </w:rPr>
        <w:t>电子信箱：                            电子信箱：</w:t>
      </w:r>
    </w:p>
    <w:p>
      <w:pPr>
        <w:spacing w:line="400" w:lineRule="exact"/>
        <w:ind w:firstLine="440" w:firstLineChars="200"/>
        <w:rPr>
          <w:rFonts w:hint="eastAsia" w:ascii="宋体" w:hAnsi="宋体"/>
          <w:snapToGrid w:val="0"/>
          <w:kern w:val="0"/>
          <w:sz w:val="22"/>
        </w:rPr>
      </w:pPr>
      <w:r>
        <w:rPr>
          <w:rFonts w:hint="eastAsia" w:ascii="宋体" w:hAnsi="宋体"/>
          <w:snapToGrid w:val="0"/>
          <w:kern w:val="0"/>
          <w:sz w:val="22"/>
        </w:rPr>
        <w:t>开户银行：                            开户银行：</w:t>
      </w:r>
    </w:p>
    <w:p>
      <w:pPr>
        <w:spacing w:line="400" w:lineRule="exact"/>
        <w:ind w:firstLine="440" w:firstLineChars="200"/>
        <w:rPr>
          <w:rFonts w:hint="eastAsia" w:ascii="宋体" w:hAnsi="宋体"/>
          <w:snapToGrid w:val="0"/>
          <w:kern w:val="0"/>
          <w:sz w:val="22"/>
        </w:rPr>
      </w:pPr>
      <w:r>
        <w:rPr>
          <w:rFonts w:hint="eastAsia" w:ascii="宋体" w:hAnsi="宋体"/>
          <w:snapToGrid w:val="0"/>
          <w:kern w:val="0"/>
          <w:sz w:val="22"/>
        </w:rPr>
        <w:t>帐    号：                            帐    号：</w:t>
      </w:r>
    </w:p>
    <w:p>
      <w:pPr>
        <w:spacing w:line="400" w:lineRule="exact"/>
        <w:ind w:firstLine="440" w:firstLineChars="200"/>
        <w:rPr>
          <w:rFonts w:ascii="宋体" w:hAnsi="宋体" w:cs="Calibri"/>
          <w:color w:val="000000"/>
          <w:sz w:val="22"/>
        </w:rPr>
      </w:pPr>
      <w:r>
        <w:rPr>
          <w:rFonts w:hint="eastAsia" w:ascii="宋体" w:hAnsi="宋体"/>
          <w:snapToGrid w:val="0"/>
          <w:kern w:val="0"/>
          <w:sz w:val="22"/>
        </w:rPr>
        <w:t>签订时间：</w:t>
      </w:r>
    </w:p>
    <w:p>
      <w:pPr>
        <w:rPr>
          <w:rFonts w:ascii="宋体" w:hAnsi="宋体"/>
          <w:szCs w:val="21"/>
        </w:rPr>
      </w:pPr>
    </w:p>
    <w:p>
      <w:pPr>
        <w:pStyle w:val="21"/>
        <w:spacing w:line="400" w:lineRule="exact"/>
        <w:ind w:firstLine="420"/>
        <w:rPr>
          <w:rFonts w:ascii="Calibri" w:hAnsi="Calibri" w:cs="Calibri"/>
          <w:bCs/>
          <w:szCs w:val="32"/>
        </w:rPr>
      </w:pPr>
    </w:p>
    <w:p>
      <w:pPr>
        <w:pStyle w:val="21"/>
        <w:spacing w:line="400" w:lineRule="exact"/>
        <w:ind w:firstLine="420"/>
        <w:rPr>
          <w:rFonts w:ascii="Calibri" w:hAnsi="Calibri" w:cs="Calibri"/>
          <w:bCs/>
          <w:szCs w:val="32"/>
        </w:rPr>
      </w:pPr>
    </w:p>
    <w:p>
      <w:pPr>
        <w:pStyle w:val="21"/>
        <w:spacing w:line="400" w:lineRule="exact"/>
        <w:ind w:firstLine="420"/>
        <w:rPr>
          <w:rFonts w:ascii="Calibri" w:hAnsi="Calibri" w:cs="Calibri"/>
          <w:bCs/>
          <w:szCs w:val="32"/>
        </w:rPr>
      </w:pPr>
    </w:p>
    <w:p>
      <w:pPr>
        <w:pStyle w:val="21"/>
        <w:spacing w:line="400" w:lineRule="exact"/>
        <w:ind w:firstLine="420"/>
        <w:rPr>
          <w:rFonts w:ascii="Calibri" w:hAnsi="Calibri" w:cs="Calibri"/>
          <w:bCs/>
          <w:szCs w:val="32"/>
        </w:rPr>
      </w:pPr>
    </w:p>
    <w:p>
      <w:pPr>
        <w:pStyle w:val="21"/>
        <w:spacing w:line="400" w:lineRule="exact"/>
        <w:ind w:firstLine="420"/>
        <w:rPr>
          <w:rFonts w:ascii="Calibri" w:hAnsi="Calibri" w:cs="Calibri"/>
          <w:bCs/>
          <w:szCs w:val="32"/>
        </w:rPr>
      </w:pPr>
    </w:p>
    <w:p>
      <w:pPr>
        <w:pStyle w:val="21"/>
        <w:spacing w:line="400" w:lineRule="exact"/>
        <w:ind w:firstLine="420"/>
        <w:rPr>
          <w:rFonts w:ascii="Calibri" w:hAnsi="Calibri" w:cs="Calibri"/>
          <w:bCs/>
          <w:szCs w:val="32"/>
        </w:rPr>
      </w:pPr>
    </w:p>
    <w:p>
      <w:pPr>
        <w:pStyle w:val="21"/>
        <w:spacing w:line="400" w:lineRule="exact"/>
        <w:ind w:firstLine="420"/>
        <w:rPr>
          <w:rFonts w:ascii="Calibri" w:hAnsi="Calibri" w:cs="Calibri"/>
          <w:bCs/>
          <w:szCs w:val="32"/>
        </w:rPr>
      </w:pPr>
    </w:p>
    <w:p>
      <w:pPr>
        <w:pStyle w:val="21"/>
        <w:spacing w:line="400" w:lineRule="exact"/>
        <w:ind w:firstLine="420"/>
        <w:rPr>
          <w:rFonts w:ascii="Calibri" w:hAnsi="Calibri" w:cs="Calibri"/>
          <w:bCs/>
          <w:szCs w:val="32"/>
        </w:rPr>
      </w:pPr>
    </w:p>
    <w:p>
      <w:pPr>
        <w:pStyle w:val="21"/>
        <w:spacing w:line="400" w:lineRule="exact"/>
        <w:ind w:firstLine="420"/>
        <w:rPr>
          <w:rFonts w:ascii="Calibri" w:hAnsi="Calibri" w:cs="Calibri"/>
          <w:bCs/>
          <w:szCs w:val="32"/>
        </w:rPr>
      </w:pPr>
    </w:p>
    <w:p>
      <w:pPr>
        <w:pStyle w:val="21"/>
        <w:spacing w:line="400" w:lineRule="exact"/>
        <w:ind w:firstLine="420"/>
        <w:rPr>
          <w:rFonts w:ascii="Calibri" w:hAnsi="Calibri" w:cs="Calibri"/>
          <w:bCs/>
          <w:szCs w:val="32"/>
        </w:rPr>
      </w:pPr>
    </w:p>
    <w:p>
      <w:pPr>
        <w:pStyle w:val="21"/>
        <w:spacing w:line="400" w:lineRule="exact"/>
        <w:ind w:firstLine="420"/>
        <w:rPr>
          <w:rFonts w:ascii="Calibri" w:hAnsi="Calibri" w:cs="Calibri"/>
          <w:bCs/>
          <w:szCs w:val="32"/>
        </w:rPr>
      </w:pPr>
    </w:p>
    <w:p>
      <w:pPr>
        <w:pStyle w:val="21"/>
        <w:spacing w:line="400" w:lineRule="exact"/>
        <w:ind w:firstLine="420"/>
        <w:rPr>
          <w:rFonts w:ascii="Calibri" w:hAnsi="Calibri" w:cs="Calibri"/>
          <w:bCs/>
          <w:szCs w:val="32"/>
        </w:rPr>
      </w:pPr>
    </w:p>
    <w:p>
      <w:pPr>
        <w:pStyle w:val="21"/>
        <w:spacing w:line="400" w:lineRule="exact"/>
        <w:ind w:firstLine="420"/>
        <w:rPr>
          <w:rFonts w:ascii="Calibri" w:hAnsi="Calibri" w:cs="Calibri"/>
          <w:bCs/>
          <w:szCs w:val="32"/>
        </w:rPr>
      </w:pPr>
    </w:p>
    <w:p>
      <w:pPr>
        <w:pStyle w:val="21"/>
        <w:spacing w:line="400" w:lineRule="exact"/>
        <w:ind w:firstLine="420"/>
        <w:rPr>
          <w:rFonts w:ascii="Calibri" w:hAnsi="Calibri" w:cs="Calibri"/>
          <w:bCs/>
          <w:szCs w:val="32"/>
        </w:rPr>
      </w:pPr>
    </w:p>
    <w:p>
      <w:pPr>
        <w:pStyle w:val="21"/>
        <w:spacing w:line="400" w:lineRule="exact"/>
        <w:ind w:firstLine="420"/>
        <w:rPr>
          <w:rFonts w:ascii="Calibri" w:hAnsi="Calibri" w:cs="Calibri"/>
          <w:bCs/>
          <w:szCs w:val="32"/>
        </w:rPr>
      </w:pPr>
    </w:p>
    <w:p>
      <w:pPr>
        <w:pStyle w:val="21"/>
        <w:spacing w:line="400" w:lineRule="exact"/>
        <w:ind w:firstLine="420"/>
        <w:rPr>
          <w:rFonts w:ascii="Calibri" w:hAnsi="Calibri" w:cs="Calibri"/>
          <w:bCs/>
          <w:szCs w:val="32"/>
        </w:rPr>
      </w:pPr>
    </w:p>
    <w:p>
      <w:pPr>
        <w:pStyle w:val="21"/>
        <w:spacing w:line="400" w:lineRule="exact"/>
        <w:ind w:firstLine="420"/>
        <w:rPr>
          <w:rFonts w:ascii="Calibri" w:hAnsi="Calibri" w:cs="Calibri"/>
          <w:bCs/>
          <w:szCs w:val="32"/>
        </w:rPr>
      </w:pPr>
    </w:p>
    <w:p>
      <w:pPr>
        <w:pStyle w:val="21"/>
        <w:spacing w:line="400" w:lineRule="exact"/>
        <w:ind w:firstLine="420"/>
        <w:rPr>
          <w:rFonts w:ascii="Calibri" w:hAnsi="Calibri" w:cs="Calibri"/>
          <w:bCs/>
          <w:szCs w:val="32"/>
        </w:rPr>
      </w:pPr>
    </w:p>
    <w:p>
      <w:pPr>
        <w:pStyle w:val="21"/>
        <w:spacing w:line="400" w:lineRule="exact"/>
        <w:ind w:firstLine="420"/>
        <w:rPr>
          <w:rFonts w:ascii="Calibri" w:hAnsi="Calibri" w:cs="Calibri"/>
          <w:bCs/>
          <w:szCs w:val="32"/>
        </w:rPr>
      </w:pPr>
    </w:p>
    <w:p>
      <w:pPr>
        <w:pStyle w:val="21"/>
        <w:spacing w:line="400" w:lineRule="exact"/>
        <w:rPr>
          <w:rFonts w:hint="eastAsia" w:ascii="Calibri" w:hAnsi="Calibri" w:cs="Calibri"/>
          <w:bCs/>
          <w:szCs w:val="32"/>
        </w:rPr>
      </w:pPr>
    </w:p>
    <w:p>
      <w:pPr>
        <w:spacing w:line="400" w:lineRule="exact"/>
        <w:ind w:firstLine="440" w:firstLineChars="200"/>
        <w:rPr>
          <w:rFonts w:ascii="宋体" w:hAnsi="宋体"/>
          <w:snapToGrid w:val="0"/>
          <w:kern w:val="0"/>
          <w:sz w:val="22"/>
        </w:rPr>
      </w:pPr>
      <w:r>
        <w:rPr>
          <w:rFonts w:hint="eastAsia" w:ascii="宋体" w:hAnsi="宋体"/>
          <w:snapToGrid w:val="0"/>
          <w:kern w:val="0"/>
          <w:sz w:val="22"/>
        </w:rPr>
        <w:t>附件1：</w:t>
      </w:r>
    </w:p>
    <w:p>
      <w:pPr>
        <w:spacing w:line="400" w:lineRule="exact"/>
        <w:ind w:firstLine="440" w:firstLineChars="200"/>
        <w:rPr>
          <w:rFonts w:ascii="宋体" w:hAnsi="宋体"/>
          <w:snapToGrid w:val="0"/>
          <w:kern w:val="0"/>
          <w:sz w:val="22"/>
        </w:rPr>
      </w:pPr>
    </w:p>
    <w:p>
      <w:pPr>
        <w:spacing w:line="400" w:lineRule="exact"/>
        <w:ind w:firstLine="440" w:firstLineChars="200"/>
        <w:jc w:val="center"/>
        <w:rPr>
          <w:rFonts w:ascii="宋体" w:hAnsi="宋体"/>
          <w:b/>
          <w:snapToGrid w:val="0"/>
          <w:kern w:val="0"/>
          <w:sz w:val="22"/>
        </w:rPr>
      </w:pPr>
      <w:r>
        <w:rPr>
          <w:rFonts w:hint="eastAsia" w:ascii="宋体" w:hAnsi="宋体"/>
          <w:b/>
          <w:snapToGrid w:val="0"/>
          <w:kern w:val="0"/>
          <w:sz w:val="22"/>
        </w:rPr>
        <w:t>浙江省机场集团有限公司廉洁自律承诺书</w:t>
      </w:r>
    </w:p>
    <w:p>
      <w:pPr>
        <w:spacing w:line="400" w:lineRule="exact"/>
        <w:ind w:firstLine="440" w:firstLineChars="200"/>
        <w:rPr>
          <w:rFonts w:ascii="宋体" w:hAnsi="宋体"/>
          <w:snapToGrid w:val="0"/>
          <w:kern w:val="0"/>
          <w:sz w:val="22"/>
        </w:rPr>
      </w:pPr>
    </w:p>
    <w:p>
      <w:pPr>
        <w:spacing w:line="400" w:lineRule="exact"/>
        <w:ind w:firstLine="440" w:firstLineChars="200"/>
        <w:rPr>
          <w:rFonts w:ascii="宋体" w:hAnsi="宋体"/>
          <w:snapToGrid w:val="0"/>
          <w:kern w:val="0"/>
          <w:sz w:val="22"/>
        </w:rPr>
      </w:pPr>
      <w:r>
        <w:rPr>
          <w:rFonts w:hint="eastAsia" w:ascii="宋体" w:hAnsi="宋体"/>
          <w:snapToGrid w:val="0"/>
          <w:kern w:val="0"/>
          <w:sz w:val="22"/>
        </w:rPr>
        <w:t>浙江省机场集团有限公司：</w:t>
      </w:r>
    </w:p>
    <w:p>
      <w:pPr>
        <w:spacing w:line="400" w:lineRule="exact"/>
        <w:ind w:firstLine="440" w:firstLineChars="200"/>
        <w:rPr>
          <w:rFonts w:ascii="宋体" w:hAnsi="宋体"/>
          <w:snapToGrid w:val="0"/>
          <w:kern w:val="0"/>
          <w:sz w:val="22"/>
        </w:rPr>
      </w:pPr>
      <w:r>
        <w:rPr>
          <w:rFonts w:hint="eastAsia" w:ascii="宋体" w:hAnsi="宋体"/>
          <w:snapToGrid w:val="0"/>
          <w:kern w:val="0"/>
          <w:sz w:val="22"/>
        </w:rPr>
        <w:t>我单位响应贵公司项目招标要求，参加项目投标。在投标过程中及中标后，我们将严格遵守国家法律法规和贵司招标文件要求，并郑重作出如下承诺和保证：</w:t>
      </w:r>
    </w:p>
    <w:p>
      <w:pPr>
        <w:spacing w:line="400" w:lineRule="exact"/>
        <w:ind w:firstLine="440" w:firstLineChars="200"/>
        <w:rPr>
          <w:rFonts w:ascii="宋体" w:hAnsi="宋体"/>
          <w:snapToGrid w:val="0"/>
          <w:kern w:val="0"/>
          <w:sz w:val="22"/>
        </w:rPr>
      </w:pPr>
      <w:r>
        <w:rPr>
          <w:rFonts w:hint="eastAsia" w:ascii="宋体" w:hAnsi="宋体"/>
          <w:snapToGrid w:val="0"/>
          <w:kern w:val="0"/>
          <w:sz w:val="22"/>
        </w:rPr>
        <w:t>一、不以任何形式，无论是主动或是被动的，向贵公司有关人员或贵公司聘请的包括但不限于项目设计、监理、招标代理、造价咨询、审计、评标专家、顾问等中介机构、第三方人员赠送无论有价或无价的礼金、礼物、酬金、或其它代币券、回扣、中介费、咨询费、好处费等利益、收益或条件；或就上述内容作出任何暗示、许诺、允诺；</w:t>
      </w:r>
    </w:p>
    <w:p>
      <w:pPr>
        <w:spacing w:line="400" w:lineRule="exact"/>
        <w:ind w:firstLine="440" w:firstLineChars="200"/>
        <w:rPr>
          <w:rFonts w:ascii="宋体" w:hAnsi="宋体"/>
          <w:snapToGrid w:val="0"/>
          <w:kern w:val="0"/>
          <w:sz w:val="22"/>
        </w:rPr>
      </w:pPr>
      <w:r>
        <w:rPr>
          <w:rFonts w:hint="eastAsia" w:ascii="宋体" w:hAnsi="宋体"/>
          <w:snapToGrid w:val="0"/>
          <w:kern w:val="0"/>
          <w:sz w:val="22"/>
        </w:rPr>
        <w:t>二、不以任何名义为贵公司有关人员或项目第三方人员报销应由贵公司或个人支付的费用；</w:t>
      </w:r>
    </w:p>
    <w:p>
      <w:pPr>
        <w:spacing w:line="400" w:lineRule="exact"/>
        <w:ind w:firstLine="440" w:firstLineChars="200"/>
        <w:rPr>
          <w:rFonts w:ascii="宋体" w:hAnsi="宋体"/>
          <w:snapToGrid w:val="0"/>
          <w:kern w:val="0"/>
          <w:sz w:val="22"/>
        </w:rPr>
      </w:pPr>
      <w:r>
        <w:rPr>
          <w:rFonts w:hint="eastAsia" w:ascii="宋体" w:hAnsi="宋体"/>
          <w:snapToGrid w:val="0"/>
          <w:kern w:val="0"/>
          <w:sz w:val="22"/>
        </w:rPr>
        <w:t>三、不向贵公司有关人员或项目第三方人员提供宴请、旅游、和健身娱乐等活动；</w:t>
      </w:r>
    </w:p>
    <w:p>
      <w:pPr>
        <w:spacing w:line="400" w:lineRule="exact"/>
        <w:ind w:firstLine="440" w:firstLineChars="200"/>
        <w:rPr>
          <w:rFonts w:ascii="宋体" w:hAnsi="宋体"/>
          <w:snapToGrid w:val="0"/>
          <w:kern w:val="0"/>
          <w:sz w:val="22"/>
        </w:rPr>
      </w:pPr>
      <w:r>
        <w:rPr>
          <w:rFonts w:hint="eastAsia" w:ascii="宋体" w:hAnsi="宋体"/>
          <w:snapToGrid w:val="0"/>
          <w:kern w:val="0"/>
          <w:sz w:val="22"/>
        </w:rPr>
        <w:t>四、不为贵公司有关人员或项目第三方人员出国（境）、旅游等提供方便；</w:t>
      </w:r>
    </w:p>
    <w:p>
      <w:pPr>
        <w:spacing w:line="400" w:lineRule="exact"/>
        <w:ind w:firstLine="440" w:firstLineChars="200"/>
        <w:rPr>
          <w:rFonts w:ascii="宋体" w:hAnsi="宋体"/>
          <w:snapToGrid w:val="0"/>
          <w:kern w:val="0"/>
          <w:sz w:val="22"/>
        </w:rPr>
      </w:pPr>
      <w:r>
        <w:rPr>
          <w:rFonts w:hint="eastAsia" w:ascii="宋体" w:hAnsi="宋体"/>
          <w:snapToGrid w:val="0"/>
          <w:kern w:val="0"/>
          <w:sz w:val="22"/>
        </w:rPr>
        <w:t>五、不为贵公司有关人员或项目第三方人员个人装修住房、婚丧嫁娶、配偶子女工作安排等提供好处或便利条件；</w:t>
      </w:r>
    </w:p>
    <w:p>
      <w:pPr>
        <w:spacing w:line="400" w:lineRule="exact"/>
        <w:ind w:firstLine="440" w:firstLineChars="200"/>
        <w:rPr>
          <w:rFonts w:ascii="宋体" w:hAnsi="宋体"/>
          <w:snapToGrid w:val="0"/>
          <w:kern w:val="0"/>
          <w:sz w:val="22"/>
        </w:rPr>
      </w:pPr>
      <w:r>
        <w:rPr>
          <w:rFonts w:hint="eastAsia" w:ascii="宋体" w:hAnsi="宋体"/>
          <w:snapToGrid w:val="0"/>
          <w:kern w:val="0"/>
          <w:sz w:val="22"/>
        </w:rPr>
        <w:t>六、严格遵守国家招标投标法、合同法等法律规定，诚实守信，合法经营，坚决杜绝各种违法违纪行为。</w:t>
      </w:r>
    </w:p>
    <w:p>
      <w:pPr>
        <w:spacing w:line="400" w:lineRule="exact"/>
        <w:ind w:firstLine="440" w:firstLineChars="200"/>
        <w:rPr>
          <w:rFonts w:ascii="宋体" w:hAnsi="宋体"/>
          <w:snapToGrid w:val="0"/>
          <w:kern w:val="0"/>
          <w:sz w:val="22"/>
        </w:rPr>
      </w:pPr>
      <w:r>
        <w:rPr>
          <w:rFonts w:hint="eastAsia" w:ascii="宋体" w:hAnsi="宋体"/>
          <w:snapToGrid w:val="0"/>
          <w:kern w:val="0"/>
          <w:sz w:val="22"/>
        </w:rPr>
        <w:t>七、若发现贵公司有关人员或项目第三方人员有故意设置障碍或推诿刁难我方人员参与正常投标项目建设活动以索要好处等行为，我单位将及时向贵公司纪检监察部门举报，举报电话：0571－86661113。</w:t>
      </w:r>
    </w:p>
    <w:p>
      <w:pPr>
        <w:spacing w:line="400" w:lineRule="exact"/>
        <w:ind w:firstLine="440" w:firstLineChars="200"/>
        <w:rPr>
          <w:rFonts w:ascii="宋体" w:hAnsi="宋体"/>
          <w:snapToGrid w:val="0"/>
          <w:kern w:val="0"/>
          <w:sz w:val="22"/>
        </w:rPr>
      </w:pPr>
      <w:r>
        <w:rPr>
          <w:rFonts w:hint="eastAsia" w:ascii="宋体" w:hAnsi="宋体"/>
          <w:snapToGrid w:val="0"/>
          <w:kern w:val="0"/>
          <w:sz w:val="22"/>
        </w:rPr>
        <w:t>八、如违反上述廉洁自律承诺，贵公司有权：</w:t>
      </w:r>
    </w:p>
    <w:p>
      <w:pPr>
        <w:spacing w:line="400" w:lineRule="exact"/>
        <w:ind w:firstLine="440" w:firstLineChars="200"/>
        <w:rPr>
          <w:rFonts w:ascii="宋体" w:hAnsi="宋体"/>
          <w:snapToGrid w:val="0"/>
          <w:kern w:val="0"/>
          <w:sz w:val="22"/>
        </w:rPr>
      </w:pPr>
      <w:r>
        <w:rPr>
          <w:rFonts w:hint="eastAsia" w:ascii="宋体" w:hAnsi="宋体"/>
          <w:snapToGrid w:val="0"/>
          <w:kern w:val="0"/>
          <w:sz w:val="22"/>
        </w:rPr>
        <w:t>（1）</w:t>
      </w:r>
      <w:r>
        <w:rPr>
          <w:rFonts w:hint="eastAsia" w:ascii="宋体" w:hAnsi="宋体"/>
          <w:snapToGrid w:val="0"/>
          <w:kern w:val="0"/>
          <w:sz w:val="22"/>
        </w:rPr>
        <w:tab/>
      </w:r>
      <w:r>
        <w:rPr>
          <w:rFonts w:hint="eastAsia" w:ascii="宋体" w:hAnsi="宋体"/>
          <w:snapToGrid w:val="0"/>
          <w:kern w:val="0"/>
          <w:sz w:val="22"/>
        </w:rPr>
        <w:t>立即取消我单位投标、中标或在建项目的实施资格；</w:t>
      </w:r>
    </w:p>
    <w:p>
      <w:pPr>
        <w:spacing w:line="400" w:lineRule="exact"/>
        <w:ind w:firstLine="440" w:firstLineChars="200"/>
        <w:rPr>
          <w:rFonts w:ascii="宋体" w:hAnsi="宋体"/>
          <w:snapToGrid w:val="0"/>
          <w:kern w:val="0"/>
          <w:sz w:val="22"/>
        </w:rPr>
      </w:pPr>
      <w:r>
        <w:rPr>
          <w:rFonts w:hint="eastAsia" w:ascii="宋体" w:hAnsi="宋体"/>
          <w:snapToGrid w:val="0"/>
          <w:kern w:val="0"/>
          <w:sz w:val="22"/>
        </w:rPr>
        <w:t>（2）</w:t>
      </w:r>
      <w:r>
        <w:rPr>
          <w:rFonts w:hint="eastAsia" w:ascii="宋体" w:hAnsi="宋体"/>
          <w:snapToGrid w:val="0"/>
          <w:kern w:val="0"/>
          <w:sz w:val="22"/>
        </w:rPr>
        <w:tab/>
      </w:r>
      <w:r>
        <w:rPr>
          <w:rFonts w:hint="eastAsia" w:ascii="宋体" w:hAnsi="宋体"/>
          <w:snapToGrid w:val="0"/>
          <w:kern w:val="0"/>
          <w:sz w:val="22"/>
        </w:rPr>
        <w:t>扣除我方向贵公司缴纳的履约保证金的10%作为违反廉洁自律承诺的违约金。如该违约金不足以弥补贵公司损失的，我单位仍将承担实际损失赔偿责任。</w:t>
      </w:r>
    </w:p>
    <w:p>
      <w:pPr>
        <w:spacing w:line="400" w:lineRule="exact"/>
        <w:ind w:firstLine="440" w:firstLineChars="200"/>
        <w:rPr>
          <w:rFonts w:ascii="宋体" w:hAnsi="宋体"/>
          <w:snapToGrid w:val="0"/>
          <w:kern w:val="0"/>
          <w:sz w:val="22"/>
        </w:rPr>
      </w:pPr>
      <w:r>
        <w:rPr>
          <w:rFonts w:hint="eastAsia" w:ascii="宋体" w:hAnsi="宋体"/>
          <w:snapToGrid w:val="0"/>
          <w:kern w:val="0"/>
          <w:sz w:val="22"/>
        </w:rPr>
        <w:t>（3）</w:t>
      </w:r>
      <w:r>
        <w:rPr>
          <w:rFonts w:hint="eastAsia" w:ascii="宋体" w:hAnsi="宋体"/>
          <w:snapToGrid w:val="0"/>
          <w:kern w:val="0"/>
          <w:sz w:val="22"/>
        </w:rPr>
        <w:tab/>
      </w:r>
      <w:r>
        <w:rPr>
          <w:rFonts w:hint="eastAsia" w:ascii="宋体" w:hAnsi="宋体"/>
          <w:snapToGrid w:val="0"/>
          <w:kern w:val="0"/>
          <w:sz w:val="22"/>
        </w:rPr>
        <w:t>拒绝我单位在一定时期内进入贵公司进行项目建设或其它经营活动；</w:t>
      </w:r>
    </w:p>
    <w:p>
      <w:pPr>
        <w:spacing w:line="400" w:lineRule="exact"/>
        <w:ind w:firstLine="440" w:firstLineChars="200"/>
        <w:rPr>
          <w:rFonts w:ascii="宋体" w:hAnsi="宋体"/>
          <w:snapToGrid w:val="0"/>
          <w:kern w:val="0"/>
          <w:sz w:val="22"/>
        </w:rPr>
      </w:pPr>
      <w:r>
        <w:rPr>
          <w:rFonts w:hint="eastAsia" w:ascii="宋体" w:hAnsi="宋体"/>
          <w:snapToGrid w:val="0"/>
          <w:kern w:val="0"/>
          <w:sz w:val="22"/>
        </w:rPr>
        <w:t>（4）</w:t>
      </w:r>
      <w:r>
        <w:rPr>
          <w:rFonts w:hint="eastAsia" w:ascii="宋体" w:hAnsi="宋体"/>
          <w:snapToGrid w:val="0"/>
          <w:kern w:val="0"/>
          <w:sz w:val="22"/>
        </w:rPr>
        <w:tab/>
      </w:r>
      <w:r>
        <w:rPr>
          <w:rFonts w:hint="eastAsia" w:ascii="宋体" w:hAnsi="宋体"/>
          <w:snapToGrid w:val="0"/>
          <w:kern w:val="0"/>
          <w:sz w:val="22"/>
        </w:rPr>
        <w:t>由此引起的相应损失均由我单位承担。</w:t>
      </w:r>
    </w:p>
    <w:p>
      <w:pPr>
        <w:spacing w:line="400" w:lineRule="exact"/>
        <w:ind w:firstLine="440" w:firstLineChars="200"/>
        <w:rPr>
          <w:rFonts w:ascii="宋体" w:hAnsi="宋体"/>
          <w:snapToGrid w:val="0"/>
          <w:kern w:val="0"/>
          <w:sz w:val="22"/>
        </w:rPr>
      </w:pPr>
    </w:p>
    <w:p>
      <w:pPr>
        <w:spacing w:line="400" w:lineRule="exact"/>
        <w:ind w:firstLine="440" w:firstLineChars="200"/>
        <w:rPr>
          <w:rFonts w:ascii="宋体" w:hAnsi="宋体"/>
          <w:snapToGrid w:val="0"/>
          <w:kern w:val="0"/>
          <w:sz w:val="22"/>
        </w:rPr>
      </w:pPr>
      <w:r>
        <w:rPr>
          <w:rFonts w:hint="eastAsia" w:ascii="宋体" w:hAnsi="宋体"/>
          <w:snapToGrid w:val="0"/>
          <w:kern w:val="0"/>
          <w:sz w:val="22"/>
        </w:rPr>
        <w:t xml:space="preserve">承诺人单位名称（盖章）：            </w:t>
      </w:r>
    </w:p>
    <w:p>
      <w:pPr>
        <w:spacing w:line="400" w:lineRule="exact"/>
        <w:ind w:firstLine="440" w:firstLineChars="200"/>
        <w:rPr>
          <w:rFonts w:ascii="宋体" w:hAnsi="宋体"/>
          <w:snapToGrid w:val="0"/>
          <w:kern w:val="0"/>
          <w:sz w:val="22"/>
        </w:rPr>
      </w:pPr>
      <w:r>
        <w:rPr>
          <w:rFonts w:hint="eastAsia" w:ascii="宋体" w:hAnsi="宋体"/>
          <w:snapToGrid w:val="0"/>
          <w:kern w:val="0"/>
          <w:sz w:val="22"/>
        </w:rPr>
        <w:t xml:space="preserve">法定代表人 ：                    </w:t>
      </w:r>
    </w:p>
    <w:p>
      <w:pPr>
        <w:spacing w:line="400" w:lineRule="exact"/>
        <w:ind w:firstLine="440" w:firstLineChars="200"/>
        <w:rPr>
          <w:rFonts w:ascii="宋体" w:hAnsi="宋体"/>
          <w:snapToGrid w:val="0"/>
          <w:kern w:val="0"/>
          <w:sz w:val="22"/>
        </w:rPr>
      </w:pPr>
      <w:r>
        <w:rPr>
          <w:rFonts w:hint="eastAsia" w:ascii="宋体" w:hAnsi="宋体"/>
          <w:snapToGrid w:val="0"/>
          <w:kern w:val="0"/>
          <w:sz w:val="22"/>
        </w:rPr>
        <w:t xml:space="preserve">或                            </w:t>
      </w:r>
    </w:p>
    <w:p>
      <w:pPr>
        <w:spacing w:line="400" w:lineRule="exact"/>
        <w:ind w:firstLine="440" w:firstLineChars="200"/>
        <w:rPr>
          <w:rFonts w:hint="eastAsia" w:ascii="宋体" w:hAnsi="宋体"/>
          <w:snapToGrid w:val="0"/>
          <w:kern w:val="0"/>
          <w:sz w:val="22"/>
        </w:rPr>
      </w:pPr>
      <w:r>
        <w:rPr>
          <w:rFonts w:hint="eastAsia" w:ascii="宋体" w:hAnsi="宋体"/>
          <w:snapToGrid w:val="0"/>
          <w:kern w:val="0"/>
          <w:sz w:val="22"/>
        </w:rPr>
        <w:t xml:space="preserve">委托代理人：                   </w:t>
      </w:r>
    </w:p>
    <w:p>
      <w:pPr>
        <w:spacing w:line="400" w:lineRule="exact"/>
        <w:ind w:firstLine="440" w:firstLineChars="200"/>
        <w:rPr>
          <w:rFonts w:hint="eastAsia" w:ascii="宋体" w:hAnsi="宋体"/>
          <w:snapToGrid w:val="0"/>
          <w:kern w:val="0"/>
          <w:sz w:val="22"/>
        </w:rPr>
      </w:pPr>
      <w:r>
        <w:rPr>
          <w:rFonts w:hint="eastAsia" w:ascii="宋体" w:hAnsi="宋体"/>
          <w:snapToGrid w:val="0"/>
          <w:kern w:val="0"/>
          <w:sz w:val="22"/>
        </w:rPr>
        <w:t xml:space="preserve">                           年     月     日</w:t>
      </w:r>
    </w:p>
    <w:p>
      <w:pPr>
        <w:spacing w:line="400" w:lineRule="exact"/>
        <w:rPr>
          <w:rFonts w:ascii="宋体" w:hAnsi="宋体"/>
          <w:snapToGrid w:val="0"/>
          <w:kern w:val="0"/>
          <w:sz w:val="22"/>
        </w:rPr>
      </w:pPr>
      <w:r>
        <w:rPr>
          <w:rFonts w:hint="eastAsia" w:ascii="宋体" w:hAnsi="宋体"/>
          <w:snapToGrid w:val="0"/>
          <w:kern w:val="0"/>
          <w:sz w:val="22"/>
        </w:rPr>
        <w:t>附件2：</w:t>
      </w:r>
    </w:p>
    <w:p>
      <w:pPr>
        <w:spacing w:line="400" w:lineRule="exact"/>
        <w:rPr>
          <w:rFonts w:hint="eastAsia" w:ascii="宋体" w:hAnsi="宋体"/>
          <w:snapToGrid w:val="0"/>
          <w:kern w:val="0"/>
          <w:sz w:val="22"/>
        </w:rPr>
      </w:pPr>
    </w:p>
    <w:p>
      <w:pPr>
        <w:spacing w:line="400" w:lineRule="exact"/>
        <w:jc w:val="center"/>
        <w:rPr>
          <w:rFonts w:ascii="宋体" w:hAnsi="宋体"/>
          <w:b/>
          <w:snapToGrid w:val="0"/>
          <w:kern w:val="0"/>
          <w:sz w:val="22"/>
        </w:rPr>
      </w:pPr>
      <w:r>
        <w:rPr>
          <w:rFonts w:hint="eastAsia" w:ascii="宋体" w:hAnsi="宋体"/>
          <w:b/>
          <w:snapToGrid w:val="0"/>
          <w:kern w:val="0"/>
          <w:sz w:val="22"/>
        </w:rPr>
        <w:t>保密承诺书</w:t>
      </w:r>
    </w:p>
    <w:p>
      <w:pPr>
        <w:spacing w:line="400" w:lineRule="exact"/>
        <w:ind w:firstLine="440" w:firstLineChars="200"/>
        <w:rPr>
          <w:rFonts w:ascii="宋体" w:hAnsi="宋体"/>
          <w:snapToGrid w:val="0"/>
          <w:kern w:val="0"/>
          <w:sz w:val="22"/>
        </w:rPr>
      </w:pPr>
    </w:p>
    <w:p>
      <w:pPr>
        <w:spacing w:line="400" w:lineRule="exact"/>
        <w:ind w:firstLine="440" w:firstLineChars="200"/>
        <w:rPr>
          <w:rFonts w:ascii="宋体" w:hAnsi="宋体"/>
          <w:snapToGrid w:val="0"/>
          <w:kern w:val="0"/>
          <w:sz w:val="22"/>
        </w:rPr>
      </w:pPr>
      <w:r>
        <w:rPr>
          <w:rFonts w:hint="eastAsia" w:ascii="宋体" w:hAnsi="宋体"/>
          <w:snapToGrid w:val="0"/>
          <w:kern w:val="0"/>
          <w:sz w:val="22"/>
        </w:rPr>
        <w:t>鉴于我方愿成为浙江省机场集团有限公司（以下简称“集团公司”）的供应商或潜在供应商候选人，为集团公司提供【】项目的服务。在上述业务来往过程中，集团公司可能向我方提供经营、业务、服务等有关的文件、资料、软件等信息，为维护集团公司的利益，我方就保密事宜做出如下承诺：</w:t>
      </w:r>
    </w:p>
    <w:p>
      <w:pPr>
        <w:spacing w:line="400" w:lineRule="exact"/>
        <w:ind w:firstLine="440" w:firstLineChars="200"/>
        <w:rPr>
          <w:rFonts w:ascii="宋体" w:hAnsi="宋体"/>
          <w:snapToGrid w:val="0"/>
          <w:kern w:val="0"/>
          <w:sz w:val="22"/>
        </w:rPr>
      </w:pPr>
      <w:r>
        <w:rPr>
          <w:rFonts w:hint="eastAsia" w:ascii="宋体" w:hAnsi="宋体"/>
          <w:snapToGrid w:val="0"/>
          <w:kern w:val="0"/>
          <w:sz w:val="22"/>
        </w:rPr>
        <w:t>1.商业秘密</w:t>
      </w:r>
    </w:p>
    <w:p>
      <w:pPr>
        <w:spacing w:line="400" w:lineRule="exact"/>
        <w:ind w:firstLine="440" w:firstLineChars="200"/>
        <w:rPr>
          <w:rFonts w:ascii="宋体" w:hAnsi="宋体"/>
          <w:snapToGrid w:val="0"/>
          <w:kern w:val="0"/>
          <w:sz w:val="22"/>
        </w:rPr>
      </w:pPr>
      <w:r>
        <w:rPr>
          <w:rFonts w:hint="eastAsia" w:ascii="宋体" w:hAnsi="宋体"/>
          <w:snapToGrid w:val="0"/>
          <w:kern w:val="0"/>
          <w:sz w:val="22"/>
        </w:rPr>
        <w:t>1.1商业秘密是指集团公司（包括集团公司关联公司）一切专有、不对外公开的资料和信息。包括但不限于以下方面：</w:t>
      </w:r>
    </w:p>
    <w:p>
      <w:pPr>
        <w:spacing w:line="400" w:lineRule="exact"/>
        <w:ind w:firstLine="440" w:firstLineChars="200"/>
        <w:rPr>
          <w:rFonts w:ascii="宋体" w:hAnsi="宋体"/>
          <w:snapToGrid w:val="0"/>
          <w:kern w:val="0"/>
          <w:sz w:val="22"/>
        </w:rPr>
      </w:pPr>
      <w:r>
        <w:rPr>
          <w:rFonts w:hint="eastAsia" w:ascii="宋体" w:hAnsi="宋体"/>
          <w:snapToGrid w:val="0"/>
          <w:kern w:val="0"/>
          <w:sz w:val="22"/>
        </w:rPr>
        <w:t>（1）经营信息（发展规划、运营状况、客户资源、货源情报、投融资计划、开发计划、标书等）；</w:t>
      </w:r>
    </w:p>
    <w:p>
      <w:pPr>
        <w:spacing w:line="400" w:lineRule="exact"/>
        <w:ind w:firstLine="440" w:firstLineChars="200"/>
        <w:rPr>
          <w:rFonts w:ascii="宋体" w:hAnsi="宋体"/>
          <w:snapToGrid w:val="0"/>
          <w:kern w:val="0"/>
          <w:sz w:val="22"/>
        </w:rPr>
      </w:pPr>
      <w:r>
        <w:rPr>
          <w:rFonts w:hint="eastAsia" w:ascii="宋体" w:hAnsi="宋体"/>
          <w:snapToGrid w:val="0"/>
          <w:kern w:val="0"/>
          <w:sz w:val="22"/>
        </w:rPr>
        <w:t>（2）管理信息（管理方法、管理制度、员工管理、合同管理、纠纷管理等）；</w:t>
      </w:r>
    </w:p>
    <w:p>
      <w:pPr>
        <w:spacing w:line="400" w:lineRule="exact"/>
        <w:ind w:firstLine="440" w:firstLineChars="200"/>
        <w:rPr>
          <w:rFonts w:ascii="宋体" w:hAnsi="宋体"/>
          <w:snapToGrid w:val="0"/>
          <w:kern w:val="0"/>
          <w:sz w:val="22"/>
        </w:rPr>
      </w:pPr>
      <w:r>
        <w:rPr>
          <w:rFonts w:hint="eastAsia" w:ascii="宋体" w:hAnsi="宋体"/>
          <w:snapToGrid w:val="0"/>
          <w:kern w:val="0"/>
          <w:sz w:val="22"/>
        </w:rPr>
        <w:t>（3）产品及技术信息（设计及图纸、样品及服务、技术方案、质量标准、技术标准、计算机程序等）；</w:t>
      </w:r>
    </w:p>
    <w:p>
      <w:pPr>
        <w:spacing w:line="400" w:lineRule="exact"/>
        <w:ind w:firstLine="440" w:firstLineChars="200"/>
        <w:rPr>
          <w:rFonts w:ascii="宋体" w:hAnsi="宋体"/>
          <w:snapToGrid w:val="0"/>
          <w:kern w:val="0"/>
          <w:sz w:val="22"/>
        </w:rPr>
      </w:pPr>
      <w:r>
        <w:rPr>
          <w:rFonts w:hint="eastAsia" w:ascii="宋体" w:hAnsi="宋体"/>
          <w:snapToGrid w:val="0"/>
          <w:kern w:val="0"/>
          <w:sz w:val="22"/>
        </w:rPr>
        <w:t>（4）财务信息（财务收支、固定资产、流动资金、成本核算等）；</w:t>
      </w:r>
    </w:p>
    <w:p>
      <w:pPr>
        <w:spacing w:line="400" w:lineRule="exact"/>
        <w:ind w:firstLine="440" w:firstLineChars="200"/>
        <w:rPr>
          <w:rFonts w:ascii="宋体" w:hAnsi="宋体"/>
          <w:snapToGrid w:val="0"/>
          <w:kern w:val="0"/>
          <w:sz w:val="22"/>
        </w:rPr>
      </w:pPr>
      <w:r>
        <w:rPr>
          <w:rFonts w:hint="eastAsia" w:ascii="宋体" w:hAnsi="宋体"/>
          <w:snapToGrid w:val="0"/>
          <w:kern w:val="0"/>
          <w:sz w:val="22"/>
        </w:rPr>
        <w:t>（5）我方单独或集团公司（包括集团公司关联公司）和我方共同为集团公司开发、设计、生产的产品、资料及相关信息；</w:t>
      </w:r>
    </w:p>
    <w:p>
      <w:pPr>
        <w:spacing w:line="400" w:lineRule="exact"/>
        <w:ind w:firstLine="440" w:firstLineChars="200"/>
        <w:rPr>
          <w:rFonts w:ascii="宋体" w:hAnsi="宋体"/>
          <w:snapToGrid w:val="0"/>
          <w:kern w:val="0"/>
          <w:sz w:val="22"/>
        </w:rPr>
      </w:pPr>
      <w:r>
        <w:rPr>
          <w:rFonts w:hint="eastAsia" w:ascii="宋体" w:hAnsi="宋体"/>
          <w:snapToGrid w:val="0"/>
          <w:kern w:val="0"/>
          <w:sz w:val="22"/>
        </w:rPr>
        <w:t>（6）其他集团公司未对外公开的有关营运、计划、航班数据、标准、开发、生产、经营、质量管理控制和租赁的资料和数据等信息以及对供应商的管理文件。</w:t>
      </w:r>
    </w:p>
    <w:p>
      <w:pPr>
        <w:spacing w:line="400" w:lineRule="exact"/>
        <w:ind w:firstLine="440" w:firstLineChars="200"/>
        <w:rPr>
          <w:rFonts w:ascii="宋体" w:hAnsi="宋体"/>
          <w:snapToGrid w:val="0"/>
          <w:kern w:val="0"/>
          <w:sz w:val="22"/>
        </w:rPr>
      </w:pPr>
      <w:r>
        <w:rPr>
          <w:rFonts w:hint="eastAsia" w:ascii="宋体" w:hAnsi="宋体"/>
          <w:snapToGrid w:val="0"/>
          <w:kern w:val="0"/>
          <w:sz w:val="22"/>
        </w:rPr>
        <w:t xml:space="preserve"> 1.2、集团公司向我方披露商业秘密可以通过数据、文字及记载这些内容的文件、光盘、软件、图书等有形媒介体现，也可通过口头、录音等视听形式体现，或者是通过参观集团公司（包括集团公司关联公司）开发的设备、运营程序而眼见的。我方一旦接触商业秘密，应立即采取保密措施。除非集团公司书面同意解禁该秘密，集团公司商业秘密的保密期限为永久。</w:t>
      </w:r>
    </w:p>
    <w:p>
      <w:pPr>
        <w:spacing w:line="400" w:lineRule="exact"/>
        <w:ind w:firstLine="440" w:firstLineChars="200"/>
        <w:rPr>
          <w:rFonts w:ascii="宋体" w:hAnsi="宋体"/>
          <w:snapToGrid w:val="0"/>
          <w:kern w:val="0"/>
          <w:sz w:val="22"/>
        </w:rPr>
      </w:pPr>
      <w:r>
        <w:rPr>
          <w:rFonts w:hint="eastAsia" w:ascii="宋体" w:hAnsi="宋体"/>
          <w:snapToGrid w:val="0"/>
          <w:kern w:val="0"/>
          <w:sz w:val="22"/>
        </w:rPr>
        <w:t>1.3、对于上述提及的商业秘密，不能仅因为公开发表的文章或资讯中包含其内容，就认为是可对外公开的特殊情况。</w:t>
      </w:r>
    </w:p>
    <w:p>
      <w:pPr>
        <w:spacing w:line="400" w:lineRule="exact"/>
        <w:ind w:firstLine="440" w:firstLineChars="200"/>
        <w:rPr>
          <w:rFonts w:ascii="宋体" w:hAnsi="宋体"/>
          <w:snapToGrid w:val="0"/>
          <w:kern w:val="0"/>
          <w:sz w:val="22"/>
        </w:rPr>
      </w:pPr>
      <w:r>
        <w:rPr>
          <w:rFonts w:hint="eastAsia" w:ascii="宋体" w:hAnsi="宋体"/>
          <w:snapToGrid w:val="0"/>
          <w:kern w:val="0"/>
          <w:sz w:val="22"/>
        </w:rPr>
        <w:t>1.4、以下资料不属于本承诺所指的商业秘密：</w:t>
      </w:r>
    </w:p>
    <w:p>
      <w:pPr>
        <w:spacing w:line="400" w:lineRule="exact"/>
        <w:ind w:firstLine="440" w:firstLineChars="200"/>
        <w:rPr>
          <w:rFonts w:ascii="宋体" w:hAnsi="宋体"/>
          <w:snapToGrid w:val="0"/>
          <w:kern w:val="0"/>
          <w:sz w:val="22"/>
        </w:rPr>
      </w:pPr>
      <w:r>
        <w:rPr>
          <w:rFonts w:hint="eastAsia" w:ascii="宋体" w:hAnsi="宋体"/>
          <w:snapToGrid w:val="0"/>
          <w:kern w:val="0"/>
          <w:sz w:val="22"/>
        </w:rPr>
        <w:t>（1）我方从集团公司拟获悉之前已持有的我方无需承担保密义务的集团公司有关资料(但通过其它违约或侵权行为而获得的资料除外)；</w:t>
      </w:r>
    </w:p>
    <w:p>
      <w:pPr>
        <w:spacing w:line="400" w:lineRule="exact"/>
        <w:ind w:firstLine="440" w:firstLineChars="200"/>
        <w:rPr>
          <w:rFonts w:hint="eastAsia" w:ascii="宋体" w:hAnsi="宋体"/>
          <w:snapToGrid w:val="0"/>
          <w:kern w:val="0"/>
          <w:sz w:val="22"/>
        </w:rPr>
      </w:pPr>
      <w:r>
        <w:rPr>
          <w:rFonts w:hint="eastAsia" w:ascii="宋体" w:hAnsi="宋体"/>
          <w:snapToGrid w:val="0"/>
          <w:kern w:val="0"/>
          <w:sz w:val="22"/>
        </w:rPr>
        <w:t>（2）已经公开或已成为常识性的资料，且该等公开并非因违反本承诺所致。</w:t>
      </w:r>
    </w:p>
    <w:p>
      <w:pPr>
        <w:spacing w:line="400" w:lineRule="exact"/>
        <w:ind w:firstLine="440" w:firstLineChars="200"/>
        <w:rPr>
          <w:rFonts w:hint="eastAsia" w:ascii="宋体" w:hAnsi="宋体"/>
          <w:snapToGrid w:val="0"/>
          <w:kern w:val="0"/>
          <w:sz w:val="22"/>
        </w:rPr>
      </w:pPr>
      <w:r>
        <w:rPr>
          <w:rFonts w:hint="eastAsia" w:ascii="宋体" w:hAnsi="宋体"/>
          <w:snapToGrid w:val="0"/>
          <w:kern w:val="0"/>
          <w:sz w:val="22"/>
        </w:rPr>
        <w:t>2、我方承诺将严格保密，维护集团公司（包括集团公司关联公司）的利益。在未获得集团公司同意前，我方不得复印或以其他形式复制任何商业秘密，或者从任何由集团公司设计的装置上窃取任何商业秘密。我方不以任何方式向第三方透露、不在任何场所使用商业秘密。我方承诺只有在在履行集团公司合约时才有权使用该等商业秘密，并只向为履行集团公司合约需要了解的员工披露相关商业秘密，并促使员工自接触集团公司（包括集团公司关联公司）的商业秘密之日起，即能清楚地了解并自觉遵守其应尽的保密责任。若我方员工因任何原因未能履行本承诺所述的保密责任，则视为违反了本承诺。</w:t>
      </w:r>
    </w:p>
    <w:p>
      <w:pPr>
        <w:spacing w:line="400" w:lineRule="exact"/>
        <w:ind w:firstLine="440" w:firstLineChars="200"/>
        <w:rPr>
          <w:rFonts w:hint="eastAsia" w:ascii="宋体" w:hAnsi="宋体"/>
          <w:snapToGrid w:val="0"/>
          <w:kern w:val="0"/>
          <w:sz w:val="22"/>
        </w:rPr>
      </w:pPr>
      <w:r>
        <w:rPr>
          <w:rFonts w:hint="eastAsia" w:ascii="宋体" w:hAnsi="宋体"/>
          <w:snapToGrid w:val="0"/>
          <w:kern w:val="0"/>
          <w:sz w:val="22"/>
        </w:rPr>
        <w:t>3、当合同履行完毕、合同终止或经集团公司要求，我方应立即返还或根据集团公司书面要求销毁所有含有商业秘密或我方在接触商业秘密后而产生的资料，以及由我方持有的任何复制品。</w:t>
      </w:r>
    </w:p>
    <w:p>
      <w:pPr>
        <w:spacing w:line="400" w:lineRule="exact"/>
        <w:ind w:firstLine="440" w:firstLineChars="200"/>
        <w:rPr>
          <w:rFonts w:ascii="宋体" w:hAnsi="宋体"/>
          <w:snapToGrid w:val="0"/>
          <w:kern w:val="0"/>
          <w:sz w:val="22"/>
        </w:rPr>
      </w:pPr>
      <w:r>
        <w:rPr>
          <w:rFonts w:hint="eastAsia" w:ascii="宋体" w:hAnsi="宋体"/>
          <w:snapToGrid w:val="0"/>
          <w:kern w:val="0"/>
          <w:sz w:val="22"/>
        </w:rPr>
        <w:t xml:space="preserve">4、无论在双方签订任何商务合同之前、存续期间及以后，我方均当遵守法律和本承诺约定，严格保守集团公司的商业秘密。未经集团公司同意，不得采用包括但不限于的以下方式泄露、公布、发布、出版、传授、转让或者其他任何方式，或以任何理由、任何目的非法侵犯集团公司的商业秘密：        </w:t>
      </w:r>
    </w:p>
    <w:p>
      <w:pPr>
        <w:spacing w:line="400" w:lineRule="exact"/>
        <w:ind w:firstLine="440" w:firstLineChars="200"/>
        <w:rPr>
          <w:rFonts w:ascii="宋体" w:hAnsi="宋体"/>
          <w:snapToGrid w:val="0"/>
          <w:kern w:val="0"/>
          <w:sz w:val="22"/>
        </w:rPr>
      </w:pPr>
      <w:r>
        <w:rPr>
          <w:rFonts w:hint="eastAsia" w:ascii="宋体" w:hAnsi="宋体"/>
          <w:snapToGrid w:val="0"/>
          <w:kern w:val="0"/>
          <w:sz w:val="22"/>
        </w:rPr>
        <w:t>（1）披露、使用或者允许他人以不正当手段获取的商业秘密；</w:t>
      </w:r>
    </w:p>
    <w:p>
      <w:pPr>
        <w:spacing w:line="400" w:lineRule="exact"/>
        <w:ind w:firstLine="440" w:firstLineChars="200"/>
        <w:rPr>
          <w:rFonts w:ascii="宋体" w:hAnsi="宋体"/>
          <w:snapToGrid w:val="0"/>
          <w:kern w:val="0"/>
          <w:sz w:val="22"/>
        </w:rPr>
      </w:pPr>
      <w:r>
        <w:rPr>
          <w:rFonts w:hint="eastAsia" w:ascii="宋体" w:hAnsi="宋体"/>
          <w:snapToGrid w:val="0"/>
          <w:kern w:val="0"/>
          <w:sz w:val="22"/>
        </w:rPr>
        <w:t>（2）为集团公司以外的第三人窃取、刺探、收买、非法提供商业秘密。</w:t>
      </w:r>
    </w:p>
    <w:p>
      <w:pPr>
        <w:spacing w:line="400" w:lineRule="exact"/>
        <w:ind w:firstLine="440" w:firstLineChars="200"/>
        <w:rPr>
          <w:rFonts w:ascii="宋体" w:hAnsi="宋体"/>
          <w:snapToGrid w:val="0"/>
          <w:kern w:val="0"/>
          <w:sz w:val="22"/>
        </w:rPr>
      </w:pPr>
      <w:r>
        <w:rPr>
          <w:rFonts w:hint="eastAsia" w:ascii="宋体" w:hAnsi="宋体"/>
          <w:snapToGrid w:val="0"/>
          <w:kern w:val="0"/>
          <w:sz w:val="22"/>
        </w:rPr>
        <w:t>（3）在电子公告系统、聊天系统、电子邮箱、论坛等计算机网络系统上传递、转发、抄送、发布、谈论和传播商业秘密；</w:t>
      </w:r>
    </w:p>
    <w:p>
      <w:pPr>
        <w:spacing w:line="400" w:lineRule="exact"/>
        <w:ind w:firstLine="440" w:firstLineChars="200"/>
        <w:rPr>
          <w:rFonts w:ascii="宋体" w:hAnsi="宋体"/>
          <w:snapToGrid w:val="0"/>
          <w:kern w:val="0"/>
          <w:sz w:val="22"/>
        </w:rPr>
      </w:pPr>
      <w:r>
        <w:rPr>
          <w:rFonts w:hint="eastAsia" w:ascii="宋体" w:hAnsi="宋体"/>
          <w:snapToGrid w:val="0"/>
          <w:kern w:val="0"/>
          <w:sz w:val="22"/>
        </w:rPr>
        <w:t xml:space="preserve">（4）在私人交往和通信中，向亲属、朋友以及与工作无关人员泄露商业秘密，或在公共场所谈论商业秘密； </w:t>
      </w:r>
    </w:p>
    <w:p>
      <w:pPr>
        <w:spacing w:line="400" w:lineRule="exact"/>
        <w:ind w:firstLine="440" w:firstLineChars="200"/>
        <w:rPr>
          <w:rFonts w:ascii="宋体" w:hAnsi="宋体"/>
          <w:snapToGrid w:val="0"/>
          <w:kern w:val="0"/>
          <w:sz w:val="22"/>
        </w:rPr>
      </w:pPr>
      <w:r>
        <w:rPr>
          <w:rFonts w:hint="eastAsia" w:ascii="宋体" w:hAnsi="宋体"/>
          <w:snapToGrid w:val="0"/>
          <w:kern w:val="0"/>
          <w:sz w:val="22"/>
        </w:rPr>
        <w:t>（5）擅自将属于商业秘密的文件、资料和其他物品携带、传递、寄运出集团公司办公场所或国（境）外。</w:t>
      </w:r>
    </w:p>
    <w:p>
      <w:pPr>
        <w:spacing w:line="400" w:lineRule="exact"/>
        <w:ind w:firstLine="440" w:firstLineChars="200"/>
        <w:rPr>
          <w:rFonts w:ascii="宋体" w:hAnsi="宋体"/>
          <w:snapToGrid w:val="0"/>
          <w:kern w:val="0"/>
          <w:sz w:val="22"/>
        </w:rPr>
      </w:pPr>
      <w:r>
        <w:rPr>
          <w:rFonts w:hint="eastAsia" w:ascii="宋体" w:hAnsi="宋体"/>
          <w:snapToGrid w:val="0"/>
          <w:kern w:val="0"/>
          <w:sz w:val="22"/>
        </w:rPr>
        <w:t>（6）未经集团公司同意就以任何方式私自保存、截留含有集团公司商业秘密的任何形式资料、文件和物品的复印件、复制品、副本。</w:t>
      </w:r>
    </w:p>
    <w:p>
      <w:pPr>
        <w:spacing w:line="400" w:lineRule="exact"/>
        <w:ind w:firstLine="440" w:firstLineChars="200"/>
        <w:rPr>
          <w:rFonts w:hint="eastAsia" w:ascii="宋体" w:hAnsi="宋体"/>
          <w:snapToGrid w:val="0"/>
          <w:kern w:val="0"/>
          <w:sz w:val="22"/>
        </w:rPr>
      </w:pPr>
      <w:r>
        <w:rPr>
          <w:rFonts w:hint="eastAsia" w:ascii="宋体" w:hAnsi="宋体"/>
          <w:snapToGrid w:val="0"/>
          <w:kern w:val="0"/>
          <w:sz w:val="22"/>
        </w:rPr>
        <w:t>（7）将含有集团公司商业秘密的产品、技术或其他资料、信息向第三人销售、使用或以任何方式提供。</w:t>
      </w:r>
    </w:p>
    <w:p>
      <w:pPr>
        <w:spacing w:line="400" w:lineRule="exact"/>
        <w:ind w:firstLine="440" w:firstLineChars="200"/>
        <w:rPr>
          <w:rFonts w:hint="eastAsia" w:ascii="宋体" w:hAnsi="宋体"/>
          <w:snapToGrid w:val="0"/>
          <w:kern w:val="0"/>
          <w:sz w:val="22"/>
        </w:rPr>
      </w:pPr>
      <w:r>
        <w:rPr>
          <w:rFonts w:hint="eastAsia" w:ascii="宋体" w:hAnsi="宋体"/>
          <w:snapToGrid w:val="0"/>
          <w:kern w:val="0"/>
          <w:sz w:val="22"/>
        </w:rPr>
        <w:t>5、我方依法根据司法机关、侦查机关、或政府机构的合法指令而透露有关资料不属于违反保密义务。此情况之下，我方必须在透露之前通知集团公司，使集团公司有机会采取合法措施进行答辩与解释；并且我方应只得透露法律上要求透露的部分机密资料。</w:t>
      </w:r>
    </w:p>
    <w:p>
      <w:pPr>
        <w:spacing w:line="400" w:lineRule="exact"/>
        <w:ind w:firstLine="440" w:firstLineChars="200"/>
        <w:rPr>
          <w:rFonts w:hint="eastAsia" w:ascii="宋体" w:hAnsi="宋体"/>
          <w:snapToGrid w:val="0"/>
          <w:kern w:val="0"/>
          <w:sz w:val="22"/>
        </w:rPr>
      </w:pPr>
      <w:r>
        <w:rPr>
          <w:rFonts w:hint="eastAsia" w:ascii="宋体" w:hAnsi="宋体"/>
          <w:snapToGrid w:val="0"/>
          <w:kern w:val="0"/>
          <w:sz w:val="22"/>
        </w:rPr>
        <w:t>6、我方发生上述违约行为时，集团公司（包括集团公司关联公司）有权要求我方立即停止侵权和进一步的对外泄露或滥用，并要求我方采取其他合理的补救措施，并有权终止甲乙双方正在执行的其他合同，而集团公司（包括集团公司关联公司）无需对此承担任何责任。</w:t>
      </w:r>
    </w:p>
    <w:p>
      <w:pPr>
        <w:spacing w:line="400" w:lineRule="exact"/>
        <w:ind w:firstLine="440" w:firstLineChars="200"/>
        <w:rPr>
          <w:rFonts w:hint="eastAsia" w:ascii="宋体" w:hAnsi="宋体"/>
          <w:snapToGrid w:val="0"/>
          <w:kern w:val="0"/>
          <w:sz w:val="22"/>
        </w:rPr>
      </w:pPr>
      <w:r>
        <w:rPr>
          <w:rFonts w:hint="eastAsia" w:ascii="宋体" w:hAnsi="宋体"/>
          <w:snapToGrid w:val="0"/>
          <w:kern w:val="0"/>
          <w:sz w:val="22"/>
        </w:rPr>
        <w:t>7、我方已理解和承认，任何违反本承诺的对外泄露或擅自使用商业秘密，将对集团公司（包括集团公司关联公司）系统造成很难估计的、无法弥补的损害。该损失包括但不限于：（1）因我方侵权行为造成的集团公司利益减少，该等利益包括直接利益损失（指销量、利润减少及开发费用损失）与间接利益损失（指无形资产的价值减少）；（2）因我方侵权行为导致集团公司调查、维权等所花费的支出（包括但不限于差旅费、交通费、公证费、鉴定费、通讯费、律师费等）。</w:t>
      </w:r>
    </w:p>
    <w:p>
      <w:pPr>
        <w:spacing w:line="400" w:lineRule="exact"/>
        <w:ind w:firstLine="440" w:firstLineChars="200"/>
        <w:rPr>
          <w:rFonts w:ascii="宋体" w:hAnsi="宋体"/>
          <w:snapToGrid w:val="0"/>
          <w:kern w:val="0"/>
          <w:sz w:val="22"/>
        </w:rPr>
      </w:pPr>
      <w:r>
        <w:rPr>
          <w:rFonts w:hint="eastAsia" w:ascii="宋体" w:hAnsi="宋体"/>
          <w:snapToGrid w:val="0"/>
          <w:kern w:val="0"/>
          <w:sz w:val="22"/>
        </w:rPr>
        <w:t>8、违约责任</w:t>
      </w:r>
    </w:p>
    <w:p>
      <w:pPr>
        <w:spacing w:line="400" w:lineRule="exact"/>
        <w:ind w:firstLine="440" w:firstLineChars="200"/>
        <w:rPr>
          <w:rFonts w:ascii="宋体" w:hAnsi="宋体"/>
          <w:snapToGrid w:val="0"/>
          <w:kern w:val="0"/>
          <w:sz w:val="22"/>
        </w:rPr>
      </w:pPr>
      <w:r>
        <w:rPr>
          <w:rFonts w:hint="eastAsia" w:ascii="宋体" w:hAnsi="宋体"/>
          <w:snapToGrid w:val="0"/>
          <w:kern w:val="0"/>
          <w:sz w:val="22"/>
        </w:rPr>
        <w:t>8.1因我方违反保密义务的行为造成集团公司的一切损失，我方应当全部予以赔偿。</w:t>
      </w:r>
    </w:p>
    <w:p>
      <w:pPr>
        <w:spacing w:line="400" w:lineRule="exact"/>
        <w:ind w:firstLine="440" w:firstLineChars="200"/>
        <w:rPr>
          <w:rFonts w:ascii="宋体" w:hAnsi="宋体"/>
          <w:snapToGrid w:val="0"/>
          <w:kern w:val="0"/>
          <w:sz w:val="22"/>
        </w:rPr>
      </w:pPr>
      <w:r>
        <w:rPr>
          <w:rFonts w:hint="eastAsia" w:ascii="宋体" w:hAnsi="宋体"/>
          <w:snapToGrid w:val="0"/>
          <w:kern w:val="0"/>
          <w:sz w:val="22"/>
        </w:rPr>
        <w:t>8.2如我方违反本承诺书下保密义务，应当承担违约责任，除赔偿损失外，还应依据合同向集团公司支付相应的违约金；</w:t>
      </w:r>
    </w:p>
    <w:p>
      <w:pPr>
        <w:spacing w:line="400" w:lineRule="exact"/>
        <w:ind w:firstLine="440" w:firstLineChars="200"/>
        <w:rPr>
          <w:rFonts w:ascii="宋体" w:hAnsi="宋体"/>
          <w:snapToGrid w:val="0"/>
          <w:kern w:val="0"/>
          <w:sz w:val="22"/>
        </w:rPr>
      </w:pPr>
      <w:r>
        <w:rPr>
          <w:rFonts w:hint="eastAsia" w:ascii="宋体" w:hAnsi="宋体"/>
          <w:snapToGrid w:val="0"/>
          <w:kern w:val="0"/>
          <w:sz w:val="22"/>
        </w:rPr>
        <w:t>9、本承诺书适用中华人民共和国法律，如因履行本承诺书发生争议，则双方均有权向集团公司所在地法院提起诉讼。</w:t>
      </w:r>
    </w:p>
    <w:p>
      <w:pPr>
        <w:spacing w:line="400" w:lineRule="exact"/>
        <w:ind w:firstLine="440" w:firstLineChars="200"/>
        <w:rPr>
          <w:rFonts w:ascii="宋体" w:hAnsi="宋体"/>
          <w:snapToGrid w:val="0"/>
          <w:kern w:val="0"/>
          <w:sz w:val="22"/>
        </w:rPr>
      </w:pPr>
    </w:p>
    <w:p>
      <w:pPr>
        <w:spacing w:line="400" w:lineRule="exact"/>
        <w:ind w:firstLine="440" w:firstLineChars="200"/>
        <w:rPr>
          <w:rFonts w:ascii="宋体" w:hAnsi="宋体"/>
          <w:snapToGrid w:val="0"/>
          <w:kern w:val="0"/>
          <w:sz w:val="22"/>
        </w:rPr>
      </w:pPr>
    </w:p>
    <w:p>
      <w:pPr>
        <w:spacing w:line="400" w:lineRule="exact"/>
        <w:ind w:firstLine="440" w:firstLineChars="200"/>
        <w:rPr>
          <w:rFonts w:ascii="宋体" w:hAnsi="宋体"/>
          <w:snapToGrid w:val="0"/>
          <w:kern w:val="0"/>
          <w:sz w:val="22"/>
        </w:rPr>
      </w:pPr>
    </w:p>
    <w:p>
      <w:pPr>
        <w:spacing w:line="400" w:lineRule="exact"/>
        <w:ind w:firstLine="440" w:firstLineChars="200"/>
        <w:rPr>
          <w:rFonts w:ascii="宋体" w:hAnsi="宋体"/>
          <w:snapToGrid w:val="0"/>
          <w:kern w:val="0"/>
          <w:sz w:val="22"/>
        </w:rPr>
      </w:pPr>
    </w:p>
    <w:p>
      <w:pPr>
        <w:spacing w:line="400" w:lineRule="exact"/>
        <w:ind w:right="880" w:firstLine="440" w:firstLineChars="200"/>
        <w:jc w:val="left"/>
        <w:rPr>
          <w:rFonts w:ascii="宋体" w:hAnsi="宋体"/>
          <w:snapToGrid w:val="0"/>
          <w:kern w:val="0"/>
          <w:sz w:val="22"/>
        </w:rPr>
      </w:pPr>
      <w:r>
        <w:rPr>
          <w:rFonts w:hint="eastAsia" w:ascii="宋体" w:hAnsi="宋体"/>
          <w:snapToGrid w:val="0"/>
          <w:kern w:val="0"/>
          <w:sz w:val="22"/>
        </w:rPr>
        <w:t>供应商(盖章):</w:t>
      </w:r>
    </w:p>
    <w:p>
      <w:pPr>
        <w:spacing w:line="400" w:lineRule="exact"/>
        <w:ind w:right="440" w:firstLine="440" w:firstLineChars="200"/>
        <w:jc w:val="left"/>
        <w:rPr>
          <w:rFonts w:ascii="宋体" w:hAnsi="宋体"/>
          <w:snapToGrid w:val="0"/>
          <w:kern w:val="0"/>
          <w:sz w:val="22"/>
        </w:rPr>
      </w:pPr>
      <w:r>
        <w:rPr>
          <w:rFonts w:hint="eastAsia" w:ascii="宋体" w:hAnsi="宋体"/>
          <w:snapToGrid w:val="0"/>
          <w:kern w:val="0"/>
          <w:sz w:val="22"/>
        </w:rPr>
        <w:t>法定代表人或授权代表：</w:t>
      </w:r>
    </w:p>
    <w:p>
      <w:pPr>
        <w:spacing w:line="400" w:lineRule="exact"/>
        <w:ind w:firstLine="440" w:firstLineChars="200"/>
        <w:jc w:val="left"/>
        <w:rPr>
          <w:rFonts w:ascii="宋体" w:hAnsi="宋体"/>
          <w:snapToGrid w:val="0"/>
          <w:kern w:val="0"/>
          <w:sz w:val="22"/>
        </w:rPr>
      </w:pPr>
    </w:p>
    <w:p>
      <w:pPr>
        <w:spacing w:line="400" w:lineRule="exact"/>
        <w:ind w:firstLine="440" w:firstLineChars="200"/>
        <w:jc w:val="left"/>
        <w:rPr>
          <w:rFonts w:ascii="宋体" w:hAnsi="宋体"/>
          <w:snapToGrid w:val="0"/>
          <w:kern w:val="0"/>
          <w:sz w:val="22"/>
        </w:rPr>
      </w:pPr>
    </w:p>
    <w:p>
      <w:pPr>
        <w:spacing w:line="400" w:lineRule="exact"/>
        <w:ind w:right="440" w:firstLine="5060" w:firstLineChars="2300"/>
        <w:jc w:val="left"/>
        <w:rPr>
          <w:rFonts w:hint="eastAsia" w:ascii="宋体" w:hAnsi="宋体"/>
          <w:snapToGrid w:val="0"/>
          <w:kern w:val="0"/>
          <w:sz w:val="22"/>
        </w:rPr>
      </w:pPr>
    </w:p>
    <w:p>
      <w:pPr>
        <w:spacing w:line="400" w:lineRule="exact"/>
        <w:ind w:right="440" w:firstLine="5060" w:firstLineChars="2300"/>
        <w:jc w:val="left"/>
        <w:rPr>
          <w:rFonts w:ascii="宋体" w:hAnsi="宋体"/>
          <w:snapToGrid w:val="0"/>
          <w:kern w:val="0"/>
          <w:sz w:val="22"/>
        </w:rPr>
      </w:pPr>
    </w:p>
    <w:p>
      <w:pPr>
        <w:spacing w:line="400" w:lineRule="exact"/>
        <w:ind w:right="440" w:firstLine="330" w:firstLineChars="150"/>
        <w:jc w:val="left"/>
        <w:rPr>
          <w:rFonts w:hint="eastAsia" w:ascii="宋体" w:hAnsi="宋体"/>
          <w:snapToGrid w:val="0"/>
          <w:kern w:val="0"/>
          <w:sz w:val="22"/>
        </w:rPr>
      </w:pPr>
      <w:r>
        <w:rPr>
          <w:rFonts w:hint="eastAsia" w:ascii="宋体" w:hAnsi="宋体"/>
          <w:snapToGrid w:val="0"/>
          <w:kern w:val="0"/>
          <w:sz w:val="22"/>
        </w:rPr>
        <w:t>电话/传真：</w:t>
      </w:r>
    </w:p>
    <w:p>
      <w:pPr>
        <w:spacing w:line="400" w:lineRule="exact"/>
        <w:ind w:right="330" w:firstLine="330" w:firstLineChars="150"/>
        <w:jc w:val="left"/>
        <w:rPr>
          <w:rFonts w:hint="eastAsia" w:ascii="宋体" w:hAnsi="宋体"/>
          <w:snapToGrid w:val="0"/>
          <w:kern w:val="0"/>
          <w:sz w:val="22"/>
        </w:rPr>
      </w:pPr>
      <w:r>
        <w:rPr>
          <w:rFonts w:hint="eastAsia" w:ascii="宋体" w:hAnsi="宋体"/>
          <w:snapToGrid w:val="0"/>
          <w:kern w:val="0"/>
          <w:sz w:val="22"/>
        </w:rPr>
        <w:t>地址：</w:t>
      </w:r>
    </w:p>
    <w:p>
      <w:pPr>
        <w:spacing w:line="400" w:lineRule="exact"/>
        <w:ind w:right="440" w:firstLine="330" w:firstLineChars="150"/>
        <w:jc w:val="left"/>
        <w:rPr>
          <w:rFonts w:ascii="宋体" w:hAnsi="宋体"/>
          <w:snapToGrid w:val="0"/>
          <w:kern w:val="0"/>
          <w:sz w:val="22"/>
        </w:rPr>
      </w:pPr>
      <w:r>
        <w:rPr>
          <w:rFonts w:hint="eastAsia" w:ascii="宋体" w:hAnsi="宋体"/>
          <w:snapToGrid w:val="0"/>
          <w:kern w:val="0"/>
          <w:sz w:val="22"/>
        </w:rPr>
        <w:t>日期：     年   月   日</w:t>
      </w:r>
    </w:p>
    <w:p>
      <w:pPr>
        <w:pStyle w:val="21"/>
        <w:spacing w:line="400" w:lineRule="exact"/>
        <w:ind w:firstLine="420"/>
        <w:rPr>
          <w:rFonts w:ascii="Calibri" w:hAnsi="Calibri" w:cs="Calibri"/>
          <w:bCs/>
          <w:szCs w:val="32"/>
        </w:rPr>
      </w:pPr>
    </w:p>
    <w:p>
      <w:pPr>
        <w:pStyle w:val="21"/>
        <w:spacing w:line="400" w:lineRule="exact"/>
        <w:ind w:firstLine="420"/>
        <w:rPr>
          <w:rFonts w:ascii="Calibri" w:hAnsi="Calibri" w:cs="Calibri"/>
          <w:bCs/>
          <w:szCs w:val="32"/>
        </w:rPr>
      </w:pPr>
    </w:p>
    <w:p>
      <w:pPr>
        <w:pStyle w:val="21"/>
        <w:spacing w:line="400" w:lineRule="exact"/>
        <w:ind w:firstLine="420"/>
        <w:rPr>
          <w:rFonts w:ascii="Calibri" w:hAnsi="Calibri" w:cs="Calibri"/>
          <w:bCs/>
          <w:szCs w:val="32"/>
        </w:rPr>
      </w:pPr>
    </w:p>
    <w:p>
      <w:pPr>
        <w:pStyle w:val="21"/>
        <w:spacing w:line="400" w:lineRule="exact"/>
        <w:ind w:firstLine="0"/>
        <w:rPr>
          <w:rFonts w:hint="eastAsia" w:ascii="Calibri" w:hAnsi="Calibri" w:cs="Calibri"/>
          <w:bCs/>
          <w:szCs w:val="32"/>
        </w:rPr>
      </w:pPr>
      <w:r>
        <w:rPr>
          <w:rFonts w:hint="eastAsia" w:ascii="Calibri" w:hAnsi="Calibri" w:cs="Calibri"/>
          <w:bCs/>
          <w:szCs w:val="32"/>
        </w:rPr>
        <w:t>附件3</w:t>
      </w:r>
    </w:p>
    <w:p>
      <w:pPr>
        <w:jc w:val="center"/>
        <w:rPr>
          <w:rFonts w:hint="eastAsia"/>
          <w:sz w:val="48"/>
          <w:szCs w:val="56"/>
        </w:rPr>
      </w:pPr>
      <w:r>
        <w:rPr>
          <w:rFonts w:hint="eastAsia"/>
          <w:sz w:val="48"/>
          <w:szCs w:val="56"/>
        </w:rPr>
        <w:t>承诺函</w:t>
      </w:r>
    </w:p>
    <w:p>
      <w:pPr>
        <w:jc w:val="center"/>
        <w:rPr>
          <w:rFonts w:hint="eastAsia"/>
          <w:sz w:val="36"/>
          <w:szCs w:val="44"/>
        </w:rPr>
      </w:pPr>
    </w:p>
    <w:p>
      <w:pPr>
        <w:jc w:val="center"/>
        <w:rPr>
          <w:rFonts w:hint="eastAsia"/>
          <w:sz w:val="36"/>
          <w:szCs w:val="44"/>
        </w:rPr>
      </w:pPr>
    </w:p>
    <w:p>
      <w:pPr>
        <w:spacing w:line="480" w:lineRule="auto"/>
        <w:rPr>
          <w:rFonts w:hint="eastAsia"/>
          <w:sz w:val="36"/>
          <w:szCs w:val="44"/>
        </w:rPr>
      </w:pPr>
      <w:r>
        <w:rPr>
          <w:rFonts w:hint="eastAsia"/>
          <w:sz w:val="36"/>
          <w:szCs w:val="44"/>
        </w:rPr>
        <w:t>浙江省</w:t>
      </w:r>
      <w:r>
        <w:rPr>
          <w:sz w:val="36"/>
          <w:szCs w:val="44"/>
        </w:rPr>
        <w:t>机场</w:t>
      </w:r>
      <w:r>
        <w:rPr>
          <w:rFonts w:hint="eastAsia"/>
          <w:sz w:val="36"/>
          <w:szCs w:val="44"/>
        </w:rPr>
        <w:t>集团：</w:t>
      </w:r>
    </w:p>
    <w:p>
      <w:pPr>
        <w:spacing w:line="480" w:lineRule="auto"/>
        <w:rPr>
          <w:rFonts w:hint="eastAsia"/>
          <w:sz w:val="36"/>
          <w:szCs w:val="44"/>
        </w:rPr>
      </w:pPr>
    </w:p>
    <w:p>
      <w:pPr>
        <w:spacing w:line="720" w:lineRule="auto"/>
        <w:ind w:firstLine="640"/>
        <w:rPr>
          <w:rFonts w:hint="eastAsia"/>
          <w:sz w:val="36"/>
          <w:szCs w:val="44"/>
        </w:rPr>
      </w:pPr>
      <w:r>
        <w:rPr>
          <w:rFonts w:hint="eastAsia" w:ascii="宋体" w:hAnsi="宋体" w:cs="宋体"/>
          <w:sz w:val="36"/>
          <w:szCs w:val="44"/>
        </w:rPr>
        <w:t>经我司审核确认，</w:t>
      </w:r>
      <w:r>
        <w:rPr>
          <w:rFonts w:hint="eastAsia" w:ascii="宋体" w:hAnsi="宋体" w:cs="宋体"/>
          <w:sz w:val="36"/>
          <w:szCs w:val="44"/>
          <w:u w:val="single"/>
        </w:rPr>
        <w:t xml:space="preserve">                       </w:t>
      </w:r>
      <w:r>
        <w:rPr>
          <w:rFonts w:hint="eastAsia" w:ascii="宋体" w:hAnsi="宋体" w:cs="宋体"/>
          <w:sz w:val="36"/>
          <w:szCs w:val="44"/>
        </w:rPr>
        <w:t>项目的合同条款与招标文件，投标文件，投标承诺等内容一致。</w:t>
      </w:r>
    </w:p>
    <w:p>
      <w:pPr>
        <w:jc w:val="center"/>
        <w:rPr>
          <w:rFonts w:hint="eastAsia"/>
          <w:sz w:val="36"/>
          <w:szCs w:val="44"/>
        </w:rPr>
      </w:pPr>
      <w:r>
        <w:rPr>
          <w:rFonts w:hint="eastAsia"/>
          <w:sz w:val="36"/>
          <w:szCs w:val="44"/>
        </w:rPr>
        <w:t xml:space="preserve">                                 </w:t>
      </w:r>
    </w:p>
    <w:p>
      <w:pPr>
        <w:jc w:val="center"/>
        <w:rPr>
          <w:rFonts w:hint="eastAsia"/>
          <w:sz w:val="36"/>
          <w:szCs w:val="44"/>
        </w:rPr>
      </w:pPr>
      <w:r>
        <w:rPr>
          <w:rFonts w:hint="eastAsia"/>
          <w:sz w:val="36"/>
          <w:szCs w:val="44"/>
        </w:rPr>
        <w:t xml:space="preserve">                     承诺人：   </w:t>
      </w:r>
    </w:p>
    <w:p>
      <w:pPr>
        <w:jc w:val="center"/>
        <w:rPr>
          <w:rFonts w:hint="eastAsia"/>
          <w:sz w:val="36"/>
          <w:szCs w:val="44"/>
        </w:rPr>
      </w:pPr>
      <w:r>
        <w:rPr>
          <w:rFonts w:hint="eastAsia"/>
          <w:sz w:val="36"/>
          <w:szCs w:val="44"/>
        </w:rPr>
        <w:t xml:space="preserve">           </w:t>
      </w:r>
    </w:p>
    <w:p>
      <w:pPr>
        <w:ind w:firstLine="640"/>
        <w:jc w:val="center"/>
        <w:rPr>
          <w:rFonts w:hint="eastAsia"/>
          <w:sz w:val="36"/>
          <w:szCs w:val="44"/>
        </w:rPr>
      </w:pPr>
      <w:r>
        <w:rPr>
          <w:rFonts w:hint="eastAsia"/>
          <w:sz w:val="36"/>
          <w:szCs w:val="44"/>
        </w:rPr>
        <w:t xml:space="preserve">                            年   月   日</w:t>
      </w:r>
    </w:p>
    <w:p>
      <w:pPr>
        <w:pStyle w:val="21"/>
        <w:spacing w:line="400" w:lineRule="exact"/>
        <w:ind w:firstLine="420"/>
        <w:rPr>
          <w:rFonts w:hint="eastAsia" w:ascii="Calibri" w:hAnsi="Calibri" w:cs="Calibri"/>
          <w:bCs/>
          <w:szCs w:val="32"/>
        </w:rPr>
        <w:sectPr>
          <w:headerReference r:id="rId7" w:type="first"/>
          <w:pgSz w:w="11906" w:h="16838"/>
          <w:pgMar w:top="1134" w:right="1247" w:bottom="1134" w:left="1247" w:header="851" w:footer="1134" w:gutter="0"/>
          <w:pgNumType w:fmt="numberInDash"/>
          <w:cols w:space="720" w:num="1"/>
          <w:docGrid w:linePitch="312" w:charSpace="0"/>
        </w:sectPr>
      </w:pPr>
    </w:p>
    <w:p>
      <w:pPr>
        <w:pStyle w:val="2"/>
        <w:spacing w:before="0" w:after="0" w:line="400" w:lineRule="exact"/>
        <w:jc w:val="center"/>
        <w:rPr>
          <w:rFonts w:ascii="Calibri" w:hAnsi="Calibri" w:eastAsia="黑体" w:cs="Calibri"/>
          <w:kern w:val="0"/>
          <w:sz w:val="32"/>
        </w:rPr>
      </w:pPr>
      <w:bookmarkStart w:id="115" w:name="_Toc448002987"/>
      <w:r>
        <w:rPr>
          <w:rFonts w:ascii="Calibri" w:hAnsi="Calibri" w:eastAsia="黑体" w:cs="Calibri"/>
          <w:kern w:val="0"/>
          <w:sz w:val="32"/>
        </w:rPr>
        <w:t>第</w:t>
      </w:r>
      <w:r>
        <w:rPr>
          <w:rFonts w:hint="eastAsia" w:ascii="Calibri" w:hAnsi="Calibri" w:eastAsia="黑体" w:cs="Calibri"/>
          <w:kern w:val="0"/>
          <w:sz w:val="32"/>
        </w:rPr>
        <w:t>五</w:t>
      </w:r>
      <w:r>
        <w:rPr>
          <w:rFonts w:ascii="Calibri" w:hAnsi="Calibri" w:eastAsia="黑体" w:cs="Calibri"/>
          <w:kern w:val="0"/>
          <w:sz w:val="32"/>
        </w:rPr>
        <w:t>章  评标方法及标准</w:t>
      </w:r>
      <w:bookmarkEnd w:id="115"/>
    </w:p>
    <w:p>
      <w:pPr>
        <w:rPr>
          <w:rFonts w:hint="eastAsia"/>
        </w:rPr>
      </w:pPr>
    </w:p>
    <w:p>
      <w:pPr>
        <w:pStyle w:val="21"/>
        <w:spacing w:line="400" w:lineRule="exact"/>
        <w:ind w:firstLine="420"/>
        <w:rPr>
          <w:rFonts w:hAnsi="宋体" w:cs="Calibri"/>
          <w:bCs/>
          <w:sz w:val="22"/>
          <w:szCs w:val="22"/>
        </w:rPr>
      </w:pPr>
      <w:bookmarkStart w:id="116" w:name="_Toc29892"/>
      <w:r>
        <w:rPr>
          <w:rFonts w:hAnsi="宋体" w:cs="Calibri"/>
          <w:bCs/>
          <w:sz w:val="22"/>
          <w:szCs w:val="22"/>
        </w:rPr>
        <w:t>为保证本招标项目评标工作顺利进行，根据《中华人民共和国招标投标法》、《中华人民共和国招标投标法实施条例》、《评标委员会和评标方法暂行规定》（原国家发展计划委员会、建设部等七部委 第12号令）等有关规定，制定本办法。</w:t>
      </w:r>
    </w:p>
    <w:p>
      <w:pPr>
        <w:pStyle w:val="21"/>
        <w:spacing w:line="400" w:lineRule="exact"/>
        <w:rPr>
          <w:rFonts w:hAnsi="宋体" w:cs="Calibri"/>
          <w:b/>
          <w:bCs/>
          <w:sz w:val="22"/>
          <w:szCs w:val="22"/>
        </w:rPr>
      </w:pPr>
      <w:r>
        <w:rPr>
          <w:rFonts w:hAnsi="宋体" w:cs="Calibri"/>
          <w:b/>
          <w:bCs/>
          <w:sz w:val="22"/>
          <w:szCs w:val="22"/>
        </w:rPr>
        <w:t>一、评标原则</w:t>
      </w:r>
    </w:p>
    <w:p>
      <w:pPr>
        <w:pStyle w:val="21"/>
        <w:spacing w:line="400" w:lineRule="exact"/>
        <w:ind w:firstLine="420"/>
        <w:rPr>
          <w:rFonts w:hAnsi="宋体" w:cs="Calibri"/>
          <w:bCs/>
          <w:sz w:val="22"/>
          <w:szCs w:val="22"/>
        </w:rPr>
      </w:pPr>
      <w:r>
        <w:rPr>
          <w:rFonts w:hAnsi="宋体" w:cs="Calibri"/>
          <w:bCs/>
          <w:sz w:val="22"/>
          <w:szCs w:val="22"/>
        </w:rPr>
        <w:t>评标应遵循公平、公正、科学、择优的原则。</w:t>
      </w:r>
    </w:p>
    <w:p>
      <w:pPr>
        <w:pStyle w:val="21"/>
        <w:spacing w:line="400" w:lineRule="exact"/>
        <w:ind w:firstLine="420"/>
        <w:rPr>
          <w:rFonts w:hAnsi="宋体" w:cs="Calibri"/>
          <w:b/>
          <w:bCs/>
          <w:sz w:val="22"/>
          <w:szCs w:val="22"/>
        </w:rPr>
      </w:pPr>
      <w:r>
        <w:rPr>
          <w:rFonts w:hint="eastAsia" w:hAnsi="宋体" w:cs="Calibri"/>
          <w:b/>
          <w:bCs/>
          <w:sz w:val="22"/>
          <w:szCs w:val="22"/>
        </w:rPr>
        <w:t>本项目分为两个标段，投标人可以根据自身情况选择任一标段或选择全部标段进行投标，但每个投标人最多只能中标一个标段。</w:t>
      </w:r>
    </w:p>
    <w:p>
      <w:pPr>
        <w:pStyle w:val="21"/>
        <w:spacing w:line="400" w:lineRule="exact"/>
        <w:ind w:firstLine="420"/>
        <w:rPr>
          <w:rFonts w:hAnsi="宋体" w:cs="Calibri"/>
          <w:b/>
          <w:bCs/>
          <w:sz w:val="22"/>
          <w:szCs w:val="22"/>
        </w:rPr>
      </w:pPr>
      <w:r>
        <w:rPr>
          <w:rFonts w:hint="eastAsia" w:hAnsi="宋体" w:cs="Calibri"/>
          <w:b/>
          <w:bCs/>
          <w:sz w:val="22"/>
          <w:szCs w:val="22"/>
        </w:rPr>
        <w:t>本项目评标时，将按照标段一、标段二的顺序进行评审，每个标段的</w:t>
      </w:r>
      <w:r>
        <w:rPr>
          <w:rFonts w:hAnsi="宋体" w:cs="Calibri"/>
          <w:b/>
          <w:bCs/>
          <w:sz w:val="22"/>
          <w:szCs w:val="22"/>
        </w:rPr>
        <w:t>4</w:t>
      </w:r>
      <w:r>
        <w:rPr>
          <w:rFonts w:hint="eastAsia" w:hAnsi="宋体" w:cs="Calibri"/>
          <w:b/>
          <w:bCs/>
          <w:sz w:val="22"/>
          <w:szCs w:val="22"/>
        </w:rPr>
        <w:t>个中标人需为不同的投标人，已在前面标段被推荐为中标候选人的投标人，继续参与后续标段的评标，但不得再次被推荐为中标候选人，即标段一的某个中标候选人如在标段二得分排名前四，则标段二得分排名第五名的投标人为中标候选人，以此类推。</w:t>
      </w:r>
    </w:p>
    <w:p>
      <w:pPr>
        <w:pStyle w:val="21"/>
        <w:spacing w:line="400" w:lineRule="exact"/>
        <w:ind w:firstLine="420"/>
        <w:rPr>
          <w:rFonts w:hAnsi="宋体" w:cs="Calibri"/>
          <w:b/>
          <w:bCs/>
          <w:sz w:val="22"/>
          <w:szCs w:val="22"/>
        </w:rPr>
      </w:pPr>
      <w:r>
        <w:rPr>
          <w:rFonts w:hAnsi="宋体" w:cs="Calibri"/>
          <w:b/>
          <w:bCs/>
          <w:sz w:val="22"/>
          <w:szCs w:val="22"/>
        </w:rPr>
        <w:t>二、评标组织</w:t>
      </w:r>
    </w:p>
    <w:p>
      <w:pPr>
        <w:pStyle w:val="21"/>
        <w:spacing w:line="400" w:lineRule="exact"/>
        <w:ind w:firstLine="420"/>
        <w:rPr>
          <w:rFonts w:hAnsi="宋体" w:cs="Calibri"/>
          <w:sz w:val="22"/>
          <w:szCs w:val="22"/>
        </w:rPr>
      </w:pPr>
      <w:r>
        <w:rPr>
          <w:rFonts w:hAnsi="宋体" w:cs="Calibri"/>
          <w:sz w:val="22"/>
          <w:szCs w:val="22"/>
        </w:rPr>
        <w:t>评标工作由招标人依法组建的评标委员会负责。评标委员会成员为3人及以上单数，</w:t>
      </w:r>
      <w:r>
        <w:rPr>
          <w:rFonts w:hint="eastAsia" w:hAnsi="宋体"/>
          <w:sz w:val="22"/>
          <w:szCs w:val="22"/>
        </w:rPr>
        <w:t>评标委员会成员由招标人自行组建。</w:t>
      </w:r>
    </w:p>
    <w:p>
      <w:pPr>
        <w:pStyle w:val="21"/>
        <w:spacing w:line="400" w:lineRule="exact"/>
        <w:rPr>
          <w:rFonts w:hAnsi="宋体" w:cs="Calibri"/>
          <w:b/>
          <w:bCs/>
          <w:sz w:val="22"/>
          <w:szCs w:val="22"/>
        </w:rPr>
      </w:pPr>
      <w:r>
        <w:rPr>
          <w:rFonts w:hAnsi="宋体" w:cs="Calibri"/>
          <w:b/>
          <w:bCs/>
          <w:sz w:val="22"/>
          <w:szCs w:val="22"/>
        </w:rPr>
        <w:t>三、投标文件的评审</w:t>
      </w:r>
    </w:p>
    <w:p>
      <w:pPr>
        <w:pStyle w:val="21"/>
        <w:spacing w:line="360" w:lineRule="exact"/>
        <w:ind w:firstLine="440" w:firstLineChars="200"/>
        <w:rPr>
          <w:rFonts w:hAnsi="宋体" w:cs="Calibri"/>
          <w:b/>
          <w:sz w:val="22"/>
          <w:szCs w:val="22"/>
        </w:rPr>
      </w:pPr>
      <w:r>
        <w:rPr>
          <w:rFonts w:hAnsi="宋体" w:cs="Calibri"/>
          <w:b/>
          <w:sz w:val="22"/>
          <w:szCs w:val="22"/>
        </w:rPr>
        <w:t>3.1 符合性评审</w:t>
      </w:r>
    </w:p>
    <w:p>
      <w:pPr>
        <w:widowControl/>
        <w:tabs>
          <w:tab w:val="left" w:pos="709"/>
        </w:tabs>
        <w:snapToGrid w:val="0"/>
        <w:spacing w:line="360" w:lineRule="exact"/>
        <w:ind w:firstLine="444" w:firstLineChars="202"/>
        <w:rPr>
          <w:rFonts w:ascii="宋体" w:hAnsi="宋体" w:cs="Calibri"/>
          <w:bCs/>
          <w:kern w:val="0"/>
          <w:sz w:val="22"/>
        </w:rPr>
      </w:pPr>
      <w:r>
        <w:rPr>
          <w:rFonts w:ascii="宋体" w:hAnsi="宋体" w:cs="Calibri"/>
          <w:bCs/>
          <w:kern w:val="0"/>
          <w:sz w:val="22"/>
        </w:rPr>
        <w:t>3.1.1评标委员会应依照招标文件的要求和规定首先对投标人的投标资格和投标文件进行符合性审查，</w:t>
      </w:r>
      <w:r>
        <w:rPr>
          <w:rFonts w:ascii="宋体" w:hAnsi="宋体" w:cs="Calibri"/>
          <w:b/>
          <w:kern w:val="0"/>
          <w:sz w:val="22"/>
        </w:rPr>
        <w:t>审查过程中评标委员会可以要求投标人提交下列审查项所需的有关证明和证件的原件，以便核验。</w:t>
      </w:r>
      <w:r>
        <w:rPr>
          <w:rFonts w:ascii="宋体" w:hAnsi="宋体" w:cs="Calibri"/>
          <w:bCs/>
          <w:kern w:val="0"/>
          <w:sz w:val="22"/>
        </w:rPr>
        <w:t>投标文件如存在以下情况之一的，经评标委员会三分之二以上的成员认定，符合性审查不予通过，</w:t>
      </w:r>
      <w:r>
        <w:rPr>
          <w:rFonts w:ascii="宋体" w:hAnsi="宋体" w:cs="Calibri"/>
          <w:b/>
          <w:bCs/>
          <w:kern w:val="0"/>
          <w:sz w:val="22"/>
        </w:rPr>
        <w:t>作</w:t>
      </w:r>
      <w:r>
        <w:rPr>
          <w:rFonts w:hint="eastAsia" w:ascii="宋体" w:hAnsi="宋体" w:cs="Calibri"/>
          <w:b/>
          <w:bCs/>
          <w:kern w:val="0"/>
          <w:sz w:val="22"/>
        </w:rPr>
        <w:t>否决投标</w:t>
      </w:r>
      <w:r>
        <w:rPr>
          <w:rFonts w:ascii="宋体" w:hAnsi="宋体" w:cs="Calibri"/>
          <w:b/>
          <w:bCs/>
          <w:kern w:val="0"/>
          <w:sz w:val="22"/>
        </w:rPr>
        <w:t>处理，</w:t>
      </w:r>
      <w:r>
        <w:rPr>
          <w:rFonts w:ascii="宋体" w:hAnsi="宋体" w:cs="Calibri"/>
          <w:bCs/>
          <w:kern w:val="0"/>
          <w:sz w:val="22"/>
        </w:rPr>
        <w:t>不再进行详细评审：</w:t>
      </w:r>
    </w:p>
    <w:p>
      <w:pPr>
        <w:spacing w:line="360" w:lineRule="exact"/>
        <w:ind w:firstLine="470" w:firstLineChars="214"/>
        <w:rPr>
          <w:rFonts w:ascii="宋体" w:hAnsi="宋体" w:cs="Calibri"/>
          <w:sz w:val="22"/>
        </w:rPr>
      </w:pPr>
      <w:r>
        <w:rPr>
          <w:rFonts w:ascii="宋体" w:hAnsi="宋体" w:cs="Calibri"/>
          <w:sz w:val="22"/>
        </w:rPr>
        <w:t>1、</w:t>
      </w:r>
      <w:r>
        <w:rPr>
          <w:rFonts w:ascii="宋体" w:hAnsi="宋体" w:cs="Calibri"/>
          <w:bCs/>
          <w:kern w:val="0"/>
          <w:sz w:val="22"/>
        </w:rPr>
        <w:t>投标人的投标资格不满足国家有关规定或招标文件载明的投标资格条件的；</w:t>
      </w:r>
    </w:p>
    <w:p>
      <w:pPr>
        <w:spacing w:line="360" w:lineRule="exact"/>
        <w:ind w:firstLine="470" w:firstLineChars="214"/>
        <w:rPr>
          <w:rFonts w:ascii="宋体" w:hAnsi="宋体" w:cs="Calibri"/>
          <w:sz w:val="22"/>
        </w:rPr>
      </w:pPr>
      <w:r>
        <w:rPr>
          <w:rFonts w:ascii="宋体" w:hAnsi="宋体" w:cs="Calibri"/>
          <w:sz w:val="22"/>
        </w:rPr>
        <w:t>2、投标文件未按招标文件的要求签署和盖章的（仅限于单位印章和法定代表人或其委托代理人签字或盖章）；</w:t>
      </w:r>
    </w:p>
    <w:p>
      <w:pPr>
        <w:spacing w:line="360" w:lineRule="exact"/>
        <w:ind w:firstLine="470" w:firstLineChars="214"/>
        <w:rPr>
          <w:rFonts w:ascii="宋体" w:hAnsi="宋体" w:cs="Calibri"/>
          <w:sz w:val="22"/>
        </w:rPr>
      </w:pPr>
      <w:r>
        <w:rPr>
          <w:rFonts w:ascii="宋体" w:hAnsi="宋体" w:cs="Calibri"/>
          <w:sz w:val="22"/>
        </w:rPr>
        <w:t>3、投标文件未按规定的格式填写，内容不全或关键字迹模糊、无法辨认的；</w:t>
      </w:r>
    </w:p>
    <w:p>
      <w:pPr>
        <w:spacing w:line="360" w:lineRule="exact"/>
        <w:ind w:firstLine="470" w:firstLineChars="214"/>
        <w:rPr>
          <w:rFonts w:ascii="宋体" w:hAnsi="宋体" w:cs="Calibri"/>
          <w:sz w:val="22"/>
        </w:rPr>
      </w:pPr>
      <w:r>
        <w:rPr>
          <w:rFonts w:ascii="宋体" w:hAnsi="宋体" w:cs="Calibri"/>
          <w:sz w:val="22"/>
        </w:rPr>
        <w:t>4、投标人递交两份或多份内容不同的投标文件，或在一份投标文件中对同一招标项目报有两个或多个报价，且未声明哪一个有效；</w:t>
      </w:r>
    </w:p>
    <w:p>
      <w:pPr>
        <w:spacing w:line="360" w:lineRule="exact"/>
        <w:ind w:firstLine="470" w:firstLineChars="214"/>
        <w:rPr>
          <w:rFonts w:ascii="宋体" w:hAnsi="宋体" w:cs="Calibri"/>
          <w:sz w:val="22"/>
        </w:rPr>
      </w:pPr>
      <w:r>
        <w:rPr>
          <w:rFonts w:ascii="宋体" w:hAnsi="宋体" w:cs="Calibri"/>
          <w:sz w:val="22"/>
        </w:rPr>
        <w:t>5、</w:t>
      </w:r>
      <w:r>
        <w:rPr>
          <w:rFonts w:hint="eastAsia" w:ascii="宋体" w:hAnsi="宋体" w:cs="Calibri"/>
          <w:sz w:val="22"/>
        </w:rPr>
        <w:t>服务</w:t>
      </w:r>
      <w:r>
        <w:rPr>
          <w:rFonts w:ascii="宋体" w:hAnsi="宋体" w:cs="Calibri"/>
          <w:sz w:val="22"/>
        </w:rPr>
        <w:t>期不满足招标文件要求的；</w:t>
      </w:r>
    </w:p>
    <w:p>
      <w:pPr>
        <w:spacing w:line="360" w:lineRule="exact"/>
        <w:ind w:firstLine="470" w:firstLineChars="214"/>
        <w:rPr>
          <w:rFonts w:ascii="宋体" w:hAnsi="宋体" w:cs="Calibri"/>
          <w:sz w:val="22"/>
        </w:rPr>
      </w:pPr>
      <w:r>
        <w:rPr>
          <w:rFonts w:ascii="宋体" w:hAnsi="宋体" w:cs="Calibri"/>
          <w:sz w:val="22"/>
        </w:rPr>
        <w:t>6、不</w:t>
      </w:r>
      <w:r>
        <w:rPr>
          <w:rFonts w:ascii="宋体" w:hAnsi="宋体" w:cs="Calibri"/>
          <w:kern w:val="0"/>
          <w:sz w:val="22"/>
        </w:rPr>
        <w:t>响应招标文件规定的实质性要求（包括具体条文前用“★”标示的）</w:t>
      </w:r>
    </w:p>
    <w:p>
      <w:pPr>
        <w:spacing w:line="360" w:lineRule="exact"/>
        <w:ind w:firstLine="470" w:firstLineChars="214"/>
        <w:rPr>
          <w:rFonts w:ascii="宋体" w:hAnsi="宋体" w:cs="Calibri"/>
          <w:sz w:val="22"/>
        </w:rPr>
      </w:pPr>
      <w:r>
        <w:rPr>
          <w:rFonts w:ascii="宋体" w:hAnsi="宋体" w:cs="Calibri"/>
          <w:sz w:val="22"/>
        </w:rPr>
        <w:t>7、投标人不以自己的名义或未按招标文件的要求提供投标保证金或提供的保证金有缺陷而不能接受的；</w:t>
      </w:r>
    </w:p>
    <w:p>
      <w:pPr>
        <w:spacing w:line="360" w:lineRule="exact"/>
        <w:ind w:firstLine="470" w:firstLineChars="214"/>
        <w:rPr>
          <w:rFonts w:ascii="宋体" w:hAnsi="宋体" w:cs="Calibri"/>
          <w:sz w:val="22"/>
        </w:rPr>
      </w:pPr>
      <w:r>
        <w:rPr>
          <w:rFonts w:ascii="宋体" w:hAnsi="宋体" w:cs="Calibri"/>
          <w:sz w:val="22"/>
        </w:rPr>
        <w:t>8、投标人以他人名义投标、或与他人串通投标、或以行贿手段谋取中标，或弄虚作假的；</w:t>
      </w:r>
    </w:p>
    <w:p>
      <w:pPr>
        <w:spacing w:line="360" w:lineRule="exact"/>
        <w:ind w:firstLine="470" w:firstLineChars="214"/>
        <w:rPr>
          <w:rFonts w:ascii="宋体" w:hAnsi="宋体" w:cs="Calibri"/>
          <w:sz w:val="22"/>
        </w:rPr>
      </w:pPr>
      <w:r>
        <w:rPr>
          <w:rFonts w:hint="eastAsia" w:ascii="宋体" w:hAnsi="宋体" w:cs="Calibri"/>
          <w:sz w:val="22"/>
        </w:rPr>
        <w:t>9</w:t>
      </w:r>
      <w:r>
        <w:rPr>
          <w:rFonts w:ascii="宋体" w:hAnsi="宋体" w:cs="Calibri"/>
          <w:sz w:val="22"/>
        </w:rPr>
        <w:t>、存在法律、法规、规章规定的其它无效投标情况的</w:t>
      </w:r>
      <w:r>
        <w:rPr>
          <w:rFonts w:hint="eastAsia" w:ascii="宋体" w:hAnsi="宋体" w:cs="Calibri"/>
          <w:sz w:val="22"/>
        </w:rPr>
        <w:t>。</w:t>
      </w:r>
    </w:p>
    <w:p>
      <w:pPr>
        <w:spacing w:line="360" w:lineRule="exact"/>
        <w:ind w:firstLine="470" w:firstLineChars="214"/>
        <w:rPr>
          <w:rFonts w:ascii="宋体" w:hAnsi="宋体" w:cs="Calibri"/>
          <w:sz w:val="22"/>
        </w:rPr>
      </w:pPr>
      <w:r>
        <w:rPr>
          <w:rFonts w:hint="eastAsia" w:ascii="宋体" w:hAnsi="宋体" w:cs="Calibri"/>
          <w:sz w:val="22"/>
        </w:rPr>
        <w:t>涉及本文件投标人资格条件第（2）至（4）款，若投标人采用承诺方式的，评标委员会有权通过信用中国网站www.creditchina.gov.cn、中国裁判文书网http://wenshu.court.gov.cn、国家税务总局各省电子税务局网站进行查询，若查询结果不符合资格条件要求或无法查询到相关信息的，评标委员会有权对该投标人作否决投标处理。</w:t>
      </w:r>
    </w:p>
    <w:p>
      <w:pPr>
        <w:widowControl/>
        <w:tabs>
          <w:tab w:val="left" w:pos="709"/>
        </w:tabs>
        <w:snapToGrid w:val="0"/>
        <w:spacing w:line="360" w:lineRule="exact"/>
        <w:ind w:firstLine="444" w:firstLineChars="202"/>
        <w:rPr>
          <w:rFonts w:ascii="宋体" w:hAnsi="宋体" w:cs="Calibri"/>
          <w:b/>
          <w:sz w:val="22"/>
        </w:rPr>
      </w:pPr>
      <w:r>
        <w:rPr>
          <w:rFonts w:ascii="宋体" w:hAnsi="宋体" w:cs="Calibri"/>
          <w:b/>
          <w:sz w:val="22"/>
        </w:rPr>
        <w:t>3.1.2 报价算术性修正</w:t>
      </w:r>
    </w:p>
    <w:p>
      <w:pPr>
        <w:pStyle w:val="21"/>
        <w:spacing w:line="360" w:lineRule="exact"/>
        <w:ind w:firstLine="440" w:firstLineChars="200"/>
        <w:rPr>
          <w:rFonts w:hAnsi="宋体" w:cs="Calibri"/>
          <w:sz w:val="22"/>
          <w:szCs w:val="22"/>
        </w:rPr>
      </w:pPr>
      <w:r>
        <w:rPr>
          <w:rFonts w:hAnsi="宋体" w:cs="Calibri"/>
          <w:sz w:val="22"/>
          <w:szCs w:val="22"/>
        </w:rPr>
        <w:t>评标委员会按以下原则对通过符合性审查的投标文件报价进行算术性修正：</w:t>
      </w:r>
    </w:p>
    <w:p>
      <w:pPr>
        <w:pStyle w:val="21"/>
        <w:adjustRightInd w:val="0"/>
        <w:spacing w:line="360" w:lineRule="exact"/>
        <w:ind w:firstLine="330" w:firstLineChars="150"/>
        <w:rPr>
          <w:rFonts w:hAnsi="宋体" w:cs="Calibri"/>
          <w:sz w:val="22"/>
          <w:szCs w:val="22"/>
        </w:rPr>
      </w:pPr>
      <w:r>
        <w:rPr>
          <w:rFonts w:hint="eastAsia" w:hAnsi="宋体" w:cs="Calibri"/>
          <w:sz w:val="22"/>
          <w:szCs w:val="22"/>
        </w:rPr>
        <w:t>（1）</w:t>
      </w:r>
      <w:r>
        <w:rPr>
          <w:rFonts w:hAnsi="宋体" w:cs="Calibri"/>
          <w:sz w:val="22"/>
          <w:szCs w:val="22"/>
        </w:rPr>
        <w:t>投标文件中的大写金额与小写金额不一致的，以大写金额为准；</w:t>
      </w:r>
    </w:p>
    <w:p>
      <w:pPr>
        <w:pStyle w:val="21"/>
        <w:adjustRightInd w:val="0"/>
        <w:spacing w:line="360" w:lineRule="exact"/>
        <w:ind w:firstLine="330" w:firstLineChars="150"/>
        <w:rPr>
          <w:rFonts w:hAnsi="宋体" w:cs="Calibri"/>
          <w:sz w:val="22"/>
          <w:szCs w:val="22"/>
        </w:rPr>
      </w:pPr>
      <w:r>
        <w:rPr>
          <w:rFonts w:hint="eastAsia" w:hAnsi="宋体" w:cs="Calibri"/>
          <w:sz w:val="22"/>
          <w:szCs w:val="22"/>
        </w:rPr>
        <w:t>（2）</w:t>
      </w:r>
      <w:r>
        <w:rPr>
          <w:rFonts w:hAnsi="宋体" w:cs="Calibri"/>
          <w:sz w:val="22"/>
          <w:szCs w:val="22"/>
        </w:rPr>
        <w:t>总价金额与依据单价（或各分项合计）计算出的结果不一致的，以单价金额（或各分项合计）为准修正总价，但单价金额小数点有明显错误的除外。</w:t>
      </w:r>
    </w:p>
    <w:p>
      <w:pPr>
        <w:pStyle w:val="21"/>
        <w:spacing w:line="360" w:lineRule="exact"/>
        <w:ind w:firstLine="440" w:firstLineChars="200"/>
        <w:rPr>
          <w:rFonts w:hAnsi="宋体" w:cs="Calibri"/>
          <w:b/>
          <w:sz w:val="22"/>
          <w:szCs w:val="22"/>
        </w:rPr>
      </w:pPr>
      <w:r>
        <w:rPr>
          <w:rFonts w:hAnsi="宋体" w:cs="Calibri"/>
          <w:sz w:val="22"/>
          <w:szCs w:val="22"/>
        </w:rPr>
        <w:t>★修正的价格经投标人书面确认后具有约束力。投标人不接受修正价格的，其投标作</w:t>
      </w:r>
      <w:r>
        <w:rPr>
          <w:rFonts w:hint="eastAsia" w:hAnsi="宋体" w:cs="Calibri"/>
          <w:b/>
          <w:bCs/>
          <w:sz w:val="22"/>
        </w:rPr>
        <w:t>否决投标</w:t>
      </w:r>
      <w:r>
        <w:rPr>
          <w:rFonts w:hAnsi="宋体" w:cs="Calibri"/>
          <w:b/>
          <w:sz w:val="22"/>
          <w:szCs w:val="22"/>
        </w:rPr>
        <w:t>处理</w:t>
      </w:r>
      <w:r>
        <w:rPr>
          <w:rFonts w:hAnsi="宋体" w:cs="Calibri"/>
          <w:sz w:val="22"/>
          <w:szCs w:val="22"/>
        </w:rPr>
        <w:t>。</w:t>
      </w:r>
    </w:p>
    <w:p>
      <w:pPr>
        <w:pStyle w:val="21"/>
        <w:spacing w:line="360" w:lineRule="exact"/>
        <w:ind w:firstLine="440" w:firstLineChars="200"/>
        <w:rPr>
          <w:rFonts w:hAnsi="宋体" w:cs="Calibri"/>
          <w:b/>
          <w:sz w:val="22"/>
          <w:szCs w:val="22"/>
        </w:rPr>
      </w:pPr>
      <w:r>
        <w:rPr>
          <w:rFonts w:hAnsi="宋体" w:cs="Calibri"/>
          <w:sz w:val="22"/>
          <w:szCs w:val="22"/>
        </w:rPr>
        <w:t>当通过符合性评审的单位少于</w:t>
      </w:r>
      <w:r>
        <w:rPr>
          <w:rFonts w:hint="eastAsia" w:hAnsi="宋体" w:cs="Calibri"/>
          <w:sz w:val="22"/>
          <w:szCs w:val="22"/>
        </w:rPr>
        <w:t>四</w:t>
      </w:r>
      <w:r>
        <w:rPr>
          <w:rFonts w:hAnsi="宋体" w:cs="Calibri"/>
          <w:sz w:val="22"/>
          <w:szCs w:val="22"/>
        </w:rPr>
        <w:t>家时（不包括</w:t>
      </w:r>
      <w:r>
        <w:rPr>
          <w:rFonts w:hint="eastAsia" w:hAnsi="宋体" w:cs="Calibri"/>
          <w:sz w:val="22"/>
          <w:szCs w:val="22"/>
        </w:rPr>
        <w:t>四</w:t>
      </w:r>
      <w:r>
        <w:rPr>
          <w:rFonts w:hAnsi="宋体" w:cs="Calibri"/>
          <w:sz w:val="22"/>
          <w:szCs w:val="22"/>
        </w:rPr>
        <w:t>家），应由评标委员会确认是否具有竞争性，如果有竞争性，则评标继续进行。</w:t>
      </w:r>
    </w:p>
    <w:p>
      <w:pPr>
        <w:pStyle w:val="21"/>
        <w:spacing w:line="360" w:lineRule="exact"/>
        <w:ind w:firstLine="440" w:firstLineChars="200"/>
        <w:rPr>
          <w:rFonts w:hAnsi="宋体" w:cs="Calibri"/>
          <w:b/>
          <w:sz w:val="22"/>
          <w:szCs w:val="22"/>
        </w:rPr>
      </w:pPr>
      <w:r>
        <w:rPr>
          <w:rFonts w:hAnsi="宋体" w:cs="Calibri"/>
          <w:b/>
          <w:sz w:val="22"/>
          <w:szCs w:val="22"/>
        </w:rPr>
        <w:t>3.2 投标文件的澄清和补正</w:t>
      </w:r>
    </w:p>
    <w:p>
      <w:pPr>
        <w:pStyle w:val="21"/>
        <w:adjustRightInd w:val="0"/>
        <w:snapToGrid w:val="0"/>
        <w:spacing w:line="360" w:lineRule="exact"/>
        <w:ind w:firstLine="440" w:firstLineChars="200"/>
        <w:rPr>
          <w:rFonts w:hAnsi="宋体" w:cs="Calibri"/>
          <w:sz w:val="22"/>
          <w:szCs w:val="22"/>
        </w:rPr>
      </w:pPr>
      <w:r>
        <w:rPr>
          <w:rFonts w:hAnsi="宋体" w:cs="Calibri"/>
          <w:sz w:val="22"/>
          <w:szCs w:val="22"/>
        </w:rPr>
        <w:t>3.2.1 在评标过程中，评标委员会可以书面形式要求投标人对所提交的投标文件中不明确的内容进行书面澄清、说明或者补正。评标委员会不接受投标人主动提出的澄清、说明或补正。</w:t>
      </w:r>
    </w:p>
    <w:p>
      <w:pPr>
        <w:pStyle w:val="21"/>
        <w:adjustRightInd w:val="0"/>
        <w:snapToGrid w:val="0"/>
        <w:spacing w:line="360" w:lineRule="exact"/>
        <w:ind w:firstLine="440" w:firstLineChars="200"/>
        <w:rPr>
          <w:rFonts w:hAnsi="宋体" w:cs="Calibri"/>
          <w:sz w:val="22"/>
          <w:szCs w:val="22"/>
        </w:rPr>
      </w:pPr>
      <w:r>
        <w:rPr>
          <w:rFonts w:hAnsi="宋体" w:cs="Calibri"/>
          <w:sz w:val="22"/>
          <w:szCs w:val="22"/>
        </w:rPr>
        <w:t>3.2.2澄清、说明和补正不得改变投标文件的实质性内容（算术性错误修正的除外）。投标人的书面澄清、说明和补正属于投标文件的组成部分。</w:t>
      </w:r>
    </w:p>
    <w:p>
      <w:pPr>
        <w:pStyle w:val="21"/>
        <w:adjustRightInd w:val="0"/>
        <w:snapToGrid w:val="0"/>
        <w:spacing w:line="360" w:lineRule="exact"/>
        <w:ind w:firstLine="440" w:firstLineChars="200"/>
        <w:rPr>
          <w:rFonts w:hAnsi="宋体" w:cs="Calibri"/>
          <w:sz w:val="22"/>
          <w:szCs w:val="22"/>
        </w:rPr>
      </w:pPr>
      <w:r>
        <w:rPr>
          <w:rFonts w:hAnsi="宋体" w:cs="Calibri"/>
          <w:sz w:val="22"/>
          <w:szCs w:val="22"/>
        </w:rPr>
        <w:t>3.2.3 评标委员会对投标人提交的澄清、说明或补正有疑问的，可以要求投标人进一步澄清、说明或补正，直至满足评标委员会的要求。</w:t>
      </w:r>
    </w:p>
    <w:p>
      <w:pPr>
        <w:adjustRightInd w:val="0"/>
        <w:snapToGrid w:val="0"/>
        <w:spacing w:line="360" w:lineRule="exact"/>
        <w:ind w:firstLine="440" w:firstLineChars="200"/>
        <w:rPr>
          <w:rFonts w:ascii="宋体" w:hAnsi="宋体"/>
          <w:b/>
          <w:color w:val="000000"/>
          <w:sz w:val="22"/>
        </w:rPr>
      </w:pPr>
      <w:r>
        <w:rPr>
          <w:rFonts w:ascii="宋体" w:hAnsi="宋体" w:cs="Calibri"/>
          <w:b/>
          <w:sz w:val="22"/>
        </w:rPr>
        <w:t>3.3</w:t>
      </w:r>
      <w:r>
        <w:rPr>
          <w:rFonts w:hint="eastAsia" w:ascii="宋体" w:hAnsi="宋体"/>
          <w:b/>
          <w:color w:val="000000"/>
          <w:sz w:val="22"/>
        </w:rPr>
        <w:t>评标细则</w:t>
      </w:r>
    </w:p>
    <w:p>
      <w:pPr>
        <w:pStyle w:val="21"/>
        <w:adjustRightInd w:val="0"/>
        <w:snapToGrid w:val="0"/>
        <w:spacing w:line="360" w:lineRule="exact"/>
        <w:ind w:firstLine="440" w:firstLineChars="200"/>
        <w:rPr>
          <w:rFonts w:hAnsi="宋体" w:cs="Calibri"/>
          <w:sz w:val="22"/>
          <w:szCs w:val="22"/>
        </w:rPr>
      </w:pPr>
      <w:r>
        <w:rPr>
          <w:rFonts w:hint="eastAsia" w:hAnsi="宋体" w:cs="Calibri"/>
          <w:sz w:val="22"/>
          <w:szCs w:val="22"/>
        </w:rPr>
        <w:t>本次评标采用综合评估法，评标委员会根据评审情况，对资信、技术、商务等方面进行评审。评标委员会根据评审情况，对各投标人的商务报价进行统一打分，对各投标人的资信及技术由评标委员会成员进行独立打分。所有分值均保留小数点后1位小数。若评标委员会的评分表中计分不在分值范围内的，则该评分表无效。</w:t>
      </w:r>
    </w:p>
    <w:p>
      <w:pPr>
        <w:pStyle w:val="21"/>
        <w:adjustRightInd w:val="0"/>
        <w:snapToGrid w:val="0"/>
        <w:spacing w:line="360" w:lineRule="exact"/>
        <w:ind w:firstLine="440" w:firstLineChars="200"/>
        <w:rPr>
          <w:rFonts w:hAnsi="宋体" w:cs="Calibri"/>
          <w:sz w:val="22"/>
          <w:szCs w:val="22"/>
        </w:rPr>
      </w:pPr>
      <w:r>
        <w:rPr>
          <w:rFonts w:hint="eastAsia" w:hAnsi="宋体"/>
          <w:b/>
          <w:color w:val="000000"/>
          <w:sz w:val="22"/>
          <w:szCs w:val="22"/>
        </w:rPr>
        <w:t>每个投标人最终得分=商务报价分+资信及技术分</w:t>
      </w:r>
    </w:p>
    <w:p>
      <w:pPr>
        <w:pStyle w:val="21"/>
        <w:adjustRightInd w:val="0"/>
        <w:snapToGrid w:val="0"/>
        <w:spacing w:line="400" w:lineRule="exact"/>
        <w:ind w:firstLine="440" w:firstLineChars="200"/>
        <w:rPr>
          <w:rFonts w:hAnsi="宋体" w:cs="Arial"/>
          <w:b/>
          <w:sz w:val="22"/>
          <w:szCs w:val="22"/>
        </w:rPr>
      </w:pPr>
      <w:r>
        <w:rPr>
          <w:rFonts w:hint="eastAsia" w:hAnsi="宋体" w:cs="Calibri"/>
          <w:sz w:val="22"/>
          <w:szCs w:val="22"/>
        </w:rPr>
        <w:t>3.3.1商务报价分60分</w:t>
      </w:r>
    </w:p>
    <w:p>
      <w:pPr>
        <w:pStyle w:val="21"/>
        <w:adjustRightInd w:val="0"/>
        <w:snapToGrid w:val="0"/>
        <w:spacing w:line="400" w:lineRule="exact"/>
        <w:ind w:firstLine="440" w:firstLineChars="200"/>
        <w:rPr>
          <w:rFonts w:hAnsi="宋体"/>
          <w:sz w:val="22"/>
          <w:szCs w:val="22"/>
        </w:rPr>
      </w:pPr>
      <w:r>
        <w:rPr>
          <w:rFonts w:hint="eastAsia" w:hAnsi="宋体"/>
          <w:sz w:val="22"/>
          <w:szCs w:val="22"/>
        </w:rPr>
        <w:t>投标人以国家发展改革委员会发布的</w:t>
      </w:r>
      <w:r>
        <w:rPr>
          <w:rFonts w:hAnsi="宋体" w:cs="Calibri"/>
          <w:color w:val="000000"/>
          <w:sz w:val="22"/>
        </w:rPr>
        <w:t>发改办价格[2003]857号</w:t>
      </w:r>
      <w:r>
        <w:rPr>
          <w:rFonts w:hint="eastAsia" w:hAnsi="宋体" w:cs="Calibri"/>
          <w:color w:val="000000"/>
          <w:sz w:val="22"/>
        </w:rPr>
        <w:t>、发改价格[2011]534号</w:t>
      </w:r>
      <w:r>
        <w:rPr>
          <w:rFonts w:hint="eastAsia" w:hAnsi="宋体"/>
          <w:snapToGrid w:val="0"/>
          <w:sz w:val="22"/>
        </w:rPr>
        <w:t>文件</w:t>
      </w:r>
      <w:r>
        <w:rPr>
          <w:rFonts w:hint="eastAsia" w:hAnsi="宋体"/>
          <w:sz w:val="22"/>
          <w:szCs w:val="22"/>
        </w:rPr>
        <w:t>的规定为基数，对三年内所承接招标项目不分金额大小、不分项目性质自行确定优惠幅度，提出优惠费率。即招标代理服务费＝基数×优惠费率（优惠</w:t>
      </w:r>
      <w:r>
        <w:rPr>
          <w:rFonts w:hAnsi="宋体"/>
          <w:sz w:val="22"/>
          <w:szCs w:val="22"/>
        </w:rPr>
        <w:t>费率=1-</w:t>
      </w:r>
      <w:r>
        <w:rPr>
          <w:rFonts w:hint="eastAsia" w:hAnsi="宋体"/>
          <w:sz w:val="22"/>
          <w:szCs w:val="22"/>
        </w:rPr>
        <w:t>下浮率）。</w:t>
      </w:r>
    </w:p>
    <w:p>
      <w:pPr>
        <w:pStyle w:val="21"/>
        <w:adjustRightInd w:val="0"/>
        <w:snapToGrid w:val="0"/>
        <w:spacing w:line="360" w:lineRule="exact"/>
        <w:ind w:firstLine="440" w:firstLineChars="200"/>
        <w:rPr>
          <w:rFonts w:hAnsi="宋体"/>
          <w:b/>
          <w:sz w:val="22"/>
          <w:szCs w:val="22"/>
        </w:rPr>
      </w:pPr>
      <w:r>
        <w:rPr>
          <w:rFonts w:hint="eastAsia" w:hAnsi="宋体"/>
          <w:sz w:val="22"/>
          <w:szCs w:val="22"/>
        </w:rPr>
        <w:t>商务评审：</w:t>
      </w:r>
      <w:r>
        <w:rPr>
          <w:rFonts w:hint="eastAsia" w:hAnsi="宋体"/>
          <w:b/>
          <w:sz w:val="22"/>
          <w:szCs w:val="22"/>
        </w:rPr>
        <w:t>取所有有效投标的优惠费率的算数平均值为基准</w:t>
      </w:r>
      <w:r>
        <w:rPr>
          <w:rFonts w:hAnsi="宋体"/>
          <w:b/>
          <w:sz w:val="22"/>
          <w:szCs w:val="22"/>
        </w:rPr>
        <w:t>价</w:t>
      </w:r>
      <w:r>
        <w:rPr>
          <w:rFonts w:hint="eastAsia" w:hAnsi="宋体"/>
          <w:b/>
          <w:sz w:val="22"/>
          <w:szCs w:val="22"/>
        </w:rPr>
        <w:t>，如有效投标人的投标优惠费率与基准价差值在3</w:t>
      </w:r>
      <w:r>
        <w:rPr>
          <w:rFonts w:hAnsi="宋体"/>
          <w:b/>
          <w:sz w:val="22"/>
          <w:szCs w:val="22"/>
        </w:rPr>
        <w:t>0%</w:t>
      </w:r>
      <w:r>
        <w:rPr>
          <w:rFonts w:hint="eastAsia" w:hAnsi="宋体"/>
          <w:b/>
          <w:sz w:val="22"/>
          <w:szCs w:val="22"/>
        </w:rPr>
        <w:t>以上，则不计入评标基准价的计算。</w:t>
      </w:r>
    </w:p>
    <w:p>
      <w:pPr>
        <w:pStyle w:val="21"/>
        <w:adjustRightInd w:val="0"/>
        <w:snapToGrid w:val="0"/>
        <w:spacing w:line="360" w:lineRule="exact"/>
        <w:ind w:firstLine="440" w:firstLineChars="200"/>
        <w:rPr>
          <w:rFonts w:hint="eastAsia" w:hAnsi="宋体"/>
          <w:sz w:val="22"/>
          <w:szCs w:val="22"/>
        </w:rPr>
      </w:pPr>
      <w:r>
        <w:rPr>
          <w:rFonts w:hint="eastAsia" w:hAnsi="宋体"/>
          <w:sz w:val="22"/>
          <w:szCs w:val="22"/>
        </w:rPr>
        <w:t>评标基准</w:t>
      </w:r>
      <w:r>
        <w:rPr>
          <w:rFonts w:hAnsi="宋体"/>
          <w:sz w:val="22"/>
          <w:szCs w:val="22"/>
        </w:rPr>
        <w:t>价的计算</w:t>
      </w:r>
      <w:r>
        <w:rPr>
          <w:rFonts w:hint="eastAsia" w:hAnsi="宋体"/>
          <w:sz w:val="22"/>
          <w:szCs w:val="22"/>
        </w:rPr>
        <w:t>：取所有计入评标基准</w:t>
      </w:r>
      <w:r>
        <w:rPr>
          <w:rFonts w:hAnsi="宋体"/>
          <w:sz w:val="22"/>
          <w:szCs w:val="22"/>
        </w:rPr>
        <w:t>价</w:t>
      </w:r>
      <w:r>
        <w:rPr>
          <w:rFonts w:hint="eastAsia" w:hAnsi="宋体"/>
          <w:sz w:val="22"/>
          <w:szCs w:val="22"/>
        </w:rPr>
        <w:t>计算</w:t>
      </w:r>
      <w:r>
        <w:rPr>
          <w:rFonts w:hAnsi="宋体"/>
          <w:sz w:val="22"/>
          <w:szCs w:val="22"/>
        </w:rPr>
        <w:t>的</w:t>
      </w:r>
      <w:r>
        <w:rPr>
          <w:rFonts w:hint="eastAsia" w:hAnsi="宋体"/>
          <w:sz w:val="22"/>
          <w:szCs w:val="22"/>
        </w:rPr>
        <w:t>有效</w:t>
      </w:r>
      <w:r>
        <w:rPr>
          <w:rFonts w:hAnsi="宋体"/>
          <w:sz w:val="22"/>
          <w:szCs w:val="22"/>
        </w:rPr>
        <w:t>投标优惠费率</w:t>
      </w:r>
      <w:r>
        <w:rPr>
          <w:rFonts w:hint="eastAsia" w:hAnsi="宋体"/>
          <w:sz w:val="22"/>
          <w:szCs w:val="22"/>
        </w:rPr>
        <w:t>的算数平均值与计入评标基准</w:t>
      </w:r>
      <w:r>
        <w:rPr>
          <w:rFonts w:hAnsi="宋体"/>
          <w:sz w:val="22"/>
          <w:szCs w:val="22"/>
        </w:rPr>
        <w:t>价</w:t>
      </w:r>
      <w:r>
        <w:rPr>
          <w:rFonts w:hint="eastAsia" w:hAnsi="宋体"/>
          <w:sz w:val="22"/>
          <w:szCs w:val="22"/>
        </w:rPr>
        <w:t>计算</w:t>
      </w:r>
      <w:r>
        <w:rPr>
          <w:rFonts w:hAnsi="宋体"/>
          <w:sz w:val="22"/>
          <w:szCs w:val="22"/>
        </w:rPr>
        <w:t>的</w:t>
      </w:r>
      <w:r>
        <w:rPr>
          <w:rFonts w:hint="eastAsia" w:hAnsi="宋体"/>
          <w:sz w:val="22"/>
          <w:szCs w:val="22"/>
        </w:rPr>
        <w:t>有效</w:t>
      </w:r>
      <w:r>
        <w:rPr>
          <w:rFonts w:hAnsi="宋体"/>
          <w:sz w:val="22"/>
          <w:szCs w:val="22"/>
        </w:rPr>
        <w:t>投标</w:t>
      </w:r>
      <w:r>
        <w:rPr>
          <w:rFonts w:hint="eastAsia" w:hAnsi="宋体"/>
          <w:sz w:val="22"/>
          <w:szCs w:val="22"/>
        </w:rPr>
        <w:t>次低优惠费率的算数平均值为</w:t>
      </w:r>
      <w:r>
        <w:rPr>
          <w:rFonts w:hAnsi="宋体"/>
          <w:sz w:val="22"/>
          <w:szCs w:val="22"/>
        </w:rPr>
        <w:t>评标基准价。</w:t>
      </w:r>
    </w:p>
    <w:p>
      <w:pPr>
        <w:pStyle w:val="21"/>
        <w:adjustRightInd w:val="0"/>
        <w:snapToGrid w:val="0"/>
        <w:spacing w:line="360" w:lineRule="exact"/>
        <w:ind w:firstLine="440" w:firstLineChars="200"/>
        <w:rPr>
          <w:rFonts w:hAnsi="宋体" w:cs="Calibri"/>
          <w:sz w:val="22"/>
          <w:szCs w:val="22"/>
        </w:rPr>
      </w:pPr>
      <w:r>
        <w:rPr>
          <w:rFonts w:hint="eastAsia" w:hAnsi="宋体" w:cs="Calibri"/>
          <w:sz w:val="22"/>
          <w:szCs w:val="22"/>
        </w:rPr>
        <w:t>按照【（投标优惠费率-评标基准价）/评标基准价】*100%的公式，计算各有效投标优惠费率与评标基准价的差值。差值</w:t>
      </w:r>
      <w:r>
        <w:rPr>
          <w:rFonts w:hint="eastAsia" w:hAnsi="宋体"/>
          <w:sz w:val="22"/>
          <w:szCs w:val="22"/>
        </w:rPr>
        <w:t>为0为满分，差值每高</w:t>
      </w:r>
      <w:r>
        <w:rPr>
          <w:rFonts w:hAnsi="宋体" w:cs="Calibri"/>
          <w:sz w:val="22"/>
          <w:szCs w:val="22"/>
        </w:rPr>
        <w:t>1%</w:t>
      </w:r>
      <w:r>
        <w:rPr>
          <w:rFonts w:hint="eastAsia" w:hAnsi="宋体" w:cs="Calibri"/>
          <w:sz w:val="22"/>
          <w:szCs w:val="22"/>
        </w:rPr>
        <w:t>扣</w:t>
      </w:r>
      <w:r>
        <w:rPr>
          <w:rFonts w:hAnsi="宋体" w:cs="Calibri"/>
          <w:sz w:val="22"/>
          <w:szCs w:val="22"/>
        </w:rPr>
        <w:t>1</w:t>
      </w:r>
      <w:r>
        <w:rPr>
          <w:rFonts w:hint="eastAsia" w:hAnsi="宋体" w:cs="Calibri"/>
          <w:sz w:val="22"/>
          <w:szCs w:val="22"/>
        </w:rPr>
        <w:t>分，差值每低</w:t>
      </w:r>
      <w:r>
        <w:rPr>
          <w:rFonts w:hAnsi="宋体" w:cs="Calibri"/>
          <w:sz w:val="22"/>
          <w:szCs w:val="22"/>
        </w:rPr>
        <w:t>1%</w:t>
      </w:r>
      <w:r>
        <w:rPr>
          <w:rFonts w:hint="eastAsia" w:hAnsi="宋体" w:cs="Calibri"/>
          <w:sz w:val="22"/>
          <w:szCs w:val="22"/>
        </w:rPr>
        <w:t>扣</w:t>
      </w:r>
      <w:r>
        <w:rPr>
          <w:rFonts w:hAnsi="宋体" w:cs="Calibri"/>
          <w:sz w:val="22"/>
          <w:szCs w:val="22"/>
        </w:rPr>
        <w:t>0.5</w:t>
      </w:r>
      <w:r>
        <w:rPr>
          <w:rFonts w:hint="eastAsia" w:hAnsi="宋体" w:cs="Calibri"/>
          <w:sz w:val="22"/>
          <w:szCs w:val="22"/>
        </w:rPr>
        <w:t>分，</w:t>
      </w:r>
      <w:r>
        <w:rPr>
          <w:rFonts w:hint="eastAsia" w:hAnsi="宋体"/>
          <w:sz w:val="22"/>
          <w:szCs w:val="22"/>
        </w:rPr>
        <w:t>商务报价</w:t>
      </w:r>
      <w:r>
        <w:rPr>
          <w:rFonts w:hAnsi="宋体"/>
          <w:sz w:val="22"/>
          <w:szCs w:val="22"/>
        </w:rPr>
        <w:t>分最低为</w:t>
      </w:r>
      <w:r>
        <w:rPr>
          <w:rFonts w:hint="eastAsia" w:hAnsi="宋体"/>
          <w:sz w:val="22"/>
          <w:szCs w:val="22"/>
        </w:rPr>
        <w:t>20分</w:t>
      </w:r>
      <w:r>
        <w:rPr>
          <w:rFonts w:hint="eastAsia" w:hAnsi="宋体" w:cs="Calibri"/>
          <w:sz w:val="22"/>
          <w:szCs w:val="22"/>
        </w:rPr>
        <w:t>（不足</w:t>
      </w:r>
      <w:r>
        <w:rPr>
          <w:rFonts w:hAnsi="宋体" w:cs="Calibri"/>
          <w:sz w:val="22"/>
          <w:szCs w:val="22"/>
        </w:rPr>
        <w:t>1</w:t>
      </w:r>
      <w:r>
        <w:rPr>
          <w:rFonts w:hint="eastAsia" w:hAnsi="宋体" w:cs="Calibri"/>
          <w:sz w:val="22"/>
          <w:szCs w:val="22"/>
        </w:rPr>
        <w:t>个百分点按插值法计算，小数点后保留二位，四舍五入）。</w:t>
      </w:r>
    </w:p>
    <w:p>
      <w:pPr>
        <w:pStyle w:val="21"/>
        <w:adjustRightInd w:val="0"/>
        <w:snapToGrid w:val="0"/>
        <w:spacing w:line="400" w:lineRule="exact"/>
        <w:ind w:firstLine="440" w:firstLineChars="200"/>
        <w:rPr>
          <w:rFonts w:hAnsi="宋体" w:cs="Calibri"/>
          <w:sz w:val="22"/>
          <w:szCs w:val="22"/>
        </w:rPr>
      </w:pPr>
      <w:r>
        <w:rPr>
          <w:rFonts w:hint="eastAsia" w:hAnsi="宋体" w:cs="Calibri"/>
          <w:sz w:val="22"/>
          <w:szCs w:val="22"/>
        </w:rPr>
        <w:t>此项由评标委员会集体核实后统一打分。</w:t>
      </w:r>
    </w:p>
    <w:p>
      <w:pPr>
        <w:pStyle w:val="21"/>
        <w:adjustRightInd w:val="0"/>
        <w:snapToGrid w:val="0"/>
        <w:spacing w:line="400" w:lineRule="exact"/>
        <w:ind w:firstLine="440" w:firstLineChars="200"/>
        <w:rPr>
          <w:rFonts w:hAnsi="宋体" w:cs="Calibri"/>
          <w:sz w:val="22"/>
          <w:szCs w:val="22"/>
        </w:rPr>
      </w:pPr>
      <w:r>
        <w:rPr>
          <w:rFonts w:hint="eastAsia" w:hAnsi="宋体" w:cs="Calibri"/>
          <w:sz w:val="22"/>
          <w:szCs w:val="22"/>
        </w:rPr>
        <w:t>3.3.2资信及技术评分40分</w:t>
      </w:r>
    </w:p>
    <w:p>
      <w:pPr>
        <w:pStyle w:val="21"/>
        <w:adjustRightInd w:val="0"/>
        <w:snapToGrid w:val="0"/>
        <w:spacing w:line="400" w:lineRule="exact"/>
        <w:ind w:firstLine="440" w:firstLineChars="200"/>
        <w:rPr>
          <w:rFonts w:hAnsi="宋体"/>
          <w:sz w:val="22"/>
          <w:szCs w:val="22"/>
        </w:rPr>
      </w:pPr>
      <w:r>
        <w:rPr>
          <w:rFonts w:hint="eastAsia" w:hAnsi="宋体"/>
          <w:sz w:val="22"/>
          <w:szCs w:val="22"/>
        </w:rPr>
        <w:t>该评分分值由评标委员会成员独立打分（具体分值设定详见下表），小数点后保留</w:t>
      </w:r>
      <w:r>
        <w:rPr>
          <w:rFonts w:hAnsi="宋体"/>
          <w:sz w:val="22"/>
          <w:szCs w:val="22"/>
        </w:rPr>
        <w:t>1</w:t>
      </w:r>
      <w:r>
        <w:rPr>
          <w:rFonts w:hint="eastAsia" w:hAnsi="宋体"/>
          <w:sz w:val="22"/>
          <w:szCs w:val="22"/>
        </w:rPr>
        <w:t>位小数。每个投标人的最终资信及技术得分为评标委员会打分的算术平均值（小数点后保留</w:t>
      </w:r>
      <w:r>
        <w:rPr>
          <w:rFonts w:hAnsi="宋体"/>
          <w:sz w:val="22"/>
          <w:szCs w:val="22"/>
        </w:rPr>
        <w:t>2</w:t>
      </w:r>
      <w:r>
        <w:rPr>
          <w:rFonts w:hint="eastAsia" w:hAnsi="宋体"/>
          <w:sz w:val="22"/>
          <w:szCs w:val="22"/>
        </w:rPr>
        <w:t>位，第三位四舍五入）。</w:t>
      </w:r>
    </w:p>
    <w:p>
      <w:pPr>
        <w:pStyle w:val="21"/>
        <w:adjustRightInd w:val="0"/>
        <w:snapToGrid w:val="0"/>
        <w:spacing w:line="400" w:lineRule="exact"/>
        <w:ind w:firstLine="440" w:firstLineChars="200"/>
        <w:rPr>
          <w:rFonts w:hint="eastAsia" w:hAnsi="宋体" w:cs="Calibri"/>
          <w:sz w:val="22"/>
          <w:szCs w:val="22"/>
        </w:rPr>
      </w:pPr>
      <w:r>
        <w:rPr>
          <w:rFonts w:hint="eastAsia" w:hAnsi="宋体" w:cs="Calibri"/>
          <w:sz w:val="22"/>
          <w:szCs w:val="22"/>
        </w:rPr>
        <w:t>资信及技术评分分值设定标准：</w:t>
      </w:r>
    </w:p>
    <w:p>
      <w:pPr>
        <w:pStyle w:val="21"/>
        <w:adjustRightInd w:val="0"/>
        <w:snapToGrid w:val="0"/>
        <w:spacing w:line="400" w:lineRule="exact"/>
        <w:ind w:firstLine="440" w:firstLineChars="200"/>
        <w:rPr>
          <w:rFonts w:hAnsi="宋体" w:cs="Calibri"/>
          <w:sz w:val="22"/>
          <w:szCs w:val="22"/>
        </w:rPr>
      </w:pPr>
      <w:r>
        <w:rPr>
          <w:rFonts w:hint="eastAsia" w:hAnsi="宋体" w:cs="Calibri"/>
          <w:sz w:val="22"/>
          <w:szCs w:val="22"/>
        </w:rPr>
        <w:t>标段</w:t>
      </w:r>
      <w:r>
        <w:rPr>
          <w:rFonts w:hAnsi="宋体" w:cs="Calibri"/>
          <w:sz w:val="22"/>
          <w:szCs w:val="22"/>
        </w:rPr>
        <w:t>一：</w:t>
      </w:r>
    </w:p>
    <w:tbl>
      <w:tblPr>
        <w:tblStyle w:val="53"/>
        <w:tblW w:w="962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9"/>
        <w:gridCol w:w="1843"/>
        <w:gridCol w:w="5386"/>
        <w:gridCol w:w="14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48" w:hRule="atLeast"/>
        </w:trPr>
        <w:tc>
          <w:tcPr>
            <w:tcW w:w="959" w:type="dxa"/>
            <w:vAlign w:val="top"/>
          </w:tcPr>
          <w:p>
            <w:pPr>
              <w:spacing w:line="400" w:lineRule="exact"/>
              <w:jc w:val="center"/>
              <w:rPr>
                <w:rFonts w:hint="eastAsia" w:ascii="宋体" w:hAnsi="宋体"/>
                <w:b/>
                <w:sz w:val="24"/>
              </w:rPr>
            </w:pPr>
            <w:r>
              <w:rPr>
                <w:rFonts w:hint="eastAsia" w:ascii="宋体" w:hAnsi="宋体"/>
                <w:b/>
                <w:sz w:val="24"/>
              </w:rPr>
              <w:t>序号</w:t>
            </w:r>
          </w:p>
        </w:tc>
        <w:tc>
          <w:tcPr>
            <w:tcW w:w="1843" w:type="dxa"/>
            <w:vAlign w:val="center"/>
          </w:tcPr>
          <w:p>
            <w:pPr>
              <w:spacing w:line="400" w:lineRule="exact"/>
              <w:jc w:val="center"/>
              <w:rPr>
                <w:rFonts w:ascii="宋体" w:hAnsi="宋体"/>
                <w:b/>
                <w:sz w:val="24"/>
              </w:rPr>
            </w:pPr>
            <w:r>
              <w:rPr>
                <w:rFonts w:hint="eastAsia" w:ascii="宋体" w:hAnsi="宋体"/>
                <w:b/>
                <w:sz w:val="24"/>
              </w:rPr>
              <w:t>评分内容</w:t>
            </w:r>
          </w:p>
        </w:tc>
        <w:tc>
          <w:tcPr>
            <w:tcW w:w="5386" w:type="dxa"/>
            <w:vAlign w:val="center"/>
          </w:tcPr>
          <w:p>
            <w:pPr>
              <w:spacing w:line="400" w:lineRule="exact"/>
              <w:jc w:val="center"/>
              <w:rPr>
                <w:rFonts w:ascii="宋体" w:hAnsi="宋体"/>
                <w:b/>
                <w:sz w:val="24"/>
              </w:rPr>
            </w:pPr>
            <w:r>
              <w:rPr>
                <w:rFonts w:hint="eastAsia" w:ascii="宋体" w:hAnsi="宋体"/>
                <w:b/>
                <w:sz w:val="24"/>
              </w:rPr>
              <w:t>评分标准</w:t>
            </w:r>
          </w:p>
        </w:tc>
        <w:tc>
          <w:tcPr>
            <w:tcW w:w="1440" w:type="dxa"/>
            <w:vAlign w:val="top"/>
          </w:tcPr>
          <w:p>
            <w:pPr>
              <w:spacing w:line="400" w:lineRule="exact"/>
              <w:jc w:val="center"/>
              <w:rPr>
                <w:rFonts w:hint="eastAsia" w:ascii="宋体" w:hAnsi="宋体"/>
                <w:b/>
                <w:sz w:val="24"/>
              </w:rPr>
            </w:pPr>
            <w:r>
              <w:rPr>
                <w:rFonts w:hint="eastAsia" w:ascii="宋体" w:hAnsi="宋体"/>
                <w:b/>
                <w:sz w:val="24"/>
              </w:rPr>
              <w:t>分值</w:t>
            </w:r>
            <w:r>
              <w:rPr>
                <w:rFonts w:ascii="宋体" w:hAnsi="宋体"/>
                <w:b/>
                <w:sz w:val="24"/>
              </w:rPr>
              <w:t>区间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891" w:hRule="atLeast"/>
        </w:trPr>
        <w:tc>
          <w:tcPr>
            <w:tcW w:w="959" w:type="dxa"/>
            <w:vMerge w:val="restart"/>
            <w:vAlign w:val="top"/>
          </w:tcPr>
          <w:p>
            <w:pPr>
              <w:spacing w:line="400" w:lineRule="exact"/>
              <w:jc w:val="center"/>
              <w:rPr>
                <w:rFonts w:hint="eastAsia" w:ascii="宋体" w:hAnsi="宋体"/>
                <w:szCs w:val="21"/>
                <w:lang w:val="zh-CN"/>
              </w:rPr>
            </w:pPr>
            <w:r>
              <w:rPr>
                <w:rFonts w:hint="eastAsia" w:ascii="宋体" w:hAnsi="宋体"/>
                <w:szCs w:val="21"/>
                <w:lang w:val="zh-CN"/>
              </w:rPr>
              <w:t>资信（0-1</w:t>
            </w:r>
            <w:r>
              <w:rPr>
                <w:rFonts w:ascii="宋体" w:hAnsi="宋体"/>
                <w:szCs w:val="21"/>
                <w:lang w:val="zh-CN"/>
              </w:rPr>
              <w:t>5</w:t>
            </w:r>
            <w:r>
              <w:rPr>
                <w:rFonts w:hint="eastAsia" w:ascii="宋体" w:hAnsi="宋体"/>
                <w:szCs w:val="21"/>
                <w:lang w:val="zh-CN"/>
              </w:rPr>
              <w:t>分）</w:t>
            </w:r>
          </w:p>
        </w:tc>
        <w:tc>
          <w:tcPr>
            <w:tcW w:w="1843" w:type="dxa"/>
            <w:vAlign w:val="top"/>
          </w:tcPr>
          <w:p>
            <w:pPr>
              <w:spacing w:line="400" w:lineRule="exact"/>
              <w:rPr>
                <w:rFonts w:hint="eastAsia" w:ascii="宋体" w:hAnsi="宋体"/>
                <w:szCs w:val="21"/>
                <w:lang w:val="zh-CN"/>
              </w:rPr>
            </w:pPr>
            <w:r>
              <w:rPr>
                <w:rFonts w:hint="eastAsia"/>
                <w:kern w:val="0"/>
                <w:szCs w:val="21"/>
              </w:rPr>
              <w:t>投标人相关业绩</w:t>
            </w:r>
          </w:p>
        </w:tc>
        <w:tc>
          <w:tcPr>
            <w:tcW w:w="5386" w:type="dxa"/>
            <w:vAlign w:val="top"/>
          </w:tcPr>
          <w:p>
            <w:pPr>
              <w:spacing w:line="400" w:lineRule="exact"/>
              <w:rPr>
                <w:rFonts w:ascii="宋体" w:hAnsi="宋体"/>
                <w:color w:val="000000"/>
                <w:szCs w:val="21"/>
              </w:rPr>
            </w:pPr>
            <w:r>
              <w:rPr>
                <w:rFonts w:hint="eastAsia" w:ascii="宋体" w:hAnsi="宋体"/>
                <w:color w:val="000000"/>
                <w:szCs w:val="21"/>
              </w:rPr>
              <w:t>（</w:t>
            </w:r>
            <w:r>
              <w:rPr>
                <w:rFonts w:ascii="宋体" w:hAnsi="宋体"/>
                <w:color w:val="000000"/>
                <w:szCs w:val="21"/>
              </w:rPr>
              <w:t>1</w:t>
            </w:r>
            <w:r>
              <w:rPr>
                <w:rFonts w:hint="eastAsia" w:ascii="宋体" w:hAnsi="宋体"/>
                <w:color w:val="000000"/>
                <w:szCs w:val="21"/>
              </w:rPr>
              <w:t>）根据各投标人近三年（201</w:t>
            </w:r>
            <w:r>
              <w:rPr>
                <w:rFonts w:ascii="宋体" w:hAnsi="宋体"/>
                <w:color w:val="000000"/>
                <w:szCs w:val="21"/>
              </w:rPr>
              <w:t>6</w:t>
            </w:r>
            <w:r>
              <w:rPr>
                <w:rFonts w:hint="eastAsia" w:ascii="宋体" w:hAnsi="宋体"/>
                <w:color w:val="000000"/>
                <w:szCs w:val="21"/>
              </w:rPr>
              <w:t>年1月1日至投标截止</w:t>
            </w:r>
            <w:r>
              <w:rPr>
                <w:rFonts w:ascii="宋体" w:hAnsi="宋体"/>
                <w:color w:val="000000"/>
                <w:szCs w:val="21"/>
              </w:rPr>
              <w:t>日</w:t>
            </w:r>
            <w:r>
              <w:rPr>
                <w:rFonts w:hint="eastAsia" w:ascii="宋体" w:hAnsi="宋体"/>
                <w:color w:val="000000"/>
                <w:szCs w:val="21"/>
              </w:rPr>
              <w:t>）单项中标金额3000万元（不含）以上的建设工程招标代理业绩情况进行横向比较后评分，本项最高得</w:t>
            </w:r>
            <w:r>
              <w:rPr>
                <w:rFonts w:ascii="宋体" w:hAnsi="宋体"/>
                <w:color w:val="000000"/>
                <w:szCs w:val="21"/>
              </w:rPr>
              <w:t>3</w:t>
            </w:r>
            <w:r>
              <w:rPr>
                <w:rFonts w:hint="eastAsia" w:ascii="宋体" w:hAnsi="宋体"/>
                <w:color w:val="000000"/>
                <w:szCs w:val="21"/>
              </w:rPr>
              <w:t>分；</w:t>
            </w:r>
          </w:p>
          <w:p>
            <w:pPr>
              <w:spacing w:line="400" w:lineRule="exact"/>
              <w:rPr>
                <w:rFonts w:hint="eastAsia" w:ascii="宋体" w:hAnsi="宋体"/>
                <w:color w:val="000000"/>
                <w:szCs w:val="21"/>
              </w:rPr>
            </w:pPr>
            <w:r>
              <w:rPr>
                <w:rFonts w:hint="eastAsia" w:ascii="宋体" w:hAnsi="宋体"/>
                <w:color w:val="000000"/>
                <w:szCs w:val="21"/>
              </w:rPr>
              <w:t>（</w:t>
            </w:r>
            <w:r>
              <w:rPr>
                <w:rFonts w:ascii="宋体" w:hAnsi="宋体"/>
                <w:color w:val="000000"/>
                <w:szCs w:val="21"/>
              </w:rPr>
              <w:t>2</w:t>
            </w:r>
            <w:r>
              <w:rPr>
                <w:rFonts w:hint="eastAsia" w:ascii="宋体" w:hAnsi="宋体"/>
                <w:color w:val="000000"/>
                <w:szCs w:val="21"/>
              </w:rPr>
              <w:t>）根据各投标人近三年（201</w:t>
            </w:r>
            <w:r>
              <w:rPr>
                <w:rFonts w:ascii="宋体" w:hAnsi="宋体"/>
                <w:color w:val="000000"/>
                <w:szCs w:val="21"/>
              </w:rPr>
              <w:t>6</w:t>
            </w:r>
            <w:r>
              <w:rPr>
                <w:rFonts w:hint="eastAsia" w:ascii="宋体" w:hAnsi="宋体"/>
                <w:color w:val="000000"/>
                <w:szCs w:val="21"/>
              </w:rPr>
              <w:t>年1月1日至投标截止日）4D级及以上机场民航专业工程招标代理业绩情况进行横向比较后评分，本项最高得3分。</w:t>
            </w:r>
          </w:p>
        </w:tc>
        <w:tc>
          <w:tcPr>
            <w:tcW w:w="1440" w:type="dxa"/>
            <w:vAlign w:val="top"/>
          </w:tcPr>
          <w:p>
            <w:pPr>
              <w:spacing w:line="400" w:lineRule="exact"/>
              <w:rPr>
                <w:rFonts w:hint="eastAsia" w:ascii="宋体" w:hAnsi="宋体"/>
                <w:szCs w:val="21"/>
                <w:lang w:val="zh-CN"/>
              </w:rPr>
            </w:pPr>
            <w:r>
              <w:rPr>
                <w:rFonts w:hint="eastAsia" w:ascii="宋体" w:hAnsi="宋体"/>
                <w:szCs w:val="21"/>
                <w:lang w:val="zh-CN"/>
              </w:rPr>
              <w:t>0-</w:t>
            </w:r>
            <w:r>
              <w:rPr>
                <w:rFonts w:ascii="宋体" w:hAnsi="宋体"/>
                <w:szCs w:val="21"/>
                <w:lang w:val="zh-CN"/>
              </w:rPr>
              <w:t>6</w:t>
            </w:r>
            <w:r>
              <w:rPr>
                <w:rFonts w:hint="eastAsia" w:ascii="宋体" w:hAnsi="宋体"/>
                <w:szCs w:val="21"/>
                <w:lang w:val="zh-CN"/>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891" w:hRule="atLeast"/>
        </w:trPr>
        <w:tc>
          <w:tcPr>
            <w:tcW w:w="959" w:type="dxa"/>
            <w:vMerge w:val="continue"/>
            <w:vAlign w:val="top"/>
          </w:tcPr>
          <w:p>
            <w:pPr>
              <w:spacing w:line="400" w:lineRule="exact"/>
              <w:jc w:val="center"/>
              <w:rPr>
                <w:rFonts w:hint="eastAsia" w:ascii="宋体" w:hAnsi="宋体"/>
                <w:szCs w:val="21"/>
                <w:lang w:val="zh-CN"/>
              </w:rPr>
            </w:pPr>
          </w:p>
        </w:tc>
        <w:tc>
          <w:tcPr>
            <w:tcW w:w="1843" w:type="dxa"/>
            <w:vAlign w:val="top"/>
          </w:tcPr>
          <w:p>
            <w:pPr>
              <w:spacing w:line="400" w:lineRule="exact"/>
              <w:rPr>
                <w:rFonts w:hint="eastAsia"/>
                <w:kern w:val="0"/>
                <w:szCs w:val="21"/>
              </w:rPr>
            </w:pPr>
            <w:r>
              <w:rPr>
                <w:kern w:val="0"/>
                <w:szCs w:val="21"/>
              </w:rPr>
              <w:t>项目负责</w:t>
            </w:r>
            <w:r>
              <w:rPr>
                <w:rFonts w:hint="eastAsia"/>
                <w:kern w:val="0"/>
                <w:szCs w:val="21"/>
              </w:rPr>
              <w:t>人业绩及</w:t>
            </w:r>
            <w:r>
              <w:rPr>
                <w:kern w:val="0"/>
                <w:szCs w:val="21"/>
              </w:rPr>
              <w:t>项目团队配备</w:t>
            </w:r>
          </w:p>
        </w:tc>
        <w:tc>
          <w:tcPr>
            <w:tcW w:w="5386" w:type="dxa"/>
            <w:vAlign w:val="top"/>
          </w:tcPr>
          <w:p>
            <w:pPr>
              <w:spacing w:line="400" w:lineRule="exact"/>
              <w:rPr>
                <w:rFonts w:ascii="宋体" w:hAnsi="宋体"/>
                <w:szCs w:val="21"/>
                <w:lang w:val="zh-CN"/>
              </w:rPr>
            </w:pPr>
            <w:r>
              <w:rPr>
                <w:rFonts w:hint="eastAsia" w:ascii="宋体" w:hAnsi="宋体"/>
                <w:szCs w:val="21"/>
                <w:lang w:val="zh-CN"/>
              </w:rPr>
              <w:t>（1）项目负责人具有造价工程师注册执业证书、高级职称的，每具有一项得1分，本项最高得2分；</w:t>
            </w:r>
          </w:p>
          <w:p>
            <w:pPr>
              <w:spacing w:line="400" w:lineRule="exact"/>
              <w:rPr>
                <w:rFonts w:ascii="宋体" w:hAnsi="宋体"/>
                <w:szCs w:val="21"/>
                <w:lang w:val="zh-CN"/>
              </w:rPr>
            </w:pPr>
            <w:r>
              <w:rPr>
                <w:rFonts w:hint="eastAsia" w:ascii="宋体" w:hAnsi="宋体"/>
                <w:szCs w:val="21"/>
                <w:lang w:val="zh-CN"/>
              </w:rPr>
              <w:t>（2）根据各投标人项目负责人近三年（2016年1月1日至投标截止日）单项中标金额</w:t>
            </w:r>
            <w:r>
              <w:rPr>
                <w:rFonts w:hint="eastAsia" w:ascii="宋体" w:hAnsi="宋体"/>
                <w:szCs w:val="21"/>
              </w:rPr>
              <w:t>3</w:t>
            </w:r>
            <w:r>
              <w:rPr>
                <w:rFonts w:hint="eastAsia" w:ascii="宋体" w:hAnsi="宋体"/>
                <w:szCs w:val="21"/>
                <w:lang w:val="zh-CN"/>
              </w:rPr>
              <w:t>000万元（不含）以上的建设工程招标代理业绩情况进行横向比较后评分，本项最高得2分；</w:t>
            </w:r>
          </w:p>
          <w:p>
            <w:pPr>
              <w:spacing w:line="400" w:lineRule="exact"/>
              <w:rPr>
                <w:rFonts w:ascii="宋体" w:hAnsi="宋体"/>
                <w:szCs w:val="21"/>
                <w:lang w:val="zh-CN"/>
              </w:rPr>
            </w:pPr>
            <w:r>
              <w:rPr>
                <w:rFonts w:hint="eastAsia" w:ascii="宋体" w:hAnsi="宋体"/>
                <w:szCs w:val="21"/>
                <w:lang w:val="zh-CN"/>
              </w:rPr>
              <w:t>（3）根据各投标人项目负责人近三年（2016年1月1日至投标截止日）4D级及以上机场民航专业工程招标代理业绩情况进行横向比较后评分，本项最高得2分；</w:t>
            </w:r>
          </w:p>
          <w:p>
            <w:pPr>
              <w:spacing w:line="400" w:lineRule="exact"/>
              <w:rPr>
                <w:rFonts w:hint="eastAsia" w:ascii="宋体" w:hAnsi="宋体"/>
                <w:color w:val="000000"/>
                <w:szCs w:val="21"/>
              </w:rPr>
            </w:pPr>
            <w:r>
              <w:rPr>
                <w:rFonts w:hint="eastAsia" w:ascii="宋体" w:hAnsi="宋体"/>
                <w:szCs w:val="21"/>
                <w:lang w:val="zh-CN"/>
              </w:rPr>
              <w:t>（4）根据项目管理团队成员（除项目负责人外）的配置情况、职称、业绩等情况横向比较后评分，本项最高得2分。</w:t>
            </w:r>
          </w:p>
        </w:tc>
        <w:tc>
          <w:tcPr>
            <w:tcW w:w="1440" w:type="dxa"/>
            <w:vAlign w:val="top"/>
          </w:tcPr>
          <w:p>
            <w:pPr>
              <w:spacing w:line="400" w:lineRule="exact"/>
              <w:rPr>
                <w:rFonts w:hint="eastAsia" w:ascii="宋体" w:hAnsi="宋体"/>
                <w:szCs w:val="21"/>
                <w:lang w:val="zh-CN"/>
              </w:rPr>
            </w:pPr>
            <w:r>
              <w:rPr>
                <w:rFonts w:hint="eastAsia" w:ascii="宋体" w:hAnsi="宋体"/>
                <w:szCs w:val="21"/>
                <w:lang w:val="zh-CN"/>
              </w:rPr>
              <w:t>0-</w:t>
            </w:r>
            <w:r>
              <w:rPr>
                <w:rFonts w:ascii="宋体" w:hAnsi="宋体"/>
                <w:szCs w:val="21"/>
                <w:lang w:val="zh-CN"/>
              </w:rPr>
              <w:t>8</w:t>
            </w:r>
            <w:r>
              <w:rPr>
                <w:rFonts w:hint="eastAsia" w:ascii="宋体" w:hAnsi="宋体"/>
                <w:szCs w:val="21"/>
                <w:lang w:val="zh-CN"/>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266" w:hRule="atLeast"/>
        </w:trPr>
        <w:tc>
          <w:tcPr>
            <w:tcW w:w="959" w:type="dxa"/>
            <w:vMerge w:val="continue"/>
            <w:vAlign w:val="top"/>
          </w:tcPr>
          <w:p>
            <w:pPr>
              <w:spacing w:line="400" w:lineRule="exact"/>
              <w:jc w:val="center"/>
              <w:rPr>
                <w:rFonts w:hint="eastAsia" w:ascii="宋体" w:hAnsi="宋体"/>
                <w:szCs w:val="21"/>
                <w:lang w:val="zh-CN"/>
              </w:rPr>
            </w:pPr>
          </w:p>
        </w:tc>
        <w:tc>
          <w:tcPr>
            <w:tcW w:w="1843" w:type="dxa"/>
            <w:vAlign w:val="top"/>
          </w:tcPr>
          <w:p>
            <w:pPr>
              <w:spacing w:line="400" w:lineRule="exact"/>
              <w:rPr>
                <w:kern w:val="0"/>
                <w:szCs w:val="21"/>
              </w:rPr>
            </w:pPr>
            <w:r>
              <w:rPr>
                <w:rFonts w:hint="eastAsia" w:ascii="宋体" w:hAnsi="宋体"/>
                <w:color w:val="000000"/>
                <w:szCs w:val="21"/>
                <w:lang w:val="zh-CN"/>
              </w:rPr>
              <w:t>其他情况</w:t>
            </w:r>
          </w:p>
        </w:tc>
        <w:tc>
          <w:tcPr>
            <w:tcW w:w="5386" w:type="dxa"/>
            <w:vAlign w:val="top"/>
          </w:tcPr>
          <w:p>
            <w:pPr>
              <w:spacing w:line="400" w:lineRule="exact"/>
              <w:rPr>
                <w:rFonts w:hint="eastAsia" w:ascii="宋体" w:hAnsi="宋体"/>
                <w:szCs w:val="21"/>
                <w:lang w:val="zh-CN"/>
              </w:rPr>
            </w:pPr>
            <w:r>
              <w:rPr>
                <w:rFonts w:hint="eastAsia" w:ascii="宋体" w:hAnsi="宋体"/>
                <w:color w:val="000000"/>
                <w:szCs w:val="21"/>
                <w:lang w:val="zh-CN"/>
              </w:rPr>
              <w:t>投标人具有2019年经萧山区招管办备案的《招标代理机构情况登记表》的得1分，没有不得分，需提供相应证明材料，否则不得分。</w:t>
            </w:r>
          </w:p>
        </w:tc>
        <w:tc>
          <w:tcPr>
            <w:tcW w:w="1440" w:type="dxa"/>
            <w:vAlign w:val="top"/>
          </w:tcPr>
          <w:p>
            <w:pPr>
              <w:spacing w:line="400" w:lineRule="exact"/>
              <w:rPr>
                <w:rFonts w:hint="eastAsia" w:ascii="宋体" w:hAnsi="宋体"/>
                <w:szCs w:val="21"/>
                <w:lang w:val="zh-CN"/>
              </w:rPr>
            </w:pPr>
            <w:r>
              <w:rPr>
                <w:rFonts w:hint="eastAsia" w:ascii="宋体" w:hAnsi="宋体"/>
                <w:szCs w:val="21"/>
                <w:lang w:val="zh-CN"/>
              </w:rPr>
              <w:t>0-</w:t>
            </w:r>
            <w:r>
              <w:rPr>
                <w:rFonts w:ascii="宋体" w:hAnsi="宋体"/>
                <w:szCs w:val="21"/>
                <w:lang w:val="zh-CN"/>
              </w:rPr>
              <w:t>1</w:t>
            </w:r>
            <w:r>
              <w:rPr>
                <w:rFonts w:hint="eastAsia" w:ascii="宋体" w:hAnsi="宋体"/>
                <w:szCs w:val="21"/>
                <w:lang w:val="zh-CN"/>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120" w:hRule="atLeast"/>
        </w:trPr>
        <w:tc>
          <w:tcPr>
            <w:tcW w:w="959" w:type="dxa"/>
            <w:vMerge w:val="restart"/>
            <w:vAlign w:val="top"/>
          </w:tcPr>
          <w:p>
            <w:pPr>
              <w:spacing w:line="400" w:lineRule="exact"/>
              <w:jc w:val="center"/>
              <w:rPr>
                <w:rFonts w:hint="eastAsia" w:ascii="宋体" w:hAnsi="宋体"/>
                <w:szCs w:val="21"/>
                <w:lang w:val="zh-CN"/>
              </w:rPr>
            </w:pPr>
            <w:r>
              <w:rPr>
                <w:rFonts w:hint="eastAsia" w:ascii="宋体" w:hAnsi="宋体"/>
                <w:szCs w:val="21"/>
                <w:lang w:val="zh-CN"/>
              </w:rPr>
              <w:t>技术（0-</w:t>
            </w:r>
            <w:r>
              <w:rPr>
                <w:rFonts w:ascii="宋体" w:hAnsi="宋体"/>
                <w:szCs w:val="21"/>
                <w:lang w:val="zh-CN"/>
              </w:rPr>
              <w:t>25</w:t>
            </w:r>
            <w:r>
              <w:rPr>
                <w:rFonts w:hint="eastAsia" w:ascii="宋体" w:hAnsi="宋体"/>
                <w:szCs w:val="21"/>
                <w:lang w:val="zh-CN"/>
              </w:rPr>
              <w:t>分）</w:t>
            </w:r>
          </w:p>
        </w:tc>
        <w:tc>
          <w:tcPr>
            <w:tcW w:w="1843" w:type="dxa"/>
            <w:vAlign w:val="top"/>
          </w:tcPr>
          <w:p>
            <w:pPr>
              <w:spacing w:line="400" w:lineRule="exact"/>
              <w:rPr>
                <w:rFonts w:hint="eastAsia" w:ascii="宋体" w:hAnsi="宋体"/>
                <w:szCs w:val="21"/>
                <w:lang w:val="zh-CN"/>
              </w:rPr>
            </w:pPr>
            <w:r>
              <w:rPr>
                <w:rFonts w:hint="eastAsia" w:ascii="宋体" w:hAnsi="宋体"/>
                <w:szCs w:val="21"/>
              </w:rPr>
              <w:t>代理工作方案</w:t>
            </w:r>
          </w:p>
        </w:tc>
        <w:tc>
          <w:tcPr>
            <w:tcW w:w="5386" w:type="dxa"/>
            <w:vAlign w:val="top"/>
          </w:tcPr>
          <w:p>
            <w:pPr>
              <w:spacing w:line="400" w:lineRule="exact"/>
              <w:rPr>
                <w:rFonts w:hint="eastAsia" w:ascii="宋体" w:hAnsi="宋体"/>
                <w:szCs w:val="21"/>
                <w:lang w:val="zh-CN"/>
              </w:rPr>
            </w:pPr>
            <w:r>
              <w:rPr>
                <w:rFonts w:hint="eastAsia" w:ascii="宋体" w:hAnsi="宋体"/>
                <w:color w:val="000000"/>
                <w:szCs w:val="21"/>
                <w:lang w:val="zh-CN"/>
              </w:rPr>
              <w:t>阐述代理工作方案及服务，代理工作方案描述规范、招标文件制定方案科学得15-20分；代理工作方案一般，但没大的错误、招标文件制定方案一般得8-14分；代理工作方案描述混乱、有较明显错误、招标文件制定方案有明显漏洞得7分以下。</w:t>
            </w:r>
          </w:p>
        </w:tc>
        <w:tc>
          <w:tcPr>
            <w:tcW w:w="1440" w:type="dxa"/>
            <w:vAlign w:val="top"/>
          </w:tcPr>
          <w:p>
            <w:pPr>
              <w:spacing w:line="400" w:lineRule="exact"/>
              <w:rPr>
                <w:rFonts w:hint="eastAsia" w:ascii="宋体" w:hAnsi="宋体"/>
                <w:szCs w:val="21"/>
                <w:lang w:val="zh-CN"/>
              </w:rPr>
            </w:pPr>
            <w:r>
              <w:rPr>
                <w:rFonts w:hint="eastAsia" w:ascii="宋体" w:hAnsi="宋体"/>
                <w:szCs w:val="21"/>
                <w:lang w:val="zh-CN"/>
              </w:rPr>
              <w:t>0-20分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272" w:hRule="atLeast"/>
        </w:trPr>
        <w:tc>
          <w:tcPr>
            <w:tcW w:w="959" w:type="dxa"/>
            <w:vMerge w:val="continue"/>
            <w:vAlign w:val="top"/>
          </w:tcPr>
          <w:p>
            <w:pPr>
              <w:spacing w:line="400" w:lineRule="exact"/>
              <w:jc w:val="center"/>
              <w:rPr>
                <w:rFonts w:hint="eastAsia" w:ascii="宋体" w:hAnsi="宋体"/>
                <w:szCs w:val="21"/>
                <w:lang w:val="zh-CN"/>
              </w:rPr>
            </w:pPr>
          </w:p>
        </w:tc>
        <w:tc>
          <w:tcPr>
            <w:tcW w:w="1843" w:type="dxa"/>
            <w:vAlign w:val="top"/>
          </w:tcPr>
          <w:p>
            <w:pPr>
              <w:spacing w:line="400" w:lineRule="exact"/>
              <w:rPr>
                <w:rFonts w:hint="eastAsia" w:ascii="宋体" w:hAnsi="宋体"/>
                <w:szCs w:val="21"/>
              </w:rPr>
            </w:pPr>
            <w:r>
              <w:rPr>
                <w:rFonts w:hint="eastAsia" w:ascii="宋体" w:hAnsi="宋体"/>
                <w:szCs w:val="21"/>
              </w:rPr>
              <w:t>服务承诺</w:t>
            </w:r>
          </w:p>
        </w:tc>
        <w:tc>
          <w:tcPr>
            <w:tcW w:w="5386" w:type="dxa"/>
            <w:vAlign w:val="top"/>
          </w:tcPr>
          <w:p>
            <w:pPr>
              <w:spacing w:line="400" w:lineRule="exact"/>
              <w:rPr>
                <w:rFonts w:hint="eastAsia" w:ascii="宋体" w:hAnsi="宋体"/>
                <w:szCs w:val="21"/>
                <w:lang w:val="zh-CN"/>
              </w:rPr>
            </w:pPr>
            <w:r>
              <w:rPr>
                <w:rFonts w:hint="eastAsia" w:ascii="宋体" w:hAnsi="宋体"/>
                <w:color w:val="000000"/>
                <w:szCs w:val="21"/>
                <w:lang w:val="zh-CN"/>
              </w:rPr>
              <w:t>招标文件第三章服务技术标准及要求中其他配套服务要求能全部达到的</w:t>
            </w:r>
            <w:r>
              <w:rPr>
                <w:rFonts w:ascii="宋体" w:hAnsi="宋体"/>
                <w:color w:val="000000"/>
                <w:szCs w:val="21"/>
                <w:lang w:val="zh-CN"/>
              </w:rPr>
              <w:t>2</w:t>
            </w:r>
            <w:r>
              <w:rPr>
                <w:rFonts w:hint="eastAsia" w:ascii="宋体" w:hAnsi="宋体"/>
                <w:color w:val="000000"/>
                <w:szCs w:val="21"/>
                <w:lang w:val="zh-CN"/>
              </w:rPr>
              <w:t>分，有不能达到的条款，不得分。有额外的配套服务承诺，视情况给予加分，本项最高得</w:t>
            </w:r>
            <w:r>
              <w:rPr>
                <w:rFonts w:ascii="宋体" w:hAnsi="宋体"/>
                <w:color w:val="000000"/>
                <w:szCs w:val="21"/>
                <w:lang w:val="zh-CN"/>
              </w:rPr>
              <w:t>5</w:t>
            </w:r>
            <w:r>
              <w:rPr>
                <w:rFonts w:hint="eastAsia" w:ascii="宋体" w:hAnsi="宋体"/>
                <w:color w:val="000000"/>
                <w:szCs w:val="21"/>
                <w:lang w:val="zh-CN"/>
              </w:rPr>
              <w:t>分。</w:t>
            </w:r>
          </w:p>
        </w:tc>
        <w:tc>
          <w:tcPr>
            <w:tcW w:w="1440" w:type="dxa"/>
            <w:vAlign w:val="top"/>
          </w:tcPr>
          <w:p>
            <w:pPr>
              <w:spacing w:line="400" w:lineRule="exact"/>
              <w:rPr>
                <w:rFonts w:hint="eastAsia" w:ascii="宋体" w:hAnsi="宋体"/>
                <w:szCs w:val="21"/>
                <w:lang w:val="zh-CN"/>
              </w:rPr>
            </w:pPr>
            <w:r>
              <w:rPr>
                <w:rFonts w:hint="eastAsia" w:ascii="宋体" w:hAnsi="宋体"/>
                <w:szCs w:val="21"/>
                <w:lang w:val="zh-CN"/>
              </w:rPr>
              <w:t>0-</w:t>
            </w:r>
            <w:r>
              <w:rPr>
                <w:rFonts w:ascii="宋体" w:hAnsi="宋体"/>
                <w:szCs w:val="21"/>
                <w:lang w:val="zh-CN"/>
              </w:rPr>
              <w:t>5</w:t>
            </w:r>
            <w:r>
              <w:rPr>
                <w:rFonts w:hint="eastAsia" w:ascii="宋体" w:hAnsi="宋体"/>
                <w:szCs w:val="21"/>
                <w:lang w:val="zh-CN"/>
              </w:rPr>
              <w:t>分</w:t>
            </w:r>
          </w:p>
        </w:tc>
      </w:tr>
    </w:tbl>
    <w:p>
      <w:pPr>
        <w:pStyle w:val="21"/>
        <w:adjustRightInd w:val="0"/>
        <w:snapToGrid w:val="0"/>
        <w:spacing w:line="400" w:lineRule="exact"/>
        <w:rPr>
          <w:rFonts w:hAnsi="宋体" w:cs="Calibri"/>
          <w:sz w:val="22"/>
          <w:szCs w:val="22"/>
        </w:rPr>
      </w:pPr>
    </w:p>
    <w:p>
      <w:pPr>
        <w:pStyle w:val="21"/>
        <w:adjustRightInd w:val="0"/>
        <w:snapToGrid w:val="0"/>
        <w:spacing w:line="400" w:lineRule="exact"/>
        <w:rPr>
          <w:rFonts w:hAnsi="宋体" w:cs="Calibri"/>
          <w:sz w:val="22"/>
          <w:szCs w:val="22"/>
        </w:rPr>
      </w:pPr>
    </w:p>
    <w:p>
      <w:pPr>
        <w:pStyle w:val="21"/>
        <w:adjustRightInd w:val="0"/>
        <w:snapToGrid w:val="0"/>
        <w:spacing w:line="400" w:lineRule="exact"/>
        <w:rPr>
          <w:rFonts w:hint="eastAsia" w:hAnsi="宋体" w:cs="Calibri"/>
          <w:sz w:val="22"/>
          <w:szCs w:val="22"/>
        </w:rPr>
      </w:pPr>
    </w:p>
    <w:p>
      <w:pPr>
        <w:pStyle w:val="21"/>
        <w:adjustRightInd w:val="0"/>
        <w:snapToGrid w:val="0"/>
        <w:spacing w:line="400" w:lineRule="exact"/>
        <w:ind w:firstLine="440" w:firstLineChars="200"/>
        <w:rPr>
          <w:rFonts w:hAnsi="宋体" w:cs="Calibri"/>
          <w:sz w:val="22"/>
          <w:szCs w:val="22"/>
        </w:rPr>
      </w:pPr>
      <w:r>
        <w:rPr>
          <w:rFonts w:hint="eastAsia" w:hAnsi="宋体" w:cs="Calibri"/>
          <w:sz w:val="22"/>
          <w:szCs w:val="22"/>
        </w:rPr>
        <w:t>标段</w:t>
      </w:r>
      <w:r>
        <w:rPr>
          <w:rFonts w:hAnsi="宋体" w:cs="Calibri"/>
          <w:sz w:val="22"/>
          <w:szCs w:val="22"/>
        </w:rPr>
        <w:t>二：</w:t>
      </w:r>
    </w:p>
    <w:tbl>
      <w:tblPr>
        <w:tblStyle w:val="53"/>
        <w:tblW w:w="962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9"/>
        <w:gridCol w:w="1843"/>
        <w:gridCol w:w="5386"/>
        <w:gridCol w:w="14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48" w:hRule="atLeast"/>
        </w:trPr>
        <w:tc>
          <w:tcPr>
            <w:tcW w:w="959" w:type="dxa"/>
            <w:vAlign w:val="top"/>
          </w:tcPr>
          <w:p>
            <w:pPr>
              <w:spacing w:line="400" w:lineRule="exact"/>
              <w:jc w:val="center"/>
              <w:rPr>
                <w:rFonts w:hint="eastAsia" w:ascii="宋体" w:hAnsi="宋体"/>
                <w:b/>
                <w:sz w:val="24"/>
              </w:rPr>
            </w:pPr>
            <w:r>
              <w:rPr>
                <w:rFonts w:hint="eastAsia" w:ascii="宋体" w:hAnsi="宋体"/>
                <w:b/>
                <w:sz w:val="24"/>
              </w:rPr>
              <w:t>序号</w:t>
            </w:r>
          </w:p>
        </w:tc>
        <w:tc>
          <w:tcPr>
            <w:tcW w:w="1843" w:type="dxa"/>
            <w:vAlign w:val="center"/>
          </w:tcPr>
          <w:p>
            <w:pPr>
              <w:spacing w:line="400" w:lineRule="exact"/>
              <w:jc w:val="center"/>
              <w:rPr>
                <w:rFonts w:ascii="宋体" w:hAnsi="宋体"/>
                <w:b/>
                <w:sz w:val="24"/>
              </w:rPr>
            </w:pPr>
            <w:r>
              <w:rPr>
                <w:rFonts w:hint="eastAsia" w:ascii="宋体" w:hAnsi="宋体"/>
                <w:b/>
                <w:sz w:val="24"/>
              </w:rPr>
              <w:t>评分内容</w:t>
            </w:r>
          </w:p>
        </w:tc>
        <w:tc>
          <w:tcPr>
            <w:tcW w:w="5386" w:type="dxa"/>
            <w:vAlign w:val="center"/>
          </w:tcPr>
          <w:p>
            <w:pPr>
              <w:spacing w:line="400" w:lineRule="exact"/>
              <w:jc w:val="center"/>
              <w:rPr>
                <w:rFonts w:ascii="宋体" w:hAnsi="宋体"/>
                <w:b/>
                <w:sz w:val="24"/>
              </w:rPr>
            </w:pPr>
            <w:r>
              <w:rPr>
                <w:rFonts w:hint="eastAsia" w:ascii="宋体" w:hAnsi="宋体"/>
                <w:b/>
                <w:sz w:val="24"/>
              </w:rPr>
              <w:t>评分标准</w:t>
            </w:r>
          </w:p>
        </w:tc>
        <w:tc>
          <w:tcPr>
            <w:tcW w:w="1440" w:type="dxa"/>
            <w:vAlign w:val="top"/>
          </w:tcPr>
          <w:p>
            <w:pPr>
              <w:spacing w:line="400" w:lineRule="exact"/>
              <w:jc w:val="center"/>
              <w:rPr>
                <w:rFonts w:hint="eastAsia" w:ascii="宋体" w:hAnsi="宋体"/>
                <w:b/>
                <w:sz w:val="24"/>
              </w:rPr>
            </w:pPr>
            <w:r>
              <w:rPr>
                <w:rFonts w:hint="eastAsia" w:ascii="宋体" w:hAnsi="宋体"/>
                <w:b/>
                <w:sz w:val="24"/>
              </w:rPr>
              <w:t>分值</w:t>
            </w:r>
            <w:r>
              <w:rPr>
                <w:rFonts w:ascii="宋体" w:hAnsi="宋体"/>
                <w:b/>
                <w:sz w:val="24"/>
              </w:rPr>
              <w:t>区间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891" w:hRule="atLeast"/>
        </w:trPr>
        <w:tc>
          <w:tcPr>
            <w:tcW w:w="959" w:type="dxa"/>
            <w:vMerge w:val="restart"/>
            <w:vAlign w:val="top"/>
          </w:tcPr>
          <w:p>
            <w:pPr>
              <w:spacing w:line="400" w:lineRule="exact"/>
              <w:jc w:val="center"/>
              <w:rPr>
                <w:rFonts w:hint="eastAsia" w:ascii="宋体" w:hAnsi="宋体"/>
                <w:szCs w:val="21"/>
                <w:lang w:val="zh-CN"/>
              </w:rPr>
            </w:pPr>
            <w:r>
              <w:rPr>
                <w:rFonts w:hint="eastAsia" w:ascii="宋体" w:hAnsi="宋体"/>
                <w:szCs w:val="21"/>
                <w:lang w:val="zh-CN"/>
              </w:rPr>
              <w:t>资信（0-1</w:t>
            </w:r>
            <w:r>
              <w:rPr>
                <w:rFonts w:ascii="宋体" w:hAnsi="宋体"/>
                <w:szCs w:val="21"/>
                <w:lang w:val="zh-CN"/>
              </w:rPr>
              <w:t>5</w:t>
            </w:r>
            <w:r>
              <w:rPr>
                <w:rFonts w:hint="eastAsia" w:ascii="宋体" w:hAnsi="宋体"/>
                <w:szCs w:val="21"/>
                <w:lang w:val="zh-CN"/>
              </w:rPr>
              <w:t>分）</w:t>
            </w:r>
          </w:p>
        </w:tc>
        <w:tc>
          <w:tcPr>
            <w:tcW w:w="1843" w:type="dxa"/>
            <w:vAlign w:val="top"/>
          </w:tcPr>
          <w:p>
            <w:pPr>
              <w:spacing w:line="400" w:lineRule="exact"/>
              <w:rPr>
                <w:rFonts w:hint="eastAsia" w:ascii="宋体" w:hAnsi="宋体"/>
                <w:szCs w:val="21"/>
                <w:lang w:val="zh-CN"/>
              </w:rPr>
            </w:pPr>
            <w:r>
              <w:rPr>
                <w:rFonts w:hint="eastAsia"/>
                <w:kern w:val="0"/>
                <w:szCs w:val="21"/>
              </w:rPr>
              <w:t>投标人相关业绩</w:t>
            </w:r>
          </w:p>
        </w:tc>
        <w:tc>
          <w:tcPr>
            <w:tcW w:w="5386" w:type="dxa"/>
            <w:vAlign w:val="top"/>
          </w:tcPr>
          <w:p>
            <w:pPr>
              <w:spacing w:line="400" w:lineRule="exact"/>
              <w:rPr>
                <w:rFonts w:ascii="宋体" w:hAnsi="宋体"/>
                <w:color w:val="000000"/>
                <w:szCs w:val="21"/>
                <w:lang w:val="zh-CN"/>
              </w:rPr>
            </w:pPr>
            <w:r>
              <w:rPr>
                <w:rFonts w:hint="eastAsia" w:ascii="宋体" w:hAnsi="宋体"/>
                <w:color w:val="000000"/>
                <w:szCs w:val="21"/>
                <w:lang w:val="zh-CN"/>
              </w:rPr>
              <w:t>（1）根据各投标人近三年（201</w:t>
            </w:r>
            <w:r>
              <w:rPr>
                <w:rFonts w:ascii="宋体" w:hAnsi="宋体"/>
                <w:color w:val="000000"/>
                <w:szCs w:val="21"/>
                <w:lang w:val="zh-CN"/>
              </w:rPr>
              <w:t>6</w:t>
            </w:r>
            <w:r>
              <w:rPr>
                <w:rFonts w:hint="eastAsia" w:ascii="宋体" w:hAnsi="宋体"/>
                <w:color w:val="000000"/>
                <w:szCs w:val="21"/>
                <w:lang w:val="zh-CN"/>
              </w:rPr>
              <w:t>年1月1日至投标截止</w:t>
            </w:r>
            <w:r>
              <w:rPr>
                <w:rFonts w:ascii="宋体" w:hAnsi="宋体"/>
                <w:color w:val="000000"/>
                <w:szCs w:val="21"/>
                <w:lang w:val="zh-CN"/>
              </w:rPr>
              <w:t>之日</w:t>
            </w:r>
            <w:r>
              <w:rPr>
                <w:rFonts w:hint="eastAsia" w:ascii="宋体" w:hAnsi="宋体"/>
                <w:color w:val="000000"/>
                <w:szCs w:val="21"/>
                <w:lang w:val="zh-CN"/>
              </w:rPr>
              <w:t>）国内、国际单项中标金额</w:t>
            </w:r>
            <w:r>
              <w:rPr>
                <w:rFonts w:ascii="宋体" w:hAnsi="宋体"/>
                <w:color w:val="000000"/>
                <w:szCs w:val="21"/>
              </w:rPr>
              <w:t>200</w:t>
            </w:r>
            <w:r>
              <w:rPr>
                <w:rFonts w:hint="eastAsia" w:ascii="宋体" w:hAnsi="宋体"/>
                <w:color w:val="000000"/>
                <w:szCs w:val="21"/>
                <w:lang w:val="zh-CN"/>
              </w:rPr>
              <w:t>万元</w:t>
            </w:r>
            <w:r>
              <w:rPr>
                <w:rFonts w:hint="eastAsia" w:ascii="宋体" w:hAnsi="宋体"/>
                <w:color w:val="000000"/>
                <w:szCs w:val="21"/>
              </w:rPr>
              <w:t>（不含）</w:t>
            </w:r>
            <w:r>
              <w:rPr>
                <w:rFonts w:hint="eastAsia" w:ascii="宋体" w:hAnsi="宋体"/>
                <w:color w:val="000000"/>
                <w:szCs w:val="21"/>
                <w:lang w:val="zh-CN"/>
              </w:rPr>
              <w:t>以上的设备、货物及服务的招标代理业绩进行横向比较后评分，本项最高得3分；</w:t>
            </w:r>
          </w:p>
          <w:p>
            <w:pPr>
              <w:spacing w:line="400" w:lineRule="exact"/>
              <w:rPr>
                <w:rFonts w:hint="eastAsia" w:ascii="宋体" w:hAnsi="宋体"/>
                <w:color w:val="000000"/>
                <w:szCs w:val="21"/>
              </w:rPr>
            </w:pPr>
            <w:r>
              <w:rPr>
                <w:rFonts w:hint="eastAsia" w:ascii="宋体" w:hAnsi="宋体"/>
                <w:color w:val="000000"/>
                <w:szCs w:val="21"/>
                <w:lang w:val="zh-CN"/>
              </w:rPr>
              <w:t>（2）根据各投标人近三年（201</w:t>
            </w:r>
            <w:r>
              <w:rPr>
                <w:rFonts w:ascii="宋体" w:hAnsi="宋体"/>
                <w:color w:val="000000"/>
                <w:szCs w:val="21"/>
                <w:lang w:val="zh-CN"/>
              </w:rPr>
              <w:t>6</w:t>
            </w:r>
            <w:r>
              <w:rPr>
                <w:rFonts w:hint="eastAsia" w:ascii="宋体" w:hAnsi="宋体"/>
                <w:color w:val="000000"/>
                <w:szCs w:val="21"/>
                <w:lang w:val="zh-CN"/>
              </w:rPr>
              <w:t>年1月1日至投标截止</w:t>
            </w:r>
            <w:r>
              <w:rPr>
                <w:rFonts w:ascii="宋体" w:hAnsi="宋体"/>
                <w:color w:val="000000"/>
                <w:szCs w:val="21"/>
                <w:lang w:val="zh-CN"/>
              </w:rPr>
              <w:t>日</w:t>
            </w:r>
            <w:r>
              <w:rPr>
                <w:rFonts w:hint="eastAsia" w:ascii="宋体" w:hAnsi="宋体"/>
                <w:color w:val="000000"/>
                <w:szCs w:val="21"/>
                <w:lang w:val="zh-CN"/>
              </w:rPr>
              <w:t>）民航专用特种设备招标代理业绩进行横向比较后评分，本项最高得</w:t>
            </w:r>
            <w:r>
              <w:rPr>
                <w:rFonts w:ascii="宋体" w:hAnsi="宋体"/>
                <w:color w:val="000000"/>
                <w:szCs w:val="21"/>
                <w:lang w:val="zh-CN"/>
              </w:rPr>
              <w:t>3</w:t>
            </w:r>
            <w:r>
              <w:rPr>
                <w:rFonts w:hint="eastAsia" w:ascii="宋体" w:hAnsi="宋体"/>
                <w:color w:val="000000"/>
                <w:szCs w:val="21"/>
                <w:lang w:val="zh-CN"/>
              </w:rPr>
              <w:t>分。</w:t>
            </w:r>
          </w:p>
        </w:tc>
        <w:tc>
          <w:tcPr>
            <w:tcW w:w="1440" w:type="dxa"/>
            <w:vAlign w:val="top"/>
          </w:tcPr>
          <w:p>
            <w:pPr>
              <w:spacing w:line="400" w:lineRule="exact"/>
              <w:rPr>
                <w:rFonts w:hint="eastAsia" w:ascii="宋体" w:hAnsi="宋体"/>
                <w:szCs w:val="21"/>
                <w:lang w:val="zh-CN"/>
              </w:rPr>
            </w:pPr>
            <w:r>
              <w:rPr>
                <w:rFonts w:hint="eastAsia" w:ascii="宋体" w:hAnsi="宋体"/>
                <w:szCs w:val="21"/>
                <w:lang w:val="zh-CN"/>
              </w:rPr>
              <w:t>0-</w:t>
            </w:r>
            <w:r>
              <w:rPr>
                <w:rFonts w:ascii="宋体" w:hAnsi="宋体"/>
                <w:szCs w:val="21"/>
                <w:lang w:val="zh-CN"/>
              </w:rPr>
              <w:t>6</w:t>
            </w:r>
            <w:r>
              <w:rPr>
                <w:rFonts w:hint="eastAsia" w:ascii="宋体" w:hAnsi="宋体"/>
                <w:szCs w:val="21"/>
                <w:lang w:val="zh-CN"/>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891" w:hRule="atLeast"/>
        </w:trPr>
        <w:tc>
          <w:tcPr>
            <w:tcW w:w="959" w:type="dxa"/>
            <w:vMerge w:val="continue"/>
            <w:vAlign w:val="top"/>
          </w:tcPr>
          <w:p>
            <w:pPr>
              <w:spacing w:line="400" w:lineRule="exact"/>
              <w:jc w:val="center"/>
              <w:rPr>
                <w:rFonts w:hint="eastAsia" w:ascii="宋体" w:hAnsi="宋体"/>
                <w:szCs w:val="21"/>
                <w:lang w:val="zh-CN"/>
              </w:rPr>
            </w:pPr>
          </w:p>
        </w:tc>
        <w:tc>
          <w:tcPr>
            <w:tcW w:w="1843" w:type="dxa"/>
            <w:vAlign w:val="top"/>
          </w:tcPr>
          <w:p>
            <w:pPr>
              <w:spacing w:line="400" w:lineRule="exact"/>
              <w:rPr>
                <w:rFonts w:hint="eastAsia"/>
                <w:kern w:val="0"/>
                <w:szCs w:val="21"/>
              </w:rPr>
            </w:pPr>
            <w:r>
              <w:rPr>
                <w:kern w:val="0"/>
                <w:szCs w:val="21"/>
              </w:rPr>
              <w:t>项目负责</w:t>
            </w:r>
            <w:r>
              <w:rPr>
                <w:rFonts w:hint="eastAsia"/>
                <w:kern w:val="0"/>
                <w:szCs w:val="21"/>
              </w:rPr>
              <w:t>人业绩及</w:t>
            </w:r>
            <w:r>
              <w:rPr>
                <w:kern w:val="0"/>
                <w:szCs w:val="21"/>
              </w:rPr>
              <w:t>项目团队配备</w:t>
            </w:r>
          </w:p>
        </w:tc>
        <w:tc>
          <w:tcPr>
            <w:tcW w:w="5386" w:type="dxa"/>
            <w:vAlign w:val="top"/>
          </w:tcPr>
          <w:p>
            <w:pPr>
              <w:spacing w:line="400" w:lineRule="exact"/>
              <w:rPr>
                <w:rFonts w:ascii="宋体" w:hAnsi="宋体"/>
                <w:color w:val="000000"/>
                <w:szCs w:val="21"/>
              </w:rPr>
            </w:pPr>
            <w:r>
              <w:rPr>
                <w:rFonts w:hint="eastAsia" w:ascii="宋体" w:hAnsi="宋体"/>
                <w:color w:val="000000"/>
                <w:szCs w:val="21"/>
                <w:lang w:val="zh-CN"/>
              </w:rPr>
              <w:t>（1）</w:t>
            </w:r>
            <w:r>
              <w:rPr>
                <w:rFonts w:ascii="宋体" w:hAnsi="宋体"/>
                <w:color w:val="000000"/>
                <w:szCs w:val="21"/>
              </w:rPr>
              <w:t>项目负责人具有</w:t>
            </w:r>
            <w:r>
              <w:rPr>
                <w:rFonts w:hint="eastAsia" w:ascii="宋体" w:hAnsi="宋体"/>
                <w:color w:val="000000"/>
                <w:szCs w:val="21"/>
              </w:rPr>
              <w:t>高级</w:t>
            </w:r>
            <w:r>
              <w:rPr>
                <w:rFonts w:ascii="宋体" w:hAnsi="宋体"/>
                <w:color w:val="000000"/>
                <w:szCs w:val="21"/>
              </w:rPr>
              <w:t>职称</w:t>
            </w:r>
            <w:r>
              <w:rPr>
                <w:rFonts w:hint="eastAsia" w:ascii="宋体" w:hAnsi="宋体"/>
                <w:color w:val="000000"/>
                <w:szCs w:val="21"/>
              </w:rPr>
              <w:t>的得1分；</w:t>
            </w:r>
          </w:p>
          <w:p>
            <w:pPr>
              <w:spacing w:line="400" w:lineRule="exact"/>
              <w:rPr>
                <w:rFonts w:ascii="宋体" w:hAnsi="宋体"/>
                <w:color w:val="000000"/>
                <w:szCs w:val="21"/>
              </w:rPr>
            </w:pPr>
            <w:r>
              <w:rPr>
                <w:rFonts w:hint="eastAsia" w:ascii="宋体" w:hAnsi="宋体"/>
                <w:color w:val="000000"/>
                <w:szCs w:val="21"/>
              </w:rPr>
              <w:t>（2）评标委员会根据各投标人拟派项目负责人近三年（201</w:t>
            </w:r>
            <w:r>
              <w:rPr>
                <w:rFonts w:ascii="宋体" w:hAnsi="宋体"/>
                <w:color w:val="000000"/>
                <w:szCs w:val="21"/>
              </w:rPr>
              <w:t>6</w:t>
            </w:r>
            <w:r>
              <w:rPr>
                <w:rFonts w:hint="eastAsia" w:ascii="宋体" w:hAnsi="宋体"/>
                <w:color w:val="000000"/>
                <w:szCs w:val="21"/>
              </w:rPr>
              <w:t>年1月1日至投标截止日）国内、国际单项中标金额</w:t>
            </w:r>
            <w:r>
              <w:rPr>
                <w:rFonts w:ascii="宋体" w:hAnsi="宋体"/>
                <w:color w:val="000000"/>
                <w:szCs w:val="21"/>
              </w:rPr>
              <w:t>200</w:t>
            </w:r>
            <w:r>
              <w:rPr>
                <w:rFonts w:hint="eastAsia" w:ascii="宋体" w:hAnsi="宋体"/>
                <w:color w:val="000000"/>
                <w:szCs w:val="21"/>
              </w:rPr>
              <w:t>万元（不含）以上的设备、货物及服务的招标代理业绩进行横向比较后评分，本项最高得4分；</w:t>
            </w:r>
          </w:p>
          <w:p>
            <w:pPr>
              <w:spacing w:line="400" w:lineRule="exact"/>
              <w:rPr>
                <w:rFonts w:hint="eastAsia" w:ascii="宋体" w:hAnsi="宋体"/>
                <w:color w:val="000000"/>
                <w:szCs w:val="21"/>
              </w:rPr>
            </w:pPr>
            <w:r>
              <w:rPr>
                <w:rFonts w:hint="eastAsia" w:ascii="宋体" w:hAnsi="宋体"/>
                <w:color w:val="000000"/>
                <w:szCs w:val="21"/>
              </w:rPr>
              <w:t>（3）根据项目管理团队成员（除项目负责人外）的配置情况、职称、业绩等情况横向比较后评分，本项最高得3分。</w:t>
            </w:r>
          </w:p>
        </w:tc>
        <w:tc>
          <w:tcPr>
            <w:tcW w:w="1440" w:type="dxa"/>
            <w:vAlign w:val="top"/>
          </w:tcPr>
          <w:p>
            <w:pPr>
              <w:spacing w:line="400" w:lineRule="exact"/>
              <w:rPr>
                <w:rFonts w:hint="eastAsia" w:ascii="宋体" w:hAnsi="宋体"/>
                <w:szCs w:val="21"/>
                <w:lang w:val="zh-CN"/>
              </w:rPr>
            </w:pPr>
            <w:r>
              <w:rPr>
                <w:rFonts w:hint="eastAsia" w:ascii="宋体" w:hAnsi="宋体"/>
                <w:szCs w:val="21"/>
                <w:lang w:val="zh-CN"/>
              </w:rPr>
              <w:t>0-</w:t>
            </w:r>
            <w:r>
              <w:rPr>
                <w:rFonts w:ascii="宋体" w:hAnsi="宋体"/>
                <w:szCs w:val="21"/>
                <w:lang w:val="zh-CN"/>
              </w:rPr>
              <w:t>8</w:t>
            </w:r>
            <w:r>
              <w:rPr>
                <w:rFonts w:hint="eastAsia" w:ascii="宋体" w:hAnsi="宋体"/>
                <w:szCs w:val="21"/>
                <w:lang w:val="zh-CN"/>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266" w:hRule="atLeast"/>
        </w:trPr>
        <w:tc>
          <w:tcPr>
            <w:tcW w:w="959" w:type="dxa"/>
            <w:vMerge w:val="continue"/>
            <w:vAlign w:val="top"/>
          </w:tcPr>
          <w:p>
            <w:pPr>
              <w:spacing w:line="400" w:lineRule="exact"/>
              <w:jc w:val="center"/>
              <w:rPr>
                <w:rFonts w:hint="eastAsia" w:ascii="宋体" w:hAnsi="宋体"/>
                <w:szCs w:val="21"/>
                <w:lang w:val="zh-CN"/>
              </w:rPr>
            </w:pPr>
          </w:p>
        </w:tc>
        <w:tc>
          <w:tcPr>
            <w:tcW w:w="1843" w:type="dxa"/>
            <w:vAlign w:val="top"/>
          </w:tcPr>
          <w:p>
            <w:pPr>
              <w:spacing w:line="400" w:lineRule="exact"/>
              <w:rPr>
                <w:kern w:val="0"/>
                <w:szCs w:val="21"/>
              </w:rPr>
            </w:pPr>
            <w:r>
              <w:rPr>
                <w:rFonts w:hint="eastAsia" w:ascii="宋体" w:hAnsi="宋体"/>
                <w:color w:val="000000"/>
                <w:szCs w:val="21"/>
                <w:lang w:val="zh-CN"/>
              </w:rPr>
              <w:t>其他情况</w:t>
            </w:r>
          </w:p>
        </w:tc>
        <w:tc>
          <w:tcPr>
            <w:tcW w:w="5386" w:type="dxa"/>
            <w:vAlign w:val="top"/>
          </w:tcPr>
          <w:p>
            <w:pPr>
              <w:spacing w:line="400" w:lineRule="exact"/>
              <w:rPr>
                <w:rFonts w:hint="eastAsia" w:ascii="宋体" w:hAnsi="宋体"/>
                <w:szCs w:val="21"/>
                <w:lang w:val="zh-CN"/>
              </w:rPr>
            </w:pPr>
            <w:r>
              <w:rPr>
                <w:rFonts w:hint="eastAsia" w:ascii="宋体" w:hAnsi="宋体"/>
                <w:color w:val="000000"/>
                <w:szCs w:val="21"/>
                <w:lang w:val="zh-CN"/>
              </w:rPr>
              <w:t>投标人具有2019年经萧山区招管办备案的《招标代理机构情况登记表》的得1分，没有不得分，需提供相应证明材料，否则不得分。</w:t>
            </w:r>
          </w:p>
        </w:tc>
        <w:tc>
          <w:tcPr>
            <w:tcW w:w="1440" w:type="dxa"/>
            <w:vAlign w:val="top"/>
          </w:tcPr>
          <w:p>
            <w:pPr>
              <w:spacing w:line="400" w:lineRule="exact"/>
              <w:rPr>
                <w:rFonts w:hint="eastAsia" w:ascii="宋体" w:hAnsi="宋体"/>
                <w:szCs w:val="21"/>
                <w:lang w:val="zh-CN"/>
              </w:rPr>
            </w:pPr>
            <w:r>
              <w:rPr>
                <w:rFonts w:hint="eastAsia" w:ascii="宋体" w:hAnsi="宋体"/>
                <w:szCs w:val="21"/>
                <w:lang w:val="zh-CN"/>
              </w:rPr>
              <w:t>0-</w:t>
            </w:r>
            <w:r>
              <w:rPr>
                <w:rFonts w:ascii="宋体" w:hAnsi="宋体"/>
                <w:szCs w:val="21"/>
                <w:lang w:val="zh-CN"/>
              </w:rPr>
              <w:t>1</w:t>
            </w:r>
            <w:r>
              <w:rPr>
                <w:rFonts w:hint="eastAsia" w:ascii="宋体" w:hAnsi="宋体"/>
                <w:szCs w:val="21"/>
                <w:lang w:val="zh-CN"/>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120" w:hRule="atLeast"/>
        </w:trPr>
        <w:tc>
          <w:tcPr>
            <w:tcW w:w="959" w:type="dxa"/>
            <w:vMerge w:val="restart"/>
            <w:vAlign w:val="top"/>
          </w:tcPr>
          <w:p>
            <w:pPr>
              <w:spacing w:line="400" w:lineRule="exact"/>
              <w:jc w:val="center"/>
              <w:rPr>
                <w:rFonts w:hint="eastAsia" w:ascii="宋体" w:hAnsi="宋体"/>
                <w:szCs w:val="21"/>
                <w:lang w:val="zh-CN"/>
              </w:rPr>
            </w:pPr>
            <w:r>
              <w:rPr>
                <w:rFonts w:hint="eastAsia" w:ascii="宋体" w:hAnsi="宋体"/>
                <w:szCs w:val="21"/>
                <w:lang w:val="zh-CN"/>
              </w:rPr>
              <w:t>技术（0-2</w:t>
            </w:r>
            <w:r>
              <w:rPr>
                <w:rFonts w:ascii="宋体" w:hAnsi="宋体"/>
                <w:szCs w:val="21"/>
                <w:lang w:val="zh-CN"/>
              </w:rPr>
              <w:t>5</w:t>
            </w:r>
            <w:r>
              <w:rPr>
                <w:rFonts w:hint="eastAsia" w:ascii="宋体" w:hAnsi="宋体"/>
                <w:szCs w:val="21"/>
                <w:lang w:val="zh-CN"/>
              </w:rPr>
              <w:t>分）</w:t>
            </w:r>
          </w:p>
        </w:tc>
        <w:tc>
          <w:tcPr>
            <w:tcW w:w="1843" w:type="dxa"/>
            <w:vAlign w:val="top"/>
          </w:tcPr>
          <w:p>
            <w:pPr>
              <w:spacing w:line="400" w:lineRule="exact"/>
              <w:rPr>
                <w:rFonts w:hint="eastAsia" w:ascii="宋体" w:hAnsi="宋体"/>
                <w:szCs w:val="21"/>
                <w:lang w:val="zh-CN"/>
              </w:rPr>
            </w:pPr>
            <w:r>
              <w:rPr>
                <w:rFonts w:hint="eastAsia" w:ascii="宋体" w:hAnsi="宋体"/>
                <w:szCs w:val="21"/>
              </w:rPr>
              <w:t>代理工作方案</w:t>
            </w:r>
          </w:p>
        </w:tc>
        <w:tc>
          <w:tcPr>
            <w:tcW w:w="5386" w:type="dxa"/>
            <w:vAlign w:val="top"/>
          </w:tcPr>
          <w:p>
            <w:pPr>
              <w:spacing w:line="400" w:lineRule="exact"/>
              <w:rPr>
                <w:rFonts w:hint="eastAsia" w:ascii="宋体" w:hAnsi="宋体"/>
                <w:szCs w:val="21"/>
                <w:lang w:val="zh-CN"/>
              </w:rPr>
            </w:pPr>
            <w:r>
              <w:rPr>
                <w:rFonts w:hint="eastAsia" w:ascii="宋体" w:hAnsi="宋体"/>
                <w:color w:val="000000"/>
                <w:szCs w:val="21"/>
                <w:lang w:val="zh-CN"/>
              </w:rPr>
              <w:t>阐述代理工作方案及服务，代理工作方案描述规范、招标文件制定方案科学得15-20分；代理工作方案一般，但没大的错误、招标文件制定方案一般得8-14分；代理工作方案描述混乱、有较明显错误、招标文件制定方案有明显漏洞得7分以下。</w:t>
            </w:r>
          </w:p>
        </w:tc>
        <w:tc>
          <w:tcPr>
            <w:tcW w:w="1440" w:type="dxa"/>
            <w:vAlign w:val="top"/>
          </w:tcPr>
          <w:p>
            <w:pPr>
              <w:spacing w:line="400" w:lineRule="exact"/>
              <w:rPr>
                <w:rFonts w:hint="eastAsia" w:ascii="宋体" w:hAnsi="宋体"/>
                <w:szCs w:val="21"/>
                <w:lang w:val="zh-CN"/>
              </w:rPr>
            </w:pPr>
            <w:r>
              <w:rPr>
                <w:rFonts w:hint="eastAsia" w:ascii="宋体" w:hAnsi="宋体"/>
                <w:szCs w:val="21"/>
                <w:lang w:val="zh-CN"/>
              </w:rPr>
              <w:t>0-20分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272" w:hRule="atLeast"/>
        </w:trPr>
        <w:tc>
          <w:tcPr>
            <w:tcW w:w="959" w:type="dxa"/>
            <w:vMerge w:val="continue"/>
            <w:vAlign w:val="top"/>
          </w:tcPr>
          <w:p>
            <w:pPr>
              <w:spacing w:line="400" w:lineRule="exact"/>
              <w:jc w:val="center"/>
              <w:rPr>
                <w:rFonts w:hint="eastAsia" w:ascii="宋体" w:hAnsi="宋体"/>
                <w:szCs w:val="21"/>
                <w:lang w:val="zh-CN"/>
              </w:rPr>
            </w:pPr>
          </w:p>
        </w:tc>
        <w:tc>
          <w:tcPr>
            <w:tcW w:w="1843" w:type="dxa"/>
            <w:vAlign w:val="top"/>
          </w:tcPr>
          <w:p>
            <w:pPr>
              <w:spacing w:line="400" w:lineRule="exact"/>
              <w:rPr>
                <w:rFonts w:hint="eastAsia" w:ascii="宋体" w:hAnsi="宋体"/>
                <w:szCs w:val="21"/>
              </w:rPr>
            </w:pPr>
            <w:r>
              <w:rPr>
                <w:rFonts w:hint="eastAsia" w:ascii="宋体" w:hAnsi="宋体"/>
                <w:szCs w:val="21"/>
              </w:rPr>
              <w:t>服务承诺</w:t>
            </w:r>
          </w:p>
        </w:tc>
        <w:tc>
          <w:tcPr>
            <w:tcW w:w="5386" w:type="dxa"/>
            <w:vAlign w:val="top"/>
          </w:tcPr>
          <w:p>
            <w:pPr>
              <w:spacing w:line="400" w:lineRule="exact"/>
              <w:rPr>
                <w:rFonts w:hint="eastAsia" w:ascii="宋体" w:hAnsi="宋体"/>
                <w:szCs w:val="21"/>
                <w:lang w:val="zh-CN"/>
              </w:rPr>
            </w:pPr>
            <w:r>
              <w:rPr>
                <w:rFonts w:hint="eastAsia" w:ascii="宋体" w:hAnsi="宋体"/>
                <w:color w:val="000000"/>
                <w:szCs w:val="21"/>
                <w:lang w:val="zh-CN"/>
              </w:rPr>
              <w:t>招标文件第三章服务技术标准及要求中其他配套服务要求能全部达到的</w:t>
            </w:r>
            <w:r>
              <w:rPr>
                <w:rFonts w:ascii="宋体" w:hAnsi="宋体"/>
                <w:color w:val="000000"/>
                <w:szCs w:val="21"/>
                <w:lang w:val="zh-CN"/>
              </w:rPr>
              <w:t>2</w:t>
            </w:r>
            <w:r>
              <w:rPr>
                <w:rFonts w:hint="eastAsia" w:ascii="宋体" w:hAnsi="宋体"/>
                <w:color w:val="000000"/>
                <w:szCs w:val="21"/>
                <w:lang w:val="zh-CN"/>
              </w:rPr>
              <w:t>分，有不能达到的条款，不得分。有额外的配套服务承诺，视情况给予加分，本项最高得</w:t>
            </w:r>
            <w:r>
              <w:rPr>
                <w:rFonts w:ascii="宋体" w:hAnsi="宋体"/>
                <w:color w:val="000000"/>
                <w:szCs w:val="21"/>
                <w:lang w:val="zh-CN"/>
              </w:rPr>
              <w:t>5</w:t>
            </w:r>
            <w:r>
              <w:rPr>
                <w:rFonts w:hint="eastAsia" w:ascii="宋体" w:hAnsi="宋体"/>
                <w:color w:val="000000"/>
                <w:szCs w:val="21"/>
                <w:lang w:val="zh-CN"/>
              </w:rPr>
              <w:t>分。</w:t>
            </w:r>
          </w:p>
        </w:tc>
        <w:tc>
          <w:tcPr>
            <w:tcW w:w="1440" w:type="dxa"/>
            <w:vAlign w:val="top"/>
          </w:tcPr>
          <w:p>
            <w:pPr>
              <w:spacing w:line="400" w:lineRule="exact"/>
              <w:rPr>
                <w:rFonts w:hint="eastAsia" w:ascii="宋体" w:hAnsi="宋体"/>
                <w:szCs w:val="21"/>
                <w:lang w:val="zh-CN"/>
              </w:rPr>
            </w:pPr>
            <w:r>
              <w:rPr>
                <w:rFonts w:hint="eastAsia" w:ascii="宋体" w:hAnsi="宋体"/>
                <w:szCs w:val="21"/>
                <w:lang w:val="zh-CN"/>
              </w:rPr>
              <w:t>0-</w:t>
            </w:r>
            <w:r>
              <w:rPr>
                <w:rFonts w:ascii="宋体" w:hAnsi="宋体"/>
                <w:szCs w:val="21"/>
                <w:lang w:val="zh-CN"/>
              </w:rPr>
              <w:t>5</w:t>
            </w:r>
            <w:r>
              <w:rPr>
                <w:rFonts w:hint="eastAsia" w:ascii="宋体" w:hAnsi="宋体"/>
                <w:szCs w:val="21"/>
                <w:lang w:val="zh-CN"/>
              </w:rPr>
              <w:t>分</w:t>
            </w:r>
          </w:p>
        </w:tc>
      </w:tr>
    </w:tbl>
    <w:p>
      <w:pPr>
        <w:pStyle w:val="21"/>
        <w:adjustRightInd w:val="0"/>
        <w:snapToGrid w:val="0"/>
        <w:spacing w:line="400" w:lineRule="exact"/>
        <w:ind w:firstLine="440" w:firstLineChars="200"/>
        <w:rPr>
          <w:rFonts w:hint="eastAsia" w:hAnsi="宋体" w:cs="Calibri"/>
          <w:sz w:val="22"/>
          <w:szCs w:val="22"/>
        </w:rPr>
      </w:pPr>
    </w:p>
    <w:p>
      <w:pPr>
        <w:pStyle w:val="21"/>
        <w:adjustRightInd w:val="0"/>
        <w:snapToGrid w:val="0"/>
        <w:spacing w:line="400" w:lineRule="exact"/>
        <w:ind w:firstLine="440" w:firstLineChars="200"/>
        <w:rPr>
          <w:rFonts w:hAnsi="宋体" w:cs="Calibri"/>
          <w:b/>
          <w:sz w:val="22"/>
          <w:szCs w:val="22"/>
        </w:rPr>
      </w:pPr>
      <w:r>
        <w:rPr>
          <w:rFonts w:hint="eastAsia" w:hAnsi="宋体" w:cs="Calibri"/>
          <w:b/>
          <w:sz w:val="22"/>
          <w:szCs w:val="22"/>
        </w:rPr>
        <w:t>业绩证明材料：中标通知书或代理合同复印件并加盖投标人公章，证明材料须体现中标金额及项目负责人名字，民航专业工程项目须提供民航专业工程及货物评标结果备案表或经民航监管部门备案的中标通知书（副本）复印件并加盖投标人公章，否则不予认可，原件备查。</w:t>
      </w:r>
    </w:p>
    <w:p>
      <w:pPr>
        <w:pStyle w:val="21"/>
        <w:adjustRightInd w:val="0"/>
        <w:snapToGrid w:val="0"/>
        <w:spacing w:line="400" w:lineRule="exact"/>
        <w:ind w:firstLine="440" w:firstLineChars="200"/>
        <w:rPr>
          <w:rFonts w:hAnsi="宋体" w:cs="Calibri"/>
          <w:b/>
          <w:sz w:val="22"/>
          <w:szCs w:val="22"/>
        </w:rPr>
      </w:pPr>
      <w:r>
        <w:rPr>
          <w:rFonts w:hint="eastAsia" w:hAnsi="宋体" w:cs="Calibri"/>
          <w:b/>
          <w:sz w:val="22"/>
          <w:szCs w:val="22"/>
        </w:rPr>
        <w:t>相应人员资格证书、职称证书等需提供复印件并加盖投标人公章，否则不予认可，原件备查。</w:t>
      </w:r>
    </w:p>
    <w:p>
      <w:pPr>
        <w:pStyle w:val="21"/>
        <w:adjustRightInd w:val="0"/>
        <w:snapToGrid w:val="0"/>
        <w:spacing w:line="400" w:lineRule="exact"/>
        <w:ind w:firstLine="440" w:firstLineChars="200"/>
        <w:rPr>
          <w:rFonts w:hAnsi="宋体" w:cs="Calibri"/>
          <w:b/>
          <w:sz w:val="22"/>
          <w:szCs w:val="22"/>
        </w:rPr>
      </w:pPr>
    </w:p>
    <w:p>
      <w:pPr>
        <w:pStyle w:val="21"/>
        <w:adjustRightInd w:val="0"/>
        <w:snapToGrid w:val="0"/>
        <w:spacing w:line="400" w:lineRule="exact"/>
        <w:ind w:firstLine="440" w:firstLineChars="200"/>
        <w:rPr>
          <w:rFonts w:hint="eastAsia" w:hAnsi="宋体" w:cs="Calibri"/>
          <w:b/>
          <w:sz w:val="22"/>
          <w:szCs w:val="22"/>
        </w:rPr>
      </w:pPr>
      <w:r>
        <w:rPr>
          <w:rFonts w:hAnsi="宋体" w:cs="Calibri"/>
          <w:b/>
          <w:sz w:val="22"/>
          <w:szCs w:val="22"/>
        </w:rPr>
        <w:t>3.4推荐中标候选人</w:t>
      </w:r>
    </w:p>
    <w:p>
      <w:pPr>
        <w:pStyle w:val="21"/>
        <w:adjustRightInd w:val="0"/>
        <w:snapToGrid w:val="0"/>
        <w:spacing w:line="400" w:lineRule="exact"/>
        <w:ind w:firstLine="440" w:firstLineChars="200"/>
        <w:rPr>
          <w:rFonts w:hAnsi="宋体" w:cs="Calibri"/>
          <w:sz w:val="22"/>
          <w:szCs w:val="22"/>
        </w:rPr>
      </w:pPr>
      <w:r>
        <w:rPr>
          <w:rFonts w:hAnsi="宋体" w:cs="Calibri"/>
          <w:sz w:val="22"/>
          <w:szCs w:val="22"/>
        </w:rPr>
        <w:t>3.</w:t>
      </w:r>
      <w:r>
        <w:rPr>
          <w:rFonts w:hint="eastAsia" w:hAnsi="宋体" w:cs="Calibri"/>
          <w:sz w:val="22"/>
          <w:szCs w:val="22"/>
        </w:rPr>
        <w:t>4</w:t>
      </w:r>
      <w:r>
        <w:rPr>
          <w:rFonts w:hAnsi="宋体" w:cs="Calibri"/>
          <w:sz w:val="22"/>
          <w:szCs w:val="22"/>
        </w:rPr>
        <w:t>.1当有效投标</w:t>
      </w:r>
      <w:r>
        <w:rPr>
          <w:rFonts w:hint="eastAsia" w:hAnsi="宋体" w:cs="Calibri"/>
          <w:sz w:val="22"/>
          <w:szCs w:val="22"/>
        </w:rPr>
        <w:t>人</w:t>
      </w:r>
      <w:r>
        <w:rPr>
          <w:rFonts w:hAnsi="宋体" w:cs="Calibri"/>
          <w:sz w:val="22"/>
          <w:szCs w:val="22"/>
        </w:rPr>
        <w:t>大于等于</w:t>
      </w:r>
      <w:r>
        <w:rPr>
          <w:rFonts w:hint="eastAsia" w:hAnsi="宋体" w:cs="Calibri"/>
          <w:sz w:val="22"/>
          <w:szCs w:val="22"/>
        </w:rPr>
        <w:t>四</w:t>
      </w:r>
      <w:r>
        <w:rPr>
          <w:rFonts w:hAnsi="宋体" w:cs="Calibri"/>
          <w:sz w:val="22"/>
          <w:szCs w:val="22"/>
        </w:rPr>
        <w:t>名时，评标委员会</w:t>
      </w:r>
      <w:r>
        <w:rPr>
          <w:rFonts w:hint="eastAsia" w:hAnsi="宋体" w:cs="Calibri"/>
          <w:sz w:val="22"/>
          <w:szCs w:val="22"/>
        </w:rPr>
        <w:t>推荐综合得分排名前四名的投标人为中标候选人（如果得分相同则按投标人报价从低到高顺序推荐为中标候选人，如果投标报价也相同，则抽签决定）。</w:t>
      </w:r>
    </w:p>
    <w:p>
      <w:pPr>
        <w:pStyle w:val="21"/>
        <w:adjustRightInd w:val="0"/>
        <w:snapToGrid w:val="0"/>
        <w:spacing w:line="400" w:lineRule="exact"/>
        <w:ind w:firstLine="440" w:firstLineChars="200"/>
        <w:rPr>
          <w:rFonts w:hAnsi="宋体" w:cs="Calibri"/>
          <w:sz w:val="22"/>
          <w:szCs w:val="22"/>
        </w:rPr>
      </w:pPr>
      <w:r>
        <w:rPr>
          <w:rFonts w:hAnsi="宋体" w:cs="Calibri"/>
          <w:sz w:val="22"/>
          <w:szCs w:val="22"/>
        </w:rPr>
        <w:t>3.</w:t>
      </w:r>
      <w:r>
        <w:rPr>
          <w:rFonts w:hint="eastAsia" w:hAnsi="宋体" w:cs="Calibri"/>
          <w:sz w:val="22"/>
          <w:szCs w:val="22"/>
        </w:rPr>
        <w:t>4</w:t>
      </w:r>
      <w:r>
        <w:rPr>
          <w:rFonts w:hAnsi="宋体" w:cs="Calibri"/>
          <w:sz w:val="22"/>
          <w:szCs w:val="22"/>
        </w:rPr>
        <w:t>.</w:t>
      </w:r>
      <w:r>
        <w:rPr>
          <w:rFonts w:hint="eastAsia" w:hAnsi="宋体" w:cs="Calibri"/>
          <w:sz w:val="22"/>
          <w:szCs w:val="22"/>
        </w:rPr>
        <w:t>2</w:t>
      </w:r>
      <w:r>
        <w:rPr>
          <w:rFonts w:hAnsi="宋体" w:cs="Calibri"/>
          <w:sz w:val="22"/>
          <w:szCs w:val="22"/>
        </w:rPr>
        <w:t xml:space="preserve"> 当有效投标</w:t>
      </w:r>
      <w:r>
        <w:rPr>
          <w:rFonts w:hint="eastAsia" w:hAnsi="宋体" w:cs="Calibri"/>
          <w:sz w:val="22"/>
          <w:szCs w:val="22"/>
        </w:rPr>
        <w:t>人</w:t>
      </w:r>
      <w:r>
        <w:rPr>
          <w:rFonts w:hAnsi="宋体" w:cs="Calibri"/>
          <w:sz w:val="22"/>
          <w:szCs w:val="22"/>
        </w:rPr>
        <w:t>等于</w:t>
      </w:r>
      <w:r>
        <w:rPr>
          <w:rFonts w:hint="eastAsia" w:hAnsi="宋体" w:cs="Calibri"/>
          <w:sz w:val="22"/>
          <w:szCs w:val="22"/>
        </w:rPr>
        <w:t>三</w:t>
      </w:r>
      <w:r>
        <w:rPr>
          <w:rFonts w:hAnsi="宋体" w:cs="Calibri"/>
          <w:sz w:val="22"/>
          <w:szCs w:val="22"/>
        </w:rPr>
        <w:t>名时，</w:t>
      </w:r>
      <w:r>
        <w:rPr>
          <w:rFonts w:hint="eastAsia" w:hAnsi="宋体" w:cs="Calibri"/>
          <w:sz w:val="22"/>
          <w:szCs w:val="22"/>
        </w:rPr>
        <w:t>经</w:t>
      </w:r>
      <w:r>
        <w:rPr>
          <w:rFonts w:hAnsi="宋体" w:cs="Calibri"/>
          <w:sz w:val="22"/>
          <w:szCs w:val="22"/>
        </w:rPr>
        <w:t>评标委员会</w:t>
      </w:r>
      <w:r>
        <w:rPr>
          <w:rFonts w:hint="eastAsia" w:hAnsi="宋体" w:cs="Calibri"/>
          <w:sz w:val="22"/>
          <w:szCs w:val="22"/>
        </w:rPr>
        <w:t>三分</w:t>
      </w:r>
      <w:r>
        <w:rPr>
          <w:rFonts w:hAnsi="宋体" w:cs="Calibri"/>
          <w:sz w:val="22"/>
          <w:szCs w:val="22"/>
        </w:rPr>
        <w:t>之二以上成员同意</w:t>
      </w:r>
      <w:r>
        <w:rPr>
          <w:rFonts w:hint="eastAsia" w:hAnsi="宋体" w:cs="Calibri"/>
          <w:sz w:val="22"/>
          <w:szCs w:val="22"/>
        </w:rPr>
        <w:t>，可推荐综合得分排名前三名的投标人为中标候选人。</w:t>
      </w:r>
    </w:p>
    <w:p>
      <w:pPr>
        <w:pStyle w:val="21"/>
        <w:adjustRightInd w:val="0"/>
        <w:snapToGrid w:val="0"/>
        <w:spacing w:line="400" w:lineRule="exact"/>
        <w:ind w:firstLine="440" w:firstLineChars="200"/>
        <w:rPr>
          <w:rFonts w:hAnsi="宋体" w:cs="Calibri"/>
          <w:sz w:val="22"/>
          <w:szCs w:val="22"/>
        </w:rPr>
      </w:pPr>
      <w:r>
        <w:rPr>
          <w:rFonts w:hAnsi="宋体" w:cs="Calibri"/>
          <w:sz w:val="22"/>
          <w:szCs w:val="22"/>
        </w:rPr>
        <w:t>3.</w:t>
      </w:r>
      <w:r>
        <w:rPr>
          <w:rFonts w:hint="eastAsia" w:hAnsi="宋体" w:cs="Calibri"/>
          <w:sz w:val="22"/>
          <w:szCs w:val="22"/>
        </w:rPr>
        <w:t>4</w:t>
      </w:r>
      <w:r>
        <w:rPr>
          <w:rFonts w:hAnsi="宋体" w:cs="Calibri"/>
          <w:sz w:val="22"/>
          <w:szCs w:val="22"/>
        </w:rPr>
        <w:t xml:space="preserve">.3 </w:t>
      </w:r>
      <w:r>
        <w:rPr>
          <w:rFonts w:hint="eastAsia" w:hAnsi="宋体" w:cs="Calibri"/>
          <w:sz w:val="22"/>
          <w:szCs w:val="22"/>
        </w:rPr>
        <w:t>当有效投标人少于三名时，招标人将重新组织招标。</w:t>
      </w:r>
    </w:p>
    <w:p>
      <w:pPr>
        <w:pStyle w:val="21"/>
        <w:spacing w:line="400" w:lineRule="exact"/>
        <w:rPr>
          <w:rFonts w:hAnsi="宋体" w:cs="Calibri"/>
          <w:b/>
          <w:sz w:val="22"/>
          <w:szCs w:val="22"/>
        </w:rPr>
      </w:pPr>
      <w:r>
        <w:rPr>
          <w:rFonts w:hAnsi="宋体" w:cs="Calibri"/>
          <w:b/>
          <w:sz w:val="22"/>
          <w:szCs w:val="22"/>
        </w:rPr>
        <w:t>3.</w:t>
      </w:r>
      <w:r>
        <w:rPr>
          <w:rFonts w:hint="eastAsia" w:hAnsi="宋体" w:cs="Calibri"/>
          <w:b/>
          <w:sz w:val="22"/>
          <w:szCs w:val="22"/>
        </w:rPr>
        <w:t>5</w:t>
      </w:r>
      <w:r>
        <w:rPr>
          <w:rFonts w:hAnsi="宋体" w:cs="Calibri"/>
          <w:b/>
          <w:sz w:val="22"/>
          <w:szCs w:val="22"/>
        </w:rPr>
        <w:t>评标报告</w:t>
      </w:r>
    </w:p>
    <w:p>
      <w:pPr>
        <w:pStyle w:val="21"/>
        <w:adjustRightInd w:val="0"/>
        <w:snapToGrid w:val="0"/>
        <w:spacing w:line="400" w:lineRule="exact"/>
        <w:ind w:firstLine="440" w:firstLineChars="200"/>
        <w:rPr>
          <w:rFonts w:hAnsi="宋体" w:cs="Calibri"/>
          <w:sz w:val="22"/>
          <w:szCs w:val="22"/>
        </w:rPr>
      </w:pPr>
      <w:r>
        <w:rPr>
          <w:rFonts w:hAnsi="宋体" w:cs="Calibri"/>
          <w:sz w:val="22"/>
          <w:szCs w:val="22"/>
        </w:rPr>
        <w:t>评标委员会完成评标后，应当向招标人提交书面评标报告。评标报告由评标委员会起草，按少数服从多数的原则通过。评标委员会全体成员应在评标报告上签字认可，评标专家如有保留意见可以在评标报告中阐明。</w:t>
      </w:r>
    </w:p>
    <w:p>
      <w:pPr>
        <w:pStyle w:val="21"/>
        <w:spacing w:line="400" w:lineRule="exact"/>
        <w:rPr>
          <w:rFonts w:hAnsi="宋体" w:cs="Calibri"/>
          <w:b/>
          <w:sz w:val="22"/>
          <w:szCs w:val="22"/>
        </w:rPr>
      </w:pPr>
      <w:r>
        <w:rPr>
          <w:rFonts w:hAnsi="宋体" w:cs="Calibri"/>
          <w:b/>
          <w:sz w:val="22"/>
          <w:szCs w:val="22"/>
        </w:rPr>
        <w:t>四、</w:t>
      </w:r>
      <w:r>
        <w:rPr>
          <w:rFonts w:hint="eastAsia" w:hAnsi="宋体" w:cs="Calibri"/>
          <w:b/>
          <w:sz w:val="22"/>
          <w:szCs w:val="22"/>
        </w:rPr>
        <w:t>定</w:t>
      </w:r>
      <w:r>
        <w:rPr>
          <w:rFonts w:hAnsi="宋体" w:cs="Calibri"/>
          <w:b/>
          <w:sz w:val="22"/>
          <w:szCs w:val="22"/>
        </w:rPr>
        <w:t>标</w:t>
      </w:r>
    </w:p>
    <w:p>
      <w:pPr>
        <w:pStyle w:val="21"/>
        <w:adjustRightInd w:val="0"/>
        <w:snapToGrid w:val="0"/>
        <w:spacing w:line="400" w:lineRule="exact"/>
        <w:ind w:firstLine="440" w:firstLineChars="200"/>
        <w:rPr>
          <w:rFonts w:hAnsi="宋体" w:cs="Calibri"/>
          <w:sz w:val="22"/>
          <w:szCs w:val="22"/>
        </w:rPr>
      </w:pPr>
      <w:r>
        <w:rPr>
          <w:rFonts w:hAnsi="宋体" w:cs="Calibri"/>
          <w:sz w:val="22"/>
          <w:szCs w:val="22"/>
        </w:rPr>
        <w:t>4.</w:t>
      </w:r>
      <w:r>
        <w:rPr>
          <w:rFonts w:hint="eastAsia" w:hAnsi="宋体" w:cs="Calibri"/>
          <w:sz w:val="22"/>
          <w:szCs w:val="22"/>
        </w:rPr>
        <w:t>1</w:t>
      </w:r>
      <w:r>
        <w:rPr>
          <w:rFonts w:hAnsi="宋体" w:cs="Calibri"/>
          <w:sz w:val="22"/>
          <w:szCs w:val="22"/>
        </w:rPr>
        <w:t>招标人将确定评标委员会推荐的</w:t>
      </w:r>
      <w:r>
        <w:rPr>
          <w:rFonts w:hint="eastAsia" w:hAnsi="宋体" w:cs="Calibri"/>
          <w:sz w:val="22"/>
          <w:szCs w:val="22"/>
        </w:rPr>
        <w:t>前四位的</w:t>
      </w:r>
      <w:r>
        <w:rPr>
          <w:rFonts w:hAnsi="宋体" w:cs="Calibri"/>
          <w:sz w:val="22"/>
          <w:szCs w:val="22"/>
        </w:rPr>
        <w:t>中标候选人为中标人。</w:t>
      </w:r>
      <w:r>
        <w:rPr>
          <w:rFonts w:hint="eastAsia" w:hAnsi="宋体" w:cs="Calibri"/>
          <w:sz w:val="22"/>
          <w:szCs w:val="22"/>
        </w:rPr>
        <w:t>前四位</w:t>
      </w:r>
      <w:r>
        <w:rPr>
          <w:rFonts w:hAnsi="宋体" w:cs="Calibri"/>
          <w:sz w:val="22"/>
          <w:szCs w:val="22"/>
        </w:rPr>
        <w:t>中标候选人放弃中标、因不可抗力不能履行合同、不按照招标文件要求提交履约保证金，或者被查实存在影响中标结果的违法行为等情形，不符合中标条件，</w:t>
      </w:r>
      <w:r>
        <w:rPr>
          <w:rFonts w:hint="eastAsia" w:hAnsi="宋体" w:cs="Calibri"/>
          <w:sz w:val="22"/>
          <w:szCs w:val="22"/>
        </w:rPr>
        <w:t>导致标段中标</w:t>
      </w:r>
      <w:r>
        <w:rPr>
          <w:rFonts w:hAnsi="宋体" w:cs="Calibri"/>
          <w:sz w:val="22"/>
          <w:szCs w:val="22"/>
        </w:rPr>
        <w:t>候选人不足三</w:t>
      </w:r>
      <w:r>
        <w:rPr>
          <w:rFonts w:hint="eastAsia" w:hAnsi="宋体" w:cs="Calibri"/>
          <w:sz w:val="22"/>
          <w:szCs w:val="22"/>
        </w:rPr>
        <w:t>名</w:t>
      </w:r>
      <w:r>
        <w:rPr>
          <w:rFonts w:hAnsi="宋体" w:cs="Calibri"/>
          <w:sz w:val="22"/>
          <w:szCs w:val="22"/>
        </w:rPr>
        <w:t>的，招标人</w:t>
      </w:r>
      <w:r>
        <w:rPr>
          <w:rFonts w:hint="eastAsia" w:hAnsi="宋体" w:cs="Calibri"/>
          <w:sz w:val="22"/>
          <w:szCs w:val="22"/>
        </w:rPr>
        <w:t>将</w:t>
      </w:r>
      <w:r>
        <w:rPr>
          <w:rFonts w:hAnsi="宋体" w:cs="Calibri"/>
          <w:sz w:val="22"/>
          <w:szCs w:val="22"/>
        </w:rPr>
        <w:t>重新</w:t>
      </w:r>
      <w:r>
        <w:rPr>
          <w:rFonts w:hint="eastAsia" w:hAnsi="宋体" w:cs="Calibri"/>
          <w:sz w:val="22"/>
          <w:szCs w:val="22"/>
        </w:rPr>
        <w:t>组织</w:t>
      </w:r>
      <w:r>
        <w:rPr>
          <w:rFonts w:hAnsi="宋体" w:cs="Calibri"/>
          <w:sz w:val="22"/>
          <w:szCs w:val="22"/>
        </w:rPr>
        <w:t>招标。</w:t>
      </w:r>
    </w:p>
    <w:p>
      <w:pPr>
        <w:pStyle w:val="21"/>
        <w:adjustRightInd w:val="0"/>
        <w:snapToGrid w:val="0"/>
        <w:spacing w:line="400" w:lineRule="exact"/>
        <w:ind w:firstLine="440" w:firstLineChars="200"/>
        <w:rPr>
          <w:rFonts w:hAnsi="宋体" w:cs="Calibri"/>
          <w:sz w:val="22"/>
          <w:szCs w:val="22"/>
        </w:rPr>
      </w:pPr>
      <w:r>
        <w:rPr>
          <w:rFonts w:hint="eastAsia" w:hAnsi="宋体" w:cs="Calibri"/>
          <w:sz w:val="22"/>
          <w:szCs w:val="22"/>
        </w:rPr>
        <w:t>4.2</w:t>
      </w:r>
      <w:r>
        <w:rPr>
          <w:rFonts w:hAnsi="宋体" w:cs="Calibri"/>
          <w:color w:val="000000"/>
          <w:sz w:val="22"/>
        </w:rPr>
        <w:t>中标人在收到中标通知书后，无正当理由拒签合同协议书或未按招标文件规定提交履约担保，或因投标人在投标文件中未如实填报或隐瞒不报投标人的行贿犯罪记录导致取消中标资格的</w:t>
      </w:r>
      <w:r>
        <w:rPr>
          <w:rFonts w:hAnsi="宋体" w:cs="Calibri"/>
          <w:sz w:val="22"/>
        </w:rPr>
        <w:t>；</w:t>
      </w:r>
      <w:r>
        <w:rPr>
          <w:rFonts w:hint="eastAsia" w:hAnsi="宋体" w:cs="Calibri"/>
          <w:sz w:val="22"/>
        </w:rPr>
        <w:t>投标保证金不予退回的， 如不予退回的</w:t>
      </w:r>
      <w:r>
        <w:rPr>
          <w:rFonts w:hAnsi="宋体" w:cs="Calibri"/>
          <w:sz w:val="22"/>
        </w:rPr>
        <w:t>投标保证金不能弥补由于其放弃中标权而给招标人造成中标价的差额损失的，由放弃中标权的中标候选人承担。</w:t>
      </w:r>
    </w:p>
    <w:p>
      <w:pPr>
        <w:snapToGrid w:val="0"/>
        <w:spacing w:line="400" w:lineRule="exact"/>
        <w:ind w:firstLine="550" w:firstLineChars="250"/>
        <w:rPr>
          <w:rFonts w:hint="eastAsia" w:hAnsi="宋体" w:cs="Calibri"/>
          <w:sz w:val="22"/>
        </w:rPr>
      </w:pPr>
      <w:r>
        <w:rPr>
          <w:rFonts w:hAnsi="宋体" w:cs="Calibri"/>
          <w:sz w:val="22"/>
        </w:rPr>
        <w:t>4.</w:t>
      </w:r>
      <w:r>
        <w:rPr>
          <w:rFonts w:hint="eastAsia" w:hAnsi="宋体" w:cs="Calibri"/>
          <w:sz w:val="22"/>
        </w:rPr>
        <w:t>3</w:t>
      </w:r>
      <w:r>
        <w:rPr>
          <w:rFonts w:hAnsi="宋体" w:cs="Calibri"/>
          <w:sz w:val="22"/>
        </w:rPr>
        <w:t xml:space="preserve"> 如发生投诉争议等情况时，经查实中标候选人存在违法、违规行为，不符合中标条件，且该行为在评标时是无法发现和确认的，招标人</w:t>
      </w:r>
      <w:r>
        <w:rPr>
          <w:rFonts w:hint="eastAsia" w:hAnsi="宋体" w:cs="Calibri"/>
          <w:sz w:val="22"/>
        </w:rPr>
        <w:t>将</w:t>
      </w:r>
      <w:r>
        <w:rPr>
          <w:rFonts w:hAnsi="宋体" w:cs="Calibri"/>
          <w:sz w:val="22"/>
        </w:rPr>
        <w:t>重新</w:t>
      </w:r>
      <w:r>
        <w:rPr>
          <w:rFonts w:hint="eastAsia" w:hAnsi="宋体" w:cs="Calibri"/>
          <w:sz w:val="22"/>
        </w:rPr>
        <w:t>组织</w:t>
      </w:r>
      <w:r>
        <w:rPr>
          <w:rFonts w:hAnsi="宋体" w:cs="Calibri"/>
          <w:sz w:val="22"/>
        </w:rPr>
        <w:t>招标。</w:t>
      </w:r>
      <w:bookmarkEnd w:id="116"/>
    </w:p>
    <w:p>
      <w:pPr>
        <w:snapToGrid w:val="0"/>
        <w:spacing w:line="400" w:lineRule="exact"/>
        <w:ind w:firstLine="550" w:firstLineChars="250"/>
        <w:rPr>
          <w:rFonts w:eastAsia="黑体" w:cs="Calibri"/>
          <w:color w:val="000000"/>
          <w:sz w:val="32"/>
          <w:szCs w:val="32"/>
        </w:rPr>
      </w:pPr>
      <w:r>
        <w:rPr>
          <w:rFonts w:hint="eastAsia" w:hAnsi="宋体" w:cs="Calibri"/>
          <w:sz w:val="22"/>
        </w:rPr>
        <w:t>4.4 招标人对评标、定标结果不负责解释。</w:t>
      </w:r>
    </w:p>
    <w:p>
      <w:pPr>
        <w:pStyle w:val="2"/>
        <w:spacing w:before="0" w:after="0" w:line="400" w:lineRule="exact"/>
        <w:jc w:val="center"/>
        <w:rPr>
          <w:rFonts w:eastAsia="黑体" w:cs="Calibri"/>
          <w:color w:val="000000"/>
          <w:sz w:val="32"/>
          <w:szCs w:val="32"/>
        </w:rPr>
      </w:pPr>
    </w:p>
    <w:p/>
    <w:p/>
    <w:p/>
    <w:p/>
    <w:p/>
    <w:p/>
    <w:p/>
    <w:p/>
    <w:p/>
    <w:p/>
    <w:p/>
    <w:p/>
    <w:p/>
    <w:p/>
    <w:p/>
    <w:p/>
    <w:p>
      <w:pPr>
        <w:rPr>
          <w:rFonts w:hint="eastAsia"/>
        </w:rPr>
      </w:pPr>
    </w:p>
    <w:p>
      <w:pPr>
        <w:pStyle w:val="2"/>
        <w:spacing w:before="0" w:after="0" w:line="360" w:lineRule="auto"/>
        <w:jc w:val="center"/>
        <w:rPr>
          <w:rFonts w:ascii="Calibri" w:hAnsi="Calibri" w:eastAsia="黑体" w:cs="Calibri"/>
          <w:kern w:val="0"/>
          <w:sz w:val="32"/>
        </w:rPr>
      </w:pPr>
      <w:bookmarkStart w:id="117" w:name="_Toc448002988"/>
      <w:r>
        <w:rPr>
          <w:rFonts w:ascii="Calibri" w:hAnsi="Calibri" w:eastAsia="黑体" w:cs="Calibri"/>
          <w:kern w:val="0"/>
          <w:sz w:val="32"/>
        </w:rPr>
        <w:t>第</w:t>
      </w:r>
      <w:r>
        <w:rPr>
          <w:rFonts w:hint="eastAsia" w:ascii="Calibri" w:hAnsi="Calibri" w:eastAsia="黑体" w:cs="Calibri"/>
          <w:kern w:val="0"/>
          <w:sz w:val="32"/>
        </w:rPr>
        <w:t>六</w:t>
      </w:r>
      <w:r>
        <w:rPr>
          <w:rFonts w:ascii="Calibri" w:hAnsi="Calibri" w:eastAsia="黑体" w:cs="Calibri"/>
          <w:kern w:val="0"/>
          <w:sz w:val="32"/>
        </w:rPr>
        <w:t>章  投标文件格式</w:t>
      </w:r>
      <w:bookmarkEnd w:id="117"/>
    </w:p>
    <w:p>
      <w:pPr>
        <w:spacing w:line="440" w:lineRule="exact"/>
        <w:rPr>
          <w:rFonts w:cs="Calibri"/>
          <w:color w:val="000000"/>
          <w:sz w:val="24"/>
        </w:rPr>
      </w:pPr>
    </w:p>
    <w:p>
      <w:pPr>
        <w:spacing w:line="440" w:lineRule="exact"/>
        <w:jc w:val="center"/>
        <w:rPr>
          <w:rFonts w:cs="Calibri"/>
          <w:b/>
          <w:color w:val="000000"/>
          <w:sz w:val="28"/>
          <w:szCs w:val="28"/>
        </w:rPr>
      </w:pPr>
      <w:r>
        <w:rPr>
          <w:rFonts w:cs="Calibri"/>
          <w:b/>
          <w:color w:val="000000"/>
          <w:sz w:val="28"/>
          <w:szCs w:val="28"/>
        </w:rPr>
        <w:t>目   录</w:t>
      </w:r>
    </w:p>
    <w:p>
      <w:pPr>
        <w:spacing w:line="440" w:lineRule="exact"/>
        <w:ind w:firstLine="440" w:firstLineChars="200"/>
        <w:rPr>
          <w:rFonts w:ascii="宋体" w:hAnsi="宋体" w:cs="Calibri"/>
          <w:color w:val="000000"/>
          <w:sz w:val="22"/>
        </w:rPr>
      </w:pPr>
      <w:r>
        <w:rPr>
          <w:rFonts w:ascii="宋体" w:hAnsi="宋体" w:cs="Calibri"/>
          <w:color w:val="000000"/>
          <w:sz w:val="22"/>
        </w:rPr>
        <w:t>封面</w:t>
      </w:r>
    </w:p>
    <w:p>
      <w:pPr>
        <w:spacing w:line="440" w:lineRule="exact"/>
        <w:ind w:firstLine="440" w:firstLineChars="200"/>
        <w:rPr>
          <w:rFonts w:ascii="宋体" w:hAnsi="宋体" w:cs="Calibri"/>
          <w:color w:val="000000"/>
          <w:sz w:val="22"/>
        </w:rPr>
      </w:pPr>
      <w:r>
        <w:rPr>
          <w:rFonts w:hint="eastAsia" w:ascii="宋体" w:hAnsi="宋体" w:cs="Calibri"/>
          <w:color w:val="000000"/>
          <w:sz w:val="22"/>
        </w:rPr>
        <w:t>一、</w:t>
      </w:r>
      <w:r>
        <w:rPr>
          <w:rFonts w:ascii="宋体" w:hAnsi="宋体" w:cs="Calibri"/>
          <w:color w:val="000000"/>
          <w:sz w:val="22"/>
        </w:rPr>
        <w:t>投标函；</w:t>
      </w:r>
    </w:p>
    <w:p>
      <w:pPr>
        <w:spacing w:line="440" w:lineRule="exact"/>
        <w:ind w:firstLine="440" w:firstLineChars="200"/>
        <w:rPr>
          <w:rFonts w:ascii="宋体" w:hAnsi="宋体" w:cs="Calibri"/>
          <w:color w:val="000000"/>
          <w:sz w:val="22"/>
        </w:rPr>
      </w:pPr>
      <w:r>
        <w:rPr>
          <w:rFonts w:hint="eastAsia" w:ascii="宋体" w:hAnsi="宋体" w:cs="Calibri"/>
          <w:color w:val="000000"/>
          <w:sz w:val="22"/>
        </w:rPr>
        <w:t>二、法定代表人身份</w:t>
      </w:r>
      <w:r>
        <w:rPr>
          <w:rFonts w:ascii="宋体" w:hAnsi="宋体" w:cs="Calibri"/>
          <w:color w:val="000000"/>
          <w:sz w:val="22"/>
        </w:rPr>
        <w:t>证明；</w:t>
      </w:r>
    </w:p>
    <w:p>
      <w:pPr>
        <w:spacing w:line="440" w:lineRule="exact"/>
        <w:ind w:firstLine="440" w:firstLineChars="200"/>
        <w:rPr>
          <w:rFonts w:ascii="宋体" w:hAnsi="宋体" w:cs="Calibri"/>
          <w:color w:val="000000"/>
          <w:sz w:val="22"/>
        </w:rPr>
      </w:pPr>
      <w:r>
        <w:rPr>
          <w:rFonts w:hint="eastAsia" w:ascii="宋体" w:hAnsi="宋体" w:cs="Calibri"/>
          <w:color w:val="000000"/>
          <w:sz w:val="22"/>
        </w:rPr>
        <w:t>三、</w:t>
      </w:r>
      <w:r>
        <w:rPr>
          <w:rFonts w:ascii="宋体" w:hAnsi="宋体" w:cs="Calibri"/>
          <w:color w:val="000000"/>
          <w:sz w:val="22"/>
        </w:rPr>
        <w:t>授权委托书；</w:t>
      </w:r>
    </w:p>
    <w:p>
      <w:pPr>
        <w:spacing w:line="440" w:lineRule="exact"/>
        <w:ind w:firstLine="440" w:firstLineChars="200"/>
        <w:rPr>
          <w:rFonts w:ascii="宋体" w:hAnsi="宋体" w:cs="Calibri"/>
          <w:color w:val="000000"/>
          <w:sz w:val="22"/>
        </w:rPr>
      </w:pPr>
      <w:r>
        <w:rPr>
          <w:rFonts w:hint="eastAsia" w:ascii="宋体" w:hAnsi="宋体" w:cs="Calibri"/>
          <w:color w:val="000000"/>
          <w:sz w:val="22"/>
        </w:rPr>
        <w:t>四、</w:t>
      </w:r>
      <w:r>
        <w:rPr>
          <w:rFonts w:ascii="宋体" w:hAnsi="宋体" w:cs="Calibri"/>
          <w:color w:val="000000"/>
          <w:sz w:val="22"/>
        </w:rPr>
        <w:t>投标人资格证明文件：</w:t>
      </w:r>
    </w:p>
    <w:p>
      <w:pPr>
        <w:spacing w:line="440" w:lineRule="exact"/>
        <w:ind w:firstLine="440" w:firstLineChars="200"/>
        <w:rPr>
          <w:rFonts w:ascii="宋体" w:hAnsi="宋体" w:cs="Calibri"/>
          <w:color w:val="000000"/>
          <w:sz w:val="22"/>
        </w:rPr>
      </w:pPr>
      <w:r>
        <w:rPr>
          <w:rFonts w:ascii="宋体" w:hAnsi="宋体" w:cs="Calibri"/>
          <w:color w:val="000000"/>
          <w:sz w:val="22"/>
        </w:rPr>
        <w:t>（1）投标人一般情况</w:t>
      </w:r>
      <w:r>
        <w:rPr>
          <w:rFonts w:hint="eastAsia" w:ascii="宋体" w:hAnsi="宋体" w:cs="Calibri"/>
          <w:color w:val="000000"/>
          <w:sz w:val="22"/>
        </w:rPr>
        <w:t>及</w:t>
      </w:r>
      <w:r>
        <w:rPr>
          <w:rFonts w:ascii="宋体" w:hAnsi="宋体" w:cs="Calibri"/>
          <w:color w:val="000000"/>
          <w:sz w:val="22"/>
        </w:rPr>
        <w:t>有关证明投标人法律地位的文件（包括营业执照</w:t>
      </w:r>
      <w:r>
        <w:rPr>
          <w:rFonts w:hint="eastAsia" w:ascii="宋体" w:hAnsi="宋体" w:cs="Calibri"/>
          <w:color w:val="000000"/>
          <w:sz w:val="22"/>
        </w:rPr>
        <w:t>、税务登记证、</w:t>
      </w:r>
      <w:r>
        <w:rPr>
          <w:rFonts w:ascii="宋体" w:hAnsi="宋体" w:cs="Calibri"/>
          <w:color w:val="000000"/>
          <w:sz w:val="22"/>
        </w:rPr>
        <w:t>资质</w:t>
      </w:r>
      <w:r>
        <w:rPr>
          <w:rFonts w:hint="eastAsia" w:ascii="宋体" w:hAnsi="宋体" w:cs="Calibri"/>
          <w:color w:val="000000"/>
          <w:sz w:val="22"/>
        </w:rPr>
        <w:t>证书</w:t>
      </w:r>
      <w:r>
        <w:rPr>
          <w:rFonts w:ascii="宋体" w:hAnsi="宋体" w:cs="Calibri"/>
          <w:color w:val="000000"/>
          <w:sz w:val="22"/>
        </w:rPr>
        <w:t>等），说明投标人的注册地点和主要经营范围；</w:t>
      </w:r>
    </w:p>
    <w:p>
      <w:pPr>
        <w:spacing w:line="440" w:lineRule="exact"/>
        <w:ind w:firstLine="440" w:firstLineChars="200"/>
        <w:rPr>
          <w:rFonts w:ascii="宋体" w:hAnsi="宋体" w:cs="Calibri"/>
          <w:color w:val="000000"/>
          <w:sz w:val="22"/>
        </w:rPr>
      </w:pPr>
      <w:r>
        <w:rPr>
          <w:rFonts w:hint="eastAsia" w:ascii="宋体" w:hAnsi="宋体" w:cs="Calibri"/>
          <w:color w:val="000000"/>
          <w:sz w:val="22"/>
        </w:rPr>
        <w:t>（2）信用中国网站www.creditchina.gov.cn 、中国裁判文书网http://wenshu.court.gov.cn查询结果证材料。</w:t>
      </w:r>
    </w:p>
    <w:p>
      <w:pPr>
        <w:spacing w:line="440" w:lineRule="exact"/>
        <w:ind w:firstLine="440" w:firstLineChars="200"/>
        <w:rPr>
          <w:rFonts w:ascii="宋体" w:hAnsi="宋体" w:cs="Calibri"/>
          <w:color w:val="000000"/>
          <w:sz w:val="22"/>
        </w:rPr>
      </w:pPr>
      <w:r>
        <w:rPr>
          <w:rFonts w:ascii="宋体" w:hAnsi="宋体" w:cs="Calibri"/>
          <w:color w:val="000000"/>
          <w:sz w:val="22"/>
        </w:rPr>
        <w:t>（2）有关证明投标人的企业信誉及获得各种奖励等资料；</w:t>
      </w:r>
    </w:p>
    <w:p>
      <w:pPr>
        <w:spacing w:line="440" w:lineRule="exact"/>
        <w:ind w:firstLine="440" w:firstLineChars="200"/>
        <w:rPr>
          <w:rFonts w:ascii="宋体" w:hAnsi="宋体" w:cs="Calibri"/>
          <w:color w:val="000000"/>
          <w:sz w:val="22"/>
        </w:rPr>
      </w:pPr>
      <w:r>
        <w:rPr>
          <w:rFonts w:ascii="宋体" w:hAnsi="宋体" w:cs="Calibri"/>
          <w:color w:val="000000"/>
          <w:sz w:val="22"/>
        </w:rPr>
        <w:t>（3）投标人经济实力：包括企业注册资金、财务报告与报表中反映的财务状况</w:t>
      </w:r>
      <w:r>
        <w:rPr>
          <w:rFonts w:hint="eastAsia" w:ascii="宋体" w:hAnsi="宋体" w:cs="Calibri"/>
          <w:color w:val="000000"/>
          <w:sz w:val="22"/>
        </w:rPr>
        <w:t>；</w:t>
      </w:r>
    </w:p>
    <w:p>
      <w:pPr>
        <w:spacing w:line="440" w:lineRule="exact"/>
        <w:ind w:firstLine="440" w:firstLineChars="200"/>
        <w:rPr>
          <w:rFonts w:ascii="宋体" w:hAnsi="宋体" w:cs="Calibri"/>
          <w:color w:val="000000"/>
          <w:sz w:val="22"/>
        </w:rPr>
      </w:pPr>
      <w:r>
        <w:rPr>
          <w:rFonts w:hint="eastAsia" w:ascii="宋体" w:hAnsi="宋体" w:cs="Calibri"/>
          <w:color w:val="000000"/>
          <w:sz w:val="22"/>
        </w:rPr>
        <w:t>（4）</w:t>
      </w:r>
      <w:r>
        <w:rPr>
          <w:rFonts w:ascii="宋体" w:hAnsi="宋体" w:cs="Calibri"/>
          <w:color w:val="000000"/>
          <w:sz w:val="22"/>
        </w:rPr>
        <w:t>近三年完成类似项目业绩情况</w:t>
      </w:r>
      <w:r>
        <w:rPr>
          <w:rFonts w:hint="eastAsia" w:ascii="宋体" w:hAnsi="宋体" w:cs="Calibri"/>
          <w:color w:val="000000"/>
          <w:sz w:val="22"/>
        </w:rPr>
        <w:t>；</w:t>
      </w:r>
    </w:p>
    <w:p>
      <w:pPr>
        <w:spacing w:line="440" w:lineRule="exact"/>
        <w:ind w:firstLine="440" w:firstLineChars="200"/>
        <w:rPr>
          <w:rFonts w:ascii="宋体" w:hAnsi="宋体" w:cs="Calibri"/>
          <w:color w:val="000000"/>
          <w:sz w:val="22"/>
        </w:rPr>
      </w:pPr>
      <w:r>
        <w:rPr>
          <w:rFonts w:hint="eastAsia" w:ascii="宋体" w:hAnsi="宋体" w:cs="Calibri"/>
          <w:color w:val="000000"/>
          <w:sz w:val="22"/>
        </w:rPr>
        <w:t>（5）招标文件投标人资格要求中提供的相关材料。</w:t>
      </w:r>
    </w:p>
    <w:p>
      <w:pPr>
        <w:spacing w:line="440" w:lineRule="exact"/>
        <w:ind w:firstLine="440" w:firstLineChars="200"/>
        <w:rPr>
          <w:rFonts w:ascii="宋体" w:hAnsi="宋体" w:cs="Calibri"/>
          <w:color w:val="000000"/>
          <w:sz w:val="22"/>
        </w:rPr>
      </w:pPr>
      <w:r>
        <w:rPr>
          <w:rFonts w:hint="eastAsia" w:ascii="宋体" w:hAnsi="宋体" w:cs="Calibri"/>
          <w:color w:val="000000"/>
          <w:sz w:val="22"/>
        </w:rPr>
        <w:t>五、</w:t>
      </w:r>
      <w:r>
        <w:rPr>
          <w:rFonts w:ascii="宋体" w:hAnsi="宋体" w:cs="Calibri"/>
          <w:color w:val="000000"/>
          <w:sz w:val="22"/>
        </w:rPr>
        <w:t>服务大纲</w:t>
      </w:r>
    </w:p>
    <w:p>
      <w:pPr>
        <w:spacing w:line="440" w:lineRule="exact"/>
        <w:ind w:firstLine="440" w:firstLineChars="200"/>
        <w:rPr>
          <w:rFonts w:ascii="宋体" w:hAnsi="宋体" w:cs="Calibri"/>
          <w:color w:val="000000"/>
          <w:sz w:val="22"/>
        </w:rPr>
      </w:pPr>
      <w:r>
        <w:rPr>
          <w:rFonts w:ascii="宋体" w:hAnsi="宋体" w:cs="Calibri"/>
          <w:color w:val="000000"/>
          <w:sz w:val="22"/>
        </w:rPr>
        <w:t>（1）本项目概况；</w:t>
      </w:r>
    </w:p>
    <w:p>
      <w:pPr>
        <w:spacing w:line="440" w:lineRule="exact"/>
        <w:ind w:firstLine="440" w:firstLineChars="200"/>
        <w:rPr>
          <w:rFonts w:ascii="宋体" w:hAnsi="宋体" w:cs="Calibri"/>
          <w:color w:val="000000"/>
          <w:sz w:val="22"/>
        </w:rPr>
      </w:pPr>
      <w:r>
        <w:rPr>
          <w:rFonts w:ascii="宋体" w:hAnsi="宋体" w:cs="Calibri"/>
          <w:color w:val="000000"/>
          <w:sz w:val="22"/>
        </w:rPr>
        <w:t>（2）工作内容和依据；</w:t>
      </w:r>
    </w:p>
    <w:p>
      <w:pPr>
        <w:spacing w:line="440" w:lineRule="exact"/>
        <w:ind w:firstLine="440" w:firstLineChars="200"/>
        <w:rPr>
          <w:rFonts w:ascii="宋体" w:hAnsi="宋体" w:cs="Calibri"/>
          <w:color w:val="000000"/>
          <w:sz w:val="22"/>
        </w:rPr>
      </w:pPr>
      <w:r>
        <w:rPr>
          <w:rFonts w:ascii="宋体" w:hAnsi="宋体" w:cs="Calibri"/>
          <w:color w:val="000000"/>
          <w:sz w:val="22"/>
        </w:rPr>
        <w:t>（3）</w:t>
      </w:r>
      <w:r>
        <w:rPr>
          <w:rFonts w:hint="eastAsia" w:ascii="宋体" w:hAnsi="宋体" w:cs="Calibri"/>
          <w:color w:val="000000"/>
          <w:sz w:val="22"/>
        </w:rPr>
        <w:t>机构、人力、物资配置</w:t>
      </w:r>
      <w:r>
        <w:rPr>
          <w:rFonts w:ascii="宋体" w:hAnsi="宋体" w:cs="Calibri"/>
          <w:color w:val="000000"/>
          <w:sz w:val="22"/>
        </w:rPr>
        <w:t>；</w:t>
      </w:r>
    </w:p>
    <w:p>
      <w:pPr>
        <w:spacing w:line="440" w:lineRule="exact"/>
        <w:ind w:firstLine="440" w:firstLineChars="200"/>
        <w:rPr>
          <w:rFonts w:ascii="宋体" w:hAnsi="宋体" w:cs="Calibri"/>
          <w:color w:val="000000"/>
          <w:sz w:val="22"/>
        </w:rPr>
      </w:pPr>
      <w:r>
        <w:rPr>
          <w:rFonts w:ascii="宋体" w:hAnsi="宋体" w:cs="Calibri"/>
          <w:color w:val="000000"/>
          <w:sz w:val="22"/>
        </w:rPr>
        <w:t>（4）服务人员的作业安排和进场计划；</w:t>
      </w:r>
    </w:p>
    <w:p>
      <w:pPr>
        <w:spacing w:line="440" w:lineRule="exact"/>
        <w:ind w:firstLine="440" w:firstLineChars="200"/>
        <w:rPr>
          <w:rFonts w:ascii="宋体" w:hAnsi="宋体" w:cs="Calibri"/>
          <w:color w:val="000000"/>
          <w:sz w:val="22"/>
        </w:rPr>
      </w:pPr>
      <w:r>
        <w:rPr>
          <w:rFonts w:ascii="宋体" w:hAnsi="宋体" w:cs="Calibri"/>
          <w:color w:val="000000"/>
          <w:sz w:val="22"/>
        </w:rPr>
        <w:t>（5）</w:t>
      </w:r>
      <w:r>
        <w:rPr>
          <w:rFonts w:hint="eastAsia" w:ascii="宋体" w:hAnsi="宋体" w:cs="Calibri"/>
          <w:color w:val="000000"/>
          <w:sz w:val="22"/>
        </w:rPr>
        <w:t>运行、安全、服务等相关管理方案</w:t>
      </w:r>
      <w:r>
        <w:rPr>
          <w:rFonts w:ascii="宋体" w:hAnsi="宋体" w:cs="Calibri"/>
          <w:color w:val="000000"/>
          <w:sz w:val="22"/>
        </w:rPr>
        <w:t>；</w:t>
      </w:r>
    </w:p>
    <w:p>
      <w:pPr>
        <w:spacing w:line="440" w:lineRule="exact"/>
        <w:ind w:firstLine="440" w:firstLineChars="200"/>
        <w:rPr>
          <w:rFonts w:ascii="宋体" w:hAnsi="宋体" w:cs="Calibri"/>
          <w:color w:val="000000"/>
          <w:sz w:val="22"/>
        </w:rPr>
      </w:pPr>
      <w:r>
        <w:rPr>
          <w:rFonts w:ascii="宋体" w:hAnsi="宋体" w:cs="Calibri"/>
          <w:color w:val="000000"/>
          <w:sz w:val="22"/>
        </w:rPr>
        <w:t>（6）对本项目的实施意见及重点</w:t>
      </w:r>
      <w:r>
        <w:rPr>
          <w:rFonts w:hint="eastAsia" w:ascii="宋体" w:hAnsi="宋体" w:cs="Calibri"/>
          <w:color w:val="000000"/>
          <w:sz w:val="22"/>
        </w:rPr>
        <w:t>、</w:t>
      </w:r>
      <w:r>
        <w:rPr>
          <w:rFonts w:ascii="宋体" w:hAnsi="宋体" w:cs="Calibri"/>
          <w:color w:val="000000"/>
          <w:sz w:val="22"/>
        </w:rPr>
        <w:t>难点控制；</w:t>
      </w:r>
    </w:p>
    <w:p>
      <w:pPr>
        <w:spacing w:line="440" w:lineRule="exact"/>
        <w:ind w:firstLine="440" w:firstLineChars="200"/>
        <w:rPr>
          <w:rFonts w:ascii="宋体" w:hAnsi="宋体" w:cs="Calibri"/>
          <w:color w:val="000000"/>
          <w:sz w:val="22"/>
        </w:rPr>
      </w:pPr>
      <w:r>
        <w:rPr>
          <w:rFonts w:hint="eastAsia" w:ascii="宋体" w:hAnsi="宋体" w:cs="Calibri"/>
          <w:color w:val="000000"/>
          <w:sz w:val="22"/>
        </w:rPr>
        <w:t>（7）对特殊情况的承诺以及灾害性、突发事件的应急预案；</w:t>
      </w:r>
    </w:p>
    <w:p>
      <w:pPr>
        <w:spacing w:line="440" w:lineRule="exact"/>
        <w:ind w:firstLine="440" w:firstLineChars="200"/>
        <w:rPr>
          <w:rFonts w:ascii="宋体" w:hAnsi="宋体" w:cs="Calibri"/>
          <w:color w:val="000000"/>
          <w:sz w:val="22"/>
        </w:rPr>
      </w:pPr>
      <w:r>
        <w:rPr>
          <w:rFonts w:ascii="宋体" w:hAnsi="宋体" w:cs="Calibri"/>
          <w:color w:val="000000"/>
          <w:sz w:val="22"/>
        </w:rPr>
        <w:t>（</w:t>
      </w:r>
      <w:r>
        <w:rPr>
          <w:rFonts w:hint="eastAsia" w:ascii="宋体" w:hAnsi="宋体" w:cs="Calibri"/>
          <w:color w:val="000000"/>
          <w:sz w:val="22"/>
        </w:rPr>
        <w:t>8</w:t>
      </w:r>
      <w:r>
        <w:rPr>
          <w:rFonts w:ascii="宋体" w:hAnsi="宋体" w:cs="Calibri"/>
          <w:color w:val="000000"/>
          <w:sz w:val="22"/>
        </w:rPr>
        <w:t>）投入到本项目的项目负责人、其他人员的情况汇总表及业绩、经历、能力介绍、资格证明材料及人员到位率的承诺；</w:t>
      </w:r>
    </w:p>
    <w:p>
      <w:pPr>
        <w:spacing w:line="440" w:lineRule="exact"/>
        <w:ind w:firstLine="440" w:firstLineChars="200"/>
        <w:rPr>
          <w:rFonts w:ascii="宋体" w:hAnsi="宋体" w:cs="Calibri"/>
          <w:color w:val="000000"/>
          <w:sz w:val="22"/>
        </w:rPr>
      </w:pPr>
      <w:r>
        <w:rPr>
          <w:rFonts w:ascii="宋体" w:hAnsi="宋体" w:cs="Calibri"/>
          <w:color w:val="000000"/>
          <w:sz w:val="22"/>
        </w:rPr>
        <w:t>（</w:t>
      </w:r>
      <w:r>
        <w:rPr>
          <w:rFonts w:hint="eastAsia" w:ascii="宋体" w:hAnsi="宋体" w:cs="Calibri"/>
          <w:color w:val="000000"/>
          <w:sz w:val="22"/>
        </w:rPr>
        <w:t>9</w:t>
      </w:r>
      <w:r>
        <w:rPr>
          <w:rFonts w:ascii="宋体" w:hAnsi="宋体" w:cs="Calibri"/>
          <w:color w:val="000000"/>
          <w:sz w:val="22"/>
        </w:rPr>
        <w:t>）投入本项目服务的仪器、仪表、设备及交通工具汇总表</w:t>
      </w:r>
      <w:r>
        <w:rPr>
          <w:rFonts w:hint="eastAsia" w:ascii="宋体" w:hAnsi="宋体" w:cs="Calibri"/>
          <w:color w:val="000000"/>
          <w:sz w:val="22"/>
        </w:rPr>
        <w:t>。</w:t>
      </w:r>
    </w:p>
    <w:p>
      <w:pPr>
        <w:spacing w:line="440" w:lineRule="exact"/>
        <w:ind w:firstLine="440" w:firstLineChars="200"/>
        <w:rPr>
          <w:rFonts w:ascii="宋体" w:hAnsi="宋体" w:cs="Calibri"/>
          <w:color w:val="000000"/>
          <w:sz w:val="22"/>
        </w:rPr>
      </w:pPr>
      <w:r>
        <w:rPr>
          <w:rFonts w:hint="eastAsia" w:ascii="宋体" w:hAnsi="宋体" w:cs="Calibri"/>
          <w:color w:val="000000"/>
          <w:sz w:val="22"/>
        </w:rPr>
        <w:t>六、投标人认为</w:t>
      </w:r>
      <w:r>
        <w:rPr>
          <w:rFonts w:ascii="宋体" w:hAnsi="宋体" w:cs="Calibri"/>
          <w:color w:val="000000"/>
          <w:sz w:val="22"/>
        </w:rPr>
        <w:t>应该提供的其他材料</w:t>
      </w:r>
      <w:r>
        <w:rPr>
          <w:rFonts w:hint="eastAsia" w:ascii="宋体" w:hAnsi="宋体" w:cs="Calibri"/>
          <w:color w:val="000000"/>
          <w:sz w:val="22"/>
        </w:rPr>
        <w:t>。</w:t>
      </w:r>
    </w:p>
    <w:p>
      <w:pPr>
        <w:rPr>
          <w:rFonts w:ascii="宋体" w:hAnsi="宋体" w:cs="Calibri"/>
          <w:sz w:val="22"/>
        </w:rPr>
      </w:pPr>
    </w:p>
    <w:p>
      <w:pPr>
        <w:spacing w:line="440" w:lineRule="exact"/>
        <w:rPr>
          <w:rFonts w:ascii="宋体" w:hAnsi="宋体" w:cs="Calibri"/>
          <w:color w:val="000000"/>
          <w:sz w:val="22"/>
        </w:rPr>
      </w:pPr>
    </w:p>
    <w:p>
      <w:pPr>
        <w:spacing w:line="440" w:lineRule="exact"/>
        <w:ind w:right="420"/>
        <w:rPr>
          <w:rFonts w:hint="eastAsia" w:ascii="宋体" w:hAnsi="宋体" w:cs="Calibri"/>
          <w:color w:val="000000"/>
          <w:sz w:val="22"/>
        </w:rPr>
      </w:pPr>
      <w:r>
        <w:rPr>
          <w:rFonts w:hint="eastAsia" w:ascii="宋体" w:hAnsi="宋体" w:cs="Calibri"/>
          <w:color w:val="000000"/>
          <w:sz w:val="22"/>
        </w:rPr>
        <w:t>注：未提供格式的由投标人自行拟定格式。</w:t>
      </w:r>
    </w:p>
    <w:p>
      <w:pPr>
        <w:spacing w:line="440" w:lineRule="exact"/>
        <w:ind w:right="420"/>
        <w:jc w:val="right"/>
        <w:rPr>
          <w:rFonts w:cs="Calibri"/>
          <w:color w:val="000000"/>
        </w:rPr>
      </w:pPr>
      <w:r>
        <w:rPr>
          <w:rFonts w:cs="Calibri"/>
          <w:color w:val="000000"/>
        </w:rPr>
        <w:br w:type="page"/>
      </w:r>
      <w:r>
        <w:rPr>
          <w:rFonts w:cs="Calibri"/>
          <w:color w:val="000000"/>
        </w:rPr>
        <w:t>正本（或副本）</w:t>
      </w:r>
    </w:p>
    <w:p>
      <w:pPr>
        <w:spacing w:line="440" w:lineRule="exact"/>
        <w:rPr>
          <w:rFonts w:cs="Calibri"/>
          <w:color w:val="000000"/>
          <w:sz w:val="24"/>
          <w:u w:val="single"/>
        </w:rPr>
      </w:pPr>
      <w:bookmarkStart w:id="118" w:name="_Toc171421958"/>
      <w:r>
        <w:rPr>
          <w:rFonts w:cs="Calibri"/>
          <w:color w:val="000000"/>
        </w:rPr>
        <w:t>封面</w:t>
      </w:r>
      <w:bookmarkEnd w:id="118"/>
    </w:p>
    <w:p>
      <w:pPr>
        <w:autoSpaceDE w:val="0"/>
        <w:autoSpaceDN w:val="0"/>
        <w:adjustRightInd w:val="0"/>
        <w:jc w:val="center"/>
        <w:rPr>
          <w:rFonts w:cs="Calibri"/>
          <w:b/>
          <w:spacing w:val="20"/>
          <w:kern w:val="0"/>
          <w:sz w:val="48"/>
          <w:szCs w:val="48"/>
        </w:rPr>
      </w:pPr>
    </w:p>
    <w:p>
      <w:pPr>
        <w:autoSpaceDE w:val="0"/>
        <w:autoSpaceDN w:val="0"/>
        <w:adjustRightInd w:val="0"/>
        <w:jc w:val="center"/>
        <w:rPr>
          <w:rFonts w:eastAsia="黑体" w:cs="Calibri"/>
          <w:b/>
          <w:sz w:val="44"/>
          <w:szCs w:val="44"/>
        </w:rPr>
      </w:pPr>
      <w:r>
        <w:rPr>
          <w:rFonts w:hint="eastAsia" w:eastAsia="黑体" w:cs="Calibri"/>
          <w:b/>
          <w:sz w:val="44"/>
          <w:szCs w:val="44"/>
        </w:rPr>
        <w:t>浙江省机场集团</w:t>
      </w:r>
      <w:r>
        <w:rPr>
          <w:rFonts w:hint="eastAsia" w:eastAsia="黑体" w:cs="Calibri"/>
          <w:b/>
          <w:sz w:val="44"/>
          <w:szCs w:val="44"/>
          <w:u w:val="single"/>
        </w:rPr>
        <w:t xml:space="preserve">         </w:t>
      </w:r>
      <w:r>
        <w:rPr>
          <w:rFonts w:eastAsia="黑体" w:cs="Calibri"/>
          <w:b/>
          <w:sz w:val="44"/>
          <w:szCs w:val="44"/>
        </w:rPr>
        <w:t>项目</w:t>
      </w:r>
    </w:p>
    <w:p>
      <w:pPr>
        <w:spacing w:line="440" w:lineRule="exact"/>
        <w:rPr>
          <w:rFonts w:cs="Calibri"/>
          <w:color w:val="000000"/>
          <w:sz w:val="36"/>
          <w:szCs w:val="36"/>
        </w:rPr>
      </w:pPr>
    </w:p>
    <w:p>
      <w:pPr>
        <w:spacing w:line="440" w:lineRule="exact"/>
        <w:ind w:firstLine="480" w:firstLineChars="200"/>
        <w:jc w:val="center"/>
        <w:rPr>
          <w:rFonts w:cs="Calibri"/>
          <w:color w:val="000000"/>
          <w:sz w:val="24"/>
        </w:rPr>
      </w:pPr>
    </w:p>
    <w:p>
      <w:pPr>
        <w:spacing w:line="440" w:lineRule="exact"/>
        <w:rPr>
          <w:rFonts w:cs="Calibri"/>
          <w:color w:val="000000"/>
          <w:sz w:val="44"/>
          <w:szCs w:val="44"/>
        </w:rPr>
      </w:pPr>
    </w:p>
    <w:p>
      <w:pPr>
        <w:spacing w:before="480" w:beforeLines="200" w:after="480" w:afterLines="200" w:line="440" w:lineRule="exact"/>
        <w:jc w:val="center"/>
        <w:rPr>
          <w:rFonts w:cs="Calibri"/>
          <w:b/>
          <w:bCs/>
          <w:color w:val="000000"/>
          <w:sz w:val="84"/>
          <w:szCs w:val="84"/>
        </w:rPr>
      </w:pPr>
      <w:r>
        <w:rPr>
          <w:rFonts w:cs="Calibri"/>
          <w:b/>
          <w:bCs/>
          <w:color w:val="000000"/>
          <w:sz w:val="84"/>
          <w:szCs w:val="84"/>
        </w:rPr>
        <w:t>投标文件</w:t>
      </w:r>
    </w:p>
    <w:p>
      <w:pPr>
        <w:spacing w:line="440" w:lineRule="exact"/>
        <w:ind w:firstLine="480" w:firstLineChars="200"/>
        <w:jc w:val="center"/>
        <w:rPr>
          <w:rFonts w:cs="Calibri"/>
          <w:color w:val="000000"/>
          <w:sz w:val="24"/>
        </w:rPr>
      </w:pPr>
    </w:p>
    <w:p>
      <w:pPr>
        <w:spacing w:line="440" w:lineRule="exact"/>
        <w:ind w:firstLine="480" w:firstLineChars="200"/>
        <w:rPr>
          <w:rFonts w:cs="Calibri"/>
          <w:color w:val="000000"/>
          <w:sz w:val="24"/>
        </w:rPr>
      </w:pPr>
      <w:r>
        <w:rPr>
          <w:rFonts w:cs="Calibri"/>
          <w:color w:val="000000"/>
          <w:sz w:val="24"/>
        </w:rPr>
        <w:t xml:space="preserve">                  </w:t>
      </w:r>
    </w:p>
    <w:p>
      <w:pPr>
        <w:spacing w:line="440" w:lineRule="exact"/>
        <w:ind w:firstLine="480" w:firstLineChars="200"/>
        <w:jc w:val="center"/>
        <w:rPr>
          <w:rFonts w:cs="Calibri"/>
          <w:color w:val="000000"/>
          <w:sz w:val="24"/>
        </w:rPr>
      </w:pPr>
    </w:p>
    <w:p>
      <w:pPr>
        <w:spacing w:line="440" w:lineRule="exact"/>
        <w:ind w:firstLine="480" w:firstLineChars="200"/>
        <w:jc w:val="center"/>
        <w:rPr>
          <w:rFonts w:cs="Calibri"/>
          <w:color w:val="000000"/>
          <w:sz w:val="24"/>
        </w:rPr>
      </w:pPr>
    </w:p>
    <w:p>
      <w:pPr>
        <w:spacing w:line="440" w:lineRule="exact"/>
        <w:ind w:firstLine="480" w:firstLineChars="200"/>
        <w:jc w:val="center"/>
        <w:rPr>
          <w:rFonts w:cs="Calibri"/>
          <w:color w:val="000000"/>
          <w:sz w:val="24"/>
        </w:rPr>
      </w:pPr>
    </w:p>
    <w:p>
      <w:pPr>
        <w:spacing w:line="440" w:lineRule="exact"/>
        <w:ind w:firstLine="480" w:firstLineChars="200"/>
        <w:jc w:val="center"/>
        <w:rPr>
          <w:rFonts w:cs="Calibri"/>
          <w:color w:val="000000"/>
          <w:sz w:val="24"/>
        </w:rPr>
      </w:pPr>
    </w:p>
    <w:p>
      <w:pPr>
        <w:spacing w:line="440" w:lineRule="exact"/>
        <w:ind w:firstLine="480" w:firstLineChars="200"/>
        <w:jc w:val="center"/>
        <w:rPr>
          <w:rFonts w:cs="Calibri"/>
          <w:color w:val="000000"/>
          <w:sz w:val="24"/>
        </w:rPr>
      </w:pPr>
    </w:p>
    <w:p>
      <w:pPr>
        <w:spacing w:line="440" w:lineRule="exact"/>
        <w:ind w:firstLine="480" w:firstLineChars="200"/>
        <w:jc w:val="center"/>
        <w:rPr>
          <w:rFonts w:cs="Calibri"/>
          <w:color w:val="000000"/>
          <w:sz w:val="24"/>
        </w:rPr>
      </w:pPr>
    </w:p>
    <w:p>
      <w:pPr>
        <w:spacing w:line="440" w:lineRule="exact"/>
        <w:ind w:firstLine="480" w:firstLineChars="200"/>
        <w:jc w:val="center"/>
        <w:rPr>
          <w:rFonts w:cs="Calibri"/>
          <w:color w:val="000000"/>
          <w:sz w:val="24"/>
        </w:rPr>
      </w:pPr>
    </w:p>
    <w:p>
      <w:pPr>
        <w:spacing w:line="440" w:lineRule="exact"/>
        <w:ind w:firstLine="480" w:firstLineChars="200"/>
        <w:jc w:val="center"/>
        <w:rPr>
          <w:rFonts w:cs="Calibri"/>
          <w:color w:val="000000"/>
          <w:sz w:val="24"/>
        </w:rPr>
      </w:pPr>
    </w:p>
    <w:p>
      <w:pPr>
        <w:spacing w:line="440" w:lineRule="exact"/>
        <w:ind w:firstLine="480" w:firstLineChars="200"/>
        <w:jc w:val="center"/>
        <w:rPr>
          <w:rFonts w:cs="Calibri"/>
          <w:color w:val="000000"/>
          <w:sz w:val="24"/>
        </w:rPr>
      </w:pPr>
    </w:p>
    <w:p>
      <w:pPr>
        <w:spacing w:line="440" w:lineRule="exact"/>
        <w:ind w:firstLine="480" w:firstLineChars="200"/>
        <w:jc w:val="center"/>
        <w:rPr>
          <w:rFonts w:cs="Calibri"/>
          <w:color w:val="000000"/>
          <w:sz w:val="24"/>
        </w:rPr>
      </w:pPr>
    </w:p>
    <w:p>
      <w:pPr>
        <w:spacing w:line="360" w:lineRule="auto"/>
        <w:ind w:firstLine="1400" w:firstLineChars="500"/>
        <w:rPr>
          <w:rFonts w:cs="Calibri"/>
          <w:color w:val="000000"/>
          <w:sz w:val="28"/>
          <w:szCs w:val="28"/>
          <w:u w:val="single"/>
        </w:rPr>
      </w:pPr>
      <w:r>
        <w:rPr>
          <w:rFonts w:cs="Calibri"/>
          <w:color w:val="000000"/>
          <w:sz w:val="28"/>
          <w:szCs w:val="28"/>
        </w:rPr>
        <w:t>投标人：</w:t>
      </w:r>
      <w:r>
        <w:rPr>
          <w:rFonts w:cs="Calibri"/>
          <w:color w:val="000000"/>
          <w:sz w:val="28"/>
          <w:szCs w:val="28"/>
          <w:u w:val="single"/>
        </w:rPr>
        <w:t xml:space="preserve">                （盖单位章）           </w:t>
      </w:r>
    </w:p>
    <w:p>
      <w:pPr>
        <w:spacing w:line="360" w:lineRule="auto"/>
        <w:ind w:firstLine="1400" w:firstLineChars="500"/>
        <w:rPr>
          <w:rFonts w:cs="Calibri"/>
          <w:color w:val="000000"/>
          <w:sz w:val="28"/>
          <w:szCs w:val="28"/>
        </w:rPr>
      </w:pPr>
      <w:r>
        <w:rPr>
          <w:rFonts w:cs="Calibri"/>
          <w:color w:val="000000"/>
          <w:sz w:val="28"/>
          <w:szCs w:val="28"/>
        </w:rPr>
        <w:t>法定代表人或其委托代理人：</w:t>
      </w:r>
      <w:r>
        <w:rPr>
          <w:rFonts w:cs="Calibri"/>
          <w:color w:val="000000"/>
          <w:sz w:val="28"/>
          <w:szCs w:val="28"/>
          <w:u w:val="single"/>
        </w:rPr>
        <w:t xml:space="preserve">   （签字或盖章）   </w:t>
      </w:r>
    </w:p>
    <w:p>
      <w:pPr>
        <w:spacing w:line="360" w:lineRule="auto"/>
        <w:ind w:firstLine="1400" w:firstLineChars="500"/>
        <w:rPr>
          <w:rFonts w:cs="Calibri"/>
          <w:color w:val="000000"/>
          <w:sz w:val="28"/>
          <w:szCs w:val="28"/>
        </w:rPr>
      </w:pPr>
      <w:r>
        <w:rPr>
          <w:rFonts w:cs="Calibri"/>
          <w:color w:val="000000"/>
          <w:sz w:val="28"/>
          <w:szCs w:val="28"/>
        </w:rPr>
        <w:t>日  期：</w:t>
      </w:r>
      <w:r>
        <w:rPr>
          <w:rFonts w:cs="Calibri"/>
          <w:color w:val="000000"/>
          <w:sz w:val="28"/>
          <w:szCs w:val="28"/>
          <w:u w:val="single"/>
        </w:rPr>
        <w:t xml:space="preserve">        </w:t>
      </w:r>
      <w:r>
        <w:rPr>
          <w:rFonts w:cs="Calibri"/>
          <w:color w:val="000000"/>
          <w:sz w:val="28"/>
          <w:szCs w:val="28"/>
        </w:rPr>
        <w:t>年</w:t>
      </w:r>
      <w:r>
        <w:rPr>
          <w:rFonts w:cs="Calibri"/>
          <w:color w:val="000000"/>
          <w:sz w:val="28"/>
          <w:szCs w:val="28"/>
          <w:u w:val="single"/>
        </w:rPr>
        <w:t xml:space="preserve">         </w:t>
      </w:r>
      <w:r>
        <w:rPr>
          <w:rFonts w:cs="Calibri"/>
          <w:color w:val="000000"/>
          <w:sz w:val="28"/>
          <w:szCs w:val="28"/>
        </w:rPr>
        <w:t>月</w:t>
      </w:r>
      <w:r>
        <w:rPr>
          <w:rFonts w:cs="Calibri"/>
          <w:color w:val="000000"/>
          <w:sz w:val="28"/>
          <w:szCs w:val="28"/>
          <w:u w:val="single"/>
        </w:rPr>
        <w:t xml:space="preserve">        </w:t>
      </w:r>
      <w:r>
        <w:rPr>
          <w:rFonts w:cs="Calibri"/>
          <w:color w:val="000000"/>
          <w:sz w:val="28"/>
          <w:szCs w:val="28"/>
        </w:rPr>
        <w:t>日</w:t>
      </w:r>
    </w:p>
    <w:p>
      <w:pPr>
        <w:spacing w:line="360" w:lineRule="auto"/>
        <w:ind w:firstLine="1400" w:firstLineChars="500"/>
        <w:rPr>
          <w:rFonts w:cs="Calibri"/>
          <w:color w:val="000000"/>
          <w:sz w:val="28"/>
          <w:szCs w:val="28"/>
        </w:rPr>
      </w:pPr>
    </w:p>
    <w:p>
      <w:pPr>
        <w:spacing w:line="360" w:lineRule="auto"/>
        <w:jc w:val="center"/>
        <w:rPr>
          <w:rFonts w:eastAsia="黑体" w:cs="Calibri"/>
          <w:bCs/>
          <w:color w:val="000000"/>
          <w:sz w:val="32"/>
          <w:szCs w:val="32"/>
        </w:rPr>
      </w:pPr>
      <w:r>
        <w:rPr>
          <w:rFonts w:cs="Calibri"/>
          <w:color w:val="000000"/>
          <w:sz w:val="24"/>
        </w:rPr>
        <w:br w:type="page"/>
      </w:r>
      <w:r>
        <w:rPr>
          <w:rFonts w:eastAsia="黑体" w:cs="Calibri"/>
          <w:bCs/>
          <w:color w:val="000000"/>
          <w:sz w:val="32"/>
          <w:szCs w:val="32"/>
        </w:rPr>
        <w:t>一、投 标 函</w:t>
      </w:r>
    </w:p>
    <w:p>
      <w:pPr>
        <w:spacing w:line="440" w:lineRule="exact"/>
        <w:jc w:val="center"/>
        <w:rPr>
          <w:rFonts w:cs="Calibri"/>
          <w:b/>
          <w:bCs/>
          <w:color w:val="000000"/>
          <w:sz w:val="28"/>
          <w:szCs w:val="28"/>
        </w:rPr>
      </w:pPr>
    </w:p>
    <w:p>
      <w:pPr>
        <w:snapToGrid w:val="0"/>
        <w:spacing w:line="360" w:lineRule="auto"/>
        <w:rPr>
          <w:rFonts w:ascii="等线" w:hAnsi="等线" w:eastAsia="等线" w:cs="Calibri"/>
          <w:b/>
          <w:bCs/>
          <w:sz w:val="22"/>
        </w:rPr>
      </w:pPr>
      <w:r>
        <w:rPr>
          <w:rFonts w:hint="eastAsia" w:ascii="宋体" w:hAnsi="宋体"/>
          <w:sz w:val="22"/>
        </w:rPr>
        <w:t>致：浙江省机场集团有限公司</w:t>
      </w:r>
    </w:p>
    <w:p>
      <w:pPr>
        <w:snapToGrid w:val="0"/>
        <w:spacing w:line="400" w:lineRule="exact"/>
        <w:ind w:firstLine="550" w:firstLineChars="250"/>
        <w:rPr>
          <w:rFonts w:ascii="宋体" w:hAnsi="宋体"/>
          <w:sz w:val="22"/>
        </w:rPr>
      </w:pPr>
      <w:r>
        <w:rPr>
          <w:rFonts w:hint="eastAsia" w:ascii="宋体" w:hAnsi="宋体"/>
          <w:sz w:val="22"/>
        </w:rPr>
        <w:t>1、根据已收到的</w:t>
      </w:r>
      <w:r>
        <w:rPr>
          <w:rFonts w:hint="eastAsia" w:ascii="宋体" w:hAnsi="宋体"/>
          <w:sz w:val="22"/>
          <w:u w:val="single"/>
        </w:rPr>
        <w:t xml:space="preserve">                           </w:t>
      </w:r>
      <w:r>
        <w:rPr>
          <w:rFonts w:hint="eastAsia" w:ascii="宋体" w:hAnsi="宋体"/>
          <w:sz w:val="22"/>
        </w:rPr>
        <w:t>招标文件，遵照《中华人民共和国招标投标法》等有关规定，经考察现场和研究上述招标文件后，我方愿以               %的</w:t>
      </w:r>
      <w:r>
        <w:rPr>
          <w:rFonts w:ascii="宋体" w:hAnsi="宋体"/>
          <w:sz w:val="22"/>
        </w:rPr>
        <w:t>优惠率</w:t>
      </w:r>
      <w:r>
        <w:rPr>
          <w:rFonts w:hint="eastAsia" w:ascii="宋体" w:hAnsi="宋体"/>
          <w:sz w:val="22"/>
        </w:rPr>
        <w:t>报价</w:t>
      </w:r>
      <w:r>
        <w:rPr>
          <w:rFonts w:ascii="宋体" w:hAnsi="宋体"/>
          <w:sz w:val="22"/>
        </w:rPr>
        <w:t>（</w:t>
      </w:r>
      <w:r>
        <w:rPr>
          <w:rFonts w:hint="eastAsia" w:ascii="宋体" w:hAnsi="宋体"/>
          <w:sz w:val="22"/>
        </w:rPr>
        <w:t>优惠率＝招标代理服务费/国家发展改革委员会办公厅发布发改办价格［2003］857号文件的规定*100%=1-下浮率</w:t>
      </w:r>
      <w:r>
        <w:rPr>
          <w:rFonts w:ascii="宋体" w:hAnsi="宋体"/>
          <w:sz w:val="22"/>
        </w:rPr>
        <w:t>）</w:t>
      </w:r>
      <w:r>
        <w:rPr>
          <w:rFonts w:hint="eastAsia" w:ascii="宋体" w:hAnsi="宋体"/>
          <w:sz w:val="22"/>
        </w:rPr>
        <w:t>，并按上述招标文件要求承揽上述项目所有等工作。</w:t>
      </w:r>
      <w:r>
        <w:rPr>
          <w:rFonts w:ascii="宋体" w:hAnsi="宋体"/>
          <w:sz w:val="22"/>
        </w:rPr>
        <w:t xml:space="preserve"> </w:t>
      </w:r>
    </w:p>
    <w:p>
      <w:pPr>
        <w:snapToGrid w:val="0"/>
        <w:spacing w:line="400" w:lineRule="exact"/>
        <w:ind w:firstLine="550" w:firstLineChars="250"/>
        <w:rPr>
          <w:rFonts w:ascii="宋体" w:hAnsi="宋体"/>
          <w:sz w:val="22"/>
        </w:rPr>
      </w:pPr>
      <w:r>
        <w:rPr>
          <w:rFonts w:hint="eastAsia" w:ascii="宋体" w:hAnsi="宋体"/>
          <w:sz w:val="22"/>
        </w:rPr>
        <w:t>2、我方承诺：</w:t>
      </w:r>
    </w:p>
    <w:p>
      <w:pPr>
        <w:snapToGrid w:val="0"/>
        <w:spacing w:line="400" w:lineRule="exact"/>
        <w:ind w:firstLine="550" w:firstLineChars="250"/>
        <w:rPr>
          <w:rFonts w:ascii="宋体" w:hAnsi="宋体"/>
          <w:sz w:val="22"/>
        </w:rPr>
      </w:pPr>
      <w:r>
        <w:rPr>
          <w:rFonts w:hint="eastAsia" w:ascii="宋体" w:hAnsi="宋体"/>
          <w:sz w:val="22"/>
        </w:rPr>
        <w:t>（1）我方不是失信被执行人；</w:t>
      </w:r>
    </w:p>
    <w:p>
      <w:pPr>
        <w:snapToGrid w:val="0"/>
        <w:spacing w:line="400" w:lineRule="exact"/>
        <w:ind w:firstLine="550" w:firstLineChars="250"/>
        <w:rPr>
          <w:rFonts w:ascii="宋体" w:hAnsi="宋体"/>
          <w:sz w:val="22"/>
        </w:rPr>
      </w:pPr>
      <w:r>
        <w:rPr>
          <w:rFonts w:hint="eastAsia" w:ascii="宋体" w:hAnsi="宋体"/>
          <w:sz w:val="22"/>
        </w:rPr>
        <w:t>（2）我方在规定期限内无行贿犯罪记录；</w:t>
      </w:r>
    </w:p>
    <w:p>
      <w:pPr>
        <w:snapToGrid w:val="0"/>
        <w:spacing w:line="400" w:lineRule="exact"/>
        <w:ind w:firstLine="550" w:firstLineChars="250"/>
        <w:rPr>
          <w:rFonts w:ascii="宋体" w:hAnsi="宋体"/>
          <w:sz w:val="22"/>
        </w:rPr>
      </w:pPr>
      <w:r>
        <w:rPr>
          <w:rFonts w:hint="eastAsia" w:ascii="宋体" w:hAnsi="宋体"/>
          <w:sz w:val="22"/>
        </w:rPr>
        <w:t>（3）我方具有一般纳税人资格，可提供增值税专用发票。</w:t>
      </w:r>
    </w:p>
    <w:p>
      <w:pPr>
        <w:snapToGrid w:val="0"/>
        <w:spacing w:line="400" w:lineRule="exact"/>
        <w:ind w:firstLine="550" w:firstLineChars="250"/>
        <w:rPr>
          <w:rFonts w:ascii="宋体" w:hAnsi="宋体"/>
          <w:sz w:val="22"/>
        </w:rPr>
      </w:pPr>
      <w:r>
        <w:rPr>
          <w:rFonts w:hint="eastAsia" w:ascii="宋体" w:hAnsi="宋体"/>
          <w:sz w:val="22"/>
        </w:rPr>
        <w:t>3、如我方中标，我方承诺：</w:t>
      </w:r>
    </w:p>
    <w:p>
      <w:pPr>
        <w:snapToGrid w:val="0"/>
        <w:spacing w:line="400" w:lineRule="exact"/>
        <w:ind w:firstLine="550" w:firstLineChars="250"/>
        <w:rPr>
          <w:rFonts w:ascii="宋体" w:hAnsi="宋体"/>
          <w:sz w:val="22"/>
        </w:rPr>
      </w:pPr>
      <w:r>
        <w:rPr>
          <w:rFonts w:hint="eastAsia" w:ascii="宋体" w:hAnsi="宋体"/>
          <w:sz w:val="22"/>
        </w:rPr>
        <w:t>(1)在收到中标通知书后，在中标通知书规定的期限内与你方签订合同；</w:t>
      </w:r>
    </w:p>
    <w:p>
      <w:pPr>
        <w:snapToGrid w:val="0"/>
        <w:spacing w:line="400" w:lineRule="exact"/>
        <w:ind w:firstLine="550" w:firstLineChars="250"/>
        <w:rPr>
          <w:rFonts w:ascii="宋体" w:hAnsi="宋体"/>
          <w:sz w:val="22"/>
        </w:rPr>
      </w:pPr>
      <w:r>
        <w:rPr>
          <w:rFonts w:hint="eastAsia" w:ascii="宋体" w:hAnsi="宋体"/>
          <w:sz w:val="22"/>
        </w:rPr>
        <w:t>(2)在签订合同时不向你方提出附加条件；</w:t>
      </w:r>
    </w:p>
    <w:p>
      <w:pPr>
        <w:snapToGrid w:val="0"/>
        <w:spacing w:line="400" w:lineRule="exact"/>
        <w:ind w:firstLine="550" w:firstLineChars="250"/>
        <w:rPr>
          <w:rFonts w:ascii="宋体" w:hAnsi="宋体"/>
          <w:sz w:val="22"/>
        </w:rPr>
      </w:pPr>
      <w:r>
        <w:rPr>
          <w:rFonts w:hint="eastAsia" w:ascii="宋体" w:hAnsi="宋体"/>
          <w:sz w:val="22"/>
        </w:rPr>
        <w:t>(3)按照招标文件要求提交履约保证金；</w:t>
      </w:r>
    </w:p>
    <w:p>
      <w:pPr>
        <w:snapToGrid w:val="0"/>
        <w:spacing w:line="400" w:lineRule="exact"/>
        <w:ind w:firstLine="550" w:firstLineChars="250"/>
        <w:rPr>
          <w:rFonts w:ascii="宋体" w:hAnsi="宋体"/>
          <w:sz w:val="22"/>
        </w:rPr>
      </w:pPr>
      <w:r>
        <w:rPr>
          <w:rFonts w:hint="eastAsia" w:ascii="宋体" w:hAnsi="宋体"/>
          <w:sz w:val="22"/>
        </w:rPr>
        <w:t>(4)在合同约定的期限内完成合同规定的全部义务。</w:t>
      </w:r>
    </w:p>
    <w:p>
      <w:pPr>
        <w:snapToGrid w:val="0"/>
        <w:spacing w:line="400" w:lineRule="exact"/>
        <w:ind w:firstLine="550" w:firstLineChars="250"/>
        <w:rPr>
          <w:rFonts w:ascii="宋体" w:hAnsi="宋体"/>
          <w:sz w:val="22"/>
        </w:rPr>
      </w:pPr>
      <w:r>
        <w:rPr>
          <w:rFonts w:hint="eastAsia" w:ascii="宋体" w:hAnsi="宋体"/>
          <w:sz w:val="22"/>
        </w:rPr>
        <w:t>4、我方同意所递交的投标文件在“前附表”规定的投标有效期内有效，在此期间内我方的投标有可能中标，我方将受此约束。</w:t>
      </w:r>
    </w:p>
    <w:p>
      <w:pPr>
        <w:snapToGrid w:val="0"/>
        <w:spacing w:line="400" w:lineRule="exact"/>
        <w:ind w:firstLine="440" w:firstLineChars="200"/>
        <w:rPr>
          <w:rFonts w:ascii="宋体" w:hAnsi="宋体"/>
          <w:sz w:val="22"/>
        </w:rPr>
      </w:pPr>
      <w:r>
        <w:rPr>
          <w:rFonts w:hint="eastAsia" w:ascii="宋体" w:hAnsi="宋体"/>
          <w:sz w:val="22"/>
        </w:rPr>
        <w:t xml:space="preserve"> 5、除非另外达成协议并生效，你方的中标通知书和本投标文件将构成约束我们双方的合同。</w:t>
      </w:r>
    </w:p>
    <w:p>
      <w:pPr>
        <w:snapToGrid w:val="0"/>
        <w:spacing w:line="400" w:lineRule="exact"/>
        <w:ind w:firstLine="550" w:firstLineChars="250"/>
        <w:rPr>
          <w:rFonts w:ascii="宋体" w:hAnsi="宋体"/>
          <w:sz w:val="22"/>
        </w:rPr>
      </w:pPr>
      <w:r>
        <w:rPr>
          <w:rFonts w:hint="eastAsia" w:ascii="宋体" w:hAnsi="宋体"/>
          <w:sz w:val="22"/>
        </w:rPr>
        <w:t>6、我方已详细审查招标文件包括澄清函和修改文件(若有)、所有已提供的资料以及有关附件，我司已完全理解上述文件的全部内容，并放弃提出任何误解或不明作为抗辩的权利。</w:t>
      </w:r>
    </w:p>
    <w:p>
      <w:pPr>
        <w:snapToGrid w:val="0"/>
        <w:spacing w:line="400" w:lineRule="exact"/>
        <w:ind w:firstLine="550" w:firstLineChars="250"/>
        <w:rPr>
          <w:rFonts w:ascii="宋体" w:hAnsi="宋体"/>
          <w:sz w:val="22"/>
        </w:rPr>
      </w:pPr>
      <w:r>
        <w:rPr>
          <w:rFonts w:hint="eastAsia" w:ascii="宋体" w:hAnsi="宋体"/>
          <w:sz w:val="22"/>
        </w:rPr>
        <w:t>7、我方同意按照你方可能提出的要求，提供有关的任何其它数字或资料，并对贵方可能不接受最低报价及任何报价表示理解。</w:t>
      </w:r>
    </w:p>
    <w:p>
      <w:pPr>
        <w:snapToGrid w:val="0"/>
        <w:spacing w:line="440" w:lineRule="exact"/>
        <w:rPr>
          <w:rFonts w:hint="eastAsia" w:ascii="等线" w:hAnsi="等线" w:eastAsia="等线" w:cs="Calibri"/>
          <w:color w:val="000000"/>
          <w:szCs w:val="21"/>
        </w:rPr>
      </w:pPr>
    </w:p>
    <w:p>
      <w:pPr>
        <w:snapToGrid w:val="0"/>
        <w:spacing w:line="400" w:lineRule="exact"/>
        <w:ind w:firstLine="550" w:firstLineChars="250"/>
        <w:jc w:val="center"/>
        <w:rPr>
          <w:rFonts w:ascii="宋体" w:hAnsi="宋体"/>
          <w:sz w:val="22"/>
        </w:rPr>
      </w:pPr>
      <w:r>
        <w:rPr>
          <w:rFonts w:ascii="宋体" w:hAnsi="宋体"/>
          <w:sz w:val="22"/>
        </w:rPr>
        <w:t>投标人：（盖单位章）</w:t>
      </w:r>
    </w:p>
    <w:p>
      <w:pPr>
        <w:snapToGrid w:val="0"/>
        <w:spacing w:line="400" w:lineRule="exact"/>
        <w:ind w:firstLine="550" w:firstLineChars="250"/>
        <w:jc w:val="center"/>
        <w:rPr>
          <w:rFonts w:ascii="宋体" w:hAnsi="宋体"/>
          <w:sz w:val="22"/>
        </w:rPr>
      </w:pPr>
      <w:r>
        <w:rPr>
          <w:rFonts w:hint="eastAsia" w:ascii="宋体" w:hAnsi="宋体"/>
          <w:sz w:val="22"/>
        </w:rPr>
        <w:t xml:space="preserve">                    </w:t>
      </w:r>
      <w:r>
        <w:rPr>
          <w:rFonts w:ascii="宋体" w:hAnsi="宋体"/>
          <w:sz w:val="22"/>
        </w:rPr>
        <w:t>法定代表人或其委托代理人：（签字或盖章）</w:t>
      </w:r>
    </w:p>
    <w:p>
      <w:pPr>
        <w:snapToGrid w:val="0"/>
        <w:spacing w:line="400" w:lineRule="exact"/>
        <w:ind w:firstLine="3960" w:firstLineChars="1800"/>
        <w:rPr>
          <w:rFonts w:ascii="宋体" w:hAnsi="宋体"/>
          <w:sz w:val="22"/>
        </w:rPr>
      </w:pPr>
      <w:r>
        <w:rPr>
          <w:rFonts w:ascii="宋体" w:hAnsi="宋体"/>
          <w:sz w:val="22"/>
        </w:rPr>
        <w:t>地    址：</w:t>
      </w:r>
    </w:p>
    <w:p>
      <w:pPr>
        <w:snapToGrid w:val="0"/>
        <w:spacing w:line="400" w:lineRule="exact"/>
        <w:ind w:firstLine="3960" w:firstLineChars="1800"/>
        <w:rPr>
          <w:rFonts w:ascii="宋体" w:hAnsi="宋体"/>
          <w:sz w:val="22"/>
        </w:rPr>
      </w:pPr>
      <w:r>
        <w:rPr>
          <w:rFonts w:ascii="宋体" w:hAnsi="宋体"/>
          <w:sz w:val="22"/>
        </w:rPr>
        <w:t>邮政编码：</w:t>
      </w:r>
    </w:p>
    <w:p>
      <w:pPr>
        <w:snapToGrid w:val="0"/>
        <w:spacing w:line="400" w:lineRule="exact"/>
        <w:ind w:firstLine="3960" w:firstLineChars="1800"/>
        <w:rPr>
          <w:rFonts w:ascii="宋体" w:hAnsi="宋体"/>
          <w:sz w:val="22"/>
        </w:rPr>
      </w:pPr>
      <w:r>
        <w:rPr>
          <w:rFonts w:ascii="宋体" w:hAnsi="宋体"/>
          <w:sz w:val="22"/>
        </w:rPr>
        <w:t>电    话：</w:t>
      </w:r>
    </w:p>
    <w:p>
      <w:pPr>
        <w:snapToGrid w:val="0"/>
        <w:spacing w:line="400" w:lineRule="exact"/>
        <w:ind w:firstLine="3960" w:firstLineChars="1800"/>
        <w:rPr>
          <w:rFonts w:ascii="宋体" w:hAnsi="宋体"/>
          <w:sz w:val="22"/>
        </w:rPr>
      </w:pPr>
      <w:r>
        <w:rPr>
          <w:rFonts w:ascii="宋体" w:hAnsi="宋体"/>
          <w:sz w:val="22"/>
        </w:rPr>
        <w:t>传    真：</w:t>
      </w:r>
    </w:p>
    <w:p>
      <w:pPr>
        <w:snapToGrid w:val="0"/>
        <w:spacing w:line="400" w:lineRule="exact"/>
        <w:ind w:firstLine="3960" w:firstLineChars="1800"/>
        <w:rPr>
          <w:rFonts w:ascii="宋体" w:hAnsi="宋体"/>
          <w:sz w:val="22"/>
        </w:rPr>
      </w:pPr>
      <w:r>
        <w:rPr>
          <w:rFonts w:ascii="宋体" w:hAnsi="宋体"/>
          <w:sz w:val="22"/>
        </w:rPr>
        <w:t>开户银行：</w:t>
      </w:r>
    </w:p>
    <w:p>
      <w:pPr>
        <w:snapToGrid w:val="0"/>
        <w:spacing w:line="400" w:lineRule="exact"/>
        <w:ind w:firstLine="3960" w:firstLineChars="1800"/>
        <w:rPr>
          <w:rFonts w:ascii="宋体" w:hAnsi="宋体"/>
          <w:sz w:val="22"/>
        </w:rPr>
      </w:pPr>
      <w:r>
        <w:rPr>
          <w:rFonts w:ascii="宋体" w:hAnsi="宋体"/>
          <w:sz w:val="22"/>
        </w:rPr>
        <w:t>账    号：</w:t>
      </w:r>
    </w:p>
    <w:p>
      <w:pPr>
        <w:snapToGrid w:val="0"/>
        <w:spacing w:line="400" w:lineRule="exact"/>
        <w:ind w:firstLine="550" w:firstLineChars="250"/>
        <w:jc w:val="center"/>
        <w:rPr>
          <w:rFonts w:ascii="宋体" w:hAnsi="宋体"/>
          <w:sz w:val="22"/>
        </w:rPr>
      </w:pPr>
      <w:r>
        <w:rPr>
          <w:rFonts w:ascii="宋体" w:hAnsi="宋体"/>
          <w:sz w:val="22"/>
        </w:rPr>
        <w:t xml:space="preserve">           日    期：    年     月     日</w:t>
      </w:r>
      <w:r>
        <w:rPr>
          <w:rFonts w:ascii="宋体" w:hAnsi="宋体"/>
          <w:sz w:val="22"/>
        </w:rPr>
        <w:br w:type="page"/>
      </w:r>
    </w:p>
    <w:p>
      <w:pPr>
        <w:adjustRightInd w:val="0"/>
        <w:snapToGrid w:val="0"/>
        <w:jc w:val="center"/>
        <w:rPr>
          <w:rFonts w:eastAsia="黑体" w:cs="Calibri"/>
          <w:color w:val="000000"/>
          <w:sz w:val="32"/>
          <w:szCs w:val="32"/>
        </w:rPr>
      </w:pPr>
      <w:r>
        <w:rPr>
          <w:rFonts w:hint="eastAsia" w:eastAsia="黑体" w:cs="Calibri"/>
          <w:color w:val="000000"/>
          <w:sz w:val="32"/>
          <w:szCs w:val="32"/>
        </w:rPr>
        <w:t>二</w:t>
      </w:r>
      <w:r>
        <w:rPr>
          <w:rFonts w:eastAsia="黑体" w:cs="Calibri"/>
          <w:color w:val="000000"/>
          <w:sz w:val="32"/>
          <w:szCs w:val="32"/>
        </w:rPr>
        <w:t>、法定代表人身份证明</w:t>
      </w:r>
    </w:p>
    <w:p>
      <w:pPr>
        <w:spacing w:after="120" w:afterLines="50" w:line="440" w:lineRule="exact"/>
        <w:rPr>
          <w:rFonts w:cs="Calibri"/>
          <w:color w:val="000000"/>
          <w:sz w:val="24"/>
        </w:rPr>
      </w:pPr>
    </w:p>
    <w:p>
      <w:pPr>
        <w:spacing w:after="120" w:afterLines="50" w:line="440" w:lineRule="exact"/>
        <w:rPr>
          <w:rFonts w:cs="Calibri"/>
          <w:color w:val="000000"/>
          <w:szCs w:val="21"/>
          <w:u w:val="single"/>
        </w:rPr>
      </w:pPr>
      <w:r>
        <w:rPr>
          <w:rFonts w:cs="Calibri"/>
          <w:color w:val="000000"/>
          <w:szCs w:val="21"/>
        </w:rPr>
        <w:t>投标人名称：</w:t>
      </w:r>
      <w:r>
        <w:rPr>
          <w:rFonts w:cs="Calibri"/>
          <w:color w:val="000000"/>
          <w:szCs w:val="21"/>
          <w:u w:val="single"/>
        </w:rPr>
        <w:t xml:space="preserve">                                  </w:t>
      </w:r>
    </w:p>
    <w:p>
      <w:pPr>
        <w:spacing w:after="120" w:afterLines="50" w:line="440" w:lineRule="exact"/>
        <w:rPr>
          <w:rFonts w:cs="Calibri"/>
          <w:color w:val="000000"/>
          <w:szCs w:val="21"/>
          <w:u w:val="single"/>
        </w:rPr>
      </w:pPr>
      <w:r>
        <w:rPr>
          <w:rFonts w:cs="Calibri"/>
          <w:color w:val="000000"/>
          <w:szCs w:val="21"/>
        </w:rPr>
        <w:t>单位性质：</w:t>
      </w:r>
      <w:r>
        <w:rPr>
          <w:rFonts w:cs="Calibri"/>
          <w:color w:val="000000"/>
          <w:szCs w:val="21"/>
          <w:u w:val="single"/>
        </w:rPr>
        <w:t xml:space="preserve">                                    </w:t>
      </w:r>
    </w:p>
    <w:p>
      <w:pPr>
        <w:spacing w:after="120" w:afterLines="50" w:line="440" w:lineRule="exact"/>
        <w:rPr>
          <w:rFonts w:cs="Calibri"/>
          <w:color w:val="000000"/>
          <w:szCs w:val="21"/>
          <w:u w:val="single"/>
        </w:rPr>
      </w:pPr>
      <w:r>
        <w:rPr>
          <w:rFonts w:cs="Calibri"/>
          <w:color w:val="000000"/>
          <w:szCs w:val="21"/>
        </w:rPr>
        <w:t>地址：</w:t>
      </w:r>
      <w:r>
        <w:rPr>
          <w:rFonts w:cs="Calibri"/>
          <w:color w:val="000000"/>
          <w:szCs w:val="21"/>
          <w:u w:val="single"/>
        </w:rPr>
        <w:t xml:space="preserve">                                        </w:t>
      </w:r>
    </w:p>
    <w:p>
      <w:pPr>
        <w:spacing w:after="120" w:afterLines="50" w:line="440" w:lineRule="exact"/>
        <w:rPr>
          <w:rFonts w:cs="Calibri"/>
          <w:color w:val="000000"/>
          <w:szCs w:val="21"/>
          <w:u w:val="single"/>
        </w:rPr>
      </w:pPr>
      <w:r>
        <w:rPr>
          <w:rFonts w:cs="Calibri"/>
          <w:color w:val="000000"/>
          <w:szCs w:val="21"/>
        </w:rPr>
        <w:t>成立时间：</w:t>
      </w:r>
      <w:r>
        <w:rPr>
          <w:rFonts w:cs="Calibri"/>
          <w:color w:val="000000"/>
          <w:szCs w:val="21"/>
          <w:u w:val="single"/>
        </w:rPr>
        <w:t xml:space="preserve">          </w:t>
      </w:r>
      <w:r>
        <w:rPr>
          <w:rFonts w:cs="Calibri"/>
          <w:color w:val="000000"/>
          <w:szCs w:val="21"/>
        </w:rPr>
        <w:t>年</w:t>
      </w:r>
      <w:r>
        <w:rPr>
          <w:rFonts w:cs="Calibri"/>
          <w:color w:val="000000"/>
          <w:szCs w:val="21"/>
          <w:u w:val="single"/>
        </w:rPr>
        <w:t xml:space="preserve">           </w:t>
      </w:r>
      <w:r>
        <w:rPr>
          <w:rFonts w:cs="Calibri"/>
          <w:color w:val="000000"/>
          <w:szCs w:val="21"/>
        </w:rPr>
        <w:t>月</w:t>
      </w:r>
      <w:r>
        <w:rPr>
          <w:rFonts w:cs="Calibri"/>
          <w:color w:val="000000"/>
          <w:szCs w:val="21"/>
          <w:u w:val="single"/>
        </w:rPr>
        <w:t xml:space="preserve">           </w:t>
      </w:r>
      <w:r>
        <w:rPr>
          <w:rFonts w:cs="Calibri"/>
          <w:color w:val="000000"/>
          <w:szCs w:val="21"/>
        </w:rPr>
        <w:t>日</w:t>
      </w:r>
    </w:p>
    <w:p>
      <w:pPr>
        <w:spacing w:after="120" w:afterLines="50" w:line="440" w:lineRule="exact"/>
        <w:rPr>
          <w:rFonts w:cs="Calibri"/>
          <w:color w:val="000000"/>
          <w:szCs w:val="21"/>
          <w:u w:val="single"/>
        </w:rPr>
      </w:pPr>
      <w:r>
        <w:rPr>
          <w:rFonts w:cs="Calibri"/>
          <w:color w:val="000000"/>
          <w:szCs w:val="21"/>
        </w:rPr>
        <w:t>经营期限：</w:t>
      </w:r>
      <w:r>
        <w:rPr>
          <w:rFonts w:cs="Calibri"/>
          <w:color w:val="000000"/>
          <w:szCs w:val="21"/>
          <w:u w:val="single"/>
        </w:rPr>
        <w:t xml:space="preserve">                                     </w:t>
      </w:r>
    </w:p>
    <w:p>
      <w:pPr>
        <w:spacing w:after="120" w:afterLines="50" w:line="440" w:lineRule="exact"/>
        <w:rPr>
          <w:rFonts w:cs="Calibri"/>
          <w:color w:val="000000"/>
          <w:szCs w:val="21"/>
          <w:u w:val="single"/>
        </w:rPr>
      </w:pPr>
      <w:r>
        <w:rPr>
          <w:rFonts w:cs="Calibri"/>
          <w:color w:val="000000"/>
          <w:szCs w:val="21"/>
        </w:rPr>
        <w:t>姓名：</w:t>
      </w:r>
      <w:r>
        <w:rPr>
          <w:rFonts w:cs="Calibri"/>
          <w:color w:val="000000"/>
          <w:szCs w:val="21"/>
          <w:u w:val="single"/>
        </w:rPr>
        <w:t xml:space="preserve">         </w:t>
      </w:r>
      <w:r>
        <w:rPr>
          <w:rFonts w:cs="Calibri"/>
          <w:color w:val="000000"/>
          <w:szCs w:val="21"/>
        </w:rPr>
        <w:t xml:space="preserve">  性别：</w:t>
      </w:r>
      <w:r>
        <w:rPr>
          <w:rFonts w:cs="Calibri"/>
          <w:color w:val="000000"/>
          <w:szCs w:val="21"/>
          <w:u w:val="single"/>
        </w:rPr>
        <w:t xml:space="preserve">         </w:t>
      </w:r>
      <w:r>
        <w:rPr>
          <w:rFonts w:cs="Calibri"/>
          <w:color w:val="000000"/>
          <w:szCs w:val="21"/>
        </w:rPr>
        <w:t xml:space="preserve">  年龄：</w:t>
      </w:r>
      <w:r>
        <w:rPr>
          <w:rFonts w:cs="Calibri"/>
          <w:color w:val="000000"/>
          <w:szCs w:val="21"/>
          <w:u w:val="single"/>
        </w:rPr>
        <w:t xml:space="preserve">         </w:t>
      </w:r>
      <w:r>
        <w:rPr>
          <w:rFonts w:cs="Calibri"/>
          <w:color w:val="000000"/>
          <w:szCs w:val="21"/>
        </w:rPr>
        <w:t xml:space="preserve">  职务：</w:t>
      </w:r>
      <w:r>
        <w:rPr>
          <w:rFonts w:cs="Calibri"/>
          <w:color w:val="000000"/>
          <w:szCs w:val="21"/>
          <w:u w:val="single"/>
        </w:rPr>
        <w:t xml:space="preserve">         </w:t>
      </w:r>
      <w:r>
        <w:rPr>
          <w:rFonts w:cs="Calibri"/>
          <w:color w:val="000000"/>
          <w:szCs w:val="21"/>
        </w:rPr>
        <w:t xml:space="preserve">  </w:t>
      </w:r>
    </w:p>
    <w:p>
      <w:pPr>
        <w:spacing w:after="120" w:afterLines="50" w:line="440" w:lineRule="exact"/>
        <w:rPr>
          <w:rFonts w:cs="Calibri"/>
          <w:color w:val="000000"/>
          <w:szCs w:val="21"/>
          <w:u w:val="single"/>
        </w:rPr>
      </w:pPr>
      <w:r>
        <w:rPr>
          <w:rFonts w:cs="Calibri"/>
          <w:color w:val="000000"/>
          <w:szCs w:val="21"/>
        </w:rPr>
        <w:t>身份证号码：</w:t>
      </w:r>
      <w:r>
        <w:rPr>
          <w:rFonts w:cs="Calibri"/>
          <w:color w:val="000000"/>
          <w:szCs w:val="21"/>
          <w:u w:val="single"/>
        </w:rPr>
        <w:t xml:space="preserve">                           </w:t>
      </w:r>
    </w:p>
    <w:p>
      <w:pPr>
        <w:spacing w:line="440" w:lineRule="exact"/>
        <w:ind w:firstLine="560"/>
        <w:rPr>
          <w:rFonts w:cs="Calibri"/>
          <w:color w:val="000000"/>
          <w:szCs w:val="21"/>
        </w:rPr>
      </w:pPr>
    </w:p>
    <w:p>
      <w:pPr>
        <w:spacing w:line="440" w:lineRule="exact"/>
        <w:rPr>
          <w:rFonts w:cs="Calibri"/>
          <w:color w:val="000000"/>
          <w:szCs w:val="21"/>
        </w:rPr>
      </w:pPr>
      <w:r>
        <w:rPr>
          <w:rFonts w:cs="Calibri"/>
          <w:color w:val="000000"/>
          <w:szCs w:val="21"/>
        </w:rPr>
        <w:t xml:space="preserve">    系</w:t>
      </w:r>
      <w:r>
        <w:rPr>
          <w:rFonts w:cs="Calibri"/>
          <w:color w:val="000000"/>
          <w:szCs w:val="21"/>
          <w:u w:val="single"/>
        </w:rPr>
        <w:t xml:space="preserve">                          </w:t>
      </w:r>
      <w:r>
        <w:rPr>
          <w:rFonts w:cs="Calibri"/>
          <w:color w:val="000000"/>
          <w:szCs w:val="21"/>
        </w:rPr>
        <w:t>（投标人名称）的法定代表人。</w:t>
      </w:r>
    </w:p>
    <w:p>
      <w:pPr>
        <w:spacing w:line="440" w:lineRule="exact"/>
        <w:ind w:firstLine="560"/>
        <w:rPr>
          <w:rFonts w:cs="Calibri"/>
          <w:color w:val="000000"/>
          <w:szCs w:val="21"/>
        </w:rPr>
      </w:pPr>
    </w:p>
    <w:p>
      <w:pPr>
        <w:spacing w:line="440" w:lineRule="exact"/>
        <w:rPr>
          <w:rFonts w:cs="Calibri"/>
          <w:color w:val="000000"/>
          <w:szCs w:val="21"/>
        </w:rPr>
      </w:pPr>
      <w:r>
        <w:rPr>
          <w:rFonts w:cs="Calibri"/>
          <w:color w:val="000000"/>
          <w:szCs w:val="21"/>
        </w:rPr>
        <w:t>特此证明。</w:t>
      </w:r>
    </w:p>
    <w:p>
      <w:pPr>
        <w:spacing w:line="440" w:lineRule="exact"/>
        <w:rPr>
          <w:rFonts w:cs="Calibri"/>
          <w:color w:val="000000"/>
          <w:szCs w:val="21"/>
        </w:rPr>
      </w:pPr>
      <w:r>
        <w:rPr>
          <w:rFonts w:cs="Calibri"/>
          <w:color w:val="000000"/>
          <w:szCs w:val="21"/>
        </w:rPr>
        <w:t>附：法定代表人身份证复印件</w:t>
      </w:r>
    </w:p>
    <w:p>
      <w:pPr>
        <w:spacing w:line="440" w:lineRule="exact"/>
        <w:rPr>
          <w:rFonts w:cs="Calibri"/>
          <w:color w:val="000000"/>
          <w:szCs w:val="21"/>
        </w:rPr>
      </w:pPr>
      <w:r>
        <w:rPr>
          <w:rFonts w:cs="Calibri"/>
          <w:color w:val="000000"/>
          <w:szCs w:val="21"/>
        </w:rPr>
        <w:t xml:space="preserve">投标人：（盖单位章） </w:t>
      </w:r>
    </w:p>
    <w:p>
      <w:pPr>
        <w:spacing w:line="440" w:lineRule="exact"/>
        <w:ind w:firstLine="6216" w:firstLineChars="2960"/>
        <w:rPr>
          <w:rFonts w:cs="Calibri"/>
          <w:b/>
          <w:color w:val="000000"/>
          <w:szCs w:val="21"/>
        </w:rPr>
      </w:pPr>
      <w:r>
        <w:rPr>
          <w:rFonts w:cs="Calibri"/>
          <w:b/>
          <w:color w:val="000000"/>
          <w:szCs w:val="21"/>
          <w:lang/>
        </w:rPr>
        <w:pict>
          <v:shape id="Text Box 6" o:spid="_x0000_s1026" o:spt="202" type="#_x0000_t202" style="position:absolute;left:0pt;margin-left:0pt;margin-top:31.2pt;height:171.6pt;width:423pt;mso-wrap-distance-bottom:0pt;mso-wrap-distance-left:9pt;mso-wrap-distance-right:9pt;mso-wrap-distance-top:0pt;z-index:251658240;mso-width-relative:page;mso-height-relative:page;" coordsize="21600,21600"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">
            <v:path/>
            <v:fill focussize="0,0"/>
            <v:stroke/>
            <v:imagedata o:title=""/>
            <o:lock v:ext="edit"/>
            <v:textbox>
              <w:txbxContent>
                <w:p>
                  <w:pPr>
                    <w:jc w:val="center"/>
                    <w:rPr>
                      <w:sz w:val="30"/>
                      <w:szCs w:val="30"/>
                    </w:rPr>
                  </w:pPr>
                </w:p>
                <w:p>
                  <w:pPr>
                    <w:jc w:val="center"/>
                    <w:rPr>
                      <w:sz w:val="30"/>
                      <w:szCs w:val="30"/>
                    </w:rPr>
                  </w:pPr>
                </w:p>
                <w:p>
                  <w:pPr>
                    <w:jc w:val="center"/>
                    <w:rPr>
                      <w:sz w:val="30"/>
                      <w:szCs w:val="30"/>
                    </w:rPr>
                  </w:pPr>
                </w:p>
                <w:p>
                  <w:pPr>
                    <w:jc w:val="center"/>
                    <w:rPr>
                      <w:sz w:val="30"/>
                      <w:szCs w:val="30"/>
                    </w:rPr>
                  </w:pPr>
                </w:p>
                <w:p>
                  <w:pPr>
                    <w:jc w:val="center"/>
                    <w:rPr>
                      <w:szCs w:val="21"/>
                    </w:rPr>
                  </w:pPr>
                  <w:r>
                    <w:rPr>
                      <w:szCs w:val="21"/>
                    </w:rPr>
                    <w:t>法定代表人</w:t>
                  </w:r>
                  <w:r>
                    <w:rPr>
                      <w:rFonts w:hint="eastAsia"/>
                      <w:szCs w:val="21"/>
                    </w:rPr>
                    <w:t>身份证复印件粘贴处（正、反面）</w:t>
                  </w:r>
                </w:p>
              </w:txbxContent>
            </v:textbox>
            <w10:wrap type="square"/>
          </v:shape>
        </w:pict>
      </w:r>
      <w:r>
        <w:rPr>
          <w:rFonts w:cs="Calibri"/>
          <w:color w:val="000000"/>
          <w:szCs w:val="21"/>
        </w:rPr>
        <w:t>日期：   年    月    日</w:t>
      </w:r>
    </w:p>
    <w:p>
      <w:pPr>
        <w:spacing w:line="440" w:lineRule="exact"/>
        <w:jc w:val="center"/>
        <w:rPr>
          <w:rFonts w:eastAsia="黑体" w:cs="Calibri"/>
          <w:color w:val="000000"/>
          <w:sz w:val="28"/>
          <w:szCs w:val="28"/>
        </w:rPr>
      </w:pPr>
      <w:r>
        <w:rPr>
          <w:rFonts w:cs="Calibri"/>
          <w:color w:val="000000"/>
          <w:szCs w:val="21"/>
        </w:rPr>
        <w:br w:type="page"/>
      </w:r>
      <w:r>
        <w:rPr>
          <w:rFonts w:hint="eastAsia" w:eastAsia="黑体" w:cs="Calibri"/>
          <w:color w:val="000000"/>
          <w:sz w:val="32"/>
          <w:szCs w:val="32"/>
        </w:rPr>
        <w:t>三</w:t>
      </w:r>
      <w:r>
        <w:rPr>
          <w:rFonts w:eastAsia="黑体" w:cs="Calibri"/>
          <w:color w:val="000000"/>
          <w:sz w:val="32"/>
          <w:szCs w:val="32"/>
        </w:rPr>
        <w:t>、授权委托书</w:t>
      </w:r>
    </w:p>
    <w:p>
      <w:pPr>
        <w:spacing w:line="440" w:lineRule="exact"/>
        <w:ind w:firstLine="420" w:firstLineChars="200"/>
        <w:rPr>
          <w:rFonts w:cs="Calibri"/>
          <w:color w:val="000000"/>
          <w:szCs w:val="21"/>
        </w:rPr>
      </w:pPr>
    </w:p>
    <w:p>
      <w:pPr>
        <w:spacing w:line="440" w:lineRule="exact"/>
        <w:ind w:firstLine="440" w:firstLineChars="200"/>
        <w:rPr>
          <w:rFonts w:cs="Calibri"/>
          <w:color w:val="000000"/>
          <w:sz w:val="22"/>
        </w:rPr>
      </w:pPr>
      <w:r>
        <w:rPr>
          <w:rFonts w:cs="Calibri"/>
          <w:color w:val="000000"/>
          <w:sz w:val="22"/>
        </w:rPr>
        <w:t>本人</w:t>
      </w:r>
      <w:r>
        <w:rPr>
          <w:rFonts w:cs="Calibri"/>
          <w:color w:val="000000"/>
          <w:sz w:val="22"/>
          <w:u w:val="single"/>
        </w:rPr>
        <w:t xml:space="preserve">        </w:t>
      </w:r>
      <w:r>
        <w:rPr>
          <w:rFonts w:cs="Calibri"/>
          <w:color w:val="000000"/>
          <w:sz w:val="22"/>
        </w:rPr>
        <w:t>（姓名）系</w:t>
      </w:r>
      <w:r>
        <w:rPr>
          <w:rFonts w:cs="Calibri"/>
          <w:color w:val="000000"/>
          <w:sz w:val="22"/>
          <w:u w:val="single"/>
        </w:rPr>
        <w:t xml:space="preserve">                </w:t>
      </w:r>
      <w:r>
        <w:rPr>
          <w:rFonts w:cs="Calibri"/>
          <w:color w:val="000000"/>
          <w:sz w:val="22"/>
        </w:rPr>
        <w:t>（投标人名称）的法定代表人，现委托</w:t>
      </w:r>
      <w:r>
        <w:rPr>
          <w:rFonts w:cs="Calibri"/>
          <w:color w:val="000000"/>
          <w:sz w:val="22"/>
          <w:u w:val="single"/>
        </w:rPr>
        <w:t xml:space="preserve">      </w:t>
      </w:r>
      <w:r>
        <w:rPr>
          <w:rFonts w:cs="Calibri"/>
          <w:color w:val="000000"/>
          <w:sz w:val="22"/>
        </w:rPr>
        <w:t>（姓名）为我方代理人。代理人根据授权，以我方名义签署、澄清、说明、补正、递交、撤回、修改</w:t>
      </w:r>
      <w:r>
        <w:rPr>
          <w:rFonts w:cs="Calibri"/>
          <w:color w:val="000000"/>
          <w:sz w:val="22"/>
          <w:u w:val="single"/>
        </w:rPr>
        <w:t xml:space="preserve">              </w:t>
      </w:r>
      <w:r>
        <w:rPr>
          <w:rFonts w:cs="Calibri"/>
          <w:color w:val="000000"/>
          <w:sz w:val="22"/>
        </w:rPr>
        <w:t>（项目名称）投标文件、签订合同和处理有关事宜，其法律后果由我方承担。</w:t>
      </w:r>
    </w:p>
    <w:p>
      <w:pPr>
        <w:spacing w:line="440" w:lineRule="exact"/>
        <w:ind w:firstLine="440" w:firstLineChars="200"/>
        <w:rPr>
          <w:rFonts w:cs="Calibri"/>
          <w:color w:val="000000"/>
          <w:sz w:val="22"/>
        </w:rPr>
      </w:pPr>
      <w:r>
        <w:rPr>
          <w:rFonts w:cs="Calibri"/>
          <w:color w:val="000000"/>
          <w:sz w:val="22"/>
        </w:rPr>
        <w:t>代理人无转委托权。</w:t>
      </w:r>
    </w:p>
    <w:p>
      <w:pPr>
        <w:spacing w:line="440" w:lineRule="exact"/>
        <w:ind w:firstLine="440" w:firstLineChars="200"/>
        <w:rPr>
          <w:rFonts w:cs="Calibri"/>
          <w:color w:val="000000"/>
          <w:sz w:val="22"/>
        </w:rPr>
      </w:pPr>
      <w:r>
        <w:rPr>
          <w:rFonts w:cs="Calibri"/>
          <w:color w:val="000000"/>
          <w:sz w:val="22"/>
        </w:rPr>
        <w:t>附：委托代理人身份证复印件</w:t>
      </w:r>
    </w:p>
    <w:p>
      <w:pPr>
        <w:spacing w:line="440" w:lineRule="exact"/>
        <w:rPr>
          <w:rFonts w:cs="Calibri"/>
          <w:color w:val="000000"/>
          <w:szCs w:val="21"/>
        </w:rPr>
      </w:pPr>
    </w:p>
    <w:p>
      <w:pPr>
        <w:spacing w:line="440" w:lineRule="exact"/>
        <w:rPr>
          <w:rFonts w:cs="Calibri"/>
          <w:color w:val="000000"/>
          <w:sz w:val="22"/>
        </w:rPr>
      </w:pPr>
      <w:r>
        <w:rPr>
          <w:rFonts w:cs="Calibri"/>
          <w:color w:val="000000"/>
          <w:sz w:val="22"/>
        </w:rPr>
        <w:t>投标人：（盖单位章）</w:t>
      </w:r>
    </w:p>
    <w:p>
      <w:pPr>
        <w:spacing w:line="440" w:lineRule="exact"/>
        <w:rPr>
          <w:rFonts w:cs="Calibri"/>
          <w:color w:val="000000"/>
          <w:sz w:val="22"/>
        </w:rPr>
      </w:pPr>
      <w:r>
        <w:rPr>
          <w:rFonts w:cs="Calibri"/>
          <w:color w:val="000000"/>
          <w:sz w:val="22"/>
        </w:rPr>
        <w:t>法定代表人：（签字或盖章）</w:t>
      </w:r>
    </w:p>
    <w:p>
      <w:pPr>
        <w:spacing w:line="440" w:lineRule="exact"/>
        <w:rPr>
          <w:rFonts w:cs="Calibri"/>
          <w:color w:val="000000"/>
          <w:sz w:val="22"/>
        </w:rPr>
      </w:pPr>
      <w:r>
        <w:rPr>
          <w:rFonts w:cs="Calibri"/>
          <w:color w:val="000000"/>
          <w:sz w:val="22"/>
        </w:rPr>
        <w:t>身份证号码：</w:t>
      </w:r>
    </w:p>
    <w:p>
      <w:pPr>
        <w:spacing w:line="440" w:lineRule="exact"/>
        <w:rPr>
          <w:rFonts w:cs="Calibri"/>
          <w:color w:val="000000"/>
          <w:sz w:val="22"/>
        </w:rPr>
      </w:pPr>
    </w:p>
    <w:p>
      <w:pPr>
        <w:spacing w:line="440" w:lineRule="exact"/>
        <w:rPr>
          <w:rFonts w:cs="Calibri"/>
          <w:color w:val="000000"/>
          <w:sz w:val="22"/>
        </w:rPr>
      </w:pPr>
      <w:r>
        <w:rPr>
          <w:rFonts w:cs="Calibri"/>
          <w:color w:val="000000"/>
          <w:sz w:val="22"/>
        </w:rPr>
        <w:t>委托的代理人：（签字或盖章）</w:t>
      </w:r>
    </w:p>
    <w:p>
      <w:pPr>
        <w:spacing w:line="440" w:lineRule="exact"/>
        <w:rPr>
          <w:rFonts w:cs="Calibri"/>
          <w:color w:val="000000"/>
          <w:sz w:val="22"/>
        </w:rPr>
      </w:pPr>
      <w:r>
        <w:rPr>
          <w:rFonts w:cs="Calibri"/>
          <w:color w:val="000000"/>
          <w:sz w:val="22"/>
        </w:rPr>
        <w:t>身份证号码：</w:t>
      </w:r>
    </w:p>
    <w:p>
      <w:pPr>
        <w:spacing w:line="440" w:lineRule="exact"/>
        <w:rPr>
          <w:rFonts w:cs="Calibri"/>
          <w:color w:val="000000"/>
          <w:szCs w:val="21"/>
        </w:rPr>
      </w:pPr>
      <w:r>
        <w:rPr>
          <w:rFonts w:cs="Calibri"/>
          <w:color w:val="000000"/>
          <w:szCs w:val="21"/>
        </w:rPr>
        <w:t>日期：</w:t>
      </w:r>
      <w:r>
        <w:rPr>
          <w:rFonts w:cs="Calibri"/>
          <w:color w:val="000000"/>
          <w:szCs w:val="21"/>
          <w:u w:val="single"/>
        </w:rPr>
        <w:t xml:space="preserve">      </w:t>
      </w:r>
      <w:r>
        <w:rPr>
          <w:rFonts w:cs="Calibri"/>
          <w:color w:val="000000"/>
          <w:szCs w:val="21"/>
        </w:rPr>
        <w:t>年</w:t>
      </w:r>
      <w:r>
        <w:rPr>
          <w:rFonts w:cs="Calibri"/>
          <w:color w:val="000000"/>
          <w:szCs w:val="21"/>
          <w:u w:val="single"/>
        </w:rPr>
        <w:t xml:space="preserve">      </w:t>
      </w:r>
      <w:r>
        <w:rPr>
          <w:rFonts w:cs="Calibri"/>
          <w:color w:val="000000"/>
          <w:szCs w:val="21"/>
        </w:rPr>
        <w:t>月</w:t>
      </w:r>
      <w:r>
        <w:rPr>
          <w:rFonts w:cs="Calibri"/>
          <w:color w:val="000000"/>
          <w:szCs w:val="21"/>
          <w:u w:val="single"/>
        </w:rPr>
        <w:t xml:space="preserve">      </w:t>
      </w:r>
      <w:r>
        <w:rPr>
          <w:rFonts w:cs="Calibri"/>
          <w:color w:val="000000"/>
          <w:szCs w:val="21"/>
        </w:rPr>
        <w:t>日</w:t>
      </w:r>
    </w:p>
    <w:p>
      <w:pPr>
        <w:snapToGrid w:val="0"/>
        <w:spacing w:line="440" w:lineRule="exact"/>
        <w:rPr>
          <w:rFonts w:cs="Calibri"/>
          <w:color w:val="000000"/>
          <w:szCs w:val="21"/>
        </w:rPr>
      </w:pPr>
      <w:r>
        <w:rPr>
          <w:rFonts w:cs="Calibri"/>
          <w:b/>
          <w:color w:val="000000"/>
          <w:szCs w:val="21"/>
          <w:lang/>
        </w:rPr>
        <w:pict>
          <v:shape id="Text Box 7" o:spid="_x0000_s1027" o:spt="202" type="#_x0000_t202" style="position:absolute;left:0pt;margin-left:9.15pt;margin-top:20.8pt;height:171.6pt;width:423pt;mso-wrap-distance-bottom:0pt;mso-wrap-distance-left:9pt;mso-wrap-distance-right:9pt;mso-wrap-distance-top:0pt;z-index:251659264;mso-width-relative:page;mso-height-relative:page;" coordsize="21600,21600"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">
            <v:path/>
            <v:fill focussize="0,0"/>
            <v:stroke/>
            <v:imagedata o:title=""/>
            <o:lock v:ext="edit"/>
            <v:textbox>
              <w:txbxContent>
                <w:p>
                  <w:pPr>
                    <w:jc w:val="center"/>
                    <w:rPr>
                      <w:sz w:val="30"/>
                      <w:szCs w:val="30"/>
                    </w:rPr>
                  </w:pPr>
                </w:p>
                <w:p>
                  <w:pPr>
                    <w:jc w:val="center"/>
                    <w:rPr>
                      <w:sz w:val="30"/>
                      <w:szCs w:val="30"/>
                    </w:rPr>
                  </w:pPr>
                </w:p>
                <w:p>
                  <w:pPr>
                    <w:jc w:val="center"/>
                    <w:rPr>
                      <w:sz w:val="30"/>
                      <w:szCs w:val="30"/>
                    </w:rPr>
                  </w:pPr>
                </w:p>
                <w:p>
                  <w:pPr>
                    <w:jc w:val="center"/>
                    <w:rPr>
                      <w:sz w:val="30"/>
                      <w:szCs w:val="30"/>
                    </w:rPr>
                  </w:pPr>
                </w:p>
                <w:p>
                  <w:pPr>
                    <w:jc w:val="center"/>
                    <w:rPr>
                      <w:sz w:val="28"/>
                      <w:szCs w:val="28"/>
                    </w:rPr>
                  </w:pPr>
                  <w:r>
                    <w:rPr>
                      <w:rFonts w:hint="eastAsia"/>
                      <w:szCs w:val="21"/>
                    </w:rPr>
                    <w:t>委托代理人身份证复印件粘贴处（正、反面）</w:t>
                  </w:r>
                </w:p>
              </w:txbxContent>
            </v:textbox>
            <w10:wrap type="square"/>
          </v:shape>
        </w:pict>
      </w:r>
      <w:r>
        <w:rPr>
          <w:rFonts w:cs="Calibri"/>
          <w:color w:val="000000"/>
          <w:szCs w:val="21"/>
        </w:rPr>
        <w:t xml:space="preserve">                                  </w:t>
      </w:r>
    </w:p>
    <w:p>
      <w:pPr>
        <w:spacing w:line="440" w:lineRule="exact"/>
        <w:rPr>
          <w:rFonts w:cs="Calibri"/>
          <w:b/>
          <w:bCs/>
          <w:color w:val="000000"/>
          <w:szCs w:val="21"/>
        </w:rPr>
      </w:pPr>
      <w:r>
        <w:rPr>
          <w:rFonts w:cs="Calibri"/>
          <w:b/>
          <w:bCs/>
          <w:color w:val="000000"/>
          <w:szCs w:val="21"/>
        </w:rPr>
        <w:t xml:space="preserve">  </w:t>
      </w:r>
    </w:p>
    <w:p>
      <w:pPr>
        <w:spacing w:line="440" w:lineRule="exact"/>
        <w:rPr>
          <w:rFonts w:cs="Calibri"/>
          <w:b/>
          <w:bCs/>
          <w:color w:val="000000"/>
          <w:szCs w:val="21"/>
        </w:rPr>
      </w:pPr>
    </w:p>
    <w:p>
      <w:pPr>
        <w:spacing w:line="440" w:lineRule="exact"/>
        <w:rPr>
          <w:rFonts w:cs="Calibri"/>
          <w:color w:val="000000"/>
          <w:szCs w:val="21"/>
        </w:rPr>
      </w:pPr>
    </w:p>
    <w:p>
      <w:pPr>
        <w:spacing w:line="440" w:lineRule="exact"/>
        <w:rPr>
          <w:rFonts w:cs="Calibri"/>
          <w:color w:val="000000"/>
          <w:szCs w:val="21"/>
        </w:rPr>
      </w:pPr>
    </w:p>
    <w:p>
      <w:pPr>
        <w:spacing w:line="440" w:lineRule="exact"/>
        <w:rPr>
          <w:rFonts w:cs="Calibri"/>
          <w:color w:val="000000"/>
          <w:szCs w:val="21"/>
        </w:rPr>
      </w:pPr>
    </w:p>
    <w:p>
      <w:pPr>
        <w:spacing w:line="440" w:lineRule="exact"/>
        <w:rPr>
          <w:rFonts w:cs="Calibri"/>
          <w:color w:val="000000"/>
          <w:szCs w:val="21"/>
        </w:rPr>
      </w:pPr>
    </w:p>
    <w:p>
      <w:pPr>
        <w:spacing w:line="440" w:lineRule="exact"/>
        <w:rPr>
          <w:rFonts w:cs="Calibri"/>
          <w:color w:val="000000"/>
          <w:szCs w:val="21"/>
        </w:rPr>
      </w:pPr>
    </w:p>
    <w:p>
      <w:pPr>
        <w:spacing w:line="440" w:lineRule="exact"/>
        <w:rPr>
          <w:rFonts w:cs="Calibri"/>
          <w:color w:val="000000"/>
          <w:szCs w:val="21"/>
        </w:rPr>
      </w:pPr>
    </w:p>
    <w:p>
      <w:pPr>
        <w:spacing w:line="440" w:lineRule="exact"/>
        <w:rPr>
          <w:rFonts w:cs="Calibri"/>
          <w:b/>
          <w:bCs/>
          <w:color w:val="000000"/>
          <w:szCs w:val="21"/>
        </w:rPr>
      </w:pPr>
      <w:r>
        <w:rPr>
          <w:rFonts w:cs="Calibri"/>
          <w:color w:val="000000"/>
          <w:szCs w:val="21"/>
        </w:rPr>
        <w:t>注：如投标文件由委托代理人签字或盖章的，投标文件必须附此授权委托书。</w:t>
      </w:r>
      <w:r>
        <w:rPr>
          <w:rFonts w:cs="Calibri"/>
          <w:b/>
          <w:bCs/>
          <w:color w:val="000000"/>
          <w:szCs w:val="21"/>
        </w:rPr>
        <w:t xml:space="preserve">     </w:t>
      </w:r>
    </w:p>
    <w:p>
      <w:pPr>
        <w:spacing w:line="440" w:lineRule="exact"/>
        <w:rPr>
          <w:rFonts w:cs="Calibri"/>
          <w:b/>
          <w:bCs/>
          <w:color w:val="000000"/>
          <w:szCs w:val="21"/>
        </w:rPr>
      </w:pPr>
    </w:p>
    <w:p>
      <w:pPr>
        <w:widowControl/>
        <w:jc w:val="left"/>
        <w:rPr>
          <w:rFonts w:cs="Calibri"/>
          <w:b/>
          <w:bCs/>
          <w:color w:val="000000"/>
          <w:sz w:val="32"/>
        </w:rPr>
      </w:pPr>
    </w:p>
    <w:p>
      <w:pPr>
        <w:widowControl/>
        <w:jc w:val="left"/>
        <w:rPr>
          <w:rFonts w:cs="Calibri"/>
          <w:b/>
          <w:bCs/>
          <w:color w:val="000000"/>
          <w:sz w:val="32"/>
        </w:rPr>
      </w:pPr>
    </w:p>
    <w:p>
      <w:pPr>
        <w:widowControl/>
        <w:jc w:val="left"/>
        <w:rPr>
          <w:rFonts w:cs="Calibri"/>
          <w:b/>
          <w:bCs/>
          <w:color w:val="000000"/>
          <w:sz w:val="32"/>
        </w:rPr>
      </w:pPr>
    </w:p>
    <w:p>
      <w:pPr>
        <w:widowControl/>
        <w:jc w:val="left"/>
        <w:rPr>
          <w:rFonts w:cs="Calibri"/>
          <w:b/>
          <w:bCs/>
          <w:color w:val="000000"/>
          <w:sz w:val="32"/>
        </w:rPr>
      </w:pPr>
    </w:p>
    <w:p>
      <w:pPr>
        <w:widowControl/>
        <w:jc w:val="left"/>
        <w:rPr>
          <w:rFonts w:cs="Calibri"/>
          <w:b/>
          <w:bCs/>
          <w:color w:val="000000"/>
          <w:sz w:val="32"/>
        </w:rPr>
      </w:pPr>
    </w:p>
    <w:p>
      <w:pPr>
        <w:widowControl/>
        <w:jc w:val="left"/>
        <w:rPr>
          <w:rFonts w:hint="eastAsia" w:cs="Calibri"/>
          <w:b/>
          <w:bCs/>
          <w:color w:val="000000"/>
          <w:sz w:val="32"/>
        </w:rPr>
      </w:pPr>
    </w:p>
    <w:p>
      <w:pPr>
        <w:spacing w:line="440" w:lineRule="exact"/>
        <w:rPr>
          <w:rFonts w:cs="Calibri"/>
          <w:b/>
          <w:bCs/>
          <w:color w:val="000000"/>
          <w:sz w:val="32"/>
        </w:rPr>
      </w:pPr>
    </w:p>
    <w:p>
      <w:pPr>
        <w:spacing w:line="440" w:lineRule="exact"/>
        <w:jc w:val="center"/>
        <w:rPr>
          <w:rFonts w:eastAsia="黑体" w:cs="Calibri"/>
          <w:color w:val="000000"/>
          <w:sz w:val="32"/>
          <w:szCs w:val="32"/>
        </w:rPr>
      </w:pPr>
      <w:r>
        <w:rPr>
          <w:rFonts w:hint="eastAsia" w:eastAsia="黑体" w:cs="Calibri"/>
          <w:color w:val="000000"/>
          <w:sz w:val="32"/>
          <w:szCs w:val="32"/>
        </w:rPr>
        <w:t>四</w:t>
      </w:r>
      <w:r>
        <w:rPr>
          <w:rFonts w:eastAsia="黑体" w:cs="Calibri"/>
          <w:color w:val="000000"/>
          <w:sz w:val="32"/>
          <w:szCs w:val="32"/>
        </w:rPr>
        <w:t>、投标人资格证明文件</w:t>
      </w:r>
    </w:p>
    <w:p>
      <w:pPr>
        <w:spacing w:line="440" w:lineRule="exact"/>
        <w:jc w:val="center"/>
        <w:rPr>
          <w:rFonts w:eastAsia="黑体" w:cs="Calibri"/>
          <w:color w:val="000000"/>
          <w:sz w:val="32"/>
          <w:szCs w:val="32"/>
        </w:rPr>
      </w:pPr>
    </w:p>
    <w:p>
      <w:pPr>
        <w:spacing w:line="440" w:lineRule="exact"/>
        <w:jc w:val="center"/>
        <w:rPr>
          <w:rFonts w:eastAsia="黑体" w:cs="Calibri"/>
          <w:color w:val="000000"/>
          <w:sz w:val="32"/>
          <w:szCs w:val="32"/>
        </w:rPr>
      </w:pPr>
      <w:r>
        <w:rPr>
          <w:rFonts w:eastAsia="黑体" w:cs="Calibri"/>
          <w:color w:val="000000"/>
          <w:sz w:val="32"/>
          <w:szCs w:val="32"/>
        </w:rPr>
        <w:t>（一）投标人一般情况</w:t>
      </w:r>
    </w:p>
    <w:tbl>
      <w:tblPr>
        <w:tblStyle w:val="53"/>
        <w:tblW w:w="9360" w:type="dxa"/>
        <w:jc w:val="center"/>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980"/>
        <w:gridCol w:w="1030"/>
        <w:gridCol w:w="215"/>
        <w:gridCol w:w="1011"/>
        <w:gridCol w:w="360"/>
        <w:gridCol w:w="709"/>
        <w:gridCol w:w="95"/>
        <w:gridCol w:w="620"/>
        <w:gridCol w:w="215"/>
        <w:gridCol w:w="771"/>
        <w:gridCol w:w="126"/>
        <w:gridCol w:w="1008"/>
        <w:gridCol w:w="30"/>
        <w:gridCol w:w="1190"/>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454" w:hRule="atLeast"/>
          <w:jc w:val="center"/>
        </w:trPr>
        <w:tc>
          <w:tcPr>
            <w:tcW w:w="1980" w:type="dxa"/>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rPr>
            </w:pPr>
            <w:r>
              <w:rPr>
                <w:rFonts w:cs="Calibri"/>
                <w:szCs w:val="21"/>
              </w:rPr>
              <w:t>企业名称</w:t>
            </w:r>
          </w:p>
        </w:tc>
        <w:tc>
          <w:tcPr>
            <w:tcW w:w="7380" w:type="dxa"/>
            <w:gridSpan w:val="13"/>
            <w:tcBorders>
              <w:top w:val="single" w:color="auto" w:sz="4" w:space="0"/>
              <w:left w:val="single" w:color="auto" w:sz="4" w:space="0"/>
              <w:bottom w:val="single" w:color="auto" w:sz="4" w:space="0"/>
              <w:right w:val="single" w:color="auto" w:sz="4" w:space="0"/>
            </w:tcBorders>
            <w:vAlign w:val="center"/>
          </w:tcPr>
          <w:p>
            <w:pPr>
              <w:snapToGrid w:val="0"/>
              <w:rPr>
                <w:rFonts w:cs="Calibri"/>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454" w:hRule="atLeast"/>
          <w:jc w:val="center"/>
        </w:trPr>
        <w:tc>
          <w:tcPr>
            <w:tcW w:w="1980" w:type="dxa"/>
            <w:vMerge w:val="restart"/>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rPr>
            </w:pPr>
            <w:r>
              <w:rPr>
                <w:rFonts w:cs="Calibri"/>
                <w:szCs w:val="21"/>
              </w:rPr>
              <w:t>企业地址</w:t>
            </w:r>
          </w:p>
        </w:tc>
        <w:tc>
          <w:tcPr>
            <w:tcW w:w="7380" w:type="dxa"/>
            <w:gridSpan w:val="13"/>
            <w:tcBorders>
              <w:top w:val="single" w:color="auto" w:sz="4" w:space="0"/>
              <w:left w:val="single" w:color="auto" w:sz="4" w:space="0"/>
              <w:bottom w:val="single" w:color="auto" w:sz="4" w:space="0"/>
              <w:right w:val="single" w:color="auto" w:sz="4" w:space="0"/>
            </w:tcBorders>
            <w:vAlign w:val="center"/>
          </w:tcPr>
          <w:p>
            <w:pPr>
              <w:snapToGrid w:val="0"/>
              <w:rPr>
                <w:rFonts w:cs="Calibri"/>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454" w:hRule="atLeast"/>
          <w:jc w:val="center"/>
        </w:trPr>
        <w:tc>
          <w:tcPr>
            <w:tcW w:w="1980" w:type="dxa"/>
            <w:vMerge w:val="continue"/>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rPr>
            </w:pPr>
          </w:p>
        </w:tc>
        <w:tc>
          <w:tcPr>
            <w:tcW w:w="1030" w:type="dxa"/>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rPr>
            </w:pPr>
            <w:r>
              <w:rPr>
                <w:rFonts w:cs="Calibri"/>
                <w:szCs w:val="21"/>
              </w:rPr>
              <w:t>电话</w:t>
            </w:r>
          </w:p>
        </w:tc>
        <w:tc>
          <w:tcPr>
            <w:tcW w:w="3010" w:type="dxa"/>
            <w:gridSpan w:val="6"/>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rPr>
            </w:pPr>
          </w:p>
        </w:tc>
        <w:tc>
          <w:tcPr>
            <w:tcW w:w="1112" w:type="dxa"/>
            <w:gridSpan w:val="3"/>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rPr>
            </w:pPr>
            <w:r>
              <w:rPr>
                <w:rFonts w:cs="Calibri"/>
                <w:szCs w:val="21"/>
              </w:rPr>
              <w:t>传真</w:t>
            </w:r>
          </w:p>
        </w:tc>
        <w:tc>
          <w:tcPr>
            <w:tcW w:w="2228" w:type="dxa"/>
            <w:gridSpan w:val="3"/>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454" w:hRule="atLeast"/>
          <w:jc w:val="center"/>
        </w:trPr>
        <w:tc>
          <w:tcPr>
            <w:tcW w:w="1980" w:type="dxa"/>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rPr>
            </w:pPr>
            <w:r>
              <w:rPr>
                <w:rFonts w:cs="Calibri"/>
                <w:szCs w:val="21"/>
              </w:rPr>
              <w:t>企业成立年份</w:t>
            </w:r>
          </w:p>
        </w:tc>
        <w:tc>
          <w:tcPr>
            <w:tcW w:w="7380" w:type="dxa"/>
            <w:gridSpan w:val="13"/>
            <w:tcBorders>
              <w:top w:val="single" w:color="auto" w:sz="4" w:space="0"/>
              <w:left w:val="single" w:color="auto" w:sz="4" w:space="0"/>
              <w:bottom w:val="single" w:color="auto" w:sz="4" w:space="0"/>
              <w:right w:val="single" w:color="auto" w:sz="4" w:space="0"/>
            </w:tcBorders>
            <w:vAlign w:val="center"/>
          </w:tcPr>
          <w:p>
            <w:pPr>
              <w:snapToGrid w:val="0"/>
              <w:rPr>
                <w:rFonts w:cs="Calibri"/>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454" w:hRule="atLeast"/>
          <w:jc w:val="center"/>
        </w:trPr>
        <w:tc>
          <w:tcPr>
            <w:tcW w:w="1980" w:type="dxa"/>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rPr>
            </w:pPr>
            <w:r>
              <w:rPr>
                <w:rFonts w:cs="Calibri"/>
                <w:szCs w:val="21"/>
              </w:rPr>
              <w:t>企业性质</w:t>
            </w:r>
          </w:p>
        </w:tc>
        <w:tc>
          <w:tcPr>
            <w:tcW w:w="2256" w:type="dxa"/>
            <w:gridSpan w:val="3"/>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rPr>
            </w:pPr>
          </w:p>
        </w:tc>
        <w:tc>
          <w:tcPr>
            <w:tcW w:w="1999" w:type="dxa"/>
            <w:gridSpan w:val="5"/>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rPr>
            </w:pPr>
            <w:r>
              <w:rPr>
                <w:rFonts w:cs="Calibri"/>
                <w:szCs w:val="21"/>
              </w:rPr>
              <w:t>上级主管部门</w:t>
            </w:r>
          </w:p>
        </w:tc>
        <w:tc>
          <w:tcPr>
            <w:tcW w:w="3125" w:type="dxa"/>
            <w:gridSpan w:val="5"/>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454" w:hRule="atLeast"/>
          <w:jc w:val="center"/>
        </w:trPr>
        <w:tc>
          <w:tcPr>
            <w:tcW w:w="1980" w:type="dxa"/>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rPr>
            </w:pPr>
            <w:r>
              <w:rPr>
                <w:rFonts w:cs="Calibri"/>
                <w:szCs w:val="21"/>
              </w:rPr>
              <w:t>企业法人</w:t>
            </w:r>
          </w:p>
        </w:tc>
        <w:tc>
          <w:tcPr>
            <w:tcW w:w="1245" w:type="dxa"/>
            <w:gridSpan w:val="2"/>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rPr>
            </w:pPr>
          </w:p>
        </w:tc>
        <w:tc>
          <w:tcPr>
            <w:tcW w:w="1011" w:type="dxa"/>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rPr>
            </w:pPr>
            <w:r>
              <w:rPr>
                <w:rFonts w:cs="Calibri"/>
                <w:szCs w:val="21"/>
              </w:rPr>
              <w:t>职务</w:t>
            </w:r>
          </w:p>
        </w:tc>
        <w:tc>
          <w:tcPr>
            <w:tcW w:w="1999" w:type="dxa"/>
            <w:gridSpan w:val="5"/>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rPr>
            </w:pPr>
          </w:p>
        </w:tc>
        <w:tc>
          <w:tcPr>
            <w:tcW w:w="897" w:type="dxa"/>
            <w:gridSpan w:val="2"/>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rPr>
            </w:pPr>
            <w:r>
              <w:rPr>
                <w:rFonts w:cs="Calibri"/>
                <w:szCs w:val="21"/>
              </w:rPr>
              <w:t>职称</w:t>
            </w:r>
          </w:p>
        </w:tc>
        <w:tc>
          <w:tcPr>
            <w:tcW w:w="2228" w:type="dxa"/>
            <w:gridSpan w:val="3"/>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454" w:hRule="atLeast"/>
          <w:jc w:val="center"/>
        </w:trPr>
        <w:tc>
          <w:tcPr>
            <w:tcW w:w="1980" w:type="dxa"/>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rPr>
            </w:pPr>
            <w:r>
              <w:rPr>
                <w:rFonts w:cs="Calibri"/>
                <w:szCs w:val="21"/>
              </w:rPr>
              <w:t>企业技术</w:t>
            </w:r>
          </w:p>
          <w:p>
            <w:pPr>
              <w:snapToGrid w:val="0"/>
              <w:jc w:val="center"/>
              <w:rPr>
                <w:rFonts w:cs="Calibri"/>
                <w:szCs w:val="21"/>
              </w:rPr>
            </w:pPr>
            <w:r>
              <w:rPr>
                <w:rFonts w:cs="Calibri"/>
                <w:szCs w:val="21"/>
              </w:rPr>
              <w:t>负责人</w:t>
            </w:r>
          </w:p>
        </w:tc>
        <w:tc>
          <w:tcPr>
            <w:tcW w:w="1245" w:type="dxa"/>
            <w:gridSpan w:val="2"/>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rPr>
            </w:pPr>
          </w:p>
        </w:tc>
        <w:tc>
          <w:tcPr>
            <w:tcW w:w="1011" w:type="dxa"/>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rPr>
            </w:pPr>
            <w:r>
              <w:rPr>
                <w:rFonts w:cs="Calibri"/>
                <w:szCs w:val="21"/>
              </w:rPr>
              <w:t>职务</w:t>
            </w:r>
          </w:p>
        </w:tc>
        <w:tc>
          <w:tcPr>
            <w:tcW w:w="1999" w:type="dxa"/>
            <w:gridSpan w:val="5"/>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rPr>
            </w:pPr>
          </w:p>
        </w:tc>
        <w:tc>
          <w:tcPr>
            <w:tcW w:w="897" w:type="dxa"/>
            <w:gridSpan w:val="2"/>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rPr>
            </w:pPr>
            <w:r>
              <w:rPr>
                <w:rFonts w:cs="Calibri"/>
                <w:szCs w:val="21"/>
              </w:rPr>
              <w:t>职称</w:t>
            </w:r>
          </w:p>
        </w:tc>
        <w:tc>
          <w:tcPr>
            <w:tcW w:w="2228" w:type="dxa"/>
            <w:gridSpan w:val="3"/>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454" w:hRule="atLeast"/>
          <w:jc w:val="center"/>
        </w:trPr>
        <w:tc>
          <w:tcPr>
            <w:tcW w:w="1980" w:type="dxa"/>
            <w:vMerge w:val="restart"/>
            <w:tcBorders>
              <w:top w:val="single" w:color="auto" w:sz="4" w:space="0"/>
              <w:left w:val="single" w:color="auto" w:sz="4" w:space="0"/>
              <w:bottom w:val="single" w:color="auto" w:sz="4" w:space="0"/>
              <w:right w:val="single" w:color="auto" w:sz="4" w:space="0"/>
            </w:tcBorders>
            <w:vAlign w:val="top"/>
          </w:tcPr>
          <w:p>
            <w:pPr>
              <w:snapToGrid w:val="0"/>
              <w:jc w:val="center"/>
              <w:rPr>
                <w:rFonts w:cs="Calibri"/>
                <w:szCs w:val="21"/>
              </w:rPr>
            </w:pPr>
          </w:p>
          <w:p>
            <w:pPr>
              <w:snapToGrid w:val="0"/>
              <w:ind w:firstLine="210" w:firstLineChars="100"/>
              <w:jc w:val="center"/>
              <w:rPr>
                <w:rFonts w:cs="Calibri"/>
                <w:szCs w:val="21"/>
              </w:rPr>
            </w:pPr>
            <w:r>
              <w:rPr>
                <w:rFonts w:cs="Calibri"/>
                <w:szCs w:val="21"/>
              </w:rPr>
              <w:t>企业编制人数</w:t>
            </w:r>
          </w:p>
        </w:tc>
        <w:tc>
          <w:tcPr>
            <w:tcW w:w="3420" w:type="dxa"/>
            <w:gridSpan w:val="6"/>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rPr>
            </w:pPr>
            <w:r>
              <w:rPr>
                <w:rFonts w:cs="Calibri"/>
                <w:szCs w:val="21"/>
              </w:rPr>
              <w:t>在册人数</w:t>
            </w:r>
          </w:p>
        </w:tc>
        <w:tc>
          <w:tcPr>
            <w:tcW w:w="3960" w:type="dxa"/>
            <w:gridSpan w:val="7"/>
            <w:tcBorders>
              <w:top w:val="single" w:color="auto" w:sz="4" w:space="0"/>
              <w:left w:val="single" w:color="auto" w:sz="4" w:space="0"/>
              <w:bottom w:val="single" w:color="auto" w:sz="4" w:space="0"/>
              <w:right w:val="single" w:color="auto" w:sz="4" w:space="0"/>
            </w:tcBorders>
            <w:vAlign w:val="top"/>
          </w:tcPr>
          <w:p>
            <w:pPr>
              <w:snapToGrid w:val="0"/>
              <w:jc w:val="center"/>
              <w:rPr>
                <w:rFonts w:cs="Calibri"/>
                <w:szCs w:val="21"/>
              </w:rPr>
            </w:pPr>
            <w:r>
              <w:rPr>
                <w:rFonts w:cs="Calibri"/>
                <w:szCs w:val="21"/>
              </w:rPr>
              <w:t xml:space="preserve"> </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454" w:hRule="atLeast"/>
          <w:jc w:val="center"/>
        </w:trPr>
        <w:tc>
          <w:tcPr>
            <w:tcW w:w="1980" w:type="dxa"/>
            <w:vMerge w:val="continue"/>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rPr>
            </w:pPr>
          </w:p>
        </w:tc>
        <w:tc>
          <w:tcPr>
            <w:tcW w:w="3420" w:type="dxa"/>
            <w:gridSpan w:val="6"/>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rPr>
            </w:pPr>
            <w:r>
              <w:rPr>
                <w:rFonts w:cs="Calibri"/>
                <w:szCs w:val="21"/>
              </w:rPr>
              <w:t>高级职称（其中注册人员）</w:t>
            </w:r>
          </w:p>
        </w:tc>
        <w:tc>
          <w:tcPr>
            <w:tcW w:w="3960" w:type="dxa"/>
            <w:gridSpan w:val="7"/>
            <w:tcBorders>
              <w:top w:val="single" w:color="auto" w:sz="4" w:space="0"/>
              <w:left w:val="single" w:color="auto" w:sz="4" w:space="0"/>
              <w:bottom w:val="single" w:color="auto" w:sz="4" w:space="0"/>
              <w:right w:val="single" w:color="auto" w:sz="4" w:space="0"/>
            </w:tcBorders>
            <w:vAlign w:val="top"/>
          </w:tcPr>
          <w:p>
            <w:pPr>
              <w:snapToGrid w:val="0"/>
              <w:jc w:val="center"/>
              <w:rPr>
                <w:rFonts w:cs="Calibri"/>
                <w:szCs w:val="21"/>
              </w:rPr>
            </w:pPr>
            <w:r>
              <w:rPr>
                <w:rFonts w:cs="Calibri"/>
                <w:szCs w:val="21"/>
              </w:rPr>
              <w:t xml:space="preserve"> </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454" w:hRule="atLeast"/>
          <w:jc w:val="center"/>
        </w:trPr>
        <w:tc>
          <w:tcPr>
            <w:tcW w:w="1980" w:type="dxa"/>
            <w:vMerge w:val="continue"/>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rPr>
            </w:pPr>
          </w:p>
        </w:tc>
        <w:tc>
          <w:tcPr>
            <w:tcW w:w="3420" w:type="dxa"/>
            <w:gridSpan w:val="6"/>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rPr>
            </w:pPr>
            <w:r>
              <w:rPr>
                <w:rFonts w:cs="Calibri"/>
                <w:szCs w:val="21"/>
              </w:rPr>
              <w:t>中级职称（其中注册人员）</w:t>
            </w:r>
          </w:p>
        </w:tc>
        <w:tc>
          <w:tcPr>
            <w:tcW w:w="3960" w:type="dxa"/>
            <w:gridSpan w:val="7"/>
            <w:tcBorders>
              <w:top w:val="single" w:color="auto" w:sz="4" w:space="0"/>
              <w:left w:val="single" w:color="auto" w:sz="4" w:space="0"/>
              <w:bottom w:val="single" w:color="auto" w:sz="4" w:space="0"/>
              <w:right w:val="single" w:color="auto" w:sz="4" w:space="0"/>
            </w:tcBorders>
            <w:vAlign w:val="top"/>
          </w:tcPr>
          <w:p>
            <w:pPr>
              <w:snapToGrid w:val="0"/>
              <w:jc w:val="center"/>
              <w:rPr>
                <w:rFonts w:cs="Calibri"/>
                <w:szCs w:val="21"/>
              </w:rPr>
            </w:pPr>
            <w:r>
              <w:rPr>
                <w:rFonts w:cs="Calibri"/>
                <w:szCs w:val="21"/>
              </w:rPr>
              <w:t xml:space="preserve"> </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454" w:hRule="atLeast"/>
          <w:jc w:val="center"/>
        </w:trPr>
        <w:tc>
          <w:tcPr>
            <w:tcW w:w="1980" w:type="dxa"/>
            <w:vMerge w:val="continue"/>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rPr>
            </w:pPr>
          </w:p>
        </w:tc>
        <w:tc>
          <w:tcPr>
            <w:tcW w:w="3420" w:type="dxa"/>
            <w:gridSpan w:val="6"/>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rPr>
            </w:pPr>
            <w:r>
              <w:rPr>
                <w:rFonts w:cs="Calibri"/>
                <w:szCs w:val="21"/>
              </w:rPr>
              <w:t>初级职称</w:t>
            </w:r>
          </w:p>
        </w:tc>
        <w:tc>
          <w:tcPr>
            <w:tcW w:w="3960" w:type="dxa"/>
            <w:gridSpan w:val="7"/>
            <w:tcBorders>
              <w:top w:val="single" w:color="auto" w:sz="4" w:space="0"/>
              <w:left w:val="single" w:color="auto" w:sz="4" w:space="0"/>
              <w:bottom w:val="single" w:color="auto" w:sz="4" w:space="0"/>
              <w:right w:val="single" w:color="auto" w:sz="4" w:space="0"/>
            </w:tcBorders>
            <w:vAlign w:val="top"/>
          </w:tcPr>
          <w:p>
            <w:pPr>
              <w:snapToGrid w:val="0"/>
              <w:jc w:val="center"/>
              <w:rPr>
                <w:rFonts w:cs="Calibri"/>
                <w:szCs w:val="21"/>
              </w:rPr>
            </w:pPr>
            <w:r>
              <w:rPr>
                <w:rFonts w:cs="Calibri"/>
                <w:szCs w:val="21"/>
              </w:rPr>
              <w:t xml:space="preserve"> </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454" w:hRule="atLeast"/>
          <w:jc w:val="center"/>
        </w:trPr>
        <w:tc>
          <w:tcPr>
            <w:tcW w:w="1980" w:type="dxa"/>
            <w:vMerge w:val="restart"/>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rPr>
            </w:pPr>
          </w:p>
          <w:p>
            <w:pPr>
              <w:snapToGrid w:val="0"/>
              <w:ind w:firstLine="210" w:firstLineChars="100"/>
              <w:jc w:val="center"/>
              <w:rPr>
                <w:rFonts w:cs="Calibri"/>
                <w:szCs w:val="21"/>
              </w:rPr>
            </w:pPr>
            <w:r>
              <w:rPr>
                <w:rFonts w:cs="Calibri"/>
                <w:szCs w:val="21"/>
              </w:rPr>
              <w:t>企业资质等级及证号</w:t>
            </w:r>
          </w:p>
        </w:tc>
        <w:tc>
          <w:tcPr>
            <w:tcW w:w="2616" w:type="dxa"/>
            <w:gridSpan w:val="4"/>
            <w:tcBorders>
              <w:top w:val="single" w:color="auto" w:sz="4" w:space="0"/>
              <w:left w:val="single" w:color="auto" w:sz="4" w:space="0"/>
              <w:bottom w:val="single" w:color="auto" w:sz="4" w:space="0"/>
              <w:right w:val="single" w:color="auto" w:sz="4" w:space="0"/>
            </w:tcBorders>
            <w:vAlign w:val="top"/>
          </w:tcPr>
          <w:p>
            <w:pPr>
              <w:snapToGrid w:val="0"/>
              <w:rPr>
                <w:rFonts w:cs="Calibri"/>
                <w:szCs w:val="21"/>
              </w:rPr>
            </w:pPr>
          </w:p>
        </w:tc>
        <w:tc>
          <w:tcPr>
            <w:tcW w:w="709" w:type="dxa"/>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rPr>
            </w:pPr>
            <w:r>
              <w:rPr>
                <w:rFonts w:cs="Calibri"/>
                <w:szCs w:val="21"/>
              </w:rPr>
              <w:t>证号</w:t>
            </w:r>
          </w:p>
        </w:tc>
        <w:tc>
          <w:tcPr>
            <w:tcW w:w="1701" w:type="dxa"/>
            <w:gridSpan w:val="4"/>
            <w:tcBorders>
              <w:top w:val="single" w:color="auto" w:sz="4" w:space="0"/>
              <w:left w:val="single" w:color="auto" w:sz="4" w:space="0"/>
              <w:bottom w:val="single" w:color="auto" w:sz="4" w:space="0"/>
              <w:right w:val="single" w:color="auto" w:sz="4" w:space="0"/>
            </w:tcBorders>
            <w:vAlign w:val="top"/>
          </w:tcPr>
          <w:p>
            <w:pPr>
              <w:snapToGrid w:val="0"/>
              <w:rPr>
                <w:rFonts w:cs="Calibri"/>
                <w:szCs w:val="21"/>
              </w:rPr>
            </w:pPr>
            <w:r>
              <w:rPr>
                <w:rFonts w:cs="Calibri"/>
                <w:szCs w:val="21"/>
              </w:rPr>
              <w:t xml:space="preserve"> </w:t>
            </w:r>
          </w:p>
        </w:tc>
        <w:tc>
          <w:tcPr>
            <w:tcW w:w="1134" w:type="dxa"/>
            <w:gridSpan w:val="2"/>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rPr>
            </w:pPr>
            <w:r>
              <w:rPr>
                <w:rFonts w:cs="Calibri"/>
                <w:szCs w:val="21"/>
              </w:rPr>
              <w:t>取得时间</w:t>
            </w:r>
          </w:p>
        </w:tc>
        <w:tc>
          <w:tcPr>
            <w:tcW w:w="1220" w:type="dxa"/>
            <w:gridSpan w:val="2"/>
            <w:tcBorders>
              <w:top w:val="single" w:color="auto" w:sz="4" w:space="0"/>
              <w:left w:val="single" w:color="auto" w:sz="4" w:space="0"/>
              <w:bottom w:val="single" w:color="auto" w:sz="4" w:space="0"/>
              <w:right w:val="single" w:color="auto" w:sz="4" w:space="0"/>
            </w:tcBorders>
            <w:vAlign w:val="top"/>
          </w:tcPr>
          <w:p>
            <w:pPr>
              <w:snapToGrid w:val="0"/>
              <w:rPr>
                <w:rFonts w:cs="Calibri"/>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454" w:hRule="atLeast"/>
          <w:jc w:val="center"/>
        </w:trPr>
        <w:tc>
          <w:tcPr>
            <w:tcW w:w="1980" w:type="dxa"/>
            <w:vMerge w:val="continue"/>
            <w:tcBorders>
              <w:top w:val="single" w:color="auto" w:sz="4" w:space="0"/>
              <w:left w:val="single" w:color="auto" w:sz="4" w:space="0"/>
              <w:bottom w:val="single" w:color="auto" w:sz="4" w:space="0"/>
              <w:right w:val="single" w:color="auto" w:sz="4" w:space="0"/>
            </w:tcBorders>
            <w:vAlign w:val="top"/>
          </w:tcPr>
          <w:p>
            <w:pPr>
              <w:snapToGrid w:val="0"/>
              <w:jc w:val="center"/>
              <w:rPr>
                <w:rFonts w:cs="Calibri"/>
                <w:szCs w:val="21"/>
              </w:rPr>
            </w:pPr>
          </w:p>
        </w:tc>
        <w:tc>
          <w:tcPr>
            <w:tcW w:w="2616" w:type="dxa"/>
            <w:gridSpan w:val="4"/>
            <w:tcBorders>
              <w:top w:val="single" w:color="auto" w:sz="4" w:space="0"/>
              <w:left w:val="single" w:color="auto" w:sz="4" w:space="0"/>
              <w:bottom w:val="single" w:color="auto" w:sz="4" w:space="0"/>
              <w:right w:val="single" w:color="auto" w:sz="4" w:space="0"/>
            </w:tcBorders>
            <w:vAlign w:val="top"/>
          </w:tcPr>
          <w:p>
            <w:pPr>
              <w:snapToGrid w:val="0"/>
              <w:jc w:val="center"/>
              <w:rPr>
                <w:rFonts w:cs="Calibri"/>
                <w:szCs w:val="21"/>
              </w:rPr>
            </w:pPr>
          </w:p>
        </w:tc>
        <w:tc>
          <w:tcPr>
            <w:tcW w:w="709" w:type="dxa"/>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rPr>
            </w:pPr>
            <w:r>
              <w:rPr>
                <w:rFonts w:cs="Calibri"/>
                <w:szCs w:val="21"/>
              </w:rPr>
              <w:t>证号</w:t>
            </w:r>
          </w:p>
        </w:tc>
        <w:tc>
          <w:tcPr>
            <w:tcW w:w="1701" w:type="dxa"/>
            <w:gridSpan w:val="4"/>
            <w:tcBorders>
              <w:top w:val="single" w:color="auto" w:sz="4" w:space="0"/>
              <w:left w:val="single" w:color="auto" w:sz="4" w:space="0"/>
              <w:bottom w:val="single" w:color="auto" w:sz="4" w:space="0"/>
              <w:right w:val="single" w:color="auto" w:sz="4" w:space="0"/>
            </w:tcBorders>
            <w:vAlign w:val="top"/>
          </w:tcPr>
          <w:p>
            <w:pPr>
              <w:snapToGrid w:val="0"/>
              <w:jc w:val="center"/>
              <w:rPr>
                <w:rFonts w:cs="Calibri"/>
                <w:szCs w:val="21"/>
              </w:rPr>
            </w:pPr>
          </w:p>
        </w:tc>
        <w:tc>
          <w:tcPr>
            <w:tcW w:w="1134" w:type="dxa"/>
            <w:gridSpan w:val="2"/>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rPr>
            </w:pPr>
            <w:r>
              <w:rPr>
                <w:rFonts w:cs="Calibri"/>
                <w:szCs w:val="21"/>
              </w:rPr>
              <w:t>取得时间</w:t>
            </w:r>
          </w:p>
        </w:tc>
        <w:tc>
          <w:tcPr>
            <w:tcW w:w="1220" w:type="dxa"/>
            <w:gridSpan w:val="2"/>
            <w:tcBorders>
              <w:top w:val="single" w:color="auto" w:sz="4" w:space="0"/>
              <w:left w:val="single" w:color="auto" w:sz="4" w:space="0"/>
              <w:bottom w:val="single" w:color="auto" w:sz="4" w:space="0"/>
              <w:right w:val="single" w:color="auto" w:sz="4" w:space="0"/>
            </w:tcBorders>
            <w:vAlign w:val="top"/>
          </w:tcPr>
          <w:p>
            <w:pPr>
              <w:snapToGrid w:val="0"/>
              <w:rPr>
                <w:rFonts w:cs="Calibri"/>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454" w:hRule="atLeast"/>
          <w:jc w:val="center"/>
        </w:trPr>
        <w:tc>
          <w:tcPr>
            <w:tcW w:w="1980" w:type="dxa"/>
            <w:vMerge w:val="continue"/>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rPr>
            </w:pPr>
          </w:p>
        </w:tc>
        <w:tc>
          <w:tcPr>
            <w:tcW w:w="2616" w:type="dxa"/>
            <w:gridSpan w:val="4"/>
            <w:tcBorders>
              <w:top w:val="single" w:color="auto" w:sz="4" w:space="0"/>
              <w:left w:val="single" w:color="auto" w:sz="4" w:space="0"/>
              <w:bottom w:val="single" w:color="auto" w:sz="4" w:space="0"/>
              <w:right w:val="single" w:color="auto" w:sz="4" w:space="0"/>
            </w:tcBorders>
            <w:vAlign w:val="top"/>
          </w:tcPr>
          <w:p>
            <w:pPr>
              <w:snapToGrid w:val="0"/>
              <w:jc w:val="center"/>
              <w:rPr>
                <w:rFonts w:cs="Calibri"/>
                <w:szCs w:val="21"/>
              </w:rPr>
            </w:pPr>
          </w:p>
        </w:tc>
        <w:tc>
          <w:tcPr>
            <w:tcW w:w="709" w:type="dxa"/>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rPr>
            </w:pPr>
            <w:r>
              <w:rPr>
                <w:rFonts w:cs="Calibri"/>
                <w:szCs w:val="21"/>
              </w:rPr>
              <w:t>证号</w:t>
            </w:r>
          </w:p>
        </w:tc>
        <w:tc>
          <w:tcPr>
            <w:tcW w:w="1701" w:type="dxa"/>
            <w:gridSpan w:val="4"/>
            <w:tcBorders>
              <w:top w:val="single" w:color="auto" w:sz="4" w:space="0"/>
              <w:left w:val="single" w:color="auto" w:sz="4" w:space="0"/>
              <w:bottom w:val="single" w:color="auto" w:sz="4" w:space="0"/>
              <w:right w:val="single" w:color="auto" w:sz="4" w:space="0"/>
            </w:tcBorders>
            <w:vAlign w:val="top"/>
          </w:tcPr>
          <w:p>
            <w:pPr>
              <w:snapToGrid w:val="0"/>
              <w:jc w:val="center"/>
              <w:rPr>
                <w:rFonts w:cs="Calibri"/>
                <w:szCs w:val="21"/>
              </w:rPr>
            </w:pPr>
            <w:r>
              <w:rPr>
                <w:rFonts w:cs="Calibri"/>
                <w:szCs w:val="21"/>
              </w:rPr>
              <w:t xml:space="preserve"> </w:t>
            </w:r>
          </w:p>
        </w:tc>
        <w:tc>
          <w:tcPr>
            <w:tcW w:w="1134" w:type="dxa"/>
            <w:gridSpan w:val="2"/>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rPr>
            </w:pPr>
            <w:r>
              <w:rPr>
                <w:rFonts w:cs="Calibri"/>
                <w:szCs w:val="21"/>
              </w:rPr>
              <w:t>取得时间</w:t>
            </w:r>
          </w:p>
        </w:tc>
        <w:tc>
          <w:tcPr>
            <w:tcW w:w="1220" w:type="dxa"/>
            <w:gridSpan w:val="2"/>
            <w:tcBorders>
              <w:top w:val="single" w:color="auto" w:sz="4" w:space="0"/>
              <w:left w:val="single" w:color="auto" w:sz="4" w:space="0"/>
              <w:bottom w:val="single" w:color="auto" w:sz="4" w:space="0"/>
              <w:right w:val="single" w:color="auto" w:sz="4" w:space="0"/>
            </w:tcBorders>
            <w:vAlign w:val="top"/>
          </w:tcPr>
          <w:p>
            <w:pPr>
              <w:snapToGrid w:val="0"/>
              <w:rPr>
                <w:rFonts w:cs="Calibri"/>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454" w:hRule="atLeast"/>
          <w:jc w:val="center"/>
        </w:trPr>
        <w:tc>
          <w:tcPr>
            <w:tcW w:w="1980" w:type="dxa"/>
            <w:vMerge w:val="continue"/>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rPr>
            </w:pPr>
          </w:p>
        </w:tc>
        <w:tc>
          <w:tcPr>
            <w:tcW w:w="2616" w:type="dxa"/>
            <w:gridSpan w:val="4"/>
            <w:tcBorders>
              <w:top w:val="single" w:color="auto" w:sz="4" w:space="0"/>
              <w:left w:val="single" w:color="auto" w:sz="4" w:space="0"/>
              <w:bottom w:val="single" w:color="auto" w:sz="4" w:space="0"/>
              <w:right w:val="single" w:color="auto" w:sz="4" w:space="0"/>
            </w:tcBorders>
            <w:vAlign w:val="top"/>
          </w:tcPr>
          <w:p>
            <w:pPr>
              <w:snapToGrid w:val="0"/>
              <w:jc w:val="center"/>
              <w:rPr>
                <w:rFonts w:cs="Calibri"/>
                <w:szCs w:val="21"/>
              </w:rPr>
            </w:pPr>
          </w:p>
        </w:tc>
        <w:tc>
          <w:tcPr>
            <w:tcW w:w="709" w:type="dxa"/>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rPr>
            </w:pPr>
            <w:r>
              <w:rPr>
                <w:rFonts w:cs="Calibri"/>
                <w:szCs w:val="21"/>
              </w:rPr>
              <w:t>证号</w:t>
            </w:r>
          </w:p>
        </w:tc>
        <w:tc>
          <w:tcPr>
            <w:tcW w:w="1701" w:type="dxa"/>
            <w:gridSpan w:val="4"/>
            <w:tcBorders>
              <w:top w:val="single" w:color="auto" w:sz="4" w:space="0"/>
              <w:left w:val="single" w:color="auto" w:sz="4" w:space="0"/>
              <w:bottom w:val="single" w:color="auto" w:sz="4" w:space="0"/>
              <w:right w:val="single" w:color="auto" w:sz="4" w:space="0"/>
            </w:tcBorders>
            <w:vAlign w:val="top"/>
          </w:tcPr>
          <w:p>
            <w:pPr>
              <w:snapToGrid w:val="0"/>
              <w:jc w:val="center"/>
              <w:rPr>
                <w:rFonts w:cs="Calibri"/>
                <w:szCs w:val="21"/>
              </w:rPr>
            </w:pPr>
            <w:r>
              <w:rPr>
                <w:rFonts w:cs="Calibri"/>
                <w:szCs w:val="21"/>
              </w:rPr>
              <w:t xml:space="preserve"> </w:t>
            </w:r>
          </w:p>
        </w:tc>
        <w:tc>
          <w:tcPr>
            <w:tcW w:w="1134" w:type="dxa"/>
            <w:gridSpan w:val="2"/>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rPr>
            </w:pPr>
            <w:r>
              <w:rPr>
                <w:rFonts w:cs="Calibri"/>
                <w:szCs w:val="21"/>
              </w:rPr>
              <w:t>取得时间</w:t>
            </w:r>
          </w:p>
        </w:tc>
        <w:tc>
          <w:tcPr>
            <w:tcW w:w="1220" w:type="dxa"/>
            <w:gridSpan w:val="2"/>
            <w:tcBorders>
              <w:top w:val="single" w:color="auto" w:sz="4" w:space="0"/>
              <w:left w:val="single" w:color="auto" w:sz="4" w:space="0"/>
              <w:bottom w:val="single" w:color="auto" w:sz="4" w:space="0"/>
              <w:right w:val="single" w:color="auto" w:sz="4" w:space="0"/>
            </w:tcBorders>
            <w:vAlign w:val="top"/>
          </w:tcPr>
          <w:p>
            <w:pPr>
              <w:snapToGrid w:val="0"/>
              <w:rPr>
                <w:rFonts w:cs="Calibri"/>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454" w:hRule="atLeast"/>
          <w:jc w:val="center"/>
        </w:trPr>
        <w:tc>
          <w:tcPr>
            <w:tcW w:w="1980" w:type="dxa"/>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rPr>
            </w:pPr>
            <w:r>
              <w:rPr>
                <w:rFonts w:cs="Calibri"/>
                <w:szCs w:val="21"/>
              </w:rPr>
              <w:t>工商营业执照及营业范围</w:t>
            </w:r>
          </w:p>
        </w:tc>
        <w:tc>
          <w:tcPr>
            <w:tcW w:w="7380" w:type="dxa"/>
            <w:gridSpan w:val="13"/>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rPr>
            </w:pPr>
          </w:p>
          <w:p>
            <w:pPr>
              <w:snapToGrid w:val="0"/>
              <w:jc w:val="center"/>
              <w:rPr>
                <w:rFonts w:cs="Calibri"/>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454" w:hRule="atLeast"/>
          <w:jc w:val="center"/>
        </w:trPr>
        <w:tc>
          <w:tcPr>
            <w:tcW w:w="1980" w:type="dxa"/>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rPr>
            </w:pPr>
            <w:r>
              <w:rPr>
                <w:rFonts w:cs="Calibri"/>
                <w:szCs w:val="21"/>
              </w:rPr>
              <w:t>注册资金</w:t>
            </w:r>
          </w:p>
        </w:tc>
        <w:tc>
          <w:tcPr>
            <w:tcW w:w="7380" w:type="dxa"/>
            <w:gridSpan w:val="13"/>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454" w:hRule="atLeast"/>
          <w:jc w:val="center"/>
        </w:trPr>
        <w:tc>
          <w:tcPr>
            <w:tcW w:w="1980" w:type="dxa"/>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rPr>
            </w:pPr>
            <w:r>
              <w:rPr>
                <w:rFonts w:cs="Calibri"/>
                <w:szCs w:val="21"/>
              </w:rPr>
              <w:t>开户银行及帐号</w:t>
            </w:r>
          </w:p>
        </w:tc>
        <w:tc>
          <w:tcPr>
            <w:tcW w:w="7380" w:type="dxa"/>
            <w:gridSpan w:val="13"/>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454" w:hRule="atLeast"/>
          <w:jc w:val="center"/>
        </w:trPr>
        <w:tc>
          <w:tcPr>
            <w:tcW w:w="1980" w:type="dxa"/>
            <w:vMerge w:val="restart"/>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rPr>
            </w:pPr>
            <w:r>
              <w:rPr>
                <w:rFonts w:cs="Calibri"/>
                <w:szCs w:val="21"/>
              </w:rPr>
              <w:t>联系人姓名</w:t>
            </w:r>
          </w:p>
          <w:p>
            <w:pPr>
              <w:snapToGrid w:val="0"/>
              <w:jc w:val="center"/>
              <w:rPr>
                <w:rFonts w:cs="Calibri"/>
                <w:szCs w:val="21"/>
              </w:rPr>
            </w:pPr>
            <w:r>
              <w:rPr>
                <w:rFonts w:cs="Calibri"/>
                <w:szCs w:val="21"/>
              </w:rPr>
              <w:t>及电话号码</w:t>
            </w:r>
          </w:p>
        </w:tc>
        <w:tc>
          <w:tcPr>
            <w:tcW w:w="2256" w:type="dxa"/>
            <w:gridSpan w:val="3"/>
            <w:vMerge w:val="restart"/>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rPr>
            </w:pPr>
          </w:p>
        </w:tc>
        <w:tc>
          <w:tcPr>
            <w:tcW w:w="1999" w:type="dxa"/>
            <w:gridSpan w:val="5"/>
            <w:vMerge w:val="restart"/>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rPr>
            </w:pPr>
            <w:r>
              <w:rPr>
                <w:rFonts w:cs="Calibri"/>
                <w:szCs w:val="21"/>
              </w:rPr>
              <w:t>过去3年完成</w:t>
            </w:r>
          </w:p>
          <w:p>
            <w:pPr>
              <w:snapToGrid w:val="0"/>
              <w:jc w:val="center"/>
              <w:rPr>
                <w:rFonts w:cs="Calibri"/>
                <w:szCs w:val="21"/>
              </w:rPr>
            </w:pPr>
            <w:r>
              <w:rPr>
                <w:rFonts w:cs="Calibri"/>
                <w:szCs w:val="21"/>
              </w:rPr>
              <w:t>产值/人均产值</w:t>
            </w:r>
          </w:p>
        </w:tc>
        <w:tc>
          <w:tcPr>
            <w:tcW w:w="1935" w:type="dxa"/>
            <w:gridSpan w:val="4"/>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rPr>
            </w:pPr>
          </w:p>
        </w:tc>
        <w:tc>
          <w:tcPr>
            <w:tcW w:w="1190" w:type="dxa"/>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454" w:hRule="atLeast"/>
          <w:jc w:val="center"/>
        </w:trPr>
        <w:tc>
          <w:tcPr>
            <w:tcW w:w="1980" w:type="dxa"/>
            <w:vMerge w:val="continue"/>
            <w:tcBorders>
              <w:top w:val="single" w:color="auto" w:sz="4" w:space="0"/>
              <w:left w:val="single" w:color="auto" w:sz="4" w:space="0"/>
              <w:bottom w:val="single" w:color="auto" w:sz="4" w:space="0"/>
              <w:right w:val="single" w:color="auto" w:sz="4" w:space="0"/>
            </w:tcBorders>
            <w:vAlign w:val="center"/>
          </w:tcPr>
          <w:p>
            <w:pPr>
              <w:widowControl/>
              <w:snapToGrid w:val="0"/>
              <w:rPr>
                <w:rFonts w:cs="Calibri"/>
                <w:szCs w:val="21"/>
              </w:rPr>
            </w:pPr>
          </w:p>
        </w:tc>
        <w:tc>
          <w:tcPr>
            <w:tcW w:w="2256" w:type="dxa"/>
            <w:gridSpan w:val="3"/>
            <w:vMerge w:val="continue"/>
            <w:tcBorders>
              <w:top w:val="single" w:color="auto" w:sz="4" w:space="0"/>
              <w:left w:val="single" w:color="auto" w:sz="4" w:space="0"/>
              <w:bottom w:val="single" w:color="auto" w:sz="4" w:space="0"/>
              <w:right w:val="single" w:color="auto" w:sz="4" w:space="0"/>
            </w:tcBorders>
            <w:vAlign w:val="center"/>
          </w:tcPr>
          <w:p>
            <w:pPr>
              <w:widowControl/>
              <w:snapToGrid w:val="0"/>
              <w:rPr>
                <w:rFonts w:cs="Calibri"/>
                <w:szCs w:val="21"/>
              </w:rPr>
            </w:pPr>
          </w:p>
        </w:tc>
        <w:tc>
          <w:tcPr>
            <w:tcW w:w="1999" w:type="dxa"/>
            <w:gridSpan w:val="5"/>
            <w:vMerge w:val="continue"/>
            <w:tcBorders>
              <w:top w:val="single" w:color="auto" w:sz="4" w:space="0"/>
              <w:left w:val="single" w:color="auto" w:sz="4" w:space="0"/>
              <w:bottom w:val="single" w:color="auto" w:sz="4" w:space="0"/>
              <w:right w:val="single" w:color="auto" w:sz="4" w:space="0"/>
            </w:tcBorders>
            <w:vAlign w:val="center"/>
          </w:tcPr>
          <w:p>
            <w:pPr>
              <w:widowControl/>
              <w:snapToGrid w:val="0"/>
              <w:rPr>
                <w:rFonts w:cs="Calibri"/>
                <w:szCs w:val="21"/>
              </w:rPr>
            </w:pPr>
          </w:p>
        </w:tc>
        <w:tc>
          <w:tcPr>
            <w:tcW w:w="1935" w:type="dxa"/>
            <w:gridSpan w:val="4"/>
            <w:tcBorders>
              <w:top w:val="single" w:color="auto" w:sz="4" w:space="0"/>
              <w:left w:val="single" w:color="auto" w:sz="4" w:space="0"/>
              <w:bottom w:val="single" w:color="auto" w:sz="4" w:space="0"/>
              <w:right w:val="single" w:color="auto" w:sz="4" w:space="0"/>
            </w:tcBorders>
            <w:vAlign w:val="top"/>
          </w:tcPr>
          <w:p>
            <w:pPr>
              <w:snapToGrid w:val="0"/>
              <w:rPr>
                <w:rFonts w:cs="Calibri"/>
                <w:szCs w:val="21"/>
              </w:rPr>
            </w:pPr>
            <w:r>
              <w:rPr>
                <w:rFonts w:cs="Calibri"/>
                <w:szCs w:val="21"/>
              </w:rPr>
              <w:t xml:space="preserve">        </w:t>
            </w:r>
          </w:p>
        </w:tc>
        <w:tc>
          <w:tcPr>
            <w:tcW w:w="1190" w:type="dxa"/>
            <w:tcBorders>
              <w:top w:val="single" w:color="auto" w:sz="4" w:space="0"/>
              <w:left w:val="single" w:color="auto" w:sz="4" w:space="0"/>
              <w:bottom w:val="single" w:color="auto" w:sz="4" w:space="0"/>
              <w:right w:val="single" w:color="auto" w:sz="4" w:space="0"/>
            </w:tcBorders>
            <w:vAlign w:val="top"/>
          </w:tcPr>
          <w:p>
            <w:pPr>
              <w:snapToGrid w:val="0"/>
              <w:rPr>
                <w:rFonts w:cs="Calibri"/>
                <w:szCs w:val="21"/>
              </w:rPr>
            </w:pPr>
            <w:r>
              <w:rPr>
                <w:rFonts w:cs="Calibri"/>
                <w:szCs w:val="21"/>
              </w:rPr>
              <w:t xml:space="preserve">        </w:t>
            </w:r>
          </w:p>
        </w:tc>
      </w:tr>
    </w:tbl>
    <w:p>
      <w:pPr>
        <w:spacing w:line="360" w:lineRule="auto"/>
        <w:jc w:val="center"/>
        <w:rPr>
          <w:rFonts w:cs="Calibri"/>
          <w:b/>
          <w:sz w:val="36"/>
          <w:szCs w:val="36"/>
        </w:rPr>
      </w:pPr>
    </w:p>
    <w:p>
      <w:pPr>
        <w:spacing w:line="360" w:lineRule="auto"/>
        <w:jc w:val="center"/>
        <w:rPr>
          <w:rFonts w:cs="Calibri"/>
          <w:b/>
          <w:sz w:val="36"/>
          <w:szCs w:val="36"/>
        </w:rPr>
      </w:pPr>
    </w:p>
    <w:p>
      <w:pPr>
        <w:spacing w:line="360" w:lineRule="auto"/>
        <w:jc w:val="center"/>
        <w:rPr>
          <w:rFonts w:cs="Calibri"/>
          <w:b/>
          <w:sz w:val="36"/>
          <w:szCs w:val="36"/>
        </w:rPr>
      </w:pPr>
    </w:p>
    <w:p>
      <w:pPr>
        <w:widowControl/>
        <w:jc w:val="left"/>
        <w:rPr>
          <w:rFonts w:cs="Calibri"/>
          <w:b/>
          <w:sz w:val="36"/>
          <w:szCs w:val="36"/>
        </w:rPr>
      </w:pPr>
      <w:r>
        <w:rPr>
          <w:rFonts w:cs="Calibri"/>
          <w:b/>
          <w:sz w:val="36"/>
          <w:szCs w:val="36"/>
        </w:rPr>
        <w:br w:type="page"/>
      </w:r>
    </w:p>
    <w:p>
      <w:pPr>
        <w:spacing w:line="440" w:lineRule="exact"/>
        <w:jc w:val="center"/>
        <w:rPr>
          <w:rFonts w:eastAsia="黑体" w:cs="Calibri"/>
          <w:color w:val="000000"/>
          <w:sz w:val="32"/>
          <w:szCs w:val="32"/>
        </w:rPr>
      </w:pPr>
      <w:r>
        <w:rPr>
          <w:rFonts w:eastAsia="黑体" w:cs="Calibri"/>
          <w:color w:val="000000"/>
          <w:sz w:val="32"/>
          <w:szCs w:val="32"/>
        </w:rPr>
        <w:t>（二）近三年完成类似</w:t>
      </w:r>
      <w:r>
        <w:rPr>
          <w:rFonts w:hint="eastAsia" w:eastAsia="黑体" w:cs="Calibri"/>
          <w:color w:val="000000"/>
          <w:sz w:val="32"/>
          <w:szCs w:val="32"/>
        </w:rPr>
        <w:t>项目业绩</w:t>
      </w:r>
      <w:r>
        <w:rPr>
          <w:rFonts w:eastAsia="黑体" w:cs="Calibri"/>
          <w:color w:val="000000"/>
          <w:sz w:val="32"/>
          <w:szCs w:val="32"/>
        </w:rPr>
        <w:t>情况</w:t>
      </w:r>
    </w:p>
    <w:tbl>
      <w:tblPr>
        <w:tblStyle w:val="53"/>
        <w:tblpPr w:leftFromText="180" w:rightFromText="180" w:vertAnchor="text" w:horzAnchor="margin" w:tblpXSpec="center" w:tblpY="317"/>
        <w:tblW w:w="9648"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2268"/>
        <w:gridCol w:w="2340"/>
        <w:gridCol w:w="876"/>
        <w:gridCol w:w="1356"/>
        <w:gridCol w:w="1596"/>
        <w:gridCol w:w="1212"/>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c>
          <w:tcPr>
            <w:tcW w:w="2268" w:type="dxa"/>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rPr>
            </w:pPr>
            <w:r>
              <w:rPr>
                <w:rFonts w:cs="Calibri"/>
                <w:szCs w:val="21"/>
              </w:rPr>
              <w:t>项目名称</w:t>
            </w:r>
          </w:p>
          <w:p>
            <w:pPr>
              <w:snapToGrid w:val="0"/>
              <w:jc w:val="center"/>
              <w:rPr>
                <w:rFonts w:cs="Calibri"/>
                <w:szCs w:val="21"/>
              </w:rPr>
            </w:pPr>
          </w:p>
        </w:tc>
        <w:tc>
          <w:tcPr>
            <w:tcW w:w="2340" w:type="dxa"/>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rPr>
            </w:pPr>
            <w:r>
              <w:rPr>
                <w:rFonts w:hint="eastAsia" w:cs="Calibri"/>
                <w:szCs w:val="21"/>
              </w:rPr>
              <w:t>业主单位</w:t>
            </w:r>
          </w:p>
        </w:tc>
        <w:tc>
          <w:tcPr>
            <w:tcW w:w="876" w:type="dxa"/>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rPr>
            </w:pPr>
            <w:r>
              <w:rPr>
                <w:rFonts w:cs="Calibri"/>
                <w:szCs w:val="21"/>
              </w:rPr>
              <w:t>类型</w:t>
            </w:r>
          </w:p>
        </w:tc>
        <w:tc>
          <w:tcPr>
            <w:tcW w:w="1356" w:type="dxa"/>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rPr>
            </w:pPr>
            <w:r>
              <w:rPr>
                <w:rFonts w:hint="eastAsia" w:cs="Calibri"/>
                <w:szCs w:val="21"/>
              </w:rPr>
              <w:t>项目</w:t>
            </w:r>
            <w:r>
              <w:rPr>
                <w:rFonts w:cs="Calibri"/>
                <w:szCs w:val="21"/>
              </w:rPr>
              <w:t>规模</w:t>
            </w:r>
          </w:p>
        </w:tc>
        <w:tc>
          <w:tcPr>
            <w:tcW w:w="1596" w:type="dxa"/>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rPr>
            </w:pPr>
            <w:r>
              <w:rPr>
                <w:rFonts w:hint="eastAsia" w:cs="Calibri"/>
                <w:szCs w:val="21"/>
              </w:rPr>
              <w:t>服务</w:t>
            </w:r>
            <w:r>
              <w:rPr>
                <w:rFonts w:cs="Calibri"/>
                <w:szCs w:val="21"/>
              </w:rPr>
              <w:t>期</w:t>
            </w:r>
          </w:p>
        </w:tc>
        <w:tc>
          <w:tcPr>
            <w:tcW w:w="1212" w:type="dxa"/>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rPr>
            </w:pPr>
            <w:r>
              <w:rPr>
                <w:rFonts w:cs="Calibri"/>
                <w:szCs w:val="21"/>
              </w:rPr>
              <w:t>质量达到</w:t>
            </w:r>
          </w:p>
          <w:p>
            <w:pPr>
              <w:snapToGrid w:val="0"/>
              <w:jc w:val="center"/>
              <w:rPr>
                <w:rFonts w:cs="Calibri"/>
                <w:szCs w:val="21"/>
              </w:rPr>
            </w:pPr>
            <w:r>
              <w:rPr>
                <w:rFonts w:cs="Calibri"/>
                <w:szCs w:val="21"/>
              </w:rPr>
              <w:t>标准</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c>
          <w:tcPr>
            <w:tcW w:w="2268" w:type="dxa"/>
            <w:tcBorders>
              <w:top w:val="single" w:color="auto" w:sz="4" w:space="0"/>
              <w:left w:val="single" w:color="auto" w:sz="4" w:space="0"/>
              <w:bottom w:val="single" w:color="auto" w:sz="4" w:space="0"/>
              <w:right w:val="single" w:color="auto" w:sz="4" w:space="0"/>
            </w:tcBorders>
            <w:vAlign w:val="top"/>
          </w:tcPr>
          <w:p>
            <w:pPr>
              <w:spacing w:line="360" w:lineRule="auto"/>
              <w:rPr>
                <w:rFonts w:cs="Calibri"/>
                <w:szCs w:val="21"/>
              </w:rPr>
            </w:pPr>
          </w:p>
        </w:tc>
        <w:tc>
          <w:tcPr>
            <w:tcW w:w="2340" w:type="dxa"/>
            <w:tcBorders>
              <w:top w:val="single" w:color="auto" w:sz="4" w:space="0"/>
              <w:left w:val="single" w:color="auto" w:sz="4" w:space="0"/>
              <w:bottom w:val="single" w:color="auto" w:sz="4" w:space="0"/>
              <w:right w:val="single" w:color="auto" w:sz="4" w:space="0"/>
            </w:tcBorders>
            <w:vAlign w:val="top"/>
          </w:tcPr>
          <w:p>
            <w:pPr>
              <w:spacing w:line="360" w:lineRule="auto"/>
              <w:rPr>
                <w:rFonts w:cs="Calibri"/>
                <w:szCs w:val="21"/>
              </w:rPr>
            </w:pPr>
          </w:p>
        </w:tc>
        <w:tc>
          <w:tcPr>
            <w:tcW w:w="876" w:type="dxa"/>
            <w:tcBorders>
              <w:top w:val="single" w:color="auto" w:sz="4" w:space="0"/>
              <w:left w:val="single" w:color="auto" w:sz="4" w:space="0"/>
              <w:bottom w:val="single" w:color="auto" w:sz="4" w:space="0"/>
              <w:right w:val="single" w:color="auto" w:sz="4" w:space="0"/>
            </w:tcBorders>
            <w:vAlign w:val="top"/>
          </w:tcPr>
          <w:p>
            <w:pPr>
              <w:spacing w:line="360" w:lineRule="auto"/>
              <w:rPr>
                <w:rFonts w:cs="Calibri"/>
                <w:szCs w:val="21"/>
              </w:rPr>
            </w:pPr>
          </w:p>
        </w:tc>
        <w:tc>
          <w:tcPr>
            <w:tcW w:w="1356" w:type="dxa"/>
            <w:tcBorders>
              <w:top w:val="single" w:color="auto" w:sz="4" w:space="0"/>
              <w:left w:val="single" w:color="auto" w:sz="4" w:space="0"/>
              <w:bottom w:val="single" w:color="auto" w:sz="4" w:space="0"/>
              <w:right w:val="single" w:color="auto" w:sz="4" w:space="0"/>
            </w:tcBorders>
            <w:vAlign w:val="top"/>
          </w:tcPr>
          <w:p>
            <w:pPr>
              <w:spacing w:line="360" w:lineRule="auto"/>
              <w:rPr>
                <w:rFonts w:cs="Calibri"/>
                <w:szCs w:val="21"/>
              </w:rPr>
            </w:pPr>
          </w:p>
        </w:tc>
        <w:tc>
          <w:tcPr>
            <w:tcW w:w="1596" w:type="dxa"/>
            <w:tcBorders>
              <w:top w:val="single" w:color="auto" w:sz="4" w:space="0"/>
              <w:left w:val="single" w:color="auto" w:sz="4" w:space="0"/>
              <w:bottom w:val="single" w:color="auto" w:sz="4" w:space="0"/>
              <w:right w:val="single" w:color="auto" w:sz="4" w:space="0"/>
            </w:tcBorders>
            <w:vAlign w:val="top"/>
          </w:tcPr>
          <w:p>
            <w:pPr>
              <w:spacing w:line="360" w:lineRule="auto"/>
              <w:rPr>
                <w:rFonts w:cs="Calibri"/>
                <w:szCs w:val="21"/>
              </w:rPr>
            </w:pPr>
          </w:p>
        </w:tc>
        <w:tc>
          <w:tcPr>
            <w:tcW w:w="1212" w:type="dxa"/>
            <w:tcBorders>
              <w:top w:val="single" w:color="auto" w:sz="4" w:space="0"/>
              <w:left w:val="single" w:color="auto" w:sz="4" w:space="0"/>
              <w:bottom w:val="single" w:color="auto" w:sz="4" w:space="0"/>
              <w:right w:val="single" w:color="auto" w:sz="4" w:space="0"/>
            </w:tcBorders>
            <w:vAlign w:val="top"/>
          </w:tcPr>
          <w:p>
            <w:pPr>
              <w:spacing w:line="360" w:lineRule="auto"/>
              <w:rPr>
                <w:rFonts w:cs="Calibri"/>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c>
          <w:tcPr>
            <w:tcW w:w="2268" w:type="dxa"/>
            <w:tcBorders>
              <w:top w:val="single" w:color="auto" w:sz="4" w:space="0"/>
              <w:left w:val="single" w:color="auto" w:sz="4" w:space="0"/>
              <w:bottom w:val="single" w:color="auto" w:sz="4" w:space="0"/>
              <w:right w:val="single" w:color="auto" w:sz="4" w:space="0"/>
            </w:tcBorders>
            <w:vAlign w:val="top"/>
          </w:tcPr>
          <w:p>
            <w:pPr>
              <w:spacing w:line="360" w:lineRule="auto"/>
              <w:rPr>
                <w:rFonts w:cs="Calibri"/>
                <w:szCs w:val="21"/>
              </w:rPr>
            </w:pPr>
          </w:p>
        </w:tc>
        <w:tc>
          <w:tcPr>
            <w:tcW w:w="2340" w:type="dxa"/>
            <w:tcBorders>
              <w:top w:val="single" w:color="auto" w:sz="4" w:space="0"/>
              <w:left w:val="single" w:color="auto" w:sz="4" w:space="0"/>
              <w:bottom w:val="single" w:color="auto" w:sz="4" w:space="0"/>
              <w:right w:val="single" w:color="auto" w:sz="4" w:space="0"/>
            </w:tcBorders>
            <w:vAlign w:val="top"/>
          </w:tcPr>
          <w:p>
            <w:pPr>
              <w:spacing w:line="360" w:lineRule="auto"/>
              <w:rPr>
                <w:rFonts w:cs="Calibri"/>
                <w:szCs w:val="21"/>
              </w:rPr>
            </w:pPr>
          </w:p>
        </w:tc>
        <w:tc>
          <w:tcPr>
            <w:tcW w:w="876" w:type="dxa"/>
            <w:tcBorders>
              <w:top w:val="single" w:color="auto" w:sz="4" w:space="0"/>
              <w:left w:val="single" w:color="auto" w:sz="4" w:space="0"/>
              <w:bottom w:val="single" w:color="auto" w:sz="4" w:space="0"/>
              <w:right w:val="single" w:color="auto" w:sz="4" w:space="0"/>
            </w:tcBorders>
            <w:vAlign w:val="top"/>
          </w:tcPr>
          <w:p>
            <w:pPr>
              <w:spacing w:line="360" w:lineRule="auto"/>
              <w:rPr>
                <w:rFonts w:cs="Calibri"/>
                <w:szCs w:val="21"/>
              </w:rPr>
            </w:pPr>
          </w:p>
        </w:tc>
        <w:tc>
          <w:tcPr>
            <w:tcW w:w="1356" w:type="dxa"/>
            <w:tcBorders>
              <w:top w:val="single" w:color="auto" w:sz="4" w:space="0"/>
              <w:left w:val="single" w:color="auto" w:sz="4" w:space="0"/>
              <w:bottom w:val="single" w:color="auto" w:sz="4" w:space="0"/>
              <w:right w:val="single" w:color="auto" w:sz="4" w:space="0"/>
            </w:tcBorders>
            <w:vAlign w:val="top"/>
          </w:tcPr>
          <w:p>
            <w:pPr>
              <w:spacing w:line="360" w:lineRule="auto"/>
              <w:rPr>
                <w:rFonts w:cs="Calibri"/>
                <w:szCs w:val="21"/>
              </w:rPr>
            </w:pPr>
          </w:p>
        </w:tc>
        <w:tc>
          <w:tcPr>
            <w:tcW w:w="1596" w:type="dxa"/>
            <w:tcBorders>
              <w:top w:val="single" w:color="auto" w:sz="4" w:space="0"/>
              <w:left w:val="single" w:color="auto" w:sz="4" w:space="0"/>
              <w:bottom w:val="single" w:color="auto" w:sz="4" w:space="0"/>
              <w:right w:val="single" w:color="auto" w:sz="4" w:space="0"/>
            </w:tcBorders>
            <w:vAlign w:val="top"/>
          </w:tcPr>
          <w:p>
            <w:pPr>
              <w:spacing w:line="360" w:lineRule="auto"/>
              <w:rPr>
                <w:rFonts w:cs="Calibri"/>
                <w:szCs w:val="21"/>
              </w:rPr>
            </w:pPr>
          </w:p>
        </w:tc>
        <w:tc>
          <w:tcPr>
            <w:tcW w:w="1212" w:type="dxa"/>
            <w:tcBorders>
              <w:top w:val="single" w:color="auto" w:sz="4" w:space="0"/>
              <w:left w:val="single" w:color="auto" w:sz="4" w:space="0"/>
              <w:bottom w:val="single" w:color="auto" w:sz="4" w:space="0"/>
              <w:right w:val="single" w:color="auto" w:sz="4" w:space="0"/>
            </w:tcBorders>
            <w:vAlign w:val="top"/>
          </w:tcPr>
          <w:p>
            <w:pPr>
              <w:spacing w:line="360" w:lineRule="auto"/>
              <w:rPr>
                <w:rFonts w:cs="Calibri"/>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c>
          <w:tcPr>
            <w:tcW w:w="2268" w:type="dxa"/>
            <w:tcBorders>
              <w:top w:val="single" w:color="auto" w:sz="4" w:space="0"/>
              <w:left w:val="single" w:color="auto" w:sz="4" w:space="0"/>
              <w:bottom w:val="single" w:color="auto" w:sz="4" w:space="0"/>
              <w:right w:val="single" w:color="auto" w:sz="4" w:space="0"/>
            </w:tcBorders>
            <w:vAlign w:val="top"/>
          </w:tcPr>
          <w:p>
            <w:pPr>
              <w:spacing w:line="360" w:lineRule="auto"/>
              <w:rPr>
                <w:rFonts w:cs="Calibri"/>
                <w:szCs w:val="21"/>
              </w:rPr>
            </w:pPr>
          </w:p>
        </w:tc>
        <w:tc>
          <w:tcPr>
            <w:tcW w:w="2340" w:type="dxa"/>
            <w:tcBorders>
              <w:top w:val="single" w:color="auto" w:sz="4" w:space="0"/>
              <w:left w:val="single" w:color="auto" w:sz="4" w:space="0"/>
              <w:bottom w:val="single" w:color="auto" w:sz="4" w:space="0"/>
              <w:right w:val="single" w:color="auto" w:sz="4" w:space="0"/>
            </w:tcBorders>
            <w:vAlign w:val="top"/>
          </w:tcPr>
          <w:p>
            <w:pPr>
              <w:spacing w:line="360" w:lineRule="auto"/>
              <w:rPr>
                <w:rFonts w:cs="Calibri"/>
                <w:szCs w:val="21"/>
              </w:rPr>
            </w:pPr>
          </w:p>
        </w:tc>
        <w:tc>
          <w:tcPr>
            <w:tcW w:w="876" w:type="dxa"/>
            <w:tcBorders>
              <w:top w:val="single" w:color="auto" w:sz="4" w:space="0"/>
              <w:left w:val="single" w:color="auto" w:sz="4" w:space="0"/>
              <w:bottom w:val="single" w:color="auto" w:sz="4" w:space="0"/>
              <w:right w:val="single" w:color="auto" w:sz="4" w:space="0"/>
            </w:tcBorders>
            <w:vAlign w:val="top"/>
          </w:tcPr>
          <w:p>
            <w:pPr>
              <w:spacing w:line="360" w:lineRule="auto"/>
              <w:rPr>
                <w:rFonts w:cs="Calibri"/>
                <w:szCs w:val="21"/>
              </w:rPr>
            </w:pPr>
          </w:p>
        </w:tc>
        <w:tc>
          <w:tcPr>
            <w:tcW w:w="1356" w:type="dxa"/>
            <w:tcBorders>
              <w:top w:val="single" w:color="auto" w:sz="4" w:space="0"/>
              <w:left w:val="single" w:color="auto" w:sz="4" w:space="0"/>
              <w:bottom w:val="single" w:color="auto" w:sz="4" w:space="0"/>
              <w:right w:val="single" w:color="auto" w:sz="4" w:space="0"/>
            </w:tcBorders>
            <w:vAlign w:val="top"/>
          </w:tcPr>
          <w:p>
            <w:pPr>
              <w:pStyle w:val="24"/>
              <w:spacing w:line="360" w:lineRule="auto"/>
              <w:ind w:left="5250"/>
              <w:rPr>
                <w:rFonts w:ascii="Calibri" w:hAnsi="Calibri" w:cs="Calibri"/>
                <w:kern w:val="2"/>
                <w:sz w:val="21"/>
                <w:szCs w:val="21"/>
              </w:rPr>
            </w:pPr>
          </w:p>
        </w:tc>
        <w:tc>
          <w:tcPr>
            <w:tcW w:w="1596" w:type="dxa"/>
            <w:tcBorders>
              <w:top w:val="single" w:color="auto" w:sz="4" w:space="0"/>
              <w:left w:val="single" w:color="auto" w:sz="4" w:space="0"/>
              <w:bottom w:val="single" w:color="auto" w:sz="4" w:space="0"/>
              <w:right w:val="single" w:color="auto" w:sz="4" w:space="0"/>
            </w:tcBorders>
            <w:vAlign w:val="top"/>
          </w:tcPr>
          <w:p>
            <w:pPr>
              <w:spacing w:line="360" w:lineRule="auto"/>
              <w:rPr>
                <w:rFonts w:cs="Calibri"/>
                <w:szCs w:val="21"/>
              </w:rPr>
            </w:pPr>
          </w:p>
        </w:tc>
        <w:tc>
          <w:tcPr>
            <w:tcW w:w="1212" w:type="dxa"/>
            <w:tcBorders>
              <w:top w:val="single" w:color="auto" w:sz="4" w:space="0"/>
              <w:left w:val="single" w:color="auto" w:sz="4" w:space="0"/>
              <w:bottom w:val="single" w:color="auto" w:sz="4" w:space="0"/>
              <w:right w:val="single" w:color="auto" w:sz="4" w:space="0"/>
            </w:tcBorders>
            <w:vAlign w:val="top"/>
          </w:tcPr>
          <w:p>
            <w:pPr>
              <w:spacing w:line="360" w:lineRule="auto"/>
              <w:rPr>
                <w:rFonts w:cs="Calibri"/>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c>
          <w:tcPr>
            <w:tcW w:w="2268" w:type="dxa"/>
            <w:tcBorders>
              <w:top w:val="single" w:color="auto" w:sz="4" w:space="0"/>
              <w:left w:val="single" w:color="auto" w:sz="4" w:space="0"/>
              <w:bottom w:val="single" w:color="auto" w:sz="4" w:space="0"/>
              <w:right w:val="single" w:color="auto" w:sz="4" w:space="0"/>
            </w:tcBorders>
            <w:vAlign w:val="top"/>
          </w:tcPr>
          <w:p>
            <w:pPr>
              <w:spacing w:line="360" w:lineRule="auto"/>
              <w:rPr>
                <w:rFonts w:cs="Calibri"/>
                <w:szCs w:val="21"/>
              </w:rPr>
            </w:pPr>
          </w:p>
        </w:tc>
        <w:tc>
          <w:tcPr>
            <w:tcW w:w="2340" w:type="dxa"/>
            <w:tcBorders>
              <w:top w:val="single" w:color="auto" w:sz="4" w:space="0"/>
              <w:left w:val="single" w:color="auto" w:sz="4" w:space="0"/>
              <w:bottom w:val="single" w:color="auto" w:sz="4" w:space="0"/>
              <w:right w:val="single" w:color="auto" w:sz="4" w:space="0"/>
            </w:tcBorders>
            <w:vAlign w:val="top"/>
          </w:tcPr>
          <w:p>
            <w:pPr>
              <w:spacing w:line="360" w:lineRule="auto"/>
              <w:rPr>
                <w:rFonts w:cs="Calibri"/>
                <w:szCs w:val="21"/>
              </w:rPr>
            </w:pPr>
          </w:p>
        </w:tc>
        <w:tc>
          <w:tcPr>
            <w:tcW w:w="876" w:type="dxa"/>
            <w:tcBorders>
              <w:top w:val="single" w:color="auto" w:sz="4" w:space="0"/>
              <w:left w:val="single" w:color="auto" w:sz="4" w:space="0"/>
              <w:bottom w:val="single" w:color="auto" w:sz="4" w:space="0"/>
              <w:right w:val="single" w:color="auto" w:sz="4" w:space="0"/>
            </w:tcBorders>
            <w:vAlign w:val="top"/>
          </w:tcPr>
          <w:p>
            <w:pPr>
              <w:spacing w:line="360" w:lineRule="auto"/>
              <w:rPr>
                <w:rFonts w:cs="Calibri"/>
                <w:szCs w:val="21"/>
              </w:rPr>
            </w:pPr>
          </w:p>
        </w:tc>
        <w:tc>
          <w:tcPr>
            <w:tcW w:w="1356" w:type="dxa"/>
            <w:tcBorders>
              <w:top w:val="single" w:color="auto" w:sz="4" w:space="0"/>
              <w:left w:val="single" w:color="auto" w:sz="4" w:space="0"/>
              <w:bottom w:val="single" w:color="auto" w:sz="4" w:space="0"/>
              <w:right w:val="single" w:color="auto" w:sz="4" w:space="0"/>
            </w:tcBorders>
            <w:vAlign w:val="top"/>
          </w:tcPr>
          <w:p>
            <w:pPr>
              <w:spacing w:line="360" w:lineRule="auto"/>
              <w:rPr>
                <w:rFonts w:cs="Calibri"/>
                <w:szCs w:val="21"/>
              </w:rPr>
            </w:pPr>
          </w:p>
        </w:tc>
        <w:tc>
          <w:tcPr>
            <w:tcW w:w="1596" w:type="dxa"/>
            <w:tcBorders>
              <w:top w:val="single" w:color="auto" w:sz="4" w:space="0"/>
              <w:left w:val="single" w:color="auto" w:sz="4" w:space="0"/>
              <w:bottom w:val="single" w:color="auto" w:sz="4" w:space="0"/>
              <w:right w:val="single" w:color="auto" w:sz="4" w:space="0"/>
            </w:tcBorders>
            <w:vAlign w:val="top"/>
          </w:tcPr>
          <w:p>
            <w:pPr>
              <w:spacing w:line="360" w:lineRule="auto"/>
              <w:rPr>
                <w:rFonts w:cs="Calibri"/>
                <w:szCs w:val="21"/>
              </w:rPr>
            </w:pPr>
          </w:p>
        </w:tc>
        <w:tc>
          <w:tcPr>
            <w:tcW w:w="1212" w:type="dxa"/>
            <w:tcBorders>
              <w:top w:val="single" w:color="auto" w:sz="4" w:space="0"/>
              <w:left w:val="single" w:color="auto" w:sz="4" w:space="0"/>
              <w:bottom w:val="single" w:color="auto" w:sz="4" w:space="0"/>
              <w:right w:val="single" w:color="auto" w:sz="4" w:space="0"/>
            </w:tcBorders>
            <w:vAlign w:val="top"/>
          </w:tcPr>
          <w:p>
            <w:pPr>
              <w:spacing w:line="360" w:lineRule="auto"/>
              <w:rPr>
                <w:rFonts w:cs="Calibri"/>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c>
          <w:tcPr>
            <w:tcW w:w="2268" w:type="dxa"/>
            <w:tcBorders>
              <w:top w:val="single" w:color="auto" w:sz="4" w:space="0"/>
              <w:left w:val="single" w:color="auto" w:sz="4" w:space="0"/>
              <w:bottom w:val="single" w:color="auto" w:sz="4" w:space="0"/>
              <w:right w:val="single" w:color="auto" w:sz="4" w:space="0"/>
            </w:tcBorders>
            <w:vAlign w:val="top"/>
          </w:tcPr>
          <w:p>
            <w:pPr>
              <w:spacing w:line="360" w:lineRule="auto"/>
              <w:rPr>
                <w:rFonts w:cs="Calibri"/>
                <w:szCs w:val="21"/>
              </w:rPr>
            </w:pPr>
          </w:p>
        </w:tc>
        <w:tc>
          <w:tcPr>
            <w:tcW w:w="2340" w:type="dxa"/>
            <w:tcBorders>
              <w:top w:val="single" w:color="auto" w:sz="4" w:space="0"/>
              <w:left w:val="single" w:color="auto" w:sz="4" w:space="0"/>
              <w:bottom w:val="single" w:color="auto" w:sz="4" w:space="0"/>
              <w:right w:val="single" w:color="auto" w:sz="4" w:space="0"/>
            </w:tcBorders>
            <w:vAlign w:val="top"/>
          </w:tcPr>
          <w:p>
            <w:pPr>
              <w:spacing w:line="360" w:lineRule="auto"/>
              <w:rPr>
                <w:rFonts w:cs="Calibri"/>
                <w:szCs w:val="21"/>
              </w:rPr>
            </w:pPr>
          </w:p>
        </w:tc>
        <w:tc>
          <w:tcPr>
            <w:tcW w:w="876" w:type="dxa"/>
            <w:tcBorders>
              <w:top w:val="single" w:color="auto" w:sz="4" w:space="0"/>
              <w:left w:val="single" w:color="auto" w:sz="4" w:space="0"/>
              <w:bottom w:val="single" w:color="auto" w:sz="4" w:space="0"/>
              <w:right w:val="single" w:color="auto" w:sz="4" w:space="0"/>
            </w:tcBorders>
            <w:vAlign w:val="top"/>
          </w:tcPr>
          <w:p>
            <w:pPr>
              <w:spacing w:line="360" w:lineRule="auto"/>
              <w:rPr>
                <w:rFonts w:cs="Calibri"/>
                <w:szCs w:val="21"/>
              </w:rPr>
            </w:pPr>
          </w:p>
        </w:tc>
        <w:tc>
          <w:tcPr>
            <w:tcW w:w="1356" w:type="dxa"/>
            <w:tcBorders>
              <w:top w:val="single" w:color="auto" w:sz="4" w:space="0"/>
              <w:left w:val="single" w:color="auto" w:sz="4" w:space="0"/>
              <w:bottom w:val="single" w:color="auto" w:sz="4" w:space="0"/>
              <w:right w:val="single" w:color="auto" w:sz="4" w:space="0"/>
            </w:tcBorders>
            <w:vAlign w:val="top"/>
          </w:tcPr>
          <w:p>
            <w:pPr>
              <w:spacing w:line="360" w:lineRule="auto"/>
              <w:rPr>
                <w:rFonts w:cs="Calibri"/>
                <w:szCs w:val="21"/>
              </w:rPr>
            </w:pPr>
          </w:p>
        </w:tc>
        <w:tc>
          <w:tcPr>
            <w:tcW w:w="1596" w:type="dxa"/>
            <w:tcBorders>
              <w:top w:val="single" w:color="auto" w:sz="4" w:space="0"/>
              <w:left w:val="single" w:color="auto" w:sz="4" w:space="0"/>
              <w:bottom w:val="single" w:color="auto" w:sz="4" w:space="0"/>
              <w:right w:val="single" w:color="auto" w:sz="4" w:space="0"/>
            </w:tcBorders>
            <w:vAlign w:val="top"/>
          </w:tcPr>
          <w:p>
            <w:pPr>
              <w:spacing w:line="360" w:lineRule="auto"/>
              <w:rPr>
                <w:rFonts w:cs="Calibri"/>
                <w:szCs w:val="21"/>
              </w:rPr>
            </w:pPr>
          </w:p>
        </w:tc>
        <w:tc>
          <w:tcPr>
            <w:tcW w:w="1212" w:type="dxa"/>
            <w:tcBorders>
              <w:top w:val="single" w:color="auto" w:sz="4" w:space="0"/>
              <w:left w:val="single" w:color="auto" w:sz="4" w:space="0"/>
              <w:bottom w:val="single" w:color="auto" w:sz="4" w:space="0"/>
              <w:right w:val="single" w:color="auto" w:sz="4" w:space="0"/>
            </w:tcBorders>
            <w:vAlign w:val="top"/>
          </w:tcPr>
          <w:p>
            <w:pPr>
              <w:spacing w:line="360" w:lineRule="auto"/>
              <w:rPr>
                <w:rFonts w:cs="Calibri"/>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c>
          <w:tcPr>
            <w:tcW w:w="2268" w:type="dxa"/>
            <w:tcBorders>
              <w:top w:val="single" w:color="auto" w:sz="4" w:space="0"/>
              <w:left w:val="single" w:color="auto" w:sz="4" w:space="0"/>
              <w:bottom w:val="single" w:color="auto" w:sz="4" w:space="0"/>
              <w:right w:val="single" w:color="auto" w:sz="4" w:space="0"/>
            </w:tcBorders>
            <w:vAlign w:val="top"/>
          </w:tcPr>
          <w:p>
            <w:pPr>
              <w:spacing w:line="360" w:lineRule="auto"/>
              <w:rPr>
                <w:rFonts w:cs="Calibri"/>
                <w:szCs w:val="21"/>
              </w:rPr>
            </w:pPr>
          </w:p>
        </w:tc>
        <w:tc>
          <w:tcPr>
            <w:tcW w:w="2340" w:type="dxa"/>
            <w:tcBorders>
              <w:top w:val="single" w:color="auto" w:sz="4" w:space="0"/>
              <w:left w:val="single" w:color="auto" w:sz="4" w:space="0"/>
              <w:bottom w:val="single" w:color="auto" w:sz="4" w:space="0"/>
              <w:right w:val="single" w:color="auto" w:sz="4" w:space="0"/>
            </w:tcBorders>
            <w:vAlign w:val="top"/>
          </w:tcPr>
          <w:p>
            <w:pPr>
              <w:spacing w:line="360" w:lineRule="auto"/>
              <w:rPr>
                <w:rFonts w:cs="Calibri"/>
                <w:szCs w:val="21"/>
              </w:rPr>
            </w:pPr>
          </w:p>
        </w:tc>
        <w:tc>
          <w:tcPr>
            <w:tcW w:w="876" w:type="dxa"/>
            <w:tcBorders>
              <w:top w:val="single" w:color="auto" w:sz="4" w:space="0"/>
              <w:left w:val="single" w:color="auto" w:sz="4" w:space="0"/>
              <w:bottom w:val="single" w:color="auto" w:sz="4" w:space="0"/>
              <w:right w:val="single" w:color="auto" w:sz="4" w:space="0"/>
            </w:tcBorders>
            <w:vAlign w:val="top"/>
          </w:tcPr>
          <w:p>
            <w:pPr>
              <w:spacing w:line="360" w:lineRule="auto"/>
              <w:rPr>
                <w:rFonts w:cs="Calibri"/>
                <w:szCs w:val="21"/>
              </w:rPr>
            </w:pPr>
          </w:p>
        </w:tc>
        <w:tc>
          <w:tcPr>
            <w:tcW w:w="1356" w:type="dxa"/>
            <w:tcBorders>
              <w:top w:val="single" w:color="auto" w:sz="4" w:space="0"/>
              <w:left w:val="single" w:color="auto" w:sz="4" w:space="0"/>
              <w:bottom w:val="single" w:color="auto" w:sz="4" w:space="0"/>
              <w:right w:val="single" w:color="auto" w:sz="4" w:space="0"/>
            </w:tcBorders>
            <w:vAlign w:val="top"/>
          </w:tcPr>
          <w:p>
            <w:pPr>
              <w:spacing w:line="360" w:lineRule="auto"/>
              <w:rPr>
                <w:rFonts w:cs="Calibri"/>
                <w:szCs w:val="21"/>
              </w:rPr>
            </w:pPr>
          </w:p>
        </w:tc>
        <w:tc>
          <w:tcPr>
            <w:tcW w:w="1596" w:type="dxa"/>
            <w:tcBorders>
              <w:top w:val="single" w:color="auto" w:sz="4" w:space="0"/>
              <w:left w:val="single" w:color="auto" w:sz="4" w:space="0"/>
              <w:bottom w:val="single" w:color="auto" w:sz="4" w:space="0"/>
              <w:right w:val="single" w:color="auto" w:sz="4" w:space="0"/>
            </w:tcBorders>
            <w:vAlign w:val="top"/>
          </w:tcPr>
          <w:p>
            <w:pPr>
              <w:spacing w:line="360" w:lineRule="auto"/>
              <w:rPr>
                <w:rFonts w:cs="Calibri"/>
                <w:szCs w:val="21"/>
              </w:rPr>
            </w:pPr>
          </w:p>
        </w:tc>
        <w:tc>
          <w:tcPr>
            <w:tcW w:w="1212" w:type="dxa"/>
            <w:tcBorders>
              <w:top w:val="single" w:color="auto" w:sz="4" w:space="0"/>
              <w:left w:val="single" w:color="auto" w:sz="4" w:space="0"/>
              <w:bottom w:val="single" w:color="auto" w:sz="4" w:space="0"/>
              <w:right w:val="single" w:color="auto" w:sz="4" w:space="0"/>
            </w:tcBorders>
            <w:vAlign w:val="top"/>
          </w:tcPr>
          <w:p>
            <w:pPr>
              <w:spacing w:line="360" w:lineRule="auto"/>
              <w:rPr>
                <w:rFonts w:cs="Calibri"/>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c>
          <w:tcPr>
            <w:tcW w:w="2268" w:type="dxa"/>
            <w:tcBorders>
              <w:top w:val="single" w:color="auto" w:sz="4" w:space="0"/>
              <w:left w:val="single" w:color="auto" w:sz="4" w:space="0"/>
              <w:bottom w:val="single" w:color="auto" w:sz="4" w:space="0"/>
              <w:right w:val="single" w:color="auto" w:sz="4" w:space="0"/>
            </w:tcBorders>
            <w:vAlign w:val="top"/>
          </w:tcPr>
          <w:p>
            <w:pPr>
              <w:spacing w:line="360" w:lineRule="auto"/>
              <w:rPr>
                <w:rFonts w:cs="Calibri"/>
                <w:szCs w:val="21"/>
              </w:rPr>
            </w:pPr>
          </w:p>
        </w:tc>
        <w:tc>
          <w:tcPr>
            <w:tcW w:w="2340" w:type="dxa"/>
            <w:tcBorders>
              <w:top w:val="single" w:color="auto" w:sz="4" w:space="0"/>
              <w:left w:val="single" w:color="auto" w:sz="4" w:space="0"/>
              <w:bottom w:val="single" w:color="auto" w:sz="4" w:space="0"/>
              <w:right w:val="single" w:color="auto" w:sz="4" w:space="0"/>
            </w:tcBorders>
            <w:vAlign w:val="top"/>
          </w:tcPr>
          <w:p>
            <w:pPr>
              <w:spacing w:line="360" w:lineRule="auto"/>
              <w:rPr>
                <w:rFonts w:cs="Calibri"/>
                <w:szCs w:val="21"/>
              </w:rPr>
            </w:pPr>
          </w:p>
        </w:tc>
        <w:tc>
          <w:tcPr>
            <w:tcW w:w="876" w:type="dxa"/>
            <w:tcBorders>
              <w:top w:val="single" w:color="auto" w:sz="4" w:space="0"/>
              <w:left w:val="single" w:color="auto" w:sz="4" w:space="0"/>
              <w:bottom w:val="single" w:color="auto" w:sz="4" w:space="0"/>
              <w:right w:val="single" w:color="auto" w:sz="4" w:space="0"/>
            </w:tcBorders>
            <w:vAlign w:val="top"/>
          </w:tcPr>
          <w:p>
            <w:pPr>
              <w:spacing w:line="360" w:lineRule="auto"/>
              <w:rPr>
                <w:rFonts w:cs="Calibri"/>
                <w:szCs w:val="21"/>
              </w:rPr>
            </w:pPr>
          </w:p>
        </w:tc>
        <w:tc>
          <w:tcPr>
            <w:tcW w:w="1356" w:type="dxa"/>
            <w:tcBorders>
              <w:top w:val="single" w:color="auto" w:sz="4" w:space="0"/>
              <w:left w:val="single" w:color="auto" w:sz="4" w:space="0"/>
              <w:bottom w:val="single" w:color="auto" w:sz="4" w:space="0"/>
              <w:right w:val="single" w:color="auto" w:sz="4" w:space="0"/>
            </w:tcBorders>
            <w:vAlign w:val="top"/>
          </w:tcPr>
          <w:p>
            <w:pPr>
              <w:spacing w:line="360" w:lineRule="auto"/>
              <w:rPr>
                <w:rFonts w:cs="Calibri"/>
                <w:szCs w:val="21"/>
              </w:rPr>
            </w:pPr>
          </w:p>
        </w:tc>
        <w:tc>
          <w:tcPr>
            <w:tcW w:w="1596" w:type="dxa"/>
            <w:tcBorders>
              <w:top w:val="single" w:color="auto" w:sz="4" w:space="0"/>
              <w:left w:val="single" w:color="auto" w:sz="4" w:space="0"/>
              <w:bottom w:val="single" w:color="auto" w:sz="4" w:space="0"/>
              <w:right w:val="single" w:color="auto" w:sz="4" w:space="0"/>
            </w:tcBorders>
            <w:vAlign w:val="top"/>
          </w:tcPr>
          <w:p>
            <w:pPr>
              <w:spacing w:line="360" w:lineRule="auto"/>
              <w:rPr>
                <w:rFonts w:cs="Calibri"/>
                <w:szCs w:val="21"/>
              </w:rPr>
            </w:pPr>
          </w:p>
        </w:tc>
        <w:tc>
          <w:tcPr>
            <w:tcW w:w="1212" w:type="dxa"/>
            <w:tcBorders>
              <w:top w:val="single" w:color="auto" w:sz="4" w:space="0"/>
              <w:left w:val="single" w:color="auto" w:sz="4" w:space="0"/>
              <w:bottom w:val="single" w:color="auto" w:sz="4" w:space="0"/>
              <w:right w:val="single" w:color="auto" w:sz="4" w:space="0"/>
            </w:tcBorders>
            <w:vAlign w:val="top"/>
          </w:tcPr>
          <w:p>
            <w:pPr>
              <w:spacing w:line="360" w:lineRule="auto"/>
              <w:rPr>
                <w:rFonts w:cs="Calibri"/>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c>
          <w:tcPr>
            <w:tcW w:w="2268" w:type="dxa"/>
            <w:tcBorders>
              <w:top w:val="single" w:color="auto" w:sz="4" w:space="0"/>
              <w:left w:val="single" w:color="auto" w:sz="4" w:space="0"/>
              <w:bottom w:val="single" w:color="auto" w:sz="4" w:space="0"/>
              <w:right w:val="single" w:color="auto" w:sz="4" w:space="0"/>
            </w:tcBorders>
            <w:vAlign w:val="top"/>
          </w:tcPr>
          <w:p>
            <w:pPr>
              <w:spacing w:line="360" w:lineRule="auto"/>
              <w:rPr>
                <w:rFonts w:cs="Calibri"/>
                <w:szCs w:val="21"/>
              </w:rPr>
            </w:pPr>
          </w:p>
        </w:tc>
        <w:tc>
          <w:tcPr>
            <w:tcW w:w="2340" w:type="dxa"/>
            <w:tcBorders>
              <w:top w:val="single" w:color="auto" w:sz="4" w:space="0"/>
              <w:left w:val="single" w:color="auto" w:sz="4" w:space="0"/>
              <w:bottom w:val="single" w:color="auto" w:sz="4" w:space="0"/>
              <w:right w:val="single" w:color="auto" w:sz="4" w:space="0"/>
            </w:tcBorders>
            <w:vAlign w:val="top"/>
          </w:tcPr>
          <w:p>
            <w:pPr>
              <w:spacing w:line="360" w:lineRule="auto"/>
              <w:rPr>
                <w:rFonts w:cs="Calibri"/>
                <w:szCs w:val="21"/>
              </w:rPr>
            </w:pPr>
          </w:p>
        </w:tc>
        <w:tc>
          <w:tcPr>
            <w:tcW w:w="876" w:type="dxa"/>
            <w:tcBorders>
              <w:top w:val="single" w:color="auto" w:sz="4" w:space="0"/>
              <w:left w:val="single" w:color="auto" w:sz="4" w:space="0"/>
              <w:bottom w:val="single" w:color="auto" w:sz="4" w:space="0"/>
              <w:right w:val="single" w:color="auto" w:sz="4" w:space="0"/>
            </w:tcBorders>
            <w:vAlign w:val="top"/>
          </w:tcPr>
          <w:p>
            <w:pPr>
              <w:spacing w:line="360" w:lineRule="auto"/>
              <w:rPr>
                <w:rFonts w:cs="Calibri"/>
                <w:szCs w:val="21"/>
              </w:rPr>
            </w:pPr>
          </w:p>
        </w:tc>
        <w:tc>
          <w:tcPr>
            <w:tcW w:w="1356" w:type="dxa"/>
            <w:tcBorders>
              <w:top w:val="single" w:color="auto" w:sz="4" w:space="0"/>
              <w:left w:val="single" w:color="auto" w:sz="4" w:space="0"/>
              <w:bottom w:val="single" w:color="auto" w:sz="4" w:space="0"/>
              <w:right w:val="single" w:color="auto" w:sz="4" w:space="0"/>
            </w:tcBorders>
            <w:vAlign w:val="top"/>
          </w:tcPr>
          <w:p>
            <w:pPr>
              <w:spacing w:line="360" w:lineRule="auto"/>
              <w:rPr>
                <w:rFonts w:cs="Calibri"/>
                <w:szCs w:val="21"/>
              </w:rPr>
            </w:pPr>
          </w:p>
        </w:tc>
        <w:tc>
          <w:tcPr>
            <w:tcW w:w="1596" w:type="dxa"/>
            <w:tcBorders>
              <w:top w:val="single" w:color="auto" w:sz="4" w:space="0"/>
              <w:left w:val="single" w:color="auto" w:sz="4" w:space="0"/>
              <w:bottom w:val="single" w:color="auto" w:sz="4" w:space="0"/>
              <w:right w:val="single" w:color="auto" w:sz="4" w:space="0"/>
            </w:tcBorders>
            <w:vAlign w:val="top"/>
          </w:tcPr>
          <w:p>
            <w:pPr>
              <w:spacing w:line="360" w:lineRule="auto"/>
              <w:rPr>
                <w:rFonts w:cs="Calibri"/>
                <w:szCs w:val="21"/>
              </w:rPr>
            </w:pPr>
          </w:p>
        </w:tc>
        <w:tc>
          <w:tcPr>
            <w:tcW w:w="1212" w:type="dxa"/>
            <w:tcBorders>
              <w:top w:val="single" w:color="auto" w:sz="4" w:space="0"/>
              <w:left w:val="single" w:color="auto" w:sz="4" w:space="0"/>
              <w:bottom w:val="single" w:color="auto" w:sz="4" w:space="0"/>
              <w:right w:val="single" w:color="auto" w:sz="4" w:space="0"/>
            </w:tcBorders>
            <w:vAlign w:val="top"/>
          </w:tcPr>
          <w:p>
            <w:pPr>
              <w:spacing w:line="360" w:lineRule="auto"/>
              <w:rPr>
                <w:rFonts w:cs="Calibri"/>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c>
          <w:tcPr>
            <w:tcW w:w="2268" w:type="dxa"/>
            <w:tcBorders>
              <w:top w:val="single" w:color="auto" w:sz="4" w:space="0"/>
              <w:left w:val="single" w:color="auto" w:sz="4" w:space="0"/>
              <w:bottom w:val="single" w:color="auto" w:sz="4" w:space="0"/>
              <w:right w:val="single" w:color="auto" w:sz="4" w:space="0"/>
            </w:tcBorders>
            <w:vAlign w:val="top"/>
          </w:tcPr>
          <w:p>
            <w:pPr>
              <w:spacing w:line="360" w:lineRule="auto"/>
              <w:rPr>
                <w:rFonts w:cs="Calibri"/>
                <w:szCs w:val="21"/>
              </w:rPr>
            </w:pPr>
          </w:p>
        </w:tc>
        <w:tc>
          <w:tcPr>
            <w:tcW w:w="2340" w:type="dxa"/>
            <w:tcBorders>
              <w:top w:val="single" w:color="auto" w:sz="4" w:space="0"/>
              <w:left w:val="single" w:color="auto" w:sz="4" w:space="0"/>
              <w:bottom w:val="single" w:color="auto" w:sz="4" w:space="0"/>
              <w:right w:val="single" w:color="auto" w:sz="4" w:space="0"/>
            </w:tcBorders>
            <w:vAlign w:val="top"/>
          </w:tcPr>
          <w:p>
            <w:pPr>
              <w:spacing w:line="360" w:lineRule="auto"/>
              <w:rPr>
                <w:rFonts w:cs="Calibri"/>
                <w:szCs w:val="21"/>
              </w:rPr>
            </w:pPr>
          </w:p>
        </w:tc>
        <w:tc>
          <w:tcPr>
            <w:tcW w:w="876" w:type="dxa"/>
            <w:tcBorders>
              <w:top w:val="single" w:color="auto" w:sz="4" w:space="0"/>
              <w:left w:val="single" w:color="auto" w:sz="4" w:space="0"/>
              <w:bottom w:val="single" w:color="auto" w:sz="4" w:space="0"/>
              <w:right w:val="single" w:color="auto" w:sz="4" w:space="0"/>
            </w:tcBorders>
            <w:vAlign w:val="top"/>
          </w:tcPr>
          <w:p>
            <w:pPr>
              <w:spacing w:line="360" w:lineRule="auto"/>
              <w:rPr>
                <w:rFonts w:cs="Calibri"/>
                <w:szCs w:val="21"/>
              </w:rPr>
            </w:pPr>
          </w:p>
        </w:tc>
        <w:tc>
          <w:tcPr>
            <w:tcW w:w="1356" w:type="dxa"/>
            <w:tcBorders>
              <w:top w:val="single" w:color="auto" w:sz="4" w:space="0"/>
              <w:left w:val="single" w:color="auto" w:sz="4" w:space="0"/>
              <w:bottom w:val="single" w:color="auto" w:sz="4" w:space="0"/>
              <w:right w:val="single" w:color="auto" w:sz="4" w:space="0"/>
            </w:tcBorders>
            <w:vAlign w:val="top"/>
          </w:tcPr>
          <w:p>
            <w:pPr>
              <w:spacing w:line="360" w:lineRule="auto"/>
              <w:rPr>
                <w:rFonts w:cs="Calibri"/>
                <w:szCs w:val="21"/>
              </w:rPr>
            </w:pPr>
          </w:p>
        </w:tc>
        <w:tc>
          <w:tcPr>
            <w:tcW w:w="1596" w:type="dxa"/>
            <w:tcBorders>
              <w:top w:val="single" w:color="auto" w:sz="4" w:space="0"/>
              <w:left w:val="single" w:color="auto" w:sz="4" w:space="0"/>
              <w:bottom w:val="single" w:color="auto" w:sz="4" w:space="0"/>
              <w:right w:val="single" w:color="auto" w:sz="4" w:space="0"/>
            </w:tcBorders>
            <w:vAlign w:val="top"/>
          </w:tcPr>
          <w:p>
            <w:pPr>
              <w:spacing w:line="360" w:lineRule="auto"/>
              <w:rPr>
                <w:rFonts w:cs="Calibri"/>
                <w:szCs w:val="21"/>
              </w:rPr>
            </w:pPr>
          </w:p>
        </w:tc>
        <w:tc>
          <w:tcPr>
            <w:tcW w:w="1212" w:type="dxa"/>
            <w:tcBorders>
              <w:top w:val="single" w:color="auto" w:sz="4" w:space="0"/>
              <w:left w:val="single" w:color="auto" w:sz="4" w:space="0"/>
              <w:bottom w:val="single" w:color="auto" w:sz="4" w:space="0"/>
              <w:right w:val="single" w:color="auto" w:sz="4" w:space="0"/>
            </w:tcBorders>
            <w:vAlign w:val="top"/>
          </w:tcPr>
          <w:p>
            <w:pPr>
              <w:spacing w:line="360" w:lineRule="auto"/>
              <w:rPr>
                <w:rFonts w:cs="Calibri"/>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c>
          <w:tcPr>
            <w:tcW w:w="2268" w:type="dxa"/>
            <w:tcBorders>
              <w:top w:val="single" w:color="auto" w:sz="4" w:space="0"/>
              <w:left w:val="single" w:color="auto" w:sz="4" w:space="0"/>
              <w:bottom w:val="single" w:color="auto" w:sz="4" w:space="0"/>
              <w:right w:val="single" w:color="auto" w:sz="4" w:space="0"/>
            </w:tcBorders>
            <w:vAlign w:val="top"/>
          </w:tcPr>
          <w:p>
            <w:pPr>
              <w:spacing w:line="360" w:lineRule="auto"/>
              <w:rPr>
                <w:rFonts w:cs="Calibri"/>
                <w:szCs w:val="21"/>
              </w:rPr>
            </w:pPr>
          </w:p>
        </w:tc>
        <w:tc>
          <w:tcPr>
            <w:tcW w:w="2340" w:type="dxa"/>
            <w:tcBorders>
              <w:top w:val="single" w:color="auto" w:sz="4" w:space="0"/>
              <w:left w:val="single" w:color="auto" w:sz="4" w:space="0"/>
              <w:bottom w:val="single" w:color="auto" w:sz="4" w:space="0"/>
              <w:right w:val="single" w:color="auto" w:sz="4" w:space="0"/>
            </w:tcBorders>
            <w:vAlign w:val="top"/>
          </w:tcPr>
          <w:p>
            <w:pPr>
              <w:spacing w:line="360" w:lineRule="auto"/>
              <w:rPr>
                <w:rFonts w:cs="Calibri"/>
                <w:szCs w:val="21"/>
              </w:rPr>
            </w:pPr>
          </w:p>
        </w:tc>
        <w:tc>
          <w:tcPr>
            <w:tcW w:w="876" w:type="dxa"/>
            <w:tcBorders>
              <w:top w:val="single" w:color="auto" w:sz="4" w:space="0"/>
              <w:left w:val="single" w:color="auto" w:sz="4" w:space="0"/>
              <w:bottom w:val="single" w:color="auto" w:sz="4" w:space="0"/>
              <w:right w:val="single" w:color="auto" w:sz="4" w:space="0"/>
            </w:tcBorders>
            <w:vAlign w:val="top"/>
          </w:tcPr>
          <w:p>
            <w:pPr>
              <w:spacing w:line="360" w:lineRule="auto"/>
              <w:rPr>
                <w:rFonts w:cs="Calibri"/>
                <w:szCs w:val="21"/>
              </w:rPr>
            </w:pPr>
          </w:p>
        </w:tc>
        <w:tc>
          <w:tcPr>
            <w:tcW w:w="1356" w:type="dxa"/>
            <w:tcBorders>
              <w:top w:val="single" w:color="auto" w:sz="4" w:space="0"/>
              <w:left w:val="single" w:color="auto" w:sz="4" w:space="0"/>
              <w:bottom w:val="single" w:color="auto" w:sz="4" w:space="0"/>
              <w:right w:val="single" w:color="auto" w:sz="4" w:space="0"/>
            </w:tcBorders>
            <w:vAlign w:val="top"/>
          </w:tcPr>
          <w:p>
            <w:pPr>
              <w:spacing w:line="360" w:lineRule="auto"/>
              <w:rPr>
                <w:rFonts w:cs="Calibri"/>
                <w:szCs w:val="21"/>
              </w:rPr>
            </w:pPr>
          </w:p>
        </w:tc>
        <w:tc>
          <w:tcPr>
            <w:tcW w:w="1596" w:type="dxa"/>
            <w:tcBorders>
              <w:top w:val="single" w:color="auto" w:sz="4" w:space="0"/>
              <w:left w:val="single" w:color="auto" w:sz="4" w:space="0"/>
              <w:bottom w:val="single" w:color="auto" w:sz="4" w:space="0"/>
              <w:right w:val="single" w:color="auto" w:sz="4" w:space="0"/>
            </w:tcBorders>
            <w:vAlign w:val="top"/>
          </w:tcPr>
          <w:p>
            <w:pPr>
              <w:spacing w:line="360" w:lineRule="auto"/>
              <w:rPr>
                <w:rFonts w:cs="Calibri"/>
                <w:szCs w:val="21"/>
              </w:rPr>
            </w:pPr>
          </w:p>
        </w:tc>
        <w:tc>
          <w:tcPr>
            <w:tcW w:w="1212" w:type="dxa"/>
            <w:tcBorders>
              <w:top w:val="single" w:color="auto" w:sz="4" w:space="0"/>
              <w:left w:val="single" w:color="auto" w:sz="4" w:space="0"/>
              <w:bottom w:val="single" w:color="auto" w:sz="4" w:space="0"/>
              <w:right w:val="single" w:color="auto" w:sz="4" w:space="0"/>
            </w:tcBorders>
            <w:vAlign w:val="top"/>
          </w:tcPr>
          <w:p>
            <w:pPr>
              <w:spacing w:line="360" w:lineRule="auto"/>
              <w:rPr>
                <w:rFonts w:cs="Calibri"/>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c>
          <w:tcPr>
            <w:tcW w:w="2268" w:type="dxa"/>
            <w:tcBorders>
              <w:top w:val="single" w:color="auto" w:sz="4" w:space="0"/>
              <w:left w:val="single" w:color="auto" w:sz="4" w:space="0"/>
              <w:bottom w:val="single" w:color="auto" w:sz="4" w:space="0"/>
              <w:right w:val="single" w:color="auto" w:sz="4" w:space="0"/>
            </w:tcBorders>
            <w:vAlign w:val="top"/>
          </w:tcPr>
          <w:p>
            <w:pPr>
              <w:spacing w:line="360" w:lineRule="auto"/>
              <w:rPr>
                <w:rFonts w:cs="Calibri"/>
                <w:szCs w:val="21"/>
              </w:rPr>
            </w:pPr>
          </w:p>
        </w:tc>
        <w:tc>
          <w:tcPr>
            <w:tcW w:w="2340" w:type="dxa"/>
            <w:tcBorders>
              <w:top w:val="single" w:color="auto" w:sz="4" w:space="0"/>
              <w:left w:val="single" w:color="auto" w:sz="4" w:space="0"/>
              <w:bottom w:val="single" w:color="auto" w:sz="4" w:space="0"/>
              <w:right w:val="single" w:color="auto" w:sz="4" w:space="0"/>
            </w:tcBorders>
            <w:vAlign w:val="top"/>
          </w:tcPr>
          <w:p>
            <w:pPr>
              <w:spacing w:line="360" w:lineRule="auto"/>
              <w:rPr>
                <w:rFonts w:cs="Calibri"/>
                <w:szCs w:val="21"/>
              </w:rPr>
            </w:pPr>
          </w:p>
        </w:tc>
        <w:tc>
          <w:tcPr>
            <w:tcW w:w="876" w:type="dxa"/>
            <w:tcBorders>
              <w:top w:val="single" w:color="auto" w:sz="4" w:space="0"/>
              <w:left w:val="single" w:color="auto" w:sz="4" w:space="0"/>
              <w:bottom w:val="single" w:color="auto" w:sz="4" w:space="0"/>
              <w:right w:val="single" w:color="auto" w:sz="4" w:space="0"/>
            </w:tcBorders>
            <w:vAlign w:val="top"/>
          </w:tcPr>
          <w:p>
            <w:pPr>
              <w:spacing w:line="360" w:lineRule="auto"/>
              <w:rPr>
                <w:rFonts w:cs="Calibri"/>
                <w:szCs w:val="21"/>
              </w:rPr>
            </w:pPr>
          </w:p>
        </w:tc>
        <w:tc>
          <w:tcPr>
            <w:tcW w:w="1356" w:type="dxa"/>
            <w:tcBorders>
              <w:top w:val="single" w:color="auto" w:sz="4" w:space="0"/>
              <w:left w:val="single" w:color="auto" w:sz="4" w:space="0"/>
              <w:bottom w:val="single" w:color="auto" w:sz="4" w:space="0"/>
              <w:right w:val="single" w:color="auto" w:sz="4" w:space="0"/>
            </w:tcBorders>
            <w:vAlign w:val="top"/>
          </w:tcPr>
          <w:p>
            <w:pPr>
              <w:spacing w:line="360" w:lineRule="auto"/>
              <w:rPr>
                <w:rFonts w:cs="Calibri"/>
                <w:szCs w:val="21"/>
              </w:rPr>
            </w:pPr>
          </w:p>
        </w:tc>
        <w:tc>
          <w:tcPr>
            <w:tcW w:w="1596" w:type="dxa"/>
            <w:tcBorders>
              <w:top w:val="single" w:color="auto" w:sz="4" w:space="0"/>
              <w:left w:val="single" w:color="auto" w:sz="4" w:space="0"/>
              <w:bottom w:val="single" w:color="auto" w:sz="4" w:space="0"/>
              <w:right w:val="single" w:color="auto" w:sz="4" w:space="0"/>
            </w:tcBorders>
            <w:vAlign w:val="top"/>
          </w:tcPr>
          <w:p>
            <w:pPr>
              <w:spacing w:line="360" w:lineRule="auto"/>
              <w:rPr>
                <w:rFonts w:cs="Calibri"/>
                <w:szCs w:val="21"/>
              </w:rPr>
            </w:pPr>
          </w:p>
        </w:tc>
        <w:tc>
          <w:tcPr>
            <w:tcW w:w="1212" w:type="dxa"/>
            <w:tcBorders>
              <w:top w:val="single" w:color="auto" w:sz="4" w:space="0"/>
              <w:left w:val="single" w:color="auto" w:sz="4" w:space="0"/>
              <w:bottom w:val="single" w:color="auto" w:sz="4" w:space="0"/>
              <w:right w:val="single" w:color="auto" w:sz="4" w:space="0"/>
            </w:tcBorders>
            <w:vAlign w:val="top"/>
          </w:tcPr>
          <w:p>
            <w:pPr>
              <w:spacing w:line="360" w:lineRule="auto"/>
              <w:rPr>
                <w:rFonts w:cs="Calibri"/>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c>
          <w:tcPr>
            <w:tcW w:w="2268" w:type="dxa"/>
            <w:tcBorders>
              <w:top w:val="single" w:color="auto" w:sz="4" w:space="0"/>
              <w:left w:val="single" w:color="auto" w:sz="4" w:space="0"/>
              <w:bottom w:val="single" w:color="auto" w:sz="4" w:space="0"/>
              <w:right w:val="single" w:color="auto" w:sz="4" w:space="0"/>
            </w:tcBorders>
            <w:vAlign w:val="top"/>
          </w:tcPr>
          <w:p>
            <w:pPr>
              <w:spacing w:line="360" w:lineRule="auto"/>
              <w:rPr>
                <w:rFonts w:cs="Calibri"/>
                <w:szCs w:val="21"/>
              </w:rPr>
            </w:pPr>
          </w:p>
        </w:tc>
        <w:tc>
          <w:tcPr>
            <w:tcW w:w="2340" w:type="dxa"/>
            <w:tcBorders>
              <w:top w:val="single" w:color="auto" w:sz="4" w:space="0"/>
              <w:left w:val="single" w:color="auto" w:sz="4" w:space="0"/>
              <w:bottom w:val="single" w:color="auto" w:sz="4" w:space="0"/>
              <w:right w:val="single" w:color="auto" w:sz="4" w:space="0"/>
            </w:tcBorders>
            <w:vAlign w:val="top"/>
          </w:tcPr>
          <w:p>
            <w:pPr>
              <w:spacing w:line="360" w:lineRule="auto"/>
              <w:rPr>
                <w:rFonts w:cs="Calibri"/>
                <w:szCs w:val="21"/>
              </w:rPr>
            </w:pPr>
          </w:p>
        </w:tc>
        <w:tc>
          <w:tcPr>
            <w:tcW w:w="876" w:type="dxa"/>
            <w:tcBorders>
              <w:top w:val="single" w:color="auto" w:sz="4" w:space="0"/>
              <w:left w:val="single" w:color="auto" w:sz="4" w:space="0"/>
              <w:bottom w:val="single" w:color="auto" w:sz="4" w:space="0"/>
              <w:right w:val="single" w:color="auto" w:sz="4" w:space="0"/>
            </w:tcBorders>
            <w:vAlign w:val="top"/>
          </w:tcPr>
          <w:p>
            <w:pPr>
              <w:spacing w:line="360" w:lineRule="auto"/>
              <w:rPr>
                <w:rFonts w:cs="Calibri"/>
                <w:szCs w:val="21"/>
              </w:rPr>
            </w:pPr>
          </w:p>
        </w:tc>
        <w:tc>
          <w:tcPr>
            <w:tcW w:w="1356" w:type="dxa"/>
            <w:tcBorders>
              <w:top w:val="single" w:color="auto" w:sz="4" w:space="0"/>
              <w:left w:val="single" w:color="auto" w:sz="4" w:space="0"/>
              <w:bottom w:val="single" w:color="auto" w:sz="4" w:space="0"/>
              <w:right w:val="single" w:color="auto" w:sz="4" w:space="0"/>
            </w:tcBorders>
            <w:vAlign w:val="top"/>
          </w:tcPr>
          <w:p>
            <w:pPr>
              <w:spacing w:line="360" w:lineRule="auto"/>
              <w:rPr>
                <w:rFonts w:cs="Calibri"/>
                <w:szCs w:val="21"/>
              </w:rPr>
            </w:pPr>
          </w:p>
        </w:tc>
        <w:tc>
          <w:tcPr>
            <w:tcW w:w="1596" w:type="dxa"/>
            <w:tcBorders>
              <w:top w:val="single" w:color="auto" w:sz="4" w:space="0"/>
              <w:left w:val="single" w:color="auto" w:sz="4" w:space="0"/>
              <w:bottom w:val="single" w:color="auto" w:sz="4" w:space="0"/>
              <w:right w:val="single" w:color="auto" w:sz="4" w:space="0"/>
            </w:tcBorders>
            <w:vAlign w:val="top"/>
          </w:tcPr>
          <w:p>
            <w:pPr>
              <w:spacing w:line="360" w:lineRule="auto"/>
              <w:rPr>
                <w:rFonts w:cs="Calibri"/>
                <w:szCs w:val="21"/>
              </w:rPr>
            </w:pPr>
          </w:p>
        </w:tc>
        <w:tc>
          <w:tcPr>
            <w:tcW w:w="1212" w:type="dxa"/>
            <w:tcBorders>
              <w:top w:val="single" w:color="auto" w:sz="4" w:space="0"/>
              <w:left w:val="single" w:color="auto" w:sz="4" w:space="0"/>
              <w:bottom w:val="single" w:color="auto" w:sz="4" w:space="0"/>
              <w:right w:val="single" w:color="auto" w:sz="4" w:space="0"/>
            </w:tcBorders>
            <w:vAlign w:val="top"/>
          </w:tcPr>
          <w:p>
            <w:pPr>
              <w:spacing w:line="360" w:lineRule="auto"/>
              <w:rPr>
                <w:rFonts w:cs="Calibri"/>
                <w:szCs w:val="21"/>
              </w:rPr>
            </w:pPr>
          </w:p>
        </w:tc>
      </w:tr>
    </w:tbl>
    <w:p>
      <w:pPr>
        <w:spacing w:line="360" w:lineRule="auto"/>
        <w:jc w:val="left"/>
        <w:rPr>
          <w:rFonts w:cs="Calibri"/>
          <w:b/>
          <w:sz w:val="36"/>
          <w:szCs w:val="36"/>
        </w:rPr>
      </w:pPr>
      <w:r>
        <w:rPr>
          <w:rFonts w:cs="Calibri"/>
          <w:szCs w:val="21"/>
        </w:rPr>
        <w:t>注：附</w:t>
      </w:r>
      <w:r>
        <w:rPr>
          <w:rFonts w:hint="eastAsia" w:cs="Calibri"/>
          <w:szCs w:val="21"/>
        </w:rPr>
        <w:t>服务</w:t>
      </w:r>
      <w:r>
        <w:rPr>
          <w:rFonts w:cs="Calibri"/>
          <w:szCs w:val="21"/>
        </w:rPr>
        <w:t>合同等相应证明文件</w:t>
      </w:r>
    </w:p>
    <w:p>
      <w:pPr>
        <w:spacing w:line="440" w:lineRule="exact"/>
        <w:jc w:val="center"/>
        <w:rPr>
          <w:rFonts w:eastAsia="黑体" w:cs="Calibri"/>
          <w:color w:val="000000"/>
          <w:sz w:val="32"/>
          <w:szCs w:val="32"/>
        </w:rPr>
      </w:pPr>
    </w:p>
    <w:p>
      <w:pPr>
        <w:spacing w:line="440" w:lineRule="exact"/>
        <w:jc w:val="center"/>
        <w:rPr>
          <w:rFonts w:eastAsia="黑体" w:cs="Calibri"/>
          <w:color w:val="000000"/>
          <w:sz w:val="32"/>
          <w:szCs w:val="32"/>
        </w:rPr>
      </w:pPr>
    </w:p>
    <w:p>
      <w:pPr>
        <w:widowControl/>
        <w:jc w:val="left"/>
        <w:rPr>
          <w:rFonts w:eastAsia="黑体" w:cs="Calibri"/>
          <w:color w:val="000000"/>
          <w:sz w:val="32"/>
          <w:szCs w:val="32"/>
        </w:rPr>
      </w:pPr>
      <w:r>
        <w:rPr>
          <w:rFonts w:eastAsia="黑体" w:cs="Calibri"/>
          <w:color w:val="000000"/>
          <w:sz w:val="32"/>
          <w:szCs w:val="32"/>
        </w:rPr>
        <w:br w:type="page"/>
      </w:r>
    </w:p>
    <w:p>
      <w:pPr>
        <w:spacing w:line="440" w:lineRule="exact"/>
        <w:jc w:val="center"/>
        <w:rPr>
          <w:rFonts w:eastAsia="黑体" w:cs="Calibri"/>
          <w:color w:val="000000"/>
          <w:sz w:val="32"/>
          <w:szCs w:val="32"/>
        </w:rPr>
      </w:pPr>
      <w:r>
        <w:rPr>
          <w:rFonts w:hint="eastAsia" w:eastAsia="黑体" w:cs="Calibri"/>
          <w:color w:val="000000"/>
          <w:sz w:val="32"/>
          <w:szCs w:val="32"/>
        </w:rPr>
        <w:t>五</w:t>
      </w:r>
      <w:r>
        <w:rPr>
          <w:rFonts w:eastAsia="黑体" w:cs="Calibri"/>
          <w:color w:val="000000"/>
          <w:sz w:val="32"/>
          <w:szCs w:val="32"/>
        </w:rPr>
        <w:t>、</w:t>
      </w:r>
      <w:r>
        <w:rPr>
          <w:rFonts w:hint="eastAsia" w:eastAsia="黑体" w:cs="Calibri"/>
          <w:color w:val="000000"/>
          <w:sz w:val="32"/>
          <w:szCs w:val="32"/>
        </w:rPr>
        <w:t>服务大纲</w:t>
      </w:r>
    </w:p>
    <w:p>
      <w:pPr>
        <w:spacing w:line="440" w:lineRule="exact"/>
        <w:jc w:val="center"/>
        <w:rPr>
          <w:rFonts w:eastAsia="黑体" w:cs="Calibri"/>
          <w:color w:val="000000"/>
          <w:sz w:val="32"/>
          <w:szCs w:val="32"/>
        </w:rPr>
      </w:pPr>
      <w:r>
        <w:rPr>
          <w:rFonts w:eastAsia="黑体" w:cs="Calibri"/>
          <w:color w:val="000000"/>
          <w:sz w:val="32"/>
          <w:szCs w:val="32"/>
        </w:rPr>
        <w:t>（</w:t>
      </w:r>
      <w:r>
        <w:rPr>
          <w:rFonts w:hint="eastAsia" w:eastAsia="黑体" w:cs="Calibri"/>
          <w:color w:val="000000"/>
          <w:sz w:val="32"/>
          <w:szCs w:val="32"/>
        </w:rPr>
        <w:t>一</w:t>
      </w:r>
      <w:r>
        <w:rPr>
          <w:rFonts w:eastAsia="黑体" w:cs="Calibri"/>
          <w:color w:val="000000"/>
          <w:sz w:val="32"/>
          <w:szCs w:val="32"/>
        </w:rPr>
        <w:t>）项目负责人简介</w:t>
      </w:r>
    </w:p>
    <w:tbl>
      <w:tblPr>
        <w:tblStyle w:val="53"/>
        <w:tblW w:w="9623" w:type="dxa"/>
        <w:jc w:val="center"/>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857"/>
        <w:gridCol w:w="1857"/>
        <w:gridCol w:w="1857"/>
        <w:gridCol w:w="97"/>
        <w:gridCol w:w="20"/>
        <w:gridCol w:w="1740"/>
        <w:gridCol w:w="60"/>
        <w:gridCol w:w="720"/>
        <w:gridCol w:w="1415"/>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454" w:hRule="atLeast"/>
          <w:jc w:val="center"/>
        </w:trPr>
        <w:tc>
          <w:tcPr>
            <w:tcW w:w="1857" w:type="dxa"/>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rPr>
            </w:pPr>
            <w:r>
              <w:rPr>
                <w:rFonts w:cs="Calibri"/>
                <w:szCs w:val="21"/>
              </w:rPr>
              <w:t>姓名</w:t>
            </w:r>
          </w:p>
        </w:tc>
        <w:tc>
          <w:tcPr>
            <w:tcW w:w="1857" w:type="dxa"/>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rPr>
            </w:pPr>
          </w:p>
        </w:tc>
        <w:tc>
          <w:tcPr>
            <w:tcW w:w="1954" w:type="dxa"/>
            <w:gridSpan w:val="2"/>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rPr>
            </w:pPr>
            <w:r>
              <w:rPr>
                <w:rFonts w:cs="Calibri"/>
                <w:szCs w:val="21"/>
              </w:rPr>
              <w:t>性别</w:t>
            </w:r>
          </w:p>
        </w:tc>
        <w:tc>
          <w:tcPr>
            <w:tcW w:w="1760" w:type="dxa"/>
            <w:gridSpan w:val="2"/>
            <w:tcBorders>
              <w:top w:val="single" w:color="auto" w:sz="4" w:space="0"/>
              <w:left w:val="single" w:color="auto" w:sz="4" w:space="0"/>
              <w:bottom w:val="single" w:color="auto" w:sz="4" w:space="0"/>
              <w:right w:val="single" w:color="auto" w:sz="4" w:space="0"/>
            </w:tcBorders>
            <w:vAlign w:val="center"/>
          </w:tcPr>
          <w:p>
            <w:pPr>
              <w:snapToGrid w:val="0"/>
              <w:rPr>
                <w:rFonts w:cs="Calibri"/>
                <w:szCs w:val="21"/>
              </w:rPr>
            </w:pPr>
          </w:p>
        </w:tc>
        <w:tc>
          <w:tcPr>
            <w:tcW w:w="780" w:type="dxa"/>
            <w:gridSpan w:val="2"/>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rPr>
            </w:pPr>
            <w:r>
              <w:rPr>
                <w:rFonts w:cs="Calibri"/>
                <w:szCs w:val="21"/>
              </w:rPr>
              <w:t>年龄</w:t>
            </w:r>
          </w:p>
        </w:tc>
        <w:tc>
          <w:tcPr>
            <w:tcW w:w="1415" w:type="dxa"/>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454" w:hRule="atLeast"/>
          <w:jc w:val="center"/>
        </w:trPr>
        <w:tc>
          <w:tcPr>
            <w:tcW w:w="1857" w:type="dxa"/>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rPr>
            </w:pPr>
            <w:r>
              <w:rPr>
                <w:rFonts w:cs="Calibri"/>
                <w:szCs w:val="21"/>
              </w:rPr>
              <w:t>职称</w:t>
            </w:r>
          </w:p>
        </w:tc>
        <w:tc>
          <w:tcPr>
            <w:tcW w:w="1857" w:type="dxa"/>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rPr>
            </w:pPr>
          </w:p>
        </w:tc>
        <w:tc>
          <w:tcPr>
            <w:tcW w:w="1954" w:type="dxa"/>
            <w:gridSpan w:val="2"/>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rPr>
            </w:pPr>
            <w:r>
              <w:rPr>
                <w:rFonts w:cs="Calibri"/>
                <w:szCs w:val="21"/>
              </w:rPr>
              <w:t>资质等级</w:t>
            </w:r>
          </w:p>
        </w:tc>
        <w:tc>
          <w:tcPr>
            <w:tcW w:w="3955" w:type="dxa"/>
            <w:gridSpan w:val="5"/>
            <w:tcBorders>
              <w:top w:val="single" w:color="auto" w:sz="4" w:space="0"/>
              <w:left w:val="single" w:color="auto" w:sz="4" w:space="0"/>
              <w:bottom w:val="single" w:color="auto" w:sz="4" w:space="0"/>
              <w:right w:val="single" w:color="auto" w:sz="4" w:space="0"/>
            </w:tcBorders>
            <w:vAlign w:val="center"/>
          </w:tcPr>
          <w:p>
            <w:pPr>
              <w:snapToGrid w:val="0"/>
              <w:rPr>
                <w:rFonts w:cs="Calibri"/>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454" w:hRule="atLeast"/>
          <w:jc w:val="center"/>
        </w:trPr>
        <w:tc>
          <w:tcPr>
            <w:tcW w:w="1857" w:type="dxa"/>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rPr>
            </w:pPr>
            <w:r>
              <w:rPr>
                <w:rFonts w:cs="Calibri"/>
                <w:szCs w:val="21"/>
              </w:rPr>
              <w:t>毕业院校、学历参加工作时间</w:t>
            </w:r>
          </w:p>
        </w:tc>
        <w:tc>
          <w:tcPr>
            <w:tcW w:w="3831" w:type="dxa"/>
            <w:gridSpan w:val="4"/>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rPr>
            </w:pPr>
          </w:p>
        </w:tc>
        <w:tc>
          <w:tcPr>
            <w:tcW w:w="1800" w:type="dxa"/>
            <w:gridSpan w:val="2"/>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rPr>
            </w:pPr>
            <w:r>
              <w:rPr>
                <w:rFonts w:cs="Calibri"/>
                <w:szCs w:val="21"/>
              </w:rPr>
              <w:t>从事</w:t>
            </w:r>
            <w:r>
              <w:rPr>
                <w:rFonts w:hint="eastAsia" w:cs="Calibri"/>
                <w:szCs w:val="21"/>
              </w:rPr>
              <w:t>本</w:t>
            </w:r>
            <w:r>
              <w:rPr>
                <w:rFonts w:cs="Calibri"/>
                <w:szCs w:val="21"/>
              </w:rPr>
              <w:t>工作年限</w:t>
            </w:r>
          </w:p>
        </w:tc>
        <w:tc>
          <w:tcPr>
            <w:tcW w:w="2135" w:type="dxa"/>
            <w:gridSpan w:val="2"/>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454" w:hRule="atLeast"/>
          <w:jc w:val="center"/>
        </w:trPr>
        <w:tc>
          <w:tcPr>
            <w:tcW w:w="9623" w:type="dxa"/>
            <w:gridSpan w:val="9"/>
            <w:tcBorders>
              <w:top w:val="single" w:color="auto" w:sz="4" w:space="0"/>
              <w:left w:val="single" w:color="auto" w:sz="4" w:space="0"/>
              <w:bottom w:val="single" w:color="auto" w:sz="4" w:space="0"/>
              <w:right w:val="single" w:color="auto" w:sz="4" w:space="0"/>
            </w:tcBorders>
            <w:vAlign w:val="center"/>
          </w:tcPr>
          <w:p>
            <w:pPr>
              <w:snapToGrid w:val="0"/>
              <w:ind w:firstLine="2940" w:firstLineChars="1400"/>
              <w:rPr>
                <w:rFonts w:cs="Calibri"/>
                <w:szCs w:val="21"/>
              </w:rPr>
            </w:pPr>
            <w:r>
              <w:rPr>
                <w:rFonts w:cs="Calibri"/>
                <w:szCs w:val="21"/>
              </w:rPr>
              <w:t xml:space="preserve">  已完成</w:t>
            </w:r>
            <w:r>
              <w:rPr>
                <w:rFonts w:hint="eastAsia" w:cs="Calibri"/>
                <w:szCs w:val="21"/>
              </w:rPr>
              <w:t>类似</w:t>
            </w:r>
            <w:r>
              <w:rPr>
                <w:rFonts w:cs="Calibri"/>
                <w:szCs w:val="21"/>
              </w:rPr>
              <w:t>项目情况</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454" w:hRule="atLeast"/>
          <w:jc w:val="center"/>
        </w:trPr>
        <w:tc>
          <w:tcPr>
            <w:tcW w:w="1857" w:type="dxa"/>
            <w:tcBorders>
              <w:top w:val="single" w:color="auto" w:sz="4" w:space="0"/>
              <w:left w:val="single" w:color="auto" w:sz="4" w:space="0"/>
              <w:bottom w:val="single" w:color="auto" w:sz="4" w:space="0"/>
              <w:right w:val="single" w:color="auto" w:sz="4" w:space="0"/>
            </w:tcBorders>
            <w:vAlign w:val="center"/>
          </w:tcPr>
          <w:p>
            <w:pPr>
              <w:snapToGrid w:val="0"/>
              <w:ind w:firstLine="210" w:firstLineChars="100"/>
              <w:rPr>
                <w:rFonts w:cs="Calibri"/>
                <w:szCs w:val="21"/>
              </w:rPr>
            </w:pPr>
            <w:r>
              <w:rPr>
                <w:rFonts w:hint="eastAsia" w:cs="Calibri"/>
                <w:szCs w:val="21"/>
              </w:rPr>
              <w:t>业主</w:t>
            </w:r>
            <w:r>
              <w:rPr>
                <w:rFonts w:cs="Calibri"/>
                <w:szCs w:val="21"/>
              </w:rPr>
              <w:t>单位</w:t>
            </w:r>
          </w:p>
        </w:tc>
        <w:tc>
          <w:tcPr>
            <w:tcW w:w="1857" w:type="dxa"/>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rPr>
            </w:pPr>
            <w:r>
              <w:rPr>
                <w:rFonts w:cs="Calibri"/>
                <w:szCs w:val="21"/>
              </w:rPr>
              <w:t>项目名称</w:t>
            </w:r>
          </w:p>
        </w:tc>
        <w:tc>
          <w:tcPr>
            <w:tcW w:w="1857" w:type="dxa"/>
            <w:tcBorders>
              <w:top w:val="single" w:color="auto" w:sz="4" w:space="0"/>
              <w:left w:val="single" w:color="auto" w:sz="4" w:space="0"/>
              <w:bottom w:val="single" w:color="auto" w:sz="4" w:space="0"/>
              <w:right w:val="single" w:color="auto" w:sz="4" w:space="0"/>
            </w:tcBorders>
            <w:vAlign w:val="center"/>
          </w:tcPr>
          <w:p>
            <w:pPr>
              <w:snapToGrid w:val="0"/>
              <w:ind w:firstLine="210" w:firstLineChars="100"/>
              <w:jc w:val="center"/>
              <w:rPr>
                <w:rFonts w:cs="Calibri"/>
                <w:szCs w:val="21"/>
              </w:rPr>
            </w:pPr>
            <w:r>
              <w:rPr>
                <w:rFonts w:hint="eastAsia" w:cs="Calibri"/>
                <w:szCs w:val="21"/>
              </w:rPr>
              <w:t>项目</w:t>
            </w:r>
            <w:r>
              <w:rPr>
                <w:rFonts w:cs="Calibri"/>
                <w:szCs w:val="21"/>
              </w:rPr>
              <w:t>规模</w:t>
            </w:r>
          </w:p>
        </w:tc>
        <w:tc>
          <w:tcPr>
            <w:tcW w:w="4052" w:type="dxa"/>
            <w:gridSpan w:val="6"/>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rPr>
            </w:pPr>
            <w:r>
              <w:rPr>
                <w:rFonts w:cs="Calibri"/>
                <w:szCs w:val="21"/>
              </w:rPr>
              <w:t>主要资历、经验及担任的职务</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454" w:hRule="atLeast"/>
          <w:jc w:val="center"/>
        </w:trPr>
        <w:tc>
          <w:tcPr>
            <w:tcW w:w="1857" w:type="dxa"/>
            <w:tcBorders>
              <w:top w:val="single" w:color="auto" w:sz="4" w:space="0"/>
              <w:left w:val="single" w:color="auto" w:sz="4" w:space="0"/>
              <w:bottom w:val="single" w:color="auto" w:sz="4" w:space="0"/>
              <w:right w:val="single" w:color="auto" w:sz="4" w:space="0"/>
            </w:tcBorders>
            <w:vAlign w:val="top"/>
          </w:tcPr>
          <w:p>
            <w:pPr>
              <w:snapToGrid w:val="0"/>
              <w:rPr>
                <w:rFonts w:cs="Calibri"/>
                <w:szCs w:val="21"/>
              </w:rPr>
            </w:pPr>
          </w:p>
        </w:tc>
        <w:tc>
          <w:tcPr>
            <w:tcW w:w="1857" w:type="dxa"/>
            <w:tcBorders>
              <w:top w:val="single" w:color="auto" w:sz="4" w:space="0"/>
              <w:left w:val="single" w:color="auto" w:sz="4" w:space="0"/>
              <w:bottom w:val="single" w:color="auto" w:sz="4" w:space="0"/>
              <w:right w:val="single" w:color="auto" w:sz="4" w:space="0"/>
            </w:tcBorders>
            <w:vAlign w:val="top"/>
          </w:tcPr>
          <w:p>
            <w:pPr>
              <w:snapToGrid w:val="0"/>
              <w:rPr>
                <w:rFonts w:cs="Calibri"/>
                <w:szCs w:val="21"/>
              </w:rPr>
            </w:pPr>
          </w:p>
        </w:tc>
        <w:tc>
          <w:tcPr>
            <w:tcW w:w="1857" w:type="dxa"/>
            <w:tcBorders>
              <w:top w:val="single" w:color="auto" w:sz="4" w:space="0"/>
              <w:left w:val="single" w:color="auto" w:sz="4" w:space="0"/>
              <w:bottom w:val="single" w:color="auto" w:sz="4" w:space="0"/>
              <w:right w:val="single" w:color="auto" w:sz="4" w:space="0"/>
            </w:tcBorders>
            <w:vAlign w:val="top"/>
          </w:tcPr>
          <w:p>
            <w:pPr>
              <w:snapToGrid w:val="0"/>
              <w:rPr>
                <w:rFonts w:cs="Calibri"/>
                <w:szCs w:val="21"/>
              </w:rPr>
            </w:pPr>
          </w:p>
        </w:tc>
        <w:tc>
          <w:tcPr>
            <w:tcW w:w="4052" w:type="dxa"/>
            <w:gridSpan w:val="6"/>
            <w:tcBorders>
              <w:top w:val="single" w:color="auto" w:sz="4" w:space="0"/>
              <w:left w:val="single" w:color="auto" w:sz="4" w:space="0"/>
              <w:bottom w:val="single" w:color="auto" w:sz="4" w:space="0"/>
              <w:right w:val="single" w:color="auto" w:sz="4" w:space="0"/>
            </w:tcBorders>
            <w:vAlign w:val="top"/>
          </w:tcPr>
          <w:p>
            <w:pPr>
              <w:snapToGrid w:val="0"/>
              <w:rPr>
                <w:rFonts w:cs="Calibri"/>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454" w:hRule="atLeast"/>
          <w:jc w:val="center"/>
        </w:trPr>
        <w:tc>
          <w:tcPr>
            <w:tcW w:w="1857" w:type="dxa"/>
            <w:tcBorders>
              <w:top w:val="single" w:color="auto" w:sz="4" w:space="0"/>
              <w:left w:val="single" w:color="auto" w:sz="4" w:space="0"/>
              <w:bottom w:val="single" w:color="auto" w:sz="4" w:space="0"/>
              <w:right w:val="single" w:color="auto" w:sz="4" w:space="0"/>
            </w:tcBorders>
            <w:vAlign w:val="top"/>
          </w:tcPr>
          <w:p>
            <w:pPr>
              <w:pStyle w:val="24"/>
              <w:snapToGrid w:val="0"/>
              <w:ind w:left="5250"/>
              <w:rPr>
                <w:rFonts w:ascii="Calibri" w:hAnsi="Calibri" w:cs="Calibri"/>
                <w:kern w:val="2"/>
                <w:sz w:val="21"/>
                <w:szCs w:val="21"/>
              </w:rPr>
            </w:pPr>
          </w:p>
        </w:tc>
        <w:tc>
          <w:tcPr>
            <w:tcW w:w="1857" w:type="dxa"/>
            <w:tcBorders>
              <w:top w:val="single" w:color="auto" w:sz="4" w:space="0"/>
              <w:left w:val="single" w:color="auto" w:sz="4" w:space="0"/>
              <w:bottom w:val="single" w:color="auto" w:sz="4" w:space="0"/>
              <w:right w:val="single" w:color="auto" w:sz="4" w:space="0"/>
            </w:tcBorders>
            <w:vAlign w:val="top"/>
          </w:tcPr>
          <w:p>
            <w:pPr>
              <w:snapToGrid w:val="0"/>
              <w:rPr>
                <w:rFonts w:cs="Calibri"/>
                <w:szCs w:val="21"/>
              </w:rPr>
            </w:pPr>
          </w:p>
        </w:tc>
        <w:tc>
          <w:tcPr>
            <w:tcW w:w="1857" w:type="dxa"/>
            <w:tcBorders>
              <w:top w:val="single" w:color="auto" w:sz="4" w:space="0"/>
              <w:left w:val="single" w:color="auto" w:sz="4" w:space="0"/>
              <w:bottom w:val="single" w:color="auto" w:sz="4" w:space="0"/>
              <w:right w:val="single" w:color="auto" w:sz="4" w:space="0"/>
            </w:tcBorders>
            <w:vAlign w:val="top"/>
          </w:tcPr>
          <w:p>
            <w:pPr>
              <w:pStyle w:val="24"/>
              <w:snapToGrid w:val="0"/>
              <w:ind w:left="5250"/>
              <w:rPr>
                <w:rFonts w:ascii="Calibri" w:hAnsi="Calibri" w:cs="Calibri"/>
                <w:kern w:val="2"/>
                <w:sz w:val="21"/>
                <w:szCs w:val="21"/>
              </w:rPr>
            </w:pPr>
          </w:p>
        </w:tc>
        <w:tc>
          <w:tcPr>
            <w:tcW w:w="4052" w:type="dxa"/>
            <w:gridSpan w:val="6"/>
            <w:tcBorders>
              <w:top w:val="single" w:color="auto" w:sz="4" w:space="0"/>
              <w:left w:val="single" w:color="auto" w:sz="4" w:space="0"/>
              <w:bottom w:val="single" w:color="auto" w:sz="4" w:space="0"/>
              <w:right w:val="single" w:color="auto" w:sz="4" w:space="0"/>
            </w:tcBorders>
            <w:vAlign w:val="top"/>
          </w:tcPr>
          <w:p>
            <w:pPr>
              <w:snapToGrid w:val="0"/>
              <w:rPr>
                <w:rFonts w:cs="Calibri"/>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454" w:hRule="atLeast"/>
          <w:jc w:val="center"/>
        </w:trPr>
        <w:tc>
          <w:tcPr>
            <w:tcW w:w="1857" w:type="dxa"/>
            <w:tcBorders>
              <w:top w:val="single" w:color="auto" w:sz="4" w:space="0"/>
              <w:left w:val="single" w:color="auto" w:sz="4" w:space="0"/>
              <w:bottom w:val="single" w:color="auto" w:sz="4" w:space="0"/>
              <w:right w:val="single" w:color="auto" w:sz="4" w:space="0"/>
            </w:tcBorders>
            <w:vAlign w:val="top"/>
          </w:tcPr>
          <w:p>
            <w:pPr>
              <w:snapToGrid w:val="0"/>
              <w:rPr>
                <w:rFonts w:cs="Calibri"/>
                <w:szCs w:val="21"/>
              </w:rPr>
            </w:pPr>
          </w:p>
        </w:tc>
        <w:tc>
          <w:tcPr>
            <w:tcW w:w="1857" w:type="dxa"/>
            <w:tcBorders>
              <w:top w:val="single" w:color="auto" w:sz="4" w:space="0"/>
              <w:left w:val="single" w:color="auto" w:sz="4" w:space="0"/>
              <w:bottom w:val="single" w:color="auto" w:sz="4" w:space="0"/>
              <w:right w:val="single" w:color="auto" w:sz="4" w:space="0"/>
            </w:tcBorders>
            <w:vAlign w:val="top"/>
          </w:tcPr>
          <w:p>
            <w:pPr>
              <w:snapToGrid w:val="0"/>
              <w:rPr>
                <w:rFonts w:cs="Calibri"/>
                <w:szCs w:val="21"/>
              </w:rPr>
            </w:pPr>
          </w:p>
        </w:tc>
        <w:tc>
          <w:tcPr>
            <w:tcW w:w="1857" w:type="dxa"/>
            <w:tcBorders>
              <w:top w:val="single" w:color="auto" w:sz="4" w:space="0"/>
              <w:left w:val="single" w:color="auto" w:sz="4" w:space="0"/>
              <w:bottom w:val="single" w:color="auto" w:sz="4" w:space="0"/>
              <w:right w:val="single" w:color="auto" w:sz="4" w:space="0"/>
            </w:tcBorders>
            <w:vAlign w:val="top"/>
          </w:tcPr>
          <w:p>
            <w:pPr>
              <w:snapToGrid w:val="0"/>
              <w:rPr>
                <w:rFonts w:cs="Calibri"/>
                <w:szCs w:val="21"/>
              </w:rPr>
            </w:pPr>
          </w:p>
        </w:tc>
        <w:tc>
          <w:tcPr>
            <w:tcW w:w="4052" w:type="dxa"/>
            <w:gridSpan w:val="6"/>
            <w:tcBorders>
              <w:top w:val="single" w:color="auto" w:sz="4" w:space="0"/>
              <w:left w:val="single" w:color="auto" w:sz="4" w:space="0"/>
              <w:bottom w:val="single" w:color="auto" w:sz="4" w:space="0"/>
              <w:right w:val="single" w:color="auto" w:sz="4" w:space="0"/>
            </w:tcBorders>
            <w:vAlign w:val="top"/>
          </w:tcPr>
          <w:p>
            <w:pPr>
              <w:snapToGrid w:val="0"/>
              <w:rPr>
                <w:rFonts w:cs="Calibri"/>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454" w:hRule="atLeast"/>
          <w:jc w:val="center"/>
        </w:trPr>
        <w:tc>
          <w:tcPr>
            <w:tcW w:w="1857" w:type="dxa"/>
            <w:tcBorders>
              <w:top w:val="single" w:color="auto" w:sz="4" w:space="0"/>
              <w:left w:val="single" w:color="auto" w:sz="4" w:space="0"/>
              <w:bottom w:val="single" w:color="auto" w:sz="4" w:space="0"/>
              <w:right w:val="single" w:color="auto" w:sz="4" w:space="0"/>
            </w:tcBorders>
            <w:vAlign w:val="top"/>
          </w:tcPr>
          <w:p>
            <w:pPr>
              <w:snapToGrid w:val="0"/>
              <w:rPr>
                <w:rFonts w:cs="Calibri"/>
                <w:szCs w:val="21"/>
              </w:rPr>
            </w:pPr>
          </w:p>
        </w:tc>
        <w:tc>
          <w:tcPr>
            <w:tcW w:w="1857" w:type="dxa"/>
            <w:tcBorders>
              <w:top w:val="single" w:color="auto" w:sz="4" w:space="0"/>
              <w:left w:val="single" w:color="auto" w:sz="4" w:space="0"/>
              <w:bottom w:val="single" w:color="auto" w:sz="4" w:space="0"/>
              <w:right w:val="single" w:color="auto" w:sz="4" w:space="0"/>
            </w:tcBorders>
            <w:vAlign w:val="top"/>
          </w:tcPr>
          <w:p>
            <w:pPr>
              <w:snapToGrid w:val="0"/>
              <w:rPr>
                <w:rFonts w:cs="Calibri"/>
                <w:szCs w:val="21"/>
              </w:rPr>
            </w:pPr>
          </w:p>
        </w:tc>
        <w:tc>
          <w:tcPr>
            <w:tcW w:w="1857" w:type="dxa"/>
            <w:tcBorders>
              <w:top w:val="single" w:color="auto" w:sz="4" w:space="0"/>
              <w:left w:val="single" w:color="auto" w:sz="4" w:space="0"/>
              <w:bottom w:val="single" w:color="auto" w:sz="4" w:space="0"/>
              <w:right w:val="single" w:color="auto" w:sz="4" w:space="0"/>
            </w:tcBorders>
            <w:vAlign w:val="top"/>
          </w:tcPr>
          <w:p>
            <w:pPr>
              <w:snapToGrid w:val="0"/>
              <w:rPr>
                <w:rFonts w:cs="Calibri"/>
                <w:szCs w:val="21"/>
              </w:rPr>
            </w:pPr>
          </w:p>
        </w:tc>
        <w:tc>
          <w:tcPr>
            <w:tcW w:w="4052" w:type="dxa"/>
            <w:gridSpan w:val="6"/>
            <w:tcBorders>
              <w:top w:val="single" w:color="auto" w:sz="4" w:space="0"/>
              <w:left w:val="single" w:color="auto" w:sz="4" w:space="0"/>
              <w:bottom w:val="single" w:color="auto" w:sz="4" w:space="0"/>
              <w:right w:val="single" w:color="auto" w:sz="4" w:space="0"/>
            </w:tcBorders>
            <w:vAlign w:val="top"/>
          </w:tcPr>
          <w:p>
            <w:pPr>
              <w:snapToGrid w:val="0"/>
              <w:rPr>
                <w:rFonts w:cs="Calibri"/>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454" w:hRule="atLeast"/>
          <w:jc w:val="center"/>
        </w:trPr>
        <w:tc>
          <w:tcPr>
            <w:tcW w:w="1857" w:type="dxa"/>
            <w:tcBorders>
              <w:top w:val="single" w:color="auto" w:sz="4" w:space="0"/>
              <w:left w:val="single" w:color="auto" w:sz="4" w:space="0"/>
              <w:bottom w:val="single" w:color="auto" w:sz="4" w:space="0"/>
              <w:right w:val="single" w:color="auto" w:sz="4" w:space="0"/>
            </w:tcBorders>
            <w:vAlign w:val="top"/>
          </w:tcPr>
          <w:p>
            <w:pPr>
              <w:snapToGrid w:val="0"/>
              <w:rPr>
                <w:rFonts w:cs="Calibri"/>
                <w:szCs w:val="21"/>
              </w:rPr>
            </w:pPr>
          </w:p>
        </w:tc>
        <w:tc>
          <w:tcPr>
            <w:tcW w:w="1857" w:type="dxa"/>
            <w:tcBorders>
              <w:top w:val="single" w:color="auto" w:sz="4" w:space="0"/>
              <w:left w:val="single" w:color="auto" w:sz="4" w:space="0"/>
              <w:bottom w:val="single" w:color="auto" w:sz="4" w:space="0"/>
              <w:right w:val="single" w:color="auto" w:sz="4" w:space="0"/>
            </w:tcBorders>
            <w:vAlign w:val="top"/>
          </w:tcPr>
          <w:p>
            <w:pPr>
              <w:snapToGrid w:val="0"/>
              <w:rPr>
                <w:rFonts w:cs="Calibri"/>
                <w:szCs w:val="21"/>
              </w:rPr>
            </w:pPr>
          </w:p>
        </w:tc>
        <w:tc>
          <w:tcPr>
            <w:tcW w:w="1857" w:type="dxa"/>
            <w:tcBorders>
              <w:top w:val="single" w:color="auto" w:sz="4" w:space="0"/>
              <w:left w:val="single" w:color="auto" w:sz="4" w:space="0"/>
              <w:bottom w:val="single" w:color="auto" w:sz="4" w:space="0"/>
              <w:right w:val="single" w:color="auto" w:sz="4" w:space="0"/>
            </w:tcBorders>
            <w:vAlign w:val="top"/>
          </w:tcPr>
          <w:p>
            <w:pPr>
              <w:snapToGrid w:val="0"/>
              <w:rPr>
                <w:rFonts w:cs="Calibri"/>
                <w:szCs w:val="21"/>
              </w:rPr>
            </w:pPr>
          </w:p>
        </w:tc>
        <w:tc>
          <w:tcPr>
            <w:tcW w:w="4052" w:type="dxa"/>
            <w:gridSpan w:val="6"/>
            <w:tcBorders>
              <w:top w:val="single" w:color="auto" w:sz="4" w:space="0"/>
              <w:left w:val="single" w:color="auto" w:sz="4" w:space="0"/>
              <w:bottom w:val="single" w:color="auto" w:sz="4" w:space="0"/>
              <w:right w:val="single" w:color="auto" w:sz="4" w:space="0"/>
            </w:tcBorders>
            <w:vAlign w:val="top"/>
          </w:tcPr>
          <w:p>
            <w:pPr>
              <w:snapToGrid w:val="0"/>
              <w:rPr>
                <w:rFonts w:cs="Calibri"/>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454" w:hRule="atLeast"/>
          <w:jc w:val="center"/>
        </w:trPr>
        <w:tc>
          <w:tcPr>
            <w:tcW w:w="1857" w:type="dxa"/>
            <w:tcBorders>
              <w:top w:val="single" w:color="auto" w:sz="4" w:space="0"/>
              <w:left w:val="single" w:color="auto" w:sz="4" w:space="0"/>
              <w:bottom w:val="single" w:color="auto" w:sz="4" w:space="0"/>
              <w:right w:val="single" w:color="auto" w:sz="4" w:space="0"/>
            </w:tcBorders>
            <w:vAlign w:val="top"/>
          </w:tcPr>
          <w:p>
            <w:pPr>
              <w:snapToGrid w:val="0"/>
              <w:rPr>
                <w:rFonts w:cs="Calibri"/>
                <w:szCs w:val="21"/>
              </w:rPr>
            </w:pPr>
          </w:p>
        </w:tc>
        <w:tc>
          <w:tcPr>
            <w:tcW w:w="1857" w:type="dxa"/>
            <w:tcBorders>
              <w:top w:val="single" w:color="auto" w:sz="4" w:space="0"/>
              <w:left w:val="single" w:color="auto" w:sz="4" w:space="0"/>
              <w:bottom w:val="single" w:color="auto" w:sz="4" w:space="0"/>
              <w:right w:val="single" w:color="auto" w:sz="4" w:space="0"/>
            </w:tcBorders>
            <w:vAlign w:val="top"/>
          </w:tcPr>
          <w:p>
            <w:pPr>
              <w:snapToGrid w:val="0"/>
              <w:rPr>
                <w:rFonts w:cs="Calibri"/>
                <w:szCs w:val="21"/>
              </w:rPr>
            </w:pPr>
          </w:p>
        </w:tc>
        <w:tc>
          <w:tcPr>
            <w:tcW w:w="1857" w:type="dxa"/>
            <w:tcBorders>
              <w:top w:val="single" w:color="auto" w:sz="4" w:space="0"/>
              <w:left w:val="single" w:color="auto" w:sz="4" w:space="0"/>
              <w:bottom w:val="single" w:color="auto" w:sz="4" w:space="0"/>
              <w:right w:val="single" w:color="auto" w:sz="4" w:space="0"/>
            </w:tcBorders>
            <w:vAlign w:val="top"/>
          </w:tcPr>
          <w:p>
            <w:pPr>
              <w:snapToGrid w:val="0"/>
              <w:rPr>
                <w:rFonts w:cs="Calibri"/>
                <w:szCs w:val="21"/>
              </w:rPr>
            </w:pPr>
          </w:p>
        </w:tc>
        <w:tc>
          <w:tcPr>
            <w:tcW w:w="4052" w:type="dxa"/>
            <w:gridSpan w:val="6"/>
            <w:tcBorders>
              <w:top w:val="single" w:color="auto" w:sz="4" w:space="0"/>
              <w:left w:val="single" w:color="auto" w:sz="4" w:space="0"/>
              <w:bottom w:val="single" w:color="auto" w:sz="4" w:space="0"/>
              <w:right w:val="single" w:color="auto" w:sz="4" w:space="0"/>
            </w:tcBorders>
            <w:vAlign w:val="top"/>
          </w:tcPr>
          <w:p>
            <w:pPr>
              <w:snapToGrid w:val="0"/>
              <w:rPr>
                <w:rFonts w:cs="Calibri"/>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454" w:hRule="atLeast"/>
          <w:jc w:val="center"/>
        </w:trPr>
        <w:tc>
          <w:tcPr>
            <w:tcW w:w="1857" w:type="dxa"/>
            <w:tcBorders>
              <w:top w:val="single" w:color="auto" w:sz="4" w:space="0"/>
              <w:left w:val="single" w:color="auto" w:sz="4" w:space="0"/>
              <w:bottom w:val="single" w:color="auto" w:sz="4" w:space="0"/>
              <w:right w:val="single" w:color="auto" w:sz="4" w:space="0"/>
            </w:tcBorders>
            <w:vAlign w:val="top"/>
          </w:tcPr>
          <w:p>
            <w:pPr>
              <w:snapToGrid w:val="0"/>
              <w:rPr>
                <w:rFonts w:cs="Calibri"/>
                <w:szCs w:val="21"/>
              </w:rPr>
            </w:pPr>
          </w:p>
        </w:tc>
        <w:tc>
          <w:tcPr>
            <w:tcW w:w="1857" w:type="dxa"/>
            <w:tcBorders>
              <w:top w:val="single" w:color="auto" w:sz="4" w:space="0"/>
              <w:left w:val="single" w:color="auto" w:sz="4" w:space="0"/>
              <w:bottom w:val="single" w:color="auto" w:sz="4" w:space="0"/>
              <w:right w:val="single" w:color="auto" w:sz="4" w:space="0"/>
            </w:tcBorders>
            <w:vAlign w:val="top"/>
          </w:tcPr>
          <w:p>
            <w:pPr>
              <w:snapToGrid w:val="0"/>
              <w:rPr>
                <w:rFonts w:cs="Calibri"/>
                <w:szCs w:val="21"/>
              </w:rPr>
            </w:pPr>
          </w:p>
        </w:tc>
        <w:tc>
          <w:tcPr>
            <w:tcW w:w="1857" w:type="dxa"/>
            <w:tcBorders>
              <w:top w:val="single" w:color="auto" w:sz="4" w:space="0"/>
              <w:left w:val="single" w:color="auto" w:sz="4" w:space="0"/>
              <w:bottom w:val="single" w:color="auto" w:sz="4" w:space="0"/>
              <w:right w:val="single" w:color="auto" w:sz="4" w:space="0"/>
            </w:tcBorders>
            <w:vAlign w:val="top"/>
          </w:tcPr>
          <w:p>
            <w:pPr>
              <w:snapToGrid w:val="0"/>
              <w:rPr>
                <w:rFonts w:cs="Calibri"/>
                <w:szCs w:val="21"/>
              </w:rPr>
            </w:pPr>
          </w:p>
        </w:tc>
        <w:tc>
          <w:tcPr>
            <w:tcW w:w="4052" w:type="dxa"/>
            <w:gridSpan w:val="6"/>
            <w:tcBorders>
              <w:top w:val="single" w:color="auto" w:sz="4" w:space="0"/>
              <w:left w:val="single" w:color="auto" w:sz="4" w:space="0"/>
              <w:bottom w:val="single" w:color="auto" w:sz="4" w:space="0"/>
              <w:right w:val="single" w:color="auto" w:sz="4" w:space="0"/>
            </w:tcBorders>
            <w:vAlign w:val="top"/>
          </w:tcPr>
          <w:p>
            <w:pPr>
              <w:snapToGrid w:val="0"/>
              <w:rPr>
                <w:rFonts w:cs="Calibri"/>
                <w:szCs w:val="21"/>
              </w:rPr>
            </w:pPr>
          </w:p>
        </w:tc>
      </w:tr>
    </w:tbl>
    <w:p>
      <w:pPr>
        <w:spacing w:line="360" w:lineRule="auto"/>
        <w:rPr>
          <w:rFonts w:cs="Calibri"/>
          <w:szCs w:val="21"/>
        </w:rPr>
      </w:pPr>
      <w:r>
        <w:rPr>
          <w:rFonts w:cs="Calibri"/>
          <w:szCs w:val="21"/>
        </w:rPr>
        <w:t>注：附职称证、身份证、资格证</w:t>
      </w:r>
      <w:r>
        <w:rPr>
          <w:rFonts w:hint="eastAsia" w:cs="Calibri"/>
          <w:szCs w:val="21"/>
        </w:rPr>
        <w:t>、业绩</w:t>
      </w:r>
      <w:r>
        <w:rPr>
          <w:rFonts w:cs="Calibri"/>
          <w:szCs w:val="21"/>
        </w:rPr>
        <w:t>合同等相应证明文件</w:t>
      </w:r>
    </w:p>
    <w:p>
      <w:pPr>
        <w:spacing w:line="360" w:lineRule="auto"/>
        <w:rPr>
          <w:rFonts w:cs="Calibri"/>
          <w:sz w:val="24"/>
        </w:rPr>
      </w:pPr>
    </w:p>
    <w:p>
      <w:pPr>
        <w:spacing w:line="360" w:lineRule="auto"/>
        <w:rPr>
          <w:rFonts w:cs="Calibri"/>
          <w:sz w:val="24"/>
        </w:rPr>
      </w:pPr>
    </w:p>
    <w:p>
      <w:pPr>
        <w:spacing w:line="440" w:lineRule="exact"/>
        <w:jc w:val="center"/>
        <w:rPr>
          <w:rFonts w:eastAsia="黑体" w:cs="Calibri"/>
          <w:color w:val="000000"/>
          <w:sz w:val="32"/>
          <w:szCs w:val="32"/>
        </w:rPr>
      </w:pPr>
      <w:r>
        <w:rPr>
          <w:rFonts w:eastAsia="黑体" w:cs="Calibri"/>
          <w:color w:val="000000"/>
          <w:sz w:val="32"/>
          <w:szCs w:val="32"/>
        </w:rPr>
        <w:t>（五）主要参与</w:t>
      </w:r>
      <w:r>
        <w:rPr>
          <w:rFonts w:hint="eastAsia" w:eastAsia="黑体" w:cs="Calibri"/>
          <w:color w:val="000000"/>
          <w:sz w:val="32"/>
          <w:szCs w:val="32"/>
        </w:rPr>
        <w:t>服务</w:t>
      </w:r>
      <w:r>
        <w:rPr>
          <w:rFonts w:eastAsia="黑体" w:cs="Calibri"/>
          <w:color w:val="000000"/>
          <w:sz w:val="32"/>
          <w:szCs w:val="32"/>
        </w:rPr>
        <w:t>人员简介</w:t>
      </w:r>
    </w:p>
    <w:tbl>
      <w:tblPr>
        <w:tblStyle w:val="53"/>
        <w:tblW w:w="9180"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20"/>
        <w:gridCol w:w="1540"/>
        <w:gridCol w:w="1520"/>
        <w:gridCol w:w="1620"/>
        <w:gridCol w:w="28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1620" w:type="dxa"/>
            <w:vAlign w:val="center"/>
          </w:tcPr>
          <w:p>
            <w:pPr>
              <w:pStyle w:val="13"/>
              <w:snapToGrid w:val="0"/>
              <w:ind w:firstLine="241"/>
              <w:jc w:val="center"/>
              <w:rPr>
                <w:rFonts w:ascii="Calibri" w:hAnsi="Calibri" w:cs="Calibri"/>
                <w:bCs/>
                <w:sz w:val="21"/>
                <w:szCs w:val="21"/>
              </w:rPr>
            </w:pPr>
            <w:r>
              <w:rPr>
                <w:rFonts w:ascii="Calibri" w:hAnsi="Calibri" w:cs="Calibri"/>
                <w:bCs/>
                <w:sz w:val="21"/>
                <w:szCs w:val="21"/>
              </w:rPr>
              <w:t>岗位名称</w:t>
            </w:r>
          </w:p>
        </w:tc>
        <w:tc>
          <w:tcPr>
            <w:tcW w:w="1540" w:type="dxa"/>
            <w:vAlign w:val="center"/>
          </w:tcPr>
          <w:p>
            <w:pPr>
              <w:pStyle w:val="13"/>
              <w:snapToGrid w:val="0"/>
              <w:ind w:firstLine="241"/>
              <w:jc w:val="center"/>
              <w:rPr>
                <w:rFonts w:ascii="Calibri" w:hAnsi="Calibri" w:cs="Calibri"/>
                <w:bCs/>
                <w:sz w:val="21"/>
                <w:szCs w:val="21"/>
              </w:rPr>
            </w:pPr>
            <w:r>
              <w:rPr>
                <w:rFonts w:ascii="Calibri" w:hAnsi="Calibri" w:cs="Calibri"/>
                <w:bCs/>
                <w:sz w:val="21"/>
                <w:szCs w:val="21"/>
              </w:rPr>
              <w:t>姓名</w:t>
            </w:r>
          </w:p>
        </w:tc>
        <w:tc>
          <w:tcPr>
            <w:tcW w:w="1520" w:type="dxa"/>
            <w:vAlign w:val="center"/>
          </w:tcPr>
          <w:p>
            <w:pPr>
              <w:pStyle w:val="13"/>
              <w:snapToGrid w:val="0"/>
              <w:ind w:firstLine="241"/>
              <w:jc w:val="center"/>
              <w:rPr>
                <w:rFonts w:ascii="Calibri" w:hAnsi="Calibri" w:cs="Calibri"/>
                <w:bCs/>
                <w:sz w:val="21"/>
                <w:szCs w:val="21"/>
              </w:rPr>
            </w:pPr>
            <w:r>
              <w:rPr>
                <w:rFonts w:ascii="Calibri" w:hAnsi="Calibri" w:cs="Calibri"/>
                <w:bCs/>
                <w:sz w:val="21"/>
                <w:szCs w:val="21"/>
              </w:rPr>
              <w:t>执业资格/职称</w:t>
            </w:r>
          </w:p>
        </w:tc>
        <w:tc>
          <w:tcPr>
            <w:tcW w:w="1620" w:type="dxa"/>
            <w:vAlign w:val="center"/>
          </w:tcPr>
          <w:p>
            <w:pPr>
              <w:snapToGrid w:val="0"/>
              <w:jc w:val="center"/>
              <w:rPr>
                <w:rFonts w:cs="Calibri"/>
                <w:bCs/>
                <w:szCs w:val="21"/>
              </w:rPr>
            </w:pPr>
            <w:r>
              <w:rPr>
                <w:rFonts w:cs="Calibri"/>
                <w:bCs/>
                <w:szCs w:val="21"/>
              </w:rPr>
              <w:t>本项目</w:t>
            </w:r>
          </w:p>
          <w:p>
            <w:pPr>
              <w:snapToGrid w:val="0"/>
              <w:jc w:val="center"/>
              <w:rPr>
                <w:rFonts w:cs="Calibri"/>
                <w:bCs/>
                <w:szCs w:val="21"/>
              </w:rPr>
            </w:pPr>
            <w:r>
              <w:rPr>
                <w:rFonts w:cs="Calibri"/>
                <w:bCs/>
                <w:szCs w:val="21"/>
              </w:rPr>
              <w:t>拟任职务</w:t>
            </w:r>
          </w:p>
        </w:tc>
        <w:tc>
          <w:tcPr>
            <w:tcW w:w="2880" w:type="dxa"/>
            <w:vAlign w:val="center"/>
          </w:tcPr>
          <w:p>
            <w:pPr>
              <w:snapToGrid w:val="0"/>
              <w:jc w:val="center"/>
              <w:rPr>
                <w:rFonts w:cs="Calibri"/>
                <w:bCs/>
                <w:szCs w:val="21"/>
              </w:rPr>
            </w:pPr>
            <w:r>
              <w:rPr>
                <w:rFonts w:cs="Calibri"/>
                <w:bCs/>
                <w:szCs w:val="21"/>
              </w:rPr>
              <w:t>工作年限、主要经验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1620" w:type="dxa"/>
            <w:vAlign w:val="top"/>
          </w:tcPr>
          <w:p>
            <w:pPr>
              <w:pStyle w:val="13"/>
              <w:snapToGrid w:val="0"/>
              <w:ind w:firstLine="241"/>
              <w:jc w:val="center"/>
              <w:rPr>
                <w:rFonts w:ascii="Calibri" w:hAnsi="Calibri" w:cs="Calibri"/>
                <w:sz w:val="21"/>
                <w:szCs w:val="21"/>
              </w:rPr>
            </w:pPr>
          </w:p>
        </w:tc>
        <w:tc>
          <w:tcPr>
            <w:tcW w:w="1540" w:type="dxa"/>
            <w:vAlign w:val="top"/>
          </w:tcPr>
          <w:p>
            <w:pPr>
              <w:pStyle w:val="13"/>
              <w:snapToGrid w:val="0"/>
              <w:ind w:firstLine="241"/>
              <w:jc w:val="center"/>
              <w:rPr>
                <w:rFonts w:ascii="Calibri" w:hAnsi="Calibri" w:cs="Calibri"/>
                <w:sz w:val="21"/>
                <w:szCs w:val="21"/>
              </w:rPr>
            </w:pPr>
          </w:p>
        </w:tc>
        <w:tc>
          <w:tcPr>
            <w:tcW w:w="1520" w:type="dxa"/>
            <w:vAlign w:val="top"/>
          </w:tcPr>
          <w:p>
            <w:pPr>
              <w:pStyle w:val="13"/>
              <w:snapToGrid w:val="0"/>
              <w:ind w:firstLine="241"/>
              <w:jc w:val="center"/>
              <w:rPr>
                <w:rFonts w:ascii="Calibri" w:hAnsi="Calibri" w:cs="Calibri"/>
                <w:sz w:val="21"/>
                <w:szCs w:val="21"/>
              </w:rPr>
            </w:pPr>
          </w:p>
        </w:tc>
        <w:tc>
          <w:tcPr>
            <w:tcW w:w="1620" w:type="dxa"/>
            <w:vAlign w:val="top"/>
          </w:tcPr>
          <w:p>
            <w:pPr>
              <w:pStyle w:val="13"/>
              <w:snapToGrid w:val="0"/>
              <w:ind w:firstLine="241"/>
              <w:jc w:val="center"/>
              <w:rPr>
                <w:rFonts w:ascii="Calibri" w:hAnsi="Calibri" w:cs="Calibri"/>
                <w:sz w:val="21"/>
                <w:szCs w:val="21"/>
              </w:rPr>
            </w:pPr>
          </w:p>
        </w:tc>
        <w:tc>
          <w:tcPr>
            <w:tcW w:w="2880" w:type="dxa"/>
            <w:vAlign w:val="top"/>
          </w:tcPr>
          <w:p>
            <w:pPr>
              <w:pStyle w:val="13"/>
              <w:snapToGrid w:val="0"/>
              <w:ind w:firstLine="241"/>
              <w:jc w:val="center"/>
              <w:rPr>
                <w:rFonts w:ascii="Calibri" w:hAnsi="Calibri" w:cs="Calibri"/>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1620" w:type="dxa"/>
            <w:vAlign w:val="top"/>
          </w:tcPr>
          <w:p>
            <w:pPr>
              <w:pStyle w:val="13"/>
              <w:snapToGrid w:val="0"/>
              <w:ind w:firstLine="0"/>
              <w:rPr>
                <w:rFonts w:ascii="Calibri" w:hAnsi="Calibri" w:cs="Calibri"/>
                <w:sz w:val="21"/>
                <w:szCs w:val="21"/>
              </w:rPr>
            </w:pPr>
          </w:p>
        </w:tc>
        <w:tc>
          <w:tcPr>
            <w:tcW w:w="1540" w:type="dxa"/>
            <w:vAlign w:val="top"/>
          </w:tcPr>
          <w:p>
            <w:pPr>
              <w:pStyle w:val="13"/>
              <w:snapToGrid w:val="0"/>
              <w:ind w:firstLine="241"/>
              <w:jc w:val="center"/>
              <w:rPr>
                <w:rFonts w:ascii="Calibri" w:hAnsi="Calibri" w:cs="Calibri"/>
                <w:sz w:val="21"/>
                <w:szCs w:val="21"/>
              </w:rPr>
            </w:pPr>
          </w:p>
        </w:tc>
        <w:tc>
          <w:tcPr>
            <w:tcW w:w="1520" w:type="dxa"/>
            <w:vAlign w:val="top"/>
          </w:tcPr>
          <w:p>
            <w:pPr>
              <w:pStyle w:val="13"/>
              <w:snapToGrid w:val="0"/>
              <w:ind w:firstLine="241"/>
              <w:jc w:val="center"/>
              <w:rPr>
                <w:rFonts w:ascii="Calibri" w:hAnsi="Calibri" w:cs="Calibri"/>
                <w:sz w:val="21"/>
                <w:szCs w:val="21"/>
              </w:rPr>
            </w:pPr>
          </w:p>
        </w:tc>
        <w:tc>
          <w:tcPr>
            <w:tcW w:w="1620" w:type="dxa"/>
            <w:vAlign w:val="top"/>
          </w:tcPr>
          <w:p>
            <w:pPr>
              <w:pStyle w:val="13"/>
              <w:snapToGrid w:val="0"/>
              <w:ind w:firstLine="241"/>
              <w:jc w:val="center"/>
              <w:rPr>
                <w:rFonts w:ascii="Calibri" w:hAnsi="Calibri" w:cs="Calibri"/>
                <w:sz w:val="21"/>
                <w:szCs w:val="21"/>
              </w:rPr>
            </w:pPr>
          </w:p>
        </w:tc>
        <w:tc>
          <w:tcPr>
            <w:tcW w:w="2880" w:type="dxa"/>
            <w:vAlign w:val="top"/>
          </w:tcPr>
          <w:p>
            <w:pPr>
              <w:pStyle w:val="13"/>
              <w:snapToGrid w:val="0"/>
              <w:ind w:firstLine="241"/>
              <w:jc w:val="center"/>
              <w:rPr>
                <w:rFonts w:ascii="Calibri" w:hAnsi="Calibri" w:cs="Calibri"/>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1620" w:type="dxa"/>
            <w:vAlign w:val="top"/>
          </w:tcPr>
          <w:p>
            <w:pPr>
              <w:pStyle w:val="13"/>
              <w:snapToGrid w:val="0"/>
              <w:ind w:firstLine="0"/>
              <w:rPr>
                <w:rFonts w:ascii="Calibri" w:hAnsi="Calibri" w:cs="Calibri"/>
                <w:sz w:val="21"/>
                <w:szCs w:val="21"/>
              </w:rPr>
            </w:pPr>
          </w:p>
        </w:tc>
        <w:tc>
          <w:tcPr>
            <w:tcW w:w="1540" w:type="dxa"/>
            <w:vAlign w:val="top"/>
          </w:tcPr>
          <w:p>
            <w:pPr>
              <w:pStyle w:val="13"/>
              <w:snapToGrid w:val="0"/>
              <w:ind w:firstLine="241"/>
              <w:jc w:val="center"/>
              <w:rPr>
                <w:rFonts w:ascii="Calibri" w:hAnsi="Calibri" w:cs="Calibri"/>
                <w:sz w:val="21"/>
                <w:szCs w:val="21"/>
              </w:rPr>
            </w:pPr>
          </w:p>
        </w:tc>
        <w:tc>
          <w:tcPr>
            <w:tcW w:w="1520" w:type="dxa"/>
            <w:vAlign w:val="top"/>
          </w:tcPr>
          <w:p>
            <w:pPr>
              <w:pStyle w:val="13"/>
              <w:snapToGrid w:val="0"/>
              <w:ind w:firstLine="241"/>
              <w:jc w:val="center"/>
              <w:rPr>
                <w:rFonts w:ascii="Calibri" w:hAnsi="Calibri" w:cs="Calibri"/>
                <w:sz w:val="21"/>
                <w:szCs w:val="21"/>
              </w:rPr>
            </w:pPr>
          </w:p>
        </w:tc>
        <w:tc>
          <w:tcPr>
            <w:tcW w:w="1620" w:type="dxa"/>
            <w:vAlign w:val="top"/>
          </w:tcPr>
          <w:p>
            <w:pPr>
              <w:pStyle w:val="13"/>
              <w:snapToGrid w:val="0"/>
              <w:ind w:firstLine="241"/>
              <w:jc w:val="center"/>
              <w:rPr>
                <w:rFonts w:ascii="Calibri" w:hAnsi="Calibri" w:cs="Calibri"/>
                <w:sz w:val="21"/>
                <w:szCs w:val="21"/>
              </w:rPr>
            </w:pPr>
          </w:p>
        </w:tc>
        <w:tc>
          <w:tcPr>
            <w:tcW w:w="2880" w:type="dxa"/>
            <w:vAlign w:val="top"/>
          </w:tcPr>
          <w:p>
            <w:pPr>
              <w:pStyle w:val="13"/>
              <w:snapToGrid w:val="0"/>
              <w:ind w:firstLine="241"/>
              <w:jc w:val="center"/>
              <w:rPr>
                <w:rFonts w:ascii="Calibri" w:hAnsi="Calibri" w:cs="Calibri"/>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1620" w:type="dxa"/>
            <w:vAlign w:val="top"/>
          </w:tcPr>
          <w:p>
            <w:pPr>
              <w:pStyle w:val="13"/>
              <w:snapToGrid w:val="0"/>
              <w:ind w:firstLine="0"/>
              <w:rPr>
                <w:rFonts w:ascii="Calibri" w:hAnsi="Calibri" w:cs="Calibri"/>
                <w:sz w:val="21"/>
                <w:szCs w:val="21"/>
              </w:rPr>
            </w:pPr>
          </w:p>
        </w:tc>
        <w:tc>
          <w:tcPr>
            <w:tcW w:w="1540" w:type="dxa"/>
            <w:vAlign w:val="top"/>
          </w:tcPr>
          <w:p>
            <w:pPr>
              <w:pStyle w:val="13"/>
              <w:snapToGrid w:val="0"/>
              <w:ind w:firstLine="241"/>
              <w:jc w:val="center"/>
              <w:rPr>
                <w:rFonts w:ascii="Calibri" w:hAnsi="Calibri" w:cs="Calibri"/>
                <w:sz w:val="21"/>
                <w:szCs w:val="21"/>
              </w:rPr>
            </w:pPr>
          </w:p>
        </w:tc>
        <w:tc>
          <w:tcPr>
            <w:tcW w:w="1520" w:type="dxa"/>
            <w:vAlign w:val="top"/>
          </w:tcPr>
          <w:p>
            <w:pPr>
              <w:pStyle w:val="13"/>
              <w:snapToGrid w:val="0"/>
              <w:ind w:firstLine="241"/>
              <w:jc w:val="center"/>
              <w:rPr>
                <w:rFonts w:ascii="Calibri" w:hAnsi="Calibri" w:cs="Calibri"/>
                <w:sz w:val="21"/>
                <w:szCs w:val="21"/>
              </w:rPr>
            </w:pPr>
          </w:p>
        </w:tc>
        <w:tc>
          <w:tcPr>
            <w:tcW w:w="1620" w:type="dxa"/>
            <w:vAlign w:val="top"/>
          </w:tcPr>
          <w:p>
            <w:pPr>
              <w:pStyle w:val="13"/>
              <w:snapToGrid w:val="0"/>
              <w:ind w:firstLine="241"/>
              <w:jc w:val="center"/>
              <w:rPr>
                <w:rFonts w:ascii="Calibri" w:hAnsi="Calibri" w:cs="Calibri"/>
                <w:sz w:val="21"/>
                <w:szCs w:val="21"/>
              </w:rPr>
            </w:pPr>
          </w:p>
        </w:tc>
        <w:tc>
          <w:tcPr>
            <w:tcW w:w="2880" w:type="dxa"/>
            <w:vAlign w:val="top"/>
          </w:tcPr>
          <w:p>
            <w:pPr>
              <w:pStyle w:val="13"/>
              <w:snapToGrid w:val="0"/>
              <w:ind w:firstLine="241"/>
              <w:jc w:val="center"/>
              <w:rPr>
                <w:rFonts w:ascii="Calibri" w:hAnsi="Calibri" w:cs="Calibri"/>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1620" w:type="dxa"/>
            <w:vAlign w:val="top"/>
          </w:tcPr>
          <w:p>
            <w:pPr>
              <w:pStyle w:val="13"/>
              <w:snapToGrid w:val="0"/>
              <w:ind w:firstLine="0"/>
              <w:rPr>
                <w:rFonts w:ascii="Calibri" w:hAnsi="Calibri" w:cs="Calibri"/>
                <w:sz w:val="21"/>
                <w:szCs w:val="21"/>
              </w:rPr>
            </w:pPr>
          </w:p>
        </w:tc>
        <w:tc>
          <w:tcPr>
            <w:tcW w:w="1540" w:type="dxa"/>
            <w:vAlign w:val="top"/>
          </w:tcPr>
          <w:p>
            <w:pPr>
              <w:pStyle w:val="13"/>
              <w:snapToGrid w:val="0"/>
              <w:ind w:firstLine="241"/>
              <w:jc w:val="center"/>
              <w:rPr>
                <w:rFonts w:ascii="Calibri" w:hAnsi="Calibri" w:cs="Calibri"/>
                <w:sz w:val="21"/>
                <w:szCs w:val="21"/>
              </w:rPr>
            </w:pPr>
          </w:p>
        </w:tc>
        <w:tc>
          <w:tcPr>
            <w:tcW w:w="1520" w:type="dxa"/>
            <w:vAlign w:val="top"/>
          </w:tcPr>
          <w:p>
            <w:pPr>
              <w:pStyle w:val="13"/>
              <w:snapToGrid w:val="0"/>
              <w:ind w:firstLine="241"/>
              <w:jc w:val="center"/>
              <w:rPr>
                <w:rFonts w:ascii="Calibri" w:hAnsi="Calibri" w:cs="Calibri"/>
                <w:sz w:val="21"/>
                <w:szCs w:val="21"/>
              </w:rPr>
            </w:pPr>
          </w:p>
        </w:tc>
        <w:tc>
          <w:tcPr>
            <w:tcW w:w="1620" w:type="dxa"/>
            <w:vAlign w:val="top"/>
          </w:tcPr>
          <w:p>
            <w:pPr>
              <w:pStyle w:val="13"/>
              <w:snapToGrid w:val="0"/>
              <w:ind w:firstLine="241"/>
              <w:jc w:val="center"/>
              <w:rPr>
                <w:rFonts w:ascii="Calibri" w:hAnsi="Calibri" w:cs="Calibri"/>
                <w:sz w:val="21"/>
                <w:szCs w:val="21"/>
              </w:rPr>
            </w:pPr>
          </w:p>
        </w:tc>
        <w:tc>
          <w:tcPr>
            <w:tcW w:w="2880" w:type="dxa"/>
            <w:vAlign w:val="top"/>
          </w:tcPr>
          <w:p>
            <w:pPr>
              <w:pStyle w:val="13"/>
              <w:snapToGrid w:val="0"/>
              <w:ind w:firstLine="241"/>
              <w:jc w:val="center"/>
              <w:rPr>
                <w:rFonts w:ascii="Calibri" w:hAnsi="Calibri" w:cs="Calibri"/>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1620" w:type="dxa"/>
            <w:vAlign w:val="top"/>
          </w:tcPr>
          <w:p>
            <w:pPr>
              <w:pStyle w:val="13"/>
              <w:snapToGrid w:val="0"/>
              <w:ind w:firstLine="0"/>
              <w:rPr>
                <w:rFonts w:ascii="Calibri" w:hAnsi="Calibri" w:cs="Calibri"/>
                <w:sz w:val="21"/>
                <w:szCs w:val="21"/>
              </w:rPr>
            </w:pPr>
          </w:p>
        </w:tc>
        <w:tc>
          <w:tcPr>
            <w:tcW w:w="1540" w:type="dxa"/>
            <w:vAlign w:val="top"/>
          </w:tcPr>
          <w:p>
            <w:pPr>
              <w:pStyle w:val="13"/>
              <w:snapToGrid w:val="0"/>
              <w:ind w:firstLine="241"/>
              <w:jc w:val="center"/>
              <w:rPr>
                <w:rFonts w:ascii="Calibri" w:hAnsi="Calibri" w:cs="Calibri"/>
                <w:sz w:val="21"/>
                <w:szCs w:val="21"/>
              </w:rPr>
            </w:pPr>
          </w:p>
        </w:tc>
        <w:tc>
          <w:tcPr>
            <w:tcW w:w="1520" w:type="dxa"/>
            <w:vAlign w:val="top"/>
          </w:tcPr>
          <w:p>
            <w:pPr>
              <w:pStyle w:val="13"/>
              <w:snapToGrid w:val="0"/>
              <w:ind w:firstLine="241"/>
              <w:jc w:val="center"/>
              <w:rPr>
                <w:rFonts w:ascii="Calibri" w:hAnsi="Calibri" w:cs="Calibri"/>
                <w:sz w:val="21"/>
                <w:szCs w:val="21"/>
              </w:rPr>
            </w:pPr>
          </w:p>
        </w:tc>
        <w:tc>
          <w:tcPr>
            <w:tcW w:w="1620" w:type="dxa"/>
            <w:vAlign w:val="top"/>
          </w:tcPr>
          <w:p>
            <w:pPr>
              <w:pStyle w:val="13"/>
              <w:snapToGrid w:val="0"/>
              <w:ind w:firstLine="241"/>
              <w:jc w:val="center"/>
              <w:rPr>
                <w:rFonts w:ascii="Calibri" w:hAnsi="Calibri" w:cs="Calibri"/>
                <w:sz w:val="21"/>
                <w:szCs w:val="21"/>
              </w:rPr>
            </w:pPr>
          </w:p>
        </w:tc>
        <w:tc>
          <w:tcPr>
            <w:tcW w:w="2880" w:type="dxa"/>
            <w:vAlign w:val="top"/>
          </w:tcPr>
          <w:p>
            <w:pPr>
              <w:pStyle w:val="13"/>
              <w:snapToGrid w:val="0"/>
              <w:ind w:firstLine="241"/>
              <w:jc w:val="center"/>
              <w:rPr>
                <w:rFonts w:ascii="Calibri" w:hAnsi="Calibri" w:cs="Calibri"/>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1620" w:type="dxa"/>
            <w:vAlign w:val="top"/>
          </w:tcPr>
          <w:p>
            <w:pPr>
              <w:pStyle w:val="13"/>
              <w:snapToGrid w:val="0"/>
              <w:ind w:firstLine="0"/>
              <w:rPr>
                <w:rFonts w:ascii="Calibri" w:hAnsi="Calibri" w:cs="Calibri"/>
                <w:sz w:val="21"/>
                <w:szCs w:val="21"/>
              </w:rPr>
            </w:pPr>
          </w:p>
        </w:tc>
        <w:tc>
          <w:tcPr>
            <w:tcW w:w="1540" w:type="dxa"/>
            <w:vAlign w:val="top"/>
          </w:tcPr>
          <w:p>
            <w:pPr>
              <w:pStyle w:val="13"/>
              <w:snapToGrid w:val="0"/>
              <w:ind w:firstLine="241"/>
              <w:jc w:val="center"/>
              <w:rPr>
                <w:rFonts w:ascii="Calibri" w:hAnsi="Calibri" w:cs="Calibri"/>
                <w:sz w:val="21"/>
                <w:szCs w:val="21"/>
              </w:rPr>
            </w:pPr>
          </w:p>
        </w:tc>
        <w:tc>
          <w:tcPr>
            <w:tcW w:w="1520" w:type="dxa"/>
            <w:vAlign w:val="top"/>
          </w:tcPr>
          <w:p>
            <w:pPr>
              <w:pStyle w:val="13"/>
              <w:snapToGrid w:val="0"/>
              <w:ind w:firstLine="241"/>
              <w:jc w:val="center"/>
              <w:rPr>
                <w:rFonts w:ascii="Calibri" w:hAnsi="Calibri" w:cs="Calibri"/>
                <w:sz w:val="21"/>
                <w:szCs w:val="21"/>
              </w:rPr>
            </w:pPr>
          </w:p>
        </w:tc>
        <w:tc>
          <w:tcPr>
            <w:tcW w:w="1620" w:type="dxa"/>
            <w:vAlign w:val="top"/>
          </w:tcPr>
          <w:p>
            <w:pPr>
              <w:pStyle w:val="13"/>
              <w:snapToGrid w:val="0"/>
              <w:ind w:firstLine="241"/>
              <w:jc w:val="center"/>
              <w:rPr>
                <w:rFonts w:ascii="Calibri" w:hAnsi="Calibri" w:cs="Calibri"/>
                <w:sz w:val="21"/>
                <w:szCs w:val="21"/>
              </w:rPr>
            </w:pPr>
          </w:p>
        </w:tc>
        <w:tc>
          <w:tcPr>
            <w:tcW w:w="2880" w:type="dxa"/>
            <w:vAlign w:val="top"/>
          </w:tcPr>
          <w:p>
            <w:pPr>
              <w:pStyle w:val="13"/>
              <w:snapToGrid w:val="0"/>
              <w:ind w:firstLine="241"/>
              <w:jc w:val="center"/>
              <w:rPr>
                <w:rFonts w:ascii="Calibri" w:hAnsi="Calibri" w:cs="Calibri"/>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1620" w:type="dxa"/>
            <w:vAlign w:val="top"/>
          </w:tcPr>
          <w:p>
            <w:pPr>
              <w:pStyle w:val="13"/>
              <w:snapToGrid w:val="0"/>
              <w:ind w:firstLine="0"/>
              <w:rPr>
                <w:rFonts w:ascii="Calibri" w:hAnsi="Calibri" w:cs="Calibri"/>
                <w:sz w:val="21"/>
                <w:szCs w:val="21"/>
              </w:rPr>
            </w:pPr>
          </w:p>
        </w:tc>
        <w:tc>
          <w:tcPr>
            <w:tcW w:w="1540" w:type="dxa"/>
            <w:vAlign w:val="top"/>
          </w:tcPr>
          <w:p>
            <w:pPr>
              <w:pStyle w:val="13"/>
              <w:snapToGrid w:val="0"/>
              <w:ind w:firstLine="241"/>
              <w:jc w:val="center"/>
              <w:rPr>
                <w:rFonts w:ascii="Calibri" w:hAnsi="Calibri" w:cs="Calibri"/>
                <w:sz w:val="21"/>
                <w:szCs w:val="21"/>
              </w:rPr>
            </w:pPr>
          </w:p>
        </w:tc>
        <w:tc>
          <w:tcPr>
            <w:tcW w:w="1520" w:type="dxa"/>
            <w:vAlign w:val="top"/>
          </w:tcPr>
          <w:p>
            <w:pPr>
              <w:pStyle w:val="13"/>
              <w:snapToGrid w:val="0"/>
              <w:ind w:firstLine="241"/>
              <w:jc w:val="center"/>
              <w:rPr>
                <w:rFonts w:ascii="Calibri" w:hAnsi="Calibri" w:cs="Calibri"/>
                <w:sz w:val="21"/>
                <w:szCs w:val="21"/>
              </w:rPr>
            </w:pPr>
          </w:p>
        </w:tc>
        <w:tc>
          <w:tcPr>
            <w:tcW w:w="1620" w:type="dxa"/>
            <w:vAlign w:val="top"/>
          </w:tcPr>
          <w:p>
            <w:pPr>
              <w:pStyle w:val="13"/>
              <w:snapToGrid w:val="0"/>
              <w:ind w:firstLine="241"/>
              <w:jc w:val="center"/>
              <w:rPr>
                <w:rFonts w:ascii="Calibri" w:hAnsi="Calibri" w:cs="Calibri"/>
                <w:sz w:val="21"/>
                <w:szCs w:val="21"/>
              </w:rPr>
            </w:pPr>
          </w:p>
        </w:tc>
        <w:tc>
          <w:tcPr>
            <w:tcW w:w="2880" w:type="dxa"/>
            <w:vAlign w:val="top"/>
          </w:tcPr>
          <w:p>
            <w:pPr>
              <w:pStyle w:val="13"/>
              <w:snapToGrid w:val="0"/>
              <w:ind w:firstLine="241"/>
              <w:jc w:val="center"/>
              <w:rPr>
                <w:rFonts w:ascii="Calibri" w:hAnsi="Calibri" w:cs="Calibri"/>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1620" w:type="dxa"/>
            <w:vAlign w:val="top"/>
          </w:tcPr>
          <w:p>
            <w:pPr>
              <w:pStyle w:val="13"/>
              <w:snapToGrid w:val="0"/>
              <w:ind w:firstLine="0"/>
              <w:rPr>
                <w:rFonts w:ascii="Calibri" w:hAnsi="Calibri" w:cs="Calibri"/>
                <w:sz w:val="21"/>
                <w:szCs w:val="21"/>
              </w:rPr>
            </w:pPr>
          </w:p>
        </w:tc>
        <w:tc>
          <w:tcPr>
            <w:tcW w:w="1540" w:type="dxa"/>
            <w:vAlign w:val="top"/>
          </w:tcPr>
          <w:p>
            <w:pPr>
              <w:pStyle w:val="13"/>
              <w:snapToGrid w:val="0"/>
              <w:ind w:firstLine="241"/>
              <w:jc w:val="center"/>
              <w:rPr>
                <w:rFonts w:ascii="Calibri" w:hAnsi="Calibri" w:cs="Calibri"/>
                <w:sz w:val="21"/>
                <w:szCs w:val="21"/>
              </w:rPr>
            </w:pPr>
          </w:p>
        </w:tc>
        <w:tc>
          <w:tcPr>
            <w:tcW w:w="1520" w:type="dxa"/>
            <w:vAlign w:val="top"/>
          </w:tcPr>
          <w:p>
            <w:pPr>
              <w:pStyle w:val="13"/>
              <w:snapToGrid w:val="0"/>
              <w:ind w:firstLine="241"/>
              <w:jc w:val="center"/>
              <w:rPr>
                <w:rFonts w:ascii="Calibri" w:hAnsi="Calibri" w:cs="Calibri"/>
                <w:sz w:val="21"/>
                <w:szCs w:val="21"/>
              </w:rPr>
            </w:pPr>
          </w:p>
        </w:tc>
        <w:tc>
          <w:tcPr>
            <w:tcW w:w="1620" w:type="dxa"/>
            <w:vAlign w:val="top"/>
          </w:tcPr>
          <w:p>
            <w:pPr>
              <w:pStyle w:val="13"/>
              <w:snapToGrid w:val="0"/>
              <w:ind w:firstLine="241"/>
              <w:jc w:val="center"/>
              <w:rPr>
                <w:rFonts w:ascii="Calibri" w:hAnsi="Calibri" w:cs="Calibri"/>
                <w:sz w:val="21"/>
                <w:szCs w:val="21"/>
              </w:rPr>
            </w:pPr>
          </w:p>
        </w:tc>
        <w:tc>
          <w:tcPr>
            <w:tcW w:w="2880" w:type="dxa"/>
            <w:vAlign w:val="top"/>
          </w:tcPr>
          <w:p>
            <w:pPr>
              <w:pStyle w:val="13"/>
              <w:snapToGrid w:val="0"/>
              <w:ind w:firstLine="241"/>
              <w:jc w:val="center"/>
              <w:rPr>
                <w:rFonts w:ascii="Calibri" w:hAnsi="Calibri" w:cs="Calibri"/>
                <w:sz w:val="21"/>
                <w:szCs w:val="21"/>
              </w:rPr>
            </w:pPr>
          </w:p>
        </w:tc>
      </w:tr>
    </w:tbl>
    <w:p>
      <w:pPr>
        <w:spacing w:line="360" w:lineRule="auto"/>
        <w:rPr>
          <w:rFonts w:cs="Calibri"/>
          <w:szCs w:val="21"/>
        </w:rPr>
      </w:pPr>
      <w:r>
        <w:rPr>
          <w:rFonts w:cs="Calibri"/>
          <w:szCs w:val="21"/>
        </w:rPr>
        <w:t>注：附职称证、身份证、资格证</w:t>
      </w:r>
      <w:r>
        <w:rPr>
          <w:rFonts w:hint="eastAsia" w:cs="Calibri"/>
          <w:szCs w:val="21"/>
        </w:rPr>
        <w:t>、业绩</w:t>
      </w:r>
      <w:r>
        <w:rPr>
          <w:rFonts w:cs="Calibri"/>
          <w:szCs w:val="21"/>
        </w:rPr>
        <w:t>合同等相应证明文件</w:t>
      </w:r>
    </w:p>
    <w:p>
      <w:pPr>
        <w:spacing w:line="360" w:lineRule="auto"/>
        <w:rPr>
          <w:rFonts w:hint="eastAsia" w:cs="Calibri"/>
          <w:b/>
          <w:sz w:val="36"/>
          <w:szCs w:val="36"/>
        </w:rPr>
      </w:pPr>
    </w:p>
    <w:p>
      <w:pPr>
        <w:jc w:val="center"/>
        <w:rPr>
          <w:rFonts w:hint="eastAsia"/>
          <w:sz w:val="32"/>
          <w:szCs w:val="32"/>
        </w:rPr>
      </w:pPr>
      <w:r>
        <w:rPr>
          <w:rFonts w:hint="eastAsia" w:eastAsia="黑体" w:cs="Calibri"/>
          <w:color w:val="000000"/>
          <w:sz w:val="32"/>
          <w:szCs w:val="32"/>
        </w:rPr>
        <w:t>六</w:t>
      </w:r>
      <w:r>
        <w:rPr>
          <w:rFonts w:eastAsia="黑体" w:cs="Calibri"/>
          <w:color w:val="000000"/>
          <w:sz w:val="32"/>
          <w:szCs w:val="32"/>
        </w:rPr>
        <w:t>、</w:t>
      </w:r>
      <w:r>
        <w:rPr>
          <w:rFonts w:hint="eastAsia" w:eastAsia="黑体" w:cs="Calibri"/>
          <w:color w:val="000000"/>
          <w:sz w:val="32"/>
          <w:szCs w:val="32"/>
        </w:rPr>
        <w:t>投标人认为</w:t>
      </w:r>
      <w:r>
        <w:rPr>
          <w:rFonts w:eastAsia="黑体" w:cs="Calibri"/>
          <w:color w:val="000000"/>
          <w:sz w:val="32"/>
          <w:szCs w:val="32"/>
        </w:rPr>
        <w:t>应该提供的其他材料</w:t>
      </w:r>
    </w:p>
    <w:p/>
    <w:sectPr>
      <w:footerReference r:id="rId8" w:type="even"/>
      <w:pgSz w:w="11906" w:h="16838"/>
      <w:pgMar w:top="1134" w:right="1247" w:bottom="1134" w:left="1247" w:header="851" w:footer="992" w:gutter="0"/>
      <w:pgNumType w:fmt="numberInDash"/>
      <w:cols w:space="72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Arial">
    <w:panose1 w:val="020B0604020202020204"/>
    <w:charset w:val="00"/>
    <w:family w:val="swiss"/>
    <w:pitch w:val="default"/>
    <w:sig w:usb0="E0002AFF" w:usb1="C0007843" w:usb2="00000009" w:usb3="00000000" w:csb0="400001FF" w:csb1="FFFF0000"/>
  </w:font>
  <w:font w:name="楷体_GB2312">
    <w:altName w:val="楷体"/>
    <w:panose1 w:val="02010609030101010101"/>
    <w:charset w:val="86"/>
    <w:family w:val="modern"/>
    <w:pitch w:val="default"/>
    <w:sig w:usb0="00000001" w:usb1="080E0000" w:usb2="00000010" w:usb3="00000000" w:csb0="00040000" w:csb1="00000000"/>
  </w:font>
  <w:font w:name="仿宋_GB2312">
    <w:altName w:val="仿宋"/>
    <w:panose1 w:val="02010609030101010101"/>
    <w:charset w:val="86"/>
    <w:family w:val="modern"/>
    <w:pitch w:val="default"/>
    <w:sig w:usb0="00000001" w:usb1="080E0000" w:usb2="00000010" w:usb3="00000000" w:csb0="00040000" w:csb1="00000000"/>
  </w:font>
  <w:font w:name="Courier New">
    <w:panose1 w:val="02070309020205020404"/>
    <w:charset w:val="00"/>
    <w:family w:val="modern"/>
    <w:pitch w:val="default"/>
    <w:sig w:usb0="E0002AFF" w:usb1="C0007843" w:usb2="00000009" w:usb3="00000000" w:csb0="400001FF" w:csb1="FFFF0000"/>
  </w:font>
  <w:font w:name="Tahoma">
    <w:panose1 w:val="020B0604030504040204"/>
    <w:charset w:val="00"/>
    <w:family w:val="swiss"/>
    <w:pitch w:val="default"/>
    <w:sig w:usb0="E1002EFF" w:usb1="C000605B" w:usb2="00000029" w:usb3="00000000" w:csb0="200101FF" w:csb1="20280000"/>
  </w:font>
  <w:font w:name="???|CS?o｡ﾀ?">
    <w:altName w:val="MS Mincho"/>
    <w:panose1 w:val="00000000000000000000"/>
    <w:charset w:val="80"/>
    <w:family w:val="modern"/>
    <w:pitch w:val="default"/>
    <w:sig w:usb0="00000000" w:usb1="00000000" w:usb2="00000010" w:usb3="00000000" w:csb0="00020000" w:csb1="00000000"/>
  </w:font>
  <w:font w:name="Microsoft YaHei UI">
    <w:panose1 w:val="020B0503020204020204"/>
    <w:charset w:val="86"/>
    <w:family w:val="swiss"/>
    <w:pitch w:val="default"/>
    <w:sig w:usb0="80000287" w:usb1="28CF3C52" w:usb2="00000016" w:usb3="00000000" w:csb0="0004001F" w:csb1="00000000"/>
  </w:font>
  <w:font w:name="Calibri Light">
    <w:panose1 w:val="020F0302020204030204"/>
    <w:charset w:val="00"/>
    <w:family w:val="swiss"/>
    <w:pitch w:val="default"/>
    <w:sig w:usb0="A00002EF" w:usb1="4000207B" w:usb2="00000000" w:usb3="00000000" w:csb0="2000019F" w:csb1="00000000"/>
  </w:font>
  <w:font w:name="隶书">
    <w:panose1 w:val="02010509060101010101"/>
    <w:charset w:val="86"/>
    <w:family w:val="modern"/>
    <w:pitch w:val="default"/>
    <w:sig w:usb0="00000001" w:usb1="080E0000" w:usb2="00000000" w:usb3="00000000" w:csb0="00040000" w:csb1="00000000"/>
  </w:font>
  <w:font w:name="等线">
    <w:panose1 w:val="02010600030101010101"/>
    <w:charset w:val="86"/>
    <w:family w:val="auto"/>
    <w:pitch w:val="default"/>
    <w:sig w:usb0="A00002BF" w:usb1="38CF7CFA" w:usb2="00000016" w:usb3="00000000" w:csb0="0004000F" w:csb1="00000000"/>
  </w:font>
  <w:font w:name="Microsoft YaHei,Segoe UI Emoji">
    <w:altName w:val="Times New Roman"/>
    <w:panose1 w:val="00000000000000000000"/>
    <w:charset w:val="00"/>
    <w:family w:val="roman"/>
    <w:pitch w:val="default"/>
    <w:sig w:usb0="00000000" w:usb1="00000000" w:usb2="00000000" w:usb3="00000000" w:csb0="00040001"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 w:name="楷体">
    <w:panose1 w:val="02010609060101010101"/>
    <w:charset w:val="86"/>
    <w:family w:val="auto"/>
    <w:pitch w:val="default"/>
    <w:sig w:usb0="800002BF" w:usb1="38CF7CFA" w:usb2="00000016" w:usb3="00000000" w:csb0="00040001" w:csb1="00000000"/>
  </w:font>
  <w:font w:name="MS Mincho">
    <w:panose1 w:val="02020609040205080304"/>
    <w:charset w:val="80"/>
    <w:family w:val="auto"/>
    <w:pitch w:val="default"/>
    <w:sig w:usb0="E00002FF" w:usb1="6AC7FDFB" w:usb2="00000012" w:usb3="00000000" w:csb0="4002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7"/>
      <w:jc w:val="center"/>
    </w:pPr>
    <w:r>
      <w:fldChar w:fldCharType="begin"/>
    </w:r>
    <w:r>
      <w:instrText xml:space="preserve"> PAGE   \* MERGEFORMAT </w:instrText>
    </w:r>
    <w:r>
      <w:fldChar w:fldCharType="separate"/>
    </w:r>
    <w:r>
      <w:rPr>
        <w:lang w:val="zh-CN"/>
      </w:rPr>
      <w:t>-</w:t>
    </w:r>
    <w:r>
      <w:rPr>
        <w:lang/>
      </w:rPr>
      <w:t xml:space="preserve"> 50 -</w:t>
    </w:r>
    <w:r>
      <w:rPr>
        <w:lang/>
      </w:rPr>
      <w:fldChar w:fldCharType="end"/>
    </w:r>
  </w:p>
  <w:p>
    <w:pPr>
      <w:pStyle w:val="27"/>
      <w:wordWrap w:val="0"/>
      <w:jc w:val="cen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7"/>
      <w:framePr w:wrap="around" w:vAnchor="text" w:hAnchor="margin" w:xAlign="outside" w:y="1"/>
      <w:rPr>
        <w:rStyle w:val="47"/>
      </w:rPr>
    </w:pPr>
    <w:r>
      <w:fldChar w:fldCharType="begin"/>
    </w:r>
    <w:r>
      <w:rPr>
        <w:rStyle w:val="47"/>
      </w:rPr>
      <w:instrText xml:space="preserve">PAGE  </w:instrText>
    </w:r>
    <w:r>
      <w:fldChar w:fldCharType="separate"/>
    </w:r>
    <w:r>
      <w:rPr>
        <w:rStyle w:val="47"/>
      </w:rPr>
      <w:t>0</w:t>
    </w:r>
    <w:r>
      <w:fldChar w:fldCharType="end"/>
    </w:r>
  </w:p>
  <w:p>
    <w:pPr>
      <w:pStyle w:val="27"/>
      <w:ind w:right="360"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7"/>
      <w:jc w:val="center"/>
    </w:pPr>
  </w:p>
  <w:p>
    <w:pPr>
      <w:pStyle w:val="27"/>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7"/>
      <w:framePr w:wrap="around" w:vAnchor="text" w:hAnchor="margin" w:xAlign="outside" w:y="1"/>
      <w:rPr>
        <w:rStyle w:val="47"/>
      </w:rPr>
    </w:pPr>
    <w:r>
      <w:fldChar w:fldCharType="begin"/>
    </w:r>
    <w:r>
      <w:rPr>
        <w:rStyle w:val="47"/>
      </w:rPr>
      <w:instrText xml:space="preserve">PAGE  </w:instrText>
    </w:r>
    <w:r>
      <w:fldChar w:fldCharType="separate"/>
    </w:r>
    <w:r>
      <w:rPr>
        <w:rStyle w:val="47"/>
      </w:rPr>
      <w:t>0</w:t>
    </w:r>
    <w:r>
      <w:fldChar w:fldCharType="end"/>
    </w:r>
  </w:p>
  <w:p>
    <w:pPr>
      <w:pStyle w:val="27"/>
      <w:ind w:right="360" w:firstLine="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widowControl/>
      <w:adjustRightInd w:val="0"/>
      <w:snapToGrid w:val="0"/>
      <w:textAlignment w:val="baseline"/>
      <w:rPr>
        <w:color w:val="000000"/>
        <w:kern w:val="0"/>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9"/>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A7315"/>
    <w:rsid w:val="00002C9C"/>
    <w:rsid w:val="00006EFD"/>
    <w:rsid w:val="00007DE1"/>
    <w:rsid w:val="00011EE2"/>
    <w:rsid w:val="0001707D"/>
    <w:rsid w:val="00020C55"/>
    <w:rsid w:val="000233C8"/>
    <w:rsid w:val="000316F4"/>
    <w:rsid w:val="00032AD6"/>
    <w:rsid w:val="000420D1"/>
    <w:rsid w:val="0004303D"/>
    <w:rsid w:val="0004428B"/>
    <w:rsid w:val="00051C2B"/>
    <w:rsid w:val="00066371"/>
    <w:rsid w:val="0007283E"/>
    <w:rsid w:val="00077DDD"/>
    <w:rsid w:val="00081D7E"/>
    <w:rsid w:val="00094185"/>
    <w:rsid w:val="00095CA5"/>
    <w:rsid w:val="000967EA"/>
    <w:rsid w:val="00096DD6"/>
    <w:rsid w:val="000A6369"/>
    <w:rsid w:val="000A7BE4"/>
    <w:rsid w:val="000B123B"/>
    <w:rsid w:val="000B35E8"/>
    <w:rsid w:val="000C4544"/>
    <w:rsid w:val="000C5B3C"/>
    <w:rsid w:val="000D30E3"/>
    <w:rsid w:val="000D4AF9"/>
    <w:rsid w:val="000E064F"/>
    <w:rsid w:val="000E3171"/>
    <w:rsid w:val="000E4116"/>
    <w:rsid w:val="000F17B1"/>
    <w:rsid w:val="00101910"/>
    <w:rsid w:val="00124C20"/>
    <w:rsid w:val="00141711"/>
    <w:rsid w:val="00144D89"/>
    <w:rsid w:val="00150E0F"/>
    <w:rsid w:val="001576DA"/>
    <w:rsid w:val="00162749"/>
    <w:rsid w:val="00163C7C"/>
    <w:rsid w:val="00170123"/>
    <w:rsid w:val="00170B86"/>
    <w:rsid w:val="001756A9"/>
    <w:rsid w:val="00184C63"/>
    <w:rsid w:val="00194B90"/>
    <w:rsid w:val="001A03A3"/>
    <w:rsid w:val="001A1E7E"/>
    <w:rsid w:val="001A2B5B"/>
    <w:rsid w:val="001B3CAD"/>
    <w:rsid w:val="001B578B"/>
    <w:rsid w:val="001C0DE7"/>
    <w:rsid w:val="001C483B"/>
    <w:rsid w:val="001D3ED4"/>
    <w:rsid w:val="001E2051"/>
    <w:rsid w:val="001F4A94"/>
    <w:rsid w:val="00204DA2"/>
    <w:rsid w:val="00206F4E"/>
    <w:rsid w:val="00217E4D"/>
    <w:rsid w:val="0022347C"/>
    <w:rsid w:val="002347B2"/>
    <w:rsid w:val="00235932"/>
    <w:rsid w:val="00237480"/>
    <w:rsid w:val="0024355B"/>
    <w:rsid w:val="00256721"/>
    <w:rsid w:val="002567A0"/>
    <w:rsid w:val="00266127"/>
    <w:rsid w:val="00275696"/>
    <w:rsid w:val="00284E4C"/>
    <w:rsid w:val="00296D5D"/>
    <w:rsid w:val="002A46A8"/>
    <w:rsid w:val="002A4929"/>
    <w:rsid w:val="002A7315"/>
    <w:rsid w:val="002B564D"/>
    <w:rsid w:val="002C2805"/>
    <w:rsid w:val="002D34C8"/>
    <w:rsid w:val="002D4FA4"/>
    <w:rsid w:val="002E037C"/>
    <w:rsid w:val="002F31F4"/>
    <w:rsid w:val="002F6141"/>
    <w:rsid w:val="00302A78"/>
    <w:rsid w:val="00303A64"/>
    <w:rsid w:val="00303D93"/>
    <w:rsid w:val="00314E71"/>
    <w:rsid w:val="00317733"/>
    <w:rsid w:val="00320AE1"/>
    <w:rsid w:val="0032178F"/>
    <w:rsid w:val="003248ED"/>
    <w:rsid w:val="00331627"/>
    <w:rsid w:val="00333970"/>
    <w:rsid w:val="00363F7F"/>
    <w:rsid w:val="00381F65"/>
    <w:rsid w:val="0038339F"/>
    <w:rsid w:val="0038525D"/>
    <w:rsid w:val="003911AA"/>
    <w:rsid w:val="00391470"/>
    <w:rsid w:val="003B137E"/>
    <w:rsid w:val="003C68A4"/>
    <w:rsid w:val="003E7D53"/>
    <w:rsid w:val="003F7E2A"/>
    <w:rsid w:val="004001C3"/>
    <w:rsid w:val="00405D5F"/>
    <w:rsid w:val="00412F25"/>
    <w:rsid w:val="0041424D"/>
    <w:rsid w:val="0041710D"/>
    <w:rsid w:val="00447FB6"/>
    <w:rsid w:val="004514EF"/>
    <w:rsid w:val="004641FF"/>
    <w:rsid w:val="00480F12"/>
    <w:rsid w:val="00495272"/>
    <w:rsid w:val="004A436D"/>
    <w:rsid w:val="004A4FA0"/>
    <w:rsid w:val="004B4824"/>
    <w:rsid w:val="004C16A0"/>
    <w:rsid w:val="004C677A"/>
    <w:rsid w:val="004D6AC4"/>
    <w:rsid w:val="004F6104"/>
    <w:rsid w:val="004F74AF"/>
    <w:rsid w:val="00507771"/>
    <w:rsid w:val="00507780"/>
    <w:rsid w:val="0051761F"/>
    <w:rsid w:val="00524672"/>
    <w:rsid w:val="00530C22"/>
    <w:rsid w:val="00535B92"/>
    <w:rsid w:val="00551B9A"/>
    <w:rsid w:val="00556198"/>
    <w:rsid w:val="00567806"/>
    <w:rsid w:val="00571A20"/>
    <w:rsid w:val="00571D59"/>
    <w:rsid w:val="00573958"/>
    <w:rsid w:val="00574688"/>
    <w:rsid w:val="00575FC8"/>
    <w:rsid w:val="00576C3D"/>
    <w:rsid w:val="00577913"/>
    <w:rsid w:val="00581AB2"/>
    <w:rsid w:val="00592392"/>
    <w:rsid w:val="00592B7A"/>
    <w:rsid w:val="00592E40"/>
    <w:rsid w:val="0059365A"/>
    <w:rsid w:val="005B7AFF"/>
    <w:rsid w:val="005C06D7"/>
    <w:rsid w:val="005C68C8"/>
    <w:rsid w:val="005F17C2"/>
    <w:rsid w:val="005F321B"/>
    <w:rsid w:val="005F3FF1"/>
    <w:rsid w:val="005F6CE6"/>
    <w:rsid w:val="006009A9"/>
    <w:rsid w:val="0060230E"/>
    <w:rsid w:val="00605FED"/>
    <w:rsid w:val="006104A6"/>
    <w:rsid w:val="00615D8B"/>
    <w:rsid w:val="00617029"/>
    <w:rsid w:val="006203CF"/>
    <w:rsid w:val="00620F70"/>
    <w:rsid w:val="006303F2"/>
    <w:rsid w:val="0063218A"/>
    <w:rsid w:val="00634E64"/>
    <w:rsid w:val="00657DA0"/>
    <w:rsid w:val="006652A7"/>
    <w:rsid w:val="006720AF"/>
    <w:rsid w:val="0067335D"/>
    <w:rsid w:val="00673EEF"/>
    <w:rsid w:val="00680F70"/>
    <w:rsid w:val="00687E2B"/>
    <w:rsid w:val="006A34B8"/>
    <w:rsid w:val="006B13B0"/>
    <w:rsid w:val="006B2796"/>
    <w:rsid w:val="006B78E3"/>
    <w:rsid w:val="006C3F98"/>
    <w:rsid w:val="006E0F8E"/>
    <w:rsid w:val="006E7BF0"/>
    <w:rsid w:val="006F405F"/>
    <w:rsid w:val="006F5F1F"/>
    <w:rsid w:val="006F7246"/>
    <w:rsid w:val="00710166"/>
    <w:rsid w:val="00712EEB"/>
    <w:rsid w:val="00714A96"/>
    <w:rsid w:val="0071576F"/>
    <w:rsid w:val="00720D7A"/>
    <w:rsid w:val="00721073"/>
    <w:rsid w:val="007257F9"/>
    <w:rsid w:val="00726329"/>
    <w:rsid w:val="007344C8"/>
    <w:rsid w:val="00743379"/>
    <w:rsid w:val="00757BF9"/>
    <w:rsid w:val="0076326C"/>
    <w:rsid w:val="00777D94"/>
    <w:rsid w:val="007847C1"/>
    <w:rsid w:val="00795B12"/>
    <w:rsid w:val="007A2849"/>
    <w:rsid w:val="007A52F1"/>
    <w:rsid w:val="007C1531"/>
    <w:rsid w:val="007C4520"/>
    <w:rsid w:val="007C4893"/>
    <w:rsid w:val="007E0879"/>
    <w:rsid w:val="007F0267"/>
    <w:rsid w:val="007F134C"/>
    <w:rsid w:val="007F20D2"/>
    <w:rsid w:val="007F4AC3"/>
    <w:rsid w:val="00801096"/>
    <w:rsid w:val="0081775F"/>
    <w:rsid w:val="00836C68"/>
    <w:rsid w:val="008436C0"/>
    <w:rsid w:val="00847EEC"/>
    <w:rsid w:val="008509CD"/>
    <w:rsid w:val="00853349"/>
    <w:rsid w:val="00854D93"/>
    <w:rsid w:val="00857352"/>
    <w:rsid w:val="00881DBA"/>
    <w:rsid w:val="00891636"/>
    <w:rsid w:val="008931BF"/>
    <w:rsid w:val="008A52A1"/>
    <w:rsid w:val="008B033F"/>
    <w:rsid w:val="008B1F99"/>
    <w:rsid w:val="008B315F"/>
    <w:rsid w:val="008B4053"/>
    <w:rsid w:val="008B4BC4"/>
    <w:rsid w:val="008C639A"/>
    <w:rsid w:val="008D0FD3"/>
    <w:rsid w:val="008D3BB5"/>
    <w:rsid w:val="008D71F8"/>
    <w:rsid w:val="008E002C"/>
    <w:rsid w:val="008E4075"/>
    <w:rsid w:val="008E4182"/>
    <w:rsid w:val="009003D5"/>
    <w:rsid w:val="00914E82"/>
    <w:rsid w:val="00923611"/>
    <w:rsid w:val="00923F85"/>
    <w:rsid w:val="00926CBB"/>
    <w:rsid w:val="00927300"/>
    <w:rsid w:val="0093312A"/>
    <w:rsid w:val="00943DED"/>
    <w:rsid w:val="0094777A"/>
    <w:rsid w:val="009515DD"/>
    <w:rsid w:val="00961691"/>
    <w:rsid w:val="00961E14"/>
    <w:rsid w:val="00962D34"/>
    <w:rsid w:val="00970656"/>
    <w:rsid w:val="009707E4"/>
    <w:rsid w:val="00971237"/>
    <w:rsid w:val="009806DF"/>
    <w:rsid w:val="00982189"/>
    <w:rsid w:val="00997508"/>
    <w:rsid w:val="009A4492"/>
    <w:rsid w:val="009A5F3E"/>
    <w:rsid w:val="009C197F"/>
    <w:rsid w:val="009D7170"/>
    <w:rsid w:val="009E0BBD"/>
    <w:rsid w:val="009E3F54"/>
    <w:rsid w:val="009F1A8C"/>
    <w:rsid w:val="00A03B97"/>
    <w:rsid w:val="00A16AD6"/>
    <w:rsid w:val="00A1711A"/>
    <w:rsid w:val="00A22336"/>
    <w:rsid w:val="00A2527B"/>
    <w:rsid w:val="00A2694C"/>
    <w:rsid w:val="00A26E20"/>
    <w:rsid w:val="00A313B7"/>
    <w:rsid w:val="00A32A93"/>
    <w:rsid w:val="00A41D10"/>
    <w:rsid w:val="00A42300"/>
    <w:rsid w:val="00A47E9E"/>
    <w:rsid w:val="00A53881"/>
    <w:rsid w:val="00A542FE"/>
    <w:rsid w:val="00A744EE"/>
    <w:rsid w:val="00A747D8"/>
    <w:rsid w:val="00A819BC"/>
    <w:rsid w:val="00A8282B"/>
    <w:rsid w:val="00A909D3"/>
    <w:rsid w:val="00A9177E"/>
    <w:rsid w:val="00AA1870"/>
    <w:rsid w:val="00AA5E1D"/>
    <w:rsid w:val="00AB4C2B"/>
    <w:rsid w:val="00AB631B"/>
    <w:rsid w:val="00AB66A0"/>
    <w:rsid w:val="00AC458E"/>
    <w:rsid w:val="00AD45BD"/>
    <w:rsid w:val="00AE781F"/>
    <w:rsid w:val="00AF366D"/>
    <w:rsid w:val="00AF4756"/>
    <w:rsid w:val="00AF7902"/>
    <w:rsid w:val="00B0238A"/>
    <w:rsid w:val="00B05E52"/>
    <w:rsid w:val="00B2256D"/>
    <w:rsid w:val="00B256F3"/>
    <w:rsid w:val="00B44EC2"/>
    <w:rsid w:val="00B47DBE"/>
    <w:rsid w:val="00B531D1"/>
    <w:rsid w:val="00B53F0B"/>
    <w:rsid w:val="00B623FC"/>
    <w:rsid w:val="00B62750"/>
    <w:rsid w:val="00B7469B"/>
    <w:rsid w:val="00B74F3C"/>
    <w:rsid w:val="00B7575E"/>
    <w:rsid w:val="00B81B94"/>
    <w:rsid w:val="00B8651F"/>
    <w:rsid w:val="00B8738E"/>
    <w:rsid w:val="00B8769D"/>
    <w:rsid w:val="00B91999"/>
    <w:rsid w:val="00B94DE4"/>
    <w:rsid w:val="00BA3E13"/>
    <w:rsid w:val="00BA6507"/>
    <w:rsid w:val="00BB11AB"/>
    <w:rsid w:val="00BC58F1"/>
    <w:rsid w:val="00BD7686"/>
    <w:rsid w:val="00BE10DA"/>
    <w:rsid w:val="00BF15B5"/>
    <w:rsid w:val="00BF3179"/>
    <w:rsid w:val="00C01C86"/>
    <w:rsid w:val="00C10C66"/>
    <w:rsid w:val="00C10FF3"/>
    <w:rsid w:val="00C150C7"/>
    <w:rsid w:val="00C16D16"/>
    <w:rsid w:val="00C3764C"/>
    <w:rsid w:val="00C456B1"/>
    <w:rsid w:val="00C538F2"/>
    <w:rsid w:val="00C6706C"/>
    <w:rsid w:val="00C81EC2"/>
    <w:rsid w:val="00C84623"/>
    <w:rsid w:val="00C94893"/>
    <w:rsid w:val="00C97056"/>
    <w:rsid w:val="00CA02BB"/>
    <w:rsid w:val="00CA0FFC"/>
    <w:rsid w:val="00CB0E49"/>
    <w:rsid w:val="00CB41DE"/>
    <w:rsid w:val="00CB5144"/>
    <w:rsid w:val="00CC4263"/>
    <w:rsid w:val="00CC796A"/>
    <w:rsid w:val="00CD7670"/>
    <w:rsid w:val="00CE205F"/>
    <w:rsid w:val="00CE4994"/>
    <w:rsid w:val="00CE4AA4"/>
    <w:rsid w:val="00CE4BA4"/>
    <w:rsid w:val="00CE67FC"/>
    <w:rsid w:val="00D12922"/>
    <w:rsid w:val="00D14249"/>
    <w:rsid w:val="00D14402"/>
    <w:rsid w:val="00D22F6E"/>
    <w:rsid w:val="00D23790"/>
    <w:rsid w:val="00D33FBA"/>
    <w:rsid w:val="00D35C16"/>
    <w:rsid w:val="00D427E8"/>
    <w:rsid w:val="00D4487A"/>
    <w:rsid w:val="00D46BD1"/>
    <w:rsid w:val="00D6105B"/>
    <w:rsid w:val="00D6210B"/>
    <w:rsid w:val="00D6503B"/>
    <w:rsid w:val="00D75B99"/>
    <w:rsid w:val="00D82046"/>
    <w:rsid w:val="00D8629C"/>
    <w:rsid w:val="00D9476A"/>
    <w:rsid w:val="00D9715E"/>
    <w:rsid w:val="00DA1897"/>
    <w:rsid w:val="00DA74B0"/>
    <w:rsid w:val="00DB040E"/>
    <w:rsid w:val="00DB2F8F"/>
    <w:rsid w:val="00DC2415"/>
    <w:rsid w:val="00DC3F86"/>
    <w:rsid w:val="00DC4833"/>
    <w:rsid w:val="00DC69E2"/>
    <w:rsid w:val="00DC7E0E"/>
    <w:rsid w:val="00DF2D26"/>
    <w:rsid w:val="00DF6683"/>
    <w:rsid w:val="00E00B79"/>
    <w:rsid w:val="00E151D8"/>
    <w:rsid w:val="00E40B69"/>
    <w:rsid w:val="00E6201A"/>
    <w:rsid w:val="00E703C8"/>
    <w:rsid w:val="00E70B51"/>
    <w:rsid w:val="00E80D11"/>
    <w:rsid w:val="00E86497"/>
    <w:rsid w:val="00EA05DA"/>
    <w:rsid w:val="00EA6D2D"/>
    <w:rsid w:val="00EB7F93"/>
    <w:rsid w:val="00EC113C"/>
    <w:rsid w:val="00ED2131"/>
    <w:rsid w:val="00EE62FE"/>
    <w:rsid w:val="00EE6513"/>
    <w:rsid w:val="00EE7834"/>
    <w:rsid w:val="00EF0397"/>
    <w:rsid w:val="00EF098B"/>
    <w:rsid w:val="00F213D4"/>
    <w:rsid w:val="00F24B49"/>
    <w:rsid w:val="00F26357"/>
    <w:rsid w:val="00F37475"/>
    <w:rsid w:val="00F502AE"/>
    <w:rsid w:val="00F50931"/>
    <w:rsid w:val="00F547DA"/>
    <w:rsid w:val="00F55ED6"/>
    <w:rsid w:val="00F72BBC"/>
    <w:rsid w:val="00F83BD2"/>
    <w:rsid w:val="00F855E5"/>
    <w:rsid w:val="00F8619F"/>
    <w:rsid w:val="00F91775"/>
    <w:rsid w:val="00F9304A"/>
    <w:rsid w:val="00F95C77"/>
    <w:rsid w:val="00F96D16"/>
    <w:rsid w:val="00FA1A2E"/>
    <w:rsid w:val="00FA3637"/>
    <w:rsid w:val="00FA72CF"/>
    <w:rsid w:val="00FB2B76"/>
    <w:rsid w:val="00FB38EF"/>
    <w:rsid w:val="00FB50BE"/>
    <w:rsid w:val="00FC603F"/>
    <w:rsid w:val="00FE47B3"/>
    <w:rsid w:val="00FF1902"/>
    <w:rsid w:val="106F32E9"/>
    <w:rsid w:val="118875CA"/>
    <w:rsid w:val="179B3737"/>
    <w:rsid w:val="1B75256B"/>
    <w:rsid w:val="1FC819E7"/>
    <w:rsid w:val="216D5CE5"/>
    <w:rsid w:val="2B466DAA"/>
    <w:rsid w:val="2CFC1669"/>
    <w:rsid w:val="2D7C6506"/>
    <w:rsid w:val="2F0B4775"/>
    <w:rsid w:val="308C4640"/>
    <w:rsid w:val="31B37889"/>
    <w:rsid w:val="335F420D"/>
    <w:rsid w:val="3AAF4908"/>
    <w:rsid w:val="3DA21E49"/>
    <w:rsid w:val="403762FF"/>
    <w:rsid w:val="42393234"/>
    <w:rsid w:val="460761AC"/>
    <w:rsid w:val="48F73020"/>
    <w:rsid w:val="51320595"/>
    <w:rsid w:val="5318719B"/>
    <w:rsid w:val="57D748BB"/>
    <w:rsid w:val="5F54411B"/>
    <w:rsid w:val="6331334C"/>
    <w:rsid w:val="6B8A38B3"/>
    <w:rsid w:val="70F3607E"/>
    <w:rsid w:val="73AB6030"/>
    <w:rsid w:val="7AA3691F"/>
    <w:rsid w:val="7ED647E2"/>
  </w:rsid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
    <w:lsdException w:unhideWhenUsed="0" w:uiPriority="0" w:semiHidden="0" w:nam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iPriority="99" w:semiHidden="0" w:name=""/>
    <w:lsdException w:qFormat="1" w:unhideWhenUsed="0" w:uiPriority="0" w:semiHidden="0" w:nam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paragraph" w:styleId="2">
    <w:name w:val="heading 1"/>
    <w:basedOn w:val="1"/>
    <w:next w:val="1"/>
    <w:link w:val="141"/>
    <w:qFormat/>
    <w:uiPriority w:val="0"/>
    <w:pPr>
      <w:keepNext/>
      <w:keepLines/>
      <w:spacing w:before="340" w:after="330" w:line="576" w:lineRule="auto"/>
      <w:outlineLvl w:val="0"/>
    </w:pPr>
    <w:rPr>
      <w:rFonts w:ascii="Times New Roman" w:hAnsi="Times New Roman"/>
      <w:b/>
      <w:bCs/>
      <w:kern w:val="44"/>
      <w:sz w:val="44"/>
      <w:szCs w:val="44"/>
    </w:rPr>
  </w:style>
  <w:style w:type="paragraph" w:styleId="3">
    <w:name w:val="heading 2"/>
    <w:basedOn w:val="1"/>
    <w:next w:val="1"/>
    <w:link w:val="103"/>
    <w:unhideWhenUsed/>
    <w:qFormat/>
    <w:uiPriority w:val="0"/>
    <w:pPr>
      <w:keepNext/>
      <w:keepLines/>
      <w:spacing w:before="260" w:after="260" w:line="413" w:lineRule="auto"/>
      <w:outlineLvl w:val="1"/>
    </w:pPr>
    <w:rPr>
      <w:rFonts w:ascii="Arial" w:hAnsi="Arial" w:eastAsia="黑体"/>
      <w:b/>
      <w:bCs/>
      <w:kern w:val="0"/>
      <w:sz w:val="32"/>
      <w:szCs w:val="32"/>
    </w:rPr>
  </w:style>
  <w:style w:type="paragraph" w:styleId="4">
    <w:name w:val="heading 3"/>
    <w:basedOn w:val="1"/>
    <w:next w:val="1"/>
    <w:link w:val="109"/>
    <w:unhideWhenUsed/>
    <w:qFormat/>
    <w:uiPriority w:val="0"/>
    <w:pPr>
      <w:spacing w:line="440" w:lineRule="atLeast"/>
      <w:outlineLvl w:val="2"/>
    </w:pPr>
    <w:rPr>
      <w:rFonts w:ascii="Times New Roman" w:hAnsi="Times New Roman" w:eastAsia="楷体_GB2312"/>
      <w:kern w:val="0"/>
      <w:sz w:val="28"/>
      <w:szCs w:val="20"/>
    </w:rPr>
  </w:style>
  <w:style w:type="paragraph" w:styleId="5">
    <w:name w:val="heading 4"/>
    <w:basedOn w:val="1"/>
    <w:next w:val="1"/>
    <w:link w:val="140"/>
    <w:unhideWhenUsed/>
    <w:qFormat/>
    <w:uiPriority w:val="0"/>
    <w:pPr>
      <w:keepNext/>
      <w:keepLines/>
      <w:spacing w:before="280" w:after="290" w:line="372" w:lineRule="auto"/>
      <w:outlineLvl w:val="3"/>
    </w:pPr>
    <w:rPr>
      <w:rFonts w:ascii="Arial" w:hAnsi="Arial" w:eastAsia="黑体"/>
      <w:b/>
      <w:bCs/>
      <w:kern w:val="0"/>
      <w:sz w:val="28"/>
      <w:szCs w:val="28"/>
    </w:rPr>
  </w:style>
  <w:style w:type="paragraph" w:styleId="6">
    <w:name w:val="heading 5"/>
    <w:basedOn w:val="1"/>
    <w:next w:val="1"/>
    <w:link w:val="124"/>
    <w:unhideWhenUsed/>
    <w:qFormat/>
    <w:uiPriority w:val="0"/>
    <w:pPr>
      <w:keepNext/>
      <w:keepLines/>
      <w:spacing w:before="280" w:after="290" w:line="372" w:lineRule="auto"/>
      <w:outlineLvl w:val="4"/>
    </w:pPr>
    <w:rPr>
      <w:rFonts w:ascii="Times New Roman" w:hAnsi="Times New Roman"/>
      <w:b/>
      <w:bCs/>
      <w:kern w:val="0"/>
      <w:sz w:val="28"/>
      <w:szCs w:val="28"/>
    </w:rPr>
  </w:style>
  <w:style w:type="character" w:default="1" w:styleId="46">
    <w:name w:val="Default Paragraph Font"/>
    <w:semiHidden/>
    <w:uiPriority w:val="0"/>
  </w:style>
  <w:style w:type="table" w:default="1" w:styleId="53">
    <w:name w:val="Normal Table"/>
    <w:semiHidden/>
    <w:uiPriority w:val="0"/>
    <w:tblPr>
      <w:tblLayout w:type="fixed"/>
      <w:tblCellMar>
        <w:top w:w="0" w:type="dxa"/>
        <w:left w:w="108" w:type="dxa"/>
        <w:bottom w:w="0" w:type="dxa"/>
        <w:right w:w="108" w:type="dxa"/>
      </w:tblCellMar>
    </w:tblPr>
  </w:style>
  <w:style w:type="paragraph" w:styleId="7">
    <w:name w:val="List 3"/>
    <w:basedOn w:val="1"/>
    <w:uiPriority w:val="0"/>
    <w:pPr>
      <w:ind w:left="100" w:leftChars="400" w:hanging="200" w:hangingChars="200"/>
    </w:pPr>
    <w:rPr>
      <w:rFonts w:ascii="Times New Roman" w:hAnsi="Times New Roman"/>
      <w:szCs w:val="24"/>
    </w:rPr>
  </w:style>
  <w:style w:type="paragraph" w:styleId="8">
    <w:name w:val="annotation subject"/>
    <w:basedOn w:val="9"/>
    <w:next w:val="9"/>
    <w:link w:val="135"/>
    <w:uiPriority w:val="0"/>
    <w:rPr>
      <w:rFonts w:ascii="Times New Roman" w:hAnsi="Times New Roman"/>
      <w:b/>
      <w:bCs/>
      <w:szCs w:val="24"/>
    </w:rPr>
  </w:style>
  <w:style w:type="paragraph" w:styleId="9">
    <w:name w:val="annotation text"/>
    <w:basedOn w:val="1"/>
    <w:link w:val="128"/>
    <w:uiPriority w:val="0"/>
    <w:pPr>
      <w:jc w:val="left"/>
    </w:pPr>
  </w:style>
  <w:style w:type="paragraph" w:styleId="10">
    <w:name w:val="toc 7"/>
    <w:basedOn w:val="1"/>
    <w:next w:val="1"/>
    <w:uiPriority w:val="0"/>
    <w:pPr>
      <w:ind w:left="2520"/>
    </w:pPr>
    <w:rPr>
      <w:rFonts w:ascii="Times New Roman" w:hAnsi="Times New Roman"/>
      <w:szCs w:val="24"/>
    </w:rPr>
  </w:style>
  <w:style w:type="paragraph" w:styleId="11">
    <w:name w:val="Body Text First Indent"/>
    <w:basedOn w:val="12"/>
    <w:link w:val="104"/>
    <w:uiPriority w:val="0"/>
    <w:pPr>
      <w:ind w:firstLine="420" w:firstLineChars="100"/>
    </w:pPr>
    <w:rPr>
      <w:rFonts w:ascii="Times New Roman" w:hAnsi="Times New Roman"/>
      <w:szCs w:val="24"/>
    </w:rPr>
  </w:style>
  <w:style w:type="paragraph" w:styleId="12">
    <w:name w:val="Body Text"/>
    <w:basedOn w:val="1"/>
    <w:link w:val="118"/>
    <w:uiPriority w:val="0"/>
    <w:pPr>
      <w:spacing w:after="120"/>
    </w:pPr>
    <w:rPr>
      <w:kern w:val="0"/>
      <w:sz w:val="20"/>
      <w:szCs w:val="20"/>
    </w:rPr>
  </w:style>
  <w:style w:type="paragraph" w:styleId="13">
    <w:name w:val="Normal Indent"/>
    <w:basedOn w:val="1"/>
    <w:link w:val="129"/>
    <w:uiPriority w:val="0"/>
    <w:pPr>
      <w:autoSpaceDE w:val="0"/>
      <w:autoSpaceDN w:val="0"/>
      <w:adjustRightInd w:val="0"/>
      <w:ind w:firstLine="420"/>
      <w:jc w:val="left"/>
    </w:pPr>
    <w:rPr>
      <w:rFonts w:ascii="宋体" w:hAnsi="Times New Roman"/>
      <w:kern w:val="0"/>
      <w:sz w:val="34"/>
      <w:szCs w:val="20"/>
    </w:rPr>
  </w:style>
  <w:style w:type="paragraph" w:styleId="14">
    <w:name w:val="caption"/>
    <w:basedOn w:val="1"/>
    <w:next w:val="1"/>
    <w:unhideWhenUsed/>
    <w:qFormat/>
    <w:uiPriority w:val="0"/>
    <w:rPr>
      <w:rFonts w:ascii="Arial" w:hAnsi="Arial" w:eastAsia="黑体" w:cs="Arial"/>
      <w:sz w:val="20"/>
      <w:szCs w:val="20"/>
    </w:rPr>
  </w:style>
  <w:style w:type="paragraph" w:styleId="15">
    <w:name w:val="Document Map"/>
    <w:basedOn w:val="1"/>
    <w:link w:val="142"/>
    <w:uiPriority w:val="0"/>
    <w:pPr>
      <w:shd w:val="clear" w:color="auto" w:fill="000080"/>
    </w:pPr>
    <w:rPr>
      <w:rFonts w:ascii="Times New Roman" w:hAnsi="Times New Roman"/>
      <w:kern w:val="0"/>
      <w:sz w:val="20"/>
      <w:szCs w:val="24"/>
    </w:rPr>
  </w:style>
  <w:style w:type="paragraph" w:styleId="16">
    <w:name w:val="toa heading"/>
    <w:basedOn w:val="1"/>
    <w:next w:val="1"/>
    <w:uiPriority w:val="0"/>
    <w:pPr>
      <w:spacing w:before="120"/>
    </w:pPr>
    <w:rPr>
      <w:rFonts w:ascii="Arial" w:hAnsi="Arial" w:cs="Arial"/>
      <w:sz w:val="24"/>
      <w:szCs w:val="24"/>
    </w:rPr>
  </w:style>
  <w:style w:type="paragraph" w:styleId="17">
    <w:name w:val="Body Text Indent"/>
    <w:basedOn w:val="1"/>
    <w:link w:val="97"/>
    <w:uiPriority w:val="0"/>
    <w:pPr>
      <w:spacing w:after="120"/>
      <w:ind w:left="420" w:leftChars="200"/>
    </w:pPr>
    <w:rPr>
      <w:kern w:val="0"/>
      <w:sz w:val="20"/>
      <w:szCs w:val="20"/>
    </w:rPr>
  </w:style>
  <w:style w:type="paragraph" w:styleId="18">
    <w:name w:val="List 2"/>
    <w:basedOn w:val="1"/>
    <w:uiPriority w:val="0"/>
    <w:pPr>
      <w:ind w:left="100" w:leftChars="200" w:hanging="200" w:hangingChars="200"/>
    </w:pPr>
    <w:rPr>
      <w:rFonts w:ascii="Times New Roman" w:hAnsi="Times New Roman"/>
      <w:szCs w:val="24"/>
    </w:rPr>
  </w:style>
  <w:style w:type="paragraph" w:styleId="19">
    <w:name w:val="toc 5"/>
    <w:basedOn w:val="1"/>
    <w:next w:val="1"/>
    <w:uiPriority w:val="0"/>
    <w:pPr>
      <w:ind w:left="1680"/>
    </w:pPr>
    <w:rPr>
      <w:rFonts w:ascii="Times New Roman" w:hAnsi="Times New Roman"/>
      <w:szCs w:val="24"/>
    </w:rPr>
  </w:style>
  <w:style w:type="paragraph" w:styleId="20">
    <w:name w:val="toc 3"/>
    <w:basedOn w:val="1"/>
    <w:next w:val="1"/>
    <w:uiPriority w:val="0"/>
    <w:pPr>
      <w:spacing w:line="360" w:lineRule="auto"/>
      <w:ind w:left="400" w:leftChars="400"/>
    </w:pPr>
    <w:rPr>
      <w:rFonts w:ascii="Times New Roman" w:hAnsi="Times New Roman"/>
      <w:szCs w:val="24"/>
    </w:rPr>
  </w:style>
  <w:style w:type="paragraph" w:styleId="21">
    <w:name w:val="Plain Text"/>
    <w:basedOn w:val="1"/>
    <w:link w:val="123"/>
    <w:uiPriority w:val="0"/>
    <w:rPr>
      <w:rFonts w:ascii="宋体" w:hAnsi="Courier New"/>
      <w:kern w:val="0"/>
      <w:sz w:val="20"/>
      <w:szCs w:val="21"/>
    </w:rPr>
  </w:style>
  <w:style w:type="paragraph" w:styleId="22">
    <w:name w:val="toc 8"/>
    <w:basedOn w:val="1"/>
    <w:next w:val="1"/>
    <w:uiPriority w:val="0"/>
    <w:pPr>
      <w:ind w:left="2940"/>
    </w:pPr>
    <w:rPr>
      <w:rFonts w:ascii="Times New Roman" w:hAnsi="Times New Roman"/>
      <w:szCs w:val="24"/>
    </w:rPr>
  </w:style>
  <w:style w:type="paragraph" w:styleId="23">
    <w:name w:val="index 3"/>
    <w:basedOn w:val="1"/>
    <w:next w:val="1"/>
    <w:uiPriority w:val="0"/>
    <w:pPr>
      <w:ind w:left="400" w:leftChars="400"/>
    </w:pPr>
    <w:rPr>
      <w:rFonts w:ascii="Times New Roman" w:hAnsi="Times New Roman"/>
      <w:szCs w:val="24"/>
    </w:rPr>
  </w:style>
  <w:style w:type="paragraph" w:styleId="24">
    <w:name w:val="Date"/>
    <w:basedOn w:val="1"/>
    <w:next w:val="1"/>
    <w:link w:val="95"/>
    <w:uiPriority w:val="0"/>
    <w:pPr>
      <w:ind w:left="100" w:leftChars="2500"/>
    </w:pPr>
    <w:rPr>
      <w:rFonts w:ascii="Times New Roman" w:hAnsi="Times New Roman"/>
      <w:b/>
      <w:bCs/>
      <w:kern w:val="0"/>
      <w:sz w:val="36"/>
      <w:szCs w:val="24"/>
    </w:rPr>
  </w:style>
  <w:style w:type="paragraph" w:styleId="25">
    <w:name w:val="Body Text Indent 2"/>
    <w:basedOn w:val="1"/>
    <w:link w:val="137"/>
    <w:uiPriority w:val="0"/>
    <w:pPr>
      <w:spacing w:after="120" w:line="480" w:lineRule="auto"/>
      <w:ind w:left="420" w:leftChars="200"/>
    </w:pPr>
    <w:rPr>
      <w:rFonts w:ascii="Times New Roman" w:hAnsi="Times New Roman"/>
      <w:kern w:val="0"/>
      <w:sz w:val="20"/>
      <w:szCs w:val="24"/>
    </w:rPr>
  </w:style>
  <w:style w:type="paragraph" w:styleId="26">
    <w:name w:val="Balloon Text"/>
    <w:basedOn w:val="1"/>
    <w:link w:val="130"/>
    <w:uiPriority w:val="0"/>
    <w:rPr>
      <w:rFonts w:ascii="Times New Roman" w:hAnsi="Times New Roman"/>
      <w:kern w:val="0"/>
      <w:sz w:val="18"/>
      <w:szCs w:val="18"/>
    </w:rPr>
  </w:style>
  <w:style w:type="paragraph" w:styleId="27">
    <w:name w:val="footer"/>
    <w:basedOn w:val="1"/>
    <w:link w:val="121"/>
    <w:uiPriority w:val="0"/>
    <w:pPr>
      <w:tabs>
        <w:tab w:val="center" w:pos="4153"/>
        <w:tab w:val="right" w:pos="8306"/>
      </w:tabs>
      <w:snapToGrid w:val="0"/>
      <w:jc w:val="left"/>
    </w:pPr>
    <w:rPr>
      <w:rFonts w:ascii="Times New Roman" w:hAnsi="Times New Roman"/>
      <w:kern w:val="0"/>
      <w:sz w:val="18"/>
      <w:szCs w:val="18"/>
    </w:rPr>
  </w:style>
  <w:style w:type="paragraph" w:styleId="28">
    <w:name w:val="Body Text First Indent 2"/>
    <w:basedOn w:val="17"/>
    <w:link w:val="102"/>
    <w:uiPriority w:val="0"/>
    <w:pPr>
      <w:ind w:firstLine="420" w:firstLineChars="200"/>
    </w:pPr>
    <w:rPr>
      <w:rFonts w:ascii="Times New Roman" w:hAnsi="Times New Roman"/>
      <w:szCs w:val="24"/>
    </w:rPr>
  </w:style>
  <w:style w:type="paragraph" w:styleId="29">
    <w:name w:val="header"/>
    <w:basedOn w:val="1"/>
    <w:link w:val="136"/>
    <w:uiPriority w:val="0"/>
    <w:pPr>
      <w:pBdr>
        <w:bottom w:val="single" w:color="auto" w:sz="6" w:space="1"/>
      </w:pBdr>
      <w:tabs>
        <w:tab w:val="center" w:pos="4153"/>
        <w:tab w:val="right" w:pos="8306"/>
      </w:tabs>
      <w:snapToGrid w:val="0"/>
      <w:jc w:val="center"/>
    </w:pPr>
    <w:rPr>
      <w:rFonts w:ascii="Times New Roman" w:hAnsi="Times New Roman"/>
      <w:kern w:val="0"/>
      <w:sz w:val="18"/>
      <w:szCs w:val="18"/>
    </w:rPr>
  </w:style>
  <w:style w:type="paragraph" w:styleId="30">
    <w:name w:val="toc 1"/>
    <w:basedOn w:val="2"/>
    <w:next w:val="1"/>
    <w:uiPriority w:val="0"/>
    <w:pPr>
      <w:tabs>
        <w:tab w:val="right" w:leader="dot" w:pos="8659"/>
      </w:tabs>
      <w:spacing w:before="0" w:after="0" w:line="240" w:lineRule="auto"/>
      <w:jc w:val="center"/>
    </w:pPr>
    <w:rPr>
      <w:b w:val="0"/>
      <w:sz w:val="21"/>
    </w:rPr>
  </w:style>
  <w:style w:type="paragraph" w:styleId="31">
    <w:name w:val="toc 4"/>
    <w:basedOn w:val="1"/>
    <w:next w:val="1"/>
    <w:uiPriority w:val="0"/>
    <w:pPr>
      <w:ind w:left="1260"/>
    </w:pPr>
    <w:rPr>
      <w:rFonts w:ascii="Times New Roman" w:hAnsi="Times New Roman"/>
      <w:szCs w:val="24"/>
    </w:rPr>
  </w:style>
  <w:style w:type="paragraph" w:styleId="32">
    <w:name w:val="List"/>
    <w:basedOn w:val="1"/>
    <w:uiPriority w:val="0"/>
    <w:pPr>
      <w:ind w:left="200" w:hanging="200" w:hangingChars="200"/>
    </w:pPr>
    <w:rPr>
      <w:rFonts w:ascii="Times New Roman" w:hAnsi="Times New Roman"/>
      <w:szCs w:val="24"/>
    </w:rPr>
  </w:style>
  <w:style w:type="paragraph" w:styleId="33">
    <w:name w:val="footnote text"/>
    <w:basedOn w:val="1"/>
    <w:link w:val="98"/>
    <w:uiPriority w:val="0"/>
    <w:pPr>
      <w:snapToGrid w:val="0"/>
      <w:jc w:val="left"/>
    </w:pPr>
    <w:rPr>
      <w:rFonts w:ascii="Times New Roman" w:hAnsi="Times New Roman"/>
      <w:kern w:val="0"/>
      <w:sz w:val="18"/>
      <w:szCs w:val="18"/>
    </w:rPr>
  </w:style>
  <w:style w:type="paragraph" w:styleId="34">
    <w:name w:val="toc 6"/>
    <w:basedOn w:val="1"/>
    <w:next w:val="1"/>
    <w:uiPriority w:val="0"/>
    <w:pPr>
      <w:ind w:left="2100"/>
    </w:pPr>
    <w:rPr>
      <w:rFonts w:ascii="Times New Roman" w:hAnsi="Times New Roman"/>
      <w:szCs w:val="24"/>
    </w:rPr>
  </w:style>
  <w:style w:type="paragraph" w:styleId="35">
    <w:name w:val="Body Text Indent 3"/>
    <w:basedOn w:val="1"/>
    <w:link w:val="99"/>
    <w:uiPriority w:val="0"/>
    <w:pPr>
      <w:spacing w:line="540" w:lineRule="atLeast"/>
      <w:ind w:firstLine="480" w:firstLineChars="200"/>
    </w:pPr>
    <w:rPr>
      <w:rFonts w:ascii="Times New Roman" w:hAnsi="Times New Roman"/>
      <w:kern w:val="0"/>
      <w:sz w:val="24"/>
      <w:szCs w:val="24"/>
    </w:rPr>
  </w:style>
  <w:style w:type="paragraph" w:styleId="36">
    <w:name w:val="table of figures"/>
    <w:basedOn w:val="1"/>
    <w:next w:val="1"/>
    <w:uiPriority w:val="0"/>
    <w:pPr>
      <w:ind w:left="200" w:leftChars="200" w:hanging="200" w:hangingChars="200"/>
    </w:pPr>
    <w:rPr>
      <w:rFonts w:ascii="Times New Roman" w:hAnsi="Times New Roman"/>
      <w:szCs w:val="24"/>
    </w:rPr>
  </w:style>
  <w:style w:type="paragraph" w:styleId="37">
    <w:name w:val="toc 2"/>
    <w:basedOn w:val="1"/>
    <w:next w:val="1"/>
    <w:uiPriority w:val="0"/>
    <w:pPr>
      <w:spacing w:line="360" w:lineRule="auto"/>
      <w:ind w:left="200" w:leftChars="200"/>
    </w:pPr>
    <w:rPr>
      <w:rFonts w:ascii="Times New Roman" w:hAnsi="Times New Roman"/>
      <w:szCs w:val="24"/>
    </w:rPr>
  </w:style>
  <w:style w:type="paragraph" w:styleId="38">
    <w:name w:val="toc 9"/>
    <w:basedOn w:val="1"/>
    <w:next w:val="1"/>
    <w:uiPriority w:val="0"/>
    <w:pPr>
      <w:ind w:left="3360"/>
    </w:pPr>
    <w:rPr>
      <w:rFonts w:ascii="Times New Roman" w:hAnsi="Times New Roman"/>
      <w:szCs w:val="24"/>
    </w:rPr>
  </w:style>
  <w:style w:type="paragraph" w:styleId="39">
    <w:name w:val="Body Text 2"/>
    <w:basedOn w:val="1"/>
    <w:link w:val="143"/>
    <w:uiPriority w:val="0"/>
    <w:pPr>
      <w:spacing w:after="120" w:line="480" w:lineRule="auto"/>
    </w:pPr>
    <w:rPr>
      <w:rFonts w:ascii="Times New Roman" w:hAnsi="Times New Roman"/>
      <w:kern w:val="0"/>
      <w:sz w:val="20"/>
      <w:szCs w:val="24"/>
    </w:rPr>
  </w:style>
  <w:style w:type="paragraph" w:styleId="40">
    <w:name w:val="List 4"/>
    <w:basedOn w:val="1"/>
    <w:uiPriority w:val="0"/>
    <w:pPr>
      <w:ind w:left="100" w:leftChars="600" w:hanging="200" w:hangingChars="200"/>
    </w:pPr>
    <w:rPr>
      <w:rFonts w:ascii="Times New Roman" w:hAnsi="Times New Roman"/>
      <w:szCs w:val="24"/>
    </w:rPr>
  </w:style>
  <w:style w:type="paragraph" w:styleId="41">
    <w:name w:val="List Continue 2"/>
    <w:basedOn w:val="1"/>
    <w:uiPriority w:val="0"/>
    <w:pPr>
      <w:spacing w:after="120"/>
      <w:ind w:left="840" w:leftChars="400"/>
    </w:pPr>
    <w:rPr>
      <w:rFonts w:ascii="Times New Roman" w:hAnsi="Times New Roman"/>
      <w:szCs w:val="24"/>
    </w:rPr>
  </w:style>
  <w:style w:type="paragraph" w:styleId="42">
    <w:name w:val="Normal (Web)"/>
    <w:basedOn w:val="1"/>
    <w:uiPriority w:val="0"/>
    <w:pPr>
      <w:widowControl/>
      <w:spacing w:before="100" w:beforeAutospacing="1" w:after="100" w:afterAutospacing="1"/>
      <w:jc w:val="left"/>
    </w:pPr>
    <w:rPr>
      <w:rFonts w:ascii="宋体" w:hAnsi="宋体" w:cs="宋体"/>
      <w:kern w:val="0"/>
      <w:sz w:val="24"/>
      <w:szCs w:val="24"/>
    </w:rPr>
  </w:style>
  <w:style w:type="paragraph" w:styleId="43">
    <w:name w:val="index 1"/>
    <w:basedOn w:val="1"/>
    <w:next w:val="1"/>
    <w:uiPriority w:val="0"/>
    <w:pPr>
      <w:spacing w:line="320" w:lineRule="exact"/>
    </w:pPr>
    <w:rPr>
      <w:rFonts w:ascii="Times New Roman" w:hAnsi="Times New Roman"/>
      <w:snapToGrid w:val="0"/>
      <w:color w:val="FF6600"/>
      <w:kern w:val="0"/>
      <w:sz w:val="18"/>
      <w:szCs w:val="21"/>
    </w:rPr>
  </w:style>
  <w:style w:type="paragraph" w:styleId="44">
    <w:name w:val="index 2"/>
    <w:basedOn w:val="1"/>
    <w:next w:val="1"/>
    <w:uiPriority w:val="0"/>
    <w:pPr>
      <w:ind w:left="200" w:leftChars="200"/>
    </w:pPr>
    <w:rPr>
      <w:rFonts w:ascii="Times New Roman" w:hAnsi="Times New Roman"/>
      <w:szCs w:val="24"/>
    </w:rPr>
  </w:style>
  <w:style w:type="paragraph" w:styleId="45">
    <w:name w:val="Title"/>
    <w:basedOn w:val="1"/>
    <w:link w:val="131"/>
    <w:qFormat/>
    <w:uiPriority w:val="0"/>
    <w:pPr>
      <w:spacing w:before="240" w:after="60"/>
      <w:jc w:val="center"/>
      <w:outlineLvl w:val="0"/>
    </w:pPr>
    <w:rPr>
      <w:rFonts w:ascii="Arial" w:hAnsi="Arial"/>
      <w:b/>
      <w:bCs/>
      <w:kern w:val="0"/>
      <w:sz w:val="32"/>
      <w:szCs w:val="32"/>
    </w:rPr>
  </w:style>
  <w:style w:type="character" w:styleId="47">
    <w:name w:val="page number"/>
    <w:uiPriority w:val="0"/>
    <w:rPr>
      <w:rFonts w:ascii="Calibri" w:hAnsi="Calibri" w:eastAsia="宋体" w:cs="Times New Roman"/>
    </w:rPr>
  </w:style>
  <w:style w:type="character" w:styleId="48">
    <w:name w:val="FollowedHyperlink"/>
    <w:uiPriority w:val="0"/>
    <w:rPr>
      <w:rFonts w:ascii="Calibri" w:hAnsi="Calibri" w:eastAsia="宋体" w:cs="Times New Roman"/>
      <w:color w:val="800080"/>
      <w:u w:val="single"/>
    </w:rPr>
  </w:style>
  <w:style w:type="character" w:styleId="49">
    <w:name w:val="Emphasis"/>
    <w:qFormat/>
    <w:uiPriority w:val="0"/>
    <w:rPr>
      <w:rFonts w:ascii="Calibri" w:hAnsi="Calibri" w:eastAsia="宋体" w:cs="Times New Roman"/>
      <w:i/>
      <w:iCs/>
    </w:rPr>
  </w:style>
  <w:style w:type="character" w:styleId="50">
    <w:name w:val="Hyperlink"/>
    <w:uiPriority w:val="0"/>
    <w:rPr>
      <w:rFonts w:ascii="Calibri" w:hAnsi="Calibri" w:eastAsia="宋体" w:cs="Times New Roman"/>
      <w:color w:val="0000FF"/>
      <w:u w:val="single"/>
    </w:rPr>
  </w:style>
  <w:style w:type="character" w:styleId="51">
    <w:name w:val="annotation reference"/>
    <w:uiPriority w:val="0"/>
    <w:rPr>
      <w:rFonts w:ascii="Calibri" w:hAnsi="Calibri" w:eastAsia="宋体" w:cs="Times New Roman"/>
      <w:sz w:val="21"/>
      <w:szCs w:val="21"/>
    </w:rPr>
  </w:style>
  <w:style w:type="character" w:styleId="52">
    <w:name w:val="footnote reference"/>
    <w:uiPriority w:val="0"/>
    <w:rPr>
      <w:rFonts w:ascii="Calibri" w:hAnsi="Calibri" w:eastAsia="宋体" w:cs="Times New Roman"/>
      <w:vertAlign w:val="superscript"/>
    </w:rPr>
  </w:style>
  <w:style w:type="table" w:styleId="54">
    <w:name w:val="Table Grid"/>
    <w:basedOn w:val="53"/>
    <w:uiPriority w:val="0"/>
    <w:tblPr>
      <w:tblStyle w:val="53"/>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tcPr>
      <w:textDirection w:val="lrTb"/>
    </w:tcPr>
  </w:style>
  <w:style w:type="paragraph" w:customStyle="1" w:styleId="55">
    <w:name w:val="列出段落1"/>
    <w:basedOn w:val="1"/>
    <w:uiPriority w:val="0"/>
    <w:pPr>
      <w:ind w:firstLine="420" w:firstLineChars="200"/>
    </w:pPr>
  </w:style>
  <w:style w:type="paragraph" w:customStyle="1" w:styleId="56">
    <w:name w:val="样式1"/>
    <w:basedOn w:val="1"/>
    <w:uiPriority w:val="0"/>
    <w:pPr>
      <w:spacing w:line="360" w:lineRule="auto"/>
      <w:jc w:val="center"/>
    </w:pPr>
    <w:rPr>
      <w:rFonts w:ascii="宋体" w:hAnsi="宋体"/>
      <w:sz w:val="32"/>
      <w:szCs w:val="30"/>
    </w:rPr>
  </w:style>
  <w:style w:type="paragraph" w:customStyle="1" w:styleId="57">
    <w:name w:val="正文段"/>
    <w:basedOn w:val="1"/>
    <w:uiPriority w:val="0"/>
    <w:pPr>
      <w:spacing w:line="360" w:lineRule="auto"/>
      <w:ind w:firstLine="420"/>
    </w:pPr>
    <w:rPr>
      <w:rFonts w:ascii="宋体" w:hAnsi="Times New Roman"/>
      <w:sz w:val="24"/>
      <w:szCs w:val="24"/>
    </w:rPr>
  </w:style>
  <w:style w:type="paragraph" w:customStyle="1" w:styleId="58">
    <w:name w:val="表"/>
    <w:basedOn w:val="1"/>
    <w:uiPriority w:val="0"/>
    <w:pPr>
      <w:spacing w:line="360" w:lineRule="auto"/>
      <w:jc w:val="center"/>
    </w:pPr>
    <w:rPr>
      <w:rFonts w:ascii="Times New Roman" w:hAnsi="Times New Roman"/>
      <w:color w:val="000000"/>
      <w:szCs w:val="21"/>
    </w:rPr>
  </w:style>
  <w:style w:type="paragraph" w:customStyle="1" w:styleId="59">
    <w:name w:val="表1"/>
    <w:basedOn w:val="1"/>
    <w:uiPriority w:val="0"/>
    <w:pPr>
      <w:tabs>
        <w:tab w:val="left" w:pos="720"/>
        <w:tab w:val="left" w:pos="851"/>
      </w:tabs>
      <w:overflowPunct w:val="0"/>
      <w:autoSpaceDE w:val="0"/>
      <w:autoSpaceDN w:val="0"/>
      <w:adjustRightInd w:val="0"/>
      <w:spacing w:before="200" w:line="320" w:lineRule="atLeast"/>
      <w:ind w:firstLine="624"/>
      <w:textAlignment w:val="baseline"/>
    </w:pPr>
    <w:rPr>
      <w:rFonts w:ascii="Times New Roman" w:hAnsi="Times New Roman"/>
      <w:kern w:val="0"/>
      <w:sz w:val="24"/>
      <w:szCs w:val="20"/>
    </w:rPr>
  </w:style>
  <w:style w:type="paragraph" w:customStyle="1" w:styleId="60">
    <w:name w:val="_Style 5"/>
    <w:basedOn w:val="1"/>
    <w:next w:val="1"/>
    <w:uiPriority w:val="0"/>
    <w:rPr>
      <w:rFonts w:ascii="Times New Roman" w:hAnsi="Times New Roman"/>
      <w:szCs w:val="20"/>
    </w:rPr>
  </w:style>
  <w:style w:type="paragraph" w:customStyle="1" w:styleId="61">
    <w:name w:val="Char Char Char Char"/>
    <w:basedOn w:val="1"/>
    <w:uiPriority w:val="0"/>
    <w:rPr>
      <w:rFonts w:ascii="仿宋_GB2312" w:hAnsi="Times New Roman" w:eastAsia="仿宋_GB2312"/>
      <w:b/>
      <w:sz w:val="32"/>
      <w:szCs w:val="32"/>
    </w:rPr>
  </w:style>
  <w:style w:type="paragraph" w:styleId="62">
    <w:name w:val=""/>
    <w:basedOn w:val="1"/>
    <w:next w:val="1"/>
    <w:link w:val="111"/>
    <w:uiPriority w:val="0"/>
    <w:pPr>
      <w:pBdr>
        <w:bottom w:val="single" w:color="auto" w:sz="6" w:space="1"/>
      </w:pBdr>
      <w:jc w:val="center"/>
    </w:pPr>
    <w:rPr>
      <w:rFonts w:ascii="Arial" w:hAnsi="Arial"/>
      <w:vanish/>
      <w:kern w:val="0"/>
      <w:sz w:val="16"/>
      <w:szCs w:val="16"/>
    </w:rPr>
  </w:style>
  <w:style w:type="paragraph" w:customStyle="1" w:styleId="63">
    <w:name w:val="reader-word-layer"/>
    <w:basedOn w:val="1"/>
    <w:uiPriority w:val="0"/>
    <w:pPr>
      <w:widowControl/>
      <w:spacing w:before="100" w:beforeAutospacing="1" w:after="100" w:afterAutospacing="1"/>
      <w:jc w:val="left"/>
    </w:pPr>
    <w:rPr>
      <w:rFonts w:ascii="宋体" w:hAnsi="宋体" w:cs="宋体"/>
      <w:kern w:val="0"/>
      <w:sz w:val="24"/>
      <w:szCs w:val="24"/>
    </w:rPr>
  </w:style>
  <w:style w:type="paragraph" w:customStyle="1" w:styleId="64">
    <w:name w:val="Char Char"/>
    <w:basedOn w:val="1"/>
    <w:uiPriority w:val="0"/>
    <w:rPr>
      <w:rFonts w:ascii="Tahoma" w:hAnsi="Tahoma"/>
      <w:sz w:val="24"/>
      <w:szCs w:val="20"/>
    </w:rPr>
  </w:style>
  <w:style w:type="paragraph" w:customStyle="1" w:styleId="65">
    <w:name w:val="Blockquote"/>
    <w:basedOn w:val="1"/>
    <w:uiPriority w:val="0"/>
    <w:pPr>
      <w:autoSpaceDE w:val="0"/>
      <w:autoSpaceDN w:val="0"/>
      <w:adjustRightInd w:val="0"/>
      <w:spacing w:before="100" w:after="100"/>
      <w:ind w:left="360" w:right="360"/>
      <w:jc w:val="left"/>
    </w:pPr>
    <w:rPr>
      <w:rFonts w:ascii="Times New Roman" w:hAnsi="Times New Roman"/>
      <w:kern w:val="0"/>
      <w:sz w:val="24"/>
      <w:szCs w:val="20"/>
    </w:rPr>
  </w:style>
  <w:style w:type="paragraph" w:customStyle="1" w:styleId="66">
    <w:name w:val="Char Char Char Char Char Char Char Char Char Char"/>
    <w:basedOn w:val="1"/>
    <w:uiPriority w:val="0"/>
    <w:pPr>
      <w:widowControl/>
      <w:spacing w:after="160" w:line="240" w:lineRule="exact"/>
      <w:jc w:val="left"/>
    </w:pPr>
    <w:rPr>
      <w:rFonts w:ascii="Times New Roman" w:hAnsi="Times New Roman"/>
      <w:szCs w:val="20"/>
    </w:rPr>
  </w:style>
  <w:style w:type="paragraph" w:customStyle="1" w:styleId="67">
    <w:name w:val="样式 标题 1 + (符号) Arial 三号"/>
    <w:basedOn w:val="2"/>
    <w:uiPriority w:val="0"/>
    <w:pPr>
      <w:snapToGrid w:val="0"/>
      <w:spacing w:before="0" w:after="0" w:line="360" w:lineRule="auto"/>
    </w:pPr>
    <w:rPr>
      <w:sz w:val="32"/>
    </w:rPr>
  </w:style>
  <w:style w:type="paragraph" w:customStyle="1" w:styleId="68">
    <w:name w:val="1 Char Char Char"/>
    <w:basedOn w:val="1"/>
    <w:next w:val="4"/>
    <w:uiPriority w:val="0"/>
    <w:pPr>
      <w:spacing w:line="500" w:lineRule="exact"/>
      <w:ind w:firstLine="200"/>
      <w:jc w:val="center"/>
    </w:pPr>
    <w:rPr>
      <w:rFonts w:ascii="仿宋_GB2312" w:hAnsi="Arial" w:eastAsia="仿宋_GB2312" w:cs="Arial"/>
      <w:bCs/>
      <w:sz w:val="32"/>
      <w:szCs w:val="32"/>
    </w:rPr>
  </w:style>
  <w:style w:type="paragraph" w:customStyle="1" w:styleId="69">
    <w:name w:val="Char1"/>
    <w:basedOn w:val="1"/>
    <w:uiPriority w:val="0"/>
    <w:pPr>
      <w:widowControl/>
      <w:spacing w:after="160" w:line="240" w:lineRule="exact"/>
      <w:jc w:val="left"/>
    </w:pPr>
    <w:rPr>
      <w:rFonts w:ascii="Tahoma" w:hAnsi="Tahoma"/>
      <w:kern w:val="0"/>
      <w:sz w:val="24"/>
      <w:szCs w:val="24"/>
      <w:lang w:eastAsia="en-US"/>
    </w:rPr>
  </w:style>
  <w:style w:type="paragraph" w:customStyle="1" w:styleId="70">
    <w:name w:val="样式 正文文本"/>
    <w:basedOn w:val="1"/>
    <w:uiPriority w:val="0"/>
    <w:pPr>
      <w:adjustRightInd w:val="0"/>
      <w:snapToGrid w:val="0"/>
      <w:spacing w:line="400" w:lineRule="exact"/>
      <w:ind w:firstLine="200" w:firstLineChars="200"/>
    </w:pPr>
    <w:rPr>
      <w:rFonts w:ascii="Arial" w:hAnsi="Arial"/>
      <w:color w:val="000000"/>
      <w:szCs w:val="20"/>
    </w:rPr>
  </w:style>
  <w:style w:type="paragraph" w:customStyle="1" w:styleId="71">
    <w:name w:val="Char"/>
    <w:basedOn w:val="1"/>
    <w:uiPriority w:val="0"/>
    <w:pPr>
      <w:spacing w:line="360" w:lineRule="auto"/>
    </w:pPr>
    <w:rPr>
      <w:rFonts w:ascii="黑体" w:hAnsi="黑体"/>
      <w:sz w:val="24"/>
      <w:szCs w:val="24"/>
      <w:lang w:val="zh-CN"/>
    </w:rPr>
  </w:style>
  <w:style w:type="paragraph" w:customStyle="1" w:styleId="72">
    <w:name w:val="样式2"/>
    <w:basedOn w:val="36"/>
    <w:uiPriority w:val="0"/>
    <w:pPr>
      <w:ind w:firstLine="2720"/>
    </w:pPr>
    <w:rPr>
      <w:bCs/>
    </w:rPr>
  </w:style>
  <w:style w:type="paragraph" w:customStyle="1" w:styleId="73">
    <w:name w:val="默认段落字体 Para Char Char Char Char"/>
    <w:basedOn w:val="1"/>
    <w:uiPriority w:val="0"/>
    <w:pPr>
      <w:spacing w:line="360" w:lineRule="auto"/>
      <w:ind w:firstLine="200" w:firstLineChars="200"/>
    </w:pPr>
    <w:rPr>
      <w:rFonts w:ascii="宋体" w:hAnsi="宋体" w:cs="宋体"/>
      <w:sz w:val="24"/>
      <w:szCs w:val="24"/>
    </w:rPr>
  </w:style>
  <w:style w:type="paragraph" w:styleId="74">
    <w:name w:val=""/>
    <w:unhideWhenUsed/>
    <w:uiPriority w:val="99"/>
    <w:rPr>
      <w:rFonts w:ascii="Calibri" w:hAnsi="Calibri" w:eastAsia="宋体" w:cs="Times New Roman"/>
      <w:kern w:val="2"/>
      <w:sz w:val="21"/>
      <w:szCs w:val="22"/>
      <w:lang w:val="en-US" w:eastAsia="zh-CN" w:bidi="ar-SA"/>
    </w:rPr>
  </w:style>
  <w:style w:type="paragraph" w:customStyle="1" w:styleId="75">
    <w:name w:val="0"/>
    <w:basedOn w:val="1"/>
    <w:uiPriority w:val="0"/>
    <w:pPr>
      <w:widowControl/>
    </w:pPr>
    <w:rPr>
      <w:rFonts w:ascii="Times New Roman" w:hAnsi="Times New Roman"/>
      <w:kern w:val="0"/>
      <w:szCs w:val="20"/>
    </w:rPr>
  </w:style>
  <w:style w:type="paragraph" w:customStyle="1" w:styleId="76">
    <w:name w:val="Char Char Char Char Char Char Char"/>
    <w:basedOn w:val="1"/>
    <w:uiPriority w:val="0"/>
    <w:pPr>
      <w:widowControl/>
      <w:spacing w:after="160" w:line="240" w:lineRule="exact"/>
      <w:jc w:val="left"/>
    </w:pPr>
    <w:rPr>
      <w:rFonts w:ascii="Times New Roman" w:hAnsi="Times New Roman"/>
      <w:szCs w:val="20"/>
    </w:rPr>
  </w:style>
  <w:style w:type="paragraph" w:customStyle="1" w:styleId="77">
    <w:name w:val="_Style 10"/>
    <w:basedOn w:val="1"/>
    <w:next w:val="1"/>
    <w:uiPriority w:val="0"/>
    <w:rPr>
      <w:rFonts w:ascii="Times New Roman" w:hAnsi="Times New Roman"/>
      <w:szCs w:val="24"/>
    </w:rPr>
  </w:style>
  <w:style w:type="paragraph" w:customStyle="1" w:styleId="78">
    <w:name w:val="样式3"/>
    <w:basedOn w:val="4"/>
    <w:uiPriority w:val="0"/>
    <w:pPr>
      <w:keepNext/>
      <w:keepLines/>
      <w:spacing w:before="120" w:after="120" w:line="360" w:lineRule="auto"/>
    </w:pPr>
    <w:rPr>
      <w:rFonts w:eastAsia="宋体"/>
      <w:sz w:val="24"/>
      <w:szCs w:val="24"/>
    </w:rPr>
  </w:style>
  <w:style w:type="paragraph" w:customStyle="1" w:styleId="79">
    <w:name w:val="!机场正文"/>
    <w:basedOn w:val="1"/>
    <w:qFormat/>
    <w:uiPriority w:val="0"/>
    <w:pPr>
      <w:spacing w:line="560" w:lineRule="exact"/>
      <w:ind w:firstLine="200" w:firstLineChars="200"/>
    </w:pPr>
    <w:rPr>
      <w:rFonts w:ascii="仿宋_GB2312" w:hAnsi="仿宋_GB2312" w:eastAsia="仿宋_GB2312"/>
      <w:sz w:val="32"/>
    </w:rPr>
  </w:style>
  <w:style w:type="paragraph" w:customStyle="1" w:styleId="80">
    <w:name w:val="末级"/>
    <w:basedOn w:val="1"/>
    <w:uiPriority w:val="0"/>
    <w:pPr>
      <w:tabs>
        <w:tab w:val="left" w:pos="851"/>
      </w:tabs>
      <w:spacing w:line="360" w:lineRule="auto"/>
      <w:ind w:firstLine="510"/>
    </w:pPr>
    <w:rPr>
      <w:rFonts w:ascii="Times New Roman" w:hAnsi="Times New Roman"/>
      <w:sz w:val="24"/>
      <w:szCs w:val="24"/>
    </w:rPr>
  </w:style>
  <w:style w:type="paragraph" w:customStyle="1" w:styleId="81">
    <w:name w:val="Char Char Char Char Char Char Char Char Char"/>
    <w:basedOn w:val="1"/>
    <w:uiPriority w:val="0"/>
    <w:pPr>
      <w:widowControl/>
      <w:spacing w:after="160" w:line="240" w:lineRule="exact"/>
      <w:jc w:val="left"/>
    </w:pPr>
    <w:rPr>
      <w:rFonts w:ascii="Times New Roman" w:hAnsi="Times New Roman"/>
      <w:szCs w:val="20"/>
    </w:rPr>
  </w:style>
  <w:style w:type="paragraph" w:customStyle="1" w:styleId="82">
    <w:name w:val="19"/>
    <w:basedOn w:val="1"/>
    <w:uiPriority w:val="0"/>
    <w:pPr>
      <w:widowControl/>
      <w:snapToGrid w:val="0"/>
      <w:spacing w:before="100" w:beforeAutospacing="1" w:after="120" w:line="360" w:lineRule="atLeast"/>
      <w:jc w:val="left"/>
    </w:pPr>
    <w:rPr>
      <w:rFonts w:ascii="宋体" w:hAnsi="宋体"/>
      <w:kern w:val="0"/>
      <w:sz w:val="28"/>
      <w:szCs w:val="20"/>
    </w:rPr>
  </w:style>
  <w:style w:type="paragraph" w:customStyle="1" w:styleId="83">
    <w:name w:val="表格一"/>
    <w:basedOn w:val="1"/>
    <w:uiPriority w:val="0"/>
    <w:pPr>
      <w:spacing w:line="240" w:lineRule="exact"/>
      <w:ind w:left="105" w:leftChars="50"/>
    </w:pPr>
    <w:rPr>
      <w:rFonts w:ascii="Times New Roman" w:hAnsi="Times New Roman"/>
      <w:sz w:val="18"/>
      <w:szCs w:val="21"/>
    </w:rPr>
  </w:style>
  <w:style w:type="paragraph" w:customStyle="1" w:styleId="84">
    <w:name w:val="样式 一号 加粗 居中"/>
    <w:basedOn w:val="1"/>
    <w:uiPriority w:val="0"/>
    <w:pPr>
      <w:jc w:val="center"/>
    </w:pPr>
    <w:rPr>
      <w:rFonts w:ascii="Times New Roman" w:hAnsi="Times New Roman" w:cs="宋体"/>
      <w:bCs/>
      <w:sz w:val="52"/>
      <w:szCs w:val="20"/>
    </w:rPr>
  </w:style>
  <w:style w:type="paragraph" w:styleId="85">
    <w:name w:val=""/>
    <w:basedOn w:val="1"/>
    <w:next w:val="1"/>
    <w:link w:val="116"/>
    <w:uiPriority w:val="0"/>
    <w:pPr>
      <w:pBdr>
        <w:top w:val="single" w:color="auto" w:sz="6" w:space="1"/>
      </w:pBdr>
      <w:jc w:val="center"/>
    </w:pPr>
    <w:rPr>
      <w:rFonts w:ascii="Arial" w:hAnsi="Arial"/>
      <w:vanish/>
      <w:kern w:val="0"/>
      <w:sz w:val="16"/>
      <w:szCs w:val="16"/>
    </w:rPr>
  </w:style>
  <w:style w:type="paragraph" w:styleId="86">
    <w:name w:val=""/>
    <w:basedOn w:val="1"/>
    <w:qFormat/>
    <w:uiPriority w:val="0"/>
    <w:pPr>
      <w:spacing w:before="100" w:beforeAutospacing="1" w:after="100" w:afterAutospacing="1" w:line="300" w:lineRule="auto"/>
      <w:ind w:firstLine="420" w:firstLineChars="200"/>
    </w:pPr>
  </w:style>
  <w:style w:type="paragraph" w:customStyle="1" w:styleId="87">
    <w:name w:val="内文正文"/>
    <w:uiPriority w:val="0"/>
    <w:pPr>
      <w:autoSpaceDE w:val="0"/>
      <w:autoSpaceDN w:val="0"/>
      <w:spacing w:line="400" w:lineRule="exact"/>
      <w:ind w:firstLine="200" w:firstLineChars="200"/>
      <w:jc w:val="both"/>
      <w:textAlignment w:val="bottom"/>
    </w:pPr>
    <w:rPr>
      <w:rFonts w:ascii="宋体" w:hAnsi="???|CS?o｡ﾀ?" w:eastAsia="宋体" w:cs="Times New Roman"/>
      <w:sz w:val="21"/>
      <w:lang w:val="en-US" w:eastAsia="zh-CN" w:bidi="ar-SA"/>
    </w:rPr>
  </w:style>
  <w:style w:type="paragraph" w:customStyle="1" w:styleId="88">
    <w:name w:val="样式 样式1 + 首行缩进:  2 字符"/>
    <w:basedOn w:val="56"/>
    <w:link w:val="134"/>
    <w:uiPriority w:val="0"/>
    <w:pPr>
      <w:spacing w:line="360" w:lineRule="exact"/>
      <w:ind w:firstLine="420" w:firstLineChars="200"/>
      <w:jc w:val="both"/>
    </w:pPr>
    <w:rPr>
      <w:rFonts w:ascii="Arial" w:hAnsi="Arial"/>
      <w:kern w:val="0"/>
      <w:sz w:val="24"/>
      <w:szCs w:val="20"/>
    </w:rPr>
  </w:style>
  <w:style w:type="paragraph" w:customStyle="1" w:styleId="89">
    <w:name w:val="正文_7"/>
    <w:qFormat/>
    <w:uiPriority w:val="0"/>
    <w:pPr>
      <w:widowControl w:val="0"/>
      <w:jc w:val="both"/>
    </w:pPr>
    <w:rPr>
      <w:rFonts w:ascii="Calibri" w:hAnsi="Calibri" w:eastAsia="宋体" w:cs="Times New Roman"/>
      <w:kern w:val="2"/>
      <w:sz w:val="21"/>
      <w:szCs w:val="22"/>
      <w:lang w:val="en-US" w:eastAsia="zh-CN" w:bidi="ar-SA"/>
    </w:rPr>
  </w:style>
  <w:style w:type="character" w:customStyle="1" w:styleId="90">
    <w:name w:val="标题 3 字符"/>
    <w:semiHidden/>
    <w:uiPriority w:val="9"/>
    <w:rPr>
      <w:rFonts w:ascii="Calibri" w:hAnsi="Calibri" w:eastAsia="宋体" w:cs="Times New Roman"/>
      <w:b/>
      <w:bCs/>
      <w:sz w:val="32"/>
      <w:szCs w:val="32"/>
    </w:rPr>
  </w:style>
  <w:style w:type="character" w:customStyle="1" w:styleId="91">
    <w:name w:val="z-窗体底端 字符"/>
    <w:semiHidden/>
    <w:uiPriority w:val="99"/>
    <w:rPr>
      <w:rFonts w:ascii="Arial" w:hAnsi="Arial" w:eastAsia="宋体" w:cs="Arial"/>
      <w:vanish/>
      <w:sz w:val="16"/>
      <w:szCs w:val="16"/>
    </w:rPr>
  </w:style>
  <w:style w:type="character" w:customStyle="1" w:styleId="92">
    <w:name w:val="批注框文本 字符"/>
    <w:semiHidden/>
    <w:uiPriority w:val="99"/>
    <w:rPr>
      <w:rFonts w:ascii="Calibri" w:hAnsi="Calibri" w:eastAsia="宋体" w:cs="Times New Roman"/>
      <w:sz w:val="18"/>
      <w:szCs w:val="18"/>
    </w:rPr>
  </w:style>
  <w:style w:type="character" w:customStyle="1" w:styleId="93">
    <w:name w:val="文档结构图 字符"/>
    <w:semiHidden/>
    <w:uiPriority w:val="99"/>
    <w:rPr>
      <w:rFonts w:ascii="Microsoft YaHei UI" w:hAnsi="Calibri" w:eastAsia="Microsoft YaHei UI" w:cs="Times New Roman"/>
      <w:sz w:val="18"/>
      <w:szCs w:val="18"/>
    </w:rPr>
  </w:style>
  <w:style w:type="character" w:customStyle="1" w:styleId="94">
    <w:name w:val="日期 字符1"/>
    <w:uiPriority w:val="0"/>
    <w:rPr>
      <w:rFonts w:ascii="Times New Roman" w:hAnsi="Times New Roman" w:eastAsia="宋体" w:cs="Times New Roman"/>
      <w:b/>
      <w:bCs/>
      <w:kern w:val="0"/>
      <w:sz w:val="36"/>
      <w:szCs w:val="24"/>
    </w:rPr>
  </w:style>
  <w:style w:type="character" w:customStyle="1" w:styleId="95">
    <w:name w:val="日期 字符2"/>
    <w:link w:val="24"/>
    <w:uiPriority w:val="0"/>
    <w:rPr>
      <w:rFonts w:ascii="Times New Roman" w:hAnsi="Times New Roman" w:eastAsia="宋体" w:cs="Times New Roman"/>
      <w:b/>
      <w:bCs/>
      <w:sz w:val="36"/>
      <w:szCs w:val="24"/>
    </w:rPr>
  </w:style>
  <w:style w:type="character" w:customStyle="1" w:styleId="96">
    <w:name w:val="标题 2 字符"/>
    <w:semiHidden/>
    <w:uiPriority w:val="9"/>
    <w:rPr>
      <w:rFonts w:ascii="Calibri Light" w:hAnsi="Calibri Light" w:eastAsia="宋体" w:cs="Times New Roman"/>
      <w:b/>
      <w:bCs/>
      <w:sz w:val="32"/>
      <w:szCs w:val="32"/>
    </w:rPr>
  </w:style>
  <w:style w:type="character" w:customStyle="1" w:styleId="97">
    <w:name w:val="正文文本缩进 字符1"/>
    <w:link w:val="17"/>
    <w:uiPriority w:val="0"/>
    <w:rPr>
      <w:rFonts w:ascii="Calibri" w:hAnsi="Calibri" w:eastAsia="宋体" w:cs="Times New Roman"/>
    </w:rPr>
  </w:style>
  <w:style w:type="character" w:customStyle="1" w:styleId="98">
    <w:name w:val="脚注文本 字符1"/>
    <w:link w:val="33"/>
    <w:uiPriority w:val="0"/>
    <w:rPr>
      <w:rFonts w:ascii="Times New Roman" w:hAnsi="Times New Roman" w:eastAsia="宋体" w:cs="Times New Roman"/>
      <w:sz w:val="18"/>
      <w:szCs w:val="18"/>
    </w:rPr>
  </w:style>
  <w:style w:type="character" w:customStyle="1" w:styleId="99">
    <w:name w:val="正文文本缩进 3 字符1"/>
    <w:link w:val="35"/>
    <w:uiPriority w:val="0"/>
    <w:rPr>
      <w:rFonts w:ascii="Times New Roman" w:hAnsi="Times New Roman" w:eastAsia="宋体" w:cs="Times New Roman"/>
      <w:sz w:val="24"/>
      <w:szCs w:val="24"/>
    </w:rPr>
  </w:style>
  <w:style w:type="character" w:customStyle="1" w:styleId="100">
    <w:name w:val="标题 字符"/>
    <w:uiPriority w:val="10"/>
    <w:rPr>
      <w:rFonts w:ascii="Calibri Light" w:hAnsi="Calibri Light" w:eastAsia="宋体" w:cs="Times New Roman"/>
      <w:b/>
      <w:bCs/>
      <w:sz w:val="32"/>
      <w:szCs w:val="32"/>
    </w:rPr>
  </w:style>
  <w:style w:type="character" w:customStyle="1" w:styleId="101">
    <w:name w:val="页眉 字符"/>
    <w:semiHidden/>
    <w:uiPriority w:val="99"/>
    <w:rPr>
      <w:rFonts w:ascii="Calibri" w:hAnsi="Calibri" w:eastAsia="宋体" w:cs="Times New Roman"/>
      <w:sz w:val="18"/>
      <w:szCs w:val="18"/>
    </w:rPr>
  </w:style>
  <w:style w:type="character" w:customStyle="1" w:styleId="102">
    <w:name w:val="正文文本首行缩进 2 字符"/>
    <w:link w:val="28"/>
    <w:uiPriority w:val="0"/>
    <w:rPr>
      <w:rFonts w:ascii="Times New Roman" w:hAnsi="Times New Roman" w:eastAsia="宋体" w:cs="Times New Roman"/>
      <w:szCs w:val="24"/>
    </w:rPr>
  </w:style>
  <w:style w:type="character" w:customStyle="1" w:styleId="103">
    <w:name w:val="标题 2 字符1"/>
    <w:link w:val="3"/>
    <w:uiPriority w:val="0"/>
    <w:rPr>
      <w:rFonts w:ascii="Arial" w:hAnsi="Arial" w:eastAsia="黑体" w:cs="Times New Roman"/>
      <w:b/>
      <w:bCs/>
      <w:sz w:val="32"/>
      <w:szCs w:val="32"/>
    </w:rPr>
  </w:style>
  <w:style w:type="character" w:customStyle="1" w:styleId="104">
    <w:name w:val="正文文本首行缩进 字符"/>
    <w:link w:val="11"/>
    <w:uiPriority w:val="0"/>
    <w:rPr>
      <w:rFonts w:ascii="Times New Roman" w:hAnsi="Times New Roman" w:eastAsia="宋体" w:cs="Times New Roman"/>
      <w:szCs w:val="24"/>
    </w:rPr>
  </w:style>
  <w:style w:type="character" w:customStyle="1" w:styleId="105">
    <w:name w:val="正文首行缩进 2 字符"/>
    <w:semiHidden/>
    <w:uiPriority w:val="99"/>
    <w:rPr>
      <w:rFonts w:ascii="Calibri" w:hAnsi="Calibri" w:eastAsia="宋体" w:cs="Times New Roman"/>
    </w:rPr>
  </w:style>
  <w:style w:type="character" w:customStyle="1" w:styleId="106">
    <w:name w:val="纯文本 字符1"/>
    <w:aliases w:val="普通文字 Char 字符,纯文本 Char Char 字符,普通文字1 字符,普通文字2 字符,普通文字3 字符,普通文字4 字符,普通文字5 字符,普通文字6 字符,普通文字11 字符,普通文字21 字符,普通文字31 字符,普通文字41 字符,普通文字7 字符,正 文 1 字符"/>
    <w:uiPriority w:val="0"/>
    <w:rPr>
      <w:rFonts w:ascii="宋体" w:hAnsi="Courier New" w:eastAsia="宋体" w:cs="Times New Roman"/>
      <w:kern w:val="0"/>
      <w:sz w:val="20"/>
      <w:szCs w:val="21"/>
    </w:rPr>
  </w:style>
  <w:style w:type="character" w:customStyle="1" w:styleId="107">
    <w:name w:val="Char Char14"/>
    <w:uiPriority w:val="0"/>
    <w:rPr>
      <w:rFonts w:ascii="宋体" w:hAnsi="Courier New" w:eastAsia="宋体" w:cs="Courier New"/>
      <w:kern w:val="2"/>
      <w:sz w:val="21"/>
      <w:szCs w:val="21"/>
      <w:lang w:val="en-US" w:eastAsia="zh-CN" w:bidi="ar-SA"/>
    </w:rPr>
  </w:style>
  <w:style w:type="character" w:customStyle="1" w:styleId="108">
    <w:name w:val="批注主题 Char1"/>
    <w:semiHidden/>
    <w:uiPriority w:val="99"/>
    <w:rPr>
      <w:rFonts w:ascii="Calibri" w:hAnsi="Calibri" w:eastAsia="宋体" w:cs="Times New Roman"/>
      <w:b/>
      <w:bCs/>
      <w:kern w:val="2"/>
      <w:sz w:val="21"/>
      <w:szCs w:val="22"/>
    </w:rPr>
  </w:style>
  <w:style w:type="character" w:customStyle="1" w:styleId="109">
    <w:name w:val="标题 3 字符1"/>
    <w:link w:val="4"/>
    <w:uiPriority w:val="0"/>
    <w:rPr>
      <w:rFonts w:ascii="Times New Roman" w:hAnsi="Times New Roman" w:eastAsia="楷体_GB2312" w:cs="Times New Roman"/>
      <w:sz w:val="28"/>
    </w:rPr>
  </w:style>
  <w:style w:type="character" w:customStyle="1" w:styleId="110">
    <w:name w:val="纯文本 字符"/>
    <w:semiHidden/>
    <w:uiPriority w:val="99"/>
    <w:rPr>
      <w:rFonts w:ascii="宋体" w:hAnsi="Courier New" w:eastAsia="宋体" w:cs="Courier New"/>
    </w:rPr>
  </w:style>
  <w:style w:type="character" w:customStyle="1" w:styleId="111">
    <w:name w:val="z-窗体顶端 字符1"/>
    <w:link w:val="62"/>
    <w:uiPriority w:val="0"/>
    <w:rPr>
      <w:rFonts w:ascii="Arial" w:hAnsi="Arial" w:eastAsia="宋体" w:cs="Times New Roman"/>
      <w:vanish/>
      <w:sz w:val="16"/>
      <w:szCs w:val="16"/>
    </w:rPr>
  </w:style>
  <w:style w:type="character" w:customStyle="1" w:styleId="112">
    <w:name w:val="正文文本缩进 字符"/>
    <w:semiHidden/>
    <w:uiPriority w:val="99"/>
    <w:rPr>
      <w:rFonts w:ascii="Calibri" w:hAnsi="Calibri" w:eastAsia="宋体" w:cs="Times New Roman"/>
    </w:rPr>
  </w:style>
  <w:style w:type="character" w:customStyle="1" w:styleId="113">
    <w:name w:val="正文缩进 字符"/>
    <w:aliases w:val="正文（首行缩进两字）1 字符,ind:txt 字符,表正文 字符,正文非缩进 字符,特点 字符,段1 字符,Normal Indent Char 字符,四号 字符,正文不缩进 字符,特点 Char 字符,ALT+Z 字符,水上软件 字符,缩进 字符,正文非缩进 Char Char 字符,正文非缩进 Char 字符,标题4 字符,PI 字符,正文缩进1 字符,正文缩进 Char 字符,图号标注 字符,Normal Indent（正文缩进） 字符,Indent 1 字符,正文双线 字符"/>
    <w:uiPriority w:val="0"/>
    <w:rPr>
      <w:rFonts w:ascii="宋体" w:hAnsi="Times New Roman" w:eastAsia="宋体" w:cs="Times New Roman"/>
      <w:sz w:val="34"/>
    </w:rPr>
  </w:style>
  <w:style w:type="character" w:customStyle="1" w:styleId="114">
    <w:name w:val="zbggmain style9"/>
    <w:uiPriority w:val="0"/>
    <w:rPr>
      <w:rFonts w:ascii="Calibri" w:hAnsi="Calibri" w:eastAsia="宋体" w:cs="Times New Roman"/>
    </w:rPr>
  </w:style>
  <w:style w:type="character" w:customStyle="1" w:styleId="115">
    <w:name w:val="z-窗体顶端 字符"/>
    <w:semiHidden/>
    <w:uiPriority w:val="99"/>
    <w:rPr>
      <w:rFonts w:ascii="Arial" w:hAnsi="Arial" w:eastAsia="宋体" w:cs="Arial"/>
      <w:vanish/>
      <w:sz w:val="16"/>
      <w:szCs w:val="16"/>
    </w:rPr>
  </w:style>
  <w:style w:type="character" w:customStyle="1" w:styleId="116">
    <w:name w:val="z-窗体底端 字符1"/>
    <w:link w:val="85"/>
    <w:uiPriority w:val="0"/>
    <w:rPr>
      <w:rFonts w:ascii="Arial" w:hAnsi="Arial" w:eastAsia="宋体" w:cs="Times New Roman"/>
      <w:vanish/>
      <w:sz w:val="16"/>
      <w:szCs w:val="16"/>
    </w:rPr>
  </w:style>
  <w:style w:type="character" w:customStyle="1" w:styleId="117">
    <w:name w:val="正文首行缩进 字符"/>
    <w:semiHidden/>
    <w:uiPriority w:val="99"/>
    <w:rPr>
      <w:rFonts w:ascii="Calibri" w:hAnsi="Calibri" w:eastAsia="宋体" w:cs="Times New Roman"/>
    </w:rPr>
  </w:style>
  <w:style w:type="character" w:customStyle="1" w:styleId="118">
    <w:name w:val="正文文本 字符1"/>
    <w:link w:val="12"/>
    <w:uiPriority w:val="0"/>
    <w:rPr>
      <w:rFonts w:ascii="Calibri" w:hAnsi="Calibri" w:eastAsia="宋体" w:cs="Times New Roman"/>
    </w:rPr>
  </w:style>
  <w:style w:type="character" w:customStyle="1" w:styleId="119">
    <w:name w:val="标题 4 字符"/>
    <w:semiHidden/>
    <w:uiPriority w:val="9"/>
    <w:rPr>
      <w:rFonts w:ascii="Calibri Light" w:hAnsi="Calibri Light" w:eastAsia="宋体" w:cs="Times New Roman"/>
      <w:b/>
      <w:bCs/>
      <w:sz w:val="28"/>
      <w:szCs w:val="28"/>
    </w:rPr>
  </w:style>
  <w:style w:type="character" w:customStyle="1" w:styleId="120">
    <w:name w:val="正文文本 2 字符"/>
    <w:semiHidden/>
    <w:uiPriority w:val="99"/>
    <w:rPr>
      <w:rFonts w:ascii="Calibri" w:hAnsi="Calibri" w:eastAsia="宋体" w:cs="Times New Roman"/>
    </w:rPr>
  </w:style>
  <w:style w:type="character" w:customStyle="1" w:styleId="121">
    <w:name w:val="页脚 字符1"/>
    <w:link w:val="27"/>
    <w:uiPriority w:val="99"/>
    <w:rPr>
      <w:rFonts w:ascii="Times New Roman" w:hAnsi="Times New Roman" w:eastAsia="宋体" w:cs="Times New Roman"/>
      <w:sz w:val="18"/>
      <w:szCs w:val="18"/>
    </w:rPr>
  </w:style>
  <w:style w:type="character" w:customStyle="1" w:styleId="122">
    <w:name w:val="标题 5 字符"/>
    <w:semiHidden/>
    <w:uiPriority w:val="9"/>
    <w:rPr>
      <w:rFonts w:ascii="Calibri" w:hAnsi="Calibri" w:eastAsia="宋体" w:cs="Times New Roman"/>
      <w:b/>
      <w:bCs/>
      <w:sz w:val="28"/>
      <w:szCs w:val="28"/>
    </w:rPr>
  </w:style>
  <w:style w:type="character" w:customStyle="1" w:styleId="123">
    <w:name w:val="纯文本 字符2"/>
    <w:link w:val="21"/>
    <w:uiPriority w:val="0"/>
    <w:rPr>
      <w:rFonts w:ascii="宋体" w:hAnsi="Courier New" w:eastAsia="宋体" w:cs="Times New Roman"/>
      <w:szCs w:val="21"/>
    </w:rPr>
  </w:style>
  <w:style w:type="character" w:customStyle="1" w:styleId="124">
    <w:name w:val="标题 5 字符1"/>
    <w:link w:val="6"/>
    <w:uiPriority w:val="0"/>
    <w:rPr>
      <w:rFonts w:ascii="Times New Roman" w:hAnsi="Times New Roman" w:eastAsia="宋体" w:cs="Times New Roman"/>
      <w:b/>
      <w:bCs/>
      <w:sz w:val="28"/>
      <w:szCs w:val="28"/>
    </w:rPr>
  </w:style>
  <w:style w:type="character" w:customStyle="1" w:styleId="125">
    <w:name w:val="日期 字符"/>
    <w:semiHidden/>
    <w:uiPriority w:val="99"/>
    <w:rPr>
      <w:rFonts w:ascii="Calibri" w:hAnsi="Calibri" w:eastAsia="宋体" w:cs="Times New Roman"/>
    </w:rPr>
  </w:style>
  <w:style w:type="character" w:customStyle="1" w:styleId="126">
    <w:name w:val="脚注文本 字符"/>
    <w:semiHidden/>
    <w:uiPriority w:val="99"/>
    <w:rPr>
      <w:rFonts w:ascii="Calibri" w:hAnsi="Calibri" w:eastAsia="宋体" w:cs="Times New Roman"/>
      <w:sz w:val="18"/>
      <w:szCs w:val="18"/>
    </w:rPr>
  </w:style>
  <w:style w:type="character" w:customStyle="1" w:styleId="127">
    <w:name w:val="标题 1 字符"/>
    <w:uiPriority w:val="9"/>
    <w:rPr>
      <w:rFonts w:ascii="Calibri" w:hAnsi="Calibri" w:eastAsia="宋体" w:cs="Times New Roman"/>
      <w:b/>
      <w:bCs/>
      <w:kern w:val="44"/>
      <w:sz w:val="44"/>
      <w:szCs w:val="44"/>
    </w:rPr>
  </w:style>
  <w:style w:type="character" w:customStyle="1" w:styleId="128">
    <w:name w:val="批注文字 字符"/>
    <w:link w:val="9"/>
    <w:semiHidden/>
    <w:uiPriority w:val="99"/>
    <w:rPr>
      <w:rFonts w:ascii="Calibri" w:hAnsi="Calibri" w:eastAsia="宋体" w:cs="Times New Roman"/>
      <w:kern w:val="2"/>
      <w:sz w:val="21"/>
      <w:szCs w:val="22"/>
    </w:rPr>
  </w:style>
  <w:style w:type="character" w:customStyle="1" w:styleId="129">
    <w:name w:val="正文缩进 字符1"/>
    <w:link w:val="13"/>
    <w:uiPriority w:val="0"/>
    <w:rPr>
      <w:rFonts w:ascii="宋体" w:hAnsi="Times New Roman" w:eastAsia="宋体" w:cs="Times New Roman"/>
      <w:sz w:val="34"/>
    </w:rPr>
  </w:style>
  <w:style w:type="character" w:customStyle="1" w:styleId="130">
    <w:name w:val="批注框文本 字符1"/>
    <w:link w:val="26"/>
    <w:uiPriority w:val="0"/>
    <w:rPr>
      <w:rFonts w:ascii="Times New Roman" w:hAnsi="Times New Roman" w:eastAsia="宋体" w:cs="Times New Roman"/>
      <w:sz w:val="18"/>
      <w:szCs w:val="18"/>
    </w:rPr>
  </w:style>
  <w:style w:type="character" w:customStyle="1" w:styleId="131">
    <w:name w:val="标题 字符1"/>
    <w:link w:val="45"/>
    <w:uiPriority w:val="0"/>
    <w:rPr>
      <w:rFonts w:ascii="Arial" w:hAnsi="Arial" w:eastAsia="宋体" w:cs="Times New Roman"/>
      <w:b/>
      <w:bCs/>
      <w:sz w:val="32"/>
      <w:szCs w:val="32"/>
    </w:rPr>
  </w:style>
  <w:style w:type="character" w:customStyle="1" w:styleId="132">
    <w:name w:val="页脚 字符"/>
    <w:semiHidden/>
    <w:uiPriority w:val="99"/>
    <w:rPr>
      <w:rFonts w:ascii="Calibri" w:hAnsi="Calibri" w:eastAsia="宋体" w:cs="Times New Roman"/>
      <w:sz w:val="18"/>
      <w:szCs w:val="18"/>
    </w:rPr>
  </w:style>
  <w:style w:type="character" w:customStyle="1" w:styleId="133">
    <w:name w:val="正文文本缩进 3 字符"/>
    <w:semiHidden/>
    <w:uiPriority w:val="99"/>
    <w:rPr>
      <w:rFonts w:ascii="Calibri" w:hAnsi="Calibri" w:eastAsia="宋体" w:cs="Times New Roman"/>
      <w:sz w:val="16"/>
      <w:szCs w:val="16"/>
    </w:rPr>
  </w:style>
  <w:style w:type="character" w:customStyle="1" w:styleId="134">
    <w:name w:val="样式 样式1 + 首行缩进:  2 字符 Char"/>
    <w:link w:val="88"/>
    <w:uiPriority w:val="0"/>
    <w:rPr>
      <w:rFonts w:ascii="Arial" w:hAnsi="Arial" w:eastAsia="宋体" w:cs="Times New Roman"/>
      <w:sz w:val="24"/>
    </w:rPr>
  </w:style>
  <w:style w:type="character" w:customStyle="1" w:styleId="135">
    <w:name w:val="批注主题 字符"/>
    <w:link w:val="8"/>
    <w:semiHidden/>
    <w:uiPriority w:val="0"/>
    <w:rPr>
      <w:rFonts w:ascii="Times New Roman" w:hAnsi="Times New Roman" w:eastAsia="宋体" w:cs="Times New Roman"/>
      <w:b/>
      <w:bCs/>
      <w:kern w:val="2"/>
      <w:sz w:val="21"/>
      <w:szCs w:val="24"/>
    </w:rPr>
  </w:style>
  <w:style w:type="character" w:customStyle="1" w:styleId="136">
    <w:name w:val="页眉 字符1"/>
    <w:link w:val="29"/>
    <w:uiPriority w:val="99"/>
    <w:rPr>
      <w:rFonts w:ascii="Times New Roman" w:hAnsi="Times New Roman" w:eastAsia="宋体" w:cs="Times New Roman"/>
      <w:sz w:val="18"/>
      <w:szCs w:val="18"/>
    </w:rPr>
  </w:style>
  <w:style w:type="character" w:customStyle="1" w:styleId="137">
    <w:name w:val="正文文本缩进 2 字符1"/>
    <w:link w:val="25"/>
    <w:uiPriority w:val="0"/>
    <w:rPr>
      <w:rFonts w:ascii="Times New Roman" w:hAnsi="Times New Roman" w:eastAsia="宋体" w:cs="Times New Roman"/>
      <w:szCs w:val="24"/>
    </w:rPr>
  </w:style>
  <w:style w:type="character" w:customStyle="1" w:styleId="138">
    <w:name w:val="正文文本 字符"/>
    <w:semiHidden/>
    <w:uiPriority w:val="99"/>
    <w:rPr>
      <w:rFonts w:ascii="Calibri" w:hAnsi="Calibri" w:eastAsia="宋体" w:cs="Times New Roman"/>
    </w:rPr>
  </w:style>
  <w:style w:type="character" w:customStyle="1" w:styleId="139">
    <w:name w:val="正文文本缩进 2 字符"/>
    <w:semiHidden/>
    <w:uiPriority w:val="99"/>
    <w:rPr>
      <w:rFonts w:ascii="Calibri" w:hAnsi="Calibri" w:eastAsia="宋体" w:cs="Times New Roman"/>
    </w:rPr>
  </w:style>
  <w:style w:type="character" w:customStyle="1" w:styleId="140">
    <w:name w:val="标题 4 字符1"/>
    <w:link w:val="5"/>
    <w:uiPriority w:val="0"/>
    <w:rPr>
      <w:rFonts w:ascii="Arial" w:hAnsi="Arial" w:eastAsia="黑体" w:cs="Times New Roman"/>
      <w:b/>
      <w:bCs/>
      <w:sz w:val="28"/>
      <w:szCs w:val="28"/>
    </w:rPr>
  </w:style>
  <w:style w:type="character" w:customStyle="1" w:styleId="141">
    <w:name w:val="标题 1 字符1"/>
    <w:link w:val="2"/>
    <w:uiPriority w:val="0"/>
    <w:rPr>
      <w:rFonts w:ascii="Times New Roman" w:hAnsi="Times New Roman" w:eastAsia="宋体" w:cs="Times New Roman"/>
      <w:b/>
      <w:bCs/>
      <w:kern w:val="44"/>
      <w:sz w:val="44"/>
      <w:szCs w:val="44"/>
    </w:rPr>
  </w:style>
  <w:style w:type="character" w:customStyle="1" w:styleId="142">
    <w:name w:val="文档结构图 字符1"/>
    <w:link w:val="15"/>
    <w:uiPriority w:val="0"/>
    <w:rPr>
      <w:rFonts w:ascii="Times New Roman" w:hAnsi="Times New Roman" w:eastAsia="宋体" w:cs="Times New Roman"/>
      <w:szCs w:val="24"/>
      <w:shd w:val="clear" w:color="auto" w:fill="000080"/>
    </w:rPr>
  </w:style>
  <w:style w:type="character" w:customStyle="1" w:styleId="143">
    <w:name w:val="正文文本 2 字符1"/>
    <w:link w:val="39"/>
    <w:uiPriority w:val="0"/>
    <w:rPr>
      <w:rFonts w:ascii="Times New Roman" w:hAnsi="Times New Roman" w:eastAsia="宋体" w:cs="Times New Roman"/>
      <w:szCs w:val="24"/>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4.xml"/><Relationship Id="rId7" Type="http://schemas.openxmlformats.org/officeDocument/2006/relationships/header" Target="header2.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customShpInfo spid="_x0000_s102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Office_10.8.0.5838_F1E327BC-269C-435d-A152-05C5408002CA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jsx</dc:creator>
  <cp:lastModifiedBy>贾思勰</cp:lastModifiedBy>
  <dcterms:modified xsi:type="dcterms:W3CDTF">2019-11-21T09:42:08Z</dcterms:modified>
  <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2052-10.8.0.5838</vt:lpwstr>
  </property>
</Properties>
</file>