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eastAsia="黑体" w:cs="Calibri"/>
          <w:b/>
          <w:sz w:val="44"/>
          <w:szCs w:val="44"/>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r>
        <w:rPr>
          <w:rFonts w:hint="eastAsia" w:eastAsia="黑体" w:cs="Calibri"/>
          <w:b/>
          <w:sz w:val="44"/>
          <w:szCs w:val="44"/>
        </w:rPr>
        <w:t>杭州萧山国际机场会议设备</w:t>
      </w:r>
    </w:p>
    <w:p>
      <w:pPr>
        <w:autoSpaceDE w:val="0"/>
        <w:autoSpaceDN w:val="0"/>
        <w:adjustRightInd w:val="0"/>
        <w:jc w:val="center"/>
        <w:rPr>
          <w:rFonts w:eastAsia="黑体" w:cs="Calibri"/>
          <w:b/>
          <w:sz w:val="44"/>
          <w:szCs w:val="44"/>
        </w:rPr>
      </w:pPr>
      <w:r>
        <w:rPr>
          <w:rFonts w:hint="eastAsia" w:eastAsia="黑体" w:cs="Calibri"/>
          <w:b/>
          <w:sz w:val="44"/>
          <w:szCs w:val="44"/>
        </w:rPr>
        <w:t>采购安装项目</w:t>
      </w: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黑体" w:cs="Calibri"/>
          <w:sz w:val="32"/>
          <w:szCs w:val="32"/>
        </w:rPr>
      </w:pPr>
      <w:r>
        <w:rPr>
          <w:rFonts w:hint="eastAsia" w:ascii="Calibri" w:hAnsi="Calibri" w:eastAsia="黑体" w:cs="Calibri"/>
          <w:sz w:val="32"/>
          <w:szCs w:val="32"/>
        </w:rPr>
        <w:t>2019年</w:t>
      </w:r>
      <w:r>
        <w:rPr>
          <w:rFonts w:hint="eastAsia" w:ascii="Calibri" w:hAnsi="Calibri" w:eastAsia="黑体" w:cs="Calibri"/>
          <w:sz w:val="32"/>
          <w:szCs w:val="32"/>
          <w:u w:val="single"/>
        </w:rPr>
        <w:t>11</w:t>
      </w:r>
      <w:r>
        <w:rPr>
          <w:rFonts w:ascii="Calibri" w:hAnsi="Calibri" w:eastAsia="黑体" w:cs="Calibri"/>
          <w:sz w:val="32"/>
          <w:szCs w:val="32"/>
        </w:rPr>
        <w:t>月</w:t>
      </w:r>
    </w:p>
    <w:p>
      <w:pPr>
        <w:pStyle w:val="21"/>
        <w:spacing w:line="480" w:lineRule="auto"/>
        <w:rPr>
          <w:rFonts w:ascii="Calibri" w:hAnsi="Calibri" w:eastAsia="黑体" w:cs="Calibri"/>
          <w:sz w:val="32"/>
          <w:szCs w:val="32"/>
        </w:rPr>
      </w:pPr>
    </w:p>
    <w:p>
      <w:pPr>
        <w:pStyle w:val="82"/>
        <w:ind w:firstLine="0" w:firstLineChars="0"/>
        <w:rPr>
          <w:rFonts w:ascii="Calibri" w:hAnsi="Calibri" w:eastAsia="楷体_GB2312" w:cs="Calibri"/>
          <w:kern w:val="0"/>
          <w:sz w:val="24"/>
          <w:szCs w:val="24"/>
          <w:u w:val="single"/>
        </w:rPr>
      </w:pPr>
      <w:bookmarkStart w:id="3" w:name="_Toc349011855"/>
      <w:bookmarkStart w:id="4" w:name="_Toc386363314"/>
      <w:bookmarkStart w:id="5" w:name="_Toc386359390"/>
      <w:bookmarkStart w:id="6" w:name="_Toc349007685"/>
    </w:p>
    <w:p>
      <w:pPr>
        <w:pStyle w:val="82"/>
        <w:ind w:firstLine="0" w:firstLineChars="0"/>
        <w:rPr>
          <w:rFonts w:ascii="Calibri" w:hAnsi="Calibri" w:eastAsia="楷体_GB2312" w:cs="Calibri"/>
          <w:kern w:val="0"/>
          <w:sz w:val="24"/>
          <w:szCs w:val="24"/>
          <w:u w:val="single"/>
        </w:rPr>
      </w:pPr>
    </w:p>
    <w:p>
      <w:pPr>
        <w:pStyle w:val="82"/>
        <w:ind w:firstLine="0" w:firstLineChars="0"/>
        <w:rPr>
          <w:rFonts w:ascii="Calibri" w:hAnsi="Calibri" w:eastAsia="楷体_GB2312" w:cs="Calibri"/>
          <w:kern w:val="0"/>
          <w:sz w:val="24"/>
          <w:szCs w:val="24"/>
          <w:u w:val="single"/>
        </w:rPr>
      </w:pPr>
    </w:p>
    <w:p>
      <w:pPr>
        <w:pStyle w:val="82"/>
        <w:ind w:firstLine="0" w:firstLineChars="0"/>
      </w:pPr>
    </w:p>
    <w:p>
      <w:pPr>
        <w:pStyle w:val="30"/>
        <w:rPr>
          <w:rFonts w:ascii="Calibri" w:hAnsi="Calibri" w:cs="Calibri"/>
          <w:b/>
          <w:sz w:val="44"/>
        </w:rPr>
      </w:pPr>
      <w:bookmarkStart w:id="7" w:name="_Toc13136"/>
      <w:bookmarkStart w:id="8" w:name="_Toc444173456"/>
      <w:bookmarkStart w:id="9" w:name="_Toc444811406"/>
      <w:bookmarkStart w:id="10" w:name="_Toc444174976"/>
      <w:bookmarkStart w:id="11" w:name="_Toc478453289"/>
      <w:bookmarkStart w:id="12" w:name="_Toc448002981"/>
      <w:bookmarkStart w:id="13" w:name="_Toc9351378"/>
      <w:bookmarkStart w:id="14" w:name="_Toc400369182"/>
      <w:r>
        <w:rPr>
          <w:rFonts w:ascii="Calibri" w:cs="Calibri"/>
          <w:b/>
          <w:sz w:val="44"/>
        </w:rPr>
        <w:t>目</w:t>
      </w:r>
      <w:r>
        <w:rPr>
          <w:rFonts w:ascii="Calibri" w:hAnsi="Calibri" w:cs="Calibri"/>
          <w:b/>
          <w:sz w:val="44"/>
        </w:rPr>
        <w:t xml:space="preserve">  </w:t>
      </w:r>
      <w:r>
        <w:rPr>
          <w:rFonts w:ascii="Calibri" w:cs="Calibri"/>
          <w:b/>
          <w:sz w:val="44"/>
        </w:rPr>
        <w:t>录</w:t>
      </w:r>
      <w:bookmarkEnd w:id="3"/>
      <w:bookmarkEnd w:id="4"/>
      <w:bookmarkEnd w:id="5"/>
      <w:bookmarkEnd w:id="6"/>
      <w:bookmarkEnd w:id="7"/>
      <w:bookmarkEnd w:id="8"/>
      <w:bookmarkEnd w:id="9"/>
      <w:bookmarkEnd w:id="10"/>
      <w:bookmarkEnd w:id="11"/>
      <w:bookmarkEnd w:id="12"/>
      <w:bookmarkEnd w:id="13"/>
      <w:bookmarkEnd w:id="14"/>
    </w:p>
    <w:p>
      <w:pPr>
        <w:pStyle w:val="30"/>
        <w:tabs>
          <w:tab w:val="right" w:leader="dot" w:pos="8306"/>
          <w:tab w:val="clear" w:pos="8659"/>
        </w:tabs>
        <w:rPr>
          <w:rFonts w:ascii="Calibri" w:hAnsi="Calibri"/>
          <w:kern w:val="2"/>
          <w:szCs w:val="22"/>
        </w:rPr>
      </w:pPr>
      <w:r>
        <w:rPr>
          <w:rFonts w:hint="eastAsia" w:ascii="黑体" w:hAnsi="黑体" w:eastAsia="黑体" w:cs="Calibri"/>
          <w:sz w:val="22"/>
          <w:szCs w:val="22"/>
        </w:rPr>
        <w:fldChar w:fldCharType="begin"/>
      </w:r>
      <w:r>
        <w:rPr>
          <w:rFonts w:hint="eastAsia" w:ascii="黑体" w:hAnsi="黑体" w:eastAsia="黑体" w:cs="Calibri"/>
          <w:sz w:val="22"/>
          <w:szCs w:val="22"/>
        </w:rPr>
        <w:instrText xml:space="preserve"> TOC \o "1-3" \h \z \u </w:instrText>
      </w:r>
      <w:r>
        <w:rPr>
          <w:rFonts w:hint="eastAsia" w:ascii="黑体" w:hAnsi="黑体" w:eastAsia="黑体" w:cs="Calibri"/>
          <w:sz w:val="22"/>
          <w:szCs w:val="22"/>
        </w:rPr>
        <w:fldChar w:fldCharType="separate"/>
      </w:r>
      <w:r>
        <w:fldChar w:fldCharType="begin"/>
      </w:r>
      <w:r>
        <w:instrText xml:space="preserve"> HYPERLINK \l "_Toc20105" </w:instrText>
      </w:r>
      <w:r>
        <w:fldChar w:fldCharType="separate"/>
      </w:r>
      <w:r>
        <w:rPr>
          <w:rFonts w:ascii="Calibri" w:hAnsi="Calibri" w:eastAsia="黑体" w:cs="Calibri"/>
          <w:kern w:val="0"/>
          <w:szCs w:val="22"/>
        </w:rPr>
        <w:t xml:space="preserve">第一章 </w:t>
      </w:r>
      <w:r>
        <w:rPr>
          <w:rFonts w:hint="eastAsia" w:ascii="Calibri" w:hAnsi="Calibri" w:eastAsia="黑体" w:cs="Calibri"/>
          <w:kern w:val="0"/>
          <w:szCs w:val="22"/>
        </w:rPr>
        <w:t>招标公告</w:t>
      </w:r>
      <w:r>
        <w:rPr>
          <w:rFonts w:ascii="Calibri" w:hAnsi="Calibri"/>
          <w:kern w:val="2"/>
          <w:szCs w:val="22"/>
        </w:rPr>
        <w:tab/>
      </w:r>
      <w:r>
        <w:rPr>
          <w:rFonts w:ascii="Calibri" w:hAnsi="Calibri"/>
          <w:kern w:val="2"/>
          <w:szCs w:val="22"/>
        </w:rPr>
        <w:fldChar w:fldCharType="begin"/>
      </w:r>
      <w:r>
        <w:rPr>
          <w:rFonts w:ascii="Calibri" w:hAnsi="Calibri"/>
          <w:kern w:val="2"/>
          <w:szCs w:val="22"/>
        </w:rPr>
        <w:instrText xml:space="preserve"> PAGEREF _Toc20105 </w:instrText>
      </w:r>
      <w:r>
        <w:rPr>
          <w:rFonts w:ascii="Calibri" w:hAnsi="Calibri"/>
          <w:kern w:val="2"/>
          <w:szCs w:val="22"/>
        </w:rPr>
        <w:fldChar w:fldCharType="separate"/>
      </w:r>
      <w:r>
        <w:rPr>
          <w:rFonts w:ascii="Calibri" w:hAnsi="Calibri"/>
          <w:kern w:val="2"/>
          <w:szCs w:val="22"/>
        </w:rPr>
        <w:t>3</w:t>
      </w:r>
      <w:r>
        <w:rPr>
          <w:rFonts w:ascii="Calibri" w:hAnsi="Calibri"/>
          <w:kern w:val="2"/>
          <w:szCs w:val="22"/>
        </w:rPr>
        <w:fldChar w:fldCharType="end"/>
      </w:r>
      <w:r>
        <w:rPr>
          <w:rFonts w:ascii="Calibri" w:hAnsi="Calibri"/>
          <w:kern w:val="2"/>
          <w:szCs w:val="22"/>
        </w:rPr>
        <w:fldChar w:fldCharType="end"/>
      </w:r>
    </w:p>
    <w:p>
      <w:pPr>
        <w:pStyle w:val="30"/>
        <w:tabs>
          <w:tab w:val="right" w:leader="dot" w:pos="8306"/>
          <w:tab w:val="clear" w:pos="8659"/>
        </w:tabs>
        <w:rPr>
          <w:rFonts w:ascii="Calibri" w:hAnsi="Calibri"/>
          <w:kern w:val="2"/>
          <w:szCs w:val="22"/>
        </w:rPr>
      </w:pPr>
      <w:r>
        <w:fldChar w:fldCharType="begin"/>
      </w:r>
      <w:r>
        <w:instrText xml:space="preserve"> HYPERLINK \l "_Toc22936" </w:instrText>
      </w:r>
      <w:r>
        <w:fldChar w:fldCharType="separate"/>
      </w:r>
      <w:r>
        <w:rPr>
          <w:rFonts w:ascii="Calibri" w:hAnsi="Calibri" w:eastAsia="黑体" w:cs="Calibri"/>
          <w:kern w:val="0"/>
          <w:szCs w:val="22"/>
        </w:rPr>
        <w:t>第二章  投标人须知</w:t>
      </w:r>
      <w:r>
        <w:rPr>
          <w:rFonts w:ascii="Calibri" w:hAnsi="Calibri"/>
          <w:kern w:val="2"/>
          <w:szCs w:val="22"/>
        </w:rPr>
        <w:tab/>
      </w:r>
      <w:r>
        <w:rPr>
          <w:rFonts w:ascii="Calibri" w:hAnsi="Calibri"/>
          <w:kern w:val="2"/>
          <w:szCs w:val="22"/>
        </w:rPr>
        <w:fldChar w:fldCharType="begin"/>
      </w:r>
      <w:r>
        <w:rPr>
          <w:rFonts w:ascii="Calibri" w:hAnsi="Calibri"/>
          <w:kern w:val="2"/>
          <w:szCs w:val="22"/>
        </w:rPr>
        <w:instrText xml:space="preserve"> PAGEREF _Toc22936 </w:instrText>
      </w:r>
      <w:r>
        <w:rPr>
          <w:rFonts w:ascii="Calibri" w:hAnsi="Calibri"/>
          <w:kern w:val="2"/>
          <w:szCs w:val="22"/>
        </w:rPr>
        <w:fldChar w:fldCharType="separate"/>
      </w:r>
      <w:r>
        <w:rPr>
          <w:rFonts w:ascii="Calibri" w:hAnsi="Calibri"/>
          <w:kern w:val="2"/>
          <w:szCs w:val="22"/>
        </w:rPr>
        <w:t>5</w:t>
      </w:r>
      <w:r>
        <w:rPr>
          <w:rFonts w:ascii="Calibri" w:hAnsi="Calibri"/>
          <w:kern w:val="2"/>
          <w:szCs w:val="22"/>
        </w:rPr>
        <w:fldChar w:fldCharType="end"/>
      </w:r>
      <w:r>
        <w:rPr>
          <w:rFonts w:ascii="Calibri" w:hAnsi="Calibri"/>
          <w:kern w:val="2"/>
          <w:szCs w:val="22"/>
        </w:rPr>
        <w:fldChar w:fldCharType="end"/>
      </w:r>
    </w:p>
    <w:p>
      <w:pPr>
        <w:pStyle w:val="30"/>
        <w:tabs>
          <w:tab w:val="right" w:leader="dot" w:pos="8306"/>
          <w:tab w:val="clear" w:pos="8659"/>
        </w:tabs>
        <w:rPr>
          <w:rFonts w:ascii="Calibri" w:hAnsi="Calibri"/>
          <w:kern w:val="2"/>
          <w:szCs w:val="22"/>
        </w:rPr>
      </w:pPr>
      <w:r>
        <w:fldChar w:fldCharType="begin"/>
      </w:r>
      <w:r>
        <w:instrText xml:space="preserve"> HYPERLINK \l "_Toc20012" </w:instrText>
      </w:r>
      <w:r>
        <w:fldChar w:fldCharType="separate"/>
      </w:r>
      <w:r>
        <w:rPr>
          <w:rFonts w:ascii="Calibri" w:hAnsi="Arial" w:eastAsia="黑体" w:cs="Calibri"/>
          <w:kern w:val="2"/>
          <w:szCs w:val="32"/>
        </w:rPr>
        <w:t>投标人须知前附表</w:t>
      </w:r>
      <w:r>
        <w:rPr>
          <w:rFonts w:ascii="Calibri" w:hAnsi="Calibri"/>
          <w:kern w:val="2"/>
          <w:szCs w:val="22"/>
        </w:rPr>
        <w:tab/>
      </w:r>
      <w:r>
        <w:rPr>
          <w:rFonts w:ascii="Calibri" w:hAnsi="Calibri"/>
          <w:kern w:val="2"/>
          <w:szCs w:val="22"/>
        </w:rPr>
        <w:fldChar w:fldCharType="begin"/>
      </w:r>
      <w:r>
        <w:rPr>
          <w:rFonts w:ascii="Calibri" w:hAnsi="Calibri"/>
          <w:kern w:val="2"/>
          <w:szCs w:val="22"/>
        </w:rPr>
        <w:instrText xml:space="preserve"> PAGEREF _Toc20012 </w:instrText>
      </w:r>
      <w:r>
        <w:rPr>
          <w:rFonts w:ascii="Calibri" w:hAnsi="Calibri"/>
          <w:kern w:val="2"/>
          <w:szCs w:val="22"/>
        </w:rPr>
        <w:fldChar w:fldCharType="separate"/>
      </w:r>
      <w:r>
        <w:rPr>
          <w:rFonts w:ascii="Calibri" w:hAnsi="Calibri"/>
          <w:kern w:val="2"/>
          <w:szCs w:val="22"/>
        </w:rPr>
        <w:t>5</w:t>
      </w:r>
      <w:r>
        <w:rPr>
          <w:rFonts w:ascii="Calibri" w:hAnsi="Calibri"/>
          <w:kern w:val="2"/>
          <w:szCs w:val="22"/>
        </w:rPr>
        <w:fldChar w:fldCharType="end"/>
      </w:r>
      <w:r>
        <w:rPr>
          <w:rFonts w:ascii="Calibri" w:hAnsi="Calibri"/>
          <w:kern w:val="2"/>
          <w:szCs w:val="22"/>
        </w:rPr>
        <w:fldChar w:fldCharType="end"/>
      </w:r>
    </w:p>
    <w:p>
      <w:pPr>
        <w:pStyle w:val="30"/>
        <w:tabs>
          <w:tab w:val="right" w:leader="dot" w:pos="8306"/>
          <w:tab w:val="clear" w:pos="8659"/>
        </w:tabs>
        <w:rPr>
          <w:rFonts w:ascii="Calibri" w:hAnsi="Calibri"/>
          <w:kern w:val="2"/>
          <w:szCs w:val="22"/>
        </w:rPr>
      </w:pPr>
      <w:r>
        <w:fldChar w:fldCharType="begin"/>
      </w:r>
      <w:r>
        <w:instrText xml:space="preserve"> HYPERLINK \l "_Toc27483" </w:instrText>
      </w:r>
      <w:r>
        <w:fldChar w:fldCharType="separate"/>
      </w:r>
      <w:r>
        <w:rPr>
          <w:rFonts w:ascii="Calibri" w:hAnsi="Calibri" w:eastAsia="黑体" w:cs="Calibri"/>
          <w:kern w:val="0"/>
          <w:szCs w:val="22"/>
        </w:rPr>
        <w:t>第</w:t>
      </w:r>
      <w:r>
        <w:rPr>
          <w:rFonts w:hint="eastAsia" w:ascii="Calibri" w:hAnsi="Calibri" w:eastAsia="黑体" w:cs="Calibri"/>
          <w:kern w:val="0"/>
          <w:szCs w:val="22"/>
        </w:rPr>
        <w:t>三</w:t>
      </w:r>
      <w:r>
        <w:rPr>
          <w:rFonts w:ascii="Calibri" w:hAnsi="Calibri" w:eastAsia="黑体" w:cs="Calibri"/>
          <w:kern w:val="0"/>
          <w:szCs w:val="22"/>
        </w:rPr>
        <w:t>章</w:t>
      </w:r>
      <w:r>
        <w:rPr>
          <w:rFonts w:hint="eastAsia" w:ascii="Calibri" w:hAnsi="Calibri" w:eastAsia="黑体" w:cs="Calibri"/>
          <w:kern w:val="0"/>
          <w:szCs w:val="22"/>
        </w:rPr>
        <w:t xml:space="preserve"> 采购内容、技术标准及要求</w:t>
      </w:r>
      <w:r>
        <w:rPr>
          <w:rFonts w:ascii="Calibri" w:hAnsi="Calibri"/>
          <w:kern w:val="2"/>
          <w:szCs w:val="22"/>
        </w:rPr>
        <w:tab/>
      </w:r>
      <w:r>
        <w:rPr>
          <w:rFonts w:ascii="Calibri" w:hAnsi="Calibri"/>
          <w:kern w:val="2"/>
          <w:szCs w:val="22"/>
        </w:rPr>
        <w:fldChar w:fldCharType="begin"/>
      </w:r>
      <w:r>
        <w:rPr>
          <w:rFonts w:ascii="Calibri" w:hAnsi="Calibri"/>
          <w:kern w:val="2"/>
          <w:szCs w:val="22"/>
        </w:rPr>
        <w:instrText xml:space="preserve"> PAGEREF _Toc27483 </w:instrText>
      </w:r>
      <w:r>
        <w:rPr>
          <w:rFonts w:ascii="Calibri" w:hAnsi="Calibri"/>
          <w:kern w:val="2"/>
          <w:szCs w:val="22"/>
        </w:rPr>
        <w:fldChar w:fldCharType="separate"/>
      </w:r>
      <w:r>
        <w:rPr>
          <w:rFonts w:ascii="Calibri" w:hAnsi="Calibri"/>
          <w:kern w:val="2"/>
          <w:szCs w:val="22"/>
        </w:rPr>
        <w:t>14</w:t>
      </w:r>
      <w:r>
        <w:rPr>
          <w:rFonts w:ascii="Calibri" w:hAnsi="Calibri"/>
          <w:kern w:val="2"/>
          <w:szCs w:val="22"/>
        </w:rPr>
        <w:fldChar w:fldCharType="end"/>
      </w:r>
      <w:r>
        <w:rPr>
          <w:rFonts w:ascii="Calibri" w:hAnsi="Calibri"/>
          <w:kern w:val="2"/>
          <w:szCs w:val="22"/>
        </w:rPr>
        <w:fldChar w:fldCharType="end"/>
      </w:r>
    </w:p>
    <w:p>
      <w:pPr>
        <w:pStyle w:val="30"/>
        <w:tabs>
          <w:tab w:val="right" w:leader="dot" w:pos="8306"/>
          <w:tab w:val="clear" w:pos="8659"/>
        </w:tabs>
        <w:rPr>
          <w:rFonts w:ascii="Calibri" w:hAnsi="Calibri"/>
          <w:kern w:val="2"/>
          <w:szCs w:val="22"/>
        </w:rPr>
      </w:pPr>
      <w:r>
        <w:fldChar w:fldCharType="begin"/>
      </w:r>
      <w:r>
        <w:instrText xml:space="preserve"> HYPERLINK \l "_Toc11897" </w:instrText>
      </w:r>
      <w:r>
        <w:fldChar w:fldCharType="separate"/>
      </w:r>
      <w:r>
        <w:rPr>
          <w:rFonts w:hint="eastAsia" w:ascii="Calibri" w:hAnsi="Calibri" w:eastAsia="黑体" w:cs="Calibri"/>
          <w:kern w:val="0"/>
          <w:szCs w:val="22"/>
        </w:rPr>
        <w:t xml:space="preserve">第四章  </w:t>
      </w:r>
      <w:r>
        <w:rPr>
          <w:rFonts w:ascii="Calibri" w:hAnsi="Calibri" w:eastAsia="黑体" w:cs="Calibri"/>
          <w:kern w:val="0"/>
          <w:szCs w:val="22"/>
        </w:rPr>
        <w:t>合同条款</w:t>
      </w:r>
      <w:r>
        <w:rPr>
          <w:rFonts w:ascii="Calibri" w:hAnsi="Calibri"/>
          <w:kern w:val="2"/>
          <w:szCs w:val="22"/>
        </w:rPr>
        <w:tab/>
      </w:r>
      <w:r>
        <w:rPr>
          <w:rFonts w:ascii="Calibri" w:hAnsi="Calibri"/>
          <w:kern w:val="2"/>
          <w:szCs w:val="22"/>
        </w:rPr>
        <w:fldChar w:fldCharType="begin"/>
      </w:r>
      <w:r>
        <w:rPr>
          <w:rFonts w:ascii="Calibri" w:hAnsi="Calibri"/>
          <w:kern w:val="2"/>
          <w:szCs w:val="22"/>
        </w:rPr>
        <w:instrText xml:space="preserve"> PAGEREF _Toc11897 </w:instrText>
      </w:r>
      <w:r>
        <w:rPr>
          <w:rFonts w:ascii="Calibri" w:hAnsi="Calibri"/>
          <w:kern w:val="2"/>
          <w:szCs w:val="22"/>
        </w:rPr>
        <w:fldChar w:fldCharType="separate"/>
      </w:r>
      <w:r>
        <w:rPr>
          <w:rFonts w:ascii="Calibri" w:hAnsi="Calibri"/>
          <w:kern w:val="2"/>
          <w:szCs w:val="22"/>
        </w:rPr>
        <w:t>16</w:t>
      </w:r>
      <w:r>
        <w:rPr>
          <w:rFonts w:ascii="Calibri" w:hAnsi="Calibri"/>
          <w:kern w:val="2"/>
          <w:szCs w:val="22"/>
        </w:rPr>
        <w:fldChar w:fldCharType="end"/>
      </w:r>
      <w:r>
        <w:rPr>
          <w:rFonts w:ascii="Calibri" w:hAnsi="Calibri"/>
          <w:kern w:val="2"/>
          <w:szCs w:val="22"/>
        </w:rPr>
        <w:fldChar w:fldCharType="end"/>
      </w:r>
    </w:p>
    <w:p>
      <w:pPr>
        <w:pStyle w:val="30"/>
        <w:tabs>
          <w:tab w:val="right" w:leader="dot" w:pos="8306"/>
          <w:tab w:val="clear" w:pos="8659"/>
        </w:tabs>
        <w:rPr>
          <w:rFonts w:ascii="Calibri" w:hAnsi="Calibri"/>
          <w:kern w:val="2"/>
          <w:szCs w:val="22"/>
        </w:rPr>
      </w:pPr>
      <w:r>
        <w:fldChar w:fldCharType="begin"/>
      </w:r>
      <w:r>
        <w:instrText xml:space="preserve"> HYPERLINK \l "_Toc25339" </w:instrText>
      </w:r>
      <w:r>
        <w:fldChar w:fldCharType="separate"/>
      </w:r>
      <w:r>
        <w:rPr>
          <w:rFonts w:ascii="Calibri" w:hAnsi="Calibri" w:eastAsia="黑体" w:cs="Calibri"/>
          <w:kern w:val="0"/>
          <w:szCs w:val="22"/>
        </w:rPr>
        <w:t>第</w:t>
      </w:r>
      <w:r>
        <w:rPr>
          <w:rFonts w:hint="eastAsia" w:ascii="Calibri" w:hAnsi="Calibri" w:eastAsia="黑体" w:cs="Calibri"/>
          <w:kern w:val="0"/>
          <w:szCs w:val="22"/>
        </w:rPr>
        <w:t>五</w:t>
      </w:r>
      <w:r>
        <w:rPr>
          <w:rFonts w:ascii="Calibri" w:hAnsi="Calibri" w:eastAsia="黑体" w:cs="Calibri"/>
          <w:kern w:val="0"/>
          <w:szCs w:val="22"/>
        </w:rPr>
        <w:t>章  评标方法及标准</w:t>
      </w:r>
      <w:r>
        <w:rPr>
          <w:rFonts w:ascii="Calibri" w:hAnsi="Calibri"/>
          <w:kern w:val="2"/>
          <w:szCs w:val="22"/>
        </w:rPr>
        <w:tab/>
      </w:r>
      <w:r>
        <w:rPr>
          <w:rFonts w:ascii="Calibri" w:hAnsi="Calibri"/>
          <w:kern w:val="2"/>
          <w:szCs w:val="22"/>
        </w:rPr>
        <w:fldChar w:fldCharType="begin"/>
      </w:r>
      <w:r>
        <w:rPr>
          <w:rFonts w:ascii="Calibri" w:hAnsi="Calibri"/>
          <w:kern w:val="2"/>
          <w:szCs w:val="22"/>
        </w:rPr>
        <w:instrText xml:space="preserve"> PAGEREF _Toc25339 </w:instrText>
      </w:r>
      <w:r>
        <w:rPr>
          <w:rFonts w:ascii="Calibri" w:hAnsi="Calibri"/>
          <w:kern w:val="2"/>
          <w:szCs w:val="22"/>
        </w:rPr>
        <w:fldChar w:fldCharType="separate"/>
      </w:r>
      <w:r>
        <w:rPr>
          <w:rFonts w:ascii="Calibri" w:hAnsi="Calibri"/>
          <w:kern w:val="2"/>
          <w:szCs w:val="22"/>
        </w:rPr>
        <w:t>22</w:t>
      </w:r>
      <w:r>
        <w:rPr>
          <w:rFonts w:ascii="Calibri" w:hAnsi="Calibri"/>
          <w:kern w:val="2"/>
          <w:szCs w:val="22"/>
        </w:rPr>
        <w:fldChar w:fldCharType="end"/>
      </w:r>
      <w:r>
        <w:rPr>
          <w:rFonts w:ascii="Calibri" w:hAnsi="Calibri"/>
          <w:kern w:val="2"/>
          <w:szCs w:val="22"/>
        </w:rPr>
        <w:fldChar w:fldCharType="end"/>
      </w:r>
    </w:p>
    <w:p>
      <w:pPr>
        <w:pStyle w:val="30"/>
        <w:tabs>
          <w:tab w:val="right" w:leader="dot" w:pos="8306"/>
          <w:tab w:val="clear" w:pos="8659"/>
        </w:tabs>
        <w:rPr>
          <w:rFonts w:ascii="Calibri" w:hAnsi="Calibri"/>
          <w:kern w:val="2"/>
          <w:szCs w:val="22"/>
        </w:rPr>
      </w:pPr>
      <w:r>
        <w:fldChar w:fldCharType="begin"/>
      </w:r>
      <w:r>
        <w:instrText xml:space="preserve"> HYPERLINK \l "_Toc14922" </w:instrText>
      </w:r>
      <w:r>
        <w:fldChar w:fldCharType="separate"/>
      </w:r>
      <w:r>
        <w:rPr>
          <w:rFonts w:ascii="Calibri" w:hAnsi="Calibri" w:eastAsia="黑体" w:cs="Calibri"/>
          <w:kern w:val="0"/>
          <w:szCs w:val="22"/>
        </w:rPr>
        <w:t>第</w:t>
      </w:r>
      <w:r>
        <w:rPr>
          <w:rFonts w:hint="eastAsia" w:ascii="Calibri" w:hAnsi="Calibri" w:eastAsia="黑体" w:cs="Calibri"/>
          <w:kern w:val="0"/>
          <w:szCs w:val="22"/>
        </w:rPr>
        <w:t>六</w:t>
      </w:r>
      <w:r>
        <w:rPr>
          <w:rFonts w:ascii="Calibri" w:hAnsi="Calibri" w:eastAsia="黑体" w:cs="Calibri"/>
          <w:kern w:val="0"/>
          <w:szCs w:val="22"/>
        </w:rPr>
        <w:t>章  投标文件格式</w:t>
      </w:r>
      <w:r>
        <w:rPr>
          <w:rFonts w:ascii="Calibri" w:hAnsi="Calibri"/>
          <w:kern w:val="2"/>
          <w:szCs w:val="22"/>
        </w:rPr>
        <w:tab/>
      </w:r>
      <w:r>
        <w:rPr>
          <w:rFonts w:ascii="Calibri" w:hAnsi="Calibri"/>
          <w:kern w:val="2"/>
          <w:szCs w:val="22"/>
        </w:rPr>
        <w:fldChar w:fldCharType="begin"/>
      </w:r>
      <w:r>
        <w:rPr>
          <w:rFonts w:ascii="Calibri" w:hAnsi="Calibri"/>
          <w:kern w:val="2"/>
          <w:szCs w:val="22"/>
        </w:rPr>
        <w:instrText xml:space="preserve"> PAGEREF _Toc14922 </w:instrText>
      </w:r>
      <w:r>
        <w:rPr>
          <w:rFonts w:ascii="Calibri" w:hAnsi="Calibri"/>
          <w:kern w:val="2"/>
          <w:szCs w:val="22"/>
        </w:rPr>
        <w:fldChar w:fldCharType="separate"/>
      </w:r>
      <w:r>
        <w:rPr>
          <w:rFonts w:ascii="Calibri" w:hAnsi="Calibri"/>
          <w:kern w:val="2"/>
          <w:szCs w:val="22"/>
        </w:rPr>
        <w:t>24</w:t>
      </w:r>
      <w:r>
        <w:rPr>
          <w:rFonts w:ascii="Calibri" w:hAnsi="Calibri"/>
          <w:kern w:val="2"/>
          <w:szCs w:val="22"/>
        </w:rPr>
        <w:fldChar w:fldCharType="end"/>
      </w:r>
      <w:r>
        <w:rPr>
          <w:rFonts w:ascii="Calibri" w:hAnsi="Calibri"/>
          <w:kern w:val="2"/>
          <w:szCs w:val="22"/>
        </w:rPr>
        <w:fldChar w:fldCharType="end"/>
      </w:r>
    </w:p>
    <w:p>
      <w:pPr>
        <w:spacing w:line="480" w:lineRule="auto"/>
        <w:rPr>
          <w:rFonts w:cs="Calibri"/>
          <w:sz w:val="24"/>
        </w:rPr>
      </w:pPr>
      <w:r>
        <w:rPr>
          <w:rFonts w:hint="eastAsia" w:ascii="黑体" w:hAnsi="黑体" w:eastAsia="黑体" w:cs="Calibri"/>
        </w:rPr>
        <w:fldChar w:fldCharType="end"/>
      </w:r>
    </w:p>
    <w:p>
      <w:pPr>
        <w:pStyle w:val="2"/>
        <w:spacing w:before="0" w:after="0" w:line="360" w:lineRule="auto"/>
        <w:jc w:val="center"/>
        <w:rPr>
          <w:rFonts w:ascii="Calibri" w:eastAsia="黑体" w:cs="Calibri"/>
          <w:kern w:val="0"/>
          <w:sz w:val="32"/>
        </w:rPr>
      </w:pPr>
      <w:r>
        <w:rPr>
          <w:rFonts w:ascii="Calibri" w:hAnsi="Calibri" w:cs="Calibri"/>
        </w:rPr>
        <w:br w:type="page"/>
      </w:r>
      <w:bookmarkStart w:id="15" w:name="_Toc7641"/>
      <w:bookmarkStart w:id="16" w:name="_Toc18642"/>
      <w:bookmarkStart w:id="17" w:name="_Toc22293"/>
      <w:bookmarkStart w:id="18" w:name="_Toc6832"/>
      <w:bookmarkStart w:id="19" w:name="_Toc6581"/>
      <w:bookmarkStart w:id="20" w:name="_Toc8110"/>
      <w:bookmarkStart w:id="21" w:name="_Toc24784"/>
      <w:bookmarkStart w:id="22" w:name="_Toc24932"/>
      <w:bookmarkStart w:id="23" w:name="_Toc14628"/>
      <w:bookmarkStart w:id="24" w:name="_Toc20105"/>
      <w:bookmarkStart w:id="25" w:name="_Toc248766631"/>
      <w:bookmarkStart w:id="26" w:name="_Toc249322950"/>
      <w:r>
        <w:rPr>
          <w:rFonts w:ascii="Calibri" w:eastAsia="黑体" w:cs="Calibri"/>
          <w:kern w:val="0"/>
          <w:sz w:val="32"/>
        </w:rPr>
        <w:t>第一章</w:t>
      </w:r>
      <w:r>
        <w:rPr>
          <w:rFonts w:ascii="Calibri" w:hAnsi="Calibri" w:eastAsia="黑体" w:cs="Calibri"/>
          <w:kern w:val="0"/>
          <w:sz w:val="32"/>
        </w:rPr>
        <w:t xml:space="preserve"> </w:t>
      </w:r>
      <w:bookmarkEnd w:id="15"/>
      <w:bookmarkEnd w:id="16"/>
      <w:bookmarkEnd w:id="17"/>
      <w:bookmarkEnd w:id="18"/>
      <w:bookmarkEnd w:id="19"/>
      <w:bookmarkEnd w:id="20"/>
      <w:bookmarkEnd w:id="21"/>
      <w:bookmarkEnd w:id="22"/>
      <w:bookmarkEnd w:id="23"/>
      <w:r>
        <w:rPr>
          <w:rFonts w:hint="eastAsia" w:ascii="Calibri" w:eastAsia="黑体" w:cs="Calibri"/>
          <w:kern w:val="0"/>
          <w:sz w:val="32"/>
        </w:rPr>
        <w:t>招标公告</w:t>
      </w:r>
      <w:bookmarkEnd w:id="24"/>
    </w:p>
    <w:p>
      <w:pPr>
        <w:widowControl/>
        <w:snapToGrid w:val="0"/>
        <w:spacing w:line="276" w:lineRule="auto"/>
        <w:jc w:val="left"/>
        <w:rPr>
          <w:rFonts w:ascii="Arial" w:hAnsi="Arial" w:cs="Arial"/>
          <w:b/>
          <w:bCs/>
          <w:kern w:val="0"/>
          <w:sz w:val="22"/>
        </w:rPr>
      </w:pPr>
      <w:r>
        <w:rPr>
          <w:rFonts w:hint="eastAsia" w:ascii="Arial" w:hAnsi="Arial" w:cs="Arial"/>
          <w:b/>
          <w:bCs/>
          <w:kern w:val="0"/>
          <w:sz w:val="22"/>
        </w:rPr>
        <w:t>一、招标范围及内容</w:t>
      </w:r>
    </w:p>
    <w:p>
      <w:pPr>
        <w:widowControl/>
        <w:snapToGrid w:val="0"/>
        <w:spacing w:line="276" w:lineRule="auto"/>
        <w:ind w:firstLine="440" w:firstLineChars="200"/>
        <w:jc w:val="left"/>
        <w:rPr>
          <w:rFonts w:ascii="Arial" w:hAnsi="Arial" w:cs="Arial"/>
          <w:bCs/>
          <w:kern w:val="0"/>
          <w:sz w:val="22"/>
        </w:rPr>
      </w:pPr>
      <w:r>
        <w:rPr>
          <w:rFonts w:hint="eastAsia" w:ascii="Arial" w:hAnsi="Arial" w:cs="Arial"/>
          <w:bCs/>
          <w:kern w:val="0"/>
          <w:sz w:val="22"/>
        </w:rPr>
        <w:t>1.项目概况：1) 对机场公司五楼会议室现有的三台混音台进行更新，每台连接8路话筒，更新后话筒声音正常;2）对信息楼七楼会议室现有两台投影机进行更新，并敷设2根HDIM高清线作备用，更新后投</w:t>
      </w:r>
      <w:r>
        <w:rPr>
          <w:rFonts w:hint="eastAsia" w:ascii="宋体" w:hAnsi="宋体" w:cs="Arial"/>
          <w:sz w:val="22"/>
        </w:rPr>
        <w:t>影机工作稳定，画面能铺满整个幕布，不抖动；3）</w:t>
      </w:r>
      <w:r>
        <w:rPr>
          <w:rFonts w:hint="eastAsia" w:ascii="Arial" w:hAnsi="Arial" w:cs="Arial"/>
          <w:bCs/>
          <w:kern w:val="0"/>
          <w:sz w:val="22"/>
        </w:rPr>
        <w:t>在信息楼七楼会议室增加一台录播设备，接入已有的会议系统，对会场进行录制，拷贝的录像</w:t>
      </w:r>
      <w:r>
        <w:rPr>
          <w:rFonts w:hint="eastAsia" w:cs="Arial"/>
          <w:sz w:val="22"/>
        </w:rPr>
        <w:t>画质清晰，声音正常</w:t>
      </w:r>
      <w:r>
        <w:rPr>
          <w:rFonts w:hint="eastAsia" w:ascii="Arial" w:hAnsi="Arial" w:cs="Arial"/>
          <w:bCs/>
          <w:kern w:val="0"/>
          <w:sz w:val="22"/>
        </w:rPr>
        <w:t>。</w:t>
      </w:r>
      <w:r>
        <w:rPr>
          <w:rFonts w:hint="eastAsia" w:ascii="宋体" w:hAnsi="宋体" w:cs="Arial"/>
          <w:kern w:val="0"/>
          <w:sz w:val="22"/>
        </w:rPr>
        <w:t>服务内容包含所有设备采购、运输、安装、调试以及对机场工作人员使用培训等工作。</w:t>
      </w:r>
    </w:p>
    <w:p>
      <w:pPr>
        <w:widowControl/>
        <w:adjustRightInd w:val="0"/>
        <w:snapToGrid w:val="0"/>
        <w:spacing w:line="276" w:lineRule="auto"/>
        <w:ind w:firstLine="440" w:firstLineChars="200"/>
        <w:rPr>
          <w:rFonts w:ascii="宋体" w:hAnsi="宋体" w:cs="Arial"/>
          <w:kern w:val="0"/>
          <w:sz w:val="22"/>
        </w:rPr>
      </w:pPr>
      <w:r>
        <w:rPr>
          <w:rFonts w:hint="eastAsia" w:ascii="Arial" w:hAnsi="Arial" w:cs="Arial"/>
          <w:bCs/>
          <w:kern w:val="0"/>
          <w:sz w:val="22"/>
        </w:rPr>
        <w:t>2</w:t>
      </w:r>
      <w:r>
        <w:rPr>
          <w:rFonts w:ascii="Arial" w:hAnsi="Arial" w:cs="Arial"/>
          <w:bCs/>
          <w:kern w:val="0"/>
          <w:sz w:val="22"/>
        </w:rPr>
        <w:t>.</w:t>
      </w:r>
      <w:r>
        <w:rPr>
          <w:rFonts w:hint="eastAsia" w:ascii="宋体" w:hAnsi="宋体" w:cs="Arial"/>
          <w:kern w:val="0"/>
          <w:sz w:val="22"/>
        </w:rPr>
        <w:t xml:space="preserve"> 招标货物名称、数量及主要技术规格, 详见第三章 “采购内容、技术标准及要求”。</w:t>
      </w:r>
    </w:p>
    <w:p>
      <w:pPr>
        <w:widowControl/>
        <w:snapToGrid w:val="0"/>
        <w:spacing w:line="276" w:lineRule="auto"/>
        <w:jc w:val="left"/>
        <w:rPr>
          <w:rFonts w:ascii="宋体" w:hAnsi="宋体" w:cs="Arial"/>
          <w:b/>
          <w:bCs/>
          <w:kern w:val="0"/>
          <w:sz w:val="22"/>
        </w:rPr>
      </w:pPr>
      <w:r>
        <w:rPr>
          <w:rFonts w:hint="eastAsia" w:ascii="宋体" w:hAnsi="宋体" w:cs="Arial"/>
          <w:b/>
          <w:bCs/>
          <w:kern w:val="0"/>
          <w:sz w:val="22"/>
        </w:rPr>
        <w:t>二、</w:t>
      </w:r>
      <w:r>
        <w:rPr>
          <w:rFonts w:ascii="宋体" w:hAnsi="宋体" w:cs="Arial"/>
          <w:b/>
          <w:bCs/>
          <w:kern w:val="0"/>
          <w:sz w:val="22"/>
        </w:rPr>
        <w:t> </w:t>
      </w:r>
      <w:r>
        <w:rPr>
          <w:rFonts w:hint="eastAsia" w:ascii="宋体" w:hAnsi="宋体" w:cs="Arial"/>
          <w:b/>
          <w:bCs/>
          <w:kern w:val="0"/>
          <w:sz w:val="22"/>
        </w:rPr>
        <w:t>投标人资格要求</w:t>
      </w:r>
      <w:r>
        <w:rPr>
          <w:rFonts w:ascii="宋体" w:hAnsi="宋体" w:cs="Arial"/>
          <w:b/>
          <w:bCs/>
          <w:kern w:val="0"/>
          <w:sz w:val="22"/>
        </w:rPr>
        <w:t> </w:t>
      </w:r>
      <w:r>
        <w:rPr>
          <w:rFonts w:hint="eastAsia" w:ascii="宋体" w:hAnsi="宋体" w:cs="Arial"/>
          <w:b/>
          <w:bCs/>
          <w:kern w:val="0"/>
          <w:sz w:val="22"/>
        </w:rPr>
        <w:t xml:space="preserve">  </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（1）具有独立法人资格，，持有</w:t>
      </w:r>
      <w:r>
        <w:rPr>
          <w:rFonts w:ascii="宋体" w:hAnsi="宋体" w:cs="Arial"/>
          <w:kern w:val="0"/>
          <w:sz w:val="22"/>
        </w:rPr>
        <w:t>有效营业执照，</w:t>
      </w:r>
      <w:r>
        <w:rPr>
          <w:rFonts w:hint="eastAsia" w:ascii="宋体" w:hAnsi="宋体" w:cs="Arial"/>
          <w:kern w:val="0"/>
          <w:sz w:val="22"/>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3）近年（2016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276" w:lineRule="auto"/>
        <w:ind w:firstLine="440" w:firstLineChars="200"/>
        <w:rPr>
          <w:rFonts w:ascii="宋体" w:hAnsi="宋体" w:cs="Arial"/>
          <w:color w:val="FF0000"/>
          <w:kern w:val="0"/>
          <w:sz w:val="22"/>
          <w:u w:val="single"/>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276" w:lineRule="auto"/>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276" w:lineRule="auto"/>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（1）投标文件递交截止时间：201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16</w:t>
      </w:r>
      <w:r>
        <w:rPr>
          <w:rFonts w:hint="eastAsia" w:ascii="宋体" w:hAnsi="宋体" w:cs="Arial"/>
          <w:kern w:val="0"/>
          <w:sz w:val="22"/>
        </w:rPr>
        <w:t>日上午9时00分（北京时间）。投标文件在封口处加盖公章，并派专人于201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16</w:t>
      </w:r>
      <w:r>
        <w:rPr>
          <w:rFonts w:hint="eastAsia" w:ascii="宋体" w:hAnsi="宋体" w:cs="Arial"/>
          <w:kern w:val="0"/>
          <w:sz w:val="22"/>
        </w:rPr>
        <w:t>日上午9时00分（北京时间）前送至杭州萧山国际机场翔越路综合服务楼园区招标中心，逾期无效；若采用投递（邮寄）方式的，请于201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16</w:t>
      </w:r>
      <w:r>
        <w:rPr>
          <w:rFonts w:hint="eastAsia" w:ascii="宋体" w:hAnsi="宋体" w:cs="Arial"/>
          <w:kern w:val="0"/>
          <w:sz w:val="22"/>
        </w:rPr>
        <w:t>日上午9时00分（北京时间）前投递至杭州萧山国际机场翔越路综合服务楼园区招标中心，逾期无效。</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276" w:lineRule="auto"/>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276" w:lineRule="auto"/>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276" w:lineRule="auto"/>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276" w:lineRule="auto"/>
        <w:ind w:firstLine="440" w:firstLineChars="200"/>
        <w:rPr>
          <w:rFonts w:ascii="宋体" w:hAnsi="宋体"/>
          <w:sz w:val="22"/>
        </w:rPr>
      </w:pPr>
      <w:r>
        <w:rPr>
          <w:rFonts w:hint="eastAsia" w:ascii="宋体" w:hAnsi="宋体"/>
          <w:sz w:val="22"/>
        </w:rPr>
        <w:t xml:space="preserve">投标联系人： 贾工       </w:t>
      </w:r>
      <w:r>
        <w:rPr>
          <w:rFonts w:ascii="宋体" w:hAnsi="宋体"/>
          <w:sz w:val="22"/>
        </w:rPr>
        <w:t xml:space="preserve"> </w:t>
      </w:r>
      <w:r>
        <w:rPr>
          <w:rFonts w:hint="eastAsia" w:ascii="宋体" w:hAnsi="宋体"/>
          <w:sz w:val="22"/>
        </w:rPr>
        <w:t>联系电话：0571-83837612</w:t>
      </w:r>
    </w:p>
    <w:p>
      <w:pPr>
        <w:widowControl/>
        <w:adjustRightInd w:val="0"/>
        <w:snapToGrid w:val="0"/>
        <w:spacing w:line="276" w:lineRule="auto"/>
        <w:ind w:firstLine="440" w:firstLineChars="200"/>
        <w:rPr>
          <w:rFonts w:eastAsia="黑体" w:cs="Calibri"/>
          <w:kern w:val="0"/>
          <w:sz w:val="32"/>
        </w:rPr>
      </w:pPr>
      <w:r>
        <w:rPr>
          <w:rFonts w:hint="eastAsia" w:ascii="宋体" w:hAnsi="宋体"/>
          <w:bCs/>
          <w:sz w:val="22"/>
        </w:rPr>
        <w:t xml:space="preserve">招标监督人： 阮工        </w:t>
      </w:r>
      <w:r>
        <w:rPr>
          <w:rFonts w:ascii="宋体" w:hAnsi="宋体"/>
          <w:bCs/>
          <w:sz w:val="22"/>
        </w:rPr>
        <w:t xml:space="preserve"> </w:t>
      </w:r>
      <w:r>
        <w:rPr>
          <w:rFonts w:hint="eastAsia" w:ascii="宋体" w:hAnsi="宋体"/>
          <w:bCs/>
          <w:sz w:val="22"/>
        </w:rPr>
        <w:t>联系电话：0</w:t>
      </w:r>
      <w:r>
        <w:rPr>
          <w:rFonts w:ascii="宋体" w:hAnsi="宋体"/>
          <w:bCs/>
          <w:sz w:val="22"/>
        </w:rPr>
        <w:t>571-86662133</w:t>
      </w:r>
    </w:p>
    <w:p>
      <w:pPr>
        <w:pStyle w:val="2"/>
        <w:spacing w:before="0" w:after="0" w:line="360" w:lineRule="auto"/>
        <w:jc w:val="center"/>
        <w:rPr>
          <w:rFonts w:ascii="Calibri" w:eastAsia="黑体" w:cs="Calibri"/>
          <w:kern w:val="0"/>
          <w:sz w:val="32"/>
        </w:rPr>
      </w:pPr>
    </w:p>
    <w:p>
      <w:pPr>
        <w:pStyle w:val="2"/>
        <w:spacing w:before="0" w:after="0" w:line="360" w:lineRule="auto"/>
        <w:jc w:val="center"/>
        <w:rPr>
          <w:rFonts w:ascii="Calibri" w:eastAsia="黑体" w:cs="Calibri"/>
          <w:kern w:val="0"/>
          <w:sz w:val="32"/>
        </w:rPr>
      </w:pPr>
    </w:p>
    <w:p>
      <w:pPr>
        <w:pStyle w:val="2"/>
        <w:spacing w:before="0" w:after="0" w:line="360" w:lineRule="auto"/>
        <w:jc w:val="center"/>
        <w:rPr>
          <w:rFonts w:ascii="Calibri" w:eastAsia="黑体" w:cs="Calibri"/>
          <w:kern w:val="0"/>
          <w:sz w:val="32"/>
        </w:rPr>
      </w:pPr>
    </w:p>
    <w:p>
      <w:pPr>
        <w:pStyle w:val="2"/>
        <w:spacing w:before="0" w:after="0" w:line="360" w:lineRule="auto"/>
        <w:jc w:val="center"/>
        <w:rPr>
          <w:rFonts w:ascii="Calibri" w:eastAsia="黑体" w:cs="Calibri"/>
          <w:kern w:val="0"/>
          <w:sz w:val="32"/>
        </w:rPr>
      </w:pPr>
    </w:p>
    <w:p>
      <w:pPr>
        <w:pStyle w:val="2"/>
        <w:spacing w:before="0" w:after="0" w:line="360" w:lineRule="auto"/>
        <w:jc w:val="center"/>
        <w:rPr>
          <w:rFonts w:ascii="Calibri" w:eastAsia="黑体" w:cs="Calibri"/>
          <w:kern w:val="0"/>
          <w:sz w:val="32"/>
        </w:rPr>
      </w:pPr>
    </w:p>
    <w:p>
      <w:pPr>
        <w:pStyle w:val="2"/>
        <w:spacing w:before="0" w:after="0" w:line="360" w:lineRule="auto"/>
        <w:jc w:val="center"/>
        <w:rPr>
          <w:rFonts w:ascii="Calibri" w:eastAsia="黑体" w:cs="Calibri"/>
          <w:kern w:val="0"/>
          <w:sz w:val="32"/>
        </w:rPr>
      </w:pPr>
    </w:p>
    <w:p>
      <w:pPr>
        <w:pStyle w:val="2"/>
        <w:spacing w:before="0" w:after="0" w:line="360" w:lineRule="auto"/>
        <w:jc w:val="center"/>
        <w:rPr>
          <w:rFonts w:ascii="Calibri" w:eastAsia="黑体" w:cs="Calibri"/>
          <w:kern w:val="0"/>
          <w:sz w:val="32"/>
        </w:rPr>
      </w:pPr>
    </w:p>
    <w:p>
      <w:pPr>
        <w:rPr>
          <w:rFonts w:eastAsia="黑体" w:cs="Calibri"/>
          <w:kern w:val="0"/>
          <w:sz w:val="32"/>
        </w:rPr>
      </w:pPr>
    </w:p>
    <w:p>
      <w:pPr>
        <w:rPr>
          <w:rFonts w:eastAsia="黑体" w:cs="Calibri"/>
          <w:kern w:val="0"/>
          <w:sz w:val="32"/>
        </w:rPr>
      </w:pPr>
    </w:p>
    <w:p>
      <w:pPr>
        <w:rPr>
          <w:rFonts w:eastAsia="黑体" w:cs="Calibri"/>
          <w:kern w:val="0"/>
          <w:sz w:val="32"/>
        </w:rPr>
      </w:pPr>
    </w:p>
    <w:p>
      <w:pPr>
        <w:rPr>
          <w:rFonts w:eastAsia="黑体" w:cs="Calibri"/>
          <w:kern w:val="0"/>
          <w:sz w:val="32"/>
        </w:rPr>
      </w:pPr>
    </w:p>
    <w:p>
      <w:pPr>
        <w:pStyle w:val="2"/>
        <w:spacing w:before="0" w:after="0" w:line="240" w:lineRule="auto"/>
        <w:jc w:val="center"/>
        <w:rPr>
          <w:rFonts w:ascii="Calibri" w:eastAsia="黑体" w:cs="Calibri"/>
          <w:kern w:val="0"/>
          <w:sz w:val="32"/>
        </w:rPr>
      </w:pPr>
    </w:p>
    <w:p>
      <w:pPr>
        <w:rPr>
          <w:rFonts w:eastAsia="黑体" w:cs="Calibri"/>
          <w:kern w:val="0"/>
          <w:sz w:val="32"/>
        </w:rPr>
      </w:pPr>
    </w:p>
    <w:p>
      <w:pPr>
        <w:rPr>
          <w:rFonts w:eastAsia="黑体" w:cs="Calibri"/>
          <w:kern w:val="0"/>
          <w:sz w:val="32"/>
        </w:rPr>
      </w:pPr>
    </w:p>
    <w:p>
      <w:pPr>
        <w:rPr>
          <w:rFonts w:eastAsia="黑体" w:cs="Calibri"/>
          <w:kern w:val="0"/>
          <w:sz w:val="32"/>
        </w:rPr>
      </w:pPr>
    </w:p>
    <w:p>
      <w:pPr>
        <w:pStyle w:val="2"/>
        <w:spacing w:before="0" w:after="0" w:line="360" w:lineRule="auto"/>
        <w:jc w:val="center"/>
        <w:rPr>
          <w:rFonts w:ascii="Calibri" w:hAnsi="Calibri" w:eastAsia="黑体" w:cs="Calibri"/>
          <w:kern w:val="0"/>
          <w:sz w:val="32"/>
        </w:rPr>
      </w:pPr>
      <w:bookmarkStart w:id="27" w:name="_Toc22936"/>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5"/>
      <w:bookmarkEnd w:id="26"/>
      <w:bookmarkEnd w:id="27"/>
      <w:bookmarkStart w:id="28" w:name="_Toc143421654"/>
    </w:p>
    <w:p>
      <w:pPr>
        <w:pStyle w:val="91"/>
        <w:jc w:val="center"/>
        <w:rPr>
          <w:rFonts w:ascii="Calibri" w:hAnsi="Calibri" w:eastAsia="黑体" w:cs="Calibri"/>
          <w:kern w:val="2"/>
          <w:sz w:val="28"/>
          <w:szCs w:val="32"/>
        </w:rPr>
      </w:pPr>
      <w:bookmarkStart w:id="29" w:name="_Toc386363317"/>
      <w:bookmarkStart w:id="30" w:name="_Toc444811409"/>
      <w:bookmarkStart w:id="31" w:name="_Toc444173459"/>
      <w:bookmarkStart w:id="32" w:name="_Toc9351381"/>
      <w:bookmarkStart w:id="33" w:name="_Toc444174979"/>
      <w:bookmarkStart w:id="34" w:name="_Toc349011858"/>
      <w:bookmarkStart w:id="35" w:name="_Toc400369185"/>
      <w:bookmarkStart w:id="36" w:name="_Toc349007688"/>
      <w:bookmarkStart w:id="37" w:name="_Toc386359393"/>
      <w:bookmarkStart w:id="38" w:name="_Toc448002984"/>
      <w:bookmarkStart w:id="39" w:name="_Toc11881"/>
      <w:bookmarkStart w:id="40" w:name="_Toc20012"/>
      <w:r>
        <w:rPr>
          <w:rFonts w:ascii="Calibri" w:hAnsi="Arial" w:eastAsia="黑体" w:cs="Calibri"/>
          <w:kern w:val="2"/>
          <w:sz w:val="28"/>
          <w:szCs w:val="32"/>
        </w:rPr>
        <w:t>投标人须知前附表</w:t>
      </w:r>
      <w:bookmarkEnd w:id="1"/>
      <w:bookmarkEnd w:id="2"/>
      <w:bookmarkEnd w:id="28"/>
      <w:bookmarkEnd w:id="29"/>
      <w:bookmarkEnd w:id="30"/>
      <w:bookmarkEnd w:id="31"/>
      <w:bookmarkEnd w:id="32"/>
      <w:bookmarkEnd w:id="33"/>
      <w:bookmarkEnd w:id="34"/>
      <w:bookmarkEnd w:id="35"/>
      <w:bookmarkEnd w:id="36"/>
      <w:bookmarkEnd w:id="37"/>
      <w:bookmarkEnd w:id="38"/>
      <w:bookmarkEnd w:id="39"/>
      <w:bookmarkEnd w:id="40"/>
      <w:bookmarkStart w:id="41" w:name="_Toc11067"/>
      <w:bookmarkStart w:id="42" w:name="_Toc143421656"/>
      <w:r>
        <w:rPr>
          <w:rFonts w:ascii="Calibri" w:hAnsi="Calibri" w:eastAsia="黑体" w:cs="Calibri"/>
          <w:kern w:val="2"/>
          <w:sz w:val="28"/>
          <w:szCs w:val="32"/>
        </w:rPr>
        <w:t xml:space="preserve"> </w:t>
      </w:r>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杭州萧山国际机场会议设备采购安装项目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4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采购内容、技术标准及要求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合同签订后</w:t>
            </w:r>
            <w:r>
              <w:rPr>
                <w:rFonts w:hint="eastAsia" w:ascii="宋体" w:hAnsi="宋体"/>
                <w:b/>
                <w:sz w:val="22"/>
                <w:u w:val="single"/>
              </w:rPr>
              <w:t xml:space="preserve">  </w:t>
            </w:r>
            <w:r>
              <w:rPr>
                <w:rFonts w:ascii="宋体" w:hAnsi="宋体"/>
                <w:b/>
                <w:sz w:val="22"/>
                <w:u w:val="single"/>
              </w:rPr>
              <w:t>30</w:t>
            </w:r>
            <w:r>
              <w:rPr>
                <w:rFonts w:hint="eastAsia" w:ascii="宋体" w:hAnsi="宋体"/>
                <w:b/>
                <w:sz w:val="22"/>
                <w:u w:val="single"/>
              </w:rPr>
              <w:t xml:space="preserve"> </w:t>
            </w:r>
            <w:r>
              <w:rPr>
                <w:rFonts w:hint="eastAsia" w:ascii="宋体" w:hAnsi="宋体"/>
                <w:b/>
                <w:sz w:val="22"/>
              </w:rPr>
              <w:t>日历天</w:t>
            </w:r>
            <w:r>
              <w:rPr>
                <w:rFonts w:hint="eastAsia" w:ascii="宋体" w:hAnsi="宋体" w:cs="Calibri"/>
                <w:b/>
                <w:kern w:val="0"/>
                <w:sz w:val="22"/>
              </w:rPr>
              <w:t>内（含安装调试）。</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合国家现行</w:t>
            </w:r>
            <w:r>
              <w:rPr>
                <w:rFonts w:hint="eastAsia" w:ascii="宋体" w:hAnsi="宋体"/>
                <w:sz w:val="22"/>
                <w:u w:val="single"/>
              </w:rPr>
              <w:t xml:space="preserve">  行业   </w:t>
            </w:r>
            <w:r>
              <w:rPr>
                <w:rFonts w:hint="eastAsia" w:ascii="宋体" w:hAnsi="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12</w:t>
            </w:r>
            <w:r>
              <w:rPr>
                <w:rFonts w:hint="eastAsia" w:ascii="宋体" w:hAnsi="宋体" w:cs="Calibri"/>
                <w:kern w:val="0"/>
                <w:sz w:val="22"/>
              </w:rPr>
              <w:t>月</w:t>
            </w:r>
            <w:r>
              <w:rPr>
                <w:rFonts w:hint="eastAsia" w:ascii="宋体" w:hAnsi="宋体" w:cs="Calibri"/>
                <w:kern w:val="0"/>
                <w:sz w:val="22"/>
                <w:lang w:val="en-US" w:eastAsia="zh-CN"/>
              </w:rPr>
              <w:t>9</w:t>
            </w:r>
            <w:bookmarkStart w:id="75" w:name="_GoBack"/>
            <w:bookmarkEnd w:id="75"/>
            <w:r>
              <w:rPr>
                <w:rFonts w:hint="eastAsia" w:ascii="宋体" w:hAnsi="宋体" w:cs="Calibri"/>
                <w:kern w:val="0"/>
                <w:sz w:val="22"/>
              </w:rPr>
              <w:t>日11：30前，以书面加盖公章的形式通过E-mail或传真提交给招标人（投标联系人:贾工，电话0571-</w:t>
            </w:r>
            <w:r>
              <w:rPr>
                <w:rFonts w:hint="eastAsia" w:ascii="宋体" w:hAnsi="宋体"/>
                <w:sz w:val="22"/>
              </w:rPr>
              <w:t>83837612</w:t>
            </w:r>
            <w:r>
              <w:rPr>
                <w:rFonts w:hint="eastAsia" w:ascii="宋体" w:hAnsi="宋体" w:cs="Calibri"/>
                <w:kern w:val="0"/>
                <w:sz w:val="22"/>
              </w:rPr>
              <w:t>；传真：0571-</w:t>
            </w:r>
            <w:r>
              <w:rPr>
                <w:rFonts w:hint="eastAsia" w:ascii="宋体" w:hAnsi="宋体"/>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kern w:val="0"/>
                <w:sz w:val="22"/>
              </w:rPr>
              <w:t>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16</w:t>
            </w:r>
            <w:r>
              <w:rPr>
                <w:rFonts w:hint="eastAsia" w:ascii="宋体" w:hAnsi="宋体" w:cs="Arial"/>
                <w:kern w:val="0"/>
                <w:sz w:val="22"/>
              </w:rPr>
              <w:t>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杭州萧山国际机场会议设备采购安装</w:t>
            </w:r>
            <w:r>
              <w:rPr>
                <w:rFonts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Arial"/>
                <w:kern w:val="0"/>
                <w:sz w:val="22"/>
              </w:rPr>
              <w:t>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16</w:t>
            </w:r>
            <w:r>
              <w:rPr>
                <w:rFonts w:hint="eastAsia" w:ascii="宋体" w:hAnsi="宋体" w:cs="Arial"/>
                <w:kern w:val="0"/>
                <w:sz w:val="22"/>
              </w:rPr>
              <w:t>日上午9时00分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w:t>
            </w:r>
            <w:r>
              <w:rPr>
                <w:rFonts w:hint="eastAsia" w:ascii="宋体" w:hAnsi="宋体"/>
                <w:b/>
                <w:bCs/>
                <w:sz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43"/>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3"/>
              <w:rPr>
                <w:rFonts w:ascii="宋体" w:hAnsi="宋体"/>
                <w:color w:val="auto"/>
                <w:sz w:val="22"/>
                <w:szCs w:val="22"/>
              </w:rPr>
            </w:pPr>
            <w:r>
              <w:rPr>
                <w:rFonts w:hint="eastAsia" w:ascii="宋体" w:hAnsi="宋体"/>
                <w:color w:val="auto"/>
                <w:sz w:val="22"/>
                <w:szCs w:val="22"/>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spacing w:line="276" w:lineRule="auto"/>
        <w:rPr>
          <w:rFonts w:ascii="宋体" w:hAnsi="宋体" w:cs="Calibri"/>
          <w:b/>
          <w:bCs/>
          <w:kern w:val="0"/>
          <w:sz w:val="22"/>
        </w:rPr>
      </w:pPr>
      <w:r>
        <w:rPr>
          <w:b/>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1.1 项目概况</w:t>
      </w:r>
    </w:p>
    <w:p>
      <w:pPr>
        <w:adjustRightInd w:val="0"/>
        <w:snapToGrid w:val="0"/>
        <w:spacing w:line="276" w:lineRule="auto"/>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276" w:lineRule="auto"/>
        <w:ind w:firstLine="44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交货</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r>
        <w:rPr>
          <w:rFonts w:hint="eastAsia" w:ascii="宋体" w:hAnsi="宋体" w:cs="Calibri"/>
          <w:b/>
          <w:bCs/>
          <w:kern w:val="0"/>
          <w:sz w:val="22"/>
        </w:rPr>
        <w:t>内容</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供货</w:t>
      </w:r>
      <w:r>
        <w:rPr>
          <w:rFonts w:ascii="宋体" w:hAnsi="宋体" w:cs="Calibri"/>
          <w:b/>
          <w:bCs/>
          <w:kern w:val="0"/>
          <w:sz w:val="22"/>
        </w:rPr>
        <w:t>期</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p>
    <w:p>
      <w:pPr>
        <w:adjustRightInd w:val="0"/>
        <w:snapToGrid w:val="0"/>
        <w:spacing w:line="276" w:lineRule="auto"/>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2.招标文件</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2.1 招标文件的组成</w:t>
      </w:r>
    </w:p>
    <w:p>
      <w:pPr>
        <w:adjustRightInd w:val="0"/>
        <w:snapToGrid w:val="0"/>
        <w:spacing w:line="276" w:lineRule="auto"/>
        <w:ind w:firstLine="440"/>
        <w:rPr>
          <w:rFonts w:ascii="宋体" w:hAnsi="宋体" w:cs="Calibri"/>
          <w:kern w:val="0"/>
          <w:sz w:val="22"/>
        </w:rPr>
      </w:pPr>
      <w:r>
        <w:rPr>
          <w:rFonts w:ascii="宋体" w:hAnsi="宋体" w:cs="Calibri"/>
          <w:kern w:val="0"/>
          <w:sz w:val="22"/>
        </w:rPr>
        <w:t>本招标文件包括：</w:t>
      </w:r>
    </w:p>
    <w:p>
      <w:pPr>
        <w:adjustRightInd w:val="0"/>
        <w:snapToGrid w:val="0"/>
        <w:spacing w:line="276" w:lineRule="auto"/>
        <w:ind w:firstLine="440"/>
        <w:rPr>
          <w:rFonts w:ascii="宋体" w:hAnsi="宋体" w:cs="Calibri"/>
          <w:kern w:val="0"/>
          <w:sz w:val="22"/>
        </w:rPr>
      </w:pPr>
      <w:r>
        <w:rPr>
          <w:rFonts w:ascii="宋体" w:hAnsi="宋体" w:cs="Calibri"/>
          <w:kern w:val="0"/>
          <w:sz w:val="22"/>
        </w:rPr>
        <w:t>（1）招标公告</w:t>
      </w:r>
    </w:p>
    <w:p>
      <w:pPr>
        <w:adjustRightInd w:val="0"/>
        <w:snapToGrid w:val="0"/>
        <w:spacing w:line="276" w:lineRule="auto"/>
        <w:ind w:firstLine="440"/>
        <w:rPr>
          <w:rFonts w:ascii="宋体" w:hAnsi="宋体" w:cs="Calibri"/>
          <w:kern w:val="0"/>
          <w:sz w:val="22"/>
        </w:rPr>
      </w:pPr>
      <w:r>
        <w:rPr>
          <w:rFonts w:ascii="宋体" w:hAnsi="宋体" w:cs="Calibri"/>
          <w:kern w:val="0"/>
          <w:sz w:val="22"/>
        </w:rPr>
        <w:t>（2）投标人须知</w:t>
      </w:r>
    </w:p>
    <w:p>
      <w:pPr>
        <w:adjustRightInd w:val="0"/>
        <w:snapToGrid w:val="0"/>
        <w:spacing w:line="276" w:lineRule="auto"/>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276" w:lineRule="auto"/>
        <w:ind w:firstLine="440"/>
        <w:rPr>
          <w:rFonts w:ascii="宋体" w:hAnsi="宋体" w:cs="Calibri"/>
          <w:kern w:val="0"/>
          <w:sz w:val="22"/>
        </w:rPr>
      </w:pPr>
      <w:r>
        <w:rPr>
          <w:rFonts w:ascii="宋体" w:hAnsi="宋体" w:cs="Calibri"/>
          <w:kern w:val="0"/>
          <w:sz w:val="22"/>
        </w:rPr>
        <w:t>（4）合同条款</w:t>
      </w:r>
    </w:p>
    <w:p>
      <w:pPr>
        <w:adjustRightInd w:val="0"/>
        <w:snapToGrid w:val="0"/>
        <w:spacing w:line="276" w:lineRule="auto"/>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276" w:lineRule="auto"/>
        <w:ind w:firstLine="440"/>
        <w:rPr>
          <w:rFonts w:ascii="宋体" w:hAnsi="宋体" w:cs="Calibri"/>
          <w:kern w:val="0"/>
          <w:sz w:val="22"/>
        </w:rPr>
      </w:pPr>
      <w:r>
        <w:rPr>
          <w:rFonts w:ascii="宋体" w:hAnsi="宋体" w:cs="Calibri"/>
          <w:kern w:val="0"/>
          <w:sz w:val="22"/>
        </w:rPr>
        <w:t>（6）投标文件格式</w:t>
      </w:r>
    </w:p>
    <w:p>
      <w:pPr>
        <w:adjustRightInd w:val="0"/>
        <w:snapToGrid w:val="0"/>
        <w:spacing w:line="276" w:lineRule="auto"/>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2.2 招标文件的澄清</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2.2.2</w:t>
      </w:r>
      <w:r>
        <w:rPr>
          <w:rFonts w:hint="eastAsia" w:ascii="宋体" w:hAnsi="宋体" w:cs="Calibri"/>
          <w:color w:val="000000"/>
          <w:sz w:val="22"/>
        </w:rPr>
        <w:t>招标人将视情况采用补充公告的方式予以澄清。</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2.3 招标文件的修改</w:t>
      </w:r>
    </w:p>
    <w:p>
      <w:pPr>
        <w:adjustRightInd w:val="0"/>
        <w:snapToGrid w:val="0"/>
        <w:spacing w:line="276" w:lineRule="auto"/>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3.投标文件</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3.1 投标文件的语言和计量单位</w:t>
      </w:r>
    </w:p>
    <w:p>
      <w:pPr>
        <w:adjustRightInd w:val="0"/>
        <w:snapToGrid w:val="0"/>
        <w:spacing w:line="276" w:lineRule="auto"/>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276" w:lineRule="auto"/>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276" w:lineRule="auto"/>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276" w:lineRule="auto"/>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3.2 投标文件的组成</w:t>
      </w:r>
    </w:p>
    <w:p>
      <w:pPr>
        <w:adjustRightInd w:val="0"/>
        <w:snapToGrid w:val="0"/>
        <w:spacing w:line="276" w:lineRule="auto"/>
        <w:ind w:firstLine="440"/>
        <w:rPr>
          <w:rFonts w:ascii="宋体" w:hAnsi="宋体" w:cs="Calibri"/>
          <w:sz w:val="22"/>
        </w:rPr>
      </w:pPr>
      <w:r>
        <w:rPr>
          <w:rFonts w:ascii="宋体" w:hAnsi="宋体" w:cs="Calibri"/>
          <w:sz w:val="22"/>
        </w:rPr>
        <w:t>3.2.1投标函；</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276" w:lineRule="auto"/>
        <w:ind w:firstLine="440"/>
        <w:rPr>
          <w:rFonts w:ascii="宋体" w:hAnsi="宋体" w:cs="Calibri"/>
          <w:sz w:val="22"/>
        </w:rPr>
      </w:pPr>
      <w:r>
        <w:rPr>
          <w:rFonts w:ascii="宋体" w:hAnsi="宋体" w:cs="Calibri"/>
          <w:sz w:val="22"/>
        </w:rPr>
        <w:t>3.2.5投标人资格证明文件：</w:t>
      </w:r>
    </w:p>
    <w:p>
      <w:pPr>
        <w:numPr>
          <w:ilvl w:val="0"/>
          <w:numId w:val="1"/>
        </w:numPr>
        <w:adjustRightInd w:val="0"/>
        <w:snapToGrid w:val="0"/>
        <w:spacing w:line="276" w:lineRule="auto"/>
        <w:ind w:firstLine="440"/>
        <w:rPr>
          <w:rFonts w:ascii="宋体" w:hAnsi="宋体" w:cs="Calibri"/>
          <w:sz w:val="22"/>
        </w:rPr>
      </w:pPr>
      <w:r>
        <w:rPr>
          <w:rFonts w:hint="eastAsia" w:ascii="宋体" w:hAnsi="宋体" w:cs="Calibri"/>
          <w:sz w:val="22"/>
        </w:rPr>
        <w:t>投标人一般情况及有关证明投标人法律地位的文件（包括营业执照、税务登记证、资质证书等），说明投标人的注册地点和主要经营范围；</w:t>
      </w:r>
    </w:p>
    <w:p>
      <w:pPr>
        <w:numPr>
          <w:ilvl w:val="0"/>
          <w:numId w:val="1"/>
        </w:numPr>
        <w:adjustRightInd w:val="0"/>
        <w:snapToGrid w:val="0"/>
        <w:spacing w:line="276" w:lineRule="auto"/>
        <w:ind w:firstLine="440"/>
        <w:rPr>
          <w:rFonts w:ascii="宋体" w:hAnsi="宋体" w:cs="Calibri"/>
          <w:sz w:val="22"/>
        </w:rPr>
      </w:pPr>
      <w:r>
        <w:rPr>
          <w:rFonts w:hint="eastAsia" w:ascii="宋体" w:hAnsi="宋体" w:cs="Calibri"/>
          <w:sz w:val="22"/>
        </w:rPr>
        <w:t>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276" w:lineRule="auto"/>
        <w:rPr>
          <w:rFonts w:ascii="宋体" w:hAnsi="宋体" w:cs="Calibri"/>
          <w:sz w:val="22"/>
        </w:rPr>
      </w:pPr>
      <w:r>
        <w:rPr>
          <w:rFonts w:hint="eastAsia" w:ascii="宋体" w:hAnsi="宋体" w:cs="Calibri"/>
          <w:sz w:val="22"/>
        </w:rPr>
        <w:t xml:space="preserve">    （3）投标产品近三年的销售业绩一览表（附业绩的合同）。</w:t>
      </w:r>
    </w:p>
    <w:p>
      <w:pPr>
        <w:adjustRightInd w:val="0"/>
        <w:snapToGrid w:val="0"/>
        <w:spacing w:line="276" w:lineRule="auto"/>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276" w:lineRule="auto"/>
        <w:ind w:firstLine="440"/>
        <w:rPr>
          <w:rFonts w:ascii="宋体" w:hAnsi="宋体" w:cs="Calibri"/>
          <w:sz w:val="22"/>
        </w:rPr>
      </w:pPr>
      <w:r>
        <w:rPr>
          <w:rFonts w:hint="eastAsia" w:ascii="宋体" w:hAnsi="宋体" w:cs="宋体"/>
          <w:sz w:val="22"/>
        </w:rPr>
        <w:t>3.2.7 商务条款响应偏离表；</w:t>
      </w:r>
    </w:p>
    <w:p>
      <w:pPr>
        <w:adjustRightInd w:val="0"/>
        <w:snapToGrid w:val="0"/>
        <w:spacing w:line="276" w:lineRule="auto"/>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276" w:lineRule="auto"/>
        <w:ind w:firstLine="440"/>
        <w:rPr>
          <w:rFonts w:ascii="宋体" w:hAnsi="宋体" w:cs="宋体"/>
          <w:sz w:val="22"/>
        </w:rPr>
      </w:pPr>
      <w:r>
        <w:rPr>
          <w:rFonts w:hint="eastAsia" w:ascii="宋体" w:hAnsi="宋体" w:cs="宋体"/>
          <w:sz w:val="22"/>
        </w:rPr>
        <w:t>3.2.9技术参数、结构及性能特点等产品技术规格书</w:t>
      </w:r>
      <w:r>
        <w:rPr>
          <w:rFonts w:hint="eastAsia" w:ascii="宋体" w:hAnsi="宋体" w:cs="Calibri"/>
          <w:sz w:val="22"/>
        </w:rPr>
        <w:t>（含外观彩色图片）</w:t>
      </w:r>
      <w:r>
        <w:rPr>
          <w:rFonts w:hint="eastAsia" w:ascii="宋体" w:hAnsi="宋体" w:cs="宋体"/>
          <w:sz w:val="22"/>
        </w:rPr>
        <w:t>；</w:t>
      </w:r>
    </w:p>
    <w:p>
      <w:pPr>
        <w:adjustRightInd w:val="0"/>
        <w:snapToGrid w:val="0"/>
        <w:spacing w:line="276" w:lineRule="auto"/>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276" w:lineRule="auto"/>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276" w:lineRule="auto"/>
        <w:ind w:firstLine="440"/>
        <w:rPr>
          <w:rFonts w:ascii="宋体" w:hAnsi="宋体" w:cs="宋体"/>
          <w:sz w:val="22"/>
        </w:rPr>
      </w:pPr>
      <w:r>
        <w:rPr>
          <w:rFonts w:hint="eastAsia" w:ascii="宋体" w:hAnsi="宋体" w:cs="宋体"/>
          <w:sz w:val="22"/>
        </w:rPr>
        <w:t>3.2.12现场指导、调试；</w:t>
      </w:r>
    </w:p>
    <w:p>
      <w:pPr>
        <w:adjustRightInd w:val="0"/>
        <w:snapToGrid w:val="0"/>
        <w:spacing w:line="276" w:lineRule="auto"/>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276" w:lineRule="auto"/>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276" w:lineRule="auto"/>
        <w:ind w:firstLine="440"/>
        <w:rPr>
          <w:rFonts w:ascii="宋体" w:hAnsi="宋体" w:cs="宋体"/>
          <w:sz w:val="22"/>
        </w:rPr>
      </w:pPr>
      <w:r>
        <w:rPr>
          <w:rFonts w:hint="eastAsia" w:ascii="宋体" w:hAnsi="宋体" w:cs="宋体"/>
          <w:sz w:val="22"/>
        </w:rPr>
        <w:t>3.2.15关于质量保证期的说明；</w:t>
      </w:r>
    </w:p>
    <w:p>
      <w:pPr>
        <w:adjustRightInd w:val="0"/>
        <w:snapToGrid w:val="0"/>
        <w:spacing w:line="276" w:lineRule="auto"/>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276" w:lineRule="auto"/>
        <w:ind w:firstLine="440"/>
        <w:rPr>
          <w:rFonts w:ascii="宋体" w:hAnsi="宋体" w:cs="宋体"/>
          <w:sz w:val="22"/>
        </w:rPr>
      </w:pPr>
      <w:r>
        <w:rPr>
          <w:rFonts w:hint="eastAsia" w:ascii="宋体" w:hAnsi="宋体" w:cs="宋体"/>
          <w:sz w:val="22"/>
        </w:rPr>
        <w:t>3.2.17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3.3 投标报价</w:t>
      </w:r>
    </w:p>
    <w:p>
      <w:pPr>
        <w:adjustRightInd w:val="0"/>
        <w:snapToGrid w:val="0"/>
        <w:spacing w:line="276" w:lineRule="auto"/>
        <w:ind w:firstLine="440"/>
        <w:rPr>
          <w:rFonts w:ascii="宋体" w:hAnsi="宋体" w:cs="Calibri"/>
          <w:sz w:val="22"/>
        </w:rPr>
      </w:pPr>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276" w:lineRule="auto"/>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276" w:lineRule="auto"/>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276" w:lineRule="auto"/>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276" w:lineRule="auto"/>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276" w:lineRule="auto"/>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276" w:lineRule="auto"/>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276" w:lineRule="auto"/>
        <w:ind w:firstLine="440"/>
        <w:rPr>
          <w:rFonts w:ascii="宋体" w:hAnsi="宋体" w:cs="Calibri"/>
          <w:sz w:val="22"/>
        </w:rPr>
      </w:pPr>
      <w:r>
        <w:rPr>
          <w:rFonts w:hint="eastAsia" w:ascii="宋体" w:hAnsi="宋体" w:cs="Calibri"/>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3.4 投标有效期</w:t>
      </w:r>
    </w:p>
    <w:p>
      <w:pPr>
        <w:adjustRightInd w:val="0"/>
        <w:snapToGrid w:val="0"/>
        <w:spacing w:line="276" w:lineRule="auto"/>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276" w:lineRule="auto"/>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3.5 投标保证金</w:t>
      </w:r>
      <w:r>
        <w:rPr>
          <w:rFonts w:hint="eastAsia" w:ascii="宋体" w:hAnsi="宋体" w:cs="Calibri"/>
          <w:b/>
          <w:bCs/>
          <w:kern w:val="0"/>
          <w:sz w:val="22"/>
        </w:rPr>
        <w:t>（如有）</w:t>
      </w:r>
    </w:p>
    <w:p>
      <w:pPr>
        <w:adjustRightInd w:val="0"/>
        <w:snapToGrid w:val="0"/>
        <w:spacing w:line="276" w:lineRule="auto"/>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276" w:lineRule="auto"/>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276" w:lineRule="auto"/>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276" w:lineRule="auto"/>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276" w:lineRule="auto"/>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276" w:lineRule="auto"/>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3.6 投标文件的编制</w:t>
      </w:r>
    </w:p>
    <w:p>
      <w:pPr>
        <w:adjustRightInd w:val="0"/>
        <w:snapToGrid w:val="0"/>
        <w:spacing w:line="276" w:lineRule="auto"/>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276" w:lineRule="auto"/>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276" w:lineRule="auto"/>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276" w:lineRule="auto"/>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276" w:lineRule="auto"/>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4.投标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4.1 投标文件的密封和标识</w:t>
      </w:r>
    </w:p>
    <w:p>
      <w:pPr>
        <w:adjustRightInd w:val="0"/>
        <w:snapToGrid w:val="0"/>
        <w:spacing w:line="276" w:lineRule="auto"/>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276" w:lineRule="auto"/>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276" w:lineRule="auto"/>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276" w:lineRule="auto"/>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 xml:space="preserve">4.2 投标文件的递交 </w:t>
      </w:r>
    </w:p>
    <w:p>
      <w:pPr>
        <w:autoSpaceDE w:val="0"/>
        <w:autoSpaceDN w:val="0"/>
        <w:adjustRightInd w:val="0"/>
        <w:snapToGrid w:val="0"/>
        <w:spacing w:line="276" w:lineRule="auto"/>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276" w:lineRule="auto"/>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276" w:lineRule="auto"/>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276" w:lineRule="auto"/>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4.3 投标文件的修改和撤回</w:t>
      </w:r>
    </w:p>
    <w:p>
      <w:pPr>
        <w:adjustRightInd w:val="0"/>
        <w:snapToGrid w:val="0"/>
        <w:spacing w:line="276" w:lineRule="auto"/>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276" w:lineRule="auto"/>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276" w:lineRule="auto"/>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5.开标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5.1 开标时间和地点</w:t>
      </w:r>
    </w:p>
    <w:p>
      <w:pPr>
        <w:adjustRightInd w:val="0"/>
        <w:snapToGrid w:val="0"/>
        <w:spacing w:line="276" w:lineRule="auto"/>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276" w:lineRule="auto"/>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276" w:lineRule="auto"/>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276" w:lineRule="auto"/>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5.2 开标程序</w:t>
      </w:r>
    </w:p>
    <w:p>
      <w:pPr>
        <w:adjustRightInd w:val="0"/>
        <w:snapToGrid w:val="0"/>
        <w:spacing w:line="276" w:lineRule="auto"/>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276" w:lineRule="auto"/>
        <w:ind w:firstLine="440"/>
        <w:rPr>
          <w:rFonts w:ascii="宋体" w:hAnsi="宋体" w:cs="Calibri"/>
          <w:kern w:val="0"/>
          <w:sz w:val="22"/>
        </w:rPr>
      </w:pPr>
      <w:r>
        <w:rPr>
          <w:rFonts w:ascii="宋体" w:hAnsi="宋体" w:cs="Calibri"/>
          <w:kern w:val="0"/>
          <w:sz w:val="22"/>
        </w:rPr>
        <w:t>（1）宣布开标纪律；</w:t>
      </w:r>
    </w:p>
    <w:p>
      <w:pPr>
        <w:adjustRightInd w:val="0"/>
        <w:snapToGrid w:val="0"/>
        <w:spacing w:line="276" w:lineRule="auto"/>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276" w:lineRule="auto"/>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276" w:lineRule="auto"/>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276" w:lineRule="auto"/>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276" w:lineRule="auto"/>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276" w:lineRule="auto"/>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276" w:lineRule="auto"/>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6.评标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6.1 评标委员会</w:t>
      </w:r>
    </w:p>
    <w:p>
      <w:pPr>
        <w:adjustRightInd w:val="0"/>
        <w:snapToGrid w:val="0"/>
        <w:spacing w:line="276" w:lineRule="auto"/>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276" w:lineRule="auto"/>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276" w:lineRule="auto"/>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276" w:lineRule="auto"/>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276" w:lineRule="auto"/>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276" w:lineRule="auto"/>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6.2 评标原则</w:t>
      </w:r>
    </w:p>
    <w:p>
      <w:pPr>
        <w:adjustRightInd w:val="0"/>
        <w:snapToGrid w:val="0"/>
        <w:spacing w:line="276" w:lineRule="auto"/>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6.3 评标</w:t>
      </w:r>
    </w:p>
    <w:p>
      <w:pPr>
        <w:adjustRightInd w:val="0"/>
        <w:snapToGrid w:val="0"/>
        <w:spacing w:line="276" w:lineRule="auto"/>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7.合同授予</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7.1 定标方式</w:t>
      </w:r>
    </w:p>
    <w:p>
      <w:pPr>
        <w:adjustRightInd w:val="0"/>
        <w:snapToGrid w:val="0"/>
        <w:spacing w:line="276" w:lineRule="auto"/>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7.2 中标通知</w:t>
      </w:r>
    </w:p>
    <w:p>
      <w:pPr>
        <w:adjustRightInd w:val="0"/>
        <w:snapToGrid w:val="0"/>
        <w:spacing w:line="276" w:lineRule="auto"/>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7.3 履约</w:t>
      </w:r>
      <w:r>
        <w:rPr>
          <w:rFonts w:hint="eastAsia" w:ascii="宋体" w:hAnsi="宋体" w:cs="Calibri"/>
          <w:b/>
          <w:bCs/>
          <w:kern w:val="0"/>
          <w:sz w:val="22"/>
        </w:rPr>
        <w:t>保证金</w:t>
      </w:r>
    </w:p>
    <w:p>
      <w:pPr>
        <w:adjustRightInd w:val="0"/>
        <w:snapToGrid w:val="0"/>
        <w:spacing w:line="276" w:lineRule="auto"/>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276" w:lineRule="auto"/>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7.4 签订合同</w:t>
      </w:r>
    </w:p>
    <w:p>
      <w:pPr>
        <w:adjustRightInd w:val="0"/>
        <w:snapToGrid w:val="0"/>
        <w:spacing w:line="276" w:lineRule="auto"/>
        <w:ind w:firstLine="440"/>
        <w:rPr>
          <w:rFonts w:ascii="宋体" w:hAnsi="宋体" w:cs="Calibri"/>
          <w:kern w:val="0"/>
          <w:sz w:val="22"/>
        </w:rPr>
      </w:pPr>
      <w:r>
        <w:rPr>
          <w:rFonts w:ascii="宋体" w:hAnsi="宋体" w:cs="Calibri"/>
          <w:sz w:val="22"/>
        </w:rPr>
        <w:t>7</w:t>
      </w:r>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276" w:lineRule="auto"/>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276" w:lineRule="auto"/>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276" w:lineRule="auto"/>
        <w:ind w:firstLine="440"/>
        <w:rPr>
          <w:rFonts w:ascii="宋体" w:hAnsi="宋体" w:cs="Calibri"/>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8.重新招标和不再招标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8.1 重新招标</w:t>
      </w:r>
    </w:p>
    <w:p>
      <w:pPr>
        <w:adjustRightInd w:val="0"/>
        <w:snapToGrid w:val="0"/>
        <w:spacing w:line="276" w:lineRule="auto"/>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276" w:lineRule="auto"/>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276" w:lineRule="auto"/>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276" w:lineRule="auto"/>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8.2 不再招标</w:t>
      </w:r>
    </w:p>
    <w:p>
      <w:pPr>
        <w:adjustRightInd w:val="0"/>
        <w:snapToGrid w:val="0"/>
        <w:spacing w:line="276" w:lineRule="auto"/>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9.纪律和监督</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9.1 对招标人的纪律要求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9.2 对投标人的纪律要求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276" w:lineRule="auto"/>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9.3 对评标委员会成员的纪律要求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9.4 对评标活动有关的工作人员的纪律要求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9.5 投诉</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10. 需要补充的其他内容</w:t>
      </w:r>
    </w:p>
    <w:p>
      <w:pPr>
        <w:autoSpaceDE w:val="0"/>
        <w:autoSpaceDN w:val="0"/>
        <w:adjustRightInd w:val="0"/>
        <w:snapToGrid w:val="0"/>
        <w:spacing w:line="276" w:lineRule="auto"/>
        <w:ind w:firstLine="440"/>
        <w:jc w:val="left"/>
        <w:rPr>
          <w:rFonts w:ascii="宋体" w:hAnsi="宋体" w:cs="Calibri"/>
          <w:sz w:val="22"/>
        </w:rPr>
      </w:pPr>
      <w:r>
        <w:rPr>
          <w:rFonts w:ascii="宋体" w:hAnsi="宋体" w:cs="Calibri"/>
          <w:color w:val="000000"/>
          <w:sz w:val="22"/>
        </w:rPr>
        <w:t>需要补充的其他内容：见投标人须知前附表。</w:t>
      </w:r>
      <w:bookmarkEnd w:id="41"/>
      <w:bookmarkEnd w:id="42"/>
    </w:p>
    <w:p>
      <w:pPr>
        <w:autoSpaceDE w:val="0"/>
        <w:autoSpaceDN w:val="0"/>
        <w:adjustRightInd w:val="0"/>
        <w:snapToGrid w:val="0"/>
        <w:spacing w:line="360" w:lineRule="exact"/>
        <w:rPr>
          <w:rFonts w:ascii="宋体" w:hAnsi="宋体"/>
          <w:sz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2"/>
        <w:spacing w:before="0" w:after="0" w:line="360" w:lineRule="auto"/>
        <w:jc w:val="center"/>
        <w:rPr>
          <w:rFonts w:ascii="Calibri" w:hAnsi="Calibri" w:eastAsia="黑体" w:cs="Calibri"/>
          <w:kern w:val="0"/>
          <w:sz w:val="32"/>
        </w:rPr>
      </w:pPr>
      <w:bookmarkStart w:id="43" w:name="_Toc223327527"/>
      <w:bookmarkStart w:id="44" w:name="_Toc213036227"/>
      <w:bookmarkStart w:id="45" w:name="_Toc27483"/>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章</w:t>
      </w:r>
      <w:bookmarkEnd w:id="43"/>
      <w:bookmarkEnd w:id="44"/>
      <w:r>
        <w:rPr>
          <w:rFonts w:hint="eastAsia" w:ascii="Calibri" w:hAnsi="Calibri" w:eastAsia="黑体" w:cs="Calibri"/>
          <w:kern w:val="0"/>
          <w:sz w:val="32"/>
        </w:rPr>
        <w:t xml:space="preserve"> 采购内容、技术标准及要求</w:t>
      </w:r>
      <w:bookmarkEnd w:id="45"/>
    </w:p>
    <w:p>
      <w:pPr>
        <w:widowControl/>
        <w:jc w:val="left"/>
        <w:rPr>
          <w:rFonts w:ascii="宋体" w:hAnsi="宋体" w:cs="Calibri"/>
          <w:b/>
          <w:kern w:val="0"/>
          <w:sz w:val="22"/>
        </w:rPr>
      </w:pPr>
      <w:r>
        <w:rPr>
          <w:rFonts w:hint="eastAsia" w:ascii="宋体" w:hAnsi="宋体" w:cs="Calibri"/>
          <w:b/>
          <w:kern w:val="0"/>
          <w:sz w:val="22"/>
        </w:rPr>
        <w:t>一、采购内容</w:t>
      </w:r>
    </w:p>
    <w:tbl>
      <w:tblPr>
        <w:tblStyle w:val="53"/>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1505"/>
        <w:gridCol w:w="527"/>
        <w:gridCol w:w="580"/>
        <w:gridCol w:w="3014"/>
        <w:gridCol w:w="1700"/>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436" w:type="dxa"/>
            <w:vAlign w:val="center"/>
          </w:tcPr>
          <w:p>
            <w:pPr>
              <w:adjustRightInd w:val="0"/>
              <w:snapToGrid w:val="0"/>
              <w:jc w:val="center"/>
              <w:rPr>
                <w:rFonts w:ascii="宋体" w:hAnsi="宋体"/>
                <w:caps/>
                <w:sz w:val="22"/>
              </w:rPr>
            </w:pPr>
            <w:r>
              <w:rPr>
                <w:rFonts w:hint="eastAsia" w:ascii="宋体" w:hAnsi="宋体"/>
                <w:caps/>
                <w:sz w:val="22"/>
              </w:rPr>
              <w:t>序号</w:t>
            </w:r>
          </w:p>
        </w:tc>
        <w:tc>
          <w:tcPr>
            <w:tcW w:w="1505" w:type="dxa"/>
            <w:vAlign w:val="center"/>
          </w:tcPr>
          <w:p>
            <w:pPr>
              <w:adjustRightInd w:val="0"/>
              <w:snapToGrid w:val="0"/>
              <w:jc w:val="center"/>
              <w:rPr>
                <w:rFonts w:ascii="宋体" w:hAnsi="宋体"/>
                <w:caps/>
                <w:sz w:val="22"/>
              </w:rPr>
            </w:pPr>
            <w:r>
              <w:rPr>
                <w:rFonts w:ascii="宋体" w:hAnsi="宋体"/>
                <w:caps/>
                <w:sz w:val="22"/>
              </w:rPr>
              <w:t>货物名称</w:t>
            </w:r>
          </w:p>
        </w:tc>
        <w:tc>
          <w:tcPr>
            <w:tcW w:w="527" w:type="dxa"/>
            <w:vAlign w:val="center"/>
          </w:tcPr>
          <w:p>
            <w:pPr>
              <w:adjustRightInd w:val="0"/>
              <w:snapToGrid w:val="0"/>
              <w:jc w:val="center"/>
              <w:rPr>
                <w:rFonts w:ascii="宋体" w:hAnsi="宋体"/>
                <w:caps/>
                <w:sz w:val="22"/>
              </w:rPr>
            </w:pPr>
            <w:r>
              <w:rPr>
                <w:rFonts w:ascii="宋体" w:hAnsi="宋体"/>
                <w:caps/>
                <w:sz w:val="22"/>
              </w:rPr>
              <w:t>数 量</w:t>
            </w:r>
          </w:p>
        </w:tc>
        <w:tc>
          <w:tcPr>
            <w:tcW w:w="580" w:type="dxa"/>
            <w:vAlign w:val="center"/>
          </w:tcPr>
          <w:p>
            <w:pPr>
              <w:adjustRightInd w:val="0"/>
              <w:snapToGrid w:val="0"/>
              <w:jc w:val="center"/>
              <w:rPr>
                <w:rFonts w:ascii="宋体" w:hAnsi="宋体"/>
                <w:caps/>
                <w:sz w:val="22"/>
              </w:rPr>
            </w:pPr>
            <w:r>
              <w:rPr>
                <w:rFonts w:hint="eastAsia" w:ascii="宋体" w:hAnsi="宋体"/>
                <w:caps/>
                <w:sz w:val="22"/>
              </w:rPr>
              <w:t>单位</w:t>
            </w:r>
          </w:p>
        </w:tc>
        <w:tc>
          <w:tcPr>
            <w:tcW w:w="3014" w:type="dxa"/>
            <w:vAlign w:val="center"/>
          </w:tcPr>
          <w:p>
            <w:pPr>
              <w:adjustRightInd w:val="0"/>
              <w:snapToGrid w:val="0"/>
              <w:jc w:val="center"/>
              <w:rPr>
                <w:rFonts w:hint="eastAsia" w:ascii="宋体" w:hAnsi="宋体"/>
                <w:caps/>
                <w:sz w:val="22"/>
              </w:rPr>
            </w:pPr>
            <w:r>
              <w:rPr>
                <w:rFonts w:hint="eastAsia" w:ascii="宋体" w:hAnsi="宋体"/>
                <w:caps/>
                <w:sz w:val="22"/>
              </w:rPr>
              <w:t>主要</w:t>
            </w:r>
            <w:r>
              <w:rPr>
                <w:rFonts w:ascii="宋体" w:hAnsi="宋体"/>
                <w:caps/>
                <w:sz w:val="22"/>
              </w:rPr>
              <w:t>技术要求</w:t>
            </w:r>
          </w:p>
        </w:tc>
        <w:tc>
          <w:tcPr>
            <w:tcW w:w="1700" w:type="dxa"/>
            <w:vAlign w:val="center"/>
          </w:tcPr>
          <w:p>
            <w:pPr>
              <w:adjustRightInd w:val="0"/>
              <w:snapToGrid w:val="0"/>
              <w:jc w:val="center"/>
              <w:rPr>
                <w:rFonts w:hint="eastAsia" w:ascii="宋体" w:hAnsi="宋体"/>
                <w:caps/>
                <w:sz w:val="22"/>
              </w:rPr>
            </w:pPr>
            <w:r>
              <w:rPr>
                <w:rFonts w:hint="eastAsia" w:ascii="宋体" w:hAnsi="宋体"/>
                <w:caps/>
                <w:sz w:val="22"/>
              </w:rPr>
              <w:t>交货期</w:t>
            </w:r>
          </w:p>
        </w:tc>
        <w:tc>
          <w:tcPr>
            <w:tcW w:w="1866" w:type="dxa"/>
            <w:vAlign w:val="center"/>
          </w:tcPr>
          <w:p>
            <w:pPr>
              <w:adjustRightInd w:val="0"/>
              <w:snapToGrid w:val="0"/>
              <w:jc w:val="center"/>
              <w:rPr>
                <w:rFonts w:hint="eastAsia" w:ascii="宋体" w:hAnsi="宋体"/>
                <w:caps/>
                <w:sz w:val="22"/>
              </w:rPr>
            </w:pPr>
            <w:r>
              <w:rPr>
                <w:rFonts w:hint="eastAsia" w:ascii="宋体" w:hAnsi="宋体"/>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436" w:type="dxa"/>
            <w:vAlign w:val="center"/>
          </w:tcPr>
          <w:p>
            <w:pPr>
              <w:snapToGrid w:val="0"/>
              <w:jc w:val="center"/>
              <w:rPr>
                <w:rFonts w:ascii="宋体" w:hAnsi="宋体"/>
                <w:sz w:val="22"/>
              </w:rPr>
            </w:pPr>
            <w:r>
              <w:rPr>
                <w:rFonts w:hint="eastAsia" w:ascii="宋体" w:hAnsi="宋体"/>
                <w:sz w:val="22"/>
              </w:rPr>
              <w:t>1</w:t>
            </w:r>
          </w:p>
        </w:tc>
        <w:tc>
          <w:tcPr>
            <w:tcW w:w="1505" w:type="dxa"/>
            <w:vAlign w:val="center"/>
          </w:tcPr>
          <w:p>
            <w:pPr>
              <w:snapToGrid w:val="0"/>
              <w:jc w:val="center"/>
              <w:rPr>
                <w:rFonts w:ascii="宋体" w:hAnsi="宋体"/>
                <w:sz w:val="22"/>
              </w:rPr>
            </w:pPr>
            <w:r>
              <w:rPr>
                <w:rFonts w:hint="eastAsia" w:ascii="宋体" w:hAnsi="宋体"/>
                <w:sz w:val="22"/>
              </w:rPr>
              <w:t>混音台</w:t>
            </w:r>
          </w:p>
        </w:tc>
        <w:tc>
          <w:tcPr>
            <w:tcW w:w="527" w:type="dxa"/>
            <w:vAlign w:val="center"/>
          </w:tcPr>
          <w:p>
            <w:pPr>
              <w:snapToGrid w:val="0"/>
              <w:jc w:val="center"/>
              <w:rPr>
                <w:rFonts w:ascii="宋体" w:hAnsi="宋体"/>
                <w:sz w:val="22"/>
              </w:rPr>
            </w:pPr>
            <w:r>
              <w:rPr>
                <w:rFonts w:hint="eastAsia" w:ascii="宋体" w:hAnsi="宋体"/>
                <w:sz w:val="22"/>
              </w:rPr>
              <w:t>3</w:t>
            </w:r>
          </w:p>
        </w:tc>
        <w:tc>
          <w:tcPr>
            <w:tcW w:w="580" w:type="dxa"/>
            <w:vAlign w:val="center"/>
          </w:tcPr>
          <w:p>
            <w:pPr>
              <w:snapToGrid w:val="0"/>
              <w:jc w:val="center"/>
              <w:rPr>
                <w:rFonts w:ascii="宋体" w:hAnsi="宋体"/>
                <w:sz w:val="22"/>
              </w:rPr>
            </w:pPr>
            <w:r>
              <w:rPr>
                <w:rFonts w:hint="eastAsia" w:ascii="宋体" w:hAnsi="宋体"/>
                <w:sz w:val="22"/>
              </w:rPr>
              <w:t>台</w:t>
            </w:r>
          </w:p>
        </w:tc>
        <w:tc>
          <w:tcPr>
            <w:tcW w:w="3014" w:type="dxa"/>
          </w:tcPr>
          <w:p>
            <w:pPr>
              <w:pStyle w:val="9"/>
              <w:snapToGrid w:val="0"/>
              <w:rPr>
                <w:rFonts w:ascii="宋体" w:hAnsi="宋体"/>
                <w:sz w:val="22"/>
              </w:rPr>
            </w:pPr>
          </w:p>
        </w:tc>
        <w:tc>
          <w:tcPr>
            <w:tcW w:w="1700" w:type="dxa"/>
            <w:vMerge w:val="restart"/>
            <w:vAlign w:val="center"/>
          </w:tcPr>
          <w:p>
            <w:pPr>
              <w:pStyle w:val="9"/>
              <w:snapToGrid w:val="0"/>
              <w:jc w:val="center"/>
              <w:rPr>
                <w:rFonts w:ascii="宋体" w:hAnsi="宋体"/>
                <w:sz w:val="22"/>
              </w:rPr>
            </w:pPr>
            <w:r>
              <w:rPr>
                <w:rFonts w:hint="eastAsia" w:ascii="宋体" w:hAnsi="宋体"/>
                <w:sz w:val="22"/>
              </w:rPr>
              <w:t>合同签订后  30 日历天内（含安装调试）。</w:t>
            </w:r>
          </w:p>
        </w:tc>
        <w:tc>
          <w:tcPr>
            <w:tcW w:w="1866" w:type="dxa"/>
            <w:vMerge w:val="restart"/>
            <w:vAlign w:val="center"/>
          </w:tcPr>
          <w:p>
            <w:pPr>
              <w:pStyle w:val="9"/>
              <w:snapToGrid w:val="0"/>
              <w:jc w:val="center"/>
              <w:rPr>
                <w:rFonts w:hint="eastAsia" w:ascii="宋体" w:hAnsi="宋体"/>
                <w:sz w:val="22"/>
              </w:rPr>
            </w:pPr>
            <w:r>
              <w:rPr>
                <w:rFonts w:hint="eastAsia" w:ascii="宋体" w:hAnsi="宋体"/>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436" w:type="dxa"/>
            <w:vAlign w:val="center"/>
          </w:tcPr>
          <w:p>
            <w:pPr>
              <w:snapToGrid w:val="0"/>
              <w:jc w:val="center"/>
              <w:rPr>
                <w:rFonts w:ascii="宋体" w:hAnsi="宋体"/>
                <w:sz w:val="22"/>
              </w:rPr>
            </w:pPr>
            <w:r>
              <w:rPr>
                <w:rFonts w:hint="eastAsia" w:ascii="宋体" w:hAnsi="宋体"/>
                <w:sz w:val="22"/>
              </w:rPr>
              <w:t>2</w:t>
            </w:r>
          </w:p>
        </w:tc>
        <w:tc>
          <w:tcPr>
            <w:tcW w:w="1505" w:type="dxa"/>
            <w:vAlign w:val="center"/>
          </w:tcPr>
          <w:p>
            <w:pPr>
              <w:snapToGrid w:val="0"/>
              <w:jc w:val="center"/>
              <w:rPr>
                <w:rFonts w:ascii="宋体" w:hAnsi="宋体"/>
                <w:sz w:val="22"/>
              </w:rPr>
            </w:pPr>
            <w:r>
              <w:rPr>
                <w:rFonts w:hint="eastAsia" w:ascii="宋体" w:hAnsi="宋体"/>
                <w:sz w:val="22"/>
              </w:rPr>
              <w:t>投影机</w:t>
            </w:r>
          </w:p>
        </w:tc>
        <w:tc>
          <w:tcPr>
            <w:tcW w:w="527" w:type="dxa"/>
            <w:vAlign w:val="center"/>
          </w:tcPr>
          <w:p>
            <w:pPr>
              <w:snapToGrid w:val="0"/>
              <w:jc w:val="center"/>
              <w:rPr>
                <w:rFonts w:ascii="宋体" w:hAnsi="宋体"/>
                <w:sz w:val="22"/>
              </w:rPr>
            </w:pPr>
            <w:r>
              <w:rPr>
                <w:rFonts w:hint="eastAsia" w:ascii="宋体" w:hAnsi="宋体"/>
                <w:sz w:val="22"/>
              </w:rPr>
              <w:t>2</w:t>
            </w:r>
          </w:p>
        </w:tc>
        <w:tc>
          <w:tcPr>
            <w:tcW w:w="580" w:type="dxa"/>
            <w:vAlign w:val="center"/>
          </w:tcPr>
          <w:p>
            <w:pPr>
              <w:snapToGrid w:val="0"/>
              <w:jc w:val="center"/>
              <w:rPr>
                <w:rFonts w:ascii="宋体" w:hAnsi="宋体"/>
                <w:sz w:val="22"/>
              </w:rPr>
            </w:pPr>
            <w:r>
              <w:rPr>
                <w:rFonts w:hint="eastAsia" w:ascii="宋体" w:hAnsi="宋体"/>
                <w:sz w:val="22"/>
              </w:rPr>
              <w:t>台</w:t>
            </w:r>
          </w:p>
        </w:tc>
        <w:tc>
          <w:tcPr>
            <w:tcW w:w="3014" w:type="dxa"/>
          </w:tcPr>
          <w:p>
            <w:pPr>
              <w:pStyle w:val="9"/>
              <w:snapToGrid w:val="0"/>
              <w:rPr>
                <w:rFonts w:ascii="宋体" w:hAnsi="宋体"/>
                <w:sz w:val="22"/>
              </w:rPr>
            </w:pPr>
            <w:r>
              <w:rPr>
                <w:rFonts w:hint="eastAsia" w:ascii="宋体" w:hAnsi="宋体" w:cs="Arial"/>
                <w:sz w:val="22"/>
              </w:rPr>
              <w:t>幕布大小为120英寸，比例为4：3，投影机到幕布距离为4.5米</w:t>
            </w:r>
          </w:p>
        </w:tc>
        <w:tc>
          <w:tcPr>
            <w:tcW w:w="1700" w:type="dxa"/>
            <w:vMerge w:val="continue"/>
            <w:vAlign w:val="center"/>
          </w:tcPr>
          <w:p>
            <w:pPr>
              <w:pStyle w:val="9"/>
              <w:snapToGrid w:val="0"/>
              <w:jc w:val="center"/>
              <w:rPr>
                <w:rFonts w:hint="eastAsia" w:ascii="宋体" w:hAnsi="宋体" w:cs="Arial"/>
                <w:sz w:val="22"/>
              </w:rPr>
            </w:pPr>
          </w:p>
        </w:tc>
        <w:tc>
          <w:tcPr>
            <w:tcW w:w="1866" w:type="dxa"/>
            <w:vMerge w:val="continue"/>
            <w:vAlign w:val="center"/>
          </w:tcPr>
          <w:p>
            <w:pPr>
              <w:pStyle w:val="9"/>
              <w:snapToGrid w:val="0"/>
              <w:jc w:val="center"/>
              <w:rPr>
                <w:rFonts w:hint="eastAsia" w:ascii="宋体" w:hAnsi="宋体" w:cs="Arial"/>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436" w:type="dxa"/>
            <w:vAlign w:val="center"/>
          </w:tcPr>
          <w:p>
            <w:pPr>
              <w:snapToGrid w:val="0"/>
              <w:jc w:val="center"/>
              <w:rPr>
                <w:rFonts w:ascii="宋体" w:hAnsi="宋体"/>
                <w:sz w:val="22"/>
              </w:rPr>
            </w:pPr>
            <w:r>
              <w:rPr>
                <w:rFonts w:hint="eastAsia" w:ascii="宋体" w:hAnsi="宋体"/>
                <w:sz w:val="22"/>
              </w:rPr>
              <w:t>3</w:t>
            </w:r>
          </w:p>
        </w:tc>
        <w:tc>
          <w:tcPr>
            <w:tcW w:w="1505" w:type="dxa"/>
            <w:vAlign w:val="center"/>
          </w:tcPr>
          <w:p>
            <w:pPr>
              <w:snapToGrid w:val="0"/>
              <w:jc w:val="center"/>
              <w:rPr>
                <w:rFonts w:ascii="宋体" w:hAnsi="宋体"/>
                <w:sz w:val="22"/>
              </w:rPr>
            </w:pPr>
            <w:r>
              <w:rPr>
                <w:rFonts w:hint="eastAsia" w:ascii="宋体" w:hAnsi="宋体"/>
                <w:sz w:val="22"/>
              </w:rPr>
              <w:t>录播器</w:t>
            </w:r>
          </w:p>
        </w:tc>
        <w:tc>
          <w:tcPr>
            <w:tcW w:w="527" w:type="dxa"/>
            <w:vAlign w:val="center"/>
          </w:tcPr>
          <w:p>
            <w:pPr>
              <w:snapToGrid w:val="0"/>
              <w:jc w:val="center"/>
              <w:rPr>
                <w:rFonts w:ascii="宋体" w:hAnsi="宋体"/>
                <w:sz w:val="22"/>
              </w:rPr>
            </w:pPr>
            <w:r>
              <w:rPr>
                <w:rFonts w:hint="eastAsia" w:ascii="宋体" w:hAnsi="宋体"/>
                <w:sz w:val="22"/>
              </w:rPr>
              <w:t>1</w:t>
            </w:r>
          </w:p>
        </w:tc>
        <w:tc>
          <w:tcPr>
            <w:tcW w:w="580" w:type="dxa"/>
            <w:vAlign w:val="center"/>
          </w:tcPr>
          <w:p>
            <w:pPr>
              <w:snapToGrid w:val="0"/>
              <w:jc w:val="center"/>
              <w:rPr>
                <w:rFonts w:ascii="宋体" w:hAnsi="宋体"/>
                <w:sz w:val="22"/>
              </w:rPr>
            </w:pPr>
            <w:r>
              <w:rPr>
                <w:rFonts w:hint="eastAsia" w:ascii="宋体" w:hAnsi="宋体"/>
                <w:sz w:val="22"/>
              </w:rPr>
              <w:t>台</w:t>
            </w:r>
          </w:p>
        </w:tc>
        <w:tc>
          <w:tcPr>
            <w:tcW w:w="3014" w:type="dxa"/>
          </w:tcPr>
          <w:p>
            <w:pPr>
              <w:pStyle w:val="9"/>
              <w:snapToGrid w:val="0"/>
              <w:rPr>
                <w:rFonts w:ascii="宋体" w:hAnsi="宋体"/>
                <w:b/>
                <w:bCs/>
                <w:sz w:val="22"/>
              </w:rPr>
            </w:pPr>
            <w:r>
              <w:rPr>
                <w:rFonts w:hint="eastAsia" w:ascii="宋体" w:hAnsi="宋体"/>
                <w:sz w:val="22"/>
              </w:rPr>
              <w:t>接入会议室现有的视频信号和音频信号</w:t>
            </w:r>
          </w:p>
        </w:tc>
        <w:tc>
          <w:tcPr>
            <w:tcW w:w="1700" w:type="dxa"/>
            <w:vMerge w:val="continue"/>
            <w:vAlign w:val="center"/>
          </w:tcPr>
          <w:p>
            <w:pPr>
              <w:pStyle w:val="9"/>
              <w:snapToGrid w:val="0"/>
              <w:jc w:val="center"/>
              <w:rPr>
                <w:rFonts w:hint="eastAsia" w:ascii="宋体" w:hAnsi="宋体"/>
                <w:sz w:val="22"/>
              </w:rPr>
            </w:pPr>
          </w:p>
        </w:tc>
        <w:tc>
          <w:tcPr>
            <w:tcW w:w="1866" w:type="dxa"/>
            <w:vMerge w:val="continue"/>
            <w:vAlign w:val="center"/>
          </w:tcPr>
          <w:p>
            <w:pPr>
              <w:pStyle w:val="9"/>
              <w:snapToGrid w:val="0"/>
              <w:jc w:val="center"/>
              <w:rPr>
                <w:rFonts w:hint="eastAsia"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436" w:type="dxa"/>
            <w:vAlign w:val="center"/>
          </w:tcPr>
          <w:p>
            <w:pPr>
              <w:snapToGrid w:val="0"/>
              <w:jc w:val="center"/>
              <w:rPr>
                <w:rFonts w:ascii="宋体" w:hAnsi="宋体"/>
                <w:sz w:val="22"/>
              </w:rPr>
            </w:pPr>
            <w:r>
              <w:rPr>
                <w:rFonts w:hint="eastAsia" w:ascii="宋体" w:hAnsi="宋体"/>
                <w:sz w:val="22"/>
              </w:rPr>
              <w:t>4</w:t>
            </w:r>
          </w:p>
        </w:tc>
        <w:tc>
          <w:tcPr>
            <w:tcW w:w="1505" w:type="dxa"/>
            <w:vAlign w:val="center"/>
          </w:tcPr>
          <w:p>
            <w:pPr>
              <w:snapToGrid w:val="0"/>
              <w:jc w:val="center"/>
              <w:rPr>
                <w:rFonts w:ascii="宋体" w:hAnsi="宋体"/>
                <w:sz w:val="22"/>
              </w:rPr>
            </w:pPr>
            <w:r>
              <w:rPr>
                <w:rFonts w:hint="eastAsia" w:ascii="宋体" w:hAnsi="宋体"/>
                <w:sz w:val="22"/>
              </w:rPr>
              <w:t>辅材</w:t>
            </w:r>
          </w:p>
        </w:tc>
        <w:tc>
          <w:tcPr>
            <w:tcW w:w="527" w:type="dxa"/>
            <w:vAlign w:val="center"/>
          </w:tcPr>
          <w:p>
            <w:pPr>
              <w:snapToGrid w:val="0"/>
              <w:jc w:val="center"/>
              <w:rPr>
                <w:rFonts w:ascii="宋体" w:hAnsi="宋体"/>
                <w:sz w:val="22"/>
              </w:rPr>
            </w:pPr>
            <w:r>
              <w:rPr>
                <w:rFonts w:hint="eastAsia" w:ascii="宋体" w:hAnsi="宋体"/>
                <w:sz w:val="22"/>
              </w:rPr>
              <w:t>1</w:t>
            </w:r>
          </w:p>
        </w:tc>
        <w:tc>
          <w:tcPr>
            <w:tcW w:w="580" w:type="dxa"/>
            <w:vAlign w:val="center"/>
          </w:tcPr>
          <w:p>
            <w:pPr>
              <w:snapToGrid w:val="0"/>
              <w:jc w:val="center"/>
              <w:rPr>
                <w:rFonts w:ascii="宋体" w:hAnsi="宋体"/>
                <w:sz w:val="22"/>
              </w:rPr>
            </w:pPr>
            <w:r>
              <w:rPr>
                <w:rFonts w:hint="eastAsia" w:ascii="宋体" w:hAnsi="宋体"/>
                <w:sz w:val="22"/>
              </w:rPr>
              <w:t>批</w:t>
            </w:r>
          </w:p>
        </w:tc>
        <w:tc>
          <w:tcPr>
            <w:tcW w:w="3014" w:type="dxa"/>
          </w:tcPr>
          <w:p>
            <w:pPr>
              <w:pStyle w:val="25"/>
              <w:spacing w:after="0" w:line="240" w:lineRule="auto"/>
              <w:ind w:left="0" w:leftChars="0"/>
              <w:jc w:val="left"/>
              <w:rPr>
                <w:rFonts w:ascii="宋体" w:hAnsi="宋体"/>
                <w:sz w:val="22"/>
              </w:rPr>
            </w:pPr>
            <w:r>
              <w:rPr>
                <w:rFonts w:hint="eastAsia" w:ascii="宋体" w:hAnsi="宋体" w:cs="Arial"/>
                <w:sz w:val="22"/>
                <w:szCs w:val="22"/>
              </w:rPr>
              <w:t>从信息楼七楼音控室到投影机敷设两根HDMI高清线，长度20米；音控室到云视讯摄像机（预留）敷设一根USB延长线，一根电源线，一根红外延长线，长度25米 ；高清线、电源线、延长线均走七楼吊顶。</w:t>
            </w:r>
          </w:p>
        </w:tc>
        <w:tc>
          <w:tcPr>
            <w:tcW w:w="1700" w:type="dxa"/>
            <w:vMerge w:val="continue"/>
            <w:vAlign w:val="center"/>
          </w:tcPr>
          <w:p>
            <w:pPr>
              <w:pStyle w:val="25"/>
              <w:spacing w:after="0" w:line="240" w:lineRule="auto"/>
              <w:ind w:left="0" w:leftChars="0"/>
              <w:jc w:val="center"/>
              <w:rPr>
                <w:rFonts w:hint="eastAsia" w:ascii="宋体" w:hAnsi="宋体" w:cs="Arial"/>
                <w:sz w:val="22"/>
                <w:szCs w:val="22"/>
              </w:rPr>
            </w:pPr>
          </w:p>
        </w:tc>
        <w:tc>
          <w:tcPr>
            <w:tcW w:w="1866" w:type="dxa"/>
            <w:vMerge w:val="continue"/>
            <w:vAlign w:val="center"/>
          </w:tcPr>
          <w:p>
            <w:pPr>
              <w:pStyle w:val="25"/>
              <w:spacing w:after="0" w:line="240" w:lineRule="auto"/>
              <w:ind w:left="0" w:leftChars="0"/>
              <w:jc w:val="center"/>
              <w:rPr>
                <w:rFonts w:hint="eastAsia" w:ascii="宋体" w:hAnsi="宋体" w:cs="Arial"/>
                <w:sz w:val="22"/>
                <w:szCs w:val="22"/>
              </w:rPr>
            </w:pPr>
          </w:p>
        </w:tc>
      </w:tr>
    </w:tbl>
    <w:p>
      <w:pPr>
        <w:pStyle w:val="25"/>
        <w:spacing w:after="0" w:line="240" w:lineRule="auto"/>
        <w:ind w:left="0" w:leftChars="0"/>
        <w:jc w:val="left"/>
        <w:rPr>
          <w:rFonts w:ascii="宋体" w:hAnsi="宋体" w:cs="Arial"/>
          <w:bCs/>
          <w:sz w:val="22"/>
          <w:szCs w:val="22"/>
        </w:rPr>
      </w:pPr>
      <w:r>
        <w:rPr>
          <w:rFonts w:hint="eastAsia" w:ascii="宋体" w:hAnsi="宋体" w:cs="Arial"/>
          <w:bCs/>
          <w:sz w:val="22"/>
          <w:szCs w:val="22"/>
        </w:rPr>
        <w:t>说明：1.报价时，投标人必须对表一中参数及相关条款作一一实质性响应，并详细列出响应的具体内容。投标人必须响应并承诺本招标文件中所附合同主要条款。</w:t>
      </w:r>
    </w:p>
    <w:p>
      <w:pPr>
        <w:pStyle w:val="25"/>
        <w:spacing w:after="0" w:line="240" w:lineRule="auto"/>
        <w:ind w:left="0" w:leftChars="0"/>
        <w:jc w:val="left"/>
        <w:rPr>
          <w:rFonts w:ascii="宋体" w:hAnsi="宋体" w:cs="Arial"/>
          <w:bCs/>
          <w:sz w:val="22"/>
          <w:szCs w:val="22"/>
        </w:rPr>
      </w:pPr>
      <w:r>
        <w:rPr>
          <w:rFonts w:hint="eastAsia" w:ascii="宋体" w:hAnsi="宋体" w:cs="Arial"/>
          <w:bCs/>
          <w:sz w:val="22"/>
          <w:szCs w:val="22"/>
        </w:rPr>
        <w:t>2.投标人报价畸低的，或者未能实质性响应采购需求的，或者响应不规范，内容不完整，表述含糊不清、不确切、有歧义，或者经核实所响应产品型号、参数与其原厂产品信息不相符，按照不完全响应或者完全不响应处理；伪造、变造证明材料，构成提供虚假材料的，招标人有权拒绝并提交相关监督部门处理。</w:t>
      </w:r>
    </w:p>
    <w:p>
      <w:pPr>
        <w:pStyle w:val="25"/>
        <w:spacing w:after="0" w:line="240" w:lineRule="auto"/>
        <w:ind w:left="0" w:leftChars="0"/>
        <w:jc w:val="left"/>
        <w:rPr>
          <w:rFonts w:ascii="宋体" w:hAnsi="宋体" w:cs="Arial"/>
          <w:b/>
          <w:bCs/>
          <w:sz w:val="22"/>
          <w:szCs w:val="22"/>
        </w:rPr>
      </w:pPr>
      <w:r>
        <w:rPr>
          <w:rFonts w:hint="eastAsia" w:ascii="宋体" w:hAnsi="宋体" w:cs="Arial"/>
          <w:sz w:val="22"/>
          <w:szCs w:val="22"/>
        </w:rPr>
        <w:t xml:space="preserve">      </w:t>
      </w:r>
    </w:p>
    <w:p>
      <w:pPr>
        <w:pStyle w:val="25"/>
        <w:spacing w:after="0" w:line="240" w:lineRule="auto"/>
        <w:ind w:left="0" w:leftChars="0"/>
        <w:jc w:val="left"/>
        <w:rPr>
          <w:rFonts w:ascii="宋体" w:hAnsi="宋体" w:cs="Arial"/>
          <w:b/>
          <w:bCs/>
          <w:sz w:val="22"/>
          <w:szCs w:val="22"/>
        </w:rPr>
      </w:pPr>
      <w:r>
        <w:rPr>
          <w:rFonts w:hint="eastAsia" w:ascii="宋体" w:hAnsi="宋体" w:cs="Arial"/>
          <w:b/>
          <w:bCs/>
          <w:sz w:val="22"/>
          <w:szCs w:val="22"/>
        </w:rPr>
        <w:t>二、技术规格</w:t>
      </w:r>
    </w:p>
    <w:p>
      <w:pPr>
        <w:pStyle w:val="25"/>
        <w:spacing w:after="0" w:line="240" w:lineRule="auto"/>
        <w:ind w:left="0" w:leftChars="0"/>
        <w:jc w:val="left"/>
        <w:rPr>
          <w:rFonts w:ascii="宋体" w:hAnsi="宋体" w:cs="Arial"/>
          <w:bCs/>
          <w:sz w:val="22"/>
          <w:szCs w:val="22"/>
        </w:rPr>
      </w:pPr>
      <w:r>
        <w:rPr>
          <w:rFonts w:hint="eastAsia" w:ascii="宋体" w:hAnsi="宋体" w:cs="Arial"/>
          <w:b/>
          <w:sz w:val="22"/>
          <w:szCs w:val="22"/>
        </w:rPr>
        <w:t>1、混音台</w:t>
      </w:r>
      <w:r>
        <w:rPr>
          <w:rFonts w:hint="eastAsia" w:ascii="宋体" w:hAnsi="宋体" w:cs="Arial"/>
          <w:bCs/>
          <w:sz w:val="22"/>
          <w:szCs w:val="22"/>
        </w:rPr>
        <w:tab/>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可接受品牌：CLOCK AUDIO</w:t>
      </w:r>
      <w:r>
        <w:rPr>
          <w:rFonts w:hint="eastAsia"/>
        </w:rPr>
        <w:t>、</w:t>
      </w:r>
      <w:r>
        <w:rPr>
          <w:rFonts w:hint="eastAsia" w:ascii="宋体" w:hAnsi="宋体" w:cs="Arial"/>
          <w:sz w:val="22"/>
          <w:szCs w:val="22"/>
        </w:rPr>
        <w:t>SHURE、Audio-Technica</w:t>
      </w:r>
      <w:r>
        <w:rPr>
          <w:rFonts w:ascii="宋体" w:hAnsi="宋体" w:cs="Arial"/>
          <w:sz w:val="22"/>
          <w:szCs w:val="22"/>
        </w:rPr>
        <w:t>或同档次及以上</w:t>
      </w:r>
    </w:p>
    <w:p>
      <w:pPr>
        <w:pStyle w:val="25"/>
        <w:spacing w:after="0" w:line="240" w:lineRule="auto"/>
        <w:ind w:left="0" w:leftChars="0"/>
        <w:jc w:val="left"/>
        <w:rPr>
          <w:rFonts w:ascii="宋体" w:hAnsi="宋体" w:cs="Arial"/>
          <w:sz w:val="22"/>
          <w:szCs w:val="22"/>
        </w:rPr>
      </w:pPr>
      <w:r>
        <w:rPr>
          <w:rFonts w:hint="eastAsia" w:ascii="宋体" w:hAnsi="宋体" w:cs="宋体"/>
          <w:sz w:val="22"/>
          <w:szCs w:val="22"/>
        </w:rPr>
        <w:t>★</w:t>
      </w:r>
      <w:r>
        <w:rPr>
          <w:rFonts w:hint="eastAsia" w:ascii="宋体" w:hAnsi="宋体" w:cs="Arial"/>
          <w:sz w:val="22"/>
          <w:szCs w:val="22"/>
        </w:rPr>
        <w:t>• 不少于8路输入通道；</w:t>
      </w:r>
    </w:p>
    <w:p>
      <w:pPr>
        <w:pStyle w:val="25"/>
        <w:spacing w:after="0" w:line="240" w:lineRule="auto"/>
        <w:ind w:left="0" w:leftChars="0"/>
        <w:jc w:val="left"/>
        <w:rPr>
          <w:rFonts w:ascii="宋体" w:hAnsi="宋体" w:cs="Arial"/>
          <w:sz w:val="22"/>
          <w:szCs w:val="22"/>
        </w:rPr>
      </w:pPr>
      <w:r>
        <w:rPr>
          <w:rFonts w:hint="eastAsia" w:ascii="宋体" w:hAnsi="宋体" w:cs="宋体"/>
          <w:sz w:val="22"/>
          <w:szCs w:val="22"/>
        </w:rPr>
        <w:t>★</w:t>
      </w:r>
      <w:r>
        <w:rPr>
          <w:rFonts w:hint="eastAsia" w:ascii="宋体" w:hAnsi="宋体" w:cs="Arial"/>
          <w:sz w:val="22"/>
          <w:szCs w:val="22"/>
        </w:rPr>
        <w:t>• 每个输入通道都有一个双频带均衡器；</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设备带中控控制接口；</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有锁定最后一个话筒功能可以维持环境噪音；</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频率响应不低于: 50 Hz-20KHZ；</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阻抗输入: 10 kΩ；</w:t>
      </w:r>
    </w:p>
    <w:p>
      <w:pPr>
        <w:pStyle w:val="25"/>
        <w:spacing w:after="0" w:line="240" w:lineRule="auto"/>
        <w:ind w:left="0" w:leftChars="0"/>
        <w:jc w:val="left"/>
        <w:rPr>
          <w:rFonts w:ascii="宋体" w:hAnsi="宋体" w:cs="Arial"/>
          <w:sz w:val="22"/>
          <w:szCs w:val="22"/>
        </w:rPr>
      </w:pPr>
    </w:p>
    <w:p>
      <w:pPr>
        <w:pStyle w:val="25"/>
        <w:spacing w:after="0" w:line="240" w:lineRule="auto"/>
        <w:ind w:left="0" w:leftChars="0"/>
        <w:jc w:val="left"/>
        <w:rPr>
          <w:rFonts w:ascii="宋体" w:hAnsi="宋体" w:cs="Arial"/>
          <w:b/>
          <w:sz w:val="22"/>
          <w:szCs w:val="22"/>
        </w:rPr>
      </w:pPr>
      <w:r>
        <w:rPr>
          <w:rFonts w:hint="eastAsia" w:ascii="宋体" w:hAnsi="宋体" w:cs="Arial"/>
          <w:b/>
          <w:sz w:val="22"/>
          <w:szCs w:val="22"/>
        </w:rPr>
        <w:t>2、投影机</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 可接受品牌：Panasonic、Barco、Christie</w:t>
      </w:r>
      <w:r>
        <w:rPr>
          <w:rFonts w:ascii="宋体" w:hAnsi="宋体" w:cs="Arial"/>
          <w:sz w:val="22"/>
          <w:szCs w:val="22"/>
        </w:rPr>
        <w:t>或同档次及以上</w:t>
      </w:r>
    </w:p>
    <w:p>
      <w:pPr>
        <w:pStyle w:val="25"/>
        <w:spacing w:after="0" w:line="240" w:lineRule="auto"/>
        <w:ind w:left="0" w:leftChars="0"/>
        <w:jc w:val="left"/>
        <w:rPr>
          <w:rFonts w:ascii="宋体" w:hAnsi="宋体" w:cs="Arial"/>
          <w:sz w:val="22"/>
          <w:szCs w:val="22"/>
        </w:rPr>
      </w:pPr>
      <w:r>
        <w:rPr>
          <w:rFonts w:hint="eastAsia" w:ascii="宋体" w:hAnsi="宋体" w:cs="宋体"/>
          <w:sz w:val="22"/>
          <w:szCs w:val="22"/>
        </w:rPr>
        <w:t>★</w:t>
      </w:r>
      <w:r>
        <w:rPr>
          <w:rFonts w:hint="eastAsia" w:ascii="宋体" w:hAnsi="宋体" w:cs="Arial"/>
          <w:sz w:val="22"/>
          <w:szCs w:val="22"/>
        </w:rPr>
        <w:t>•光源：激光</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•投影技术:3LCD，液晶板尺寸≥0.64英寸；</w:t>
      </w:r>
    </w:p>
    <w:p>
      <w:pPr>
        <w:pStyle w:val="25"/>
        <w:spacing w:after="0" w:line="240" w:lineRule="auto"/>
        <w:ind w:left="0" w:leftChars="0"/>
        <w:jc w:val="left"/>
        <w:rPr>
          <w:rFonts w:ascii="宋体" w:hAnsi="宋体" w:cs="Arial"/>
          <w:sz w:val="22"/>
          <w:szCs w:val="22"/>
        </w:rPr>
      </w:pPr>
      <w:r>
        <w:rPr>
          <w:rFonts w:hint="eastAsia" w:ascii="宋体" w:hAnsi="宋体" w:cs="宋体"/>
          <w:sz w:val="22"/>
          <w:szCs w:val="22"/>
        </w:rPr>
        <w:t>★</w:t>
      </w:r>
      <w:r>
        <w:rPr>
          <w:rFonts w:hint="eastAsia" w:ascii="宋体" w:hAnsi="宋体" w:cs="Arial"/>
          <w:sz w:val="22"/>
          <w:szCs w:val="22"/>
        </w:rPr>
        <w:t>•标准亮度≥5300流明中心亮度（ISO21118标准）；</w:t>
      </w:r>
    </w:p>
    <w:p>
      <w:pPr>
        <w:pStyle w:val="25"/>
        <w:spacing w:after="0" w:line="240" w:lineRule="auto"/>
        <w:ind w:left="0" w:leftChars="0"/>
        <w:jc w:val="left"/>
        <w:rPr>
          <w:rFonts w:ascii="宋体" w:hAnsi="宋体" w:cs="Arial"/>
          <w:sz w:val="22"/>
          <w:szCs w:val="22"/>
        </w:rPr>
      </w:pPr>
      <w:r>
        <w:rPr>
          <w:rFonts w:hint="eastAsia" w:ascii="宋体" w:hAnsi="宋体" w:cs="宋体"/>
          <w:sz w:val="22"/>
          <w:szCs w:val="22"/>
        </w:rPr>
        <w:t>★</w:t>
      </w:r>
      <w:r>
        <w:rPr>
          <w:rFonts w:hint="eastAsia" w:ascii="宋体" w:hAnsi="宋体" w:cs="Arial"/>
          <w:sz w:val="22"/>
          <w:szCs w:val="22"/>
        </w:rPr>
        <w:t>•对比度≥3000000：1；</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•标准分辨率≥1920*1200（WUXGA）；</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•整机功耗≤365W，节能模式下待机功耗≤0.4W；</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•光源使用周期≥20000小时，过滤网使用周期长达20000小时；</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•镜头：手动变焦≥1.6倍，投射比：1.09-1.77:1；</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•光轴移动：垂直位移≥+44%；水平位移≥±20%；</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•内置扬声器≥10W；</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•接口：RGB IN*2，RGB OUT *1（电脑2共用），HDMI*2，RJ45*1，RS-232C*1，VIDEO*1，音频输入*3，音频输出*1，USB A*1（用于记忆浏览、无线投影），DIGIAL LINK*1；</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•具有垂直±25°、水平±35°梯形校正功能，四角梯形校正功能；</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•曲面校正功能，可以对投影到曲面屏幕上出现的桶状和枕状变形进行调节；</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•强光感应功能，投影机内置光线传感器可以实时测量房间亮度，并实时调节投影图像的色调和亮度，以适应周围照明条件；</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•支持DIGITAL LINK和4K信号输入；</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•自动输入信号搜索；</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•快速开机，直接关机、断电保护；</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•彩色版和黑板模式，可在不同颜色墙体/幕布进行投影功能；</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•记忆卡浏览功能；</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•快门功能；</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•支持360°全向投影（正投、吊装、背投、竖投、斜投、侧投）；</w:t>
      </w:r>
    </w:p>
    <w:p>
      <w:pPr>
        <w:pStyle w:val="25"/>
        <w:spacing w:after="0" w:line="240" w:lineRule="auto"/>
        <w:ind w:left="0" w:leftChars="0"/>
        <w:jc w:val="left"/>
        <w:rPr>
          <w:rFonts w:ascii="宋体" w:hAnsi="宋体" w:cs="Arial"/>
          <w:sz w:val="22"/>
          <w:szCs w:val="22"/>
        </w:rPr>
      </w:pPr>
    </w:p>
    <w:p>
      <w:pPr>
        <w:pStyle w:val="25"/>
        <w:spacing w:after="0" w:line="240" w:lineRule="auto"/>
        <w:ind w:left="0" w:leftChars="0"/>
        <w:jc w:val="left"/>
        <w:rPr>
          <w:rFonts w:ascii="宋体" w:hAnsi="宋体" w:cs="Arial"/>
          <w:b/>
          <w:sz w:val="22"/>
          <w:szCs w:val="22"/>
        </w:rPr>
      </w:pPr>
      <w:r>
        <w:rPr>
          <w:rFonts w:hint="eastAsia" w:ascii="宋体" w:hAnsi="宋体" w:cs="Arial"/>
          <w:b/>
          <w:sz w:val="22"/>
          <w:szCs w:val="22"/>
        </w:rPr>
        <w:t>3、录播器</w:t>
      </w:r>
    </w:p>
    <w:p>
      <w:pPr>
        <w:pStyle w:val="25"/>
        <w:spacing w:after="0" w:line="240" w:lineRule="auto"/>
        <w:ind w:left="0" w:leftChars="0"/>
        <w:jc w:val="left"/>
        <w:rPr>
          <w:rFonts w:ascii="宋体" w:hAnsi="宋体" w:cs="Arial"/>
          <w:b/>
          <w:sz w:val="22"/>
          <w:szCs w:val="22"/>
        </w:rPr>
      </w:pPr>
      <w:r>
        <w:rPr>
          <w:rFonts w:hint="eastAsia" w:ascii="宋体" w:hAnsi="宋体" w:cs="Arial"/>
          <w:sz w:val="22"/>
          <w:szCs w:val="22"/>
        </w:rPr>
        <w:t>• 可接受品牌：Reach、Polycom、Realtronix</w:t>
      </w:r>
      <w:r>
        <w:rPr>
          <w:rFonts w:ascii="宋体" w:hAnsi="宋体" w:cs="Arial"/>
          <w:sz w:val="22"/>
          <w:szCs w:val="22"/>
        </w:rPr>
        <w:t>或同档次及以上</w:t>
      </w:r>
    </w:p>
    <w:p>
      <w:pPr>
        <w:pStyle w:val="25"/>
        <w:spacing w:after="0" w:line="240" w:lineRule="auto"/>
        <w:ind w:left="0" w:leftChars="0"/>
        <w:jc w:val="left"/>
        <w:rPr>
          <w:rFonts w:ascii="宋体" w:hAnsi="宋体" w:cs="Arial"/>
          <w:bCs/>
          <w:sz w:val="22"/>
          <w:szCs w:val="22"/>
        </w:rPr>
      </w:pPr>
      <w:r>
        <w:rPr>
          <w:rFonts w:hint="eastAsia" w:ascii="宋体" w:hAnsi="宋体" w:cs="宋体"/>
          <w:sz w:val="22"/>
          <w:szCs w:val="22"/>
        </w:rPr>
        <w:t>★</w:t>
      </w:r>
      <w:r>
        <w:rPr>
          <w:rFonts w:hint="eastAsia" w:ascii="宋体" w:hAnsi="宋体" w:cs="Arial"/>
          <w:sz w:val="22"/>
          <w:szCs w:val="22"/>
        </w:rPr>
        <w:t xml:space="preserve">• </w:t>
      </w:r>
      <w:r>
        <w:rPr>
          <w:rFonts w:ascii="宋体" w:hAnsi="宋体" w:cs="Arial"/>
          <w:bCs/>
          <w:sz w:val="22"/>
          <w:szCs w:val="22"/>
        </w:rPr>
        <w:t>不少于3路DVI输入接口，每路支持1080P高清；</w:t>
      </w:r>
    </w:p>
    <w:p>
      <w:pPr>
        <w:pStyle w:val="25"/>
        <w:spacing w:after="0" w:line="240" w:lineRule="auto"/>
        <w:ind w:left="0" w:leftChars="0"/>
        <w:jc w:val="left"/>
        <w:rPr>
          <w:rFonts w:ascii="宋体" w:hAnsi="宋体" w:cs="Arial"/>
          <w:bCs/>
          <w:sz w:val="22"/>
          <w:szCs w:val="22"/>
        </w:rPr>
      </w:pPr>
      <w:r>
        <w:rPr>
          <w:rFonts w:hint="eastAsia" w:ascii="宋体" w:hAnsi="宋体" w:cs="Arial"/>
          <w:bCs/>
          <w:sz w:val="22"/>
          <w:szCs w:val="22"/>
        </w:rPr>
        <w:t>• 至少</w:t>
      </w:r>
      <w:r>
        <w:rPr>
          <w:rFonts w:ascii="宋体" w:hAnsi="宋体" w:cs="Arial"/>
          <w:bCs/>
          <w:sz w:val="22"/>
          <w:szCs w:val="22"/>
        </w:rPr>
        <w:t>支持3路画面合成录制</w:t>
      </w:r>
      <w:r>
        <w:rPr>
          <w:rFonts w:hint="eastAsia" w:ascii="宋体" w:hAnsi="宋体" w:cs="Arial"/>
          <w:bCs/>
          <w:sz w:val="22"/>
          <w:szCs w:val="22"/>
        </w:rPr>
        <w:t>，</w:t>
      </w:r>
      <w:r>
        <w:rPr>
          <w:rFonts w:ascii="宋体" w:hAnsi="宋体" w:cs="Arial"/>
          <w:bCs/>
          <w:sz w:val="22"/>
          <w:szCs w:val="22"/>
        </w:rPr>
        <w:t>支持</w:t>
      </w:r>
      <w:r>
        <w:rPr>
          <w:rFonts w:hint="eastAsia" w:ascii="宋体" w:hAnsi="宋体" w:cs="Arial"/>
          <w:bCs/>
          <w:sz w:val="22"/>
          <w:szCs w:val="22"/>
        </w:rPr>
        <w:t>至少</w:t>
      </w:r>
      <w:r>
        <w:rPr>
          <w:rFonts w:ascii="宋体" w:hAnsi="宋体" w:cs="Arial"/>
          <w:bCs/>
          <w:sz w:val="22"/>
          <w:szCs w:val="22"/>
        </w:rPr>
        <w:t>5点RTSP直播</w:t>
      </w:r>
      <w:r>
        <w:rPr>
          <w:rFonts w:hint="eastAsia" w:ascii="宋体" w:hAnsi="宋体" w:cs="Arial"/>
          <w:bCs/>
          <w:sz w:val="22"/>
          <w:szCs w:val="22"/>
        </w:rPr>
        <w:t>；</w:t>
      </w:r>
    </w:p>
    <w:p>
      <w:pPr>
        <w:pStyle w:val="25"/>
        <w:spacing w:after="0" w:line="240" w:lineRule="auto"/>
        <w:ind w:left="0" w:leftChars="0"/>
        <w:jc w:val="left"/>
        <w:rPr>
          <w:rFonts w:ascii="宋体" w:hAnsi="宋体" w:cs="Arial"/>
          <w:bCs/>
          <w:sz w:val="22"/>
          <w:szCs w:val="22"/>
        </w:rPr>
      </w:pPr>
      <w:r>
        <w:rPr>
          <w:rFonts w:hint="eastAsia" w:ascii="宋体" w:hAnsi="宋体" w:cs="Arial"/>
          <w:sz w:val="22"/>
          <w:szCs w:val="22"/>
        </w:rPr>
        <w:t xml:space="preserve">• </w:t>
      </w:r>
      <w:r>
        <w:rPr>
          <w:rFonts w:ascii="宋体" w:hAnsi="宋体" w:cs="Arial"/>
          <w:bCs/>
          <w:sz w:val="22"/>
          <w:szCs w:val="22"/>
        </w:rPr>
        <w:t>存储</w:t>
      </w:r>
      <w:r>
        <w:rPr>
          <w:rFonts w:hint="eastAsia" w:ascii="宋体" w:hAnsi="宋体" w:cs="Arial"/>
          <w:sz w:val="22"/>
          <w:szCs w:val="22"/>
        </w:rPr>
        <w:t>≥1T</w:t>
      </w:r>
      <w:r>
        <w:rPr>
          <w:rFonts w:ascii="宋体" w:hAnsi="宋体" w:cs="Arial"/>
          <w:bCs/>
          <w:sz w:val="22"/>
          <w:szCs w:val="22"/>
        </w:rPr>
        <w:t>；</w:t>
      </w:r>
    </w:p>
    <w:p>
      <w:pPr>
        <w:pStyle w:val="25"/>
        <w:spacing w:after="0" w:line="240" w:lineRule="auto"/>
        <w:ind w:left="0" w:leftChars="0"/>
        <w:jc w:val="left"/>
        <w:rPr>
          <w:rFonts w:ascii="宋体" w:hAnsi="宋体" w:cs="Arial"/>
          <w:bCs/>
          <w:sz w:val="22"/>
          <w:szCs w:val="22"/>
        </w:rPr>
      </w:pPr>
      <w:r>
        <w:rPr>
          <w:rFonts w:hint="eastAsia" w:ascii="宋体" w:hAnsi="宋体" w:cs="Arial"/>
          <w:bCs/>
          <w:sz w:val="22"/>
          <w:szCs w:val="22"/>
        </w:rPr>
        <w:t xml:space="preserve">• </w:t>
      </w:r>
      <w:r>
        <w:rPr>
          <w:rFonts w:ascii="宋体" w:hAnsi="宋体" w:cs="Arial"/>
          <w:bCs/>
          <w:sz w:val="22"/>
          <w:szCs w:val="22"/>
        </w:rPr>
        <w:t>可实现演讲人、听众、PPT同步记录</w:t>
      </w:r>
      <w:r>
        <w:rPr>
          <w:rFonts w:hint="eastAsia" w:ascii="宋体" w:hAnsi="宋体" w:cs="Arial"/>
          <w:bCs/>
          <w:sz w:val="22"/>
          <w:szCs w:val="22"/>
        </w:rPr>
        <w:t>；</w:t>
      </w:r>
    </w:p>
    <w:p>
      <w:pPr>
        <w:pStyle w:val="25"/>
        <w:spacing w:after="0" w:line="240" w:lineRule="auto"/>
        <w:ind w:left="0" w:leftChars="0"/>
        <w:jc w:val="left"/>
        <w:rPr>
          <w:rFonts w:ascii="宋体" w:hAnsi="宋体" w:cs="Arial"/>
          <w:bCs/>
          <w:sz w:val="22"/>
          <w:szCs w:val="22"/>
        </w:rPr>
      </w:pPr>
      <w:r>
        <w:rPr>
          <w:rFonts w:hint="eastAsia" w:ascii="宋体" w:hAnsi="宋体" w:cs="Arial"/>
          <w:bCs/>
          <w:sz w:val="22"/>
          <w:szCs w:val="22"/>
        </w:rPr>
        <w:t xml:space="preserve">• </w:t>
      </w:r>
      <w:r>
        <w:rPr>
          <w:rFonts w:ascii="宋体" w:hAnsi="宋体" w:cs="Arial"/>
          <w:bCs/>
          <w:sz w:val="22"/>
          <w:szCs w:val="22"/>
        </w:rPr>
        <w:t>支持2路麦克风音频或者立体声音频的组合输入</w:t>
      </w:r>
      <w:r>
        <w:rPr>
          <w:rFonts w:hint="eastAsia" w:ascii="宋体" w:hAnsi="宋体" w:cs="Arial"/>
          <w:bCs/>
          <w:sz w:val="22"/>
          <w:szCs w:val="22"/>
        </w:rPr>
        <w:t>；</w:t>
      </w:r>
    </w:p>
    <w:p>
      <w:pPr>
        <w:pStyle w:val="25"/>
        <w:spacing w:after="0" w:line="240" w:lineRule="auto"/>
        <w:ind w:left="0" w:leftChars="0"/>
        <w:jc w:val="left"/>
        <w:rPr>
          <w:rFonts w:ascii="宋体" w:hAnsi="宋体" w:cs="Arial"/>
          <w:bCs/>
          <w:sz w:val="22"/>
          <w:szCs w:val="22"/>
        </w:rPr>
      </w:pPr>
      <w:r>
        <w:rPr>
          <w:rFonts w:hint="eastAsia" w:ascii="宋体" w:hAnsi="宋体" w:cs="Arial"/>
          <w:bCs/>
          <w:sz w:val="22"/>
          <w:szCs w:val="22"/>
        </w:rPr>
        <w:t xml:space="preserve">• </w:t>
      </w:r>
      <w:r>
        <w:rPr>
          <w:rFonts w:ascii="宋体" w:hAnsi="宋体" w:cs="Arial"/>
          <w:bCs/>
          <w:sz w:val="22"/>
          <w:szCs w:val="22"/>
        </w:rPr>
        <w:t>支持直播浏览和本地回访</w:t>
      </w:r>
      <w:r>
        <w:rPr>
          <w:rFonts w:hint="eastAsia" w:ascii="宋体" w:hAnsi="宋体" w:cs="Arial"/>
          <w:bCs/>
          <w:sz w:val="22"/>
          <w:szCs w:val="22"/>
        </w:rPr>
        <w:t>；</w:t>
      </w:r>
    </w:p>
    <w:p>
      <w:pPr>
        <w:pStyle w:val="25"/>
        <w:spacing w:after="0" w:line="240" w:lineRule="auto"/>
        <w:ind w:left="0" w:leftChars="0"/>
        <w:jc w:val="left"/>
        <w:rPr>
          <w:rFonts w:ascii="宋体" w:hAnsi="宋体" w:cs="Arial"/>
          <w:bCs/>
          <w:sz w:val="22"/>
          <w:szCs w:val="22"/>
        </w:rPr>
      </w:pPr>
      <w:r>
        <w:rPr>
          <w:rFonts w:hint="eastAsia" w:ascii="宋体" w:hAnsi="宋体" w:cs="Arial"/>
          <w:bCs/>
          <w:sz w:val="22"/>
          <w:szCs w:val="22"/>
        </w:rPr>
        <w:t xml:space="preserve">• </w:t>
      </w:r>
      <w:r>
        <w:rPr>
          <w:rFonts w:ascii="宋体" w:hAnsi="宋体" w:cs="Arial"/>
          <w:bCs/>
          <w:sz w:val="22"/>
          <w:szCs w:val="22"/>
        </w:rPr>
        <w:t>双码流记录，高码流适合高清分享和本地存储，低码流适合更低宽带分享</w:t>
      </w:r>
      <w:r>
        <w:rPr>
          <w:rFonts w:hint="eastAsia" w:ascii="宋体" w:hAnsi="宋体" w:cs="Arial"/>
          <w:bCs/>
          <w:sz w:val="22"/>
          <w:szCs w:val="22"/>
        </w:rPr>
        <w:t>；</w:t>
      </w:r>
    </w:p>
    <w:p>
      <w:pPr>
        <w:pStyle w:val="25"/>
        <w:spacing w:after="0" w:line="240" w:lineRule="auto"/>
        <w:ind w:left="0" w:leftChars="0"/>
        <w:jc w:val="left"/>
        <w:rPr>
          <w:rFonts w:ascii="宋体" w:hAnsi="宋体" w:cs="Arial"/>
          <w:b/>
          <w:bCs/>
          <w:sz w:val="22"/>
          <w:szCs w:val="22"/>
        </w:rPr>
      </w:pPr>
    </w:p>
    <w:p>
      <w:pPr>
        <w:pStyle w:val="25"/>
        <w:spacing w:after="0" w:line="240" w:lineRule="auto"/>
        <w:ind w:left="0" w:leftChars="0"/>
        <w:jc w:val="left"/>
        <w:rPr>
          <w:rFonts w:ascii="宋体" w:hAnsi="宋体" w:cs="Arial"/>
          <w:b/>
          <w:bCs/>
          <w:sz w:val="22"/>
          <w:szCs w:val="22"/>
        </w:rPr>
      </w:pPr>
      <w:r>
        <w:rPr>
          <w:rFonts w:hint="eastAsia" w:ascii="宋体" w:hAnsi="宋体" w:cs="Arial"/>
          <w:b/>
          <w:bCs/>
          <w:sz w:val="22"/>
          <w:szCs w:val="22"/>
        </w:rPr>
        <w:t>三、要求</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1、混音台更新后，公司五楼会议室24路话筒声音正常输出。投影机支架如果不匹配，由投标人负责更换，画面能铺满整个幕布，清晰不抖动。录播器接入七楼会议系统，正常工作，拷贝的视频画质清晰，声音正常。</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2、从信息楼七楼音控室到投影机敷设两根HDMI高清线，长度20米；音控室到云视讯摄像机（预留）敷设一根USB延长线，一根电源线，一根红外延长线，长度25米。</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3、投标方负责设备的采购、运输、安装、调试与培训工作。</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4、中标人须在中标候选人公示结束后5个工作日内提供所投产品样品，各项功能测试合格后方可签订合同。若未按时提供或提供的样品功能、参数等不满足招标文件要求，招标人有权取消其中标资格，没收投标保证金，</w:t>
      </w:r>
      <w:r>
        <w:rPr>
          <w:rFonts w:hint="eastAsia" w:ascii="宋体" w:hAnsi="宋体" w:cs="Arial"/>
          <w:kern w:val="0"/>
          <w:sz w:val="22"/>
        </w:rPr>
        <w:t>并列入杭州萧山国际机场招标黑名单。</w:t>
      </w:r>
    </w:p>
    <w:p>
      <w:pPr>
        <w:pStyle w:val="25"/>
        <w:spacing w:after="0" w:line="240" w:lineRule="auto"/>
        <w:ind w:left="0" w:leftChars="0"/>
        <w:jc w:val="left"/>
        <w:rPr>
          <w:rFonts w:ascii="宋体" w:hAnsi="宋体" w:cs="Arial"/>
          <w:sz w:val="22"/>
          <w:szCs w:val="22"/>
        </w:rPr>
      </w:pPr>
      <w:r>
        <w:rPr>
          <w:rFonts w:hint="eastAsia" w:ascii="宋体" w:hAnsi="宋体" w:cs="Arial"/>
          <w:sz w:val="22"/>
          <w:szCs w:val="22"/>
        </w:rPr>
        <w:t>5、标注“</w:t>
      </w:r>
      <w:r>
        <w:rPr>
          <w:rFonts w:hint="eastAsia" w:ascii="宋体" w:hAnsi="宋体" w:cs="宋体"/>
          <w:sz w:val="22"/>
          <w:szCs w:val="22"/>
        </w:rPr>
        <w:t>★</w:t>
      </w:r>
      <w:r>
        <w:rPr>
          <w:rFonts w:hint="eastAsia" w:ascii="宋体" w:hAnsi="宋体" w:cs="Arial"/>
          <w:sz w:val="22"/>
          <w:szCs w:val="22"/>
        </w:rPr>
        <w:t>”号的为关键条款，对这些关键条款的任何偏离将导致废标。</w:t>
      </w:r>
    </w:p>
    <w:p>
      <w:pPr>
        <w:widowControl/>
        <w:jc w:val="left"/>
        <w:rPr>
          <w:rFonts w:ascii="宋体" w:hAnsi="宋体" w:cs="Arial"/>
          <w:b/>
          <w:kern w:val="0"/>
          <w:sz w:val="22"/>
        </w:rPr>
      </w:pPr>
    </w:p>
    <w:p>
      <w:pPr>
        <w:widowControl/>
        <w:jc w:val="left"/>
        <w:rPr>
          <w:rFonts w:ascii="宋体" w:hAnsi="宋体" w:cs="Arial"/>
          <w:b/>
          <w:kern w:val="0"/>
          <w:sz w:val="22"/>
        </w:rPr>
      </w:pPr>
      <w:r>
        <w:rPr>
          <w:rFonts w:hint="eastAsia" w:ascii="宋体" w:hAnsi="宋体" w:cs="Arial"/>
          <w:b/>
          <w:kern w:val="0"/>
          <w:sz w:val="22"/>
        </w:rPr>
        <w:t>四、售后服务</w:t>
      </w:r>
    </w:p>
    <w:p>
      <w:pPr>
        <w:widowControl/>
        <w:ind w:firstLine="555"/>
        <w:jc w:val="left"/>
        <w:rPr>
          <w:rFonts w:ascii="宋体" w:hAnsi="宋体" w:cs="Arial"/>
          <w:b/>
          <w:bCs/>
          <w:kern w:val="0"/>
          <w:sz w:val="22"/>
        </w:rPr>
      </w:pPr>
      <w:r>
        <w:rPr>
          <w:rFonts w:hint="eastAsia" w:ascii="宋体" w:hAnsi="宋体" w:cs="Arial"/>
          <w:kern w:val="0"/>
          <w:sz w:val="22"/>
        </w:rPr>
        <w:t>1.</w:t>
      </w:r>
      <w:r>
        <w:rPr>
          <w:rFonts w:hint="eastAsia" w:ascii="宋体" w:hAnsi="宋体" w:cs="Arial"/>
          <w:b/>
          <w:bCs/>
          <w:kern w:val="0"/>
          <w:sz w:val="22"/>
        </w:rPr>
        <w:t>本项目产品的质量保修期默认为自验收通过之日起，所投产品原厂（整机）免费上门保修，整体保修一年。</w:t>
      </w:r>
    </w:p>
    <w:p>
      <w:pPr>
        <w:widowControl/>
        <w:ind w:firstLine="555"/>
        <w:jc w:val="left"/>
        <w:rPr>
          <w:rFonts w:ascii="宋体" w:hAnsi="宋体" w:cs="Arial"/>
          <w:kern w:val="0"/>
          <w:sz w:val="22"/>
        </w:rPr>
      </w:pPr>
      <w:r>
        <w:rPr>
          <w:rFonts w:hint="eastAsia" w:ascii="宋体" w:hAnsi="宋体" w:cs="Arial"/>
          <w:kern w:val="0"/>
          <w:sz w:val="22"/>
        </w:rPr>
        <w:t xml:space="preserve">2.若中标人所供产品被查出全部或者部分是次品、旧品、水货、侵犯知识产权的产品的，则中标人应自发现之日起（或者故障报修之日起满三个月后）三个工作日内对产品进行更换，且更换的产品应为不低于原产品型号、质量、配置、性能和售后服务的产品，没收履约保证金。 </w:t>
      </w:r>
    </w:p>
    <w:p>
      <w:pPr>
        <w:widowControl/>
        <w:ind w:firstLine="555"/>
        <w:jc w:val="left"/>
        <w:rPr>
          <w:rFonts w:ascii="宋体" w:hAnsi="宋体" w:cs="Arial"/>
          <w:kern w:val="0"/>
          <w:sz w:val="22"/>
        </w:rPr>
      </w:pPr>
      <w:r>
        <w:rPr>
          <w:rFonts w:hint="eastAsia" w:ascii="宋体" w:hAnsi="宋体" w:cs="Arial"/>
          <w:kern w:val="0"/>
          <w:sz w:val="22"/>
        </w:rPr>
        <w:t>3.中标人提供的货物在质保期内因货物本身的质量问题发生故障，中标人应负责免费更换。对达不到技术要求者，招标人有权退还投标人所供货物，投标人应退还招标人支付的合同款，同时应承担该货物的直接费用（运输、保险、检验、货款利息及银行手续费等）以及由此给招标人造成的损失。</w:t>
      </w:r>
    </w:p>
    <w:p>
      <w:pPr>
        <w:widowControl/>
        <w:ind w:firstLine="555"/>
        <w:jc w:val="left"/>
        <w:rPr>
          <w:rFonts w:ascii="宋体" w:hAnsi="宋体" w:cs="Arial"/>
          <w:kern w:val="0"/>
          <w:sz w:val="22"/>
        </w:rPr>
      </w:pPr>
      <w:r>
        <w:rPr>
          <w:rFonts w:hint="eastAsia" w:ascii="宋体" w:hAnsi="宋体" w:cs="Arial"/>
          <w:kern w:val="0"/>
          <w:sz w:val="22"/>
        </w:rPr>
        <w:t>4.在质保期内，投标人应对货物出现的质量及安全问题负责处理解决并承担一切费用。</w:t>
      </w:r>
    </w:p>
    <w:p>
      <w:pPr>
        <w:widowControl/>
        <w:ind w:firstLine="555"/>
        <w:jc w:val="left"/>
        <w:rPr>
          <w:rFonts w:ascii="宋体" w:hAnsi="宋体" w:cs="Arial"/>
          <w:kern w:val="0"/>
          <w:sz w:val="48"/>
          <w:szCs w:val="48"/>
        </w:rPr>
      </w:pPr>
      <w:r>
        <w:rPr>
          <w:rFonts w:hint="eastAsia" w:ascii="宋体" w:hAnsi="宋体" w:cs="Arial"/>
          <w:kern w:val="0"/>
          <w:sz w:val="22"/>
        </w:rPr>
        <w:t>5</w:t>
      </w:r>
      <w:r>
        <w:rPr>
          <w:rFonts w:ascii="宋体" w:hAnsi="宋体" w:cs="Arial"/>
          <w:kern w:val="0"/>
          <w:sz w:val="22"/>
        </w:rPr>
        <w:t>.</w:t>
      </w:r>
      <w:r>
        <w:rPr>
          <w:rFonts w:hint="eastAsia" w:ascii="宋体" w:hAnsi="宋体" w:cs="Arial"/>
          <w:kern w:val="0"/>
          <w:sz w:val="22"/>
        </w:rPr>
        <w:t>产品故障报修的响应时间：应在接到产品故障报修后4小时内响应，1个工作日内到达现场，2个工作日内处理完毕。若故障检修2个工作日后仍无法排除的，中标人应在故障报修2个工作日后的一个工作日内提供不低于故障规格型号档次的替代产品供招标人使用。如对货物出现的质量及安全问题经处理仍不能解决的，则招标人有权退货或要求投标人更换货物。</w:t>
      </w:r>
      <w:r>
        <w:rPr>
          <w:rFonts w:ascii="宋体" w:hAnsi="宋体" w:cs="Calibri"/>
          <w:bCs/>
          <w:kern w:val="0"/>
          <w:sz w:val="24"/>
          <w:szCs w:val="24"/>
        </w:rPr>
        <w:t> </w:t>
      </w:r>
      <w:r>
        <w:rPr>
          <w:rFonts w:ascii="宋体" w:hAnsi="宋体" w:cs="Arial"/>
          <w:kern w:val="0"/>
          <w:sz w:val="48"/>
          <w:szCs w:val="48"/>
        </w:rPr>
        <w:br w:type="page"/>
      </w:r>
    </w:p>
    <w:p>
      <w:pPr>
        <w:pStyle w:val="2"/>
        <w:spacing w:before="0" w:after="0" w:line="360" w:lineRule="auto"/>
        <w:jc w:val="center"/>
        <w:rPr>
          <w:rFonts w:ascii="Calibri" w:hAnsi="Calibri" w:eastAsia="黑体" w:cs="Calibri"/>
          <w:kern w:val="0"/>
          <w:sz w:val="32"/>
        </w:rPr>
      </w:pPr>
      <w:bookmarkStart w:id="46" w:name="_Toc11897"/>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46"/>
    </w:p>
    <w:p>
      <w:pPr>
        <w:adjustRightInd w:val="0"/>
        <w:snapToGrid w:val="0"/>
        <w:spacing w:line="276" w:lineRule="auto"/>
        <w:ind w:firstLine="452"/>
        <w:jc w:val="center"/>
        <w:rPr>
          <w:rFonts w:ascii="等线" w:hAnsi="等线" w:cs="仿宋_GB2312"/>
          <w:b/>
          <w:sz w:val="22"/>
        </w:rPr>
      </w:pPr>
      <w:r>
        <w:rPr>
          <w:rFonts w:hint="eastAsia" w:ascii="等线" w:hAnsi="等线" w:cs="仿宋_GB2312"/>
          <w:b/>
          <w:sz w:val="22"/>
        </w:rPr>
        <w:t>杭州萧山国际机场会议设备采购安装合同</w:t>
      </w:r>
    </w:p>
    <w:p>
      <w:pPr>
        <w:pStyle w:val="21"/>
        <w:spacing w:line="276" w:lineRule="auto"/>
        <w:ind w:right="200" w:firstLine="420"/>
        <w:jc w:val="right"/>
        <w:rPr>
          <w:rFonts w:ascii="等线" w:hAnsi="等线" w:cs="仿宋_GB2312"/>
          <w:bCs/>
          <w:sz w:val="22"/>
          <w:szCs w:val="22"/>
        </w:rPr>
      </w:pPr>
    </w:p>
    <w:p>
      <w:pPr>
        <w:spacing w:line="276" w:lineRule="auto"/>
        <w:ind w:firstLine="422" w:firstLineChars="200"/>
        <w:jc w:val="center"/>
        <w:rPr>
          <w:rFonts w:ascii="宋体" w:hAnsi="宋体"/>
          <w:b/>
          <w:szCs w:val="21"/>
        </w:rPr>
      </w:pPr>
    </w:p>
    <w:p>
      <w:pPr>
        <w:spacing w:line="276" w:lineRule="auto"/>
        <w:ind w:firstLine="422" w:firstLineChars="200"/>
        <w:jc w:val="center"/>
        <w:rPr>
          <w:rFonts w:ascii="宋体" w:hAnsi="宋体"/>
          <w:b/>
          <w:szCs w:val="21"/>
        </w:rPr>
      </w:pPr>
    </w:p>
    <w:p>
      <w:pPr>
        <w:adjustRightInd w:val="0"/>
        <w:snapToGrid w:val="0"/>
        <w:spacing w:line="276" w:lineRule="auto"/>
        <w:ind w:firstLine="452"/>
        <w:rPr>
          <w:rFonts w:ascii="宋体" w:hAnsi="宋体"/>
          <w:b/>
          <w:szCs w:val="21"/>
        </w:rPr>
      </w:pPr>
      <w:r>
        <w:rPr>
          <w:rFonts w:hint="eastAsia" w:ascii="宋体" w:hAnsi="宋体"/>
          <w:b/>
          <w:szCs w:val="21"/>
        </w:rPr>
        <w:t>甲方：杭州萧山国际机场有限公司</w:t>
      </w:r>
    </w:p>
    <w:p>
      <w:pPr>
        <w:adjustRightInd w:val="0"/>
        <w:snapToGrid w:val="0"/>
        <w:spacing w:line="276" w:lineRule="auto"/>
        <w:ind w:firstLine="452"/>
        <w:rPr>
          <w:rFonts w:ascii="宋体" w:hAnsi="宋体"/>
          <w:b/>
          <w:szCs w:val="21"/>
        </w:rPr>
      </w:pPr>
      <w:r>
        <w:rPr>
          <w:rFonts w:hint="eastAsia" w:ascii="宋体" w:hAnsi="宋体"/>
          <w:b/>
          <w:szCs w:val="21"/>
        </w:rPr>
        <w:t>住所地：杭州萧山国际机场内</w:t>
      </w:r>
    </w:p>
    <w:p>
      <w:pPr>
        <w:adjustRightInd w:val="0"/>
        <w:snapToGrid w:val="0"/>
        <w:spacing w:line="276" w:lineRule="auto"/>
        <w:rPr>
          <w:rFonts w:ascii="宋体" w:hAnsi="宋体"/>
          <w:b/>
          <w:szCs w:val="21"/>
        </w:rPr>
      </w:pPr>
    </w:p>
    <w:p>
      <w:pPr>
        <w:adjustRightInd w:val="0"/>
        <w:snapToGrid w:val="0"/>
        <w:spacing w:line="276" w:lineRule="auto"/>
        <w:ind w:firstLine="452"/>
        <w:rPr>
          <w:rFonts w:ascii="宋体" w:hAnsi="宋体"/>
          <w:b/>
          <w:szCs w:val="21"/>
        </w:rPr>
      </w:pPr>
      <w:r>
        <w:rPr>
          <w:rFonts w:hint="eastAsia" w:ascii="宋体" w:hAnsi="宋体"/>
          <w:b/>
          <w:szCs w:val="21"/>
        </w:rPr>
        <w:t>乙方:</w:t>
      </w:r>
    </w:p>
    <w:p>
      <w:pPr>
        <w:adjustRightInd w:val="0"/>
        <w:snapToGrid w:val="0"/>
        <w:spacing w:line="276" w:lineRule="auto"/>
        <w:ind w:firstLine="452"/>
        <w:rPr>
          <w:rFonts w:ascii="宋体" w:hAnsi="宋体"/>
          <w:szCs w:val="21"/>
        </w:rPr>
      </w:pPr>
      <w:r>
        <w:rPr>
          <w:rFonts w:hint="eastAsia" w:ascii="宋体" w:hAnsi="宋体"/>
          <w:b/>
          <w:szCs w:val="21"/>
        </w:rPr>
        <w:t>住所地:</w:t>
      </w:r>
    </w:p>
    <w:p>
      <w:pPr>
        <w:adjustRightInd w:val="0"/>
        <w:snapToGrid w:val="0"/>
        <w:spacing w:line="276" w:lineRule="auto"/>
        <w:ind w:firstLine="450"/>
        <w:rPr>
          <w:rFonts w:ascii="宋体" w:hAnsi="宋体"/>
          <w:szCs w:val="21"/>
        </w:rPr>
      </w:pPr>
    </w:p>
    <w:p>
      <w:pPr>
        <w:adjustRightInd w:val="0"/>
        <w:snapToGrid w:val="0"/>
        <w:spacing w:line="276" w:lineRule="auto"/>
        <w:ind w:firstLine="420" w:firstLineChars="200"/>
        <w:rPr>
          <w:rFonts w:ascii="宋体" w:hAnsi="宋体"/>
          <w:szCs w:val="21"/>
        </w:rPr>
      </w:pPr>
      <w:r>
        <w:rPr>
          <w:rFonts w:hint="eastAsia" w:ascii="宋体" w:hAnsi="宋体"/>
          <w:szCs w:val="21"/>
        </w:rPr>
        <w:t>甲、乙双方根据《中华人民共和国合同法》等相关法律法规，就相关产品采购事宜，在互利、平等的原则基础上，经协商一致，特签订本合同，以共同遵守。</w:t>
      </w:r>
    </w:p>
    <w:p>
      <w:pPr>
        <w:spacing w:line="276" w:lineRule="auto"/>
        <w:ind w:firstLine="593"/>
        <w:rPr>
          <w:rFonts w:ascii="宋体" w:hAnsi="宋体"/>
          <w:b/>
          <w:bCs/>
          <w:szCs w:val="21"/>
        </w:rPr>
      </w:pPr>
      <w:r>
        <w:rPr>
          <w:rFonts w:hint="eastAsia" w:ascii="宋体" w:hAnsi="宋体"/>
          <w:b/>
          <w:bCs/>
          <w:szCs w:val="21"/>
        </w:rPr>
        <w:t>一、产品规格型号及参数</w:t>
      </w:r>
    </w:p>
    <w:tbl>
      <w:tblPr>
        <w:tblStyle w:val="5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076"/>
        <w:gridCol w:w="792"/>
        <w:gridCol w:w="719"/>
        <w:gridCol w:w="515"/>
        <w:gridCol w:w="430"/>
        <w:gridCol w:w="417"/>
        <w:gridCol w:w="1054"/>
        <w:gridCol w:w="940"/>
        <w:gridCol w:w="1198"/>
        <w:gridCol w:w="819"/>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序 号</w:t>
            </w:r>
          </w:p>
        </w:tc>
        <w:tc>
          <w:tcPr>
            <w:tcW w:w="1076" w:type="dxa"/>
            <w:shd w:val="clear" w:color="000000" w:fill="FFFFFF"/>
            <w:vAlign w:val="center"/>
          </w:tcPr>
          <w:p>
            <w:pPr>
              <w:jc w:val="center"/>
              <w:rPr>
                <w:rFonts w:ascii="宋体" w:hAnsi="宋体" w:cs="宋体"/>
                <w:b/>
                <w:bCs/>
                <w:sz w:val="20"/>
              </w:rPr>
            </w:pPr>
            <w:r>
              <w:rPr>
                <w:rFonts w:hint="eastAsia" w:ascii="宋体" w:hAnsi="宋体" w:cs="宋体"/>
                <w:b/>
                <w:bCs/>
                <w:sz w:val="20"/>
              </w:rPr>
              <w:t>设备名称</w:t>
            </w:r>
          </w:p>
        </w:tc>
        <w:tc>
          <w:tcPr>
            <w:tcW w:w="792" w:type="dxa"/>
            <w:shd w:val="clear" w:color="000000" w:fill="FFFFFF"/>
            <w:vAlign w:val="center"/>
          </w:tcPr>
          <w:p>
            <w:pPr>
              <w:jc w:val="center"/>
              <w:rPr>
                <w:rFonts w:ascii="宋体" w:hAnsi="宋体" w:cs="宋体"/>
                <w:b/>
                <w:bCs/>
                <w:sz w:val="20"/>
              </w:rPr>
            </w:pPr>
            <w:r>
              <w:rPr>
                <w:rFonts w:hint="eastAsia" w:ascii="宋体" w:hAnsi="宋体" w:cs="宋体"/>
                <w:b/>
                <w:bCs/>
                <w:sz w:val="20"/>
              </w:rPr>
              <w:t>规格型号</w:t>
            </w:r>
          </w:p>
        </w:tc>
        <w:tc>
          <w:tcPr>
            <w:tcW w:w="719" w:type="dxa"/>
            <w:shd w:val="clear" w:color="000000" w:fill="FFFFFF"/>
            <w:vAlign w:val="center"/>
          </w:tcPr>
          <w:p>
            <w:pPr>
              <w:jc w:val="center"/>
              <w:rPr>
                <w:rFonts w:ascii="宋体" w:hAnsi="宋体" w:cs="宋体"/>
                <w:b/>
                <w:bCs/>
                <w:sz w:val="20"/>
              </w:rPr>
            </w:pPr>
            <w:r>
              <w:rPr>
                <w:rFonts w:hint="eastAsia" w:ascii="宋体" w:hAnsi="宋体" w:cs="宋体"/>
                <w:b/>
                <w:bCs/>
                <w:sz w:val="20"/>
              </w:rPr>
              <w:t>品 牌</w:t>
            </w:r>
          </w:p>
        </w:tc>
        <w:tc>
          <w:tcPr>
            <w:tcW w:w="515" w:type="dxa"/>
            <w:shd w:val="clear" w:color="000000" w:fill="FFFFFF"/>
            <w:vAlign w:val="center"/>
          </w:tcPr>
          <w:p>
            <w:pPr>
              <w:jc w:val="center"/>
              <w:rPr>
                <w:rFonts w:ascii="宋体" w:hAnsi="宋体" w:cs="宋体"/>
                <w:b/>
                <w:bCs/>
                <w:sz w:val="20"/>
              </w:rPr>
            </w:pPr>
            <w:r>
              <w:rPr>
                <w:rFonts w:hint="eastAsia" w:ascii="宋体" w:hAnsi="宋体" w:cs="宋体"/>
                <w:b/>
                <w:bCs/>
                <w:sz w:val="20"/>
              </w:rPr>
              <w:t>产地</w:t>
            </w:r>
          </w:p>
        </w:tc>
        <w:tc>
          <w:tcPr>
            <w:tcW w:w="430" w:type="dxa"/>
            <w:shd w:val="clear" w:color="000000" w:fill="FFFFFF"/>
            <w:vAlign w:val="center"/>
          </w:tcPr>
          <w:p>
            <w:pPr>
              <w:jc w:val="center"/>
              <w:rPr>
                <w:rFonts w:ascii="宋体" w:hAnsi="宋体" w:cs="宋体"/>
                <w:b/>
                <w:bCs/>
                <w:sz w:val="20"/>
              </w:rPr>
            </w:pPr>
            <w:r>
              <w:rPr>
                <w:rFonts w:hint="eastAsia" w:ascii="宋体" w:hAnsi="宋体" w:cs="宋体"/>
                <w:b/>
                <w:bCs/>
                <w:sz w:val="20"/>
              </w:rPr>
              <w:t>单位</w:t>
            </w:r>
          </w:p>
        </w:tc>
        <w:tc>
          <w:tcPr>
            <w:tcW w:w="417" w:type="dxa"/>
            <w:shd w:val="clear" w:color="000000" w:fill="FFFFFF"/>
            <w:vAlign w:val="center"/>
          </w:tcPr>
          <w:p>
            <w:pPr>
              <w:jc w:val="center"/>
              <w:rPr>
                <w:rFonts w:ascii="宋体" w:hAnsi="宋体" w:cs="宋体"/>
                <w:b/>
                <w:bCs/>
                <w:sz w:val="20"/>
              </w:rPr>
            </w:pPr>
            <w:r>
              <w:rPr>
                <w:rFonts w:hint="eastAsia" w:ascii="宋体" w:hAnsi="宋体" w:cs="宋体"/>
                <w:b/>
                <w:bCs/>
                <w:sz w:val="20"/>
              </w:rPr>
              <w:t>数量</w:t>
            </w:r>
          </w:p>
        </w:tc>
        <w:tc>
          <w:tcPr>
            <w:tcW w:w="1054" w:type="dxa"/>
            <w:shd w:val="clear" w:color="000000" w:fill="FFFFFF"/>
            <w:vAlign w:val="center"/>
          </w:tcPr>
          <w:p>
            <w:pPr>
              <w:jc w:val="center"/>
              <w:rPr>
                <w:rFonts w:ascii="宋体" w:hAnsi="宋体" w:cs="宋体"/>
                <w:b/>
                <w:bCs/>
                <w:sz w:val="20"/>
              </w:rPr>
            </w:pPr>
            <w:r>
              <w:rPr>
                <w:rFonts w:hint="eastAsia" w:ascii="宋体" w:hAnsi="宋体" w:cs="宋体"/>
                <w:b/>
                <w:bCs/>
                <w:sz w:val="20"/>
              </w:rPr>
              <w:t>单  价 (元，不含税)</w:t>
            </w:r>
          </w:p>
        </w:tc>
        <w:tc>
          <w:tcPr>
            <w:tcW w:w="940" w:type="dxa"/>
            <w:shd w:val="clear" w:color="000000" w:fill="FFFFFF"/>
            <w:vAlign w:val="center"/>
          </w:tcPr>
          <w:p>
            <w:pPr>
              <w:jc w:val="center"/>
              <w:rPr>
                <w:rFonts w:ascii="宋体" w:hAnsi="宋体" w:cs="宋体"/>
                <w:b/>
                <w:bCs/>
                <w:sz w:val="20"/>
              </w:rPr>
            </w:pPr>
            <w:r>
              <w:rPr>
                <w:rFonts w:hint="eastAsia" w:ascii="宋体" w:hAnsi="宋体" w:cs="宋体"/>
                <w:b/>
                <w:bCs/>
                <w:sz w:val="20"/>
              </w:rPr>
              <w:t>合价（元，不含税）</w:t>
            </w:r>
          </w:p>
        </w:tc>
        <w:tc>
          <w:tcPr>
            <w:tcW w:w="1198" w:type="dxa"/>
            <w:shd w:val="clear" w:color="000000" w:fill="FFFFFF"/>
            <w:vAlign w:val="center"/>
          </w:tcPr>
          <w:p>
            <w:pPr>
              <w:jc w:val="center"/>
              <w:rPr>
                <w:rFonts w:ascii="宋体" w:hAnsi="宋体" w:cs="宋体"/>
                <w:b/>
                <w:bCs/>
                <w:sz w:val="20"/>
              </w:rPr>
            </w:pPr>
            <w:r>
              <w:rPr>
                <w:rFonts w:hint="eastAsia" w:ascii="宋体" w:hAnsi="宋体" w:cs="宋体"/>
                <w:b/>
                <w:bCs/>
                <w:sz w:val="20"/>
              </w:rPr>
              <w:t>增值税税率</w:t>
            </w:r>
          </w:p>
        </w:tc>
        <w:tc>
          <w:tcPr>
            <w:tcW w:w="819" w:type="dxa"/>
            <w:shd w:val="clear" w:color="000000" w:fill="FFFFFF"/>
            <w:vAlign w:val="center"/>
          </w:tcPr>
          <w:p>
            <w:pPr>
              <w:jc w:val="center"/>
              <w:rPr>
                <w:rFonts w:ascii="宋体" w:hAnsi="宋体" w:cs="宋体"/>
                <w:b/>
                <w:bCs/>
                <w:sz w:val="20"/>
              </w:rPr>
            </w:pPr>
            <w:r>
              <w:rPr>
                <w:rFonts w:hint="eastAsia" w:ascii="宋体" w:hAnsi="宋体" w:cs="宋体"/>
                <w:b/>
                <w:bCs/>
                <w:sz w:val="20"/>
              </w:rPr>
              <w:t>单价（元，含税）</w:t>
            </w:r>
          </w:p>
        </w:tc>
        <w:tc>
          <w:tcPr>
            <w:tcW w:w="1148" w:type="dxa"/>
            <w:shd w:val="clear" w:color="000000" w:fill="FFFFFF"/>
            <w:vAlign w:val="center"/>
          </w:tcPr>
          <w:p>
            <w:pPr>
              <w:jc w:val="center"/>
              <w:rPr>
                <w:rFonts w:ascii="宋体" w:hAnsi="宋体" w:cs="宋体"/>
                <w:b/>
                <w:bCs/>
                <w:sz w:val="20"/>
              </w:rPr>
            </w:pPr>
            <w:r>
              <w:rPr>
                <w:rFonts w:hint="eastAsia" w:ascii="宋体" w:hAnsi="宋体" w:cs="宋体"/>
                <w:b/>
                <w:bCs/>
                <w:sz w:val="20"/>
              </w:rPr>
              <w:t>合  价</w:t>
            </w:r>
          </w:p>
          <w:p>
            <w:pPr>
              <w:jc w:val="center"/>
              <w:rPr>
                <w:rFonts w:ascii="宋体" w:hAnsi="宋体" w:cs="宋体"/>
                <w:b/>
                <w:bCs/>
                <w:sz w:val="20"/>
              </w:rPr>
            </w:pPr>
            <w:r>
              <w:rPr>
                <w:rFonts w:hint="eastAsia" w:ascii="宋体" w:hAnsi="宋体" w:cs="宋体"/>
                <w:b/>
                <w:bCs/>
                <w:sz w:val="20"/>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1</w:t>
            </w: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2</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3</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4</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jc w:val="center"/>
              <w:rPr>
                <w:rFonts w:ascii="宋体" w:hAnsi="宋体" w:cs="宋体"/>
                <w:b/>
                <w:bCs/>
                <w:sz w:val="20"/>
              </w:rPr>
            </w:pPr>
            <w:r>
              <w:rPr>
                <w:rFonts w:hint="eastAsia" w:ascii="宋体" w:hAnsi="宋体" w:cs="宋体"/>
                <w:b/>
                <w:bCs/>
                <w:sz w:val="20"/>
              </w:rPr>
              <w:t>不含税价格合计（元）</w:t>
            </w:r>
          </w:p>
        </w:tc>
        <w:tc>
          <w:tcPr>
            <w:tcW w:w="8032" w:type="dxa"/>
            <w:gridSpan w:val="10"/>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jc w:val="center"/>
              <w:rPr>
                <w:rFonts w:ascii="宋体" w:hAnsi="宋体" w:cs="宋体"/>
                <w:b/>
                <w:bCs/>
                <w:sz w:val="20"/>
              </w:rPr>
            </w:pPr>
            <w:r>
              <w:rPr>
                <w:rFonts w:hint="eastAsia" w:ascii="宋体" w:hAnsi="宋体" w:cs="宋体"/>
                <w:b/>
                <w:bCs/>
                <w:sz w:val="20"/>
              </w:rPr>
              <w:t>税金（元）</w:t>
            </w:r>
          </w:p>
        </w:tc>
        <w:tc>
          <w:tcPr>
            <w:tcW w:w="8032" w:type="dxa"/>
            <w:gridSpan w:val="10"/>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rPr>
                <w:rFonts w:ascii="宋体" w:hAnsi="宋体" w:cs="宋体"/>
                <w:b/>
                <w:bCs/>
                <w:sz w:val="20"/>
              </w:rPr>
            </w:pPr>
            <w:r>
              <w:rPr>
                <w:rFonts w:hint="eastAsia" w:ascii="宋体" w:hAnsi="宋体" w:cs="宋体"/>
                <w:b/>
                <w:bCs/>
                <w:sz w:val="20"/>
              </w:rPr>
              <w:t>价税合计（元）</w:t>
            </w:r>
          </w:p>
        </w:tc>
        <w:tc>
          <w:tcPr>
            <w:tcW w:w="8032" w:type="dxa"/>
            <w:gridSpan w:val="10"/>
            <w:tcBorders>
              <w:bottom w:val="single" w:color="auto" w:sz="4" w:space="0"/>
            </w:tcBorders>
            <w:shd w:val="clear" w:color="000000" w:fill="FFFFFF"/>
            <w:vAlign w:val="center"/>
          </w:tcPr>
          <w:p>
            <w:pPr>
              <w:jc w:val="center"/>
              <w:rPr>
                <w:rFonts w:ascii="宋体" w:hAnsi="宋体" w:cs="宋体"/>
                <w:b/>
                <w:bCs/>
                <w:sz w:val="20"/>
              </w:rPr>
            </w:pPr>
            <w:r>
              <w:rPr>
                <w:rFonts w:hint="eastAsia" w:ascii="宋体" w:hAnsi="宋体" w:cs="宋体"/>
                <w:b/>
                <w:bCs/>
                <w:sz w:val="20"/>
              </w:rPr>
              <w:t xml:space="preserve">人民币大写 </w:t>
            </w:r>
            <w:r>
              <w:rPr>
                <w:rFonts w:ascii="宋体" w:hAnsi="宋体" w:cs="宋体"/>
                <w:b/>
                <w:bCs/>
                <w:sz w:val="20"/>
              </w:rPr>
              <w:t xml:space="preserve">    </w:t>
            </w:r>
            <w:r>
              <w:rPr>
                <w:rFonts w:hint="eastAsia" w:ascii="宋体" w:hAnsi="宋体" w:cs="宋体"/>
                <w:b/>
                <w:bCs/>
                <w:sz w:val="20"/>
              </w:rPr>
              <w:t>元，</w:t>
            </w:r>
            <w:r>
              <w:rPr>
                <w:rFonts w:ascii="宋体" w:hAnsi="宋体" w:cs="宋体"/>
                <w:b/>
                <w:bCs/>
                <w:sz w:val="20"/>
              </w:rPr>
              <w:t>¥   .00</w:t>
            </w:r>
          </w:p>
        </w:tc>
      </w:tr>
    </w:tbl>
    <w:p>
      <w:pPr>
        <w:spacing w:line="276" w:lineRule="auto"/>
        <w:ind w:firstLine="593"/>
        <w:rPr>
          <w:rFonts w:ascii="宋体" w:hAnsi="宋体"/>
          <w:b/>
          <w:szCs w:val="21"/>
        </w:rPr>
      </w:pPr>
      <w:r>
        <w:rPr>
          <w:rFonts w:hint="eastAsia" w:ascii="宋体" w:hAnsi="宋体"/>
          <w:b/>
          <w:szCs w:val="21"/>
        </w:rPr>
        <w:t>备注：1、</w:t>
      </w:r>
    </w:p>
    <w:p>
      <w:pPr>
        <w:adjustRightInd w:val="0"/>
        <w:snapToGrid w:val="0"/>
        <w:spacing w:line="276" w:lineRule="auto"/>
        <w:ind w:firstLine="602"/>
        <w:rPr>
          <w:rFonts w:ascii="宋体" w:hAnsi="宋体"/>
          <w:b/>
          <w:szCs w:val="21"/>
        </w:rPr>
      </w:pPr>
      <w:r>
        <w:rPr>
          <w:rFonts w:hint="eastAsia" w:ascii="宋体" w:hAnsi="宋体"/>
          <w:b/>
          <w:szCs w:val="21"/>
        </w:rPr>
        <w:t xml:space="preserve">      2、</w:t>
      </w:r>
    </w:p>
    <w:p>
      <w:pPr>
        <w:adjustRightInd w:val="0"/>
        <w:snapToGrid w:val="0"/>
        <w:spacing w:line="276" w:lineRule="auto"/>
        <w:ind w:firstLine="602"/>
        <w:rPr>
          <w:rFonts w:ascii="宋体" w:hAnsi="宋体"/>
          <w:b/>
          <w:szCs w:val="21"/>
        </w:rPr>
      </w:pPr>
      <w:r>
        <w:rPr>
          <w:rFonts w:hint="eastAsia" w:ascii="宋体" w:hAnsi="宋体"/>
          <w:b/>
          <w:szCs w:val="21"/>
        </w:rPr>
        <w:t>二、合同金额</w:t>
      </w:r>
    </w:p>
    <w:p>
      <w:pPr>
        <w:spacing w:line="276" w:lineRule="auto"/>
        <w:ind w:firstLine="403" w:firstLineChars="192"/>
        <w:rPr>
          <w:rFonts w:ascii="宋体" w:hAnsi="宋体"/>
          <w:szCs w:val="21"/>
        </w:rPr>
      </w:pPr>
      <w:r>
        <w:rPr>
          <w:rFonts w:hint="eastAsia" w:ascii="宋体" w:hAnsi="宋体"/>
          <w:szCs w:val="21"/>
        </w:rPr>
        <w:t>本合同金额为固定总价合同，合同金额为（大写）：人民币    ，（小写）</w:t>
      </w:r>
      <w:r>
        <w:rPr>
          <w:rFonts w:hint="eastAsia" w:ascii="宋体" w:hAnsi="宋体" w:cs="Arial"/>
          <w:szCs w:val="21"/>
        </w:rPr>
        <w:t xml:space="preserve">¥       </w:t>
      </w:r>
      <w:r>
        <w:rPr>
          <w:rFonts w:hint="eastAsia" w:ascii="宋体" w:hAnsi="宋体"/>
          <w:szCs w:val="21"/>
        </w:rPr>
        <w:t>。本合同价为杭州萧山国际机场内交货价，含产品价格、运输费、包装费、保险费、税费等所有费用。甲方不再承担其他任何费用。</w:t>
      </w:r>
    </w:p>
    <w:p>
      <w:pPr>
        <w:spacing w:line="276" w:lineRule="auto"/>
        <w:ind w:firstLine="405" w:firstLineChars="192"/>
        <w:rPr>
          <w:rFonts w:ascii="宋体" w:hAnsi="宋体"/>
          <w:b/>
          <w:szCs w:val="21"/>
          <w:u w:val="single"/>
        </w:rPr>
      </w:pPr>
      <w:r>
        <w:rPr>
          <w:rFonts w:hint="eastAsia" w:ascii="宋体" w:hAnsi="宋体"/>
          <w:b/>
          <w:szCs w:val="21"/>
          <w:u w:val="single"/>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276" w:lineRule="auto"/>
        <w:ind w:firstLine="602"/>
        <w:rPr>
          <w:rFonts w:ascii="宋体" w:hAnsi="宋体"/>
          <w:b/>
          <w:szCs w:val="21"/>
        </w:rPr>
      </w:pPr>
      <w:r>
        <w:rPr>
          <w:rFonts w:hint="eastAsia" w:ascii="宋体" w:hAnsi="宋体"/>
          <w:b/>
          <w:szCs w:val="21"/>
        </w:rPr>
        <w:t>三、技术资料</w:t>
      </w:r>
    </w:p>
    <w:p>
      <w:pPr>
        <w:adjustRightInd w:val="0"/>
        <w:snapToGrid w:val="0"/>
        <w:spacing w:line="276" w:lineRule="auto"/>
        <w:ind w:firstLine="420" w:firstLineChars="200"/>
        <w:rPr>
          <w:rFonts w:ascii="宋体" w:hAnsi="宋体"/>
          <w:szCs w:val="21"/>
        </w:rPr>
      </w:pPr>
      <w:r>
        <w:rPr>
          <w:rFonts w:hint="eastAsia" w:ascii="宋体" w:hAnsi="宋体"/>
          <w:szCs w:val="21"/>
        </w:rPr>
        <w:t>1.乙方应在交付合同产品时同时向甲方提供使用产品的有关技术资料。</w:t>
      </w:r>
    </w:p>
    <w:p>
      <w:pPr>
        <w:adjustRightInd w:val="0"/>
        <w:snapToGrid w:val="0"/>
        <w:spacing w:line="276" w:lineRule="auto"/>
        <w:ind w:firstLine="422" w:firstLineChars="200"/>
        <w:rPr>
          <w:rFonts w:ascii="宋体" w:hAnsi="宋体"/>
          <w:szCs w:val="21"/>
        </w:rPr>
      </w:pPr>
      <w:r>
        <w:rPr>
          <w:rFonts w:hint="eastAsia" w:ascii="宋体" w:hAnsi="宋体"/>
          <w:b/>
          <w:szCs w:val="21"/>
        </w:rPr>
        <w:t>2.</w:t>
      </w:r>
      <w:r>
        <w:rPr>
          <w:rFonts w:hint="eastAsia" w:ascii="宋体" w:hAnsi="宋体"/>
          <w:szCs w:val="21"/>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276" w:lineRule="auto"/>
        <w:ind w:firstLine="602"/>
        <w:rPr>
          <w:rFonts w:ascii="宋体" w:hAnsi="宋体"/>
          <w:b/>
          <w:szCs w:val="21"/>
        </w:rPr>
      </w:pPr>
      <w:r>
        <w:rPr>
          <w:rFonts w:hint="eastAsia" w:ascii="宋体" w:hAnsi="宋体"/>
          <w:b/>
          <w:szCs w:val="21"/>
        </w:rPr>
        <w:t>四、知识产权</w:t>
      </w:r>
    </w:p>
    <w:p>
      <w:pPr>
        <w:adjustRightInd w:val="0"/>
        <w:snapToGrid w:val="0"/>
        <w:spacing w:line="276" w:lineRule="auto"/>
        <w:ind w:firstLine="420" w:firstLineChars="200"/>
        <w:rPr>
          <w:rFonts w:ascii="宋体" w:hAnsi="宋体"/>
          <w:szCs w:val="21"/>
        </w:rPr>
      </w:pPr>
      <w:r>
        <w:rPr>
          <w:rFonts w:hint="eastAsia" w:ascii="宋体" w:hAnsi="宋体"/>
          <w:szCs w:val="21"/>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276" w:lineRule="auto"/>
        <w:ind w:firstLine="602"/>
        <w:rPr>
          <w:rFonts w:ascii="宋体" w:hAnsi="宋体"/>
          <w:b/>
          <w:szCs w:val="21"/>
        </w:rPr>
      </w:pPr>
      <w:r>
        <w:rPr>
          <w:rFonts w:hint="eastAsia" w:ascii="宋体" w:hAnsi="宋体"/>
          <w:b/>
          <w:szCs w:val="21"/>
        </w:rPr>
        <w:t>五、产权担保</w:t>
      </w:r>
    </w:p>
    <w:p>
      <w:pPr>
        <w:adjustRightInd w:val="0"/>
        <w:snapToGrid w:val="0"/>
        <w:spacing w:line="276" w:lineRule="auto"/>
        <w:ind w:firstLine="420" w:firstLineChars="200"/>
        <w:rPr>
          <w:rFonts w:ascii="宋体" w:hAnsi="宋体"/>
          <w:szCs w:val="21"/>
        </w:rPr>
      </w:pPr>
      <w:r>
        <w:rPr>
          <w:rFonts w:hint="eastAsia" w:ascii="宋体" w:hAnsi="宋体"/>
          <w:szCs w:val="21"/>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276" w:lineRule="auto"/>
        <w:ind w:firstLine="602"/>
        <w:outlineLvl w:val="0"/>
        <w:rPr>
          <w:rFonts w:ascii="宋体" w:hAnsi="宋体"/>
          <w:b/>
          <w:szCs w:val="21"/>
        </w:rPr>
      </w:pPr>
      <w:bookmarkStart w:id="47" w:name="_Toc13006"/>
      <w:bookmarkStart w:id="48" w:name="_Toc9351384"/>
      <w:r>
        <w:rPr>
          <w:rFonts w:hint="eastAsia" w:ascii="宋体" w:hAnsi="宋体"/>
          <w:b/>
          <w:szCs w:val="21"/>
        </w:rPr>
        <w:t>六、转包或分包</w:t>
      </w:r>
      <w:bookmarkEnd w:id="47"/>
      <w:bookmarkEnd w:id="48"/>
    </w:p>
    <w:p>
      <w:pPr>
        <w:adjustRightInd w:val="0"/>
        <w:snapToGrid w:val="0"/>
        <w:spacing w:line="276" w:lineRule="auto"/>
        <w:ind w:firstLine="420" w:firstLineChars="200"/>
        <w:rPr>
          <w:rFonts w:ascii="宋体" w:hAnsi="宋体"/>
          <w:szCs w:val="21"/>
        </w:rPr>
      </w:pPr>
      <w:r>
        <w:rPr>
          <w:rFonts w:hint="eastAsia" w:ascii="宋体" w:hAnsi="宋体"/>
          <w:szCs w:val="21"/>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276" w:lineRule="auto"/>
        <w:ind w:firstLine="420" w:firstLineChars="200"/>
        <w:rPr>
          <w:rFonts w:ascii="宋体" w:hAnsi="宋体"/>
          <w:szCs w:val="21"/>
        </w:rPr>
      </w:pPr>
      <w:r>
        <w:rPr>
          <w:rFonts w:hint="eastAsia" w:ascii="宋体" w:hAnsi="宋体"/>
          <w:szCs w:val="21"/>
        </w:rPr>
        <w:t>2.如有未经甲方书面同意的转让和分包行为，甲方有权解除合同，并有权要求乙方承担合同总金额【5%】的违约金。</w:t>
      </w:r>
    </w:p>
    <w:p>
      <w:pPr>
        <w:adjustRightInd w:val="0"/>
        <w:snapToGrid w:val="0"/>
        <w:spacing w:line="276" w:lineRule="auto"/>
        <w:ind w:firstLine="602"/>
        <w:outlineLvl w:val="0"/>
        <w:rPr>
          <w:rFonts w:ascii="宋体" w:hAnsi="宋体"/>
          <w:b/>
          <w:szCs w:val="21"/>
        </w:rPr>
      </w:pPr>
      <w:bookmarkStart w:id="49" w:name="_Toc9143"/>
      <w:bookmarkStart w:id="50" w:name="_Toc9351385"/>
      <w:r>
        <w:rPr>
          <w:rFonts w:hint="eastAsia" w:ascii="宋体" w:hAnsi="宋体"/>
          <w:b/>
          <w:szCs w:val="21"/>
        </w:rPr>
        <w:t>七、产品包装、发运及运输</w:t>
      </w:r>
      <w:bookmarkEnd w:id="49"/>
      <w:bookmarkEnd w:id="50"/>
    </w:p>
    <w:p>
      <w:pPr>
        <w:adjustRightInd w:val="0"/>
        <w:snapToGrid w:val="0"/>
        <w:spacing w:line="276" w:lineRule="auto"/>
        <w:ind w:firstLine="420" w:firstLineChars="200"/>
        <w:rPr>
          <w:rFonts w:ascii="宋体" w:hAnsi="宋体"/>
          <w:szCs w:val="21"/>
        </w:rPr>
      </w:pPr>
      <w:r>
        <w:rPr>
          <w:rFonts w:hint="eastAsia" w:ascii="宋体" w:hAnsi="宋体"/>
          <w:szCs w:val="21"/>
        </w:rPr>
        <w:t>1. 乙方应在产品发运前对其按满足运输距离、防潮、防震、防锈和防破损装卸等要求进行包装，以保证产品安全运达甲方指定地点。</w:t>
      </w:r>
    </w:p>
    <w:p>
      <w:pPr>
        <w:adjustRightInd w:val="0"/>
        <w:snapToGrid w:val="0"/>
        <w:spacing w:line="276" w:lineRule="auto"/>
        <w:ind w:firstLine="420" w:firstLineChars="200"/>
        <w:rPr>
          <w:rFonts w:ascii="宋体" w:hAnsi="宋体"/>
          <w:szCs w:val="21"/>
        </w:rPr>
      </w:pPr>
      <w:r>
        <w:rPr>
          <w:rFonts w:hint="eastAsia" w:ascii="宋体" w:hAnsi="宋体"/>
          <w:szCs w:val="21"/>
        </w:rPr>
        <w:t>2. 使用说明书、质量检验证明书、技术资料、随配附件和工具以及清单一并附于产品内同时向甲方交付。如资料和工具、附件不全的，视为乙方未完全履行交付义务。</w:t>
      </w:r>
    </w:p>
    <w:p>
      <w:pPr>
        <w:adjustRightInd w:val="0"/>
        <w:snapToGrid w:val="0"/>
        <w:spacing w:line="276" w:lineRule="auto"/>
        <w:ind w:firstLine="420" w:firstLineChars="200"/>
        <w:rPr>
          <w:rFonts w:ascii="宋体" w:hAnsi="宋体"/>
          <w:szCs w:val="21"/>
        </w:rPr>
      </w:pPr>
      <w:r>
        <w:rPr>
          <w:rFonts w:hint="eastAsia" w:ascii="宋体" w:hAnsi="宋体"/>
          <w:szCs w:val="21"/>
        </w:rPr>
        <w:t>3. 乙方在产品发运手续办理完毕后【2</w:t>
      </w:r>
      <w:r>
        <w:rPr>
          <w:rFonts w:ascii="宋体" w:hAnsi="宋体"/>
          <w:szCs w:val="21"/>
        </w:rPr>
        <w:t>4</w:t>
      </w:r>
      <w:r>
        <w:rPr>
          <w:rFonts w:hint="eastAsia" w:ascii="宋体" w:hAnsi="宋体"/>
          <w:szCs w:val="21"/>
        </w:rPr>
        <w:t>】小时内必须书面通知甲方，以便甲方准备接货。</w:t>
      </w:r>
    </w:p>
    <w:p>
      <w:pPr>
        <w:adjustRightInd w:val="0"/>
        <w:snapToGrid w:val="0"/>
        <w:spacing w:line="276" w:lineRule="auto"/>
        <w:ind w:firstLine="420" w:firstLineChars="200"/>
        <w:rPr>
          <w:rFonts w:ascii="宋体" w:hAnsi="宋体"/>
          <w:szCs w:val="21"/>
        </w:rPr>
      </w:pPr>
      <w:r>
        <w:rPr>
          <w:rFonts w:hint="eastAsia" w:ascii="宋体" w:hAnsi="宋体"/>
          <w:szCs w:val="21"/>
        </w:rPr>
        <w:t>4. 产品在本合同规定的交货地点交付甲方前发生的一切风险包括产品运输风险均由乙方负责。</w:t>
      </w:r>
    </w:p>
    <w:p>
      <w:pPr>
        <w:adjustRightInd w:val="0"/>
        <w:snapToGrid w:val="0"/>
        <w:spacing w:line="276" w:lineRule="auto"/>
        <w:ind w:firstLine="420" w:firstLineChars="200"/>
        <w:rPr>
          <w:rFonts w:ascii="宋体" w:hAnsi="宋体"/>
          <w:szCs w:val="21"/>
        </w:rPr>
      </w:pPr>
      <w:r>
        <w:rPr>
          <w:rFonts w:hint="eastAsia" w:ascii="宋体" w:hAnsi="宋体"/>
          <w:szCs w:val="21"/>
        </w:rPr>
        <w:t>5. 产品在规定的交付期限内由乙方送达甲方指定的交货地点并经甲方签收后视为交付，乙方同时必须在产品到达的当天立即通知甲方产品已送达。</w:t>
      </w:r>
    </w:p>
    <w:p>
      <w:pPr>
        <w:adjustRightInd w:val="0"/>
        <w:snapToGrid w:val="0"/>
        <w:spacing w:line="276" w:lineRule="auto"/>
        <w:ind w:firstLine="602"/>
        <w:outlineLvl w:val="0"/>
        <w:rPr>
          <w:rFonts w:ascii="宋体" w:hAnsi="宋体"/>
          <w:b/>
          <w:szCs w:val="21"/>
        </w:rPr>
      </w:pPr>
      <w:bookmarkStart w:id="51" w:name="_Toc25201"/>
      <w:bookmarkStart w:id="52" w:name="_Toc9351386"/>
      <w:r>
        <w:rPr>
          <w:rFonts w:hint="eastAsia" w:ascii="宋体" w:hAnsi="宋体"/>
          <w:b/>
          <w:szCs w:val="21"/>
        </w:rPr>
        <w:t>八、交货期、交货方式及交货地点</w:t>
      </w:r>
      <w:bookmarkEnd w:id="51"/>
      <w:bookmarkEnd w:id="52"/>
    </w:p>
    <w:p>
      <w:pPr>
        <w:adjustRightInd w:val="0"/>
        <w:snapToGrid w:val="0"/>
        <w:spacing w:line="276" w:lineRule="auto"/>
        <w:ind w:firstLine="420" w:firstLineChars="200"/>
        <w:rPr>
          <w:rFonts w:ascii="宋体" w:hAnsi="宋体"/>
          <w:szCs w:val="21"/>
        </w:rPr>
      </w:pPr>
      <w:r>
        <w:rPr>
          <w:rFonts w:hint="eastAsia" w:ascii="宋体" w:hAnsi="宋体"/>
          <w:szCs w:val="21"/>
        </w:rPr>
        <w:t>1. 交货期（含安装调试）：合同生效之日起【</w:t>
      </w:r>
      <w:r>
        <w:rPr>
          <w:rFonts w:ascii="宋体" w:hAnsi="宋体"/>
          <w:szCs w:val="21"/>
        </w:rPr>
        <w:t>30</w:t>
      </w:r>
      <w:r>
        <w:rPr>
          <w:rFonts w:hint="eastAsia" w:ascii="宋体" w:hAnsi="宋体"/>
          <w:szCs w:val="21"/>
        </w:rPr>
        <w:t>】个日历天</w:t>
      </w:r>
    </w:p>
    <w:p>
      <w:pPr>
        <w:adjustRightInd w:val="0"/>
        <w:snapToGrid w:val="0"/>
        <w:spacing w:line="276" w:lineRule="auto"/>
        <w:ind w:firstLine="420" w:firstLineChars="200"/>
        <w:rPr>
          <w:rFonts w:ascii="宋体" w:hAnsi="宋体"/>
          <w:szCs w:val="21"/>
        </w:rPr>
      </w:pPr>
      <w:r>
        <w:rPr>
          <w:rFonts w:hint="eastAsia" w:ascii="宋体" w:hAnsi="宋体"/>
          <w:szCs w:val="21"/>
        </w:rPr>
        <w:t>2. 交货方式：乙方送货上门</w:t>
      </w:r>
    </w:p>
    <w:p>
      <w:pPr>
        <w:adjustRightInd w:val="0"/>
        <w:snapToGrid w:val="0"/>
        <w:spacing w:line="276" w:lineRule="auto"/>
        <w:ind w:firstLine="420" w:firstLineChars="200"/>
        <w:rPr>
          <w:rFonts w:ascii="宋体" w:hAnsi="宋体"/>
          <w:szCs w:val="21"/>
        </w:rPr>
      </w:pPr>
      <w:r>
        <w:rPr>
          <w:rFonts w:hint="eastAsia" w:ascii="宋体" w:hAnsi="宋体"/>
          <w:szCs w:val="21"/>
        </w:rPr>
        <w:t>3. 交货地点：杭州萧山国际机场内</w:t>
      </w:r>
    </w:p>
    <w:p>
      <w:pPr>
        <w:adjustRightInd w:val="0"/>
        <w:snapToGrid w:val="0"/>
        <w:spacing w:line="276" w:lineRule="auto"/>
        <w:ind w:firstLine="602"/>
        <w:outlineLvl w:val="0"/>
        <w:rPr>
          <w:rFonts w:ascii="宋体" w:hAnsi="宋体"/>
          <w:b/>
          <w:szCs w:val="21"/>
        </w:rPr>
      </w:pPr>
      <w:bookmarkStart w:id="53" w:name="_Toc4179"/>
      <w:bookmarkStart w:id="54" w:name="_Toc9351387"/>
      <w:r>
        <w:rPr>
          <w:rFonts w:hint="eastAsia" w:ascii="宋体" w:hAnsi="宋体"/>
          <w:b/>
          <w:szCs w:val="21"/>
        </w:rPr>
        <w:t>九、安装与验收</w:t>
      </w:r>
      <w:bookmarkEnd w:id="53"/>
      <w:bookmarkEnd w:id="54"/>
    </w:p>
    <w:p>
      <w:pPr>
        <w:pStyle w:val="93"/>
        <w:adjustRightInd w:val="0"/>
        <w:snapToGrid w:val="0"/>
        <w:spacing w:line="276" w:lineRule="auto"/>
        <w:ind w:firstLine="422" w:firstLineChars="200"/>
        <w:rPr>
          <w:rFonts w:ascii="宋体" w:hAnsi="宋体"/>
          <w:szCs w:val="21"/>
        </w:rPr>
      </w:pPr>
      <w:r>
        <w:rPr>
          <w:rFonts w:hint="eastAsia" w:ascii="宋体" w:hAnsi="宋体"/>
          <w:b/>
          <w:szCs w:val="21"/>
        </w:rPr>
        <w:t>1.</w:t>
      </w:r>
      <w:r>
        <w:rPr>
          <w:rFonts w:hint="eastAsia" w:ascii="宋体" w:hAnsi="宋体"/>
          <w:szCs w:val="21"/>
        </w:rPr>
        <w:t>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w:t>
      </w:r>
      <w:r>
        <w:rPr>
          <w:rFonts w:ascii="宋体" w:hAnsi="宋体"/>
          <w:szCs w:val="21"/>
        </w:rPr>
        <w:t>3</w:t>
      </w:r>
      <w:r>
        <w:rPr>
          <w:rFonts w:hint="eastAsia" w:ascii="宋体" w:hAnsi="宋体"/>
          <w:szCs w:val="21"/>
        </w:rPr>
        <w:t>】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3】日内以书面方式向乙方提出相关异议。</w:t>
      </w:r>
    </w:p>
    <w:p>
      <w:pPr>
        <w:pStyle w:val="93"/>
        <w:adjustRightInd w:val="0"/>
        <w:snapToGrid w:val="0"/>
        <w:spacing w:line="276" w:lineRule="auto"/>
        <w:ind w:firstLine="422" w:firstLineChars="200"/>
        <w:rPr>
          <w:rFonts w:ascii="宋体" w:hAnsi="宋体"/>
          <w:szCs w:val="21"/>
        </w:rPr>
      </w:pPr>
      <w:r>
        <w:rPr>
          <w:rFonts w:hint="eastAsia" w:ascii="宋体" w:hAnsi="宋体"/>
          <w:b/>
          <w:szCs w:val="21"/>
        </w:rPr>
        <w:t>2.</w:t>
      </w:r>
      <w:r>
        <w:rPr>
          <w:rFonts w:hint="eastAsia" w:ascii="宋体" w:hAnsi="宋体"/>
          <w:szCs w:val="21"/>
        </w:rPr>
        <w:t>乙方交货前应对产品作出全面检查和对验收文件进行整理，并列出清单，作为甲方收货验收和使用的技术条件依据，乙方检验的结果应随货物交甲方。</w:t>
      </w:r>
    </w:p>
    <w:p>
      <w:pPr>
        <w:pStyle w:val="93"/>
        <w:adjustRightInd w:val="0"/>
        <w:snapToGrid w:val="0"/>
        <w:spacing w:line="276" w:lineRule="auto"/>
        <w:ind w:firstLine="422" w:firstLineChars="200"/>
        <w:rPr>
          <w:rFonts w:ascii="宋体" w:hAnsi="宋体"/>
          <w:szCs w:val="21"/>
        </w:rPr>
      </w:pPr>
      <w:r>
        <w:rPr>
          <w:rFonts w:hint="eastAsia" w:ascii="宋体" w:hAnsi="宋体"/>
          <w:b/>
          <w:szCs w:val="21"/>
        </w:rPr>
        <w:t>3.</w:t>
      </w:r>
      <w:r>
        <w:rPr>
          <w:rFonts w:hint="eastAsia" w:ascii="宋体" w:hAnsi="宋体"/>
          <w:szCs w:val="21"/>
        </w:rPr>
        <w:t>乙方应当在收到甲方前述第1款异议之日起【</w:t>
      </w:r>
      <w:r>
        <w:rPr>
          <w:rFonts w:ascii="宋体" w:hAnsi="宋体"/>
          <w:szCs w:val="21"/>
        </w:rPr>
        <w:t>3</w:t>
      </w:r>
      <w:r>
        <w:rPr>
          <w:rFonts w:hint="eastAsia" w:ascii="宋体" w:hAnsi="宋体"/>
          <w:szCs w:val="21"/>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93"/>
        <w:adjustRightInd w:val="0"/>
        <w:snapToGrid w:val="0"/>
        <w:spacing w:line="276" w:lineRule="auto"/>
        <w:ind w:firstLine="422" w:firstLineChars="200"/>
        <w:rPr>
          <w:rFonts w:ascii="宋体" w:hAnsi="宋体"/>
          <w:szCs w:val="21"/>
        </w:rPr>
      </w:pPr>
      <w:r>
        <w:rPr>
          <w:rFonts w:ascii="宋体" w:hAnsi="宋体"/>
          <w:b/>
          <w:szCs w:val="21"/>
        </w:rPr>
        <w:t>4.</w:t>
      </w:r>
      <w:r>
        <w:rPr>
          <w:rFonts w:hint="eastAsia" w:ascii="宋体" w:hAnsi="宋体"/>
          <w:szCs w:val="21"/>
        </w:rPr>
        <w:t>验收要求：混音台更新后，公司五楼会议室24路话筒声音正常输出。</w:t>
      </w:r>
      <w:r>
        <w:rPr>
          <w:rFonts w:hint="eastAsia" w:cs="Arial"/>
          <w:sz w:val="22"/>
        </w:rPr>
        <w:t>投影机工作稳定，画面能铺满整个幕布，清晰不抖动。录播器能正常工作，画质清晰，声音正常。</w:t>
      </w:r>
    </w:p>
    <w:p>
      <w:pPr>
        <w:adjustRightInd w:val="0"/>
        <w:snapToGrid w:val="0"/>
        <w:spacing w:line="276" w:lineRule="auto"/>
        <w:ind w:firstLine="422" w:firstLineChars="200"/>
        <w:outlineLvl w:val="0"/>
        <w:rPr>
          <w:rFonts w:ascii="宋体" w:hAnsi="宋体"/>
          <w:b/>
          <w:szCs w:val="21"/>
        </w:rPr>
      </w:pPr>
      <w:bookmarkStart w:id="55" w:name="_Toc9351388"/>
      <w:bookmarkStart w:id="56" w:name="_Toc11562"/>
      <w:r>
        <w:rPr>
          <w:rFonts w:hint="eastAsia" w:ascii="宋体" w:hAnsi="宋体"/>
          <w:b/>
          <w:szCs w:val="21"/>
        </w:rPr>
        <w:t>十、货款支付</w:t>
      </w:r>
      <w:bookmarkEnd w:id="55"/>
      <w:bookmarkEnd w:id="56"/>
    </w:p>
    <w:p>
      <w:pPr>
        <w:adjustRightInd w:val="0"/>
        <w:snapToGrid w:val="0"/>
        <w:spacing w:line="276" w:lineRule="auto"/>
        <w:ind w:firstLine="420" w:firstLineChars="200"/>
        <w:rPr>
          <w:rFonts w:ascii="宋体" w:hAnsi="宋体"/>
          <w:szCs w:val="21"/>
          <w:u w:val="single"/>
        </w:rPr>
      </w:pPr>
      <w:r>
        <w:rPr>
          <w:rFonts w:hint="eastAsia" w:ascii="宋体" w:hAnsi="宋体"/>
          <w:szCs w:val="21"/>
          <w:u w:val="single"/>
        </w:rPr>
        <w:t>1</w:t>
      </w:r>
      <w:r>
        <w:rPr>
          <w:rFonts w:ascii="宋体" w:hAnsi="宋体"/>
          <w:szCs w:val="21"/>
          <w:u w:val="single"/>
        </w:rPr>
        <w:t>.</w:t>
      </w:r>
      <w:r>
        <w:rPr>
          <w:rFonts w:hint="eastAsia" w:ascii="宋体" w:hAnsi="宋体"/>
          <w:szCs w:val="21"/>
          <w:u w:val="single"/>
        </w:rPr>
        <w:t>设备在到货、安装调试完成且经甲方验收合格后1</w:t>
      </w:r>
      <w:r>
        <w:rPr>
          <w:rFonts w:ascii="宋体" w:hAnsi="宋体"/>
          <w:szCs w:val="21"/>
          <w:u w:val="single"/>
        </w:rPr>
        <w:t>5</w:t>
      </w:r>
      <w:r>
        <w:rPr>
          <w:rFonts w:hint="eastAsia" w:ascii="宋体" w:hAnsi="宋体"/>
          <w:szCs w:val="21"/>
          <w:u w:val="single"/>
        </w:rPr>
        <w:t>日内，甲方凭乙方开具的全额增值税专用发票支付乙方合同总金额的</w:t>
      </w:r>
      <w:r>
        <w:rPr>
          <w:rFonts w:ascii="宋体" w:hAnsi="宋体"/>
          <w:szCs w:val="21"/>
          <w:u w:val="single"/>
        </w:rPr>
        <w:t>95</w:t>
      </w:r>
      <w:r>
        <w:rPr>
          <w:rFonts w:hint="eastAsia" w:ascii="宋体" w:hAnsi="宋体"/>
          <w:szCs w:val="21"/>
          <w:u w:val="single"/>
        </w:rPr>
        <w:t>%。</w:t>
      </w:r>
    </w:p>
    <w:p>
      <w:pPr>
        <w:adjustRightInd w:val="0"/>
        <w:snapToGrid w:val="0"/>
        <w:spacing w:line="276" w:lineRule="auto"/>
        <w:ind w:firstLine="420" w:firstLineChars="200"/>
        <w:rPr>
          <w:rFonts w:ascii="宋体" w:hAnsi="宋体"/>
          <w:szCs w:val="21"/>
        </w:rPr>
      </w:pPr>
      <w:r>
        <w:rPr>
          <w:rFonts w:hint="eastAsia" w:ascii="宋体" w:hAnsi="宋体"/>
          <w:szCs w:val="21"/>
          <w:u w:val="single"/>
        </w:rPr>
        <w:t>2</w:t>
      </w:r>
      <w:r>
        <w:rPr>
          <w:rFonts w:ascii="宋体" w:hAnsi="宋体"/>
          <w:szCs w:val="21"/>
          <w:u w:val="single"/>
        </w:rPr>
        <w:t>.</w:t>
      </w:r>
      <w:r>
        <w:rPr>
          <w:rFonts w:hint="eastAsia" w:ascii="宋体" w:hAnsi="宋体"/>
          <w:szCs w:val="21"/>
          <w:u w:val="single"/>
        </w:rPr>
        <w:t>合同总金额的5</w:t>
      </w:r>
      <w:r>
        <w:rPr>
          <w:rFonts w:ascii="宋体" w:hAnsi="宋体"/>
          <w:szCs w:val="21"/>
          <w:u w:val="single"/>
        </w:rPr>
        <w:t>%</w:t>
      </w:r>
      <w:r>
        <w:rPr>
          <w:rFonts w:hint="eastAsia" w:ascii="宋体" w:hAnsi="宋体"/>
          <w:szCs w:val="21"/>
          <w:u w:val="single"/>
        </w:rPr>
        <w:t>在免费质量保证期满且经甲方确认乙方无任何违约行为后1</w:t>
      </w:r>
      <w:r>
        <w:rPr>
          <w:rFonts w:ascii="宋体" w:hAnsi="宋体"/>
          <w:szCs w:val="21"/>
          <w:u w:val="single"/>
        </w:rPr>
        <w:t>5</w:t>
      </w:r>
      <w:r>
        <w:rPr>
          <w:rFonts w:hint="eastAsia" w:ascii="宋体" w:hAnsi="宋体"/>
          <w:szCs w:val="21"/>
          <w:u w:val="single"/>
        </w:rPr>
        <w:t xml:space="preserve">日内支付。 </w:t>
      </w:r>
    </w:p>
    <w:p>
      <w:pPr>
        <w:pStyle w:val="42"/>
        <w:spacing w:before="150" w:after="150" w:line="276" w:lineRule="auto"/>
        <w:ind w:firstLine="422" w:firstLineChars="200"/>
        <w:rPr>
          <w:b/>
          <w:color w:val="444444"/>
          <w:sz w:val="21"/>
          <w:szCs w:val="21"/>
          <w:lang w:val="zh-CN"/>
        </w:rPr>
      </w:pPr>
      <w:r>
        <w:rPr>
          <w:rFonts w:hint="eastAsia"/>
          <w:b/>
          <w:color w:val="444444"/>
          <w:sz w:val="21"/>
          <w:szCs w:val="21"/>
        </w:rPr>
        <w:t>十一、</w:t>
      </w:r>
      <w:r>
        <w:rPr>
          <w:rFonts w:hint="eastAsia"/>
          <w:b/>
          <w:color w:val="444444"/>
          <w:sz w:val="21"/>
          <w:szCs w:val="21"/>
          <w:lang w:val="zh-CN"/>
        </w:rPr>
        <w:t>履约保证金</w:t>
      </w:r>
    </w:p>
    <w:p>
      <w:pPr>
        <w:adjustRightInd w:val="0"/>
        <w:snapToGrid w:val="0"/>
        <w:spacing w:line="276" w:lineRule="auto"/>
        <w:ind w:firstLine="420" w:firstLineChars="200"/>
        <w:rPr>
          <w:rFonts w:ascii="宋体" w:hAnsi="宋体"/>
          <w:szCs w:val="21"/>
        </w:rPr>
      </w:pPr>
      <w:r>
        <w:rPr>
          <w:rFonts w:hint="eastAsia" w:ascii="宋体" w:hAnsi="宋体"/>
          <w:szCs w:val="21"/>
        </w:rPr>
        <w:t>1．乙方应在收到甲方中标通知书后【</w:t>
      </w:r>
      <w:r>
        <w:rPr>
          <w:rFonts w:ascii="宋体" w:hAnsi="宋体"/>
          <w:szCs w:val="21"/>
        </w:rPr>
        <w:t>10</w:t>
      </w:r>
      <w:r>
        <w:rPr>
          <w:rFonts w:hint="eastAsia" w:ascii="宋体" w:hAnsi="宋体"/>
          <w:szCs w:val="21"/>
        </w:rPr>
        <w:t>】日内，向甲方支付合同总价的【</w:t>
      </w:r>
      <w:r>
        <w:rPr>
          <w:rFonts w:ascii="宋体" w:hAnsi="宋体"/>
          <w:szCs w:val="21"/>
        </w:rPr>
        <w:t>10</w:t>
      </w:r>
      <w:r>
        <w:rPr>
          <w:rFonts w:hint="eastAsia" w:ascii="宋体" w:hAnsi="宋体"/>
          <w:szCs w:val="21"/>
        </w:rPr>
        <w:t>%】作为履约保证金。如果逾期未缴纳，甲方有权解除本合同，并要求乙方承担由此给甲方造成的损失。</w:t>
      </w:r>
    </w:p>
    <w:p>
      <w:pPr>
        <w:adjustRightInd w:val="0"/>
        <w:snapToGrid w:val="0"/>
        <w:spacing w:line="276" w:lineRule="auto"/>
        <w:ind w:firstLine="420" w:firstLineChars="200"/>
        <w:rPr>
          <w:rFonts w:ascii="宋体" w:hAnsi="宋体"/>
          <w:szCs w:val="21"/>
        </w:rPr>
      </w:pPr>
      <w:r>
        <w:rPr>
          <w:rFonts w:hint="eastAsia" w:ascii="宋体" w:hAnsi="宋体"/>
          <w:szCs w:val="21"/>
        </w:rPr>
        <w:t>2．在合同履行期间，如果乙方存在违约情形，甲方有权优先从履约保证金中扣除相应款项，并书面通知乙方。乙方自收到书面通知之日起【</w:t>
      </w:r>
      <w:r>
        <w:rPr>
          <w:rFonts w:ascii="宋体" w:hAnsi="宋体"/>
          <w:szCs w:val="21"/>
        </w:rPr>
        <w:t>5</w:t>
      </w:r>
      <w:r>
        <w:rPr>
          <w:rFonts w:hint="eastAsia" w:ascii="宋体" w:hAnsi="宋体"/>
          <w:szCs w:val="21"/>
        </w:rPr>
        <w:t xml:space="preserve">】日内补足履约保证金。如果乙方不及时补足履约保证金，视为乙方违约，甲方有权解除合同，并要求乙方承担相应的违约责任。待合同约定服务内容全部履行并完毕，乙方不存在任何违约情形并收到甲方书面认可后【 </w:t>
      </w:r>
      <w:r>
        <w:rPr>
          <w:rFonts w:ascii="宋体" w:hAnsi="宋体"/>
          <w:szCs w:val="21"/>
        </w:rPr>
        <w:t>3</w:t>
      </w:r>
      <w:r>
        <w:rPr>
          <w:rFonts w:hint="eastAsia" w:ascii="宋体" w:hAnsi="宋体"/>
          <w:szCs w:val="21"/>
        </w:rPr>
        <w:t>】日内，甲方无息返还履约保证金。</w:t>
      </w:r>
    </w:p>
    <w:p>
      <w:pPr>
        <w:adjustRightInd w:val="0"/>
        <w:snapToGrid w:val="0"/>
        <w:spacing w:line="276" w:lineRule="auto"/>
        <w:ind w:firstLine="602"/>
        <w:outlineLvl w:val="0"/>
        <w:rPr>
          <w:rFonts w:ascii="宋体" w:hAnsi="宋体"/>
          <w:b/>
          <w:szCs w:val="21"/>
        </w:rPr>
      </w:pPr>
      <w:bookmarkStart w:id="57" w:name="_Toc9351389"/>
      <w:bookmarkStart w:id="58" w:name="_Toc29986"/>
      <w:r>
        <w:rPr>
          <w:rFonts w:hint="eastAsia" w:ascii="宋体" w:hAnsi="宋体"/>
          <w:b/>
          <w:szCs w:val="21"/>
        </w:rPr>
        <w:t>十二、免费质保期及服务内容</w:t>
      </w:r>
      <w:bookmarkEnd w:id="57"/>
      <w:bookmarkEnd w:id="58"/>
    </w:p>
    <w:p>
      <w:pPr>
        <w:adjustRightInd w:val="0"/>
        <w:snapToGrid w:val="0"/>
        <w:spacing w:line="276" w:lineRule="auto"/>
        <w:ind w:firstLine="420" w:firstLineChars="200"/>
        <w:rPr>
          <w:rFonts w:ascii="宋体" w:hAnsi="宋体"/>
          <w:szCs w:val="21"/>
        </w:rPr>
      </w:pPr>
      <w:r>
        <w:rPr>
          <w:rFonts w:hint="eastAsia" w:ascii="宋体" w:hAnsi="宋体"/>
          <w:szCs w:val="21"/>
        </w:rPr>
        <w:t>1.乙方保证其所供应的产品符合相关产品质量标准，不存在任何质量瑕疵或因质量瑕疵而导致的安全隐患，且为未经使用的全新产品。</w:t>
      </w:r>
    </w:p>
    <w:p>
      <w:pPr>
        <w:adjustRightInd w:val="0"/>
        <w:snapToGrid w:val="0"/>
        <w:spacing w:line="276" w:lineRule="auto"/>
        <w:ind w:firstLine="420" w:firstLineChars="200"/>
        <w:rPr>
          <w:rFonts w:ascii="宋体" w:hAnsi="宋体"/>
          <w:szCs w:val="21"/>
        </w:rPr>
      </w:pPr>
      <w:r>
        <w:rPr>
          <w:rFonts w:hint="eastAsia" w:ascii="宋体" w:hAnsi="宋体"/>
          <w:szCs w:val="21"/>
        </w:rPr>
        <w:t>2.乙方应为产品提供【 12】个月的免费质保期(含工时费和零部件费)，时间自甲方最终签署安装验收合格报告之日起计算。</w:t>
      </w:r>
    </w:p>
    <w:p>
      <w:pPr>
        <w:adjustRightInd w:val="0"/>
        <w:snapToGrid w:val="0"/>
        <w:spacing w:line="276" w:lineRule="auto"/>
        <w:ind w:firstLine="420" w:firstLineChars="200"/>
        <w:rPr>
          <w:rFonts w:ascii="宋体" w:hAnsi="宋体"/>
          <w:szCs w:val="21"/>
        </w:rPr>
      </w:pPr>
      <w:r>
        <w:rPr>
          <w:rFonts w:hint="eastAsia" w:ascii="宋体" w:hAnsi="宋体"/>
          <w:szCs w:val="21"/>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276" w:lineRule="auto"/>
        <w:ind w:firstLine="420" w:firstLineChars="200"/>
        <w:rPr>
          <w:rFonts w:ascii="宋体" w:hAnsi="宋体"/>
          <w:szCs w:val="21"/>
        </w:rPr>
      </w:pPr>
      <w:r>
        <w:rPr>
          <w:rFonts w:hint="eastAsia" w:ascii="宋体" w:hAnsi="宋体"/>
          <w:szCs w:val="21"/>
        </w:rPr>
        <w:t>4.产品故障报修的响应时间：应在接到产品故障报修后4小时内响应，1个工作日内到达现场，2个工作日内处理完毕。若故障检修2个工作日后仍无法排除的，乙方应在故障报修2个工作日后的1个工作日内提供不低于故障规格型号档次的替代产品供甲方使用。</w:t>
      </w:r>
    </w:p>
    <w:p>
      <w:pPr>
        <w:adjustRightInd w:val="0"/>
        <w:snapToGrid w:val="0"/>
        <w:spacing w:line="276" w:lineRule="auto"/>
        <w:ind w:firstLine="420" w:firstLineChars="200"/>
        <w:rPr>
          <w:rFonts w:ascii="宋体" w:hAnsi="宋体"/>
          <w:szCs w:val="21"/>
        </w:rPr>
      </w:pPr>
      <w:r>
        <w:rPr>
          <w:rFonts w:hint="eastAsia" w:ascii="宋体" w:hAnsi="宋体"/>
          <w:szCs w:val="21"/>
        </w:rPr>
        <w:t>5.免费质保期结束的【  3】天前，乙方负责对产品进行一次全面的检修和维护，并由甲方验收认可。甲方验收认可并不免除乙方对于验收认可后发生的但尚在质保期限内的产品故障或损坏的维修、退换货义务。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276" w:lineRule="auto"/>
        <w:ind w:firstLine="420" w:firstLineChars="200"/>
        <w:rPr>
          <w:rFonts w:ascii="宋体" w:hAnsi="宋体"/>
          <w:szCs w:val="21"/>
        </w:rPr>
      </w:pPr>
      <w:r>
        <w:rPr>
          <w:rFonts w:hint="eastAsia" w:ascii="宋体" w:hAnsi="宋体"/>
          <w:szCs w:val="21"/>
        </w:rPr>
        <w:t>6.若乙方提供的产品属于伪劣产品或者假冒产品或者欺诈甲方，使得甲方遭受损失，乙方应向甲方承担违约责任，同时，甲方可依法寻求其他法律救济。</w:t>
      </w:r>
    </w:p>
    <w:p>
      <w:pPr>
        <w:adjustRightInd w:val="0"/>
        <w:snapToGrid w:val="0"/>
        <w:spacing w:line="276" w:lineRule="auto"/>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u w:val="single"/>
        </w:rPr>
        <w:t>若乙方所供产品被查出全部或者部分是次品、旧品、水货、侵犯知识产权的产品的，则乙方应自发现之日起（或者故障报修之日起满3个月后）3个工作日内对产品进行更换，且更换的产品应为不低于原产品型号、质量、配置、性能和售后服务的产品,没收履约保证金。</w:t>
      </w:r>
    </w:p>
    <w:p>
      <w:pPr>
        <w:adjustRightInd w:val="0"/>
        <w:snapToGrid w:val="0"/>
        <w:spacing w:line="276" w:lineRule="auto"/>
        <w:ind w:firstLine="602"/>
        <w:outlineLvl w:val="0"/>
        <w:rPr>
          <w:rFonts w:ascii="宋体" w:hAnsi="宋体"/>
          <w:b/>
          <w:szCs w:val="21"/>
        </w:rPr>
      </w:pPr>
      <w:bookmarkStart w:id="59" w:name="_Toc19444"/>
      <w:bookmarkStart w:id="60" w:name="_Toc9351390"/>
      <w:r>
        <w:rPr>
          <w:rFonts w:hint="eastAsia" w:ascii="宋体" w:hAnsi="宋体"/>
          <w:b/>
          <w:szCs w:val="21"/>
        </w:rPr>
        <w:t>十三、违约责任</w:t>
      </w:r>
      <w:bookmarkEnd w:id="59"/>
      <w:bookmarkEnd w:id="60"/>
    </w:p>
    <w:p>
      <w:pPr>
        <w:adjustRightInd w:val="0"/>
        <w:snapToGrid w:val="0"/>
        <w:spacing w:line="276" w:lineRule="auto"/>
        <w:ind w:firstLine="420" w:firstLineChars="200"/>
        <w:rPr>
          <w:rFonts w:ascii="宋体" w:hAnsi="宋体"/>
          <w:szCs w:val="21"/>
        </w:rPr>
      </w:pPr>
      <w:r>
        <w:rPr>
          <w:rFonts w:hint="eastAsia" w:ascii="宋体" w:hAnsi="宋体"/>
          <w:szCs w:val="21"/>
        </w:rPr>
        <w:t>1. 甲方无故逾期支付货款的,甲方应按逾期付款总额每日【0.05】%向乙方支付违约金。</w:t>
      </w:r>
    </w:p>
    <w:p>
      <w:pPr>
        <w:adjustRightInd w:val="0"/>
        <w:snapToGrid w:val="0"/>
        <w:spacing w:line="276" w:lineRule="auto"/>
        <w:ind w:firstLine="420" w:firstLineChars="200"/>
        <w:rPr>
          <w:rFonts w:ascii="宋体" w:hAnsi="宋体"/>
          <w:szCs w:val="21"/>
        </w:rPr>
      </w:pPr>
      <w:r>
        <w:rPr>
          <w:rFonts w:hint="eastAsia" w:ascii="宋体" w:hAnsi="宋体"/>
          <w:szCs w:val="21"/>
        </w:rPr>
        <w:t xml:space="preserve">2. 乙方逾期交付产品和本合同规定的文件资料的，或者未按甲方时间要求完成安装调试并通过甲方终验收的，乙方应按合同总额每日【0.05】%向甲方支付违约金，由甲方从货款中扣除。逾期超过约定日期【 10】个工作日的，甲方可解除本合同。乙方因逾期交货或因其他违约行为导致甲方解除合同的，乙方应向甲方支付合同总额【 5】%的违约金，且全额没收乙方的履约保证金，如造成甲方损失超过违约金的，超出部分由乙方继续承担赔偿责任。 </w:t>
      </w:r>
    </w:p>
    <w:p>
      <w:pPr>
        <w:adjustRightInd w:val="0"/>
        <w:snapToGrid w:val="0"/>
        <w:spacing w:line="276" w:lineRule="auto"/>
        <w:ind w:firstLine="420" w:firstLineChars="200"/>
        <w:rPr>
          <w:rFonts w:ascii="宋体" w:hAnsi="宋体"/>
          <w:szCs w:val="21"/>
        </w:rPr>
      </w:pPr>
      <w:r>
        <w:rPr>
          <w:rFonts w:hint="eastAsia" w:ascii="宋体" w:hAnsi="宋体"/>
          <w:szCs w:val="21"/>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276" w:lineRule="auto"/>
        <w:ind w:firstLine="420" w:firstLineChars="200"/>
        <w:rPr>
          <w:rFonts w:ascii="宋体" w:hAnsi="宋体"/>
          <w:szCs w:val="21"/>
        </w:rPr>
      </w:pPr>
      <w:r>
        <w:rPr>
          <w:rFonts w:hint="eastAsia" w:ascii="宋体" w:hAnsi="宋体"/>
          <w:szCs w:val="21"/>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276" w:lineRule="auto"/>
        <w:ind w:firstLine="420" w:firstLineChars="200"/>
        <w:rPr>
          <w:rFonts w:ascii="宋体" w:hAnsi="宋体"/>
          <w:szCs w:val="21"/>
        </w:rPr>
      </w:pPr>
      <w:r>
        <w:rPr>
          <w:rFonts w:hint="eastAsia" w:ascii="宋体" w:hAnsi="宋体"/>
          <w:szCs w:val="21"/>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276" w:lineRule="auto"/>
        <w:ind w:firstLine="420" w:firstLineChars="200"/>
        <w:rPr>
          <w:rFonts w:ascii="宋体" w:hAnsi="宋体"/>
          <w:szCs w:val="21"/>
        </w:rPr>
      </w:pPr>
      <w:r>
        <w:rPr>
          <w:rFonts w:hint="eastAsia" w:ascii="宋体" w:hAnsi="宋体"/>
          <w:szCs w:val="21"/>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276" w:lineRule="auto"/>
        <w:ind w:firstLine="420" w:firstLineChars="200"/>
        <w:rPr>
          <w:rFonts w:ascii="宋体" w:hAnsi="宋体"/>
          <w:szCs w:val="21"/>
        </w:rPr>
      </w:pPr>
      <w:r>
        <w:rPr>
          <w:rFonts w:hint="eastAsia" w:ascii="宋体" w:hAnsi="宋体"/>
          <w:szCs w:val="21"/>
        </w:rPr>
        <w:t>7．对于本合同项下乙方应支付的赔偿款或违约金，甲方有权从应付乙方的货款及履约保证金中直接扣除，不足的部分，继续向乙方追偿。</w:t>
      </w:r>
    </w:p>
    <w:p>
      <w:pPr>
        <w:adjustRightInd w:val="0"/>
        <w:snapToGrid w:val="0"/>
        <w:spacing w:line="276" w:lineRule="auto"/>
        <w:ind w:firstLine="602"/>
        <w:outlineLvl w:val="0"/>
        <w:rPr>
          <w:rFonts w:ascii="宋体" w:hAnsi="宋体"/>
          <w:b/>
          <w:szCs w:val="21"/>
        </w:rPr>
      </w:pPr>
      <w:bookmarkStart w:id="61" w:name="_Toc9351391"/>
      <w:bookmarkStart w:id="62" w:name="_Toc23744"/>
      <w:r>
        <w:rPr>
          <w:rFonts w:hint="eastAsia" w:ascii="宋体" w:hAnsi="宋体"/>
          <w:b/>
          <w:szCs w:val="21"/>
        </w:rPr>
        <w:t>十四、不可抗力事件处理</w:t>
      </w:r>
      <w:bookmarkEnd w:id="61"/>
      <w:bookmarkEnd w:id="62"/>
    </w:p>
    <w:p>
      <w:pPr>
        <w:adjustRightInd w:val="0"/>
        <w:snapToGrid w:val="0"/>
        <w:spacing w:line="276" w:lineRule="auto"/>
        <w:ind w:firstLine="420" w:firstLineChars="200"/>
        <w:rPr>
          <w:rFonts w:ascii="宋体" w:hAnsi="宋体"/>
          <w:szCs w:val="21"/>
        </w:rPr>
      </w:pPr>
      <w:r>
        <w:rPr>
          <w:rFonts w:hint="eastAsia" w:ascii="宋体" w:hAnsi="宋体"/>
          <w:szCs w:val="21"/>
        </w:rPr>
        <w:t>1. 在合同有效期内，任何一方因不可抗力事件导致不能履行合同，则合同履行期可延长，其延长期与不可抗力影响期相同。</w:t>
      </w:r>
    </w:p>
    <w:p>
      <w:pPr>
        <w:adjustRightInd w:val="0"/>
        <w:snapToGrid w:val="0"/>
        <w:spacing w:line="276" w:lineRule="auto"/>
        <w:ind w:firstLine="420" w:firstLineChars="200"/>
        <w:rPr>
          <w:rFonts w:ascii="宋体" w:hAnsi="宋体"/>
          <w:szCs w:val="21"/>
        </w:rPr>
      </w:pPr>
      <w:r>
        <w:rPr>
          <w:rFonts w:hint="eastAsia" w:ascii="宋体" w:hAnsi="宋体"/>
          <w:szCs w:val="21"/>
        </w:rPr>
        <w:t>2. 不可抗力事件发生后，遭遇不可抗力的一方应立即通知对方，并寄送有关官方权威机构出具的证明。</w:t>
      </w:r>
    </w:p>
    <w:p>
      <w:pPr>
        <w:spacing w:line="276" w:lineRule="auto"/>
        <w:ind w:firstLine="399" w:firstLineChars="190"/>
        <w:rPr>
          <w:rFonts w:ascii="宋体" w:hAnsi="宋体"/>
          <w:szCs w:val="21"/>
        </w:rPr>
      </w:pPr>
      <w:r>
        <w:rPr>
          <w:rFonts w:hint="eastAsia" w:ascii="宋体" w:hAnsi="宋体"/>
          <w:szCs w:val="21"/>
        </w:rPr>
        <w:t>3. 不可抗力事件延续【140 】天以上，双方应通过友好协商，确定是否继续履行合同；协商无法达成一致的，本合同自动终止，双方互不承担赔偿或违约责任。</w:t>
      </w:r>
    </w:p>
    <w:p>
      <w:pPr>
        <w:adjustRightInd w:val="0"/>
        <w:snapToGrid w:val="0"/>
        <w:spacing w:line="276" w:lineRule="auto"/>
        <w:ind w:firstLine="211" w:firstLineChars="100"/>
        <w:rPr>
          <w:rFonts w:ascii="宋体" w:hAnsi="宋体"/>
          <w:b/>
          <w:szCs w:val="21"/>
        </w:rPr>
      </w:pPr>
      <w:r>
        <w:rPr>
          <w:rFonts w:hint="eastAsia" w:ascii="宋体" w:hAnsi="宋体"/>
          <w:b/>
          <w:szCs w:val="21"/>
        </w:rPr>
        <w:t>十五、争议解决</w:t>
      </w:r>
    </w:p>
    <w:p>
      <w:pPr>
        <w:adjustRightInd w:val="0"/>
        <w:snapToGrid w:val="0"/>
        <w:spacing w:line="276" w:lineRule="auto"/>
        <w:ind w:firstLine="420" w:firstLineChars="200"/>
        <w:rPr>
          <w:rFonts w:ascii="宋体" w:hAnsi="宋体"/>
          <w:szCs w:val="21"/>
        </w:rPr>
      </w:pPr>
      <w:r>
        <w:rPr>
          <w:rFonts w:hint="eastAsia" w:ascii="宋体" w:hAnsi="宋体"/>
          <w:szCs w:val="21"/>
        </w:rPr>
        <w:t>双方在执行合同中所发生的一切争议，应通过协商解决。如协商不成，由甲方所在地的人民法院管辖审理。</w:t>
      </w:r>
    </w:p>
    <w:p>
      <w:pPr>
        <w:adjustRightInd w:val="0"/>
        <w:snapToGrid w:val="0"/>
        <w:spacing w:line="276" w:lineRule="auto"/>
        <w:ind w:firstLine="422" w:firstLineChars="200"/>
        <w:rPr>
          <w:rFonts w:ascii="宋体" w:hAnsi="宋体"/>
          <w:b/>
          <w:szCs w:val="21"/>
        </w:rPr>
      </w:pPr>
      <w:r>
        <w:rPr>
          <w:rFonts w:hint="eastAsia" w:ascii="宋体" w:hAnsi="宋体"/>
          <w:b/>
          <w:szCs w:val="21"/>
        </w:rPr>
        <w:t>十六、合同组成文件包含下列内容，且解释顺序如下：</w:t>
      </w:r>
    </w:p>
    <w:p>
      <w:pPr>
        <w:adjustRightInd w:val="0"/>
        <w:snapToGrid w:val="0"/>
        <w:spacing w:line="276" w:lineRule="auto"/>
        <w:ind w:firstLine="420" w:firstLineChars="200"/>
        <w:rPr>
          <w:rFonts w:ascii="宋体" w:hAnsi="宋体"/>
          <w:szCs w:val="21"/>
        </w:rPr>
      </w:pPr>
      <w:r>
        <w:rPr>
          <w:rFonts w:hint="eastAsia" w:ascii="宋体" w:hAnsi="宋体"/>
          <w:szCs w:val="21"/>
        </w:rPr>
        <w:t>1.本合同协议书</w:t>
      </w:r>
    </w:p>
    <w:p>
      <w:pPr>
        <w:adjustRightInd w:val="0"/>
        <w:snapToGrid w:val="0"/>
        <w:spacing w:line="276" w:lineRule="auto"/>
        <w:ind w:firstLine="420" w:firstLineChars="200"/>
        <w:rPr>
          <w:rFonts w:ascii="宋体" w:hAnsi="宋体"/>
          <w:szCs w:val="21"/>
        </w:rPr>
      </w:pPr>
      <w:r>
        <w:rPr>
          <w:rFonts w:hint="eastAsia" w:ascii="宋体" w:hAnsi="宋体"/>
          <w:szCs w:val="21"/>
        </w:rPr>
        <w:t>2.中标通知书</w:t>
      </w:r>
    </w:p>
    <w:p>
      <w:pPr>
        <w:adjustRightInd w:val="0"/>
        <w:snapToGrid w:val="0"/>
        <w:spacing w:line="276" w:lineRule="auto"/>
        <w:ind w:firstLine="420" w:firstLineChars="200"/>
        <w:rPr>
          <w:rFonts w:ascii="宋体" w:hAnsi="宋体"/>
          <w:szCs w:val="21"/>
        </w:rPr>
      </w:pPr>
      <w:r>
        <w:rPr>
          <w:rFonts w:hint="eastAsia" w:ascii="宋体" w:hAnsi="宋体"/>
          <w:szCs w:val="21"/>
        </w:rPr>
        <w:t>3.投标书及其附件</w:t>
      </w:r>
    </w:p>
    <w:p>
      <w:pPr>
        <w:adjustRightInd w:val="0"/>
        <w:snapToGrid w:val="0"/>
        <w:spacing w:line="276" w:lineRule="auto"/>
        <w:ind w:firstLine="420" w:firstLineChars="200"/>
        <w:rPr>
          <w:rFonts w:ascii="宋体" w:hAnsi="宋体"/>
          <w:szCs w:val="21"/>
        </w:rPr>
      </w:pPr>
      <w:r>
        <w:rPr>
          <w:rFonts w:hint="eastAsia" w:ascii="宋体" w:hAnsi="宋体"/>
          <w:szCs w:val="21"/>
        </w:rPr>
        <w:t>4.招标文件</w:t>
      </w:r>
    </w:p>
    <w:p>
      <w:pPr>
        <w:adjustRightInd w:val="0"/>
        <w:snapToGrid w:val="0"/>
        <w:spacing w:line="276" w:lineRule="auto"/>
        <w:ind w:firstLine="420" w:firstLineChars="200"/>
        <w:rPr>
          <w:rFonts w:ascii="宋体" w:hAnsi="宋体"/>
          <w:szCs w:val="21"/>
        </w:rPr>
      </w:pPr>
      <w:r>
        <w:rPr>
          <w:rFonts w:hint="eastAsia" w:ascii="宋体" w:hAnsi="宋体"/>
          <w:szCs w:val="21"/>
        </w:rPr>
        <w:t>5.标准、规范及有关技术文件</w:t>
      </w:r>
    </w:p>
    <w:p>
      <w:pPr>
        <w:adjustRightInd w:val="0"/>
        <w:snapToGrid w:val="0"/>
        <w:spacing w:line="276" w:lineRule="auto"/>
        <w:ind w:firstLine="602"/>
        <w:outlineLvl w:val="0"/>
        <w:rPr>
          <w:rFonts w:ascii="宋体" w:hAnsi="宋体"/>
          <w:b/>
          <w:szCs w:val="21"/>
        </w:rPr>
      </w:pPr>
      <w:bookmarkStart w:id="63" w:name="_Toc17986"/>
      <w:bookmarkStart w:id="64" w:name="_Toc9351392"/>
      <w:r>
        <w:rPr>
          <w:rFonts w:hint="eastAsia" w:ascii="宋体" w:hAnsi="宋体"/>
          <w:b/>
          <w:szCs w:val="21"/>
        </w:rPr>
        <w:t>十七、合同生效及其它</w:t>
      </w:r>
      <w:bookmarkEnd w:id="63"/>
      <w:bookmarkEnd w:id="64"/>
    </w:p>
    <w:p>
      <w:pPr>
        <w:adjustRightInd w:val="0"/>
        <w:snapToGrid w:val="0"/>
        <w:spacing w:line="276" w:lineRule="auto"/>
        <w:ind w:firstLine="420" w:firstLineChars="200"/>
        <w:rPr>
          <w:rFonts w:ascii="宋体" w:hAnsi="宋体"/>
          <w:szCs w:val="21"/>
        </w:rPr>
      </w:pPr>
      <w:r>
        <w:rPr>
          <w:rFonts w:hint="eastAsia" w:ascii="宋体" w:hAnsi="宋体"/>
          <w:szCs w:val="21"/>
        </w:rPr>
        <w:t>1. 合同经双方法定代表人或授权代表签字（包含签章）并加盖单位公章或者合同章之日起生效。</w:t>
      </w:r>
    </w:p>
    <w:p>
      <w:pPr>
        <w:adjustRightInd w:val="0"/>
        <w:snapToGrid w:val="0"/>
        <w:spacing w:line="276" w:lineRule="auto"/>
        <w:ind w:firstLine="420" w:firstLineChars="200"/>
        <w:rPr>
          <w:rFonts w:ascii="宋体" w:hAnsi="宋体"/>
          <w:szCs w:val="21"/>
        </w:rPr>
      </w:pPr>
      <w:r>
        <w:rPr>
          <w:rFonts w:hint="eastAsia" w:ascii="宋体" w:hAnsi="宋体"/>
          <w:szCs w:val="21"/>
        </w:rPr>
        <w:t>2.本合同未尽事宜，双方可签订补充协议予以执行；未达成补充协议的，遵照《合同法》及有关法律法规执行。</w:t>
      </w:r>
    </w:p>
    <w:p>
      <w:pPr>
        <w:tabs>
          <w:tab w:val="right" w:pos="8306"/>
        </w:tabs>
        <w:adjustRightInd w:val="0"/>
        <w:snapToGrid w:val="0"/>
        <w:spacing w:line="276" w:lineRule="auto"/>
        <w:ind w:firstLine="420" w:firstLineChars="200"/>
        <w:rPr>
          <w:rFonts w:ascii="宋体" w:hAnsi="宋体"/>
          <w:szCs w:val="21"/>
        </w:rPr>
      </w:pPr>
      <w:r>
        <w:rPr>
          <w:rFonts w:hint="eastAsia" w:ascii="宋体" w:hAnsi="宋体"/>
          <w:szCs w:val="21"/>
        </w:rPr>
        <w:t>3.本合同一式陆份，甲执四份，乙方持二份，具有同等法律效力。</w:t>
      </w:r>
    </w:p>
    <w:p>
      <w:pPr>
        <w:adjustRightInd w:val="0"/>
        <w:snapToGrid w:val="0"/>
        <w:spacing w:line="276" w:lineRule="auto"/>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（1）设备参数及详细配置表；（2）廉洁自律承诺书；（</w:t>
      </w:r>
      <w:r>
        <w:rPr>
          <w:rFonts w:ascii="宋体" w:hAnsi="宋体"/>
          <w:szCs w:val="21"/>
        </w:rPr>
        <w:t>3</w:t>
      </w:r>
      <w:r>
        <w:rPr>
          <w:rFonts w:hint="eastAsia" w:ascii="宋体" w:hAnsi="宋体"/>
          <w:szCs w:val="21"/>
        </w:rPr>
        <w:t xml:space="preserve">）保密承诺书 </w:t>
      </w:r>
    </w:p>
    <w:p>
      <w:pPr>
        <w:tabs>
          <w:tab w:val="right" w:pos="8306"/>
        </w:tabs>
        <w:adjustRightInd w:val="0"/>
        <w:snapToGrid w:val="0"/>
        <w:spacing w:line="276" w:lineRule="auto"/>
        <w:ind w:firstLine="420" w:firstLineChars="200"/>
        <w:rPr>
          <w:rFonts w:ascii="宋体" w:hAnsi="宋体"/>
          <w:szCs w:val="21"/>
        </w:rPr>
      </w:pPr>
      <w:r>
        <w:rPr>
          <w:rFonts w:hint="eastAsia" w:ascii="宋体" w:hAnsi="宋体"/>
          <w:szCs w:val="21"/>
        </w:rPr>
        <w:tab/>
      </w:r>
    </w:p>
    <w:p>
      <w:pPr>
        <w:adjustRightInd w:val="0"/>
        <w:snapToGrid w:val="0"/>
        <w:spacing w:line="276" w:lineRule="auto"/>
        <w:ind w:left="3360" w:hanging="3360" w:hangingChars="1600"/>
        <w:rPr>
          <w:rFonts w:ascii="宋体" w:hAnsi="宋体"/>
          <w:szCs w:val="21"/>
        </w:rPr>
      </w:pPr>
      <w:r>
        <w:rPr>
          <w:rFonts w:hint="eastAsia" w:ascii="宋体" w:hAnsi="宋体"/>
          <w:szCs w:val="21"/>
        </w:rPr>
        <w:t>甲方：杭州萧山国际机场有限公司  乙方：</w:t>
      </w:r>
    </w:p>
    <w:p>
      <w:pPr>
        <w:adjustRightInd w:val="0"/>
        <w:snapToGrid w:val="0"/>
        <w:spacing w:line="276" w:lineRule="auto"/>
        <w:ind w:left="6750" w:hanging="6750"/>
        <w:rPr>
          <w:rFonts w:ascii="宋体" w:hAnsi="宋体"/>
          <w:szCs w:val="21"/>
        </w:rPr>
      </w:pPr>
      <w:r>
        <w:rPr>
          <w:rFonts w:hint="eastAsia" w:ascii="宋体" w:hAnsi="宋体"/>
          <w:szCs w:val="21"/>
        </w:rPr>
        <w:t>地址：杭州萧山国际机场内        地址：</w:t>
      </w:r>
    </w:p>
    <w:p>
      <w:pPr>
        <w:adjustRightInd w:val="0"/>
        <w:snapToGrid w:val="0"/>
        <w:spacing w:line="276" w:lineRule="auto"/>
        <w:ind w:left="6750" w:hanging="6750"/>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法定代表人：                     法定代表人：</w:t>
      </w:r>
    </w:p>
    <w:p>
      <w:pPr>
        <w:adjustRightInd w:val="0"/>
        <w:snapToGrid w:val="0"/>
        <w:spacing w:line="276" w:lineRule="auto"/>
        <w:rPr>
          <w:rFonts w:ascii="宋体" w:hAnsi="宋体"/>
          <w:szCs w:val="21"/>
        </w:rPr>
      </w:pPr>
      <w:r>
        <w:rPr>
          <w:rFonts w:hint="eastAsia" w:ascii="宋体" w:hAnsi="宋体"/>
          <w:szCs w:val="21"/>
        </w:rPr>
        <w:t>或                               或</w:t>
      </w:r>
    </w:p>
    <w:p>
      <w:pPr>
        <w:adjustRightInd w:val="0"/>
        <w:snapToGrid w:val="0"/>
        <w:spacing w:line="276" w:lineRule="auto"/>
        <w:rPr>
          <w:rFonts w:ascii="宋体" w:hAnsi="宋体"/>
          <w:szCs w:val="21"/>
        </w:rPr>
      </w:pPr>
      <w:r>
        <w:rPr>
          <w:rFonts w:hint="eastAsia" w:ascii="宋体" w:hAnsi="宋体"/>
          <w:szCs w:val="21"/>
        </w:rPr>
        <w:t>授权代表：                       授权代表：</w:t>
      </w:r>
    </w:p>
    <w:p>
      <w:pPr>
        <w:adjustRightInd w:val="0"/>
        <w:snapToGrid w:val="0"/>
        <w:spacing w:line="276" w:lineRule="auto"/>
        <w:rPr>
          <w:rFonts w:ascii="宋体" w:hAnsi="宋体"/>
          <w:b/>
          <w:szCs w:val="21"/>
        </w:rPr>
      </w:pPr>
      <w:r>
        <w:rPr>
          <w:rFonts w:hint="eastAsia" w:ascii="宋体" w:hAnsi="宋体"/>
          <w:szCs w:val="21"/>
        </w:rPr>
        <w:t xml:space="preserve">签字日期：                       签字日期： </w:t>
      </w:r>
    </w:p>
    <w:p>
      <w:pPr>
        <w:adjustRightInd w:val="0"/>
        <w:snapToGrid w:val="0"/>
        <w:spacing w:line="276" w:lineRule="auto"/>
        <w:ind w:firstLine="420" w:firstLineChars="200"/>
        <w:rPr>
          <w:rFonts w:ascii="宋体" w:hAnsi="宋体"/>
          <w:b/>
          <w:szCs w:val="21"/>
        </w:rPr>
      </w:pPr>
      <w:r>
        <w:rPr>
          <w:rFonts w:hint="eastAsia" w:ascii="宋体" w:hAnsi="宋体"/>
          <w:szCs w:val="21"/>
        </w:rPr>
        <w:t>年  月  日                      年  月  日</w:t>
      </w:r>
    </w:p>
    <w:p>
      <w:pPr>
        <w:pStyle w:val="21"/>
        <w:spacing w:line="276" w:lineRule="auto"/>
        <w:ind w:firstLine="220" w:firstLineChars="100"/>
        <w:rPr>
          <w:rFonts w:hAnsi="宋体" w:cs="Calibri"/>
          <w:bCs/>
          <w:sz w:val="22"/>
          <w:szCs w:val="22"/>
        </w:rPr>
      </w:pPr>
      <w:r>
        <w:rPr>
          <w:rFonts w:hAnsi="宋体" w:cs="Calibri"/>
          <w:bCs/>
          <w:sz w:val="22"/>
          <w:szCs w:val="22"/>
        </w:rPr>
        <w:br w:type="page"/>
      </w:r>
      <w:r>
        <w:rPr>
          <w:rFonts w:hint="eastAsia" w:hAnsi="宋体" w:cs="Calibri"/>
          <w:bCs/>
          <w:sz w:val="22"/>
          <w:szCs w:val="22"/>
        </w:rPr>
        <w:t>附件</w:t>
      </w:r>
      <w:r>
        <w:rPr>
          <w:rFonts w:hAnsi="宋体" w:cs="Calibri"/>
          <w:bCs/>
          <w:sz w:val="22"/>
          <w:szCs w:val="22"/>
        </w:rPr>
        <w:t>2:</w:t>
      </w:r>
      <w:r>
        <w:rPr>
          <w:rFonts w:hint="eastAsia" w:hAnsi="宋体" w:cs="Calibri"/>
          <w:bCs/>
          <w:sz w:val="22"/>
          <w:szCs w:val="22"/>
        </w:rPr>
        <w:t>廉洁自律承诺书</w:t>
      </w:r>
    </w:p>
    <w:p>
      <w:pPr>
        <w:pStyle w:val="21"/>
        <w:spacing w:line="276" w:lineRule="auto"/>
        <w:ind w:firstLine="420"/>
        <w:rPr>
          <w:rFonts w:hAnsi="宋体" w:cs="Calibri"/>
          <w:bCs/>
          <w:sz w:val="22"/>
          <w:szCs w:val="22"/>
        </w:rPr>
      </w:pPr>
      <w:r>
        <w:rPr>
          <w:rFonts w:hint="eastAsia" w:hAnsi="宋体" w:cs="Calibri"/>
          <w:bCs/>
          <w:sz w:val="22"/>
          <w:szCs w:val="22"/>
        </w:rPr>
        <w:t>（内容此处略，详见第六章投标文件格式“十、廉洁自律承诺书”）</w:t>
      </w:r>
    </w:p>
    <w:p>
      <w:pPr>
        <w:pStyle w:val="21"/>
        <w:spacing w:line="276" w:lineRule="auto"/>
        <w:ind w:firstLine="420"/>
        <w:rPr>
          <w:rFonts w:hAnsi="宋体" w:cs="Calibri"/>
          <w:bCs/>
          <w:sz w:val="22"/>
          <w:szCs w:val="22"/>
        </w:rPr>
      </w:pPr>
    </w:p>
    <w:p>
      <w:pPr>
        <w:pStyle w:val="21"/>
        <w:spacing w:line="276" w:lineRule="auto"/>
        <w:ind w:firstLine="220" w:firstLineChars="100"/>
        <w:rPr>
          <w:rFonts w:hAnsi="宋体" w:cs="Calibri"/>
          <w:bCs/>
          <w:sz w:val="22"/>
          <w:szCs w:val="22"/>
        </w:rPr>
      </w:pPr>
      <w:r>
        <w:rPr>
          <w:rFonts w:hint="eastAsia" w:hAnsi="宋体" w:cs="Calibri"/>
          <w:bCs/>
          <w:sz w:val="22"/>
          <w:szCs w:val="22"/>
        </w:rPr>
        <w:t>附件</w:t>
      </w:r>
      <w:r>
        <w:rPr>
          <w:rFonts w:hAnsi="宋体" w:cs="Calibri"/>
          <w:bCs/>
          <w:sz w:val="22"/>
          <w:szCs w:val="22"/>
        </w:rPr>
        <w:t>3</w:t>
      </w:r>
      <w:r>
        <w:rPr>
          <w:rFonts w:hint="eastAsia" w:hAnsi="宋体" w:cs="Calibri"/>
          <w:bCs/>
          <w:sz w:val="22"/>
          <w:szCs w:val="22"/>
        </w:rPr>
        <w:t>：保密承诺书</w:t>
      </w:r>
    </w:p>
    <w:p>
      <w:pPr>
        <w:tabs>
          <w:tab w:val="left" w:pos="540"/>
        </w:tabs>
        <w:topLinePunct/>
        <w:spacing w:line="276" w:lineRule="auto"/>
        <w:ind w:firstLine="723"/>
        <w:jc w:val="center"/>
        <w:rPr>
          <w:rFonts w:ascii="宋体" w:hAnsi="宋体" w:cs="宋体"/>
          <w:b/>
          <w:sz w:val="22"/>
        </w:rPr>
      </w:pPr>
      <w:r>
        <w:rPr>
          <w:rFonts w:hint="eastAsia" w:ascii="宋体" w:hAnsi="宋体" w:cs="宋体"/>
          <w:b/>
          <w:sz w:val="22"/>
        </w:rPr>
        <w:t>保密承诺书</w:t>
      </w:r>
    </w:p>
    <w:p>
      <w:pPr>
        <w:pStyle w:val="21"/>
        <w:spacing w:line="276" w:lineRule="auto"/>
        <w:ind w:firstLine="420"/>
        <w:rPr>
          <w:rFonts w:hAnsi="宋体" w:cs="Calibri"/>
          <w:bCs/>
          <w:sz w:val="22"/>
          <w:szCs w:val="22"/>
        </w:rPr>
      </w:pPr>
      <w:r>
        <w:rPr>
          <w:rFonts w:hint="eastAsia" w:hAnsi="宋体" w:cs="Calibri"/>
          <w:bCs/>
          <w:sz w:val="22"/>
          <w:szCs w:val="22"/>
        </w:rPr>
        <w:t>鉴于我方愿成为杭州萧山国际机场有限公司（以下简称“机场公司”）的供应商或潜在供应商候选人，为机场公司提供【】项目的货物供应。在上述业务来往过程中，机场公司可能向我方提供经营、业务、服务等有关的文件、资料、软件等信息，为维护机场公司的利益，我方就保密事宜做出如下承诺：</w:t>
      </w:r>
    </w:p>
    <w:p>
      <w:pPr>
        <w:pStyle w:val="21"/>
        <w:spacing w:line="276" w:lineRule="auto"/>
        <w:ind w:firstLine="420"/>
        <w:rPr>
          <w:rFonts w:hAnsi="宋体" w:cs="Calibri"/>
          <w:bCs/>
          <w:sz w:val="22"/>
          <w:szCs w:val="22"/>
        </w:rPr>
      </w:pPr>
      <w:r>
        <w:rPr>
          <w:rFonts w:hint="eastAsia" w:hAnsi="宋体" w:cs="Calibri"/>
          <w:bCs/>
          <w:sz w:val="22"/>
          <w:szCs w:val="22"/>
        </w:rPr>
        <w:t>1.商业秘密</w:t>
      </w:r>
    </w:p>
    <w:p>
      <w:pPr>
        <w:pStyle w:val="21"/>
        <w:spacing w:line="276" w:lineRule="auto"/>
        <w:ind w:firstLine="420"/>
        <w:rPr>
          <w:rFonts w:hAnsi="宋体" w:cs="Calibri"/>
          <w:bCs/>
          <w:sz w:val="22"/>
          <w:szCs w:val="22"/>
        </w:rPr>
      </w:pPr>
      <w:r>
        <w:rPr>
          <w:rFonts w:hint="eastAsia" w:hAnsi="宋体" w:cs="Calibri"/>
          <w:bCs/>
          <w:sz w:val="22"/>
          <w:szCs w:val="22"/>
        </w:rPr>
        <w:t>1.1商业秘密是指机场公司（包括机场公司关联公司）一切专有、不对外公开的资料和信息。包括但不限于以下方面：</w:t>
      </w:r>
    </w:p>
    <w:p>
      <w:pPr>
        <w:pStyle w:val="21"/>
        <w:spacing w:line="276" w:lineRule="auto"/>
        <w:ind w:firstLine="420"/>
        <w:rPr>
          <w:rFonts w:hAnsi="宋体" w:cs="Calibri"/>
          <w:bCs/>
          <w:sz w:val="22"/>
          <w:szCs w:val="22"/>
        </w:rPr>
      </w:pPr>
      <w:r>
        <w:rPr>
          <w:rFonts w:hint="eastAsia" w:hAnsi="宋体" w:cs="Calibri"/>
          <w:bCs/>
          <w:sz w:val="22"/>
          <w:szCs w:val="22"/>
        </w:rPr>
        <w:t>（1）经营信息（发展规划、运营状况、客户资源、货源情报、投融资计划、开发计划、标书等）；</w:t>
      </w:r>
    </w:p>
    <w:p>
      <w:pPr>
        <w:pStyle w:val="21"/>
        <w:spacing w:line="276" w:lineRule="auto"/>
        <w:ind w:firstLine="420"/>
        <w:rPr>
          <w:rFonts w:hAnsi="宋体" w:cs="Calibri"/>
          <w:bCs/>
          <w:sz w:val="22"/>
          <w:szCs w:val="22"/>
        </w:rPr>
      </w:pPr>
      <w:r>
        <w:rPr>
          <w:rFonts w:hint="eastAsia" w:hAnsi="宋体" w:cs="Calibri"/>
          <w:bCs/>
          <w:sz w:val="22"/>
          <w:szCs w:val="22"/>
        </w:rPr>
        <w:t>（2）管理信息（管理方法、管理制度、员工管理、合同管理、纠纷管理等）；</w:t>
      </w:r>
    </w:p>
    <w:p>
      <w:pPr>
        <w:pStyle w:val="21"/>
        <w:spacing w:line="276" w:lineRule="auto"/>
        <w:ind w:firstLine="420"/>
        <w:rPr>
          <w:rFonts w:hAnsi="宋体" w:cs="Calibri"/>
          <w:bCs/>
          <w:sz w:val="22"/>
          <w:szCs w:val="22"/>
        </w:rPr>
      </w:pPr>
      <w:r>
        <w:rPr>
          <w:rFonts w:hint="eastAsia" w:hAnsi="宋体" w:cs="Calibri"/>
          <w:bCs/>
          <w:sz w:val="22"/>
          <w:szCs w:val="22"/>
        </w:rPr>
        <w:t>（3）产品及技术信息（设计及图纸、样品及服务、技术方案、质量标准、技术标准、计算机程序等）；</w:t>
      </w:r>
    </w:p>
    <w:p>
      <w:pPr>
        <w:pStyle w:val="21"/>
        <w:spacing w:line="276" w:lineRule="auto"/>
        <w:ind w:firstLine="420"/>
        <w:rPr>
          <w:rFonts w:hAnsi="宋体" w:cs="Calibri"/>
          <w:bCs/>
          <w:sz w:val="22"/>
          <w:szCs w:val="22"/>
        </w:rPr>
      </w:pPr>
      <w:r>
        <w:rPr>
          <w:rFonts w:hint="eastAsia" w:hAnsi="宋体" w:cs="Calibri"/>
          <w:bCs/>
          <w:sz w:val="22"/>
          <w:szCs w:val="22"/>
        </w:rPr>
        <w:t>（4）财务信息（财务收支、固定资产、流动资金、成本核算等）；</w:t>
      </w:r>
    </w:p>
    <w:p>
      <w:pPr>
        <w:pStyle w:val="21"/>
        <w:spacing w:line="276" w:lineRule="auto"/>
        <w:ind w:firstLine="420"/>
        <w:rPr>
          <w:rFonts w:hAnsi="宋体" w:cs="Calibri"/>
          <w:bCs/>
          <w:sz w:val="22"/>
          <w:szCs w:val="22"/>
        </w:rPr>
      </w:pPr>
      <w:r>
        <w:rPr>
          <w:rFonts w:hint="eastAsia" w:hAnsi="宋体" w:cs="Calibri"/>
          <w:bCs/>
          <w:sz w:val="22"/>
          <w:szCs w:val="22"/>
        </w:rPr>
        <w:t>（5）我方单独或机场公司（包括机场公司关联公司）和我方共同为机场公司开发、设计、生产的产品、资料及相关信息；</w:t>
      </w:r>
    </w:p>
    <w:p>
      <w:pPr>
        <w:pStyle w:val="21"/>
        <w:spacing w:line="276" w:lineRule="auto"/>
        <w:ind w:firstLine="420"/>
        <w:rPr>
          <w:rFonts w:hAnsi="宋体" w:cs="Calibri"/>
          <w:bCs/>
          <w:sz w:val="22"/>
          <w:szCs w:val="22"/>
        </w:rPr>
      </w:pPr>
      <w:r>
        <w:rPr>
          <w:rFonts w:hint="eastAsia" w:hAnsi="宋体" w:cs="Calibri"/>
          <w:bCs/>
          <w:sz w:val="22"/>
          <w:szCs w:val="22"/>
        </w:rPr>
        <w:t>（6）其他机场公司未对外公开的有关营运、计划、航班数据、标准、开发、生产、经营、质量管理控制和租赁的资料和数据等信息以及对供应商的管理文件。</w:t>
      </w:r>
    </w:p>
    <w:p>
      <w:pPr>
        <w:pStyle w:val="21"/>
        <w:spacing w:line="276" w:lineRule="auto"/>
        <w:ind w:firstLine="420"/>
        <w:rPr>
          <w:rFonts w:hAnsi="宋体" w:cs="Calibri"/>
          <w:bCs/>
          <w:sz w:val="22"/>
          <w:szCs w:val="22"/>
        </w:rPr>
      </w:pPr>
      <w:r>
        <w:rPr>
          <w:rFonts w:hint="eastAsia" w:hAnsi="宋体" w:cs="Calibri"/>
          <w:bCs/>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pStyle w:val="21"/>
        <w:spacing w:line="276" w:lineRule="auto"/>
        <w:ind w:firstLine="420"/>
        <w:rPr>
          <w:rFonts w:hAnsi="宋体" w:cs="Calibri"/>
          <w:bCs/>
          <w:sz w:val="22"/>
          <w:szCs w:val="22"/>
        </w:rPr>
      </w:pPr>
      <w:r>
        <w:rPr>
          <w:rFonts w:hint="eastAsia" w:hAnsi="宋体" w:cs="Calibri"/>
          <w:bCs/>
          <w:sz w:val="22"/>
          <w:szCs w:val="22"/>
        </w:rPr>
        <w:t>1.3、对于上述提及的商业秘密，不能仅因为公开发表的文章或资讯中包含其内容，就认为是可对外公开的特殊情况。</w:t>
      </w:r>
    </w:p>
    <w:p>
      <w:pPr>
        <w:pStyle w:val="21"/>
        <w:spacing w:line="276" w:lineRule="auto"/>
        <w:ind w:firstLine="420"/>
        <w:rPr>
          <w:rFonts w:hAnsi="宋体" w:cs="Calibri"/>
          <w:bCs/>
          <w:sz w:val="22"/>
          <w:szCs w:val="22"/>
        </w:rPr>
      </w:pPr>
      <w:r>
        <w:rPr>
          <w:rFonts w:hint="eastAsia" w:hAnsi="宋体" w:cs="Calibri"/>
          <w:bCs/>
          <w:sz w:val="22"/>
          <w:szCs w:val="22"/>
        </w:rPr>
        <w:t>1.4、以下资料不属于本承诺所指的商业秘密：</w:t>
      </w:r>
    </w:p>
    <w:p>
      <w:pPr>
        <w:pStyle w:val="21"/>
        <w:spacing w:line="276" w:lineRule="auto"/>
        <w:ind w:firstLine="420"/>
        <w:rPr>
          <w:rFonts w:hAnsi="宋体" w:cs="Calibri"/>
          <w:bCs/>
          <w:sz w:val="22"/>
          <w:szCs w:val="22"/>
        </w:rPr>
      </w:pPr>
      <w:r>
        <w:rPr>
          <w:rFonts w:hint="eastAsia" w:hAnsi="宋体" w:cs="Calibri"/>
          <w:bCs/>
          <w:sz w:val="22"/>
          <w:szCs w:val="22"/>
        </w:rPr>
        <w:t>（1）我方从机场公司拟获悉之前已持有的我方无需承担保密义务的机场公司有关资料(但通过其它违约或侵权行为而获得的资料除外)；</w:t>
      </w:r>
    </w:p>
    <w:p>
      <w:pPr>
        <w:pStyle w:val="21"/>
        <w:spacing w:line="276" w:lineRule="auto"/>
        <w:ind w:firstLine="420"/>
        <w:rPr>
          <w:rFonts w:hAnsi="宋体" w:cs="Calibri"/>
          <w:bCs/>
          <w:sz w:val="22"/>
          <w:szCs w:val="22"/>
        </w:rPr>
      </w:pPr>
      <w:r>
        <w:rPr>
          <w:rFonts w:hint="eastAsia" w:hAnsi="宋体" w:cs="Calibri"/>
          <w:bCs/>
          <w:sz w:val="22"/>
          <w:szCs w:val="22"/>
        </w:rPr>
        <w:t>（2）已经公开或已成为常识性的资料，且该等公开并非因违反本承诺所致。</w:t>
      </w:r>
    </w:p>
    <w:p>
      <w:pPr>
        <w:pStyle w:val="21"/>
        <w:spacing w:line="276" w:lineRule="auto"/>
        <w:ind w:firstLine="420"/>
        <w:rPr>
          <w:rFonts w:hAnsi="宋体" w:cs="Calibri"/>
          <w:bCs/>
          <w:sz w:val="22"/>
          <w:szCs w:val="22"/>
        </w:rPr>
      </w:pPr>
    </w:p>
    <w:p>
      <w:pPr>
        <w:pStyle w:val="21"/>
        <w:spacing w:line="276" w:lineRule="auto"/>
        <w:ind w:firstLine="420"/>
        <w:rPr>
          <w:rFonts w:hAnsi="宋体" w:cs="Calibri"/>
          <w:bCs/>
          <w:sz w:val="22"/>
          <w:szCs w:val="22"/>
        </w:rPr>
      </w:pPr>
      <w:r>
        <w:rPr>
          <w:rFonts w:hint="eastAsia" w:hAnsi="宋体" w:cs="Calibri"/>
          <w:bCs/>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pStyle w:val="21"/>
        <w:spacing w:line="276" w:lineRule="auto"/>
        <w:ind w:firstLine="420"/>
        <w:rPr>
          <w:rFonts w:hAnsi="宋体" w:cs="Calibri"/>
          <w:bCs/>
          <w:sz w:val="22"/>
          <w:szCs w:val="22"/>
        </w:rPr>
      </w:pPr>
    </w:p>
    <w:p>
      <w:pPr>
        <w:pStyle w:val="21"/>
        <w:spacing w:line="276" w:lineRule="auto"/>
        <w:ind w:firstLine="420"/>
        <w:rPr>
          <w:rFonts w:hAnsi="宋体" w:cs="Calibri"/>
          <w:bCs/>
          <w:sz w:val="22"/>
          <w:szCs w:val="22"/>
        </w:rPr>
      </w:pPr>
      <w:r>
        <w:rPr>
          <w:rFonts w:hint="eastAsia" w:hAnsi="宋体" w:cs="Calibri"/>
          <w:bCs/>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pStyle w:val="21"/>
        <w:spacing w:line="276" w:lineRule="auto"/>
        <w:ind w:firstLine="420"/>
        <w:rPr>
          <w:rFonts w:hAnsi="宋体" w:cs="Calibri"/>
          <w:bCs/>
          <w:sz w:val="22"/>
          <w:szCs w:val="22"/>
        </w:rPr>
      </w:pPr>
    </w:p>
    <w:p>
      <w:pPr>
        <w:pStyle w:val="21"/>
        <w:spacing w:line="276" w:lineRule="auto"/>
        <w:ind w:firstLine="420"/>
        <w:rPr>
          <w:rFonts w:hAnsi="宋体" w:cs="Calibri"/>
          <w:bCs/>
          <w:sz w:val="22"/>
          <w:szCs w:val="22"/>
        </w:rPr>
      </w:pPr>
      <w:r>
        <w:rPr>
          <w:rFonts w:hint="eastAsia" w:hAnsi="宋体" w:cs="Calibri"/>
          <w:bCs/>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pStyle w:val="21"/>
        <w:spacing w:line="276" w:lineRule="auto"/>
        <w:ind w:firstLine="420"/>
        <w:rPr>
          <w:rFonts w:hAnsi="宋体" w:cs="Calibri"/>
          <w:bCs/>
          <w:sz w:val="22"/>
          <w:szCs w:val="22"/>
        </w:rPr>
      </w:pPr>
      <w:r>
        <w:rPr>
          <w:rFonts w:hint="eastAsia" w:hAnsi="宋体" w:cs="Calibri"/>
          <w:bCs/>
          <w:sz w:val="22"/>
          <w:szCs w:val="22"/>
        </w:rPr>
        <w:t>（1）披露、使用或者允许他人以不正当手段获取的商业秘密；</w:t>
      </w:r>
    </w:p>
    <w:p>
      <w:pPr>
        <w:pStyle w:val="21"/>
        <w:spacing w:line="276" w:lineRule="auto"/>
        <w:ind w:firstLine="420"/>
        <w:rPr>
          <w:rFonts w:hAnsi="宋体" w:cs="Calibri"/>
          <w:bCs/>
          <w:sz w:val="22"/>
          <w:szCs w:val="22"/>
        </w:rPr>
      </w:pPr>
      <w:r>
        <w:rPr>
          <w:rFonts w:hint="eastAsia" w:hAnsi="宋体" w:cs="Calibri"/>
          <w:bCs/>
          <w:sz w:val="22"/>
          <w:szCs w:val="22"/>
        </w:rPr>
        <w:t>（2）为机场公司以外的第三人窃取、刺探、收买、非法提供商业秘密。</w:t>
      </w:r>
    </w:p>
    <w:p>
      <w:pPr>
        <w:pStyle w:val="21"/>
        <w:spacing w:line="276" w:lineRule="auto"/>
        <w:ind w:firstLine="420"/>
        <w:rPr>
          <w:rFonts w:hAnsi="宋体" w:cs="Calibri"/>
          <w:bCs/>
          <w:sz w:val="22"/>
          <w:szCs w:val="22"/>
        </w:rPr>
      </w:pPr>
      <w:r>
        <w:rPr>
          <w:rFonts w:hint="eastAsia" w:hAnsi="宋体" w:cs="Calibri"/>
          <w:bCs/>
          <w:sz w:val="22"/>
          <w:szCs w:val="22"/>
        </w:rPr>
        <w:t>（3）在电子公告系统、聊天系统、电子邮箱、论坛等计算机网络系统上传递、转发、抄送、发布、谈论和传播商业秘密；</w:t>
      </w:r>
    </w:p>
    <w:p>
      <w:pPr>
        <w:pStyle w:val="21"/>
        <w:spacing w:line="276" w:lineRule="auto"/>
        <w:ind w:firstLine="420"/>
        <w:rPr>
          <w:rFonts w:hAnsi="宋体" w:cs="Calibri"/>
          <w:bCs/>
          <w:sz w:val="22"/>
          <w:szCs w:val="22"/>
        </w:rPr>
      </w:pPr>
      <w:r>
        <w:rPr>
          <w:rFonts w:hint="eastAsia" w:hAnsi="宋体" w:cs="Calibri"/>
          <w:bCs/>
          <w:sz w:val="22"/>
          <w:szCs w:val="22"/>
        </w:rPr>
        <w:t xml:space="preserve">（4）在私人交往和通信中，向亲属、朋友以及与工作无关人员泄露商业秘密，或在公共场所谈论商业秘密； </w:t>
      </w:r>
    </w:p>
    <w:p>
      <w:pPr>
        <w:pStyle w:val="21"/>
        <w:spacing w:line="276" w:lineRule="auto"/>
        <w:ind w:firstLine="420"/>
        <w:rPr>
          <w:rFonts w:hAnsi="宋体" w:cs="Calibri"/>
          <w:bCs/>
          <w:sz w:val="22"/>
          <w:szCs w:val="22"/>
        </w:rPr>
      </w:pPr>
      <w:r>
        <w:rPr>
          <w:rFonts w:hint="eastAsia" w:hAnsi="宋体" w:cs="Calibri"/>
          <w:bCs/>
          <w:sz w:val="22"/>
          <w:szCs w:val="22"/>
        </w:rPr>
        <w:t>（5）擅自将属于商业秘密的文件、资料和其他物品携带、传递、寄运出机场公司办公场所或国（境）外。</w:t>
      </w:r>
    </w:p>
    <w:p>
      <w:pPr>
        <w:pStyle w:val="21"/>
        <w:spacing w:line="276" w:lineRule="auto"/>
        <w:ind w:firstLine="420"/>
        <w:rPr>
          <w:rFonts w:hAnsi="宋体" w:cs="Calibri"/>
          <w:bCs/>
          <w:sz w:val="22"/>
          <w:szCs w:val="22"/>
        </w:rPr>
      </w:pPr>
      <w:r>
        <w:rPr>
          <w:rFonts w:hint="eastAsia" w:hAnsi="宋体" w:cs="Calibri"/>
          <w:bCs/>
          <w:sz w:val="22"/>
          <w:szCs w:val="22"/>
        </w:rPr>
        <w:t>（6）未经机场公司同意就以任何方式私自保存、截留含有机场公司商业秘密的任何形式资料、文件和物品的复印件、复制品、副本。</w:t>
      </w:r>
    </w:p>
    <w:p>
      <w:pPr>
        <w:pStyle w:val="21"/>
        <w:spacing w:line="276" w:lineRule="auto"/>
        <w:ind w:firstLine="420"/>
        <w:rPr>
          <w:rFonts w:hAnsi="宋体" w:cs="Calibri"/>
          <w:bCs/>
          <w:sz w:val="22"/>
          <w:szCs w:val="22"/>
        </w:rPr>
      </w:pPr>
      <w:r>
        <w:rPr>
          <w:rFonts w:hint="eastAsia" w:hAnsi="宋体" w:cs="Calibri"/>
          <w:bCs/>
          <w:sz w:val="22"/>
          <w:szCs w:val="22"/>
        </w:rPr>
        <w:t>（7）将含有机场公司商业秘密的产品、技术或其他资料、信息向第三人销售、使用或以任何方式提供。</w:t>
      </w:r>
    </w:p>
    <w:p>
      <w:pPr>
        <w:pStyle w:val="21"/>
        <w:spacing w:line="276" w:lineRule="auto"/>
        <w:ind w:firstLine="420"/>
        <w:rPr>
          <w:rFonts w:hAnsi="宋体" w:cs="Calibri"/>
          <w:bCs/>
          <w:sz w:val="22"/>
          <w:szCs w:val="22"/>
        </w:rPr>
      </w:pPr>
    </w:p>
    <w:p>
      <w:pPr>
        <w:pStyle w:val="21"/>
        <w:spacing w:line="276" w:lineRule="auto"/>
        <w:ind w:firstLine="420"/>
        <w:rPr>
          <w:rFonts w:hAnsi="宋体" w:cs="Calibri"/>
          <w:bCs/>
          <w:sz w:val="22"/>
          <w:szCs w:val="22"/>
        </w:rPr>
      </w:pPr>
      <w:r>
        <w:rPr>
          <w:rFonts w:hint="eastAsia" w:hAnsi="宋体" w:cs="Calibri"/>
          <w:bCs/>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pStyle w:val="21"/>
        <w:spacing w:line="276" w:lineRule="auto"/>
        <w:ind w:firstLine="420"/>
        <w:rPr>
          <w:rFonts w:hAnsi="宋体" w:cs="Calibri"/>
          <w:bCs/>
          <w:sz w:val="22"/>
          <w:szCs w:val="22"/>
        </w:rPr>
      </w:pPr>
    </w:p>
    <w:p>
      <w:pPr>
        <w:pStyle w:val="21"/>
        <w:spacing w:line="276" w:lineRule="auto"/>
        <w:ind w:firstLine="420"/>
        <w:rPr>
          <w:rFonts w:hAnsi="宋体" w:cs="Calibri"/>
          <w:bCs/>
          <w:sz w:val="22"/>
          <w:szCs w:val="22"/>
        </w:rPr>
      </w:pPr>
      <w:r>
        <w:rPr>
          <w:rFonts w:hint="eastAsia" w:hAnsi="宋体" w:cs="Calibri"/>
          <w:bCs/>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pStyle w:val="21"/>
        <w:spacing w:line="276" w:lineRule="auto"/>
        <w:ind w:firstLine="420"/>
        <w:rPr>
          <w:rFonts w:hAnsi="宋体" w:cs="Calibri"/>
          <w:bCs/>
          <w:sz w:val="22"/>
          <w:szCs w:val="22"/>
        </w:rPr>
      </w:pPr>
    </w:p>
    <w:p>
      <w:pPr>
        <w:pStyle w:val="21"/>
        <w:spacing w:line="276" w:lineRule="auto"/>
        <w:ind w:firstLine="420"/>
        <w:rPr>
          <w:rFonts w:hAnsi="宋体" w:cs="Calibri"/>
          <w:bCs/>
          <w:sz w:val="22"/>
          <w:szCs w:val="22"/>
        </w:rPr>
      </w:pPr>
      <w:r>
        <w:rPr>
          <w:rFonts w:hint="eastAsia" w:hAnsi="宋体" w:cs="Calibri"/>
          <w:bCs/>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pStyle w:val="21"/>
        <w:spacing w:line="276" w:lineRule="auto"/>
        <w:ind w:firstLine="420"/>
        <w:rPr>
          <w:rFonts w:hAnsi="宋体" w:cs="Calibri"/>
          <w:bCs/>
          <w:sz w:val="22"/>
          <w:szCs w:val="22"/>
        </w:rPr>
      </w:pPr>
    </w:p>
    <w:p>
      <w:pPr>
        <w:pStyle w:val="21"/>
        <w:spacing w:line="276" w:lineRule="auto"/>
        <w:ind w:firstLine="420"/>
        <w:rPr>
          <w:rFonts w:hAnsi="宋体" w:cs="Calibri"/>
          <w:bCs/>
          <w:sz w:val="22"/>
          <w:szCs w:val="22"/>
        </w:rPr>
      </w:pPr>
      <w:r>
        <w:rPr>
          <w:rFonts w:hint="eastAsia" w:hAnsi="宋体" w:cs="Calibri"/>
          <w:bCs/>
          <w:sz w:val="22"/>
          <w:szCs w:val="22"/>
        </w:rPr>
        <w:t>8、违约责任</w:t>
      </w:r>
    </w:p>
    <w:p>
      <w:pPr>
        <w:pStyle w:val="21"/>
        <w:spacing w:line="276" w:lineRule="auto"/>
        <w:ind w:firstLine="420"/>
        <w:rPr>
          <w:rFonts w:hAnsi="宋体" w:cs="Calibri"/>
          <w:bCs/>
          <w:sz w:val="22"/>
          <w:szCs w:val="22"/>
        </w:rPr>
      </w:pPr>
      <w:r>
        <w:rPr>
          <w:rFonts w:hint="eastAsia" w:hAnsi="宋体" w:cs="Calibri"/>
          <w:bCs/>
          <w:sz w:val="22"/>
          <w:szCs w:val="22"/>
        </w:rPr>
        <w:t>8.1因我方违反保密义务的行为造成机场公司的一切损失，我方应当全部予以赔偿。</w:t>
      </w:r>
    </w:p>
    <w:p>
      <w:pPr>
        <w:pStyle w:val="21"/>
        <w:spacing w:line="276" w:lineRule="auto"/>
        <w:ind w:firstLine="420"/>
        <w:rPr>
          <w:rFonts w:hAnsi="宋体" w:cs="Calibri"/>
          <w:bCs/>
          <w:sz w:val="22"/>
          <w:szCs w:val="22"/>
        </w:rPr>
      </w:pPr>
      <w:r>
        <w:rPr>
          <w:rFonts w:hint="eastAsia" w:hAnsi="宋体" w:cs="Calibri"/>
          <w:bCs/>
          <w:sz w:val="22"/>
          <w:szCs w:val="22"/>
        </w:rPr>
        <w:t>8.2如我方违反本承诺书下保密义务，应当承担违约责任，除赔偿损失外，还应依据合同向机场公司支付相应的违约金；</w:t>
      </w:r>
    </w:p>
    <w:p>
      <w:pPr>
        <w:pStyle w:val="21"/>
        <w:spacing w:line="276" w:lineRule="auto"/>
        <w:ind w:firstLine="420"/>
        <w:rPr>
          <w:rFonts w:hAnsi="宋体" w:cs="Calibri"/>
          <w:bCs/>
          <w:sz w:val="22"/>
          <w:szCs w:val="22"/>
        </w:rPr>
      </w:pPr>
      <w:r>
        <w:rPr>
          <w:rFonts w:hint="eastAsia" w:hAnsi="宋体" w:cs="Calibri"/>
          <w:bCs/>
          <w:sz w:val="22"/>
          <w:szCs w:val="22"/>
        </w:rPr>
        <w:t>9、本承诺书适用中华人民共和国法律，如因履行本承诺书发生争议，则双方均有权向机场公司所在地法院提起诉讼。</w:t>
      </w:r>
    </w:p>
    <w:p>
      <w:pPr>
        <w:pStyle w:val="21"/>
        <w:spacing w:line="276" w:lineRule="auto"/>
        <w:ind w:firstLine="3960" w:firstLineChars="1800"/>
        <w:rPr>
          <w:rFonts w:hAnsi="宋体" w:cs="Calibri"/>
          <w:bCs/>
          <w:sz w:val="22"/>
          <w:szCs w:val="22"/>
        </w:rPr>
      </w:pPr>
      <w:r>
        <w:rPr>
          <w:rFonts w:hint="eastAsia" w:hAnsi="宋体" w:cs="Calibri"/>
          <w:bCs/>
          <w:sz w:val="22"/>
          <w:szCs w:val="22"/>
        </w:rPr>
        <w:t>供应商(盖章):</w:t>
      </w:r>
    </w:p>
    <w:p>
      <w:pPr>
        <w:pStyle w:val="21"/>
        <w:spacing w:line="276" w:lineRule="auto"/>
        <w:ind w:firstLine="3960" w:firstLineChars="1800"/>
        <w:rPr>
          <w:rFonts w:hAnsi="宋体" w:cs="Calibri"/>
          <w:bCs/>
          <w:sz w:val="22"/>
          <w:szCs w:val="22"/>
        </w:rPr>
      </w:pPr>
      <w:r>
        <w:rPr>
          <w:rFonts w:hint="eastAsia" w:hAnsi="宋体" w:cs="Calibri"/>
          <w:bCs/>
          <w:sz w:val="22"/>
          <w:szCs w:val="22"/>
        </w:rPr>
        <w:t>法定代表人或授权代表：</w:t>
      </w:r>
    </w:p>
    <w:p>
      <w:pPr>
        <w:pStyle w:val="21"/>
        <w:spacing w:line="276" w:lineRule="auto"/>
        <w:ind w:firstLine="3960" w:firstLineChars="1800"/>
        <w:rPr>
          <w:rFonts w:hAnsi="宋体" w:cs="Calibri"/>
          <w:bCs/>
          <w:sz w:val="22"/>
          <w:szCs w:val="22"/>
        </w:rPr>
      </w:pPr>
      <w:r>
        <w:rPr>
          <w:rFonts w:hint="eastAsia" w:hAnsi="宋体" w:cs="Calibri"/>
          <w:bCs/>
          <w:sz w:val="22"/>
          <w:szCs w:val="22"/>
        </w:rPr>
        <w:t>电话/传真：</w:t>
      </w:r>
    </w:p>
    <w:p>
      <w:pPr>
        <w:pStyle w:val="21"/>
        <w:spacing w:line="276" w:lineRule="auto"/>
        <w:ind w:firstLine="3960" w:firstLineChars="1800"/>
        <w:rPr>
          <w:rFonts w:hAnsi="宋体" w:cs="Calibri"/>
          <w:bCs/>
          <w:sz w:val="22"/>
          <w:szCs w:val="22"/>
        </w:rPr>
      </w:pPr>
      <w:r>
        <w:rPr>
          <w:rFonts w:hint="eastAsia" w:hAnsi="宋体" w:cs="Calibri"/>
          <w:bCs/>
          <w:sz w:val="22"/>
          <w:szCs w:val="22"/>
        </w:rPr>
        <w:t>地址：</w:t>
      </w:r>
    </w:p>
    <w:p>
      <w:pPr>
        <w:pStyle w:val="21"/>
        <w:spacing w:line="276" w:lineRule="auto"/>
        <w:ind w:firstLine="3960" w:firstLineChars="1800"/>
        <w:rPr>
          <w:rFonts w:hAnsi="宋体"/>
          <w:sz w:val="22"/>
        </w:rPr>
      </w:pPr>
      <w:r>
        <w:rPr>
          <w:rFonts w:hint="eastAsia" w:hAnsi="宋体" w:cs="Calibri"/>
          <w:bCs/>
          <w:sz w:val="22"/>
          <w:szCs w:val="22"/>
        </w:rPr>
        <w:t>日期：     年   月   日</w:t>
      </w:r>
    </w:p>
    <w:p>
      <w:pPr>
        <w:pStyle w:val="2"/>
        <w:spacing w:before="0" w:after="0"/>
        <w:jc w:val="center"/>
        <w:rPr>
          <w:rFonts w:ascii="Calibri" w:hAnsi="Calibri" w:eastAsia="黑体" w:cs="Calibri"/>
          <w:kern w:val="0"/>
          <w:sz w:val="32"/>
        </w:rPr>
      </w:pPr>
      <w:bookmarkStart w:id="65" w:name="_Toc321925456"/>
      <w:bookmarkStart w:id="66" w:name="_Toc25339"/>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65"/>
      <w:bookmarkEnd w:id="66"/>
    </w:p>
    <w:p>
      <w:pPr>
        <w:pStyle w:val="21"/>
        <w:spacing w:line="360" w:lineRule="exact"/>
        <w:ind w:firstLine="420"/>
        <w:rPr>
          <w:rFonts w:hAnsi="宋体" w:cs="Calibri"/>
          <w:bCs/>
          <w:sz w:val="22"/>
          <w:szCs w:val="22"/>
        </w:rPr>
      </w:pPr>
      <w:bookmarkStart w:id="67"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bookmarkEnd w:id="67"/>
    <w:p>
      <w:pPr>
        <w:pStyle w:val="21"/>
        <w:spacing w:line="360" w:lineRule="exact"/>
        <w:rPr>
          <w:rFonts w:hAnsi="宋体" w:cs="Calibri"/>
          <w:b/>
          <w:bCs/>
          <w:sz w:val="22"/>
          <w:szCs w:val="22"/>
        </w:rPr>
      </w:pPr>
      <w:r>
        <w:rPr>
          <w:rFonts w:hAnsi="宋体" w:cs="Calibri"/>
          <w:b/>
          <w:bCs/>
          <w:sz w:val="22"/>
          <w:szCs w:val="22"/>
        </w:rPr>
        <w:t>一、评标原则</w:t>
      </w:r>
    </w:p>
    <w:p>
      <w:pPr>
        <w:pStyle w:val="2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经评审的最低投标价法</w:t>
      </w:r>
      <w:r>
        <w:rPr>
          <w:rFonts w:hint="eastAsia" w:hAnsi="宋体" w:cs="Calibri"/>
          <w:bCs/>
          <w:sz w:val="22"/>
          <w:szCs w:val="22"/>
        </w:rPr>
        <w:t>，</w:t>
      </w:r>
      <w:r>
        <w:rPr>
          <w:rFonts w:hAnsi="宋体" w:cs="Calibri"/>
          <w:bCs/>
          <w:sz w:val="22"/>
          <w:szCs w:val="22"/>
        </w:rPr>
        <w:t>评标应遵循公平、公正、科学、择优的原则。</w:t>
      </w:r>
    </w:p>
    <w:p>
      <w:pPr>
        <w:pStyle w:val="21"/>
        <w:spacing w:line="360" w:lineRule="exact"/>
        <w:rPr>
          <w:rFonts w:hAnsi="宋体" w:cs="Calibri"/>
          <w:b/>
          <w:bCs/>
          <w:sz w:val="22"/>
          <w:szCs w:val="22"/>
        </w:rPr>
      </w:pPr>
      <w:r>
        <w:rPr>
          <w:rFonts w:hAnsi="宋体" w:cs="Calibri"/>
          <w:b/>
          <w:bCs/>
          <w:sz w:val="22"/>
          <w:szCs w:val="22"/>
        </w:rPr>
        <w:t>二、评标组织</w:t>
      </w:r>
    </w:p>
    <w:p>
      <w:pPr>
        <w:pStyle w:val="2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1"/>
        <w:spacing w:line="360" w:lineRule="exact"/>
        <w:rPr>
          <w:rFonts w:hAnsi="宋体" w:cs="Calibri"/>
          <w:b/>
          <w:bCs/>
          <w:sz w:val="22"/>
          <w:szCs w:val="22"/>
        </w:rPr>
      </w:pPr>
      <w:r>
        <w:rPr>
          <w:rFonts w:hAnsi="宋体" w:cs="Calibri"/>
          <w:b/>
          <w:bCs/>
          <w:sz w:val="22"/>
          <w:szCs w:val="22"/>
        </w:rPr>
        <w:t>三、投标文件的评审</w:t>
      </w:r>
    </w:p>
    <w:p>
      <w:pPr>
        <w:pStyle w:val="2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1" w:firstLineChars="214"/>
        <w:rPr>
          <w:rFonts w:hint="eastAsia"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1"/>
        <w:numPr>
          <w:ilvl w:val="0"/>
          <w:numId w:val="2"/>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1"/>
        <w:numPr>
          <w:ilvl w:val="0"/>
          <w:numId w:val="2"/>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2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pStyle w:val="21"/>
        <w:spacing w:line="360" w:lineRule="exact"/>
        <w:rPr>
          <w:rFonts w:hAnsi="宋体" w:cs="Calibri"/>
          <w:b/>
          <w:sz w:val="22"/>
          <w:szCs w:val="22"/>
        </w:rPr>
      </w:pPr>
      <w:r>
        <w:rPr>
          <w:rFonts w:hAnsi="宋体" w:cs="Calibri"/>
          <w:b/>
          <w:sz w:val="22"/>
          <w:szCs w:val="22"/>
        </w:rPr>
        <w:t>3.</w:t>
      </w:r>
      <w:r>
        <w:rPr>
          <w:rFonts w:hint="eastAsia" w:hAnsi="宋体" w:cs="Calibri"/>
          <w:b/>
          <w:sz w:val="22"/>
          <w:szCs w:val="22"/>
        </w:rPr>
        <w:t>3</w:t>
      </w:r>
      <w:r>
        <w:rPr>
          <w:rFonts w:hAnsi="宋体" w:cs="Calibri"/>
          <w:b/>
          <w:sz w:val="22"/>
          <w:szCs w:val="22"/>
        </w:rPr>
        <w:t>推荐中标候选人</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3.3.1评标委员会按照经评审的价格由低到高的顺序推荐中标候选人，本项目推荐2名中标候选人。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21"/>
        <w:spacing w:line="360" w:lineRule="exact"/>
        <w:rPr>
          <w:rFonts w:hAnsi="宋体" w:cs="Calibri"/>
          <w:b/>
          <w:sz w:val="22"/>
          <w:szCs w:val="22"/>
        </w:rPr>
      </w:pPr>
      <w:r>
        <w:rPr>
          <w:rFonts w:hAnsi="宋体" w:cs="Calibri"/>
          <w:b/>
          <w:sz w:val="22"/>
          <w:szCs w:val="22"/>
        </w:rPr>
        <w:t>3.</w:t>
      </w:r>
      <w:r>
        <w:rPr>
          <w:rFonts w:hint="eastAsia" w:hAnsi="宋体" w:cs="Calibri"/>
          <w:b/>
          <w:sz w:val="22"/>
          <w:szCs w:val="22"/>
        </w:rPr>
        <w:t>4</w:t>
      </w:r>
      <w:r>
        <w:rPr>
          <w:rFonts w:hAnsi="宋体" w:cs="Calibri"/>
          <w:b/>
          <w:sz w:val="22"/>
          <w:szCs w:val="22"/>
        </w:rPr>
        <w:t>评标报告</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2" w:firstLineChars="200"/>
        <w:rPr>
          <w:rFonts w:hAnsi="宋体" w:cs="Calibri"/>
          <w:sz w:val="22"/>
          <w:szCs w:val="22"/>
        </w:rPr>
      </w:pPr>
      <w:r>
        <w:rPr>
          <w:rFonts w:hint="eastAsia" w:hAnsi="宋体" w:cs="Calibri"/>
          <w:b/>
          <w:sz w:val="22"/>
          <w:szCs w:val="22"/>
        </w:rPr>
        <w:t>4.4</w:t>
      </w:r>
      <w:r>
        <w:rPr>
          <w:rFonts w:hint="eastAsia" w:hAnsi="宋体" w:cs="Calibri"/>
          <w:b/>
          <w:color w:val="000000"/>
          <w:sz w:val="22"/>
        </w:rPr>
        <w:t>招标人对评标、定标结果不负责解释。</w:t>
      </w:r>
    </w:p>
    <w:p>
      <w:pPr>
        <w:pStyle w:val="2"/>
        <w:spacing w:before="0" w:after="0"/>
        <w:jc w:val="center"/>
        <w:rPr>
          <w:rFonts w:cs="Calibri"/>
          <w:sz w:val="24"/>
        </w:rPr>
      </w:pPr>
      <w:r>
        <w:br w:type="page"/>
      </w:r>
      <w:bookmarkStart w:id="68" w:name="_Toc14922"/>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68"/>
    </w:p>
    <w:p>
      <w:pPr>
        <w:spacing w:line="440" w:lineRule="exact"/>
        <w:jc w:val="center"/>
        <w:rPr>
          <w:rFonts w:cs="Calibri"/>
          <w:b/>
          <w:sz w:val="28"/>
          <w:szCs w:val="28"/>
        </w:rPr>
      </w:pPr>
      <w:r>
        <w:rPr>
          <w:rFonts w:cs="Calibri"/>
          <w:b/>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二、</w:t>
      </w:r>
      <w:r>
        <w:rPr>
          <w:rFonts w:ascii="等线" w:hAnsi="等线" w:cs="Calibri"/>
          <w:color w:val="000000"/>
          <w:sz w:val="22"/>
        </w:rPr>
        <w:t>法定代表人资格证明书；</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三、</w:t>
      </w:r>
      <w:r>
        <w:rPr>
          <w:rFonts w:ascii="等线" w:hAnsi="等线" w:cs="Calibri"/>
          <w:color w:val="000000"/>
          <w:sz w:val="22"/>
        </w:rPr>
        <w:t>授权委托书；</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四、</w:t>
      </w:r>
      <w:r>
        <w:rPr>
          <w:rFonts w:ascii="等线" w:hAnsi="等线" w:cs="Calibri"/>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（1）投标人一般情况及有关证明投标人法律地位的文件（包括营业执照、税务登记证、资质证书等），说明投标人的注册地点和主要经营范围；</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r>
        <w:rPr>
          <w:rFonts w:hint="eastAsia" w:ascii="宋体" w:hAnsi="宋体" w:cs="Calibri"/>
          <w:sz w:val="22"/>
        </w:rPr>
        <w:t>（含外观彩色图片）</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ascii="等线" w:hAnsi="等线" w:cs="Arial"/>
          <w:color w:val="000000"/>
          <w:sz w:val="22"/>
        </w:rPr>
        <w:t>投标人认为</w:t>
      </w:r>
      <w:r>
        <w:rPr>
          <w:rFonts w:ascii="等线" w:hAnsi="等线" w:cs="Arial"/>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cs="Calibri"/>
        </w:rPr>
      </w:pPr>
      <w:r>
        <w:rPr>
          <w:rFonts w:hint="eastAsia" w:ascii="宋体" w:hAnsi="宋体" w:cs="Calibri"/>
          <w:color w:val="000000"/>
          <w:sz w:val="22"/>
        </w:rPr>
        <w:t>注：未提供格式的由投标人自行拟定格式。</w:t>
      </w:r>
      <w:r>
        <w:rPr>
          <w:rFonts w:cs="Calibri"/>
        </w:rPr>
        <w:br w:type="page"/>
      </w:r>
      <w:r>
        <w:rPr>
          <w:rFonts w:cs="Calibri"/>
        </w:rPr>
        <w:t>正本（或副本）</w:t>
      </w:r>
    </w:p>
    <w:p>
      <w:pPr>
        <w:spacing w:line="440" w:lineRule="exact"/>
        <w:rPr>
          <w:rFonts w:cs="Calibri"/>
          <w:sz w:val="24"/>
          <w:u w:val="single"/>
        </w:rPr>
      </w:pPr>
      <w:bookmarkStart w:id="69" w:name="_Toc171421958"/>
      <w:r>
        <w:rPr>
          <w:rFonts w:cs="Calibri"/>
        </w:rPr>
        <w:t>封面</w:t>
      </w:r>
      <w:bookmarkEnd w:id="69"/>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sz w:val="36"/>
          <w:szCs w:val="36"/>
        </w:rPr>
      </w:pPr>
    </w:p>
    <w:p>
      <w:pPr>
        <w:spacing w:line="440" w:lineRule="exact"/>
        <w:ind w:firstLine="480" w:firstLineChars="200"/>
        <w:jc w:val="center"/>
        <w:rPr>
          <w:rFonts w:cs="Calibri"/>
          <w:sz w:val="24"/>
        </w:rPr>
      </w:pPr>
    </w:p>
    <w:p>
      <w:pPr>
        <w:spacing w:line="440" w:lineRule="exact"/>
        <w:jc w:val="center"/>
        <w:rPr>
          <w:rFonts w:cs="Calibri"/>
          <w:sz w:val="44"/>
          <w:szCs w:val="44"/>
        </w:rPr>
      </w:pPr>
    </w:p>
    <w:p>
      <w:pPr>
        <w:spacing w:before="480" w:beforeLines="200" w:after="480" w:afterLines="200" w:line="440" w:lineRule="exact"/>
        <w:jc w:val="center"/>
        <w:rPr>
          <w:rFonts w:cs="Calibri"/>
          <w:b/>
          <w:bCs/>
          <w:sz w:val="84"/>
          <w:szCs w:val="84"/>
        </w:rPr>
      </w:pPr>
      <w:r>
        <w:rPr>
          <w:rFonts w:cs="Calibri"/>
          <w:b/>
          <w:bCs/>
          <w:sz w:val="84"/>
          <w:szCs w:val="84"/>
        </w:rPr>
        <w:t>投标文件</w:t>
      </w:r>
    </w:p>
    <w:p>
      <w:pPr>
        <w:spacing w:line="440" w:lineRule="exact"/>
        <w:ind w:firstLine="480" w:firstLineChars="200"/>
        <w:jc w:val="center"/>
        <w:rPr>
          <w:rFonts w:cs="Calibri"/>
          <w:sz w:val="24"/>
        </w:rPr>
      </w:pPr>
    </w:p>
    <w:p>
      <w:pPr>
        <w:spacing w:line="440" w:lineRule="exact"/>
        <w:ind w:firstLine="480" w:firstLineChars="200"/>
        <w:rPr>
          <w:rFonts w:cs="Calibri"/>
          <w:sz w:val="24"/>
        </w:rPr>
      </w:pPr>
      <w:r>
        <w:rPr>
          <w:rFonts w:cs="Calibri"/>
          <w:sz w:val="24"/>
        </w:rPr>
        <w:t xml:space="preserve">                  </w:t>
      </w: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 xml:space="preserve">                （盖单位章）           </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pPr>
        <w:spacing w:line="360" w:lineRule="auto"/>
        <w:ind w:firstLine="1400" w:firstLineChars="500"/>
        <w:rPr>
          <w:rFonts w:cs="Calibri"/>
          <w:sz w:val="28"/>
          <w:szCs w:val="28"/>
        </w:rPr>
      </w:pPr>
      <w:r>
        <w:rPr>
          <w:rFonts w:cs="Calibri"/>
          <w:sz w:val="28"/>
          <w:szCs w:val="28"/>
        </w:rPr>
        <w:t>日  期：</w:t>
      </w:r>
      <w:r>
        <w:rPr>
          <w:rFonts w:cs="Calibri"/>
          <w:sz w:val="28"/>
          <w:szCs w:val="28"/>
          <w:u w:val="single"/>
        </w:rPr>
        <w:t xml:space="preserve">        </w:t>
      </w:r>
      <w:r>
        <w:rPr>
          <w:rFonts w:cs="Calibri"/>
          <w:sz w:val="28"/>
          <w:szCs w:val="28"/>
        </w:rPr>
        <w:t>年</w:t>
      </w:r>
      <w:r>
        <w:rPr>
          <w:rFonts w:cs="Calibri"/>
          <w:sz w:val="28"/>
          <w:szCs w:val="28"/>
          <w:u w:val="single"/>
        </w:rPr>
        <w:t xml:space="preserve">         </w:t>
      </w:r>
      <w:r>
        <w:rPr>
          <w:rFonts w:cs="Calibri"/>
          <w:sz w:val="28"/>
          <w:szCs w:val="28"/>
        </w:rPr>
        <w:t>月</w:t>
      </w:r>
      <w:r>
        <w:rPr>
          <w:rFonts w:cs="Calibri"/>
          <w:sz w:val="28"/>
          <w:szCs w:val="28"/>
          <w:u w:val="single"/>
        </w:rPr>
        <w:t xml:space="preserve">        </w:t>
      </w:r>
      <w:r>
        <w:rPr>
          <w:rFonts w:cs="Calibri"/>
          <w:sz w:val="28"/>
          <w:szCs w:val="28"/>
        </w:rPr>
        <w:t>日</w:t>
      </w:r>
    </w:p>
    <w:p>
      <w:pPr>
        <w:spacing w:line="360" w:lineRule="auto"/>
        <w:ind w:firstLine="1400" w:firstLineChars="500"/>
        <w:rPr>
          <w:rFonts w:cs="Calibri"/>
          <w:sz w:val="28"/>
          <w:szCs w:val="28"/>
        </w:rPr>
      </w:pPr>
    </w:p>
    <w:p>
      <w:pPr>
        <w:spacing w:line="360" w:lineRule="auto"/>
        <w:jc w:val="center"/>
        <w:rPr>
          <w:rFonts w:eastAsia="黑体" w:cs="Calibri"/>
          <w:bCs/>
          <w:sz w:val="32"/>
          <w:szCs w:val="32"/>
        </w:rPr>
      </w:pPr>
      <w:r>
        <w:rPr>
          <w:rFonts w:cs="Calibri"/>
          <w:sz w:val="24"/>
        </w:rPr>
        <w:br w:type="page"/>
      </w:r>
      <w:r>
        <w:rPr>
          <w:rFonts w:eastAsia="黑体" w:cs="Calibri"/>
          <w:bCs/>
          <w:sz w:val="32"/>
          <w:szCs w:val="32"/>
        </w:rPr>
        <w:t>一、投 标 函</w:t>
      </w:r>
    </w:p>
    <w:p>
      <w:pPr>
        <w:spacing w:line="440" w:lineRule="exact"/>
        <w:jc w:val="center"/>
        <w:rPr>
          <w:rFonts w:cs="Calibri"/>
          <w:b/>
          <w:bCs/>
          <w:sz w:val="28"/>
          <w:szCs w:val="28"/>
        </w:rPr>
      </w:pPr>
    </w:p>
    <w:p>
      <w:pPr>
        <w:spacing w:line="440" w:lineRule="exact"/>
        <w:rPr>
          <w:rFonts w:ascii="宋体" w:hAnsi="宋体"/>
          <w:sz w:val="22"/>
        </w:rPr>
      </w:pPr>
      <w:r>
        <w:rPr>
          <w:rFonts w:hint="eastAsia" w:ascii="宋体" w:hAnsi="宋体"/>
          <w:sz w:val="22"/>
        </w:rPr>
        <w:t>致：杭州萧山国际机场有限公司</w:t>
      </w:r>
    </w:p>
    <w:p>
      <w:pPr>
        <w:overflowPunct w:val="0"/>
        <w:autoSpaceDE w:val="0"/>
        <w:autoSpaceDN w:val="0"/>
        <w:spacing w:line="440" w:lineRule="exact"/>
        <w:ind w:firstLine="440" w:firstLineChars="200"/>
        <w:rPr>
          <w:rFonts w:hint="eastAsia" w:ascii="宋体" w:hAnsi="宋体"/>
          <w:sz w:val="22"/>
        </w:rPr>
      </w:pPr>
      <w:r>
        <w:rPr>
          <w:rFonts w:hint="eastAsia" w:ascii="宋体" w:hAnsi="宋体"/>
          <w:sz w:val="22"/>
        </w:rPr>
        <w:t>根据贵方杭州萧山国际机场</w:t>
      </w:r>
      <w:r>
        <w:rPr>
          <w:rFonts w:hint="eastAsia" w:ascii="宋体" w:hAnsi="宋体"/>
          <w:sz w:val="22"/>
          <w:u w:val="single"/>
        </w:rPr>
        <w:t xml:space="preserve">             </w:t>
      </w:r>
      <w:r>
        <w:rPr>
          <w:rFonts w:hint="eastAsia" w:ascii="宋体" w:hAnsi="宋体"/>
          <w:sz w:val="22"/>
        </w:rPr>
        <w:t>采购项目的招标文件，授权代表</w:t>
      </w:r>
      <w:r>
        <w:rPr>
          <w:rFonts w:hint="eastAsia" w:ascii="宋体" w:hAnsi="宋体" w:cs="Arial"/>
          <w:sz w:val="22"/>
          <w:u w:val="single"/>
        </w:rPr>
        <w:t xml:space="preserve">        </w:t>
      </w:r>
      <w:r>
        <w:rPr>
          <w:rFonts w:hint="eastAsia" w:ascii="宋体" w:hAnsi="宋体"/>
          <w:sz w:val="22"/>
        </w:rPr>
        <w:t>(全名、职务)经正式授权，代表投标人</w:t>
      </w:r>
      <w:r>
        <w:rPr>
          <w:rFonts w:hint="eastAsia" w:ascii="宋体" w:hAnsi="宋体" w:cs="Arial"/>
          <w:sz w:val="22"/>
          <w:u w:val="single"/>
        </w:rPr>
        <w:t xml:space="preserve">                    </w:t>
      </w:r>
      <w:r>
        <w:rPr>
          <w:rFonts w:hint="eastAsia" w:ascii="宋体" w:hAnsi="宋体"/>
          <w:sz w:val="22"/>
        </w:rPr>
        <w:t>(投标人名称、地址)递交下述文件正本一份、副本二份。</w:t>
      </w:r>
    </w:p>
    <w:p>
      <w:pPr>
        <w:overflowPunct w:val="0"/>
        <w:autoSpaceDE w:val="0"/>
        <w:autoSpaceDN w:val="0"/>
        <w:spacing w:line="440" w:lineRule="exact"/>
        <w:ind w:firstLine="440" w:firstLineChars="200"/>
        <w:rPr>
          <w:rFonts w:hint="eastAsia" w:ascii="宋体" w:hAnsi="宋体" w:cs="Arial"/>
          <w:sz w:val="22"/>
        </w:rPr>
      </w:pPr>
      <w:r>
        <w:rPr>
          <w:rFonts w:hint="eastAsia" w:ascii="宋体" w:hAnsi="宋体" w:cs="Arial"/>
          <w:sz w:val="22"/>
        </w:rPr>
        <w:t>据此函，本授权代表宣布同意如下：</w:t>
      </w:r>
    </w:p>
    <w:p>
      <w:pPr>
        <w:numPr>
          <w:ilvl w:val="0"/>
          <w:numId w:val="3"/>
        </w:numPr>
        <w:tabs>
          <w:tab w:val="left" w:pos="840"/>
        </w:tabs>
        <w:overflowPunct w:val="0"/>
        <w:autoSpaceDE w:val="0"/>
        <w:autoSpaceDN w:val="0"/>
        <w:spacing w:line="440" w:lineRule="exact"/>
        <w:rPr>
          <w:rFonts w:hint="eastAsia" w:ascii="宋体" w:hAnsi="宋体"/>
          <w:sz w:val="22"/>
        </w:rPr>
      </w:pPr>
      <w:r>
        <w:rPr>
          <w:rFonts w:hint="eastAsia"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hint="eastAsia" w:ascii="宋体" w:hAnsi="宋体"/>
          <w:sz w:val="22"/>
        </w:rPr>
      </w:pPr>
      <w:r>
        <w:rPr>
          <w:rFonts w:hint="eastAsia" w:ascii="宋体" w:hAnsi="宋体"/>
          <w:sz w:val="22"/>
        </w:rPr>
        <w:t>(大写)</w:t>
      </w:r>
      <w:r>
        <w:rPr>
          <w:rFonts w:hint="eastAsia" w:ascii="宋体" w:hAnsi="宋体"/>
          <w:sz w:val="22"/>
          <w:u w:val="single"/>
        </w:rPr>
        <w:t xml:space="preserve">                   </w:t>
      </w:r>
      <w:r>
        <w:rPr>
          <w:rFonts w:hint="eastAsia" w:ascii="宋体" w:hAnsi="宋体"/>
          <w:sz w:val="22"/>
        </w:rPr>
        <w:t>(小写)</w:t>
      </w:r>
      <w:r>
        <w:rPr>
          <w:rFonts w:hint="eastAsia" w:ascii="宋体" w:hAnsi="宋体"/>
          <w:sz w:val="22"/>
          <w:u w:val="single"/>
        </w:rPr>
        <w:t xml:space="preserve">             </w:t>
      </w:r>
      <w:r>
        <w:rPr>
          <w:rFonts w:hint="eastAsia" w:ascii="宋体" w:hAnsi="宋体"/>
          <w:sz w:val="22"/>
        </w:rPr>
        <w:t>。</w:t>
      </w:r>
    </w:p>
    <w:p>
      <w:pPr>
        <w:overflowPunct w:val="0"/>
        <w:autoSpaceDE w:val="0"/>
        <w:autoSpaceDN w:val="0"/>
        <w:spacing w:line="440" w:lineRule="exact"/>
        <w:ind w:left="416" w:leftChars="198" w:firstLine="440" w:firstLineChars="200"/>
        <w:rPr>
          <w:rFonts w:hint="eastAsia"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3"/>
        </w:numPr>
        <w:tabs>
          <w:tab w:val="left" w:pos="840"/>
        </w:tabs>
        <w:overflowPunct w:val="0"/>
        <w:autoSpaceDE w:val="0"/>
        <w:autoSpaceDN w:val="0"/>
        <w:spacing w:line="440" w:lineRule="exact"/>
        <w:rPr>
          <w:rFonts w:hint="eastAsia" w:ascii="宋体" w:hAnsi="宋体"/>
          <w:sz w:val="22"/>
        </w:rPr>
      </w:pPr>
      <w:r>
        <w:rPr>
          <w:rFonts w:hint="eastAsia" w:ascii="宋体" w:hAnsi="宋体"/>
          <w:sz w:val="22"/>
        </w:rPr>
        <w:t>我方承诺：</w:t>
      </w:r>
    </w:p>
    <w:p>
      <w:pPr>
        <w:numPr>
          <w:ilvl w:val="0"/>
          <w:numId w:val="4"/>
        </w:numPr>
        <w:tabs>
          <w:tab w:val="left" w:pos="840"/>
          <w:tab w:val="left" w:pos="907"/>
        </w:tabs>
        <w:overflowPunct w:val="0"/>
        <w:autoSpaceDE w:val="0"/>
        <w:autoSpaceDN w:val="0"/>
        <w:spacing w:line="440" w:lineRule="exact"/>
        <w:rPr>
          <w:rFonts w:hint="eastAsia" w:ascii="宋体" w:hAnsi="宋体"/>
          <w:sz w:val="22"/>
        </w:rPr>
      </w:pPr>
      <w:r>
        <w:rPr>
          <w:rFonts w:hint="eastAsia" w:ascii="宋体" w:hAnsi="宋体"/>
          <w:sz w:val="22"/>
        </w:rPr>
        <w:t>我方不是失信被执行人；</w:t>
      </w:r>
    </w:p>
    <w:p>
      <w:pPr>
        <w:numPr>
          <w:ilvl w:val="0"/>
          <w:numId w:val="4"/>
        </w:numPr>
        <w:tabs>
          <w:tab w:val="left" w:pos="840"/>
          <w:tab w:val="left" w:pos="907"/>
        </w:tabs>
        <w:overflowPunct w:val="0"/>
        <w:autoSpaceDE w:val="0"/>
        <w:autoSpaceDN w:val="0"/>
        <w:spacing w:line="440" w:lineRule="exact"/>
        <w:rPr>
          <w:rFonts w:hint="eastAsia" w:ascii="宋体" w:hAnsi="宋体"/>
          <w:sz w:val="22"/>
        </w:rPr>
      </w:pPr>
      <w:r>
        <w:rPr>
          <w:rFonts w:hint="eastAsia" w:ascii="宋体" w:hAnsi="宋体"/>
          <w:sz w:val="22"/>
        </w:rPr>
        <w:t>我方在规定期限内无行贿犯罪记录；</w:t>
      </w:r>
    </w:p>
    <w:p>
      <w:pPr>
        <w:numPr>
          <w:ilvl w:val="0"/>
          <w:numId w:val="4"/>
        </w:numPr>
        <w:tabs>
          <w:tab w:val="left" w:pos="840"/>
          <w:tab w:val="left" w:pos="907"/>
        </w:tabs>
        <w:overflowPunct w:val="0"/>
        <w:autoSpaceDE w:val="0"/>
        <w:autoSpaceDN w:val="0"/>
        <w:spacing w:line="440" w:lineRule="exact"/>
        <w:rPr>
          <w:rFonts w:hint="eastAsia" w:ascii="宋体" w:hAnsi="宋体"/>
          <w:sz w:val="22"/>
        </w:rPr>
      </w:pPr>
      <w:r>
        <w:rPr>
          <w:rFonts w:hint="eastAsia" w:ascii="宋体" w:hAnsi="宋体"/>
          <w:sz w:val="22"/>
        </w:rPr>
        <w:t>我方具有一般纳税人资格，可提供增值税专用发票；</w:t>
      </w:r>
    </w:p>
    <w:p>
      <w:pPr>
        <w:numPr>
          <w:ilvl w:val="0"/>
          <w:numId w:val="3"/>
        </w:numPr>
        <w:tabs>
          <w:tab w:val="left" w:pos="840"/>
        </w:tabs>
        <w:overflowPunct w:val="0"/>
        <w:autoSpaceDE w:val="0"/>
        <w:autoSpaceDN w:val="0"/>
        <w:spacing w:line="440" w:lineRule="exact"/>
        <w:rPr>
          <w:rFonts w:hint="eastAsia" w:ascii="宋体" w:hAnsi="宋体"/>
          <w:sz w:val="22"/>
        </w:rPr>
      </w:pPr>
      <w:r>
        <w:rPr>
          <w:rFonts w:hint="eastAsia" w:ascii="宋体" w:hAnsi="宋体"/>
          <w:sz w:val="22"/>
        </w:rPr>
        <w:t>如我方中标，我方承诺：</w:t>
      </w:r>
    </w:p>
    <w:p>
      <w:pPr>
        <w:numPr>
          <w:ilvl w:val="0"/>
          <w:numId w:val="5"/>
        </w:numPr>
        <w:tabs>
          <w:tab w:val="left" w:pos="840"/>
          <w:tab w:val="left" w:pos="907"/>
        </w:tabs>
        <w:overflowPunct w:val="0"/>
        <w:autoSpaceDE w:val="0"/>
        <w:autoSpaceDN w:val="0"/>
        <w:spacing w:line="440" w:lineRule="exact"/>
        <w:rPr>
          <w:rFonts w:hint="eastAsia" w:ascii="宋体" w:hAnsi="宋体"/>
          <w:sz w:val="22"/>
        </w:rPr>
      </w:pPr>
      <w:r>
        <w:rPr>
          <w:rFonts w:hint="eastAsia" w:ascii="宋体" w:hAnsi="宋体"/>
          <w:sz w:val="22"/>
        </w:rPr>
        <w:t>在收到中标通知书后，在中标通知书规定的期限内与你方签订合同；</w:t>
      </w:r>
    </w:p>
    <w:p>
      <w:pPr>
        <w:numPr>
          <w:ilvl w:val="0"/>
          <w:numId w:val="5"/>
        </w:numPr>
        <w:tabs>
          <w:tab w:val="left" w:pos="840"/>
          <w:tab w:val="left" w:pos="907"/>
        </w:tabs>
        <w:overflowPunct w:val="0"/>
        <w:autoSpaceDE w:val="0"/>
        <w:autoSpaceDN w:val="0"/>
        <w:spacing w:line="440" w:lineRule="exact"/>
        <w:rPr>
          <w:rFonts w:hint="eastAsia" w:ascii="宋体" w:hAnsi="宋体"/>
          <w:sz w:val="22"/>
        </w:rPr>
      </w:pPr>
      <w:r>
        <w:rPr>
          <w:rFonts w:hint="eastAsia" w:ascii="宋体" w:hAnsi="宋体"/>
          <w:sz w:val="22"/>
        </w:rPr>
        <w:t>在签订合同时不向你方提出附加条件；</w:t>
      </w:r>
    </w:p>
    <w:p>
      <w:pPr>
        <w:numPr>
          <w:ilvl w:val="0"/>
          <w:numId w:val="5"/>
        </w:numPr>
        <w:tabs>
          <w:tab w:val="left" w:pos="840"/>
          <w:tab w:val="left" w:pos="907"/>
        </w:tabs>
        <w:overflowPunct w:val="0"/>
        <w:autoSpaceDE w:val="0"/>
        <w:autoSpaceDN w:val="0"/>
        <w:spacing w:line="440" w:lineRule="exact"/>
        <w:rPr>
          <w:rFonts w:hint="eastAsia" w:ascii="宋体" w:hAnsi="宋体"/>
          <w:sz w:val="22"/>
        </w:rPr>
      </w:pPr>
      <w:r>
        <w:rPr>
          <w:rFonts w:hint="eastAsia" w:ascii="宋体" w:hAnsi="宋体"/>
          <w:sz w:val="22"/>
        </w:rPr>
        <w:t>按照招标文件要求提交履约保证金；</w:t>
      </w:r>
    </w:p>
    <w:p>
      <w:pPr>
        <w:tabs>
          <w:tab w:val="left" w:pos="840"/>
        </w:tabs>
        <w:overflowPunct w:val="0"/>
        <w:autoSpaceDE w:val="0"/>
        <w:autoSpaceDN w:val="0"/>
        <w:spacing w:line="440" w:lineRule="exact"/>
        <w:ind w:left="907"/>
        <w:rPr>
          <w:rFonts w:hint="eastAsia" w:ascii="宋体" w:hAnsi="宋体"/>
          <w:sz w:val="22"/>
        </w:rPr>
      </w:pPr>
      <w:r>
        <w:rPr>
          <w:rFonts w:hint="eastAsia" w:ascii="宋体" w:hAnsi="宋体"/>
          <w:sz w:val="22"/>
        </w:rPr>
        <w:t>④在合同约定的期限内完成合同规定的全部义务。</w:t>
      </w:r>
    </w:p>
    <w:p>
      <w:pPr>
        <w:numPr>
          <w:ilvl w:val="0"/>
          <w:numId w:val="3"/>
        </w:numPr>
        <w:tabs>
          <w:tab w:val="left" w:pos="840"/>
        </w:tabs>
        <w:overflowPunct w:val="0"/>
        <w:autoSpaceDE w:val="0"/>
        <w:autoSpaceDN w:val="0"/>
        <w:spacing w:line="440" w:lineRule="exact"/>
        <w:rPr>
          <w:rFonts w:hint="eastAsia" w:ascii="宋体" w:hAnsi="宋体"/>
          <w:sz w:val="22"/>
        </w:rPr>
      </w:pPr>
      <w:r>
        <w:rPr>
          <w:rFonts w:hint="eastAsia" w:ascii="宋体" w:hAnsi="宋体"/>
          <w:sz w:val="22"/>
        </w:rPr>
        <w:t>我方已详细审查招标文件包括澄清函和修改文件(若有)、所有已提供的资料以及有关附件，我司已完全理解上述文件的全部内容，并放弃提出任何误解或不明作为抗辩的权利。。</w:t>
      </w:r>
    </w:p>
    <w:p>
      <w:pPr>
        <w:numPr>
          <w:ilvl w:val="0"/>
          <w:numId w:val="3"/>
        </w:numPr>
        <w:tabs>
          <w:tab w:val="left" w:pos="840"/>
        </w:tabs>
        <w:overflowPunct w:val="0"/>
        <w:autoSpaceDE w:val="0"/>
        <w:autoSpaceDN w:val="0"/>
        <w:spacing w:line="440" w:lineRule="exact"/>
        <w:ind w:left="840" w:hanging="420"/>
        <w:rPr>
          <w:rFonts w:hint="eastAsia" w:ascii="宋体" w:hAnsi="宋体"/>
          <w:sz w:val="22"/>
        </w:rPr>
      </w:pPr>
      <w:r>
        <w:rPr>
          <w:rFonts w:hint="eastAsia" w:ascii="宋体" w:hAnsi="宋体"/>
          <w:sz w:val="22"/>
        </w:rPr>
        <w:t>本投标的投标有效期为自投标截止之日起120日内。</w:t>
      </w:r>
    </w:p>
    <w:p>
      <w:pPr>
        <w:numPr>
          <w:ilvl w:val="0"/>
          <w:numId w:val="3"/>
        </w:numPr>
        <w:tabs>
          <w:tab w:val="left" w:pos="840"/>
        </w:tabs>
        <w:overflowPunct w:val="0"/>
        <w:autoSpaceDE w:val="0"/>
        <w:autoSpaceDN w:val="0"/>
        <w:spacing w:line="440" w:lineRule="exact"/>
        <w:ind w:left="840" w:hanging="420"/>
        <w:rPr>
          <w:rFonts w:hint="eastAsia" w:ascii="宋体" w:hAnsi="宋体"/>
          <w:sz w:val="22"/>
        </w:rPr>
      </w:pPr>
      <w:r>
        <w:rPr>
          <w:rFonts w:hint="eastAsia" w:ascii="宋体" w:hAnsi="宋体"/>
          <w:sz w:val="22"/>
        </w:rPr>
        <w:t>我方完全清楚并理解在投标有效期期满之前撤回投标，招标人有权</w:t>
      </w:r>
      <w:r>
        <w:rPr>
          <w:rFonts w:hint="eastAsia" w:ascii="宋体" w:hAnsi="宋体" w:cs="宋体"/>
          <w:sz w:val="22"/>
        </w:rPr>
        <w:t>不予退还</w:t>
      </w:r>
      <w:r>
        <w:rPr>
          <w:rFonts w:hint="eastAsia" w:ascii="宋体" w:hAnsi="宋体"/>
          <w:sz w:val="22"/>
        </w:rPr>
        <w:t>投标人的投标保证金及银行同期存款利息。</w:t>
      </w:r>
    </w:p>
    <w:p>
      <w:pPr>
        <w:numPr>
          <w:ilvl w:val="0"/>
          <w:numId w:val="3"/>
        </w:numPr>
        <w:tabs>
          <w:tab w:val="left" w:pos="840"/>
        </w:tabs>
        <w:overflowPunct w:val="0"/>
        <w:autoSpaceDE w:val="0"/>
        <w:autoSpaceDN w:val="0"/>
        <w:spacing w:line="440" w:lineRule="exact"/>
        <w:ind w:left="840" w:hanging="420"/>
        <w:rPr>
          <w:rFonts w:hint="eastAsia" w:ascii="宋体" w:hAnsi="宋体"/>
          <w:sz w:val="22"/>
        </w:rPr>
      </w:pPr>
      <w:r>
        <w:rPr>
          <w:rFonts w:hint="eastAsia" w:ascii="宋体" w:hAnsi="宋体"/>
          <w:sz w:val="22"/>
        </w:rPr>
        <w:t>我方同意按照你方可能提出的要求，提供有关的任何其它数字或资料，并对贵方可能不接受最低报价及任何报价表示理解。</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投标人：（盖单位章）</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法定代表人或其委托代理人：（签字或盖章）</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地    址：</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邮政编码：</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电    话：</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传    真：</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开户银行：</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账    号：</w:t>
      </w:r>
    </w:p>
    <w:p>
      <w:pPr>
        <w:snapToGrid w:val="0"/>
        <w:spacing w:line="440" w:lineRule="exact"/>
        <w:ind w:firstLine="3300" w:firstLineChars="1500"/>
        <w:rPr>
          <w:rFonts w:cs="Calibri"/>
          <w:szCs w:val="21"/>
        </w:rPr>
      </w:pPr>
      <w:r>
        <w:rPr>
          <w:rFonts w:ascii="等线" w:hAnsi="等线" w:cs="Calibri"/>
          <w:color w:val="000000"/>
          <w:sz w:val="22"/>
        </w:rPr>
        <w:t>日    期：    年     月     日</w:t>
      </w:r>
    </w:p>
    <w:p>
      <w:pPr>
        <w:snapToGrid w:val="0"/>
        <w:spacing w:line="440" w:lineRule="exact"/>
        <w:ind w:firstLine="3150" w:firstLineChars="1500"/>
        <w:rPr>
          <w:rFonts w:cs="Calibri"/>
          <w:szCs w:val="21"/>
        </w:rPr>
      </w:pPr>
    </w:p>
    <w:p>
      <w:pPr>
        <w:adjustRightInd w:val="0"/>
        <w:snapToGrid w:val="0"/>
        <w:jc w:val="center"/>
        <w:rPr>
          <w:rFonts w:eastAsia="黑体" w:cs="Calibri"/>
          <w:color w:val="000000"/>
          <w:sz w:val="32"/>
          <w:szCs w:val="32"/>
        </w:rPr>
      </w:pPr>
      <w:r>
        <w:rPr>
          <w:rFonts w:eastAsia="黑体" w:cs="Calibri"/>
          <w:sz w:val="32"/>
          <w:szCs w:val="3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21"/>
        <w:spacing w:after="120" w:afterLines="50" w:line="360" w:lineRule="auto"/>
        <w:jc w:val="left"/>
        <w:rPr>
          <w:rFonts w:hAnsi="宋体" w:cs="宋体"/>
          <w:b/>
        </w:rPr>
      </w:pPr>
      <w:r>
        <w:rPr>
          <w:rFonts w:hAnsi="宋体" w:cs="宋体"/>
          <w:b/>
        </w:rPr>
        <w:br w:type="page"/>
      </w:r>
      <w:bookmarkStart w:id="70" w:name="_Toc144265958"/>
      <w:bookmarkStart w:id="71" w:name="_Toc133214309"/>
      <w:bookmarkStart w:id="72" w:name="_Toc137373398"/>
      <w:bookmarkStart w:id="73" w:name="_Toc133470542"/>
      <w:bookmarkStart w:id="74" w:name="_Toc133214102"/>
    </w:p>
    <w:p>
      <w:pPr>
        <w:pStyle w:val="21"/>
        <w:spacing w:after="120" w:afterLines="50" w:line="360" w:lineRule="auto"/>
        <w:jc w:val="left"/>
        <w:rPr>
          <w:rFonts w:hAnsi="宋体" w:cs="宋体"/>
          <w:sz w:val="22"/>
          <w:szCs w:val="22"/>
        </w:rPr>
      </w:pP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pStyle w:val="21"/>
        <w:spacing w:after="120" w:afterLines="50" w:line="360" w:lineRule="auto"/>
        <w:jc w:val="center"/>
        <w:rPr>
          <w:rFonts w:hAnsi="宋体" w:cs="宋体"/>
        </w:rPr>
      </w:pPr>
    </w:p>
    <w:p>
      <w:pPr>
        <w:pStyle w:val="21"/>
        <w:numPr>
          <w:ilvl w:val="1"/>
          <w:numId w:val="6"/>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1"/>
        <w:numPr>
          <w:ilvl w:val="1"/>
          <w:numId w:val="7"/>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1"/>
        <w:numPr>
          <w:ilvl w:val="1"/>
          <w:numId w:val="7"/>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1"/>
        <w:numPr>
          <w:ilvl w:val="1"/>
          <w:numId w:val="7"/>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1"/>
        <w:numPr>
          <w:ilvl w:val="1"/>
          <w:numId w:val="7"/>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1"/>
        <w:numPr>
          <w:ilvl w:val="1"/>
          <w:numId w:val="7"/>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1"/>
        <w:numPr>
          <w:ilvl w:val="1"/>
          <w:numId w:val="7"/>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21"/>
        <w:numPr>
          <w:ilvl w:val="1"/>
          <w:numId w:val="6"/>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70"/>
    <w:bookmarkEnd w:id="71"/>
    <w:bookmarkEnd w:id="72"/>
    <w:bookmarkEnd w:id="73"/>
    <w:bookmarkEnd w:id="74"/>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cs="Calibri"/>
          <w:b/>
          <w:bCs/>
          <w:sz w:val="32"/>
        </w:rPr>
      </w:pPr>
      <w:r>
        <w:rPr>
          <w:rFonts w:ascii="宋体" w:hAnsi="宋体" w:cs="宋体"/>
          <w:sz w:val="22"/>
        </w:rPr>
        <w:t xml:space="preserve"> </w:t>
      </w:r>
    </w:p>
    <w:p>
      <w:pPr>
        <w:spacing w:line="440" w:lineRule="exact"/>
        <w:jc w:val="center"/>
        <w:rPr>
          <w:rFonts w:eastAsia="黑体" w:cs="Calibri"/>
          <w:sz w:val="32"/>
          <w:szCs w:val="32"/>
        </w:rPr>
        <w:sectPr>
          <w:footerReference r:id="rId7" w:type="even"/>
          <w:pgSz w:w="11906" w:h="16838"/>
          <w:pgMar w:top="1134" w:right="1247" w:bottom="1134" w:left="1247" w:header="851" w:footer="992" w:gutter="0"/>
          <w:cols w:space="720" w:num="1"/>
          <w:docGrid w:linePitch="312" w:charSpace="0"/>
        </w:sectPr>
      </w:pPr>
    </w:p>
    <w:p>
      <w:pPr>
        <w:spacing w:line="440" w:lineRule="exact"/>
        <w:jc w:val="center"/>
        <w:rPr>
          <w:rFonts w:eastAsia="黑体" w:cs="Calibri"/>
          <w:sz w:val="32"/>
          <w:szCs w:val="32"/>
        </w:rPr>
      </w:pPr>
      <w:r>
        <w:rPr>
          <w:rFonts w:hint="eastAsia" w:eastAsia="黑体" w:cs="Calibri"/>
          <w:sz w:val="32"/>
          <w:szCs w:val="32"/>
        </w:rPr>
        <w:t>4</w:t>
      </w:r>
      <w:r>
        <w:rPr>
          <w:rFonts w:eastAsia="黑体" w:cs="Calibri"/>
          <w:sz w:val="32"/>
          <w:szCs w:val="32"/>
        </w:rPr>
        <w:t>.1投标报价表</w:t>
      </w:r>
    </w:p>
    <w:p>
      <w:pPr>
        <w:spacing w:line="360" w:lineRule="auto"/>
        <w:rPr>
          <w:rFonts w:ascii="宋体" w:hAnsi="宋体" w:cs="宋体"/>
          <w:bCs/>
          <w:sz w:val="22"/>
        </w:rPr>
      </w:pPr>
      <w:r>
        <w:rPr>
          <w:rFonts w:hint="eastAsia" w:cs="Calibri"/>
          <w:b/>
          <w:szCs w:val="21"/>
        </w:rPr>
        <w:t xml:space="preserve"> </w:t>
      </w:r>
    </w:p>
    <w:tbl>
      <w:tblPr>
        <w:tblStyle w:val="53"/>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665"/>
        <w:gridCol w:w="1227"/>
        <w:gridCol w:w="1115"/>
        <w:gridCol w:w="801"/>
        <w:gridCol w:w="671"/>
        <w:gridCol w:w="642"/>
        <w:gridCol w:w="1638"/>
        <w:gridCol w:w="1455"/>
        <w:gridCol w:w="1851"/>
        <w:gridCol w:w="113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66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22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11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0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64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6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 (元，不含税)</w:t>
            </w:r>
          </w:p>
        </w:tc>
        <w:tc>
          <w:tcPr>
            <w:tcW w:w="1455"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合价（元，不含税）</w:t>
            </w:r>
          </w:p>
        </w:tc>
        <w:tc>
          <w:tcPr>
            <w:tcW w:w="1851"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增值税税率</w:t>
            </w:r>
          </w:p>
        </w:tc>
        <w:tc>
          <w:tcPr>
            <w:tcW w:w="1136"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单价（元，含税）</w:t>
            </w:r>
          </w:p>
        </w:tc>
        <w:tc>
          <w:tcPr>
            <w:tcW w:w="177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4</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不含税价格合计（元）</w:t>
            </w:r>
          </w:p>
        </w:tc>
        <w:tc>
          <w:tcPr>
            <w:tcW w:w="12310" w:type="dxa"/>
            <w:gridSpan w:val="10"/>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税金（元）</w:t>
            </w:r>
          </w:p>
        </w:tc>
        <w:tc>
          <w:tcPr>
            <w:tcW w:w="12310" w:type="dxa"/>
            <w:gridSpan w:val="10"/>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价税合计（元）</w:t>
            </w:r>
          </w:p>
        </w:tc>
        <w:tc>
          <w:tcPr>
            <w:tcW w:w="12310" w:type="dxa"/>
            <w:gridSpan w:val="10"/>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人民币大写 </w:t>
            </w:r>
            <w:r>
              <w:rPr>
                <w:rFonts w:ascii="宋体" w:hAnsi="宋体" w:cs="宋体"/>
                <w:b/>
                <w:bCs/>
                <w:kern w:val="0"/>
                <w:sz w:val="20"/>
              </w:rPr>
              <w:t xml:space="preserve">    </w:t>
            </w:r>
            <w:r>
              <w:rPr>
                <w:rFonts w:hint="eastAsia" w:ascii="宋体" w:hAnsi="宋体" w:cs="宋体"/>
                <w:b/>
                <w:bCs/>
                <w:kern w:val="0"/>
                <w:sz w:val="20"/>
              </w:rPr>
              <w:t>元，</w:t>
            </w:r>
            <w:r>
              <w:rPr>
                <w:rFonts w:ascii="宋体" w:hAnsi="宋体" w:cs="宋体"/>
                <w:b/>
                <w:bCs/>
                <w:kern w:val="0"/>
                <w:sz w:val="20"/>
              </w:rPr>
              <w:t>¥   .00</w:t>
            </w: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8"/>
        </w:numPr>
        <w:tabs>
          <w:tab w:val="left" w:pos="284"/>
          <w:tab w:val="clear" w:pos="1200"/>
        </w:tabs>
        <w:adjustRightInd w:val="0"/>
        <w:snapToGrid w:val="0"/>
        <w:spacing w:line="300" w:lineRule="auto"/>
        <w:ind w:left="284" w:hanging="284"/>
        <w:jc w:val="left"/>
        <w:rPr>
          <w:rFonts w:cs="Calibri"/>
          <w:b/>
          <w:szCs w:val="21"/>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440" w:lineRule="exact"/>
        <w:jc w:val="center"/>
        <w:rPr>
          <w:rFonts w:eastAsia="黑体" w:cs="Calibri"/>
          <w:bCs/>
          <w:szCs w:val="21"/>
        </w:rPr>
      </w:pPr>
    </w:p>
    <w:p>
      <w:pPr>
        <w:spacing w:line="440" w:lineRule="exact"/>
        <w:jc w:val="center"/>
        <w:rPr>
          <w:rFonts w:eastAsia="黑体" w:cs="Calibri"/>
          <w:bCs/>
          <w:szCs w:val="21"/>
        </w:rPr>
      </w:pPr>
      <w:r>
        <w:rPr>
          <w:rFonts w:hint="eastAsia" w:eastAsia="黑体" w:cs="Calibri"/>
          <w:bCs/>
          <w:szCs w:val="21"/>
        </w:rPr>
        <w:t>投标人：（盖单位章）</w:t>
      </w:r>
    </w:p>
    <w:p>
      <w:pPr>
        <w:spacing w:line="440" w:lineRule="exact"/>
        <w:jc w:val="center"/>
        <w:rPr>
          <w:rFonts w:eastAsia="黑体" w:cs="Calibri"/>
          <w:bCs/>
          <w:szCs w:val="21"/>
        </w:rPr>
      </w:pPr>
      <w:r>
        <w:rPr>
          <w:rFonts w:hint="eastAsia" w:eastAsia="黑体" w:cs="Calibri"/>
          <w:bCs/>
          <w:szCs w:val="21"/>
        </w:rPr>
        <w:t>法定代表人或其委托代理人：（签字或盖章）</w:t>
      </w:r>
    </w:p>
    <w:p>
      <w:pPr>
        <w:spacing w:line="440" w:lineRule="exact"/>
        <w:jc w:val="center"/>
        <w:rPr>
          <w:rFonts w:eastAsia="黑体" w:cs="Calibri"/>
          <w:bCs/>
          <w:szCs w:val="21"/>
        </w:rPr>
        <w:sectPr>
          <w:pgSz w:w="16838" w:h="11906" w:orient="landscape"/>
          <w:pgMar w:top="1247" w:right="1134" w:bottom="1247" w:left="1134" w:header="851" w:footer="992" w:gutter="0"/>
          <w:cols w:space="720" w:num="1"/>
          <w:docGrid w:linePitch="312" w:charSpace="0"/>
        </w:sectPr>
      </w:pPr>
      <w:r>
        <w:rPr>
          <w:rFonts w:hint="eastAsia" w:eastAsia="黑体" w:cs="Calibri"/>
          <w:bCs/>
          <w:szCs w:val="21"/>
        </w:rPr>
        <w:t xml:space="preserve">日期：    年     月    </w:t>
      </w:r>
    </w:p>
    <w:p>
      <w:pPr>
        <w:spacing w:line="440" w:lineRule="exact"/>
        <w:jc w:val="center"/>
        <w:rPr>
          <w:rFonts w:eastAsia="黑体" w:cs="Calibri"/>
          <w:sz w:val="32"/>
          <w:szCs w:val="32"/>
        </w:rPr>
      </w:pPr>
      <w:r>
        <w:rPr>
          <w:rFonts w:hint="eastAsia" w:eastAsia="黑体" w:cs="Calibri"/>
          <w:sz w:val="32"/>
          <w:szCs w:val="32"/>
        </w:rPr>
        <w:t>五</w:t>
      </w:r>
      <w:r>
        <w:rPr>
          <w:rFonts w:eastAsia="黑体" w:cs="Calibri"/>
          <w:sz w:val="32"/>
          <w:szCs w:val="32"/>
        </w:rPr>
        <w:t>、投标人资格证明文件</w:t>
      </w:r>
    </w:p>
    <w:p>
      <w:pPr>
        <w:spacing w:line="360" w:lineRule="auto"/>
        <w:jc w:val="center"/>
        <w:rPr>
          <w:rFonts w:ascii="宋体" w:hAnsi="宋体" w:cs="Calibri"/>
          <w:b/>
          <w:sz w:val="32"/>
          <w:szCs w:val="32"/>
        </w:rPr>
      </w:pPr>
      <w:r>
        <w:rPr>
          <w:rFonts w:ascii="宋体" w:hAnsi="宋体" w:cs="Calibri"/>
          <w:b/>
          <w:sz w:val="32"/>
          <w:szCs w:val="32"/>
        </w:rPr>
        <w:t xml:space="preserve"> </w:t>
      </w:r>
      <w:r>
        <w:rPr>
          <w:rFonts w:hint="eastAsia" w:ascii="宋体" w:hAnsi="宋体" w:cs="Calibri"/>
          <w:b/>
          <w:sz w:val="32"/>
          <w:szCs w:val="32"/>
        </w:rPr>
        <w:t>（一）投标人一般情况</w:t>
      </w:r>
    </w:p>
    <w:tbl>
      <w:tblPr>
        <w:tblStyle w:val="53"/>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0"/>
              <w:ind w:firstLine="440"/>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Calibri"/>
          <w:b/>
          <w:sz w:val="32"/>
          <w:szCs w:val="32"/>
        </w:rPr>
        <w:t xml:space="preserve">（二）具有独立法人资格，持有有效营业执照，注册资本500万元（含）以上 (提供营业执照复印件，原件备查) </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Calibri"/>
          <w:b/>
          <w:sz w:val="32"/>
          <w:szCs w:val="32"/>
        </w:rPr>
        <w:t>（三）依据最高人民法院等九部门《关于在招标投标活动中对失信被执行人实施联合惩戒的通知》，投标人不得为失信被执行人。（通过信用中国网站www.creditchina.gov.cn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cs="Calibri"/>
          <w:b/>
          <w:sz w:val="32"/>
          <w:szCs w:val="32"/>
        </w:rPr>
        <w:t>（四）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spacing w:line="360" w:lineRule="auto"/>
        <w:jc w:val="center"/>
        <w:rPr>
          <w:rFonts w:cs="Calibri"/>
          <w:b/>
          <w:sz w:val="32"/>
          <w:szCs w:val="32"/>
        </w:rPr>
      </w:pPr>
      <w:r>
        <w:rPr>
          <w:rFonts w:cs="Calibri"/>
          <w:b/>
          <w:sz w:val="36"/>
          <w:szCs w:val="36"/>
        </w:rPr>
        <w:br w:type="page"/>
      </w:r>
      <w:r>
        <w:rPr>
          <w:rFonts w:hint="eastAsia" w:cs="Calibri"/>
          <w:b/>
          <w:sz w:val="32"/>
          <w:szCs w:val="32"/>
        </w:rPr>
        <w:t>（五）投标人具有一般纳税人资格，可提供增值税专用发票（需提供税务机关出具的一般纳税人资格认定相关证明材料复印件并加盖投标人公章作为证明材料，原件备查）。</w:t>
      </w:r>
    </w:p>
    <w:p>
      <w:pPr>
        <w:spacing w:line="360" w:lineRule="auto"/>
        <w:jc w:val="center"/>
        <w:rPr>
          <w:rFonts w:cs="Calibri"/>
          <w:b/>
          <w:sz w:val="36"/>
          <w:szCs w:val="36"/>
        </w:rPr>
      </w:pPr>
      <w:r>
        <w:rPr>
          <w:rFonts w:cs="Calibri"/>
          <w:b/>
          <w:sz w:val="36"/>
          <w:szCs w:val="36"/>
        </w:rPr>
        <w:br w:type="page"/>
      </w:r>
    </w:p>
    <w:p>
      <w:pPr>
        <w:spacing w:line="360" w:lineRule="auto"/>
        <w:jc w:val="center"/>
        <w:rPr>
          <w:rFonts w:ascii="宋体" w:hAnsi="宋体" w:cs="宋体"/>
          <w:b/>
          <w:sz w:val="32"/>
          <w:szCs w:val="32"/>
        </w:rPr>
      </w:pPr>
      <w:r>
        <w:rPr>
          <w:rFonts w:hint="eastAsia" w:cs="Calibri"/>
          <w:b/>
          <w:sz w:val="36"/>
          <w:szCs w:val="36"/>
        </w:rPr>
        <w:t>（六）</w:t>
      </w:r>
      <w:r>
        <w:rPr>
          <w:rFonts w:hint="eastAsia" w:ascii="宋体" w:hAnsi="宋体" w:cs="宋体"/>
          <w:b/>
          <w:sz w:val="32"/>
          <w:szCs w:val="32"/>
        </w:rPr>
        <w:t>投标产品近三年（2</w:t>
      </w:r>
      <w:r>
        <w:rPr>
          <w:rFonts w:ascii="宋体" w:hAnsi="宋体" w:cs="宋体"/>
          <w:b/>
          <w:sz w:val="32"/>
          <w:szCs w:val="32"/>
        </w:rPr>
        <w:t>016</w:t>
      </w:r>
      <w:r>
        <w:rPr>
          <w:rFonts w:hint="eastAsia" w:ascii="宋体" w:hAnsi="宋体" w:cs="宋体"/>
          <w:b/>
          <w:sz w:val="32"/>
          <w:szCs w:val="32"/>
        </w:rPr>
        <w:t>年至今）的销售业绩一览表</w:t>
      </w:r>
    </w:p>
    <w:tbl>
      <w:tblPr>
        <w:tblStyle w:val="53"/>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项目单位联系方式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b/>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b/>
          <w:kern w:val="0"/>
          <w:szCs w:val="21"/>
        </w:rPr>
        <w:t>附业绩的销售合同。</w:t>
      </w: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szCs w:val="21"/>
        </w:rPr>
      </w:pPr>
    </w:p>
    <w:p>
      <w:pPr>
        <w:numPr>
          <w:ilvl w:val="0"/>
          <w:numId w:val="9"/>
        </w:numPr>
        <w:spacing w:line="440" w:lineRule="exact"/>
        <w:jc w:val="center"/>
        <w:rPr>
          <w:rFonts w:eastAsia="黑体" w:cs="Calibri"/>
          <w:sz w:val="32"/>
          <w:szCs w:val="32"/>
        </w:rPr>
      </w:pPr>
      <w:r>
        <w:rPr>
          <w:rFonts w:hint="eastAsia" w:eastAsia="黑体" w:cs="Calibri"/>
          <w:sz w:val="32"/>
          <w:szCs w:val="32"/>
        </w:rPr>
        <w:t>产品技术规格书</w:t>
      </w:r>
    </w:p>
    <w:p>
      <w:pPr>
        <w:spacing w:line="440" w:lineRule="exact"/>
        <w:rPr>
          <w:rFonts w:eastAsia="黑体" w:cs="Calibri"/>
          <w:b/>
          <w:bCs/>
          <w:sz w:val="32"/>
          <w:szCs w:val="32"/>
        </w:rPr>
      </w:pPr>
      <w:r>
        <w:rPr>
          <w:rFonts w:hint="eastAsia" w:eastAsia="黑体" w:cs="Calibri"/>
          <w:sz w:val="32"/>
          <w:szCs w:val="32"/>
        </w:rPr>
        <w:t xml:space="preserve">                      </w:t>
      </w:r>
      <w:r>
        <w:rPr>
          <w:rFonts w:hint="eastAsia" w:eastAsia="黑体" w:cs="Calibri"/>
          <w:b/>
          <w:bCs/>
          <w:sz w:val="32"/>
          <w:szCs w:val="32"/>
        </w:rPr>
        <w:t>（含外观彩色图片）</w:t>
      </w:r>
    </w:p>
    <w:p>
      <w:pPr>
        <w:spacing w:line="360" w:lineRule="auto"/>
        <w:jc w:val="left"/>
        <w:rPr>
          <w:rFonts w:cs="Calibri"/>
          <w:b/>
          <w:bCs/>
          <w:szCs w:val="21"/>
        </w:rPr>
      </w:pPr>
    </w:p>
    <w:p>
      <w:pPr>
        <w:spacing w:line="440" w:lineRule="exact"/>
        <w:jc w:val="center"/>
        <w:rPr>
          <w:rFonts w:eastAsia="黑体" w:cs="Calibri"/>
          <w:sz w:val="32"/>
          <w:szCs w:val="32"/>
        </w:rPr>
      </w:pPr>
      <w:r>
        <w:rPr>
          <w:rFonts w:eastAsia="黑体" w:cs="Calibri"/>
          <w:sz w:val="32"/>
          <w:szCs w:val="32"/>
        </w:rPr>
        <w:t xml:space="preserve"> </w:t>
      </w: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七、服务大纲</w:t>
      </w:r>
    </w:p>
    <w:p>
      <w:pPr>
        <w:spacing w:line="440" w:lineRule="exact"/>
        <w:jc w:val="center"/>
        <w:rPr>
          <w:rFonts w:eastAsia="黑体" w:cs="Calibri"/>
          <w:sz w:val="32"/>
          <w:szCs w:val="32"/>
        </w:rPr>
      </w:pPr>
      <w:r>
        <w:rPr>
          <w:rFonts w:eastAsia="黑体" w:cs="Calibri"/>
          <w:sz w:val="32"/>
          <w:szCs w:val="32"/>
        </w:rPr>
        <w:br w:type="page"/>
      </w:r>
    </w:p>
    <w:p>
      <w:pPr>
        <w:spacing w:line="440" w:lineRule="exact"/>
        <w:jc w:val="center"/>
        <w:rPr>
          <w:rFonts w:eastAsia="黑体" w:cs="Calibri"/>
          <w:sz w:val="32"/>
          <w:szCs w:val="32"/>
        </w:rPr>
      </w:pPr>
      <w:r>
        <w:rPr>
          <w:rFonts w:hint="eastAsia" w:eastAsia="黑体" w:cs="Calibri"/>
          <w:sz w:val="32"/>
          <w:szCs w:val="32"/>
        </w:rPr>
        <w:t>八、技术规格偏离表</w:t>
      </w:r>
    </w:p>
    <w:p>
      <w:pPr>
        <w:rPr>
          <w:rFonts w:ascii="宋体" w:hAnsi="宋体"/>
          <w:szCs w:val="21"/>
        </w:rPr>
      </w:pPr>
    </w:p>
    <w:tbl>
      <w:tblPr>
        <w:tblStyle w:val="53"/>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货物名称</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招标文件条目号</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招标规格</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投标规格</w:t>
            </w:r>
          </w:p>
        </w:tc>
        <w:tc>
          <w:tcPr>
            <w:tcW w:w="18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偏离</w:t>
            </w: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jc w:val="center"/>
        <w:rPr>
          <w:rFonts w:ascii="宋体" w:hAnsi="宋体"/>
          <w:b/>
          <w:szCs w:val="21"/>
        </w:rPr>
      </w:pPr>
    </w:p>
    <w:p>
      <w:pPr>
        <w:spacing w:line="440" w:lineRule="exact"/>
        <w:jc w:val="center"/>
        <w:rPr>
          <w:rFonts w:eastAsia="黑体" w:cs="Calibri"/>
          <w:sz w:val="32"/>
          <w:szCs w:val="32"/>
        </w:rPr>
      </w:pPr>
      <w:r>
        <w:rPr>
          <w:rFonts w:hint="eastAsia" w:eastAsia="黑体" w:cs="Calibri"/>
          <w:sz w:val="32"/>
          <w:szCs w:val="32"/>
        </w:rPr>
        <w:t>九、商务条款响应偏离表</w:t>
      </w:r>
    </w:p>
    <w:tbl>
      <w:tblPr>
        <w:tblStyle w:val="5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2511"/>
        <w:gridCol w:w="3139"/>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r>
              <w:rPr>
                <w:rFonts w:hint="eastAsia" w:hAnsi="宋体"/>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r>
              <w:rPr>
                <w:rFonts w:hint="eastAsia" w:hAnsi="宋体"/>
              </w:rPr>
              <w:t>内容</w:t>
            </w: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r>
              <w:rPr>
                <w:rFonts w:hint="eastAsia" w:hAnsi="宋体"/>
              </w:rPr>
              <w:t>招标文件要求</w:t>
            </w: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r>
              <w:rPr>
                <w:rFonts w:hint="eastAsia" w:hAnsi="宋体"/>
              </w:rPr>
              <w:t>投标文件对应内容</w:t>
            </w: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r>
              <w:rPr>
                <w:rFonts w:hint="eastAsia"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rPr>
            </w:pPr>
          </w:p>
        </w:tc>
      </w:tr>
    </w:tbl>
    <w:p>
      <w:pPr>
        <w:pStyle w:val="21"/>
        <w:adjustRightInd w:val="0"/>
        <w:snapToGrid w:val="0"/>
        <w:rPr>
          <w:rFonts w:hAnsi="宋体"/>
          <w:bCs/>
        </w:rPr>
      </w:pPr>
    </w:p>
    <w:p>
      <w:pPr>
        <w:pStyle w:val="21"/>
        <w:adjustRightInd w:val="0"/>
        <w:snapToGrid w:val="0"/>
        <w:rPr>
          <w:rFonts w:hAnsi="宋体"/>
          <w:bCs/>
        </w:rPr>
      </w:pPr>
      <w:r>
        <w:rPr>
          <w:rFonts w:hint="eastAsia" w:hAnsi="宋体"/>
          <w:bCs/>
        </w:rPr>
        <w:t>注：如不填写，则视为完全响应招标文件的商务要求。</w:t>
      </w:r>
    </w:p>
    <w:p>
      <w:pPr>
        <w:widowControl/>
        <w:jc w:val="left"/>
        <w:rPr>
          <w:rFonts w:eastAsia="黑体" w:cs="Calibri"/>
          <w:sz w:val="32"/>
          <w:szCs w:val="32"/>
        </w:rPr>
      </w:pP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十、廉洁自律承诺书</w:t>
      </w:r>
    </w:p>
    <w:p>
      <w:pPr>
        <w:topLinePunct/>
        <w:jc w:val="center"/>
        <w:rPr>
          <w:rFonts w:ascii="宋体" w:hAnsi="宋体"/>
          <w:b/>
          <w:sz w:val="32"/>
          <w:szCs w:val="21"/>
        </w:rPr>
      </w:pPr>
    </w:p>
    <w:p>
      <w:pPr>
        <w:spacing w:line="276" w:lineRule="auto"/>
        <w:jc w:val="center"/>
        <w:rPr>
          <w:rFonts w:ascii="宋体" w:hAnsi="宋体"/>
          <w:b/>
          <w:kern w:val="0"/>
          <w:sz w:val="24"/>
          <w:szCs w:val="21"/>
        </w:rPr>
      </w:pPr>
      <w:r>
        <w:rPr>
          <w:rFonts w:hint="eastAsia" w:ascii="宋体" w:hAnsi="宋体"/>
          <w:b/>
          <w:kern w:val="0"/>
          <w:sz w:val="24"/>
          <w:szCs w:val="21"/>
        </w:rPr>
        <w:t>杭州萧山国际机场有限公司廉洁自律承诺书</w:t>
      </w:r>
    </w:p>
    <w:p>
      <w:pPr>
        <w:spacing w:line="276" w:lineRule="auto"/>
        <w:jc w:val="center"/>
        <w:rPr>
          <w:rFonts w:ascii="宋体" w:hAnsi="宋体"/>
          <w:kern w:val="0"/>
          <w:sz w:val="24"/>
          <w:szCs w:val="21"/>
        </w:rPr>
      </w:pPr>
    </w:p>
    <w:p>
      <w:pPr>
        <w:spacing w:line="276" w:lineRule="auto"/>
        <w:jc w:val="left"/>
        <w:rPr>
          <w:rFonts w:ascii="宋体" w:hAnsi="宋体"/>
          <w:szCs w:val="21"/>
        </w:rPr>
      </w:pPr>
      <w:r>
        <w:rPr>
          <w:rFonts w:hint="eastAsia" w:ascii="宋体" w:hAnsi="宋体"/>
          <w:szCs w:val="21"/>
        </w:rPr>
        <w:t>杭州萧山国际机场有限公司：</w:t>
      </w:r>
    </w:p>
    <w:p>
      <w:pPr>
        <w:spacing w:line="276" w:lineRule="auto"/>
        <w:ind w:firstLine="420" w:firstLineChars="200"/>
        <w:jc w:val="left"/>
        <w:rPr>
          <w:rFonts w:ascii="宋体" w:hAnsi="宋体"/>
          <w:szCs w:val="21"/>
        </w:rPr>
      </w:pPr>
      <w:r>
        <w:rPr>
          <w:rFonts w:hint="eastAsia" w:ascii="宋体" w:hAnsi="宋体"/>
          <w:szCs w:val="21"/>
        </w:rPr>
        <w:t>我单位响应贵公司项目招标要求，参加项目投标。在投标过程中及中标后，我们将严格遵守国家法律法规和贵司招标文件要求，并郑重作出如下承诺和保证：</w:t>
      </w:r>
    </w:p>
    <w:p>
      <w:pPr>
        <w:spacing w:line="276" w:lineRule="auto"/>
        <w:ind w:firstLine="420" w:firstLineChars="200"/>
        <w:jc w:val="left"/>
        <w:rPr>
          <w:rFonts w:ascii="宋体" w:hAnsi="宋体"/>
          <w:szCs w:val="21"/>
        </w:rPr>
      </w:pPr>
      <w:r>
        <w:rPr>
          <w:rFonts w:hint="eastAsia" w:ascii="宋体" w:hAnsi="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276" w:lineRule="auto"/>
        <w:ind w:firstLine="420" w:firstLineChars="200"/>
        <w:jc w:val="left"/>
        <w:rPr>
          <w:rFonts w:ascii="宋体" w:hAnsi="宋体"/>
          <w:szCs w:val="21"/>
        </w:rPr>
      </w:pPr>
      <w:r>
        <w:rPr>
          <w:rFonts w:hint="eastAsia" w:ascii="宋体" w:hAnsi="宋体"/>
          <w:szCs w:val="21"/>
        </w:rPr>
        <w:t>二、不以任何名义为贵公司有关人员或项目第三方人员报销应由贵公司或个人支付的费用；</w:t>
      </w:r>
    </w:p>
    <w:p>
      <w:pPr>
        <w:spacing w:line="276" w:lineRule="auto"/>
        <w:ind w:firstLine="420" w:firstLineChars="200"/>
        <w:jc w:val="left"/>
        <w:rPr>
          <w:rFonts w:ascii="宋体" w:hAnsi="宋体"/>
          <w:szCs w:val="21"/>
        </w:rPr>
      </w:pPr>
      <w:r>
        <w:rPr>
          <w:rFonts w:hint="eastAsia" w:ascii="宋体" w:hAnsi="宋体"/>
          <w:szCs w:val="21"/>
        </w:rPr>
        <w:t>三、不向贵公司有关人员或项目第三方人员提供宴请、旅游、和健身娱乐等活动；</w:t>
      </w:r>
    </w:p>
    <w:p>
      <w:pPr>
        <w:spacing w:line="276" w:lineRule="auto"/>
        <w:ind w:firstLine="420" w:firstLineChars="200"/>
        <w:jc w:val="left"/>
        <w:rPr>
          <w:rFonts w:ascii="宋体" w:hAnsi="宋体"/>
          <w:szCs w:val="21"/>
        </w:rPr>
      </w:pPr>
      <w:r>
        <w:rPr>
          <w:rFonts w:hint="eastAsia" w:ascii="宋体" w:hAnsi="宋体"/>
          <w:szCs w:val="21"/>
        </w:rPr>
        <w:t>四、不为贵公司有关人员或项目第三方人员出国（境）、旅游等提供方便；</w:t>
      </w:r>
    </w:p>
    <w:p>
      <w:pPr>
        <w:spacing w:line="276" w:lineRule="auto"/>
        <w:ind w:firstLine="420" w:firstLineChars="200"/>
        <w:jc w:val="left"/>
        <w:rPr>
          <w:rFonts w:ascii="宋体" w:hAnsi="宋体"/>
          <w:szCs w:val="21"/>
        </w:rPr>
      </w:pPr>
      <w:r>
        <w:rPr>
          <w:rFonts w:hint="eastAsia" w:ascii="宋体" w:hAnsi="宋体"/>
          <w:szCs w:val="21"/>
        </w:rPr>
        <w:t>五、不为贵公司有关人员或项目第三方人员个人装修住房、婚丧嫁娶、配偶子女工作安排等提供好处或便利条件；</w:t>
      </w:r>
    </w:p>
    <w:p>
      <w:pPr>
        <w:spacing w:line="276" w:lineRule="auto"/>
        <w:ind w:firstLine="420" w:firstLineChars="200"/>
        <w:jc w:val="left"/>
        <w:rPr>
          <w:rFonts w:ascii="宋体" w:hAnsi="宋体"/>
          <w:szCs w:val="21"/>
        </w:rPr>
      </w:pPr>
      <w:r>
        <w:rPr>
          <w:rFonts w:hint="eastAsia" w:ascii="宋体" w:hAnsi="宋体"/>
          <w:szCs w:val="21"/>
        </w:rPr>
        <w:t>六、严格遵守国家招标投标法、合同法等法律规定，诚实守信，合法经营，坚决杜绝各种违法违纪行为。</w:t>
      </w:r>
    </w:p>
    <w:p>
      <w:pPr>
        <w:spacing w:line="276" w:lineRule="auto"/>
        <w:ind w:firstLine="420" w:firstLineChars="200"/>
        <w:jc w:val="left"/>
        <w:rPr>
          <w:rFonts w:ascii="宋体" w:hAnsi="宋体"/>
          <w:szCs w:val="21"/>
        </w:rPr>
      </w:pPr>
      <w:r>
        <w:rPr>
          <w:rFonts w:hint="eastAsia" w:ascii="宋体" w:hAnsi="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276" w:lineRule="auto"/>
        <w:ind w:firstLine="420" w:firstLineChars="200"/>
        <w:jc w:val="left"/>
        <w:rPr>
          <w:rFonts w:ascii="宋体" w:hAnsi="宋体"/>
          <w:szCs w:val="21"/>
        </w:rPr>
      </w:pPr>
      <w:r>
        <w:rPr>
          <w:rFonts w:hint="eastAsia" w:ascii="宋体" w:hAnsi="宋体"/>
          <w:szCs w:val="21"/>
        </w:rPr>
        <w:t>八、如违反上述廉洁自律承诺，贵公司有权：</w:t>
      </w:r>
    </w:p>
    <w:p>
      <w:pPr>
        <w:spacing w:line="276"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立即取消我单位投标、中标或在建项目的实施资格；</w:t>
      </w:r>
    </w:p>
    <w:p>
      <w:pPr>
        <w:spacing w:line="276"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扣除我方向贵公司缴纳的履约保证金的10%作为违反廉洁自律承诺的违约金。如该违约金不足以弥补贵公司损失的，我单位仍将承担实际损失赔偿责任。</w:t>
      </w:r>
    </w:p>
    <w:p>
      <w:pPr>
        <w:spacing w:line="276"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拒绝我单位在一定时期内进入贵公司进行项目建设或其它经营活动；</w:t>
      </w:r>
    </w:p>
    <w:p>
      <w:pPr>
        <w:spacing w:line="276"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由此引起的相应损失均由我单位承担。</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承诺人单位名称（盖章）：            </w:t>
      </w:r>
    </w:p>
    <w:p>
      <w:pPr>
        <w:spacing w:line="276" w:lineRule="auto"/>
        <w:ind w:firstLine="420" w:firstLineChars="200"/>
        <w:jc w:val="left"/>
        <w:rPr>
          <w:rFonts w:ascii="宋体" w:hAnsi="宋体"/>
          <w:szCs w:val="21"/>
        </w:rPr>
      </w:pPr>
      <w:r>
        <w:rPr>
          <w:rFonts w:hint="eastAsia" w:ascii="宋体" w:hAnsi="宋体"/>
          <w:szCs w:val="21"/>
        </w:rPr>
        <w:t xml:space="preserve">法定代表人 ：                    </w:t>
      </w:r>
    </w:p>
    <w:p>
      <w:pPr>
        <w:spacing w:line="276" w:lineRule="auto"/>
        <w:ind w:firstLine="420" w:firstLineChars="200"/>
        <w:jc w:val="left"/>
        <w:rPr>
          <w:rFonts w:ascii="宋体" w:hAnsi="宋体"/>
          <w:szCs w:val="21"/>
        </w:rPr>
      </w:pPr>
      <w:r>
        <w:rPr>
          <w:rFonts w:hint="eastAsia" w:ascii="宋体" w:hAnsi="宋体"/>
          <w:szCs w:val="21"/>
        </w:rPr>
        <w:t xml:space="preserve">或                            </w:t>
      </w:r>
    </w:p>
    <w:p>
      <w:pPr>
        <w:spacing w:line="276" w:lineRule="auto"/>
        <w:ind w:firstLine="420" w:firstLineChars="200"/>
        <w:jc w:val="left"/>
        <w:rPr>
          <w:rFonts w:ascii="宋体" w:hAnsi="宋体"/>
          <w:szCs w:val="21"/>
        </w:rPr>
      </w:pPr>
      <w:r>
        <w:rPr>
          <w:rFonts w:hint="eastAsia" w:ascii="宋体" w:hAnsi="宋体"/>
          <w:szCs w:val="21"/>
        </w:rPr>
        <w:t xml:space="preserve">委托代理人：                   </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                           年     月     日</w:t>
      </w:r>
    </w:p>
    <w:p>
      <w:pPr>
        <w:spacing w:line="440" w:lineRule="exact"/>
        <w:jc w:val="center"/>
        <w:rPr>
          <w:rFonts w:ascii="宋体" w:hAnsi="宋体"/>
          <w:sz w:val="22"/>
        </w:rPr>
      </w:pPr>
      <w:r>
        <w:rPr>
          <w:rFonts w:eastAsia="黑体" w:cs="Calibri"/>
          <w:sz w:val="32"/>
          <w:szCs w:val="32"/>
        </w:rPr>
        <w:br w:type="page"/>
      </w:r>
      <w:r>
        <w:rPr>
          <w:rFonts w:hint="eastAsia" w:eastAsia="黑体" w:cs="Calibri"/>
          <w:sz w:val="32"/>
          <w:szCs w:val="32"/>
        </w:rPr>
        <w:t>十一</w:t>
      </w:r>
      <w:r>
        <w:rPr>
          <w:rFonts w:eastAsia="黑体" w:cs="Calibri"/>
          <w:sz w:val="32"/>
          <w:szCs w:val="32"/>
        </w:rPr>
        <w:t>、</w:t>
      </w:r>
      <w:r>
        <w:rPr>
          <w:rFonts w:hint="eastAsia" w:eastAsia="黑体" w:cs="Calibri"/>
          <w:sz w:val="32"/>
          <w:szCs w:val="32"/>
        </w:rPr>
        <w:t>投标人认为</w:t>
      </w:r>
      <w:r>
        <w:rPr>
          <w:rFonts w:eastAsia="黑体" w:cs="Calibri"/>
          <w:sz w:val="32"/>
          <w:szCs w:val="32"/>
        </w:rPr>
        <w:t>应该提供的其他材料</w:t>
      </w:r>
    </w:p>
    <w:p/>
    <w:p/>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w:t>
    </w:r>
    <w:r>
      <w:t xml:space="preserve"> 32 -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5">
    <w:nsid w:val="49366583"/>
    <w:multiLevelType w:val="multilevel"/>
    <w:tmpl w:val="49366583"/>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6">
    <w:nsid w:val="5554324B"/>
    <w:multiLevelType w:val="multilevel"/>
    <w:tmpl w:val="5554324B"/>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7">
    <w:nsid w:val="5DBE2B9A"/>
    <w:multiLevelType w:val="singleLevel"/>
    <w:tmpl w:val="5DBE2B9A"/>
    <w:lvl w:ilvl="0" w:tentative="0">
      <w:start w:val="1"/>
      <w:numFmt w:val="decimal"/>
      <w:suff w:val="nothing"/>
      <w:lvlText w:val="（%1）"/>
      <w:lvlJc w:val="left"/>
    </w:lvl>
  </w:abstractNum>
  <w:abstractNum w:abstractNumId="8">
    <w:nsid w:val="5DBE2F4E"/>
    <w:multiLevelType w:val="singleLevel"/>
    <w:tmpl w:val="5DBE2F4E"/>
    <w:lvl w:ilvl="0" w:tentative="0">
      <w:start w:val="6"/>
      <w:numFmt w:val="chineseCounting"/>
      <w:suff w:val="nothing"/>
      <w:lvlText w:val="%1、"/>
      <w:lvlJc w:val="left"/>
    </w:lvl>
  </w:abstractNum>
  <w:num w:numId="1">
    <w:abstractNumId w:val="7"/>
  </w:num>
  <w:num w:numId="2">
    <w:abstractNumId w:val="1"/>
  </w:num>
  <w:num w:numId="3">
    <w:abstractNumId w:val="4"/>
    <w:lvlOverride w:ilvl="0">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E37D1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5"/>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103"/>
    <w:unhideWhenUsed/>
    <w:qFormat/>
    <w:uiPriority w:val="0"/>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link w:val="110"/>
    <w:unhideWhenUsed/>
    <w:qFormat/>
    <w:uiPriority w:val="0"/>
    <w:pPr>
      <w:spacing w:line="440" w:lineRule="atLeast"/>
      <w:outlineLvl w:val="2"/>
    </w:pPr>
    <w:rPr>
      <w:rFonts w:ascii="Times New Roman" w:hAnsi="Times New Roman" w:eastAsia="楷体_GB2312"/>
      <w:kern w:val="0"/>
      <w:sz w:val="28"/>
      <w:szCs w:val="20"/>
    </w:rPr>
  </w:style>
  <w:style w:type="paragraph" w:styleId="5">
    <w:name w:val="heading 4"/>
    <w:basedOn w:val="1"/>
    <w:next w:val="1"/>
    <w:link w:val="143"/>
    <w:unhideWhenUsed/>
    <w:qFormat/>
    <w:uiPriority w:val="0"/>
    <w:pPr>
      <w:keepNext/>
      <w:keepLines/>
      <w:spacing w:before="280" w:after="290" w:line="372" w:lineRule="auto"/>
      <w:outlineLvl w:val="3"/>
    </w:pPr>
    <w:rPr>
      <w:rFonts w:ascii="Arial" w:hAnsi="Arial" w:eastAsia="黑体"/>
      <w:b/>
      <w:bCs/>
      <w:kern w:val="0"/>
      <w:sz w:val="28"/>
      <w:szCs w:val="28"/>
    </w:rPr>
  </w:style>
  <w:style w:type="paragraph" w:styleId="6">
    <w:name w:val="heading 5"/>
    <w:basedOn w:val="1"/>
    <w:next w:val="1"/>
    <w:link w:val="124"/>
    <w:unhideWhenUsed/>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46">
    <w:name w:val="Default Paragraph Font"/>
    <w:unhideWhenUsed/>
    <w:uiPriority w:val="1"/>
  </w:style>
  <w:style w:type="table" w:default="1" w:styleId="53">
    <w:name w:val="Normal Table"/>
    <w:unhideWhenUsed/>
    <w:qFormat/>
    <w:uiPriority w:val="99"/>
    <w:tblPr>
      <w:tblLayout w:type="fixed"/>
      <w:tblCellMar>
        <w:top w:w="0" w:type="dxa"/>
        <w:left w:w="108" w:type="dxa"/>
        <w:bottom w:w="0" w:type="dxa"/>
        <w:right w:w="108" w:type="dxa"/>
      </w:tblCellMar>
    </w:tblPr>
  </w:style>
  <w:style w:type="paragraph" w:styleId="7">
    <w:name w:val="List 3"/>
    <w:basedOn w:val="1"/>
    <w:qFormat/>
    <w:uiPriority w:val="0"/>
    <w:pPr>
      <w:ind w:left="100" w:leftChars="400" w:hanging="200" w:hangingChars="200"/>
    </w:pPr>
    <w:rPr>
      <w:rFonts w:ascii="Times New Roman" w:hAnsi="Times New Roman"/>
      <w:szCs w:val="24"/>
    </w:rPr>
  </w:style>
  <w:style w:type="paragraph" w:styleId="8">
    <w:name w:val="annotation subject"/>
    <w:basedOn w:val="9"/>
    <w:next w:val="9"/>
    <w:link w:val="99"/>
    <w:qFormat/>
    <w:uiPriority w:val="0"/>
    <w:rPr>
      <w:rFonts w:ascii="Times New Roman" w:hAnsi="Times New Roman"/>
      <w:b/>
      <w:bCs/>
      <w:szCs w:val="24"/>
    </w:rPr>
  </w:style>
  <w:style w:type="paragraph" w:styleId="9">
    <w:name w:val="annotation text"/>
    <w:basedOn w:val="1"/>
    <w:link w:val="100"/>
    <w:qFormat/>
    <w:uiPriority w:val="0"/>
    <w:pPr>
      <w:jc w:val="left"/>
    </w:pPr>
  </w:style>
  <w:style w:type="paragraph" w:styleId="10">
    <w:name w:val="toc 7"/>
    <w:basedOn w:val="1"/>
    <w:next w:val="1"/>
    <w:qFormat/>
    <w:uiPriority w:val="0"/>
    <w:pPr>
      <w:ind w:left="2520"/>
    </w:pPr>
    <w:rPr>
      <w:rFonts w:ascii="Times New Roman" w:hAnsi="Times New Roman"/>
      <w:szCs w:val="24"/>
    </w:rPr>
  </w:style>
  <w:style w:type="paragraph" w:styleId="11">
    <w:name w:val="Body Text First Indent"/>
    <w:basedOn w:val="12"/>
    <w:link w:val="129"/>
    <w:qFormat/>
    <w:uiPriority w:val="0"/>
    <w:pPr>
      <w:ind w:firstLine="420" w:firstLineChars="100"/>
    </w:pPr>
    <w:rPr>
      <w:rFonts w:ascii="Times New Roman" w:hAnsi="Times New Roman"/>
      <w:szCs w:val="24"/>
    </w:rPr>
  </w:style>
  <w:style w:type="paragraph" w:styleId="12">
    <w:name w:val="Body Text"/>
    <w:basedOn w:val="1"/>
    <w:link w:val="114"/>
    <w:qFormat/>
    <w:uiPriority w:val="0"/>
    <w:pPr>
      <w:spacing w:after="120"/>
    </w:pPr>
  </w:style>
  <w:style w:type="paragraph" w:styleId="13">
    <w:name w:val="Normal Indent"/>
    <w:basedOn w:val="1"/>
    <w:link w:val="123"/>
    <w:qFormat/>
    <w:uiPriority w:val="0"/>
    <w:pPr>
      <w:autoSpaceDE w:val="0"/>
      <w:autoSpaceDN w:val="0"/>
      <w:adjustRightInd w:val="0"/>
      <w:ind w:firstLine="420"/>
      <w:jc w:val="left"/>
    </w:pPr>
    <w:rPr>
      <w:rFonts w:ascii="宋体" w:hAnsi="Times New Roman"/>
      <w:sz w:val="34"/>
    </w:rPr>
  </w:style>
  <w:style w:type="paragraph" w:styleId="14">
    <w:name w:val="caption"/>
    <w:basedOn w:val="1"/>
    <w:next w:val="1"/>
    <w:unhideWhenUsed/>
    <w:qFormat/>
    <w:uiPriority w:val="0"/>
    <w:rPr>
      <w:rFonts w:ascii="Arial" w:hAnsi="Arial" w:eastAsia="黑体" w:cs="Arial"/>
      <w:sz w:val="20"/>
      <w:szCs w:val="20"/>
    </w:rPr>
  </w:style>
  <w:style w:type="paragraph" w:styleId="15">
    <w:name w:val="Document Map"/>
    <w:basedOn w:val="1"/>
    <w:link w:val="130"/>
    <w:qFormat/>
    <w:uiPriority w:val="0"/>
    <w:pPr>
      <w:shd w:val="clear" w:color="auto" w:fill="000080"/>
    </w:pPr>
    <w:rPr>
      <w:rFonts w:ascii="Times New Roman" w:hAnsi="Times New Roman"/>
      <w:szCs w:val="24"/>
    </w:rPr>
  </w:style>
  <w:style w:type="paragraph" w:styleId="16">
    <w:name w:val="toa heading"/>
    <w:basedOn w:val="1"/>
    <w:next w:val="1"/>
    <w:qFormat/>
    <w:uiPriority w:val="0"/>
    <w:pPr>
      <w:spacing w:before="120"/>
    </w:pPr>
    <w:rPr>
      <w:rFonts w:ascii="Arial" w:hAnsi="Arial" w:cs="Arial"/>
      <w:sz w:val="24"/>
      <w:szCs w:val="24"/>
    </w:rPr>
  </w:style>
  <w:style w:type="paragraph" w:styleId="17">
    <w:name w:val="Body Text Indent"/>
    <w:basedOn w:val="1"/>
    <w:link w:val="155"/>
    <w:qFormat/>
    <w:uiPriority w:val="0"/>
    <w:pPr>
      <w:spacing w:after="120"/>
      <w:ind w:left="420" w:leftChars="200"/>
    </w:pPr>
  </w:style>
  <w:style w:type="paragraph" w:styleId="18">
    <w:name w:val="List 2"/>
    <w:basedOn w:val="1"/>
    <w:qFormat/>
    <w:uiPriority w:val="0"/>
    <w:pPr>
      <w:ind w:left="100" w:leftChars="200" w:hanging="200" w:hangingChars="200"/>
    </w:pPr>
    <w:rPr>
      <w:rFonts w:ascii="Times New Roman" w:hAnsi="Times New Roman"/>
      <w:szCs w:val="24"/>
    </w:rPr>
  </w:style>
  <w:style w:type="paragraph" w:styleId="19">
    <w:name w:val="toc 5"/>
    <w:basedOn w:val="1"/>
    <w:next w:val="1"/>
    <w:qFormat/>
    <w:uiPriority w:val="0"/>
    <w:pPr>
      <w:ind w:left="1680"/>
    </w:pPr>
    <w:rPr>
      <w:rFonts w:ascii="Times New Roman" w:hAnsi="Times New Roman"/>
      <w:szCs w:val="24"/>
    </w:rPr>
  </w:style>
  <w:style w:type="paragraph" w:styleId="20">
    <w:name w:val="toc 3"/>
    <w:basedOn w:val="1"/>
    <w:next w:val="1"/>
    <w:qFormat/>
    <w:uiPriority w:val="0"/>
    <w:pPr>
      <w:spacing w:line="360" w:lineRule="auto"/>
      <w:ind w:left="400" w:leftChars="400"/>
    </w:pPr>
    <w:rPr>
      <w:rFonts w:ascii="Times New Roman" w:hAnsi="Times New Roman"/>
      <w:szCs w:val="24"/>
    </w:rPr>
  </w:style>
  <w:style w:type="paragraph" w:styleId="21">
    <w:name w:val="Plain Text"/>
    <w:basedOn w:val="1"/>
    <w:link w:val="142"/>
    <w:qFormat/>
    <w:uiPriority w:val="0"/>
    <w:rPr>
      <w:rFonts w:ascii="宋体" w:hAnsi="Courier New"/>
      <w:szCs w:val="21"/>
    </w:rPr>
  </w:style>
  <w:style w:type="paragraph" w:styleId="22">
    <w:name w:val="toc 8"/>
    <w:basedOn w:val="1"/>
    <w:next w:val="1"/>
    <w:qFormat/>
    <w:uiPriority w:val="0"/>
    <w:pPr>
      <w:ind w:left="2940"/>
    </w:pPr>
    <w:rPr>
      <w:rFonts w:ascii="Times New Roman" w:hAnsi="Times New Roman"/>
      <w:szCs w:val="24"/>
    </w:rPr>
  </w:style>
  <w:style w:type="paragraph" w:styleId="23">
    <w:name w:val="index 3"/>
    <w:basedOn w:val="1"/>
    <w:next w:val="1"/>
    <w:qFormat/>
    <w:uiPriority w:val="0"/>
    <w:pPr>
      <w:ind w:left="400" w:leftChars="400"/>
    </w:pPr>
    <w:rPr>
      <w:rFonts w:ascii="Times New Roman" w:hAnsi="Times New Roman"/>
      <w:szCs w:val="24"/>
    </w:rPr>
  </w:style>
  <w:style w:type="paragraph" w:styleId="24">
    <w:name w:val="Date"/>
    <w:basedOn w:val="1"/>
    <w:next w:val="1"/>
    <w:link w:val="106"/>
    <w:qFormat/>
    <w:uiPriority w:val="0"/>
    <w:pPr>
      <w:ind w:left="100" w:leftChars="2500"/>
    </w:pPr>
    <w:rPr>
      <w:rFonts w:ascii="Times New Roman" w:hAnsi="Times New Roman"/>
      <w:b/>
      <w:bCs/>
      <w:sz w:val="36"/>
      <w:szCs w:val="24"/>
    </w:rPr>
  </w:style>
  <w:style w:type="paragraph" w:styleId="25">
    <w:name w:val="Body Text Indent 2"/>
    <w:basedOn w:val="1"/>
    <w:link w:val="147"/>
    <w:qFormat/>
    <w:uiPriority w:val="0"/>
    <w:pPr>
      <w:spacing w:after="120" w:line="480" w:lineRule="auto"/>
      <w:ind w:left="420" w:leftChars="200"/>
    </w:pPr>
    <w:rPr>
      <w:rFonts w:ascii="Times New Roman" w:hAnsi="Times New Roman"/>
      <w:szCs w:val="24"/>
    </w:rPr>
  </w:style>
  <w:style w:type="paragraph" w:styleId="26">
    <w:name w:val="Balloon Text"/>
    <w:basedOn w:val="1"/>
    <w:link w:val="104"/>
    <w:qFormat/>
    <w:uiPriority w:val="0"/>
    <w:rPr>
      <w:rFonts w:ascii="Times New Roman" w:hAnsi="Times New Roman"/>
      <w:sz w:val="18"/>
      <w:szCs w:val="18"/>
    </w:rPr>
  </w:style>
  <w:style w:type="paragraph" w:styleId="27">
    <w:name w:val="footer"/>
    <w:basedOn w:val="1"/>
    <w:link w:val="122"/>
    <w:qFormat/>
    <w:uiPriority w:val="0"/>
    <w:pPr>
      <w:tabs>
        <w:tab w:val="center" w:pos="4153"/>
        <w:tab w:val="right" w:pos="8306"/>
      </w:tabs>
      <w:snapToGrid w:val="0"/>
      <w:jc w:val="left"/>
    </w:pPr>
    <w:rPr>
      <w:rFonts w:ascii="Times New Roman" w:hAnsi="Times New Roman"/>
      <w:sz w:val="18"/>
      <w:szCs w:val="18"/>
    </w:rPr>
  </w:style>
  <w:style w:type="paragraph" w:styleId="28">
    <w:name w:val="Body Text First Indent 2"/>
    <w:basedOn w:val="17"/>
    <w:link w:val="127"/>
    <w:qFormat/>
    <w:uiPriority w:val="0"/>
    <w:pPr>
      <w:ind w:firstLine="420" w:firstLineChars="200"/>
    </w:pPr>
    <w:rPr>
      <w:rFonts w:ascii="Times New Roman" w:hAnsi="Times New Roman"/>
      <w:szCs w:val="24"/>
    </w:rPr>
  </w:style>
  <w:style w:type="paragraph" w:styleId="29">
    <w:name w:val="header"/>
    <w:basedOn w:val="1"/>
    <w:link w:val="145"/>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30">
    <w:name w:val="toc 1"/>
    <w:basedOn w:val="2"/>
    <w:next w:val="1"/>
    <w:qFormat/>
    <w:uiPriority w:val="0"/>
    <w:pPr>
      <w:tabs>
        <w:tab w:val="right" w:leader="dot" w:pos="8659"/>
      </w:tabs>
      <w:spacing w:before="0" w:after="0" w:line="240" w:lineRule="auto"/>
      <w:jc w:val="center"/>
    </w:pPr>
    <w:rPr>
      <w:b w:val="0"/>
      <w:sz w:val="21"/>
    </w:rPr>
  </w:style>
  <w:style w:type="paragraph" w:styleId="31">
    <w:name w:val="toc 4"/>
    <w:basedOn w:val="1"/>
    <w:next w:val="1"/>
    <w:qFormat/>
    <w:uiPriority w:val="0"/>
    <w:pPr>
      <w:ind w:left="1260"/>
    </w:pPr>
    <w:rPr>
      <w:rFonts w:ascii="Times New Roman" w:hAnsi="Times New Roman"/>
      <w:szCs w:val="24"/>
    </w:rPr>
  </w:style>
  <w:style w:type="paragraph" w:styleId="32">
    <w:name w:val="List"/>
    <w:basedOn w:val="1"/>
    <w:qFormat/>
    <w:uiPriority w:val="0"/>
    <w:pPr>
      <w:ind w:left="200" w:hanging="200" w:hangingChars="200"/>
    </w:pPr>
    <w:rPr>
      <w:rFonts w:ascii="Times New Roman" w:hAnsi="Times New Roman"/>
      <w:szCs w:val="24"/>
    </w:rPr>
  </w:style>
  <w:style w:type="paragraph" w:styleId="33">
    <w:name w:val="footnote text"/>
    <w:basedOn w:val="1"/>
    <w:link w:val="109"/>
    <w:qFormat/>
    <w:uiPriority w:val="0"/>
    <w:pPr>
      <w:snapToGrid w:val="0"/>
      <w:jc w:val="left"/>
    </w:pPr>
    <w:rPr>
      <w:rFonts w:ascii="Times New Roman" w:hAnsi="Times New Roman"/>
      <w:sz w:val="18"/>
      <w:szCs w:val="18"/>
    </w:rPr>
  </w:style>
  <w:style w:type="paragraph" w:styleId="34">
    <w:name w:val="toc 6"/>
    <w:basedOn w:val="1"/>
    <w:next w:val="1"/>
    <w:qFormat/>
    <w:uiPriority w:val="0"/>
    <w:pPr>
      <w:ind w:left="2100"/>
    </w:pPr>
    <w:rPr>
      <w:rFonts w:ascii="Times New Roman" w:hAnsi="Times New Roman"/>
      <w:szCs w:val="24"/>
    </w:rPr>
  </w:style>
  <w:style w:type="paragraph" w:styleId="35">
    <w:name w:val="Body Text Indent 3"/>
    <w:basedOn w:val="1"/>
    <w:link w:val="138"/>
    <w:qFormat/>
    <w:uiPriority w:val="0"/>
    <w:pPr>
      <w:spacing w:line="540" w:lineRule="atLeast"/>
      <w:ind w:firstLine="480" w:firstLineChars="200"/>
    </w:pPr>
    <w:rPr>
      <w:rFonts w:ascii="Times New Roman" w:hAnsi="Times New Roman"/>
      <w:sz w:val="24"/>
      <w:szCs w:val="24"/>
    </w:rPr>
  </w:style>
  <w:style w:type="paragraph" w:styleId="36">
    <w:name w:val="table of figures"/>
    <w:basedOn w:val="1"/>
    <w:next w:val="1"/>
    <w:qFormat/>
    <w:uiPriority w:val="0"/>
    <w:pPr>
      <w:ind w:left="200" w:leftChars="200" w:hanging="200" w:hangingChars="200"/>
    </w:pPr>
    <w:rPr>
      <w:rFonts w:ascii="Times New Roman" w:hAnsi="Times New Roman"/>
      <w:szCs w:val="24"/>
    </w:rPr>
  </w:style>
  <w:style w:type="paragraph" w:styleId="37">
    <w:name w:val="toc 2"/>
    <w:basedOn w:val="1"/>
    <w:next w:val="1"/>
    <w:qFormat/>
    <w:uiPriority w:val="0"/>
    <w:pPr>
      <w:spacing w:line="360" w:lineRule="auto"/>
      <w:ind w:left="200" w:leftChars="200"/>
    </w:pPr>
    <w:rPr>
      <w:rFonts w:ascii="Times New Roman" w:hAnsi="Times New Roman"/>
      <w:szCs w:val="24"/>
    </w:rPr>
  </w:style>
  <w:style w:type="paragraph" w:styleId="38">
    <w:name w:val="toc 9"/>
    <w:basedOn w:val="1"/>
    <w:next w:val="1"/>
    <w:qFormat/>
    <w:uiPriority w:val="0"/>
    <w:pPr>
      <w:ind w:left="3360"/>
    </w:pPr>
    <w:rPr>
      <w:rFonts w:ascii="Times New Roman" w:hAnsi="Times New Roman"/>
      <w:szCs w:val="24"/>
    </w:rPr>
  </w:style>
  <w:style w:type="paragraph" w:styleId="39">
    <w:name w:val="Body Text 2"/>
    <w:basedOn w:val="1"/>
    <w:link w:val="113"/>
    <w:qFormat/>
    <w:uiPriority w:val="0"/>
    <w:pPr>
      <w:spacing w:after="120" w:line="480" w:lineRule="auto"/>
    </w:pPr>
    <w:rPr>
      <w:rFonts w:ascii="Times New Roman" w:hAnsi="Times New Roman"/>
      <w:szCs w:val="24"/>
    </w:rPr>
  </w:style>
  <w:style w:type="paragraph" w:styleId="40">
    <w:name w:val="List 4"/>
    <w:basedOn w:val="1"/>
    <w:qFormat/>
    <w:uiPriority w:val="0"/>
    <w:pPr>
      <w:ind w:left="100" w:leftChars="600" w:hanging="200" w:hangingChars="200"/>
    </w:pPr>
    <w:rPr>
      <w:rFonts w:ascii="Times New Roman" w:hAnsi="Times New Roman"/>
      <w:szCs w:val="24"/>
    </w:rPr>
  </w:style>
  <w:style w:type="paragraph" w:styleId="41">
    <w:name w:val="List Continue 2"/>
    <w:basedOn w:val="1"/>
    <w:qFormat/>
    <w:uiPriority w:val="0"/>
    <w:pPr>
      <w:spacing w:after="120"/>
      <w:ind w:left="840" w:leftChars="400"/>
    </w:pPr>
    <w:rPr>
      <w:rFonts w:ascii="Times New Roman" w:hAnsi="Times New Roman"/>
      <w:szCs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3">
    <w:name w:val="index 1"/>
    <w:basedOn w:val="1"/>
    <w:next w:val="1"/>
    <w:qFormat/>
    <w:uiPriority w:val="0"/>
    <w:pPr>
      <w:spacing w:line="320" w:lineRule="exact"/>
    </w:pPr>
    <w:rPr>
      <w:rFonts w:ascii="Times New Roman" w:hAnsi="Times New Roman"/>
      <w:snapToGrid w:val="0"/>
      <w:color w:val="FF6600"/>
      <w:kern w:val="0"/>
      <w:sz w:val="18"/>
      <w:szCs w:val="21"/>
    </w:rPr>
  </w:style>
  <w:style w:type="paragraph" w:styleId="44">
    <w:name w:val="index 2"/>
    <w:basedOn w:val="1"/>
    <w:next w:val="1"/>
    <w:qFormat/>
    <w:uiPriority w:val="0"/>
    <w:pPr>
      <w:ind w:left="200" w:leftChars="200"/>
    </w:pPr>
    <w:rPr>
      <w:rFonts w:ascii="Times New Roman" w:hAnsi="Times New Roman"/>
      <w:szCs w:val="24"/>
    </w:rPr>
  </w:style>
  <w:style w:type="paragraph" w:styleId="45">
    <w:name w:val="Title"/>
    <w:basedOn w:val="1"/>
    <w:link w:val="112"/>
    <w:qFormat/>
    <w:uiPriority w:val="0"/>
    <w:pPr>
      <w:spacing w:before="240" w:after="60"/>
      <w:jc w:val="center"/>
      <w:outlineLvl w:val="0"/>
    </w:pPr>
    <w:rPr>
      <w:rFonts w:ascii="Arial" w:hAnsi="Arial"/>
      <w:b/>
      <w:bCs/>
      <w:sz w:val="32"/>
      <w:szCs w:val="32"/>
    </w:rPr>
  </w:style>
  <w:style w:type="character" w:styleId="47">
    <w:name w:val="page number"/>
    <w:qFormat/>
    <w:uiPriority w:val="0"/>
    <w:rPr>
      <w:rFonts w:ascii="Calibri" w:hAnsi="Calibri" w:eastAsia="宋体" w:cs="Times New Roman"/>
    </w:rPr>
  </w:style>
  <w:style w:type="character" w:styleId="48">
    <w:name w:val="FollowedHyperlink"/>
    <w:qFormat/>
    <w:uiPriority w:val="0"/>
    <w:rPr>
      <w:rFonts w:ascii="Calibri" w:hAnsi="Calibri" w:eastAsia="宋体" w:cs="Times New Roman"/>
      <w:color w:val="800080"/>
      <w:u w:val="single"/>
    </w:rPr>
  </w:style>
  <w:style w:type="character" w:styleId="49">
    <w:name w:val="Emphasis"/>
    <w:qFormat/>
    <w:uiPriority w:val="0"/>
    <w:rPr>
      <w:rFonts w:ascii="Calibri" w:hAnsi="Calibri" w:eastAsia="宋体" w:cs="Times New Roman"/>
      <w:i/>
      <w:iCs/>
    </w:rPr>
  </w:style>
  <w:style w:type="character" w:styleId="50">
    <w:name w:val="Hyperlink"/>
    <w:qFormat/>
    <w:uiPriority w:val="0"/>
    <w:rPr>
      <w:rFonts w:ascii="Calibri" w:hAnsi="Calibri" w:eastAsia="宋体" w:cs="Times New Roman"/>
      <w:color w:val="0000FF"/>
      <w:u w:val="single"/>
    </w:rPr>
  </w:style>
  <w:style w:type="character" w:styleId="51">
    <w:name w:val="annotation reference"/>
    <w:qFormat/>
    <w:uiPriority w:val="0"/>
    <w:rPr>
      <w:rFonts w:ascii="Calibri" w:hAnsi="Calibri" w:eastAsia="宋体" w:cs="Times New Roman"/>
      <w:sz w:val="21"/>
      <w:szCs w:val="21"/>
    </w:rPr>
  </w:style>
  <w:style w:type="character" w:styleId="52">
    <w:name w:val="footnote reference"/>
    <w:qFormat/>
    <w:uiPriority w:val="0"/>
    <w:rPr>
      <w:rFonts w:ascii="Calibri" w:hAnsi="Calibri" w:eastAsia="宋体" w:cs="Times New Roman"/>
      <w:vertAlign w:val="superscript"/>
    </w:rPr>
  </w:style>
  <w:style w:type="table" w:styleId="54">
    <w:name w:val="Table Grid"/>
    <w:basedOn w:val="5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5">
    <w:name w:val="样式1"/>
    <w:basedOn w:val="1"/>
    <w:qFormat/>
    <w:uiPriority w:val="0"/>
    <w:pPr>
      <w:spacing w:line="360" w:lineRule="auto"/>
      <w:jc w:val="center"/>
    </w:pPr>
    <w:rPr>
      <w:rFonts w:ascii="宋体" w:hAnsi="宋体"/>
      <w:sz w:val="32"/>
      <w:szCs w:val="30"/>
    </w:rPr>
  </w:style>
  <w:style w:type="paragraph" w:customStyle="1" w:styleId="56">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57">
    <w:name w:val="列出段落1"/>
    <w:basedOn w:val="1"/>
    <w:qFormat/>
    <w:uiPriority w:val="34"/>
    <w:pPr>
      <w:ind w:firstLine="420" w:firstLineChars="200"/>
    </w:pPr>
  </w:style>
  <w:style w:type="paragraph" w:customStyle="1" w:styleId="58">
    <w:name w:val="0"/>
    <w:basedOn w:val="1"/>
    <w:qFormat/>
    <w:uiPriority w:val="0"/>
    <w:pPr>
      <w:widowControl/>
    </w:pPr>
    <w:rPr>
      <w:rFonts w:ascii="Times New Roman" w:hAnsi="Times New Roman"/>
      <w:kern w:val="0"/>
      <w:szCs w:val="20"/>
    </w:rPr>
  </w:style>
  <w:style w:type="paragraph" w:customStyle="1" w:styleId="59">
    <w:name w:val="一、"/>
    <w:basedOn w:val="1"/>
    <w:qFormat/>
    <w:uiPriority w:val="0"/>
    <w:pPr>
      <w:widowControl/>
      <w:tabs>
        <w:tab w:val="left" w:pos="720"/>
      </w:tabs>
      <w:spacing w:line="560" w:lineRule="exact"/>
      <w:ind w:firstLine="562" w:firstLineChars="200"/>
      <w:jc w:val="left"/>
      <w:outlineLvl w:val="1"/>
    </w:pPr>
    <w:rPr>
      <w:rFonts w:ascii="仿宋_GB2312" w:hAnsi="宋体" w:eastAsia="仿宋_GB2312"/>
      <w:b/>
      <w:kern w:val="0"/>
      <w:sz w:val="28"/>
      <w:szCs w:val="28"/>
    </w:rPr>
  </w:style>
  <w:style w:type="paragraph" w:customStyle="1" w:styleId="60">
    <w:name w:val="z-窗体顶端1"/>
    <w:basedOn w:val="1"/>
    <w:next w:val="1"/>
    <w:link w:val="118"/>
    <w:qFormat/>
    <w:uiPriority w:val="0"/>
    <w:pPr>
      <w:pBdr>
        <w:bottom w:val="single" w:color="auto" w:sz="6" w:space="1"/>
      </w:pBdr>
      <w:jc w:val="center"/>
    </w:pPr>
    <w:rPr>
      <w:rFonts w:ascii="Arial" w:hAnsi="Arial"/>
      <w:vanish/>
      <w:sz w:val="16"/>
      <w:szCs w:val="16"/>
    </w:rPr>
  </w:style>
  <w:style w:type="paragraph" w:customStyle="1" w:styleId="61">
    <w:name w:val="Char Char Char Char"/>
    <w:basedOn w:val="1"/>
    <w:qFormat/>
    <w:uiPriority w:val="0"/>
    <w:rPr>
      <w:rFonts w:ascii="仿宋_GB2312" w:hAnsi="Times New Roman" w:eastAsia="仿宋_GB2312"/>
      <w:b/>
      <w:sz w:val="32"/>
      <w:szCs w:val="32"/>
    </w:rPr>
  </w:style>
  <w:style w:type="paragraph" w:customStyle="1" w:styleId="62">
    <w:name w:val="样式3"/>
    <w:basedOn w:val="4"/>
    <w:qFormat/>
    <w:uiPriority w:val="0"/>
    <w:pPr>
      <w:keepNext/>
      <w:keepLines/>
      <w:spacing w:before="120" w:after="120" w:line="360" w:lineRule="auto"/>
    </w:pPr>
    <w:rPr>
      <w:rFonts w:eastAsia="宋体"/>
      <w:sz w:val="24"/>
      <w:szCs w:val="24"/>
    </w:rPr>
  </w:style>
  <w:style w:type="paragraph" w:customStyle="1" w:styleId="63">
    <w:name w:val="z-窗体底端1"/>
    <w:basedOn w:val="1"/>
    <w:next w:val="1"/>
    <w:link w:val="116"/>
    <w:qFormat/>
    <w:uiPriority w:val="0"/>
    <w:pPr>
      <w:pBdr>
        <w:top w:val="single" w:color="auto" w:sz="6" w:space="1"/>
      </w:pBdr>
      <w:jc w:val="center"/>
    </w:pPr>
    <w:rPr>
      <w:rFonts w:ascii="Arial" w:hAnsi="Arial"/>
      <w:vanish/>
      <w:sz w:val="16"/>
      <w:szCs w:val="16"/>
    </w:rPr>
  </w:style>
  <w:style w:type="paragraph" w:customStyle="1" w:styleId="6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5">
    <w:name w:val="末级"/>
    <w:basedOn w:val="1"/>
    <w:qFormat/>
    <w:uiPriority w:val="0"/>
    <w:pPr>
      <w:tabs>
        <w:tab w:val="left" w:pos="851"/>
      </w:tabs>
      <w:spacing w:line="360" w:lineRule="auto"/>
      <w:ind w:firstLine="510"/>
    </w:pPr>
    <w:rPr>
      <w:rFonts w:ascii="Times New Roman" w:hAnsi="Times New Roman"/>
      <w:sz w:val="24"/>
      <w:szCs w:val="24"/>
    </w:rPr>
  </w:style>
  <w:style w:type="paragraph" w:customStyle="1" w:styleId="66">
    <w:name w:val="标题4"/>
    <w:next w:val="1"/>
    <w:link w:val="121"/>
    <w:qFormat/>
    <w:uiPriority w:val="0"/>
    <w:pPr>
      <w:spacing w:line="480" w:lineRule="auto"/>
      <w:outlineLvl w:val="3"/>
    </w:pPr>
    <w:rPr>
      <w:rFonts w:ascii="Calibri" w:hAnsi="Calibri" w:eastAsia="宋体" w:cs="Times New Roman"/>
      <w:b/>
      <w:kern w:val="2"/>
      <w:sz w:val="28"/>
      <w:szCs w:val="24"/>
      <w:lang w:val="en-US" w:eastAsia="zh-CN" w:bidi="ar-SA"/>
    </w:rPr>
  </w:style>
  <w:style w:type="paragraph" w:customStyle="1" w:styleId="67">
    <w:name w:val="标题5"/>
    <w:basedOn w:val="66"/>
    <w:next w:val="1"/>
    <w:qFormat/>
    <w:uiPriority w:val="0"/>
    <w:pPr>
      <w:outlineLvl w:val="4"/>
    </w:pPr>
    <w:rPr>
      <w:b w:val="0"/>
      <w:sz w:val="24"/>
    </w:rPr>
  </w:style>
  <w:style w:type="paragraph" w:customStyle="1" w:styleId="68">
    <w:name w:val="Char Char"/>
    <w:basedOn w:val="1"/>
    <w:qFormat/>
    <w:uiPriority w:val="0"/>
    <w:rPr>
      <w:rFonts w:ascii="Tahoma" w:hAnsi="Tahoma"/>
      <w:sz w:val="24"/>
      <w:szCs w:val="20"/>
    </w:rPr>
  </w:style>
  <w:style w:type="paragraph" w:customStyle="1" w:styleId="69">
    <w:name w:val="Char"/>
    <w:basedOn w:val="1"/>
    <w:qFormat/>
    <w:uiPriority w:val="0"/>
    <w:pPr>
      <w:spacing w:line="360" w:lineRule="auto"/>
    </w:pPr>
    <w:rPr>
      <w:rFonts w:ascii="黑体" w:hAnsi="黑体"/>
      <w:sz w:val="24"/>
      <w:szCs w:val="24"/>
      <w:lang w:val="zh-CN"/>
    </w:rPr>
  </w:style>
  <w:style w:type="paragraph" w:customStyle="1" w:styleId="70">
    <w:name w:val="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71">
    <w:name w:val="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72">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73">
    <w:name w:val="_Style 10"/>
    <w:basedOn w:val="1"/>
    <w:next w:val="1"/>
    <w:qFormat/>
    <w:uiPriority w:val="0"/>
    <w:rPr>
      <w:rFonts w:ascii="Times New Roman" w:hAnsi="Times New Roman"/>
      <w:szCs w:val="24"/>
    </w:rPr>
  </w:style>
  <w:style w:type="paragraph" w:customStyle="1" w:styleId="74">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75">
    <w:name w:val="正文段"/>
    <w:basedOn w:val="1"/>
    <w:qFormat/>
    <w:uiPriority w:val="0"/>
    <w:pPr>
      <w:spacing w:line="360" w:lineRule="auto"/>
      <w:ind w:firstLine="420"/>
    </w:pPr>
    <w:rPr>
      <w:rFonts w:ascii="宋体" w:hAnsi="Times New Roman"/>
      <w:sz w:val="24"/>
      <w:szCs w:val="24"/>
    </w:rPr>
  </w:style>
  <w:style w:type="paragraph" w:customStyle="1" w:styleId="76">
    <w:name w:val="小正文"/>
    <w:basedOn w:val="69"/>
    <w:link w:val="135"/>
    <w:qFormat/>
    <w:uiPriority w:val="0"/>
    <w:pPr>
      <w:spacing w:line="560" w:lineRule="exact"/>
      <w:ind w:firstLine="560" w:firstLineChars="200"/>
      <w:jc w:val="left"/>
    </w:pPr>
    <w:rPr>
      <w:rFonts w:ascii="仿宋_GB2312" w:hAnsi="宋体" w:eastAsia="仿宋_GB2312"/>
      <w:sz w:val="28"/>
      <w:szCs w:val="28"/>
      <w:lang w:val="en-US"/>
    </w:rPr>
  </w:style>
  <w:style w:type="paragraph" w:customStyle="1" w:styleId="77">
    <w:name w:val="样式 样式1 + 首行缩进:  2 字符"/>
    <w:basedOn w:val="55"/>
    <w:link w:val="115"/>
    <w:qFormat/>
    <w:uiPriority w:val="0"/>
    <w:pPr>
      <w:spacing w:line="360" w:lineRule="exact"/>
      <w:ind w:firstLine="420" w:firstLineChars="200"/>
      <w:jc w:val="both"/>
    </w:pPr>
    <w:rPr>
      <w:rFonts w:ascii="Arial" w:hAnsi="Arial"/>
      <w:sz w:val="24"/>
      <w:szCs w:val="22"/>
    </w:rPr>
  </w:style>
  <w:style w:type="paragraph" w:customStyle="1" w:styleId="78">
    <w:name w:val="样式2"/>
    <w:basedOn w:val="36"/>
    <w:qFormat/>
    <w:uiPriority w:val="0"/>
    <w:pPr>
      <w:ind w:firstLine="2720"/>
    </w:pPr>
    <w:rPr>
      <w:bCs/>
    </w:rPr>
  </w:style>
  <w:style w:type="paragraph" w:customStyle="1" w:styleId="79">
    <w:name w:val="_Style 5"/>
    <w:basedOn w:val="1"/>
    <w:next w:val="1"/>
    <w:qFormat/>
    <w:uiPriority w:val="0"/>
    <w:rPr>
      <w:rFonts w:ascii="Times New Roman" w:hAnsi="Times New Roman"/>
      <w:szCs w:val="20"/>
    </w:rPr>
  </w:style>
  <w:style w:type="paragraph" w:customStyle="1" w:styleId="80">
    <w:name w:val="列出段落2"/>
    <w:basedOn w:val="1"/>
    <w:qFormat/>
    <w:uiPriority w:val="0"/>
    <w:pPr>
      <w:spacing w:before="100" w:beforeAutospacing="1" w:after="100" w:afterAutospacing="1" w:line="300" w:lineRule="auto"/>
      <w:ind w:firstLine="420" w:firstLineChars="200"/>
    </w:pPr>
  </w:style>
  <w:style w:type="paragraph" w:customStyle="1" w:styleId="81">
    <w:name w:val="样式 一号 加粗 居中"/>
    <w:basedOn w:val="1"/>
    <w:qFormat/>
    <w:uiPriority w:val="0"/>
    <w:pPr>
      <w:jc w:val="center"/>
    </w:pPr>
    <w:rPr>
      <w:rFonts w:ascii="Times New Roman" w:hAnsi="Times New Roman" w:cs="宋体"/>
      <w:bCs/>
      <w:sz w:val="52"/>
      <w:szCs w:val="20"/>
    </w:rPr>
  </w:style>
  <w:style w:type="paragraph" w:customStyle="1" w:styleId="82">
    <w:name w:val="!机场正文"/>
    <w:basedOn w:val="1"/>
    <w:qFormat/>
    <w:uiPriority w:val="0"/>
    <w:pPr>
      <w:spacing w:line="560" w:lineRule="exact"/>
      <w:ind w:firstLine="200" w:firstLineChars="200"/>
    </w:pPr>
    <w:rPr>
      <w:rFonts w:ascii="仿宋_GB2312" w:hAnsi="仿宋_GB2312" w:eastAsia="仿宋_GB2312"/>
      <w:sz w:val="32"/>
    </w:rPr>
  </w:style>
  <w:style w:type="paragraph" w:customStyle="1" w:styleId="83">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84">
    <w:name w:val="表"/>
    <w:basedOn w:val="1"/>
    <w:qFormat/>
    <w:uiPriority w:val="0"/>
    <w:pPr>
      <w:spacing w:line="360" w:lineRule="auto"/>
      <w:jc w:val="center"/>
    </w:pPr>
    <w:rPr>
      <w:rFonts w:ascii="Times New Roman" w:hAnsi="Times New Roman"/>
      <w:color w:val="000000"/>
      <w:szCs w:val="21"/>
    </w:rPr>
  </w:style>
  <w:style w:type="paragraph" w:customStyle="1" w:styleId="85">
    <w:name w:val="表格一"/>
    <w:basedOn w:val="1"/>
    <w:qFormat/>
    <w:uiPriority w:val="0"/>
    <w:pPr>
      <w:spacing w:line="240" w:lineRule="exact"/>
      <w:ind w:left="105" w:leftChars="50"/>
    </w:pPr>
    <w:rPr>
      <w:rFonts w:ascii="Times New Roman" w:hAnsi="Times New Roman"/>
      <w:sz w:val="18"/>
      <w:szCs w:val="21"/>
    </w:rPr>
  </w:style>
  <w:style w:type="paragraph" w:customStyle="1" w:styleId="86">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87">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89">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90">
    <w:name w:val="Char1"/>
    <w:basedOn w:val="1"/>
    <w:qFormat/>
    <w:uiPriority w:val="0"/>
    <w:pPr>
      <w:widowControl/>
      <w:spacing w:after="160" w:line="240" w:lineRule="exact"/>
      <w:jc w:val="left"/>
    </w:pPr>
    <w:rPr>
      <w:rFonts w:ascii="Tahoma" w:hAnsi="Tahoma"/>
      <w:kern w:val="0"/>
      <w:sz w:val="24"/>
      <w:szCs w:val="24"/>
      <w:lang w:eastAsia="en-US"/>
    </w:rPr>
  </w:style>
  <w:style w:type="paragraph" w:customStyle="1" w:styleId="91">
    <w:name w:val="样式 标题 1 + (符号) Arial 三号"/>
    <w:basedOn w:val="2"/>
    <w:qFormat/>
    <w:uiPriority w:val="0"/>
    <w:pPr>
      <w:snapToGrid w:val="0"/>
      <w:spacing w:before="0" w:after="0" w:line="360" w:lineRule="auto"/>
    </w:pPr>
    <w:rPr>
      <w:sz w:val="32"/>
    </w:rPr>
  </w:style>
  <w:style w:type="paragraph" w:customStyle="1" w:styleId="92">
    <w:name w:val="默认段落字体 Para Char Char Char Char"/>
    <w:basedOn w:val="1"/>
    <w:qFormat/>
    <w:uiPriority w:val="0"/>
    <w:pPr>
      <w:spacing w:line="360" w:lineRule="auto"/>
      <w:ind w:firstLine="200" w:firstLineChars="200"/>
    </w:pPr>
    <w:rPr>
      <w:rFonts w:ascii="宋体" w:hAnsi="宋体" w:cs="宋体"/>
      <w:sz w:val="24"/>
      <w:szCs w:val="24"/>
    </w:rPr>
  </w:style>
  <w:style w:type="paragraph" w:customStyle="1" w:styleId="93">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94">
    <w:name w:val="标题 1 字符"/>
    <w:qFormat/>
    <w:uiPriority w:val="9"/>
    <w:rPr>
      <w:rFonts w:ascii="Calibri" w:hAnsi="Calibri" w:eastAsia="宋体" w:cs="Times New Roman"/>
      <w:b/>
      <w:bCs/>
      <w:kern w:val="44"/>
      <w:sz w:val="44"/>
      <w:szCs w:val="44"/>
    </w:rPr>
  </w:style>
  <w:style w:type="character" w:customStyle="1" w:styleId="95">
    <w:name w:val="标题 2 字符"/>
    <w:semiHidden/>
    <w:qFormat/>
    <w:uiPriority w:val="9"/>
    <w:rPr>
      <w:rFonts w:ascii="Calibri Light" w:hAnsi="Calibri Light" w:eastAsia="宋体" w:cs="Times New Roman"/>
      <w:b/>
      <w:bCs/>
      <w:sz w:val="32"/>
      <w:szCs w:val="32"/>
    </w:rPr>
  </w:style>
  <w:style w:type="character" w:customStyle="1" w:styleId="96">
    <w:name w:val="标题 3 字符"/>
    <w:semiHidden/>
    <w:qFormat/>
    <w:uiPriority w:val="9"/>
    <w:rPr>
      <w:rFonts w:ascii="Calibri" w:hAnsi="Calibri" w:eastAsia="宋体" w:cs="Times New Roman"/>
      <w:b/>
      <w:bCs/>
      <w:sz w:val="32"/>
      <w:szCs w:val="32"/>
    </w:rPr>
  </w:style>
  <w:style w:type="character" w:customStyle="1" w:styleId="97">
    <w:name w:val="标题 4 字符"/>
    <w:semiHidden/>
    <w:qFormat/>
    <w:uiPriority w:val="9"/>
    <w:rPr>
      <w:rFonts w:ascii="Calibri Light" w:hAnsi="Calibri Light" w:eastAsia="宋体" w:cs="Times New Roman"/>
      <w:b/>
      <w:bCs/>
      <w:sz w:val="28"/>
      <w:szCs w:val="28"/>
    </w:rPr>
  </w:style>
  <w:style w:type="character" w:customStyle="1" w:styleId="98">
    <w:name w:val="标题 5 字符"/>
    <w:semiHidden/>
    <w:qFormat/>
    <w:uiPriority w:val="9"/>
    <w:rPr>
      <w:rFonts w:ascii="Calibri" w:hAnsi="Calibri" w:eastAsia="宋体" w:cs="Times New Roman"/>
      <w:b/>
      <w:bCs/>
      <w:sz w:val="28"/>
      <w:szCs w:val="28"/>
    </w:rPr>
  </w:style>
  <w:style w:type="character" w:customStyle="1" w:styleId="99">
    <w:name w:val="批注主题 字符"/>
    <w:link w:val="8"/>
    <w:semiHidden/>
    <w:qFormat/>
    <w:uiPriority w:val="0"/>
    <w:rPr>
      <w:rFonts w:ascii="Times New Roman" w:hAnsi="Times New Roman" w:eastAsia="宋体" w:cs="Times New Roman"/>
      <w:b/>
      <w:bCs/>
      <w:szCs w:val="24"/>
    </w:rPr>
  </w:style>
  <w:style w:type="character" w:customStyle="1" w:styleId="100">
    <w:name w:val="批注文字 字符"/>
    <w:link w:val="9"/>
    <w:qFormat/>
    <w:uiPriority w:val="99"/>
    <w:rPr>
      <w:rFonts w:ascii="Times New Roman" w:hAnsi="Times New Roman" w:eastAsia="宋体" w:cs="Times New Roman"/>
    </w:rPr>
  </w:style>
  <w:style w:type="character" w:customStyle="1" w:styleId="101">
    <w:name w:val="页脚 字符"/>
    <w:semiHidden/>
    <w:qFormat/>
    <w:uiPriority w:val="99"/>
    <w:rPr>
      <w:rFonts w:ascii="Calibri" w:hAnsi="Calibri" w:eastAsia="宋体" w:cs="Times New Roman"/>
      <w:sz w:val="18"/>
      <w:szCs w:val="18"/>
    </w:rPr>
  </w:style>
  <w:style w:type="character" w:customStyle="1" w:styleId="102">
    <w:name w:val="文档结构图 字符"/>
    <w:semiHidden/>
    <w:qFormat/>
    <w:uiPriority w:val="99"/>
    <w:rPr>
      <w:rFonts w:ascii="Microsoft YaHei UI" w:hAnsi="Calibri" w:eastAsia="Microsoft YaHei UI" w:cs="Times New Roman"/>
      <w:sz w:val="18"/>
      <w:szCs w:val="18"/>
    </w:rPr>
  </w:style>
  <w:style w:type="character" w:customStyle="1" w:styleId="103">
    <w:name w:val="标题 2 字符1"/>
    <w:link w:val="3"/>
    <w:qFormat/>
    <w:uiPriority w:val="0"/>
    <w:rPr>
      <w:rFonts w:ascii="Arial" w:hAnsi="Arial" w:eastAsia="黑体" w:cs="Times New Roman"/>
      <w:b/>
      <w:bCs/>
      <w:kern w:val="0"/>
      <w:sz w:val="32"/>
      <w:szCs w:val="32"/>
    </w:rPr>
  </w:style>
  <w:style w:type="character" w:customStyle="1" w:styleId="104">
    <w:name w:val="批注框文本 字符1"/>
    <w:link w:val="26"/>
    <w:qFormat/>
    <w:uiPriority w:val="0"/>
    <w:rPr>
      <w:rFonts w:ascii="Times New Roman" w:hAnsi="Times New Roman" w:eastAsia="宋体" w:cs="Times New Roman"/>
      <w:sz w:val="18"/>
      <w:szCs w:val="18"/>
    </w:rPr>
  </w:style>
  <w:style w:type="character" w:customStyle="1" w:styleId="105">
    <w:name w:val="日期 字符"/>
    <w:semiHidden/>
    <w:qFormat/>
    <w:uiPriority w:val="99"/>
    <w:rPr>
      <w:rFonts w:ascii="Calibri" w:hAnsi="Calibri" w:eastAsia="宋体" w:cs="Times New Roman"/>
    </w:rPr>
  </w:style>
  <w:style w:type="character" w:customStyle="1" w:styleId="106">
    <w:name w:val="日期 字符1"/>
    <w:link w:val="24"/>
    <w:qFormat/>
    <w:uiPriority w:val="0"/>
    <w:rPr>
      <w:rFonts w:ascii="Times New Roman" w:hAnsi="Times New Roman" w:eastAsia="宋体" w:cs="Times New Roman"/>
      <w:b/>
      <w:bCs/>
      <w:sz w:val="36"/>
      <w:szCs w:val="24"/>
    </w:rPr>
  </w:style>
  <w:style w:type="character" w:customStyle="1" w:styleId="107">
    <w:name w:val="页眉 字符"/>
    <w:semiHidden/>
    <w:qFormat/>
    <w:uiPriority w:val="99"/>
    <w:rPr>
      <w:rFonts w:ascii="Calibri" w:hAnsi="Calibri" w:eastAsia="宋体" w:cs="Times New Roman"/>
      <w:sz w:val="18"/>
      <w:szCs w:val="18"/>
    </w:rPr>
  </w:style>
  <w:style w:type="character" w:customStyle="1" w:styleId="108">
    <w:name w:val="纯文本 字符"/>
    <w:semiHidden/>
    <w:qFormat/>
    <w:uiPriority w:val="99"/>
    <w:rPr>
      <w:rFonts w:ascii="宋体" w:hAnsi="Courier New" w:eastAsia="宋体" w:cs="Courier New"/>
    </w:rPr>
  </w:style>
  <w:style w:type="character" w:customStyle="1" w:styleId="109">
    <w:name w:val="脚注文本 字符1"/>
    <w:link w:val="33"/>
    <w:qFormat/>
    <w:uiPriority w:val="0"/>
    <w:rPr>
      <w:rFonts w:ascii="Times New Roman" w:hAnsi="Times New Roman" w:eastAsia="宋体" w:cs="Times New Roman"/>
      <w:sz w:val="18"/>
      <w:szCs w:val="18"/>
    </w:rPr>
  </w:style>
  <w:style w:type="character" w:customStyle="1" w:styleId="110">
    <w:name w:val="标题 3 字符1"/>
    <w:link w:val="4"/>
    <w:qFormat/>
    <w:uiPriority w:val="0"/>
    <w:rPr>
      <w:rFonts w:ascii="Times New Roman" w:hAnsi="Times New Roman" w:eastAsia="楷体_GB2312" w:cs="Times New Roman"/>
      <w:kern w:val="0"/>
      <w:sz w:val="28"/>
      <w:szCs w:val="20"/>
    </w:rPr>
  </w:style>
  <w:style w:type="character" w:customStyle="1" w:styleId="111">
    <w:name w:val="px1233"/>
    <w:qFormat/>
    <w:uiPriority w:val="0"/>
    <w:rPr>
      <w:rFonts w:ascii="Calibri" w:hAnsi="Calibri" w:eastAsia="宋体" w:cs="Times New Roman"/>
    </w:rPr>
  </w:style>
  <w:style w:type="character" w:customStyle="1" w:styleId="112">
    <w:name w:val="标题 字符1"/>
    <w:link w:val="45"/>
    <w:qFormat/>
    <w:uiPriority w:val="0"/>
    <w:rPr>
      <w:rFonts w:ascii="Arial" w:hAnsi="Arial" w:eastAsia="宋体" w:cs="Times New Roman"/>
      <w:b/>
      <w:bCs/>
      <w:sz w:val="32"/>
      <w:szCs w:val="32"/>
    </w:rPr>
  </w:style>
  <w:style w:type="character" w:customStyle="1" w:styleId="113">
    <w:name w:val="正文文本 2 字符1"/>
    <w:link w:val="39"/>
    <w:qFormat/>
    <w:uiPriority w:val="0"/>
    <w:rPr>
      <w:rFonts w:ascii="Times New Roman" w:hAnsi="Times New Roman" w:eastAsia="宋体" w:cs="Times New Roman"/>
      <w:szCs w:val="24"/>
    </w:rPr>
  </w:style>
  <w:style w:type="character" w:customStyle="1" w:styleId="114">
    <w:name w:val="正文文本 字符1"/>
    <w:link w:val="12"/>
    <w:qFormat/>
    <w:uiPriority w:val="0"/>
    <w:rPr>
      <w:rFonts w:ascii="Times New Roman" w:hAnsi="Times New Roman" w:eastAsia="宋体" w:cs="Times New Roman"/>
    </w:rPr>
  </w:style>
  <w:style w:type="character" w:customStyle="1" w:styleId="115">
    <w:name w:val="样式 样式1 + 首行缩进:  2 字符 Char"/>
    <w:link w:val="77"/>
    <w:qFormat/>
    <w:uiPriority w:val="0"/>
    <w:rPr>
      <w:rFonts w:ascii="Arial" w:hAnsi="Arial" w:eastAsia="宋体" w:cs="Times New Roman"/>
      <w:sz w:val="24"/>
      <w:szCs w:val="22"/>
    </w:rPr>
  </w:style>
  <w:style w:type="character" w:customStyle="1" w:styleId="116">
    <w:name w:val="z-窗体底端 Char"/>
    <w:link w:val="63"/>
    <w:qFormat/>
    <w:uiPriority w:val="0"/>
    <w:rPr>
      <w:rFonts w:ascii="Arial" w:hAnsi="Arial" w:eastAsia="宋体" w:cs="Times New Roman"/>
      <w:vanish/>
      <w:sz w:val="16"/>
      <w:szCs w:val="16"/>
    </w:rPr>
  </w:style>
  <w:style w:type="character" w:customStyle="1" w:styleId="117">
    <w:name w:val="批注框文本 字符"/>
    <w:semiHidden/>
    <w:qFormat/>
    <w:uiPriority w:val="99"/>
    <w:rPr>
      <w:rFonts w:ascii="Calibri" w:hAnsi="Calibri" w:eastAsia="宋体" w:cs="Times New Roman"/>
      <w:sz w:val="18"/>
      <w:szCs w:val="18"/>
    </w:rPr>
  </w:style>
  <w:style w:type="character" w:customStyle="1" w:styleId="118">
    <w:name w:val="z-窗体顶端 Char"/>
    <w:link w:val="60"/>
    <w:qFormat/>
    <w:uiPriority w:val="0"/>
    <w:rPr>
      <w:rFonts w:ascii="Arial" w:hAnsi="Arial" w:eastAsia="宋体" w:cs="Times New Roman"/>
      <w:vanish/>
      <w:sz w:val="16"/>
      <w:szCs w:val="16"/>
    </w:rPr>
  </w:style>
  <w:style w:type="character" w:customStyle="1" w:styleId="119">
    <w:name w:val="正文文本缩进 2 Char1"/>
    <w:qFormat/>
    <w:uiPriority w:val="0"/>
    <w:rPr>
      <w:rFonts w:ascii="Times New Roman" w:hAnsi="Times New Roman" w:eastAsia="宋体" w:cs="Times New Roman"/>
      <w:kern w:val="0"/>
      <w:sz w:val="20"/>
      <w:szCs w:val="24"/>
    </w:rPr>
  </w:style>
  <w:style w:type="character" w:customStyle="1" w:styleId="120">
    <w:name w:val="正文首行缩进 2 字符"/>
    <w:semiHidden/>
    <w:qFormat/>
    <w:uiPriority w:val="99"/>
    <w:rPr>
      <w:rFonts w:ascii="Calibri" w:hAnsi="Calibri" w:eastAsia="宋体" w:cs="Times New Roman"/>
    </w:rPr>
  </w:style>
  <w:style w:type="character" w:customStyle="1" w:styleId="121">
    <w:name w:val="标题4 Char Char"/>
    <w:link w:val="66"/>
    <w:qFormat/>
    <w:uiPriority w:val="0"/>
    <w:rPr>
      <w:rFonts w:ascii="Calibri" w:hAnsi="Calibri" w:eastAsia="宋体" w:cs="Times New Roman"/>
      <w:b/>
      <w:kern w:val="2"/>
      <w:sz w:val="28"/>
      <w:szCs w:val="24"/>
      <w:lang w:val="en-US" w:eastAsia="zh-CN" w:bidi="ar-SA"/>
    </w:rPr>
  </w:style>
  <w:style w:type="character" w:customStyle="1" w:styleId="122">
    <w:name w:val="页脚 字符1"/>
    <w:link w:val="27"/>
    <w:qFormat/>
    <w:uiPriority w:val="99"/>
    <w:rPr>
      <w:rFonts w:ascii="Times New Roman" w:hAnsi="Times New Roman" w:eastAsia="宋体" w:cs="Times New Roman"/>
      <w:sz w:val="18"/>
      <w:szCs w:val="18"/>
    </w:rPr>
  </w:style>
  <w:style w:type="character" w:customStyle="1" w:styleId="123">
    <w:name w:val="正文缩进 字符"/>
    <w:link w:val="13"/>
    <w:qFormat/>
    <w:uiPriority w:val="0"/>
    <w:rPr>
      <w:rFonts w:ascii="宋体" w:hAnsi="Times New Roman" w:eastAsia="宋体" w:cs="Times New Roman"/>
      <w:sz w:val="34"/>
    </w:rPr>
  </w:style>
  <w:style w:type="character" w:customStyle="1" w:styleId="124">
    <w:name w:val="标题 5 字符1"/>
    <w:link w:val="6"/>
    <w:qFormat/>
    <w:uiPriority w:val="0"/>
    <w:rPr>
      <w:rFonts w:ascii="Times New Roman" w:hAnsi="Times New Roman" w:eastAsia="宋体" w:cs="Times New Roman"/>
      <w:b/>
      <w:bCs/>
      <w:kern w:val="0"/>
      <w:sz w:val="28"/>
      <w:szCs w:val="28"/>
    </w:rPr>
  </w:style>
  <w:style w:type="character" w:customStyle="1" w:styleId="125">
    <w:name w:val="标题 1 字符1"/>
    <w:link w:val="2"/>
    <w:qFormat/>
    <w:uiPriority w:val="0"/>
    <w:rPr>
      <w:rFonts w:ascii="Times New Roman" w:hAnsi="Times New Roman" w:eastAsia="宋体" w:cs="Times New Roman"/>
      <w:b/>
      <w:bCs/>
      <w:kern w:val="44"/>
      <w:sz w:val="44"/>
      <w:szCs w:val="44"/>
    </w:rPr>
  </w:style>
  <w:style w:type="character" w:customStyle="1" w:styleId="126">
    <w:name w:val="正文文本 2 字符"/>
    <w:semiHidden/>
    <w:qFormat/>
    <w:uiPriority w:val="99"/>
    <w:rPr>
      <w:rFonts w:ascii="Calibri" w:hAnsi="Calibri" w:eastAsia="宋体" w:cs="Times New Roman"/>
    </w:rPr>
  </w:style>
  <w:style w:type="character" w:customStyle="1" w:styleId="127">
    <w:name w:val="正文首行缩进 2 字符1"/>
    <w:link w:val="28"/>
    <w:qFormat/>
    <w:uiPriority w:val="0"/>
    <w:rPr>
      <w:rFonts w:ascii="Times New Roman" w:hAnsi="Times New Roman" w:eastAsia="宋体" w:cs="Times New Roman"/>
      <w:szCs w:val="24"/>
    </w:rPr>
  </w:style>
  <w:style w:type="character" w:customStyle="1" w:styleId="128">
    <w:name w:val="正文文本缩进 字符"/>
    <w:semiHidden/>
    <w:qFormat/>
    <w:uiPriority w:val="99"/>
    <w:rPr>
      <w:rFonts w:ascii="Calibri" w:hAnsi="Calibri" w:eastAsia="宋体" w:cs="Times New Roman"/>
    </w:rPr>
  </w:style>
  <w:style w:type="character" w:customStyle="1" w:styleId="129">
    <w:name w:val="正文首行缩进 字符1"/>
    <w:link w:val="11"/>
    <w:qFormat/>
    <w:uiPriority w:val="0"/>
    <w:rPr>
      <w:rFonts w:ascii="Times New Roman" w:hAnsi="Times New Roman" w:eastAsia="宋体" w:cs="Times New Roman"/>
      <w:szCs w:val="24"/>
    </w:rPr>
  </w:style>
  <w:style w:type="character" w:customStyle="1" w:styleId="130">
    <w:name w:val="文档结构图 字符1"/>
    <w:link w:val="15"/>
    <w:qFormat/>
    <w:uiPriority w:val="0"/>
    <w:rPr>
      <w:rFonts w:ascii="Times New Roman" w:hAnsi="Times New Roman" w:eastAsia="宋体" w:cs="Times New Roman"/>
      <w:szCs w:val="24"/>
    </w:rPr>
  </w:style>
  <w:style w:type="character" w:customStyle="1" w:styleId="131">
    <w:name w:val="z-窗体顶端 字符"/>
    <w:semiHidden/>
    <w:qFormat/>
    <w:uiPriority w:val="99"/>
    <w:rPr>
      <w:rFonts w:ascii="Arial" w:hAnsi="Arial" w:eastAsia="宋体" w:cs="Arial"/>
      <w:vanish/>
      <w:sz w:val="16"/>
      <w:szCs w:val="16"/>
    </w:rPr>
  </w:style>
  <w:style w:type="character" w:customStyle="1" w:styleId="132">
    <w:name w:val="标题 字符"/>
    <w:qFormat/>
    <w:uiPriority w:val="10"/>
    <w:rPr>
      <w:rFonts w:ascii="Calibri Light" w:hAnsi="Calibri Light" w:eastAsia="宋体" w:cs="Times New Roman"/>
      <w:b/>
      <w:bCs/>
      <w:sz w:val="32"/>
      <w:szCs w:val="32"/>
    </w:rPr>
  </w:style>
  <w:style w:type="character" w:customStyle="1" w:styleId="133">
    <w:name w:val="Char Char14"/>
    <w:qFormat/>
    <w:uiPriority w:val="0"/>
    <w:rPr>
      <w:rFonts w:ascii="宋体" w:hAnsi="Courier New" w:eastAsia="宋体" w:cs="Courier New"/>
      <w:kern w:val="2"/>
      <w:sz w:val="21"/>
      <w:szCs w:val="21"/>
      <w:lang w:val="en-US" w:eastAsia="zh-CN" w:bidi="ar-SA"/>
    </w:rPr>
  </w:style>
  <w:style w:type="character" w:customStyle="1" w:styleId="134">
    <w:name w:val="正文文本缩进 3 字符"/>
    <w:semiHidden/>
    <w:qFormat/>
    <w:uiPriority w:val="99"/>
    <w:rPr>
      <w:rFonts w:ascii="Calibri" w:hAnsi="Calibri" w:eastAsia="宋体" w:cs="Times New Roman"/>
      <w:sz w:val="16"/>
      <w:szCs w:val="16"/>
    </w:rPr>
  </w:style>
  <w:style w:type="character" w:customStyle="1" w:styleId="135">
    <w:name w:val="小正文 Char"/>
    <w:link w:val="76"/>
    <w:qFormat/>
    <w:uiPriority w:val="0"/>
    <w:rPr>
      <w:rFonts w:ascii="仿宋_GB2312" w:hAnsi="宋体" w:eastAsia="仿宋_GB2312" w:cs="Times New Roman"/>
      <w:sz w:val="28"/>
      <w:szCs w:val="28"/>
      <w:lang w:val="en-US"/>
    </w:rPr>
  </w:style>
  <w:style w:type="character" w:customStyle="1" w:styleId="136">
    <w:name w:val="正文文本缩进 字符1"/>
    <w:qFormat/>
    <w:uiPriority w:val="0"/>
    <w:rPr>
      <w:rFonts w:ascii="Calibri" w:hAnsi="Calibri" w:eastAsia="宋体" w:cs="Times New Roman"/>
    </w:rPr>
  </w:style>
  <w:style w:type="character" w:customStyle="1" w:styleId="137">
    <w:name w:val="脚注文本 字符"/>
    <w:semiHidden/>
    <w:qFormat/>
    <w:uiPriority w:val="99"/>
    <w:rPr>
      <w:rFonts w:ascii="Calibri" w:hAnsi="Calibri" w:eastAsia="宋体" w:cs="Times New Roman"/>
      <w:sz w:val="18"/>
      <w:szCs w:val="18"/>
    </w:rPr>
  </w:style>
  <w:style w:type="character" w:customStyle="1" w:styleId="138">
    <w:name w:val="正文文本缩进 3 字符1"/>
    <w:link w:val="35"/>
    <w:qFormat/>
    <w:uiPriority w:val="0"/>
    <w:rPr>
      <w:rFonts w:ascii="Times New Roman" w:hAnsi="Times New Roman" w:eastAsia="宋体" w:cs="Times New Roman"/>
      <w:sz w:val="24"/>
      <w:szCs w:val="24"/>
    </w:rPr>
  </w:style>
  <w:style w:type="character" w:customStyle="1" w:styleId="139">
    <w:name w:val="批注主题 Char1"/>
    <w:semiHidden/>
    <w:qFormat/>
    <w:uiPriority w:val="99"/>
    <w:rPr>
      <w:rFonts w:ascii="Calibri" w:hAnsi="Calibri" w:eastAsia="宋体" w:cs="Times New Roman"/>
      <w:b/>
      <w:bCs/>
      <w:kern w:val="2"/>
      <w:sz w:val="21"/>
      <w:szCs w:val="22"/>
    </w:rPr>
  </w:style>
  <w:style w:type="character" w:customStyle="1" w:styleId="140">
    <w:name w:val="zbggmain style9"/>
    <w:qFormat/>
    <w:uiPriority w:val="0"/>
    <w:rPr>
      <w:rFonts w:ascii="Calibri" w:hAnsi="Calibri" w:eastAsia="宋体" w:cs="Times New Roman"/>
    </w:rPr>
  </w:style>
  <w:style w:type="character" w:customStyle="1" w:styleId="141">
    <w:name w:val="z-窗体底端 字符"/>
    <w:semiHidden/>
    <w:qFormat/>
    <w:uiPriority w:val="99"/>
    <w:rPr>
      <w:rFonts w:ascii="Arial" w:hAnsi="Arial" w:eastAsia="宋体" w:cs="Arial"/>
      <w:vanish/>
      <w:sz w:val="16"/>
      <w:szCs w:val="16"/>
    </w:rPr>
  </w:style>
  <w:style w:type="character" w:customStyle="1" w:styleId="142">
    <w:name w:val="纯文本 字符1"/>
    <w:link w:val="21"/>
    <w:qFormat/>
    <w:uiPriority w:val="0"/>
    <w:rPr>
      <w:rFonts w:ascii="宋体" w:hAnsi="Courier New" w:eastAsia="宋体" w:cs="Times New Roman"/>
      <w:szCs w:val="21"/>
    </w:rPr>
  </w:style>
  <w:style w:type="character" w:customStyle="1" w:styleId="143">
    <w:name w:val="标题 4 字符1"/>
    <w:link w:val="5"/>
    <w:qFormat/>
    <w:uiPriority w:val="0"/>
    <w:rPr>
      <w:rFonts w:ascii="Arial" w:hAnsi="Arial" w:eastAsia="黑体" w:cs="Times New Roman"/>
      <w:b/>
      <w:bCs/>
      <w:kern w:val="0"/>
      <w:sz w:val="28"/>
      <w:szCs w:val="28"/>
    </w:rPr>
  </w:style>
  <w:style w:type="character" w:customStyle="1" w:styleId="144">
    <w:name w:val="正文文本 字符"/>
    <w:semiHidden/>
    <w:qFormat/>
    <w:uiPriority w:val="99"/>
    <w:rPr>
      <w:rFonts w:ascii="Calibri" w:hAnsi="Calibri" w:eastAsia="宋体" w:cs="Times New Roman"/>
    </w:rPr>
  </w:style>
  <w:style w:type="character" w:customStyle="1" w:styleId="145">
    <w:name w:val="页眉 字符1"/>
    <w:link w:val="29"/>
    <w:qFormat/>
    <w:uiPriority w:val="99"/>
    <w:rPr>
      <w:rFonts w:ascii="Times New Roman" w:hAnsi="Times New Roman" w:eastAsia="宋体" w:cs="Times New Roman"/>
      <w:sz w:val="18"/>
      <w:szCs w:val="18"/>
    </w:rPr>
  </w:style>
  <w:style w:type="character" w:customStyle="1" w:styleId="146">
    <w:name w:val="正文首行缩进 字符"/>
    <w:semiHidden/>
    <w:qFormat/>
    <w:uiPriority w:val="99"/>
    <w:rPr>
      <w:rFonts w:ascii="Calibri" w:hAnsi="Calibri" w:eastAsia="宋体" w:cs="Times New Roman"/>
    </w:rPr>
  </w:style>
  <w:style w:type="character" w:customStyle="1" w:styleId="147">
    <w:name w:val="正文文本缩进 2 字符1"/>
    <w:link w:val="25"/>
    <w:qFormat/>
    <w:uiPriority w:val="0"/>
    <w:rPr>
      <w:rFonts w:ascii="Times New Roman" w:hAnsi="Times New Roman" w:eastAsia="宋体" w:cs="Times New Roman"/>
      <w:szCs w:val="24"/>
    </w:rPr>
  </w:style>
  <w:style w:type="character" w:customStyle="1" w:styleId="148">
    <w:name w:val="正文文本缩进 2 字符"/>
    <w:semiHidden/>
    <w:qFormat/>
    <w:uiPriority w:val="99"/>
    <w:rPr>
      <w:rFonts w:ascii="Calibri" w:hAnsi="Calibri" w:eastAsia="宋体" w:cs="Times New Roman"/>
    </w:rPr>
  </w:style>
  <w:style w:type="character" w:customStyle="1" w:styleId="149">
    <w:name w:val="批注文字 字符1"/>
    <w:basedOn w:val="46"/>
    <w:semiHidden/>
    <w:qFormat/>
    <w:uiPriority w:val="99"/>
    <w:rPr>
      <w:rFonts w:ascii="Calibri" w:hAnsi="Calibri" w:eastAsia="宋体" w:cs="Times New Roman"/>
    </w:rPr>
  </w:style>
  <w:style w:type="character" w:customStyle="1" w:styleId="150">
    <w:name w:val="日期 字符2"/>
    <w:basedOn w:val="46"/>
    <w:semiHidden/>
    <w:qFormat/>
    <w:uiPriority w:val="99"/>
    <w:rPr>
      <w:rFonts w:ascii="Calibri" w:hAnsi="Calibri" w:eastAsia="宋体" w:cs="Times New Roman"/>
    </w:rPr>
  </w:style>
  <w:style w:type="character" w:customStyle="1" w:styleId="151">
    <w:name w:val="文档结构图 字符2"/>
    <w:semiHidden/>
    <w:qFormat/>
    <w:uiPriority w:val="99"/>
    <w:rPr>
      <w:rFonts w:ascii="Microsoft YaHei UI" w:hAnsi="Calibri" w:eastAsia="Microsoft YaHei UI" w:cs="Times New Roman"/>
      <w:sz w:val="18"/>
      <w:szCs w:val="18"/>
    </w:rPr>
  </w:style>
  <w:style w:type="character" w:customStyle="1" w:styleId="152">
    <w:name w:val="批注主题 字符1"/>
    <w:semiHidden/>
    <w:qFormat/>
    <w:uiPriority w:val="99"/>
    <w:rPr>
      <w:rFonts w:ascii="Calibri" w:hAnsi="Calibri" w:eastAsia="宋体" w:cs="Times New Roman"/>
      <w:b/>
      <w:bCs/>
    </w:rPr>
  </w:style>
  <w:style w:type="character" w:customStyle="1" w:styleId="153">
    <w:name w:val="正文文本缩进 3 字符2"/>
    <w:semiHidden/>
    <w:qFormat/>
    <w:uiPriority w:val="99"/>
    <w:rPr>
      <w:rFonts w:ascii="Calibri" w:hAnsi="Calibri" w:eastAsia="宋体" w:cs="Times New Roman"/>
      <w:sz w:val="16"/>
      <w:szCs w:val="16"/>
    </w:rPr>
  </w:style>
  <w:style w:type="character" w:customStyle="1" w:styleId="154">
    <w:name w:val="脚注文本 字符2"/>
    <w:semiHidden/>
    <w:qFormat/>
    <w:uiPriority w:val="99"/>
    <w:rPr>
      <w:rFonts w:ascii="Calibri" w:hAnsi="Calibri" w:eastAsia="宋体" w:cs="Times New Roman"/>
      <w:sz w:val="18"/>
      <w:szCs w:val="18"/>
    </w:rPr>
  </w:style>
  <w:style w:type="character" w:customStyle="1" w:styleId="155">
    <w:name w:val="正文文本缩进 字符2"/>
    <w:basedOn w:val="46"/>
    <w:link w:val="17"/>
    <w:semiHidden/>
    <w:qFormat/>
    <w:uiPriority w:val="99"/>
    <w:rPr>
      <w:rFonts w:ascii="Times New Roman" w:hAnsi="Times New Roman" w:eastAsia="宋体" w:cs="Times New Roman"/>
    </w:rPr>
  </w:style>
  <w:style w:type="character" w:customStyle="1" w:styleId="156">
    <w:name w:val="正文首行缩进 2 字符2"/>
    <w:basedOn w:val="155"/>
    <w:semiHidden/>
    <w:qFormat/>
    <w:uiPriority w:val="99"/>
    <w:rPr>
      <w:rFonts w:ascii="Calibri" w:hAnsi="Calibri" w:eastAsia="宋体" w:cs="Times New Roman"/>
    </w:rPr>
  </w:style>
  <w:style w:type="character" w:customStyle="1" w:styleId="157">
    <w:name w:val="页眉 字符2"/>
    <w:semiHidden/>
    <w:qFormat/>
    <w:uiPriority w:val="99"/>
    <w:rPr>
      <w:rFonts w:ascii="Calibri" w:hAnsi="Calibri" w:eastAsia="宋体" w:cs="Times New Roman"/>
      <w:sz w:val="18"/>
      <w:szCs w:val="18"/>
    </w:rPr>
  </w:style>
  <w:style w:type="character" w:customStyle="1" w:styleId="158">
    <w:name w:val="标题 字符2"/>
    <w:qFormat/>
    <w:uiPriority w:val="10"/>
    <w:rPr>
      <w:rFonts w:ascii="Calibri Light" w:hAnsi="Calibri Light" w:eastAsia="宋体" w:cs="Times New Roman"/>
      <w:b/>
      <w:bCs/>
      <w:sz w:val="32"/>
      <w:szCs w:val="32"/>
    </w:rPr>
  </w:style>
  <w:style w:type="character" w:customStyle="1" w:styleId="159">
    <w:name w:val="正文文本缩进 2 字符2"/>
    <w:basedOn w:val="46"/>
    <w:semiHidden/>
    <w:qFormat/>
    <w:uiPriority w:val="99"/>
    <w:rPr>
      <w:rFonts w:ascii="Calibri" w:hAnsi="Calibri" w:eastAsia="宋体" w:cs="Times New Roman"/>
    </w:rPr>
  </w:style>
  <w:style w:type="character" w:customStyle="1" w:styleId="160">
    <w:name w:val="正文文本 字符2"/>
    <w:basedOn w:val="46"/>
    <w:semiHidden/>
    <w:qFormat/>
    <w:uiPriority w:val="99"/>
    <w:rPr>
      <w:rFonts w:ascii="Calibri" w:hAnsi="Calibri" w:eastAsia="宋体" w:cs="Times New Roman"/>
    </w:rPr>
  </w:style>
  <w:style w:type="character" w:customStyle="1" w:styleId="161">
    <w:name w:val="页脚 字符2"/>
    <w:semiHidden/>
    <w:qFormat/>
    <w:uiPriority w:val="99"/>
    <w:rPr>
      <w:rFonts w:ascii="Calibri" w:hAnsi="Calibri" w:eastAsia="宋体" w:cs="Times New Roman"/>
      <w:sz w:val="18"/>
      <w:szCs w:val="18"/>
    </w:rPr>
  </w:style>
  <w:style w:type="character" w:customStyle="1" w:styleId="162">
    <w:name w:val="正文首行缩进 字符2"/>
    <w:basedOn w:val="160"/>
    <w:semiHidden/>
    <w:qFormat/>
    <w:uiPriority w:val="99"/>
    <w:rPr>
      <w:rFonts w:ascii="Calibri" w:hAnsi="Calibri" w:eastAsia="宋体" w:cs="Times New Roman"/>
    </w:rPr>
  </w:style>
  <w:style w:type="character" w:customStyle="1" w:styleId="163">
    <w:name w:val="正文文本 2 字符2"/>
    <w:basedOn w:val="46"/>
    <w:semiHidden/>
    <w:qFormat/>
    <w:uiPriority w:val="99"/>
    <w:rPr>
      <w:rFonts w:ascii="Calibri" w:hAnsi="Calibri" w:eastAsia="宋体" w:cs="Times New Roman"/>
    </w:rPr>
  </w:style>
  <w:style w:type="character" w:customStyle="1" w:styleId="164">
    <w:name w:val="纯文本 字符2"/>
    <w:semiHidden/>
    <w:qFormat/>
    <w:uiPriority w:val="99"/>
    <w:rPr>
      <w:rFonts w:ascii="宋体" w:hAnsi="Courier New" w:eastAsia="宋体" w:cs="Courier New"/>
    </w:rPr>
  </w:style>
  <w:style w:type="character" w:customStyle="1" w:styleId="165">
    <w:name w:val="批注框文本 字符2"/>
    <w:semiHidden/>
    <w:qFormat/>
    <w:uiPriority w:val="99"/>
    <w:rPr>
      <w:rFonts w:ascii="Calibri" w:hAnsi="Calibri" w:eastAsia="宋体" w:cs="Times New Roman"/>
      <w:sz w:val="18"/>
      <w:szCs w:val="18"/>
    </w:rPr>
  </w:style>
  <w:style w:type="character" w:customStyle="1" w:styleId="166">
    <w:name w:val="纯文本 Char"/>
    <w:qFormat/>
    <w:uiPriority w:val="0"/>
    <w:rPr>
      <w:rFonts w:ascii="宋体" w:hAnsi="Courier New" w:eastAsia="宋体" w:cs="Times New Roman"/>
      <w:szCs w:val="21"/>
    </w:rPr>
  </w:style>
  <w:style w:type="character" w:customStyle="1" w:styleId="167">
    <w:name w:val="页脚 Char"/>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4140</Words>
  <Characters>23598</Characters>
  <Lines>196</Lines>
  <Paragraphs>55</Paragraphs>
  <ScaleCrop>false</ScaleCrop>
  <LinksUpToDate>false</LinksUpToDate>
  <CharactersWithSpaces>27683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2019-11-26T09:41:26Z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