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36"/>
          <w:szCs w:val="36"/>
          <w:u w:val="single"/>
          <w:lang w:eastAsia="zh-CN"/>
        </w:rPr>
        <w:t>户外吸烟室改造项目</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十一</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rPr>
        <w:t>第一章</w:t>
      </w:r>
      <w:r>
        <w:rPr>
          <w:rStyle w:val="56"/>
          <w:rFonts w:ascii="宋体" w:hAnsi="宋体" w:eastAsia="宋体"/>
        </w:rPr>
        <w:t xml:space="preserve"> </w:t>
      </w:r>
      <w:r>
        <w:rPr>
          <w:rStyle w:val="56"/>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rPr>
        <w:t>第二章</w:t>
      </w:r>
      <w:r>
        <w:rPr>
          <w:rStyle w:val="56"/>
          <w:rFonts w:ascii="宋体" w:hAnsi="宋体" w:eastAsia="宋体"/>
        </w:rPr>
        <w:t xml:space="preserve">  </w:t>
      </w:r>
      <w:r>
        <w:rPr>
          <w:rStyle w:val="5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rPr>
        <w:t>第三章</w:t>
      </w:r>
      <w:r>
        <w:rPr>
          <w:rStyle w:val="56"/>
          <w:rFonts w:ascii="宋体" w:hAnsi="宋体" w:eastAsia="宋体"/>
        </w:rPr>
        <w:t xml:space="preserve">  </w:t>
      </w:r>
      <w:r>
        <w:rPr>
          <w:rStyle w:val="56"/>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rPr>
        <w:t>第四章</w:t>
      </w:r>
      <w:r>
        <w:rPr>
          <w:rStyle w:val="56"/>
          <w:rFonts w:ascii="宋体" w:hAnsi="宋体" w:eastAsia="宋体"/>
        </w:rPr>
        <w:t xml:space="preserve">  </w:t>
      </w:r>
      <w:r>
        <w:rPr>
          <w:rStyle w:val="56"/>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rPr>
        <w:t>第五章</w:t>
      </w:r>
      <w:r>
        <w:rPr>
          <w:rStyle w:val="56"/>
          <w:rFonts w:ascii="宋体" w:hAnsi="宋体" w:eastAsia="宋体"/>
        </w:rPr>
        <w:t xml:space="preserve">  </w:t>
      </w:r>
      <w:r>
        <w:rPr>
          <w:rStyle w:val="56"/>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rPr>
        <w:t>第六章</w:t>
      </w:r>
      <w:r>
        <w:rPr>
          <w:rStyle w:val="56"/>
          <w:rFonts w:ascii="宋体" w:hAnsi="宋体" w:eastAsia="宋体"/>
        </w:rPr>
        <w:t xml:space="preserve">  </w:t>
      </w:r>
      <w:r>
        <w:rPr>
          <w:rStyle w:val="5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rPr>
        <w:t>第七章</w:t>
      </w:r>
      <w:r>
        <w:rPr>
          <w:rStyle w:val="56"/>
          <w:rFonts w:ascii="宋体" w:hAnsi="宋体" w:eastAsia="宋体"/>
        </w:rPr>
        <w:t xml:space="preserve">  </w:t>
      </w:r>
      <w:r>
        <w:rPr>
          <w:rStyle w:val="5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pStyle w:val="84"/>
        <w:widowControl/>
        <w:numPr>
          <w:numId w:val="0"/>
        </w:numPr>
        <w:snapToGrid w:val="0"/>
        <w:spacing w:line="360" w:lineRule="exact"/>
        <w:ind w:left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项目概况：本工程为</w:t>
      </w:r>
      <w:bookmarkStart w:id="179" w:name="_GoBack"/>
      <w:r>
        <w:rPr>
          <w:rFonts w:hint="eastAsia" w:ascii="宋体" w:hAnsi="宋体" w:cs="Arial"/>
          <w:kern w:val="0"/>
          <w:sz w:val="22"/>
          <w:szCs w:val="22"/>
        </w:rPr>
        <w:t>杭州萧山国际机场户外吸烟室改造项目</w:t>
      </w:r>
      <w:bookmarkEnd w:id="179"/>
      <w:r>
        <w:rPr>
          <w:rFonts w:hint="eastAsia" w:ascii="宋体" w:hAnsi="宋体" w:cs="Arial"/>
          <w:kern w:val="0"/>
          <w:sz w:val="22"/>
          <w:szCs w:val="22"/>
        </w:rPr>
        <w:t>，主要为T1户外吸烟室、国际中转区户外吸烟室、国际区户外吸烟室的墙面、顶面、地面的改造及装修范围内涉及的安装工程改造等。</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 详见招标图纸和工程量清单。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0分（北京时间）。投标文件在封口处加盖公章，并派专人于2019年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0分（北京时间）前送至杭州萧山国际机场翔越路综合服务楼园区招标中心，逾期无效；若采用投递（邮寄）方式的，请于2019年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投标联系人：贾思勰        联系电话： 0571-</w:t>
      </w:r>
      <w:r>
        <w:rPr>
          <w:rFonts w:ascii="宋体" w:hAnsi="宋体"/>
          <w:sz w:val="22"/>
          <w:szCs w:val="22"/>
        </w:rPr>
        <w:t>83837612</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招标监督人：阮周长         联系电话：0571-86662133</w:t>
      </w:r>
    </w:p>
    <w:p>
      <w:pPr>
        <w:pStyle w:val="51"/>
      </w:pPr>
      <w:r>
        <w:rPr>
          <w:rFonts w:hint="eastAsia" w:ascii="宋体" w:hAnsi="宋体"/>
          <w:bCs w:val="0"/>
          <w:sz w:val="22"/>
          <w:szCs w:val="22"/>
        </w:rPr>
        <w:t xml:space="preserve"> </w:t>
      </w:r>
      <w:r>
        <w:rPr>
          <w:rFonts w:ascii="宋体" w:hAnsi="宋体"/>
          <w:bCs w:val="0"/>
          <w:sz w:val="22"/>
          <w:szCs w:val="22"/>
        </w:rPr>
        <w:br w:type="page"/>
      </w:r>
      <w:r>
        <w:t>第</w:t>
      </w:r>
      <w:r>
        <w:rPr>
          <w:rFonts w:hint="eastAsia"/>
        </w:rPr>
        <w:t>二</w:t>
      </w:r>
      <w:r>
        <w:t>章  投标</w:t>
      </w:r>
      <w:r>
        <w:rPr>
          <w:rFonts w:hint="eastAsia"/>
        </w:rPr>
        <w:t>人须知</w:t>
      </w:r>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杭州萧山国际机场户外吸烟室改造项目改造工程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6</w:t>
            </w:r>
            <w:r>
              <w:rPr>
                <w:rFonts w:hint="eastAsia" w:ascii="宋体" w:hAnsi="宋体" w:cs="Calibri"/>
                <w:kern w:val="0"/>
                <w:sz w:val="22"/>
              </w:rPr>
              <w:t>日11：30前，以书面加盖公章的形式通过E-mail或传真提交给招标人（投标联系人:贾思勰，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杭州萧山国际机场户外吸烟室改造项目改造工程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p>
    <w:p>
      <w:pPr>
        <w:autoSpaceDE w:val="0"/>
        <w:autoSpaceDN w:val="0"/>
        <w:adjustRightInd w:val="0"/>
        <w:snapToGrid w:val="0"/>
        <w:spacing w:line="360" w:lineRule="exact"/>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7"/>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9"/>
    </w:p>
    <w:p>
      <w:pPr>
        <w:adjustRightInd w:val="0"/>
        <w:snapToGrid w:val="0"/>
        <w:spacing w:line="360" w:lineRule="exact"/>
        <w:ind w:firstLine="440"/>
        <w:rPr>
          <w:rFonts w:ascii="宋体" w:hAnsi="宋体" w:cs="Calibri"/>
          <w:color w:val="000000"/>
          <w:sz w:val="22"/>
          <w:highlight w:val="none"/>
        </w:rPr>
      </w:pPr>
      <w:r>
        <w:rPr>
          <w:rFonts w:ascii="宋体" w:hAnsi="宋体" w:cs="Calibri"/>
          <w:color w:val="000000"/>
          <w:sz w:val="22"/>
          <w:highlight w:val="none"/>
        </w:rPr>
        <w:t>本项目</w:t>
      </w:r>
      <w:r>
        <w:rPr>
          <w:rFonts w:hint="eastAsia" w:ascii="宋体" w:hAnsi="宋体" w:cs="Calibri"/>
          <w:color w:val="000000"/>
          <w:sz w:val="22"/>
          <w:highlight w:val="none"/>
        </w:rPr>
        <w:t>涉及到非主体、非关键性工作</w:t>
      </w:r>
      <w:r>
        <w:rPr>
          <w:rFonts w:ascii="宋体" w:hAnsi="宋体" w:cs="Calibri"/>
          <w:color w:val="000000"/>
          <w:sz w:val="22"/>
          <w:highlight w:val="none"/>
        </w:rPr>
        <w:t>允许分包。</w:t>
      </w:r>
    </w:p>
    <w:p>
      <w:pPr>
        <w:autoSpaceDE w:val="0"/>
        <w:autoSpaceDN w:val="0"/>
        <w:adjustRightInd w:val="0"/>
        <w:snapToGrid w:val="0"/>
        <w:spacing w:line="360" w:lineRule="exact"/>
        <w:rPr>
          <w:rFonts w:ascii="宋体" w:hAnsi="宋体" w:cs="Calibri"/>
          <w:b/>
          <w:bCs/>
          <w:kern w:val="0"/>
          <w:sz w:val="22"/>
        </w:rPr>
      </w:pPr>
      <w:bookmarkStart w:id="1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1" w:name="_Toc15241"/>
      <w:bookmarkStart w:id="12" w:name="_Toc143421657"/>
      <w:r>
        <w:rPr>
          <w:rFonts w:ascii="宋体" w:hAnsi="宋体" w:cs="Calibri"/>
          <w:b/>
          <w:bCs/>
          <w:kern w:val="0"/>
          <w:sz w:val="22"/>
        </w:rPr>
        <w:t>2.招标文件</w:t>
      </w:r>
      <w:bookmarkEnd w:id="11"/>
      <w:bookmarkEnd w:id="12"/>
    </w:p>
    <w:p>
      <w:pPr>
        <w:autoSpaceDE w:val="0"/>
        <w:autoSpaceDN w:val="0"/>
        <w:adjustRightInd w:val="0"/>
        <w:snapToGrid w:val="0"/>
        <w:spacing w:line="360" w:lineRule="exact"/>
        <w:rPr>
          <w:rFonts w:ascii="宋体" w:hAnsi="宋体" w:cs="Calibri"/>
          <w:b/>
          <w:bCs/>
          <w:kern w:val="0"/>
          <w:sz w:val="22"/>
        </w:rPr>
      </w:pPr>
      <w:bookmarkStart w:id="13" w:name="_Toc1426"/>
      <w:r>
        <w:rPr>
          <w:rFonts w:ascii="宋体" w:hAnsi="宋体" w:cs="Calibri"/>
          <w:b/>
          <w:bCs/>
          <w:kern w:val="0"/>
          <w:sz w:val="22"/>
        </w:rPr>
        <w:t>2.1 招标文件的组成</w:t>
      </w:r>
      <w:bookmarkEnd w:id="13"/>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4" w:name="_Toc18230"/>
      <w:r>
        <w:rPr>
          <w:rFonts w:ascii="宋体" w:hAnsi="宋体" w:cs="Calibri"/>
          <w:b/>
          <w:bCs/>
          <w:kern w:val="0"/>
          <w:sz w:val="22"/>
        </w:rPr>
        <w:t>2.2 招标文件的澄清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5" w:name="_Toc18303"/>
      <w:r>
        <w:rPr>
          <w:rFonts w:ascii="宋体" w:hAnsi="宋体" w:cs="Calibri"/>
          <w:b/>
          <w:bCs/>
          <w:kern w:val="0"/>
          <w:sz w:val="22"/>
        </w:rPr>
        <w:t>2.3 招标文件的修改</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16" w:name="_Toc143421658"/>
      <w:bookmarkStart w:id="17" w:name="_Toc18870"/>
      <w:r>
        <w:rPr>
          <w:rFonts w:ascii="宋体" w:hAnsi="宋体" w:cs="Calibri"/>
          <w:b/>
          <w:bCs/>
          <w:kern w:val="0"/>
          <w:sz w:val="22"/>
        </w:rPr>
        <w:t>3.投标文件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461"/>
      <w:r>
        <w:rPr>
          <w:rFonts w:ascii="宋体" w:hAnsi="宋体" w:cs="Calibri"/>
          <w:b/>
          <w:bCs/>
          <w:kern w:val="0"/>
          <w:sz w:val="22"/>
        </w:rPr>
        <w:t>3.1 投标文件的语言和计量单位</w:t>
      </w:r>
      <w:bookmarkEnd w:id="18"/>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19" w:name="_Toc1411"/>
      <w:r>
        <w:rPr>
          <w:rFonts w:ascii="宋体" w:hAnsi="宋体" w:cs="Calibri"/>
          <w:b/>
          <w:bCs/>
          <w:kern w:val="0"/>
          <w:sz w:val="22"/>
        </w:rPr>
        <w:t>3.2 投标文件的组成</w:t>
      </w:r>
      <w:bookmarkEnd w:id="19"/>
    </w:p>
    <w:p>
      <w:pPr>
        <w:adjustRightInd w:val="0"/>
        <w:snapToGrid w:val="0"/>
        <w:spacing w:line="360" w:lineRule="exact"/>
        <w:ind w:firstLine="440"/>
        <w:rPr>
          <w:rFonts w:ascii="宋体" w:hAnsi="宋体" w:cs="Calibri"/>
          <w:sz w:val="22"/>
        </w:rPr>
      </w:pPr>
      <w:bookmarkStart w:id="20"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0"/>
    </w:p>
    <w:p>
      <w:pPr>
        <w:adjustRightInd w:val="0"/>
        <w:snapToGrid w:val="0"/>
        <w:spacing w:line="360" w:lineRule="exact"/>
        <w:ind w:firstLine="440"/>
        <w:rPr>
          <w:rFonts w:ascii="宋体" w:hAnsi="宋体" w:cs="Arial"/>
          <w:sz w:val="22"/>
        </w:rPr>
      </w:pPr>
      <w:bookmarkStart w:id="21"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ascii="宋体" w:hAnsi="宋体" w:cs="宋体"/>
          <w:sz w:val="22"/>
          <w:u w:val="single"/>
        </w:rPr>
        <w:t xml:space="preserve"> /。</w:t>
      </w:r>
    </w:p>
    <w:p>
      <w:pPr>
        <w:adjustRightInd w:val="0"/>
        <w:snapToGrid w:val="0"/>
        <w:spacing w:line="360" w:lineRule="exact"/>
        <w:ind w:firstLine="440"/>
        <w:rPr>
          <w:rFonts w:ascii="宋体" w:hAnsi="宋体" w:cs="宋体"/>
          <w:sz w:val="22"/>
        </w:rPr>
      </w:pP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1"/>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2" w:name="_Toc30464"/>
      <w:r>
        <w:rPr>
          <w:rFonts w:ascii="宋体" w:hAnsi="宋体" w:cs="Calibri"/>
          <w:b/>
          <w:bCs/>
          <w:kern w:val="0"/>
          <w:sz w:val="22"/>
        </w:rPr>
        <w:t>3.5 投标保证金</w:t>
      </w:r>
      <w:bookmarkEnd w:id="2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3" w:name="_Toc29989"/>
      <w:r>
        <w:rPr>
          <w:rFonts w:ascii="宋体" w:hAnsi="宋体" w:cs="Calibri"/>
          <w:b/>
          <w:bCs/>
          <w:kern w:val="0"/>
          <w:sz w:val="22"/>
        </w:rPr>
        <w:t>3.6 投标文件的编制</w:t>
      </w:r>
      <w:bookmarkEnd w:id="23"/>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4" w:name="_Toc143421659"/>
    </w:p>
    <w:p>
      <w:pPr>
        <w:autoSpaceDE w:val="0"/>
        <w:autoSpaceDN w:val="0"/>
        <w:adjustRightInd w:val="0"/>
        <w:snapToGrid w:val="0"/>
        <w:spacing w:line="360" w:lineRule="exact"/>
        <w:rPr>
          <w:rFonts w:ascii="宋体" w:hAnsi="宋体" w:cs="Calibri"/>
          <w:b/>
          <w:bCs/>
          <w:kern w:val="0"/>
          <w:sz w:val="22"/>
        </w:rPr>
      </w:pPr>
      <w:bookmarkStart w:id="25" w:name="_Toc32652"/>
      <w:r>
        <w:rPr>
          <w:rFonts w:ascii="宋体" w:hAnsi="宋体" w:cs="Calibri"/>
          <w:b/>
          <w:bCs/>
          <w:kern w:val="0"/>
          <w:sz w:val="22"/>
        </w:rPr>
        <w:t>4.投标</w:t>
      </w:r>
      <w:bookmarkEnd w:id="24"/>
      <w:bookmarkEnd w:id="25"/>
    </w:p>
    <w:p>
      <w:pPr>
        <w:autoSpaceDE w:val="0"/>
        <w:autoSpaceDN w:val="0"/>
        <w:adjustRightInd w:val="0"/>
        <w:snapToGrid w:val="0"/>
        <w:spacing w:line="360" w:lineRule="exact"/>
        <w:rPr>
          <w:rFonts w:ascii="宋体" w:hAnsi="宋体" w:cs="Calibri"/>
          <w:b/>
          <w:bCs/>
          <w:kern w:val="0"/>
          <w:sz w:val="22"/>
        </w:rPr>
      </w:pPr>
      <w:bookmarkStart w:id="26" w:name="_Toc649"/>
      <w:r>
        <w:rPr>
          <w:rFonts w:ascii="宋体" w:hAnsi="宋体" w:cs="Calibri"/>
          <w:b/>
          <w:bCs/>
          <w:kern w:val="0"/>
          <w:sz w:val="22"/>
        </w:rPr>
        <w:t>4.1 投标文件的密封和标识</w:t>
      </w:r>
      <w:bookmarkEnd w:id="26"/>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7" w:name="_Toc16616"/>
      <w:r>
        <w:rPr>
          <w:rFonts w:ascii="宋体" w:hAnsi="宋体" w:cs="Calibri"/>
          <w:b/>
          <w:bCs/>
          <w:kern w:val="0"/>
          <w:sz w:val="22"/>
        </w:rPr>
        <w:t xml:space="preserve">4.2 投标文件的递交 </w:t>
      </w:r>
      <w:bookmarkEnd w:id="27"/>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8" w:name="_Toc26099"/>
      <w:r>
        <w:rPr>
          <w:rFonts w:ascii="宋体" w:hAnsi="宋体" w:cs="Calibri"/>
          <w:b/>
          <w:bCs/>
          <w:kern w:val="0"/>
          <w:sz w:val="22"/>
        </w:rPr>
        <w:t>4.3 投标文件的修改和撤回</w:t>
      </w:r>
      <w:bookmarkEnd w:id="28"/>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29" w:name="_Toc29641"/>
      <w:r>
        <w:rPr>
          <w:rFonts w:ascii="宋体" w:hAnsi="宋体" w:cs="Calibri"/>
          <w:b/>
          <w:bCs/>
          <w:kern w:val="0"/>
          <w:sz w:val="22"/>
        </w:rPr>
        <w:t>5.开标</w:t>
      </w:r>
      <w:bookmarkEnd w:id="29"/>
    </w:p>
    <w:p>
      <w:pPr>
        <w:autoSpaceDE w:val="0"/>
        <w:autoSpaceDN w:val="0"/>
        <w:adjustRightInd w:val="0"/>
        <w:snapToGrid w:val="0"/>
        <w:spacing w:line="360" w:lineRule="exact"/>
        <w:rPr>
          <w:rFonts w:ascii="宋体" w:hAnsi="宋体" w:cs="Calibri"/>
          <w:b/>
          <w:bCs/>
          <w:kern w:val="0"/>
          <w:sz w:val="22"/>
        </w:rPr>
      </w:pPr>
      <w:bookmarkStart w:id="30" w:name="_Toc15123"/>
      <w:r>
        <w:rPr>
          <w:rFonts w:ascii="宋体" w:hAnsi="宋体" w:cs="Calibri"/>
          <w:b/>
          <w:bCs/>
          <w:kern w:val="0"/>
          <w:sz w:val="22"/>
        </w:rPr>
        <w:t>5.1 开标时间和地点</w:t>
      </w:r>
      <w:bookmarkEnd w:id="30"/>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1" w:name="_Toc7101"/>
      <w:r>
        <w:rPr>
          <w:rFonts w:ascii="宋体" w:hAnsi="宋体" w:cs="Calibri"/>
          <w:b/>
          <w:bCs/>
          <w:kern w:val="0"/>
          <w:sz w:val="22"/>
        </w:rPr>
        <w:t>5.2 开标程序</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2" w:name="_Toc31578"/>
      <w:r>
        <w:rPr>
          <w:rFonts w:ascii="宋体" w:hAnsi="宋体" w:cs="Calibri"/>
          <w:b/>
          <w:bCs/>
          <w:kern w:val="0"/>
          <w:sz w:val="22"/>
        </w:rPr>
        <w:t>6.评标</w:t>
      </w:r>
      <w:bookmarkEnd w:id="32"/>
    </w:p>
    <w:p>
      <w:pPr>
        <w:autoSpaceDE w:val="0"/>
        <w:autoSpaceDN w:val="0"/>
        <w:adjustRightInd w:val="0"/>
        <w:snapToGrid w:val="0"/>
        <w:spacing w:line="360" w:lineRule="exact"/>
        <w:rPr>
          <w:rFonts w:ascii="宋体" w:hAnsi="宋体" w:cs="Calibri"/>
          <w:b/>
          <w:bCs/>
          <w:kern w:val="0"/>
          <w:sz w:val="22"/>
        </w:rPr>
      </w:pPr>
      <w:bookmarkStart w:id="33" w:name="_Toc10279"/>
      <w:r>
        <w:rPr>
          <w:rFonts w:ascii="宋体" w:hAnsi="宋体" w:cs="Calibri"/>
          <w:b/>
          <w:bCs/>
          <w:kern w:val="0"/>
          <w:sz w:val="22"/>
        </w:rPr>
        <w:t>6.1 评标委员会</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4" w:name="_Toc3460"/>
      <w:r>
        <w:rPr>
          <w:rFonts w:ascii="宋体" w:hAnsi="宋体" w:cs="Calibri"/>
          <w:b/>
          <w:bCs/>
          <w:kern w:val="0"/>
          <w:sz w:val="22"/>
        </w:rPr>
        <w:t>6.2 评标原则</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5" w:name="_Toc28178"/>
      <w:r>
        <w:rPr>
          <w:rFonts w:ascii="宋体" w:hAnsi="宋体" w:cs="Calibri"/>
          <w:b/>
          <w:bCs/>
          <w:kern w:val="0"/>
          <w:sz w:val="22"/>
        </w:rPr>
        <w:t>6.3 评标</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6" w:name="_Toc24237"/>
      <w:r>
        <w:rPr>
          <w:rFonts w:ascii="宋体" w:hAnsi="宋体" w:cs="Calibri"/>
          <w:b/>
          <w:bCs/>
          <w:kern w:val="0"/>
          <w:sz w:val="22"/>
        </w:rPr>
        <w:t>7.合同授予</w:t>
      </w:r>
      <w:bookmarkEnd w:id="36"/>
    </w:p>
    <w:p>
      <w:pPr>
        <w:autoSpaceDE w:val="0"/>
        <w:autoSpaceDN w:val="0"/>
        <w:adjustRightInd w:val="0"/>
        <w:snapToGrid w:val="0"/>
        <w:spacing w:line="360" w:lineRule="exact"/>
        <w:rPr>
          <w:rFonts w:ascii="宋体" w:hAnsi="宋体" w:cs="Calibri"/>
          <w:b/>
          <w:bCs/>
          <w:kern w:val="0"/>
          <w:sz w:val="22"/>
        </w:rPr>
      </w:pPr>
      <w:bookmarkStart w:id="37" w:name="_Toc18809"/>
      <w:r>
        <w:rPr>
          <w:rFonts w:ascii="宋体" w:hAnsi="宋体" w:cs="Calibri"/>
          <w:b/>
          <w:bCs/>
          <w:kern w:val="0"/>
          <w:sz w:val="22"/>
        </w:rPr>
        <w:t>7.1 定标方式</w:t>
      </w:r>
      <w:bookmarkEnd w:id="37"/>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38" w:name="_Toc14573"/>
      <w:r>
        <w:rPr>
          <w:rFonts w:ascii="宋体" w:hAnsi="宋体" w:cs="Calibri"/>
          <w:b/>
          <w:bCs/>
          <w:kern w:val="0"/>
          <w:sz w:val="22"/>
        </w:rPr>
        <w:t>7.2 中标通知</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39" w:name="_Toc27132"/>
      <w:r>
        <w:rPr>
          <w:rFonts w:ascii="宋体" w:hAnsi="宋体" w:cs="Calibri"/>
          <w:b/>
          <w:bCs/>
          <w:kern w:val="0"/>
          <w:sz w:val="22"/>
        </w:rPr>
        <w:t>7.3 履约</w:t>
      </w:r>
      <w:r>
        <w:rPr>
          <w:rFonts w:hint="eastAsia" w:ascii="宋体" w:hAnsi="宋体" w:cs="Calibri"/>
          <w:b/>
          <w:bCs/>
          <w:kern w:val="0"/>
          <w:sz w:val="22"/>
        </w:rPr>
        <w:t>保证金</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0" w:name="_Toc27581"/>
      <w:r>
        <w:rPr>
          <w:rFonts w:ascii="宋体" w:hAnsi="宋体" w:cs="Calibri"/>
          <w:b/>
          <w:bCs/>
          <w:kern w:val="0"/>
          <w:sz w:val="22"/>
        </w:rPr>
        <w:t>7.4 签订合同</w:t>
      </w:r>
      <w:bookmarkEnd w:id="40"/>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1" w:name="_Toc11806"/>
      <w:bookmarkStart w:id="42" w:name="_Toc220123241"/>
      <w:bookmarkStart w:id="43"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1"/>
      <w:bookmarkEnd w:id="42"/>
      <w:bookmarkEnd w:id="43"/>
    </w:p>
    <w:p>
      <w:pPr>
        <w:autoSpaceDE w:val="0"/>
        <w:autoSpaceDN w:val="0"/>
        <w:adjustRightInd w:val="0"/>
        <w:snapToGrid w:val="0"/>
        <w:spacing w:line="360" w:lineRule="exact"/>
        <w:rPr>
          <w:rFonts w:ascii="宋体" w:hAnsi="宋体" w:cs="Calibri"/>
          <w:b/>
          <w:bCs/>
          <w:kern w:val="0"/>
          <w:sz w:val="22"/>
        </w:rPr>
      </w:pPr>
      <w:bookmarkStart w:id="44" w:name="_Toc220123242"/>
      <w:bookmarkStart w:id="45" w:name="_Toc15553"/>
      <w:bookmarkStart w:id="46" w:name="_Toc219809802"/>
      <w:r>
        <w:rPr>
          <w:rFonts w:ascii="宋体" w:hAnsi="宋体" w:cs="Calibri"/>
          <w:b/>
          <w:bCs/>
          <w:kern w:val="0"/>
          <w:sz w:val="22"/>
        </w:rPr>
        <w:t>8.1 重新招标</w:t>
      </w:r>
      <w:bookmarkEnd w:id="44"/>
      <w:bookmarkEnd w:id="45"/>
      <w:bookmarkEnd w:id="4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7" w:name="_Toc219809803"/>
      <w:bookmarkStart w:id="48" w:name="_Toc220123243"/>
      <w:bookmarkStart w:id="49" w:name="_Toc18806"/>
      <w:r>
        <w:rPr>
          <w:rFonts w:ascii="宋体" w:hAnsi="宋体" w:cs="Calibri"/>
          <w:b/>
          <w:bCs/>
          <w:kern w:val="0"/>
          <w:sz w:val="22"/>
        </w:rPr>
        <w:t>8.2 不再招标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0" w:name="_Toc220123244"/>
      <w:bookmarkStart w:id="51" w:name="_Toc215941254"/>
      <w:bookmarkStart w:id="52" w:name="_Toc2986"/>
      <w:bookmarkStart w:id="53" w:name="_Toc219809804"/>
      <w:r>
        <w:rPr>
          <w:rFonts w:ascii="宋体" w:hAnsi="宋体" w:cs="Calibri"/>
          <w:b/>
          <w:bCs/>
          <w:kern w:val="0"/>
          <w:sz w:val="22"/>
        </w:rPr>
        <w:t>9.纪律和监督</w:t>
      </w:r>
      <w:bookmarkEnd w:id="50"/>
      <w:bookmarkEnd w:id="51"/>
      <w:bookmarkEnd w:id="52"/>
      <w:bookmarkEnd w:id="53"/>
    </w:p>
    <w:p>
      <w:pPr>
        <w:autoSpaceDE w:val="0"/>
        <w:autoSpaceDN w:val="0"/>
        <w:adjustRightInd w:val="0"/>
        <w:snapToGrid w:val="0"/>
        <w:spacing w:line="360" w:lineRule="exact"/>
        <w:rPr>
          <w:rFonts w:ascii="宋体" w:hAnsi="宋体" w:cs="Calibri"/>
          <w:b/>
          <w:bCs/>
          <w:kern w:val="0"/>
          <w:sz w:val="22"/>
        </w:rPr>
      </w:pPr>
      <w:bookmarkStart w:id="54" w:name="_Toc219809805"/>
      <w:bookmarkStart w:id="55" w:name="_Toc5509"/>
      <w:bookmarkStart w:id="56" w:name="_Toc220123245"/>
      <w:r>
        <w:rPr>
          <w:rFonts w:ascii="宋体" w:hAnsi="宋体" w:cs="Calibri"/>
          <w:b/>
          <w:bCs/>
          <w:kern w:val="0"/>
          <w:sz w:val="22"/>
        </w:rPr>
        <w:t>9.1 对招标人的纪律要求</w:t>
      </w:r>
      <w:bookmarkEnd w:id="54"/>
      <w:bookmarkEnd w:id="55"/>
      <w:bookmarkEnd w:id="5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7" w:name="_Toc220123246"/>
      <w:bookmarkStart w:id="58" w:name="_Toc219809806"/>
      <w:bookmarkStart w:id="59" w:name="_Toc10820"/>
      <w:r>
        <w:rPr>
          <w:rFonts w:ascii="宋体" w:hAnsi="宋体" w:cs="Calibri"/>
          <w:b/>
          <w:bCs/>
          <w:kern w:val="0"/>
          <w:sz w:val="22"/>
        </w:rPr>
        <w:t>9.2 对投标人的纪律要求</w:t>
      </w:r>
      <w:bookmarkEnd w:id="57"/>
      <w:bookmarkEnd w:id="58"/>
      <w:bookmarkEnd w:id="5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0" w:name="_Toc10756"/>
      <w:bookmarkStart w:id="61" w:name="_Toc219809807"/>
      <w:bookmarkStart w:id="62" w:name="_Toc220123247"/>
      <w:r>
        <w:rPr>
          <w:rFonts w:ascii="宋体" w:hAnsi="宋体" w:cs="Calibri"/>
          <w:b/>
          <w:bCs/>
          <w:kern w:val="0"/>
          <w:sz w:val="22"/>
        </w:rPr>
        <w:t>9.3 对评标委员会成员的纪律要求</w:t>
      </w:r>
      <w:bookmarkEnd w:id="60"/>
      <w:bookmarkEnd w:id="61"/>
      <w:bookmarkEnd w:id="6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3" w:name="_Toc12792"/>
      <w:bookmarkStart w:id="64" w:name="_Toc220123248"/>
      <w:bookmarkStart w:id="65" w:name="_Toc219809808"/>
      <w:r>
        <w:rPr>
          <w:rFonts w:ascii="宋体" w:hAnsi="宋体" w:cs="Calibri"/>
          <w:b/>
          <w:bCs/>
          <w:kern w:val="0"/>
          <w:sz w:val="22"/>
        </w:rPr>
        <w:t>9.4 对评标活动有关的工作人员的纪律要求</w:t>
      </w:r>
      <w:bookmarkEnd w:id="63"/>
      <w:bookmarkEnd w:id="64"/>
      <w:bookmarkEnd w:id="6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6" w:name="_Toc219809809"/>
      <w:bookmarkStart w:id="67" w:name="_Toc220123249"/>
      <w:bookmarkStart w:id="68" w:name="_Toc239"/>
      <w:r>
        <w:rPr>
          <w:rFonts w:ascii="宋体" w:hAnsi="宋体" w:cs="Calibri"/>
          <w:b/>
          <w:bCs/>
          <w:kern w:val="0"/>
          <w:sz w:val="22"/>
        </w:rPr>
        <w:t>9.5 投诉</w:t>
      </w:r>
      <w:bookmarkEnd w:id="66"/>
      <w:bookmarkEnd w:id="67"/>
      <w:bookmarkEnd w:id="6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69" w:name="_Toc10817"/>
      <w:r>
        <w:rPr>
          <w:rFonts w:ascii="宋体" w:hAnsi="宋体" w:cs="Calibri"/>
          <w:b/>
          <w:bCs/>
          <w:kern w:val="0"/>
          <w:sz w:val="22"/>
        </w:rPr>
        <w:t>10. 需要补充的其他内容</w:t>
      </w:r>
      <w:bookmarkEnd w:id="69"/>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0" w:name="_Toc450630559"/>
      <w:r>
        <w:t>第</w:t>
      </w:r>
      <w:r>
        <w:rPr>
          <w:rFonts w:hint="eastAsia"/>
        </w:rPr>
        <w:t>三</w:t>
      </w:r>
      <w:r>
        <w:t xml:space="preserve">章  </w:t>
      </w:r>
      <w:r>
        <w:rPr>
          <w:rFonts w:hint="eastAsia"/>
        </w:rPr>
        <w:t>合同条款及格式</w:t>
      </w:r>
      <w:bookmarkEnd w:id="70"/>
    </w:p>
    <w:p>
      <w:pPr>
        <w:keepNext/>
        <w:keepLines/>
        <w:spacing w:before="120" w:after="120" w:line="400" w:lineRule="exact"/>
        <w:ind w:right="-16"/>
        <w:jc w:val="center"/>
        <w:outlineLvl w:val="0"/>
        <w:rPr>
          <w:rFonts w:ascii="宋体" w:hAnsi="宋体" w:cs="宋体"/>
          <w:b/>
          <w:sz w:val="28"/>
          <w:szCs w:val="20"/>
        </w:rPr>
      </w:pPr>
      <w:bookmarkStart w:id="71" w:name="_Toc448097405"/>
      <w:bookmarkStart w:id="72" w:name="_Toc450630560"/>
      <w:r>
        <w:rPr>
          <w:rFonts w:hint="eastAsia" w:ascii="宋体" w:hAnsi="宋体" w:cs="宋体"/>
          <w:b/>
          <w:sz w:val="28"/>
          <w:szCs w:val="20"/>
        </w:rPr>
        <w:t>第一部分  合同协议书</w:t>
      </w:r>
      <w:bookmarkEnd w:id="71"/>
      <w:bookmarkEnd w:id="72"/>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lang w:eastAsia="zh-CN"/>
        </w:rPr>
        <w:t>杭州萧山国际机场户外吸烟室改造项目改造工程</w:t>
      </w:r>
      <w:r>
        <w:rPr>
          <w:rFonts w:hint="eastAsia" w:ascii="宋体" w:hAnsi="宋体"/>
          <w:sz w:val="22"/>
          <w:szCs w:val="22"/>
        </w:rPr>
        <w:t>，已接受</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lang w:eastAsia="zh-CN"/>
        </w:rPr>
        <w:t>】</w:t>
      </w:r>
      <w:r>
        <w:rPr>
          <w:rFonts w:hint="eastAsia" w:ascii="宋体" w:hAnsi="宋体"/>
          <w:sz w:val="22"/>
          <w:szCs w:val="22"/>
        </w:rPr>
        <w:t>（以下简称“承包人”）对该项目施工的投标。发包人和承包人共同达成如下协议。</w:t>
      </w:r>
    </w:p>
    <w:p>
      <w:pPr>
        <w:spacing w:line="400" w:lineRule="exact"/>
        <w:ind w:firstLine="440" w:firstLineChars="200"/>
        <w:rPr>
          <w:rFonts w:ascii="宋体" w:hAnsi="宋体"/>
          <w:sz w:val="22"/>
          <w:szCs w:val="22"/>
        </w:rPr>
      </w:pPr>
      <w:bookmarkStart w:id="73" w:name="_Toc152042548"/>
      <w:bookmarkStart w:id="74" w:name="_Toc144974828"/>
      <w:r>
        <w:rPr>
          <w:rFonts w:hint="eastAsia" w:ascii="宋体" w:hAnsi="宋体"/>
          <w:sz w:val="22"/>
          <w:szCs w:val="22"/>
        </w:rPr>
        <w:t>1. 本协议书与下列文件一起构成合同文件：</w:t>
      </w:r>
      <w:bookmarkEnd w:id="73"/>
      <w:bookmarkEnd w:id="74"/>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75" w:name="_Toc144974829"/>
      <w:bookmarkStart w:id="76" w:name="_Toc152042549"/>
      <w:r>
        <w:rPr>
          <w:rFonts w:hint="eastAsia" w:ascii="宋体" w:hAnsi="宋体"/>
          <w:sz w:val="22"/>
          <w:szCs w:val="22"/>
        </w:rPr>
        <w:t>2. 上述文件互相补充和解释，如有不明确或不一致之处，以合同约定次序在先者为准。</w:t>
      </w:r>
      <w:bookmarkEnd w:id="75"/>
      <w:bookmarkEnd w:id="76"/>
    </w:p>
    <w:p>
      <w:pPr>
        <w:spacing w:line="400" w:lineRule="exact"/>
        <w:ind w:firstLine="440" w:firstLineChars="200"/>
        <w:rPr>
          <w:rFonts w:ascii="宋体" w:hAnsi="宋体"/>
          <w:sz w:val="22"/>
          <w:szCs w:val="22"/>
        </w:rPr>
      </w:pPr>
      <w:r>
        <w:rPr>
          <w:rFonts w:hint="eastAsia" w:ascii="宋体" w:hAnsi="宋体"/>
          <w:sz w:val="22"/>
          <w:szCs w:val="22"/>
        </w:rPr>
        <w:t xml:space="preserve">3. </w:t>
      </w:r>
      <w:r>
        <w:rPr>
          <w:rFonts w:hint="eastAsia" w:ascii="宋体" w:hAnsi="宋体"/>
          <w:sz w:val="22"/>
          <w:szCs w:val="22"/>
          <w:lang w:eastAsia="zh-CN"/>
        </w:rPr>
        <w:t>本合同属于固定单价合同，</w:t>
      </w:r>
      <w:r>
        <w:rPr>
          <w:rFonts w:hint="eastAsia" w:ascii="宋体" w:hAnsi="宋体"/>
          <w:sz w:val="22"/>
          <w:szCs w:val="22"/>
        </w:rPr>
        <w:t>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r>
        <w:rPr>
          <w:rFonts w:hint="eastAsia" w:ascii="宋体" w:hAnsi="宋体"/>
          <w:sz w:val="22"/>
          <w:szCs w:val="22"/>
          <w:lang w:val="en-US" w:eastAsia="zh-CN"/>
        </w:rPr>
        <w:t xml:space="preserve">      ，身份证号：     </w:t>
      </w:r>
      <w:r>
        <w:rPr>
          <w:rFonts w:hint="eastAsia" w:ascii="宋体" w:hAnsi="宋体"/>
          <w:sz w:val="22"/>
          <w:szCs w:val="22"/>
        </w:rPr>
        <w:t>。</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w:t>
      </w:r>
      <w:r>
        <w:rPr>
          <w:rFonts w:hint="eastAsia" w:ascii="宋体" w:hAnsi="宋体"/>
          <w:sz w:val="22"/>
          <w:szCs w:val="22"/>
          <w:lang w:eastAsia="zh-CN"/>
        </w:rPr>
        <w:t>预计开工时间为【】年【】月【】日，</w:t>
      </w:r>
      <w:r>
        <w:rPr>
          <w:rFonts w:hint="eastAsia" w:ascii="宋体" w:hAnsi="宋体"/>
          <w:sz w:val="22"/>
          <w:szCs w:val="22"/>
        </w:rPr>
        <w:t>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77" w:name="_Toc144974830"/>
      <w:bookmarkStart w:id="78" w:name="_Toc152042550"/>
      <w:r>
        <w:rPr>
          <w:rFonts w:hint="eastAsia" w:ascii="宋体" w:hAnsi="宋体"/>
          <w:sz w:val="22"/>
          <w:szCs w:val="22"/>
        </w:rPr>
        <w:t>10. 合同未尽事宜，双方另行签订补充协议。补充协议是合同的组成部分。</w:t>
      </w:r>
      <w:bookmarkEnd w:id="77"/>
      <w:bookmarkEnd w:id="78"/>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79" w:name="_Toc450630561"/>
      <w:bookmarkStart w:id="80" w:name="_Toc375636693"/>
      <w:bookmarkStart w:id="81" w:name="_Toc448097406"/>
      <w:bookmarkStart w:id="82" w:name="_Toc246392119"/>
      <w:bookmarkStart w:id="83" w:name="_Toc375636694"/>
      <w:bookmarkStart w:id="84" w:name="_Toc144974736"/>
      <w:bookmarkStart w:id="85" w:name="_Toc152045766"/>
      <w:bookmarkStart w:id="86" w:name="_Toc152042545"/>
      <w:r>
        <w:rPr>
          <w:rFonts w:hint="eastAsia" w:ascii="宋体" w:hAnsi="宋体" w:cs="宋体"/>
          <w:b/>
          <w:sz w:val="28"/>
          <w:szCs w:val="20"/>
        </w:rPr>
        <w:t>第二部分  通用合同条款</w:t>
      </w:r>
      <w:bookmarkEnd w:id="79"/>
      <w:bookmarkEnd w:id="80"/>
      <w:bookmarkEnd w:id="81"/>
      <w:bookmarkEnd w:id="82"/>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3"/>
    </w:p>
    <w:bookmarkEnd w:id="84"/>
    <w:bookmarkEnd w:id="85"/>
    <w:bookmarkEnd w:id="86"/>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hint="eastAsia"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hint="eastAsia" w:ascii="宋体" w:hAnsi="宋体" w:eastAsia="宋体" w:cs="宋体"/>
          <w:sz w:val="22"/>
          <w:lang w:val="en-US" w:eastAsia="zh-CN"/>
        </w:rPr>
      </w:pPr>
      <w:r>
        <w:rPr>
          <w:rFonts w:hint="eastAsia" w:ascii="宋体" w:hAnsi="宋体" w:cs="宋体"/>
          <w:sz w:val="22"/>
          <w:lang w:val="en-US" w:eastAsia="zh-CN"/>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履约担保包括以下类别：工期担保、质量担保、人员及设备到位率担保以及安全文明施工、治安、交通及机场空防安全担保等，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合同价款中包括的风险范围：a、分部分项工程量清单项目综合单价所包含的工程内容；b、分部分项工程量清单项目工程量增减在</w:t>
      </w:r>
      <w:r>
        <w:rPr>
          <w:rFonts w:hint="eastAsia" w:ascii="宋体" w:hAnsi="宋体" w:cs="宋体"/>
          <w:sz w:val="22"/>
          <w:szCs w:val="22"/>
          <w:lang w:val="en-US" w:eastAsia="zh-CN"/>
        </w:rPr>
        <w:t>5</w:t>
      </w:r>
      <w:r>
        <w:rPr>
          <w:rFonts w:hint="eastAsia" w:ascii="宋体" w:hAnsi="宋体" w:cs="宋体"/>
          <w:sz w:val="22"/>
          <w:szCs w:val="22"/>
        </w:rPr>
        <w:t>%（含</w:t>
      </w:r>
      <w:r>
        <w:rPr>
          <w:rFonts w:hint="eastAsia" w:ascii="宋体" w:hAnsi="宋体" w:cs="宋体"/>
          <w:sz w:val="22"/>
          <w:szCs w:val="22"/>
          <w:lang w:val="en-US" w:eastAsia="zh-CN"/>
        </w:rPr>
        <w:t>5</w:t>
      </w:r>
      <w:r>
        <w:rPr>
          <w:rFonts w:hint="eastAsia" w:ascii="宋体" w:hAnsi="宋体" w:cs="宋体"/>
          <w:sz w:val="22"/>
          <w:szCs w:val="22"/>
        </w:rPr>
        <w:t>%）范围内的；c、合同执行期内，投标人工、材料的市场变化；d、合同执行期内，施工临时停电、停水或因机场运营需要造成的连续8小时内的停工；e、合同执行期内，因承包人原因造成停工、窝工；f、合同执行期内可能发生的其他费用，包括市政、市容、环保、治安等；g、施工技术措施费项目、施工组织措施费项目一次性包干，不予调整。</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w:t>
      </w:r>
      <w:r>
        <w:rPr>
          <w:rFonts w:hint="eastAsia" w:ascii="宋体" w:hAnsi="宋体" w:cs="宋体"/>
          <w:sz w:val="22"/>
          <w:szCs w:val="22"/>
        </w:rPr>
        <w:t>工程实施过程中，分部分项工程量清单项目工程量增减超出</w:t>
      </w:r>
      <w:r>
        <w:rPr>
          <w:rFonts w:hint="eastAsia" w:ascii="宋体" w:hAnsi="宋体" w:cs="宋体"/>
          <w:sz w:val="22"/>
          <w:szCs w:val="22"/>
          <w:lang w:val="en-US" w:eastAsia="zh-CN"/>
        </w:rPr>
        <w:t>5</w:t>
      </w:r>
      <w:r>
        <w:rPr>
          <w:rFonts w:hint="eastAsia" w:ascii="宋体" w:hAnsi="宋体" w:cs="宋体"/>
          <w:sz w:val="22"/>
          <w:szCs w:val="22"/>
        </w:rPr>
        <w:t>%时，超出±</w:t>
      </w:r>
      <w:r>
        <w:rPr>
          <w:rFonts w:hint="eastAsia" w:ascii="宋体" w:hAnsi="宋体" w:cs="宋体"/>
          <w:sz w:val="22"/>
          <w:szCs w:val="22"/>
          <w:lang w:val="en-US" w:eastAsia="zh-CN"/>
        </w:rPr>
        <w:t>5</w:t>
      </w:r>
      <w:r>
        <w:rPr>
          <w:rFonts w:hint="eastAsia" w:ascii="宋体" w:hAnsi="宋体" w:cs="宋体"/>
          <w:sz w:val="22"/>
          <w:szCs w:val="22"/>
        </w:rPr>
        <w:t>%部分工程量其单价执行原投标综合单价，并按投标口径计取规费和税金，不再计其他任何费用（16.3.2.2（5）约定的费用调整除外），在结算价中予以增加或减少。</w:t>
      </w:r>
    </w:p>
    <w:p>
      <w:pPr>
        <w:spacing w:line="360" w:lineRule="exact"/>
        <w:ind w:firstLine="440" w:firstLineChars="200"/>
        <w:rPr>
          <w:rFonts w:ascii="宋体" w:hAnsi="宋体" w:cs="宋体"/>
          <w:sz w:val="22"/>
          <w:szCs w:val="22"/>
        </w:rPr>
      </w:pPr>
      <w:r>
        <w:rPr>
          <w:rFonts w:ascii="宋体" w:hAnsi="宋体" w:cs="宋体"/>
          <w:sz w:val="22"/>
          <w:szCs w:val="22"/>
        </w:rPr>
        <w:t>16.3.2.</w:t>
      </w:r>
      <w:r>
        <w:rPr>
          <w:rFonts w:hint="eastAsia" w:ascii="宋体" w:hAnsi="宋体" w:cs="宋体"/>
          <w:sz w:val="22"/>
          <w:szCs w:val="22"/>
          <w:lang w:val="en-US" w:eastAsia="zh-CN"/>
        </w:rPr>
        <w:t>2</w:t>
      </w:r>
      <w:r>
        <w:rPr>
          <w:rFonts w:hint="eastAsia" w:ascii="宋体" w:hAnsi="宋体" w:cs="宋体"/>
          <w:sz w:val="22"/>
          <w:szCs w:val="22"/>
        </w:rPr>
        <w:t>若合价金额占合同价2%及以上的分部分项清单项目，其工程量增减超过本项目招标工程量清单数量15%及以上时，工程量按现行国标清单计价规则按实计算，其综合单价按以下规定重新计算：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工程竣工后，甲方委托第三方造价咨询单位按规定进行工程结算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履约保证金不足以支付违约金的，发包人有权直接在工程款中扣除。</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w:t>
      </w:r>
      <w:r>
        <w:rPr>
          <w:rFonts w:hint="eastAsia" w:ascii="宋体" w:hAnsi="宋体" w:cs="宋体"/>
          <w:sz w:val="22"/>
          <w:lang w:eastAsia="zh-CN"/>
        </w:rPr>
        <w:t>工程所在地的人民法院起诉，工程所在地为杭州萧山国际机场内</w:t>
      </w:r>
      <w:r>
        <w:rPr>
          <w:rFonts w:hint="eastAsia" w:ascii="宋体" w:hAnsi="宋体" w:cs="宋体"/>
          <w:sz w:val="22"/>
        </w:rPr>
        <w:t>。</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lang w:val="en-US" w:eastAsia="zh-CN"/>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lang w:val="en-US" w:eastAsia="zh-CN"/>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lang w:val="en-US" w:eastAsia="zh-CN"/>
        </w:rPr>
        <w:t>33%</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lang w:val="en-US" w:eastAsia="zh-CN"/>
        </w:rPr>
        <w:t>33%</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lang w:eastAsia="zh-CN"/>
        </w:rPr>
        <w:t>杭州萧山国际机场户外吸烟室改造项目改造工程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lang w:eastAsia="zh-CN"/>
        </w:rPr>
        <w:t>杭州萧山国际机场户外吸烟室改造项目改造工程</w:t>
      </w:r>
      <w:r>
        <w:rPr>
          <w:rFonts w:hint="eastAsia" w:ascii="宋体" w:hAnsi="宋体" w:cs="宋体"/>
          <w:sz w:val="22"/>
        </w:rPr>
        <w:t>施工内容</w:t>
      </w:r>
      <w:r>
        <w:rPr>
          <w:rFonts w:hint="eastAsia" w:ascii="宋体" w:hAnsi="宋体" w:cs="宋体"/>
          <w:sz w:val="22"/>
          <w:lang w:eastAsia="zh-CN"/>
        </w:rPr>
        <w:t>范围</w:t>
      </w:r>
      <w:r>
        <w:rPr>
          <w:rFonts w:hint="eastAsia" w:ascii="宋体" w:hAnsi="宋体" w:cs="宋体"/>
          <w:sz w:val="22"/>
        </w:rPr>
        <w:t>。</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lang w:eastAsia="zh-CN"/>
        </w:rPr>
        <w:t>杭州萧山国际机场户外吸烟室改造项目改造工程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五、本协议书附于《施工合同》后，盖章后生效。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jc w:val="center"/>
      </w:pPr>
      <w:bookmarkStart w:id="87" w:name="_Toc450630562"/>
      <w:r>
        <w:rPr>
          <w:rFonts w:hint="eastAsia"/>
        </w:rPr>
        <w:t>第四章  工程量清单</w:t>
      </w:r>
      <w:bookmarkEnd w:id="87"/>
    </w:p>
    <w:p>
      <w:pPr>
        <w:widowControl/>
        <w:jc w:val="left"/>
        <w:rPr>
          <w:rFonts w:hint="eastAsia" w:eastAsia="黑体" w:cs="Times New Roman"/>
          <w:b/>
          <w:bCs/>
          <w:kern w:val="0"/>
          <w:sz w:val="32"/>
          <w:szCs w:val="32"/>
        </w:rPr>
      </w:pPr>
    </w:p>
    <w:p>
      <w:pPr>
        <w:widowControl/>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详见附件《工程量清单》</w:t>
      </w: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pStyle w:val="51"/>
      </w:pPr>
      <w:bookmarkStart w:id="88" w:name="_Toc450630563"/>
      <w:r>
        <w:rPr>
          <w:rFonts w:hint="eastAsia"/>
        </w:rPr>
        <w:t xml:space="preserve">第五章  </w:t>
      </w:r>
      <w:bookmarkEnd w:id="88"/>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89" w:name="_Toc408367761"/>
      <w:bookmarkStart w:id="90" w:name="_Toc175643531"/>
      <w:bookmarkStart w:id="91"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89"/>
    <w:bookmarkEnd w:id="90"/>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b/>
          <w:bCs/>
          <w:sz w:val="22"/>
          <w:szCs w:val="22"/>
        </w:rPr>
      </w:pPr>
      <w:r>
        <w:rPr>
          <w:rFonts w:hint="eastAsia" w:hAnsi="宋体"/>
          <w:sz w:val="22"/>
          <w:szCs w:val="22"/>
        </w:rPr>
        <w:t>1、详见工程量清单和招标图纸要求</w:t>
      </w:r>
      <w:r>
        <w:rPr>
          <w:rFonts w:hint="eastAsia" w:hAnsi="宋体"/>
          <w:b/>
          <w:bCs/>
          <w:sz w:val="22"/>
          <w:szCs w:val="22"/>
        </w:rPr>
        <w:t>。</w:t>
      </w:r>
    </w:p>
    <w:p>
      <w:pPr>
        <w:pStyle w:val="142"/>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8"/>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271"/>
        <w:gridCol w:w="5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14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jc w:val="center"/>
              <w:rPr>
                <w:rFonts w:ascii="宋体" w:hAnsi="宋体" w:cs="宋体"/>
                <w:bCs/>
                <w:kern w:val="0"/>
                <w:sz w:val="22"/>
              </w:rPr>
            </w:pPr>
            <w:r>
              <w:rPr>
                <w:rFonts w:hint="eastAsia" w:ascii="宋体" w:hAnsi="宋体"/>
                <w:sz w:val="21"/>
              </w:rPr>
              <w:t>石英地胶板片材</w:t>
            </w:r>
          </w:p>
        </w:tc>
        <w:tc>
          <w:tcPr>
            <w:tcW w:w="5144" w:type="dxa"/>
            <w:vAlign w:val="center"/>
          </w:tcPr>
          <w:p>
            <w:pPr>
              <w:jc w:val="center"/>
              <w:rPr>
                <w:rFonts w:ascii="宋体" w:hAnsi="宋体" w:cs="宋体"/>
                <w:bCs/>
                <w:kern w:val="0"/>
                <w:sz w:val="22"/>
              </w:rPr>
            </w:pPr>
            <w:r>
              <w:rPr>
                <w:rFonts w:hint="eastAsia"/>
                <w:sz w:val="21"/>
              </w:rPr>
              <w:t>丽杰、普罗西多、全境同档次及以上品牌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jc w:val="center"/>
              <w:rPr>
                <w:rFonts w:ascii="宋体" w:hAnsi="宋体"/>
                <w:sz w:val="22"/>
              </w:rPr>
            </w:pPr>
            <w:r>
              <w:rPr>
                <w:rFonts w:hint="eastAsia"/>
              </w:rPr>
              <w:t>玻璃</w:t>
            </w:r>
          </w:p>
        </w:tc>
        <w:tc>
          <w:tcPr>
            <w:tcW w:w="5144" w:type="dxa"/>
            <w:vAlign w:val="center"/>
          </w:tcPr>
          <w:p>
            <w:pPr>
              <w:jc w:val="center"/>
              <w:rPr>
                <w:rFonts w:ascii="宋体" w:hAnsi="宋体"/>
                <w:sz w:val="22"/>
              </w:rPr>
            </w:pPr>
            <w:r>
              <w:rPr>
                <w:rFonts w:hint="eastAsia" w:ascii="宋体" w:hAnsi="宋体"/>
                <w:sz w:val="21"/>
              </w:rPr>
              <w:t>信义、南玻、</w:t>
            </w:r>
            <w:r>
              <w:rPr>
                <w:rFonts w:hint="eastAsia" w:ascii="宋体" w:hAnsi="宋体"/>
                <w:sz w:val="21"/>
                <w:lang w:eastAsia="zh-CN"/>
              </w:rPr>
              <w:t>耀皮</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ascii="宋体" w:hAnsi="宋体"/>
                <w:sz w:val="22"/>
              </w:rPr>
            </w:pPr>
            <w:r>
              <w:rPr>
                <w:rFonts w:hint="eastAsia"/>
                <w:sz w:val="21"/>
              </w:rPr>
              <w:t>防滑地砖</w:t>
            </w:r>
          </w:p>
        </w:tc>
        <w:tc>
          <w:tcPr>
            <w:tcW w:w="5144" w:type="dxa"/>
            <w:vAlign w:val="center"/>
          </w:tcPr>
          <w:p>
            <w:pPr>
              <w:jc w:val="center"/>
              <w:rPr>
                <w:rFonts w:ascii="宋体" w:hAnsi="宋体"/>
                <w:sz w:val="22"/>
              </w:rPr>
            </w:pPr>
            <w:r>
              <w:rPr>
                <w:rFonts w:hint="eastAsia"/>
                <w:sz w:val="21"/>
              </w:rPr>
              <w:t>诺贝尔、斯米克、冠军同档次及以上品牌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1"/>
              </w:rPr>
            </w:pPr>
            <w:r>
              <w:rPr>
                <w:rFonts w:hint="eastAsia"/>
                <w:sz w:val="21"/>
              </w:rPr>
              <w:t>涂料、油漆</w:t>
            </w:r>
          </w:p>
        </w:tc>
        <w:tc>
          <w:tcPr>
            <w:tcW w:w="5144" w:type="dxa"/>
            <w:vAlign w:val="center"/>
          </w:tcPr>
          <w:p>
            <w:pPr>
              <w:jc w:val="center"/>
              <w:rPr>
                <w:rFonts w:hint="eastAsia"/>
                <w:sz w:val="21"/>
              </w:rPr>
            </w:pPr>
            <w:r>
              <w:rPr>
                <w:rFonts w:hint="eastAsia"/>
              </w:rPr>
              <w:t>多乐士、立邦、华润</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1"/>
              </w:rPr>
            </w:pPr>
            <w:r>
              <w:rPr>
                <w:rFonts w:hint="eastAsia"/>
              </w:rPr>
              <w:t>铝扣板</w:t>
            </w:r>
          </w:p>
        </w:tc>
        <w:tc>
          <w:tcPr>
            <w:tcW w:w="5144" w:type="dxa"/>
            <w:vAlign w:val="center"/>
          </w:tcPr>
          <w:p>
            <w:pPr>
              <w:jc w:val="center"/>
              <w:rPr>
                <w:rFonts w:hint="eastAsia"/>
                <w:sz w:val="21"/>
              </w:rPr>
            </w:pPr>
            <w:r>
              <w:rPr>
                <w:rFonts w:hint="eastAsia"/>
                <w:sz w:val="21"/>
              </w:rPr>
              <w:t>奥普、顶上、友邦同档次及以上品牌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1"/>
              </w:rPr>
            </w:pPr>
            <w:r>
              <w:rPr>
                <w:rFonts w:hint="eastAsia"/>
                <w:sz w:val="21"/>
              </w:rPr>
              <w:t>不锈钢长条型水槽</w:t>
            </w:r>
          </w:p>
        </w:tc>
        <w:tc>
          <w:tcPr>
            <w:tcW w:w="5144" w:type="dxa"/>
            <w:vAlign w:val="center"/>
          </w:tcPr>
          <w:p>
            <w:pPr>
              <w:jc w:val="center"/>
              <w:rPr>
                <w:rFonts w:hint="eastAsia"/>
                <w:sz w:val="21"/>
              </w:rPr>
            </w:pPr>
            <w:r>
              <w:rPr>
                <w:rFonts w:hint="eastAsia"/>
                <w:sz w:val="21"/>
              </w:rPr>
              <w:t>欧琳</w:t>
            </w:r>
            <w:r>
              <w:rPr>
                <w:rFonts w:hint="eastAsia"/>
                <w:sz w:val="21"/>
                <w:lang w:eastAsia="zh-CN"/>
              </w:rPr>
              <w:t>、九牧、舒耐特</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1"/>
              </w:rPr>
            </w:pPr>
            <w:r>
              <w:rPr>
                <w:rFonts w:hint="eastAsia"/>
              </w:rPr>
              <w:t>成品</w:t>
            </w:r>
            <w:r>
              <w:rPr>
                <w:rFonts w:hint="eastAsia"/>
                <w:lang w:eastAsia="zh-CN"/>
              </w:rPr>
              <w:t>钢制门</w:t>
            </w:r>
            <w:r>
              <w:rPr>
                <w:rFonts w:hint="eastAsia"/>
              </w:rPr>
              <w:t>（含门套</w:t>
            </w:r>
            <w:r>
              <w:rPr>
                <w:rFonts w:hint="eastAsia"/>
                <w:lang w:eastAsia="zh-CN"/>
              </w:rPr>
              <w:t>等</w:t>
            </w:r>
            <w:r>
              <w:rPr>
                <w:rFonts w:hint="eastAsia"/>
              </w:rPr>
              <w:t>）</w:t>
            </w:r>
          </w:p>
        </w:tc>
        <w:tc>
          <w:tcPr>
            <w:tcW w:w="5144" w:type="dxa"/>
            <w:vAlign w:val="center"/>
          </w:tcPr>
          <w:p>
            <w:pPr>
              <w:jc w:val="center"/>
              <w:rPr>
                <w:rFonts w:hint="eastAsia"/>
                <w:sz w:val="21"/>
              </w:rPr>
            </w:pPr>
            <w:r>
              <w:rPr>
                <w:rFonts w:hint="eastAsia"/>
                <w:sz w:val="21"/>
              </w:rPr>
              <w:t>诺沃芬、赛银将军、艾斯迈同档次及以上品牌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rPr>
            </w:pPr>
            <w:r>
              <w:rPr>
                <w:rFonts w:hint="eastAsia"/>
              </w:rPr>
              <w:t>成品</w:t>
            </w:r>
            <w:r>
              <w:rPr>
                <w:rFonts w:hint="eastAsia"/>
                <w:lang w:eastAsia="zh-CN"/>
              </w:rPr>
              <w:t>铝型材玻璃</w:t>
            </w:r>
            <w:r>
              <w:rPr>
                <w:rFonts w:hint="eastAsia"/>
              </w:rPr>
              <w:t>门（含门套</w:t>
            </w:r>
            <w:r>
              <w:rPr>
                <w:rFonts w:hint="eastAsia"/>
                <w:lang w:eastAsia="zh-CN"/>
              </w:rPr>
              <w:t>等</w:t>
            </w:r>
            <w:r>
              <w:rPr>
                <w:rFonts w:hint="eastAsia"/>
              </w:rPr>
              <w:t>）</w:t>
            </w:r>
          </w:p>
        </w:tc>
        <w:tc>
          <w:tcPr>
            <w:tcW w:w="5144" w:type="dxa"/>
            <w:vAlign w:val="center"/>
          </w:tcPr>
          <w:p>
            <w:pPr>
              <w:jc w:val="center"/>
              <w:rPr>
                <w:rFonts w:hint="eastAsia"/>
                <w:sz w:val="21"/>
              </w:rPr>
            </w:pPr>
            <w:r>
              <w:rPr>
                <w:rFonts w:hint="eastAsia"/>
                <w:sz w:val="21"/>
              </w:rPr>
              <w:t>顶固、圣保罗、美驰同档次及以上品牌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rPr>
            </w:pPr>
            <w:r>
              <w:rPr>
                <w:rFonts w:hint="eastAsia"/>
                <w:lang w:eastAsia="zh-CN"/>
              </w:rPr>
              <w:t>壁灯</w:t>
            </w:r>
            <w:r>
              <w:rPr>
                <w:rFonts w:hint="eastAsia"/>
                <w:sz w:val="21"/>
              </w:rPr>
              <w:t>（外壳、光源</w:t>
            </w:r>
            <w:r>
              <w:rPr>
                <w:rFonts w:hint="eastAsia"/>
                <w:sz w:val="21"/>
                <w:lang w:eastAsia="zh-CN"/>
              </w:rPr>
              <w:t>等</w:t>
            </w:r>
            <w:r>
              <w:rPr>
                <w:rFonts w:hint="eastAsia"/>
                <w:sz w:val="21"/>
              </w:rPr>
              <w:t>）</w:t>
            </w:r>
          </w:p>
        </w:tc>
        <w:tc>
          <w:tcPr>
            <w:tcW w:w="5144" w:type="dxa"/>
            <w:vAlign w:val="center"/>
          </w:tcPr>
          <w:p>
            <w:pPr>
              <w:jc w:val="center"/>
              <w:rPr>
                <w:rFonts w:hint="eastAsia"/>
                <w:sz w:val="21"/>
              </w:rPr>
            </w:pPr>
            <w:r>
              <w:rPr>
                <w:rFonts w:hint="eastAsia"/>
                <w:sz w:val="21"/>
              </w:rPr>
              <w:tab/>
            </w:r>
            <w:r>
              <w:rPr>
                <w:rFonts w:hint="eastAsia"/>
                <w:sz w:val="21"/>
              </w:rPr>
              <w:t>雷士、三雄极光（广东）、欧普同档次及以上品牌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lang w:eastAsia="zh-CN"/>
              </w:rPr>
            </w:pPr>
            <w:r>
              <w:rPr>
                <w:rFonts w:hint="eastAsia" w:ascii="宋体" w:hAnsi="宋体" w:eastAsia="宋体"/>
                <w:szCs w:val="21"/>
              </w:rPr>
              <w:t>电线</w:t>
            </w:r>
          </w:p>
        </w:tc>
        <w:tc>
          <w:tcPr>
            <w:tcW w:w="5144" w:type="dxa"/>
            <w:vAlign w:val="center"/>
          </w:tcPr>
          <w:p>
            <w:pPr>
              <w:jc w:val="center"/>
              <w:rPr>
                <w:rFonts w:hint="eastAsia"/>
                <w:sz w:val="21"/>
              </w:rPr>
            </w:pPr>
            <w:r>
              <w:rPr>
                <w:rFonts w:hint="eastAsia" w:ascii="宋体" w:hAnsi="宋体" w:eastAsia="宋体"/>
                <w:szCs w:val="21"/>
              </w:rPr>
              <w:t>万马、江苏上上、中策</w:t>
            </w:r>
            <w:r>
              <w:rPr>
                <w:rFonts w:hint="eastAsia"/>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ascii="宋体" w:hAnsi="宋体" w:eastAsia="宋体"/>
                <w:szCs w:val="21"/>
              </w:rPr>
            </w:pPr>
            <w:r>
              <w:rPr>
                <w:rFonts w:hint="eastAsia"/>
                <w:lang w:eastAsia="zh-CN"/>
              </w:rPr>
              <w:t>电子点烟器</w:t>
            </w:r>
          </w:p>
        </w:tc>
        <w:tc>
          <w:tcPr>
            <w:tcW w:w="5144" w:type="dxa"/>
            <w:vAlign w:val="center"/>
          </w:tcPr>
          <w:p>
            <w:pPr>
              <w:jc w:val="center"/>
              <w:rPr>
                <w:rFonts w:hint="eastAsia" w:ascii="宋体" w:hAnsi="宋体" w:eastAsia="宋体"/>
                <w:szCs w:val="21"/>
              </w:rPr>
            </w:pPr>
            <w:r>
              <w:rPr>
                <w:rFonts w:hint="eastAsia"/>
                <w:sz w:val="21"/>
              </w:rPr>
              <w:t>中达安和、水氏展鸿、鸿羽同档次及以上品牌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lang w:eastAsia="zh-CN"/>
              </w:rPr>
            </w:pPr>
            <w:r>
              <w:rPr>
                <w:rFonts w:hint="eastAsia" w:ascii="宋体" w:hAnsi="宋体"/>
              </w:rPr>
              <w:t>元器件</w:t>
            </w:r>
          </w:p>
        </w:tc>
        <w:tc>
          <w:tcPr>
            <w:tcW w:w="5144" w:type="dxa"/>
            <w:vAlign w:val="center"/>
          </w:tcPr>
          <w:p>
            <w:pPr>
              <w:jc w:val="center"/>
              <w:rPr>
                <w:rFonts w:hint="eastAsia"/>
                <w:sz w:val="21"/>
              </w:rPr>
            </w:pPr>
            <w:r>
              <w:rPr>
                <w:rFonts w:hint="eastAsia" w:ascii="宋体" w:hAnsi="宋体"/>
              </w:rPr>
              <w:t>施耐德、ABB、西门子</w:t>
            </w:r>
            <w:r>
              <w:rPr>
                <w:rFonts w:hint="eastAsia"/>
                <w:sz w:val="21"/>
              </w:rPr>
              <w:t>同档次及以上品牌</w:t>
            </w:r>
          </w:p>
        </w:tc>
      </w:tr>
    </w:tbl>
    <w:p>
      <w:pPr>
        <w:snapToGrid w:val="0"/>
        <w:spacing w:line="360" w:lineRule="exact"/>
        <w:ind w:firstLine="440" w:firstLineChars="200"/>
        <w:rPr>
          <w:rFonts w:ascii="宋体" w:hAnsi="宋体"/>
          <w:sz w:val="22"/>
          <w:szCs w:val="22"/>
        </w:rPr>
      </w:pPr>
    </w:p>
    <w:bookmarkEnd w:id="91"/>
    <w:p>
      <w:pPr>
        <w:pStyle w:val="68"/>
        <w:ind w:firstLine="420" w:firstLineChars="0"/>
        <w:rPr>
          <w:rFonts w:ascii="宋体" w:cs="宋体"/>
          <w:b/>
          <w:bCs/>
          <w:color w:val="auto"/>
          <w:sz w:val="22"/>
          <w:szCs w:val="22"/>
        </w:rPr>
      </w:pPr>
      <w:bookmarkStart w:id="92" w:name="_bookmark42"/>
      <w:bookmarkEnd w:id="92"/>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11.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应该按检验批拍摄留存影像资料文件。</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numPr>
          <w:ilvl w:val="0"/>
          <w:numId w:val="7"/>
        </w:numPr>
        <w:adjustRightInd w:val="0"/>
        <w:snapToGrid w:val="0"/>
        <w:spacing w:line="400" w:lineRule="exact"/>
        <w:ind w:firstLine="440"/>
        <w:rPr>
          <w:rFonts w:hint="eastAsia" w:ascii="宋体" w:hAnsi="宋体" w:cs="宋体"/>
          <w:b/>
          <w:color w:val="000000"/>
          <w:sz w:val="22"/>
        </w:rPr>
      </w:pPr>
      <w:r>
        <w:rPr>
          <w:rFonts w:hint="eastAsia" w:ascii="宋体" w:hAnsi="宋体" w:cs="宋体"/>
          <w:b/>
          <w:color w:val="000000"/>
          <w:sz w:val="22"/>
        </w:rPr>
        <w:t>其他工程技术标准和要求</w:t>
      </w:r>
    </w:p>
    <w:p>
      <w:pPr>
        <w:numPr>
          <w:ilvl w:val="0"/>
          <w:numId w:val="0"/>
        </w:numPr>
        <w:adjustRightInd w:val="0"/>
        <w:snapToGrid w:val="0"/>
        <w:spacing w:line="400" w:lineRule="exact"/>
        <w:rPr>
          <w:rFonts w:hint="eastAsia" w:ascii="宋体" w:hAnsi="宋体" w:cs="宋体"/>
          <w:b/>
          <w:color w:val="000000"/>
          <w:sz w:val="22"/>
          <w:lang w:val="en-US" w:eastAsia="zh-CN"/>
        </w:rPr>
      </w:pPr>
      <w:r>
        <w:rPr>
          <w:rFonts w:hint="eastAsia" w:ascii="宋体" w:hAnsi="宋体" w:cs="宋体"/>
          <w:b/>
          <w:color w:val="000000"/>
          <w:sz w:val="22"/>
          <w:lang w:val="en-US" w:eastAsia="zh-CN"/>
        </w:rPr>
        <w:t xml:space="preserve">    1.施工临设在建设单位指定区域自行搭设，方案报招标人同意后方可搭建。施工临设用地、材料堆场等在工程竣工验收通过后10日内自行拆除、彻底清理，并恢复原状。费用由投标人综合考虑，不另行计算。</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在工程施工期间，中标人须无条件服从机场公司关于工期进度的统一安排。投标人需充分考虑隔离区内施工，可施工时间及工期的不确定性，如由于机场运行要求某些天数不得施工等等。如遇长时间停工等任何突发情况，招标人不予增加相关费用，投标人应根据自身经验予以综合考虑。</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3.本项目施工地点涉及机场隔离区内，承包人必须确保在施工阶段不影响机场正常运行，遵守机场不停航施工管理规定、施工安全条例。</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在进出机场隔离区时必须办理相关证件，目前杭州萧山国际机场飞行区相关证件办理的标准为：人员证20元/人，有效期一个月；车辆证30元/车，有效期一个月。现场焊接等动火作业须办理隔离区动火证，现场须配备足够的灭火器瓶。以上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5.承包人负责本项目开工直至完成后的照管工作，直至发包人全部接管为止。</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承包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7.在施工过程中，须做好降尘降噪措施，不得影响机场正常运行。</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8.承包人在施工过程需充分考虑因不停航施工造成的人工、机械降效，夜间施工，材料的损耗增加，施工难度增加等,该费用由投标人综合考虑，包含在投标报价中。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9.如有施工中须拆除的原有废旧材料设备等（除需利用的旧材料设备外），由承包人自行处理，其残值及处置相关费用，由投标人综合考虑，包含在投标报价中。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10.考虑到施工围挡直接关系到施工过程中安全工作，施工围挡采用木工板，外包写真布，部分位置开门的形式，围挡的具体形式及写真布内容需按照按杭州萧山国际机场航站区管理中心相关规定设置。</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11.本工程所涉及的拆除工作均为保护性拆除，投标人不得暴力拆除，拆除过程中，应做好现有设施的保护工作。如因承包人操作不当，造成现有设施设备破损的，承包人需原样恢复并赔偿损失。</w:t>
      </w:r>
    </w:p>
    <w:p>
      <w:pPr>
        <w:numPr>
          <w:ilvl w:val="0"/>
          <w:numId w:val="0"/>
        </w:numPr>
        <w:adjustRightInd w:val="0"/>
        <w:snapToGrid w:val="0"/>
        <w:spacing w:line="400" w:lineRule="exact"/>
        <w:rPr>
          <w:rFonts w:hint="eastAsia" w:ascii="宋体" w:hAnsi="宋体" w:cs="宋体"/>
          <w:b/>
          <w:color w:val="000000"/>
          <w:sz w:val="22"/>
          <w:lang w:val="en-US" w:eastAsia="zh-CN"/>
        </w:rPr>
      </w:pP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12.施工组织实施须遵守机场特别是机场航站区管理中心相关规定要求。</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13.因施工区域位于机场警戒区范围内，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个施工区域每班不得少于1人（保安费用400元/人/8小时），并配备相应的保卫措施，费用由投标人综合考虑，包含在投标报价的不停航施工费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七、机场运营安全的承诺</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鉴于杭州萧山国际机场处于正常运行状态，为避免工程施工对杭州萧山国际机场的正常运作造成影响，各投标人必须承诺，一旦中标：</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对空防安全的承诺（A）：中标人必须严格遵守杭州萧山国际机场空防安全有关规定，并切实做好职工空防安全教育；严禁职工违规进入机场禁区范围。如违反规定，招标人有权停止中标人一切工作甚至终止合同，由此造成的损失由中标人负责赔偿。</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对空防安全的承诺（B）：为确保机场飞行安全和航班正常运营，中标人必须针对《民用机场运行安全管理规定》和《不停航施工管理办法》制定方案和应急救援方案，报招标人审核同意并严格组织实施。如中标人未按上述方案进行施工，招标人有权停止中标人工作甚至终止合同，由此造成的损失由中标人负责赔偿。</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3.对管网管线安全的承诺：杜绝任何因中标人原因损坏机场管网管线、影响机场正常运营；如违反规定，一切费用和损失由中标人承担。</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对道路交通安全的承诺：中标单位进入杭州萧山国际机场的施工车辆，必须严格遵守《道路交通法》、《民用机场航空器活动区道路交通安全管理规则》和机场有关规定，严禁超载超速，同时制定车辆在施工中突发事件的应急处理方案。由于中标人的原因引起的交通事故，一切责任和损失由中标人承担。</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5.其它方面安全的承诺：除上述条款外，凡涉及到机场运营的其它方面必须充分重视。若因中标人原因影响机场的正常运营，中标人必须承担由此造成的一切后果。</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6.以上注意事项及施工现场条件，中标人应自身遵守并严格执行。</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p>
    <w:p>
      <w:pPr>
        <w:adjustRightInd w:val="0"/>
        <w:snapToGrid w:val="0"/>
        <w:spacing w:line="360" w:lineRule="exact"/>
        <w:ind w:firstLine="452"/>
        <w:jc w:val="left"/>
        <w:rPr>
          <w:rFonts w:ascii="宋体" w:hAnsi="宋体"/>
          <w:b/>
          <w:sz w:val="22"/>
        </w:rPr>
      </w:pPr>
    </w:p>
    <w:p>
      <w:pPr>
        <w:pStyle w:val="51"/>
      </w:pPr>
      <w:r>
        <w:rPr>
          <w:rFonts w:ascii="宋体" w:hAnsi="宋体"/>
          <w:sz w:val="22"/>
          <w:szCs w:val="22"/>
        </w:rPr>
        <w:br w:type="page"/>
      </w:r>
      <w:bookmarkStart w:id="93" w:name="_Toc450630564"/>
      <w:bookmarkStart w:id="94" w:name="_Toc275274581"/>
      <w:r>
        <w:t>第</w:t>
      </w:r>
      <w:r>
        <w:rPr>
          <w:rFonts w:hint="eastAsia"/>
        </w:rPr>
        <w:t>六</w:t>
      </w:r>
      <w:r>
        <w:t xml:space="preserve">章  </w:t>
      </w:r>
      <w:r>
        <w:rPr>
          <w:rFonts w:hint="eastAsia"/>
        </w:rPr>
        <w:t>评标办法及标准</w:t>
      </w:r>
      <w:bookmarkEnd w:id="93"/>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95" w:name="_Toc450630565"/>
      <w:r>
        <w:t>第</w:t>
      </w:r>
      <w:r>
        <w:rPr>
          <w:rFonts w:hint="eastAsia"/>
        </w:rPr>
        <w:t>七</w:t>
      </w:r>
      <w:r>
        <w:t>章  投标文件格式</w:t>
      </w:r>
      <w:bookmarkEnd w:id="94"/>
      <w:bookmarkEnd w:id="95"/>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6" w:name="_Toc171421958"/>
      <w:r>
        <w:rPr>
          <w:rFonts w:cs="Calibri"/>
          <w:color w:val="000000"/>
        </w:rPr>
        <w:t>封面</w:t>
      </w:r>
      <w:bookmarkEnd w:id="9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r>
        <w:rPr>
          <w:rFonts w:hint="eastAsia" w:ascii="宋体" w:hAnsi="宋体"/>
          <w:sz w:val="22"/>
          <w:szCs w:val="22"/>
        </w:rPr>
        <w:t>，</w:t>
      </w:r>
      <w:r>
        <w:rPr>
          <w:rFonts w:ascii="宋体" w:hAnsi="宋体"/>
          <w:sz w:val="22"/>
          <w:szCs w:val="22"/>
        </w:rPr>
        <w:t>负责本项目的项目经理是</w:t>
      </w:r>
      <w:r>
        <w:rPr>
          <w:rFonts w:hint="eastAsia" w:ascii="宋体" w:hAnsi="宋体"/>
          <w:sz w:val="22"/>
          <w:szCs w:val="22"/>
          <w:u w:val="single"/>
        </w:rPr>
        <w:t xml:space="preserve">            </w:t>
      </w:r>
      <w:r>
        <w:rPr>
          <w:rFonts w:hint="eastAsia" w:ascii="宋体" w:hAnsi="宋体"/>
          <w:sz w:val="22"/>
          <w:szCs w:val="22"/>
        </w:rPr>
        <w:t>（身份证</w:t>
      </w:r>
      <w:r>
        <w:rPr>
          <w:rFonts w:ascii="宋体" w:hAnsi="宋体"/>
          <w:sz w:val="22"/>
          <w:szCs w:val="22"/>
        </w:rPr>
        <w:t>号</w:t>
      </w:r>
      <w:r>
        <w:rPr>
          <w:rFonts w:ascii="宋体" w:hAnsi="宋体"/>
          <w:sz w:val="22"/>
          <w:szCs w:val="22"/>
          <w:u w:val="single"/>
        </w:rPr>
        <w:t>：</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7" w:name="_Toc133214309"/>
      <w:bookmarkStart w:id="98" w:name="_Toc144265958"/>
      <w:bookmarkStart w:id="99" w:name="_Toc137373398"/>
      <w:bookmarkStart w:id="100" w:name="_Toc133214102"/>
      <w:bookmarkStart w:id="101" w:name="_Toc133470542"/>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97"/>
    <w:bookmarkEnd w:id="98"/>
    <w:bookmarkEnd w:id="99"/>
    <w:bookmarkEnd w:id="100"/>
    <w:bookmarkEnd w:id="101"/>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2" w:name="_Toc152042586"/>
      <w:bookmarkStart w:id="103" w:name="_Toc246392155"/>
      <w:bookmarkStart w:id="104" w:name="_Toc152045797"/>
      <w:bookmarkStart w:id="105" w:name="_Toc179632817"/>
      <w:bookmarkStart w:id="106" w:name="_Toc144974865"/>
      <w:bookmarkStart w:id="107" w:name="_Toc11710"/>
      <w:r>
        <w:rPr>
          <w:rFonts w:hint="eastAsia" w:ascii="宋体" w:hAnsi="宋体" w:eastAsia="宋体"/>
        </w:rPr>
        <w:t>附表一：</w:t>
      </w:r>
      <w:r>
        <w:rPr>
          <w:rFonts w:hint="eastAsia" w:ascii="宋体" w:hAnsi="宋体" w:eastAsia="宋体"/>
          <w:szCs w:val="23"/>
        </w:rPr>
        <w:t>拟投入本标段的主要施工设备表</w:t>
      </w:r>
      <w:bookmarkEnd w:id="102"/>
      <w:bookmarkEnd w:id="103"/>
      <w:bookmarkEnd w:id="104"/>
      <w:bookmarkEnd w:id="105"/>
      <w:bookmarkEnd w:id="106"/>
      <w:bookmarkEnd w:id="107"/>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08" w:name="_Toc152042587"/>
      <w:bookmarkStart w:id="109" w:name="_Toc246392156"/>
      <w:bookmarkStart w:id="110" w:name="_Toc4957"/>
      <w:bookmarkStart w:id="111" w:name="_Toc152045798"/>
      <w:bookmarkStart w:id="112" w:name="_Toc144974866"/>
      <w:bookmarkStart w:id="113" w:name="_Toc179632818"/>
      <w:r>
        <w:rPr>
          <w:rFonts w:hint="eastAsia" w:ascii="宋体" w:hAnsi="宋体" w:eastAsia="宋体"/>
        </w:rPr>
        <w:t>附表二：拟配备本标段的试验和检测仪器设备表</w:t>
      </w:r>
      <w:bookmarkEnd w:id="108"/>
      <w:bookmarkEnd w:id="109"/>
      <w:bookmarkEnd w:id="110"/>
      <w:bookmarkEnd w:id="111"/>
      <w:bookmarkEnd w:id="112"/>
      <w:bookmarkEnd w:id="113"/>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4" w:name="_Toc246392157"/>
      <w:bookmarkStart w:id="115" w:name="_Toc179632819"/>
      <w:bookmarkStart w:id="116" w:name="_Toc152042588"/>
      <w:bookmarkStart w:id="117" w:name="_Toc144974867"/>
      <w:bookmarkStart w:id="118" w:name="_Toc8928"/>
      <w:bookmarkStart w:id="119" w:name="_Toc152045799"/>
      <w:r>
        <w:rPr>
          <w:rFonts w:hint="eastAsia" w:ascii="宋体" w:hAnsi="宋体" w:eastAsia="宋体"/>
        </w:rPr>
        <w:t>附表三：劳动力计划表</w:t>
      </w:r>
      <w:bookmarkEnd w:id="114"/>
      <w:bookmarkEnd w:id="115"/>
      <w:bookmarkEnd w:id="116"/>
      <w:bookmarkEnd w:id="117"/>
      <w:bookmarkEnd w:id="118"/>
      <w:bookmarkEnd w:id="119"/>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0" w:name="_Toc246392158"/>
      <w:bookmarkStart w:id="121" w:name="_Toc3750"/>
      <w:bookmarkStart w:id="122" w:name="_Toc179632820"/>
      <w:bookmarkStart w:id="123" w:name="_Toc152042589"/>
      <w:bookmarkStart w:id="124" w:name="_Toc144974868"/>
      <w:bookmarkStart w:id="125" w:name="_Toc152045800"/>
      <w:r>
        <w:rPr>
          <w:rFonts w:hint="eastAsia" w:ascii="宋体" w:hAnsi="宋体" w:eastAsia="宋体"/>
          <w:sz w:val="22"/>
          <w:szCs w:val="22"/>
        </w:rPr>
        <w:t>附表四：计划开、竣工日期和施工进度网络图</w:t>
      </w:r>
      <w:bookmarkEnd w:id="120"/>
      <w:bookmarkEnd w:id="121"/>
      <w:bookmarkEnd w:id="122"/>
      <w:bookmarkEnd w:id="123"/>
      <w:bookmarkEnd w:id="124"/>
      <w:bookmarkEnd w:id="125"/>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26" w:name="_Toc144974869"/>
      <w:bookmarkStart w:id="127" w:name="_Toc152045801"/>
      <w:bookmarkStart w:id="128" w:name="_Toc152042590"/>
      <w:bookmarkStart w:id="129" w:name="_Toc179632821"/>
      <w:bookmarkStart w:id="130" w:name="_Toc246392159"/>
      <w:r>
        <w:rPr>
          <w:rFonts w:hint="eastAsia" w:ascii="宋体" w:hAnsi="宋体"/>
          <w:sz w:val="22"/>
          <w:szCs w:val="22"/>
        </w:rPr>
        <w:t>附表五：施工总平面图</w:t>
      </w:r>
      <w:bookmarkEnd w:id="126"/>
      <w:bookmarkEnd w:id="127"/>
      <w:bookmarkEnd w:id="128"/>
      <w:bookmarkEnd w:id="129"/>
      <w:bookmarkEnd w:id="130"/>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1" w:name="_Toc144974872"/>
      <w:bookmarkStart w:id="132" w:name="_Toc246392161"/>
      <w:bookmarkStart w:id="133" w:name="_Toc179632824"/>
      <w:bookmarkStart w:id="134" w:name="_Toc152045804"/>
      <w:bookmarkStart w:id="135" w:name="_Toc29304"/>
      <w:bookmarkStart w:id="136" w:name="_Toc152042593"/>
      <w:r>
        <w:rPr>
          <w:rFonts w:hint="eastAsia" w:ascii="宋体" w:hAnsi="宋体" w:eastAsia="宋体"/>
          <w:szCs w:val="23"/>
        </w:rPr>
        <w:t>（一）项目管理机构组成表</w:t>
      </w:r>
      <w:bookmarkEnd w:id="131"/>
      <w:bookmarkEnd w:id="132"/>
      <w:bookmarkEnd w:id="133"/>
      <w:bookmarkEnd w:id="134"/>
      <w:bookmarkEnd w:id="135"/>
      <w:bookmarkEnd w:id="136"/>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37" w:name="_Toc152042594"/>
      <w:bookmarkStart w:id="138" w:name="_Toc25718"/>
      <w:bookmarkStart w:id="139" w:name="_Toc246392162"/>
      <w:bookmarkStart w:id="140" w:name="_Toc152045805"/>
      <w:bookmarkStart w:id="141" w:name="_Toc144974873"/>
      <w:bookmarkStart w:id="142" w:name="_Toc179632825"/>
      <w:r>
        <w:rPr>
          <w:rFonts w:hint="eastAsia" w:ascii="宋体" w:hAnsi="宋体" w:eastAsia="宋体"/>
          <w:szCs w:val="23"/>
        </w:rPr>
        <w:t>（二）主要人员简历表</w:t>
      </w:r>
      <w:bookmarkEnd w:id="137"/>
      <w:bookmarkEnd w:id="138"/>
      <w:bookmarkEnd w:id="139"/>
      <w:bookmarkEnd w:id="140"/>
      <w:bookmarkEnd w:id="141"/>
      <w:bookmarkEnd w:id="142"/>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3" w:name="_Toc245036711"/>
      <w:bookmarkStart w:id="144" w:name="_Toc7025"/>
      <w:r>
        <w:rPr>
          <w:rFonts w:hint="eastAsia" w:ascii="Calibri" w:hAnsi="Calibri" w:eastAsia="黑体" w:cs="Calibri"/>
          <w:color w:val="000000"/>
          <w:sz w:val="32"/>
          <w:szCs w:val="32"/>
        </w:rPr>
        <w:t>七、资格审查资料</w:t>
      </w:r>
      <w:bookmarkEnd w:id="143"/>
      <w:bookmarkEnd w:id="144"/>
    </w:p>
    <w:p>
      <w:pPr>
        <w:topLinePunct/>
        <w:spacing w:line="440" w:lineRule="exact"/>
        <w:jc w:val="center"/>
        <w:rPr>
          <w:rFonts w:ascii="宋体" w:hAnsi="宋体"/>
          <w:sz w:val="27"/>
          <w:szCs w:val="27"/>
        </w:rPr>
      </w:pPr>
    </w:p>
    <w:p>
      <w:pPr>
        <w:pStyle w:val="85"/>
        <w:rPr>
          <w:rFonts w:ascii="宋体" w:hAnsi="宋体" w:eastAsia="宋体"/>
          <w:szCs w:val="23"/>
        </w:rPr>
      </w:pPr>
      <w:bookmarkStart w:id="145" w:name="_Toc17487"/>
      <w:bookmarkStart w:id="146" w:name="_Toc144974876"/>
      <w:bookmarkStart w:id="147" w:name="_Toc152042597"/>
      <w:bookmarkStart w:id="148" w:name="_Toc245036712"/>
      <w:bookmarkStart w:id="149" w:name="_Toc152045808"/>
      <w:r>
        <w:rPr>
          <w:rFonts w:hint="eastAsia" w:ascii="宋体" w:hAnsi="宋体" w:eastAsia="宋体"/>
          <w:szCs w:val="23"/>
        </w:rPr>
        <w:t>（一）投标人基本情况表</w:t>
      </w:r>
      <w:bookmarkEnd w:id="145"/>
      <w:bookmarkEnd w:id="146"/>
      <w:bookmarkEnd w:id="147"/>
      <w:bookmarkEnd w:id="148"/>
      <w:bookmarkEnd w:id="149"/>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0" w:name="_Toc144974877"/>
      <w:bookmarkStart w:id="151" w:name="_Toc152042598"/>
      <w:bookmarkStart w:id="152" w:name="_Toc16950"/>
      <w:bookmarkStart w:id="153" w:name="_Toc245036713"/>
      <w:bookmarkStart w:id="154" w:name="_Toc152045809"/>
      <w:r>
        <w:rPr>
          <w:rFonts w:hint="eastAsia" w:ascii="宋体" w:hAnsi="宋体" w:eastAsia="宋体"/>
        </w:rPr>
        <w:br w:type="page"/>
      </w:r>
      <w:r>
        <w:rPr>
          <w:rFonts w:hint="eastAsia" w:ascii="宋体" w:hAnsi="宋体" w:eastAsia="宋体"/>
        </w:rPr>
        <w:t>（二）近年财务状况表</w:t>
      </w:r>
      <w:bookmarkEnd w:id="150"/>
      <w:bookmarkEnd w:id="151"/>
      <w:bookmarkEnd w:id="152"/>
      <w:bookmarkEnd w:id="153"/>
      <w:bookmarkEnd w:id="154"/>
    </w:p>
    <w:p>
      <w:pPr>
        <w:spacing w:line="440" w:lineRule="exact"/>
        <w:rPr>
          <w:rFonts w:ascii="宋体" w:hAnsi="宋体"/>
          <w:sz w:val="23"/>
          <w:szCs w:val="23"/>
        </w:rPr>
      </w:pPr>
    </w:p>
    <w:p>
      <w:pPr>
        <w:pStyle w:val="85"/>
        <w:rPr>
          <w:rFonts w:ascii="宋体" w:hAnsi="宋体" w:eastAsia="宋体"/>
          <w:szCs w:val="23"/>
        </w:rPr>
      </w:pPr>
      <w:bookmarkStart w:id="155" w:name="_Toc144974878"/>
      <w:bookmarkStart w:id="156" w:name="_Toc152042599"/>
      <w:bookmarkStart w:id="157" w:name="_Toc152045810"/>
      <w:bookmarkStart w:id="158" w:name="_Toc245036714"/>
      <w:bookmarkStart w:id="159" w:name="_Toc31021"/>
      <w:r>
        <w:rPr>
          <w:rFonts w:hint="eastAsia" w:ascii="宋体" w:hAnsi="宋体" w:eastAsia="宋体"/>
          <w:szCs w:val="23"/>
        </w:rPr>
        <w:t>（三）近年完成的类似项目情况表</w:t>
      </w:r>
      <w:bookmarkEnd w:id="155"/>
      <w:bookmarkEnd w:id="156"/>
      <w:bookmarkEnd w:id="157"/>
      <w:bookmarkEnd w:id="158"/>
      <w:bookmarkEnd w:id="159"/>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0" w:name="_Toc13233"/>
            <w:r>
              <w:rPr>
                <w:rFonts w:hint="eastAsia" w:ascii="宋体" w:hAnsi="宋体"/>
                <w:szCs w:val="21"/>
              </w:rPr>
              <w:t>项目所在地</w:t>
            </w:r>
            <w:bookmarkEnd w:id="16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1" w:name="_Toc20896"/>
            <w:r>
              <w:rPr>
                <w:rFonts w:hint="eastAsia" w:ascii="宋体" w:hAnsi="宋体"/>
                <w:szCs w:val="21"/>
              </w:rPr>
              <w:t>发包人地址</w:t>
            </w:r>
            <w:bookmarkEnd w:id="161"/>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2" w:name="_Toc3155"/>
            <w:r>
              <w:rPr>
                <w:rFonts w:hint="eastAsia" w:ascii="宋体" w:hAnsi="宋体"/>
                <w:szCs w:val="21"/>
              </w:rPr>
              <w:t>承担的工作</w:t>
            </w:r>
            <w:bookmarkEnd w:id="16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63" w:name="_Toc26600"/>
      <w:bookmarkStart w:id="164" w:name="_Toc144974879"/>
      <w:bookmarkStart w:id="165" w:name="_Toc152042600"/>
      <w:bookmarkStart w:id="166" w:name="_Toc245036715"/>
      <w:bookmarkStart w:id="167"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63"/>
      <w:bookmarkEnd w:id="164"/>
      <w:bookmarkEnd w:id="165"/>
      <w:bookmarkEnd w:id="166"/>
      <w:bookmarkEnd w:id="167"/>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8" w:name="_Toc5773"/>
            <w:bookmarkStart w:id="169" w:name="_Toc152042601"/>
            <w:bookmarkStart w:id="170" w:name="_Toc152045812"/>
            <w:bookmarkStart w:id="171" w:name="_Toc245036716"/>
            <w:bookmarkStart w:id="172" w:name="_Toc144974880"/>
            <w:r>
              <w:rPr>
                <w:rFonts w:hint="eastAsia" w:ascii="宋体" w:hAnsi="宋体"/>
                <w:szCs w:val="21"/>
              </w:rPr>
              <w:t>项目名称</w:t>
            </w:r>
            <w:bookmarkEnd w:id="168"/>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69"/>
      <w:bookmarkEnd w:id="170"/>
      <w:bookmarkEnd w:id="171"/>
      <w:bookmarkEnd w:id="172"/>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3" w:name="_Toc152042602"/>
      <w:bookmarkStart w:id="174" w:name="_Toc152045813"/>
      <w:bookmarkStart w:id="175" w:name="_Toc144974881"/>
      <w:bookmarkStart w:id="176" w:name="_Toc245036717"/>
      <w:bookmarkStart w:id="177" w:name="_Toc675"/>
      <w:r>
        <w:rPr>
          <w:rFonts w:hint="eastAsia" w:ascii="宋体" w:hAnsi="宋体"/>
        </w:rPr>
        <w:br w:type="page"/>
      </w:r>
      <w:r>
        <w:rPr>
          <w:rFonts w:hint="eastAsia" w:ascii="Calibri" w:hAnsi="Calibri" w:eastAsia="黑体" w:cs="Calibri"/>
          <w:color w:val="000000"/>
          <w:sz w:val="32"/>
          <w:szCs w:val="32"/>
        </w:rPr>
        <w:t>八、</w:t>
      </w:r>
      <w:bookmarkStart w:id="178" w:name="_Toc21221"/>
      <w:bookmarkEnd w:id="173"/>
      <w:bookmarkEnd w:id="174"/>
      <w:bookmarkEnd w:id="175"/>
      <w:bookmarkEnd w:id="176"/>
      <w:bookmarkEnd w:id="177"/>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8"/>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86"/>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50"/>
    <w:family w:val="auto"/>
    <w:pitch w:val="default"/>
    <w:sig w:usb0="80000287" w:usb1="280F3C52" w:usb2="00000016" w:usb3="00000000" w:csb0="0004001F" w:csb1="00000000"/>
  </w:font>
  <w:font w:name="Dark Courier">
    <w:altName w:val="Simplified Arabic Fixed"/>
    <w:panose1 w:val="02070409020205020404"/>
    <w:charset w:val="00"/>
    <w:family w:val="auto"/>
    <w:pitch w:val="default"/>
    <w:sig w:usb0="00000000" w:usb1="00000000" w:usb2="00000000" w:usb3="00000000" w:csb0="00000093" w:csb1="00000000"/>
  </w:font>
  <w:font w:name="方正楷体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ڌ墻">
    <w:altName w:val="宋体"/>
    <w:panose1 w:val="00000000000000000000"/>
    <w:charset w:val="86"/>
    <w:family w:val="roman"/>
    <w:pitch w:val="default"/>
    <w:sig w:usb0="00000000" w:usb1="00000000" w:usb2="0000001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Futura Bk">
    <w:altName w:val="Segoe UI"/>
    <w:panose1 w:val="00000000000000000000"/>
    <w:charset w:val="00"/>
    <w:family w:val="auto"/>
    <w:pitch w:val="default"/>
    <w:sig w:usb0="00000000" w:usb1="00000000" w:usb2="00000000" w:usb3="00000000" w:csb0="0000009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Simplified Arabic Fixed">
    <w:panose1 w:val="020703090202050204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33 -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5DCA09AA"/>
    <w:multiLevelType w:val="singleLevel"/>
    <w:tmpl w:val="5DCA09AA"/>
    <w:lvl w:ilvl="0" w:tentative="0">
      <w:start w:val="6"/>
      <w:numFmt w:val="chineseCounting"/>
      <w:suff w:val="nothing"/>
      <w:lvlText w:val="%1、"/>
      <w:lvlJc w:val="left"/>
    </w:lvl>
  </w:abstractNum>
  <w:abstractNum w:abstractNumId="5">
    <w:nsid w:val="5DDCF42C"/>
    <w:multiLevelType w:val="singleLevel"/>
    <w:tmpl w:val="5DDCF42C"/>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6">
    <w:nsid w:val="5DDCF44D"/>
    <w:multiLevelType w:val="singleLevel"/>
    <w:tmpl w:val="5DDCF44D"/>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1"/>
  </w:num>
  <w:num w:numId="2">
    <w:abstractNumId w:val="5"/>
  </w:num>
  <w:num w:numId="3">
    <w:abstractNumId w:val="6"/>
  </w:num>
  <w:num w:numId="4">
    <w:abstractNumId w:val="7"/>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034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qFormat/>
    <w:uiPriority w:val="0"/>
    <w:rPr>
      <w:rFonts w:ascii="Times New Roman" w:hAnsi="Times New Roman" w:eastAsia="宋体" w:cs="Times New Roman"/>
      <w:b/>
      <w:bCs/>
    </w:rPr>
  </w:style>
  <w:style w:type="character" w:styleId="54">
    <w:name w:val="page number"/>
    <w:basedOn w:val="52"/>
    <w:qFormat/>
    <w:uiPriority w:val="0"/>
    <w:rPr>
      <w:rFonts w:ascii="Times New Roman" w:hAnsi="Times New Roman" w:eastAsia="宋体" w:cs="Times New Roman"/>
    </w:rPr>
  </w:style>
  <w:style w:type="character" w:styleId="55">
    <w:name w:val="FollowedHyperlink"/>
    <w:unhideWhenUsed/>
    <w:qFormat/>
    <w:uiPriority w:val="99"/>
    <w:rPr>
      <w:rFonts w:ascii="Times New Roman" w:hAnsi="Times New Roman" w:eastAsia="宋体" w:cs="Times New Roman"/>
      <w:color w:val="800080"/>
      <w:u w:val="single"/>
    </w:rPr>
  </w:style>
  <w:style w:type="character" w:styleId="56">
    <w:name w:val="Hyperlink"/>
    <w:qFormat/>
    <w:uiPriority w:val="99"/>
    <w:rPr>
      <w:rFonts w:ascii="Times New Roman" w:hAnsi="Times New Roman" w:eastAsia="宋体" w:cs="Times New Roman"/>
      <w:color w:val="0000FF"/>
      <w:u w:val="single"/>
    </w:rPr>
  </w:style>
  <w:style w:type="character" w:styleId="57">
    <w:name w:val="annotation reference"/>
    <w:semiHidden/>
    <w:qFormat/>
    <w:uiPriority w:val="0"/>
    <w:rPr>
      <w:rFonts w:ascii="Times New Roman" w:hAnsi="Times New Roman" w:eastAsia="宋体" w:cs="Times New Roman"/>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2"/>
    <w:link w:val="2"/>
    <w:qFormat/>
    <w:uiPriority w:val="0"/>
    <w:rPr>
      <w:rFonts w:ascii="Times New Roman" w:hAnsi="Times New Roman" w:eastAsia="宋体" w:cs="Times New Roman"/>
      <w:b/>
      <w:bCs/>
      <w:kern w:val="44"/>
      <w:sz w:val="30"/>
      <w:szCs w:val="44"/>
    </w:rPr>
  </w:style>
  <w:style w:type="character" w:customStyle="1" w:styleId="88">
    <w:name w:val="标题 2 字符"/>
    <w:basedOn w:val="52"/>
    <w:link w:val="3"/>
    <w:qFormat/>
    <w:uiPriority w:val="0"/>
    <w:rPr>
      <w:rFonts w:ascii="Arial" w:hAnsi="Arial" w:eastAsia="宋体" w:cs="Times New Roman"/>
      <w:b/>
      <w:bCs/>
      <w:kern w:val="0"/>
      <w:sz w:val="28"/>
      <w:szCs w:val="32"/>
    </w:rPr>
  </w:style>
  <w:style w:type="character" w:customStyle="1" w:styleId="89">
    <w:name w:val="标题 3 字符"/>
    <w:basedOn w:val="52"/>
    <w:link w:val="4"/>
    <w:qFormat/>
    <w:uiPriority w:val="0"/>
    <w:rPr>
      <w:rFonts w:ascii="宋体" w:hAnsi="Times New Roman" w:eastAsia="宋体" w:cs="Times New Roman"/>
      <w:b/>
      <w:kern w:val="0"/>
      <w:sz w:val="28"/>
      <w:szCs w:val="20"/>
    </w:rPr>
  </w:style>
  <w:style w:type="character" w:customStyle="1" w:styleId="90">
    <w:name w:val="标题 4 字符"/>
    <w:basedOn w:val="52"/>
    <w:link w:val="5"/>
    <w:qFormat/>
    <w:uiPriority w:val="0"/>
    <w:rPr>
      <w:rFonts w:ascii="Arial" w:hAnsi="Arial" w:eastAsia="黑体" w:cs="Times New Roman"/>
      <w:b/>
      <w:bCs/>
      <w:kern w:val="0"/>
      <w:sz w:val="28"/>
      <w:szCs w:val="28"/>
    </w:rPr>
  </w:style>
  <w:style w:type="character" w:customStyle="1" w:styleId="91">
    <w:name w:val="标题 5 字符"/>
    <w:basedOn w:val="52"/>
    <w:link w:val="6"/>
    <w:qFormat/>
    <w:uiPriority w:val="0"/>
    <w:rPr>
      <w:rFonts w:ascii="Times New Roman" w:hAnsi="Times New Roman" w:eastAsia="宋体" w:cs="Times New Roman"/>
      <w:b/>
      <w:bCs/>
      <w:kern w:val="0"/>
      <w:sz w:val="28"/>
      <w:szCs w:val="28"/>
    </w:rPr>
  </w:style>
  <w:style w:type="character" w:customStyle="1" w:styleId="92">
    <w:name w:val="标题 6 字符"/>
    <w:basedOn w:val="52"/>
    <w:link w:val="7"/>
    <w:qFormat/>
    <w:uiPriority w:val="0"/>
    <w:rPr>
      <w:rFonts w:ascii="Arial" w:hAnsi="Arial" w:eastAsia="黑体" w:cs="Times New Roman"/>
      <w:b/>
      <w:bCs/>
      <w:kern w:val="0"/>
    </w:rPr>
  </w:style>
  <w:style w:type="character" w:customStyle="1" w:styleId="93">
    <w:name w:val="标题 7 字符"/>
    <w:basedOn w:val="52"/>
    <w:link w:val="8"/>
    <w:qFormat/>
    <w:uiPriority w:val="0"/>
    <w:rPr>
      <w:rFonts w:ascii="Times New Roman" w:hAnsi="Times New Roman" w:eastAsia="宋体" w:cs="Times New Roman"/>
      <w:b/>
      <w:bCs/>
      <w:kern w:val="0"/>
    </w:rPr>
  </w:style>
  <w:style w:type="character" w:customStyle="1" w:styleId="94">
    <w:name w:val="标题 8 字符"/>
    <w:basedOn w:val="52"/>
    <w:link w:val="9"/>
    <w:qFormat/>
    <w:uiPriority w:val="0"/>
    <w:rPr>
      <w:rFonts w:ascii="Arial" w:hAnsi="Arial" w:eastAsia="黑体" w:cs="Times New Roman"/>
      <w:kern w:val="0"/>
    </w:rPr>
  </w:style>
  <w:style w:type="character" w:customStyle="1" w:styleId="95">
    <w:name w:val="标题 9 字符"/>
    <w:basedOn w:val="52"/>
    <w:link w:val="10"/>
    <w:qFormat/>
    <w:uiPriority w:val="0"/>
    <w:rPr>
      <w:rFonts w:ascii="Arial" w:hAnsi="Arial" w:eastAsia="黑体" w:cs="Times New Roman"/>
      <w:kern w:val="0"/>
      <w:sz w:val="20"/>
      <w:szCs w:val="21"/>
    </w:rPr>
  </w:style>
  <w:style w:type="character" w:customStyle="1" w:styleId="96">
    <w:name w:val="日期 字符"/>
    <w:link w:val="33"/>
    <w:qFormat/>
    <w:uiPriority w:val="0"/>
    <w:rPr>
      <w:rFonts w:ascii="Times New Roman" w:hAnsi="Times New Roman" w:eastAsia="宋体" w:cs="Times New Roman"/>
      <w:kern w:val="0"/>
      <w:sz w:val="20"/>
    </w:rPr>
  </w:style>
  <w:style w:type="character" w:customStyle="1" w:styleId="97">
    <w:name w:val="批注框文本 字符"/>
    <w:link w:val="35"/>
    <w:semiHidden/>
    <w:qFormat/>
    <w:uiPriority w:val="0"/>
    <w:rPr>
      <w:rFonts w:ascii="Times New Roman" w:hAnsi="Times New Roman" w:eastAsia="宋体" w:cs="Times New Roman"/>
      <w:kern w:val="0"/>
      <w:sz w:val="18"/>
      <w:szCs w:val="18"/>
    </w:rPr>
  </w:style>
  <w:style w:type="character" w:customStyle="1" w:styleId="98">
    <w:name w:val="正文文本 2 字符"/>
    <w:link w:val="46"/>
    <w:qFormat/>
    <w:uiPriority w:val="0"/>
    <w:rPr>
      <w:rFonts w:ascii="Times New Roman" w:hAnsi="Times New Roman" w:eastAsia="宋体" w:cs="Times New Roman"/>
      <w:kern w:val="0"/>
      <w:sz w:val="20"/>
    </w:rPr>
  </w:style>
  <w:style w:type="character" w:customStyle="1" w:styleId="99">
    <w:name w:val="文档结构图 字符"/>
    <w:link w:val="22"/>
    <w:qFormat/>
    <w:uiPriority w:val="0"/>
    <w:rPr>
      <w:rFonts w:ascii="Times New Roman" w:hAnsi="Times New Roman" w:eastAsia="宋体" w:cs="Times New Roman"/>
      <w:kern w:val="0"/>
      <w:sz w:val="20"/>
    </w:rPr>
  </w:style>
  <w:style w:type="character" w:customStyle="1" w:styleId="100">
    <w:name w:val="font51"/>
    <w:qFormat/>
    <w:uiPriority w:val="0"/>
    <w:rPr>
      <w:rFonts w:hint="default" w:ascii="Times New Roman" w:hAnsi="Times New Roman" w:eastAsia="宋体"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rPr>
  </w:style>
  <w:style w:type="character" w:customStyle="1" w:styleId="106">
    <w:name w:val="正文首行缩进 2 字符"/>
    <w:link w:val="37"/>
    <w:qFormat/>
    <w:uiPriority w:val="0"/>
    <w:rPr>
      <w:rFonts w:ascii="Times New Roman" w:hAnsi="Times New Roman" w:eastAsia="宋体" w:cs="Times New Roman"/>
      <w:szCs w:val="24"/>
    </w:rPr>
  </w:style>
  <w:style w:type="character" w:customStyle="1" w:styleId="107">
    <w:name w:val="正文文本缩进 字符"/>
    <w:link w:val="24"/>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rPr>
      <w:rFonts w:ascii="Times New Roman" w:hAnsi="Times New Roman" w:eastAsia="宋体" w:cs="Times New Roman"/>
    </w:rPr>
  </w:style>
  <w:style w:type="character" w:customStyle="1" w:styleId="111">
    <w:name w:val="正文文本 3 字符"/>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rPr>
      <w:rFonts w:ascii="Times New Roman" w:hAnsi="Times New Roman" w:eastAsia="宋体" w:cs="Times New Roman"/>
    </w:rPr>
  </w:style>
  <w:style w:type="character" w:customStyle="1" w:styleId="113">
    <w:name w:val="font11"/>
    <w:qFormat/>
    <w:uiPriority w:val="0"/>
    <w:rPr>
      <w:rFonts w:hint="default" w:ascii="Times New Roman" w:hAnsi="Times New Roman" w:eastAsia="宋体" w:cs="Times New Roman"/>
      <w:color w:val="000000"/>
      <w:sz w:val="21"/>
      <w:szCs w:val="21"/>
      <w:u w:val="none"/>
    </w:rPr>
  </w:style>
  <w:style w:type="character" w:customStyle="1" w:styleId="114">
    <w:name w:val="页眉 字符"/>
    <w:link w:val="38"/>
    <w:qFormat/>
    <w:uiPriority w:val="0"/>
    <w:rPr>
      <w:rFonts w:ascii="Times New Roman" w:hAnsi="Times New Roman" w:eastAsia="宋体" w:cs="Times New Roman"/>
      <w:kern w:val="0"/>
      <w:sz w:val="18"/>
      <w:szCs w:val="20"/>
    </w:rPr>
  </w:style>
  <w:style w:type="character" w:customStyle="1" w:styleId="115">
    <w:name w:val="页脚 字符"/>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字符"/>
    <w:link w:val="43"/>
    <w:qFormat/>
    <w:uiPriority w:val="0"/>
    <w:rPr>
      <w:rFonts w:ascii="Times New Roman" w:hAnsi="Times New Roman" w:eastAsia="宋体" w:cs="Times New Roman"/>
      <w:kern w:val="0"/>
      <w:sz w:val="16"/>
      <w:szCs w:val="16"/>
    </w:rPr>
  </w:style>
  <w:style w:type="character" w:customStyle="1" w:styleId="118">
    <w:name w:val="正文首行缩进 字符"/>
    <w:basedOn w:val="119"/>
    <w:link w:val="15"/>
    <w:qFormat/>
    <w:uiPriority w:val="0"/>
    <w:rPr>
      <w:rFonts w:ascii="Times New Roman" w:hAnsi="Times New Roman" w:cs="Times New Roman"/>
      <w:kern w:val="0"/>
      <w:sz w:val="20"/>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字符"/>
    <w:link w:val="34"/>
    <w:qFormat/>
    <w:uiPriority w:val="0"/>
    <w:rPr>
      <w:rFonts w:ascii="Times New Roman" w:hAnsi="Times New Roman" w:eastAsia="宋体" w:cs="Times New Roman"/>
      <w:kern w:val="0"/>
      <w:sz w:val="20"/>
    </w:rPr>
  </w:style>
  <w:style w:type="character" w:customStyle="1" w:styleId="123">
    <w:name w:val="批注主题 字符"/>
    <w:link w:val="12"/>
    <w:semiHidden/>
    <w:qFormat/>
    <w:uiPriority w:val="0"/>
    <w:rPr>
      <w:rFonts w:ascii="Times New Roman" w:hAnsi="Times New Roman" w:eastAsia="宋体" w:cs="Times New Roman"/>
      <w:b/>
      <w:bCs/>
      <w:kern w:val="0"/>
      <w:sz w:val="20"/>
    </w:rPr>
  </w:style>
  <w:style w:type="character" w:customStyle="1" w:styleId="124">
    <w:name w:val="标题 字符"/>
    <w:link w:val="51"/>
    <w:qFormat/>
    <w:uiPriority w:val="0"/>
    <w:rPr>
      <w:rFonts w:ascii="Times New Roman" w:hAnsi="Times New Roman" w:eastAsia="黑体" w:cs="Times New Roman"/>
      <w:b/>
      <w:bCs/>
      <w:kern w:val="0"/>
      <w:sz w:val="32"/>
      <w:szCs w:val="32"/>
    </w:rPr>
  </w:style>
  <w:style w:type="character" w:customStyle="1" w:styleId="125">
    <w:name w:val="批注框文本字符1"/>
    <w:basedOn w:val="52"/>
    <w:semiHidden/>
    <w:qFormat/>
    <w:uiPriority w:val="99"/>
    <w:rPr>
      <w:rFonts w:ascii="Heiti SC Light" w:hAnsi="Times New Roman" w:eastAsia="Heiti SC Light" w:cs="Times New Roman"/>
      <w:sz w:val="18"/>
      <w:szCs w:val="18"/>
    </w:rPr>
  </w:style>
  <w:style w:type="character" w:customStyle="1" w:styleId="126">
    <w:name w:val="日期字符1"/>
    <w:basedOn w:val="52"/>
    <w:semiHidden/>
    <w:qFormat/>
    <w:uiPriority w:val="99"/>
    <w:rPr>
      <w:rFonts w:ascii="Times New Roman" w:hAnsi="Times New Roman" w:eastAsia="宋体" w:cs="Times New Roman"/>
    </w:rPr>
  </w:style>
  <w:style w:type="character" w:customStyle="1" w:styleId="127">
    <w:name w:val="纯文本字符1"/>
    <w:basedOn w:val="52"/>
    <w:semiHidden/>
    <w:qFormat/>
    <w:uiPriority w:val="99"/>
    <w:rPr>
      <w:rFonts w:ascii="宋体" w:hAnsi="Courier" w:eastAsia="宋体" w:cs="Times New Roman"/>
    </w:rPr>
  </w:style>
  <w:style w:type="character" w:customStyle="1" w:styleId="128">
    <w:name w:val="批注文字 字符"/>
    <w:basedOn w:val="52"/>
    <w:link w:val="13"/>
    <w:semiHidden/>
    <w:qFormat/>
    <w:uiPriority w:val="99"/>
    <w:rPr>
      <w:rFonts w:ascii="Times New Roman" w:hAnsi="Times New Roman" w:eastAsia="宋体" w:cs="Times New Roman"/>
    </w:rPr>
  </w:style>
  <w:style w:type="character" w:customStyle="1" w:styleId="129">
    <w:name w:val="批注主题字符1"/>
    <w:basedOn w:val="128"/>
    <w:semiHidden/>
    <w:qFormat/>
    <w:uiPriority w:val="99"/>
    <w:rPr>
      <w:b/>
      <w:bCs/>
    </w:rPr>
  </w:style>
  <w:style w:type="character" w:customStyle="1" w:styleId="130">
    <w:name w:val="正文文本 字符"/>
    <w:basedOn w:val="52"/>
    <w:link w:val="16"/>
    <w:semiHidden/>
    <w:qFormat/>
    <w:uiPriority w:val="99"/>
    <w:rPr>
      <w:rFonts w:ascii="Times New Roman" w:hAnsi="Times New Roman" w:eastAsia="宋体" w:cs="Times New Roman"/>
    </w:rPr>
  </w:style>
  <w:style w:type="character" w:customStyle="1" w:styleId="131">
    <w:name w:val="正文首行缩进字符1"/>
    <w:basedOn w:val="130"/>
    <w:semiHidden/>
    <w:qFormat/>
    <w:uiPriority w:val="99"/>
  </w:style>
  <w:style w:type="character" w:customStyle="1" w:styleId="132">
    <w:name w:val="正文文本缩进 3字符1"/>
    <w:basedOn w:val="52"/>
    <w:semiHidden/>
    <w:qFormat/>
    <w:uiPriority w:val="99"/>
    <w:rPr>
      <w:rFonts w:ascii="Times New Roman" w:hAnsi="Times New Roman" w:eastAsia="宋体" w:cs="Times New Roman"/>
      <w:sz w:val="16"/>
      <w:szCs w:val="16"/>
    </w:rPr>
  </w:style>
  <w:style w:type="character" w:customStyle="1" w:styleId="133">
    <w:name w:val="文档结构图 字符1"/>
    <w:basedOn w:val="52"/>
    <w:semiHidden/>
    <w:qFormat/>
    <w:uiPriority w:val="99"/>
    <w:rPr>
      <w:rFonts w:ascii="Heiti SC Light" w:hAnsi="Times New Roman" w:eastAsia="Heiti SC Light" w:cs="Times New Roman"/>
    </w:rPr>
  </w:style>
  <w:style w:type="character" w:customStyle="1" w:styleId="134">
    <w:name w:val="正文文本 3字符1"/>
    <w:basedOn w:val="52"/>
    <w:semiHidden/>
    <w:qFormat/>
    <w:uiPriority w:val="99"/>
    <w:rPr>
      <w:rFonts w:ascii="Times New Roman" w:hAnsi="Times New Roman" w:eastAsia="宋体" w:cs="Times New Roman"/>
      <w:sz w:val="16"/>
      <w:szCs w:val="16"/>
    </w:rPr>
  </w:style>
  <w:style w:type="character" w:customStyle="1" w:styleId="135">
    <w:name w:val="正文文本缩进字符1"/>
    <w:basedOn w:val="52"/>
    <w:semiHidden/>
    <w:qFormat/>
    <w:uiPriority w:val="99"/>
    <w:rPr>
      <w:rFonts w:ascii="Times New Roman" w:hAnsi="Times New Roman" w:eastAsia="宋体" w:cs="Times New Roman"/>
    </w:rPr>
  </w:style>
  <w:style w:type="character" w:customStyle="1" w:styleId="136">
    <w:name w:val="正文文本缩进 2字符1"/>
    <w:basedOn w:val="52"/>
    <w:semiHidden/>
    <w:qFormat/>
    <w:uiPriority w:val="99"/>
    <w:rPr>
      <w:rFonts w:ascii="Times New Roman" w:hAnsi="Times New Roman" w:eastAsia="宋体" w:cs="Times New Roman"/>
    </w:rPr>
  </w:style>
  <w:style w:type="character" w:customStyle="1" w:styleId="137">
    <w:name w:val="页脚字符1"/>
    <w:basedOn w:val="52"/>
    <w:semiHidden/>
    <w:qFormat/>
    <w:uiPriority w:val="99"/>
    <w:rPr>
      <w:rFonts w:ascii="Times New Roman" w:hAnsi="Times New Roman" w:eastAsia="宋体" w:cs="Times New Roman"/>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rFonts w:ascii="Times New Roman" w:hAnsi="Times New Roman" w:eastAsia="宋体" w:cs="Times New Roman"/>
      <w:sz w:val="18"/>
      <w:szCs w:val="18"/>
    </w:rPr>
  </w:style>
  <w:style w:type="character" w:customStyle="1" w:styleId="140">
    <w:name w:val="正文文本 2字符1"/>
    <w:basedOn w:val="52"/>
    <w:semiHidden/>
    <w:qFormat/>
    <w:uiPriority w:val="99"/>
    <w:rPr>
      <w:rFonts w:ascii="Times New Roman" w:hAnsi="Times New Roman" w:eastAsia="宋体" w:cs="Times New Roman"/>
    </w:rPr>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55</Pages>
  <Words>6067</Words>
  <Characters>34583</Characters>
  <Lines>288</Lines>
  <Paragraphs>81</Paragraphs>
  <ScaleCrop>false</ScaleCrop>
  <LinksUpToDate>false</LinksUpToDate>
  <CharactersWithSpaces>40569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2017-04-18T07:00:00Z</dcterms:created>
  <dc:creator>y z</dc:creator>
  <cp:lastModifiedBy>贾思勰</cp:lastModifiedBy>
  <dcterms:modified xsi:type="dcterms:W3CDTF">2019-11-26T09:47:42Z</dcterms:modified>
  <dc:title>杭州萧山国际机场</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