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bookmarkStart w:id="3" w:name="OLE_LINK1"/>
      <w:bookmarkStart w:id="4" w:name="OLE_LINK2"/>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杭州萧山国际机场场区花箱养护业务外包</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5" w:name="_Toc386359390"/>
      <w:bookmarkStart w:id="6" w:name="_Toc349011855"/>
      <w:bookmarkStart w:id="7" w:name="_Toc349007685"/>
      <w:bookmarkStart w:id="8" w:name="_Toc386363314"/>
      <w:r>
        <w:rPr>
          <w:rFonts w:hint="eastAsia" w:ascii="Calibri" w:cs="Calibri"/>
          <w:b/>
          <w:color w:val="000000"/>
          <w:sz w:val="44"/>
        </w:rPr>
        <w:t xml:space="preserve"> </w:t>
      </w:r>
    </w:p>
    <w:p>
      <w:pPr>
        <w:pStyle w:val="30"/>
        <w:rPr>
          <w:rFonts w:ascii="Calibri" w:hAnsi="Calibri" w:cs="Calibri"/>
          <w:b/>
          <w:color w:val="000000"/>
          <w:sz w:val="44"/>
        </w:rPr>
      </w:pPr>
      <w:bookmarkStart w:id="9" w:name="_Toc448002981"/>
      <w:bookmarkStart w:id="10" w:name="_Toc400369182"/>
      <w:bookmarkStart w:id="11" w:name="_Toc444811406"/>
      <w:bookmarkStart w:id="12" w:name="_Toc444173456"/>
      <w:bookmarkStart w:id="13"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5"/>
      <w:bookmarkEnd w:id="6"/>
      <w:bookmarkEnd w:id="7"/>
      <w:bookmarkEnd w:id="8"/>
      <w:bookmarkEnd w:id="9"/>
      <w:bookmarkEnd w:id="10"/>
      <w:bookmarkEnd w:id="11"/>
      <w:bookmarkEnd w:id="12"/>
      <w:bookmarkEnd w:id="13"/>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4" w:name="_Toc18642"/>
      <w:bookmarkStart w:id="15" w:name="_Toc24784"/>
      <w:bookmarkStart w:id="16" w:name="_Toc8110"/>
      <w:bookmarkStart w:id="17" w:name="_Toc6581"/>
      <w:bookmarkStart w:id="18" w:name="_Toc6832"/>
      <w:bookmarkStart w:id="19" w:name="_Toc24932"/>
      <w:bookmarkStart w:id="20" w:name="_Toc22293"/>
      <w:bookmarkStart w:id="21" w:name="_Toc14628"/>
      <w:bookmarkStart w:id="22" w:name="_Toc7641"/>
      <w:bookmarkStart w:id="23" w:name="_Toc448002982"/>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bookmarkStart w:id="126"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场区花箱养护业务外包         </w:t>
      </w:r>
      <w:r>
        <w:rPr>
          <w:rFonts w:ascii="宋体" w:hAnsi="宋体" w:cs="Arial"/>
          <w:kern w:val="0"/>
          <w:sz w:val="22"/>
        </w:rPr>
        <w:t>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（3）招标内容：机场场区范围内189个花箱、综合服务楼花境花卉更换及养护、花箱更换、花镜设计等。</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（4）服务期：自2020 年1 月1日开始，采用“1＋1年”的模式，即第一年为考核期，2020年1月1日至2020年12月31日，考核合格后，合同顺延至202</w:t>
      </w:r>
      <w:r>
        <w:rPr>
          <w:rFonts w:ascii="宋体" w:hAnsi="宋体" w:cs="Arial"/>
          <w:kern w:val="0"/>
          <w:sz w:val="22"/>
        </w:rPr>
        <w:t>1</w:t>
      </w:r>
      <w:r>
        <w:rPr>
          <w:rFonts w:hint="eastAsia" w:ascii="宋体" w:hAnsi="宋体" w:cs="Arial"/>
          <w:kern w:val="0"/>
          <w:sz w:val="22"/>
        </w:rPr>
        <w:t>年</w:t>
      </w:r>
      <w:r>
        <w:rPr>
          <w:rFonts w:ascii="宋体" w:hAnsi="宋体" w:cs="Arial"/>
          <w:kern w:val="0"/>
          <w:sz w:val="22"/>
        </w:rPr>
        <w:t>12</w:t>
      </w:r>
      <w:r>
        <w:rPr>
          <w:rFonts w:hint="eastAsia" w:ascii="宋体" w:hAnsi="宋体" w:cs="Arial"/>
          <w:kern w:val="0"/>
          <w:sz w:val="22"/>
        </w:rPr>
        <w:t>月</w:t>
      </w:r>
      <w:r>
        <w:rPr>
          <w:rFonts w:ascii="宋体" w:hAnsi="宋体" w:cs="Arial"/>
          <w:kern w:val="0"/>
          <w:sz w:val="22"/>
        </w:rPr>
        <w:t>31</w:t>
      </w:r>
      <w:r>
        <w:rPr>
          <w:rFonts w:hint="eastAsia" w:ascii="宋体" w:hAnsi="宋体" w:cs="Arial"/>
          <w:kern w:val="0"/>
          <w:sz w:val="22"/>
        </w:rPr>
        <w:t>日。如考核结果不合格，则招标人有权终止合同，并有权要求本项目的中标人赔偿后一年因更换承包商所产生的高于原合同费用的差价、律师费、招标代理费等费用。</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（经营</w:t>
      </w:r>
      <w:r>
        <w:rPr>
          <w:rFonts w:ascii="宋体" w:hAnsi="宋体" w:cs="Arial"/>
          <w:kern w:val="0"/>
          <w:sz w:val="22"/>
        </w:rPr>
        <w:t>范围须包含</w:t>
      </w:r>
      <w:r>
        <w:rPr>
          <w:rFonts w:hint="eastAsia" w:ascii="宋体" w:hAnsi="宋体" w:cs="Arial"/>
          <w:kern w:val="0"/>
          <w:sz w:val="22"/>
          <w:u w:val="single"/>
        </w:rPr>
        <w:t>园林绿化工程或园林绿化养护或园林工程或绿化工程或园林绿化等内容</w:t>
      </w:r>
      <w:r>
        <w:rPr>
          <w:rFonts w:hint="eastAsia" w:ascii="宋体" w:hAnsi="宋体" w:cs="Arial"/>
          <w:kern w:val="0"/>
          <w:sz w:val="22"/>
        </w:rPr>
        <w:t>），注册资金不少于人民币</w:t>
      </w:r>
      <w:r>
        <w:rPr>
          <w:rFonts w:ascii="宋体" w:hAnsi="宋体" w:cs="Arial"/>
          <w:kern w:val="0"/>
          <w:sz w:val="22"/>
        </w:rPr>
        <w:t>500</w:t>
      </w:r>
      <w:r>
        <w:rPr>
          <w:rFonts w:hint="eastAsia" w:ascii="宋体" w:hAnsi="宋体" w:cs="Arial"/>
          <w:kern w:val="0"/>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招标监督人：刘闻捷       联系电话： </w:t>
      </w:r>
      <w:r>
        <w:rPr>
          <w:rFonts w:ascii="宋体" w:hAnsi="宋体"/>
          <w:sz w:val="22"/>
        </w:rPr>
        <w:t>0571-86662134</w:t>
      </w:r>
    </w:p>
    <w:bookmarkEnd w:id="126"/>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6"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131"/>
        <w:jc w:val="center"/>
        <w:rPr>
          <w:rFonts w:ascii="Calibri" w:hAnsi="Calibri" w:eastAsia="黑体" w:cs="Calibri"/>
          <w:kern w:val="2"/>
          <w:sz w:val="28"/>
          <w:szCs w:val="32"/>
        </w:rPr>
      </w:pPr>
      <w:bookmarkStart w:id="28" w:name="_Toc349007688"/>
      <w:bookmarkStart w:id="29" w:name="_Toc448002984"/>
      <w:bookmarkStart w:id="30" w:name="_Toc400369185"/>
      <w:bookmarkStart w:id="31" w:name="_Toc386363317"/>
      <w:bookmarkStart w:id="32" w:name="_Toc444811409"/>
      <w:bookmarkStart w:id="33" w:name="_Toc444173459"/>
      <w:bookmarkStart w:id="34" w:name="_Toc444174979"/>
      <w:bookmarkStart w:id="35" w:name="_Toc349011858"/>
      <w:bookmarkStart w:id="36" w:name="_Toc386359393"/>
      <w:bookmarkStart w:id="37" w:name="_Toc11881"/>
      <w:r>
        <w:rPr>
          <w:rFonts w:ascii="Calibri" w:hAnsi="Arial" w:eastAsia="黑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Arial"/>
                <w:kern w:val="0"/>
                <w:sz w:val="22"/>
              </w:rPr>
              <w:t>杭州萧山国际机场</w:t>
            </w:r>
            <w:r>
              <w:rPr>
                <w:rFonts w:hint="eastAsia" w:ascii="宋体" w:hAnsi="宋体" w:cs="Arial"/>
                <w:kern w:val="0"/>
                <w:sz w:val="22"/>
              </w:rPr>
              <w:t>场区花箱养护业务外包</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82"/>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rPr>
                <w:rFonts w:asciiTheme="minorEastAsia" w:hAnsiTheme="minorEastAsia"/>
                <w:color w:val="000000"/>
                <w:sz w:val="22"/>
              </w:rPr>
            </w:pPr>
            <w:r>
              <w:rPr>
                <w:rFonts w:hint="eastAsia" w:ascii="宋体" w:hAnsi="宋体" w:cs="Arial"/>
                <w:kern w:val="0"/>
                <w:sz w:val="22"/>
              </w:rPr>
              <w:t>自2020 年1 月1日开始，采用“1＋1年”的模式，即第一年为考核期，2020年1月1日至2020年12月31日，考核合格后，合同顺延至202</w:t>
            </w:r>
            <w:r>
              <w:rPr>
                <w:rFonts w:ascii="宋体" w:hAnsi="宋体" w:cs="Arial"/>
                <w:kern w:val="0"/>
                <w:sz w:val="22"/>
              </w:rPr>
              <w:t>1</w:t>
            </w:r>
            <w:r>
              <w:rPr>
                <w:rFonts w:hint="eastAsia" w:ascii="宋体" w:hAnsi="宋体" w:cs="Arial"/>
                <w:kern w:val="0"/>
                <w:sz w:val="22"/>
              </w:rPr>
              <w:t>年</w:t>
            </w:r>
            <w:r>
              <w:rPr>
                <w:rFonts w:ascii="宋体" w:hAnsi="宋体" w:cs="Arial"/>
                <w:kern w:val="0"/>
                <w:sz w:val="22"/>
              </w:rPr>
              <w:t>12</w:t>
            </w:r>
            <w:r>
              <w:rPr>
                <w:rFonts w:hint="eastAsia" w:ascii="宋体" w:hAnsi="宋体" w:cs="Arial"/>
                <w:kern w:val="0"/>
                <w:sz w:val="22"/>
              </w:rPr>
              <w:t>月</w:t>
            </w:r>
            <w:r>
              <w:rPr>
                <w:rFonts w:ascii="宋体" w:hAnsi="宋体" w:cs="Arial"/>
                <w:kern w:val="0"/>
                <w:sz w:val="22"/>
              </w:rPr>
              <w:t>31</w:t>
            </w:r>
            <w:r>
              <w:rPr>
                <w:rFonts w:hint="eastAsia" w:ascii="宋体" w:hAnsi="宋体" w:cs="Arial"/>
                <w:kern w:val="0"/>
                <w:sz w:val="22"/>
              </w:rPr>
              <w:t>日。如考核结果不合格，则招标人有权终止合同，并有权要求本项目的中标人赔偿后一年因更换承包商所产生的高于原合同费用的差价、律师费、招标代理费等费用。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color w:val="000000" w:themeColor="text1"/>
                <w:sz w:val="22"/>
                <w:u w:val="single"/>
                <w14:textFill>
                  <w14:solidFill>
                    <w14:schemeClr w14:val="tx1"/>
                  </w14:solidFill>
                </w14:textFill>
              </w:rPr>
              <w:t>《园林绿化养护标准》</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2019年1</w:t>
            </w:r>
            <w:r>
              <w:rPr>
                <w:rFonts w:hint="eastAsia" w:cs="Calibri" w:asciiTheme="minorEastAsia" w:hAnsiTheme="minorEastAsia"/>
                <w:kern w:val="0"/>
                <w:sz w:val="22"/>
                <w:lang w:val="en-US" w:eastAsia="zh-CN"/>
              </w:rPr>
              <w:t>2</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9</w:t>
            </w:r>
            <w:r>
              <w:rPr>
                <w:rFonts w:hint="eastAsia" w:cs="Calibri" w:asciiTheme="minorEastAsia" w:hAnsiTheme="minorEastAsia"/>
                <w:kern w:val="0"/>
                <w:sz w:val="22"/>
              </w:rPr>
              <w:t>日</w:t>
            </w:r>
            <w:r>
              <w:rPr>
                <w:rFonts w:hint="eastAsia" w:cs="Calibri" w:asciiTheme="minorEastAsia" w:hAnsiTheme="minorEastAsia"/>
                <w:kern w:val="0"/>
                <w:sz w:val="22"/>
                <w:lang w:val="en-US" w:eastAsia="zh-CN"/>
              </w:rPr>
              <w:t>9:00</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9</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17</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13</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45</w:t>
            </w:r>
            <w:r>
              <w:rPr>
                <w:rFonts w:hint="eastAsia" w:cs="Calibri" w:asciiTheme="minorEastAsia" w:hAnsi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38" w:name="_Toc226175287"/>
            <w:bookmarkStart w:id="3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rPr>
                <w:rFonts w:asciiTheme="minorEastAsia" w:hAnsiTheme="minorEastAsia"/>
                <w:sz w:val="22"/>
              </w:rPr>
            </w:pPr>
            <w:r>
              <w:rPr>
                <w:rFonts w:hint="eastAsia" w:asciiTheme="minorEastAsia" w:hAnsiTheme="minorEastAsia"/>
                <w:sz w:val="22"/>
              </w:rPr>
              <w:t>投标保证金的金额：</w:t>
            </w:r>
            <w:r>
              <w:rPr>
                <w:rFonts w:hint="eastAsia" w:asciiTheme="minorEastAsia" w:hAnsiTheme="minorEastAsia"/>
                <w:b/>
                <w:sz w:val="22"/>
              </w:rPr>
              <w:t>人民币</w:t>
            </w:r>
            <w:r>
              <w:rPr>
                <w:rFonts w:hint="eastAsia" w:cs="Calibri" w:asciiTheme="minorEastAsia" w:hAnsiTheme="minorEastAsia"/>
                <w:kern w:val="0"/>
                <w:sz w:val="22"/>
              </w:rPr>
              <w:t>贰</w:t>
            </w:r>
            <w:r>
              <w:rPr>
                <w:rFonts w:hint="eastAsia" w:asciiTheme="minorEastAsia" w:hAnsiTheme="minorEastAsia"/>
                <w:b/>
                <w:sz w:val="22"/>
              </w:rPr>
              <w:t>万元整</w:t>
            </w:r>
          </w:p>
          <w:p>
            <w:pPr>
              <w:snapToGrid w:val="0"/>
              <w:rPr>
                <w:rFonts w:asciiTheme="minorEastAsia" w:hAnsiTheme="minorEastAsia"/>
                <w:sz w:val="22"/>
              </w:rPr>
            </w:pPr>
            <w:r>
              <w:rPr>
                <w:rFonts w:hint="eastAsia" w:asciiTheme="minorEastAsia" w:hAnsiTheme="minorEastAsia"/>
                <w:sz w:val="22"/>
              </w:rPr>
              <w:t>投标保证金应在投标截止时间前汇入以下帐户：</w:t>
            </w:r>
          </w:p>
          <w:p>
            <w:pPr>
              <w:snapToGrid w:val="0"/>
              <w:rPr>
                <w:rFonts w:asciiTheme="minorEastAsia" w:hAnsiTheme="minorEastAsia"/>
                <w:sz w:val="22"/>
              </w:rPr>
            </w:pPr>
            <w:r>
              <w:rPr>
                <w:rFonts w:hint="eastAsia" w:asciiTheme="minorEastAsia" w:hAnsiTheme="minorEastAsia"/>
                <w:sz w:val="22"/>
              </w:rPr>
              <w:t>开户名：杭州萧山国际机场有限公司</w:t>
            </w:r>
          </w:p>
          <w:p>
            <w:pPr>
              <w:snapToGrid w:val="0"/>
              <w:rPr>
                <w:rFonts w:asciiTheme="minorEastAsia" w:hAnsiTheme="minorEastAsia"/>
                <w:sz w:val="22"/>
              </w:rPr>
            </w:pPr>
            <w:r>
              <w:rPr>
                <w:rFonts w:hint="eastAsia" w:asciiTheme="minorEastAsia" w:hAnsiTheme="minorEastAsia"/>
                <w:sz w:val="22"/>
              </w:rPr>
              <w:t xml:space="preserve">开户银行：工行杭州市空港城支行 </w:t>
            </w:r>
          </w:p>
          <w:p>
            <w:pPr>
              <w:snapToGrid w:val="0"/>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rPr>
                <w:rFonts w:asciiTheme="minorEastAsia" w:hAnsiTheme="minorEastAsia"/>
                <w:sz w:val="22"/>
                <w:lang w:val="zh-CN"/>
              </w:rPr>
            </w:pPr>
            <w:r>
              <w:rPr>
                <w:rFonts w:hint="eastAsia" w:ascii="宋体" w:hAnsi="宋体"/>
                <w:b/>
                <w:sz w:val="22"/>
              </w:rPr>
              <w:t>投标人提交投标保证金时需注明“场区花箱养护业务外包项目投标保证金”，银行回单复印件注明投标人户名、开户行、账号等信息随投标函单独封装，随投标文件一同递交。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杭州萧山国际机场场区花箱养护业务外包</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12</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17</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13</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45</w:t>
            </w:r>
            <w:r>
              <w:rPr>
                <w:rFonts w:hint="eastAsia" w:cs="Calibri" w:asciiTheme="minorEastAsia" w:hAnsiTheme="minorEastAsia"/>
                <w:kern w:val="0"/>
                <w:sz w:val="22"/>
                <w:u w:val="single"/>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首年合同</w:t>
            </w:r>
            <w:r>
              <w:rPr>
                <w:rFonts w:asciiTheme="minorEastAsia" w:hAnsiTheme="minorEastAsia"/>
                <w:sz w:val="22"/>
              </w:rPr>
              <w:t>金额</w:t>
            </w:r>
            <w:r>
              <w:rPr>
                <w:rFonts w:hint="eastAsia" w:asciiTheme="minorEastAsia" w:hAnsiTheme="minorEastAsia"/>
                <w:sz w:val="22"/>
              </w:rPr>
              <w:t>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kern w:val="0"/>
                <w:sz w:val="22"/>
              </w:rPr>
            </w:pPr>
            <w:r>
              <w:rPr>
                <w:rFonts w:cs="Calibri" w:asciiTheme="minorEastAsia" w:hAnsi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0" w:name="_Toc11067"/>
      <w:bookmarkStart w:id="41" w:name="_Toc143421656"/>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bookmarkEnd w:id="40"/>
      <w:bookmarkEnd w:id="41"/>
    </w:p>
    <w:p>
      <w:pPr>
        <w:autoSpaceDE w:val="0"/>
        <w:autoSpaceDN w:val="0"/>
        <w:adjustRightInd w:val="0"/>
        <w:snapToGrid w:val="0"/>
        <w:spacing w:line="360" w:lineRule="exact"/>
        <w:rPr>
          <w:rFonts w:cs="Calibri" w:asciiTheme="minorEastAsia" w:hAnsiTheme="minorEastAsia"/>
          <w:b/>
          <w:bCs/>
          <w:kern w:val="0"/>
          <w:sz w:val="22"/>
        </w:rPr>
      </w:pPr>
      <w:bookmarkStart w:id="42" w:name="_Toc26216"/>
      <w:r>
        <w:rPr>
          <w:rFonts w:cs="Calibri" w:asciiTheme="minorEastAsia" w:hAnsiTheme="minorEastAsia"/>
          <w:b/>
          <w:bCs/>
          <w:kern w:val="0"/>
          <w:sz w:val="22"/>
        </w:rPr>
        <w:t>1.1 项目</w:t>
      </w:r>
      <w:bookmarkEnd w:id="42"/>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4"/>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4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4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4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5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5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5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5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5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53" w:name="_Toc143421657"/>
      <w:bookmarkStart w:id="54" w:name="_Toc15241"/>
      <w:r>
        <w:rPr>
          <w:rFonts w:cs="Calibri" w:asciiTheme="minorEastAsia" w:hAnsiTheme="minorEastAsia"/>
          <w:b/>
          <w:bCs/>
          <w:kern w:val="0"/>
          <w:sz w:val="22"/>
        </w:rPr>
        <w:t>2.招标文件</w:t>
      </w:r>
      <w:bookmarkEnd w:id="53"/>
      <w:bookmarkEnd w:id="54"/>
    </w:p>
    <w:p>
      <w:pPr>
        <w:autoSpaceDE w:val="0"/>
        <w:autoSpaceDN w:val="0"/>
        <w:adjustRightInd w:val="0"/>
        <w:snapToGrid w:val="0"/>
        <w:spacing w:line="360" w:lineRule="exact"/>
        <w:rPr>
          <w:rFonts w:cs="Calibri" w:asciiTheme="minorEastAsia" w:hAnsiTheme="minorEastAsia"/>
          <w:b/>
          <w:bCs/>
          <w:kern w:val="0"/>
          <w:sz w:val="22"/>
        </w:rPr>
      </w:pPr>
      <w:bookmarkStart w:id="55" w:name="_Toc1426"/>
      <w:r>
        <w:rPr>
          <w:rFonts w:cs="Calibri" w:asciiTheme="minorEastAsia" w:hAnsiTheme="minorEastAsia"/>
          <w:b/>
          <w:bCs/>
          <w:kern w:val="0"/>
          <w:sz w:val="22"/>
        </w:rPr>
        <w:t>2.1 招标文件的组成</w:t>
      </w:r>
      <w:bookmarkEnd w:id="5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56" w:name="_Toc18230"/>
      <w:r>
        <w:rPr>
          <w:rFonts w:cs="Calibri" w:asciiTheme="minorEastAsia" w:hAnsiTheme="minorEastAsia"/>
          <w:b/>
          <w:bCs/>
          <w:kern w:val="0"/>
          <w:sz w:val="22"/>
        </w:rPr>
        <w:t>2.2 招标文件的澄清</w:t>
      </w:r>
      <w:bookmarkEnd w:id="56"/>
    </w:p>
    <w:p>
      <w:pPr>
        <w:adjustRightInd w:val="0"/>
        <w:snapToGrid w:val="0"/>
        <w:spacing w:line="360" w:lineRule="exact"/>
        <w:ind w:firstLine="440"/>
        <w:rPr>
          <w:rFonts w:cs="Calibri" w:asciiTheme="minorEastAsia" w:hAnsiTheme="minorEastAsia"/>
          <w:color w:val="000000"/>
          <w:sz w:val="22"/>
        </w:rPr>
      </w:pPr>
      <w:bookmarkStart w:id="57"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58" w:name="_Toc18870"/>
      <w:bookmarkStart w:id="59" w:name="_Toc143421658"/>
      <w:r>
        <w:rPr>
          <w:rFonts w:cs="Calibri" w:asciiTheme="minorEastAsia" w:hAnsiTheme="minorEastAsia"/>
          <w:b/>
          <w:bCs/>
          <w:kern w:val="0"/>
          <w:sz w:val="22"/>
        </w:rPr>
        <w:t>3.投标文件</w:t>
      </w:r>
      <w:bookmarkEnd w:id="58"/>
      <w:bookmarkEnd w:id="59"/>
    </w:p>
    <w:p>
      <w:pPr>
        <w:autoSpaceDE w:val="0"/>
        <w:autoSpaceDN w:val="0"/>
        <w:adjustRightInd w:val="0"/>
        <w:snapToGrid w:val="0"/>
        <w:spacing w:line="360" w:lineRule="exact"/>
        <w:rPr>
          <w:rFonts w:cs="Calibri" w:asciiTheme="minorEastAsia" w:hAnsiTheme="minorEastAsia"/>
          <w:b/>
          <w:bCs/>
          <w:kern w:val="0"/>
          <w:sz w:val="22"/>
        </w:rPr>
      </w:pPr>
      <w:bookmarkStart w:id="60" w:name="_Toc461"/>
      <w:r>
        <w:rPr>
          <w:rFonts w:cs="Calibri" w:asciiTheme="minorEastAsia" w:hAnsiTheme="minorEastAsia"/>
          <w:b/>
          <w:bCs/>
          <w:kern w:val="0"/>
          <w:sz w:val="22"/>
        </w:rPr>
        <w:t>3.1 投标文件的语言和计量单位</w:t>
      </w:r>
      <w:bookmarkEnd w:id="6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61" w:name="_Toc1411"/>
      <w:r>
        <w:rPr>
          <w:rFonts w:cs="Calibri" w:asciiTheme="minorEastAsia" w:hAnsiTheme="minorEastAsia"/>
          <w:b/>
          <w:bCs/>
          <w:kern w:val="0"/>
          <w:sz w:val="22"/>
        </w:rPr>
        <w:t>3.2 投标文件的组成</w:t>
      </w:r>
      <w:bookmarkEnd w:id="61"/>
    </w:p>
    <w:p>
      <w:pPr>
        <w:adjustRightInd w:val="0"/>
        <w:snapToGrid w:val="0"/>
        <w:spacing w:line="360" w:lineRule="exact"/>
        <w:ind w:firstLine="440" w:firstLineChars="200"/>
        <w:rPr>
          <w:rFonts w:cs="Calibri" w:asciiTheme="minorEastAsia" w:hAnsiTheme="minorEastAsia"/>
          <w:color w:val="000000"/>
          <w:sz w:val="22"/>
        </w:rPr>
      </w:pPr>
      <w:bookmarkStart w:id="62"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exact"/>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62"/>
    </w:p>
    <w:p>
      <w:pPr>
        <w:adjustRightInd w:val="0"/>
        <w:snapToGrid w:val="0"/>
        <w:spacing w:line="360" w:lineRule="exact"/>
        <w:ind w:firstLine="440" w:firstLineChars="200"/>
        <w:rPr>
          <w:rFonts w:cs="Calibri" w:asciiTheme="minorEastAsia" w:hAnsiTheme="minorEastAsia"/>
          <w:color w:val="000000"/>
          <w:kern w:val="0"/>
          <w:sz w:val="22"/>
        </w:rPr>
      </w:pPr>
      <w:bookmarkStart w:id="63" w:name="_Toc13307"/>
      <w:r>
        <w:rPr>
          <w:rFonts w:cs="Calibri" w:asciiTheme="minorEastAsia" w:hAnsi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6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64" w:name="_Toc30464"/>
      <w:r>
        <w:rPr>
          <w:rFonts w:cs="Calibri" w:asciiTheme="minorEastAsia" w:hAnsiTheme="minorEastAsia"/>
          <w:b/>
          <w:bCs/>
          <w:kern w:val="0"/>
          <w:sz w:val="22"/>
        </w:rPr>
        <w:t>3.5 投标保证金</w:t>
      </w:r>
      <w:bookmarkEnd w:id="64"/>
      <w:r>
        <w:rPr>
          <w:rFonts w:hint="eastAsia" w:cs="Calibri" w:asciiTheme="minorEastAsia" w:hAnsiTheme="minorEastAsia"/>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6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cs="Calibri" w:asciiTheme="minorEastAsia" w:hAnsiTheme="minorEastAsia"/>
          <w:b/>
          <w:bCs/>
          <w:kern w:val="0"/>
          <w:sz w:val="22"/>
        </w:rPr>
      </w:pPr>
      <w:bookmarkStart w:id="67" w:name="_Toc32652"/>
      <w:r>
        <w:rPr>
          <w:rFonts w:cs="Calibri" w:asciiTheme="minorEastAsia" w:hAnsiTheme="minorEastAsia"/>
          <w:b/>
          <w:bCs/>
          <w:kern w:val="0"/>
          <w:sz w:val="22"/>
        </w:rPr>
        <w:t>4.投标</w:t>
      </w:r>
      <w:bookmarkEnd w:id="66"/>
      <w:bookmarkEnd w:id="67"/>
    </w:p>
    <w:p>
      <w:pPr>
        <w:autoSpaceDE w:val="0"/>
        <w:autoSpaceDN w:val="0"/>
        <w:adjustRightInd w:val="0"/>
        <w:snapToGrid w:val="0"/>
        <w:spacing w:line="360" w:lineRule="exact"/>
        <w:rPr>
          <w:rFonts w:cs="Calibri" w:asciiTheme="minorEastAsia" w:hAnsiTheme="minorEastAsia"/>
          <w:b/>
          <w:bCs/>
          <w:kern w:val="0"/>
          <w:sz w:val="22"/>
        </w:rPr>
      </w:pPr>
      <w:bookmarkStart w:id="68" w:name="_Toc649"/>
      <w:r>
        <w:rPr>
          <w:rFonts w:cs="Calibri" w:asciiTheme="minorEastAsia" w:hAnsiTheme="minorEastAsia"/>
          <w:b/>
          <w:bCs/>
          <w:kern w:val="0"/>
          <w:sz w:val="22"/>
        </w:rPr>
        <w:t>4.1 投标文件的密封和标识</w:t>
      </w:r>
      <w:bookmarkEnd w:id="6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69" w:name="_Toc16616"/>
      <w:r>
        <w:rPr>
          <w:rFonts w:cs="Calibri" w:asciiTheme="minorEastAsia" w:hAnsiTheme="minorEastAsia"/>
          <w:b/>
          <w:bCs/>
          <w:kern w:val="0"/>
          <w:sz w:val="22"/>
        </w:rPr>
        <w:t xml:space="preserve">4.2 投标文件的递交 </w:t>
      </w:r>
      <w:bookmarkEnd w:id="69"/>
    </w:p>
    <w:p>
      <w:pPr>
        <w:autoSpaceDE w:val="0"/>
        <w:autoSpaceDN w:val="0"/>
        <w:adjustRightInd w:val="0"/>
        <w:snapToGrid w:val="0"/>
        <w:spacing w:line="360" w:lineRule="exact"/>
        <w:ind w:firstLine="440"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70" w:name="_Toc26099"/>
      <w:r>
        <w:rPr>
          <w:rFonts w:cs="Calibri" w:asciiTheme="minorEastAsia" w:hAnsiTheme="minorEastAsia"/>
          <w:b/>
          <w:bCs/>
          <w:kern w:val="0"/>
          <w:sz w:val="22"/>
        </w:rPr>
        <w:t>4.3 投标文件的修改和撤回</w:t>
      </w:r>
      <w:bookmarkEnd w:id="7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71" w:name="_Toc29641"/>
      <w:r>
        <w:rPr>
          <w:rFonts w:cs="Calibri" w:asciiTheme="minorEastAsia" w:hAnsiTheme="minorEastAsia"/>
          <w:b/>
          <w:bCs/>
          <w:kern w:val="0"/>
          <w:sz w:val="22"/>
        </w:rPr>
        <w:t>5.开标</w:t>
      </w:r>
      <w:bookmarkEnd w:id="71"/>
    </w:p>
    <w:p>
      <w:pPr>
        <w:autoSpaceDE w:val="0"/>
        <w:autoSpaceDN w:val="0"/>
        <w:adjustRightInd w:val="0"/>
        <w:snapToGrid w:val="0"/>
        <w:spacing w:line="360" w:lineRule="exact"/>
        <w:rPr>
          <w:rFonts w:cs="Calibri" w:asciiTheme="minorEastAsia" w:hAnsiTheme="minorEastAsia"/>
          <w:b/>
          <w:bCs/>
          <w:kern w:val="0"/>
          <w:sz w:val="22"/>
        </w:rPr>
      </w:pPr>
      <w:bookmarkStart w:id="72" w:name="_Toc15123"/>
      <w:r>
        <w:rPr>
          <w:rFonts w:cs="Calibri" w:asciiTheme="minorEastAsia" w:hAnsiTheme="minorEastAsia"/>
          <w:b/>
          <w:bCs/>
          <w:kern w:val="0"/>
          <w:sz w:val="22"/>
        </w:rPr>
        <w:t>5.1 开标时间和地点</w:t>
      </w:r>
      <w:bookmarkEnd w:id="7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73"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7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74" w:name="_Toc31578"/>
      <w:r>
        <w:rPr>
          <w:rFonts w:cs="Calibri" w:asciiTheme="minorEastAsia" w:hAnsiTheme="minorEastAsia"/>
          <w:b/>
          <w:bCs/>
          <w:kern w:val="0"/>
          <w:sz w:val="22"/>
        </w:rPr>
        <w:t>6.评标</w:t>
      </w:r>
      <w:bookmarkEnd w:id="74"/>
    </w:p>
    <w:p>
      <w:pPr>
        <w:autoSpaceDE w:val="0"/>
        <w:autoSpaceDN w:val="0"/>
        <w:adjustRightInd w:val="0"/>
        <w:snapToGrid w:val="0"/>
        <w:spacing w:line="360" w:lineRule="exact"/>
        <w:rPr>
          <w:rFonts w:cs="Calibri" w:asciiTheme="minorEastAsia" w:hAnsiTheme="minorEastAsia"/>
          <w:b/>
          <w:bCs/>
          <w:kern w:val="0"/>
          <w:sz w:val="22"/>
        </w:rPr>
      </w:pPr>
      <w:bookmarkStart w:id="75" w:name="_Toc10279"/>
      <w:r>
        <w:rPr>
          <w:rFonts w:cs="Calibri" w:asciiTheme="minorEastAsia" w:hAnsiTheme="minorEastAsia"/>
          <w:b/>
          <w:bCs/>
          <w:kern w:val="0"/>
          <w:sz w:val="22"/>
        </w:rPr>
        <w:t>6.1 评标委员会</w:t>
      </w:r>
      <w:bookmarkEnd w:id="7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76" w:name="_Toc3460"/>
      <w:r>
        <w:rPr>
          <w:rFonts w:cs="Calibri" w:asciiTheme="minorEastAsia" w:hAnsiTheme="minorEastAsia"/>
          <w:b/>
          <w:bCs/>
          <w:kern w:val="0"/>
          <w:sz w:val="22"/>
        </w:rPr>
        <w:t>6.2 评标原则</w:t>
      </w:r>
      <w:bookmarkEnd w:id="7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77" w:name="_Toc28178"/>
      <w:r>
        <w:rPr>
          <w:rFonts w:cs="Calibri" w:asciiTheme="minorEastAsia" w:hAnsiTheme="minorEastAsia"/>
          <w:b/>
          <w:bCs/>
          <w:kern w:val="0"/>
          <w:sz w:val="22"/>
        </w:rPr>
        <w:t>6.3 评标</w:t>
      </w:r>
      <w:bookmarkEnd w:id="7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78" w:name="_Toc24237"/>
      <w:r>
        <w:rPr>
          <w:rFonts w:cs="Calibri" w:asciiTheme="minorEastAsia" w:hAnsiTheme="minorEastAsia"/>
          <w:b/>
          <w:bCs/>
          <w:kern w:val="0"/>
          <w:sz w:val="22"/>
        </w:rPr>
        <w:t>7.合同授予</w:t>
      </w:r>
      <w:bookmarkEnd w:id="78"/>
    </w:p>
    <w:p>
      <w:pPr>
        <w:autoSpaceDE w:val="0"/>
        <w:autoSpaceDN w:val="0"/>
        <w:adjustRightInd w:val="0"/>
        <w:snapToGrid w:val="0"/>
        <w:spacing w:line="360" w:lineRule="exact"/>
        <w:rPr>
          <w:rFonts w:cs="Calibri" w:asciiTheme="minorEastAsia" w:hAnsiTheme="minorEastAsia"/>
          <w:b/>
          <w:bCs/>
          <w:kern w:val="0"/>
          <w:sz w:val="22"/>
        </w:rPr>
      </w:pPr>
      <w:bookmarkStart w:id="79" w:name="_Toc18809"/>
      <w:r>
        <w:rPr>
          <w:rFonts w:cs="Calibri" w:asciiTheme="minorEastAsia" w:hAnsiTheme="minorEastAsia"/>
          <w:b/>
          <w:bCs/>
          <w:kern w:val="0"/>
          <w:sz w:val="22"/>
        </w:rPr>
        <w:t>7.1 定标方式</w:t>
      </w:r>
      <w:bookmarkEnd w:id="7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0" w:name="_Toc14573"/>
      <w:r>
        <w:rPr>
          <w:rFonts w:cs="Calibri" w:asciiTheme="minorEastAsia" w:hAnsiTheme="minorEastAsia"/>
          <w:b/>
          <w:bCs/>
          <w:kern w:val="0"/>
          <w:sz w:val="22"/>
        </w:rPr>
        <w:t>7.2 中标通知</w:t>
      </w:r>
      <w:bookmarkEnd w:id="8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81" w:name="_Toc27132"/>
      <w:bookmarkStart w:id="82"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81"/>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82"/>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3" w:name="_Toc219809801"/>
      <w:bookmarkStart w:id="84" w:name="_Toc11806"/>
      <w:bookmarkStart w:id="85" w:name="_Toc220123241"/>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3"/>
      <w:bookmarkEnd w:id="84"/>
      <w:bookmarkEnd w:id="85"/>
    </w:p>
    <w:p>
      <w:pPr>
        <w:autoSpaceDE w:val="0"/>
        <w:autoSpaceDN w:val="0"/>
        <w:adjustRightInd w:val="0"/>
        <w:snapToGrid w:val="0"/>
        <w:spacing w:line="360" w:lineRule="exact"/>
        <w:rPr>
          <w:rFonts w:cs="Calibri" w:asciiTheme="minorEastAsia" w:hAnsiTheme="minorEastAsia"/>
          <w:b/>
          <w:bCs/>
          <w:kern w:val="0"/>
          <w:sz w:val="22"/>
        </w:rPr>
      </w:pPr>
      <w:bookmarkStart w:id="86" w:name="_Toc220123242"/>
      <w:bookmarkStart w:id="87" w:name="_Toc15553"/>
      <w:bookmarkStart w:id="88" w:name="_Toc219809802"/>
      <w:r>
        <w:rPr>
          <w:rFonts w:cs="Calibri" w:asciiTheme="minorEastAsia" w:hAnsiTheme="minorEastAsia"/>
          <w:b/>
          <w:bCs/>
          <w:kern w:val="0"/>
          <w:sz w:val="22"/>
        </w:rPr>
        <w:t>8.1 重新招标</w:t>
      </w:r>
      <w:bookmarkEnd w:id="86"/>
      <w:bookmarkEnd w:id="87"/>
      <w:bookmarkEnd w:id="8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89" w:name="_Toc219809803"/>
      <w:bookmarkStart w:id="90" w:name="_Toc18806"/>
      <w:bookmarkStart w:id="91" w:name="_Toc220123243"/>
      <w:r>
        <w:rPr>
          <w:rFonts w:cs="Calibri" w:asciiTheme="minorEastAsia" w:hAnsiTheme="minorEastAsia"/>
          <w:b/>
          <w:bCs/>
          <w:kern w:val="0"/>
          <w:sz w:val="22"/>
        </w:rPr>
        <w:t>8.2 不再招标</w:t>
      </w:r>
      <w:bookmarkEnd w:id="89"/>
      <w:bookmarkEnd w:id="90"/>
      <w:bookmarkEnd w:id="9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92" w:name="_Toc215941254"/>
      <w:bookmarkStart w:id="93" w:name="_Toc219809804"/>
      <w:bookmarkStart w:id="94" w:name="_Toc220123244"/>
      <w:bookmarkStart w:id="95" w:name="_Toc2986"/>
      <w:r>
        <w:rPr>
          <w:rFonts w:cs="Calibri" w:asciiTheme="minorEastAsia" w:hAnsiTheme="minorEastAsia"/>
          <w:b/>
          <w:bCs/>
          <w:kern w:val="0"/>
          <w:sz w:val="22"/>
        </w:rPr>
        <w:t>9.纪律和监督</w:t>
      </w:r>
      <w:bookmarkEnd w:id="92"/>
      <w:bookmarkEnd w:id="93"/>
      <w:bookmarkEnd w:id="94"/>
      <w:bookmarkEnd w:id="95"/>
    </w:p>
    <w:p>
      <w:pPr>
        <w:autoSpaceDE w:val="0"/>
        <w:autoSpaceDN w:val="0"/>
        <w:adjustRightInd w:val="0"/>
        <w:snapToGrid w:val="0"/>
        <w:spacing w:line="360" w:lineRule="exact"/>
        <w:rPr>
          <w:rFonts w:cs="Calibri" w:asciiTheme="minorEastAsia" w:hAnsiTheme="minorEastAsia"/>
          <w:b/>
          <w:bCs/>
          <w:kern w:val="0"/>
          <w:sz w:val="22"/>
        </w:rPr>
      </w:pPr>
      <w:bookmarkStart w:id="96" w:name="_Toc219809805"/>
      <w:bookmarkStart w:id="97" w:name="_Toc220123245"/>
      <w:bookmarkStart w:id="98" w:name="_Toc5509"/>
      <w:r>
        <w:rPr>
          <w:rFonts w:cs="Calibri" w:asciiTheme="minorEastAsia" w:hAnsiTheme="minorEastAsia"/>
          <w:b/>
          <w:bCs/>
          <w:kern w:val="0"/>
          <w:sz w:val="22"/>
        </w:rPr>
        <w:t>9.1 对招标人的纪律要求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99" w:name="_Toc219809806"/>
      <w:bookmarkStart w:id="100" w:name="_Toc220123246"/>
      <w:bookmarkStart w:id="101" w:name="_Toc10820"/>
      <w:r>
        <w:rPr>
          <w:rFonts w:cs="Calibri" w:asciiTheme="minorEastAsia" w:hAnsiTheme="minorEastAsia"/>
          <w:b/>
          <w:bCs/>
          <w:kern w:val="0"/>
          <w:sz w:val="22"/>
        </w:rPr>
        <w:t>9.2 对投标人的纪律要求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102" w:name="_Toc10756"/>
      <w:bookmarkStart w:id="103" w:name="_Toc220123247"/>
      <w:bookmarkStart w:id="104" w:name="_Toc219809807"/>
      <w:r>
        <w:rPr>
          <w:rFonts w:cs="Calibri" w:asciiTheme="minorEastAsia" w:hAnsiTheme="minorEastAsia"/>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105" w:name="_Toc12792"/>
      <w:bookmarkStart w:id="106" w:name="_Toc220123248"/>
      <w:bookmarkStart w:id="107" w:name="_Toc219809808"/>
      <w:r>
        <w:rPr>
          <w:rFonts w:cs="Calibri" w:asciiTheme="minorEastAsia" w:hAnsiTheme="minorEastAsia"/>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108" w:name="_Toc239"/>
      <w:bookmarkStart w:id="109" w:name="_Toc220123249"/>
      <w:bookmarkStart w:id="110" w:name="_Toc219809809"/>
      <w:r>
        <w:rPr>
          <w:rFonts w:cs="Calibri" w:asciiTheme="minorEastAsia" w:hAnsiTheme="minorEastAsia"/>
          <w:b/>
          <w:bCs/>
          <w:kern w:val="0"/>
          <w:sz w:val="22"/>
        </w:rPr>
        <w:t>9.5 投诉</w:t>
      </w:r>
      <w:bookmarkEnd w:id="108"/>
      <w:bookmarkEnd w:id="109"/>
      <w:bookmarkEnd w:id="11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11" w:name="_Toc10817"/>
      <w:r>
        <w:rPr>
          <w:rFonts w:cs="Calibri" w:asciiTheme="minorEastAsia" w:hAnsiTheme="minorEastAsia"/>
          <w:b/>
          <w:bCs/>
          <w:kern w:val="0"/>
          <w:sz w:val="22"/>
        </w:rPr>
        <w:t>10. 需要补充的其他内容</w:t>
      </w:r>
      <w:bookmarkEnd w:id="111"/>
    </w:p>
    <w:p>
      <w:pPr>
        <w:autoSpaceDE w:val="0"/>
        <w:autoSpaceDN w:val="0"/>
        <w:adjustRightInd w:val="0"/>
        <w:snapToGrid w:val="0"/>
        <w:spacing w:line="360" w:lineRule="exact"/>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2" w:name="_Toc213036227"/>
      <w:bookmarkStart w:id="113" w:name="_Toc223327527"/>
    </w:p>
    <w:p>
      <w:pPr>
        <w:pStyle w:val="2"/>
        <w:spacing w:before="0" w:after="0" w:line="360" w:lineRule="auto"/>
        <w:jc w:val="center"/>
        <w:rPr>
          <w:rFonts w:ascii="Calibri" w:hAnsi="Calibri" w:eastAsia="黑体" w:cs="Calibri"/>
          <w:kern w:val="0"/>
          <w:sz w:val="32"/>
        </w:rPr>
      </w:pPr>
      <w:bookmarkStart w:id="114"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2"/>
      <w:bookmarkEnd w:id="113"/>
      <w:r>
        <w:rPr>
          <w:rFonts w:hint="eastAsia" w:ascii="Calibri" w:hAnsi="Calibri" w:eastAsia="黑体" w:cs="Calibri"/>
          <w:kern w:val="0"/>
          <w:sz w:val="32"/>
        </w:rPr>
        <w:t>服务技术标准及要求</w:t>
      </w:r>
      <w:bookmarkEnd w:id="114"/>
    </w:p>
    <w:p>
      <w:pPr>
        <w:adjustRightInd w:val="0"/>
        <w:snapToGrid w:val="0"/>
        <w:spacing w:line="360" w:lineRule="exact"/>
        <w:rPr>
          <w:rFonts w:ascii="宋体" w:hAnsi="宋体" w:cs="Calibri"/>
          <w:b/>
          <w:color w:val="000000"/>
          <w:sz w:val="22"/>
        </w:rPr>
      </w:pPr>
      <w:r>
        <w:rPr>
          <w:rFonts w:hint="eastAsia" w:ascii="宋体" w:hAnsi="宋体" w:cs="Calibri"/>
          <w:b/>
          <w:color w:val="000000"/>
          <w:sz w:val="22"/>
        </w:rPr>
        <w:t>一、报价要求：</w:t>
      </w:r>
    </w:p>
    <w:p>
      <w:pPr>
        <w:adjustRightInd w:val="0"/>
        <w:snapToGrid w:val="0"/>
        <w:spacing w:line="360" w:lineRule="exact"/>
        <w:ind w:firstLine="440" w:firstLineChars="200"/>
        <w:rPr>
          <w:rFonts w:cs="Calibri" w:asciiTheme="minorEastAsia" w:hAnsiTheme="minorEastAsia"/>
          <w:color w:val="000000"/>
          <w:sz w:val="22"/>
          <w:lang w:val="zh-CN"/>
        </w:rPr>
      </w:pPr>
      <w:r>
        <w:rPr>
          <w:rFonts w:cs="Calibri" w:asciiTheme="minorEastAsia" w:hAnsiTheme="minorEastAsia"/>
          <w:color w:val="000000"/>
          <w:sz w:val="22"/>
          <w:lang w:val="zh-CN"/>
        </w:rPr>
        <w:t>最终报价应为完成该项工作的全部费用。包括</w:t>
      </w:r>
      <w:r>
        <w:rPr>
          <w:rFonts w:hint="eastAsia" w:cs="Calibri" w:asciiTheme="minorEastAsia" w:hAnsiTheme="minorEastAsia"/>
          <w:color w:val="000000"/>
          <w:sz w:val="22"/>
          <w:lang w:val="zh-CN"/>
        </w:rPr>
        <w:t>但不限于</w:t>
      </w:r>
      <w:r>
        <w:rPr>
          <w:rFonts w:cs="Calibri" w:asciiTheme="minorEastAsia" w:hAnsiTheme="minorEastAsia"/>
          <w:color w:val="000000"/>
          <w:sz w:val="22"/>
          <w:lang w:val="zh-CN"/>
        </w:rPr>
        <w:t>：人工、补植费、花卉更换（一年6次）、</w:t>
      </w:r>
      <w:r>
        <w:rPr>
          <w:rFonts w:hint="eastAsia" w:cs="Calibri" w:asciiTheme="minorEastAsia" w:hAnsiTheme="minorEastAsia"/>
          <w:color w:val="000000"/>
          <w:sz w:val="22"/>
          <w:lang w:val="zh-CN"/>
        </w:rPr>
        <w:t>花镜设计费（一年不少</w:t>
      </w:r>
      <w:r>
        <w:rPr>
          <w:rFonts w:hint="eastAsia" w:cs="Calibri" w:asciiTheme="minorEastAsia" w:hAnsiTheme="minorEastAsia"/>
          <w:color w:val="000000" w:themeColor="text1"/>
          <w:sz w:val="22"/>
          <w:lang w:val="zh-CN"/>
          <w14:textFill>
            <w14:solidFill>
              <w14:schemeClr w14:val="tx1"/>
            </w14:solidFill>
          </w14:textFill>
        </w:rPr>
        <w:t>于</w:t>
      </w:r>
      <w:r>
        <w:rPr>
          <w:rFonts w:hint="eastAsia" w:cs="Calibri" w:asciiTheme="minorEastAsia" w:hAnsiTheme="minorEastAsia"/>
          <w:color w:val="000000" w:themeColor="text1"/>
          <w:sz w:val="22"/>
          <w14:textFill>
            <w14:solidFill>
              <w14:schemeClr w14:val="tx1"/>
            </w14:solidFill>
          </w14:textFill>
        </w:rPr>
        <w:t>3次</w:t>
      </w:r>
      <w:r>
        <w:rPr>
          <w:rFonts w:hint="eastAsia" w:cs="Calibri" w:asciiTheme="minorEastAsia" w:hAnsiTheme="minorEastAsia"/>
          <w:color w:val="000000"/>
          <w:sz w:val="22"/>
          <w:lang w:val="zh-CN"/>
        </w:rPr>
        <w:t>）、</w:t>
      </w:r>
      <w:r>
        <w:rPr>
          <w:rFonts w:cs="Calibri" w:asciiTheme="minorEastAsia" w:hAnsiTheme="minorEastAsia"/>
          <w:color w:val="000000"/>
          <w:sz w:val="22"/>
          <w:lang w:val="zh-CN"/>
        </w:rPr>
        <w:t>水电费、巡视、施肥、环境保护及其他</w:t>
      </w:r>
      <w:r>
        <w:rPr>
          <w:rFonts w:hint="eastAsia" w:cs="Calibri" w:asciiTheme="minorEastAsia" w:hAnsiTheme="minorEastAsia"/>
          <w:color w:val="000000"/>
          <w:sz w:val="22"/>
          <w:lang w:val="zh-CN"/>
        </w:rPr>
        <w:t>不可预见费，承包风险费、政策性调整风险等一切费用</w:t>
      </w:r>
      <w:r>
        <w:rPr>
          <w:rFonts w:cs="Calibri" w:asciiTheme="minorEastAsia" w:hAnsiTheme="minorEastAsia"/>
          <w:color w:val="000000"/>
          <w:sz w:val="22"/>
          <w:lang w:val="zh-CN"/>
        </w:rPr>
        <w:t>。</w:t>
      </w:r>
    </w:p>
    <w:p>
      <w:pPr>
        <w:adjustRightInd w:val="0"/>
        <w:snapToGrid w:val="0"/>
        <w:spacing w:line="360" w:lineRule="exact"/>
        <w:ind w:firstLine="440" w:firstLineChars="200"/>
        <w:rPr>
          <w:rFonts w:cs="Calibri" w:asciiTheme="minorEastAsia" w:hAnsiTheme="minorEastAsia"/>
          <w:color w:val="000000"/>
          <w:sz w:val="22"/>
          <w:lang w:val="zh-CN"/>
        </w:rPr>
      </w:pPr>
      <w:r>
        <w:rPr>
          <w:rFonts w:hint="eastAsia" w:cs="Calibri" w:asciiTheme="minorEastAsia" w:hAnsiTheme="minorEastAsia"/>
          <w:color w:val="000000"/>
          <w:sz w:val="22"/>
          <w:lang w:val="zh-CN"/>
        </w:rPr>
        <w:t>如遇节日、迎检、重大活动保障及自然灾害时，中标人须服从招标人统一安排，增加有关人员，延长服务时间，所需费用投标人综合考虑，中标后不做增加。</w:t>
      </w:r>
    </w:p>
    <w:p>
      <w:pPr>
        <w:adjustRightInd w:val="0"/>
        <w:snapToGrid w:val="0"/>
        <w:spacing w:line="360" w:lineRule="exact"/>
        <w:ind w:firstLine="440" w:firstLineChars="200"/>
        <w:rPr>
          <w:rFonts w:cs="Calibri" w:asciiTheme="minorEastAsia" w:hAnsiTheme="minorEastAsia"/>
          <w:color w:val="000000"/>
          <w:sz w:val="22"/>
          <w:lang w:val="zh-CN"/>
        </w:rPr>
      </w:pPr>
      <w:r>
        <w:rPr>
          <w:rFonts w:cs="Calibri" w:asciiTheme="minorEastAsia" w:hAnsiTheme="minorEastAsia"/>
          <w:color w:val="000000"/>
          <w:sz w:val="22"/>
          <w:lang w:val="zh-CN"/>
        </w:rPr>
        <w:t>本次服务范围内的自来水及喷灌设施由投标人自行承担，投标人在报价时需考虑此项费用。</w:t>
      </w:r>
    </w:p>
    <w:p>
      <w:pPr>
        <w:snapToGrid w:val="0"/>
        <w:spacing w:line="360" w:lineRule="exact"/>
        <w:ind w:firstLine="440" w:firstLineChars="200"/>
        <w:rPr>
          <w:rFonts w:cs="Calibri" w:asciiTheme="minorEastAsia" w:hAnsiTheme="minorEastAsia"/>
          <w:color w:val="000000"/>
          <w:sz w:val="22"/>
          <w:lang w:val="zh-CN"/>
        </w:rPr>
      </w:pPr>
      <w:r>
        <w:rPr>
          <w:rFonts w:cs="Calibri" w:asciiTheme="minorEastAsia" w:hAnsiTheme="minorEastAsia"/>
          <w:color w:val="000000"/>
          <w:sz w:val="22"/>
          <w:lang w:val="zh-CN"/>
        </w:rPr>
        <w:t>本项目范围内养护用水、用电由投标人自理，并按时交纳水电费，招标人积极提供便利。养护用电用水将单独装表计量，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施工用电：由发包人提供用电接口，场内接管、安装电表由承包人自行解决，承包人施工前需向机场水电管理部门提出申请并通过。电费以供电局电价0.7927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按机场公司相关规定结算，费用由投标人承担。如需新装水电表的，费用由投标人承担。</w:t>
      </w:r>
    </w:p>
    <w:p>
      <w:pPr>
        <w:numPr>
          <w:ilvl w:val="0"/>
          <w:numId w:val="1"/>
        </w:numPr>
        <w:adjustRightInd w:val="0"/>
        <w:snapToGrid w:val="0"/>
        <w:spacing w:line="360" w:lineRule="exact"/>
        <w:rPr>
          <w:rFonts w:ascii="宋体" w:hAnsi="宋体" w:cs="Calibri"/>
          <w:b/>
          <w:color w:val="000000"/>
          <w:sz w:val="22"/>
        </w:rPr>
      </w:pPr>
      <w:r>
        <w:rPr>
          <w:rFonts w:hint="eastAsia" w:ascii="宋体" w:hAnsi="宋体" w:cs="Calibri"/>
          <w:b/>
          <w:color w:val="000000"/>
          <w:sz w:val="22"/>
        </w:rPr>
        <w:t>服务要求</w:t>
      </w:r>
    </w:p>
    <w:p>
      <w:pPr>
        <w:adjustRightInd w:val="0"/>
        <w:snapToGrid w:val="0"/>
        <w:spacing w:line="360" w:lineRule="exact"/>
        <w:ind w:firstLine="440" w:firstLineChars="200"/>
        <w:rPr>
          <w:rFonts w:cs="Calibri" w:asciiTheme="minorEastAsia" w:hAnsiTheme="minorEastAsia"/>
          <w:color w:val="FF0000"/>
          <w:sz w:val="22"/>
          <w:lang w:val="zh-CN"/>
        </w:rPr>
      </w:pPr>
      <w:r>
        <w:rPr>
          <w:rFonts w:hint="eastAsia" w:cs="Calibri" w:asciiTheme="minorEastAsia" w:hAnsiTheme="minorEastAsia"/>
          <w:color w:val="000000"/>
          <w:sz w:val="22"/>
        </w:rPr>
        <w:t>负责时花种植（包括清除原有时花、翻土、土壤消毒）、维护、养护、保洁工作，种植容器（花箱）的管理；负责适时更新残花、按时更换时花，保持盛花率90%以上，保持时花美观。时花种植一年不少于6次；负责花箱、花镜的保洁、维护，包括更换受损花箱，及时清洗，保持花箱干净；按照不同季节选择合适的时花报招标人审核后方可种植，时花品种参照招标文件所附参考清单，但不限于该清单，招标人有权根据市场花卉供应情况选用其他时花品种；负责每年更换一次花箱，花箱样式报招标人审核后方可更换；综合服务楼花镜每年至少需更换2次造型，更换前须报设计方案于招标人审核后方可实施，造型需独特、新颖，必要时营造山水景观、枯山水景观等。</w:t>
      </w:r>
      <w:r>
        <w:rPr>
          <w:rFonts w:hint="eastAsia" w:cs="Calibri" w:asciiTheme="minorEastAsia" w:hAnsiTheme="minorEastAsia"/>
          <w:color w:val="000000"/>
          <w:sz w:val="22"/>
          <w:lang w:val="zh-CN"/>
        </w:rPr>
        <w:t>投标人</w:t>
      </w:r>
      <w:r>
        <w:rPr>
          <w:rFonts w:cs="Calibri" w:asciiTheme="minorEastAsia" w:hAnsiTheme="minorEastAsia"/>
          <w:color w:val="000000"/>
          <w:sz w:val="22"/>
          <w:lang w:val="zh-CN"/>
        </w:rPr>
        <w:t>每次更换花卉需提前7个工作日将更换花卉品质、规格、数量等报于招标人，待招标人审核完毕后才能进行更换，另外招标人有权指定品种，请投标人统筹考虑。</w:t>
      </w:r>
    </w:p>
    <w:p>
      <w:pPr>
        <w:adjustRightInd w:val="0"/>
        <w:snapToGrid w:val="0"/>
        <w:spacing w:line="360" w:lineRule="exact"/>
        <w:rPr>
          <w:rFonts w:ascii="宋体" w:hAnsi="宋体" w:cs="Calibri"/>
          <w:b/>
          <w:color w:val="000000"/>
          <w:sz w:val="22"/>
        </w:rPr>
      </w:pPr>
      <w:r>
        <w:rPr>
          <w:rFonts w:hint="eastAsia" w:ascii="宋体" w:hAnsi="宋体" w:cs="Calibri"/>
          <w:b/>
          <w:color w:val="000000"/>
          <w:sz w:val="22"/>
        </w:rPr>
        <w:t xml:space="preserve">    </w:t>
      </w:r>
      <w:r>
        <w:rPr>
          <w:rFonts w:ascii="宋体" w:hAnsi="宋体" w:cs="Calibri"/>
          <w:b/>
          <w:color w:val="000000"/>
          <w:sz w:val="22"/>
        </w:rPr>
        <w:t>1.</w:t>
      </w:r>
      <w:r>
        <w:rPr>
          <w:rFonts w:hint="eastAsia" w:ascii="宋体" w:hAnsi="宋体" w:cs="Calibri"/>
          <w:b/>
          <w:color w:val="000000"/>
          <w:sz w:val="22"/>
        </w:rPr>
        <w:t>养护服务内容及要求：</w:t>
      </w:r>
      <w:r>
        <w:rPr>
          <w:rFonts w:hint="eastAsia" w:cs="Calibri" w:asciiTheme="minorEastAsia" w:hAnsiTheme="minorEastAsia"/>
          <w:color w:val="000000"/>
          <w:sz w:val="22"/>
          <w:lang w:val="zh-CN"/>
        </w:rPr>
        <w:t>包含但不限于以下内容：</w:t>
      </w:r>
      <w:r>
        <w:rPr>
          <w:rFonts w:hint="eastAsia" w:cs="Calibri" w:asciiTheme="minorEastAsia" w:hAnsiTheme="minorEastAsia"/>
          <w:color w:val="000000"/>
          <w:sz w:val="22"/>
        </w:rPr>
        <w:t>1、按照招标人实际需求更换、养护花箱时花；2、松土除草、浇水或排水；3、整形修剪；4、病虫害防治；5、补植；6、施肥；7、补栽；8、绿地容貌（及时清运杂草、死苗等养护残留物）；9、清雪；10、夜间浇水、12、花镜设计及造型。具体如下：</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根据不同品种进行养护管理，不得因缺水、少肥造成枝叶萎蔫、枯黄，必要时追肥催花；</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应进行病虫害预防性防治，发病后，应于发病初期立即防治，并要求诊断准确、用药合理；</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发生虫害时，应适期用药，但应尽可能避免使用高毒和刺激性强气味大的农药；</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如不发生人为破坏或自然灾害，存活率达到95%以上，达不到存活率应及时补植；</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b/>
          <w:color w:val="000000"/>
          <w:sz w:val="22"/>
        </w:rPr>
        <w:t>2.</w:t>
      </w:r>
      <w:r>
        <w:rPr>
          <w:rFonts w:hint="eastAsia" w:cs="Calibri" w:asciiTheme="minorEastAsia" w:hAnsiTheme="minorEastAsia"/>
          <w:b/>
          <w:color w:val="000000"/>
          <w:sz w:val="22"/>
        </w:rPr>
        <w:t>养护标准：</w:t>
      </w:r>
      <w:r>
        <w:rPr>
          <w:rFonts w:hint="eastAsia" w:cs="Calibri" w:asciiTheme="minorEastAsia" w:hAnsiTheme="minorEastAsia"/>
          <w:color w:val="000000"/>
          <w:sz w:val="22"/>
        </w:rPr>
        <w:t>植物生长正常，住型丰满。花卉生长季节有花可观，无徒长现象、无杂草，常绿植物不影响7️其景观效果，无明显病虫害；花箱需严格遵守养护方案，干净美观。</w:t>
      </w:r>
    </w:p>
    <w:p>
      <w:pPr>
        <w:adjustRightInd w:val="0"/>
        <w:snapToGrid w:val="0"/>
        <w:spacing w:line="360" w:lineRule="exact"/>
        <w:ind w:firstLine="440" w:firstLineChars="200"/>
        <w:rPr>
          <w:rFonts w:cs="Calibri" w:asciiTheme="minorEastAsia" w:hAnsiTheme="minorEastAsia"/>
          <w:color w:val="000000"/>
          <w:sz w:val="22"/>
          <w:lang w:val="zh-CN"/>
        </w:rPr>
      </w:pPr>
      <w:r>
        <w:rPr>
          <w:rFonts w:cs="Calibri" w:asciiTheme="minorEastAsia" w:hAnsiTheme="minorEastAsia"/>
          <w:b/>
          <w:color w:val="000000"/>
          <w:sz w:val="22"/>
          <w:lang w:val="zh-CN"/>
        </w:rPr>
        <w:t>3.绿化养护要求</w:t>
      </w:r>
      <w:r>
        <w:rPr>
          <w:rFonts w:hint="eastAsia" w:cs="Calibri" w:asciiTheme="minorEastAsia" w:hAnsiTheme="minorEastAsia"/>
          <w:b/>
          <w:color w:val="000000"/>
          <w:sz w:val="22"/>
          <w:lang w:val="zh-CN"/>
        </w:rPr>
        <w:t>：</w:t>
      </w:r>
      <w:r>
        <w:rPr>
          <w:rFonts w:cs="Calibri" w:asciiTheme="minorEastAsia" w:hAnsiTheme="minorEastAsia"/>
          <w:color w:val="000000"/>
          <w:sz w:val="22"/>
          <w:lang w:val="zh-CN"/>
        </w:rPr>
        <w:t>投标人应适期、适量对服务区内绿植进行养护，包括浇水、施肥、病虫害防治等其他内容，保证其美观效果；杜绝浇水溢出等不利于养护现象。投标人及时进行人工拔除区域内各类杂草。如使用化学药剂需做好化学药剂及化学药剂包装的处置工作，做好相关人员的安全防护工作，产生的安全责任及环境保护问题由投标人</w:t>
      </w:r>
      <w:r>
        <w:rPr>
          <w:rFonts w:hint="eastAsia" w:cs="Calibri" w:asciiTheme="minorEastAsia" w:hAnsiTheme="minorEastAsia"/>
          <w:color w:val="000000"/>
          <w:sz w:val="22"/>
          <w:lang w:val="zh-CN"/>
        </w:rPr>
        <w:t>自行</w:t>
      </w:r>
      <w:r>
        <w:rPr>
          <w:rFonts w:cs="Calibri" w:asciiTheme="minorEastAsia" w:hAnsiTheme="minorEastAsia"/>
          <w:color w:val="000000"/>
          <w:sz w:val="22"/>
          <w:lang w:val="zh-CN"/>
        </w:rPr>
        <w:t>承担，</w:t>
      </w:r>
      <w:r>
        <w:rPr>
          <w:rFonts w:hint="eastAsia" w:cs="Calibri" w:asciiTheme="minorEastAsia" w:hAnsiTheme="minorEastAsia"/>
          <w:color w:val="000000"/>
          <w:sz w:val="22"/>
          <w:lang w:val="zh-CN"/>
        </w:rPr>
        <w:t>招标人</w:t>
      </w:r>
      <w:r>
        <w:rPr>
          <w:rFonts w:cs="Calibri" w:asciiTheme="minorEastAsia" w:hAnsiTheme="minorEastAsia"/>
          <w:color w:val="000000"/>
          <w:sz w:val="22"/>
          <w:lang w:val="zh-CN"/>
        </w:rPr>
        <w:t>不承担由此导致的任何法律责任。投标人应保持服务区内的每日整洁，发现垃圾及时清除。投标人因作业产生的废料应及时清除，并不得随意丢弃，必要时清运处理。投标人摆放作业员应每2天检查病虫害发生情况，发现病虫害应在2天内治理完毕，并做好病虫害防治工作台帐，保证楼内植物常年无明显病虫害。投标人负责派专业人员每周对本合同约定范围内的所有区域绿植养护一次，并根据季节及每种绿植的特征进行浇水、施肥、培育、修剪枝杈及防治病虫害，并根据</w:t>
      </w:r>
      <w:r>
        <w:rPr>
          <w:rFonts w:hint="eastAsia" w:cs="Calibri" w:asciiTheme="minorEastAsia" w:hAnsiTheme="minorEastAsia"/>
          <w:color w:val="000000"/>
          <w:sz w:val="22"/>
          <w:lang w:val="zh-CN"/>
        </w:rPr>
        <w:t>招标人</w:t>
      </w:r>
      <w:r>
        <w:rPr>
          <w:rFonts w:cs="Calibri" w:asciiTheme="minorEastAsia" w:hAnsiTheme="minorEastAsia"/>
          <w:color w:val="000000"/>
          <w:sz w:val="22"/>
          <w:lang w:val="zh-CN"/>
        </w:rPr>
        <w:t>的意见调整绿植的摆放位置。投标人应保证植物生长良好，各视角长势均衡，如植物坏死或景观效果不佳，应及时无偿更换。投标人需建立日常巡查制度，巡查人员对服务区域每2天巡查一次，发现问题及时整改，并做好相关台账以备招标人检查。投标人的项目经理、工作人员或者派遣人员统一着装，标志明显，管理方式应文明、礼貌，对损坏花卉现象应及时予以制止，遇到严重的破坏行为应及时联系相关部门并上报</w:t>
      </w:r>
      <w:r>
        <w:rPr>
          <w:rFonts w:hint="eastAsia" w:cs="Calibri" w:asciiTheme="minorEastAsia" w:hAnsiTheme="minorEastAsia"/>
          <w:color w:val="000000"/>
          <w:sz w:val="22"/>
          <w:lang w:val="zh-CN"/>
        </w:rPr>
        <w:t>招标人</w:t>
      </w:r>
      <w:r>
        <w:rPr>
          <w:rFonts w:cs="Calibri" w:asciiTheme="minorEastAsia" w:hAnsiTheme="minorEastAsia"/>
          <w:color w:val="000000"/>
          <w:sz w:val="22"/>
          <w:lang w:val="zh-CN"/>
        </w:rPr>
        <w:t>。</w:t>
      </w:r>
    </w:p>
    <w:p>
      <w:pPr>
        <w:adjustRightInd w:val="0"/>
        <w:snapToGrid w:val="0"/>
        <w:spacing w:line="360" w:lineRule="exact"/>
        <w:rPr>
          <w:rFonts w:cs="Calibri" w:asciiTheme="minorEastAsia" w:hAnsiTheme="minorEastAsia"/>
          <w:color w:val="000000"/>
          <w:sz w:val="22"/>
          <w:lang w:val="zh-CN"/>
        </w:rPr>
      </w:pPr>
      <w:r>
        <w:rPr>
          <w:rFonts w:hint="eastAsia" w:ascii="宋体" w:hAnsi="宋体" w:cs="Calibri"/>
          <w:b/>
          <w:color w:val="000000"/>
          <w:sz w:val="22"/>
        </w:rPr>
        <w:t xml:space="preserve">    </w:t>
      </w:r>
      <w:r>
        <w:rPr>
          <w:rFonts w:ascii="宋体" w:hAnsi="宋体" w:cs="Calibri"/>
          <w:b/>
          <w:color w:val="000000"/>
          <w:sz w:val="22"/>
          <w:lang w:val="zh-CN"/>
        </w:rPr>
        <w:t>4.</w:t>
      </w:r>
      <w:r>
        <w:rPr>
          <w:rFonts w:hint="eastAsia" w:ascii="宋体" w:hAnsi="宋体" w:cs="Calibri"/>
          <w:b/>
          <w:color w:val="000000"/>
          <w:sz w:val="22"/>
          <w:lang w:val="zh-CN"/>
        </w:rPr>
        <w:t>花器养护要求：</w:t>
      </w:r>
      <w:r>
        <w:rPr>
          <w:rFonts w:cs="Calibri" w:asciiTheme="minorEastAsia" w:hAnsiTheme="minorEastAsia"/>
          <w:color w:val="000000"/>
          <w:sz w:val="22"/>
          <w:lang w:val="zh-CN"/>
        </w:rPr>
        <w:t>投标人应每日保持花器整洁。投标人需做好花器、花境等的养护保养工作，包括但不限于</w:t>
      </w:r>
      <w:r>
        <w:rPr>
          <w:rFonts w:hint="eastAsia" w:cs="Calibri" w:asciiTheme="minorEastAsia" w:hAnsiTheme="minorEastAsia"/>
          <w:color w:val="000000"/>
          <w:sz w:val="22"/>
          <w:lang w:val="zh-CN"/>
        </w:rPr>
        <w:t>花箱</w:t>
      </w:r>
      <w:r>
        <w:rPr>
          <w:rFonts w:cs="Calibri" w:asciiTheme="minorEastAsia" w:hAnsiTheme="minorEastAsia"/>
          <w:color w:val="000000"/>
          <w:sz w:val="22"/>
          <w:lang w:val="zh-CN"/>
        </w:rPr>
        <w:t>刷防腐漆、维修、破损更换等。</w:t>
      </w:r>
    </w:p>
    <w:p>
      <w:pPr>
        <w:adjustRightInd w:val="0"/>
        <w:snapToGrid w:val="0"/>
        <w:spacing w:line="360" w:lineRule="exact"/>
        <w:rPr>
          <w:rFonts w:cs="Calibri" w:asciiTheme="minorEastAsia" w:hAnsiTheme="minorEastAsia"/>
          <w:color w:val="000000"/>
          <w:sz w:val="22"/>
          <w:lang w:val="zh-CN"/>
        </w:rPr>
      </w:pPr>
      <w:r>
        <w:rPr>
          <w:rFonts w:hint="eastAsia" w:ascii="宋体" w:hAnsi="宋体" w:cs="Calibri"/>
          <w:b/>
          <w:color w:val="000000"/>
          <w:sz w:val="22"/>
        </w:rPr>
        <w:t xml:space="preserve">    </w:t>
      </w:r>
      <w:r>
        <w:rPr>
          <w:rFonts w:ascii="宋体" w:hAnsi="宋体" w:cs="Calibri"/>
          <w:b/>
          <w:color w:val="000000"/>
          <w:sz w:val="22"/>
        </w:rPr>
        <w:t>5.</w:t>
      </w:r>
      <w:r>
        <w:rPr>
          <w:rFonts w:hint="eastAsia" w:ascii="宋体" w:hAnsi="宋体" w:cs="Calibri"/>
          <w:b/>
          <w:color w:val="000000"/>
          <w:sz w:val="22"/>
          <w:lang w:val="zh-CN"/>
        </w:rPr>
        <w:t>防意外及修复工作：</w:t>
      </w:r>
      <w:r>
        <w:rPr>
          <w:rFonts w:cs="Calibri" w:asciiTheme="minorEastAsia" w:hAnsiTheme="minorEastAsia"/>
          <w:color w:val="000000"/>
          <w:sz w:val="22"/>
          <w:lang w:val="zh-CN"/>
        </w:rPr>
        <w:t>防风、防汛、防寒等自然灾害及预防火灾等，以及人为破坏、交通事故等绿地造成损坏的要及时组织修复。</w:t>
      </w:r>
    </w:p>
    <w:p>
      <w:pPr>
        <w:numPr>
          <w:ilvl w:val="0"/>
          <w:numId w:val="1"/>
        </w:numPr>
        <w:adjustRightInd w:val="0"/>
        <w:snapToGrid w:val="0"/>
        <w:spacing w:line="360" w:lineRule="exact"/>
        <w:rPr>
          <w:rFonts w:ascii="宋体" w:hAnsi="宋体" w:cs="Calibri"/>
          <w:b/>
          <w:color w:val="000000"/>
          <w:sz w:val="22"/>
          <w:lang w:val="zh-CN"/>
        </w:rPr>
      </w:pPr>
      <w:r>
        <w:rPr>
          <w:rFonts w:hint="eastAsia" w:ascii="宋体" w:hAnsi="宋体" w:cs="Calibri"/>
          <w:b/>
          <w:color w:val="000000"/>
          <w:sz w:val="22"/>
          <w:lang w:val="zh-CN"/>
        </w:rPr>
        <w:t>注意事项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1.绿化养护作业时不影响行人和周围环境；</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2.除草、清理死苗要及时清理干净、做到日产日清；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3.技术管理人员应熟悉养护管理规程及不同植物的习性；</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4.养护人员应按安全操作规程施工，注意劳动安全；</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5.养护产生的草叶、枯枝等禁止燃烧，处理要符合环保要求；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绿化养护中使用的农药必须是国家规定使用的农药，不得使用国家法规禁止使用的农药。要尽量用高效低毒农药，减少对大气土壤的污染。同时，对能够使用生物防治的虫害要采取生物防治方法，减少农药的使用量；</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7.使用完的农药包装物属于危险固废物，要按照环保有关规定进行处理。避免对环境造成污染，损害人的身体健康。没有使用完的农药，要妥善保管，进行有效封存。</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8.投标人应服从招标人的管理，如遇重大活动、庆典等需要修剪、浇水、清理卫生等，承包人应及时无条件按要求完成。 </w:t>
      </w:r>
    </w:p>
    <w:p>
      <w:pPr>
        <w:spacing w:line="300" w:lineRule="auto"/>
        <w:ind w:firstLine="440" w:firstLineChars="200"/>
        <w:rPr>
          <w:rFonts w:ascii="宋体" w:hAnsi="宋体" w:cs="Calibri"/>
          <w:b/>
          <w:color w:val="000000"/>
          <w:sz w:val="22"/>
        </w:rPr>
      </w:pPr>
      <w:r>
        <w:rPr>
          <w:rFonts w:hint="eastAsia" w:ascii="宋体" w:hAnsi="宋体" w:cs="Calibri"/>
          <w:b/>
          <w:color w:val="000000"/>
          <w:sz w:val="22"/>
        </w:rPr>
        <w:t>四、考核标准</w:t>
      </w:r>
    </w:p>
    <w:p>
      <w:pPr>
        <w:adjustRightInd w:val="0"/>
        <w:snapToGrid w:val="0"/>
        <w:spacing w:line="360" w:lineRule="auto"/>
        <w:ind w:firstLine="440" w:firstLineChars="200"/>
        <w:rPr>
          <w:rFonts w:ascii="宋体" w:hAnsi="宋体"/>
          <w:sz w:val="22"/>
        </w:rPr>
      </w:pPr>
      <w:r>
        <w:rPr>
          <w:rFonts w:hint="eastAsia" w:ascii="宋体" w:hAnsi="宋体"/>
          <w:sz w:val="22"/>
        </w:rPr>
        <w:t>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adjustRightInd w:val="0"/>
        <w:snapToGrid w:val="0"/>
        <w:spacing w:line="360" w:lineRule="auto"/>
        <w:ind w:firstLine="440" w:firstLineChars="200"/>
        <w:rPr>
          <w:rFonts w:ascii="宋体" w:hAnsi="宋体"/>
          <w:sz w:val="22"/>
        </w:rPr>
      </w:pPr>
      <w:r>
        <w:rPr>
          <w:rFonts w:hint="eastAsia" w:ascii="宋体" w:hAnsi="宋体"/>
          <w:sz w:val="22"/>
        </w:rPr>
        <w:t>本合同有效期限内如连续两个月度考核得分低于85分（包含85分）或在一个自然外包年度内有三个月的月度考核得分低于85分（包含85分），甲方有权终止本合同，乙方缴纳的履约保证金全额不予以退还。</w:t>
      </w:r>
    </w:p>
    <w:p>
      <w:pPr>
        <w:adjustRightInd w:val="0"/>
        <w:snapToGrid w:val="0"/>
        <w:spacing w:line="360" w:lineRule="auto"/>
        <w:ind w:firstLine="440" w:firstLineChars="200"/>
        <w:rPr>
          <w:rFonts w:ascii="宋体" w:hAnsi="宋体"/>
          <w:sz w:val="22"/>
        </w:rPr>
      </w:pPr>
      <w:r>
        <w:rPr>
          <w:rFonts w:hint="eastAsia" w:ascii="宋体" w:hAnsi="宋体"/>
          <w:sz w:val="22"/>
        </w:rPr>
        <w:t>续约考核。在考核期届满前六个月，甲方组织续约考核，考核分数为考核期内月度考核分数的算术平均数，达到95 分以上（含95 分）为考核合格。考核不合格则甲方有权终止本合同，</w:t>
      </w:r>
      <w:r>
        <w:rPr>
          <w:rFonts w:hint="eastAsia" w:ascii="宋体" w:hAnsi="宋体" w:cs="Arial"/>
          <w:kern w:val="0"/>
          <w:sz w:val="22"/>
        </w:rPr>
        <w:t>并有权要求本项目的中标人赔偿因更换承包商所产生的高于原合同费用的差价、律师费、招标代理费等费用</w:t>
      </w:r>
      <w:r>
        <w:rPr>
          <w:rFonts w:hint="eastAsia" w:ascii="宋体" w:hAnsi="宋体"/>
          <w:sz w:val="22"/>
        </w:rPr>
        <w:t>，乙方缴纳的履约保证金全额不予以退还。</w:t>
      </w:r>
    </w:p>
    <w:p>
      <w:pPr>
        <w:adjustRightInd w:val="0"/>
        <w:snapToGrid w:val="0"/>
        <w:spacing w:line="360" w:lineRule="auto"/>
        <w:ind w:firstLine="440" w:firstLineChars="200"/>
        <w:rPr>
          <w:rFonts w:ascii="宋体" w:hAnsi="宋体"/>
          <w:sz w:val="22"/>
        </w:rPr>
      </w:pPr>
    </w:p>
    <w:p>
      <w:pPr>
        <w:pStyle w:val="140"/>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机场公司业务外包项目月（季）度考核表</w:t>
      </w:r>
    </w:p>
    <w:p>
      <w:pPr>
        <w:pStyle w:val="2"/>
        <w:shd w:val="clear" w:color="auto" w:fill="FFFFFF"/>
        <w:spacing w:before="0" w:after="0" w:line="210" w:lineRule="atLeast"/>
        <w:ind w:firstLine="2650" w:firstLineChars="600"/>
        <w:rPr>
          <w:rFonts w:ascii="Tahoma" w:hAnsi="Tahoma" w:cs="Tahoma"/>
          <w:color w:val="333333"/>
          <w:sz w:val="24"/>
          <w:szCs w:val="45"/>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1312;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DSLxJUyQEAAGQDAAAOAAAAAAAAAAEAIAAAACcBAABk&#10;cnMvZTJvRG9jLnhtbFBLBQYAAAAABgAGAFkBAABiBQAAAAA=&#10;">
                <v:fill on="f" focussize="0,0"/>
                <v:stroke weight="1.5pt" color="#000000 [3213]" miterlimit="8" joinstyle="miter"/>
                <v:imagedata o:title=""/>
                <o:lock v:ext="edit" aspectratio="f"/>
              </v:line>
            </w:pict>
          </mc:Fallback>
        </mc:AlternateContent>
      </w:r>
      <w:r>
        <w:rPr>
          <w:rFonts w:ascii="Tahoma" w:hAnsi="Tahoma" w:cs="Tahoma"/>
          <w:color w:val="333333"/>
          <w:sz w:val="24"/>
          <w:szCs w:val="45"/>
        </w:rPr>
        <w:t>HIA Outsource Evaluation Form.E2</w:t>
      </w:r>
    </w:p>
    <w:p>
      <w:pPr>
        <w:pStyle w:val="2"/>
        <w:shd w:val="clear" w:color="auto" w:fill="FFFFFF"/>
        <w:spacing w:before="0" w:after="0"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rPr>
        <w:t xml:space="preserve">      ◆考核时间：</w:t>
      </w:r>
      <w:r>
        <w:rPr>
          <w:rFonts w:hint="eastAsia" w:ascii="Adobe 楷体 Std R" w:hAnsi="Adobe 楷体 Std R" w:eastAsia="Adobe 楷体 Std R"/>
          <w:sz w:val="24"/>
          <w:szCs w:val="32"/>
          <w:u w:val="single"/>
        </w:rPr>
        <w:t xml:space="preserve">              </w:t>
      </w:r>
    </w:p>
    <w:tbl>
      <w:tblPr>
        <w:tblStyle w:val="53"/>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ind w:left="2"/>
              <w:jc w:val="center"/>
              <w:rPr>
                <w:rFonts w:ascii="宋体" w:hAnsi="宋体"/>
                <w:b/>
                <w:color w:val="000000"/>
              </w:rPr>
            </w:pPr>
            <w:r>
              <w:rPr>
                <w:rFonts w:hint="eastAsia" w:ascii="宋体" w:hAnsi="宋体"/>
                <w:b/>
                <w:color w:val="000000"/>
              </w:rPr>
              <w:t>章 节</w:t>
            </w:r>
          </w:p>
        </w:tc>
        <w:tc>
          <w:tcPr>
            <w:tcW w:w="2670" w:type="dxa"/>
            <w:tcBorders>
              <w:top w:val="single" w:color="000000" w:sz="12" w:space="0"/>
              <w:left w:val="single" w:color="000000" w:sz="2" w:space="0"/>
              <w:bottom w:val="single" w:color="000000" w:sz="2" w:space="0"/>
              <w:right w:val="single" w:color="000000" w:sz="2" w:space="0"/>
            </w:tcBorders>
            <w:shd w:val="clear" w:color="auto" w:fill="B4C6E7"/>
          </w:tcPr>
          <w:p>
            <w:pPr>
              <w:spacing w:line="256" w:lineRule="auto"/>
              <w:jc w:val="center"/>
              <w:rPr>
                <w:rFonts w:ascii="宋体" w:hAnsi="宋体"/>
                <w:b/>
                <w:color w:val="000000"/>
              </w:rPr>
            </w:pPr>
            <w:r>
              <w:rPr>
                <w:rFonts w:hint="eastAsia" w:ascii="宋体" w:hAnsi="宋体" w:cs="微软雅黑"/>
                <w:b/>
                <w:color w:val="000000"/>
              </w:rPr>
              <w:t>性能方面</w:t>
            </w:r>
          </w:p>
        </w:tc>
        <w:tc>
          <w:tcPr>
            <w:tcW w:w="5655" w:type="dxa"/>
            <w:gridSpan w:val="4"/>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jc w:val="center"/>
              <w:rPr>
                <w:rFonts w:ascii="宋体" w:hAnsi="宋体" w:cs="微软雅黑"/>
                <w:b/>
                <w:color w:val="000000"/>
              </w:rPr>
            </w:pPr>
            <w:r>
              <w:rPr>
                <w:rFonts w:hint="eastAsia" w:ascii="宋体" w:hAnsi="宋体" w:cs="微软雅黑"/>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第1节</w:t>
            </w:r>
          </w:p>
        </w:tc>
        <w:tc>
          <w:tcPr>
            <w:tcW w:w="2670"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1.1</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311" w:type="dxa"/>
            <w:gridSpan w:val="2"/>
            <w:vMerge w:val="restart"/>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 xml:space="preserve"> </w:t>
            </w:r>
          </w:p>
          <w:p>
            <w:pPr>
              <w:spacing w:line="256"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6"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1.2</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1.3</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恶劣事件</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ind w:left="970" w:hanging="970"/>
              <w:jc w:val="center"/>
              <w:rPr>
                <w:rFonts w:ascii="宋体" w:hAnsi="宋体"/>
                <w:color w:val="000000"/>
              </w:rPr>
            </w:pPr>
            <w:r>
              <w:rPr>
                <w:rFonts w:hint="eastAsia" w:ascii="宋体" w:hAnsi="宋体"/>
                <w:color w:val="000000"/>
              </w:rPr>
              <w:t>1.4</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公司行为被查处的违法违纪事件</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color w:val="000000"/>
              </w:rPr>
            </w:pPr>
            <w:r>
              <w:rPr>
                <w:rFonts w:hint="eastAsia" w:ascii="宋体" w:hAnsi="宋体"/>
                <w:color w:val="000000"/>
              </w:rPr>
              <w:t>2.2</w:t>
            </w:r>
          </w:p>
        </w:tc>
        <w:tc>
          <w:tcPr>
            <w:tcW w:w="4087" w:type="dxa"/>
            <w:gridSpan w:val="2"/>
            <w:tcBorders>
              <w:top w:val="single" w:color="000000" w:sz="2" w:space="0"/>
              <w:left w:val="single" w:color="000000" w:sz="2" w:space="0"/>
              <w:bottom w:val="single" w:color="000000" w:sz="2" w:space="0"/>
              <w:right w:val="single" w:color="000000" w:sz="2" w:space="0"/>
            </w:tcBorders>
            <w:vAlign w:val="center"/>
          </w:tcPr>
          <w:p>
            <w:pPr>
              <w:widowControl/>
              <w:spacing w:line="276" w:lineRule="auto"/>
              <w:jc w:val="left"/>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对于检查发现问题的整改效率及措施</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2.5</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2.6</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现场工作质量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设备故障率（5）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3.5</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ind w:right="44"/>
              <w:jc w:val="center"/>
              <w:rPr>
                <w:rFonts w:ascii="宋体" w:hAnsi="宋体"/>
                <w:color w:val="000000"/>
              </w:rPr>
            </w:pPr>
            <w:r>
              <w:rPr>
                <w:rFonts w:hint="eastAsia" w:ascii="宋体" w:hAnsi="宋体"/>
                <w:color w:val="000000"/>
              </w:rPr>
              <w:t>3.6</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top w:val="single" w:color="000000" w:sz="2" w:space="0"/>
              <w:left w:val="single" w:color="000000" w:sz="12" w:space="0"/>
              <w:bottom w:val="single" w:color="auto" w:sz="4"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4.3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方案执行情况（4）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工作进展及工作质量通报情况（4）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根据投标承诺足额配备人员（4）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根据投标承诺提供设备及耗材等（4）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6.3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7.1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分值</w:t>
            </w:r>
          </w:p>
        </w:tc>
        <w:tc>
          <w:tcPr>
            <w:tcW w:w="3281" w:type="dxa"/>
            <w:tcBorders>
              <w:top w:val="single" w:color="000000" w:sz="2" w:space="0"/>
              <w:left w:val="single" w:color="000000" w:sz="2" w:space="0"/>
              <w:bottom w:val="single" w:color="000000" w:sz="2" w:space="0"/>
              <w:right w:val="single" w:color="000000" w:sz="12" w:space="0"/>
            </w:tcBorders>
            <w:shd w:val="clear" w:color="auto" w:fill="DEEAF6"/>
          </w:tcPr>
          <w:p>
            <w:pPr>
              <w:spacing w:line="256"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left w:val="single" w:color="000000" w:sz="2" w:space="0"/>
              <w:bottom w:val="single" w:color="000000" w:sz="2" w:space="0"/>
              <w:right w:val="single" w:color="000000" w:sz="2" w:space="0"/>
            </w:tcBorders>
          </w:tcPr>
          <w:p>
            <w:pPr>
              <w:spacing w:line="252" w:lineRule="auto"/>
              <w:rPr>
                <w:rFonts w:ascii="宋体" w:hAnsi="宋体"/>
                <w:color w:val="000000"/>
              </w:rPr>
            </w:pPr>
            <w:r>
              <w:rPr>
                <w:rFonts w:hint="eastAsia" w:ascii="宋体" w:hAnsi="宋体"/>
                <w:color w:val="000000"/>
              </w:rPr>
              <w:t>超额完成或提前发现整改的任务</w:t>
            </w:r>
            <w:r>
              <w:rPr>
                <w:rFonts w:hint="eastAsia" w:ascii="宋体" w:hAnsi="宋体" w:cs="微软雅黑"/>
                <w:color w:val="000000"/>
              </w:rPr>
              <w:t>（2）</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8.3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Borders>
              <w:top w:val="single" w:color="000000" w:sz="2" w:space="0"/>
              <w:left w:val="single" w:color="000000" w:sz="12" w:space="0"/>
              <w:bottom w:val="single" w:color="000000" w:sz="1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具体检查情况描述：</w:t>
            </w: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6"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6" w:lineRule="auto"/>
        <w:jc w:val="left"/>
        <w:rPr>
          <w:rFonts w:ascii="宋体" w:hAnsi="宋体" w:cs="微软雅黑"/>
          <w:color w:val="000000"/>
        </w:rPr>
      </w:pPr>
      <w:r>
        <w:rPr>
          <w:rFonts w:hint="eastAsia" w:ascii="宋体" w:hAnsi="宋体" w:cs="微软雅黑"/>
          <w:color w:val="000000"/>
        </w:rPr>
        <w:t>备注：本表适用于工程类项目，默认满分100分。最低满额付款得分为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adjustRightInd w:val="0"/>
        <w:snapToGrid w:val="0"/>
        <w:spacing w:line="360" w:lineRule="auto"/>
        <w:ind w:firstLine="420" w:firstLineChars="200"/>
        <w:rPr>
          <w:rFonts w:ascii="宋体" w:hAnsi="宋体"/>
          <w:sz w:val="22"/>
        </w:rPr>
      </w:pPr>
      <w:r>
        <w:rPr>
          <w:rFonts w:hint="eastAsia" w:ascii="Adobe 楷体 Std R" w:hAnsi="Adobe 楷体 Std R" w:eastAsia="Adobe 楷体 Std R"/>
          <w:szCs w:val="32"/>
        </w:rPr>
        <w:br w:type="page"/>
      </w:r>
    </w:p>
    <w:p>
      <w:pPr>
        <w:pStyle w:val="140"/>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机场公司业务外包项目月（季）度考核标准</w:t>
      </w:r>
    </w:p>
    <w:p>
      <w:pPr>
        <w:pStyle w:val="2"/>
        <w:shd w:val="clear" w:color="auto" w:fill="FFFFFF"/>
        <w:spacing w:before="0" w:after="0" w:line="210" w:lineRule="atLeast"/>
        <w:ind w:firstLine="2650" w:firstLineChars="600"/>
        <w:rPr>
          <w:rFonts w:ascii="Tahoma" w:hAnsi="Tahoma" w:cs="Tahoma"/>
          <w:color w:val="333333"/>
          <w:sz w:val="24"/>
          <w:szCs w:val="45"/>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2336;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k3MbtgAAAAJAQAADwAAAAAAAAABACAAAAAiAAAAZHJzL2Rv&#10;d25yZXYueG1sUEsBAhQAFAAAAAgAh07iQDOz+vLIAQAAZAMAAA4AAAAAAAAAAQAgAAAAJwEAAGRy&#10;cy9lMm9Eb2MueG1sUEsFBgAAAAAGAAYAWQEAAGEFAAAAAA==&#10;">
                <v:fill on="f" focussize="0,0"/>
                <v:stroke weight="1.5pt" color="#000000 [3213]" miterlimit="8" joinstyle="miter"/>
                <v:imagedata o:title=""/>
                <o:lock v:ext="edit" aspectratio="f"/>
              </v:line>
            </w:pict>
          </mc:Fallback>
        </mc:AlternateContent>
      </w:r>
      <w:r>
        <w:rPr>
          <w:rFonts w:ascii="Tahoma" w:hAnsi="Tahoma" w:cs="Tahoma"/>
          <w:color w:val="333333"/>
          <w:sz w:val="24"/>
          <w:szCs w:val="45"/>
        </w:rPr>
        <w:t xml:space="preserve">HIA Outsource </w:t>
      </w:r>
      <w:r>
        <w:fldChar w:fldCharType="begin"/>
      </w:r>
      <w:r>
        <w:instrText xml:space="preserve"> HYPERLINK "javascript:;" </w:instrText>
      </w:r>
      <w:r>
        <w:fldChar w:fldCharType="separate"/>
      </w:r>
      <w:r>
        <w:rPr>
          <w:rStyle w:val="50"/>
          <w:rFonts w:ascii="Tahoma" w:hAnsi="Tahoma" w:cs="Tahoma"/>
          <w:color w:val="333333"/>
          <w:sz w:val="24"/>
          <w:szCs w:val="45"/>
        </w:rPr>
        <w:t>Criteria</w:t>
      </w:r>
      <w:r>
        <w:rPr>
          <w:rStyle w:val="50"/>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Style w:val="50"/>
          <w:rFonts w:ascii="Tahoma" w:hAnsi="Tahoma" w:cs="Tahoma"/>
          <w:color w:val="333333"/>
          <w:sz w:val="24"/>
          <w:szCs w:val="45"/>
        </w:rPr>
        <w:t>Of</w:t>
      </w:r>
      <w:r>
        <w:rPr>
          <w:rStyle w:val="50"/>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Style w:val="50"/>
          <w:rFonts w:ascii="Tahoma" w:hAnsi="Tahoma" w:cs="Tahoma"/>
          <w:color w:val="333333"/>
          <w:sz w:val="24"/>
          <w:szCs w:val="45"/>
        </w:rPr>
        <w:t>Assessment</w:t>
      </w:r>
      <w:r>
        <w:rPr>
          <w:rStyle w:val="50"/>
          <w:rFonts w:ascii="Tahoma" w:hAnsi="Tahoma" w:cs="Tahoma"/>
          <w:color w:val="333333"/>
          <w:sz w:val="24"/>
          <w:szCs w:val="45"/>
        </w:rPr>
        <w:fldChar w:fldCharType="end"/>
      </w:r>
      <w:r>
        <w:rPr>
          <w:rFonts w:ascii="Tahoma" w:hAnsi="Tahoma" w:cs="Tahoma"/>
          <w:color w:val="333333"/>
          <w:sz w:val="24"/>
          <w:szCs w:val="45"/>
        </w:rPr>
        <w:t>.E2</w:t>
      </w:r>
    </w:p>
    <w:p>
      <w:pPr>
        <w:pStyle w:val="2"/>
        <w:shd w:val="clear" w:color="auto" w:fill="FFFFFF"/>
        <w:spacing w:before="0" w:after="0" w:line="210" w:lineRule="atLeast"/>
        <w:rPr>
          <w:rFonts w:ascii="Tahoma" w:hAnsi="Tahoma" w:cs="Tahoma"/>
          <w:color w:val="333333"/>
          <w:sz w:val="24"/>
          <w:szCs w:val="45"/>
        </w:rPr>
      </w:pPr>
      <w:r>
        <w:rPr>
          <w:rFonts w:hint="eastAsia" w:ascii="Tahoma" w:hAnsi="Tahoma" w:cs="Tahoma"/>
          <w:color w:val="333333"/>
          <w:sz w:val="24"/>
          <w:szCs w:val="45"/>
        </w:rPr>
        <w:t>◆工程类项目：</w:t>
      </w:r>
      <w:r>
        <w:rPr>
          <w:rFonts w:ascii="Tahoma" w:hAnsi="Tahoma" w:cs="Tahoma"/>
          <w:color w:val="333333"/>
          <w:sz w:val="24"/>
          <w:szCs w:val="45"/>
        </w:rPr>
        <w:t xml:space="preserve"> </w:t>
      </w:r>
    </w:p>
    <w:tbl>
      <w:tblPr>
        <w:tblStyle w:val="5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rPr>
                <w:rFonts w:ascii="宋体" w:hAnsi="宋体"/>
                <w:b/>
                <w:color w:val="000000"/>
              </w:rPr>
            </w:pPr>
            <w:r>
              <w:rPr>
                <w:rFonts w:hint="eastAsia" w:ascii="宋体" w:hAnsi="宋体"/>
                <w:b/>
                <w:color w:val="000000"/>
              </w:rPr>
              <w:t>考核内容</w:t>
            </w:r>
          </w:p>
        </w:tc>
        <w:tc>
          <w:tcPr>
            <w:tcW w:w="5812" w:type="dxa"/>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恐怖事件</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特大事故、损失</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恶劣事件</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遵纪守法</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技术能力与资质（4）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经检查发现技术能力或资质（证书）未达到要求或过期，第一次发生扣2分，整改后仍未达到要求则得0分。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工作态度要求积极乐观，按规定着工作服装，仪表得体，与其他业务单位和睦相处的得4分，监管人员视实际情况扣分。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人员劳务关系(4)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 xml:space="preserve">工作人员必须与外包商签订劳动合同，履行国家相关法律法规的义务，按投标承诺发放工资薪酬，经检查发现不符合要求的扣4分，并要求乙方立即整改。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协调，控制和监管的回应（4）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员工的伦理和纪律（4）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企业文化和其他要求的认同（4）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台账、资料管理质量(5)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盆花养护</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一、修剪</w:t>
            </w:r>
          </w:p>
          <w:p>
            <w:pPr>
              <w:spacing w:line="256" w:lineRule="auto"/>
              <w:rPr>
                <w:rFonts w:ascii="宋体" w:hAnsi="宋体"/>
                <w:color w:val="000000"/>
              </w:rPr>
            </w:pPr>
            <w:r>
              <w:rPr>
                <w:rFonts w:hint="eastAsia" w:ascii="宋体" w:hAnsi="宋体"/>
                <w:color w:val="000000"/>
              </w:rPr>
              <w:t xml:space="preserve"> 1、植株丰满健硕，株型自然匀称。叶面干净光亮，无灰尘赃物，无明显病斑、虫害，无残留害虫，每处不达标扣0.3分。</w:t>
            </w:r>
          </w:p>
          <w:p>
            <w:pPr>
              <w:spacing w:line="256" w:lineRule="auto"/>
              <w:rPr>
                <w:rFonts w:ascii="宋体" w:hAnsi="宋体"/>
                <w:color w:val="000000"/>
              </w:rPr>
            </w:pPr>
            <w:r>
              <w:rPr>
                <w:rFonts w:hint="eastAsia" w:ascii="宋体" w:hAnsi="宋体"/>
                <w:color w:val="000000"/>
              </w:rPr>
              <w:t xml:space="preserve">  2、应进行仔细检查，对出现黄叶残叶、树型不对称、有徒长枝的需及时修剪，每处不达标扣0.5分。</w:t>
            </w:r>
          </w:p>
          <w:p>
            <w:pPr>
              <w:numPr>
                <w:ilvl w:val="0"/>
                <w:numId w:val="2"/>
              </w:numPr>
              <w:spacing w:line="256" w:lineRule="auto"/>
              <w:rPr>
                <w:rFonts w:ascii="宋体" w:hAnsi="宋体"/>
                <w:color w:val="000000"/>
              </w:rPr>
            </w:pPr>
            <w:r>
              <w:rPr>
                <w:rFonts w:hint="eastAsia" w:ascii="宋体" w:hAnsi="宋体"/>
                <w:color w:val="000000"/>
              </w:rPr>
              <w:t>叶片枯黄面积超过1/3以上的应整片剪除，枯黄面积超过1/3以下者，应用剪刀顺着叶形将枯黄部分剪除，注意保留叶形，不可一刀切过。每处不达标扣0.5分。</w:t>
            </w:r>
          </w:p>
          <w:p>
            <w:pPr>
              <w:spacing w:line="256" w:lineRule="auto"/>
              <w:rPr>
                <w:rFonts w:ascii="宋体" w:hAnsi="宋体"/>
                <w:color w:val="000000"/>
              </w:rPr>
            </w:pPr>
            <w:r>
              <w:rPr>
                <w:rFonts w:hint="eastAsia" w:ascii="宋体" w:hAnsi="宋体"/>
                <w:color w:val="000000"/>
              </w:rPr>
              <w:t>二、浇水</w:t>
            </w:r>
          </w:p>
          <w:p>
            <w:pPr>
              <w:spacing w:line="256" w:lineRule="auto"/>
              <w:rPr>
                <w:rFonts w:ascii="宋体" w:hAnsi="宋体"/>
                <w:color w:val="000000"/>
              </w:rPr>
            </w:pPr>
            <w:r>
              <w:rPr>
                <w:rFonts w:hint="eastAsia" w:ascii="宋体" w:hAnsi="宋体"/>
                <w:color w:val="000000"/>
              </w:rPr>
              <w:t>1、根据花木所处的位置与花卉品种、习性、季节调整浇水量，对靠窗边或夕照光线强烈或者空调位的植物应该多浇水。每处不达标扣0.5分。</w:t>
            </w:r>
          </w:p>
          <w:p>
            <w:pPr>
              <w:spacing w:line="256" w:lineRule="auto"/>
              <w:rPr>
                <w:rFonts w:ascii="宋体" w:hAnsi="宋体"/>
                <w:color w:val="000000"/>
              </w:rPr>
            </w:pPr>
            <w:r>
              <w:rPr>
                <w:rFonts w:hint="eastAsia" w:ascii="宋体" w:hAnsi="宋体"/>
                <w:color w:val="000000"/>
              </w:rPr>
              <w:t>2、保证植物见干不见湿，不过量浇水，有不缺水分，保持植物                      对生长水分的需求。每处不达标扣0.5分。</w:t>
            </w:r>
          </w:p>
          <w:p>
            <w:pPr>
              <w:spacing w:line="256" w:lineRule="auto"/>
              <w:rPr>
                <w:rFonts w:ascii="宋体" w:hAnsi="宋体"/>
                <w:color w:val="000000"/>
              </w:rPr>
            </w:pPr>
            <w:r>
              <w:rPr>
                <w:rFonts w:hint="eastAsia" w:ascii="宋体" w:hAnsi="宋体"/>
                <w:color w:val="000000"/>
              </w:rPr>
              <w:t>3、浇水时应防止水流外溢，桌面上的水渍应及时擦除，每不达标扣1分。</w:t>
            </w:r>
          </w:p>
          <w:p>
            <w:pPr>
              <w:spacing w:line="256" w:lineRule="auto"/>
              <w:rPr>
                <w:rFonts w:ascii="宋体" w:hAnsi="宋体"/>
                <w:color w:val="000000"/>
              </w:rPr>
            </w:pPr>
            <w:r>
              <w:rPr>
                <w:rFonts w:hint="eastAsia" w:ascii="宋体" w:hAnsi="宋体"/>
                <w:color w:val="000000"/>
              </w:rPr>
              <w:t>三、施肥</w:t>
            </w:r>
          </w:p>
          <w:p>
            <w:pPr>
              <w:spacing w:line="256" w:lineRule="auto"/>
              <w:rPr>
                <w:rFonts w:ascii="宋体" w:hAnsi="宋体"/>
                <w:color w:val="000000"/>
              </w:rPr>
            </w:pPr>
            <w:r>
              <w:rPr>
                <w:rFonts w:hint="eastAsia" w:ascii="宋体" w:hAnsi="宋体"/>
                <w:color w:val="000000"/>
              </w:rPr>
              <w:t>1、定期施用无异味、无毒的有机肥，每处不达标 扣0.5分。</w:t>
            </w:r>
          </w:p>
          <w:p>
            <w:pPr>
              <w:spacing w:line="256" w:lineRule="auto"/>
              <w:rPr>
                <w:rFonts w:ascii="宋体" w:hAnsi="宋体"/>
                <w:color w:val="000000"/>
              </w:rPr>
            </w:pPr>
            <w:r>
              <w:rPr>
                <w:rFonts w:hint="eastAsia" w:ascii="宋体" w:hAnsi="宋体"/>
                <w:color w:val="000000"/>
              </w:rPr>
              <w:t>2、根据植物特性选用肥料，发现一处施肥不合理扣0.5分。</w:t>
            </w:r>
          </w:p>
          <w:p>
            <w:pPr>
              <w:spacing w:line="256" w:lineRule="auto"/>
              <w:rPr>
                <w:rFonts w:ascii="宋体" w:hAnsi="宋体"/>
                <w:color w:val="000000"/>
              </w:rPr>
            </w:pPr>
            <w:r>
              <w:rPr>
                <w:rFonts w:hint="eastAsia" w:ascii="宋体" w:hAnsi="宋体"/>
                <w:color w:val="000000"/>
              </w:rPr>
              <w:t>四、病虫害</w:t>
            </w:r>
          </w:p>
          <w:p>
            <w:pPr>
              <w:spacing w:line="256" w:lineRule="auto"/>
              <w:rPr>
                <w:rFonts w:ascii="宋体" w:hAnsi="宋体"/>
                <w:color w:val="000000"/>
              </w:rPr>
            </w:pPr>
            <w:r>
              <w:rPr>
                <w:rFonts w:hint="eastAsia" w:ascii="宋体" w:hAnsi="宋体"/>
                <w:color w:val="000000"/>
              </w:rPr>
              <w:t>1、编制病虫害有效防治方案，将病虫害消灭在萌芽阶段。每处不达标 扣0.5分。</w:t>
            </w:r>
          </w:p>
          <w:p>
            <w:pPr>
              <w:spacing w:line="256" w:lineRule="auto"/>
              <w:rPr>
                <w:rFonts w:ascii="宋体" w:hAnsi="宋体"/>
                <w:color w:val="000000"/>
              </w:rPr>
            </w:pPr>
            <w:r>
              <w:rPr>
                <w:rFonts w:hint="eastAsia" w:ascii="宋体" w:hAnsi="宋体"/>
                <w:color w:val="000000"/>
              </w:rPr>
              <w:t>2、按照病虫害防治方案进行病虫害防治工作，每处不达标 扣0.5分。</w:t>
            </w:r>
          </w:p>
          <w:p>
            <w:pPr>
              <w:spacing w:line="256" w:lineRule="auto"/>
              <w:rPr>
                <w:rFonts w:ascii="宋体" w:hAnsi="宋体"/>
                <w:color w:val="000000"/>
              </w:rPr>
            </w:pPr>
            <w:r>
              <w:rPr>
                <w:rFonts w:hint="eastAsia" w:ascii="宋体" w:hAnsi="宋体"/>
                <w:color w:val="000000"/>
              </w:rPr>
              <w:t>3、盆花出现病害的，每次扣0.5分。</w:t>
            </w:r>
          </w:p>
          <w:p>
            <w:pPr>
              <w:spacing w:line="256" w:lineRule="auto"/>
              <w:rPr>
                <w:rFonts w:ascii="宋体" w:hAnsi="宋体"/>
                <w:color w:val="000000"/>
              </w:rPr>
            </w:pPr>
            <w:r>
              <w:rPr>
                <w:rFonts w:hint="eastAsia" w:ascii="宋体" w:hAnsi="宋体"/>
                <w:color w:val="000000"/>
              </w:rPr>
              <w:t>五、卫生</w:t>
            </w:r>
          </w:p>
          <w:p>
            <w:pPr>
              <w:spacing w:line="256" w:lineRule="auto"/>
              <w:rPr>
                <w:rFonts w:ascii="宋体" w:hAnsi="宋体"/>
                <w:color w:val="000000"/>
              </w:rPr>
            </w:pPr>
            <w:r>
              <w:rPr>
                <w:rFonts w:hint="eastAsia" w:ascii="宋体" w:hAnsi="宋体"/>
                <w:color w:val="000000"/>
              </w:rPr>
              <w:t xml:space="preserve">  1、需定期对叶片进行擦洗，叶片不留泥土、灰尘，叶片保持清洁，每处不达标 扣0.5分。</w:t>
            </w:r>
          </w:p>
          <w:p>
            <w:pPr>
              <w:spacing w:line="256" w:lineRule="auto"/>
              <w:rPr>
                <w:rFonts w:ascii="宋体" w:hAnsi="宋体"/>
                <w:color w:val="000000"/>
              </w:rPr>
            </w:pPr>
            <w:r>
              <w:rPr>
                <w:rFonts w:hint="eastAsia" w:ascii="宋体" w:hAnsi="宋体"/>
                <w:color w:val="000000"/>
              </w:rPr>
              <w:t xml:space="preserve">  2、保持花盆、器皿干净整洁，无脏污，盆内无杂物、垃圾；底碟无泥垢、积水，每处不达标 扣0.5分。</w:t>
            </w:r>
          </w:p>
          <w:p>
            <w:pPr>
              <w:spacing w:line="256" w:lineRule="auto"/>
              <w:rPr>
                <w:rFonts w:ascii="宋体" w:hAnsi="宋体"/>
                <w:color w:val="000000"/>
              </w:rPr>
            </w:pPr>
            <w:r>
              <w:rPr>
                <w:rFonts w:hint="eastAsia" w:ascii="宋体" w:hAnsi="宋体"/>
                <w:color w:val="000000"/>
              </w:rPr>
              <w:t xml:space="preserve">  3、养护完将积水擦干、清理残叶残花，每处不达标 扣0.5分。</w:t>
            </w:r>
          </w:p>
          <w:p>
            <w:pPr>
              <w:spacing w:line="256" w:lineRule="auto"/>
              <w:rPr>
                <w:rFonts w:ascii="宋体" w:hAnsi="宋体"/>
                <w:color w:val="000000"/>
              </w:rPr>
            </w:pPr>
            <w:r>
              <w:rPr>
                <w:rFonts w:hint="eastAsia" w:ascii="宋体" w:hAnsi="宋体"/>
                <w:color w:val="000000"/>
              </w:rPr>
              <w:t>六、更换</w:t>
            </w:r>
          </w:p>
          <w:p>
            <w:pPr>
              <w:spacing w:line="256" w:lineRule="auto"/>
              <w:rPr>
                <w:rFonts w:ascii="宋体" w:hAnsi="宋体"/>
                <w:color w:val="000000"/>
              </w:rPr>
            </w:pPr>
            <w:r>
              <w:rPr>
                <w:rFonts w:hint="eastAsia" w:ascii="宋体" w:hAnsi="宋体"/>
                <w:color w:val="000000"/>
              </w:rPr>
              <w:t>1、保持植物历久常新，根据花木的生长情况及花木摆放时间表及时进行花木的调换，每次不达标 扣1分。</w:t>
            </w:r>
          </w:p>
          <w:p>
            <w:pPr>
              <w:spacing w:line="256" w:lineRule="auto"/>
              <w:rPr>
                <w:rFonts w:ascii="宋体" w:hAnsi="宋体"/>
                <w:color w:val="000000"/>
              </w:rPr>
            </w:pPr>
            <w:r>
              <w:rPr>
                <w:rFonts w:hint="eastAsia" w:ascii="宋体" w:hAnsi="宋体"/>
                <w:color w:val="000000"/>
              </w:rPr>
              <w:t>2、植株由较严重枯黄或生长不良；有严重病虫害；植物不适应环境产生落叶的，需24小时之内更换，每次不达标 扣1分。</w:t>
            </w:r>
          </w:p>
          <w:p>
            <w:pPr>
              <w:spacing w:line="256" w:lineRule="auto"/>
              <w:rPr>
                <w:rFonts w:ascii="宋体" w:hAnsi="宋体"/>
                <w:color w:val="000000"/>
              </w:rPr>
            </w:pPr>
            <w:r>
              <w:rPr>
                <w:rFonts w:hint="eastAsia" w:ascii="宋体" w:hAnsi="宋体"/>
                <w:color w:val="000000"/>
              </w:rPr>
              <w:t>七、美观</w:t>
            </w:r>
          </w:p>
          <w:p>
            <w:pPr>
              <w:spacing w:line="256" w:lineRule="auto"/>
              <w:rPr>
                <w:rFonts w:ascii="宋体" w:hAnsi="宋体"/>
                <w:color w:val="000000"/>
              </w:rPr>
            </w:pPr>
            <w:r>
              <w:rPr>
                <w:rFonts w:hint="eastAsia" w:ascii="宋体" w:hAnsi="宋体"/>
                <w:color w:val="000000"/>
              </w:rPr>
              <w:t>1、花卉需与环境协调，保证植株新鲜，每处不达标 扣0.3分。</w:t>
            </w:r>
          </w:p>
          <w:p>
            <w:pPr>
              <w:spacing w:line="256" w:lineRule="auto"/>
              <w:rPr>
                <w:rFonts w:ascii="宋体" w:hAnsi="宋体"/>
                <w:color w:val="000000"/>
              </w:rPr>
            </w:pPr>
            <w:r>
              <w:rPr>
                <w:rFonts w:hint="eastAsia" w:ascii="宋体" w:hAnsi="宋体"/>
                <w:color w:val="000000"/>
              </w:rPr>
              <w:t>2、底碟、套盆、花盆应配套，颜色搭配得当，美观大方，每次不达标 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人员管理质量(5)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设备故障率（5）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人员培训质量(5)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应急事件处理质量(5)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总体安全意识的表现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提供和维护安全的工作环境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安全措施/制度/体系的实施或整改（4）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劳动力资源的充分性(4)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日常用具、消耗品、器材资源的充分性(4)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资源利用的合理性(4)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满意度(6)</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好人好事及表扬（4）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超额超水平完成（2）</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12" w:space="0"/>
              <w:right w:val="single" w:color="000000" w:sz="2" w:space="0"/>
            </w:tcBorders>
          </w:tcPr>
          <w:p>
            <w:pPr>
              <w:spacing w:line="256" w:lineRule="auto"/>
              <w:rPr>
                <w:rFonts w:ascii="宋体" w:hAnsi="宋体"/>
                <w:color w:val="000000"/>
              </w:rPr>
            </w:pPr>
            <w:r>
              <w:rPr>
                <w:rFonts w:hint="eastAsia" w:ascii="宋体" w:hAnsi="宋体"/>
                <w:color w:val="000000"/>
              </w:rPr>
              <w:t>建议及方案（4）</w:t>
            </w:r>
          </w:p>
        </w:tc>
        <w:tc>
          <w:tcPr>
            <w:tcW w:w="5812" w:type="dxa"/>
            <w:tcBorders>
              <w:top w:val="single" w:color="000000" w:sz="2" w:space="0"/>
              <w:left w:val="single" w:color="000000" w:sz="2" w:space="0"/>
              <w:bottom w:val="single" w:color="000000" w:sz="12" w:space="0"/>
              <w:right w:val="single" w:color="000000" w:sz="12" w:space="0"/>
            </w:tcBorders>
          </w:tcPr>
          <w:p>
            <w:pPr>
              <w:spacing w:line="256" w:lineRule="auto"/>
              <w:rPr>
                <w:rFonts w:ascii="宋体" w:hAnsi="宋体"/>
                <w:color w:val="000000"/>
              </w:rPr>
            </w:pPr>
            <w:r>
              <w:rPr>
                <w:rFonts w:hint="eastAsia" w:ascii="宋体" w:hAnsi="宋体"/>
                <w:color w:val="000000"/>
              </w:rPr>
              <w:t>经甲方认可，由乙方提出建议和意见已经实施的，每条加2分。</w:t>
            </w:r>
          </w:p>
        </w:tc>
      </w:tr>
    </w:tbl>
    <w:p>
      <w:pPr>
        <w:widowControl/>
        <w:jc w:val="left"/>
        <w:rPr>
          <w:rFonts w:ascii="Adobe 楷体 Std R" w:hAnsi="Adobe 楷体 Std R" w:eastAsia="Adobe 楷体 Std R"/>
          <w:sz w:val="24"/>
          <w:szCs w:val="32"/>
        </w:rPr>
      </w:pPr>
    </w:p>
    <w:p>
      <w:pPr>
        <w:widowControl/>
        <w:jc w:val="left"/>
        <w:rPr>
          <w:rFonts w:ascii="Adobe 楷体 Std R" w:hAnsi="Adobe 楷体 Std R" w:eastAsia="Adobe 楷体 Std R"/>
          <w:sz w:val="24"/>
          <w:szCs w:val="32"/>
        </w:rPr>
      </w:pPr>
    </w:p>
    <w:p>
      <w:pPr>
        <w:adjustRightInd w:val="0"/>
        <w:snapToGrid w:val="0"/>
        <w:spacing w:line="360" w:lineRule="auto"/>
        <w:ind w:firstLine="440" w:firstLineChars="200"/>
        <w:rPr>
          <w:rFonts w:ascii="宋体" w:hAnsi="宋体"/>
          <w:sz w:val="22"/>
        </w:rPr>
      </w:pPr>
    </w:p>
    <w:p>
      <w:pPr>
        <w:widowControl/>
        <w:jc w:val="left"/>
        <w:rPr>
          <w:rFonts w:eastAsia="黑体" w:cs="Calibri"/>
          <w:b/>
          <w:bCs/>
          <w:kern w:val="0"/>
          <w:sz w:val="32"/>
          <w:szCs w:val="44"/>
        </w:rPr>
      </w:pPr>
    </w:p>
    <w:p>
      <w:pPr>
        <w:pStyle w:val="2"/>
        <w:spacing w:before="0" w:after="0" w:line="360" w:lineRule="auto"/>
        <w:rPr>
          <w:rFonts w:ascii="Calibri" w:hAnsi="Calibri" w:eastAsia="黑体" w:cs="Calibri"/>
          <w:kern w:val="0"/>
          <w:sz w:val="32"/>
        </w:rPr>
      </w:pPr>
    </w:p>
    <w:p>
      <w:pPr>
        <w:numPr>
          <w:ilvl w:val="255"/>
          <w:numId w:val="0"/>
        </w:numPr>
        <w:adjustRightInd w:val="0"/>
        <w:snapToGrid w:val="0"/>
        <w:spacing w:line="360" w:lineRule="exact"/>
        <w:rPr>
          <w:rFonts w:eastAsia="黑体" w:cs="Calibri"/>
          <w:b/>
          <w:bCs/>
          <w:kern w:val="0"/>
          <w:sz w:val="32"/>
          <w:szCs w:val="44"/>
        </w:rPr>
      </w:pPr>
      <w:r>
        <w:rPr>
          <w:rFonts w:eastAsia="黑体" w:cs="Calibri"/>
          <w:kern w:val="0"/>
          <w:sz w:val="32"/>
        </w:rPr>
        <w:br w:type="page"/>
      </w: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p>
    <w:p>
      <w:pPr>
        <w:spacing w:line="340" w:lineRule="exact"/>
        <w:rPr>
          <w:rFonts w:ascii="宋体" w:hAnsi="宋体"/>
          <w:b/>
          <w:color w:val="000000"/>
          <w:sz w:val="24"/>
          <w:szCs w:val="24"/>
        </w:rPr>
      </w:pPr>
      <w:r>
        <w:rPr>
          <w:rFonts w:hint="eastAsia" w:ascii="宋体" w:hAnsi="宋体"/>
          <w:b/>
          <w:color w:val="000000"/>
          <w:sz w:val="24"/>
          <w:szCs w:val="24"/>
        </w:rPr>
        <w:t>甲方（全称）：</w:t>
      </w:r>
      <w:r>
        <w:rPr>
          <w:rFonts w:hint="eastAsia" w:ascii="宋体" w:hAnsi="宋体"/>
          <w:b/>
          <w:color w:val="000000"/>
          <w:sz w:val="24"/>
          <w:szCs w:val="24"/>
          <w:u w:val="single"/>
        </w:rPr>
        <w:t xml:space="preserve">杭州萧山国际机场有限公司（以下简称“甲方”）   </w:t>
      </w:r>
    </w:p>
    <w:p>
      <w:pPr>
        <w:spacing w:line="340" w:lineRule="exact"/>
        <w:rPr>
          <w:rFonts w:ascii="宋体" w:hAnsi="宋体"/>
          <w:b/>
          <w:color w:val="000000"/>
          <w:sz w:val="24"/>
          <w:szCs w:val="24"/>
          <w:u w:val="single"/>
        </w:rPr>
      </w:pPr>
      <w:r>
        <w:rPr>
          <w:rFonts w:hint="eastAsia" w:ascii="宋体" w:hAnsi="宋体"/>
          <w:b/>
          <w:color w:val="000000"/>
          <w:sz w:val="24"/>
          <w:szCs w:val="24"/>
        </w:rPr>
        <w:t>住所地：</w:t>
      </w:r>
      <w:r>
        <w:rPr>
          <w:rFonts w:hint="eastAsia" w:ascii="宋体" w:hAnsi="宋体"/>
          <w:b/>
          <w:color w:val="000000"/>
          <w:sz w:val="24"/>
          <w:szCs w:val="24"/>
          <w:u w:val="single"/>
        </w:rPr>
        <w:t>杭州萧山国际机场内</w:t>
      </w:r>
    </w:p>
    <w:p>
      <w:pPr>
        <w:spacing w:line="340" w:lineRule="exact"/>
        <w:rPr>
          <w:rFonts w:ascii="宋体" w:hAnsi="宋体"/>
          <w:b/>
          <w:color w:val="000000"/>
          <w:sz w:val="24"/>
          <w:szCs w:val="24"/>
          <w:u w:val="single"/>
        </w:rPr>
      </w:pPr>
    </w:p>
    <w:p>
      <w:pPr>
        <w:spacing w:line="340" w:lineRule="exact"/>
        <w:rPr>
          <w:rFonts w:ascii="宋体" w:hAnsi="宋体"/>
          <w:b/>
          <w:color w:val="000000"/>
          <w:sz w:val="24"/>
          <w:szCs w:val="24"/>
        </w:rPr>
      </w:pPr>
      <w:r>
        <w:rPr>
          <w:rFonts w:hint="eastAsia" w:ascii="宋体" w:hAnsi="宋体"/>
          <w:b/>
          <w:color w:val="000000"/>
          <w:sz w:val="24"/>
          <w:szCs w:val="24"/>
        </w:rPr>
        <w:t>乙方（全称）：</w:t>
      </w:r>
      <w:r>
        <w:rPr>
          <w:rFonts w:hint="eastAsia" w:ascii="宋体" w:hAnsi="宋体"/>
          <w:b/>
          <w:color w:val="000000"/>
          <w:sz w:val="24"/>
          <w:szCs w:val="24"/>
          <w:u w:val="single"/>
        </w:rPr>
        <w:t xml:space="preserve">                          （以下简称“乙方”） </w:t>
      </w:r>
    </w:p>
    <w:p>
      <w:pPr>
        <w:spacing w:line="340" w:lineRule="exact"/>
        <w:rPr>
          <w:rFonts w:ascii="宋体" w:hAnsi="宋体"/>
          <w:b/>
          <w:color w:val="000000"/>
          <w:sz w:val="24"/>
          <w:szCs w:val="24"/>
          <w:u w:val="single"/>
        </w:rPr>
      </w:pPr>
      <w:r>
        <w:rPr>
          <w:rFonts w:hint="eastAsia" w:ascii="宋体" w:hAnsi="宋体"/>
          <w:b/>
          <w:color w:val="000000"/>
          <w:sz w:val="24"/>
          <w:szCs w:val="24"/>
        </w:rPr>
        <w:t>住所地：</w:t>
      </w:r>
      <w:r>
        <w:rPr>
          <w:rFonts w:hint="eastAsia" w:ascii="宋体" w:hAnsi="宋体"/>
          <w:b/>
          <w:color w:val="000000"/>
          <w:sz w:val="24"/>
          <w:szCs w:val="24"/>
          <w:u w:val="single"/>
        </w:rPr>
        <w:t xml:space="preserve">                  </w:t>
      </w:r>
    </w:p>
    <w:p>
      <w:pPr>
        <w:ind w:firstLine="480" w:firstLineChars="200"/>
        <w:rPr>
          <w:rFonts w:ascii="宋体" w:hAnsi="宋体"/>
          <w:color w:val="000000"/>
          <w:sz w:val="24"/>
          <w:szCs w:val="24"/>
        </w:rPr>
      </w:pPr>
    </w:p>
    <w:p>
      <w:pPr>
        <w:spacing w:line="300" w:lineRule="auto"/>
        <w:ind w:firstLine="440" w:firstLineChars="200"/>
        <w:rPr>
          <w:rFonts w:ascii="宋体" w:hAnsi="宋体"/>
          <w:color w:val="000000"/>
          <w:sz w:val="22"/>
          <w:szCs w:val="21"/>
        </w:rPr>
      </w:pPr>
      <w:r>
        <w:rPr>
          <w:rFonts w:hint="eastAsia" w:ascii="宋体" w:hAnsi="宋体"/>
          <w:color w:val="000000"/>
          <w:sz w:val="22"/>
          <w:szCs w:val="21"/>
        </w:rPr>
        <w:t>为明确甲乙双方的权利义务，依照《中华人民共和国合同法》、《杭州市绿化条例》及其他有关法律、法规的规定，遵循平等、自愿、公平和诚实信用的原则，双方就</w:t>
      </w:r>
      <w:r>
        <w:rPr>
          <w:rFonts w:hint="eastAsia" w:ascii="宋体" w:hAnsi="宋体"/>
          <w:color w:val="000000"/>
          <w:sz w:val="22"/>
          <w:szCs w:val="21"/>
          <w:u w:val="single"/>
        </w:rPr>
        <w:t>场区花箱养护</w:t>
      </w:r>
      <w:r>
        <w:rPr>
          <w:rFonts w:hint="eastAsia" w:ascii="宋体" w:hAnsi="宋体"/>
          <w:color w:val="000000"/>
          <w:sz w:val="22"/>
          <w:szCs w:val="21"/>
        </w:rPr>
        <w:t>项目的养护事宜协商一致，订立本合同。</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第一条 项目概况</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项目名称：</w:t>
      </w:r>
      <w:r>
        <w:rPr>
          <w:rFonts w:hint="eastAsia" w:ascii="宋体" w:hAnsi="宋体"/>
          <w:color w:val="000000"/>
          <w:sz w:val="22"/>
          <w:szCs w:val="21"/>
          <w:u w:val="single"/>
        </w:rPr>
        <w:t>【场区花箱养护业务外包项目】</w:t>
      </w:r>
      <w:r>
        <w:rPr>
          <w:rFonts w:hint="eastAsia" w:ascii="宋体" w:hAnsi="宋体"/>
          <w:color w:val="000000"/>
          <w:sz w:val="22"/>
          <w:szCs w:val="21"/>
        </w:rPr>
        <w:t>。</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项目地点：</w:t>
      </w:r>
      <w:r>
        <w:rPr>
          <w:rFonts w:hint="eastAsia" w:ascii="宋体" w:hAnsi="宋体"/>
          <w:color w:val="000000"/>
          <w:sz w:val="22"/>
          <w:szCs w:val="21"/>
          <w:u w:val="single"/>
        </w:rPr>
        <w:t>杭州萧山国际机场内</w:t>
      </w:r>
      <w:r>
        <w:rPr>
          <w:rFonts w:hint="eastAsia" w:ascii="宋体" w:hAnsi="宋体"/>
          <w:color w:val="000000"/>
          <w:sz w:val="22"/>
          <w:szCs w:val="21"/>
        </w:rPr>
        <w:t>。</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第二条 养护范围及养护内容</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1．养护范围：根据甲方招标文件及乙方投标书承诺内容，乙方养护的范围具体指</w:t>
      </w:r>
      <w:r>
        <w:rPr>
          <w:rFonts w:hint="eastAsia" w:ascii="宋体" w:hAnsi="宋体" w:cs="Arial"/>
          <w:kern w:val="0"/>
          <w:sz w:val="22"/>
          <w:u w:val="single"/>
        </w:rPr>
        <w:t>机场场区范围内189个花箱和综合服务楼花境等</w:t>
      </w:r>
      <w:r>
        <w:rPr>
          <w:rFonts w:hint="eastAsia" w:ascii="宋体" w:hAnsi="宋体"/>
          <w:color w:val="000000"/>
          <w:sz w:val="22"/>
          <w:szCs w:val="21"/>
        </w:rPr>
        <w:t>。</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2．养护内容（以打√为准）：</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去除枯死植株      </w:t>
      </w:r>
      <w:r>
        <w:rPr>
          <w:rFonts w:ascii="Segoe UI Symbol" w:hAnsi="Segoe UI Symbol" w:eastAsia="MS Mincho" w:cs="Segoe UI Symbol"/>
          <w:color w:val="000000"/>
          <w:sz w:val="22"/>
          <w:szCs w:val="21"/>
        </w:rPr>
        <w:t>☑</w:t>
      </w:r>
      <w:r>
        <w:rPr>
          <w:rFonts w:hint="eastAsia" w:ascii="宋体" w:hAnsi="宋体"/>
          <w:color w:val="000000"/>
          <w:sz w:val="22"/>
          <w:szCs w:val="21"/>
        </w:rPr>
        <w:t>  植物补植     </w:t>
      </w:r>
      <w:r>
        <w:rPr>
          <w:rFonts w:ascii="Segoe UI Symbol" w:hAnsi="Segoe UI Symbol" w:eastAsia="MS Mincho" w:cs="Segoe UI Symbol"/>
          <w:color w:val="000000"/>
          <w:sz w:val="22"/>
          <w:szCs w:val="21"/>
        </w:rPr>
        <w:t>☑</w:t>
      </w:r>
      <w:r>
        <w:rPr>
          <w:rFonts w:hint="eastAsia" w:ascii="宋体" w:hAnsi="宋体"/>
          <w:color w:val="000000"/>
          <w:sz w:val="22"/>
          <w:szCs w:val="21"/>
        </w:rPr>
        <w:t>  树木扶正</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病虫害防治和监测  </w:t>
      </w:r>
      <w:r>
        <w:rPr>
          <w:rFonts w:ascii="Segoe UI Symbol" w:hAnsi="Segoe UI Symbol" w:eastAsia="MS Mincho" w:cs="Segoe UI Symbol"/>
          <w:color w:val="000000"/>
          <w:sz w:val="22"/>
          <w:szCs w:val="21"/>
        </w:rPr>
        <w:t>☑</w:t>
      </w:r>
      <w:r>
        <w:rPr>
          <w:rFonts w:hint="eastAsia" w:ascii="宋体" w:hAnsi="宋体"/>
          <w:color w:val="000000"/>
          <w:sz w:val="22"/>
          <w:szCs w:val="21"/>
        </w:rPr>
        <w:t>  浇灌排水      </w:t>
      </w:r>
      <w:r>
        <w:rPr>
          <w:rFonts w:ascii="Segoe UI Symbol" w:hAnsi="Segoe UI Symbol" w:eastAsia="MS Mincho" w:cs="Segoe UI Symbol"/>
          <w:color w:val="000000"/>
          <w:sz w:val="22"/>
          <w:szCs w:val="21"/>
        </w:rPr>
        <w:t>☑</w:t>
      </w:r>
      <w:r>
        <w:rPr>
          <w:rFonts w:hint="eastAsia" w:ascii="宋体" w:hAnsi="宋体"/>
          <w:color w:val="000000"/>
          <w:sz w:val="22"/>
          <w:szCs w:val="21"/>
        </w:rPr>
        <w:t>  土壤施肥</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中耕除草        </w:t>
      </w:r>
      <w:r>
        <w:rPr>
          <w:rFonts w:ascii="Segoe UI Symbol" w:hAnsi="Segoe UI Symbol" w:eastAsia="MS Mincho" w:cs="Segoe UI Symbol"/>
          <w:color w:val="000000"/>
          <w:sz w:val="22"/>
          <w:szCs w:val="21"/>
        </w:rPr>
        <w:t>☑</w:t>
      </w:r>
      <w:r>
        <w:rPr>
          <w:rFonts w:hint="eastAsia" w:ascii="宋体" w:hAnsi="宋体"/>
          <w:color w:val="000000"/>
          <w:sz w:val="22"/>
          <w:szCs w:val="21"/>
        </w:rPr>
        <w:t>  花坛花境布置  </w:t>
      </w:r>
      <w:r>
        <w:rPr>
          <w:rFonts w:ascii="Segoe UI Symbol" w:hAnsi="Segoe UI Symbol" w:eastAsia="MS Mincho" w:cs="Segoe UI Symbol"/>
          <w:color w:val="000000"/>
          <w:sz w:val="22"/>
          <w:szCs w:val="21"/>
        </w:rPr>
        <w:t>☑</w:t>
      </w:r>
      <w:r>
        <w:rPr>
          <w:rFonts w:hint="eastAsia" w:ascii="宋体" w:hAnsi="宋体"/>
          <w:color w:val="000000"/>
          <w:sz w:val="22"/>
          <w:szCs w:val="21"/>
        </w:rPr>
        <w:t>  地被覆盖</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植物（树木、绿篱、草坪等）修剪</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植物防护（防寒、旱、台、涝、高温等）</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花箱、花镜、栏杆、园路、桌椅、路灯、井盖和标牌、驳岸等园林设施的保洁维修</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绿地保洁         </w:t>
      </w:r>
      <w:r>
        <w:rPr>
          <w:rFonts w:ascii="Segoe UI Symbol" w:hAnsi="Segoe UI Symbol" w:eastAsia="MS Mincho" w:cs="Segoe UI Symbol"/>
          <w:color w:val="000000"/>
          <w:sz w:val="22"/>
          <w:szCs w:val="21"/>
        </w:rPr>
        <w:t>☑</w:t>
      </w:r>
      <w:r>
        <w:rPr>
          <w:rFonts w:hint="eastAsia" w:ascii="宋体" w:hAnsi="宋体"/>
          <w:color w:val="000000"/>
          <w:sz w:val="22"/>
          <w:szCs w:val="21"/>
        </w:rPr>
        <w:t>  垃圾收集     </w:t>
      </w:r>
      <w:r>
        <w:rPr>
          <w:rFonts w:ascii="Segoe UI Symbol" w:hAnsi="Segoe UI Symbol" w:eastAsia="MS Mincho" w:cs="Segoe UI Symbol"/>
          <w:color w:val="000000"/>
          <w:sz w:val="22"/>
          <w:szCs w:val="21"/>
        </w:rPr>
        <w:t>☑</w:t>
      </w:r>
      <w:r>
        <w:rPr>
          <w:rFonts w:hint="eastAsia" w:ascii="宋体" w:hAnsi="宋体"/>
          <w:color w:val="000000"/>
          <w:sz w:val="22"/>
          <w:szCs w:val="21"/>
        </w:rPr>
        <w:t>  垃圾清运</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  水体保洁         □  水体清淤     </w:t>
      </w:r>
      <w:r>
        <w:rPr>
          <w:rFonts w:ascii="Segoe UI Symbol" w:hAnsi="Segoe UI Symbol" w:eastAsia="MS Mincho" w:cs="Segoe UI Symbol"/>
          <w:color w:val="000000"/>
          <w:sz w:val="22"/>
          <w:szCs w:val="21"/>
        </w:rPr>
        <w:t>☑</w:t>
      </w:r>
      <w:r>
        <w:rPr>
          <w:rFonts w:hint="eastAsia" w:ascii="宋体" w:hAnsi="宋体"/>
          <w:color w:val="000000"/>
          <w:sz w:val="22"/>
          <w:szCs w:val="21"/>
        </w:rPr>
        <w:t>  养护巡逻</w:t>
      </w:r>
    </w:p>
    <w:p>
      <w:pPr>
        <w:spacing w:line="300" w:lineRule="auto"/>
        <w:ind w:firstLine="440" w:firstLineChars="200"/>
        <w:rPr>
          <w:rFonts w:ascii="宋体" w:hAnsi="宋体"/>
          <w:color w:val="000000"/>
          <w:sz w:val="22"/>
          <w:szCs w:val="21"/>
        </w:rPr>
      </w:pPr>
      <w:r>
        <w:rPr>
          <w:rFonts w:ascii="Segoe UI Symbol" w:hAnsi="Segoe UI Symbol" w:eastAsia="MS Mincho" w:cs="Segoe UI Symbol"/>
          <w:color w:val="000000"/>
          <w:sz w:val="22"/>
          <w:szCs w:val="21"/>
        </w:rPr>
        <w:t>☑</w:t>
      </w:r>
      <w:r>
        <w:rPr>
          <w:rFonts w:hint="eastAsia" w:ascii="宋体" w:hAnsi="宋体"/>
          <w:color w:val="000000"/>
          <w:sz w:val="22"/>
          <w:szCs w:val="21"/>
        </w:rPr>
        <w:t>  其它养护内容：</w:t>
      </w:r>
      <w:r>
        <w:rPr>
          <w:rFonts w:hint="eastAsia" w:ascii="宋体" w:hAnsi="宋体"/>
          <w:color w:val="000000"/>
          <w:sz w:val="22"/>
          <w:szCs w:val="21"/>
          <w:u w:val="single"/>
        </w:rPr>
        <w:t>一年不少于6次的时花更换，</w:t>
      </w:r>
      <w:r>
        <w:rPr>
          <w:rFonts w:hint="eastAsia" w:ascii="宋体" w:hAnsi="宋体" w:cs="Arial"/>
          <w:kern w:val="0"/>
          <w:sz w:val="22"/>
          <w:u w:val="single"/>
        </w:rPr>
        <w:t>花卉的养护补植；部分花箱的更换、服务楼花镜设计一年不少于3次等</w:t>
      </w:r>
      <w:r>
        <w:rPr>
          <w:rFonts w:hint="eastAsia" w:ascii="宋体" w:hAnsi="宋体"/>
          <w:color w:val="000000"/>
          <w:sz w:val="22"/>
          <w:szCs w:val="21"/>
          <w:u w:val="single"/>
        </w:rPr>
        <w:t>。</w:t>
      </w:r>
    </w:p>
    <w:p>
      <w:pPr>
        <w:spacing w:line="300" w:lineRule="auto"/>
        <w:ind w:firstLine="440" w:firstLineChars="200"/>
        <w:rPr>
          <w:rFonts w:ascii="宋体" w:hAnsi="宋体"/>
          <w:color w:val="000000"/>
          <w:sz w:val="22"/>
          <w:szCs w:val="21"/>
        </w:rPr>
      </w:pPr>
      <w:r>
        <w:rPr>
          <w:rFonts w:ascii="宋体" w:hAnsi="宋体"/>
          <w:color w:val="000000"/>
          <w:sz w:val="22"/>
          <w:szCs w:val="21"/>
        </w:rPr>
        <w:t>3</w:t>
      </w:r>
      <w:r>
        <w:rPr>
          <w:rFonts w:hint="eastAsia" w:ascii="宋体" w:hAnsi="宋体"/>
          <w:color w:val="000000"/>
          <w:sz w:val="22"/>
          <w:szCs w:val="21"/>
        </w:rPr>
        <w:t>．对乙方超出工程量清单范围和因乙方原因造成返工的养护工作，甲方不支付相关养护费。</w:t>
      </w:r>
    </w:p>
    <w:p>
      <w:pPr>
        <w:adjustRightInd w:val="0"/>
        <w:snapToGrid w:val="0"/>
        <w:spacing w:line="360" w:lineRule="exact"/>
        <w:ind w:firstLine="440" w:firstLineChars="200"/>
        <w:rPr>
          <w:rFonts w:cs="Calibri" w:asciiTheme="minorEastAsia" w:hAnsiTheme="minorEastAsia"/>
          <w:color w:val="FF0000"/>
          <w:sz w:val="22"/>
          <w:lang w:val="zh-CN"/>
        </w:rPr>
      </w:pPr>
      <w:r>
        <w:rPr>
          <w:rFonts w:hint="eastAsia" w:ascii="宋体" w:hAnsi="宋体" w:cs="Calibri"/>
          <w:b/>
          <w:color w:val="000000"/>
          <w:sz w:val="22"/>
        </w:rPr>
        <w:t>4</w:t>
      </w:r>
      <w:r>
        <w:rPr>
          <w:rFonts w:ascii="宋体" w:hAnsi="宋体" w:cs="Calibri"/>
          <w:b/>
          <w:color w:val="000000"/>
          <w:sz w:val="22"/>
        </w:rPr>
        <w:t>.</w:t>
      </w:r>
      <w:r>
        <w:rPr>
          <w:rFonts w:hint="eastAsia" w:ascii="宋体" w:hAnsi="宋体" w:cs="Calibri"/>
          <w:b/>
          <w:color w:val="000000"/>
          <w:sz w:val="22"/>
        </w:rPr>
        <w:t>服务内容及要求：</w:t>
      </w:r>
      <w:r>
        <w:rPr>
          <w:rFonts w:hint="eastAsia" w:cs="Calibri" w:asciiTheme="minorEastAsia" w:hAnsiTheme="minorEastAsia"/>
          <w:color w:val="000000"/>
          <w:sz w:val="22"/>
        </w:rPr>
        <w:t>负责时花种植（包括清除原有时花、翻土、土壤消毒）、维护、养护、保洁工作，种植容器（花箱）的管理；负责适时更新残花、按时更换时花，保持盛花率90%以上，保持时花美观。时花种植一年不少于6次；负责花箱、花镜的保洁、维护，包括更换受损花箱，及时清洗，保持花箱干净；按照不同季节选择合适的时花报</w:t>
      </w:r>
      <w:r>
        <w:rPr>
          <w:rFonts w:hint="eastAsia" w:cs="Calibri" w:asciiTheme="minorEastAsia" w:hAnsiTheme="minorEastAsia"/>
          <w:color w:val="000000"/>
          <w:sz w:val="22"/>
          <w:highlight w:val="yellow"/>
        </w:rPr>
        <w:t>甲方</w:t>
      </w:r>
      <w:r>
        <w:rPr>
          <w:rFonts w:hint="eastAsia" w:cs="Calibri" w:asciiTheme="minorEastAsia" w:hAnsiTheme="minorEastAsia"/>
          <w:color w:val="000000"/>
          <w:sz w:val="22"/>
        </w:rPr>
        <w:t>审核后方可种植，时花品种参照招标文件所附参考清单，但不限于该清单，甲方有权根据市场花卉供应情况选用其他时花品种；负责每年更换一次花箱，花箱样式报</w:t>
      </w:r>
      <w:r>
        <w:rPr>
          <w:rFonts w:hint="eastAsia" w:cs="Calibri" w:asciiTheme="minorEastAsia" w:hAnsiTheme="minorEastAsia"/>
          <w:color w:val="000000"/>
          <w:sz w:val="22"/>
          <w:highlight w:val="yellow"/>
        </w:rPr>
        <w:t>甲方</w:t>
      </w:r>
      <w:r>
        <w:rPr>
          <w:rFonts w:hint="eastAsia" w:cs="Calibri" w:asciiTheme="minorEastAsia" w:hAnsiTheme="minorEastAsia"/>
          <w:color w:val="000000"/>
          <w:sz w:val="22"/>
        </w:rPr>
        <w:t>审核后方可更换；综合服务楼花镜每年至少需更换2次造型，更换前须报设计方案于</w:t>
      </w:r>
      <w:r>
        <w:rPr>
          <w:rFonts w:hint="eastAsia" w:cs="Calibri" w:asciiTheme="minorEastAsia" w:hAnsiTheme="minorEastAsia"/>
          <w:color w:val="000000"/>
          <w:sz w:val="22"/>
          <w:highlight w:val="yellow"/>
        </w:rPr>
        <w:t>甲方</w:t>
      </w:r>
      <w:r>
        <w:rPr>
          <w:rFonts w:hint="eastAsia" w:cs="Calibri" w:asciiTheme="minorEastAsia" w:hAnsiTheme="minorEastAsia"/>
          <w:color w:val="000000"/>
          <w:sz w:val="22"/>
        </w:rPr>
        <w:t>审核后方可实施，造型需独特、新颖，必要时营造山水景观、枯山水景观等。</w:t>
      </w:r>
      <w:r>
        <w:rPr>
          <w:rFonts w:hint="eastAsia" w:cs="Calibri" w:asciiTheme="minorEastAsia" w:hAnsiTheme="minorEastAsia"/>
          <w:color w:val="000000"/>
          <w:sz w:val="22"/>
          <w:lang w:val="zh-CN"/>
        </w:rPr>
        <w:t>乙方</w:t>
      </w:r>
      <w:r>
        <w:rPr>
          <w:rFonts w:cs="Calibri" w:asciiTheme="minorEastAsia" w:hAnsiTheme="minorEastAsia"/>
          <w:color w:val="000000"/>
          <w:sz w:val="22"/>
          <w:lang w:val="zh-CN"/>
        </w:rPr>
        <w:t>每次更换花卉需提前7个工作日将更换花卉品质、规格、数量等报于招标人，待招标人审核完毕后才能进行更换，另外招标人有权指定品种，请乙方统筹考虑。</w:t>
      </w:r>
    </w:p>
    <w:p>
      <w:pPr>
        <w:adjustRightInd w:val="0"/>
        <w:snapToGrid w:val="0"/>
        <w:spacing w:line="360" w:lineRule="exact"/>
        <w:rPr>
          <w:rFonts w:ascii="宋体" w:hAnsi="宋体" w:cs="Calibri"/>
          <w:b/>
          <w:color w:val="000000"/>
          <w:sz w:val="22"/>
        </w:rPr>
      </w:pPr>
      <w:r>
        <w:rPr>
          <w:rFonts w:hint="eastAsia" w:ascii="宋体" w:hAnsi="宋体" w:cs="Calibri"/>
          <w:b/>
          <w:color w:val="000000"/>
          <w:sz w:val="22"/>
        </w:rPr>
        <w:t xml:space="preserve">    5</w:t>
      </w:r>
      <w:r>
        <w:rPr>
          <w:rFonts w:ascii="宋体" w:hAnsi="宋体" w:cs="Calibri"/>
          <w:b/>
          <w:color w:val="000000"/>
          <w:sz w:val="22"/>
        </w:rPr>
        <w:t>.</w:t>
      </w:r>
      <w:r>
        <w:rPr>
          <w:rFonts w:hint="eastAsia" w:ascii="宋体" w:hAnsi="宋体" w:cs="Calibri"/>
          <w:b/>
          <w:color w:val="000000"/>
          <w:sz w:val="22"/>
        </w:rPr>
        <w:t>养护服务内容及要求：</w:t>
      </w:r>
      <w:r>
        <w:rPr>
          <w:rFonts w:hint="eastAsia" w:cs="Calibri" w:asciiTheme="minorEastAsia" w:hAnsiTheme="minorEastAsia"/>
          <w:color w:val="000000"/>
          <w:sz w:val="22"/>
          <w:lang w:val="zh-CN"/>
        </w:rPr>
        <w:t>包含但不限于以下内容：</w:t>
      </w:r>
      <w:r>
        <w:rPr>
          <w:rFonts w:hint="eastAsia" w:cs="Calibri" w:asciiTheme="minorEastAsia" w:hAnsiTheme="minorEastAsia"/>
          <w:color w:val="000000"/>
          <w:sz w:val="22"/>
        </w:rPr>
        <w:t>1、按照甲方实际需求更换、养护花箱时花；2、松土除草、浇水或排水；3、整形修剪；4、病虫害防治；5、补植；6、施肥；7、补栽；8、绿地容貌（及时清运杂草、死苗等养护残留物）；9、清雪；10、夜间浇水、12、花镜设计及造型。具体如下：</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根据不同品种进行养护管理，不得因缺水、少肥造成枝叶萎蔫、枯黄，必要时追肥催花；</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应进行病虫害预防性防治，发病后，应于发病初期立即防治，并要求诊断准确、用药合理；</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发生虫害时，应适期用药，但应尽可能避免使用高毒和刺激性强气味大的农药；</w:t>
      </w:r>
    </w:p>
    <w:p>
      <w:pPr>
        <w:adjustRightInd w:val="0"/>
        <w:snapToGrid w:val="0"/>
        <w:spacing w:line="360" w:lineRule="exact"/>
        <w:ind w:left="440" w:firstLine="440" w:firstLineChars="200"/>
        <w:rPr>
          <w:rFonts w:cs="Calibri" w:asciiTheme="minorEastAsia" w:hAnsiTheme="minorEastAsia"/>
          <w:color w:val="000000"/>
          <w:sz w:val="22"/>
        </w:rPr>
      </w:pPr>
      <w:r>
        <w:rPr>
          <w:rFonts w:hint="eastAsia" w:cs="Calibri" w:asciiTheme="minorEastAsia" w:hAnsiTheme="minorEastAsia"/>
          <w:color w:val="000000"/>
          <w:sz w:val="22"/>
        </w:rPr>
        <w:t>如不发生人为破坏或自然灾害，存活率达到95%以上，达不到存活率应及时补植；</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w:t>
      </w:r>
      <w:r>
        <w:rPr>
          <w:rFonts w:hint="eastAsia" w:cs="Calibri" w:asciiTheme="minorEastAsia" w:hAnsiTheme="minorEastAsia"/>
          <w:color w:val="000000"/>
          <w:sz w:val="22"/>
        </w:rPr>
        <w:t>养护标准：植物生长正常，住型丰满。花卉生长季节有花可观，无徒长现象、无杂草，常绿植物不影响7️其景观效果，无明显病虫害；花箱需严格遵守养护方案，干净美观。</w:t>
      </w:r>
    </w:p>
    <w:p>
      <w:pPr>
        <w:adjustRightInd w:val="0"/>
        <w:snapToGrid w:val="0"/>
        <w:spacing w:line="360" w:lineRule="exact"/>
        <w:ind w:firstLine="440" w:firstLineChars="200"/>
        <w:rPr>
          <w:rFonts w:cs="Calibri" w:asciiTheme="minorEastAsia" w:hAnsiTheme="minorEastAsia"/>
          <w:color w:val="000000"/>
          <w:sz w:val="22"/>
          <w:lang w:val="zh-CN"/>
        </w:rPr>
      </w:pPr>
      <w:r>
        <w:rPr>
          <w:rFonts w:hint="eastAsia" w:cs="Calibri" w:asciiTheme="minorEastAsia" w:hAnsiTheme="minorEastAsia"/>
          <w:color w:val="000000"/>
          <w:sz w:val="22"/>
          <w:lang w:val="zh-CN"/>
        </w:rPr>
        <w:t>7</w:t>
      </w:r>
      <w:r>
        <w:rPr>
          <w:rFonts w:cs="Calibri" w:asciiTheme="minorEastAsia" w:hAnsiTheme="minorEastAsia"/>
          <w:color w:val="000000"/>
          <w:sz w:val="22"/>
          <w:lang w:val="zh-CN"/>
        </w:rPr>
        <w:t>.绿化养护要求</w:t>
      </w:r>
      <w:r>
        <w:rPr>
          <w:rFonts w:hint="eastAsia" w:cs="Calibri" w:asciiTheme="minorEastAsia" w:hAnsiTheme="minorEastAsia"/>
          <w:color w:val="000000"/>
          <w:sz w:val="22"/>
          <w:lang w:val="zh-CN"/>
        </w:rPr>
        <w:t>：</w:t>
      </w:r>
      <w:r>
        <w:rPr>
          <w:rFonts w:cs="Calibri" w:asciiTheme="minorEastAsia" w:hAnsiTheme="minorEastAsia"/>
          <w:color w:val="000000"/>
          <w:sz w:val="22"/>
          <w:lang w:val="zh-CN"/>
        </w:rPr>
        <w:t>乙方应适期、适量对服务区内绿植进行养护，包括浇水、施肥、病虫害防治等其他内容，保证其美观效果；杜绝浇水溢出等不利于养护现象。乙方及时进行人工拔除区域内各类杂草。如使用化学药剂需做好化学药剂及化学药剂包装的处置工作，做好相关人员的安全防护工作，产生的安全责任及环境保护问题由乙方</w:t>
      </w:r>
      <w:r>
        <w:rPr>
          <w:rFonts w:hint="eastAsia" w:cs="Calibri" w:asciiTheme="minorEastAsia" w:hAnsiTheme="minorEastAsia"/>
          <w:color w:val="000000"/>
          <w:sz w:val="22"/>
          <w:lang w:val="zh-CN"/>
        </w:rPr>
        <w:t>自行</w:t>
      </w:r>
      <w:r>
        <w:rPr>
          <w:rFonts w:cs="Calibri" w:asciiTheme="minorEastAsia" w:hAnsiTheme="minorEastAsia"/>
          <w:color w:val="000000"/>
          <w:sz w:val="22"/>
          <w:lang w:val="zh-CN"/>
        </w:rPr>
        <w:t>承担，</w:t>
      </w:r>
      <w:r>
        <w:rPr>
          <w:rFonts w:hint="eastAsia" w:cs="Calibri" w:asciiTheme="minorEastAsia" w:hAnsiTheme="minorEastAsia"/>
          <w:color w:val="000000"/>
          <w:sz w:val="22"/>
          <w:lang w:val="zh-CN"/>
        </w:rPr>
        <w:t>甲方</w:t>
      </w:r>
      <w:r>
        <w:rPr>
          <w:rFonts w:cs="Calibri" w:asciiTheme="minorEastAsia" w:hAnsiTheme="minorEastAsia"/>
          <w:color w:val="000000"/>
          <w:sz w:val="22"/>
          <w:lang w:val="zh-CN"/>
        </w:rPr>
        <w:t>不承担由此导致的任何法律责任。乙方应保持服务区内的每日整洁，发现垃圾及时清除。乙方因作业产生的废料应及时清除，并不得随意丢弃，必要时清运处理。乙方摆放作业员应每2天检查病虫害发生情况，发现病虫害应在2天内治理完毕，并做好病虫害防治工作台帐，保证楼内植物常年无明显病虫害。乙方负责派专业人员每周对本合同约定范围内的所有区域绿植养护一次，并根据季节及每种绿植的特征进行浇水、施肥、培育、修剪枝杈及防治病虫害，并根据</w:t>
      </w:r>
      <w:r>
        <w:rPr>
          <w:rFonts w:hint="eastAsia" w:cs="Calibri" w:asciiTheme="minorEastAsia" w:hAnsiTheme="minorEastAsia"/>
          <w:color w:val="000000"/>
          <w:sz w:val="22"/>
          <w:lang w:val="zh-CN"/>
        </w:rPr>
        <w:t>甲方</w:t>
      </w:r>
      <w:r>
        <w:rPr>
          <w:rFonts w:cs="Calibri" w:asciiTheme="minorEastAsia" w:hAnsiTheme="minorEastAsia"/>
          <w:color w:val="000000"/>
          <w:sz w:val="22"/>
          <w:lang w:val="zh-CN"/>
        </w:rPr>
        <w:t>的意见调整绿植的摆放位置。乙方应保证植物生长良好，各视角长势均衡，如植物坏死或景观效果不佳，应及时无偿更换。乙方需建立日常巡查制度，巡查人员对服务区域每2天巡查一次，发现问题及时整改，并做好相关台账以备招标人检查。乙方的项目经理、工作人员或者派遣人员统一着装，标志明显，管理方式应文明、礼貌，对损坏花卉现象应及时予以制止，遇到严重的破坏行为应及时联系相关部门并上报</w:t>
      </w:r>
      <w:r>
        <w:rPr>
          <w:rFonts w:hint="eastAsia" w:cs="Calibri" w:asciiTheme="minorEastAsia" w:hAnsiTheme="minorEastAsia"/>
          <w:color w:val="000000"/>
          <w:sz w:val="22"/>
          <w:lang w:val="zh-CN"/>
        </w:rPr>
        <w:t>甲方</w:t>
      </w:r>
      <w:r>
        <w:rPr>
          <w:rFonts w:cs="Calibri" w:asciiTheme="minorEastAsia" w:hAnsiTheme="minorEastAsia"/>
          <w:color w:val="000000"/>
          <w:sz w:val="22"/>
          <w:lang w:val="zh-CN"/>
        </w:rPr>
        <w:t>。</w:t>
      </w:r>
    </w:p>
    <w:p>
      <w:pPr>
        <w:adjustRightInd w:val="0"/>
        <w:snapToGrid w:val="0"/>
        <w:spacing w:line="360" w:lineRule="exact"/>
        <w:rPr>
          <w:rFonts w:cs="Calibri" w:asciiTheme="minorEastAsia" w:hAnsiTheme="minorEastAsia"/>
          <w:color w:val="000000"/>
          <w:sz w:val="22"/>
          <w:lang w:val="zh-CN"/>
        </w:rPr>
      </w:pPr>
      <w:r>
        <w:rPr>
          <w:rFonts w:hint="eastAsia" w:ascii="宋体" w:hAnsi="宋体" w:cs="Calibri"/>
          <w:b/>
          <w:color w:val="000000"/>
          <w:sz w:val="22"/>
        </w:rPr>
        <w:t xml:space="preserve">    </w:t>
      </w:r>
      <w:r>
        <w:rPr>
          <w:rFonts w:hint="eastAsia" w:ascii="宋体" w:hAnsi="宋体" w:cs="Calibri"/>
          <w:b/>
          <w:color w:val="000000"/>
          <w:sz w:val="22"/>
          <w:lang w:val="zh-CN"/>
        </w:rPr>
        <w:t>8</w:t>
      </w:r>
      <w:r>
        <w:rPr>
          <w:rFonts w:ascii="宋体" w:hAnsi="宋体" w:cs="Calibri"/>
          <w:b/>
          <w:color w:val="000000"/>
          <w:sz w:val="22"/>
          <w:lang w:val="zh-CN"/>
        </w:rPr>
        <w:t>.</w:t>
      </w:r>
      <w:r>
        <w:rPr>
          <w:rFonts w:hint="eastAsia" w:ascii="宋体" w:hAnsi="宋体" w:cs="Calibri"/>
          <w:b/>
          <w:color w:val="000000"/>
          <w:sz w:val="22"/>
          <w:lang w:val="zh-CN"/>
        </w:rPr>
        <w:t>花器养护要求：</w:t>
      </w:r>
      <w:r>
        <w:rPr>
          <w:rFonts w:cs="Calibri" w:asciiTheme="minorEastAsia" w:hAnsiTheme="minorEastAsia"/>
          <w:color w:val="000000"/>
          <w:sz w:val="22"/>
          <w:lang w:val="zh-CN"/>
        </w:rPr>
        <w:t>乙方应每日保持花器整洁。乙方需做好花器、花境等的养护保养工作，包括但不限于</w:t>
      </w:r>
      <w:r>
        <w:rPr>
          <w:rFonts w:hint="eastAsia" w:cs="Calibri" w:asciiTheme="minorEastAsia" w:hAnsiTheme="minorEastAsia"/>
          <w:color w:val="000000"/>
          <w:sz w:val="22"/>
          <w:lang w:val="zh-CN"/>
        </w:rPr>
        <w:t>花箱</w:t>
      </w:r>
      <w:r>
        <w:rPr>
          <w:rFonts w:cs="Calibri" w:asciiTheme="minorEastAsia" w:hAnsiTheme="minorEastAsia"/>
          <w:color w:val="000000"/>
          <w:sz w:val="22"/>
          <w:lang w:val="zh-CN"/>
        </w:rPr>
        <w:t>刷防腐漆、维修、破损更换等。</w:t>
      </w:r>
    </w:p>
    <w:p>
      <w:pPr>
        <w:adjustRightInd w:val="0"/>
        <w:snapToGrid w:val="0"/>
        <w:spacing w:line="360" w:lineRule="exact"/>
        <w:rPr>
          <w:rFonts w:cs="Calibri" w:asciiTheme="minorEastAsia" w:hAnsiTheme="minorEastAsia"/>
          <w:color w:val="000000"/>
          <w:sz w:val="22"/>
          <w:lang w:val="zh-CN"/>
        </w:rPr>
      </w:pPr>
      <w:r>
        <w:rPr>
          <w:rFonts w:hint="eastAsia" w:ascii="宋体" w:hAnsi="宋体" w:cs="Calibri"/>
          <w:b/>
          <w:color w:val="000000"/>
          <w:sz w:val="22"/>
        </w:rPr>
        <w:t xml:space="preserve">    9</w:t>
      </w:r>
      <w:r>
        <w:rPr>
          <w:rFonts w:ascii="宋体" w:hAnsi="宋体" w:cs="Calibri"/>
          <w:b/>
          <w:color w:val="000000"/>
          <w:sz w:val="22"/>
        </w:rPr>
        <w:t>.</w:t>
      </w:r>
      <w:r>
        <w:rPr>
          <w:rFonts w:hint="eastAsia" w:ascii="宋体" w:hAnsi="宋体" w:cs="Calibri"/>
          <w:b/>
          <w:color w:val="000000"/>
          <w:sz w:val="22"/>
          <w:lang w:val="zh-CN"/>
        </w:rPr>
        <w:t>防意外及修复工作：</w:t>
      </w:r>
      <w:r>
        <w:rPr>
          <w:rFonts w:cs="Calibri" w:asciiTheme="minorEastAsia" w:hAnsiTheme="minorEastAsia"/>
          <w:color w:val="000000"/>
          <w:sz w:val="22"/>
          <w:lang w:val="zh-CN"/>
        </w:rPr>
        <w:t>防风、防汛、防寒等自然灾害及预防火灾等，以及人为破坏、交通事故等绿地造成损坏的要及时组织修复。</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第三条 养护期限</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本次合同签订为期</w:t>
      </w:r>
      <w:r>
        <w:rPr>
          <w:rFonts w:hint="eastAsia" w:ascii="宋体" w:hAnsi="宋体"/>
          <w:color w:val="000000"/>
          <w:sz w:val="22"/>
          <w:szCs w:val="21"/>
          <w:u w:val="single"/>
        </w:rPr>
        <w:t xml:space="preserve">  两年 </w:t>
      </w:r>
      <w:r>
        <w:rPr>
          <w:rFonts w:hint="eastAsia" w:ascii="宋体" w:hAnsi="宋体"/>
          <w:color w:val="000000"/>
          <w:sz w:val="22"/>
          <w:szCs w:val="21"/>
        </w:rPr>
        <w:t>年，自2020年</w:t>
      </w:r>
      <w:r>
        <w:rPr>
          <w:rFonts w:hint="eastAsia" w:ascii="宋体" w:hAnsi="宋体"/>
          <w:color w:val="000000"/>
          <w:sz w:val="22"/>
          <w:szCs w:val="21"/>
          <w:u w:val="single"/>
        </w:rPr>
        <w:t>1</w:t>
      </w:r>
      <w:r>
        <w:rPr>
          <w:rFonts w:hint="eastAsia" w:ascii="宋体" w:hAnsi="宋体"/>
          <w:color w:val="000000"/>
          <w:sz w:val="22"/>
          <w:szCs w:val="21"/>
        </w:rPr>
        <w:t>月</w:t>
      </w:r>
      <w:r>
        <w:rPr>
          <w:rFonts w:hint="eastAsia" w:ascii="宋体" w:hAnsi="宋体"/>
          <w:color w:val="000000"/>
          <w:sz w:val="22"/>
          <w:szCs w:val="21"/>
          <w:u w:val="single"/>
        </w:rPr>
        <w:t>1</w:t>
      </w:r>
      <w:r>
        <w:rPr>
          <w:rFonts w:hint="eastAsia" w:ascii="宋体" w:hAnsi="宋体"/>
          <w:color w:val="000000"/>
          <w:sz w:val="22"/>
          <w:szCs w:val="21"/>
        </w:rPr>
        <w:t>日至2021年</w:t>
      </w:r>
      <w:r>
        <w:rPr>
          <w:rFonts w:hint="eastAsia" w:ascii="宋体" w:hAnsi="宋体"/>
          <w:color w:val="000000"/>
          <w:sz w:val="22"/>
          <w:szCs w:val="21"/>
          <w:u w:val="single"/>
        </w:rPr>
        <w:t>12</w:t>
      </w:r>
      <w:r>
        <w:rPr>
          <w:rFonts w:hint="eastAsia" w:ascii="宋体" w:hAnsi="宋体"/>
          <w:color w:val="000000"/>
          <w:sz w:val="22"/>
          <w:szCs w:val="21"/>
        </w:rPr>
        <w:t>月</w:t>
      </w:r>
      <w:r>
        <w:rPr>
          <w:rFonts w:hint="eastAsia" w:ascii="宋体" w:hAnsi="宋体"/>
          <w:color w:val="000000"/>
          <w:sz w:val="22"/>
          <w:szCs w:val="21"/>
          <w:u w:val="single"/>
        </w:rPr>
        <w:t>31</w:t>
      </w:r>
      <w:r>
        <w:rPr>
          <w:rFonts w:hint="eastAsia" w:ascii="宋体" w:hAnsi="宋体"/>
          <w:color w:val="000000"/>
          <w:sz w:val="22"/>
          <w:szCs w:val="21"/>
        </w:rPr>
        <w:t>日止。（</w:t>
      </w:r>
      <w:r>
        <w:rPr>
          <w:rFonts w:hint="eastAsia" w:ascii="宋体" w:hAnsi="宋体" w:cs="Arial"/>
          <w:kern w:val="0"/>
          <w:sz w:val="22"/>
        </w:rPr>
        <w:t>本项目将采用“1+1”模式，第一年为考核期，从2020年1月1日至20</w:t>
      </w:r>
      <w:r>
        <w:rPr>
          <w:rFonts w:ascii="宋体" w:hAnsi="宋体" w:cs="Arial"/>
          <w:kern w:val="0"/>
          <w:sz w:val="22"/>
        </w:rPr>
        <w:t>20</w:t>
      </w:r>
      <w:r>
        <w:rPr>
          <w:rFonts w:hint="eastAsia" w:ascii="宋体" w:hAnsi="宋体" w:cs="Arial"/>
          <w:kern w:val="0"/>
          <w:sz w:val="22"/>
        </w:rPr>
        <w:t>年12月31日，甲方按照本合同第五条条约定进行考核，考核达到合格后，合同有效期限自动顺延至2021年12月31日。考核不合格，本合同有效期限至2020年12月31日终止</w:t>
      </w:r>
      <w:r>
        <w:rPr>
          <w:rFonts w:hint="eastAsia" w:ascii="宋体" w:hAnsi="宋体"/>
          <w:color w:val="000000"/>
          <w:sz w:val="22"/>
          <w:szCs w:val="21"/>
        </w:rPr>
        <w:t>）</w:t>
      </w:r>
    </w:p>
    <w:p>
      <w:pPr>
        <w:spacing w:line="300" w:lineRule="auto"/>
        <w:ind w:firstLine="440" w:firstLineChars="200"/>
        <w:rPr>
          <w:rFonts w:ascii="宋体" w:hAnsi="宋体"/>
          <w:b/>
          <w:bCs/>
          <w:color w:val="000000" w:themeColor="text1"/>
          <w:sz w:val="22"/>
          <w:szCs w:val="21"/>
          <w14:textFill>
            <w14:solidFill>
              <w14:schemeClr w14:val="tx1"/>
            </w14:solidFill>
          </w14:textFill>
        </w:rPr>
      </w:pPr>
      <w:r>
        <w:rPr>
          <w:rFonts w:hint="eastAsia" w:ascii="宋体" w:hAnsi="宋体"/>
          <w:b/>
          <w:bCs/>
          <w:color w:val="000000" w:themeColor="text1"/>
          <w:sz w:val="22"/>
          <w:szCs w:val="21"/>
          <w14:textFill>
            <w14:solidFill>
              <w14:schemeClr w14:val="tx1"/>
            </w14:solidFill>
          </w14:textFill>
        </w:rPr>
        <w:t>第四条 养护费</w:t>
      </w:r>
    </w:p>
    <w:p>
      <w:pPr>
        <w:spacing w:line="300" w:lineRule="auto"/>
        <w:ind w:firstLine="440" w:firstLineChars="200"/>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根据甲方招标文件及乙方投标书承诺内容，在满足本合同规定的考核标准的前提下，</w:t>
      </w:r>
      <w:r>
        <w:rPr>
          <w:rFonts w:hint="eastAsia" w:ascii="宋体" w:hAnsi="宋体"/>
          <w:color w:val="000000" w:themeColor="text1"/>
          <w:sz w:val="22"/>
          <w:szCs w:val="21"/>
          <w:u w:val="single"/>
          <w14:textFill>
            <w14:solidFill>
              <w14:schemeClr w14:val="tx1"/>
            </w14:solidFill>
          </w14:textFill>
        </w:rPr>
        <w:t>两</w:t>
      </w:r>
      <w:r>
        <w:rPr>
          <w:rFonts w:hint="eastAsia" w:ascii="宋体" w:hAnsi="宋体"/>
          <w:color w:val="000000" w:themeColor="text1"/>
          <w:sz w:val="22"/>
          <w:szCs w:val="21"/>
          <w14:textFill>
            <w14:solidFill>
              <w14:schemeClr w14:val="tx1"/>
            </w14:solidFill>
          </w14:textFill>
        </w:rPr>
        <w:t>年总费用为大写：</w:t>
      </w:r>
      <w:r>
        <w:rPr>
          <w:rFonts w:hint="eastAsia" w:ascii="宋体" w:hAnsi="宋体"/>
          <w:color w:val="000000" w:themeColor="text1"/>
          <w:sz w:val="22"/>
          <w:szCs w:val="21"/>
          <w:u w:val="single"/>
          <w14:textFill>
            <w14:solidFill>
              <w14:schemeClr w14:val="tx1"/>
            </w14:solidFill>
          </w14:textFill>
        </w:rPr>
        <w:t xml:space="preserve">人民币                          </w:t>
      </w:r>
      <w:r>
        <w:rPr>
          <w:rFonts w:hint="eastAsia" w:ascii="宋体" w:hAnsi="宋体"/>
          <w:color w:val="000000" w:themeColor="text1"/>
          <w:sz w:val="22"/>
          <w:szCs w:val="21"/>
          <w14:textFill>
            <w14:solidFill>
              <w14:schemeClr w14:val="tx1"/>
            </w14:solidFill>
          </w14:textFill>
        </w:rPr>
        <w:t xml:space="preserve">，小写： </w:t>
      </w:r>
      <w:r>
        <w:rPr>
          <w:rFonts w:hint="eastAsia"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元；其中第一年年的养护费为</w:t>
      </w:r>
      <w:r>
        <w:rPr>
          <w:rFonts w:hint="eastAsia"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，花箱更换费用为</w:t>
      </w:r>
      <w:r>
        <w:rPr>
          <w:rFonts w:hint="eastAsia"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；第二年养护费为</w:t>
      </w:r>
      <w:r>
        <w:rPr>
          <w:rFonts w:hint="eastAsia"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，花箱更换费用为</w:t>
      </w:r>
      <w:r>
        <w:rPr>
          <w:rFonts w:hint="eastAsia"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。费用包括招标文件、优惠承诺中所有养护管理投入各类费用，及招标询标答复所承诺的费用、税费等各种费用。</w:t>
      </w:r>
    </w:p>
    <w:p>
      <w:pPr>
        <w:adjustRightInd w:val="0"/>
        <w:snapToGrid w:val="0"/>
        <w:spacing w:line="360" w:lineRule="auto"/>
        <w:ind w:firstLine="440" w:firstLineChars="200"/>
        <w:rPr>
          <w:rFonts w:ascii="宋体" w:hAnsi="宋体"/>
          <w:sz w:val="22"/>
        </w:rPr>
      </w:pPr>
      <w:bookmarkStart w:id="115" w:name="OLE_LINK31"/>
      <w:bookmarkStart w:id="116" w:name="OLE_LINK30"/>
      <w:r>
        <w:rPr>
          <w:rFonts w:hint="eastAsia" w:ascii="宋体" w:hAnsi="宋体"/>
          <w:sz w:val="22"/>
        </w:rPr>
        <w:t>乙方应向甲方缴付履约保证金，以保证乙方遵守本合同的一切条款、条件和承诺。乙方应在合同签订之日前5日内向甲方缴纳年度合同价的10%作为履约保证金，履约保证金的形式为：银行转账。如果逾期未缴纳，视为乙方违约，甲方有权不予签订合同，并有权追究乙方的违约责任。</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sz w:val="22"/>
        </w:rPr>
        <w:t>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bookmarkEnd w:id="115"/>
      <w:bookmarkEnd w:id="116"/>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第五条 注意事项和考核</w:t>
      </w:r>
    </w:p>
    <w:p>
      <w:pPr>
        <w:adjustRightInd w:val="0"/>
        <w:snapToGrid w:val="0"/>
        <w:spacing w:line="360" w:lineRule="exact"/>
        <w:rPr>
          <w:rFonts w:ascii="宋体" w:hAnsi="宋体" w:cs="Calibri"/>
          <w:b/>
          <w:color w:val="000000"/>
          <w:sz w:val="22"/>
          <w:lang w:val="zh-CN"/>
        </w:rPr>
      </w:pPr>
      <w:r>
        <w:rPr>
          <w:rFonts w:hint="eastAsia" w:ascii="宋体" w:hAnsi="宋体" w:cs="Calibri"/>
          <w:b/>
          <w:color w:val="000000"/>
          <w:sz w:val="22"/>
        </w:rPr>
        <w:t xml:space="preserve">   </w:t>
      </w:r>
      <w:r>
        <w:rPr>
          <w:rFonts w:ascii="宋体" w:hAnsi="宋体" w:cs="Calibri"/>
          <w:b/>
          <w:color w:val="000000"/>
          <w:sz w:val="22"/>
        </w:rPr>
        <w:t xml:space="preserve"> </w:t>
      </w:r>
      <w:r>
        <w:rPr>
          <w:rFonts w:hint="eastAsia" w:ascii="宋体" w:hAnsi="宋体" w:cs="Calibri"/>
          <w:b/>
          <w:color w:val="000000"/>
          <w:sz w:val="22"/>
        </w:rPr>
        <w:t>注意事项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1.绿化养护作业时不影响行人和周围环境；</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2.除草、清理死苗要及时清理干净、做到日产日清；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3.管理人员应熟悉养护管理规程及不同植物的习性；</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4.养护人员应按安全操作规程施工，注意劳动安全；</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5.养护产生的草叶、枯枝等禁止燃烧，处理要符合环保要求；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绿化养护中使用的农药必须是国家规定使用的农药，不得使用国家法规禁止使用的农药。要尽量用高效低毒农药，减少对大气土壤的污染。同时，对能够使用生物防治的虫害要采取生物防治方法，减少农药的使用量；</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7.使用完的农药包装物属于危险固废物，要按照环保有关规定进行处理。避免对环境造成污染，损害人的身体健康。没有使用完的农药，要妥善保管，进行有效封存。</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8.乙方应服从甲方的管理，如遇重大活动、庆典等需要修剪、浇水、清理卫生等，乙方应及时无条件按要求完成。 </w:t>
      </w:r>
    </w:p>
    <w:p>
      <w:pPr>
        <w:adjustRightInd w:val="0"/>
        <w:snapToGrid w:val="0"/>
        <w:spacing w:line="360" w:lineRule="exact"/>
        <w:ind w:firstLine="440" w:firstLineChars="200"/>
        <w:rPr>
          <w:rFonts w:ascii="宋体" w:hAnsi="宋体" w:cs="Calibri"/>
          <w:b/>
          <w:color w:val="000000"/>
          <w:sz w:val="22"/>
        </w:rPr>
      </w:pPr>
      <w:r>
        <w:rPr>
          <w:rFonts w:hint="eastAsia" w:ascii="宋体" w:hAnsi="宋体" w:cs="Calibri"/>
          <w:b/>
          <w:color w:val="000000"/>
          <w:sz w:val="22"/>
        </w:rPr>
        <w:t>考核标准</w:t>
      </w:r>
    </w:p>
    <w:p>
      <w:pPr>
        <w:adjustRightInd w:val="0"/>
        <w:snapToGrid w:val="0"/>
        <w:spacing w:line="360" w:lineRule="auto"/>
        <w:ind w:firstLine="480" w:firstLineChars="200"/>
        <w:rPr>
          <w:rFonts w:ascii="宋体" w:hAnsi="宋体"/>
          <w:sz w:val="24"/>
        </w:rPr>
      </w:pPr>
      <w:r>
        <w:rPr>
          <w:rFonts w:hint="eastAsia" w:ascii="宋体" w:hAnsi="宋体"/>
          <w:sz w:val="24"/>
        </w:rPr>
        <w:t>1、乙方负责的本项目必须根据相关环境、园林规范执行，力创服务精品，乙方必须配合甲方相关管理人员，确保责任落实。</w:t>
      </w:r>
    </w:p>
    <w:p>
      <w:pPr>
        <w:adjustRightInd w:val="0"/>
        <w:snapToGrid w:val="0"/>
        <w:spacing w:line="360" w:lineRule="auto"/>
        <w:ind w:firstLine="480" w:firstLineChars="200"/>
        <w:rPr>
          <w:rFonts w:ascii="宋体" w:hAnsi="宋体"/>
          <w:sz w:val="24"/>
        </w:rPr>
      </w:pPr>
      <w:r>
        <w:rPr>
          <w:rFonts w:hint="eastAsia" w:ascii="宋体" w:hAnsi="宋体"/>
          <w:sz w:val="24"/>
        </w:rPr>
        <w:t>2、考核细则</w:t>
      </w:r>
    </w:p>
    <w:p>
      <w:pPr>
        <w:adjustRightInd w:val="0"/>
        <w:snapToGrid w:val="0"/>
        <w:spacing w:line="360" w:lineRule="auto"/>
        <w:ind w:firstLine="440" w:firstLineChars="200"/>
        <w:rPr>
          <w:rFonts w:ascii="宋体" w:hAnsi="宋体"/>
          <w:sz w:val="22"/>
        </w:rPr>
      </w:pPr>
      <w:r>
        <w:rPr>
          <w:rFonts w:hint="eastAsia" w:ascii="宋体" w:hAnsi="宋体"/>
          <w:sz w:val="22"/>
        </w:rPr>
        <w:t>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adjustRightInd w:val="0"/>
        <w:snapToGrid w:val="0"/>
        <w:spacing w:line="360" w:lineRule="auto"/>
        <w:ind w:firstLine="440" w:firstLineChars="200"/>
        <w:rPr>
          <w:rFonts w:ascii="宋体" w:hAnsi="宋体"/>
          <w:sz w:val="22"/>
        </w:rPr>
      </w:pPr>
      <w:r>
        <w:rPr>
          <w:rFonts w:hint="eastAsia" w:ascii="宋体" w:hAnsi="宋体"/>
          <w:sz w:val="22"/>
        </w:rPr>
        <w:t>续约考核。在考核期届满前六个月，甲方组织续约考核，考核分数为考核期内月度考核分数的算术平均数，达到95 分以上（含95 分）为考核合格。考核不合格则甲方有权终止本合同，</w:t>
      </w:r>
      <w:r>
        <w:rPr>
          <w:rFonts w:hint="eastAsia" w:ascii="宋体" w:hAnsi="宋体" w:cs="Arial"/>
          <w:kern w:val="0"/>
          <w:sz w:val="22"/>
        </w:rPr>
        <w:t>并有权要求本项目的中标人赔偿因更换承包商所产生的高于原合同费用的差价、律师费、招标代理费等费用</w:t>
      </w:r>
      <w:r>
        <w:rPr>
          <w:rFonts w:hint="eastAsia" w:ascii="宋体" w:hAnsi="宋体"/>
          <w:sz w:val="22"/>
        </w:rPr>
        <w:t>，乙方缴纳的履约保证金全额不予以退还。</w:t>
      </w:r>
    </w:p>
    <w:p>
      <w:pPr>
        <w:adjustRightInd w:val="0"/>
        <w:snapToGrid w:val="0"/>
        <w:spacing w:line="360" w:lineRule="auto"/>
        <w:ind w:firstLine="440" w:firstLineChars="200"/>
        <w:rPr>
          <w:rFonts w:ascii="宋体" w:hAnsi="宋体"/>
          <w:sz w:val="22"/>
        </w:rPr>
      </w:pPr>
      <w:bookmarkStart w:id="117" w:name="OLE_LINK14"/>
    </w:p>
    <w:p>
      <w:pPr>
        <w:pStyle w:val="140"/>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机场公司业务外包项目月（季）度考核表</w:t>
      </w:r>
    </w:p>
    <w:p>
      <w:pPr>
        <w:pStyle w:val="2"/>
        <w:shd w:val="clear" w:color="auto" w:fill="FFFFFF"/>
        <w:spacing w:before="0" w:after="0" w:line="210" w:lineRule="atLeast"/>
        <w:ind w:firstLine="2650" w:firstLineChars="600"/>
        <w:rPr>
          <w:rFonts w:ascii="Tahoma" w:hAnsi="Tahoma" w:cs="Tahoma"/>
          <w:color w:val="333333"/>
          <w:sz w:val="24"/>
          <w:szCs w:val="45"/>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3360;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AlPo/5yQEAAGQDAAAOAAAAAAAAAAEAIAAAACcBAABk&#10;cnMvZTJvRG9jLnhtbFBLBQYAAAAABgAGAFkBAABiBQAAAAA=&#10;">
                <v:fill on="f" focussize="0,0"/>
                <v:stroke weight="1.5pt" color="#000000 [3213]" miterlimit="8" joinstyle="miter"/>
                <v:imagedata o:title=""/>
                <o:lock v:ext="edit" aspectratio="f"/>
              </v:line>
            </w:pict>
          </mc:Fallback>
        </mc:AlternateContent>
      </w:r>
      <w:r>
        <w:rPr>
          <w:rFonts w:ascii="Tahoma" w:hAnsi="Tahoma" w:cs="Tahoma"/>
          <w:color w:val="333333"/>
          <w:sz w:val="24"/>
          <w:szCs w:val="45"/>
        </w:rPr>
        <w:t>HIA Outsource Evaluation Form.E2</w:t>
      </w:r>
    </w:p>
    <w:p>
      <w:pPr>
        <w:pStyle w:val="2"/>
        <w:shd w:val="clear" w:color="auto" w:fill="FFFFFF"/>
        <w:spacing w:before="0" w:after="0"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rPr>
        <w:t xml:space="preserve">      ◆考核时间：</w:t>
      </w:r>
      <w:r>
        <w:rPr>
          <w:rFonts w:hint="eastAsia" w:ascii="Adobe 楷体 Std R" w:hAnsi="Adobe 楷体 Std R" w:eastAsia="Adobe 楷体 Std R"/>
          <w:sz w:val="24"/>
          <w:szCs w:val="32"/>
          <w:u w:val="single"/>
        </w:rPr>
        <w:t xml:space="preserve">              </w:t>
      </w:r>
    </w:p>
    <w:tbl>
      <w:tblPr>
        <w:tblStyle w:val="53"/>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ind w:left="2"/>
              <w:jc w:val="center"/>
              <w:rPr>
                <w:rFonts w:ascii="宋体" w:hAnsi="宋体"/>
                <w:b/>
                <w:color w:val="000000"/>
              </w:rPr>
            </w:pPr>
            <w:r>
              <w:rPr>
                <w:rFonts w:hint="eastAsia" w:ascii="宋体" w:hAnsi="宋体"/>
                <w:b/>
                <w:color w:val="000000"/>
              </w:rPr>
              <w:t>章 节</w:t>
            </w:r>
          </w:p>
        </w:tc>
        <w:tc>
          <w:tcPr>
            <w:tcW w:w="2670" w:type="dxa"/>
            <w:tcBorders>
              <w:top w:val="single" w:color="000000" w:sz="12" w:space="0"/>
              <w:left w:val="single" w:color="000000" w:sz="2" w:space="0"/>
              <w:bottom w:val="single" w:color="000000" w:sz="2" w:space="0"/>
              <w:right w:val="single" w:color="000000" w:sz="2" w:space="0"/>
            </w:tcBorders>
            <w:shd w:val="clear" w:color="auto" w:fill="B4C6E7"/>
          </w:tcPr>
          <w:p>
            <w:pPr>
              <w:spacing w:line="256" w:lineRule="auto"/>
              <w:jc w:val="center"/>
              <w:rPr>
                <w:rFonts w:ascii="宋体" w:hAnsi="宋体"/>
                <w:b/>
                <w:color w:val="000000"/>
              </w:rPr>
            </w:pPr>
            <w:r>
              <w:rPr>
                <w:rFonts w:hint="eastAsia" w:ascii="宋体" w:hAnsi="宋体" w:cs="微软雅黑"/>
                <w:b/>
                <w:color w:val="000000"/>
              </w:rPr>
              <w:t>性能方面</w:t>
            </w:r>
          </w:p>
        </w:tc>
        <w:tc>
          <w:tcPr>
            <w:tcW w:w="5655" w:type="dxa"/>
            <w:gridSpan w:val="4"/>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jc w:val="center"/>
              <w:rPr>
                <w:rFonts w:ascii="宋体" w:hAnsi="宋体" w:cs="微软雅黑"/>
                <w:b/>
                <w:color w:val="000000"/>
              </w:rPr>
            </w:pPr>
            <w:r>
              <w:rPr>
                <w:rFonts w:hint="eastAsia" w:ascii="宋体" w:hAnsi="宋体" w:cs="微软雅黑"/>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第1节</w:t>
            </w:r>
          </w:p>
        </w:tc>
        <w:tc>
          <w:tcPr>
            <w:tcW w:w="2670"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1.1</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311" w:type="dxa"/>
            <w:gridSpan w:val="2"/>
            <w:vMerge w:val="restart"/>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 xml:space="preserve"> </w:t>
            </w:r>
          </w:p>
          <w:p>
            <w:pPr>
              <w:spacing w:line="256"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6"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1.2</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 w:line="252" w:lineRule="auto"/>
              <w:jc w:val="center"/>
              <w:rPr>
                <w:rFonts w:ascii="宋体" w:hAnsi="宋体"/>
                <w:color w:val="000000"/>
              </w:rPr>
            </w:pPr>
            <w:r>
              <w:rPr>
                <w:rFonts w:hint="eastAsia" w:ascii="宋体" w:hAnsi="宋体"/>
                <w:color w:val="000000"/>
              </w:rPr>
              <w:t>1.3</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恶劣事件</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ind w:left="970" w:hanging="970"/>
              <w:jc w:val="center"/>
              <w:rPr>
                <w:rFonts w:ascii="宋体" w:hAnsi="宋体"/>
                <w:color w:val="000000"/>
              </w:rPr>
            </w:pPr>
            <w:r>
              <w:rPr>
                <w:rFonts w:hint="eastAsia" w:ascii="宋体" w:hAnsi="宋体"/>
                <w:color w:val="000000"/>
              </w:rPr>
              <w:t>1.4</w:t>
            </w:r>
          </w:p>
        </w:tc>
        <w:tc>
          <w:tcPr>
            <w:tcW w:w="2670" w:type="dxa"/>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公司行为被查处的违法违纪事件</w:t>
            </w:r>
          </w:p>
        </w:tc>
        <w:tc>
          <w:tcPr>
            <w:tcW w:w="2344" w:type="dxa"/>
            <w:gridSpan w:val="2"/>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311" w:type="dxa"/>
            <w:gridSpan w:val="2"/>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left w:val="single" w:color="000000" w:sz="12" w:space="0"/>
              <w:bottom w:val="single" w:color="auto" w:sz="4" w:space="0"/>
              <w:right w:val="single" w:color="000000" w:sz="2" w:space="0"/>
            </w:tcBorders>
            <w:vAlign w:val="center"/>
          </w:tcPr>
          <w:p>
            <w:pPr>
              <w:spacing w:line="276" w:lineRule="auto"/>
              <w:jc w:val="center"/>
              <w:rPr>
                <w:rFonts w:ascii="宋体" w:hAnsi="宋体"/>
                <w:color w:val="000000"/>
              </w:rPr>
            </w:pPr>
            <w:r>
              <w:rPr>
                <w:rFonts w:hint="eastAsia" w:ascii="宋体" w:hAnsi="宋体"/>
                <w:color w:val="000000"/>
              </w:rPr>
              <w:t>2.2</w:t>
            </w:r>
          </w:p>
        </w:tc>
        <w:tc>
          <w:tcPr>
            <w:tcW w:w="4087" w:type="dxa"/>
            <w:gridSpan w:val="2"/>
            <w:tcBorders>
              <w:top w:val="single" w:color="000000" w:sz="2" w:space="0"/>
              <w:left w:val="single" w:color="000000" w:sz="2" w:space="0"/>
              <w:bottom w:val="single" w:color="000000" w:sz="2" w:space="0"/>
              <w:right w:val="single" w:color="000000" w:sz="2" w:space="0"/>
            </w:tcBorders>
            <w:vAlign w:val="center"/>
          </w:tcPr>
          <w:p>
            <w:pPr>
              <w:widowControl/>
              <w:spacing w:line="276" w:lineRule="auto"/>
              <w:jc w:val="left"/>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vAlign w:val="center"/>
          </w:tcPr>
          <w:p>
            <w:pPr>
              <w:spacing w:line="276" w:lineRule="auto"/>
              <w:jc w:val="left"/>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2.3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对于检查发现问题的整改效率及措施</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2.5</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2.6</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现场工作质量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设备故障率（5）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after="10" w:line="252" w:lineRule="auto"/>
              <w:jc w:val="center"/>
              <w:rPr>
                <w:rFonts w:ascii="宋体" w:hAnsi="宋体"/>
                <w:color w:val="000000"/>
              </w:rPr>
            </w:pPr>
            <w:r>
              <w:rPr>
                <w:rFonts w:hint="eastAsia" w:ascii="宋体" w:hAnsi="宋体"/>
                <w:color w:val="000000"/>
              </w:rPr>
              <w:t>3.5</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right="45"/>
              <w:jc w:val="left"/>
              <w:rPr>
                <w:rFonts w:ascii="宋体" w:hAnsi="宋体" w:cs="微软雅黑"/>
                <w:b/>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6" w:lineRule="auto"/>
              <w:ind w:right="44"/>
              <w:jc w:val="center"/>
              <w:rPr>
                <w:rFonts w:ascii="宋体" w:hAnsi="宋体"/>
                <w:color w:val="000000"/>
              </w:rPr>
            </w:pPr>
            <w:r>
              <w:rPr>
                <w:rFonts w:hint="eastAsia" w:ascii="宋体" w:hAnsi="宋体"/>
                <w:color w:val="000000"/>
              </w:rPr>
              <w:t>3.6</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top w:val="single" w:color="000000" w:sz="2" w:space="0"/>
              <w:left w:val="single" w:color="000000" w:sz="12" w:space="0"/>
              <w:bottom w:val="single" w:color="auto" w:sz="4"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4.2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4.3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after="84" w:line="256"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5.2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方案执行情况（4）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工作进展及工作质量通报情况（4）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5.4</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根据投标承诺足额配备人员（4）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6.2</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根据投标承诺提供设备及耗材等（4）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6.3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tcBorders>
              <w:top w:val="single" w:color="000000" w:sz="2" w:space="0"/>
              <w:left w:val="single" w:color="000000" w:sz="2" w:space="0"/>
              <w:bottom w:val="single" w:color="000000" w:sz="2" w:space="0"/>
              <w:right w:val="single" w:color="000000" w:sz="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tcBorders>
              <w:top w:val="single" w:color="000000" w:sz="2" w:space="0"/>
              <w:left w:val="single" w:color="000000" w:sz="2" w:space="0"/>
              <w:bottom w:val="single" w:color="000000" w:sz="2" w:space="0"/>
              <w:right w:val="single" w:color="000000" w:sz="12" w:space="0"/>
            </w:tcBorders>
            <w:shd w:val="clear" w:color="auto" w:fill="D9E2F3"/>
          </w:tcPr>
          <w:p>
            <w:pPr>
              <w:spacing w:line="256"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7.1</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6"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tcBorders>
              <w:top w:val="single" w:color="000000" w:sz="2" w:space="0"/>
              <w:left w:val="single" w:color="000000" w:sz="2" w:space="0"/>
              <w:bottom w:val="single" w:color="000000" w:sz="2" w:space="0"/>
              <w:right w:val="single" w:color="000000" w:sz="2" w:space="0"/>
            </w:tcBorders>
          </w:tcPr>
          <w:p>
            <w:pPr>
              <w:spacing w:line="256" w:lineRule="auto"/>
              <w:ind w:left="2"/>
              <w:jc w:val="center"/>
              <w:rPr>
                <w:rFonts w:ascii="宋体" w:hAnsi="宋体"/>
                <w:color w:val="000000"/>
              </w:rPr>
            </w:pPr>
            <w:r>
              <w:rPr>
                <w:rFonts w:hint="eastAsia" w:ascii="宋体" w:hAnsi="宋体"/>
                <w:color w:val="000000"/>
              </w:rPr>
              <w:t xml:space="preserve">  </w:t>
            </w:r>
          </w:p>
        </w:tc>
        <w:tc>
          <w:tcPr>
            <w:tcW w:w="3281"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tcBorders>
              <w:top w:val="single" w:color="000000" w:sz="2" w:space="0"/>
              <w:left w:val="single" w:color="000000" w:sz="1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tcBorders>
              <w:top w:val="single" w:color="000000" w:sz="2" w:space="0"/>
              <w:left w:val="single" w:color="000000" w:sz="2" w:space="0"/>
              <w:bottom w:val="single" w:color="000000" w:sz="2" w:space="0"/>
              <w:right w:val="single" w:color="000000" w:sz="2" w:space="0"/>
            </w:tcBorders>
            <w:shd w:val="clear" w:color="auto" w:fill="DEEAF6"/>
          </w:tcPr>
          <w:p>
            <w:pPr>
              <w:spacing w:line="256" w:lineRule="auto"/>
              <w:jc w:val="center"/>
              <w:rPr>
                <w:rFonts w:ascii="宋体" w:hAnsi="宋体" w:cs="微软雅黑"/>
                <w:b/>
                <w:color w:val="000000"/>
              </w:rPr>
            </w:pPr>
            <w:r>
              <w:rPr>
                <w:rFonts w:hint="eastAsia" w:ascii="宋体" w:hAnsi="宋体" w:cs="微软雅黑"/>
                <w:b/>
                <w:color w:val="000000"/>
              </w:rPr>
              <w:t>分值</w:t>
            </w:r>
          </w:p>
        </w:tc>
        <w:tc>
          <w:tcPr>
            <w:tcW w:w="3281" w:type="dxa"/>
            <w:tcBorders>
              <w:top w:val="single" w:color="000000" w:sz="2" w:space="0"/>
              <w:left w:val="single" w:color="000000" w:sz="2" w:space="0"/>
              <w:bottom w:val="single" w:color="000000" w:sz="2" w:space="0"/>
              <w:right w:val="single" w:color="000000" w:sz="12" w:space="0"/>
            </w:tcBorders>
            <w:shd w:val="clear" w:color="auto" w:fill="DEEAF6"/>
          </w:tcPr>
          <w:p>
            <w:pPr>
              <w:spacing w:line="256"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top w:val="single" w:color="000000" w:sz="2"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top w:val="single" w:color="000000" w:sz="2" w:space="0"/>
              <w:left w:val="single" w:color="000000" w:sz="2" w:space="0"/>
              <w:bottom w:val="single" w:color="auto" w:sz="4" w:space="0"/>
              <w:right w:val="single" w:color="000000" w:sz="2" w:space="0"/>
            </w:tcBorders>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left w:val="single" w:color="000000" w:sz="12" w:space="0"/>
              <w:bottom w:val="single" w:color="auto" w:sz="4" w:space="0"/>
              <w:right w:val="single" w:color="000000" w:sz="2" w:space="0"/>
            </w:tcBorders>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left w:val="single" w:color="000000" w:sz="2" w:space="0"/>
              <w:bottom w:val="single" w:color="000000" w:sz="2" w:space="0"/>
              <w:right w:val="single" w:color="000000" w:sz="2" w:space="0"/>
            </w:tcBorders>
          </w:tcPr>
          <w:p>
            <w:pPr>
              <w:spacing w:line="252" w:lineRule="auto"/>
              <w:rPr>
                <w:rFonts w:ascii="宋体" w:hAnsi="宋体"/>
                <w:color w:val="000000"/>
              </w:rPr>
            </w:pPr>
            <w:r>
              <w:rPr>
                <w:rFonts w:hint="eastAsia" w:ascii="宋体" w:hAnsi="宋体"/>
                <w:color w:val="000000"/>
              </w:rPr>
              <w:t>超额完成或提前发现整改的任务</w:t>
            </w:r>
            <w:r>
              <w:rPr>
                <w:rFonts w:hint="eastAsia" w:ascii="宋体" w:hAnsi="宋体" w:cs="微软雅黑"/>
                <w:color w:val="000000"/>
              </w:rPr>
              <w:t>（2）</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left w:val="single" w:color="000000" w:sz="12" w:space="0"/>
              <w:bottom w:val="single" w:color="000000" w:sz="2" w:space="0"/>
              <w:right w:val="single" w:color="000000" w:sz="2" w:space="0"/>
            </w:tcBorders>
          </w:tcPr>
          <w:p>
            <w:pPr>
              <w:spacing w:line="252" w:lineRule="auto"/>
              <w:jc w:val="center"/>
              <w:rPr>
                <w:rFonts w:ascii="宋体" w:hAnsi="宋体"/>
                <w:color w:val="000000"/>
              </w:rPr>
            </w:pPr>
            <w:r>
              <w:rPr>
                <w:rFonts w:hint="eastAsia" w:ascii="宋体" w:hAnsi="宋体"/>
                <w:color w:val="000000"/>
              </w:rPr>
              <w:t>8.3</w:t>
            </w:r>
          </w:p>
        </w:tc>
        <w:tc>
          <w:tcPr>
            <w:tcW w:w="4087" w:type="dxa"/>
            <w:gridSpan w:val="2"/>
            <w:tcBorders>
              <w:top w:val="single" w:color="000000" w:sz="2" w:space="0"/>
              <w:left w:val="single" w:color="000000" w:sz="2" w:space="0"/>
              <w:bottom w:val="single" w:color="000000" w:sz="2" w:space="0"/>
              <w:right w:val="single" w:color="000000" w:sz="2" w:space="0"/>
            </w:tcBorders>
          </w:tcPr>
          <w:p>
            <w:pPr>
              <w:spacing w:line="252" w:lineRule="auto"/>
              <w:jc w:val="left"/>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tcBorders>
              <w:top w:val="single" w:color="000000" w:sz="2" w:space="0"/>
              <w:left w:val="single" w:color="000000" w:sz="2" w:space="0"/>
              <w:bottom w:val="single" w:color="000000" w:sz="2" w:space="0"/>
              <w:right w:val="single" w:color="000000" w:sz="2" w:space="0"/>
            </w:tcBorders>
          </w:tcPr>
          <w:p>
            <w:pPr>
              <w:spacing w:line="252" w:lineRule="auto"/>
              <w:rPr>
                <w:rFonts w:ascii="宋体" w:hAnsi="宋体"/>
                <w:color w:val="000000"/>
              </w:rPr>
            </w:pPr>
          </w:p>
        </w:tc>
        <w:tc>
          <w:tcPr>
            <w:tcW w:w="3281" w:type="dxa"/>
            <w:tcBorders>
              <w:top w:val="single" w:color="000000" w:sz="2" w:space="0"/>
              <w:left w:val="single" w:color="000000" w:sz="2" w:space="0"/>
              <w:bottom w:val="single" w:color="000000" w:sz="2" w:space="0"/>
              <w:right w:val="single" w:color="000000" w:sz="12" w:space="0"/>
            </w:tcBorders>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olor w:val="000000"/>
              </w:rPr>
            </w:pPr>
            <w:r>
              <w:rPr>
                <w:rFonts w:hint="eastAsia" w:ascii="宋体" w:hAnsi="宋体" w:cs="微软雅黑"/>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Borders>
              <w:top w:val="single" w:color="000000" w:sz="2" w:space="0"/>
              <w:left w:val="single" w:color="000000" w:sz="12" w:space="0"/>
              <w:bottom w:val="single" w:color="000000" w:sz="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Borders>
              <w:top w:val="single" w:color="000000" w:sz="2" w:space="0"/>
              <w:left w:val="single" w:color="000000" w:sz="12" w:space="0"/>
              <w:bottom w:val="single" w:color="000000" w:sz="12" w:space="0"/>
              <w:right w:val="single" w:color="000000" w:sz="12" w:space="0"/>
            </w:tcBorders>
          </w:tcPr>
          <w:p>
            <w:pPr>
              <w:spacing w:line="256" w:lineRule="auto"/>
              <w:jc w:val="left"/>
              <w:rPr>
                <w:rFonts w:ascii="宋体" w:hAnsi="宋体" w:cs="微软雅黑"/>
                <w:b/>
                <w:color w:val="000000"/>
              </w:rPr>
            </w:pPr>
            <w:r>
              <w:rPr>
                <w:rFonts w:hint="eastAsia" w:ascii="宋体" w:hAnsi="宋体" w:cs="微软雅黑"/>
                <w:b/>
                <w:color w:val="000000"/>
              </w:rPr>
              <w:t>具体检查情况描述：</w:t>
            </w: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p>
          <w:p>
            <w:pPr>
              <w:spacing w:line="256"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6"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6" w:lineRule="auto"/>
        <w:jc w:val="left"/>
        <w:rPr>
          <w:rFonts w:ascii="宋体" w:hAnsi="宋体" w:cs="微软雅黑"/>
          <w:color w:val="000000"/>
        </w:rPr>
      </w:pPr>
      <w:r>
        <w:rPr>
          <w:rFonts w:hint="eastAsia" w:ascii="宋体" w:hAnsi="宋体" w:cs="微软雅黑"/>
          <w:color w:val="000000"/>
        </w:rPr>
        <w:t>备注：本表适用于工程类项目，默认满分100分。最低满额付款得分为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adjustRightInd w:val="0"/>
        <w:snapToGrid w:val="0"/>
        <w:spacing w:line="360" w:lineRule="auto"/>
        <w:ind w:firstLine="420" w:firstLineChars="200"/>
        <w:rPr>
          <w:rFonts w:ascii="宋体" w:hAnsi="宋体"/>
          <w:sz w:val="22"/>
        </w:rPr>
      </w:pPr>
      <w:r>
        <w:rPr>
          <w:rFonts w:hint="eastAsia" w:ascii="Adobe 楷体 Std R" w:hAnsi="Adobe 楷体 Std R" w:eastAsia="Adobe 楷体 Std R"/>
          <w:szCs w:val="32"/>
        </w:rPr>
        <w:br w:type="page"/>
      </w:r>
    </w:p>
    <w:p>
      <w:pPr>
        <w:pStyle w:val="140"/>
        <w:spacing w:line="256"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机场公司业务外包项目月（季）度考核标准</w:t>
      </w:r>
    </w:p>
    <w:p>
      <w:pPr>
        <w:pStyle w:val="2"/>
        <w:shd w:val="clear" w:color="auto" w:fill="FFFFFF"/>
        <w:spacing w:before="0" w:after="0" w:line="210" w:lineRule="atLeast"/>
        <w:ind w:firstLine="2650" w:firstLineChars="600"/>
        <w:rPr>
          <w:rFonts w:ascii="Tahoma" w:hAnsi="Tahoma" w:cs="Tahoma"/>
          <w:color w:val="333333"/>
          <w:sz w:val="24"/>
          <w:szCs w:val="45"/>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4384;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Tcxu2AAAAAkBAAAPAAAAAAAAAAEAIAAAACIAAABkcnMvZG93&#10;bnJldi54bWxQSwECFAAUAAAACACHTuJAa4cs38cBAABkAwAADgAAAAAAAAABACAAAAAnAQAAZHJz&#10;L2Uyb0RvYy54bWxQSwUGAAAAAAYABgBZAQAAYAUAAAAA&#10;">
                <v:fill on="f" focussize="0,0"/>
                <v:stroke weight="1.5pt" color="#000000 [3213]" miterlimit="8" joinstyle="miter"/>
                <v:imagedata o:title=""/>
                <o:lock v:ext="edit" aspectratio="f"/>
              </v:line>
            </w:pict>
          </mc:Fallback>
        </mc:AlternateContent>
      </w:r>
      <w:r>
        <w:rPr>
          <w:rFonts w:ascii="Tahoma" w:hAnsi="Tahoma" w:cs="Tahoma"/>
          <w:color w:val="333333"/>
          <w:sz w:val="24"/>
          <w:szCs w:val="45"/>
        </w:rPr>
        <w:t xml:space="preserve">HIA Outsource </w:t>
      </w:r>
      <w:r>
        <w:fldChar w:fldCharType="begin"/>
      </w:r>
      <w:r>
        <w:instrText xml:space="preserve"> HYPERLINK "javascript:;" </w:instrText>
      </w:r>
      <w:r>
        <w:fldChar w:fldCharType="separate"/>
      </w:r>
      <w:r>
        <w:rPr>
          <w:rStyle w:val="50"/>
          <w:rFonts w:ascii="Tahoma" w:hAnsi="Tahoma" w:cs="Tahoma"/>
          <w:color w:val="333333"/>
          <w:sz w:val="24"/>
          <w:szCs w:val="45"/>
        </w:rPr>
        <w:t>Criteria</w:t>
      </w:r>
      <w:r>
        <w:rPr>
          <w:rStyle w:val="50"/>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Style w:val="50"/>
          <w:rFonts w:ascii="Tahoma" w:hAnsi="Tahoma" w:cs="Tahoma"/>
          <w:color w:val="333333"/>
          <w:sz w:val="24"/>
          <w:szCs w:val="45"/>
        </w:rPr>
        <w:t>Of</w:t>
      </w:r>
      <w:r>
        <w:rPr>
          <w:rStyle w:val="50"/>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Style w:val="50"/>
          <w:rFonts w:ascii="Tahoma" w:hAnsi="Tahoma" w:cs="Tahoma"/>
          <w:color w:val="333333"/>
          <w:sz w:val="24"/>
          <w:szCs w:val="45"/>
        </w:rPr>
        <w:t>Assessment</w:t>
      </w:r>
      <w:r>
        <w:rPr>
          <w:rStyle w:val="50"/>
          <w:rFonts w:ascii="Tahoma" w:hAnsi="Tahoma" w:cs="Tahoma"/>
          <w:color w:val="333333"/>
          <w:sz w:val="24"/>
          <w:szCs w:val="45"/>
        </w:rPr>
        <w:fldChar w:fldCharType="end"/>
      </w:r>
      <w:r>
        <w:rPr>
          <w:rFonts w:ascii="Tahoma" w:hAnsi="Tahoma" w:cs="Tahoma"/>
          <w:color w:val="333333"/>
          <w:sz w:val="24"/>
          <w:szCs w:val="45"/>
        </w:rPr>
        <w:t>.E2</w:t>
      </w:r>
    </w:p>
    <w:p>
      <w:pPr>
        <w:pStyle w:val="2"/>
        <w:shd w:val="clear" w:color="auto" w:fill="FFFFFF"/>
        <w:spacing w:before="0" w:after="0" w:line="210" w:lineRule="atLeast"/>
        <w:rPr>
          <w:rFonts w:ascii="Tahoma" w:hAnsi="Tahoma" w:cs="Tahoma"/>
          <w:color w:val="333333"/>
          <w:sz w:val="24"/>
          <w:szCs w:val="45"/>
        </w:rPr>
      </w:pPr>
      <w:r>
        <w:rPr>
          <w:rFonts w:hint="eastAsia" w:ascii="Tahoma" w:hAnsi="Tahoma" w:cs="Tahoma"/>
          <w:color w:val="333333"/>
          <w:sz w:val="24"/>
          <w:szCs w:val="45"/>
        </w:rPr>
        <w:t>◆工程类项目：</w:t>
      </w:r>
      <w:r>
        <w:rPr>
          <w:rFonts w:ascii="Tahoma" w:hAnsi="Tahoma" w:cs="Tahoma"/>
          <w:color w:val="333333"/>
          <w:sz w:val="24"/>
          <w:szCs w:val="45"/>
        </w:rPr>
        <w:t xml:space="preserve"> </w:t>
      </w:r>
    </w:p>
    <w:tbl>
      <w:tblPr>
        <w:tblStyle w:val="5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tcBorders>
              <w:top w:val="single" w:color="000000" w:sz="12" w:space="0"/>
              <w:left w:val="single" w:color="000000" w:sz="12" w:space="0"/>
              <w:bottom w:val="single" w:color="000000" w:sz="2" w:space="0"/>
              <w:right w:val="single" w:color="000000" w:sz="2" w:space="0"/>
            </w:tcBorders>
            <w:shd w:val="clear" w:color="auto" w:fill="B4C6E7"/>
          </w:tcPr>
          <w:p>
            <w:pPr>
              <w:spacing w:line="256" w:lineRule="auto"/>
              <w:rPr>
                <w:rFonts w:ascii="宋体" w:hAnsi="宋体"/>
                <w:b/>
                <w:color w:val="000000"/>
              </w:rPr>
            </w:pPr>
            <w:r>
              <w:rPr>
                <w:rFonts w:hint="eastAsia" w:ascii="宋体" w:hAnsi="宋体"/>
                <w:b/>
                <w:color w:val="000000"/>
              </w:rPr>
              <w:t>考核内容</w:t>
            </w:r>
          </w:p>
        </w:tc>
        <w:tc>
          <w:tcPr>
            <w:tcW w:w="5812" w:type="dxa"/>
            <w:tcBorders>
              <w:top w:val="single" w:color="000000" w:sz="12" w:space="0"/>
              <w:left w:val="single" w:color="000000" w:sz="2" w:space="0"/>
              <w:bottom w:val="single" w:color="000000" w:sz="2" w:space="0"/>
              <w:right w:val="single" w:color="000000" w:sz="12" w:space="0"/>
            </w:tcBorders>
            <w:shd w:val="clear" w:color="auto" w:fill="B4C6E7"/>
          </w:tcPr>
          <w:p>
            <w:pPr>
              <w:spacing w:line="256"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tcBorders>
              <w:top w:val="single" w:color="000000" w:sz="2" w:space="0"/>
              <w:left w:val="single" w:color="000000" w:sz="12" w:space="0"/>
              <w:bottom w:val="single" w:color="000000" w:sz="2" w:space="0"/>
              <w:right w:val="single" w:color="000000" w:sz="2" w:space="0"/>
            </w:tcBorders>
            <w:shd w:val="clear" w:color="auto" w:fill="D9E2F3"/>
          </w:tcPr>
          <w:p>
            <w:pPr>
              <w:spacing w:line="256"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恐怖事件</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特大事故、损失</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恶劣事件</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遵纪守法</w:t>
            </w:r>
          </w:p>
        </w:tc>
        <w:tc>
          <w:tcPr>
            <w:tcW w:w="5812" w:type="dxa"/>
            <w:vMerge w:val="continue"/>
            <w:tcBorders>
              <w:top w:val="single" w:color="000000" w:sz="2" w:space="0"/>
              <w:left w:val="single" w:color="000000" w:sz="2" w:space="0"/>
              <w:bottom w:val="single" w:color="000000" w:sz="2" w:space="0"/>
              <w:right w:val="single" w:color="000000" w:sz="12" w:space="0"/>
            </w:tcBorders>
            <w:vAlign w:val="center"/>
          </w:tcPr>
          <w:p>
            <w:pPr>
              <w:widowControl/>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技术能力与资质（4）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经检查发现技术能力或资质（证书）未达到要求或过期，第一次发生扣2分，整改后仍未达到要求则得0分。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工作态度要求积极乐观，按规定着工作服装，仪表得体，与其他业务单位和睦相处的得4分，监管人员视实际情况扣分。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人员劳务关系(4)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 xml:space="preserve">工作人员必须与外包商签订劳动合同，履行国家相关法律法规的义务，按投标承诺发放工资薪酬，经检查发现不符合要求的扣4分，并要求乙方立即整改。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协调，控制和监管的回应（4）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员工的伦理和纪律（4）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企业文化和其他要求的认同（4）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台账、资料管理质量(5)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盆花养护</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一、修剪</w:t>
            </w:r>
          </w:p>
          <w:p>
            <w:pPr>
              <w:spacing w:line="256" w:lineRule="auto"/>
              <w:rPr>
                <w:rFonts w:ascii="宋体" w:hAnsi="宋体"/>
                <w:color w:val="000000"/>
              </w:rPr>
            </w:pPr>
            <w:r>
              <w:rPr>
                <w:rFonts w:hint="eastAsia" w:ascii="宋体" w:hAnsi="宋体"/>
                <w:color w:val="000000"/>
              </w:rPr>
              <w:t xml:space="preserve"> 1、植株丰满健硕，株型自然匀称。叶面干净光亮，无灰尘赃物，无明显病斑、虫害，无残留害虫，每处不达标扣0.3分。</w:t>
            </w:r>
          </w:p>
          <w:p>
            <w:pPr>
              <w:spacing w:line="256" w:lineRule="auto"/>
              <w:rPr>
                <w:rFonts w:ascii="宋体" w:hAnsi="宋体"/>
                <w:color w:val="000000"/>
              </w:rPr>
            </w:pPr>
            <w:r>
              <w:rPr>
                <w:rFonts w:hint="eastAsia" w:ascii="宋体" w:hAnsi="宋体"/>
                <w:color w:val="000000"/>
              </w:rPr>
              <w:t xml:space="preserve">  2、应进行仔细检查，对出现黄叶残叶、树型不对称、有徒长枝的需及时修剪，每处不达标扣0.5分。</w:t>
            </w:r>
          </w:p>
          <w:p>
            <w:pPr>
              <w:numPr>
                <w:ilvl w:val="0"/>
                <w:numId w:val="2"/>
              </w:numPr>
              <w:spacing w:line="256" w:lineRule="auto"/>
              <w:rPr>
                <w:rFonts w:ascii="宋体" w:hAnsi="宋体"/>
                <w:color w:val="000000"/>
              </w:rPr>
            </w:pPr>
            <w:r>
              <w:rPr>
                <w:rFonts w:hint="eastAsia" w:ascii="宋体" w:hAnsi="宋体"/>
                <w:color w:val="000000"/>
              </w:rPr>
              <w:t>叶片枯黄面积超过1/3以上的应整片剪除，枯黄面积超过1/3以下者，应用剪刀顺着叶形将枯黄部分剪除，注意保留叶形，不可一刀切过。每处不达标扣0.5分。</w:t>
            </w:r>
          </w:p>
          <w:p>
            <w:pPr>
              <w:spacing w:line="256" w:lineRule="auto"/>
              <w:rPr>
                <w:rFonts w:ascii="宋体" w:hAnsi="宋体"/>
                <w:color w:val="000000"/>
              </w:rPr>
            </w:pPr>
            <w:r>
              <w:rPr>
                <w:rFonts w:hint="eastAsia" w:ascii="宋体" w:hAnsi="宋体"/>
                <w:color w:val="000000"/>
              </w:rPr>
              <w:t>二、浇水</w:t>
            </w:r>
          </w:p>
          <w:p>
            <w:pPr>
              <w:spacing w:line="256" w:lineRule="auto"/>
              <w:rPr>
                <w:rFonts w:ascii="宋体" w:hAnsi="宋体"/>
                <w:color w:val="000000"/>
              </w:rPr>
            </w:pPr>
            <w:r>
              <w:rPr>
                <w:rFonts w:hint="eastAsia" w:ascii="宋体" w:hAnsi="宋体"/>
                <w:color w:val="000000"/>
              </w:rPr>
              <w:t>1、根据花木所处的位置与花卉品种、习性、季节调整浇水量，对靠窗边或夕照光线强烈或者空调位的植物应该多浇水。每处不达标扣0.5分。</w:t>
            </w:r>
          </w:p>
          <w:p>
            <w:pPr>
              <w:spacing w:line="256" w:lineRule="auto"/>
              <w:rPr>
                <w:rFonts w:ascii="宋体" w:hAnsi="宋体"/>
                <w:color w:val="000000"/>
              </w:rPr>
            </w:pPr>
            <w:r>
              <w:rPr>
                <w:rFonts w:hint="eastAsia" w:ascii="宋体" w:hAnsi="宋体"/>
                <w:color w:val="000000"/>
              </w:rPr>
              <w:t>2、保证植物见干不见湿，不过量浇水，有不缺水分，保持植物                      对生长水分的需求。每处不达标扣0.5分。</w:t>
            </w:r>
          </w:p>
          <w:p>
            <w:pPr>
              <w:spacing w:line="256" w:lineRule="auto"/>
              <w:rPr>
                <w:rFonts w:ascii="宋体" w:hAnsi="宋体"/>
                <w:color w:val="000000"/>
              </w:rPr>
            </w:pPr>
            <w:r>
              <w:rPr>
                <w:rFonts w:hint="eastAsia" w:ascii="宋体" w:hAnsi="宋体"/>
                <w:color w:val="000000"/>
              </w:rPr>
              <w:t>3、浇水时应防止水流外溢，桌面上的水渍应及时擦除，每不达标扣1分。</w:t>
            </w:r>
          </w:p>
          <w:p>
            <w:pPr>
              <w:spacing w:line="256" w:lineRule="auto"/>
              <w:rPr>
                <w:rFonts w:ascii="宋体" w:hAnsi="宋体"/>
                <w:color w:val="000000"/>
              </w:rPr>
            </w:pPr>
            <w:r>
              <w:rPr>
                <w:rFonts w:hint="eastAsia" w:ascii="宋体" w:hAnsi="宋体"/>
                <w:color w:val="000000"/>
              </w:rPr>
              <w:t>三、施肥</w:t>
            </w:r>
          </w:p>
          <w:p>
            <w:pPr>
              <w:spacing w:line="256" w:lineRule="auto"/>
              <w:rPr>
                <w:rFonts w:ascii="宋体" w:hAnsi="宋体"/>
                <w:color w:val="000000"/>
              </w:rPr>
            </w:pPr>
            <w:r>
              <w:rPr>
                <w:rFonts w:hint="eastAsia" w:ascii="宋体" w:hAnsi="宋体"/>
                <w:color w:val="000000"/>
              </w:rPr>
              <w:t>1、定期施用无异味、无毒的有机肥，每处不达标 扣0.5分。</w:t>
            </w:r>
          </w:p>
          <w:p>
            <w:pPr>
              <w:spacing w:line="256" w:lineRule="auto"/>
              <w:rPr>
                <w:rFonts w:ascii="宋体" w:hAnsi="宋体"/>
                <w:color w:val="000000"/>
              </w:rPr>
            </w:pPr>
            <w:r>
              <w:rPr>
                <w:rFonts w:hint="eastAsia" w:ascii="宋体" w:hAnsi="宋体"/>
                <w:color w:val="000000"/>
              </w:rPr>
              <w:t>2、根据植物特性选用肥料，发现一处施肥不合理扣0.5分。</w:t>
            </w:r>
          </w:p>
          <w:p>
            <w:pPr>
              <w:spacing w:line="256" w:lineRule="auto"/>
              <w:rPr>
                <w:rFonts w:ascii="宋体" w:hAnsi="宋体"/>
                <w:color w:val="000000"/>
              </w:rPr>
            </w:pPr>
            <w:r>
              <w:rPr>
                <w:rFonts w:hint="eastAsia" w:ascii="宋体" w:hAnsi="宋体"/>
                <w:color w:val="000000"/>
              </w:rPr>
              <w:t>四、病虫害</w:t>
            </w:r>
          </w:p>
          <w:p>
            <w:pPr>
              <w:spacing w:line="256" w:lineRule="auto"/>
              <w:rPr>
                <w:rFonts w:ascii="宋体" w:hAnsi="宋体"/>
                <w:color w:val="000000"/>
              </w:rPr>
            </w:pPr>
            <w:r>
              <w:rPr>
                <w:rFonts w:hint="eastAsia" w:ascii="宋体" w:hAnsi="宋体"/>
                <w:color w:val="000000"/>
              </w:rPr>
              <w:t>1、编制病虫害有效防治方案，将病虫害消灭在萌芽阶段。每处不达标 扣0.5分。</w:t>
            </w:r>
          </w:p>
          <w:p>
            <w:pPr>
              <w:spacing w:line="256" w:lineRule="auto"/>
              <w:rPr>
                <w:rFonts w:ascii="宋体" w:hAnsi="宋体"/>
                <w:color w:val="000000"/>
              </w:rPr>
            </w:pPr>
            <w:r>
              <w:rPr>
                <w:rFonts w:hint="eastAsia" w:ascii="宋体" w:hAnsi="宋体"/>
                <w:color w:val="000000"/>
              </w:rPr>
              <w:t>2、按照病虫害防治方案进行病虫害防治工作，每处不达标 扣0.5分。</w:t>
            </w:r>
          </w:p>
          <w:p>
            <w:pPr>
              <w:spacing w:line="256" w:lineRule="auto"/>
              <w:rPr>
                <w:rFonts w:ascii="宋体" w:hAnsi="宋体"/>
                <w:color w:val="000000"/>
              </w:rPr>
            </w:pPr>
            <w:r>
              <w:rPr>
                <w:rFonts w:hint="eastAsia" w:ascii="宋体" w:hAnsi="宋体"/>
                <w:color w:val="000000"/>
              </w:rPr>
              <w:t>3、出现病害的，每次扣0.5分。</w:t>
            </w:r>
          </w:p>
          <w:p>
            <w:pPr>
              <w:spacing w:line="256" w:lineRule="auto"/>
              <w:rPr>
                <w:rFonts w:ascii="宋体" w:hAnsi="宋体"/>
                <w:color w:val="000000"/>
              </w:rPr>
            </w:pPr>
            <w:r>
              <w:rPr>
                <w:rFonts w:hint="eastAsia" w:ascii="宋体" w:hAnsi="宋体"/>
                <w:color w:val="000000"/>
              </w:rPr>
              <w:t>五、卫生</w:t>
            </w:r>
          </w:p>
          <w:p>
            <w:pPr>
              <w:spacing w:line="256" w:lineRule="auto"/>
              <w:rPr>
                <w:rFonts w:ascii="宋体" w:hAnsi="宋体"/>
                <w:color w:val="000000"/>
              </w:rPr>
            </w:pPr>
            <w:r>
              <w:rPr>
                <w:rFonts w:hint="eastAsia" w:ascii="宋体" w:hAnsi="宋体"/>
                <w:color w:val="000000"/>
              </w:rPr>
              <w:t xml:space="preserve">  1、需定期对叶片进行擦洗，叶片不留泥土、灰尘，叶片保持清洁，每处不达标 扣0.5分。</w:t>
            </w:r>
          </w:p>
          <w:p>
            <w:pPr>
              <w:spacing w:line="256" w:lineRule="auto"/>
              <w:rPr>
                <w:rFonts w:ascii="宋体" w:hAnsi="宋体"/>
                <w:color w:val="000000"/>
              </w:rPr>
            </w:pPr>
            <w:r>
              <w:rPr>
                <w:rFonts w:hint="eastAsia" w:ascii="宋体" w:hAnsi="宋体"/>
                <w:color w:val="000000"/>
              </w:rPr>
              <w:t xml:space="preserve">  2、保持花盆、器皿干净整洁，无脏污，盆内无杂物、垃圾；底碟无泥垢、积水，每处不达标 扣0.5分。</w:t>
            </w:r>
          </w:p>
          <w:p>
            <w:pPr>
              <w:spacing w:line="256" w:lineRule="auto"/>
              <w:rPr>
                <w:rFonts w:ascii="宋体" w:hAnsi="宋体"/>
                <w:color w:val="000000"/>
              </w:rPr>
            </w:pPr>
            <w:r>
              <w:rPr>
                <w:rFonts w:hint="eastAsia" w:ascii="宋体" w:hAnsi="宋体"/>
                <w:color w:val="000000"/>
              </w:rPr>
              <w:t xml:space="preserve">  3、养护完将积水擦干、清理残叶残花，每处不达标 扣0.5分。</w:t>
            </w:r>
          </w:p>
          <w:p>
            <w:pPr>
              <w:spacing w:line="256" w:lineRule="auto"/>
              <w:rPr>
                <w:rFonts w:ascii="宋体" w:hAnsi="宋体"/>
                <w:color w:val="000000"/>
              </w:rPr>
            </w:pPr>
            <w:r>
              <w:rPr>
                <w:rFonts w:hint="eastAsia" w:ascii="宋体" w:hAnsi="宋体"/>
                <w:color w:val="000000"/>
              </w:rPr>
              <w:t>六、更换</w:t>
            </w:r>
          </w:p>
          <w:p>
            <w:pPr>
              <w:spacing w:line="256" w:lineRule="auto"/>
              <w:rPr>
                <w:rFonts w:ascii="宋体" w:hAnsi="宋体"/>
                <w:color w:val="000000"/>
              </w:rPr>
            </w:pPr>
            <w:r>
              <w:rPr>
                <w:rFonts w:hint="eastAsia" w:ascii="宋体" w:hAnsi="宋体"/>
                <w:color w:val="000000"/>
              </w:rPr>
              <w:t>1、保持植物历久常新，根据花木的生长情况及花木摆放时间表及时进行花木的调换，每次不达标 扣1分。</w:t>
            </w:r>
          </w:p>
          <w:p>
            <w:pPr>
              <w:spacing w:line="256" w:lineRule="auto"/>
              <w:rPr>
                <w:rFonts w:ascii="宋体" w:hAnsi="宋体"/>
                <w:color w:val="000000"/>
              </w:rPr>
            </w:pPr>
            <w:r>
              <w:rPr>
                <w:rFonts w:hint="eastAsia" w:ascii="宋体" w:hAnsi="宋体"/>
                <w:color w:val="000000"/>
              </w:rPr>
              <w:t>2、植株由较严重枯黄或生长不良；有严重病虫害；植物不适应环境产生落叶的，需24小时之内更换，每次不达标 扣1分。</w:t>
            </w:r>
          </w:p>
          <w:p>
            <w:pPr>
              <w:spacing w:line="256" w:lineRule="auto"/>
              <w:rPr>
                <w:rFonts w:ascii="宋体" w:hAnsi="宋体"/>
                <w:color w:val="000000"/>
              </w:rPr>
            </w:pPr>
            <w:r>
              <w:rPr>
                <w:rFonts w:hint="eastAsia" w:ascii="宋体" w:hAnsi="宋体"/>
                <w:color w:val="000000"/>
              </w:rPr>
              <w:t>七、美观</w:t>
            </w:r>
          </w:p>
          <w:p>
            <w:pPr>
              <w:spacing w:line="256" w:lineRule="auto"/>
              <w:rPr>
                <w:rFonts w:ascii="宋体" w:hAnsi="宋体"/>
                <w:color w:val="000000"/>
              </w:rPr>
            </w:pPr>
            <w:r>
              <w:rPr>
                <w:rFonts w:hint="eastAsia" w:ascii="宋体" w:hAnsi="宋体"/>
                <w:color w:val="000000"/>
              </w:rPr>
              <w:t>1、花卉需与环境协调，保证植株新鲜，每处不达标 扣0.3分。</w:t>
            </w:r>
          </w:p>
          <w:p>
            <w:pPr>
              <w:spacing w:line="256" w:lineRule="auto"/>
              <w:rPr>
                <w:rFonts w:ascii="宋体" w:hAnsi="宋体"/>
                <w:color w:val="000000"/>
              </w:rPr>
            </w:pPr>
            <w:r>
              <w:rPr>
                <w:rFonts w:hint="eastAsia" w:ascii="宋体" w:hAnsi="宋体"/>
                <w:color w:val="000000"/>
              </w:rPr>
              <w:t>2、底碟、套盆、花盆应配套，颜色搭配得当，美观大方，每次不达标 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人员管理质量(5)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设备故障率（5）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人员培训质量(5)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应急事件处理质量(5)</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总体安全意识的表现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提供和维护安全的工作环境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安全措施/制度/体系的实施或整改（4）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劳动力资源的充分性(4)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日常用具、消耗品、器材资源的充分性(4)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资源利用的合理性(4)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shd w:val="clear" w:color="auto" w:fill="D9E2F3"/>
          </w:tcPr>
          <w:p>
            <w:pPr>
              <w:spacing w:line="256" w:lineRule="auto"/>
              <w:rPr>
                <w:rFonts w:ascii="宋体" w:hAnsi="宋体" w:cs="微软雅黑"/>
                <w:b/>
                <w:color w:val="000000"/>
              </w:rPr>
            </w:pPr>
            <w:r>
              <w:rPr>
                <w:rFonts w:hint="eastAsia" w:ascii="宋体" w:hAnsi="宋体" w:cs="微软雅黑"/>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s="微软雅黑"/>
                <w:color w:val="000000"/>
              </w:rPr>
              <w:t>满意度(6)</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Borders>
              <w:top w:val="single" w:color="000000" w:sz="2" w:space="0"/>
              <w:left w:val="single" w:color="000000" w:sz="1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好人好事及表扬（4）</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2" w:space="0"/>
              <w:right w:val="single" w:color="000000" w:sz="2" w:space="0"/>
            </w:tcBorders>
          </w:tcPr>
          <w:p>
            <w:pPr>
              <w:spacing w:line="256" w:lineRule="auto"/>
              <w:rPr>
                <w:rFonts w:ascii="宋体" w:hAnsi="宋体"/>
                <w:color w:val="000000"/>
              </w:rPr>
            </w:pPr>
            <w:r>
              <w:rPr>
                <w:rFonts w:hint="eastAsia" w:ascii="宋体" w:hAnsi="宋体"/>
                <w:color w:val="000000"/>
              </w:rPr>
              <w:t>超额超水平完成（2）</w:t>
            </w:r>
          </w:p>
        </w:tc>
        <w:tc>
          <w:tcPr>
            <w:tcW w:w="5812" w:type="dxa"/>
            <w:tcBorders>
              <w:top w:val="single" w:color="000000" w:sz="2" w:space="0"/>
              <w:left w:val="single" w:color="000000" w:sz="2" w:space="0"/>
              <w:bottom w:val="single" w:color="000000" w:sz="2" w:space="0"/>
              <w:right w:val="single" w:color="000000" w:sz="12" w:space="0"/>
            </w:tcBorders>
          </w:tcPr>
          <w:p>
            <w:pPr>
              <w:spacing w:line="256"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Borders>
              <w:top w:val="single" w:color="000000" w:sz="2" w:space="0"/>
              <w:left w:val="single" w:color="000000" w:sz="12" w:space="0"/>
              <w:bottom w:val="single" w:color="000000" w:sz="12" w:space="0"/>
              <w:right w:val="single" w:color="000000" w:sz="2" w:space="0"/>
            </w:tcBorders>
          </w:tcPr>
          <w:p>
            <w:pPr>
              <w:spacing w:line="256" w:lineRule="auto"/>
              <w:rPr>
                <w:rFonts w:ascii="宋体" w:hAnsi="宋体"/>
                <w:color w:val="000000"/>
              </w:rPr>
            </w:pPr>
            <w:r>
              <w:rPr>
                <w:rFonts w:hint="eastAsia" w:ascii="宋体" w:hAnsi="宋体"/>
                <w:color w:val="000000"/>
              </w:rPr>
              <w:t>建议及方案（4）</w:t>
            </w:r>
          </w:p>
        </w:tc>
        <w:tc>
          <w:tcPr>
            <w:tcW w:w="5812" w:type="dxa"/>
            <w:tcBorders>
              <w:top w:val="single" w:color="000000" w:sz="2" w:space="0"/>
              <w:left w:val="single" w:color="000000" w:sz="2" w:space="0"/>
              <w:bottom w:val="single" w:color="000000" w:sz="12" w:space="0"/>
              <w:right w:val="single" w:color="000000" w:sz="12" w:space="0"/>
            </w:tcBorders>
          </w:tcPr>
          <w:p>
            <w:pPr>
              <w:spacing w:line="256" w:lineRule="auto"/>
              <w:rPr>
                <w:rFonts w:ascii="宋体" w:hAnsi="宋体"/>
                <w:color w:val="000000"/>
              </w:rPr>
            </w:pPr>
            <w:r>
              <w:rPr>
                <w:rFonts w:hint="eastAsia" w:ascii="宋体" w:hAnsi="宋体"/>
                <w:color w:val="000000"/>
              </w:rPr>
              <w:t>经甲方认可，由乙方提出建议和意见已经实施的，每条加2分。</w:t>
            </w:r>
          </w:p>
        </w:tc>
      </w:tr>
      <w:bookmarkEnd w:id="117"/>
    </w:tbl>
    <w:p>
      <w:pPr>
        <w:pStyle w:val="9"/>
      </w:pPr>
    </w:p>
    <w:p>
      <w:pPr>
        <w:spacing w:line="300" w:lineRule="auto"/>
        <w:ind w:firstLine="880" w:firstLineChars="400"/>
        <w:rPr>
          <w:rFonts w:ascii="宋体" w:hAnsi="宋体"/>
          <w:color w:val="000000"/>
          <w:sz w:val="22"/>
          <w:szCs w:val="21"/>
        </w:rPr>
      </w:pP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第六条 双方一般权利和义务</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1．甲方</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 xml:space="preserve">乙方对甲方的指令应无条件执行。乙方认为甲方指令不合理，应在收到指令后24小时内向甲方提出修改指令的书面报告，甲方在收到乙方报告后24小时内作出修改指令或继续执行原指令的决定，并以书面形式通知乙方，乙方应予执行。  </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2．乙方</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w:t>
      </w:r>
      <w:r>
        <w:rPr>
          <w:rFonts w:ascii="宋体" w:hAnsi="宋体"/>
          <w:color w:val="000000"/>
          <w:sz w:val="22"/>
          <w:szCs w:val="21"/>
        </w:rPr>
        <w:t>1</w:t>
      </w:r>
      <w:r>
        <w:rPr>
          <w:rFonts w:hint="eastAsia" w:ascii="宋体" w:hAnsi="宋体"/>
          <w:color w:val="000000"/>
          <w:sz w:val="22"/>
          <w:szCs w:val="21"/>
        </w:rPr>
        <w:t>）乙方依据合同发出的通知，以书面形式由乙方签字后送交甲方，甲方在回执上签署姓名和收到时间后视为该通知送达甲方。</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w:t>
      </w:r>
      <w:r>
        <w:rPr>
          <w:rFonts w:ascii="宋体" w:hAnsi="宋体"/>
          <w:color w:val="000000"/>
          <w:sz w:val="22"/>
          <w:szCs w:val="21"/>
        </w:rPr>
        <w:t>2</w:t>
      </w:r>
      <w:r>
        <w:rPr>
          <w:rFonts w:hint="eastAsia" w:ascii="宋体" w:hAnsi="宋体"/>
          <w:color w:val="000000"/>
          <w:sz w:val="22"/>
          <w:szCs w:val="21"/>
        </w:rPr>
        <w:t>）乙方如需要更换乙方，应至少提前7天以书面形式通知甲方，经甲方同意后。后任乙方继续行使合同约定的职权，履行约定的义务。</w:t>
      </w:r>
      <w:r>
        <w:rPr>
          <w:rFonts w:hint="eastAsia" w:ascii="宋体" w:hAnsi="宋体"/>
          <w:sz w:val="22"/>
        </w:rPr>
        <w:t>每更换一次</w:t>
      </w:r>
      <w:r>
        <w:rPr>
          <w:rFonts w:hint="eastAsia" w:ascii="宋体" w:hAnsi="宋体"/>
          <w:color w:val="000000"/>
          <w:sz w:val="22"/>
          <w:szCs w:val="21"/>
        </w:rPr>
        <w:t>项目负责人</w:t>
      </w:r>
      <w:r>
        <w:rPr>
          <w:rFonts w:hint="eastAsia" w:ascii="宋体" w:hAnsi="宋体"/>
          <w:sz w:val="22"/>
        </w:rPr>
        <w:t>将扣除履约保证金总额30%。</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w:t>
      </w:r>
      <w:r>
        <w:rPr>
          <w:rFonts w:ascii="宋体" w:hAnsi="宋体"/>
          <w:color w:val="000000"/>
          <w:sz w:val="22"/>
          <w:szCs w:val="21"/>
        </w:rPr>
        <w:t>3</w:t>
      </w:r>
      <w:r>
        <w:rPr>
          <w:rFonts w:hint="eastAsia" w:ascii="宋体" w:hAnsi="宋体"/>
          <w:color w:val="000000"/>
          <w:sz w:val="22"/>
          <w:szCs w:val="21"/>
        </w:rPr>
        <w:t>）项目负责人不称职时，甲方可以要求撤换，收到甲方要求撤换项目负责人的通知时，乙方须按甲方要求，以称职人员替代，同时并扣除履约保证金20000元/次。</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3．甲方工作</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（1）提供养护所需用水、用电的接驳点，保证养护期间的需要。除双方另有约定外，养护期间的水、电使用费用由乙方承担。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（2）乙方自行养护现场提供养护管理用房、工间休息室和材料、工具存放间。除双方另有约定外，车辆及大型机械设备的存放问题，由乙方自行解决。</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（4）组织召开养护作业要求交底会。</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（5）在养护期间，若出现停电、停水情况，乙方应自行采取停电、停水期间的养护措施，并自行承担费用。</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（6）按照本合同约定，检查、考核乙方的工作。</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（7）按合同约定向乙方支付养护费用。</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4．乙方工作</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根据本合同约定，在合同签订后7天内，制定养护期内相应的总体绿化养护管理方案，报请甲方审核批准，作为实施依据。甲方收到乙方方案后，应于7天内予以确认或提出修改意见，逾期不确认也不提出修改意见的，视为同意。</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（2）建立完善的养护班组，制定养护岗位职责以及各岗位规范、操作规程、养护制度（包括节假日值班制度、防汛防台期间的值班制度和应急抢险工作制度）并报甲方审核备案。</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根据季节、气候、土壤、植物的生长习性和生长阶段及养护场地的具体情况合理安排、开展养护工作，根据甲方要求及时做好养护区域的局部调整（养护人员配置），保证绿化观赏的整体性，并向甲方提供年、季、月度养护管理方案及相应进度统计表。</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（4）乙方负责区域内各类植物养护及日常巡视检查，如发现各类苗木、设施有被损、被盗等情况时，应及时向甲方汇报并立即进行补缺、恢复。</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（5）开展养护工作时，严格遵守甲方对噪音污染、环境保护和安全生产等的管理规定，文明施工；对外开放的养护区域，处理好养护工作与机场员工、旅客等人员的关系。</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（6）绿化垃圾须堆放于甲方指定位置暂存，并按照甲方要求依据法规妥善运送至符合环保要求的绿化垃圾处理所，做好相应台账工作，费用由乙方承担。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（6）养护期间，做好养护范围内的地下管线和现有建筑物、构筑物的保护工作。</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7）接受甲方的管理、监督、检查和考核，对甲方发出的整改通知，应及时按甲方的要求进行整改。乙方拒绝或未在甲方要求的时间内整改的，甲方可以另行委托他人予以整改，所发生的费用由乙方承担，并在下次支付乙方养护费时予以扣除。</w:t>
      </w:r>
    </w:p>
    <w:p>
      <w:pPr>
        <w:spacing w:line="300" w:lineRule="auto"/>
        <w:ind w:firstLine="440" w:firstLineChars="200"/>
        <w:jc w:val="left"/>
        <w:rPr>
          <w:rFonts w:ascii="宋体" w:hAnsi="宋体"/>
          <w:color w:val="000000"/>
          <w:sz w:val="22"/>
          <w:szCs w:val="21"/>
        </w:rPr>
      </w:pPr>
      <w:r>
        <w:rPr>
          <w:rFonts w:hint="eastAsia" w:ascii="宋体" w:hAnsi="宋体"/>
          <w:color w:val="000000"/>
          <w:sz w:val="22"/>
          <w:szCs w:val="21"/>
        </w:rPr>
        <w:t>（8）负责养护工作人员的劳动保护和人身安全。除双方另有约定外，养护工作人员的餐饮、住宿由乙方自行承担。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9）建立和健全养护管理档案，对养护管理工作中采集的各种信息、资料及时做好分析整理和归档保存工作，并报送甲方备案。本合同因养护期届满或其他法定或约定事由而终止后[10]日内，将养护管理的所有档案资料及养护范围内的各类植物、设施完好地移交给甲方。                   </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第七条 养护方案及调整</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1．乙方必须按甲方确认的养护管理方案和养护计划组织养护，接受甲方对养护质量的检查、监督和考核。</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涉及重大活动或其他原因，甲方认为确有必要暂停养护工作或调整养护方案时，可以要求乙方养护人员调整养护时间或更改养护措施。乙方应按照甲方的要求在收到整改通知之日起3日内整改完毕，整改不到位，甲方有权扣除当季养护费的5%作为违约金。</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3．未经甲方事前书面许可，乙方不得自行调整养护时间或更改养护措施。</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第八条 安全防护及事故处理</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1．一般要求</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（2）乙方应对其工作人员进行安全教育，并对他们的安全负责。</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（3）乙方施工现场必须做到文明施工，场区必须清洁整齐，做到活完脚下清，工完场地清，丢洒在场区的杂物和垃圾要及时清除。</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（4）甲方不得要求乙方违反安全管理的规定进行养护工作。</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2．安全防范</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（1）乙方在从事喷洒农药、控制有害生物、修剪树木、修理设施、清理道路或水体、防台防汛等工作时应自行采取相应的安全防护措施。除双方另有约定外，安全防护费用由乙方自行承担。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（2）乙方应保证养护范围内的各项设施能够安全使用，对于存在安全隐患的设施、物品，应及时提请甲方予以修理或更换。</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乙方对土壤进行消毒或防治病虫害时，应使用符合环保要求的药剂，不得使用国家禁止使用的剧毒、高残留或可能造成其它公害的药剂。残留药剂和容器，乙方应按规定妥善收集和处理。乙方未按规定使用药剂，造成的责任由乙方自行承担。</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3．环境保护</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（1）养护期间，乙方应遵守国家有关环境保护的政策、法规及甲方环保相关要求。养护范围内的垃圾应按规定清理、外运。污水、废水未处理达标前，不得直接排入河道或其它公共设施，以免造成污染。</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（2）乙方应</w:t>
      </w:r>
      <w:r>
        <w:rPr>
          <w:rFonts w:hint="eastAsia" w:ascii="宋体" w:hAnsi="宋体"/>
          <w:sz w:val="22"/>
          <w:szCs w:val="21"/>
        </w:rPr>
        <w:t>杭州园林绿化养护标准</w:t>
      </w:r>
      <w:r>
        <w:rPr>
          <w:rFonts w:hint="eastAsia" w:ascii="宋体" w:hAnsi="宋体"/>
          <w:color w:val="000000"/>
          <w:sz w:val="22"/>
          <w:szCs w:val="21"/>
        </w:rPr>
        <w:t>进行施肥、沤肥。施肥、沤肥不得造成绿化景观和周边环境污染。</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4．事故处理</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（1）养护期间，发生任何安全事故，乙方应按有关规定立即上报有关部门并通知甲方，同时按有关部门要求处理，由事故责任方承担发生的费用。</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（2）甲方、乙方对事故责任有争议时，应按有关行政部门、司法部门的认定处理。</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第九条 养护费的支付</w:t>
      </w:r>
    </w:p>
    <w:p>
      <w:pPr>
        <w:spacing w:line="300" w:lineRule="auto"/>
        <w:ind w:firstLine="440" w:firstLineChars="200"/>
        <w:rPr>
          <w:rFonts w:ascii="宋体" w:hAnsi="宋体"/>
          <w:sz w:val="22"/>
          <w:lang w:val="zh-CN"/>
        </w:rPr>
      </w:pPr>
      <w:r>
        <w:rPr>
          <w:rFonts w:hint="eastAsia" w:ascii="宋体" w:hAnsi="宋体"/>
          <w:color w:val="000000"/>
          <w:sz w:val="22"/>
          <w:szCs w:val="21"/>
        </w:rPr>
        <w:t>本合同项下</w:t>
      </w:r>
      <w:r>
        <w:rPr>
          <w:rFonts w:hint="eastAsia" w:ascii="宋体" w:hAnsi="宋体"/>
          <w:sz w:val="22"/>
          <w:szCs w:val="21"/>
        </w:rPr>
        <w:t>养护费用按季度（分1-3月、4-6月、7-9月、10-12月 四次）根据考核结果进行支付。</w:t>
      </w:r>
      <w:r>
        <w:rPr>
          <w:rFonts w:hint="eastAsia" w:ascii="宋体" w:hAnsi="宋体"/>
          <w:sz w:val="22"/>
          <w:lang w:val="zh-CN"/>
        </w:rPr>
        <w:t>在每季结束后的[15]个工作日内，</w:t>
      </w:r>
      <w:r>
        <w:rPr>
          <w:rFonts w:hint="eastAsia" w:ascii="宋体" w:hAnsi="宋体"/>
          <w:sz w:val="22"/>
        </w:rPr>
        <w:t>乙方</w:t>
      </w:r>
      <w:r>
        <w:rPr>
          <w:rFonts w:hint="eastAsia" w:ascii="宋体" w:hAnsi="宋体"/>
          <w:sz w:val="22"/>
          <w:lang w:val="zh-CN"/>
        </w:rPr>
        <w:t>向</w:t>
      </w:r>
      <w:r>
        <w:rPr>
          <w:rFonts w:hint="eastAsia" w:ascii="宋体" w:hAnsi="宋体"/>
          <w:sz w:val="22"/>
        </w:rPr>
        <w:t>甲方</w:t>
      </w:r>
      <w:r>
        <w:rPr>
          <w:rFonts w:hint="eastAsia" w:ascii="宋体" w:hAnsi="宋体"/>
          <w:sz w:val="22"/>
          <w:lang w:val="zh-CN"/>
        </w:rPr>
        <w:t>提供支付凭据：增值税专用发票、工作量清单，在收到乙方提供的符合甲方要求的支付凭据后[15]个工作日内，甲方根据考评结果支付相应的季度养护费。如乙方未能提供符合甲方要求的支付凭证，甲方有权拒绝支付相应的价款。</w:t>
      </w:r>
    </w:p>
    <w:p>
      <w:pPr>
        <w:adjustRightInd w:val="0"/>
        <w:snapToGrid w:val="0"/>
        <w:spacing w:line="360" w:lineRule="auto"/>
        <w:ind w:firstLine="440" w:firstLineChars="200"/>
        <w:rPr>
          <w:rFonts w:ascii="宋体" w:hAnsi="宋体"/>
          <w:sz w:val="22"/>
        </w:rPr>
      </w:pPr>
      <w:r>
        <w:rPr>
          <w:rFonts w:hint="eastAsia" w:ascii="宋体" w:hAnsi="宋体"/>
          <w:sz w:val="22"/>
        </w:rPr>
        <w:t>本合同有效期限内如连续两个月度考核得分低于85分（包含85分）或在一个自然外包年度内有三个月的月度考核得分低于85分（包含85分），甲方有权终止本合同，乙方缴纳的履约保证金全额不予以退还。</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付款根据本合同规定的养护费用金额，依据每月考评结果，按季度综合考评结果，每季季后支付。</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另外双方约定如下：</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1、因乙方自身原因导致的养护补救措施，乙方无权要求追加合同价款。</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2若因市政建设或绿化工程改造而影响本合同项下养护范围和内容，甲方有权全部或部分终止本合同，且无须向乙方承担违约责任。如部分终止的，则养护费用按照养护范围和内容的调整相应减少。</w:t>
      </w:r>
    </w:p>
    <w:p>
      <w:pPr>
        <w:spacing w:line="300" w:lineRule="auto"/>
        <w:ind w:firstLine="440" w:firstLineChars="200"/>
        <w:rPr>
          <w:rFonts w:ascii="宋体" w:hAnsi="宋体"/>
          <w:color w:val="000000"/>
          <w:sz w:val="22"/>
          <w:szCs w:val="21"/>
        </w:rPr>
      </w:pPr>
      <w:r>
        <w:rPr>
          <w:rFonts w:hint="eastAsia" w:ascii="宋体" w:hAnsi="宋体"/>
          <w:color w:val="000000"/>
          <w:sz w:val="22"/>
          <w:szCs w:val="21"/>
        </w:rPr>
        <w:t>3、对绿地设施和花木管理不善或使用不当所造成的损失，由乙方负责赔偿。若乙方对存在问题未在甲方要求的时间内整改或整改不到位的，甲方可自行或委托第三方整改，产生的费用在应付乙方的养护费中扣除，同时甲方有权从应付乙方的养护费中再扣除整改相应费用的2倍作为赔偿金，并且甲方有权终止本合同。</w:t>
      </w:r>
    </w:p>
    <w:p>
      <w:pPr>
        <w:spacing w:line="300" w:lineRule="auto"/>
        <w:ind w:firstLine="440" w:firstLineChars="200"/>
        <w:rPr>
          <w:rFonts w:ascii="宋体" w:hAnsi="宋体"/>
          <w:b/>
          <w:bCs/>
          <w:color w:val="000000"/>
          <w:sz w:val="22"/>
          <w:szCs w:val="21"/>
        </w:rPr>
      </w:pPr>
      <w:r>
        <w:rPr>
          <w:rFonts w:hint="eastAsia" w:ascii="宋体" w:hAnsi="宋体"/>
          <w:b/>
          <w:bCs/>
          <w:color w:val="000000"/>
          <w:sz w:val="22"/>
          <w:szCs w:val="21"/>
        </w:rPr>
        <w:t>第十条 违约责任</w:t>
      </w:r>
    </w:p>
    <w:p>
      <w:pPr>
        <w:snapToGrid w:val="0"/>
        <w:spacing w:line="360" w:lineRule="auto"/>
        <w:ind w:firstLine="480" w:firstLineChars="200"/>
        <w:rPr>
          <w:rFonts w:ascii="宋体" w:hAnsi="宋体"/>
          <w:sz w:val="24"/>
        </w:rPr>
      </w:pPr>
      <w:bookmarkStart w:id="118" w:name="OLE_LINK43"/>
      <w:r>
        <w:rPr>
          <w:rFonts w:ascii="宋体" w:hAnsi="宋体"/>
          <w:sz w:val="24"/>
        </w:rPr>
        <w:t>1.</w:t>
      </w:r>
      <w:r>
        <w:rPr>
          <w:rFonts w:hint="eastAsia" w:ascii="宋体" w:hAnsi="宋体"/>
          <w:sz w:val="24"/>
        </w:rPr>
        <w:t>甲乙双方应当按照本合同的约定切实履行。任何一方违反本合同的约定，均构成违约，应按照本合同的约定承担相应的违约责任。</w:t>
      </w:r>
    </w:p>
    <w:p>
      <w:pPr>
        <w:snapToGrid w:val="0"/>
        <w:spacing w:line="360" w:lineRule="auto"/>
        <w:ind w:firstLine="480" w:firstLineChars="200"/>
        <w:rPr>
          <w:rFonts w:ascii="宋体" w:hAnsi="宋体"/>
          <w:sz w:val="24"/>
        </w:rPr>
      </w:pPr>
      <w:r>
        <w:rPr>
          <w:rFonts w:ascii="宋体" w:hAnsi="宋体"/>
          <w:sz w:val="24"/>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选择向违约方发出书面通知单方面终止本合同。</w:t>
      </w:r>
    </w:p>
    <w:p>
      <w:pPr>
        <w:snapToGrid w:val="0"/>
        <w:spacing w:line="360" w:lineRule="auto"/>
        <w:ind w:firstLine="480" w:firstLineChars="200"/>
        <w:rPr>
          <w:rFonts w:ascii="宋体" w:hAnsi="宋体"/>
          <w:sz w:val="24"/>
        </w:rPr>
      </w:pPr>
      <w:r>
        <w:rPr>
          <w:rFonts w:ascii="宋体" w:hAnsi="宋体"/>
          <w:sz w:val="24"/>
        </w:rPr>
        <w:t>3.不放弃的权利</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1）在</w:t>
      </w:r>
      <w:r>
        <w:rPr>
          <w:rFonts w:hint="eastAsia" w:ascii="宋体" w:hAnsi="宋体"/>
          <w:sz w:val="24"/>
        </w:rPr>
        <w:t>乙方出现违约行为的情况下，甲方继续接受承包人的服务，不代表甲方放弃追究乙方违约责任的权利。</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甲方对乙方某一违约情况放弃追究权利，不得视为放弃对乙方其他违约情况的追究权利。</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十一条</w:t>
      </w:r>
      <w:r>
        <w:rPr>
          <w:rFonts w:ascii="宋体" w:hAnsi="宋体"/>
          <w:b/>
          <w:bCs/>
          <w:sz w:val="24"/>
        </w:rPr>
        <w:t xml:space="preserve"> 不可抗力</w:t>
      </w:r>
    </w:p>
    <w:p>
      <w:pPr>
        <w:snapToGrid w:val="0"/>
        <w:spacing w:line="360" w:lineRule="auto"/>
        <w:ind w:firstLine="480" w:firstLineChars="200"/>
        <w:rPr>
          <w:rFonts w:ascii="宋体" w:hAnsi="宋体"/>
          <w:sz w:val="24"/>
        </w:rPr>
      </w:pPr>
      <w:r>
        <w:rPr>
          <w:rFonts w:hint="eastAsia" w:ascii="宋体" w:hAnsi="宋体"/>
          <w:sz w:val="24"/>
        </w:rPr>
        <w:t>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napToGrid w:val="0"/>
        <w:spacing w:line="360" w:lineRule="auto"/>
        <w:ind w:firstLine="480" w:firstLineChars="200"/>
        <w:rPr>
          <w:rFonts w:ascii="宋体" w:hAnsi="宋体"/>
          <w:sz w:val="24"/>
        </w:rPr>
      </w:pPr>
      <w:r>
        <w:rPr>
          <w:rFonts w:hint="eastAsia" w:ascii="宋体" w:hAnsi="宋体"/>
          <w:sz w:val="24"/>
        </w:rPr>
        <w:t>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napToGrid w:val="0"/>
        <w:spacing w:line="360" w:lineRule="auto"/>
        <w:ind w:firstLine="480" w:firstLineChars="200"/>
        <w:rPr>
          <w:rFonts w:ascii="宋体" w:hAnsi="宋体"/>
          <w:sz w:val="24"/>
        </w:rPr>
      </w:pPr>
      <w:r>
        <w:rPr>
          <w:rFonts w:hint="eastAsia" w:ascii="宋体" w:hAnsi="宋体"/>
          <w:sz w:val="24"/>
        </w:rPr>
        <w:t>3.由于甲方改建、扩建或者区域的功能及经营性调整发生变化的，甲、乙双方可协商一致对本合同的约定做出变更。如无法协商达成一致的，甲方有权书面通知乙方单方面终止合同，外包服务费用结算至合同终止日，且甲方无须向乙方承担任何责任。</w:t>
      </w:r>
    </w:p>
    <w:p>
      <w:pPr>
        <w:snapToGrid w:val="0"/>
        <w:spacing w:line="360" w:lineRule="auto"/>
        <w:ind w:firstLine="480" w:firstLineChars="200"/>
        <w:rPr>
          <w:rFonts w:ascii="宋体" w:hAnsi="宋体"/>
          <w:sz w:val="24"/>
        </w:rPr>
      </w:pPr>
      <w:r>
        <w:rPr>
          <w:rFonts w:hint="eastAsia" w:ascii="宋体" w:hAnsi="宋体"/>
          <w:sz w:val="24"/>
        </w:rPr>
        <w:t>4.因甲方及其上级主管部门对功能、布局、流程进行调整，涉及本合同约定之事宜，导致本合同无法继续履行的，甲方有权单方面终止合同，外包服务费用结算至合同终止日，且甲方无须承担任何法律责任，但应当书面通知乙方。</w:t>
      </w:r>
    </w:p>
    <w:p>
      <w:pPr>
        <w:snapToGrid w:val="0"/>
        <w:spacing w:line="360" w:lineRule="auto"/>
        <w:ind w:firstLine="480" w:firstLineChars="200"/>
        <w:rPr>
          <w:rFonts w:ascii="宋体" w:hAnsi="宋体"/>
          <w:sz w:val="24"/>
        </w:rPr>
      </w:pPr>
      <w:r>
        <w:rPr>
          <w:rFonts w:hint="eastAsia" w:ascii="宋体" w:hAnsi="宋体"/>
          <w:sz w:val="24"/>
        </w:rPr>
        <w:t>5.任何一方不得就不可抗力事由发生前已产生之责任免责。</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十二条 合同生效和终止</w:t>
      </w:r>
    </w:p>
    <w:p>
      <w:pPr>
        <w:snapToGrid w:val="0"/>
        <w:spacing w:line="360" w:lineRule="auto"/>
        <w:ind w:firstLine="480" w:firstLineChars="200"/>
        <w:rPr>
          <w:rFonts w:ascii="宋体" w:hAnsi="宋体"/>
          <w:sz w:val="24"/>
        </w:rPr>
      </w:pPr>
      <w:r>
        <w:rPr>
          <w:rFonts w:hint="eastAsia" w:ascii="宋体" w:hAnsi="宋体"/>
          <w:sz w:val="24"/>
        </w:rPr>
        <w:t>本合同经双方法定代表人或其委托人签字盖章，报甲方备案后生效。</w:t>
      </w:r>
    </w:p>
    <w:p>
      <w:pPr>
        <w:snapToGrid w:val="0"/>
        <w:spacing w:line="360" w:lineRule="auto"/>
        <w:ind w:firstLine="480" w:firstLineChars="200"/>
        <w:rPr>
          <w:rFonts w:ascii="宋体" w:hAnsi="宋体"/>
          <w:sz w:val="24"/>
        </w:rPr>
      </w:pPr>
      <w:r>
        <w:rPr>
          <w:rFonts w:hint="eastAsia" w:ascii="宋体" w:hAnsi="宋体"/>
          <w:sz w:val="24"/>
        </w:rPr>
        <w:t>（一）提前终止</w:t>
      </w:r>
    </w:p>
    <w:p>
      <w:pPr>
        <w:snapToGrid w:val="0"/>
        <w:spacing w:line="360" w:lineRule="auto"/>
        <w:ind w:firstLine="480" w:firstLineChars="200"/>
        <w:rPr>
          <w:rFonts w:ascii="宋体" w:hAnsi="宋体"/>
          <w:sz w:val="24"/>
        </w:rPr>
      </w:pPr>
      <w:r>
        <w:rPr>
          <w:rFonts w:hint="eastAsia" w:ascii="宋体" w:hAnsi="宋体"/>
          <w:sz w:val="24"/>
        </w:rPr>
        <w:t>1.如果甲方在合同期内无理由终止合同，甲方须提前一个月向乙方发出书面通知终止本合同，甲方应向支付给乙方承担当月的服务款费作为违约金。</w:t>
      </w:r>
    </w:p>
    <w:p>
      <w:pPr>
        <w:snapToGrid w:val="0"/>
        <w:spacing w:line="360" w:lineRule="auto"/>
        <w:ind w:firstLine="480" w:firstLineChars="200"/>
        <w:rPr>
          <w:rFonts w:ascii="宋体" w:hAnsi="宋体"/>
          <w:sz w:val="24"/>
        </w:rPr>
      </w:pPr>
      <w:r>
        <w:rPr>
          <w:rFonts w:hint="eastAsia" w:ascii="宋体" w:hAnsi="宋体"/>
          <w:sz w:val="24"/>
        </w:rPr>
        <w:t>2.因乙方在合同期限内，经甲方考评，</w:t>
      </w:r>
      <w:r>
        <w:rPr>
          <w:rFonts w:hint="eastAsia"/>
        </w:rPr>
        <w:t>连续两个月度考核得分低于85分（包含85分）或在一个自然外包年度内有三个月的月度考核得分低于85分（包含85分），甲方有权终止本合同，乙方缴纳的履约保证金全额不予以退还。</w:t>
      </w:r>
    </w:p>
    <w:p>
      <w:pPr>
        <w:snapToGrid w:val="0"/>
        <w:spacing w:line="360" w:lineRule="auto"/>
        <w:ind w:firstLine="480" w:firstLineChars="200"/>
        <w:rPr>
          <w:rFonts w:ascii="宋体" w:hAnsi="宋体"/>
          <w:sz w:val="24"/>
        </w:rPr>
      </w:pPr>
      <w:r>
        <w:rPr>
          <w:rFonts w:hint="eastAsia" w:ascii="宋体" w:hAnsi="宋体"/>
          <w:sz w:val="24"/>
        </w:rPr>
        <w:t>3.如甲方发现乙方出现转租、转让、抵押承包等情况，甲方可以单方面终止本合同，且乙方应向甲方承担当季的季度承包服务费二倍的违约金。</w:t>
      </w:r>
    </w:p>
    <w:p>
      <w:pPr>
        <w:numPr>
          <w:ilvl w:val="0"/>
          <w:numId w:val="3"/>
        </w:numPr>
        <w:snapToGrid w:val="0"/>
        <w:spacing w:line="360" w:lineRule="auto"/>
        <w:ind w:firstLine="480" w:firstLineChars="200"/>
        <w:rPr>
          <w:rFonts w:ascii="宋体" w:hAnsi="宋体"/>
          <w:sz w:val="24"/>
        </w:rPr>
      </w:pPr>
      <w:r>
        <w:rPr>
          <w:rFonts w:hint="eastAsia" w:ascii="宋体" w:hAnsi="宋体"/>
          <w:sz w:val="24"/>
        </w:rPr>
        <w:t>如果乙方在合同期内无理由终止合同，乙方须提前三个月向甲方发出书面通知终止承包，乙方应向甲方承担当季的季度承包服务费二倍的违约金。</w:t>
      </w:r>
    </w:p>
    <w:p>
      <w:pPr>
        <w:snapToGrid w:val="0"/>
        <w:spacing w:line="360" w:lineRule="auto"/>
        <w:ind w:firstLine="480" w:firstLineChars="200"/>
        <w:rPr>
          <w:rFonts w:ascii="宋体" w:hAnsi="宋体"/>
          <w:sz w:val="24"/>
        </w:rPr>
      </w:pPr>
      <w:r>
        <w:rPr>
          <w:rFonts w:hint="eastAsia" w:ascii="宋体" w:hAnsi="宋体"/>
          <w:sz w:val="24"/>
        </w:rPr>
        <w:t>5.如果乙方在合同期内由于乙方原因造成重大责任事故或安全事故，甲方可以单方面终止本合同，并须向甲方承担当季的季度承包服务款费五倍金额的违约金，且全额没收履约保证金。</w:t>
      </w:r>
    </w:p>
    <w:p>
      <w:pPr>
        <w:snapToGrid w:val="0"/>
        <w:spacing w:line="360" w:lineRule="auto"/>
        <w:ind w:firstLine="480" w:firstLineChars="200"/>
        <w:rPr>
          <w:rFonts w:ascii="宋体" w:hAnsi="宋体"/>
          <w:sz w:val="24"/>
        </w:rPr>
      </w:pPr>
      <w:r>
        <w:rPr>
          <w:rFonts w:hint="eastAsia" w:ascii="宋体" w:hAnsi="宋体"/>
          <w:sz w:val="24"/>
        </w:rPr>
        <w:t>6.提前终止合同期早于月底最后一天，应视为月底最后一天期满。</w:t>
      </w:r>
    </w:p>
    <w:p>
      <w:pPr>
        <w:snapToGrid w:val="0"/>
        <w:spacing w:line="360" w:lineRule="auto"/>
        <w:ind w:firstLine="480" w:firstLineChars="200"/>
        <w:rPr>
          <w:rFonts w:ascii="宋体" w:hAnsi="宋体"/>
          <w:sz w:val="24"/>
        </w:rPr>
      </w:pPr>
      <w:r>
        <w:rPr>
          <w:rFonts w:hint="eastAsia" w:ascii="宋体" w:hAnsi="宋体"/>
          <w:sz w:val="24"/>
        </w:rPr>
        <w:t>7.乙方未能履行合同和遵守有关规定，在甲方发出书面警告后7日内乙方仍无采取补救措施，甲方可立即终止本合同，全额没收乙方缴纳的履约保证金。</w:t>
      </w:r>
    </w:p>
    <w:p>
      <w:pPr>
        <w:snapToGrid w:val="0"/>
        <w:spacing w:line="360" w:lineRule="auto"/>
        <w:ind w:firstLine="480" w:firstLineChars="200"/>
        <w:rPr>
          <w:rFonts w:ascii="宋体" w:hAnsi="宋体"/>
          <w:sz w:val="24"/>
        </w:rPr>
      </w:pPr>
      <w:r>
        <w:rPr>
          <w:rFonts w:hint="eastAsia" w:ascii="宋体" w:hAnsi="宋体"/>
          <w:sz w:val="24"/>
        </w:rPr>
        <w:t>8.乙方破产清处、重组及兼并等事实发生，或被债权人接管经营，甲方不必通知乙方即可终止本合同，并全额没收乙方缴纳的履约保证金。</w:t>
      </w:r>
    </w:p>
    <w:p>
      <w:pPr>
        <w:snapToGrid w:val="0"/>
        <w:spacing w:line="360" w:lineRule="auto"/>
        <w:ind w:firstLine="480" w:firstLineChars="200"/>
        <w:rPr>
          <w:rFonts w:ascii="宋体" w:hAnsi="宋体"/>
          <w:sz w:val="24"/>
        </w:rPr>
      </w:pPr>
      <w:r>
        <w:rPr>
          <w:rFonts w:hint="eastAsia" w:ascii="宋体" w:hAnsi="宋体"/>
          <w:sz w:val="24"/>
        </w:rPr>
        <w:t>（二） 协议终止</w:t>
      </w:r>
    </w:p>
    <w:p>
      <w:pPr>
        <w:snapToGrid w:val="0"/>
        <w:spacing w:line="360" w:lineRule="auto"/>
        <w:ind w:firstLine="480" w:firstLineChars="200"/>
        <w:rPr>
          <w:rFonts w:ascii="宋体" w:hAnsi="宋体"/>
          <w:sz w:val="24"/>
        </w:rPr>
      </w:pPr>
      <w:r>
        <w:rPr>
          <w:rFonts w:hint="eastAsia" w:ascii="宋体" w:hAnsi="宋体"/>
          <w:sz w:val="24"/>
        </w:rPr>
        <w:t>经双方协商同意并达成一致书面期间的，可在任何时候终止本合同。</w:t>
      </w:r>
    </w:p>
    <w:p>
      <w:pPr>
        <w:adjustRightInd w:val="0"/>
        <w:snapToGrid w:val="0"/>
        <w:spacing w:line="360" w:lineRule="auto"/>
        <w:ind w:firstLine="480" w:firstLineChars="200"/>
        <w:rPr>
          <w:rFonts w:ascii="宋体" w:hAnsi="宋体"/>
          <w:b/>
          <w:bCs/>
          <w:sz w:val="24"/>
        </w:rPr>
      </w:pPr>
      <w:r>
        <w:rPr>
          <w:rFonts w:hint="eastAsia" w:ascii="宋体" w:hAnsi="宋体"/>
          <w:b/>
          <w:bCs/>
          <w:sz w:val="24"/>
        </w:rPr>
        <w:t xml:space="preserve">十三条 </w:t>
      </w:r>
      <w:r>
        <w:rPr>
          <w:rFonts w:ascii="宋体" w:hAnsi="宋体"/>
          <w:b/>
          <w:bCs/>
          <w:sz w:val="24"/>
        </w:rPr>
        <w:t>合同终止的后果</w:t>
      </w:r>
    </w:p>
    <w:p>
      <w:pPr>
        <w:snapToGrid w:val="0"/>
        <w:spacing w:line="360" w:lineRule="auto"/>
        <w:ind w:firstLine="480" w:firstLineChars="200"/>
        <w:rPr>
          <w:rFonts w:ascii="宋体" w:hAnsi="宋体"/>
          <w:sz w:val="24"/>
        </w:rPr>
      </w:pPr>
      <w:r>
        <w:rPr>
          <w:rFonts w:hint="eastAsia" w:ascii="宋体" w:hAnsi="宋体"/>
          <w:sz w:val="24"/>
        </w:rPr>
        <w:t>合同终止不影响根据合同规定进行的赔偿、补偿，也不影响履约保证金的效力。</w:t>
      </w:r>
    </w:p>
    <w:p>
      <w:pPr>
        <w:snapToGrid w:val="0"/>
        <w:spacing w:line="360" w:lineRule="auto"/>
        <w:ind w:firstLine="480" w:firstLineChars="200"/>
        <w:rPr>
          <w:rFonts w:ascii="宋体" w:hAnsi="宋体"/>
          <w:sz w:val="24"/>
        </w:rPr>
      </w:pPr>
      <w:r>
        <w:rPr>
          <w:rFonts w:hint="eastAsia" w:ascii="宋体" w:hAnsi="宋体"/>
          <w:sz w:val="24"/>
        </w:rPr>
        <w:t>十四条 修改或变更</w:t>
      </w:r>
    </w:p>
    <w:p>
      <w:pPr>
        <w:snapToGrid w:val="0"/>
        <w:spacing w:line="360" w:lineRule="auto"/>
        <w:ind w:firstLine="480" w:firstLineChars="200"/>
        <w:rPr>
          <w:rFonts w:ascii="宋体" w:hAnsi="宋体"/>
          <w:sz w:val="24"/>
        </w:rPr>
      </w:pPr>
      <w:r>
        <w:rPr>
          <w:rFonts w:hint="eastAsia" w:ascii="宋体" w:hAnsi="宋体"/>
          <w:sz w:val="24"/>
        </w:rPr>
        <w:t>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napToGrid w:val="0"/>
        <w:spacing w:line="360" w:lineRule="auto"/>
        <w:ind w:firstLine="480" w:firstLineChars="200"/>
        <w:rPr>
          <w:rFonts w:ascii="宋体" w:hAnsi="宋体"/>
          <w:sz w:val="24"/>
        </w:rPr>
      </w:pPr>
      <w:r>
        <w:rPr>
          <w:rFonts w:hint="eastAsia" w:ascii="宋体" w:hAnsi="宋体"/>
          <w:sz w:val="24"/>
        </w:rPr>
        <w:t>2.上述“补充条款”可以以“补充合同”或双方签署确认的其他文件形式替代，具有同等法律效力。</w:t>
      </w:r>
    </w:p>
    <w:p>
      <w:pPr>
        <w:snapToGrid w:val="0"/>
        <w:spacing w:line="360" w:lineRule="auto"/>
        <w:ind w:firstLine="480" w:firstLineChars="200"/>
        <w:rPr>
          <w:rFonts w:ascii="宋体" w:hAnsi="宋体"/>
          <w:sz w:val="24"/>
        </w:rPr>
      </w:pPr>
      <w:r>
        <w:rPr>
          <w:rFonts w:hint="eastAsia" w:ascii="宋体" w:hAnsi="宋体"/>
          <w:sz w:val="24"/>
        </w:rPr>
        <w:t>3.如在合同履行过程中有不同意见，双方应当友好协商解决。</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十五条  其他</w:t>
      </w:r>
    </w:p>
    <w:p>
      <w:pPr>
        <w:snapToGrid w:val="0"/>
        <w:spacing w:line="360" w:lineRule="auto"/>
        <w:ind w:firstLine="480" w:firstLineChars="200"/>
        <w:rPr>
          <w:rFonts w:ascii="宋体" w:hAnsi="宋体"/>
          <w:sz w:val="24"/>
        </w:rPr>
      </w:pPr>
      <w:r>
        <w:rPr>
          <w:rFonts w:hint="eastAsia" w:ascii="宋体" w:hAnsi="宋体"/>
          <w:sz w:val="24"/>
        </w:rPr>
        <w:t>1.因本合同的签订、生效、效力、解释、履行、解除、终止而发生的任何争议，可由双方通过友好协商方式解决。无法协商达成一致的，任何一方均有权向甲方所在地人民法院起诉。</w:t>
      </w:r>
    </w:p>
    <w:p>
      <w:pPr>
        <w:ind w:firstLine="480" w:firstLineChars="200"/>
      </w:pPr>
      <w:r>
        <w:rPr>
          <w:rFonts w:hint="eastAsia" w:ascii="宋体" w:hAnsi="宋体"/>
          <w:sz w:val="24"/>
        </w:rPr>
        <w:t>2.争议解决期间，与争议无涉的其他合同条款应当继续履行。</w:t>
      </w:r>
    </w:p>
    <w:bookmarkEnd w:id="118"/>
    <w:p>
      <w:pPr>
        <w:adjustRightInd w:val="0"/>
        <w:snapToGrid w:val="0"/>
        <w:spacing w:line="360" w:lineRule="auto"/>
        <w:ind w:left="1" w:firstLine="480" w:firstLineChars="200"/>
        <w:rPr>
          <w:rFonts w:ascii="宋体" w:hAnsi="宋体"/>
          <w:sz w:val="24"/>
        </w:rPr>
      </w:pPr>
      <w:r>
        <w:rPr>
          <w:rFonts w:hint="eastAsia" w:ascii="宋体" w:hAnsi="宋体"/>
          <w:b/>
          <w:bCs/>
          <w:sz w:val="24"/>
        </w:rPr>
        <w:t>3</w:t>
      </w:r>
      <w:r>
        <w:rPr>
          <w:rFonts w:ascii="宋体" w:hAnsi="宋体"/>
          <w:b/>
          <w:bCs/>
          <w:sz w:val="24"/>
        </w:rPr>
        <w:t>.</w:t>
      </w:r>
      <w:r>
        <w:rPr>
          <w:rFonts w:hint="eastAsia" w:ascii="宋体" w:hAnsi="宋体"/>
          <w:sz w:val="24"/>
        </w:rPr>
        <w:t>本合同 自双方法定代表人或者授权代表签署后生效，一式六份，具有同等法律效力，甲方执四份，乙方执两份。</w:t>
      </w:r>
    </w:p>
    <w:p>
      <w:pPr>
        <w:ind w:firstLine="480" w:firstLineChars="200"/>
        <w:rPr>
          <w:rFonts w:ascii="宋体" w:hAnsi="宋体"/>
          <w:color w:val="000000"/>
          <w:sz w:val="24"/>
          <w:szCs w:val="24"/>
        </w:rPr>
      </w:pPr>
      <w:r>
        <w:rPr>
          <w:rFonts w:hint="eastAsia" w:ascii="宋体" w:hAnsi="宋体"/>
          <w:color w:val="000000"/>
          <w:sz w:val="24"/>
          <w:szCs w:val="24"/>
        </w:rPr>
        <w:t xml:space="preserve">   </w:t>
      </w:r>
    </w:p>
    <w:p>
      <w:pPr>
        <w:spacing w:line="360" w:lineRule="auto"/>
        <w:rPr>
          <w:rFonts w:ascii="宋体" w:hAnsi="宋体"/>
          <w:color w:val="000000"/>
          <w:sz w:val="22"/>
          <w:szCs w:val="30"/>
          <w:u w:val="single"/>
        </w:rPr>
      </w:pPr>
      <w:r>
        <w:rPr>
          <w:rFonts w:hint="eastAsia" w:ascii="宋体" w:hAnsi="宋体" w:cs="仿宋_GB2312"/>
          <w:sz w:val="22"/>
          <w:szCs w:val="30"/>
        </w:rPr>
        <w:t>甲方：</w:t>
      </w:r>
      <w:r>
        <w:rPr>
          <w:rFonts w:hint="eastAsia" w:ascii="宋体" w:hAnsi="宋体" w:cs="仿宋_GB2312"/>
          <w:sz w:val="22"/>
          <w:szCs w:val="30"/>
          <w:u w:val="single"/>
        </w:rPr>
        <w:t>杭州萧山国际机场有限公司</w:t>
      </w:r>
      <w:r>
        <w:rPr>
          <w:rFonts w:hint="eastAsia" w:ascii="宋体" w:hAnsi="宋体" w:cs="仿宋_GB2312"/>
          <w:sz w:val="22"/>
          <w:szCs w:val="30"/>
        </w:rPr>
        <w:t>（盖章）   乙方：</w:t>
      </w:r>
      <w:r>
        <w:rPr>
          <w:rFonts w:hint="eastAsia" w:ascii="宋体" w:hAnsi="宋体"/>
          <w:color w:val="000000"/>
          <w:sz w:val="22"/>
          <w:szCs w:val="30"/>
          <w:u w:val="single"/>
        </w:rPr>
        <w:t xml:space="preserve">                   </w:t>
      </w:r>
      <w:r>
        <w:rPr>
          <w:rFonts w:hint="eastAsia" w:ascii="宋体" w:hAnsi="宋体" w:cs="仿宋_GB2312"/>
          <w:sz w:val="22"/>
          <w:szCs w:val="30"/>
        </w:rPr>
        <w:t>（盖章）</w:t>
      </w:r>
    </w:p>
    <w:p>
      <w:pPr>
        <w:spacing w:line="360" w:lineRule="auto"/>
        <w:rPr>
          <w:rFonts w:ascii="宋体" w:hAnsi="宋体" w:cs="仿宋_GB2312"/>
          <w:sz w:val="22"/>
          <w:szCs w:val="30"/>
        </w:rPr>
      </w:pPr>
      <w:r>
        <w:rPr>
          <w:rFonts w:hint="eastAsia" w:ascii="宋体" w:hAnsi="宋体" w:cs="仿宋_GB2312"/>
          <w:sz w:val="22"/>
          <w:szCs w:val="30"/>
        </w:rPr>
        <w:t>法定代表人（签字）：                       法定代表人（签字）：</w:t>
      </w:r>
    </w:p>
    <w:p>
      <w:pPr>
        <w:spacing w:line="360" w:lineRule="auto"/>
        <w:rPr>
          <w:rFonts w:ascii="宋体" w:hAnsi="宋体" w:cs="仿宋_GB2312"/>
          <w:sz w:val="22"/>
          <w:szCs w:val="30"/>
        </w:rPr>
      </w:pPr>
      <w:r>
        <w:rPr>
          <w:rFonts w:hint="eastAsia" w:ascii="宋体" w:hAnsi="宋体" w:cs="仿宋_GB2312"/>
          <w:sz w:val="22"/>
          <w:szCs w:val="30"/>
        </w:rPr>
        <w:t>或委托代理人（签字）：                     或委托代理人（签字）：</w:t>
      </w:r>
    </w:p>
    <w:p>
      <w:pPr>
        <w:spacing w:line="360" w:lineRule="auto"/>
        <w:rPr>
          <w:rFonts w:ascii="宋体" w:hAnsi="宋体" w:cs="仿宋_GB2312"/>
          <w:sz w:val="22"/>
          <w:szCs w:val="30"/>
        </w:rPr>
      </w:pPr>
      <w:r>
        <w:rPr>
          <w:rFonts w:hint="eastAsia" w:ascii="宋体" w:hAnsi="宋体" w:cs="仿宋_GB2312"/>
          <w:sz w:val="22"/>
          <w:szCs w:val="30"/>
        </w:rPr>
        <w:t>签字时间：    年   月   日                 签字时间：    年   月   日</w:t>
      </w:r>
    </w:p>
    <w:p>
      <w:pPr>
        <w:rPr>
          <w:rFonts w:ascii="宋体" w:hAnsi="宋体"/>
          <w:sz w:val="22"/>
          <w:szCs w:val="21"/>
        </w:rPr>
      </w:pPr>
    </w:p>
    <w:p>
      <w:pPr>
        <w:spacing w:line="560" w:lineRule="exact"/>
        <w:rPr>
          <w:rFonts w:ascii="宋体-PUA" w:hAnsi="宋体-PUA" w:eastAsia="宋体-PUA" w:cs="宋体-PUA"/>
          <w:sz w:val="22"/>
        </w:rPr>
        <w:sectPr>
          <w:pgSz w:w="11906" w:h="16838"/>
          <w:pgMar w:top="1134" w:right="1247" w:bottom="1134" w:left="1247" w:header="851" w:footer="1134" w:gutter="0"/>
          <w:pgNumType w:fmt="numberInDash"/>
          <w:cols w:space="720" w:num="1"/>
          <w:docGrid w:linePitch="312" w:charSpace="0"/>
        </w:sectPr>
      </w:pPr>
    </w:p>
    <w:p>
      <w:pPr>
        <w:spacing w:line="560" w:lineRule="exact"/>
        <w:rPr>
          <w:rFonts w:ascii="宋体-PUA" w:hAnsi="宋体-PUA" w:eastAsia="宋体-PUA" w:cs="宋体-PUA"/>
          <w:sz w:val="22"/>
        </w:rPr>
      </w:pPr>
      <w:r>
        <w:rPr>
          <w:rFonts w:hint="eastAsia" w:ascii="宋体-PUA" w:hAnsi="宋体-PUA" w:eastAsia="宋体-PUA" w:cs="宋体-PUA"/>
          <w:sz w:val="22"/>
        </w:rPr>
        <w:t>附件1：</w:t>
      </w:r>
    </w:p>
    <w:p>
      <w:pPr>
        <w:pStyle w:val="128"/>
        <w:spacing w:line="360" w:lineRule="exact"/>
        <w:ind w:firstLine="442"/>
        <w:jc w:val="center"/>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130"/>
        <w:adjustRightInd w:val="0"/>
        <w:snapToGrid w:val="0"/>
        <w:ind w:firstLine="442"/>
        <w:rPr>
          <w:rFonts w:ascii="宋体-PUA" w:hAnsi="宋体-PUA" w:eastAsia="宋体-PUA" w:cs="宋体-PUA"/>
          <w:b/>
          <w:sz w:val="22"/>
        </w:rPr>
      </w:pPr>
    </w:p>
    <w:p>
      <w:pPr>
        <w:pStyle w:val="130"/>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30"/>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30"/>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0"/>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30"/>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30"/>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30"/>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30"/>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30"/>
        <w:adjustRightInd w:val="0"/>
        <w:snapToGrid w:val="0"/>
        <w:ind w:firstLine="480"/>
        <w:jc w:val="left"/>
        <w:rPr>
          <w:rFonts w:ascii="宋体" w:hAnsi="宋体"/>
          <w:szCs w:val="24"/>
        </w:rPr>
      </w:pPr>
      <w:r>
        <w:rPr>
          <w:rFonts w:hint="eastAsia" w:ascii="宋体" w:hAnsi="宋体"/>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0"/>
        <w:adjustRightInd w:val="0"/>
        <w:snapToGrid w:val="0"/>
        <w:ind w:firstLine="480"/>
        <w:jc w:val="left"/>
        <w:rPr>
          <w:rFonts w:ascii="宋体" w:hAnsi="宋体"/>
          <w:szCs w:val="24"/>
        </w:rPr>
      </w:pPr>
      <w:r>
        <w:rPr>
          <w:rFonts w:hint="eastAsia" w:ascii="宋体" w:hAnsi="宋体"/>
          <w:szCs w:val="24"/>
        </w:rPr>
        <w:t>八、如违反上述廉洁自律承诺，贵公司有权：</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扣除我方向贵公司缴纳的履约保证金的10%作为违反廉洁自律承诺的违约金。如该违约金不足以弥补贵公司损失的，我单位仍将承担实际损失赔偿责任。</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30"/>
        <w:adjustRightInd w:val="0"/>
        <w:snapToGrid w:val="0"/>
        <w:ind w:firstLine="480"/>
        <w:jc w:val="left"/>
        <w:rPr>
          <w:rFonts w:ascii="宋体" w:hAnsi="宋体"/>
          <w:szCs w:val="24"/>
        </w:rPr>
      </w:pPr>
    </w:p>
    <w:p>
      <w:pPr>
        <w:pStyle w:val="130"/>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30"/>
        <w:adjustRightInd w:val="0"/>
        <w:snapToGrid w:val="0"/>
        <w:ind w:firstLine="480"/>
        <w:jc w:val="left"/>
        <w:rPr>
          <w:rFonts w:ascii="宋体" w:hAnsi="宋体"/>
          <w:szCs w:val="24"/>
        </w:rPr>
      </w:pPr>
      <w:r>
        <w:rPr>
          <w:rFonts w:hint="eastAsia" w:ascii="宋体" w:hAnsi="宋体"/>
          <w:szCs w:val="24"/>
        </w:rPr>
        <w:t xml:space="preserve">法定代表人 ：                    </w:t>
      </w:r>
    </w:p>
    <w:p>
      <w:pPr>
        <w:pStyle w:val="130"/>
        <w:adjustRightInd w:val="0"/>
        <w:snapToGrid w:val="0"/>
        <w:ind w:firstLine="480"/>
        <w:jc w:val="left"/>
        <w:rPr>
          <w:rFonts w:ascii="宋体" w:hAnsi="宋体"/>
          <w:szCs w:val="24"/>
        </w:rPr>
      </w:pPr>
      <w:r>
        <w:rPr>
          <w:rFonts w:hint="eastAsia" w:ascii="宋体" w:hAnsi="宋体"/>
          <w:szCs w:val="24"/>
        </w:rPr>
        <w:t xml:space="preserve">或                            </w:t>
      </w:r>
    </w:p>
    <w:p>
      <w:pPr>
        <w:pStyle w:val="130"/>
        <w:adjustRightInd w:val="0"/>
        <w:snapToGrid w:val="0"/>
        <w:ind w:firstLine="480"/>
        <w:jc w:val="left"/>
        <w:rPr>
          <w:rFonts w:ascii="宋体" w:hAnsi="宋体"/>
          <w:szCs w:val="24"/>
        </w:rPr>
      </w:pPr>
      <w:r>
        <w:rPr>
          <w:rFonts w:hint="eastAsia" w:ascii="宋体" w:hAnsi="宋体"/>
          <w:szCs w:val="24"/>
        </w:rPr>
        <w:t xml:space="preserve">委托代理人：                   </w:t>
      </w:r>
    </w:p>
    <w:p>
      <w:pPr>
        <w:pStyle w:val="130"/>
        <w:adjustRightInd w:val="0"/>
        <w:snapToGrid w:val="0"/>
        <w:ind w:firstLine="480"/>
        <w:jc w:val="left"/>
        <w:rPr>
          <w:rFonts w:ascii="宋体" w:hAnsi="宋体"/>
          <w:b/>
          <w:szCs w:val="24"/>
        </w:rPr>
      </w:pPr>
    </w:p>
    <w:p>
      <w:pPr>
        <w:pStyle w:val="45"/>
        <w:ind w:left="1322" w:hanging="482"/>
        <w:rPr>
          <w:rFonts w:ascii="宋体" w:hAnsi="宋体"/>
          <w:b w:val="0"/>
          <w:sz w:val="24"/>
          <w:szCs w:val="24"/>
        </w:rPr>
      </w:pPr>
      <w:r>
        <w:rPr>
          <w:rFonts w:hint="eastAsia" w:ascii="宋体" w:hAnsi="宋体"/>
          <w:b w:val="0"/>
          <w:sz w:val="24"/>
          <w:szCs w:val="24"/>
        </w:rPr>
        <w:t xml:space="preserve">                           年     月     日</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ascii="宋体-PUA" w:hAnsi="宋体-PUA" w:eastAsia="宋体-PUA" w:cs="宋体-PUA"/>
          <w:sz w:val="22"/>
        </w:rPr>
        <w:br w:type="page"/>
      </w:r>
      <w:r>
        <w:rPr>
          <w:rFonts w:hint="eastAsia" w:ascii="宋体-PUA" w:hAnsi="宋体-PUA" w:eastAsia="宋体-PUA" w:cs="宋体-PUA"/>
          <w:sz w:val="22"/>
        </w:rPr>
        <w:t>附件2：保密承诺书</w:t>
      </w:r>
    </w:p>
    <w:p>
      <w:pPr>
        <w:spacing w:line="560" w:lineRule="exact"/>
        <w:jc w:val="center"/>
        <w:rPr>
          <w:rFonts w:ascii="宋体-PUA" w:hAnsi="宋体-PUA" w:eastAsia="宋体-PUA" w:cs="宋体-PUA"/>
          <w:b/>
          <w:bCs/>
          <w:sz w:val="22"/>
        </w:rPr>
      </w:pPr>
      <w:r>
        <w:rPr>
          <w:rFonts w:hint="eastAsia" w:ascii="宋体-PUA" w:hAnsi="宋体-PUA" w:eastAsia="宋体-PUA" w:cs="宋体-PUA"/>
          <w:b/>
          <w:bCs/>
          <w:sz w:val="22"/>
        </w:rPr>
        <w:t>保密承诺书</w:t>
      </w:r>
    </w:p>
    <w:p>
      <w:pPr>
        <w:snapToGrid w:val="0"/>
        <w:spacing w:line="560" w:lineRule="exact"/>
        <w:ind w:firstLine="440" w:firstLineChars="200"/>
        <w:rPr>
          <w:rFonts w:ascii="宋体-PUA" w:hAnsi="宋体-PUA" w:eastAsia="宋体-PUA" w:cs="宋体-PUA"/>
          <w:sz w:val="22"/>
        </w:rPr>
      </w:pPr>
      <w:r>
        <w:rPr>
          <w:rFonts w:hint="eastAsia" w:ascii="宋体-PUA" w:hAnsi="宋体-PUA" w:eastAsia="宋体-PUA" w:cs="宋体-PUA"/>
          <w:sz w:val="22"/>
        </w:rPr>
        <w:t xml:space="preserve">鉴于我方愿成为杭州萧山国际机场有限公司（以下简称“机场公司”）的供应商或潜在供应商候选人，为机场公司提供【 </w:t>
      </w:r>
      <w:r>
        <w:rPr>
          <w:rFonts w:ascii="宋体-PUA" w:hAnsi="宋体-PUA" w:eastAsia="宋体-PUA" w:cs="宋体-PUA"/>
          <w:sz w:val="22"/>
        </w:rPr>
        <w:t xml:space="preserve">                     </w:t>
      </w:r>
      <w:r>
        <w:rPr>
          <w:rFonts w:hint="eastAsia" w:ascii="宋体-PUA" w:hAnsi="宋体-PUA" w:eastAsia="宋体-PUA" w:cs="宋体-PU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rPr>
      </w:pPr>
      <w:r>
        <w:rPr>
          <w:rFonts w:hint="eastAsia" w:ascii="宋体-PUA" w:hAnsi="宋体-PUA" w:eastAsia="宋体-PUA" w:cs="宋体-PUA"/>
          <w:sz w:val="22"/>
        </w:rPr>
        <w:t>1.商业秘密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（2）管理信息（管理方法、管理制度、员工管理、合同管理、纠纷管理等）；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（4）财务信息（财务收支、固定资产、流动资金、成本核算等）；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rPr>
      </w:pPr>
      <w:r>
        <w:rPr>
          <w:rFonts w:hint="eastAsia" w:ascii="宋体-PUA" w:hAnsi="宋体-PUA" w:eastAsia="宋体-PUA" w:cs="宋体-PU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rPr>
      </w:pPr>
      <w:r>
        <w:rPr>
          <w:rFonts w:hint="eastAsia" w:ascii="宋体-PUA" w:hAnsi="宋体-PUA" w:eastAsia="宋体-PUA" w:cs="宋体-PUA"/>
          <w:sz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rPr>
      </w:pPr>
      <w:r>
        <w:rPr>
          <w:rFonts w:hint="eastAsia" w:ascii="宋体-PUA" w:hAnsi="宋体-PUA" w:eastAsia="宋体-PUA" w:cs="宋体-PUA"/>
          <w:sz w:val="22"/>
        </w:rPr>
        <w:t>1.4、以下资料不属于本承诺所指的商业秘密：</w:t>
      </w:r>
    </w:p>
    <w:p>
      <w:pPr>
        <w:spacing w:line="560" w:lineRule="exact"/>
        <w:rPr>
          <w:rFonts w:ascii="宋体-PUA" w:hAnsi="宋体-PUA" w:eastAsia="宋体-PUA" w:cs="宋体-PUA"/>
          <w:sz w:val="22"/>
        </w:rPr>
      </w:pPr>
      <w:r>
        <w:rPr>
          <w:rFonts w:hint="eastAsia" w:ascii="宋体-PUA" w:hAnsi="宋体-PUA" w:eastAsia="宋体-PUA" w:cs="宋体-PUA"/>
          <w:sz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rPr>
      </w:pPr>
      <w:r>
        <w:rPr>
          <w:rFonts w:hint="eastAsia" w:ascii="宋体-PUA" w:hAnsi="宋体-PUA" w:eastAsia="宋体-PUA" w:cs="宋体-PUA"/>
          <w:sz w:val="22"/>
        </w:rPr>
        <w:t>（2）已经公开或已成为常识性的资料，且该等公开并非因违反本承诺所致。</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rPr>
      </w:pP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（1）披露、使用或者允许他人以不正当手段获取的商业秘密；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（2）为机场公司以外的第三人窃取、刺探、收买、非法提供商业秘密。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8、违约责任</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供应商(盖章):</w:t>
      </w:r>
    </w:p>
    <w:p>
      <w:pPr>
        <w:spacing w:line="560" w:lineRule="exact"/>
        <w:jc w:val="center"/>
        <w:rPr>
          <w:rFonts w:ascii="宋体-PUA" w:hAnsi="宋体-PUA" w:eastAsia="宋体-PUA" w:cs="宋体-PUA"/>
          <w:sz w:val="22"/>
        </w:rPr>
      </w:pPr>
      <w:r>
        <w:rPr>
          <w:rFonts w:hint="eastAsia" w:ascii="宋体-PUA" w:hAnsi="宋体-PUA" w:eastAsia="宋体-PUA" w:cs="宋体-PUA"/>
          <w:sz w:val="22"/>
        </w:rPr>
        <w:t>法定代表人或授权代表：</w:t>
      </w: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电话/传真：</w:t>
      </w: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地址：</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napToGrid w:val="0"/>
        <w:spacing w:line="560" w:lineRule="exact"/>
        <w:jc w:val="center"/>
        <w:rPr>
          <w:rFonts w:ascii="宋体-PUA" w:hAnsi="宋体-PUA" w:eastAsia="宋体-PUA" w:cs="宋体-PUA"/>
          <w:sz w:val="22"/>
        </w:rPr>
      </w:pPr>
      <w:r>
        <w:rPr>
          <w:rFonts w:hint="eastAsia" w:ascii="宋体-PUA" w:hAnsi="宋体-PUA" w:eastAsia="宋体-PUA" w:cs="宋体-PUA"/>
          <w:sz w:val="22"/>
        </w:rPr>
        <w:t>日期：     年   月   日</w:t>
      </w: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21"/>
        <w:spacing w:line="360" w:lineRule="exact"/>
        <w:ind w:firstLine="420"/>
        <w:rPr>
          <w:rFonts w:ascii="Calibri" w:hAnsi="Calibri" w:cs="Calibri"/>
          <w:bCs/>
          <w:szCs w:val="32"/>
        </w:rPr>
        <w:sectPr>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9"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9"/>
    </w:p>
    <w:p>
      <w:pPr>
        <w:pStyle w:val="21"/>
        <w:spacing w:line="360" w:lineRule="exact"/>
        <w:ind w:firstLine="420"/>
        <w:rPr>
          <w:rFonts w:hAnsi="宋体" w:cs="Calibri"/>
          <w:bCs/>
          <w:sz w:val="22"/>
          <w:szCs w:val="22"/>
        </w:rPr>
      </w:pPr>
      <w:bookmarkStart w:id="120"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1</w:t>
      </w:r>
      <w:r>
        <w:rPr>
          <w:rFonts w:hint="eastAsia" w:hAnsi="宋体" w:cs="Calibri"/>
          <w:sz w:val="22"/>
          <w:szCs w:val="22"/>
        </w:rPr>
        <w:t>-40分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3"/>
        <w:tblpPr w:leftFromText="180" w:rightFromText="180" w:vertAnchor="text" w:tblpXSpec="center" w:tblpY="1"/>
        <w:tblOverlap w:val="never"/>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0"/>
        <w:gridCol w:w="795"/>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b/>
                <w:szCs w:val="21"/>
              </w:rPr>
            </w:pPr>
            <w:r>
              <w:rPr>
                <w:rFonts w:hint="eastAsia" w:asciiTheme="minorEastAsia" w:hAnsiTheme="minorEastAsia"/>
                <w:b/>
                <w:szCs w:val="21"/>
              </w:rPr>
              <w:t>序号</w:t>
            </w:r>
          </w:p>
        </w:tc>
        <w:tc>
          <w:tcPr>
            <w:tcW w:w="1170" w:type="dxa"/>
            <w:vAlign w:val="center"/>
          </w:tcPr>
          <w:p>
            <w:pPr>
              <w:spacing w:line="240" w:lineRule="exact"/>
              <w:jc w:val="center"/>
              <w:rPr>
                <w:rFonts w:asciiTheme="minorEastAsia" w:hAnsiTheme="minorEastAsia"/>
                <w:b/>
                <w:szCs w:val="21"/>
              </w:rPr>
            </w:pPr>
            <w:r>
              <w:rPr>
                <w:rFonts w:hint="eastAsia" w:asciiTheme="minorEastAsia" w:hAnsiTheme="minorEastAsia"/>
                <w:b/>
                <w:szCs w:val="21"/>
              </w:rPr>
              <w:t>评分因素</w:t>
            </w:r>
          </w:p>
        </w:tc>
        <w:tc>
          <w:tcPr>
            <w:tcW w:w="795" w:type="dxa"/>
            <w:vAlign w:val="center"/>
          </w:tcPr>
          <w:p>
            <w:pPr>
              <w:spacing w:line="240" w:lineRule="exact"/>
              <w:jc w:val="center"/>
              <w:rPr>
                <w:rFonts w:asciiTheme="minorEastAsia" w:hAnsiTheme="minorEastAsia"/>
                <w:b/>
                <w:szCs w:val="21"/>
              </w:rPr>
            </w:pPr>
            <w:r>
              <w:rPr>
                <w:rFonts w:hint="eastAsia" w:asciiTheme="minorEastAsia" w:hAnsiTheme="minorEastAsia"/>
                <w:b/>
                <w:szCs w:val="21"/>
              </w:rPr>
              <w:t>分值</w:t>
            </w:r>
          </w:p>
        </w:tc>
        <w:tc>
          <w:tcPr>
            <w:tcW w:w="7290" w:type="dxa"/>
            <w:vAlign w:val="center"/>
          </w:tcPr>
          <w:p>
            <w:pPr>
              <w:spacing w:line="240" w:lineRule="exact"/>
              <w:jc w:val="center"/>
              <w:rPr>
                <w:rFonts w:asciiTheme="minorEastAsia" w:hAnsiTheme="minorEastAsia"/>
                <w:b/>
                <w:szCs w:val="21"/>
              </w:rPr>
            </w:pPr>
            <w:r>
              <w:rPr>
                <w:rFonts w:hint="eastAsia" w:asciiTheme="minorEastAsia" w:hAnsi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bookmarkStart w:id="121" w:name="OLE_LINK155"/>
            <w:bookmarkStart w:id="122" w:name="OLE_LINK17"/>
            <w:bookmarkStart w:id="123" w:name="OLE_LINK154"/>
            <w:r>
              <w:rPr>
                <w:rFonts w:asciiTheme="minorEastAsia" w:hAnsiTheme="minorEastAsia"/>
                <w:szCs w:val="21"/>
              </w:rPr>
              <w:t>1</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项目总体概述及理解</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5</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根据投标文件响应情况进行横向评分，分档评分：</w:t>
            </w:r>
          </w:p>
          <w:p>
            <w:pPr>
              <w:numPr>
                <w:ilvl w:val="0"/>
                <w:numId w:val="6"/>
              </w:numPr>
              <w:spacing w:line="240" w:lineRule="exact"/>
              <w:jc w:val="left"/>
              <w:rPr>
                <w:rFonts w:cs="仿宋" w:asciiTheme="minorEastAsia" w:hAnsiTheme="minorEastAsia"/>
                <w:szCs w:val="21"/>
              </w:rPr>
            </w:pPr>
            <w:r>
              <w:rPr>
                <w:rFonts w:hint="eastAsia" w:cs="仿宋_GB2312" w:asciiTheme="minorEastAsia" w:hAnsiTheme="minorEastAsia"/>
                <w:szCs w:val="21"/>
              </w:rPr>
              <w:t>项目总体概述及理解详细、完全的，得</w:t>
            </w:r>
            <w:r>
              <w:rPr>
                <w:rFonts w:cs="仿宋_GB2312" w:asciiTheme="minorEastAsia" w:hAnsiTheme="minorEastAsia"/>
                <w:szCs w:val="21"/>
              </w:rPr>
              <w:t>5</w:t>
            </w:r>
            <w:r>
              <w:rPr>
                <w:rFonts w:hint="eastAsia" w:cs="仿宋_GB2312" w:asciiTheme="minorEastAsia" w:hAnsiTheme="minorEastAsia"/>
                <w:szCs w:val="21"/>
              </w:rPr>
              <w:t>分</w:t>
            </w:r>
            <w:r>
              <w:rPr>
                <w:rFonts w:hint="eastAsia" w:cs="仿宋" w:asciiTheme="minorEastAsia" w:hAnsiTheme="minorEastAsia"/>
                <w:szCs w:val="21"/>
              </w:rPr>
              <w:t>；</w:t>
            </w:r>
          </w:p>
          <w:p>
            <w:pPr>
              <w:spacing w:line="240" w:lineRule="exact"/>
              <w:jc w:val="left"/>
              <w:rPr>
                <w:rFonts w:cs="仿宋" w:asciiTheme="minorEastAsia" w:hAnsiTheme="minorEastAsia"/>
                <w:szCs w:val="21"/>
              </w:rPr>
            </w:pPr>
            <w:r>
              <w:rPr>
                <w:rFonts w:hint="eastAsia" w:cs="仿宋" w:asciiTheme="minorEastAsia" w:hAnsiTheme="minorEastAsia"/>
                <w:szCs w:val="21"/>
              </w:rPr>
              <w:t>2、项目总体概述及理解较详细、完全的。得</w:t>
            </w:r>
            <w:r>
              <w:rPr>
                <w:rFonts w:cs="仿宋" w:asciiTheme="minorEastAsia" w:hAnsiTheme="minorEastAsia"/>
                <w:szCs w:val="21"/>
              </w:rPr>
              <w:t>3</w:t>
            </w:r>
            <w:r>
              <w:rPr>
                <w:rFonts w:hint="eastAsia" w:cs="仿宋" w:asciiTheme="minorEastAsia" w:hAnsiTheme="minorEastAsia"/>
                <w:szCs w:val="21"/>
              </w:rPr>
              <w:t>分；</w:t>
            </w:r>
          </w:p>
          <w:p>
            <w:pPr>
              <w:spacing w:line="240" w:lineRule="exact"/>
              <w:jc w:val="left"/>
              <w:rPr>
                <w:rFonts w:cs="仿宋" w:asciiTheme="minorEastAsia" w:hAnsiTheme="minorEastAsia"/>
                <w:szCs w:val="21"/>
              </w:rPr>
            </w:pPr>
            <w:r>
              <w:rPr>
                <w:rFonts w:hint="eastAsia" w:cs="仿宋" w:asciiTheme="minorEastAsia" w:hAnsiTheme="minorEastAsia"/>
                <w:szCs w:val="21"/>
              </w:rPr>
              <w:t>3、项目总体概述及理解一般，得1分。</w:t>
            </w:r>
          </w:p>
          <w:p>
            <w:pPr>
              <w:spacing w:line="240" w:lineRule="exact"/>
              <w:jc w:val="left"/>
              <w:rPr>
                <w:rFonts w:cs="仿宋" w:asciiTheme="minorEastAsia" w:hAnsiTheme="minorEastAsia"/>
                <w:szCs w:val="21"/>
              </w:rPr>
            </w:pPr>
            <w:r>
              <w:rPr>
                <w:rFonts w:cs="仿宋" w:asciiTheme="minorEastAsia" w:hAnsiTheme="minorEastAsia"/>
                <w:szCs w:val="21"/>
              </w:rPr>
              <w:t>4</w:t>
            </w:r>
            <w:r>
              <w:rPr>
                <w:rFonts w:hint="eastAsia" w:cs="仿宋" w:asciiTheme="minorEastAsia" w:hAnsiTheme="minorEastAsia"/>
                <w:szCs w:val="21"/>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r>
              <w:rPr>
                <w:rFonts w:asciiTheme="minorEastAsia" w:hAnsiTheme="minorEastAsia"/>
                <w:szCs w:val="21"/>
              </w:rPr>
              <w:t>2</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服务方案</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根据投标文件响应情况进行横向评分：</w:t>
            </w:r>
          </w:p>
          <w:p>
            <w:pPr>
              <w:numPr>
                <w:ilvl w:val="0"/>
                <w:numId w:val="7"/>
              </w:numPr>
              <w:spacing w:line="240" w:lineRule="exact"/>
              <w:jc w:val="left"/>
              <w:rPr>
                <w:rFonts w:cs="仿宋" w:asciiTheme="minorEastAsia" w:hAnsiTheme="minorEastAsia"/>
                <w:szCs w:val="21"/>
              </w:rPr>
            </w:pPr>
            <w:r>
              <w:rPr>
                <w:rFonts w:hint="eastAsia" w:cs="仿宋" w:asciiTheme="minorEastAsia" w:hAnsiTheme="minorEastAsia"/>
                <w:szCs w:val="21"/>
              </w:rPr>
              <w:t>有基于现场实际情况的详细服务方案及效果图的，得10分；</w:t>
            </w:r>
          </w:p>
          <w:p>
            <w:pPr>
              <w:numPr>
                <w:ilvl w:val="0"/>
                <w:numId w:val="7"/>
              </w:numPr>
              <w:spacing w:line="240" w:lineRule="exact"/>
              <w:jc w:val="left"/>
              <w:rPr>
                <w:rFonts w:cs="仿宋" w:asciiTheme="minorEastAsia" w:hAnsiTheme="minorEastAsia"/>
                <w:szCs w:val="21"/>
              </w:rPr>
            </w:pPr>
            <w:r>
              <w:rPr>
                <w:rFonts w:hint="eastAsia" w:cs="仿宋" w:asciiTheme="minorEastAsia" w:hAnsiTheme="minorEastAsia"/>
                <w:szCs w:val="21"/>
              </w:rPr>
              <w:t>有基于现场实际情况的详细服务方案，得5分；</w:t>
            </w:r>
          </w:p>
          <w:p>
            <w:pPr>
              <w:numPr>
                <w:ilvl w:val="0"/>
                <w:numId w:val="7"/>
              </w:numPr>
              <w:spacing w:line="240" w:lineRule="exact"/>
              <w:jc w:val="left"/>
              <w:rPr>
                <w:rFonts w:cs="仿宋" w:asciiTheme="minorEastAsia" w:hAnsiTheme="minorEastAsia"/>
                <w:szCs w:val="21"/>
              </w:rPr>
            </w:pPr>
            <w:r>
              <w:rPr>
                <w:rFonts w:hint="eastAsia" w:cs="仿宋" w:asciiTheme="minorEastAsia" w:hAnsiTheme="minorEastAsia"/>
                <w:szCs w:val="21"/>
              </w:rPr>
              <w:t>有基于现场实际情况的简略服务方案，得3分；</w:t>
            </w:r>
          </w:p>
          <w:p>
            <w:pPr>
              <w:numPr>
                <w:ilvl w:val="0"/>
                <w:numId w:val="7"/>
              </w:numPr>
              <w:spacing w:line="240" w:lineRule="exact"/>
              <w:jc w:val="left"/>
              <w:rPr>
                <w:rFonts w:cs="仿宋" w:asciiTheme="minorEastAsia" w:hAnsiTheme="minorEastAsia"/>
                <w:szCs w:val="21"/>
              </w:rPr>
            </w:pPr>
            <w:r>
              <w:rPr>
                <w:rFonts w:hint="eastAsia" w:cs="仿宋" w:asciiTheme="minorEastAsia" w:hAnsiTheme="minorEastAsia"/>
                <w:szCs w:val="21"/>
              </w:rPr>
              <w:t>服务方案为一般绿植养护类模板。得1分；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r>
              <w:rPr>
                <w:rFonts w:asciiTheme="minorEastAsia" w:hAnsiTheme="minorEastAsia"/>
                <w:szCs w:val="21"/>
              </w:rPr>
              <w:t>3</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服务保障措施</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根据投标文件响应情况进行横向评分：</w:t>
            </w:r>
          </w:p>
          <w:p>
            <w:pPr>
              <w:numPr>
                <w:ilvl w:val="0"/>
                <w:numId w:val="8"/>
              </w:numPr>
              <w:spacing w:line="240" w:lineRule="exact"/>
              <w:jc w:val="left"/>
              <w:rPr>
                <w:rFonts w:cs="仿宋" w:asciiTheme="minorEastAsia" w:hAnsiTheme="minorEastAsia"/>
                <w:szCs w:val="21"/>
              </w:rPr>
            </w:pPr>
            <w:r>
              <w:rPr>
                <w:rFonts w:hint="eastAsia" w:cs="仿宋" w:asciiTheme="minorEastAsia" w:hAnsiTheme="minorEastAsia"/>
                <w:szCs w:val="21"/>
              </w:rPr>
              <w:t>工作安排细合理，可根据实际情况制定服务时间安排及服务期间的各项注意措施的，绿植移植后相关维护有措施、方案的，得8分；</w:t>
            </w:r>
          </w:p>
          <w:p>
            <w:pPr>
              <w:numPr>
                <w:ilvl w:val="0"/>
                <w:numId w:val="8"/>
              </w:numPr>
              <w:spacing w:line="240" w:lineRule="exact"/>
              <w:jc w:val="left"/>
              <w:rPr>
                <w:rFonts w:cs="仿宋" w:asciiTheme="minorEastAsia" w:hAnsiTheme="minorEastAsia"/>
                <w:szCs w:val="21"/>
              </w:rPr>
            </w:pPr>
            <w:r>
              <w:rPr>
                <w:rFonts w:hint="eastAsia" w:cs="仿宋" w:asciiTheme="minorEastAsia" w:hAnsiTheme="minorEastAsia"/>
                <w:szCs w:val="21"/>
              </w:rPr>
              <w:t>工期安排详细合理，得6分；</w:t>
            </w:r>
          </w:p>
          <w:p>
            <w:pPr>
              <w:numPr>
                <w:ilvl w:val="0"/>
                <w:numId w:val="8"/>
              </w:numPr>
              <w:spacing w:line="240" w:lineRule="exact"/>
              <w:jc w:val="left"/>
              <w:rPr>
                <w:rFonts w:cs="仿宋" w:asciiTheme="minorEastAsia" w:hAnsiTheme="minorEastAsia"/>
                <w:szCs w:val="21"/>
              </w:rPr>
            </w:pPr>
            <w:r>
              <w:rPr>
                <w:rFonts w:hint="eastAsia" w:cs="仿宋" w:asciiTheme="minorEastAsia" w:hAnsiTheme="minorEastAsia"/>
                <w:szCs w:val="21"/>
              </w:rPr>
              <w:t>工期安排一般，得4分；</w:t>
            </w:r>
          </w:p>
          <w:p>
            <w:pPr>
              <w:spacing w:line="240" w:lineRule="exact"/>
              <w:jc w:val="left"/>
              <w:rPr>
                <w:rFonts w:cs="仿宋" w:asciiTheme="minorEastAsia" w:hAnsiTheme="minorEastAsia"/>
                <w:szCs w:val="21"/>
              </w:rPr>
            </w:pPr>
            <w:r>
              <w:rPr>
                <w:rFonts w:hint="eastAsia" w:cs="仿宋" w:asciiTheme="minorEastAsia" w:hAnsiTheme="minorEastAsia"/>
                <w:szCs w:val="21"/>
              </w:rPr>
              <w:t>4、差不得分。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r>
              <w:rPr>
                <w:rFonts w:hint="eastAsia" w:asciiTheme="minorEastAsia" w:hAnsiTheme="minorEastAsia"/>
                <w:szCs w:val="21"/>
              </w:rPr>
              <w:t>4</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养护管理制度与操作规程</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根据投标文件响应情况进行横向比较并排序：</w:t>
            </w:r>
          </w:p>
          <w:p>
            <w:pPr>
              <w:spacing w:line="240" w:lineRule="exact"/>
              <w:jc w:val="left"/>
              <w:rPr>
                <w:rFonts w:cs="仿宋" w:asciiTheme="minorEastAsia" w:hAnsiTheme="minorEastAsia"/>
                <w:szCs w:val="21"/>
              </w:rPr>
            </w:pPr>
            <w:r>
              <w:rPr>
                <w:rFonts w:hint="eastAsia" w:cs="仿宋" w:asciiTheme="minorEastAsia" w:hAnsiTheme="minorEastAsia"/>
                <w:szCs w:val="21"/>
              </w:rPr>
              <w:t>有相关养护管理制度，横向比较后打分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r>
              <w:rPr>
                <w:rFonts w:hint="eastAsia" w:asciiTheme="minorEastAsia" w:hAnsiTheme="minorEastAsia"/>
                <w:szCs w:val="21"/>
              </w:rPr>
              <w:t>5</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突发事件处理、应急预案及措施</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根据投标文件响应情况进行横向评分：</w:t>
            </w:r>
          </w:p>
          <w:p>
            <w:pPr>
              <w:spacing w:line="240" w:lineRule="exact"/>
              <w:jc w:val="left"/>
              <w:rPr>
                <w:rFonts w:cs="仿宋_GB2312" w:asciiTheme="minorEastAsia" w:hAnsiTheme="minorEastAsia"/>
                <w:szCs w:val="21"/>
                <w:u w:val="single"/>
              </w:rPr>
            </w:pPr>
            <w:r>
              <w:rPr>
                <w:rFonts w:hint="eastAsia" w:cs="仿宋_GB2312" w:asciiTheme="minorEastAsia" w:hAnsiTheme="minorEastAsia"/>
                <w:szCs w:val="21"/>
              </w:rPr>
              <w:t>项目重点难点分析、应对措施及相关的合理化建议，并根据需求清单提供详细服务优化及提升方案：</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服务优化及提升方案详细，安排合理，承诺固定人员驻院区负责专项维护，得6分；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服务优化及提升方案较详细，安排合理，得3分；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服务优化及提升方案一般，安排一般，得1分；</w:t>
            </w:r>
          </w:p>
          <w:p>
            <w:pPr>
              <w:spacing w:line="240" w:lineRule="exact"/>
              <w:jc w:val="left"/>
              <w:rPr>
                <w:rFonts w:cs="仿宋" w:asciiTheme="minorEastAsia" w:hAnsiTheme="minorEastAsia"/>
                <w:szCs w:val="21"/>
              </w:rPr>
            </w:pPr>
            <w:r>
              <w:rPr>
                <w:rFonts w:hint="eastAsia" w:cs="仿宋_GB2312" w:asciiTheme="minorEastAsia" w:hAnsiTheme="minorEastAsia"/>
                <w:szCs w:val="21"/>
              </w:rPr>
              <w:t>不提供服务优化及提升方案不得分。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center"/>
          </w:tcPr>
          <w:p>
            <w:pPr>
              <w:spacing w:line="240" w:lineRule="exact"/>
              <w:jc w:val="center"/>
              <w:rPr>
                <w:rFonts w:asciiTheme="minorEastAsia" w:hAnsiTheme="minorEastAsia"/>
                <w:szCs w:val="21"/>
              </w:rPr>
            </w:pPr>
            <w:r>
              <w:rPr>
                <w:rFonts w:hint="eastAsia" w:asciiTheme="minorEastAsia" w:hAnsiTheme="minorEastAsia"/>
                <w:szCs w:val="21"/>
              </w:rPr>
              <w:t>6</w:t>
            </w:r>
          </w:p>
        </w:tc>
        <w:tc>
          <w:tcPr>
            <w:tcW w:w="1170"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项目重点难点分析、应对措施及相关的合理化建议</w:t>
            </w:r>
          </w:p>
        </w:tc>
        <w:tc>
          <w:tcPr>
            <w:tcW w:w="795" w:type="dxa"/>
            <w:vAlign w:val="center"/>
          </w:tcPr>
          <w:p>
            <w:pPr>
              <w:spacing w:line="240" w:lineRule="exact"/>
              <w:jc w:val="center"/>
              <w:rPr>
                <w:rFonts w:cs="仿宋" w:asciiTheme="minorEastAsia" w:hAnsiTheme="minorEastAsia"/>
                <w:szCs w:val="21"/>
              </w:rPr>
            </w:pPr>
            <w:r>
              <w:rPr>
                <w:rFonts w:hint="eastAsia" w:cs="仿宋" w:asciiTheme="minorEastAsia" w:hAnsiTheme="minorEastAsia"/>
                <w:szCs w:val="21"/>
              </w:rPr>
              <w:t>5</w:t>
            </w:r>
          </w:p>
        </w:tc>
        <w:tc>
          <w:tcPr>
            <w:tcW w:w="7290" w:type="dxa"/>
          </w:tcPr>
          <w:p>
            <w:pPr>
              <w:spacing w:line="240" w:lineRule="exact"/>
              <w:jc w:val="left"/>
              <w:rPr>
                <w:rFonts w:cs="仿宋" w:asciiTheme="minorEastAsia" w:hAnsiTheme="minorEastAsia"/>
                <w:szCs w:val="21"/>
              </w:rPr>
            </w:pPr>
            <w:r>
              <w:rPr>
                <w:rFonts w:hint="eastAsia" w:cs="仿宋" w:asciiTheme="minorEastAsia" w:hAnsiTheme="minorEastAsia"/>
                <w:szCs w:val="21"/>
              </w:rPr>
              <w:t>根据投标文件响应情况进行横向评分：</w:t>
            </w:r>
          </w:p>
          <w:p>
            <w:pPr>
              <w:spacing w:line="240" w:lineRule="exact"/>
              <w:jc w:val="left"/>
              <w:rPr>
                <w:rFonts w:cs="仿宋_GB2312" w:asciiTheme="minorEastAsia" w:hAnsiTheme="minorEastAsia"/>
                <w:szCs w:val="21"/>
                <w:u w:val="single"/>
              </w:rPr>
            </w:pPr>
            <w:r>
              <w:rPr>
                <w:rFonts w:hint="eastAsia" w:cs="仿宋_GB2312" w:asciiTheme="minorEastAsia" w:hAnsiTheme="minorEastAsia"/>
                <w:szCs w:val="21"/>
              </w:rPr>
              <w:t>详细说明服务质量（安全、环保、工期、售后服务）保障措施及相关的违约承诺，评标委员会根据情况进行横向比较，分档评分：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服务质量（安全、环保、工期、售后服务）保障措施及相关的违约承诺详细，安排合理，可根据机场场区花箱现有情况提出优化建议的，得5分；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服务质量（安全、环保、工期、售后服务）保障措施及相关的违约承诺较详细，安排合理，得3分；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服务质量（安全、环保、工期、售后服务）保障措施及相关的违约承诺一般，安排一般，得2分；</w:t>
            </w:r>
          </w:p>
          <w:p>
            <w:pPr>
              <w:spacing w:line="240" w:lineRule="exact"/>
              <w:jc w:val="left"/>
              <w:rPr>
                <w:rFonts w:cs="仿宋_GB2312" w:asciiTheme="minorEastAsia" w:hAnsiTheme="minorEastAsia"/>
                <w:szCs w:val="21"/>
              </w:rPr>
            </w:pPr>
            <w:r>
              <w:rPr>
                <w:rFonts w:hint="eastAsia" w:cs="仿宋_GB2312" w:asciiTheme="minorEastAsia" w:hAnsiTheme="minorEastAsia"/>
                <w:szCs w:val="21"/>
              </w:rPr>
              <w:t>服务质量（安全、环保、工期、售后服务）保障措施及相关的违约承诺不详细，安排较差，得1分；</w:t>
            </w:r>
          </w:p>
          <w:p>
            <w:pPr>
              <w:spacing w:line="240" w:lineRule="exact"/>
              <w:jc w:val="left"/>
              <w:rPr>
                <w:rFonts w:cs="仿宋" w:asciiTheme="minorEastAsia" w:hAnsiTheme="minorEastAsia"/>
                <w:szCs w:val="21"/>
              </w:rPr>
            </w:pPr>
            <w:r>
              <w:rPr>
                <w:rFonts w:hint="eastAsia" w:cs="仿宋_GB2312" w:asciiTheme="minorEastAsia" w:hAnsiTheme="minorEastAsia"/>
                <w:szCs w:val="21"/>
              </w:rPr>
              <w:t>不提供</w:t>
            </w:r>
            <w:r>
              <w:rPr>
                <w:rFonts w:hint="eastAsia" w:cs="仿宋_GB2312" w:asciiTheme="minorEastAsia" w:hAnsiTheme="minorEastAsia"/>
                <w:kern w:val="0"/>
                <w:szCs w:val="21"/>
              </w:rPr>
              <w:t>质量（完成时间、安全、环保）保障措施及方案</w:t>
            </w:r>
            <w:r>
              <w:rPr>
                <w:rFonts w:hint="eastAsia" w:cs="仿宋_GB2312" w:asciiTheme="minorEastAsia" w:hAnsiTheme="minorEastAsia"/>
                <w:szCs w:val="21"/>
              </w:rPr>
              <w:t>不得分。</w:t>
            </w:r>
          </w:p>
        </w:tc>
      </w:tr>
      <w:bookmarkEnd w:id="121"/>
      <w:bookmarkEnd w:id="122"/>
      <w:bookmarkEnd w:id="123"/>
    </w:tbl>
    <w:p>
      <w:pPr>
        <w:widowControl/>
        <w:jc w:val="left"/>
        <w:rPr>
          <w:rFonts w:hAnsi="宋体" w:cs="Calibri"/>
          <w:sz w:val="22"/>
        </w:rPr>
      </w:pPr>
      <w:r>
        <w:rPr>
          <w:rFonts w:hAnsi="宋体" w:cs="Calibri"/>
          <w:sz w:val="22"/>
        </w:rPr>
        <w:br w:type="page"/>
      </w: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20"/>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4"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24"/>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5" w:name="_Toc171421958"/>
      <w:r>
        <w:rPr>
          <w:rFonts w:cs="Calibri"/>
          <w:color w:val="000000"/>
        </w:rPr>
        <w:t>封面</w:t>
      </w:r>
      <w:bookmarkEnd w:id="12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9"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jc w:val="center"/>
        <w:rPr>
          <w:rFonts w:cs="Calibri"/>
          <w:sz w:val="24"/>
        </w:rPr>
      </w:pPr>
    </w:p>
    <w:p>
      <w:pPr>
        <w:jc w:val="center"/>
        <w:rPr>
          <w:rFonts w:cs="Calibri"/>
          <w:sz w:val="24"/>
        </w:rPr>
      </w:pPr>
      <w:r>
        <w:rPr>
          <w:rFonts w:hint="eastAsia" w:cs="Calibri"/>
          <w:sz w:val="24"/>
        </w:rPr>
        <w:t>4.1投标</w:t>
      </w:r>
      <w:r>
        <w:rPr>
          <w:rFonts w:cs="Calibri"/>
          <w:sz w:val="24"/>
        </w:rPr>
        <w:t>报价汇总表</w:t>
      </w: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rPr>
          <w:rFonts w:cs="Calibri"/>
          <w:sz w:val="24"/>
        </w:rPr>
        <w:sectPr>
          <w:footerReference r:id="rId7" w:type="even"/>
          <w:pgSz w:w="11906" w:h="16838"/>
          <w:pgMar w:top="1134" w:right="1247" w:bottom="1134" w:left="1247" w:header="851" w:footer="992" w:gutter="0"/>
          <w:pgNumType w:fmt="numberInDash"/>
          <w:cols w:space="720" w:num="1"/>
          <w:docGrid w:linePitch="312" w:charSpace="0"/>
        </w:sectPr>
      </w:pPr>
    </w:p>
    <w:p>
      <w:pPr>
        <w:jc w:val="center"/>
        <w:rPr>
          <w:rFonts w:cs="Calibri"/>
          <w:sz w:val="24"/>
        </w:rPr>
      </w:pPr>
      <w:r>
        <w:rPr>
          <w:rFonts w:hint="eastAsia" w:cs="Calibri"/>
          <w:sz w:val="24"/>
        </w:rPr>
        <w:t>4.</w:t>
      </w:r>
      <w:r>
        <w:rPr>
          <w:rFonts w:cs="Calibri"/>
          <w:sz w:val="24"/>
        </w:rPr>
        <w:t>2</w:t>
      </w:r>
      <w:r>
        <w:rPr>
          <w:rFonts w:hint="eastAsia" w:cs="Calibri"/>
          <w:sz w:val="24"/>
        </w:rPr>
        <w:t>投标</w:t>
      </w:r>
      <w:r>
        <w:rPr>
          <w:rFonts w:cs="Calibri"/>
          <w:sz w:val="24"/>
        </w:rPr>
        <w:t>报价</w:t>
      </w:r>
      <w:r>
        <w:rPr>
          <w:rFonts w:hint="eastAsia" w:cs="Calibri"/>
          <w:sz w:val="24"/>
        </w:rPr>
        <w:t>分项</w:t>
      </w:r>
      <w:r>
        <w:rPr>
          <w:rFonts w:cs="Calibri"/>
          <w:sz w:val="24"/>
        </w:rPr>
        <w:t>表</w:t>
      </w:r>
    </w:p>
    <w:p>
      <w:pPr>
        <w:jc w:val="center"/>
        <w:rPr>
          <w:rFonts w:cs="Calibri"/>
          <w:sz w:val="24"/>
        </w:rPr>
      </w:pPr>
    </w:p>
    <w:p>
      <w:pPr>
        <w:jc w:val="center"/>
        <w:rPr>
          <w:rFonts w:cs="Calibri"/>
          <w:sz w:val="24"/>
        </w:rPr>
      </w:pPr>
      <w:r>
        <w:rPr>
          <w:rFonts w:hint="eastAsia" w:cs="Calibri"/>
          <w:sz w:val="24"/>
        </w:rPr>
        <w:t>第一年报价</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627"/>
        <w:gridCol w:w="840"/>
        <w:gridCol w:w="1174"/>
        <w:gridCol w:w="142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97" w:type="dxa"/>
            <w:vMerge w:val="restart"/>
            <w:shd w:val="clear" w:color="000000" w:fill="FFFFFF"/>
            <w:vAlign w:val="center"/>
          </w:tcPr>
          <w:p>
            <w:pPr>
              <w:jc w:val="center"/>
              <w:rPr>
                <w:rFonts w:cs="Calibri"/>
                <w:szCs w:val="21"/>
              </w:rPr>
            </w:pPr>
            <w:r>
              <w:rPr>
                <w:rFonts w:hint="eastAsia" w:cs="Calibri"/>
                <w:szCs w:val="21"/>
              </w:rPr>
              <w:t>序 号</w:t>
            </w:r>
          </w:p>
        </w:tc>
        <w:tc>
          <w:tcPr>
            <w:tcW w:w="3627" w:type="dxa"/>
            <w:vMerge w:val="restart"/>
            <w:shd w:val="clear" w:color="000000" w:fill="FFFFFF"/>
            <w:vAlign w:val="center"/>
          </w:tcPr>
          <w:p>
            <w:pPr>
              <w:jc w:val="center"/>
              <w:rPr>
                <w:rFonts w:cs="Calibri"/>
                <w:szCs w:val="21"/>
              </w:rPr>
            </w:pPr>
            <w:r>
              <w:rPr>
                <w:rFonts w:hint="eastAsia" w:cs="Calibri"/>
                <w:szCs w:val="21"/>
              </w:rPr>
              <w:t>费用名称及要求（第一年）</w:t>
            </w:r>
          </w:p>
        </w:tc>
        <w:tc>
          <w:tcPr>
            <w:tcW w:w="840" w:type="dxa"/>
            <w:vMerge w:val="restart"/>
            <w:shd w:val="clear" w:color="000000" w:fill="FFFFFF"/>
            <w:vAlign w:val="center"/>
          </w:tcPr>
          <w:p>
            <w:pPr>
              <w:jc w:val="center"/>
              <w:rPr>
                <w:rFonts w:cs="Calibri"/>
                <w:szCs w:val="21"/>
              </w:rPr>
            </w:pPr>
            <w:r>
              <w:rPr>
                <w:rFonts w:hint="eastAsia" w:cs="Calibri"/>
                <w:szCs w:val="21"/>
              </w:rPr>
              <w:t>单位</w:t>
            </w:r>
          </w:p>
        </w:tc>
        <w:tc>
          <w:tcPr>
            <w:tcW w:w="1174" w:type="dxa"/>
            <w:vMerge w:val="restart"/>
            <w:shd w:val="clear" w:color="000000" w:fill="FFFFFF"/>
            <w:vAlign w:val="center"/>
          </w:tcPr>
          <w:p>
            <w:pPr>
              <w:jc w:val="center"/>
              <w:rPr>
                <w:rFonts w:cs="Calibri"/>
                <w:szCs w:val="21"/>
              </w:rPr>
            </w:pPr>
            <w:r>
              <w:rPr>
                <w:rFonts w:hint="eastAsia" w:cs="Calibri"/>
                <w:szCs w:val="21"/>
              </w:rPr>
              <w:t>数量/尺寸</w:t>
            </w:r>
          </w:p>
        </w:tc>
        <w:tc>
          <w:tcPr>
            <w:tcW w:w="1421" w:type="dxa"/>
            <w:shd w:val="clear" w:color="000000" w:fill="FFFFFF"/>
            <w:vAlign w:val="center"/>
          </w:tcPr>
          <w:p>
            <w:pPr>
              <w:jc w:val="center"/>
              <w:rPr>
                <w:rFonts w:cs="Calibri"/>
                <w:szCs w:val="21"/>
              </w:rPr>
            </w:pPr>
            <w:r>
              <w:rPr>
                <w:rFonts w:hint="eastAsia" w:cs="Calibri"/>
                <w:szCs w:val="21"/>
              </w:rPr>
              <w:t>单  价</w:t>
            </w:r>
          </w:p>
        </w:tc>
        <w:tc>
          <w:tcPr>
            <w:tcW w:w="1469" w:type="dxa"/>
            <w:shd w:val="clear" w:color="000000" w:fill="FFFFFF"/>
            <w:vAlign w:val="center"/>
          </w:tcPr>
          <w:p>
            <w:pPr>
              <w:jc w:val="center"/>
              <w:rPr>
                <w:rFonts w:cs="Calibri"/>
                <w:szCs w:val="21"/>
              </w:rPr>
            </w:pPr>
            <w:r>
              <w:rPr>
                <w:rFonts w:hint="eastAsia" w:cs="Calibri"/>
                <w:szCs w:val="21"/>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vMerge w:val="continue"/>
            <w:shd w:val="clear" w:color="auto" w:fill="auto"/>
            <w:vAlign w:val="center"/>
          </w:tcPr>
          <w:p>
            <w:pPr>
              <w:jc w:val="center"/>
              <w:rPr>
                <w:rFonts w:cs="Calibri"/>
                <w:szCs w:val="21"/>
              </w:rPr>
            </w:pPr>
          </w:p>
        </w:tc>
        <w:tc>
          <w:tcPr>
            <w:tcW w:w="3627" w:type="dxa"/>
            <w:vMerge w:val="continue"/>
            <w:shd w:val="clear" w:color="auto" w:fill="auto"/>
            <w:vAlign w:val="center"/>
          </w:tcPr>
          <w:p>
            <w:pPr>
              <w:jc w:val="center"/>
              <w:rPr>
                <w:rFonts w:cs="Calibri"/>
                <w:szCs w:val="21"/>
              </w:rPr>
            </w:pPr>
          </w:p>
        </w:tc>
        <w:tc>
          <w:tcPr>
            <w:tcW w:w="840" w:type="dxa"/>
            <w:vMerge w:val="continue"/>
            <w:shd w:val="clear" w:color="auto" w:fill="auto"/>
            <w:vAlign w:val="center"/>
          </w:tcPr>
          <w:p>
            <w:pPr>
              <w:jc w:val="center"/>
              <w:rPr>
                <w:rFonts w:cs="Calibri"/>
                <w:szCs w:val="21"/>
              </w:rPr>
            </w:pPr>
          </w:p>
        </w:tc>
        <w:tc>
          <w:tcPr>
            <w:tcW w:w="1174" w:type="dxa"/>
            <w:vMerge w:val="continue"/>
            <w:shd w:val="clear" w:color="auto" w:fill="auto"/>
            <w:vAlign w:val="center"/>
          </w:tcPr>
          <w:p>
            <w:pPr>
              <w:jc w:val="center"/>
              <w:rPr>
                <w:rFonts w:cs="Calibri"/>
                <w:szCs w:val="21"/>
              </w:rPr>
            </w:pPr>
          </w:p>
        </w:tc>
        <w:tc>
          <w:tcPr>
            <w:tcW w:w="1421" w:type="dxa"/>
            <w:shd w:val="clear" w:color="000000" w:fill="FFFFFF"/>
            <w:vAlign w:val="center"/>
          </w:tcPr>
          <w:p>
            <w:pPr>
              <w:jc w:val="center"/>
              <w:rPr>
                <w:rFonts w:cs="Calibri"/>
                <w:szCs w:val="21"/>
              </w:rPr>
            </w:pPr>
            <w:r>
              <w:rPr>
                <w:rFonts w:hint="eastAsia" w:cs="Calibri"/>
                <w:szCs w:val="21"/>
              </w:rPr>
              <w:t>单位(元)</w:t>
            </w:r>
          </w:p>
        </w:tc>
        <w:tc>
          <w:tcPr>
            <w:tcW w:w="1469" w:type="dxa"/>
            <w:shd w:val="clear" w:color="000000" w:fill="FFFFFF"/>
            <w:vAlign w:val="center"/>
          </w:tcPr>
          <w:p>
            <w:pPr>
              <w:jc w:val="center"/>
              <w:rPr>
                <w:rFonts w:cs="Calibri"/>
                <w:szCs w:val="21"/>
              </w:rPr>
            </w:pPr>
            <w:r>
              <w:rPr>
                <w:rFonts w:hint="eastAsia" w:cs="Calibri"/>
                <w:szCs w:val="21"/>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1</w:t>
            </w:r>
          </w:p>
        </w:tc>
        <w:tc>
          <w:tcPr>
            <w:tcW w:w="3627" w:type="dxa"/>
            <w:shd w:val="clear" w:color="000000" w:fill="FFFFFF"/>
            <w:vAlign w:val="center"/>
          </w:tcPr>
          <w:p>
            <w:pPr>
              <w:rPr>
                <w:rFonts w:cs="Calibri"/>
                <w:szCs w:val="21"/>
              </w:rPr>
            </w:pPr>
            <w:r>
              <w:rPr>
                <w:rFonts w:hint="eastAsia" w:cs="Calibri"/>
                <w:szCs w:val="21"/>
              </w:rPr>
              <w:t>翔越路、翔飞路等路口</w:t>
            </w:r>
            <w:r>
              <w:rPr>
                <w:rFonts w:cs="Calibri"/>
                <w:szCs w:val="21"/>
              </w:rPr>
              <w:t>石墩花钵（花钵内径尺寸R15cm），暖季种植佛甲草，冷季种植火焰南天竹，要求满种</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38</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2</w:t>
            </w:r>
          </w:p>
        </w:tc>
        <w:tc>
          <w:tcPr>
            <w:tcW w:w="3627" w:type="dxa"/>
            <w:shd w:val="clear" w:color="000000" w:fill="FFFFFF"/>
            <w:vAlign w:val="center"/>
          </w:tcPr>
          <w:p>
            <w:pPr>
              <w:rPr>
                <w:rFonts w:cs="Calibri"/>
                <w:szCs w:val="21"/>
              </w:rPr>
            </w:pPr>
            <w:r>
              <w:rPr>
                <w:rFonts w:hint="eastAsia" w:cs="Calibri"/>
                <w:szCs w:val="21"/>
              </w:rPr>
              <w:t>场区其余151个花箱，时花品种参照招标文件所附参考清单（招标人有权根据市场情况选用清单外品种），时花</w:t>
            </w:r>
            <w:r>
              <w:rPr>
                <w:rFonts w:hint="eastAsia"/>
              </w:rPr>
              <w:t>规格为蓬径P25-30。报价时综合考虑参考清单时花品种，要求报价为平均报价。</w:t>
            </w:r>
          </w:p>
        </w:tc>
        <w:tc>
          <w:tcPr>
            <w:tcW w:w="840" w:type="dxa"/>
            <w:tcBorders>
              <w:bottom w:val="single" w:color="auto" w:sz="4" w:space="0"/>
            </w:tcBorders>
            <w:shd w:val="clear" w:color="000000" w:fill="FFFFFF"/>
            <w:vAlign w:val="center"/>
          </w:tcPr>
          <w:p>
            <w:pPr>
              <w:jc w:val="center"/>
              <w:rPr>
                <w:rFonts w:cs="Calibri"/>
                <w:szCs w:val="21"/>
              </w:rPr>
            </w:pPr>
            <w:r>
              <w:rPr>
                <w:rFonts w:hint="eastAsia"/>
              </w:rPr>
              <w:t>盆</w:t>
            </w:r>
          </w:p>
        </w:tc>
        <w:tc>
          <w:tcPr>
            <w:tcW w:w="1174" w:type="dxa"/>
            <w:tcBorders>
              <w:bottom w:val="single" w:color="auto" w:sz="4" w:space="0"/>
            </w:tcBorders>
            <w:shd w:val="clear" w:color="000000" w:fill="FFFFFF"/>
            <w:vAlign w:val="center"/>
          </w:tcPr>
          <w:p>
            <w:pPr>
              <w:jc w:val="center"/>
              <w:rPr>
                <w:rFonts w:cs="Calibri"/>
                <w:szCs w:val="21"/>
              </w:rPr>
            </w:pPr>
            <w:r>
              <w:rPr>
                <w:rFonts w:hint="eastAsia"/>
              </w:rPr>
              <w:t>11600</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3</w:t>
            </w:r>
          </w:p>
        </w:tc>
        <w:tc>
          <w:tcPr>
            <w:tcW w:w="3627" w:type="dxa"/>
            <w:shd w:val="clear" w:color="000000" w:fill="FFFFFF"/>
            <w:vAlign w:val="center"/>
          </w:tcPr>
          <w:p>
            <w:pPr>
              <w:rPr>
                <w:rFonts w:cs="Calibri"/>
                <w:szCs w:val="21"/>
              </w:rPr>
            </w:pPr>
            <w:r>
              <w:rPr>
                <w:rFonts w:hint="eastAsia" w:cs="Calibri"/>
                <w:szCs w:val="21"/>
              </w:rPr>
              <w:t>机场大巴车站入口</w:t>
            </w:r>
            <w:r>
              <w:rPr>
                <w:rFonts w:hint="eastAsia"/>
              </w:rPr>
              <w:t>灌木球盆栽22个，规格P150-200，H150</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22</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4</w:t>
            </w:r>
          </w:p>
        </w:tc>
        <w:tc>
          <w:tcPr>
            <w:tcW w:w="3627" w:type="dxa"/>
            <w:shd w:val="clear" w:color="000000" w:fill="FFFFFF"/>
            <w:vAlign w:val="center"/>
          </w:tcPr>
          <w:p>
            <w:pPr>
              <w:rPr>
                <w:rFonts w:cs="Calibri"/>
                <w:szCs w:val="21"/>
              </w:rPr>
            </w:pPr>
            <w:r>
              <w:rPr>
                <w:rFonts w:hint="eastAsia" w:cs="Calibri"/>
                <w:szCs w:val="21"/>
              </w:rPr>
              <w:t>花境养护，综合服务楼花境尺寸约为</w:t>
            </w:r>
            <w:r>
              <w:rPr>
                <w:rFonts w:cs="Calibri"/>
                <w:szCs w:val="21"/>
              </w:rPr>
              <w:t>32m*2.9m，养护包括但不限于花器、花卉、绿植养护，养护过程中需依据时令情况对花卉进行调整。花卉一年更换6次；花境造型每年须至少设计更换2次。</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color w:val="000000"/>
                <w:szCs w:val="21"/>
              </w:rPr>
              <w:t>m</w:t>
            </w:r>
            <w:r>
              <w:rPr>
                <w:rFonts w:hint="eastAsia" w:cs="Calibri"/>
                <w:color w:val="000000"/>
                <w:szCs w:val="21"/>
                <w:vertAlign w:val="superscript"/>
              </w:rPr>
              <w:t>2</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约为</w:t>
            </w:r>
            <w:r>
              <w:rPr>
                <w:rFonts w:cs="Calibri"/>
                <w:szCs w:val="21"/>
              </w:rPr>
              <w:t>32m*2.9m</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5</w:t>
            </w:r>
          </w:p>
        </w:tc>
        <w:tc>
          <w:tcPr>
            <w:tcW w:w="3627" w:type="dxa"/>
            <w:shd w:val="clear" w:color="000000" w:fill="FFFFFF"/>
            <w:vAlign w:val="center"/>
          </w:tcPr>
          <w:p>
            <w:r>
              <w:rPr>
                <w:rFonts w:hint="eastAsia"/>
              </w:rPr>
              <w:t>除航站楼门前和翔越路两处的石头材质花箱外，场区其余花箱采购。</w:t>
            </w:r>
          </w:p>
          <w:p>
            <w:pPr>
              <w:rPr>
                <w:rFonts w:cs="Calibri"/>
                <w:szCs w:val="21"/>
              </w:rPr>
            </w:pPr>
            <w:r>
              <w:rPr>
                <w:rFonts w:hint="eastAsia"/>
              </w:rPr>
              <w:t>注</w:t>
            </w:r>
            <w:r>
              <w:t>：</w:t>
            </w:r>
            <w:r>
              <w:rPr>
                <w:rFonts w:hint="eastAsia"/>
              </w:rPr>
              <w:t>材质包括但不限于木质、</w:t>
            </w:r>
            <w:r>
              <w:t>塑料、</w:t>
            </w:r>
            <w:r>
              <w:rPr>
                <w:rFonts w:hint="eastAsia"/>
              </w:rPr>
              <w:t>金属</w:t>
            </w:r>
            <w:r>
              <w:t>、陶瓷</w:t>
            </w:r>
            <w:r>
              <w:rPr>
                <w:rFonts w:hint="eastAsia"/>
              </w:rPr>
              <w:t>等</w:t>
            </w:r>
            <w:r>
              <w:t>，</w:t>
            </w:r>
            <w:r>
              <w:rPr>
                <w:rFonts w:hint="eastAsia"/>
              </w:rPr>
              <w:t>投标时</w:t>
            </w:r>
            <w:r>
              <w:t>请综合</w:t>
            </w:r>
            <w:r>
              <w:rPr>
                <w:rFonts w:hint="eastAsia"/>
              </w:rPr>
              <w:t>考虑</w:t>
            </w:r>
            <w:r>
              <w:t>，单价为</w:t>
            </w:r>
            <w:r>
              <w:rPr>
                <w:rFonts w:hint="eastAsia"/>
              </w:rPr>
              <w:t>平均价</w:t>
            </w:r>
            <w:r>
              <w:t>，</w:t>
            </w:r>
            <w:r>
              <w:rPr>
                <w:rFonts w:hint="eastAsia"/>
              </w:rPr>
              <w:t>具体采购材质以</w:t>
            </w:r>
            <w:r>
              <w:t>招标人要求为准</w:t>
            </w:r>
            <w:r>
              <w:rPr>
                <w:rFonts w:hint="eastAsia"/>
              </w:rPr>
              <w:t>，投标时须提供花箱样式图册</w:t>
            </w:r>
            <w:r>
              <w:t>。</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39</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w:t>
            </w:r>
          </w:p>
        </w:tc>
        <w:tc>
          <w:tcPr>
            <w:tcW w:w="3627" w:type="dxa"/>
            <w:shd w:val="clear" w:color="000000" w:fill="FFFFFF"/>
            <w:vAlign w:val="center"/>
          </w:tcPr>
          <w:p>
            <w:pPr>
              <w:rPr>
                <w:rFonts w:cs="Calibri"/>
                <w:szCs w:val="21"/>
              </w:rPr>
            </w:pPr>
          </w:p>
        </w:tc>
        <w:tc>
          <w:tcPr>
            <w:tcW w:w="840" w:type="dxa"/>
            <w:tcBorders>
              <w:bottom w:val="single" w:color="auto" w:sz="4" w:space="0"/>
            </w:tcBorders>
            <w:shd w:val="clear" w:color="000000" w:fill="FFFFFF"/>
            <w:vAlign w:val="center"/>
          </w:tcPr>
          <w:p>
            <w:pPr>
              <w:jc w:val="center"/>
              <w:rPr>
                <w:rFonts w:cs="Calibri"/>
                <w:szCs w:val="21"/>
              </w:rPr>
            </w:pPr>
          </w:p>
        </w:tc>
        <w:tc>
          <w:tcPr>
            <w:tcW w:w="1174" w:type="dxa"/>
            <w:tcBorders>
              <w:bottom w:val="single" w:color="auto" w:sz="4" w:space="0"/>
            </w:tcBorders>
            <w:shd w:val="clear" w:color="000000" w:fill="FFFFFF"/>
            <w:vAlign w:val="center"/>
          </w:tcPr>
          <w:p>
            <w:pPr>
              <w:jc w:val="center"/>
              <w:rPr>
                <w:rFonts w:cs="Calibri"/>
                <w:szCs w:val="21"/>
              </w:rPr>
            </w:pP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8159" w:type="dxa"/>
            <w:gridSpan w:val="5"/>
            <w:shd w:val="clear" w:color="000000" w:fill="FFFFFF"/>
            <w:vAlign w:val="center"/>
          </w:tcPr>
          <w:p>
            <w:pPr>
              <w:jc w:val="center"/>
              <w:rPr>
                <w:rFonts w:cs="Calibri"/>
                <w:szCs w:val="21"/>
              </w:rPr>
            </w:pPr>
            <w:r>
              <w:rPr>
                <w:rFonts w:hint="eastAsia" w:cs="Calibri"/>
                <w:szCs w:val="21"/>
              </w:rPr>
              <w:t>合计</w:t>
            </w:r>
          </w:p>
        </w:tc>
        <w:tc>
          <w:tcPr>
            <w:tcW w:w="1469" w:type="dxa"/>
            <w:tcBorders>
              <w:bottom w:val="single" w:color="auto" w:sz="4" w:space="0"/>
            </w:tcBorders>
            <w:shd w:val="clear" w:color="000000" w:fill="FFFFFF"/>
            <w:vAlign w:val="center"/>
          </w:tcPr>
          <w:p>
            <w:pPr>
              <w:jc w:val="center"/>
              <w:rPr>
                <w:rFonts w:cs="Calibri"/>
                <w:szCs w:val="21"/>
              </w:rPr>
            </w:pPr>
          </w:p>
        </w:tc>
      </w:tr>
    </w:tbl>
    <w:p>
      <w:pPr>
        <w:jc w:val="center"/>
        <w:rPr>
          <w:rFonts w:cs="Calibri"/>
          <w:sz w:val="24"/>
        </w:rPr>
      </w:pPr>
    </w:p>
    <w:p>
      <w:pPr>
        <w:jc w:val="center"/>
        <w:rPr>
          <w:rFonts w:cs="Calibri"/>
          <w:sz w:val="24"/>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p>
    <w:p>
      <w:pPr>
        <w:jc w:val="center"/>
        <w:rPr>
          <w:rFonts w:cs="Calibri"/>
          <w:sz w:val="24"/>
        </w:rPr>
      </w:pPr>
      <w:r>
        <w:rPr>
          <w:rFonts w:hint="eastAsia" w:cs="Calibri"/>
          <w:sz w:val="24"/>
        </w:rPr>
        <w:t>第二年报价</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627"/>
        <w:gridCol w:w="840"/>
        <w:gridCol w:w="1174"/>
        <w:gridCol w:w="142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97" w:type="dxa"/>
            <w:vMerge w:val="restart"/>
            <w:shd w:val="clear" w:color="000000" w:fill="FFFFFF"/>
            <w:vAlign w:val="center"/>
          </w:tcPr>
          <w:p>
            <w:pPr>
              <w:jc w:val="center"/>
              <w:rPr>
                <w:rFonts w:cs="Calibri"/>
                <w:szCs w:val="21"/>
              </w:rPr>
            </w:pPr>
            <w:r>
              <w:rPr>
                <w:rFonts w:hint="eastAsia" w:cs="Calibri"/>
                <w:szCs w:val="21"/>
              </w:rPr>
              <w:t>序 号</w:t>
            </w:r>
          </w:p>
        </w:tc>
        <w:tc>
          <w:tcPr>
            <w:tcW w:w="3627" w:type="dxa"/>
            <w:vMerge w:val="restart"/>
            <w:shd w:val="clear" w:color="000000" w:fill="FFFFFF"/>
            <w:vAlign w:val="center"/>
          </w:tcPr>
          <w:p>
            <w:pPr>
              <w:jc w:val="center"/>
              <w:rPr>
                <w:rFonts w:cs="Calibri"/>
                <w:szCs w:val="21"/>
              </w:rPr>
            </w:pPr>
            <w:r>
              <w:rPr>
                <w:rFonts w:hint="eastAsia" w:cs="Calibri"/>
                <w:szCs w:val="21"/>
              </w:rPr>
              <w:t>费用名称及要求（第一年）</w:t>
            </w:r>
          </w:p>
        </w:tc>
        <w:tc>
          <w:tcPr>
            <w:tcW w:w="840" w:type="dxa"/>
            <w:vMerge w:val="restart"/>
            <w:shd w:val="clear" w:color="000000" w:fill="FFFFFF"/>
            <w:vAlign w:val="center"/>
          </w:tcPr>
          <w:p>
            <w:pPr>
              <w:jc w:val="center"/>
              <w:rPr>
                <w:rFonts w:cs="Calibri"/>
                <w:szCs w:val="21"/>
              </w:rPr>
            </w:pPr>
            <w:r>
              <w:rPr>
                <w:rFonts w:hint="eastAsia" w:cs="Calibri"/>
                <w:szCs w:val="21"/>
              </w:rPr>
              <w:t>单位</w:t>
            </w:r>
          </w:p>
        </w:tc>
        <w:tc>
          <w:tcPr>
            <w:tcW w:w="1174" w:type="dxa"/>
            <w:vMerge w:val="restart"/>
            <w:shd w:val="clear" w:color="000000" w:fill="FFFFFF"/>
            <w:vAlign w:val="center"/>
          </w:tcPr>
          <w:p>
            <w:pPr>
              <w:jc w:val="center"/>
              <w:rPr>
                <w:rFonts w:cs="Calibri"/>
                <w:szCs w:val="21"/>
              </w:rPr>
            </w:pPr>
            <w:r>
              <w:rPr>
                <w:rFonts w:hint="eastAsia" w:cs="Calibri"/>
                <w:szCs w:val="21"/>
              </w:rPr>
              <w:t>数量/尺寸</w:t>
            </w:r>
          </w:p>
        </w:tc>
        <w:tc>
          <w:tcPr>
            <w:tcW w:w="1421" w:type="dxa"/>
            <w:shd w:val="clear" w:color="000000" w:fill="FFFFFF"/>
            <w:vAlign w:val="center"/>
          </w:tcPr>
          <w:p>
            <w:pPr>
              <w:jc w:val="center"/>
              <w:rPr>
                <w:rFonts w:cs="Calibri"/>
                <w:szCs w:val="21"/>
              </w:rPr>
            </w:pPr>
            <w:r>
              <w:rPr>
                <w:rFonts w:hint="eastAsia" w:cs="Calibri"/>
                <w:szCs w:val="21"/>
              </w:rPr>
              <w:t>单  价</w:t>
            </w:r>
          </w:p>
        </w:tc>
        <w:tc>
          <w:tcPr>
            <w:tcW w:w="1469" w:type="dxa"/>
            <w:shd w:val="clear" w:color="000000" w:fill="FFFFFF"/>
            <w:vAlign w:val="center"/>
          </w:tcPr>
          <w:p>
            <w:pPr>
              <w:jc w:val="center"/>
              <w:rPr>
                <w:rFonts w:cs="Calibri"/>
                <w:szCs w:val="21"/>
              </w:rPr>
            </w:pPr>
            <w:r>
              <w:rPr>
                <w:rFonts w:hint="eastAsia" w:cs="Calibri"/>
                <w:szCs w:val="21"/>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vMerge w:val="continue"/>
            <w:shd w:val="clear" w:color="auto" w:fill="auto"/>
            <w:vAlign w:val="center"/>
          </w:tcPr>
          <w:p>
            <w:pPr>
              <w:jc w:val="center"/>
              <w:rPr>
                <w:rFonts w:cs="Calibri"/>
                <w:szCs w:val="21"/>
              </w:rPr>
            </w:pPr>
          </w:p>
        </w:tc>
        <w:tc>
          <w:tcPr>
            <w:tcW w:w="3627" w:type="dxa"/>
            <w:vMerge w:val="continue"/>
            <w:shd w:val="clear" w:color="auto" w:fill="auto"/>
            <w:vAlign w:val="center"/>
          </w:tcPr>
          <w:p>
            <w:pPr>
              <w:jc w:val="center"/>
              <w:rPr>
                <w:rFonts w:cs="Calibri"/>
                <w:szCs w:val="21"/>
              </w:rPr>
            </w:pPr>
          </w:p>
        </w:tc>
        <w:tc>
          <w:tcPr>
            <w:tcW w:w="840" w:type="dxa"/>
            <w:vMerge w:val="continue"/>
            <w:shd w:val="clear" w:color="auto" w:fill="auto"/>
            <w:vAlign w:val="center"/>
          </w:tcPr>
          <w:p>
            <w:pPr>
              <w:jc w:val="center"/>
              <w:rPr>
                <w:rFonts w:cs="Calibri"/>
                <w:szCs w:val="21"/>
              </w:rPr>
            </w:pPr>
          </w:p>
        </w:tc>
        <w:tc>
          <w:tcPr>
            <w:tcW w:w="1174" w:type="dxa"/>
            <w:vMerge w:val="continue"/>
            <w:shd w:val="clear" w:color="auto" w:fill="auto"/>
            <w:vAlign w:val="center"/>
          </w:tcPr>
          <w:p>
            <w:pPr>
              <w:jc w:val="center"/>
              <w:rPr>
                <w:rFonts w:cs="Calibri"/>
                <w:szCs w:val="21"/>
              </w:rPr>
            </w:pPr>
          </w:p>
        </w:tc>
        <w:tc>
          <w:tcPr>
            <w:tcW w:w="1421" w:type="dxa"/>
            <w:shd w:val="clear" w:color="000000" w:fill="FFFFFF"/>
            <w:vAlign w:val="center"/>
          </w:tcPr>
          <w:p>
            <w:pPr>
              <w:jc w:val="center"/>
              <w:rPr>
                <w:rFonts w:cs="Calibri"/>
                <w:szCs w:val="21"/>
              </w:rPr>
            </w:pPr>
            <w:r>
              <w:rPr>
                <w:rFonts w:hint="eastAsia" w:cs="Calibri"/>
                <w:szCs w:val="21"/>
              </w:rPr>
              <w:t>单位(元)</w:t>
            </w:r>
          </w:p>
        </w:tc>
        <w:tc>
          <w:tcPr>
            <w:tcW w:w="1469" w:type="dxa"/>
            <w:shd w:val="clear" w:color="000000" w:fill="FFFFFF"/>
            <w:vAlign w:val="center"/>
          </w:tcPr>
          <w:p>
            <w:pPr>
              <w:jc w:val="center"/>
              <w:rPr>
                <w:rFonts w:cs="Calibri"/>
                <w:szCs w:val="21"/>
              </w:rPr>
            </w:pPr>
            <w:r>
              <w:rPr>
                <w:rFonts w:hint="eastAsia" w:cs="Calibri"/>
                <w:szCs w:val="21"/>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1</w:t>
            </w:r>
          </w:p>
        </w:tc>
        <w:tc>
          <w:tcPr>
            <w:tcW w:w="3627" w:type="dxa"/>
            <w:shd w:val="clear" w:color="000000" w:fill="FFFFFF"/>
            <w:vAlign w:val="center"/>
          </w:tcPr>
          <w:p>
            <w:pPr>
              <w:rPr>
                <w:rFonts w:cs="Calibri"/>
                <w:szCs w:val="21"/>
              </w:rPr>
            </w:pPr>
            <w:r>
              <w:rPr>
                <w:rFonts w:hint="eastAsia" w:cs="Calibri"/>
                <w:szCs w:val="21"/>
              </w:rPr>
              <w:t>翔越路、翔飞路等路口</w:t>
            </w:r>
            <w:r>
              <w:rPr>
                <w:rFonts w:cs="Calibri"/>
                <w:szCs w:val="21"/>
              </w:rPr>
              <w:t>石墩花钵（花钵内径尺寸R15cm），暖季种植佛甲草，冷季种植火焰南天竹，要求满种</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38</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2</w:t>
            </w:r>
          </w:p>
        </w:tc>
        <w:tc>
          <w:tcPr>
            <w:tcW w:w="3627" w:type="dxa"/>
            <w:shd w:val="clear" w:color="000000" w:fill="FFFFFF"/>
            <w:vAlign w:val="center"/>
          </w:tcPr>
          <w:p>
            <w:pPr>
              <w:rPr>
                <w:rFonts w:cs="Calibri"/>
                <w:szCs w:val="21"/>
              </w:rPr>
            </w:pPr>
            <w:r>
              <w:rPr>
                <w:rFonts w:hint="eastAsia" w:cs="Calibri"/>
                <w:szCs w:val="21"/>
              </w:rPr>
              <w:t>场区其余151个花箱，时花品种参照招标文件所附参考清单（招标人有权根据市场情况选用清单外品种），时花</w:t>
            </w:r>
            <w:r>
              <w:rPr>
                <w:rFonts w:hint="eastAsia"/>
              </w:rPr>
              <w:t>规格为蓬径P25-30。报价时综合考虑参考清单时花品种，要求报价为平均报价。</w:t>
            </w:r>
          </w:p>
        </w:tc>
        <w:tc>
          <w:tcPr>
            <w:tcW w:w="840" w:type="dxa"/>
            <w:tcBorders>
              <w:bottom w:val="single" w:color="auto" w:sz="4" w:space="0"/>
            </w:tcBorders>
            <w:shd w:val="clear" w:color="000000" w:fill="FFFFFF"/>
            <w:vAlign w:val="center"/>
          </w:tcPr>
          <w:p>
            <w:pPr>
              <w:jc w:val="center"/>
              <w:rPr>
                <w:rFonts w:cs="Calibri"/>
                <w:szCs w:val="21"/>
              </w:rPr>
            </w:pPr>
            <w:r>
              <w:rPr>
                <w:rFonts w:hint="eastAsia"/>
              </w:rPr>
              <w:t>盆</w:t>
            </w:r>
          </w:p>
        </w:tc>
        <w:tc>
          <w:tcPr>
            <w:tcW w:w="1174" w:type="dxa"/>
            <w:tcBorders>
              <w:bottom w:val="single" w:color="auto" w:sz="4" w:space="0"/>
            </w:tcBorders>
            <w:shd w:val="clear" w:color="000000" w:fill="FFFFFF"/>
            <w:vAlign w:val="center"/>
          </w:tcPr>
          <w:p>
            <w:pPr>
              <w:jc w:val="center"/>
              <w:rPr>
                <w:rFonts w:cs="Calibri"/>
                <w:szCs w:val="21"/>
              </w:rPr>
            </w:pPr>
            <w:r>
              <w:rPr>
                <w:rFonts w:hint="eastAsia"/>
              </w:rPr>
              <w:t>13200</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3</w:t>
            </w:r>
          </w:p>
        </w:tc>
        <w:tc>
          <w:tcPr>
            <w:tcW w:w="3627" w:type="dxa"/>
            <w:shd w:val="clear" w:color="000000" w:fill="FFFFFF"/>
            <w:vAlign w:val="center"/>
          </w:tcPr>
          <w:p>
            <w:pPr>
              <w:rPr>
                <w:rFonts w:cs="Calibri"/>
                <w:szCs w:val="21"/>
              </w:rPr>
            </w:pPr>
            <w:r>
              <w:rPr>
                <w:rFonts w:hint="eastAsia" w:cs="Calibri"/>
                <w:szCs w:val="21"/>
              </w:rPr>
              <w:t>机场大巴车站入口</w:t>
            </w:r>
            <w:r>
              <w:rPr>
                <w:rFonts w:hint="eastAsia"/>
              </w:rPr>
              <w:t>灌木球盆栽22个，规格P150-200，H150</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22</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4</w:t>
            </w:r>
          </w:p>
        </w:tc>
        <w:tc>
          <w:tcPr>
            <w:tcW w:w="3627" w:type="dxa"/>
            <w:shd w:val="clear" w:color="000000" w:fill="FFFFFF"/>
            <w:vAlign w:val="center"/>
          </w:tcPr>
          <w:p>
            <w:pPr>
              <w:rPr>
                <w:rFonts w:cs="Calibri"/>
                <w:szCs w:val="21"/>
              </w:rPr>
            </w:pPr>
            <w:r>
              <w:rPr>
                <w:rFonts w:hint="eastAsia" w:cs="Calibri"/>
                <w:szCs w:val="21"/>
              </w:rPr>
              <w:t>花境养护，综合服务楼花境尺寸约为</w:t>
            </w:r>
            <w:r>
              <w:rPr>
                <w:rFonts w:cs="Calibri"/>
                <w:szCs w:val="21"/>
              </w:rPr>
              <w:t>32m*2.9m，养护包括但不限于花器、花卉、绿植养护，养护过程中需依据时令情况对花卉进行调整。花卉一年更换6次；花境造型每年须至少设计更换2次。</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color w:val="000000"/>
                <w:szCs w:val="21"/>
              </w:rPr>
              <w:t>m</w:t>
            </w:r>
            <w:r>
              <w:rPr>
                <w:rFonts w:hint="eastAsia" w:cs="Calibri"/>
                <w:color w:val="000000"/>
                <w:szCs w:val="21"/>
                <w:vertAlign w:val="superscript"/>
              </w:rPr>
              <w:t>2</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约为</w:t>
            </w:r>
            <w:r>
              <w:rPr>
                <w:rFonts w:cs="Calibri"/>
                <w:szCs w:val="21"/>
              </w:rPr>
              <w:t>32m*2.9m</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5</w:t>
            </w:r>
          </w:p>
        </w:tc>
        <w:tc>
          <w:tcPr>
            <w:tcW w:w="3627" w:type="dxa"/>
            <w:shd w:val="clear" w:color="000000" w:fill="FFFFFF"/>
            <w:vAlign w:val="center"/>
          </w:tcPr>
          <w:p>
            <w:r>
              <w:rPr>
                <w:rFonts w:hint="eastAsia"/>
              </w:rPr>
              <w:t>除航站楼门前和翔越路两处的石头材质花箱外，场区其余花箱采购。</w:t>
            </w:r>
          </w:p>
          <w:p>
            <w:pPr>
              <w:rPr>
                <w:rFonts w:cs="Calibri"/>
                <w:szCs w:val="21"/>
              </w:rPr>
            </w:pPr>
            <w:r>
              <w:rPr>
                <w:rFonts w:hint="eastAsia"/>
              </w:rPr>
              <w:t>注</w:t>
            </w:r>
            <w:r>
              <w:t>：</w:t>
            </w:r>
            <w:r>
              <w:rPr>
                <w:rFonts w:hint="eastAsia"/>
              </w:rPr>
              <w:t>材质包括但不限于木质、</w:t>
            </w:r>
            <w:r>
              <w:t>塑料、</w:t>
            </w:r>
            <w:r>
              <w:rPr>
                <w:rFonts w:hint="eastAsia"/>
              </w:rPr>
              <w:t>金属</w:t>
            </w:r>
            <w:r>
              <w:t>、陶瓷</w:t>
            </w:r>
            <w:r>
              <w:rPr>
                <w:rFonts w:hint="eastAsia"/>
              </w:rPr>
              <w:t>等</w:t>
            </w:r>
            <w:r>
              <w:t>，</w:t>
            </w:r>
            <w:r>
              <w:rPr>
                <w:rFonts w:hint="eastAsia"/>
              </w:rPr>
              <w:t>投标时</w:t>
            </w:r>
            <w:r>
              <w:t>请综合</w:t>
            </w:r>
            <w:r>
              <w:rPr>
                <w:rFonts w:hint="eastAsia"/>
              </w:rPr>
              <w:t>考虑</w:t>
            </w:r>
            <w:r>
              <w:t>，单价为</w:t>
            </w:r>
            <w:r>
              <w:rPr>
                <w:rFonts w:hint="eastAsia"/>
              </w:rPr>
              <w:t>平均价</w:t>
            </w:r>
            <w:r>
              <w:t>，</w:t>
            </w:r>
            <w:r>
              <w:rPr>
                <w:rFonts w:hint="eastAsia"/>
              </w:rPr>
              <w:t>具体采购材质以</w:t>
            </w:r>
            <w:r>
              <w:t>招标人要求为准</w:t>
            </w:r>
            <w:r>
              <w:rPr>
                <w:rFonts w:hint="eastAsia"/>
              </w:rPr>
              <w:t>，投标时须提供花箱样式图册</w:t>
            </w:r>
            <w:r>
              <w:t>。</w:t>
            </w:r>
          </w:p>
        </w:tc>
        <w:tc>
          <w:tcPr>
            <w:tcW w:w="840" w:type="dxa"/>
            <w:tcBorders>
              <w:bottom w:val="single" w:color="auto" w:sz="4" w:space="0"/>
            </w:tcBorders>
            <w:shd w:val="clear" w:color="000000" w:fill="FFFFFF"/>
            <w:vAlign w:val="center"/>
          </w:tcPr>
          <w:p>
            <w:pPr>
              <w:jc w:val="center"/>
              <w:rPr>
                <w:rFonts w:cs="Calibri"/>
                <w:szCs w:val="21"/>
              </w:rPr>
            </w:pPr>
            <w:r>
              <w:rPr>
                <w:rFonts w:hint="eastAsia" w:cs="Calibri"/>
                <w:szCs w:val="21"/>
              </w:rPr>
              <w:t>个</w:t>
            </w:r>
          </w:p>
        </w:tc>
        <w:tc>
          <w:tcPr>
            <w:tcW w:w="1174" w:type="dxa"/>
            <w:tcBorders>
              <w:bottom w:val="single" w:color="auto" w:sz="4" w:space="0"/>
            </w:tcBorders>
            <w:shd w:val="clear" w:color="000000" w:fill="FFFFFF"/>
            <w:vAlign w:val="center"/>
          </w:tcPr>
          <w:p>
            <w:pPr>
              <w:jc w:val="center"/>
              <w:rPr>
                <w:rFonts w:cs="Calibri"/>
                <w:szCs w:val="21"/>
              </w:rPr>
            </w:pPr>
            <w:r>
              <w:rPr>
                <w:rFonts w:hint="eastAsia" w:cs="Calibri"/>
                <w:szCs w:val="21"/>
              </w:rPr>
              <w:t>39</w:t>
            </w: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97" w:type="dxa"/>
            <w:shd w:val="clear" w:color="000000" w:fill="FFFFFF"/>
            <w:vAlign w:val="center"/>
          </w:tcPr>
          <w:p>
            <w:pPr>
              <w:jc w:val="center"/>
              <w:rPr>
                <w:rFonts w:cs="Calibri"/>
                <w:szCs w:val="21"/>
              </w:rPr>
            </w:pPr>
            <w:r>
              <w:rPr>
                <w:rFonts w:hint="eastAsia" w:cs="Calibri"/>
                <w:szCs w:val="21"/>
              </w:rPr>
              <w:t>…</w:t>
            </w:r>
          </w:p>
        </w:tc>
        <w:tc>
          <w:tcPr>
            <w:tcW w:w="3627" w:type="dxa"/>
            <w:shd w:val="clear" w:color="000000" w:fill="FFFFFF"/>
            <w:vAlign w:val="center"/>
          </w:tcPr>
          <w:p>
            <w:pPr>
              <w:rPr>
                <w:rFonts w:cs="Calibri"/>
                <w:szCs w:val="21"/>
              </w:rPr>
            </w:pPr>
          </w:p>
        </w:tc>
        <w:tc>
          <w:tcPr>
            <w:tcW w:w="840" w:type="dxa"/>
            <w:tcBorders>
              <w:bottom w:val="single" w:color="auto" w:sz="4" w:space="0"/>
            </w:tcBorders>
            <w:shd w:val="clear" w:color="000000" w:fill="FFFFFF"/>
            <w:vAlign w:val="center"/>
          </w:tcPr>
          <w:p>
            <w:pPr>
              <w:jc w:val="center"/>
              <w:rPr>
                <w:rFonts w:cs="Calibri"/>
                <w:szCs w:val="21"/>
              </w:rPr>
            </w:pPr>
          </w:p>
        </w:tc>
        <w:tc>
          <w:tcPr>
            <w:tcW w:w="1174" w:type="dxa"/>
            <w:tcBorders>
              <w:bottom w:val="single" w:color="auto" w:sz="4" w:space="0"/>
            </w:tcBorders>
            <w:shd w:val="clear" w:color="000000" w:fill="FFFFFF"/>
            <w:vAlign w:val="center"/>
          </w:tcPr>
          <w:p>
            <w:pPr>
              <w:jc w:val="center"/>
              <w:rPr>
                <w:rFonts w:cs="Calibri"/>
                <w:szCs w:val="21"/>
              </w:rPr>
            </w:pPr>
          </w:p>
        </w:tc>
        <w:tc>
          <w:tcPr>
            <w:tcW w:w="1421" w:type="dxa"/>
            <w:shd w:val="clear" w:color="000000" w:fill="FFFFFF"/>
            <w:vAlign w:val="center"/>
          </w:tcPr>
          <w:p>
            <w:pPr>
              <w:jc w:val="center"/>
              <w:rPr>
                <w:rFonts w:cs="Calibri"/>
                <w:szCs w:val="21"/>
              </w:rPr>
            </w:pPr>
          </w:p>
        </w:tc>
        <w:tc>
          <w:tcPr>
            <w:tcW w:w="1469" w:type="dxa"/>
            <w:tcBorders>
              <w:bottom w:val="single" w:color="auto" w:sz="4" w:space="0"/>
            </w:tcBorders>
            <w:shd w:val="clear" w:color="000000" w:fill="FFFFFF"/>
            <w:vAlign w:val="center"/>
          </w:tcPr>
          <w:p>
            <w:pPr>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8159" w:type="dxa"/>
            <w:gridSpan w:val="5"/>
            <w:shd w:val="clear" w:color="000000" w:fill="FFFFFF"/>
            <w:vAlign w:val="center"/>
          </w:tcPr>
          <w:p>
            <w:pPr>
              <w:jc w:val="center"/>
              <w:rPr>
                <w:rFonts w:cs="Calibri"/>
                <w:szCs w:val="21"/>
              </w:rPr>
            </w:pPr>
            <w:r>
              <w:rPr>
                <w:rFonts w:hint="eastAsia" w:cs="Calibri"/>
                <w:szCs w:val="21"/>
              </w:rPr>
              <w:t>合计</w:t>
            </w:r>
          </w:p>
        </w:tc>
        <w:tc>
          <w:tcPr>
            <w:tcW w:w="1469" w:type="dxa"/>
            <w:tcBorders>
              <w:bottom w:val="single" w:color="auto" w:sz="4" w:space="0"/>
            </w:tcBorders>
            <w:shd w:val="clear" w:color="000000" w:fill="FFFFFF"/>
            <w:vAlign w:val="center"/>
          </w:tcPr>
          <w:p>
            <w:pPr>
              <w:jc w:val="center"/>
              <w:rPr>
                <w:rFonts w:cs="Calibri"/>
                <w:szCs w:val="21"/>
              </w:rPr>
            </w:pPr>
          </w:p>
        </w:tc>
      </w:tr>
    </w:tbl>
    <w:p>
      <w:pPr>
        <w:jc w:val="center"/>
        <w:rPr>
          <w:rFonts w:cs="Calibri"/>
          <w:sz w:val="24"/>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bookmarkEnd w:id="3"/>
    <w:bookmarkEnd w:id="4"/>
    <w:p>
      <w:pPr>
        <w:spacing w:line="440" w:lineRule="exact"/>
        <w:jc w:val="center"/>
        <w:rPr>
          <w:rFonts w:eastAsia="黑体" w:cs="Calibri"/>
          <w:color w:val="000000"/>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宋体-PUA">
    <w:altName w:val="宋体"/>
    <w:panose1 w:val="02010600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65 -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杭州萧山国际机场场区花箱养护业务外包</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C6BC3"/>
    <w:multiLevelType w:val="singleLevel"/>
    <w:tmpl w:val="9EBC6BC3"/>
    <w:lvl w:ilvl="0" w:tentative="0">
      <w:start w:val="1"/>
      <w:numFmt w:val="decimal"/>
      <w:suff w:val="nothing"/>
      <w:lvlText w:val="%1、"/>
      <w:lvlJc w:val="left"/>
    </w:lvl>
  </w:abstractNum>
  <w:abstractNum w:abstractNumId="1">
    <w:nsid w:val="E8D28555"/>
    <w:multiLevelType w:val="singleLevel"/>
    <w:tmpl w:val="E8D28555"/>
    <w:lvl w:ilvl="0" w:tentative="0">
      <w:start w:val="1"/>
      <w:numFmt w:val="decimal"/>
      <w:suff w:val="nothing"/>
      <w:lvlText w:val="%1、"/>
      <w:lvlJc w:val="left"/>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2F9CFB23"/>
    <w:multiLevelType w:val="singleLevel"/>
    <w:tmpl w:val="2F9CFB23"/>
    <w:lvl w:ilvl="0" w:tentative="0">
      <w:start w:val="1"/>
      <w:numFmt w:val="decimal"/>
      <w:suff w:val="nothing"/>
      <w:lvlText w:val="%1、"/>
      <w:lvlJc w:val="left"/>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DB143DA"/>
    <w:multiLevelType w:val="singleLevel"/>
    <w:tmpl w:val="5DB143DA"/>
    <w:lvl w:ilvl="0" w:tentative="0">
      <w:start w:val="2"/>
      <w:numFmt w:val="chineseCounting"/>
      <w:suff w:val="nothing"/>
      <w:lvlText w:val="%1、"/>
      <w:lvlJc w:val="left"/>
    </w:lvl>
  </w:abstractNum>
  <w:abstractNum w:abstractNumId="6">
    <w:nsid w:val="5DD4F08A"/>
    <w:multiLevelType w:val="singleLevel"/>
    <w:tmpl w:val="5DD4F08A"/>
    <w:lvl w:ilvl="0" w:tentative="0">
      <w:start w:val="3"/>
      <w:numFmt w:val="decimal"/>
      <w:suff w:val="nothing"/>
      <w:lvlText w:val="%1、"/>
      <w:lvlJc w:val="left"/>
      <w:pPr>
        <w:ind w:left="0" w:firstLine="0"/>
      </w:pPr>
    </w:lvl>
  </w:abstractNum>
  <w:abstractNum w:abstractNumId="7">
    <w:nsid w:val="5DD62FCC"/>
    <w:multiLevelType w:val="singleLevel"/>
    <w:tmpl w:val="5DD62FCC"/>
    <w:lvl w:ilvl="0" w:tentative="0">
      <w:start w:val="4"/>
      <w:numFmt w:val="decimal"/>
      <w:suff w:val="nothing"/>
      <w:lvlText w:val="%1."/>
      <w:lvlJc w:val="left"/>
    </w:lvl>
  </w:abstractNum>
  <w:num w:numId="1">
    <w:abstractNumId w:val="5"/>
  </w:num>
  <w:num w:numId="2">
    <w:abstractNumId w:val="6"/>
    <w:lvlOverride w:ilvl="0">
      <w:startOverride w:val="3"/>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D67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99" w:name="annotation text"/>
    <w:lsdException w:qFormat="1" w:uiPriority="99" w:name="header"/>
    <w:lsdException w:qFormat="1" w:uiPriority="99" w:name="footer"/>
    <w:lsdException w:uiPriority="99"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uiPriority="99" w:name="List Bullet"/>
    <w:lsdException w:uiPriority="99" w:name="List Number"/>
    <w:lsdException w:qFormat="1" w:uiPriority="0" w:name="List 2"/>
    <w:lsdException w:qFormat="1" w:uiPriority="0" w:name="List 3"/>
    <w:lsdException w:qFormat="1"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uiPriority="99" w:name="Body Text 3"/>
    <w:lsdException w:qFormat="1" w:uiPriority="0" w:name="Body Text Indent 2"/>
    <w:lsdException w:qFormat="1" w:uiPriority="0" w:name="Body Text Indent 3"/>
    <w:lsdException w:uiPriority="99" w:name="Block Text"/>
    <w:lsdException w:qFormat="1" w:uiPriority="99" w:name="Hyperlink"/>
    <w:lsdException w:qFormat="1"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8"/>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79"/>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80"/>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81"/>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1"/>
    <w:unhideWhenUsed/>
    <w:qFormat/>
    <w:uiPriority w:val="0"/>
    <w:rPr>
      <w:rFonts w:ascii="Times New Roman" w:hAnsi="Times New Roman" w:eastAsia="宋体" w:cs="Times New Roman"/>
      <w:b/>
      <w:bCs/>
      <w:kern w:val="0"/>
      <w:sz w:val="20"/>
      <w:szCs w:val="24"/>
    </w:rPr>
  </w:style>
  <w:style w:type="paragraph" w:styleId="9">
    <w:name w:val="annotation text"/>
    <w:basedOn w:val="1"/>
    <w:link w:val="60"/>
    <w:unhideWhenUsed/>
    <w:qFormat/>
    <w:uiPriority w:val="99"/>
    <w:pPr>
      <w:jc w:val="left"/>
    </w:p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116"/>
    <w:unhideWhenUsed/>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2"/>
    <w:unhideWhenUsed/>
    <w:qFormat/>
    <w:uiPriority w:val="0"/>
    <w:pPr>
      <w:spacing w:after="120"/>
    </w:pPr>
  </w:style>
  <w:style w:type="paragraph" w:styleId="13">
    <w:name w:val="Normal Indent"/>
    <w:basedOn w:val="1"/>
    <w:link w:val="137"/>
    <w:unhideWhenUsed/>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87"/>
    <w:unhideWhenUsed/>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qFormat/>
    <w:uiPriority w:val="0"/>
    <w:pPr>
      <w:spacing w:before="120"/>
    </w:pPr>
    <w:rPr>
      <w:rFonts w:ascii="Arial" w:hAnsi="Arial" w:eastAsia="宋体" w:cs="Arial"/>
      <w:sz w:val="24"/>
      <w:szCs w:val="24"/>
    </w:rPr>
  </w:style>
  <w:style w:type="paragraph" w:styleId="17">
    <w:name w:val="Body Text Indent"/>
    <w:basedOn w:val="1"/>
    <w:link w:val="84"/>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9"/>
    <w:unhideWhenUsed/>
    <w:qFormat/>
    <w:uiPriority w:val="0"/>
    <w:rPr>
      <w:rFonts w:ascii="宋体" w:hAnsi="Courier New" w:eastAsia="宋体" w:cs="Times New Roman"/>
      <w:kern w:val="0"/>
      <w:sz w:val="20"/>
      <w:szCs w:val="21"/>
    </w:rPr>
  </w:style>
  <w:style w:type="paragraph" w:styleId="22">
    <w:name w:val="toc 8"/>
    <w:basedOn w:val="1"/>
    <w:next w:val="1"/>
    <w:unhideWhenUsed/>
    <w:qFormat/>
    <w:uiPriority w:val="0"/>
    <w:pPr>
      <w:ind w:left="2940"/>
    </w:pPr>
    <w:rPr>
      <w:rFonts w:ascii="Times New Roman" w:hAnsi="Times New Roman" w:eastAsia="宋体" w:cs="Times New Roman"/>
      <w:szCs w:val="24"/>
    </w:rPr>
  </w:style>
  <w:style w:type="paragraph" w:styleId="23">
    <w:name w:val="index 3"/>
    <w:basedOn w:val="1"/>
    <w:next w:val="1"/>
    <w:unhideWhenUsed/>
    <w:qFormat/>
    <w:uiPriority w:val="0"/>
    <w:pPr>
      <w:ind w:left="400" w:leftChars="400"/>
    </w:pPr>
    <w:rPr>
      <w:rFonts w:ascii="Times New Roman" w:hAnsi="Times New Roman" w:eastAsia="宋体" w:cs="Times New Roman"/>
      <w:szCs w:val="24"/>
    </w:rPr>
  </w:style>
  <w:style w:type="paragraph" w:styleId="24">
    <w:name w:val="Date"/>
    <w:basedOn w:val="1"/>
    <w:next w:val="1"/>
    <w:link w:val="88"/>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unhideWhenUsed/>
    <w:qFormat/>
    <w:uiPriority w:val="0"/>
    <w:rPr>
      <w:rFonts w:ascii="Times New Roman" w:hAnsi="Times New Roman" w:eastAsia="宋体" w:cs="Times New Roman"/>
      <w:kern w:val="0"/>
      <w:sz w:val="18"/>
      <w:szCs w:val="18"/>
    </w:rPr>
  </w:style>
  <w:style w:type="paragraph" w:styleId="27">
    <w:name w:val="footer"/>
    <w:basedOn w:val="1"/>
    <w:link w:val="125"/>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5"/>
    <w:unhideWhenUsed/>
    <w:qFormat/>
    <w:uiPriority w:val="0"/>
    <w:pPr>
      <w:ind w:firstLine="420" w:firstLineChars="200"/>
    </w:pPr>
    <w:rPr>
      <w:rFonts w:ascii="Times New Roman" w:hAnsi="Times New Roman"/>
      <w:szCs w:val="24"/>
    </w:rPr>
  </w:style>
  <w:style w:type="paragraph" w:styleId="29">
    <w:name w:val="header"/>
    <w:basedOn w:val="1"/>
    <w:link w:val="8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qFormat/>
    <w:uiPriority w:val="39"/>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8"/>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83"/>
    <w:unhideWhenUsed/>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123"/>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qFormat/>
    <w:uiPriority w:val="0"/>
    <w:pPr>
      <w:ind w:left="200" w:leftChars="200"/>
    </w:pPr>
    <w:rPr>
      <w:rFonts w:ascii="Times New Roman" w:hAnsi="Times New Roman" w:eastAsia="宋体" w:cs="Times New Roman"/>
      <w:szCs w:val="24"/>
    </w:rPr>
  </w:style>
  <w:style w:type="paragraph" w:styleId="45">
    <w:name w:val="Title"/>
    <w:basedOn w:val="1"/>
    <w:link w:val="89"/>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48">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49">
    <w:name w:val="Emphasis"/>
    <w:qFormat/>
    <w:uiPriority w:val="20"/>
    <w:rPr>
      <w:rFonts w:asciiTheme="minorHAnsi" w:hAnsiTheme="minorHAnsi" w:eastAsiaTheme="minorEastAsia" w:cstheme="minorBidi"/>
      <w:i/>
      <w:iCs/>
      <w:kern w:val="2"/>
      <w:sz w:val="21"/>
      <w:szCs w:val="22"/>
      <w:lang w:val="en-US" w:eastAsia="zh-CN" w:bidi="ar-SA"/>
    </w:rPr>
  </w:style>
  <w:style w:type="character" w:styleId="50">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1">
    <w:name w:val="annotation reference"/>
    <w:unhideWhenUsed/>
    <w:qFormat/>
    <w:uiPriority w:val="99"/>
    <w:rPr>
      <w:rFonts w:asciiTheme="minorHAnsi" w:hAnsiTheme="minorHAnsi" w:eastAsiaTheme="minorEastAsia" w:cstheme="minorBidi"/>
      <w:kern w:val="2"/>
      <w:sz w:val="21"/>
      <w:szCs w:val="21"/>
      <w:lang w:val="en-US" w:eastAsia="zh-CN" w:bidi="ar-SA"/>
    </w:rPr>
  </w:style>
  <w:style w:type="character" w:styleId="52">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54">
    <w:name w:val="Table Grid"/>
    <w:basedOn w:val="53"/>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6"/>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批注文字 Char"/>
    <w:basedOn w:val="46"/>
    <w:link w:val="9"/>
    <w:qFormat/>
    <w:uiPriority w:val="99"/>
    <w:rPr>
      <w:rFonts w:asciiTheme="minorHAnsi" w:hAnsiTheme="minorHAnsi" w:eastAsiaTheme="minorEastAsia" w:cstheme="minorBidi"/>
      <w:kern w:val="2"/>
      <w:sz w:val="21"/>
      <w:szCs w:val="22"/>
      <w:lang w:val="en-US" w:eastAsia="zh-CN" w:bidi="ar-SA"/>
    </w:rPr>
  </w:style>
  <w:style w:type="character" w:customStyle="1" w:styleId="61">
    <w:name w:val="批注主题 Char"/>
    <w:basedOn w:val="60"/>
    <w:link w:val="8"/>
    <w:semiHidden/>
    <w:qFormat/>
    <w:uiPriority w:val="0"/>
    <w:rPr>
      <w:rFonts w:ascii="Times New Roman" w:hAnsi="Times New Roman" w:eastAsia="宋体" w:cs="Times New Roman"/>
      <w:b/>
      <w:bCs/>
      <w:kern w:val="0"/>
      <w:sz w:val="20"/>
      <w:szCs w:val="24"/>
    </w:rPr>
  </w:style>
  <w:style w:type="character" w:customStyle="1" w:styleId="62">
    <w:name w:val="正文文本 Char"/>
    <w:basedOn w:val="46"/>
    <w:link w:val="12"/>
    <w:qFormat/>
    <w:uiPriority w:val="0"/>
    <w:rPr>
      <w:rFonts w:asciiTheme="minorHAnsi" w:hAnsiTheme="minorHAnsi" w:eastAsiaTheme="minorEastAsia" w:cstheme="minorBidi"/>
      <w:kern w:val="2"/>
      <w:sz w:val="21"/>
      <w:szCs w:val="22"/>
      <w:lang w:val="en-US" w:eastAsia="zh-CN" w:bidi="ar-SA"/>
    </w:rPr>
  </w:style>
  <w:style w:type="character" w:customStyle="1" w:styleId="63">
    <w:name w:val="正文首行缩进 字符"/>
    <w:basedOn w:val="62"/>
    <w:semiHidden/>
    <w:qFormat/>
    <w:uiPriority w:val="99"/>
  </w:style>
  <w:style w:type="character" w:customStyle="1" w:styleId="64">
    <w:name w:val="文档结构图 字符"/>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65">
    <w:name w:val="正文文本缩进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纯文本 字符"/>
    <w:basedOn w:val="46"/>
    <w:semiHidden/>
    <w:qFormat/>
    <w:uiPriority w:val="99"/>
    <w:rPr>
      <w:rFonts w:hAnsi="Courier New" w:cs="Courier New" w:asciiTheme="minorEastAsia" w:eastAsiaTheme="minorEastAsia"/>
      <w:kern w:val="2"/>
      <w:sz w:val="21"/>
      <w:szCs w:val="22"/>
      <w:lang w:val="en-US" w:eastAsia="zh-CN" w:bidi="ar-SA"/>
    </w:rPr>
  </w:style>
  <w:style w:type="character" w:customStyle="1" w:styleId="67">
    <w:name w:val="日期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0">
    <w:name w:val="页脚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1">
    <w:name w:val="正文首行缩进 2 字符"/>
    <w:basedOn w:val="65"/>
    <w:semiHidden/>
    <w:qFormat/>
    <w:uiPriority w:val="99"/>
  </w:style>
  <w:style w:type="character" w:customStyle="1" w:styleId="72">
    <w:name w:val="页眉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3">
    <w:name w:val="脚注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4">
    <w:name w:val="正文文本缩进 3 字符"/>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75">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标题 字符"/>
    <w:basedOn w:val="46"/>
    <w:qFormat/>
    <w:uiPriority w:val="0"/>
    <w:rPr>
      <w:rFonts w:asciiTheme="majorHAnsi" w:hAnsiTheme="majorHAnsi" w:eastAsiaTheme="majorEastAsia" w:cstheme="majorBidi"/>
      <w:b/>
      <w:bCs/>
      <w:kern w:val="2"/>
      <w:sz w:val="32"/>
      <w:szCs w:val="32"/>
      <w:lang w:val="en-US" w:eastAsia="zh-CN" w:bidi="ar-SA"/>
    </w:rPr>
  </w:style>
  <w:style w:type="character" w:customStyle="1" w:styleId="77">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78">
    <w:name w:val="标题 2 Char"/>
    <w:link w:val="3"/>
    <w:qFormat/>
    <w:uiPriority w:val="0"/>
    <w:rPr>
      <w:rFonts w:ascii="Arial" w:hAnsi="Arial" w:eastAsia="黑体" w:cs="Times New Roman"/>
      <w:b/>
      <w:bCs/>
      <w:kern w:val="0"/>
      <w:sz w:val="32"/>
      <w:szCs w:val="32"/>
      <w:lang w:val="en-US" w:eastAsia="zh-CN" w:bidi="ar-SA"/>
    </w:rPr>
  </w:style>
  <w:style w:type="character" w:customStyle="1" w:styleId="79">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80">
    <w:name w:val="标题 4 Char"/>
    <w:link w:val="5"/>
    <w:qFormat/>
    <w:uiPriority w:val="0"/>
    <w:rPr>
      <w:rFonts w:ascii="Arial" w:hAnsi="Arial" w:eastAsia="黑体" w:cs="Times New Roman"/>
      <w:b/>
      <w:bCs/>
      <w:kern w:val="0"/>
      <w:sz w:val="28"/>
      <w:szCs w:val="28"/>
      <w:lang w:val="en-US" w:eastAsia="zh-CN" w:bidi="ar-SA"/>
    </w:rPr>
  </w:style>
  <w:style w:type="character" w:customStyle="1" w:styleId="81">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82">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83">
    <w:name w:val="正文文本缩进 3 Char"/>
    <w:link w:val="35"/>
    <w:qFormat/>
    <w:uiPriority w:val="0"/>
    <w:rPr>
      <w:rFonts w:ascii="Times New Roman" w:hAnsi="Times New Roman" w:eastAsia="宋体" w:cs="Times New Roman"/>
      <w:kern w:val="0"/>
      <w:sz w:val="24"/>
      <w:szCs w:val="24"/>
      <w:lang w:val="en-US" w:eastAsia="zh-CN" w:bidi="ar-SA"/>
    </w:rPr>
  </w:style>
  <w:style w:type="character" w:customStyle="1" w:styleId="84">
    <w:name w:val="正文文本缩进 Char"/>
    <w:link w:val="17"/>
    <w:qFormat/>
    <w:uiPriority w:val="0"/>
    <w:rPr>
      <w:rFonts w:ascii="Calibri" w:hAnsi="Calibri" w:eastAsia="宋体" w:cs="Times New Roman"/>
      <w:kern w:val="0"/>
      <w:sz w:val="20"/>
      <w:szCs w:val="20"/>
      <w:lang w:val="en-US" w:eastAsia="zh-CN" w:bidi="ar-SA"/>
    </w:rPr>
  </w:style>
  <w:style w:type="character" w:customStyle="1" w:styleId="85">
    <w:name w:val="正文首行缩进 2 Char"/>
    <w:link w:val="28"/>
    <w:qFormat/>
    <w:uiPriority w:val="0"/>
    <w:rPr>
      <w:rFonts w:ascii="Times New Roman" w:hAnsi="Times New Roman" w:eastAsiaTheme="minorEastAsia" w:cstheme="minorBidi"/>
      <w:kern w:val="2"/>
      <w:sz w:val="21"/>
      <w:szCs w:val="24"/>
      <w:lang w:val="en-US" w:eastAsia="zh-CN" w:bidi="ar-SA"/>
    </w:rPr>
  </w:style>
  <w:style w:type="character" w:customStyle="1" w:styleId="86">
    <w:name w:val="页眉 Char"/>
    <w:link w:val="29"/>
    <w:qFormat/>
    <w:uiPriority w:val="99"/>
    <w:rPr>
      <w:rFonts w:ascii="Times New Roman" w:hAnsi="Times New Roman" w:eastAsia="宋体" w:cs="Times New Roman"/>
      <w:kern w:val="0"/>
      <w:sz w:val="18"/>
      <w:szCs w:val="18"/>
      <w:lang w:val="en-US" w:eastAsia="zh-CN" w:bidi="ar-SA"/>
    </w:rPr>
  </w:style>
  <w:style w:type="character" w:customStyle="1" w:styleId="87">
    <w:name w:val="文档结构图 Char"/>
    <w:link w:val="15"/>
    <w:qFormat/>
    <w:uiPriority w:val="0"/>
    <w:rPr>
      <w:rFonts w:ascii="Times New Roman" w:hAnsi="Times New Roman" w:eastAsia="宋体" w:cs="Times New Roman"/>
      <w:kern w:val="0"/>
      <w:sz w:val="20"/>
      <w:szCs w:val="24"/>
      <w:lang w:val="en-US" w:eastAsia="zh-CN" w:bidi="ar-SA"/>
    </w:rPr>
  </w:style>
  <w:style w:type="character" w:customStyle="1" w:styleId="88">
    <w:name w:val="日期 Char"/>
    <w:link w:val="24"/>
    <w:qFormat/>
    <w:uiPriority w:val="0"/>
    <w:rPr>
      <w:rFonts w:ascii="Times New Roman" w:hAnsi="Times New Roman" w:eastAsia="宋体" w:cs="Times New Roman"/>
      <w:b/>
      <w:bCs/>
      <w:kern w:val="0"/>
      <w:sz w:val="36"/>
      <w:szCs w:val="24"/>
      <w:lang w:val="en-US" w:eastAsia="zh-CN" w:bidi="ar-SA"/>
    </w:rPr>
  </w:style>
  <w:style w:type="character" w:customStyle="1" w:styleId="89">
    <w:name w:val="标题 Char"/>
    <w:link w:val="45"/>
    <w:qFormat/>
    <w:uiPriority w:val="0"/>
    <w:rPr>
      <w:rFonts w:ascii="Arial" w:hAnsi="Arial" w:eastAsia="宋体" w:cs="Times New Roman"/>
      <w:b/>
      <w:bCs/>
      <w:kern w:val="0"/>
      <w:sz w:val="32"/>
      <w:szCs w:val="32"/>
      <w:lang w:val="en-US" w:eastAsia="zh-CN" w:bidi="ar-SA"/>
    </w:rPr>
  </w:style>
  <w:style w:type="paragraph" w:customStyle="1" w:styleId="90">
    <w:name w:val="样式2"/>
    <w:basedOn w:val="36"/>
    <w:qFormat/>
    <w:uiPriority w:val="0"/>
    <w:pPr>
      <w:ind w:firstLine="2720"/>
    </w:pPr>
    <w:rPr>
      <w:bCs/>
    </w:rPr>
  </w:style>
  <w:style w:type="paragraph" w:customStyle="1" w:styleId="91">
    <w:name w:val="0"/>
    <w:basedOn w:val="1"/>
    <w:qFormat/>
    <w:uiPriority w:val="0"/>
    <w:pPr>
      <w:widowControl/>
    </w:pPr>
    <w:rPr>
      <w:rFonts w:ascii="Times New Roman" w:hAnsi="Times New Roman" w:eastAsia="宋体" w:cs="Times New Roman"/>
      <w:kern w:val="0"/>
      <w:szCs w:val="20"/>
    </w:rPr>
  </w:style>
  <w:style w:type="paragraph" w:customStyle="1" w:styleId="9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5">
    <w:name w:val="Char"/>
    <w:basedOn w:val="1"/>
    <w:qFormat/>
    <w:uiPriority w:val="0"/>
    <w:pPr>
      <w:spacing w:line="360" w:lineRule="auto"/>
    </w:pPr>
    <w:rPr>
      <w:rFonts w:ascii="黑体" w:hAnsi="黑体" w:eastAsia="宋体" w:cs="Times New Roman"/>
      <w:sz w:val="24"/>
      <w:szCs w:val="24"/>
      <w:lang w:val="zh-CN"/>
    </w:rPr>
  </w:style>
  <w:style w:type="paragraph" w:customStyle="1" w:styleId="9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7">
    <w:name w:val="z-窗体顶端1"/>
    <w:basedOn w:val="1"/>
    <w:next w:val="1"/>
    <w:link w:val="9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98">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99">
    <w:name w:val="z-窗体顶端 字符1"/>
    <w:link w:val="97"/>
    <w:qFormat/>
    <w:uiPriority w:val="0"/>
    <w:rPr>
      <w:rFonts w:ascii="Arial" w:hAnsi="Arial" w:eastAsia="宋体" w:cs="Times New Roman"/>
      <w:vanish/>
      <w:kern w:val="0"/>
      <w:sz w:val="16"/>
      <w:szCs w:val="16"/>
      <w:lang w:val="en-US" w:eastAsia="zh-CN" w:bidi="ar-SA"/>
    </w:rPr>
  </w:style>
  <w:style w:type="paragraph" w:customStyle="1" w:styleId="100">
    <w:name w:val="_Style 10"/>
    <w:basedOn w:val="1"/>
    <w:next w:val="1"/>
    <w:qFormat/>
    <w:uiPriority w:val="0"/>
    <w:rPr>
      <w:rFonts w:ascii="Times New Roman" w:hAnsi="Times New Roman" w:eastAsia="宋体" w:cs="Times New Roman"/>
      <w:szCs w:val="24"/>
    </w:rPr>
  </w:style>
  <w:style w:type="paragraph" w:customStyle="1" w:styleId="101">
    <w:name w:val="Char Char"/>
    <w:basedOn w:val="1"/>
    <w:qFormat/>
    <w:uiPriority w:val="0"/>
    <w:rPr>
      <w:rFonts w:ascii="Tahoma" w:hAnsi="Tahoma" w:eastAsia="宋体" w:cs="Times New Roman"/>
      <w:sz w:val="24"/>
      <w:szCs w:val="20"/>
    </w:rPr>
  </w:style>
  <w:style w:type="paragraph" w:customStyle="1" w:styleId="10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3">
    <w:name w:val="Char Char Char Char"/>
    <w:basedOn w:val="1"/>
    <w:qFormat/>
    <w:uiPriority w:val="0"/>
    <w:rPr>
      <w:rFonts w:ascii="仿宋_GB2312" w:hAnsi="Times New Roman" w:eastAsia="仿宋_GB2312" w:cs="Times New Roman"/>
      <w:b/>
      <w:sz w:val="32"/>
      <w:szCs w:val="32"/>
    </w:rPr>
  </w:style>
  <w:style w:type="paragraph" w:customStyle="1" w:styleId="104">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5">
    <w:name w:val="样式1"/>
    <w:basedOn w:val="1"/>
    <w:qFormat/>
    <w:uiPriority w:val="0"/>
    <w:pPr>
      <w:spacing w:line="360" w:lineRule="auto"/>
      <w:jc w:val="center"/>
    </w:pPr>
    <w:rPr>
      <w:rFonts w:ascii="宋体" w:hAnsi="宋体" w:eastAsia="宋体" w:cs="Times New Roman"/>
      <w:sz w:val="32"/>
      <w:szCs w:val="30"/>
    </w:rPr>
  </w:style>
  <w:style w:type="paragraph" w:customStyle="1" w:styleId="10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10">
    <w:name w:val="样式 一号 加粗 居中"/>
    <w:basedOn w:val="1"/>
    <w:qFormat/>
    <w:uiPriority w:val="0"/>
    <w:pPr>
      <w:jc w:val="center"/>
    </w:pPr>
    <w:rPr>
      <w:rFonts w:ascii="Times New Roman" w:hAnsi="Times New Roman" w:eastAsia="宋体" w:cs="宋体"/>
      <w:bCs/>
      <w:sz w:val="52"/>
      <w:szCs w:val="20"/>
    </w:rPr>
  </w:style>
  <w:style w:type="paragraph" w:customStyle="1" w:styleId="11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2">
    <w:name w:val="z-窗体底端1"/>
    <w:basedOn w:val="1"/>
    <w:next w:val="1"/>
    <w:link w:val="114"/>
    <w:qFormat/>
    <w:uiPriority w:val="0"/>
    <w:pPr>
      <w:pBdr>
        <w:top w:val="single" w:color="auto" w:sz="6" w:space="1"/>
      </w:pBdr>
      <w:jc w:val="center"/>
    </w:pPr>
    <w:rPr>
      <w:rFonts w:ascii="Arial" w:hAnsi="Arial" w:eastAsia="宋体" w:cs="Times New Roman"/>
      <w:vanish/>
      <w:kern w:val="0"/>
      <w:sz w:val="16"/>
      <w:szCs w:val="16"/>
    </w:rPr>
  </w:style>
  <w:style w:type="character" w:customStyle="1" w:styleId="113">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14">
    <w:name w:val="z-窗体底端 字符1"/>
    <w:link w:val="112"/>
    <w:qFormat/>
    <w:uiPriority w:val="0"/>
    <w:rPr>
      <w:rFonts w:ascii="Arial" w:hAnsi="Arial" w:eastAsia="宋体" w:cs="Times New Roman"/>
      <w:vanish/>
      <w:kern w:val="0"/>
      <w:sz w:val="16"/>
      <w:szCs w:val="16"/>
      <w:lang w:val="en-US" w:eastAsia="zh-CN" w:bidi="ar-SA"/>
    </w:rPr>
  </w:style>
  <w:style w:type="character" w:customStyle="1" w:styleId="115">
    <w:name w:val="正文文本 字符1"/>
    <w:qFormat/>
    <w:uiPriority w:val="0"/>
    <w:rPr>
      <w:rFonts w:ascii="Calibri" w:hAnsi="Calibri" w:eastAsia="宋体" w:cs="Times New Roman"/>
      <w:kern w:val="2"/>
      <w:sz w:val="21"/>
      <w:szCs w:val="22"/>
      <w:lang w:val="en-US" w:eastAsia="zh-CN" w:bidi="ar-SA"/>
    </w:rPr>
  </w:style>
  <w:style w:type="character" w:customStyle="1" w:styleId="116">
    <w:name w:val="正文首行缩进 Char"/>
    <w:link w:val="11"/>
    <w:qFormat/>
    <w:uiPriority w:val="0"/>
    <w:rPr>
      <w:rFonts w:ascii="Times New Roman" w:hAnsi="Times New Roman" w:eastAsia="宋体" w:cs="Times New Roman"/>
      <w:kern w:val="0"/>
      <w:sz w:val="20"/>
      <w:szCs w:val="24"/>
      <w:lang w:val="en-US" w:eastAsia="zh-CN" w:bidi="ar-SA"/>
    </w:rPr>
  </w:style>
  <w:style w:type="character" w:customStyle="1" w:styleId="117">
    <w:name w:val="批注框文本 Char"/>
    <w:link w:val="26"/>
    <w:qFormat/>
    <w:uiPriority w:val="0"/>
    <w:rPr>
      <w:rFonts w:ascii="Times New Roman" w:hAnsi="Times New Roman" w:eastAsia="宋体" w:cs="Times New Roman"/>
      <w:kern w:val="0"/>
      <w:sz w:val="18"/>
      <w:szCs w:val="18"/>
      <w:lang w:val="en-US" w:eastAsia="zh-CN" w:bidi="ar-SA"/>
    </w:rPr>
  </w:style>
  <w:style w:type="character" w:customStyle="1" w:styleId="118">
    <w:name w:val="脚注文本 Char"/>
    <w:link w:val="33"/>
    <w:qFormat/>
    <w:uiPriority w:val="0"/>
    <w:rPr>
      <w:rFonts w:ascii="Times New Roman" w:hAnsi="Times New Roman" w:eastAsia="宋体" w:cs="Times New Roman"/>
      <w:kern w:val="0"/>
      <w:sz w:val="18"/>
      <w:szCs w:val="18"/>
      <w:lang w:val="en-US" w:eastAsia="zh-CN" w:bidi="ar-SA"/>
    </w:rPr>
  </w:style>
  <w:style w:type="character" w:customStyle="1" w:styleId="119">
    <w:name w:val="纯文本 Char"/>
    <w:link w:val="21"/>
    <w:qFormat/>
    <w:uiPriority w:val="0"/>
    <w:rPr>
      <w:rFonts w:ascii="宋体" w:hAnsi="Courier New" w:eastAsia="宋体" w:cs="Times New Roman"/>
      <w:kern w:val="0"/>
      <w:sz w:val="20"/>
      <w:szCs w:val="21"/>
      <w:lang w:val="en-US" w:eastAsia="zh-CN" w:bidi="ar-SA"/>
    </w:rPr>
  </w:style>
  <w:style w:type="paragraph" w:customStyle="1" w:styleId="120">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1">
    <w:name w:val="样式3"/>
    <w:basedOn w:val="4"/>
    <w:qFormat/>
    <w:uiPriority w:val="0"/>
    <w:pPr>
      <w:keepNext/>
      <w:keepLines/>
      <w:spacing w:before="120" w:after="120" w:line="360" w:lineRule="auto"/>
    </w:pPr>
    <w:rPr>
      <w:rFonts w:eastAsia="宋体"/>
      <w:sz w:val="24"/>
      <w:szCs w:val="24"/>
    </w:rPr>
  </w:style>
  <w:style w:type="paragraph" w:customStyle="1" w:styleId="122">
    <w:name w:val="表"/>
    <w:basedOn w:val="1"/>
    <w:qFormat/>
    <w:uiPriority w:val="0"/>
    <w:pPr>
      <w:spacing w:line="360" w:lineRule="auto"/>
      <w:jc w:val="center"/>
    </w:pPr>
    <w:rPr>
      <w:rFonts w:ascii="Times New Roman" w:hAnsi="Times New Roman" w:eastAsia="宋体" w:cs="Times New Roman"/>
      <w:color w:val="000000"/>
      <w:szCs w:val="21"/>
    </w:rPr>
  </w:style>
  <w:style w:type="character" w:customStyle="1" w:styleId="123">
    <w:name w:val="正文文本 2 Char"/>
    <w:link w:val="39"/>
    <w:qFormat/>
    <w:uiPriority w:val="0"/>
    <w:rPr>
      <w:rFonts w:ascii="Times New Roman" w:hAnsi="Times New Roman" w:eastAsia="宋体" w:cs="Times New Roman"/>
      <w:kern w:val="0"/>
      <w:sz w:val="20"/>
      <w:szCs w:val="24"/>
      <w:lang w:val="en-US" w:eastAsia="zh-CN" w:bidi="ar-SA"/>
    </w:rPr>
  </w:style>
  <w:style w:type="character" w:customStyle="1" w:styleId="124">
    <w:name w:val="正文文本缩进 2 Char"/>
    <w:link w:val="25"/>
    <w:qFormat/>
    <w:uiPriority w:val="0"/>
    <w:rPr>
      <w:rFonts w:ascii="Times New Roman" w:hAnsi="Times New Roman" w:eastAsia="宋体" w:cs="Times New Roman"/>
      <w:kern w:val="0"/>
      <w:sz w:val="20"/>
      <w:szCs w:val="24"/>
      <w:lang w:val="en-US" w:eastAsia="zh-CN" w:bidi="ar-SA"/>
    </w:rPr>
  </w:style>
  <w:style w:type="character" w:customStyle="1" w:styleId="125">
    <w:name w:val="页脚 Char"/>
    <w:link w:val="27"/>
    <w:qFormat/>
    <w:uiPriority w:val="99"/>
    <w:rPr>
      <w:rFonts w:ascii="Times New Roman" w:hAnsi="Times New Roman" w:eastAsia="宋体" w:cs="Times New Roman"/>
      <w:kern w:val="0"/>
      <w:sz w:val="18"/>
      <w:szCs w:val="18"/>
      <w:lang w:val="en-US" w:eastAsia="zh-CN" w:bidi="ar-SA"/>
    </w:rPr>
  </w:style>
  <w:style w:type="paragraph" w:customStyle="1" w:styleId="126">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9">
    <w:name w:val="样式 样式1 + 首行缩进:  2 字符 Char"/>
    <w:link w:val="130"/>
    <w:qFormat/>
    <w:uiPriority w:val="0"/>
    <w:rPr>
      <w:rFonts w:ascii="Arial" w:hAnsi="Arial" w:eastAsiaTheme="minorEastAsia" w:cstheme="minorBidi"/>
      <w:kern w:val="2"/>
      <w:sz w:val="24"/>
      <w:szCs w:val="22"/>
      <w:lang w:val="en-US" w:eastAsia="zh-CN" w:bidi="ar-SA"/>
    </w:rPr>
  </w:style>
  <w:style w:type="paragraph" w:customStyle="1" w:styleId="130">
    <w:name w:val="样式 样式1 + 首行缩进:  2 字符"/>
    <w:basedOn w:val="105"/>
    <w:link w:val="129"/>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1">
    <w:name w:val="样式 标题 1 + (符号) Arial 三号"/>
    <w:basedOn w:val="2"/>
    <w:qFormat/>
    <w:uiPriority w:val="0"/>
    <w:pPr>
      <w:snapToGrid w:val="0"/>
      <w:spacing w:before="0" w:after="0" w:line="360" w:lineRule="auto"/>
    </w:pPr>
    <w:rPr>
      <w:sz w:val="32"/>
    </w:rPr>
  </w:style>
  <w:style w:type="paragraph" w:customStyle="1" w:styleId="132">
    <w:name w:val="列出段落11"/>
    <w:basedOn w:val="1"/>
    <w:qFormat/>
    <w:uiPriority w:val="0"/>
    <w:pPr>
      <w:ind w:firstLine="420" w:firstLineChars="200"/>
    </w:pPr>
    <w:rPr>
      <w:rFonts w:ascii="Calibri" w:hAnsi="Calibri" w:eastAsia="宋体" w:cs="Times New Roman"/>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paragraph" w:customStyle="1" w:styleId="134">
    <w:name w:val="_Style 5"/>
    <w:basedOn w:val="1"/>
    <w:next w:val="1"/>
    <w:qFormat/>
    <w:uiPriority w:val="0"/>
    <w:rPr>
      <w:rFonts w:ascii="Times New Roman" w:hAnsi="Times New Roman" w:eastAsia="宋体" w:cs="Times New Roman"/>
      <w:szCs w:val="20"/>
    </w:rPr>
  </w:style>
  <w:style w:type="paragraph" w:customStyle="1" w:styleId="13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7">
    <w:name w:val="正文缩进 Char"/>
    <w:link w:val="13"/>
    <w:qFormat/>
    <w:uiPriority w:val="0"/>
    <w:rPr>
      <w:rFonts w:ascii="宋体" w:hAnsi="Times New Roman" w:eastAsia="宋体" w:cs="Times New Roman"/>
      <w:kern w:val="0"/>
      <w:sz w:val="34"/>
      <w:szCs w:val="20"/>
      <w:lang w:val="en-US" w:eastAsia="zh-CN" w:bidi="ar-SA"/>
    </w:rPr>
  </w:style>
  <w:style w:type="character" w:customStyle="1" w:styleId="138">
    <w:name w:val="批注主题 Char1"/>
    <w:basedOn w:val="60"/>
    <w:semiHidden/>
    <w:qFormat/>
    <w:uiPriority w:val="99"/>
    <w:rPr>
      <w:rFonts w:ascii="Calibri" w:hAnsi="Calibri" w:eastAsia="宋体" w:cs="Times New Roman"/>
      <w:b/>
      <w:bCs/>
      <w:kern w:val="2"/>
      <w:sz w:val="21"/>
      <w:szCs w:val="22"/>
    </w:rPr>
  </w:style>
  <w:style w:type="paragraph" w:customStyle="1" w:styleId="139">
    <w:name w:val="列出段落2"/>
    <w:basedOn w:val="1"/>
    <w:uiPriority w:val="99"/>
    <w:pPr>
      <w:ind w:firstLine="420" w:firstLineChars="200"/>
    </w:pPr>
    <w:rPr>
      <w:rFonts w:ascii="Calibri" w:hAnsi="Calibri" w:eastAsia="宋体" w:cs="Times New Roman"/>
    </w:rPr>
  </w:style>
  <w:style w:type="paragraph" w:customStyle="1" w:styleId="140">
    <w:name w:val="列出段落3"/>
    <w:basedOn w:val="1"/>
    <w:qFormat/>
    <w:uiPriority w:val="34"/>
    <w:pPr>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6201</Words>
  <Characters>35347</Characters>
  <Lines>294</Lines>
  <Paragraphs>82</Paragraphs>
  <TotalTime>0</TotalTime>
  <ScaleCrop>false</ScaleCrop>
  <LinksUpToDate>false</LinksUpToDate>
  <CharactersWithSpaces>41466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2019-11-22T03:11:00Z</dcterms:created>
  <dc:creator>张治</dc:creator>
  <cp:lastModifiedBy>贾思勰</cp:lastModifiedBy>
  <dcterms:modified xsi:type="dcterms:W3CDTF">2019-11-27T23:44:39Z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