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办公用品采购配送供应商选聘</w:t>
      </w:r>
      <w:r>
        <w:rPr>
          <w:rFonts w:hint="eastAsia" w:eastAsia="黑体" w:cs="Calibri"/>
          <w:b/>
          <w:sz w:val="44"/>
          <w:szCs w:val="44"/>
        </w:rPr>
        <w:t>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一九年十一</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4</w:t>
      </w:r>
      <w:r>
        <w:rPr>
          <w:rFonts w:ascii="黑体" w:hAnsi="黑体" w:eastAsia="黑体"/>
          <w:sz w:val="22"/>
          <w:szCs w:val="22"/>
        </w:rPr>
        <w:t xml:space="preserve">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rPr>
        <w:t>3</w:t>
      </w:r>
      <w:r>
        <w:rPr>
          <w:rFonts w:ascii="黑体" w:hAnsi="黑体" w:eastAsia="黑体"/>
          <w:sz w:val="22"/>
          <w:szCs w:val="22"/>
        </w:rPr>
        <w:t xml:space="preserve">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rPr>
        <w:t>5</w:t>
      </w:r>
      <w:r>
        <w:rPr>
          <w:rFonts w:ascii="黑体" w:hAnsi="黑体" w:eastAsia="黑体"/>
          <w:sz w:val="22"/>
          <w:szCs w:val="22"/>
        </w:rPr>
        <w:t xml:space="preserve">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26</w:t>
      </w:r>
      <w:r>
        <w:rPr>
          <w:rFonts w:ascii="黑体" w:hAnsi="黑体" w:eastAsia="黑体"/>
          <w:sz w:val="22"/>
          <w:szCs w:val="22"/>
        </w:rPr>
        <w:t xml:space="preserve">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w:t>
      </w:r>
      <w:r>
        <w:rPr>
          <w:rFonts w:hint="eastAsia" w:ascii="黑体" w:hAnsi="黑体" w:eastAsia="黑体"/>
          <w:sz w:val="22"/>
          <w:szCs w:val="22"/>
        </w:rPr>
        <w:t>9</w:t>
      </w:r>
      <w:r>
        <w:rPr>
          <w:rFonts w:ascii="黑体" w:hAnsi="黑体" w:eastAsia="黑体"/>
          <w:sz w:val="22"/>
          <w:szCs w:val="22"/>
        </w:rPr>
        <w:t xml:space="preserve">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rPr>
      </w:pPr>
    </w:p>
    <w:p>
      <w:pPr>
        <w:widowControl/>
        <w:snapToGrid w:val="0"/>
        <w:spacing w:line="360" w:lineRule="exact"/>
        <w:jc w:val="left"/>
        <w:rPr>
          <w:rFonts w:cs="Arial" w:asciiTheme="minorEastAsia" w:hAnsiTheme="minorEastAsia"/>
          <w:kern w:val="0"/>
          <w:sz w:val="22"/>
        </w:rPr>
      </w:pPr>
      <w:r>
        <w:rPr>
          <w:rFonts w:hint="eastAsia" w:cs="Arial" w:asciiTheme="minorEastAsia" w:hAnsiTheme="minorEastAsia"/>
          <w:b/>
          <w:bCs/>
          <w:kern w:val="0"/>
          <w:sz w:val="22"/>
        </w:rPr>
        <w:t>一、招标内容</w:t>
      </w:r>
    </w:p>
    <w:p>
      <w:pPr>
        <w:widowControl/>
        <w:adjustRightInd w:val="0"/>
        <w:snapToGrid w:val="0"/>
        <w:spacing w:line="36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杭州萧山国际机场有限公司就</w:t>
      </w:r>
      <w:r>
        <w:rPr>
          <w:rFonts w:cs="Arial" w:asciiTheme="minorEastAsia" w:hAnsiTheme="minorEastAsia"/>
          <w:kern w:val="0"/>
          <w:sz w:val="22"/>
        </w:rPr>
        <w:t>杭州萧山国际机场</w:t>
      </w:r>
      <w:r>
        <w:rPr>
          <w:rFonts w:hint="eastAsia" w:cs="Arial" w:asciiTheme="minorEastAsia" w:hAnsiTheme="minorEastAsia"/>
          <w:kern w:val="0"/>
          <w:sz w:val="22"/>
        </w:rPr>
        <w:t>办公用品采购配送供应商选聘</w:t>
      </w:r>
      <w:r>
        <w:rPr>
          <w:rFonts w:cs="Arial" w:asciiTheme="minorEastAsia" w:hAnsiTheme="minorEastAsia"/>
          <w:kern w:val="0"/>
          <w:sz w:val="22"/>
        </w:rPr>
        <w:t>项</w:t>
      </w:r>
      <w:r>
        <w:rPr>
          <w:rFonts w:hint="eastAsia" w:cs="Arial" w:asciiTheme="minorEastAsia" w:hAnsiTheme="minorEastAsia"/>
          <w:kern w:val="0"/>
          <w:sz w:val="22"/>
        </w:rPr>
        <w:t>目进行公开招标，欢迎符合资格要求的供应商参与投标。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）项目概况：本</w:t>
      </w:r>
      <w:r>
        <w:rPr>
          <w:rFonts w:ascii="宋体" w:hAnsi="宋体" w:cs="Arial"/>
          <w:kern w:val="0"/>
          <w:sz w:val="22"/>
        </w:rPr>
        <w:t>项目位于</w:t>
      </w:r>
      <w:r>
        <w:rPr>
          <w:rFonts w:hint="eastAsia" w:ascii="宋体" w:hAnsi="宋体" w:cs="Arial"/>
          <w:kern w:val="0"/>
          <w:sz w:val="22"/>
          <w:u w:val="single"/>
        </w:rPr>
        <w:t>杭州萧山国际机场内</w:t>
      </w:r>
      <w:r>
        <w:rPr>
          <w:rFonts w:ascii="宋体" w:hAnsi="宋体" w:cs="Arial"/>
          <w:kern w:val="0"/>
          <w:sz w:val="22"/>
        </w:rPr>
        <w:t>，</w:t>
      </w:r>
      <w:r>
        <w:rPr>
          <w:rFonts w:hint="eastAsia" w:ascii="宋体" w:hAnsi="宋体" w:cs="Arial"/>
          <w:kern w:val="0"/>
          <w:sz w:val="22"/>
        </w:rPr>
        <w:t>具体要求详见第三章“货物</w:t>
      </w:r>
      <w:r>
        <w:rPr>
          <w:rFonts w:ascii="宋体" w:hAnsi="宋体" w:cs="Arial"/>
          <w:kern w:val="0"/>
          <w:sz w:val="22"/>
        </w:rPr>
        <w:t>需求一览表及技术规格</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招标内容：通过招标确定框架协议供应商后，由杭州萧山国际机场各部门（均在杭州萧山国际机场内）的联系人单独下达订单，中标供应商需根据各部门订单下达情况单独给各个使用部门送货。费用按月结算，由中标单位开具增值税专用发票，由各采购部门自行结算。</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）服务期：自2</w:t>
      </w:r>
      <w:r>
        <w:rPr>
          <w:rFonts w:ascii="宋体" w:hAnsi="宋体" w:cs="Arial"/>
          <w:kern w:val="0"/>
          <w:sz w:val="22"/>
        </w:rPr>
        <w:t>020</w:t>
      </w:r>
      <w:r>
        <w:rPr>
          <w:rFonts w:hint="eastAsia" w:ascii="宋体" w:hAnsi="宋体" w:cs="Arial"/>
          <w:kern w:val="0"/>
          <w:sz w:val="22"/>
        </w:rPr>
        <w:t>年1月1日至2022年12月31日止，共计3年。其间，次年4月，招标人组织对供应商进行上一年度考核，考核不达标的，终止合同。在服务期能满足我方每周一次上门送货至招标人指定地点的基本条件，响应我方7*24小时紧急需求到货服务。</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）供应商数量：3家</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二、投标人资格要求</w:t>
      </w:r>
      <w:r>
        <w:rPr>
          <w:rFonts w:cs="Arial" w:asciiTheme="minorEastAsia" w:hAnsiTheme="minorEastAsia"/>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r>
        <w:rPr>
          <w:rFonts w:hint="eastAsia" w:ascii="宋体" w:hAnsi="宋体"/>
          <w:szCs w:val="21"/>
        </w:rPr>
        <w:t>（经营范围中包含办公用品经营等内容）</w:t>
      </w:r>
      <w:r>
        <w:rPr>
          <w:rFonts w:hint="eastAsia" w:ascii="宋体" w:hAnsi="宋体" w:cs="Arial"/>
          <w:kern w:val="0"/>
          <w:sz w:val="22"/>
        </w:rPr>
        <w:t>，注册资金不少于人民币</w:t>
      </w:r>
      <w:r>
        <w:rPr>
          <w:rFonts w:ascii="宋体" w:hAnsi="宋体" w:cs="Arial"/>
          <w:kern w:val="0"/>
          <w:sz w:val="22"/>
          <w:u w:val="single"/>
        </w:rPr>
        <w:t>50</w:t>
      </w:r>
      <w:r>
        <w:rPr>
          <w:rFonts w:hint="eastAsia" w:ascii="宋体" w:hAnsi="宋体" w:cs="Arial"/>
          <w:kern w:val="0"/>
          <w:sz w:val="22"/>
        </w:rPr>
        <w:t>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（3）近年（201</w:t>
      </w:r>
      <w:r>
        <w:rPr>
          <w:rFonts w:ascii="宋体" w:hAnsi="宋体" w:cs="Arial"/>
          <w:kern w:val="0"/>
          <w:sz w:val="22"/>
        </w:rPr>
        <w:t>6</w:t>
      </w:r>
      <w:r>
        <w:rPr>
          <w:rFonts w:hint="eastAsia" w:ascii="宋体" w:hAnsi="宋体" w:cs="Arial"/>
          <w:kern w:val="0"/>
          <w:sz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）投标人须具有类似办公用品定点采购配送项目的供货业绩（需提供中标通知书或合同复印件并加盖投标人公章作为证明材料，原件备查），并在人员、设备、资金等方面具有相应的能力；</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6</w:t>
      </w:r>
      <w:r>
        <w:rPr>
          <w:rFonts w:hint="eastAsia" w:ascii="宋体" w:hAnsi="宋体" w:cs="Arial"/>
          <w:kern w:val="0"/>
          <w:sz w:val="22"/>
        </w:rPr>
        <w:t>）本次招标不接受联合体投标。</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三、招标文件获取</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招标文件下载</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日上午9时</w:t>
      </w:r>
      <w:r>
        <w:rPr>
          <w:rFonts w:hint="eastAsia" w:ascii="宋体" w:hAnsi="宋体" w:cs="Arial"/>
          <w:kern w:val="0"/>
          <w:sz w:val="22"/>
          <w:lang w:val="en-US" w:eastAsia="zh-CN"/>
        </w:rPr>
        <w:t>15</w:t>
      </w:r>
      <w:r>
        <w:rPr>
          <w:rFonts w:hint="eastAsia" w:ascii="宋体" w:hAnsi="宋体" w:cs="Arial"/>
          <w:kern w:val="0"/>
          <w:sz w:val="22"/>
        </w:rPr>
        <w:t>分（北京时间）。投标文件在封口处加盖公章，并派专人于2019年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日上午9时</w:t>
      </w:r>
      <w:r>
        <w:rPr>
          <w:rFonts w:hint="eastAsia" w:ascii="宋体" w:hAnsi="宋体" w:cs="Arial"/>
          <w:kern w:val="0"/>
          <w:sz w:val="22"/>
          <w:lang w:val="en-US" w:eastAsia="zh-CN"/>
        </w:rPr>
        <w:t>15</w:t>
      </w:r>
      <w:r>
        <w:rPr>
          <w:rFonts w:hint="eastAsia" w:ascii="宋体" w:hAnsi="宋体" w:cs="Arial"/>
          <w:kern w:val="0"/>
          <w:sz w:val="22"/>
        </w:rPr>
        <w:t>分</w:t>
      </w:r>
      <w:r>
        <w:rPr>
          <w:rFonts w:hint="eastAsia" w:ascii="宋体" w:hAnsi="宋体" w:cs="Arial"/>
          <w:kern w:val="0"/>
          <w:sz w:val="22"/>
          <w:lang w:val="en-US" w:eastAsia="zh-CN"/>
        </w:rPr>
        <w:t>(</w:t>
      </w:r>
      <w:r>
        <w:rPr>
          <w:rFonts w:hint="eastAsia" w:ascii="宋体" w:hAnsi="宋体" w:cs="Arial"/>
          <w:kern w:val="0"/>
          <w:sz w:val="22"/>
        </w:rPr>
        <w:t>北京时间）前送至杭州萧山国际机场翔越路综合服务楼园区招标中心，逾期无效；若采用投递（邮寄）方式的，请于2019年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日上午9时</w:t>
      </w:r>
      <w:r>
        <w:rPr>
          <w:rFonts w:hint="eastAsia" w:ascii="宋体" w:hAnsi="宋体" w:cs="Arial"/>
          <w:kern w:val="0"/>
          <w:sz w:val="22"/>
          <w:lang w:val="en-US" w:eastAsia="zh-CN"/>
        </w:rPr>
        <w:t>15</w:t>
      </w:r>
      <w:r>
        <w:rPr>
          <w:rFonts w:hint="eastAsia" w:ascii="宋体" w:hAnsi="宋体" w:cs="Arial"/>
          <w:kern w:val="0"/>
          <w:sz w:val="22"/>
        </w:rPr>
        <w:t>分（北京时间）前投递至杭州萧山国际机场翔越路综合服务楼园区招标中心，逾期无效。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五、发布公告的媒介</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本次招标公告在</w:t>
      </w:r>
      <w:r>
        <w:rPr>
          <w:rFonts w:hint="eastAsia" w:cs="Arial" w:asciiTheme="minorEastAsia" w:hAnsiTheme="minorEastAsia"/>
          <w:b/>
          <w:kern w:val="0"/>
          <w:sz w:val="22"/>
        </w:rPr>
        <w:t>中国采购与招标网和杭州萧山机场有限公司</w:t>
      </w:r>
      <w:r>
        <w:rPr>
          <w:rFonts w:hint="eastAsia" w:cs="Arial" w:asciiTheme="minorEastAsia" w:hAnsiTheme="minorEastAsia"/>
          <w:kern w:val="0"/>
          <w:sz w:val="22"/>
        </w:rPr>
        <w:t>主页上发布</w:t>
      </w:r>
    </w:p>
    <w:p>
      <w:pPr>
        <w:widowControl/>
        <w:adjustRightInd w:val="0"/>
        <w:snapToGrid w:val="0"/>
        <w:spacing w:line="340" w:lineRule="exact"/>
        <w:ind w:firstLine="440" w:firstLineChars="200"/>
        <w:rPr>
          <w:rFonts w:cs="Arial" w:asciiTheme="minorEastAsia" w:hAnsiTheme="minorEastAsia"/>
          <w:kern w:val="0"/>
          <w:sz w:val="22"/>
        </w:rPr>
      </w:pPr>
      <w:r>
        <w:rPr>
          <w:rFonts w:hint="eastAsia" w:asciiTheme="minorEastAsia" w:hAnsiTheme="minorEastAsia"/>
          <w:sz w:val="22"/>
        </w:rPr>
        <w:t>中国采购与招标网</w:t>
      </w:r>
      <w:r>
        <w:rPr>
          <w:rFonts w:asciiTheme="minorEastAsia" w:hAnsiTheme="minorEastAsia"/>
          <w:sz w:val="22"/>
        </w:rPr>
        <w:t xml:space="preserve">  </w:t>
      </w:r>
      <w:r>
        <w:fldChar w:fldCharType="begin"/>
      </w:r>
      <w:r>
        <w:instrText xml:space="preserve"> HYPERLINK "http://www.chinabidding.com.cn" </w:instrText>
      </w:r>
      <w:r>
        <w:fldChar w:fldCharType="separate"/>
      </w:r>
      <w:r>
        <w:rPr>
          <w:rFonts w:asciiTheme="minorEastAsia" w:hAnsiTheme="minorEastAsia"/>
          <w:sz w:val="22"/>
        </w:rPr>
        <w:t>http://www.chinabidding.com.cn</w:t>
      </w:r>
      <w:r>
        <w:rPr>
          <w:rFonts w:asciiTheme="minorEastAsia" w:hAnsiTheme="minorEastAsia"/>
          <w:sz w:val="22"/>
        </w:rPr>
        <w:fldChar w:fldCharType="end"/>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杭州萧山机场有限公司主页http://www.hzairport.com</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六、联系方式</w:t>
      </w:r>
    </w:p>
    <w:p>
      <w:pPr>
        <w:widowControl/>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投标联系人：贾思勰        联系电话： 0571-</w:t>
      </w:r>
      <w:r>
        <w:rPr>
          <w:rFonts w:asciiTheme="minorEastAsia" w:hAnsiTheme="minorEastAsia"/>
          <w:sz w:val="22"/>
        </w:rPr>
        <w:t>83837612</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招标监督人：阮周长       联系电话： </w:t>
      </w:r>
      <w:r>
        <w:rPr>
          <w:rFonts w:ascii="宋体" w:hAnsi="宋体"/>
          <w:sz w:val="22"/>
        </w:rPr>
        <w:t>0571-86662133</w:t>
      </w:r>
    </w:p>
    <w:p>
      <w:pPr>
        <w:pStyle w:val="51"/>
      </w:pPr>
      <w:r>
        <w:rPr>
          <w:rFonts w:hint="eastAsia" w:asciiTheme="minorEastAsia" w:hAnsiTheme="minorEastAsia"/>
          <w:bCs w:val="0"/>
          <w:sz w:val="22"/>
          <w:szCs w:val="22"/>
        </w:rPr>
        <w:t xml:space="preserve"> </w:t>
      </w: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240" w:lineRule="auto"/>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rPr>
              <w:t>办公用品采购配送供应商选聘项目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93"/>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w:t>
            </w:r>
            <w:r>
              <w:rPr>
                <w:rFonts w:ascii="宋体" w:hAnsi="宋体" w:cs="Calibri"/>
                <w:kern w:val="0"/>
                <w:sz w:val="22"/>
              </w:rPr>
              <w:t>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自</w:t>
            </w:r>
            <w:r>
              <w:rPr>
                <w:rFonts w:hint="eastAsia" w:ascii="宋体" w:hAnsi="宋体" w:cs="Arial"/>
                <w:kern w:val="0"/>
                <w:sz w:val="22"/>
              </w:rPr>
              <w:t>2</w:t>
            </w:r>
            <w:r>
              <w:rPr>
                <w:rFonts w:ascii="宋体" w:hAnsi="宋体" w:cs="Arial"/>
                <w:kern w:val="0"/>
                <w:sz w:val="22"/>
              </w:rPr>
              <w:t>020</w:t>
            </w:r>
            <w:r>
              <w:rPr>
                <w:rFonts w:hint="eastAsia" w:ascii="宋体" w:hAnsi="宋体" w:cs="Arial"/>
                <w:kern w:val="0"/>
                <w:sz w:val="22"/>
              </w:rPr>
              <w:t>年1月1日至2</w:t>
            </w:r>
            <w:r>
              <w:rPr>
                <w:rFonts w:ascii="宋体" w:hAnsi="宋体" w:cs="Arial"/>
                <w:kern w:val="0"/>
                <w:sz w:val="22"/>
              </w:rPr>
              <w:t>022</w:t>
            </w:r>
            <w:r>
              <w:rPr>
                <w:rFonts w:hint="eastAsia" w:ascii="宋体" w:hAnsi="宋体" w:cs="Arial"/>
                <w:kern w:val="0"/>
                <w:sz w:val="22"/>
              </w:rPr>
              <w:t>年1</w:t>
            </w:r>
            <w:r>
              <w:rPr>
                <w:rFonts w:ascii="宋体" w:hAnsi="宋体" w:cs="Arial"/>
                <w:kern w:val="0"/>
                <w:sz w:val="22"/>
              </w:rPr>
              <w:t>2</w:t>
            </w:r>
            <w:r>
              <w:rPr>
                <w:rFonts w:hint="eastAsia" w:ascii="宋体" w:hAnsi="宋体" w:cs="Arial"/>
                <w:kern w:val="0"/>
                <w:sz w:val="22"/>
              </w:rPr>
              <w:t>月3</w:t>
            </w:r>
            <w:r>
              <w:rPr>
                <w:rFonts w:ascii="宋体" w:hAnsi="宋体" w:cs="Arial"/>
                <w:kern w:val="0"/>
                <w:sz w:val="22"/>
              </w:rPr>
              <w:t>1</w:t>
            </w:r>
            <w:r>
              <w:rPr>
                <w:rFonts w:hint="eastAsia" w:ascii="宋体" w:hAnsi="宋体" w:cs="Arial"/>
                <w:kern w:val="0"/>
                <w:sz w:val="22"/>
              </w:rPr>
              <w:t>日止，共计3年</w:t>
            </w:r>
            <w:r>
              <w:rPr>
                <w:rFonts w:hint="eastAsia" w:ascii="宋体" w:hAnsi="宋体" w:cs="Calibri"/>
                <w:kern w:val="0"/>
                <w:sz w:val="22"/>
              </w:rPr>
              <w:t>。其间，次年4月，招标人组织对供应商上一年度进行考核，考核不达标的，终止合同。在服务期能满足招标人每周一次上门送货至招标人指定地点的基本条件，响应招标人7*24小时紧急需求到货服务。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w:t>
            </w:r>
            <w:r>
              <w:rPr>
                <w:rFonts w:hint="eastAsia" w:asciiTheme="minorEastAsia" w:hAnsiTheme="minorEastAsia"/>
                <w:sz w:val="22"/>
                <w:u w:val="single"/>
              </w:rPr>
              <w:t>质量</w:t>
            </w:r>
            <w:r>
              <w:rPr>
                <w:rFonts w:hint="eastAsia" w:asciiTheme="minorEastAsia" w:hAnsi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201</w:t>
            </w:r>
            <w:r>
              <w:rPr>
                <w:rFonts w:ascii="宋体" w:hAnsi="宋体" w:cs="Calibri"/>
                <w:kern w:val="0"/>
                <w:sz w:val="22"/>
              </w:rPr>
              <w:t>9</w:t>
            </w:r>
            <w:r>
              <w:rPr>
                <w:rFonts w:hint="eastAsia" w:ascii="宋体" w:hAnsi="宋体" w:cs="Calibri"/>
                <w:kern w:val="0"/>
                <w:sz w:val="22"/>
              </w:rPr>
              <w:t>年</w:t>
            </w:r>
            <w:r>
              <w:rPr>
                <w:rFonts w:hint="eastAsia" w:ascii="宋体" w:hAnsi="宋体" w:cs="Calibri"/>
                <w:kern w:val="0"/>
                <w:sz w:val="22"/>
                <w:lang w:val="en-US" w:eastAsia="zh-CN"/>
              </w:rPr>
              <w:t>12</w:t>
            </w:r>
            <w:r>
              <w:rPr>
                <w:rFonts w:hint="eastAsia" w:ascii="宋体" w:hAnsi="宋体" w:cs="Calibri"/>
                <w:kern w:val="0"/>
                <w:sz w:val="22"/>
              </w:rPr>
              <w:t>月</w:t>
            </w:r>
            <w:r>
              <w:rPr>
                <w:rFonts w:hint="eastAsia" w:ascii="宋体" w:hAnsi="宋体" w:cs="Calibri"/>
                <w:kern w:val="0"/>
                <w:sz w:val="22"/>
                <w:lang w:val="en-US" w:eastAsia="zh-CN"/>
              </w:rPr>
              <w:t>11</w:t>
            </w:r>
            <w:r>
              <w:rPr>
                <w:rFonts w:hint="eastAsia" w:ascii="宋体" w:hAnsi="宋体" w:cs="Calibri"/>
                <w:kern w:val="0"/>
                <w:sz w:val="22"/>
              </w:rPr>
              <w:t>日11：30前，以书面加盖公章的形式通过E-mail或传真提交给招标人（投标联系人:贾思勰，电话0571-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ascii="宋体" w:hAnsi="宋体" w:cs="Arial"/>
                <w:kern w:val="0"/>
                <w:sz w:val="22"/>
              </w:rPr>
              <w:t>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日上午9时</w:t>
            </w:r>
            <w:r>
              <w:rPr>
                <w:rFonts w:hint="eastAsia" w:ascii="宋体" w:hAnsi="宋体" w:cs="Arial"/>
                <w:kern w:val="0"/>
                <w:sz w:val="22"/>
                <w:lang w:val="en-US" w:eastAsia="zh-CN"/>
              </w:rPr>
              <w:t>15</w:t>
            </w:r>
            <w:r>
              <w:rPr>
                <w:rFonts w:hint="eastAsia" w:ascii="宋体" w:hAnsi="宋体" w:cs="Arial"/>
                <w:kern w:val="0"/>
                <w:sz w:val="2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杭州萧山国际机场办公用品采购配送供应商选聘</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hint="eastAsia" w:ascii="宋体" w:hAnsi="宋体" w:cs="Arial"/>
                <w:kern w:val="0"/>
                <w:sz w:val="22"/>
              </w:rPr>
              <w:t>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日上午9时</w:t>
            </w:r>
            <w:r>
              <w:rPr>
                <w:rFonts w:hint="eastAsia" w:ascii="宋体" w:hAnsi="宋体" w:cs="Arial"/>
                <w:kern w:val="0"/>
                <w:sz w:val="22"/>
                <w:lang w:val="en-US" w:eastAsia="zh-CN"/>
              </w:rPr>
              <w:t>15</w:t>
            </w:r>
            <w:r>
              <w:rPr>
                <w:rFonts w:hint="eastAsia" w:ascii="宋体" w:hAnsi="宋体" w:cs="Arial"/>
                <w:kern w:val="0"/>
                <w:sz w:val="22"/>
              </w:rPr>
              <w:t>分</w:t>
            </w:r>
            <w:bookmarkStart w:id="102" w:name="_GoBack"/>
            <w:bookmarkEnd w:id="102"/>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否，推荐的中标候选人数：3人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人民币壹</w:t>
            </w:r>
            <w:r>
              <w:rPr>
                <w:rFonts w:ascii="宋体" w:hAnsi="宋体"/>
                <w:sz w:val="22"/>
              </w:rPr>
              <w:t>万元</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w:t>
            </w:r>
            <w:r>
              <w:rPr>
                <w:rFonts w:hint="eastAsia" w:ascii="宋体" w:hAnsi="宋体"/>
                <w:sz w:val="22"/>
              </w:rPr>
              <w:t>缴纳时限</w:t>
            </w:r>
            <w:r>
              <w:rPr>
                <w:rFonts w:ascii="宋体" w:hAnsi="宋体"/>
                <w:sz w:val="22"/>
              </w:rPr>
              <w:t>：自</w:t>
            </w:r>
            <w:r>
              <w:rPr>
                <w:rFonts w:hint="eastAsia" w:ascii="宋体" w:hAnsi="宋体"/>
                <w:sz w:val="22"/>
              </w:rPr>
              <w:t>中标</w:t>
            </w:r>
            <w:r>
              <w:rPr>
                <w:rFonts w:ascii="宋体" w:hAnsi="宋体"/>
                <w:sz w:val="22"/>
              </w:rPr>
              <w:t>通知书发出之日起15</w:t>
            </w:r>
            <w:r>
              <w:rPr>
                <w:rFonts w:hint="eastAsia" w:ascii="宋体" w:hAnsi="宋体"/>
                <w:sz w:val="22"/>
              </w:rPr>
              <w:t>日</w:t>
            </w:r>
            <w:r>
              <w:rPr>
                <w:rFonts w:ascii="宋体" w:hAnsi="宋体"/>
                <w:sz w:val="22"/>
              </w:rPr>
              <w:t>历日内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5241"/>
      <w:bookmarkStart w:id="14" w:name="_Toc143421657"/>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8870"/>
      <w:bookmarkStart w:id="19" w:name="_Toc143421658"/>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Calibri"/>
          <w:sz w:val="22"/>
        </w:rPr>
      </w:pPr>
      <w:r>
        <w:rPr>
          <w:rFonts w:hint="eastAsia" w:ascii="宋体" w:hAnsi="宋体" w:cs="Calibri"/>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投标人须提供2018年末3个月的企业依法纳税、依法缴纳社保记录凭证。</w:t>
      </w:r>
    </w:p>
    <w:p>
      <w:pPr>
        <w:adjustRightInd w:val="0"/>
        <w:snapToGrid w:val="0"/>
        <w:spacing w:line="360" w:lineRule="exact"/>
        <w:ind w:firstLine="440"/>
        <w:rPr>
          <w:rFonts w:ascii="宋体" w:hAnsi="宋体" w:cs="Arial"/>
          <w:kern w:val="0"/>
          <w:sz w:val="22"/>
        </w:rPr>
      </w:pPr>
      <w:r>
        <w:rPr>
          <w:rFonts w:hint="eastAsia" w:cs="Calibri" w:asciiTheme="minorEastAsia" w:hAnsiTheme="minorEastAsia"/>
          <w:color w:val="000000"/>
          <w:sz w:val="22"/>
        </w:rPr>
        <w:t>（3）</w:t>
      </w:r>
      <w:r>
        <w:rPr>
          <w:rFonts w:hint="eastAsia" w:ascii="宋体" w:hAnsi="宋体" w:cs="Arial"/>
          <w:kern w:val="0"/>
          <w:sz w:val="22"/>
        </w:rPr>
        <w:t>投标人须具有类似办公用品定点采购配送项目的供货业绩（需提供中标通知书或合同复印件并加盖投标人公章作为证明材料，原件备查）</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 xml:space="preserve"> (4)</w:t>
      </w:r>
      <w:r>
        <w:rPr>
          <w:rFonts w:cs="Calibri" w:asciiTheme="minorEastAsia" w:hAnsiTheme="minorEastAsia"/>
          <w:color w:val="000000"/>
          <w:sz w:val="22"/>
        </w:rPr>
        <w:t>服务承诺函原件。</w:t>
      </w:r>
    </w:p>
    <w:p>
      <w:pPr>
        <w:adjustRightInd w:val="0"/>
        <w:snapToGrid w:val="0"/>
        <w:spacing w:line="360" w:lineRule="exact"/>
        <w:ind w:firstLine="440"/>
        <w:rPr>
          <w:rFonts w:ascii="宋体" w:hAnsi="宋体" w:cs="Calibri"/>
          <w:sz w:val="22"/>
        </w:rPr>
      </w:pPr>
      <w:r>
        <w:rPr>
          <w:rFonts w:hint="eastAsia" w:ascii="宋体" w:hAnsi="宋体" w:cs="Calibri"/>
          <w:sz w:val="22"/>
        </w:rPr>
        <w:t xml:space="preserve"> (5)廉洁自律承诺书。</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3.2.9优惠条件：投标人承诺给予用户的其他优惠条款，包括付款条件、培训服务、质量保证期等方面的优惠；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3.2.10</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20123241"/>
      <w:bookmarkStart w:id="44" w:name="_Toc219809801"/>
      <w:bookmarkStart w:id="45"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19809802"/>
      <w:bookmarkStart w:id="47" w:name="_Toc15553"/>
      <w:bookmarkStart w:id="48" w:name="_Toc22012324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18806"/>
      <w:bookmarkStart w:id="50" w:name="_Toc220123243"/>
      <w:bookmarkStart w:id="51" w:name="_Toc21980980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19809804"/>
      <w:bookmarkStart w:id="53" w:name="_Toc215941254"/>
      <w:bookmarkStart w:id="54" w:name="_Toc2986"/>
      <w:bookmarkStart w:id="55" w:name="_Toc22012324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5509"/>
      <w:bookmarkStart w:id="57" w:name="_Toc219809805"/>
      <w:bookmarkStart w:id="58" w:name="_Toc22012324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10820"/>
      <w:bookmarkStart w:id="61" w:name="_Toc22012324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20123247"/>
      <w:bookmarkStart w:id="63" w:name="_Toc10756"/>
      <w:bookmarkStart w:id="64" w:name="_Toc21980980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20123248"/>
      <w:bookmarkStart w:id="66" w:name="_Toc12792"/>
      <w:bookmarkStart w:id="67" w:name="_Toc21980980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39"/>
      <w:bookmarkStart w:id="69" w:name="_Toc219809809"/>
      <w:bookmarkStart w:id="70" w:name="_Toc22012324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2" w:name="_Toc321925453"/>
      <w:r>
        <w:t>第</w:t>
      </w:r>
      <w:r>
        <w:rPr>
          <w:rFonts w:hint="eastAsia"/>
        </w:rPr>
        <w:t>三</w:t>
      </w:r>
      <w:r>
        <w:t>章  货物需求一览表及技术规格</w:t>
      </w:r>
      <w:bookmarkEnd w:id="72"/>
    </w:p>
    <w:p>
      <w:pPr>
        <w:spacing w:line="360" w:lineRule="auto"/>
        <w:rPr>
          <w:b/>
        </w:rPr>
      </w:pPr>
      <w:r>
        <w:rPr>
          <w:rFonts w:hint="eastAsia"/>
          <w:b/>
        </w:rPr>
        <w:t>一、项目背景</w:t>
      </w:r>
    </w:p>
    <w:p>
      <w:pPr>
        <w:adjustRightInd w:val="0"/>
        <w:snapToGrid w:val="0"/>
        <w:spacing w:line="400" w:lineRule="exact"/>
        <w:ind w:firstLine="420" w:firstLineChars="200"/>
        <w:rPr>
          <w:rFonts w:ascii="宋体" w:hAnsi="宋体"/>
          <w:szCs w:val="21"/>
        </w:rPr>
      </w:pPr>
      <w:r>
        <w:rPr>
          <w:rFonts w:hint="eastAsia" w:ascii="宋体" w:hAnsi="宋体"/>
          <w:szCs w:val="21"/>
        </w:rPr>
        <w:t>通过招标选择办公用品</w:t>
      </w:r>
      <w:r>
        <w:rPr>
          <w:rFonts w:ascii="宋体" w:hAnsi="宋体"/>
          <w:szCs w:val="21"/>
        </w:rPr>
        <w:t>配送的</w:t>
      </w:r>
      <w:r>
        <w:rPr>
          <w:rFonts w:hint="eastAsia" w:ascii="宋体" w:hAnsi="宋体"/>
          <w:szCs w:val="21"/>
        </w:rPr>
        <w:t>供应商后，签订</w:t>
      </w:r>
      <w:r>
        <w:rPr>
          <w:rFonts w:ascii="宋体" w:hAnsi="宋体"/>
          <w:szCs w:val="21"/>
        </w:rPr>
        <w:t>框架协议，</w:t>
      </w:r>
      <w:r>
        <w:rPr>
          <w:rFonts w:hint="eastAsia" w:ascii="宋体" w:hAnsi="宋体"/>
          <w:szCs w:val="21"/>
        </w:rPr>
        <w:t>由杭州萧山</w:t>
      </w:r>
      <w:r>
        <w:rPr>
          <w:rFonts w:ascii="宋体" w:hAnsi="宋体"/>
          <w:szCs w:val="21"/>
        </w:rPr>
        <w:t>国际机场</w:t>
      </w:r>
      <w:r>
        <w:rPr>
          <w:rFonts w:hint="eastAsia" w:ascii="宋体" w:hAnsi="宋体"/>
          <w:szCs w:val="21"/>
        </w:rPr>
        <w:t>各部门（均</w:t>
      </w:r>
      <w:r>
        <w:rPr>
          <w:rFonts w:ascii="宋体" w:hAnsi="宋体"/>
          <w:szCs w:val="21"/>
        </w:rPr>
        <w:t>在杭州萧山国际机场内</w:t>
      </w:r>
      <w:r>
        <w:rPr>
          <w:rFonts w:hint="eastAsia" w:ascii="宋体" w:hAnsi="宋体"/>
          <w:szCs w:val="21"/>
        </w:rPr>
        <w:t>）根据</w:t>
      </w:r>
      <w:r>
        <w:rPr>
          <w:rFonts w:ascii="宋体" w:hAnsi="宋体"/>
          <w:szCs w:val="21"/>
        </w:rPr>
        <w:t>采购需求</w:t>
      </w:r>
      <w:r>
        <w:rPr>
          <w:rFonts w:hint="eastAsia" w:ascii="宋体" w:hAnsi="宋体"/>
          <w:szCs w:val="21"/>
        </w:rPr>
        <w:t>单独下达订单，中标供应商需根据各部门订单下达情况单独给各个使用部门送货。</w:t>
      </w:r>
      <w:r>
        <w:rPr>
          <w:rFonts w:ascii="宋体" w:hAnsi="宋体"/>
          <w:szCs w:val="21"/>
        </w:rPr>
        <w:t>费用按月结算</w:t>
      </w:r>
      <w:r>
        <w:rPr>
          <w:rFonts w:hint="eastAsia" w:ascii="宋体" w:hAnsi="宋体"/>
          <w:szCs w:val="21"/>
        </w:rPr>
        <w:t>，</w:t>
      </w:r>
      <w:r>
        <w:rPr>
          <w:rFonts w:ascii="宋体" w:hAnsi="宋体"/>
          <w:szCs w:val="21"/>
        </w:rPr>
        <w:t>月底</w:t>
      </w:r>
      <w:r>
        <w:rPr>
          <w:rFonts w:hint="eastAsia" w:ascii="宋体" w:hAnsi="宋体"/>
          <w:szCs w:val="21"/>
        </w:rPr>
        <w:t>由中标单位</w:t>
      </w:r>
      <w:r>
        <w:rPr>
          <w:rFonts w:ascii="宋体" w:hAnsi="宋体"/>
          <w:szCs w:val="21"/>
        </w:rPr>
        <w:t>开具</w:t>
      </w:r>
      <w:r>
        <w:rPr>
          <w:rFonts w:hint="eastAsia" w:ascii="宋体" w:hAnsi="宋体"/>
          <w:szCs w:val="21"/>
        </w:rPr>
        <w:t>增值税专用发票，由各采购</w:t>
      </w:r>
      <w:r>
        <w:rPr>
          <w:rFonts w:ascii="宋体" w:hAnsi="宋体"/>
          <w:szCs w:val="21"/>
        </w:rPr>
        <w:t>部门</w:t>
      </w:r>
      <w:r>
        <w:rPr>
          <w:rFonts w:hint="eastAsia" w:ascii="宋体" w:hAnsi="宋体"/>
          <w:szCs w:val="21"/>
        </w:rPr>
        <w:t>自行</w:t>
      </w:r>
      <w:r>
        <w:rPr>
          <w:rFonts w:ascii="宋体" w:hAnsi="宋体"/>
          <w:szCs w:val="21"/>
        </w:rPr>
        <w:t>结算</w:t>
      </w:r>
      <w:r>
        <w:rPr>
          <w:rFonts w:hint="eastAsia" w:ascii="宋体" w:hAnsi="宋体"/>
          <w:szCs w:val="21"/>
        </w:rPr>
        <w:t>。</w:t>
      </w:r>
    </w:p>
    <w:p>
      <w:pPr>
        <w:adjustRightInd w:val="0"/>
        <w:snapToGrid w:val="0"/>
        <w:spacing w:line="400" w:lineRule="exact"/>
        <w:ind w:firstLine="420" w:firstLineChars="200"/>
        <w:rPr>
          <w:rFonts w:ascii="宋体" w:hAnsi="宋体"/>
          <w:szCs w:val="21"/>
        </w:rPr>
      </w:pPr>
      <w:r>
        <w:rPr>
          <w:rFonts w:hint="eastAsia" w:ascii="宋体" w:hAnsi="宋体"/>
          <w:szCs w:val="21"/>
        </w:rPr>
        <w:t>办公用品</w:t>
      </w:r>
      <w:r>
        <w:rPr>
          <w:rFonts w:ascii="宋体" w:hAnsi="宋体"/>
          <w:szCs w:val="21"/>
        </w:rPr>
        <w:t>是指</w:t>
      </w:r>
      <w:r>
        <w:rPr>
          <w:rFonts w:hint="eastAsia" w:ascii="宋体" w:hAnsi="宋体"/>
          <w:szCs w:val="21"/>
        </w:rPr>
        <w:t>日常工作中所需使用的文件档案用品、桌上用品等辅助用品，主要内容见项目清单。</w:t>
      </w:r>
    </w:p>
    <w:p>
      <w:pPr>
        <w:spacing w:line="360" w:lineRule="auto"/>
        <w:rPr>
          <w:b/>
        </w:rPr>
      </w:pPr>
      <w:r>
        <w:rPr>
          <w:rFonts w:hint="eastAsia"/>
          <w:b/>
        </w:rPr>
        <w:t>二</w:t>
      </w:r>
      <w:r>
        <w:rPr>
          <w:b/>
        </w:rPr>
        <w:t>、</w:t>
      </w:r>
      <w:r>
        <w:rPr>
          <w:rFonts w:hint="eastAsia"/>
          <w:b/>
        </w:rPr>
        <w:t>项目</w:t>
      </w:r>
      <w:r>
        <w:rPr>
          <w:b/>
        </w:rPr>
        <w:t>清单</w:t>
      </w:r>
    </w:p>
    <w:p>
      <w:pPr>
        <w:spacing w:line="360" w:lineRule="auto"/>
        <w:ind w:firstLine="420" w:firstLineChars="200"/>
        <w:jc w:val="left"/>
        <w:rPr>
          <w:rFonts w:ascii="宋体" w:hAnsi="宋体"/>
          <w:b/>
          <w:szCs w:val="21"/>
        </w:rPr>
      </w:pPr>
      <w:r>
        <w:rPr>
          <w:rFonts w:hint="eastAsia" w:ascii="宋体" w:hAnsi="宋体"/>
          <w:b/>
          <w:szCs w:val="21"/>
        </w:rPr>
        <w:t>项目清单（</w:t>
      </w:r>
      <w:r>
        <w:rPr>
          <w:rFonts w:hint="eastAsia" w:ascii="宋体" w:hAnsi="宋体"/>
          <w:b/>
          <w:sz w:val="22"/>
        </w:rPr>
        <w:t>杭州萧山国际机场有限公司办公用品定点采购产品清单）</w:t>
      </w:r>
      <w:r>
        <w:rPr>
          <w:rFonts w:hint="eastAsia" w:ascii="宋体" w:hAnsi="宋体"/>
          <w:b/>
          <w:szCs w:val="21"/>
        </w:rPr>
        <w:t>详见附件1。</w:t>
      </w:r>
    </w:p>
    <w:p>
      <w:pPr>
        <w:adjustRightInd w:val="0"/>
        <w:snapToGrid w:val="0"/>
        <w:spacing w:line="360" w:lineRule="auto"/>
        <w:rPr>
          <w:rFonts w:ascii="宋体" w:hAnsi="宋体"/>
          <w:b/>
          <w:szCs w:val="21"/>
        </w:rPr>
      </w:pPr>
      <w:r>
        <w:rPr>
          <w:rFonts w:hint="eastAsia" w:ascii="宋体" w:hAnsi="宋体"/>
          <w:b/>
          <w:szCs w:val="21"/>
        </w:rPr>
        <w:t xml:space="preserve">    1.</w:t>
      </w:r>
      <w:r>
        <w:rPr>
          <w:b/>
        </w:rPr>
        <w:t>按</w:t>
      </w:r>
      <w:r>
        <w:rPr>
          <w:rFonts w:hint="eastAsia"/>
          <w:b/>
        </w:rPr>
        <w:t>此</w:t>
      </w:r>
      <w:r>
        <w:rPr>
          <w:b/>
        </w:rPr>
        <w:t>项目清单所列品牌型号</w:t>
      </w:r>
      <w:r>
        <w:rPr>
          <w:rFonts w:hint="eastAsia"/>
          <w:b/>
        </w:rPr>
        <w:t>等填写</w:t>
      </w:r>
      <w:r>
        <w:rPr>
          <w:b/>
        </w:rPr>
        <w:t>报价表。</w:t>
      </w:r>
      <w:r>
        <w:rPr>
          <w:rFonts w:hint="eastAsia"/>
          <w:b/>
        </w:rPr>
        <w:t>报价表</w:t>
      </w:r>
      <w:r>
        <w:rPr>
          <w:b/>
        </w:rPr>
        <w:t>格式附后，见</w:t>
      </w:r>
      <w:r>
        <w:rPr>
          <w:rFonts w:hint="eastAsia"/>
          <w:b/>
        </w:rPr>
        <w:t>“</w:t>
      </w:r>
      <w:r>
        <w:rPr>
          <w:b/>
        </w:rPr>
        <w:t>第</w:t>
      </w:r>
      <w:r>
        <w:rPr>
          <w:rFonts w:hint="eastAsia"/>
          <w:b/>
        </w:rPr>
        <w:t>六章</w:t>
      </w:r>
      <w:r>
        <w:rPr>
          <w:b/>
        </w:rPr>
        <w:t>投标文件格式</w:t>
      </w:r>
      <w:r>
        <w:rPr>
          <w:rFonts w:hint="eastAsia"/>
          <w:b/>
        </w:rPr>
        <w:t>”第4项“</w:t>
      </w:r>
      <w:r>
        <w:rPr>
          <w:rFonts w:hint="eastAsia" w:ascii="宋体" w:hAnsi="宋体"/>
          <w:b/>
          <w:szCs w:val="21"/>
        </w:rPr>
        <w:t>投标报价汇总表”。上述列表中的“年采购量预估”为预估数量，不作为最终的成交数量,也</w:t>
      </w:r>
      <w:r>
        <w:rPr>
          <w:rFonts w:ascii="宋体" w:hAnsi="宋体"/>
          <w:b/>
          <w:szCs w:val="21"/>
        </w:rPr>
        <w:t>不作为合同期内最低</w:t>
      </w:r>
      <w:r>
        <w:rPr>
          <w:rFonts w:hint="eastAsia" w:ascii="宋体" w:hAnsi="宋体"/>
          <w:b/>
          <w:szCs w:val="21"/>
        </w:rPr>
        <w:t>采购</w:t>
      </w:r>
      <w:r>
        <w:rPr>
          <w:rFonts w:ascii="宋体" w:hAnsi="宋体"/>
          <w:b/>
          <w:szCs w:val="21"/>
        </w:rPr>
        <w:t>额度</w:t>
      </w:r>
      <w:r>
        <w:rPr>
          <w:rFonts w:hint="eastAsia" w:ascii="宋体" w:hAnsi="宋体"/>
          <w:b/>
          <w:szCs w:val="21"/>
        </w:rPr>
        <w:t>。</w:t>
      </w:r>
    </w:p>
    <w:p>
      <w:pPr>
        <w:adjustRightInd w:val="0"/>
        <w:snapToGrid w:val="0"/>
        <w:spacing w:line="360" w:lineRule="auto"/>
        <w:rPr>
          <w:rFonts w:ascii="宋体" w:hAnsi="宋体"/>
          <w:b/>
          <w:szCs w:val="21"/>
        </w:rPr>
      </w:pPr>
      <w:r>
        <w:rPr>
          <w:rFonts w:hint="eastAsia" w:ascii="宋体" w:hAnsi="宋体"/>
          <w:b/>
          <w:szCs w:val="21"/>
        </w:rPr>
        <w:t xml:space="preserve">    </w:t>
      </w:r>
      <w:r>
        <w:rPr>
          <w:rFonts w:ascii="宋体" w:hAnsi="宋体"/>
          <w:b/>
          <w:szCs w:val="21"/>
        </w:rPr>
        <w:t>2.</w:t>
      </w:r>
      <w:r>
        <w:rPr>
          <w:rFonts w:hint="eastAsia" w:ascii="宋体" w:hAnsi="宋体"/>
          <w:b/>
          <w:szCs w:val="21"/>
        </w:rPr>
        <w:t>全年实际</w:t>
      </w:r>
      <w:r>
        <w:rPr>
          <w:rFonts w:ascii="宋体" w:hAnsi="宋体"/>
          <w:b/>
          <w:szCs w:val="21"/>
        </w:rPr>
        <w:t>采购办公用品的品种和数量以采购部门的采购单为准</w:t>
      </w:r>
      <w:r>
        <w:rPr>
          <w:rFonts w:hint="eastAsia" w:ascii="宋体" w:hAnsi="宋体"/>
          <w:b/>
          <w:szCs w:val="21"/>
        </w:rPr>
        <w:t>，</w:t>
      </w:r>
      <w:r>
        <w:rPr>
          <w:rFonts w:ascii="宋体" w:hAnsi="宋体"/>
          <w:b/>
          <w:szCs w:val="21"/>
        </w:rPr>
        <w:t>按实结算</w:t>
      </w:r>
      <w:r>
        <w:rPr>
          <w:rFonts w:hint="eastAsia" w:ascii="宋体" w:hAnsi="宋体"/>
          <w:b/>
          <w:szCs w:val="21"/>
        </w:rPr>
        <w:t>。</w:t>
      </w:r>
    </w:p>
    <w:p>
      <w:pPr>
        <w:adjustRightInd w:val="0"/>
        <w:snapToGrid w:val="0"/>
        <w:spacing w:line="360" w:lineRule="auto"/>
        <w:rPr>
          <w:rFonts w:ascii="宋体" w:hAnsi="宋体"/>
          <w:b/>
          <w:szCs w:val="21"/>
        </w:rPr>
      </w:pPr>
      <w:r>
        <w:rPr>
          <w:rFonts w:hint="eastAsia" w:ascii="宋体" w:hAnsi="宋体"/>
          <w:b/>
          <w:szCs w:val="21"/>
        </w:rPr>
        <w:t xml:space="preserve">    </w:t>
      </w:r>
      <w:r>
        <w:rPr>
          <w:rFonts w:ascii="宋体" w:hAnsi="宋体"/>
          <w:b/>
          <w:szCs w:val="21"/>
        </w:rPr>
        <w:t>3.</w:t>
      </w:r>
      <w:r>
        <w:rPr>
          <w:rFonts w:hint="eastAsia" w:ascii="宋体" w:hAnsi="宋体"/>
          <w:b/>
          <w:szCs w:val="21"/>
        </w:rPr>
        <w:t>中标供应商需按承诺周期和服务送货,并保证所供办公用品均为正品。</w:t>
      </w:r>
    </w:p>
    <w:p>
      <w:pPr>
        <w:adjustRightInd w:val="0"/>
        <w:snapToGrid w:val="0"/>
        <w:spacing w:line="360" w:lineRule="auto"/>
        <w:rPr>
          <w:rFonts w:ascii="宋体" w:hAnsi="宋体"/>
          <w:b/>
        </w:rPr>
      </w:pPr>
      <w:r>
        <w:rPr>
          <w:rFonts w:hint="eastAsia" w:ascii="宋体" w:hAnsi="宋体"/>
          <w:b/>
        </w:rPr>
        <w:t>三、项目要求</w:t>
      </w:r>
    </w:p>
    <w:p>
      <w:pPr>
        <w:adjustRightInd w:val="0"/>
        <w:snapToGrid w:val="0"/>
        <w:spacing w:line="360" w:lineRule="auto"/>
        <w:rPr>
          <w:rFonts w:ascii="宋体" w:hAnsi="宋体"/>
          <w:szCs w:val="21"/>
        </w:rPr>
      </w:pPr>
      <w:r>
        <w:rPr>
          <w:rFonts w:ascii="宋体" w:hAnsi="宋体" w:cs="Calibri"/>
          <w:kern w:val="0"/>
          <w:sz w:val="22"/>
        </w:rPr>
        <w:t>★</w:t>
      </w:r>
      <w:r>
        <w:rPr>
          <w:rFonts w:hint="eastAsia" w:ascii="宋体" w:hAnsi="宋体"/>
          <w:szCs w:val="21"/>
        </w:rPr>
        <w:t>1.供货响应时间：在服务期能满足招标人</w:t>
      </w:r>
      <w:r>
        <w:rPr>
          <w:rFonts w:hint="eastAsia" w:ascii="宋体" w:hAnsi="宋体"/>
          <w:szCs w:val="21"/>
          <w:shd w:val="clear" w:color="auto" w:fill="E7E6E6" w:themeFill="background2"/>
        </w:rPr>
        <w:t>每周一次上门送</w:t>
      </w:r>
      <w:r>
        <w:rPr>
          <w:rFonts w:hint="eastAsia" w:ascii="宋体" w:hAnsi="宋体"/>
          <w:szCs w:val="21"/>
        </w:rPr>
        <w:t>货至招标人指定地点的基本条件。响应招标人7*24小时紧急需求到货服务。</w:t>
      </w:r>
    </w:p>
    <w:p>
      <w:pPr>
        <w:adjustRightInd w:val="0"/>
        <w:snapToGrid w:val="0"/>
        <w:spacing w:line="360" w:lineRule="auto"/>
        <w:rPr>
          <w:rFonts w:ascii="宋体" w:hAnsi="宋体"/>
          <w:szCs w:val="21"/>
        </w:rPr>
      </w:pPr>
      <w:r>
        <w:rPr>
          <w:rFonts w:hint="eastAsia" w:ascii="宋体" w:hAnsi="宋体"/>
          <w:szCs w:val="21"/>
        </w:rPr>
        <w:t>2.供应商应确保供货物资的质量符合国家有关规定，不得提供冒牌及不合格产品，否则一旦查实，招标人有权取消其入围资格，并要求赔偿相应损失。</w:t>
      </w:r>
    </w:p>
    <w:p>
      <w:pPr>
        <w:adjustRightInd w:val="0"/>
        <w:snapToGrid w:val="0"/>
        <w:spacing w:line="360" w:lineRule="auto"/>
        <w:rPr>
          <w:rFonts w:ascii="宋体" w:hAnsi="宋体"/>
          <w:szCs w:val="21"/>
        </w:rPr>
      </w:pPr>
      <w:r>
        <w:rPr>
          <w:rFonts w:hint="eastAsia" w:ascii="宋体" w:hAnsi="宋体"/>
          <w:szCs w:val="21"/>
        </w:rPr>
        <w:t>3.投标人还应提供优质的售后服务，配备专门的服务团队及项目负责人，并提供售后服务方案。</w:t>
      </w:r>
    </w:p>
    <w:p>
      <w:pPr>
        <w:adjustRightInd w:val="0"/>
        <w:snapToGrid w:val="0"/>
        <w:spacing w:line="360" w:lineRule="auto"/>
        <w:rPr>
          <w:rFonts w:ascii="宋体" w:hAnsi="宋体"/>
          <w:b/>
          <w:szCs w:val="21"/>
        </w:rPr>
      </w:pPr>
      <w:r>
        <w:rPr>
          <w:rFonts w:hint="eastAsia" w:ascii="宋体" w:hAnsi="宋体"/>
          <w:b/>
          <w:szCs w:val="21"/>
        </w:rPr>
        <w:t>四</w:t>
      </w:r>
      <w:r>
        <w:rPr>
          <w:rFonts w:ascii="宋体" w:hAnsi="宋体"/>
          <w:b/>
          <w:szCs w:val="21"/>
        </w:rPr>
        <w:t>、配送</w:t>
      </w:r>
      <w:r>
        <w:rPr>
          <w:rFonts w:hint="eastAsia" w:ascii="宋体" w:hAnsi="宋体"/>
          <w:b/>
          <w:szCs w:val="21"/>
        </w:rPr>
        <w:t>流程及</w:t>
      </w:r>
      <w:r>
        <w:rPr>
          <w:rFonts w:ascii="宋体" w:hAnsi="宋体"/>
          <w:b/>
          <w:szCs w:val="21"/>
        </w:rPr>
        <w:t>验收</w:t>
      </w:r>
    </w:p>
    <w:p>
      <w:pPr>
        <w:spacing w:line="360" w:lineRule="auto"/>
        <w:rPr>
          <w:szCs w:val="21"/>
        </w:rPr>
      </w:pPr>
      <w:r>
        <w:rPr>
          <w:rFonts w:hint="eastAsia"/>
          <w:szCs w:val="21"/>
        </w:rPr>
        <w:t>1．由杭州萧山国际机场各使用部门单独下达采购单。采购订单详列明具体物品的名称、品牌、型号、数量、采购部门、联系人等情况。</w:t>
      </w:r>
    </w:p>
    <w:p>
      <w:pPr>
        <w:spacing w:line="360" w:lineRule="auto"/>
        <w:rPr>
          <w:szCs w:val="21"/>
        </w:rPr>
      </w:pPr>
      <w:r>
        <w:rPr>
          <w:rFonts w:hint="eastAsia"/>
          <w:szCs w:val="21"/>
        </w:rPr>
        <w:t>2．中标方根据杭州萧山国际机场各使用部门订单下达情况，安排每周一次上门送货时间，具体安排在每周的周三（节假日除外）。如有订购导致延迟供货，需与使用部门沟通并告知归口管理部门。</w:t>
      </w:r>
    </w:p>
    <w:p>
      <w:pPr>
        <w:spacing w:line="360" w:lineRule="auto"/>
        <w:rPr>
          <w:szCs w:val="21"/>
        </w:rPr>
      </w:pPr>
      <w:r>
        <w:rPr>
          <w:rFonts w:hint="eastAsia"/>
          <w:szCs w:val="21"/>
        </w:rPr>
        <w:t>3．中标方交货前应对货物做出全面检查。使用部门待货物到齐并验收合格后，在签收单上签字确认。验收期间如发现质量问题或</w:t>
      </w:r>
      <w:r>
        <w:rPr>
          <w:szCs w:val="21"/>
        </w:rPr>
        <w:t>出现配送失误</w:t>
      </w:r>
      <w:r>
        <w:rPr>
          <w:rFonts w:hint="eastAsia"/>
          <w:szCs w:val="21"/>
        </w:rPr>
        <w:t>，招标人有权要求供应商无偿更换，直至满意为止。</w:t>
      </w:r>
    </w:p>
    <w:p>
      <w:pPr>
        <w:spacing w:line="360" w:lineRule="auto"/>
        <w:rPr>
          <w:szCs w:val="21"/>
        </w:rPr>
      </w:pPr>
      <w:r>
        <w:rPr>
          <w:rFonts w:hint="eastAsia"/>
          <w:szCs w:val="21"/>
        </w:rPr>
        <w:t>4．紧急需求响应：除每周一次上门送货日外，中标方需保障使用部门提出的紧急需求，并提供7*24小时的紧急响应服务。</w:t>
      </w:r>
    </w:p>
    <w:p>
      <w:pPr>
        <w:spacing w:line="360" w:lineRule="auto"/>
        <w:rPr>
          <w:szCs w:val="21"/>
        </w:rPr>
      </w:pPr>
      <w:r>
        <w:rPr>
          <w:rFonts w:hint="eastAsia"/>
          <w:szCs w:val="21"/>
        </w:rPr>
        <w:t>5.送货地址为：杭州萧山国际机场内，各使用部门具体配送地址及相应联系人由招标人提供。</w:t>
      </w:r>
    </w:p>
    <w:p>
      <w:pPr>
        <w:spacing w:line="360" w:lineRule="auto"/>
        <w:rPr>
          <w:szCs w:val="21"/>
        </w:rPr>
      </w:pPr>
      <w:r>
        <w:rPr>
          <w:rFonts w:hint="eastAsia"/>
          <w:szCs w:val="21"/>
        </w:rPr>
        <w:t>6.投标人应制定专人负责与招标人的业务联络及跟进。</w:t>
      </w:r>
    </w:p>
    <w:p>
      <w:pPr>
        <w:spacing w:line="360" w:lineRule="auto"/>
        <w:rPr>
          <w:szCs w:val="21"/>
        </w:rPr>
      </w:pPr>
      <w:r>
        <w:rPr>
          <w:rFonts w:hint="eastAsia"/>
          <w:szCs w:val="21"/>
        </w:rPr>
        <w:t>7</w:t>
      </w:r>
      <w:r>
        <w:rPr>
          <w:szCs w:val="21"/>
        </w:rPr>
        <w:t xml:space="preserve">. </w:t>
      </w:r>
      <w:r>
        <w:rPr>
          <w:rFonts w:hint="eastAsia"/>
          <w:szCs w:val="21"/>
        </w:rPr>
        <w:t>所有货物供应均须依照招标人的采购单。</w:t>
      </w:r>
    </w:p>
    <w:p>
      <w:pPr>
        <w:spacing w:line="360" w:lineRule="auto"/>
        <w:rPr>
          <w:b/>
          <w:szCs w:val="21"/>
        </w:rPr>
      </w:pPr>
      <w:r>
        <w:rPr>
          <w:rFonts w:hint="eastAsia"/>
          <w:b/>
          <w:szCs w:val="21"/>
        </w:rPr>
        <w:t>五、注意事项</w:t>
      </w:r>
    </w:p>
    <w:p>
      <w:pPr>
        <w:numPr>
          <w:ilvl w:val="0"/>
          <w:numId w:val="5"/>
        </w:numPr>
        <w:tabs>
          <w:tab w:val="left" w:pos="709"/>
        </w:tabs>
        <w:adjustRightInd w:val="0"/>
        <w:snapToGrid w:val="0"/>
        <w:spacing w:line="360" w:lineRule="auto"/>
        <w:ind w:left="0" w:firstLine="420" w:firstLineChars="200"/>
        <w:rPr>
          <w:rFonts w:ascii="宋体" w:hAnsi="宋体"/>
          <w:szCs w:val="21"/>
        </w:rPr>
      </w:pPr>
      <w:r>
        <w:rPr>
          <w:rFonts w:ascii="宋体" w:hAnsi="宋体"/>
          <w:szCs w:val="21"/>
        </w:rPr>
        <w:t>中标人不得将项目非法分包或转包给任何单位和个人。否则，</w:t>
      </w:r>
      <w:r>
        <w:rPr>
          <w:rFonts w:hint="eastAsia" w:ascii="宋体" w:hAnsi="宋体"/>
          <w:szCs w:val="21"/>
        </w:rPr>
        <w:t>招标人</w:t>
      </w:r>
      <w:r>
        <w:rPr>
          <w:rFonts w:ascii="宋体" w:hAnsi="宋体"/>
          <w:szCs w:val="21"/>
        </w:rPr>
        <w:t>有权即刻终止合同，并要求中标人赔偿相应损失。</w:t>
      </w:r>
    </w:p>
    <w:p>
      <w:pPr>
        <w:numPr>
          <w:ilvl w:val="0"/>
          <w:numId w:val="5"/>
        </w:numPr>
        <w:tabs>
          <w:tab w:val="left" w:pos="709"/>
        </w:tabs>
        <w:adjustRightInd w:val="0"/>
        <w:snapToGrid w:val="0"/>
        <w:spacing w:line="360" w:lineRule="auto"/>
        <w:ind w:left="0" w:firstLine="420" w:firstLineChars="200"/>
        <w:rPr>
          <w:rFonts w:ascii="宋体" w:hAnsi="宋体"/>
          <w:szCs w:val="21"/>
        </w:rPr>
      </w:pPr>
      <w:r>
        <w:rPr>
          <w:rFonts w:hint="eastAsia" w:ascii="宋体" w:hAnsi="宋体"/>
          <w:szCs w:val="21"/>
        </w:rPr>
        <w:t>投标人若认为招标文件的技术要求或其他要求有倾向性或不公正性，可在招标答疑阶段提出，以维护招标行为的公平、公正。</w:t>
      </w:r>
    </w:p>
    <w:p>
      <w:pPr>
        <w:widowControl/>
        <w:jc w:val="left"/>
        <w:rPr>
          <w:rFonts w:eastAsia="黑体" w:cs="Calibri"/>
          <w:b/>
          <w:bCs/>
          <w:kern w:val="0"/>
          <w:sz w:val="32"/>
          <w:szCs w:val="44"/>
        </w:rPr>
      </w:pPr>
      <w:r>
        <w:br w:type="page"/>
      </w:r>
    </w:p>
    <w:p>
      <w:pPr>
        <w:pStyle w:val="51"/>
      </w:pPr>
      <w:bookmarkStart w:id="73" w:name="_Toc321925454"/>
      <w:bookmarkStart w:id="74" w:name="_Toc448002987"/>
      <w:bookmarkStart w:id="75" w:name="_Toc321925456"/>
      <w:bookmarkStart w:id="76" w:name="_Toc275274581"/>
      <w:r>
        <w:rPr>
          <w:rFonts w:hint="eastAsia"/>
        </w:rPr>
        <w:t xml:space="preserve">第四章  </w:t>
      </w:r>
      <w:r>
        <w:t>合同条款</w:t>
      </w:r>
      <w:bookmarkEnd w:id="73"/>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r>
        <w:rPr>
          <w:rFonts w:hint="eastAsia" w:ascii="宋体" w:hAnsi="宋体"/>
          <w:b/>
          <w:sz w:val="22"/>
        </w:rPr>
        <w:t>甲方：杭州萧山国际机场有限公司</w:t>
      </w:r>
    </w:p>
    <w:p>
      <w:pPr>
        <w:adjustRightInd w:val="0"/>
        <w:snapToGrid w:val="0"/>
        <w:spacing w:line="360" w:lineRule="exact"/>
        <w:ind w:firstLine="452"/>
        <w:jc w:val="left"/>
        <w:rPr>
          <w:rFonts w:ascii="宋体" w:hAnsi="宋体"/>
          <w:b/>
          <w:sz w:val="22"/>
        </w:rPr>
      </w:pPr>
      <w:r>
        <w:rPr>
          <w:rFonts w:hint="eastAsia" w:ascii="宋体" w:hAnsi="宋体"/>
          <w:b/>
          <w:sz w:val="22"/>
        </w:rPr>
        <w:t>住所地：杭州萧山国际机场内</w:t>
      </w:r>
    </w:p>
    <w:p>
      <w:pPr>
        <w:adjustRightInd w:val="0"/>
        <w:snapToGrid w:val="0"/>
        <w:spacing w:line="360" w:lineRule="exact"/>
        <w:ind w:firstLine="452"/>
        <w:jc w:val="left"/>
        <w:rPr>
          <w:rFonts w:ascii="宋体" w:hAnsi="宋体"/>
          <w:b/>
          <w:sz w:val="22"/>
        </w:rPr>
      </w:pPr>
      <w:r>
        <w:rPr>
          <w:rFonts w:hint="eastAsia" w:ascii="宋体" w:hAnsi="宋体"/>
          <w:b/>
          <w:sz w:val="22"/>
        </w:rPr>
        <w:t>乙方：</w:t>
      </w:r>
    </w:p>
    <w:p>
      <w:pPr>
        <w:adjustRightInd w:val="0"/>
        <w:snapToGrid w:val="0"/>
        <w:spacing w:line="360" w:lineRule="exact"/>
        <w:ind w:firstLine="452"/>
        <w:jc w:val="left"/>
        <w:rPr>
          <w:rFonts w:ascii="宋体" w:hAnsi="宋体"/>
          <w:sz w:val="22"/>
        </w:rPr>
      </w:pPr>
      <w:r>
        <w:rPr>
          <w:rFonts w:hint="eastAsia" w:ascii="宋体" w:hAnsi="宋体"/>
          <w:b/>
          <w:sz w:val="22"/>
        </w:rPr>
        <w:t>住所地：</w:t>
      </w:r>
      <w:r>
        <w:rPr>
          <w:rFonts w:hint="eastAsia" w:ascii="宋体" w:hAnsi="宋体"/>
          <w:sz w:val="22"/>
        </w:rPr>
        <w:t xml:space="preserve"> </w:t>
      </w:r>
    </w:p>
    <w:p>
      <w:pPr>
        <w:adjustRightInd w:val="0"/>
        <w:snapToGrid w:val="0"/>
        <w:spacing w:line="360" w:lineRule="exact"/>
        <w:ind w:firstLine="450"/>
        <w:jc w:val="left"/>
        <w:rPr>
          <w:rFonts w:ascii="宋体" w:hAnsi="宋体"/>
          <w:sz w:val="22"/>
        </w:rPr>
      </w:pPr>
    </w:p>
    <w:p>
      <w:pPr>
        <w:adjustRightInd w:val="0"/>
        <w:snapToGrid w:val="0"/>
        <w:spacing w:line="360" w:lineRule="exact"/>
        <w:ind w:firstLine="440" w:firstLineChars="200"/>
        <w:jc w:val="left"/>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numPr>
          <w:ilvl w:val="0"/>
          <w:numId w:val="6"/>
        </w:numPr>
        <w:adjustRightInd w:val="0"/>
        <w:snapToGrid w:val="0"/>
        <w:spacing w:line="360" w:lineRule="exact"/>
        <w:ind w:firstLine="440" w:firstLineChars="200"/>
        <w:jc w:val="left"/>
        <w:rPr>
          <w:rFonts w:ascii="宋体" w:hAnsi="宋体"/>
          <w:b/>
          <w:bCs/>
          <w:sz w:val="22"/>
        </w:rPr>
      </w:pPr>
      <w:r>
        <w:rPr>
          <w:rFonts w:hint="eastAsia" w:ascii="宋体" w:hAnsi="宋体"/>
          <w:b/>
          <w:bCs/>
          <w:sz w:val="22"/>
        </w:rPr>
        <w:t>产品规格型号及参数</w:t>
      </w:r>
    </w:p>
    <w:tbl>
      <w:tblPr>
        <w:tblStyle w:val="58"/>
        <w:tblW w:w="8370" w:type="dxa"/>
        <w:tblInd w:w="0" w:type="dxa"/>
        <w:tblLayout w:type="fixed"/>
        <w:tblCellMar>
          <w:top w:w="15" w:type="dxa"/>
          <w:left w:w="15" w:type="dxa"/>
          <w:bottom w:w="15" w:type="dxa"/>
          <w:right w:w="15" w:type="dxa"/>
        </w:tblCellMar>
      </w:tblPr>
      <w:tblGrid>
        <w:gridCol w:w="951"/>
        <w:gridCol w:w="1221"/>
        <w:gridCol w:w="3240"/>
        <w:gridCol w:w="694"/>
        <w:gridCol w:w="1132"/>
        <w:gridCol w:w="1132"/>
      </w:tblGrid>
      <w:tr>
        <w:tblPrEx>
          <w:tblLayout w:type="fixed"/>
          <w:tblCellMar>
            <w:top w:w="15" w:type="dxa"/>
            <w:left w:w="15" w:type="dxa"/>
            <w:bottom w:w="15" w:type="dxa"/>
            <w:right w:w="15" w:type="dxa"/>
          </w:tblCellMar>
        </w:tblPrEx>
        <w:trPr>
          <w:trHeight w:val="641"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left"/>
              <w:rPr>
                <w:rFonts w:ascii="宋体" w:hAnsi="宋体"/>
                <w:sz w:val="22"/>
              </w:rPr>
            </w:pPr>
            <w:r>
              <w:rPr>
                <w:rFonts w:hint="eastAsia" w:ascii="宋体" w:hAnsi="宋体"/>
                <w:sz w:val="22"/>
                <w:szCs w:val="24"/>
                <w:lang w:bidi="ar"/>
              </w:rPr>
              <w:t>清单编号</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firstLineChars="200"/>
              <w:jc w:val="left"/>
              <w:rPr>
                <w:rFonts w:ascii="宋体" w:hAnsi="宋体"/>
                <w:sz w:val="22"/>
              </w:rPr>
            </w:pPr>
            <w:r>
              <w:rPr>
                <w:rFonts w:hint="eastAsia" w:ascii="宋体" w:hAnsi="宋体"/>
                <w:sz w:val="22"/>
                <w:szCs w:val="24"/>
                <w:lang w:bidi="ar"/>
              </w:rPr>
              <w:t>类别</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firstLineChars="200"/>
              <w:jc w:val="left"/>
              <w:rPr>
                <w:rFonts w:ascii="宋体" w:hAnsi="宋体"/>
                <w:sz w:val="22"/>
              </w:rPr>
            </w:pPr>
            <w:r>
              <w:rPr>
                <w:rFonts w:hint="eastAsia" w:ascii="宋体" w:hAnsi="宋体"/>
                <w:sz w:val="22"/>
                <w:szCs w:val="24"/>
                <w:lang w:bidi="ar"/>
              </w:rPr>
              <w:t>商品全名</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left"/>
              <w:rPr>
                <w:rFonts w:ascii="宋体" w:hAnsi="宋体"/>
                <w:sz w:val="22"/>
              </w:rPr>
            </w:pPr>
            <w:r>
              <w:rPr>
                <w:rFonts w:hint="eastAsia" w:ascii="宋体" w:hAnsi="宋体"/>
                <w:sz w:val="22"/>
                <w:szCs w:val="24"/>
                <w:lang w:bidi="ar"/>
              </w:rPr>
              <w:t>单位</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firstLineChars="200"/>
              <w:jc w:val="left"/>
              <w:rPr>
                <w:rFonts w:ascii="宋体" w:hAnsi="宋体"/>
                <w:sz w:val="22"/>
              </w:rPr>
            </w:pPr>
            <w:r>
              <w:rPr>
                <w:rFonts w:hint="eastAsia" w:ascii="宋体" w:hAnsi="宋体"/>
                <w:sz w:val="22"/>
                <w:szCs w:val="24"/>
                <w:lang w:bidi="ar"/>
              </w:rPr>
              <w:t>单价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firstLineChars="200"/>
              <w:jc w:val="left"/>
              <w:rPr>
                <w:rFonts w:ascii="宋体" w:hAnsi="宋体"/>
                <w:sz w:val="22"/>
                <w:lang w:bidi="ar"/>
              </w:rPr>
            </w:pPr>
            <w:r>
              <w:rPr>
                <w:rFonts w:hint="eastAsia" w:ascii="宋体" w:hAnsi="宋体"/>
                <w:sz w:val="22"/>
                <w:szCs w:val="24"/>
                <w:lang w:bidi="ar"/>
              </w:rPr>
              <w:t xml:space="preserve">备注 </w:t>
            </w:r>
          </w:p>
        </w:tc>
      </w:tr>
      <w:tr>
        <w:tblPrEx>
          <w:tblLayout w:type="fixed"/>
          <w:tblCellMar>
            <w:top w:w="15" w:type="dxa"/>
            <w:left w:w="15" w:type="dxa"/>
            <w:bottom w:w="15" w:type="dxa"/>
            <w:right w:w="15" w:type="dxa"/>
          </w:tblCellMar>
        </w:tblPrEx>
        <w:trPr>
          <w:trHeight w:val="317"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firstLineChars="200"/>
              <w:jc w:val="left"/>
              <w:rPr>
                <w:rFonts w:ascii="宋体" w:hAnsi="宋体"/>
                <w:sz w:val="22"/>
                <w:lang w:bidi="ar"/>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firstLineChars="200"/>
              <w:jc w:val="left"/>
              <w:rPr>
                <w:rFonts w:ascii="宋体" w:hAnsi="宋体"/>
                <w:sz w:val="22"/>
                <w:lang w:bidi="ar"/>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firstLineChars="200"/>
              <w:jc w:val="left"/>
              <w:rPr>
                <w:rFonts w:ascii="宋体" w:hAnsi="宋体"/>
                <w:sz w:val="22"/>
                <w:lang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firstLineChars="200"/>
              <w:jc w:val="left"/>
              <w:rPr>
                <w:rFonts w:ascii="宋体" w:hAnsi="宋体"/>
                <w:sz w:val="22"/>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firstLineChars="200"/>
              <w:jc w:val="left"/>
              <w:rPr>
                <w:rFonts w:ascii="宋体" w:hAnsi="宋体"/>
                <w:sz w:val="22"/>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firstLineChars="200"/>
              <w:jc w:val="left"/>
              <w:rPr>
                <w:rFonts w:ascii="宋体" w:hAnsi="宋体"/>
                <w:sz w:val="22"/>
                <w:lang w:bidi="ar"/>
              </w:rPr>
            </w:pPr>
          </w:p>
        </w:tc>
      </w:tr>
      <w:tr>
        <w:tblPrEx>
          <w:tblLayout w:type="fixed"/>
          <w:tblCellMar>
            <w:top w:w="15" w:type="dxa"/>
            <w:left w:w="15" w:type="dxa"/>
            <w:bottom w:w="15" w:type="dxa"/>
            <w:right w:w="15" w:type="dxa"/>
          </w:tblCellMar>
        </w:tblPrEx>
        <w:trPr>
          <w:trHeight w:val="446"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firstLineChars="200"/>
              <w:jc w:val="left"/>
              <w:rPr>
                <w:rFonts w:ascii="宋体" w:hAnsi="宋体"/>
                <w:sz w:val="22"/>
                <w:lang w:bidi="ar"/>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firstLineChars="200"/>
              <w:jc w:val="left"/>
              <w:rPr>
                <w:rFonts w:ascii="宋体" w:hAnsi="宋体"/>
                <w:sz w:val="22"/>
                <w:lang w:bidi="ar"/>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firstLineChars="200"/>
              <w:jc w:val="left"/>
              <w:rPr>
                <w:rFonts w:ascii="宋体" w:hAnsi="宋体"/>
                <w:sz w:val="22"/>
                <w:lang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firstLineChars="200"/>
              <w:jc w:val="left"/>
              <w:rPr>
                <w:rFonts w:ascii="宋体" w:hAnsi="宋体"/>
                <w:sz w:val="22"/>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firstLineChars="200"/>
              <w:jc w:val="left"/>
              <w:rPr>
                <w:rFonts w:ascii="宋体" w:hAnsi="宋体"/>
                <w:sz w:val="22"/>
                <w:lang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ind w:firstLine="440" w:firstLineChars="200"/>
              <w:jc w:val="left"/>
              <w:rPr>
                <w:rFonts w:ascii="宋体" w:hAnsi="宋体"/>
                <w:sz w:val="22"/>
                <w:lang w:bidi="ar"/>
              </w:rPr>
            </w:pPr>
          </w:p>
        </w:tc>
      </w:tr>
    </w:tbl>
    <w:p>
      <w:pPr>
        <w:numPr>
          <w:ilvl w:val="255"/>
          <w:numId w:val="0"/>
        </w:numPr>
        <w:adjustRightInd w:val="0"/>
        <w:snapToGrid w:val="0"/>
        <w:spacing w:line="360" w:lineRule="exact"/>
        <w:rPr>
          <w:rFonts w:ascii="宋体" w:hAnsi="宋体"/>
          <w:b/>
          <w:sz w:val="22"/>
        </w:rPr>
      </w:pPr>
    </w:p>
    <w:p>
      <w:pPr>
        <w:adjustRightInd w:val="0"/>
        <w:snapToGrid w:val="0"/>
        <w:spacing w:line="360" w:lineRule="exact"/>
        <w:ind w:firstLine="440" w:firstLineChars="200"/>
        <w:rPr>
          <w:rFonts w:ascii="宋体" w:hAnsi="宋体"/>
          <w:b/>
          <w:sz w:val="22"/>
        </w:rPr>
      </w:pPr>
      <w:r>
        <w:rPr>
          <w:rFonts w:hint="eastAsia" w:ascii="宋体" w:hAnsi="宋体"/>
          <w:b/>
          <w:sz w:val="22"/>
        </w:rPr>
        <w:t>二、合同金额</w:t>
      </w:r>
    </w:p>
    <w:p>
      <w:pPr>
        <w:adjustRightInd w:val="0"/>
        <w:snapToGrid w:val="0"/>
        <w:spacing w:line="360" w:lineRule="exact"/>
        <w:ind w:firstLine="440" w:firstLineChars="200"/>
        <w:rPr>
          <w:rFonts w:ascii="宋体" w:hAnsi="宋体"/>
          <w:b/>
          <w:sz w:val="22"/>
        </w:rPr>
      </w:pPr>
      <w:r>
        <w:rPr>
          <w:rFonts w:hint="eastAsia" w:ascii="宋体" w:hAnsi="宋体"/>
          <w:b/>
          <w:sz w:val="22"/>
        </w:rPr>
        <w:t>1、本合同为固定单价合同。本合同价为杭州萧山国际机场内交货价，含货物价格、运输费、包装费、保险费、税费等所有费用。甲方不再承担其他任何费用。同时乙方承诺，不因甲方采购数量的增加或者减少而变动固定单价。</w:t>
      </w:r>
    </w:p>
    <w:p>
      <w:pPr>
        <w:adjustRightInd w:val="0"/>
        <w:snapToGrid w:val="0"/>
        <w:spacing w:line="360" w:lineRule="exact"/>
        <w:ind w:firstLine="440" w:firstLineChars="200"/>
        <w:rPr>
          <w:rFonts w:ascii="宋体" w:hAnsi="宋体"/>
          <w:b/>
          <w:sz w:val="22"/>
        </w:rPr>
      </w:pPr>
      <w:r>
        <w:rPr>
          <w:rFonts w:hint="eastAsia" w:ascii="宋体" w:hAnsi="宋体"/>
          <w:b/>
          <w:sz w:val="22"/>
        </w:rPr>
        <w:t>2、本合同采购的货物数量属于预估数量，甲方有权根据实际情况单方面予以调整采购的数量，具体以甲方向乙方发出的采购通知单为准，乙方承诺无条件按照甲方要求执行，双方最终结算价格按照甲方实际采购数量结算。</w:t>
      </w:r>
    </w:p>
    <w:p>
      <w:pPr>
        <w:adjustRightInd w:val="0"/>
        <w:snapToGrid w:val="0"/>
        <w:spacing w:line="360" w:lineRule="exact"/>
        <w:ind w:firstLine="440" w:firstLineChars="200"/>
        <w:rPr>
          <w:rFonts w:ascii="宋体" w:hAnsi="宋体"/>
          <w:b/>
          <w:sz w:val="22"/>
        </w:rPr>
      </w:pPr>
      <w:r>
        <w:rPr>
          <w:rFonts w:hint="eastAsia" w:ascii="宋体" w:hAnsi="宋体"/>
          <w:b/>
          <w:sz w:val="22"/>
        </w:rPr>
        <w:t>3、在合同有效期限内，若因国家税收政策调整而引起的增值税税率变化的，应按照国家税收政策调整，合同总金额变更为原合同不含增值税货物或劳务价格与调整后税率计算税额的合计金额。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ind w:firstLine="440" w:firstLineChars="200"/>
        <w:rPr>
          <w:rFonts w:ascii="宋体" w:hAnsi="宋体"/>
          <w:b/>
          <w:sz w:val="22"/>
        </w:rPr>
      </w:pPr>
      <w:r>
        <w:rPr>
          <w:rFonts w:hint="eastAsia" w:ascii="宋体" w:hAnsi="宋体"/>
          <w:b/>
          <w:sz w:val="22"/>
        </w:rPr>
        <w:t>三、技术资料</w:t>
      </w:r>
    </w:p>
    <w:p>
      <w:pPr>
        <w:adjustRightInd w:val="0"/>
        <w:snapToGrid w:val="0"/>
        <w:spacing w:line="360" w:lineRule="exact"/>
        <w:ind w:firstLine="440" w:firstLineChars="200"/>
        <w:rPr>
          <w:rFonts w:ascii="宋体" w:hAnsi="宋体"/>
          <w:sz w:val="22"/>
        </w:rPr>
      </w:pPr>
      <w:r>
        <w:rPr>
          <w:rFonts w:hint="eastAsia" w:ascii="宋体" w:hAnsi="宋体"/>
          <w:b/>
          <w:sz w:val="22"/>
        </w:rPr>
        <w:t>1.</w:t>
      </w:r>
      <w:r>
        <w:rPr>
          <w:rFonts w:hint="eastAsia" w:ascii="宋体" w:hAnsi="宋体"/>
          <w:sz w:val="22"/>
        </w:rPr>
        <w:t>乙方应在移交合同货物时向甲方提供使用货物的有关技术资料。</w:t>
      </w:r>
    </w:p>
    <w:p>
      <w:pPr>
        <w:adjustRightInd w:val="0"/>
        <w:snapToGrid w:val="0"/>
        <w:spacing w:line="360" w:lineRule="exact"/>
        <w:ind w:firstLine="440" w:firstLineChars="200"/>
        <w:rPr>
          <w:rFonts w:ascii="宋体" w:hAnsi="宋体"/>
          <w:sz w:val="22"/>
        </w:rPr>
      </w:pPr>
      <w:r>
        <w:rPr>
          <w:rFonts w:hint="eastAsia" w:ascii="宋体" w:hAnsi="宋体"/>
          <w:b/>
          <w:sz w:val="22"/>
        </w:rPr>
        <w:t>2.</w:t>
      </w:r>
      <w:r>
        <w:rPr>
          <w:rFonts w:hint="eastAsia" w:ascii="宋体" w:hAnsi="宋体"/>
          <w:sz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exact"/>
        <w:ind w:firstLine="440" w:firstLineChars="200"/>
        <w:rPr>
          <w:rFonts w:ascii="宋体" w:hAnsi="宋体"/>
          <w:b/>
          <w:sz w:val="22"/>
        </w:rPr>
      </w:pPr>
      <w:r>
        <w:rPr>
          <w:rFonts w:hint="eastAsia" w:ascii="宋体" w:hAnsi="宋体"/>
          <w:b/>
          <w:sz w:val="22"/>
        </w:rPr>
        <w:t>四、知识产权</w:t>
      </w:r>
    </w:p>
    <w:p>
      <w:pPr>
        <w:adjustRightInd w:val="0"/>
        <w:snapToGrid w:val="0"/>
        <w:spacing w:line="360" w:lineRule="exact"/>
        <w:ind w:firstLine="44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乙方应保证所提供的货物或其任何一部分均不会侵犯任何第三方的知识产权。如因乙方违反本条保证并导致甲方遭受损失的，乙方须向甲方承担赔偿责任。</w:t>
      </w:r>
    </w:p>
    <w:p>
      <w:pPr>
        <w:adjustRightInd w:val="0"/>
        <w:snapToGrid w:val="0"/>
        <w:spacing w:line="360" w:lineRule="exact"/>
        <w:ind w:firstLine="440" w:firstLineChars="200"/>
        <w:rPr>
          <w:rFonts w:ascii="宋体" w:hAnsi="宋体"/>
          <w:b/>
          <w:sz w:val="22"/>
        </w:rPr>
      </w:pPr>
      <w:r>
        <w:rPr>
          <w:rFonts w:hint="eastAsia" w:ascii="宋体" w:hAnsi="宋体"/>
          <w:b/>
          <w:sz w:val="22"/>
        </w:rPr>
        <w:t>五、产权担保</w:t>
      </w:r>
    </w:p>
    <w:p>
      <w:pPr>
        <w:adjustRightInd w:val="0"/>
        <w:snapToGrid w:val="0"/>
        <w:spacing w:line="360" w:lineRule="exact"/>
        <w:ind w:firstLine="440" w:firstLineChars="200"/>
        <w:rPr>
          <w:rFonts w:ascii="宋体" w:hAnsi="宋体"/>
          <w:sz w:val="22"/>
        </w:rPr>
      </w:pPr>
      <w:r>
        <w:rPr>
          <w:rFonts w:hint="eastAsia" w:ascii="宋体" w:hAnsi="宋体"/>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adjustRightInd w:val="0"/>
        <w:snapToGrid w:val="0"/>
        <w:spacing w:line="360" w:lineRule="exact"/>
        <w:ind w:firstLine="440" w:firstLineChars="200"/>
        <w:outlineLvl w:val="0"/>
        <w:rPr>
          <w:rFonts w:ascii="宋体" w:hAnsi="宋体"/>
          <w:b/>
          <w:sz w:val="22"/>
        </w:rPr>
      </w:pPr>
      <w:bookmarkStart w:id="77" w:name="_Toc422638512"/>
      <w:r>
        <w:rPr>
          <w:rFonts w:hint="eastAsia" w:ascii="宋体" w:hAnsi="宋体"/>
          <w:b/>
          <w:sz w:val="22"/>
        </w:rPr>
        <w:t>六、转包或分包</w:t>
      </w:r>
      <w:bookmarkEnd w:id="77"/>
    </w:p>
    <w:p>
      <w:pPr>
        <w:adjustRightInd w:val="0"/>
        <w:snapToGrid w:val="0"/>
        <w:spacing w:line="360" w:lineRule="exact"/>
        <w:ind w:firstLine="440" w:firstLineChars="200"/>
        <w:rPr>
          <w:rFonts w:ascii="宋体" w:hAnsi="宋体"/>
          <w:sz w:val="22"/>
        </w:rPr>
      </w:pPr>
      <w:r>
        <w:rPr>
          <w:rFonts w:hint="eastAsia" w:ascii="宋体" w:hAnsi="宋体"/>
          <w:b/>
          <w:sz w:val="22"/>
        </w:rPr>
        <w:t>1.</w:t>
      </w:r>
      <w:r>
        <w:rPr>
          <w:rFonts w:hint="eastAsia" w:ascii="宋体" w:hAnsi="宋体"/>
          <w:sz w:val="22"/>
        </w:rPr>
        <w:t>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0" w:firstLineChars="200"/>
        <w:rPr>
          <w:rFonts w:ascii="宋体" w:hAnsi="宋体"/>
          <w:sz w:val="22"/>
        </w:rPr>
      </w:pPr>
      <w:r>
        <w:rPr>
          <w:rFonts w:hint="eastAsia" w:ascii="宋体" w:hAnsi="宋体"/>
          <w:b/>
          <w:sz w:val="22"/>
        </w:rPr>
        <w:t>2.</w:t>
      </w:r>
      <w:r>
        <w:rPr>
          <w:rFonts w:hint="eastAsia" w:ascii="宋体" w:hAnsi="宋体"/>
          <w:sz w:val="22"/>
        </w:rPr>
        <w:t>如有未经甲方书面同意的转让和分包行为，甲方有权解除合同，并追究乙方的违约责任。</w:t>
      </w:r>
    </w:p>
    <w:p>
      <w:pPr>
        <w:adjustRightInd w:val="0"/>
        <w:snapToGrid w:val="0"/>
        <w:spacing w:line="360" w:lineRule="exact"/>
        <w:ind w:firstLine="440" w:firstLineChars="200"/>
        <w:outlineLvl w:val="0"/>
        <w:rPr>
          <w:rFonts w:ascii="宋体" w:hAnsi="宋体"/>
          <w:b/>
          <w:sz w:val="22"/>
        </w:rPr>
      </w:pPr>
      <w:bookmarkStart w:id="78" w:name="_Toc422638513"/>
      <w:r>
        <w:rPr>
          <w:rFonts w:hint="eastAsia" w:ascii="宋体" w:hAnsi="宋体"/>
          <w:b/>
          <w:sz w:val="22"/>
        </w:rPr>
        <w:t>七、货物包装、发运及运输</w:t>
      </w:r>
      <w:bookmarkEnd w:id="78"/>
    </w:p>
    <w:p>
      <w:pPr>
        <w:adjustRightInd w:val="0"/>
        <w:snapToGrid w:val="0"/>
        <w:spacing w:line="360" w:lineRule="exact"/>
        <w:ind w:firstLine="440" w:firstLineChars="200"/>
        <w:rPr>
          <w:rFonts w:ascii="宋体" w:hAnsi="宋体"/>
          <w:sz w:val="22"/>
        </w:rPr>
      </w:pPr>
      <w:r>
        <w:rPr>
          <w:rFonts w:hint="eastAsia" w:ascii="宋体" w:hAnsi="宋体"/>
          <w:b/>
          <w:sz w:val="22"/>
        </w:rPr>
        <w:t>1.</w:t>
      </w:r>
      <w:r>
        <w:rPr>
          <w:rFonts w:hint="eastAsia" w:ascii="宋体" w:hAnsi="宋体"/>
          <w:sz w:val="22"/>
        </w:rPr>
        <w:t xml:space="preserve"> 乙方应在货物发运前对其按满足运输距离、防潮、防震、防锈和防破损装卸等要求进行包装，以保证货物安全运达甲方指定地点。</w:t>
      </w:r>
    </w:p>
    <w:p>
      <w:pPr>
        <w:adjustRightInd w:val="0"/>
        <w:snapToGrid w:val="0"/>
        <w:spacing w:line="360" w:lineRule="exact"/>
        <w:ind w:firstLine="440" w:firstLineChars="200"/>
        <w:rPr>
          <w:rFonts w:ascii="宋体" w:hAnsi="宋体"/>
          <w:sz w:val="22"/>
        </w:rPr>
      </w:pPr>
      <w:r>
        <w:rPr>
          <w:rFonts w:hint="eastAsia" w:ascii="宋体" w:hAnsi="宋体"/>
          <w:b/>
          <w:sz w:val="22"/>
        </w:rPr>
        <w:t>2.</w:t>
      </w:r>
      <w:r>
        <w:rPr>
          <w:rFonts w:hint="eastAsia" w:ascii="宋体" w:hAnsi="宋体"/>
          <w:sz w:val="22"/>
        </w:rPr>
        <w:t xml:space="preserve"> 使用说明书、质量检验证明书、随配附件和工具以及清单一并附于货物内。</w:t>
      </w:r>
    </w:p>
    <w:p>
      <w:pPr>
        <w:adjustRightInd w:val="0"/>
        <w:snapToGrid w:val="0"/>
        <w:spacing w:line="360" w:lineRule="exact"/>
        <w:ind w:firstLine="440" w:firstLineChars="200"/>
        <w:rPr>
          <w:rFonts w:ascii="宋体" w:hAnsi="宋体"/>
          <w:sz w:val="22"/>
        </w:rPr>
      </w:pPr>
      <w:r>
        <w:rPr>
          <w:rFonts w:hint="eastAsia" w:ascii="宋体" w:hAnsi="宋体"/>
          <w:b/>
          <w:sz w:val="22"/>
        </w:rPr>
        <w:t xml:space="preserve">3. </w:t>
      </w:r>
      <w:r>
        <w:rPr>
          <w:rFonts w:hint="eastAsia" w:ascii="宋体" w:hAnsi="宋体"/>
          <w:sz w:val="22"/>
        </w:rPr>
        <w:t>乙方在货物发运手续办理完毕后24小时内必须书面通知甲方，以便甲方准备接货。</w:t>
      </w:r>
    </w:p>
    <w:p>
      <w:pPr>
        <w:adjustRightInd w:val="0"/>
        <w:snapToGrid w:val="0"/>
        <w:spacing w:line="360" w:lineRule="exact"/>
        <w:ind w:firstLine="440" w:firstLineChars="200"/>
        <w:rPr>
          <w:rFonts w:ascii="宋体" w:hAnsi="宋体"/>
          <w:sz w:val="22"/>
        </w:rPr>
      </w:pPr>
      <w:r>
        <w:rPr>
          <w:rFonts w:hint="eastAsia" w:ascii="宋体" w:hAnsi="宋体"/>
          <w:b/>
          <w:sz w:val="22"/>
        </w:rPr>
        <w:t>4.</w:t>
      </w:r>
      <w:r>
        <w:rPr>
          <w:rFonts w:hint="eastAsia" w:ascii="宋体" w:hAnsi="宋体"/>
          <w:sz w:val="22"/>
        </w:rPr>
        <w:t xml:space="preserve"> 货物在本合同规定的交货地点交付甲方前发生的一切风险包括货物运输风险均由乙方负责。</w:t>
      </w:r>
    </w:p>
    <w:p>
      <w:pPr>
        <w:adjustRightInd w:val="0"/>
        <w:snapToGrid w:val="0"/>
        <w:spacing w:line="360" w:lineRule="exact"/>
        <w:ind w:firstLine="440" w:firstLineChars="200"/>
        <w:rPr>
          <w:rFonts w:ascii="宋体" w:hAnsi="宋体"/>
          <w:sz w:val="22"/>
        </w:rPr>
      </w:pPr>
      <w:r>
        <w:rPr>
          <w:rFonts w:hint="eastAsia" w:ascii="宋体" w:hAnsi="宋体"/>
          <w:b/>
          <w:sz w:val="22"/>
        </w:rPr>
        <w:t>5.</w:t>
      </w:r>
      <w:r>
        <w:rPr>
          <w:rFonts w:hint="eastAsia" w:ascii="宋体" w:hAnsi="宋体"/>
          <w:sz w:val="22"/>
        </w:rPr>
        <w:t xml:space="preserve">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0" w:firstLineChars="200"/>
        <w:outlineLvl w:val="0"/>
        <w:rPr>
          <w:rFonts w:ascii="宋体" w:hAnsi="宋体"/>
          <w:b/>
          <w:sz w:val="22"/>
        </w:rPr>
      </w:pPr>
      <w:bookmarkStart w:id="79" w:name="_Toc422638514"/>
      <w:r>
        <w:rPr>
          <w:rFonts w:hint="eastAsia" w:ascii="宋体" w:hAnsi="宋体"/>
          <w:b/>
          <w:sz w:val="22"/>
        </w:rPr>
        <w:t>八、</w:t>
      </w:r>
      <w:r>
        <w:rPr>
          <w:rFonts w:ascii="宋体" w:hAnsi="宋体"/>
          <w:b/>
          <w:sz w:val="22"/>
        </w:rPr>
        <w:t>供货期</w:t>
      </w:r>
      <w:r>
        <w:rPr>
          <w:rFonts w:hint="eastAsia" w:ascii="宋体" w:hAnsi="宋体"/>
          <w:b/>
          <w:sz w:val="22"/>
        </w:rPr>
        <w:t>、交货方式及交货地点</w:t>
      </w:r>
      <w:bookmarkEnd w:id="79"/>
    </w:p>
    <w:p>
      <w:pPr>
        <w:adjustRightInd w:val="0"/>
        <w:snapToGrid w:val="0"/>
        <w:spacing w:line="360" w:lineRule="exact"/>
        <w:ind w:firstLine="440" w:firstLineChars="200"/>
        <w:rPr>
          <w:rFonts w:ascii="宋体" w:hAnsi="宋体"/>
          <w:sz w:val="22"/>
        </w:rPr>
      </w:pPr>
      <w:r>
        <w:rPr>
          <w:rFonts w:hint="eastAsia" w:ascii="宋体" w:hAnsi="宋体"/>
          <w:b/>
          <w:sz w:val="22"/>
        </w:rPr>
        <w:t>1.</w:t>
      </w:r>
      <w:r>
        <w:rPr>
          <w:rFonts w:hint="eastAsia" w:ascii="宋体" w:hAnsi="宋体"/>
          <w:sz w:val="22"/>
        </w:rPr>
        <w:t xml:space="preserve"> </w:t>
      </w:r>
      <w:r>
        <w:rPr>
          <w:rFonts w:ascii="宋体" w:hAnsi="宋体"/>
          <w:sz w:val="22"/>
        </w:rPr>
        <w:t>供货期</w:t>
      </w:r>
      <w:r>
        <w:rPr>
          <w:rFonts w:hint="eastAsia" w:ascii="宋体" w:hAnsi="宋体"/>
          <w:sz w:val="22"/>
        </w:rPr>
        <w:t>：乙方每次在接到甲方根据本合同发出的采购通知单之日起7日内将货物送到甲方指定地点。</w:t>
      </w:r>
    </w:p>
    <w:p>
      <w:pPr>
        <w:adjustRightInd w:val="0"/>
        <w:snapToGrid w:val="0"/>
        <w:spacing w:line="360" w:lineRule="exact"/>
        <w:ind w:firstLine="440" w:firstLineChars="200"/>
        <w:rPr>
          <w:rFonts w:ascii="宋体" w:hAnsi="宋体"/>
          <w:sz w:val="22"/>
        </w:rPr>
      </w:pPr>
      <w:r>
        <w:rPr>
          <w:rFonts w:hint="eastAsia" w:ascii="宋体" w:hAnsi="宋体"/>
          <w:sz w:val="22"/>
        </w:rPr>
        <w:t>在甲方认为特殊情况下或者有特别需求时，乙方应</w:t>
      </w:r>
      <w:r>
        <w:rPr>
          <w:rFonts w:hint="eastAsia" w:ascii="宋体" w:hAnsi="宋体" w:cs="Arial"/>
          <w:kern w:val="0"/>
          <w:sz w:val="22"/>
        </w:rPr>
        <w:t>在7*24小时紧急将甲方采购的货物送至甲方。</w:t>
      </w:r>
    </w:p>
    <w:p>
      <w:pPr>
        <w:adjustRightInd w:val="0"/>
        <w:snapToGrid w:val="0"/>
        <w:spacing w:line="360" w:lineRule="exact"/>
        <w:ind w:firstLine="440" w:firstLineChars="200"/>
        <w:rPr>
          <w:rFonts w:ascii="宋体" w:hAnsi="宋体"/>
          <w:sz w:val="22"/>
        </w:rPr>
      </w:pPr>
      <w:r>
        <w:rPr>
          <w:rFonts w:hint="eastAsia" w:ascii="宋体" w:hAnsi="宋体"/>
          <w:b/>
          <w:sz w:val="22"/>
        </w:rPr>
        <w:t>2.</w:t>
      </w:r>
      <w:r>
        <w:rPr>
          <w:rFonts w:hint="eastAsia" w:ascii="宋体" w:hAnsi="宋体"/>
          <w:sz w:val="22"/>
        </w:rPr>
        <w:t xml:space="preserve"> 交货方式： 乙方送货上门</w:t>
      </w:r>
    </w:p>
    <w:p>
      <w:pPr>
        <w:adjustRightInd w:val="0"/>
        <w:snapToGrid w:val="0"/>
        <w:spacing w:line="360" w:lineRule="exact"/>
        <w:ind w:firstLine="440" w:firstLineChars="200"/>
        <w:rPr>
          <w:rFonts w:ascii="宋体" w:hAnsi="宋体"/>
          <w:sz w:val="22"/>
        </w:rPr>
      </w:pPr>
      <w:r>
        <w:rPr>
          <w:rFonts w:hint="eastAsia" w:ascii="宋体" w:hAnsi="宋体"/>
          <w:b/>
          <w:sz w:val="22"/>
        </w:rPr>
        <w:t>3.</w:t>
      </w:r>
      <w:r>
        <w:rPr>
          <w:rFonts w:hint="eastAsia" w:ascii="宋体" w:hAnsi="宋体"/>
          <w:sz w:val="22"/>
        </w:rPr>
        <w:t xml:space="preserve"> 交货地点：杭州萧山国际机场内</w:t>
      </w:r>
    </w:p>
    <w:p>
      <w:pPr>
        <w:adjustRightInd w:val="0"/>
        <w:snapToGrid w:val="0"/>
        <w:spacing w:line="360" w:lineRule="exact"/>
        <w:ind w:firstLine="440" w:firstLineChars="200"/>
        <w:outlineLvl w:val="0"/>
        <w:rPr>
          <w:rFonts w:ascii="宋体" w:hAnsi="宋体"/>
          <w:b/>
          <w:sz w:val="22"/>
        </w:rPr>
      </w:pPr>
      <w:bookmarkStart w:id="80" w:name="_Toc422638515"/>
      <w:r>
        <w:rPr>
          <w:rFonts w:hint="eastAsia" w:ascii="宋体" w:hAnsi="宋体"/>
          <w:b/>
          <w:sz w:val="22"/>
        </w:rPr>
        <w:t>九、安装、调试及验收</w:t>
      </w:r>
      <w:bookmarkEnd w:id="80"/>
    </w:p>
    <w:p>
      <w:pPr>
        <w:adjustRightInd w:val="0"/>
        <w:snapToGrid w:val="0"/>
        <w:spacing w:line="360" w:lineRule="exact"/>
        <w:ind w:firstLine="440" w:firstLineChars="200"/>
        <w:rPr>
          <w:rFonts w:ascii="宋体" w:hAnsi="宋体"/>
          <w:sz w:val="22"/>
        </w:rPr>
      </w:pPr>
      <w:r>
        <w:rPr>
          <w:rFonts w:hint="eastAsia" w:ascii="宋体" w:hAnsi="宋体"/>
          <w:b/>
          <w:sz w:val="22"/>
        </w:rPr>
        <w:t>1.</w:t>
      </w:r>
      <w:r>
        <w:rPr>
          <w:rFonts w:hint="eastAsia" w:ascii="宋体" w:hAnsi="宋体"/>
          <w:sz w:val="22"/>
        </w:rPr>
        <w:t xml:space="preserve"> 甲方对乙方提交的货物依据甲方要求和国家有关质量标准进行现场初步验收，外观、说明书符合甲方要求的，给予签收，初步验收不合格的不予签收。乙方在甲方初步验收完毕后，负责在【七】日内完成现场安装、调试，确保设备正常运行。安装完毕由乙方提交甲方验收，双方代表应在通过验收之日签署安装验收报告，但此证书不能免除乙方在本合同项下应当承担的质量保证责任以及售后服务责任。</w:t>
      </w:r>
    </w:p>
    <w:p>
      <w:pPr>
        <w:adjustRightInd w:val="0"/>
        <w:snapToGrid w:val="0"/>
        <w:spacing w:line="360" w:lineRule="exact"/>
        <w:ind w:firstLine="440" w:firstLineChars="200"/>
        <w:rPr>
          <w:rFonts w:ascii="宋体" w:hAnsi="宋体"/>
          <w:sz w:val="22"/>
        </w:rPr>
      </w:pPr>
      <w:r>
        <w:rPr>
          <w:rFonts w:hint="eastAsia" w:ascii="宋体" w:hAnsi="宋体"/>
          <w:b/>
          <w:sz w:val="22"/>
        </w:rPr>
        <w:t xml:space="preserve">2. </w:t>
      </w:r>
      <w:r>
        <w:rPr>
          <w:rFonts w:hint="eastAsia" w:ascii="宋体" w:hAnsi="宋体"/>
          <w:sz w:val="22"/>
        </w:rPr>
        <w:t>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40" w:firstLineChars="200"/>
        <w:rPr>
          <w:rFonts w:ascii="宋体" w:hAnsi="宋体"/>
          <w:b/>
          <w:sz w:val="22"/>
        </w:rPr>
      </w:pPr>
      <w:r>
        <w:rPr>
          <w:rFonts w:hint="eastAsia" w:ascii="宋体" w:hAnsi="宋体"/>
          <w:b/>
          <w:sz w:val="22"/>
        </w:rPr>
        <w:t>3.3.甲方签收货物后如发现货物的品种、数量、花色或质量不符合合同约定或相关质量要求，甲方应在签收之日起【3】日内以书面或电话形式向乙方提出异议；乙方应当在收到甲方异议之日起【3】日内作出答复或与甲方协商处理，或在【3】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adjustRightInd w:val="0"/>
        <w:snapToGrid w:val="0"/>
        <w:spacing w:line="360" w:lineRule="exact"/>
        <w:ind w:firstLine="440" w:firstLineChars="200"/>
        <w:rPr>
          <w:rFonts w:ascii="宋体" w:hAnsi="宋体"/>
          <w:sz w:val="22"/>
        </w:rPr>
      </w:pPr>
      <w:r>
        <w:rPr>
          <w:rFonts w:hint="eastAsia" w:ascii="宋体" w:hAnsi="宋体"/>
          <w:b/>
          <w:sz w:val="22"/>
        </w:rPr>
        <w:t>4.</w:t>
      </w:r>
      <w:r>
        <w:rPr>
          <w:rFonts w:hint="eastAsia" w:ascii="宋体" w:hAnsi="宋体"/>
          <w:sz w:val="22"/>
        </w:rPr>
        <w:t>如甲方未按上述规定期限提出质量异议的，视为乙方所交付的产品符合合同规定；乙方未按上述规定期限作出答复或负责处理的，则视为乙方同意甲方提出的异议和处理意见。</w:t>
      </w:r>
    </w:p>
    <w:p>
      <w:pPr>
        <w:adjustRightInd w:val="0"/>
        <w:snapToGrid w:val="0"/>
        <w:spacing w:line="360" w:lineRule="exact"/>
        <w:ind w:firstLine="440" w:firstLineChars="200"/>
        <w:outlineLvl w:val="0"/>
        <w:rPr>
          <w:rFonts w:ascii="宋体" w:hAnsi="宋体"/>
          <w:b/>
          <w:sz w:val="22"/>
        </w:rPr>
      </w:pPr>
      <w:bookmarkStart w:id="81" w:name="_Toc422638516"/>
      <w:r>
        <w:rPr>
          <w:rFonts w:hint="eastAsia" w:ascii="宋体" w:hAnsi="宋体"/>
          <w:b/>
          <w:sz w:val="22"/>
        </w:rPr>
        <w:t>十、货款支付</w:t>
      </w:r>
      <w:bookmarkEnd w:id="81"/>
    </w:p>
    <w:p>
      <w:pPr>
        <w:adjustRightInd w:val="0"/>
        <w:snapToGrid w:val="0"/>
        <w:spacing w:line="360" w:lineRule="auto"/>
        <w:ind w:firstLine="440" w:firstLineChars="200"/>
        <w:rPr>
          <w:rFonts w:ascii="仿宋_GB2312" w:hAnsi="宋体" w:eastAsia="仿宋_GB2312"/>
          <w:sz w:val="22"/>
        </w:rPr>
      </w:pPr>
      <w:r>
        <w:rPr>
          <w:rFonts w:ascii="仿宋_GB2312" w:hAnsi="宋体" w:eastAsia="仿宋_GB2312"/>
          <w:sz w:val="22"/>
        </w:rPr>
        <w:t>1．以【月】为结算周期。每月期限届满后15天内乙方整理该周期内已完成送货的数量和该周期的合同价格</w:t>
      </w:r>
      <w:r>
        <w:rPr>
          <w:rFonts w:hint="eastAsia" w:ascii="仿宋_GB2312" w:hAnsi="宋体" w:eastAsia="仿宋_GB2312"/>
          <w:sz w:val="22"/>
        </w:rPr>
        <w:t>，与</w:t>
      </w:r>
      <w:r>
        <w:rPr>
          <w:rFonts w:ascii="仿宋_GB2312" w:hAnsi="宋体" w:eastAsia="仿宋_GB2312"/>
          <w:sz w:val="22"/>
        </w:rPr>
        <w:t>甲方采购部门签收的</w:t>
      </w:r>
      <w:r>
        <w:rPr>
          <w:rFonts w:hint="eastAsia" w:ascii="仿宋_GB2312" w:hAnsi="宋体" w:eastAsia="仿宋_GB2312"/>
          <w:sz w:val="22"/>
        </w:rPr>
        <w:t>签收单（详见附件五），</w:t>
      </w:r>
      <w:r>
        <w:rPr>
          <w:rFonts w:ascii="仿宋_GB2312" w:hAnsi="宋体" w:eastAsia="仿宋_GB2312"/>
          <w:sz w:val="22"/>
        </w:rPr>
        <w:t>交于甲方采购部门进行核实确认，甲方</w:t>
      </w:r>
      <w:r>
        <w:rPr>
          <w:rFonts w:hint="eastAsia" w:ascii="仿宋_GB2312" w:hAnsi="宋体" w:eastAsia="仿宋_GB2312"/>
          <w:sz w:val="22"/>
        </w:rPr>
        <w:t>采购部门</w:t>
      </w:r>
      <w:r>
        <w:rPr>
          <w:rFonts w:ascii="仿宋_GB2312" w:hAnsi="宋体" w:eastAsia="仿宋_GB2312"/>
          <w:sz w:val="22"/>
        </w:rPr>
        <w:t>按照本合同第一条</w:t>
      </w:r>
      <w:r>
        <w:rPr>
          <w:rFonts w:hint="eastAsia" w:ascii="仿宋_GB2312" w:hAnsi="宋体" w:eastAsia="仿宋_GB2312"/>
          <w:sz w:val="22"/>
        </w:rPr>
        <w:t>单价乘以实际采购数量</w:t>
      </w:r>
      <w:r>
        <w:rPr>
          <w:rFonts w:ascii="仿宋_GB2312" w:hAnsi="宋体" w:eastAsia="仿宋_GB2312"/>
          <w:sz w:val="22"/>
        </w:rPr>
        <w:t>向乙方支付该周期的费用。</w:t>
      </w:r>
    </w:p>
    <w:p>
      <w:pPr>
        <w:adjustRightInd w:val="0"/>
        <w:snapToGrid w:val="0"/>
        <w:spacing w:line="360" w:lineRule="auto"/>
        <w:ind w:firstLine="440" w:firstLineChars="200"/>
        <w:rPr>
          <w:rFonts w:ascii="仿宋_GB2312" w:hAnsi="宋体" w:eastAsia="仿宋_GB2312"/>
          <w:sz w:val="22"/>
        </w:rPr>
      </w:pPr>
      <w:r>
        <w:rPr>
          <w:rFonts w:ascii="仿宋_GB2312" w:hAnsi="宋体" w:eastAsia="仿宋_GB2312"/>
          <w:sz w:val="22"/>
        </w:rPr>
        <w:t>无甲方签收</w:t>
      </w:r>
      <w:r>
        <w:rPr>
          <w:rFonts w:hint="eastAsia" w:ascii="仿宋_GB2312" w:hAnsi="宋体" w:eastAsia="仿宋_GB2312"/>
          <w:sz w:val="22"/>
        </w:rPr>
        <w:t>的签收单，</w:t>
      </w:r>
      <w:r>
        <w:rPr>
          <w:rFonts w:ascii="仿宋_GB2312" w:hAnsi="宋体" w:eastAsia="仿宋_GB2312"/>
          <w:sz w:val="22"/>
        </w:rPr>
        <w:t>甲方有权拒绝支付该笔费用。</w:t>
      </w:r>
    </w:p>
    <w:p>
      <w:pPr>
        <w:adjustRightInd w:val="0"/>
        <w:snapToGrid w:val="0"/>
        <w:spacing w:line="360" w:lineRule="exact"/>
        <w:ind w:firstLine="440" w:firstLineChars="200"/>
        <w:rPr>
          <w:rFonts w:ascii="宋体" w:hAnsi="宋体"/>
          <w:sz w:val="22"/>
        </w:rPr>
      </w:pPr>
      <w:r>
        <w:rPr>
          <w:rFonts w:ascii="宋体" w:hAnsi="宋体"/>
          <w:sz w:val="22"/>
          <w:szCs w:val="24"/>
        </w:rPr>
        <w:t>2．以上每次付款前乙方必须按法律规定先向甲方</w:t>
      </w:r>
      <w:r>
        <w:rPr>
          <w:rFonts w:hint="eastAsia" w:ascii="宋体" w:hAnsi="宋体"/>
          <w:sz w:val="22"/>
        </w:rPr>
        <w:t>采购部门</w:t>
      </w:r>
      <w:r>
        <w:rPr>
          <w:rFonts w:ascii="宋体" w:hAnsi="宋体"/>
          <w:sz w:val="22"/>
          <w:szCs w:val="24"/>
        </w:rPr>
        <w:t>开具</w:t>
      </w:r>
      <w:r>
        <w:rPr>
          <w:rFonts w:hint="eastAsia" w:ascii="宋体" w:hAnsi="宋体"/>
          <w:sz w:val="22"/>
          <w:szCs w:val="24"/>
        </w:rPr>
        <w:t>税率为</w:t>
      </w:r>
      <w:r>
        <w:rPr>
          <w:rFonts w:ascii="宋体" w:hAnsi="宋体"/>
          <w:sz w:val="22"/>
          <w:szCs w:val="24"/>
        </w:rPr>
        <w:t>13%的</w:t>
      </w:r>
      <w:r>
        <w:rPr>
          <w:rFonts w:ascii="宋体" w:hAnsi="宋体"/>
          <w:sz w:val="22"/>
        </w:rPr>
        <w:t>同等金额的</w:t>
      </w:r>
      <w:r>
        <w:rPr>
          <w:rFonts w:hint="eastAsia" w:ascii="宋体" w:hAnsi="宋体"/>
          <w:sz w:val="22"/>
          <w:szCs w:val="24"/>
        </w:rPr>
        <w:t>增值税专用发票</w:t>
      </w:r>
      <w:r>
        <w:rPr>
          <w:rFonts w:hint="eastAsia" w:ascii="宋体" w:hAnsi="宋体"/>
          <w:sz w:val="22"/>
        </w:rPr>
        <w:t>。在合同有效期内，若因国家税收政策调整而引起的增值税税率变化的，应按照国家税收政策调整，合同金额变更为原合同不含税价格与调整后税率计算税额的合计金额。</w:t>
      </w:r>
    </w:p>
    <w:p>
      <w:pPr>
        <w:adjustRightInd w:val="0"/>
        <w:snapToGrid w:val="0"/>
        <w:spacing w:line="360" w:lineRule="exact"/>
        <w:ind w:firstLine="440" w:firstLineChars="200"/>
        <w:rPr>
          <w:rFonts w:ascii="宋体" w:hAnsi="宋体"/>
          <w:sz w:val="22"/>
        </w:rPr>
      </w:pPr>
      <w:r>
        <w:rPr>
          <w:rFonts w:ascii="宋体" w:hAnsi="宋体"/>
          <w:sz w:val="22"/>
          <w:szCs w:val="24"/>
        </w:rPr>
        <w:t>3.履约保证金：乙方应</w:t>
      </w:r>
      <w:r>
        <w:rPr>
          <w:rFonts w:hint="eastAsia" w:ascii="宋体" w:hAnsi="宋体"/>
          <w:sz w:val="22"/>
        </w:rPr>
        <w:t>在本合同签订之日起</w:t>
      </w:r>
      <w:r>
        <w:rPr>
          <w:rFonts w:ascii="宋体" w:hAnsi="宋体"/>
          <w:sz w:val="22"/>
          <w:szCs w:val="24"/>
        </w:rPr>
        <w:t>后10日内，通过银行转账方式向甲方支付人民币壹万元（小写：¥</w:t>
      </w:r>
      <w:r>
        <w:rPr>
          <w:rFonts w:hint="eastAsia" w:ascii="宋体" w:hAnsi="宋体"/>
          <w:sz w:val="22"/>
          <w:szCs w:val="24"/>
        </w:rPr>
        <w:t>10000.00元）作为履约保证金。如果逾期未缴纳，视为乙方违约，甲方有权</w:t>
      </w:r>
      <w:r>
        <w:rPr>
          <w:rFonts w:hint="eastAsia" w:ascii="宋体" w:hAnsi="宋体"/>
          <w:sz w:val="22"/>
        </w:rPr>
        <w:t>解除本</w:t>
      </w:r>
      <w:r>
        <w:rPr>
          <w:rFonts w:hint="eastAsia" w:ascii="宋体" w:hAnsi="宋体"/>
          <w:sz w:val="22"/>
          <w:szCs w:val="24"/>
        </w:rPr>
        <w:t>合同，并有权</w:t>
      </w:r>
      <w:r>
        <w:rPr>
          <w:rFonts w:hint="eastAsia" w:ascii="宋体" w:hAnsi="宋体"/>
          <w:sz w:val="22"/>
        </w:rPr>
        <w:t>要求乙方承担合同暂定总价10%的违约金</w:t>
      </w:r>
      <w:r>
        <w:rPr>
          <w:rFonts w:hint="eastAsia" w:ascii="宋体" w:hAnsi="宋体"/>
          <w:sz w:val="22"/>
          <w:szCs w:val="24"/>
        </w:rPr>
        <w:t>。</w:t>
      </w:r>
    </w:p>
    <w:p>
      <w:pPr>
        <w:adjustRightInd w:val="0"/>
        <w:snapToGrid w:val="0"/>
        <w:spacing w:line="360" w:lineRule="exact"/>
        <w:ind w:firstLine="440" w:firstLineChars="200"/>
        <w:rPr>
          <w:rFonts w:ascii="宋体" w:hAnsi="宋体"/>
          <w:sz w:val="22"/>
        </w:rPr>
      </w:pPr>
      <w:bookmarkStart w:id="82" w:name="_Toc422638517"/>
      <w:r>
        <w:rPr>
          <w:rFonts w:hint="eastAsia" w:ascii="宋体" w:hAnsi="宋体"/>
          <w:sz w:val="22"/>
          <w:szCs w:val="24"/>
        </w:rPr>
        <w:t>在合同履行期间，如果乙方存在违约情形，甲方有权扣除相应款项，并书面通知乙方。乙方自收到书面通知之日起５日内提出异议并补足履约保证金，如果逾期未提出，视为同意。如果乙方不及时补足履约保证金，经甲方通知后３日内，仍未补足，视为乙方违约，甲方有权解除合同，并要求乙方承担相应的违约责任。待合同约定服务内容全部履行并取得甲方认可，乙方不存在任何违约情形，甲方在10日内无息返还履约保证金。</w:t>
      </w:r>
    </w:p>
    <w:p>
      <w:pPr>
        <w:adjustRightInd w:val="0"/>
        <w:snapToGrid w:val="0"/>
        <w:spacing w:line="360" w:lineRule="exact"/>
        <w:ind w:firstLine="440" w:firstLineChars="200"/>
        <w:outlineLvl w:val="0"/>
        <w:rPr>
          <w:rFonts w:ascii="宋体" w:hAnsi="宋体"/>
          <w:b/>
          <w:sz w:val="22"/>
        </w:rPr>
      </w:pPr>
    </w:p>
    <w:p>
      <w:pPr>
        <w:adjustRightInd w:val="0"/>
        <w:snapToGrid w:val="0"/>
        <w:spacing w:line="360" w:lineRule="exact"/>
        <w:ind w:firstLine="440" w:firstLineChars="200"/>
        <w:outlineLvl w:val="0"/>
        <w:rPr>
          <w:rFonts w:ascii="宋体" w:hAnsi="宋体"/>
          <w:b/>
          <w:sz w:val="22"/>
        </w:rPr>
      </w:pPr>
      <w:r>
        <w:rPr>
          <w:rFonts w:hint="eastAsia" w:ascii="宋体" w:hAnsi="宋体"/>
          <w:b/>
          <w:sz w:val="22"/>
        </w:rPr>
        <w:t>十一、税费</w:t>
      </w:r>
      <w:bookmarkEnd w:id="82"/>
    </w:p>
    <w:p>
      <w:pPr>
        <w:adjustRightInd w:val="0"/>
        <w:snapToGrid w:val="0"/>
        <w:spacing w:line="360" w:lineRule="exact"/>
        <w:ind w:firstLine="440" w:firstLineChars="200"/>
        <w:rPr>
          <w:rFonts w:ascii="宋体" w:hAnsi="宋体"/>
          <w:sz w:val="22"/>
        </w:rPr>
      </w:pPr>
      <w:r>
        <w:rPr>
          <w:rFonts w:hint="eastAsia" w:ascii="宋体" w:hAnsi="宋体"/>
          <w:sz w:val="22"/>
        </w:rPr>
        <w:t>本合同执行中相关的一切税费均由乙方负担。</w:t>
      </w:r>
    </w:p>
    <w:p>
      <w:pPr>
        <w:adjustRightInd w:val="0"/>
        <w:snapToGrid w:val="0"/>
        <w:spacing w:line="360" w:lineRule="exact"/>
        <w:ind w:firstLine="440" w:firstLineChars="200"/>
        <w:outlineLvl w:val="0"/>
        <w:rPr>
          <w:rFonts w:ascii="宋体" w:hAnsi="宋体"/>
          <w:b/>
          <w:sz w:val="22"/>
        </w:rPr>
      </w:pPr>
      <w:bookmarkStart w:id="83" w:name="_Toc422638518"/>
      <w:r>
        <w:rPr>
          <w:rFonts w:hint="eastAsia" w:ascii="宋体" w:hAnsi="宋体"/>
          <w:b/>
          <w:sz w:val="22"/>
        </w:rPr>
        <w:t>十二、质量保证及售后服务</w:t>
      </w:r>
      <w:bookmarkEnd w:id="83"/>
    </w:p>
    <w:p>
      <w:pPr>
        <w:adjustRightInd w:val="0"/>
        <w:snapToGrid w:val="0"/>
        <w:spacing w:line="360" w:lineRule="exact"/>
        <w:ind w:firstLine="440" w:firstLineChars="200"/>
        <w:rPr>
          <w:rFonts w:ascii="宋体" w:hAnsi="宋体"/>
          <w:sz w:val="22"/>
        </w:rPr>
      </w:pPr>
      <w:r>
        <w:rPr>
          <w:rFonts w:hint="eastAsia" w:ascii="宋体" w:hAnsi="宋体"/>
          <w:sz w:val="22"/>
          <w:szCs w:val="24"/>
        </w:rPr>
        <w:t>1. 乙方保证其所供应的产品符合相关产品质量标准，不存在任何质量瑕疵或因质量瑕疵而导致的安全隐患。</w:t>
      </w:r>
    </w:p>
    <w:p>
      <w:pPr>
        <w:adjustRightInd w:val="0"/>
        <w:snapToGrid w:val="0"/>
        <w:spacing w:line="360" w:lineRule="exact"/>
        <w:ind w:firstLine="440" w:firstLineChars="200"/>
        <w:rPr>
          <w:rFonts w:ascii="宋体" w:hAnsi="宋体"/>
          <w:sz w:val="22"/>
        </w:rPr>
      </w:pPr>
      <w:r>
        <w:rPr>
          <w:rFonts w:hint="eastAsia" w:ascii="宋体" w:hAnsi="宋体"/>
          <w:sz w:val="22"/>
        </w:rPr>
        <w:t xml:space="preserve">2. </w:t>
      </w:r>
      <w:r>
        <w:rPr>
          <w:rFonts w:hint="eastAsia" w:ascii="宋体" w:hAnsi="宋体"/>
          <w:sz w:val="22"/>
          <w:szCs w:val="24"/>
        </w:rPr>
        <w:t>乙方所供产品须保证是原厂正品新货、原包装未拆封的商品，完全符合采购规定的质量、规格和性能的要求，不得提供假冒伪劣产品。</w:t>
      </w:r>
      <w:r>
        <w:rPr>
          <w:rFonts w:hint="eastAsia" w:ascii="宋体" w:hAnsi="宋体"/>
          <w:sz w:val="22"/>
        </w:rPr>
        <w:t>若发现乙方提供假冒伪劣产品，则甲方有权解除本合同并全额没收履约保证金，若履约保证金不足以弥补甲方的损失，则甲方有权继续向乙方追偿。</w:t>
      </w:r>
    </w:p>
    <w:p>
      <w:pPr>
        <w:adjustRightInd w:val="0"/>
        <w:snapToGrid w:val="0"/>
        <w:spacing w:line="360" w:lineRule="exact"/>
        <w:ind w:firstLine="440" w:firstLineChars="200"/>
        <w:rPr>
          <w:rFonts w:ascii="宋体" w:hAnsi="宋体"/>
          <w:sz w:val="22"/>
        </w:rPr>
      </w:pPr>
      <w:r>
        <w:rPr>
          <w:rFonts w:ascii="宋体" w:hAnsi="宋体"/>
          <w:sz w:val="22"/>
          <w:szCs w:val="24"/>
        </w:rPr>
        <w:t>3．凡在乙方购买的产品均由乙方提供</w:t>
      </w:r>
      <w:r>
        <w:rPr>
          <w:rFonts w:ascii="宋体" w:hAnsi="宋体"/>
          <w:sz w:val="22"/>
        </w:rPr>
        <w:t>质保期内免费</w:t>
      </w:r>
      <w:r>
        <w:rPr>
          <w:rFonts w:ascii="宋体" w:hAnsi="宋体"/>
          <w:sz w:val="22"/>
          <w:szCs w:val="24"/>
        </w:rPr>
        <w:t>质量保证服务；</w:t>
      </w:r>
    </w:p>
    <w:p>
      <w:pPr>
        <w:adjustRightInd w:val="0"/>
        <w:snapToGrid w:val="0"/>
        <w:spacing w:line="360" w:lineRule="exact"/>
        <w:ind w:firstLine="440" w:firstLineChars="200"/>
        <w:rPr>
          <w:rFonts w:ascii="宋体" w:hAnsi="宋体"/>
          <w:sz w:val="22"/>
        </w:rPr>
      </w:pPr>
      <w:r>
        <w:rPr>
          <w:rFonts w:hint="eastAsia" w:ascii="宋体" w:hAnsi="宋体"/>
          <w:sz w:val="22"/>
          <w:szCs w:val="24"/>
        </w:rPr>
        <w:t>4．所有产品的质保期限均依照制造商在产品上的标注为准；同时不得短于12个月免费质保期。若不满12个月，则按照12个月进行计算。 乙方应为货物的免费质保期，时间自甲方签署货物验收合格确认书之日起计算。</w:t>
      </w:r>
    </w:p>
    <w:p>
      <w:pPr>
        <w:adjustRightInd w:val="0"/>
        <w:snapToGrid w:val="0"/>
        <w:spacing w:line="360" w:lineRule="exact"/>
        <w:ind w:firstLine="440" w:firstLineChars="200"/>
        <w:rPr>
          <w:rFonts w:ascii="宋体" w:hAnsi="宋体"/>
          <w:sz w:val="22"/>
        </w:rPr>
      </w:pPr>
      <w:r>
        <w:rPr>
          <w:rFonts w:ascii="宋体" w:hAnsi="宋体"/>
          <w:sz w:val="22"/>
          <w:szCs w:val="24"/>
        </w:rPr>
        <w:t>5.产品质保期内，产品如出现质量问题由乙方负责与厂家联络，协商退换货、质保维修等相关索赔事宜。</w:t>
      </w:r>
      <w:r>
        <w:rPr>
          <w:rFonts w:ascii="宋体" w:hAnsi="宋体"/>
          <w:sz w:val="22"/>
        </w:rPr>
        <w:t>若乙方不能提供该等服务</w:t>
      </w:r>
      <w:r>
        <w:rPr>
          <w:rFonts w:hint="eastAsia" w:ascii="宋体" w:hAnsi="宋体"/>
          <w:sz w:val="22"/>
        </w:rPr>
        <w:t>，</w:t>
      </w:r>
      <w:r>
        <w:rPr>
          <w:rFonts w:ascii="宋体" w:hAnsi="宋体"/>
          <w:sz w:val="22"/>
        </w:rPr>
        <w:t>则甲方有权全额没收履约保证金</w:t>
      </w:r>
      <w:r>
        <w:rPr>
          <w:rFonts w:hint="eastAsia" w:ascii="宋体" w:hAnsi="宋体"/>
          <w:sz w:val="22"/>
        </w:rPr>
        <w:t>。</w:t>
      </w:r>
    </w:p>
    <w:p>
      <w:pPr>
        <w:adjustRightInd w:val="0"/>
        <w:snapToGrid w:val="0"/>
        <w:spacing w:line="360" w:lineRule="exact"/>
        <w:ind w:firstLine="440" w:firstLineChars="200"/>
        <w:rPr>
          <w:rFonts w:ascii="宋体" w:hAnsi="宋体"/>
          <w:sz w:val="22"/>
        </w:rPr>
      </w:pPr>
      <w:r>
        <w:rPr>
          <w:rFonts w:hint="eastAsia" w:ascii="宋体" w:hAnsi="宋体"/>
          <w:sz w:val="22"/>
        </w:rPr>
        <w:t>6.乙方不在约定期限内派人返修或返修质量验收不合格的，甲方可以委托他人修理，费用由乙方承担，甲方与第三方确认后可直接从履约保证金中扣除；履约保证金不足以抵扣的，继续向乙方追偿。</w:t>
      </w:r>
    </w:p>
    <w:p>
      <w:pPr>
        <w:adjustRightInd w:val="0"/>
        <w:snapToGrid w:val="0"/>
        <w:spacing w:line="360" w:lineRule="exact"/>
        <w:ind w:firstLine="440" w:firstLineChars="200"/>
        <w:outlineLvl w:val="0"/>
        <w:rPr>
          <w:rFonts w:ascii="宋体" w:hAnsi="宋体"/>
          <w:b/>
          <w:sz w:val="22"/>
        </w:rPr>
      </w:pPr>
      <w:bookmarkStart w:id="84" w:name="_Toc422638519"/>
      <w:r>
        <w:rPr>
          <w:rFonts w:hint="eastAsia" w:ascii="宋体" w:hAnsi="宋体"/>
          <w:b/>
          <w:sz w:val="22"/>
        </w:rPr>
        <w:t>十三、违约责任</w:t>
      </w:r>
      <w:bookmarkEnd w:id="84"/>
    </w:p>
    <w:p>
      <w:pPr>
        <w:adjustRightInd w:val="0"/>
        <w:snapToGrid w:val="0"/>
        <w:spacing w:line="360" w:lineRule="exact"/>
        <w:ind w:firstLine="440" w:firstLineChars="200"/>
        <w:rPr>
          <w:rFonts w:ascii="宋体" w:hAnsi="宋体"/>
          <w:sz w:val="22"/>
        </w:rPr>
      </w:pPr>
      <w:r>
        <w:rPr>
          <w:rFonts w:hint="eastAsia" w:ascii="宋体" w:hAnsi="宋体"/>
          <w:b/>
          <w:sz w:val="22"/>
        </w:rPr>
        <w:t>1.</w:t>
      </w:r>
      <w:r>
        <w:rPr>
          <w:rFonts w:hint="eastAsia" w:ascii="宋体" w:hAnsi="宋体"/>
          <w:sz w:val="22"/>
        </w:rPr>
        <w:t xml:space="preserve"> 甲方无正当理由拒收货物的，甲方向乙方偿付拒收货款总值的每日0.05%的违约金。</w:t>
      </w:r>
    </w:p>
    <w:p>
      <w:pPr>
        <w:adjustRightInd w:val="0"/>
        <w:snapToGrid w:val="0"/>
        <w:spacing w:line="360" w:lineRule="exact"/>
        <w:ind w:firstLine="440" w:firstLineChars="200"/>
        <w:rPr>
          <w:rFonts w:ascii="宋体" w:hAnsi="宋体"/>
          <w:sz w:val="22"/>
        </w:rPr>
      </w:pPr>
      <w:r>
        <w:rPr>
          <w:rFonts w:hint="eastAsia" w:ascii="宋体" w:hAnsi="宋体"/>
          <w:b/>
          <w:sz w:val="22"/>
        </w:rPr>
        <w:t>2.</w:t>
      </w:r>
      <w:r>
        <w:rPr>
          <w:rFonts w:hint="eastAsia" w:ascii="宋体" w:hAnsi="宋体"/>
          <w:sz w:val="22"/>
        </w:rPr>
        <w:t xml:space="preserve"> 甲方无故逾期验收和办理货款支付手续的,甲方应按逾期付款总额每日0.05%向乙方支付违约金。</w:t>
      </w:r>
    </w:p>
    <w:p>
      <w:pPr>
        <w:adjustRightInd w:val="0"/>
        <w:snapToGrid w:val="0"/>
        <w:spacing w:line="360" w:lineRule="exact"/>
        <w:ind w:firstLine="440" w:firstLineChars="200"/>
        <w:rPr>
          <w:rFonts w:ascii="宋体" w:hAnsi="宋体"/>
          <w:sz w:val="22"/>
        </w:rPr>
      </w:pPr>
      <w:r>
        <w:rPr>
          <w:rFonts w:hint="eastAsia" w:ascii="宋体" w:hAnsi="宋体"/>
          <w:sz w:val="22"/>
          <w:szCs w:val="24"/>
        </w:rPr>
        <w:t>3. 乙方所交的办公用品品种、型号、规格、技术参数、质量不符合合同规定及招标文件规定标准的，甲方有权拒收该办公用品，或要求乙方更换办公用品；乙方愿意更换办公用品但逾期交货的，按乙方逾期交货处理。乙方拒绝更换办公用品的，甲方可单方面解除合同。</w:t>
      </w:r>
    </w:p>
    <w:p>
      <w:pPr>
        <w:adjustRightInd w:val="0"/>
        <w:snapToGrid w:val="0"/>
        <w:spacing w:line="360" w:lineRule="exact"/>
        <w:ind w:firstLine="440" w:firstLineChars="200"/>
        <w:rPr>
          <w:rFonts w:ascii="宋体" w:hAnsi="宋体"/>
          <w:sz w:val="22"/>
        </w:rPr>
      </w:pPr>
      <w:r>
        <w:rPr>
          <w:rFonts w:hint="eastAsia" w:ascii="宋体" w:hAnsi="宋体"/>
          <w:sz w:val="22"/>
          <w:szCs w:val="24"/>
        </w:rPr>
        <w:t>4．因乙方提供办公用品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0" w:firstLineChars="200"/>
        <w:rPr>
          <w:rFonts w:ascii="宋体" w:hAnsi="宋体"/>
          <w:sz w:val="22"/>
        </w:rPr>
      </w:pPr>
      <w:r>
        <w:rPr>
          <w:rFonts w:hint="eastAsia" w:ascii="宋体" w:hAnsi="宋体"/>
          <w:sz w:val="22"/>
          <w:szCs w:val="24"/>
        </w:rPr>
        <w:t>5. 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40" w:firstLineChars="200"/>
        <w:rPr>
          <w:rFonts w:ascii="宋体" w:hAnsi="宋体"/>
          <w:sz w:val="22"/>
        </w:rPr>
      </w:pPr>
      <w:r>
        <w:rPr>
          <w:rFonts w:hint="eastAsia" w:ascii="宋体" w:hAnsi="宋体"/>
          <w:sz w:val="22"/>
          <w:szCs w:val="24"/>
        </w:rPr>
        <w:t>6.在合同履行期间，如发现乙方出现下列情形之一的，甲方有权终止合同,并有权要求乙方承担由此给甲方造成的实际损失</w:t>
      </w:r>
      <w:r>
        <w:rPr>
          <w:rFonts w:hint="eastAsia" w:ascii="宋体" w:hAnsi="宋体"/>
          <w:sz w:val="22"/>
        </w:rPr>
        <w:t>，</w:t>
      </w:r>
      <w:r>
        <w:rPr>
          <w:rFonts w:ascii="宋体" w:hAnsi="宋体"/>
          <w:sz w:val="22"/>
        </w:rPr>
        <w:t>并全额没收履约保证金</w:t>
      </w:r>
      <w:r>
        <w:rPr>
          <w:rFonts w:ascii="宋体" w:hAnsi="宋体"/>
          <w:sz w:val="22"/>
          <w:szCs w:val="24"/>
        </w:rPr>
        <w:t>：</w:t>
      </w:r>
    </w:p>
    <w:p>
      <w:pPr>
        <w:adjustRightInd w:val="0"/>
        <w:snapToGrid w:val="0"/>
        <w:spacing w:line="360" w:lineRule="exact"/>
        <w:ind w:firstLine="440" w:firstLineChars="200"/>
        <w:rPr>
          <w:rFonts w:ascii="宋体" w:hAnsi="宋体"/>
          <w:sz w:val="22"/>
        </w:rPr>
      </w:pPr>
      <w:r>
        <w:rPr>
          <w:rFonts w:hint="eastAsia" w:ascii="宋体" w:hAnsi="宋体"/>
          <w:sz w:val="22"/>
          <w:szCs w:val="24"/>
        </w:rPr>
        <w:t>（1）弄虚作假、隐瞒真实情况骗取中标资格的；</w:t>
      </w:r>
    </w:p>
    <w:p>
      <w:pPr>
        <w:adjustRightInd w:val="0"/>
        <w:snapToGrid w:val="0"/>
        <w:spacing w:line="360" w:lineRule="exact"/>
        <w:ind w:firstLine="440" w:firstLineChars="200"/>
        <w:rPr>
          <w:rFonts w:ascii="宋体" w:hAnsi="宋体"/>
          <w:sz w:val="22"/>
        </w:rPr>
      </w:pPr>
      <w:r>
        <w:rPr>
          <w:rFonts w:hint="eastAsia" w:ascii="宋体" w:hAnsi="宋体"/>
          <w:sz w:val="22"/>
          <w:szCs w:val="24"/>
        </w:rPr>
        <w:t>（2）因行贿、受贿、串通投标、转包、挂靠受到有关政府部门处罚的；</w:t>
      </w:r>
    </w:p>
    <w:p>
      <w:pPr>
        <w:adjustRightInd w:val="0"/>
        <w:snapToGrid w:val="0"/>
        <w:spacing w:line="360" w:lineRule="exact"/>
        <w:ind w:firstLine="440" w:firstLineChars="200"/>
        <w:rPr>
          <w:rFonts w:ascii="宋体" w:hAnsi="宋体"/>
          <w:sz w:val="22"/>
        </w:rPr>
      </w:pPr>
      <w:r>
        <w:rPr>
          <w:rFonts w:hint="eastAsia" w:ascii="宋体" w:hAnsi="宋体"/>
          <w:sz w:val="22"/>
          <w:szCs w:val="24"/>
        </w:rPr>
        <w:t>（3）擅自变更或者终止本合同的；</w:t>
      </w:r>
    </w:p>
    <w:p>
      <w:pPr>
        <w:adjustRightInd w:val="0"/>
        <w:snapToGrid w:val="0"/>
        <w:spacing w:line="360" w:lineRule="exact"/>
        <w:ind w:firstLine="440" w:firstLineChars="200"/>
        <w:rPr>
          <w:rFonts w:ascii="宋体" w:hAnsi="宋体"/>
          <w:sz w:val="22"/>
        </w:rPr>
      </w:pPr>
      <w:r>
        <w:rPr>
          <w:rFonts w:hint="eastAsia" w:ascii="宋体" w:hAnsi="宋体"/>
          <w:sz w:val="22"/>
          <w:szCs w:val="24"/>
        </w:rPr>
        <w:t>（4）提供假冒伪劣产品或质量存在重大质量问题的；</w:t>
      </w:r>
    </w:p>
    <w:p>
      <w:pPr>
        <w:adjustRightInd w:val="0"/>
        <w:snapToGrid w:val="0"/>
        <w:spacing w:line="360" w:lineRule="exact"/>
        <w:ind w:firstLine="440" w:firstLineChars="200"/>
        <w:rPr>
          <w:rFonts w:ascii="宋体" w:hAnsi="宋体"/>
          <w:sz w:val="22"/>
        </w:rPr>
      </w:pPr>
      <w:r>
        <w:rPr>
          <w:rFonts w:hint="eastAsia" w:ascii="宋体" w:hAnsi="宋体"/>
          <w:sz w:val="22"/>
          <w:szCs w:val="24"/>
        </w:rPr>
        <w:t>（5）无正当理由拒绝按照投标承诺提供供货服务的；</w:t>
      </w:r>
    </w:p>
    <w:p>
      <w:pPr>
        <w:adjustRightInd w:val="0"/>
        <w:snapToGrid w:val="0"/>
        <w:spacing w:line="360" w:lineRule="exact"/>
        <w:ind w:firstLine="440" w:firstLineChars="200"/>
        <w:rPr>
          <w:rFonts w:ascii="宋体" w:hAnsi="宋体"/>
          <w:sz w:val="22"/>
        </w:rPr>
      </w:pPr>
      <w:r>
        <w:rPr>
          <w:rFonts w:hint="eastAsia" w:ascii="宋体" w:hAnsi="宋体"/>
          <w:sz w:val="22"/>
          <w:szCs w:val="24"/>
        </w:rPr>
        <w:t>（6）无故拖延供货期并拒不改正的；</w:t>
      </w:r>
    </w:p>
    <w:p>
      <w:pPr>
        <w:adjustRightInd w:val="0"/>
        <w:snapToGrid w:val="0"/>
        <w:spacing w:line="360" w:lineRule="exact"/>
        <w:ind w:firstLine="440" w:firstLineChars="200"/>
        <w:rPr>
          <w:rFonts w:ascii="宋体" w:hAnsi="宋体"/>
          <w:sz w:val="22"/>
        </w:rPr>
      </w:pPr>
      <w:r>
        <w:rPr>
          <w:rFonts w:hint="eastAsia" w:ascii="宋体" w:hAnsi="宋体"/>
          <w:sz w:val="22"/>
          <w:szCs w:val="24"/>
        </w:rPr>
        <w:t>（7）拒绝有关部门检查或者不如实反映情况、提供材料的；</w:t>
      </w:r>
    </w:p>
    <w:p>
      <w:pPr>
        <w:adjustRightInd w:val="0"/>
        <w:snapToGrid w:val="0"/>
        <w:spacing w:line="360" w:lineRule="exact"/>
        <w:ind w:firstLine="440" w:firstLineChars="200"/>
        <w:rPr>
          <w:rFonts w:ascii="宋体" w:hAnsi="宋体"/>
          <w:sz w:val="22"/>
        </w:rPr>
      </w:pPr>
      <w:r>
        <w:rPr>
          <w:rFonts w:hint="eastAsia" w:ascii="宋体" w:hAnsi="宋体"/>
          <w:sz w:val="22"/>
          <w:szCs w:val="24"/>
        </w:rPr>
        <w:t>（8）不按照甲方要求及时报价的；</w:t>
      </w:r>
    </w:p>
    <w:p>
      <w:pPr>
        <w:adjustRightInd w:val="0"/>
        <w:snapToGrid w:val="0"/>
        <w:spacing w:line="360" w:lineRule="exact"/>
        <w:ind w:firstLine="440" w:firstLineChars="200"/>
        <w:rPr>
          <w:rFonts w:ascii="宋体" w:hAnsi="宋体"/>
          <w:sz w:val="22"/>
        </w:rPr>
      </w:pPr>
      <w:r>
        <w:rPr>
          <w:rFonts w:hint="eastAsia" w:ascii="宋体" w:hAnsi="宋体"/>
          <w:sz w:val="22"/>
          <w:szCs w:val="24"/>
        </w:rPr>
        <w:t>（9）因其公司资质降低达不到本项目招标投标人须具备的资质条件的；</w:t>
      </w:r>
    </w:p>
    <w:p>
      <w:pPr>
        <w:adjustRightInd w:val="0"/>
        <w:snapToGrid w:val="0"/>
        <w:spacing w:line="360" w:lineRule="exact"/>
        <w:ind w:firstLine="440" w:firstLineChars="200"/>
        <w:rPr>
          <w:rFonts w:ascii="宋体" w:hAnsi="宋体"/>
          <w:sz w:val="22"/>
        </w:rPr>
      </w:pPr>
      <w:r>
        <w:rPr>
          <w:rFonts w:hint="eastAsia" w:ascii="宋体" w:hAnsi="宋体"/>
          <w:sz w:val="22"/>
          <w:szCs w:val="24"/>
        </w:rPr>
        <w:t>（10）经甲方考核后，不合格；</w:t>
      </w:r>
    </w:p>
    <w:p>
      <w:pPr>
        <w:adjustRightInd w:val="0"/>
        <w:snapToGrid w:val="0"/>
        <w:spacing w:line="360" w:lineRule="exact"/>
        <w:ind w:firstLine="440" w:firstLineChars="200"/>
        <w:rPr>
          <w:rFonts w:ascii="宋体" w:hAnsi="宋体"/>
          <w:sz w:val="22"/>
        </w:rPr>
      </w:pPr>
      <w:r>
        <w:rPr>
          <w:rFonts w:hint="eastAsia" w:ascii="宋体" w:hAnsi="宋体"/>
          <w:sz w:val="22"/>
          <w:szCs w:val="24"/>
        </w:rPr>
        <w:t>（11）其它造成严重后或恶劣影响的行为。</w:t>
      </w:r>
      <w:r>
        <w:rPr>
          <w:rFonts w:hint="eastAsia" w:ascii="宋体" w:hAnsi="宋体"/>
          <w:sz w:val="22"/>
          <w:szCs w:val="24"/>
        </w:rPr>
        <w:tab/>
      </w:r>
    </w:p>
    <w:p>
      <w:pPr>
        <w:adjustRightInd w:val="0"/>
        <w:snapToGrid w:val="0"/>
        <w:spacing w:line="360" w:lineRule="exact"/>
        <w:ind w:firstLine="440" w:firstLineChars="200"/>
        <w:rPr>
          <w:rFonts w:ascii="宋体" w:hAnsi="宋体"/>
          <w:sz w:val="22"/>
        </w:rPr>
      </w:pPr>
      <w:r>
        <w:rPr>
          <w:rFonts w:hint="eastAsia" w:ascii="宋体" w:hAnsi="宋体"/>
          <w:sz w:val="22"/>
          <w:szCs w:val="24"/>
        </w:rPr>
        <w:t xml:space="preserve">7.在合同履行期间，如发现乙方出现下列情形之一的，甲方可视乙方违约，记录扣分（以整改通知单形式告知）并采取相应处置： </w:t>
      </w:r>
    </w:p>
    <w:p>
      <w:pPr>
        <w:adjustRightInd w:val="0"/>
        <w:snapToGrid w:val="0"/>
        <w:spacing w:line="360" w:lineRule="exact"/>
        <w:ind w:firstLine="440" w:firstLineChars="200"/>
        <w:rPr>
          <w:rFonts w:ascii="宋体" w:hAnsi="宋体"/>
          <w:sz w:val="22"/>
        </w:rPr>
      </w:pPr>
      <w:r>
        <w:rPr>
          <w:rFonts w:hint="eastAsia" w:ascii="宋体" w:hAnsi="宋体"/>
          <w:sz w:val="22"/>
          <w:szCs w:val="24"/>
        </w:rPr>
        <w:t>（1）提供的办公用品和服务不符合质量要求或价格高于市场同类产品的，经查证属实的,一次扣1分；</w:t>
      </w:r>
    </w:p>
    <w:p>
      <w:pPr>
        <w:adjustRightInd w:val="0"/>
        <w:snapToGrid w:val="0"/>
        <w:spacing w:line="360" w:lineRule="exact"/>
        <w:ind w:firstLine="440" w:firstLineChars="200"/>
        <w:rPr>
          <w:rFonts w:ascii="宋体" w:hAnsi="宋体"/>
          <w:sz w:val="22"/>
        </w:rPr>
      </w:pPr>
      <w:r>
        <w:rPr>
          <w:rFonts w:hint="eastAsia" w:ascii="宋体" w:hAnsi="宋体"/>
          <w:sz w:val="22"/>
          <w:szCs w:val="24"/>
        </w:rPr>
        <w:t>（2）不履行本协议规定的义务和操作流程，经查证属实的,一次扣1分；</w:t>
      </w:r>
    </w:p>
    <w:p>
      <w:pPr>
        <w:adjustRightInd w:val="0"/>
        <w:snapToGrid w:val="0"/>
        <w:spacing w:line="360" w:lineRule="exact"/>
        <w:ind w:firstLine="440" w:firstLineChars="200"/>
        <w:rPr>
          <w:rFonts w:ascii="宋体" w:hAnsi="宋体"/>
          <w:sz w:val="22"/>
        </w:rPr>
      </w:pPr>
      <w:r>
        <w:rPr>
          <w:rFonts w:hint="eastAsia" w:ascii="宋体" w:hAnsi="宋体"/>
          <w:sz w:val="22"/>
          <w:szCs w:val="24"/>
        </w:rPr>
        <w:t>（3）被甲方采购或使用部门有效投诉的，一次扣1分；</w:t>
      </w:r>
    </w:p>
    <w:p>
      <w:pPr>
        <w:adjustRightInd w:val="0"/>
        <w:snapToGrid w:val="0"/>
        <w:spacing w:line="360" w:lineRule="exact"/>
        <w:ind w:firstLine="440" w:firstLineChars="200"/>
        <w:rPr>
          <w:rFonts w:ascii="宋体" w:hAnsi="宋体"/>
          <w:sz w:val="22"/>
        </w:rPr>
      </w:pPr>
      <w:r>
        <w:rPr>
          <w:rFonts w:hint="eastAsia" w:ascii="宋体" w:hAnsi="宋体"/>
          <w:sz w:val="22"/>
          <w:szCs w:val="24"/>
        </w:rPr>
        <w:t>（4）弄虚作假，隐瞒真实情况，所提供的办公用品与投标承诺的不相符的，一项扣2分；</w:t>
      </w:r>
    </w:p>
    <w:p>
      <w:pPr>
        <w:adjustRightInd w:val="0"/>
        <w:snapToGrid w:val="0"/>
        <w:spacing w:line="360" w:lineRule="exact"/>
        <w:ind w:firstLine="440" w:firstLineChars="200"/>
        <w:rPr>
          <w:rFonts w:ascii="宋体" w:hAnsi="宋体"/>
          <w:sz w:val="22"/>
        </w:rPr>
      </w:pPr>
      <w:r>
        <w:rPr>
          <w:rFonts w:hint="eastAsia" w:ascii="宋体" w:hAnsi="宋体"/>
          <w:sz w:val="22"/>
          <w:szCs w:val="24"/>
        </w:rPr>
        <w:t>（5）产品质量在甲方组织的随机检查中不合格的，一项扣2分；</w:t>
      </w:r>
    </w:p>
    <w:p>
      <w:pPr>
        <w:adjustRightInd w:val="0"/>
        <w:snapToGrid w:val="0"/>
        <w:spacing w:line="360" w:lineRule="exact"/>
        <w:ind w:firstLine="440" w:firstLineChars="200"/>
        <w:rPr>
          <w:rFonts w:ascii="宋体" w:hAnsi="宋体"/>
          <w:sz w:val="22"/>
        </w:rPr>
      </w:pPr>
      <w:r>
        <w:rPr>
          <w:rFonts w:hint="eastAsia" w:ascii="宋体" w:hAnsi="宋体"/>
          <w:sz w:val="22"/>
          <w:szCs w:val="24"/>
        </w:rPr>
        <w:t>（6）因违规操作或主观恶意给甲方造成损失的，一次扣2分，造成较大损失的，一次扣5分</w:t>
      </w:r>
    </w:p>
    <w:p>
      <w:pPr>
        <w:adjustRightInd w:val="0"/>
        <w:snapToGrid w:val="0"/>
        <w:spacing w:line="360" w:lineRule="exact"/>
        <w:ind w:firstLine="440" w:firstLineChars="200"/>
        <w:rPr>
          <w:rFonts w:ascii="宋体" w:hAnsi="宋体"/>
          <w:sz w:val="22"/>
        </w:rPr>
      </w:pPr>
      <w:r>
        <w:rPr>
          <w:rFonts w:hint="eastAsia" w:ascii="宋体" w:hAnsi="宋体"/>
          <w:sz w:val="22"/>
          <w:szCs w:val="24"/>
        </w:rPr>
        <w:t>乙方有否定指标违规或有以上被扣分情况的，甲方可对乙方采取以下措施：</w:t>
      </w:r>
    </w:p>
    <w:p>
      <w:pPr>
        <w:adjustRightInd w:val="0"/>
        <w:snapToGrid w:val="0"/>
        <w:spacing w:line="360" w:lineRule="exact"/>
        <w:ind w:firstLine="440" w:firstLineChars="200"/>
        <w:rPr>
          <w:rFonts w:ascii="宋体" w:hAnsi="宋体"/>
          <w:sz w:val="22"/>
        </w:rPr>
      </w:pPr>
      <w:r>
        <w:rPr>
          <w:rFonts w:hint="eastAsia" w:ascii="宋体" w:hAnsi="宋体"/>
          <w:sz w:val="22"/>
          <w:szCs w:val="24"/>
        </w:rPr>
        <w:t>（1）被扣1分，书面警告</w:t>
      </w:r>
    </w:p>
    <w:p>
      <w:pPr>
        <w:adjustRightInd w:val="0"/>
        <w:snapToGrid w:val="0"/>
        <w:spacing w:line="360" w:lineRule="exact"/>
        <w:ind w:firstLine="440" w:firstLineChars="200"/>
        <w:rPr>
          <w:rFonts w:ascii="宋体" w:hAnsi="宋体"/>
          <w:sz w:val="22"/>
        </w:rPr>
      </w:pPr>
      <w:r>
        <w:rPr>
          <w:rFonts w:hint="eastAsia" w:ascii="宋体" w:hAnsi="宋体"/>
          <w:sz w:val="22"/>
          <w:szCs w:val="24"/>
        </w:rPr>
        <w:t>（2）累计被扣2分，书面警告一次，扣除履约保证金的10%</w:t>
      </w:r>
    </w:p>
    <w:p>
      <w:pPr>
        <w:adjustRightInd w:val="0"/>
        <w:snapToGrid w:val="0"/>
        <w:spacing w:line="360" w:lineRule="exact"/>
        <w:ind w:firstLine="440" w:firstLineChars="200"/>
        <w:rPr>
          <w:rFonts w:ascii="宋体" w:hAnsi="宋体"/>
          <w:sz w:val="22"/>
        </w:rPr>
      </w:pPr>
      <w:r>
        <w:rPr>
          <w:rFonts w:hint="eastAsia" w:ascii="宋体" w:hAnsi="宋体"/>
          <w:sz w:val="22"/>
          <w:szCs w:val="24"/>
        </w:rPr>
        <w:t>（3）累计被扣3分，书面警告一次，扣除履约保证金的30%</w:t>
      </w:r>
    </w:p>
    <w:p>
      <w:pPr>
        <w:adjustRightInd w:val="0"/>
        <w:snapToGrid w:val="0"/>
        <w:spacing w:line="360" w:lineRule="exact"/>
        <w:ind w:firstLine="440" w:firstLineChars="200"/>
        <w:rPr>
          <w:rFonts w:ascii="宋体" w:hAnsi="宋体"/>
          <w:sz w:val="22"/>
        </w:rPr>
      </w:pPr>
      <w:r>
        <w:rPr>
          <w:rFonts w:hint="eastAsia" w:ascii="宋体" w:hAnsi="宋体"/>
          <w:sz w:val="22"/>
          <w:szCs w:val="24"/>
        </w:rPr>
        <w:t>（4）累计被扣5分及以上的，甲方有权终止合同，扣除乙方全部履约保证金，乙方给甲方造成经济损失的，应当承担由此给甲方造成的实际赔偿责任。</w:t>
      </w:r>
    </w:p>
    <w:p>
      <w:pPr>
        <w:adjustRightInd w:val="0"/>
        <w:snapToGrid w:val="0"/>
        <w:spacing w:line="360" w:lineRule="exact"/>
        <w:ind w:firstLine="440" w:firstLineChars="200"/>
        <w:rPr>
          <w:rFonts w:ascii="宋体" w:hAnsi="宋体"/>
          <w:sz w:val="22"/>
        </w:rPr>
      </w:pPr>
      <w:r>
        <w:rPr>
          <w:rFonts w:hint="eastAsia" w:ascii="宋体" w:hAnsi="宋体"/>
          <w:sz w:val="22"/>
          <w:szCs w:val="24"/>
        </w:rPr>
        <w:t>8．对于本合同项下乙方应支付的赔偿款或违约金，甲方有权从应付乙方的货款及履约保证金中直接扣除，仍不足的部分，继续向乙方追偿。</w:t>
      </w:r>
    </w:p>
    <w:p>
      <w:pPr>
        <w:adjustRightInd w:val="0"/>
        <w:snapToGrid w:val="0"/>
        <w:spacing w:line="360" w:lineRule="exact"/>
        <w:ind w:firstLine="440" w:firstLineChars="200"/>
        <w:outlineLvl w:val="0"/>
        <w:rPr>
          <w:rFonts w:ascii="宋体" w:hAnsi="宋体"/>
          <w:b/>
          <w:sz w:val="22"/>
        </w:rPr>
      </w:pPr>
      <w:bookmarkStart w:id="85" w:name="_Toc422638520"/>
      <w:r>
        <w:rPr>
          <w:rFonts w:hint="eastAsia" w:ascii="宋体" w:hAnsi="宋体"/>
          <w:b/>
          <w:sz w:val="22"/>
        </w:rPr>
        <w:t>十四、不可抗力事件处理</w:t>
      </w:r>
      <w:bookmarkEnd w:id="85"/>
    </w:p>
    <w:p>
      <w:pPr>
        <w:adjustRightInd w:val="0"/>
        <w:snapToGrid w:val="0"/>
        <w:spacing w:line="360" w:lineRule="exact"/>
        <w:ind w:firstLine="440" w:firstLineChars="200"/>
        <w:rPr>
          <w:rFonts w:ascii="宋体" w:hAnsi="宋体"/>
          <w:sz w:val="22"/>
        </w:rPr>
      </w:pPr>
      <w:r>
        <w:rPr>
          <w:rFonts w:hint="eastAsia" w:ascii="宋体" w:hAnsi="宋体"/>
          <w:b/>
          <w:sz w:val="22"/>
        </w:rPr>
        <w:t>1.</w:t>
      </w:r>
      <w:r>
        <w:rPr>
          <w:rFonts w:hint="eastAsia" w:ascii="宋体" w:hAnsi="宋体"/>
          <w:sz w:val="22"/>
        </w:rPr>
        <w:t xml:space="preserve"> 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ascii="宋体" w:hAnsi="宋体"/>
          <w:sz w:val="22"/>
        </w:rPr>
      </w:pPr>
      <w:r>
        <w:rPr>
          <w:rFonts w:hint="eastAsia" w:ascii="宋体" w:hAnsi="宋体"/>
          <w:b/>
          <w:sz w:val="22"/>
        </w:rPr>
        <w:t>2.</w:t>
      </w:r>
      <w:r>
        <w:rPr>
          <w:rFonts w:hint="eastAsia" w:ascii="宋体" w:hAnsi="宋体"/>
          <w:sz w:val="22"/>
        </w:rPr>
        <w:t xml:space="preserve"> 不可抗力事件发生后，遭遇不可抗力的一方应立即通知对方，并寄送有关官方权威机构出具的证明。</w:t>
      </w:r>
    </w:p>
    <w:p>
      <w:pPr>
        <w:snapToGrid w:val="0"/>
        <w:spacing w:line="360" w:lineRule="exact"/>
        <w:ind w:firstLine="440" w:firstLineChars="200"/>
        <w:rPr>
          <w:rFonts w:ascii="宋体" w:hAnsi="宋体"/>
          <w:sz w:val="22"/>
        </w:rPr>
      </w:pPr>
      <w:r>
        <w:rPr>
          <w:rFonts w:hint="eastAsia" w:ascii="宋体" w:hAnsi="宋体"/>
          <w:b/>
          <w:sz w:val="22"/>
        </w:rPr>
        <w:t xml:space="preserve">3. </w:t>
      </w:r>
      <w:r>
        <w:rPr>
          <w:rFonts w:hint="eastAsia" w:ascii="宋体" w:hAnsi="宋体"/>
          <w:sz w:val="22"/>
        </w:rPr>
        <w:t>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0" w:firstLineChars="200"/>
        <w:rPr>
          <w:rFonts w:ascii="宋体" w:hAnsi="宋体"/>
          <w:b/>
          <w:sz w:val="22"/>
        </w:rPr>
      </w:pPr>
      <w:r>
        <w:rPr>
          <w:rFonts w:hint="eastAsia" w:ascii="宋体" w:hAnsi="宋体"/>
          <w:b/>
          <w:sz w:val="22"/>
        </w:rPr>
        <w:t>十五、争议解决</w:t>
      </w:r>
    </w:p>
    <w:p>
      <w:pPr>
        <w:adjustRightInd w:val="0"/>
        <w:snapToGrid w:val="0"/>
        <w:spacing w:line="3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360" w:lineRule="exact"/>
        <w:ind w:firstLine="440" w:firstLineChars="200"/>
        <w:rPr>
          <w:rFonts w:ascii="宋体" w:hAnsi="宋体"/>
          <w:b/>
          <w:sz w:val="22"/>
        </w:rPr>
      </w:pPr>
      <w:r>
        <w:rPr>
          <w:rFonts w:hint="eastAsia" w:ascii="宋体" w:hAnsi="宋体"/>
          <w:b/>
          <w:sz w:val="22"/>
        </w:rPr>
        <w:t>十六、合同组成文件包含下列内容，合同与招投标文件不一致解释顺序如下：</w:t>
      </w:r>
    </w:p>
    <w:p>
      <w:pPr>
        <w:adjustRightInd w:val="0"/>
        <w:snapToGrid w:val="0"/>
        <w:spacing w:line="360" w:lineRule="exact"/>
        <w:ind w:firstLine="440" w:firstLineChars="200"/>
        <w:rPr>
          <w:rFonts w:ascii="宋体" w:hAnsi="宋体"/>
          <w:sz w:val="22"/>
        </w:rPr>
      </w:pPr>
      <w:r>
        <w:rPr>
          <w:rFonts w:hint="eastAsia" w:ascii="宋体" w:hAnsi="宋体"/>
          <w:b/>
          <w:sz w:val="22"/>
        </w:rPr>
        <w:t>1.</w:t>
      </w:r>
      <w:r>
        <w:rPr>
          <w:rFonts w:hint="eastAsia" w:ascii="宋体" w:hAnsi="宋体"/>
          <w:sz w:val="22"/>
        </w:rPr>
        <w:t>本合同协议书</w:t>
      </w:r>
    </w:p>
    <w:p>
      <w:pPr>
        <w:adjustRightInd w:val="0"/>
        <w:snapToGrid w:val="0"/>
        <w:spacing w:line="360" w:lineRule="exact"/>
        <w:ind w:firstLine="440" w:firstLineChars="200"/>
        <w:rPr>
          <w:rFonts w:ascii="宋体" w:hAnsi="宋体"/>
          <w:sz w:val="22"/>
        </w:rPr>
      </w:pPr>
      <w:r>
        <w:rPr>
          <w:rFonts w:hint="eastAsia" w:ascii="宋体" w:hAnsi="宋体"/>
          <w:b/>
          <w:sz w:val="22"/>
        </w:rPr>
        <w:t>2.</w:t>
      </w:r>
      <w:r>
        <w:rPr>
          <w:rFonts w:hint="eastAsia" w:ascii="宋体" w:hAnsi="宋体"/>
          <w:sz w:val="22"/>
        </w:rPr>
        <w:t>中标通知书</w:t>
      </w:r>
    </w:p>
    <w:p>
      <w:pPr>
        <w:adjustRightInd w:val="0"/>
        <w:snapToGrid w:val="0"/>
        <w:spacing w:line="360" w:lineRule="exact"/>
        <w:ind w:firstLine="440" w:firstLineChars="200"/>
        <w:rPr>
          <w:rFonts w:ascii="宋体" w:hAnsi="宋体"/>
          <w:sz w:val="22"/>
        </w:rPr>
      </w:pPr>
      <w:r>
        <w:rPr>
          <w:rFonts w:hint="eastAsia" w:ascii="宋体" w:hAnsi="宋体"/>
          <w:b/>
          <w:sz w:val="22"/>
        </w:rPr>
        <w:t>3.</w:t>
      </w:r>
      <w:r>
        <w:rPr>
          <w:rFonts w:hint="eastAsia" w:ascii="宋体" w:hAnsi="宋体"/>
          <w:sz w:val="22"/>
        </w:rPr>
        <w:t>投标书及其附件</w:t>
      </w:r>
    </w:p>
    <w:p>
      <w:pPr>
        <w:adjustRightInd w:val="0"/>
        <w:snapToGrid w:val="0"/>
        <w:spacing w:line="360" w:lineRule="exact"/>
        <w:ind w:firstLine="440" w:firstLineChars="200"/>
        <w:rPr>
          <w:rFonts w:ascii="宋体" w:hAnsi="宋体"/>
          <w:sz w:val="22"/>
        </w:rPr>
      </w:pPr>
      <w:r>
        <w:rPr>
          <w:rFonts w:hint="eastAsia" w:ascii="宋体" w:hAnsi="宋体"/>
          <w:b/>
          <w:sz w:val="22"/>
        </w:rPr>
        <w:t>4.</w:t>
      </w:r>
      <w:r>
        <w:rPr>
          <w:rFonts w:hint="eastAsia" w:ascii="宋体" w:hAnsi="宋体"/>
          <w:sz w:val="22"/>
        </w:rPr>
        <w:t>招标文件</w:t>
      </w:r>
    </w:p>
    <w:p>
      <w:pPr>
        <w:adjustRightInd w:val="0"/>
        <w:snapToGrid w:val="0"/>
        <w:spacing w:line="360" w:lineRule="exact"/>
        <w:ind w:firstLine="440" w:firstLineChars="200"/>
        <w:rPr>
          <w:rFonts w:ascii="宋体" w:hAnsi="宋体"/>
          <w:sz w:val="22"/>
        </w:rPr>
      </w:pPr>
      <w:r>
        <w:rPr>
          <w:rFonts w:hint="eastAsia" w:ascii="宋体" w:hAnsi="宋体"/>
          <w:b/>
          <w:sz w:val="22"/>
        </w:rPr>
        <w:t>5.</w:t>
      </w:r>
      <w:r>
        <w:rPr>
          <w:rFonts w:hint="eastAsia" w:ascii="宋体" w:hAnsi="宋体"/>
          <w:sz w:val="22"/>
        </w:rPr>
        <w:t>标准、规范及有关技术文件</w:t>
      </w:r>
    </w:p>
    <w:p>
      <w:pPr>
        <w:adjustRightInd w:val="0"/>
        <w:snapToGrid w:val="0"/>
        <w:spacing w:line="360" w:lineRule="exact"/>
        <w:ind w:firstLine="440" w:firstLineChars="200"/>
        <w:outlineLvl w:val="0"/>
        <w:rPr>
          <w:rFonts w:ascii="宋体" w:hAnsi="宋体"/>
          <w:b/>
          <w:sz w:val="22"/>
        </w:rPr>
      </w:pPr>
      <w:bookmarkStart w:id="86" w:name="_Toc422638521"/>
      <w:r>
        <w:rPr>
          <w:rFonts w:hint="eastAsia" w:ascii="宋体" w:hAnsi="宋体"/>
          <w:b/>
          <w:sz w:val="22"/>
        </w:rPr>
        <w:t>十七、合同生效及其它</w:t>
      </w:r>
      <w:bookmarkEnd w:id="86"/>
    </w:p>
    <w:p>
      <w:pPr>
        <w:adjustRightInd w:val="0"/>
        <w:snapToGrid w:val="0"/>
        <w:spacing w:line="360" w:lineRule="exact"/>
        <w:ind w:firstLine="440" w:firstLineChars="200"/>
        <w:rPr>
          <w:rFonts w:ascii="宋体" w:hAnsi="宋体"/>
          <w:b/>
          <w:sz w:val="22"/>
        </w:rPr>
      </w:pPr>
      <w:r>
        <w:rPr>
          <w:rFonts w:hint="eastAsia" w:ascii="宋体" w:hAnsi="宋体"/>
          <w:b/>
          <w:sz w:val="22"/>
        </w:rPr>
        <w:t>1.</w:t>
      </w:r>
      <w:r>
        <w:rPr>
          <w:rFonts w:hint="eastAsia" w:ascii="宋体" w:hAnsi="宋体"/>
          <w:sz w:val="22"/>
        </w:rPr>
        <w:t xml:space="preserve"> 合同须经双方法定代表人或授权代表签字并加盖单位公章，合同有效期</w:t>
      </w:r>
      <w:r>
        <w:rPr>
          <w:rFonts w:hint="eastAsia" w:ascii="宋体" w:hAnsi="宋体" w:cs="Arial"/>
          <w:kern w:val="0"/>
          <w:sz w:val="22"/>
        </w:rPr>
        <w:t>自【】年【】月【】日至【】年【】月【】日止，共计3年。</w:t>
      </w:r>
      <w:r>
        <w:rPr>
          <w:rFonts w:hint="eastAsia" w:ascii="宋体" w:hAnsi="宋体"/>
          <w:sz w:val="22"/>
        </w:rPr>
        <w:t>甲方有权在每年度结束前15日内，对乙方按照附件1《</w:t>
      </w:r>
      <w:r>
        <w:rPr>
          <w:rFonts w:hint="eastAsia" w:ascii="宋体" w:hAnsi="宋体"/>
          <w:b/>
          <w:sz w:val="22"/>
        </w:rPr>
        <w:t>供应商年度考核评分表</w:t>
      </w:r>
      <w:r>
        <w:rPr>
          <w:rFonts w:hint="eastAsia" w:ascii="宋体" w:hAnsi="宋体"/>
          <w:sz w:val="22"/>
        </w:rPr>
        <w:t>》进行考核，</w:t>
      </w:r>
      <w:r>
        <w:rPr>
          <w:rFonts w:hint="eastAsia" w:ascii="仿宋_GB2312" w:hAnsi="宋体" w:eastAsia="仿宋_GB2312"/>
          <w:b/>
        </w:rPr>
        <w:t>若乙方考核分数低于70分（含），须在接到甲方考核结果之日起15日内整改完成，并经甲方再次组织考核，第二次考核分数达到90分（含）以上，视为考核合格，否则甲方有权终止本合同，履约保证金全部不予以退还。</w:t>
      </w:r>
      <w:r>
        <w:rPr>
          <w:rStyle w:val="57"/>
          <w:rFonts w:hint="eastAsia"/>
        </w:rPr>
        <w:t>。</w:t>
      </w:r>
    </w:p>
    <w:p>
      <w:pPr>
        <w:adjustRightInd w:val="0"/>
        <w:snapToGrid w:val="0"/>
        <w:spacing w:line="360" w:lineRule="exact"/>
        <w:ind w:firstLine="440" w:firstLineChars="200"/>
        <w:rPr>
          <w:rFonts w:ascii="宋体" w:hAnsi="宋体"/>
          <w:sz w:val="22"/>
        </w:rPr>
      </w:pPr>
      <w:r>
        <w:rPr>
          <w:rFonts w:hint="eastAsia" w:ascii="宋体" w:hAnsi="宋体"/>
          <w:b/>
          <w:sz w:val="22"/>
        </w:rPr>
        <w:t>2.</w:t>
      </w:r>
      <w:r>
        <w:rPr>
          <w:rFonts w:hint="eastAsia" w:ascii="宋体" w:hAnsi="宋体"/>
          <w:sz w:val="22"/>
        </w:rPr>
        <w:t>本合同未尽事宜，双方可签订补充协议予以执行；未达成补充协议的，遵照《合同法》及有关法律法规执行。</w:t>
      </w:r>
    </w:p>
    <w:p>
      <w:pPr>
        <w:tabs>
          <w:tab w:val="right" w:pos="8306"/>
        </w:tabs>
        <w:adjustRightInd w:val="0"/>
        <w:snapToGrid w:val="0"/>
        <w:spacing w:line="360" w:lineRule="exact"/>
        <w:ind w:firstLine="440" w:firstLineChars="200"/>
        <w:rPr>
          <w:rFonts w:ascii="宋体" w:hAnsi="宋体"/>
          <w:sz w:val="22"/>
        </w:rPr>
      </w:pPr>
      <w:r>
        <w:rPr>
          <w:rFonts w:hint="eastAsia" w:ascii="宋体" w:hAnsi="宋体"/>
          <w:b/>
          <w:sz w:val="22"/>
        </w:rPr>
        <w:t>3.</w:t>
      </w:r>
      <w:r>
        <w:rPr>
          <w:rFonts w:hint="eastAsia" w:ascii="宋体" w:hAnsi="宋体"/>
          <w:sz w:val="22"/>
        </w:rPr>
        <w:t>本合同一式陆份，甲执四份，乙方持二份，具有同等法律效力。</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ab/>
      </w: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 xml:space="preserve">甲方：杭州萧山国际机场有限公司            乙方： </w:t>
      </w:r>
    </w:p>
    <w:p>
      <w:pPr>
        <w:adjustRightInd w:val="0"/>
        <w:snapToGrid w:val="0"/>
        <w:spacing w:line="360" w:lineRule="exact"/>
        <w:ind w:left="6750" w:hanging="6750"/>
        <w:jc w:val="left"/>
        <w:rPr>
          <w:rFonts w:ascii="宋体" w:hAnsi="宋体"/>
          <w:sz w:val="22"/>
        </w:rPr>
      </w:pPr>
      <w:r>
        <w:rPr>
          <w:rFonts w:hint="eastAsia" w:ascii="宋体" w:hAnsi="宋体"/>
          <w:sz w:val="22"/>
        </w:rPr>
        <w:t xml:space="preserve">地址：杭州萧山国际机场内                  地址： </w:t>
      </w:r>
    </w:p>
    <w:p>
      <w:pPr>
        <w:adjustRightInd w:val="0"/>
        <w:snapToGrid w:val="0"/>
        <w:spacing w:line="360" w:lineRule="exact"/>
        <w:ind w:left="6750" w:hanging="675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法定代表人（签字）：                       法定代表人（签字）：</w:t>
      </w:r>
    </w:p>
    <w:p>
      <w:pPr>
        <w:adjustRightInd w:val="0"/>
        <w:snapToGrid w:val="0"/>
        <w:spacing w:line="360" w:lineRule="exact"/>
        <w:jc w:val="left"/>
        <w:rPr>
          <w:rFonts w:ascii="宋体" w:hAnsi="宋体"/>
          <w:sz w:val="22"/>
        </w:rPr>
      </w:pPr>
      <w:r>
        <w:rPr>
          <w:rFonts w:hint="eastAsia" w:ascii="宋体" w:hAnsi="宋体"/>
          <w:sz w:val="22"/>
        </w:rPr>
        <w:t>或                                        或</w:t>
      </w:r>
    </w:p>
    <w:p>
      <w:pPr>
        <w:adjustRightInd w:val="0"/>
        <w:snapToGrid w:val="0"/>
        <w:spacing w:line="360" w:lineRule="exact"/>
        <w:jc w:val="left"/>
        <w:rPr>
          <w:rFonts w:ascii="宋体" w:hAnsi="宋体"/>
          <w:sz w:val="22"/>
        </w:rPr>
      </w:pPr>
      <w:r>
        <w:rPr>
          <w:rFonts w:hint="eastAsia" w:ascii="宋体" w:hAnsi="宋体"/>
          <w:sz w:val="22"/>
        </w:rPr>
        <w:t>授权代表（签字）：                         授权代表（签字）：</w:t>
      </w:r>
    </w:p>
    <w:p>
      <w:pPr>
        <w:adjustRightInd w:val="0"/>
        <w:snapToGrid w:val="0"/>
        <w:spacing w:line="360" w:lineRule="exact"/>
        <w:jc w:val="left"/>
        <w:rPr>
          <w:rFonts w:ascii="宋体" w:hAnsi="宋体"/>
          <w:b/>
          <w:sz w:val="22"/>
        </w:rPr>
      </w:pPr>
      <w:r>
        <w:rPr>
          <w:rFonts w:hint="eastAsia" w:ascii="宋体" w:hAnsi="宋体"/>
          <w:sz w:val="22"/>
        </w:rPr>
        <w:t xml:space="preserve">签字日期：                                签字日期： </w:t>
      </w:r>
    </w:p>
    <w:p>
      <w:pPr>
        <w:adjustRightInd w:val="0"/>
        <w:snapToGrid w:val="0"/>
        <w:spacing w:line="360" w:lineRule="exact"/>
        <w:ind w:firstLine="440" w:firstLineChars="200"/>
        <w:jc w:val="left"/>
        <w:rPr>
          <w:rFonts w:ascii="宋体" w:hAnsi="宋体"/>
          <w:b/>
          <w:sz w:val="22"/>
        </w:rPr>
      </w:pPr>
      <w:r>
        <w:rPr>
          <w:rFonts w:hint="eastAsia" w:ascii="宋体" w:hAnsi="宋体"/>
          <w:sz w:val="22"/>
        </w:rPr>
        <w:t>年  月  日                              年  月  日</w:t>
      </w: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pacing w:line="360" w:lineRule="auto"/>
        <w:ind w:firstLine="440" w:firstLineChars="200"/>
        <w:jc w:val="left"/>
        <w:rPr>
          <w:rFonts w:ascii="宋体" w:hAnsi="宋体"/>
          <w:b/>
          <w:sz w:val="22"/>
        </w:rPr>
      </w:pPr>
      <w:r>
        <w:rPr>
          <w:rFonts w:ascii="宋体" w:hAnsi="宋体"/>
          <w:b/>
          <w:sz w:val="22"/>
        </w:rPr>
        <w:br w:type="page"/>
      </w:r>
    </w:p>
    <w:p>
      <w:pPr>
        <w:spacing w:line="360" w:lineRule="auto"/>
        <w:ind w:firstLine="422" w:firstLineChars="200"/>
        <w:jc w:val="left"/>
        <w:rPr>
          <w:rFonts w:ascii="仿宋_GB2312" w:hAnsi="宋体" w:eastAsia="仿宋_GB2312"/>
          <w:b/>
        </w:rPr>
      </w:pPr>
      <w:r>
        <w:rPr>
          <w:rFonts w:hint="eastAsia" w:ascii="仿宋_GB2312" w:hAnsi="宋体" w:eastAsia="仿宋_GB2312"/>
          <w:b/>
        </w:rPr>
        <w:t>附件1：</w:t>
      </w:r>
    </w:p>
    <w:p>
      <w:pPr>
        <w:adjustRightInd w:val="0"/>
        <w:snapToGrid w:val="0"/>
        <w:spacing w:line="360" w:lineRule="auto"/>
        <w:ind w:left="723"/>
        <w:jc w:val="center"/>
        <w:outlineLvl w:val="2"/>
        <w:rPr>
          <w:rFonts w:ascii="宋体" w:hAnsi="宋体"/>
          <w:b/>
          <w:sz w:val="36"/>
          <w:szCs w:val="21"/>
        </w:rPr>
      </w:pPr>
      <w:bookmarkStart w:id="87" w:name="_Toc419722770"/>
      <w:bookmarkStart w:id="88" w:name="_Toc419722713"/>
      <w:bookmarkStart w:id="89" w:name="_Toc432771983"/>
      <w:r>
        <w:rPr>
          <w:rFonts w:hint="eastAsia" w:ascii="宋体" w:hAnsi="宋体"/>
          <w:b/>
          <w:sz w:val="36"/>
          <w:szCs w:val="21"/>
        </w:rPr>
        <w:t>供应商年度考核评分表</w:t>
      </w:r>
      <w:bookmarkEnd w:id="87"/>
      <w:bookmarkEnd w:id="88"/>
      <w:bookmarkEnd w:id="89"/>
    </w:p>
    <w:tbl>
      <w:tblPr>
        <w:tblStyle w:val="58"/>
        <w:tblW w:w="8643" w:type="dxa"/>
        <w:tblInd w:w="113" w:type="dxa"/>
        <w:tblLayout w:type="fixed"/>
        <w:tblCellMar>
          <w:top w:w="0" w:type="dxa"/>
          <w:left w:w="108" w:type="dxa"/>
          <w:bottom w:w="0" w:type="dxa"/>
          <w:right w:w="108" w:type="dxa"/>
        </w:tblCellMar>
      </w:tblPr>
      <w:tblGrid>
        <w:gridCol w:w="1080"/>
        <w:gridCol w:w="5861"/>
        <w:gridCol w:w="851"/>
        <w:gridCol w:w="851"/>
      </w:tblGrid>
      <w:tr>
        <w:tblPrEx>
          <w:tblLayout w:type="fixed"/>
          <w:tblCellMar>
            <w:top w:w="0" w:type="dxa"/>
            <w:left w:w="108" w:type="dxa"/>
            <w:bottom w:w="0" w:type="dxa"/>
            <w:right w:w="108" w:type="dxa"/>
          </w:tblCellMar>
        </w:tblPrEx>
        <w:trPr>
          <w:trHeight w:val="457"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考核项目</w:t>
            </w:r>
          </w:p>
        </w:tc>
        <w:tc>
          <w:tcPr>
            <w:tcW w:w="58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考核内容</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分值</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得分</w:t>
            </w: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价格水平</w:t>
            </w: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是否按照合同规定价格提供货物</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所供货物价格是否不高于同品牌、同规格产品的一般市场价格</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质量水平</w:t>
            </w: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货物是否符合合同规定的质量标准</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货物是否存在质量问题</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是否具备完善的质量保证体系</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对质量问题的处理能力</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交货能力</w:t>
            </w: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交货及时性：是否根据合同规定时间供货或提供服务</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6</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是否按照合同规定的交付方式进行交付</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5</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应急服务的供应及时性</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8</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后援服务</w:t>
            </w: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货物订购的跟进与保证</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5</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售后服务能力</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5</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人员管理</w:t>
            </w: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团队管理能力</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员工综合素质</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903"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用户总体满意度</w:t>
            </w:r>
          </w:p>
        </w:tc>
        <w:tc>
          <w:tcPr>
            <w:tcW w:w="5861"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很满意：10分</w:t>
            </w:r>
          </w:p>
          <w:p>
            <w:pPr>
              <w:rPr>
                <w:rFonts w:ascii="仿宋_GB2312" w:hAnsi="宋体" w:eastAsia="仿宋_GB2312" w:cs="宋体"/>
                <w:kern w:val="0"/>
                <w:szCs w:val="21"/>
              </w:rPr>
            </w:pPr>
            <w:r>
              <w:rPr>
                <w:rFonts w:hint="eastAsia" w:ascii="仿宋_GB2312" w:hAnsi="宋体" w:eastAsia="仿宋_GB2312" w:cs="宋体"/>
                <w:kern w:val="0"/>
                <w:szCs w:val="21"/>
              </w:rPr>
              <w:t>满意：7分</w:t>
            </w:r>
          </w:p>
          <w:p>
            <w:pPr>
              <w:rPr>
                <w:rFonts w:ascii="仿宋_GB2312" w:hAnsi="宋体" w:eastAsia="仿宋_GB2312" w:cs="宋体"/>
                <w:kern w:val="0"/>
                <w:szCs w:val="21"/>
              </w:rPr>
            </w:pPr>
            <w:r>
              <w:rPr>
                <w:rFonts w:hint="eastAsia" w:ascii="仿宋_GB2312" w:hAnsi="宋体" w:eastAsia="仿宋_GB2312" w:cs="宋体"/>
                <w:kern w:val="0"/>
                <w:szCs w:val="21"/>
              </w:rPr>
              <w:t>一般：5分</w:t>
            </w:r>
          </w:p>
          <w:p>
            <w:pPr>
              <w:rPr>
                <w:rFonts w:ascii="仿宋_GB2312" w:hAnsi="宋体" w:eastAsia="仿宋_GB2312" w:cs="宋体"/>
                <w:kern w:val="0"/>
                <w:szCs w:val="21"/>
              </w:rPr>
            </w:pPr>
            <w:r>
              <w:rPr>
                <w:rFonts w:hint="eastAsia" w:ascii="仿宋_GB2312" w:hAnsi="宋体" w:eastAsia="仿宋_GB2312" w:cs="宋体"/>
                <w:kern w:val="0"/>
                <w:szCs w:val="21"/>
              </w:rPr>
              <w:t>不满意：0分</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合作情况</w:t>
            </w:r>
          </w:p>
        </w:tc>
        <w:tc>
          <w:tcPr>
            <w:tcW w:w="5861"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被提出整改要求后的整改情况</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8</w:t>
            </w:r>
          </w:p>
        </w:tc>
        <w:tc>
          <w:tcPr>
            <w:tcW w:w="851"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场区内文明服务，遵守机场的相关管理规定</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w:t>
            </w:r>
          </w:p>
        </w:tc>
        <w:tc>
          <w:tcPr>
            <w:tcW w:w="851"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285" w:hRule="atLeast"/>
        </w:trPr>
        <w:tc>
          <w:tcPr>
            <w:tcW w:w="69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0"/>
                <w:szCs w:val="20"/>
              </w:rPr>
            </w:pPr>
            <w:r>
              <w:rPr>
                <w:rFonts w:hint="eastAsia"/>
                <w:kern w:val="0"/>
                <w:sz w:val="20"/>
                <w:szCs w:val="20"/>
              </w:rPr>
              <w:t>合计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rPr>
            </w:pPr>
            <w:r>
              <w:rPr>
                <w:rFonts w:hint="eastAsia" w:ascii="宋体" w:hAnsi="宋体" w:cs="宋体"/>
                <w:kern w:val="0"/>
              </w:rPr>
              <w:t>100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rPr>
            </w:pPr>
          </w:p>
        </w:tc>
      </w:tr>
    </w:tbl>
    <w:p>
      <w:pPr>
        <w:adjustRightInd w:val="0"/>
        <w:snapToGrid w:val="0"/>
        <w:spacing w:line="360" w:lineRule="auto"/>
        <w:jc w:val="center"/>
      </w:pPr>
    </w:p>
    <w:p>
      <w:pPr>
        <w:spacing w:line="360" w:lineRule="auto"/>
        <w:ind w:firstLine="422" w:firstLineChars="200"/>
        <w:jc w:val="left"/>
        <w:rPr>
          <w:rFonts w:ascii="仿宋_GB2312" w:hAnsi="宋体" w:eastAsia="仿宋_GB2312"/>
          <w:b/>
        </w:rPr>
      </w:pPr>
      <w:r>
        <w:rPr>
          <w:rFonts w:hint="eastAsia" w:ascii="仿宋_GB2312" w:hAnsi="宋体" w:eastAsia="仿宋_GB2312"/>
          <w:b/>
        </w:rPr>
        <w:t>注 ：</w:t>
      </w:r>
    </w:p>
    <w:p>
      <w:pPr>
        <w:spacing w:line="360" w:lineRule="auto"/>
        <w:ind w:firstLine="422" w:firstLineChars="200"/>
        <w:jc w:val="left"/>
        <w:rPr>
          <w:rFonts w:ascii="仿宋_GB2312" w:hAnsi="宋体" w:eastAsia="仿宋_GB2312"/>
          <w:b/>
        </w:rPr>
      </w:pPr>
      <w:r>
        <w:rPr>
          <w:rFonts w:hint="eastAsia" w:ascii="仿宋_GB2312" w:hAnsi="宋体" w:eastAsia="仿宋_GB2312"/>
          <w:b/>
        </w:rPr>
        <w:t xml:space="preserve">     若乙方考核分数低于70分（含），须在接到甲方考核结果之日起15日内整改完成，并经甲方再次组织考核，第二次考核分数达到90分（含）以上，视为考核合格，否则甲方有权终止本合同，履约保证金全部不予以退还。</w:t>
      </w:r>
    </w:p>
    <w:p>
      <w:pPr>
        <w:spacing w:line="360" w:lineRule="auto"/>
        <w:ind w:firstLine="422" w:firstLineChars="200"/>
        <w:jc w:val="left"/>
        <w:rPr>
          <w:rFonts w:ascii="仿宋_GB2312" w:hAnsi="宋体" w:eastAsia="仿宋_GB2312"/>
          <w:b/>
        </w:rPr>
      </w:pPr>
    </w:p>
    <w:p>
      <w:pPr>
        <w:spacing w:line="360" w:lineRule="auto"/>
        <w:ind w:firstLine="422" w:firstLineChars="200"/>
        <w:jc w:val="left"/>
        <w:rPr>
          <w:rFonts w:ascii="仿宋_GB2312" w:hAnsi="宋体" w:eastAsia="仿宋_GB2312"/>
          <w:b/>
        </w:rPr>
      </w:pPr>
    </w:p>
    <w:p>
      <w:pPr>
        <w:spacing w:line="360" w:lineRule="auto"/>
        <w:ind w:firstLine="422" w:firstLineChars="200"/>
        <w:jc w:val="left"/>
        <w:rPr>
          <w:rFonts w:ascii="仿宋_GB2312" w:hAnsi="宋体" w:eastAsia="仿宋_GB2312"/>
          <w:b/>
        </w:rPr>
      </w:pPr>
    </w:p>
    <w:p>
      <w:pPr>
        <w:spacing w:line="360" w:lineRule="auto"/>
        <w:ind w:firstLine="422" w:firstLineChars="200"/>
        <w:jc w:val="left"/>
        <w:rPr>
          <w:rFonts w:ascii="仿宋_GB2312" w:hAnsi="宋体" w:eastAsia="仿宋_GB2312"/>
          <w:b/>
        </w:rPr>
      </w:pPr>
    </w:p>
    <w:p>
      <w:pPr>
        <w:spacing w:line="360" w:lineRule="auto"/>
        <w:ind w:firstLine="422" w:firstLineChars="200"/>
        <w:jc w:val="left"/>
        <w:rPr>
          <w:rFonts w:ascii="仿宋_GB2312" w:hAnsi="宋体" w:eastAsia="仿宋_GB2312"/>
          <w:b/>
        </w:rPr>
      </w:pPr>
    </w:p>
    <w:p>
      <w:pPr>
        <w:spacing w:line="360" w:lineRule="auto"/>
        <w:ind w:firstLine="422" w:firstLineChars="200"/>
        <w:jc w:val="left"/>
        <w:rPr>
          <w:rFonts w:ascii="仿宋_GB2312" w:hAnsi="宋体" w:eastAsia="仿宋_GB2312"/>
          <w:b/>
        </w:rPr>
      </w:pPr>
    </w:p>
    <w:p>
      <w:pPr>
        <w:spacing w:line="360" w:lineRule="auto"/>
        <w:jc w:val="left"/>
        <w:rPr>
          <w:rFonts w:ascii="仿宋_GB2312" w:hAnsi="宋体" w:eastAsia="仿宋_GB2312"/>
          <w:b/>
        </w:rPr>
      </w:pPr>
      <w:r>
        <w:rPr>
          <w:rFonts w:hint="eastAsia" w:ascii="仿宋_GB2312" w:hAnsi="宋体" w:eastAsia="仿宋_GB2312"/>
          <w:b/>
        </w:rPr>
        <w:t xml:space="preserve">      附件2 ：</w:t>
      </w:r>
    </w:p>
    <w:p>
      <w:pPr>
        <w:adjustRightInd w:val="0"/>
        <w:snapToGrid w:val="0"/>
        <w:spacing w:line="360" w:lineRule="auto"/>
        <w:ind w:left="723"/>
        <w:jc w:val="center"/>
        <w:outlineLvl w:val="2"/>
        <w:rPr>
          <w:rFonts w:ascii="宋体" w:hAnsi="宋体"/>
          <w:b/>
          <w:sz w:val="36"/>
          <w:szCs w:val="21"/>
        </w:rPr>
      </w:pPr>
      <w:bookmarkStart w:id="90" w:name="_Toc419722714"/>
      <w:bookmarkStart w:id="91" w:name="_Toc419722771"/>
      <w:bookmarkStart w:id="92" w:name="_Toc432771984"/>
      <w:r>
        <w:rPr>
          <w:rFonts w:hint="eastAsia" w:ascii="宋体" w:hAnsi="宋体"/>
          <w:b/>
          <w:sz w:val="36"/>
          <w:szCs w:val="21"/>
        </w:rPr>
        <w:t>报价表</w:t>
      </w:r>
      <w:bookmarkEnd w:id="90"/>
      <w:bookmarkEnd w:id="91"/>
      <w:bookmarkEnd w:id="92"/>
    </w:p>
    <w:p>
      <w:pPr>
        <w:adjustRightInd w:val="0"/>
        <w:snapToGrid w:val="0"/>
        <w:spacing w:line="360" w:lineRule="auto"/>
      </w:pPr>
      <w:r>
        <w:rPr>
          <w:rFonts w:hint="eastAsia"/>
        </w:rPr>
        <w:t>见第六章</w:t>
      </w:r>
      <w:r>
        <w:t>投标文件格式</w:t>
      </w:r>
      <w:r>
        <w:rPr>
          <w:rFonts w:hint="eastAsia"/>
        </w:rPr>
        <w:t xml:space="preserve"> 第4项投标</w:t>
      </w:r>
      <w:r>
        <w:t>报价表</w:t>
      </w:r>
    </w:p>
    <w:p>
      <w:pPr>
        <w:adjustRightInd w:val="0"/>
        <w:snapToGrid w:val="0"/>
        <w:spacing w:line="360" w:lineRule="auto"/>
      </w:pPr>
      <w:r>
        <w:br w:type="page"/>
      </w:r>
    </w:p>
    <w:p>
      <w:pPr>
        <w:pStyle w:val="124"/>
        <w:spacing w:line="360" w:lineRule="exact"/>
        <w:ind w:firstLine="0" w:firstLineChars="0"/>
        <w:jc w:val="left"/>
        <w:rPr>
          <w:rFonts w:ascii="宋体" w:hAnsi="宋体"/>
          <w:b/>
          <w:color w:val="auto"/>
          <w:sz w:val="22"/>
          <w:szCs w:val="22"/>
        </w:rPr>
      </w:pPr>
      <w:r>
        <w:rPr>
          <w:rFonts w:hint="eastAsia" w:ascii="宋体" w:hAnsi="宋体"/>
          <w:b/>
          <w:color w:val="auto"/>
          <w:sz w:val="22"/>
          <w:szCs w:val="22"/>
        </w:rPr>
        <w:t>附件3：</w:t>
      </w:r>
    </w:p>
    <w:p>
      <w:pPr>
        <w:pStyle w:val="124"/>
        <w:spacing w:line="360" w:lineRule="exact"/>
        <w:ind w:firstLine="442"/>
        <w:jc w:val="left"/>
        <w:rPr>
          <w:rFonts w:ascii="宋体" w:hAnsi="宋体"/>
          <w:b/>
          <w:color w:val="auto"/>
          <w:sz w:val="22"/>
          <w:szCs w:val="22"/>
        </w:rPr>
      </w:pPr>
    </w:p>
    <w:p>
      <w:pPr>
        <w:pStyle w:val="124"/>
        <w:spacing w:line="360" w:lineRule="exact"/>
        <w:ind w:firstLine="562"/>
        <w:jc w:val="center"/>
        <w:rPr>
          <w:rFonts w:ascii="宋体" w:hAnsi="宋体"/>
          <w:b/>
          <w:color w:val="auto"/>
          <w:sz w:val="28"/>
          <w:szCs w:val="28"/>
        </w:rPr>
      </w:pPr>
      <w:r>
        <w:rPr>
          <w:rFonts w:hint="eastAsia" w:ascii="宋体" w:hAnsi="宋体"/>
          <w:b/>
          <w:color w:val="auto"/>
          <w:sz w:val="28"/>
          <w:szCs w:val="28"/>
        </w:rPr>
        <w:t>杭州萧山国际机场有限公司廉洁自律承诺书</w:t>
      </w:r>
    </w:p>
    <w:p>
      <w:pPr>
        <w:pStyle w:val="129"/>
        <w:adjustRightInd w:val="0"/>
        <w:snapToGrid w:val="0"/>
        <w:ind w:firstLine="442"/>
        <w:jc w:val="left"/>
        <w:rPr>
          <w:rFonts w:ascii="宋体" w:hAnsi="宋体"/>
          <w:b/>
          <w:sz w:val="22"/>
          <w:szCs w:val="22"/>
        </w:rPr>
      </w:pPr>
    </w:p>
    <w:p>
      <w:pPr>
        <w:pStyle w:val="129"/>
        <w:adjustRightInd w:val="0"/>
        <w:snapToGrid w:val="0"/>
        <w:ind w:firstLine="0" w:firstLineChars="0"/>
        <w:jc w:val="left"/>
        <w:rPr>
          <w:rFonts w:ascii="宋体" w:hAnsi="宋体"/>
          <w:b/>
          <w:sz w:val="24"/>
          <w:szCs w:val="24"/>
        </w:rPr>
      </w:pPr>
      <w:bookmarkStart w:id="93" w:name="_Toc206217401"/>
      <w:bookmarkStart w:id="94" w:name="_Toc90452722"/>
      <w:r>
        <w:rPr>
          <w:rFonts w:hint="eastAsia" w:ascii="宋体" w:hAnsi="宋体"/>
          <w:b/>
          <w:sz w:val="24"/>
          <w:szCs w:val="24"/>
        </w:rPr>
        <w:t>杭州萧山国际机场有限公司：</w:t>
      </w:r>
    </w:p>
    <w:p>
      <w:pPr>
        <w:pStyle w:val="129"/>
        <w:adjustRightInd w:val="0"/>
        <w:snapToGrid w:val="0"/>
        <w:ind w:firstLine="48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129"/>
        <w:adjustRightInd w:val="0"/>
        <w:snapToGrid w:val="0"/>
        <w:ind w:firstLine="48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9"/>
        <w:adjustRightInd w:val="0"/>
        <w:snapToGrid w:val="0"/>
        <w:ind w:firstLine="48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129"/>
        <w:adjustRightInd w:val="0"/>
        <w:snapToGrid w:val="0"/>
        <w:ind w:firstLine="48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129"/>
        <w:adjustRightInd w:val="0"/>
        <w:snapToGrid w:val="0"/>
        <w:ind w:firstLine="48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129"/>
        <w:adjustRightInd w:val="0"/>
        <w:snapToGrid w:val="0"/>
        <w:ind w:firstLine="48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129"/>
        <w:adjustRightInd w:val="0"/>
        <w:snapToGrid w:val="0"/>
        <w:ind w:firstLine="48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129"/>
        <w:adjustRightInd w:val="0"/>
        <w:snapToGrid w:val="0"/>
        <w:ind w:firstLine="48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 w:val="24"/>
          <w:szCs w:val="24"/>
        </w:rPr>
        <w:t>0571－86661113。</w:t>
      </w:r>
    </w:p>
    <w:p>
      <w:pPr>
        <w:pStyle w:val="129"/>
        <w:adjustRightInd w:val="0"/>
        <w:snapToGrid w:val="0"/>
        <w:ind w:firstLine="480"/>
        <w:jc w:val="left"/>
        <w:rPr>
          <w:rFonts w:ascii="宋体" w:hAnsi="宋体"/>
          <w:sz w:val="24"/>
          <w:szCs w:val="24"/>
        </w:rPr>
      </w:pPr>
      <w:r>
        <w:rPr>
          <w:rFonts w:hint="eastAsia" w:ascii="宋体" w:hAnsi="宋体"/>
          <w:sz w:val="24"/>
          <w:szCs w:val="24"/>
        </w:rPr>
        <w:t>八、如违反上述廉洁自律承诺，贵公司有权：</w:t>
      </w:r>
    </w:p>
    <w:p>
      <w:pPr>
        <w:pStyle w:val="129"/>
        <w:numPr>
          <w:ilvl w:val="0"/>
          <w:numId w:val="7"/>
        </w:numPr>
        <w:adjustRightInd w:val="0"/>
        <w:snapToGrid w:val="0"/>
        <w:ind w:firstLineChars="0"/>
        <w:jc w:val="left"/>
        <w:rPr>
          <w:rFonts w:ascii="宋体" w:hAnsi="宋体"/>
          <w:sz w:val="24"/>
          <w:szCs w:val="24"/>
        </w:rPr>
      </w:pPr>
      <w:r>
        <w:rPr>
          <w:rFonts w:hint="eastAsia" w:ascii="宋体" w:hAnsi="宋体"/>
          <w:sz w:val="24"/>
          <w:szCs w:val="24"/>
        </w:rPr>
        <w:t>立即取消我单位投标、中标或在建项目的实施资格；</w:t>
      </w:r>
    </w:p>
    <w:p>
      <w:pPr>
        <w:pStyle w:val="129"/>
        <w:numPr>
          <w:ilvl w:val="0"/>
          <w:numId w:val="7"/>
        </w:numPr>
        <w:adjustRightInd w:val="0"/>
        <w:snapToGrid w:val="0"/>
        <w:ind w:firstLineChars="0"/>
        <w:jc w:val="left"/>
        <w:rPr>
          <w:rFonts w:ascii="宋体" w:hAnsi="宋体"/>
          <w:sz w:val="24"/>
          <w:szCs w:val="24"/>
        </w:rPr>
      </w:pPr>
      <w:r>
        <w:rPr>
          <w:rFonts w:hint="eastAsia" w:ascii="宋体" w:hAnsi="宋体"/>
          <w:sz w:val="24"/>
          <w:szCs w:val="24"/>
        </w:rPr>
        <w:t>扣除我方向贵公司缴纳的履约保证金的</w:t>
      </w:r>
      <w:r>
        <w:rPr>
          <w:rFonts w:ascii="宋体" w:hAnsi="宋体"/>
          <w:sz w:val="24"/>
          <w:szCs w:val="24"/>
        </w:rPr>
        <w:t>10%作为违反廉洁自律承诺的违约金。如该违约金不足以弥补贵公司损失的，我单位仍将承担实际损失赔偿责任。</w:t>
      </w:r>
    </w:p>
    <w:p>
      <w:pPr>
        <w:pStyle w:val="129"/>
        <w:numPr>
          <w:ilvl w:val="0"/>
          <w:numId w:val="7"/>
        </w:numPr>
        <w:adjustRightInd w:val="0"/>
        <w:snapToGrid w:val="0"/>
        <w:ind w:firstLineChars="0"/>
        <w:jc w:val="left"/>
        <w:rPr>
          <w:rFonts w:ascii="宋体" w:hAnsi="宋体"/>
          <w:sz w:val="24"/>
          <w:szCs w:val="24"/>
        </w:rPr>
      </w:pPr>
      <w:r>
        <w:rPr>
          <w:rFonts w:hint="eastAsia" w:ascii="宋体" w:hAnsi="宋体"/>
          <w:sz w:val="24"/>
          <w:szCs w:val="24"/>
        </w:rPr>
        <w:t>拒绝我单位在一定时期内进入贵公司进行项目建设或其它经营活动；</w:t>
      </w:r>
    </w:p>
    <w:p>
      <w:pPr>
        <w:pStyle w:val="129"/>
        <w:numPr>
          <w:ilvl w:val="0"/>
          <w:numId w:val="7"/>
        </w:numPr>
        <w:adjustRightInd w:val="0"/>
        <w:snapToGrid w:val="0"/>
        <w:ind w:firstLineChars="0"/>
        <w:jc w:val="left"/>
        <w:rPr>
          <w:rFonts w:ascii="宋体" w:hAnsi="宋体"/>
          <w:sz w:val="24"/>
          <w:szCs w:val="24"/>
        </w:rPr>
      </w:pPr>
      <w:r>
        <w:rPr>
          <w:rFonts w:hint="eastAsia" w:ascii="宋体" w:hAnsi="宋体"/>
          <w:sz w:val="24"/>
          <w:szCs w:val="24"/>
        </w:rPr>
        <w:t>由此引起的相应损失均由我单位承担。</w:t>
      </w:r>
    </w:p>
    <w:p>
      <w:pPr>
        <w:pStyle w:val="129"/>
        <w:adjustRightInd w:val="0"/>
        <w:snapToGrid w:val="0"/>
        <w:ind w:firstLine="480"/>
        <w:jc w:val="left"/>
        <w:rPr>
          <w:rFonts w:ascii="宋体" w:hAnsi="宋体"/>
          <w:sz w:val="24"/>
          <w:szCs w:val="24"/>
        </w:rPr>
      </w:pPr>
    </w:p>
    <w:p>
      <w:pPr>
        <w:pStyle w:val="129"/>
        <w:adjustRightInd w:val="0"/>
        <w:snapToGrid w:val="0"/>
        <w:ind w:firstLine="480"/>
        <w:jc w:val="left"/>
        <w:rPr>
          <w:rFonts w:ascii="宋体" w:hAnsi="宋体"/>
          <w:sz w:val="24"/>
          <w:szCs w:val="24"/>
        </w:rPr>
      </w:pPr>
      <w:r>
        <w:rPr>
          <w:rFonts w:hint="eastAsia" w:ascii="宋体" w:hAnsi="宋体"/>
          <w:sz w:val="24"/>
          <w:szCs w:val="24"/>
        </w:rPr>
        <w:t>承诺人单位名称（盖章）：</w:t>
      </w:r>
      <w:r>
        <w:rPr>
          <w:rFonts w:ascii="宋体" w:hAnsi="宋体"/>
          <w:sz w:val="24"/>
          <w:szCs w:val="24"/>
        </w:rPr>
        <w:t xml:space="preserve">            </w:t>
      </w:r>
    </w:p>
    <w:p>
      <w:pPr>
        <w:pStyle w:val="129"/>
        <w:adjustRightInd w:val="0"/>
        <w:snapToGrid w:val="0"/>
        <w:ind w:firstLine="480"/>
        <w:jc w:val="left"/>
        <w:rPr>
          <w:rFonts w:ascii="宋体" w:hAnsi="宋体"/>
          <w:sz w:val="24"/>
          <w:szCs w:val="24"/>
        </w:rPr>
      </w:pPr>
      <w:r>
        <w:rPr>
          <w:rFonts w:hint="eastAsia" w:ascii="宋体" w:hAnsi="宋体"/>
          <w:sz w:val="24"/>
          <w:szCs w:val="24"/>
        </w:rPr>
        <w:t>法定代表人</w:t>
      </w:r>
      <w:r>
        <w:rPr>
          <w:rFonts w:ascii="宋体" w:hAnsi="宋体"/>
          <w:sz w:val="24"/>
          <w:szCs w:val="24"/>
        </w:rPr>
        <w:t xml:space="preserve"> ：                    </w:t>
      </w:r>
    </w:p>
    <w:p>
      <w:pPr>
        <w:pStyle w:val="129"/>
        <w:adjustRightInd w:val="0"/>
        <w:snapToGrid w:val="0"/>
        <w:ind w:firstLine="480"/>
        <w:jc w:val="left"/>
        <w:rPr>
          <w:rFonts w:ascii="宋体" w:hAnsi="宋体"/>
          <w:sz w:val="24"/>
          <w:szCs w:val="24"/>
        </w:rPr>
      </w:pPr>
      <w:r>
        <w:rPr>
          <w:rFonts w:hint="eastAsia" w:ascii="宋体" w:hAnsi="宋体"/>
          <w:sz w:val="24"/>
          <w:szCs w:val="24"/>
        </w:rPr>
        <w:t>或</w:t>
      </w:r>
      <w:r>
        <w:rPr>
          <w:rFonts w:ascii="宋体" w:hAnsi="宋体"/>
          <w:sz w:val="24"/>
          <w:szCs w:val="24"/>
        </w:rPr>
        <w:t xml:space="preserve">                            </w:t>
      </w:r>
    </w:p>
    <w:p>
      <w:pPr>
        <w:pStyle w:val="129"/>
        <w:adjustRightInd w:val="0"/>
        <w:snapToGrid w:val="0"/>
        <w:ind w:firstLine="480"/>
        <w:jc w:val="left"/>
        <w:rPr>
          <w:rFonts w:ascii="宋体" w:hAnsi="宋体"/>
          <w:sz w:val="24"/>
          <w:szCs w:val="24"/>
        </w:rPr>
      </w:pPr>
      <w:r>
        <w:rPr>
          <w:rFonts w:hint="eastAsia" w:ascii="宋体" w:hAnsi="宋体"/>
          <w:sz w:val="24"/>
          <w:szCs w:val="24"/>
        </w:rPr>
        <w:t>委托代理人：</w:t>
      </w:r>
      <w:r>
        <w:rPr>
          <w:rFonts w:ascii="宋体" w:hAnsi="宋体"/>
          <w:sz w:val="24"/>
          <w:szCs w:val="24"/>
        </w:rPr>
        <w:t xml:space="preserve">                   </w:t>
      </w:r>
    </w:p>
    <w:p>
      <w:pPr>
        <w:pStyle w:val="129"/>
        <w:adjustRightInd w:val="0"/>
        <w:snapToGrid w:val="0"/>
        <w:ind w:firstLine="482"/>
        <w:jc w:val="left"/>
        <w:rPr>
          <w:rFonts w:ascii="宋体" w:hAnsi="宋体"/>
          <w:b/>
          <w:sz w:val="24"/>
          <w:szCs w:val="24"/>
        </w:rPr>
      </w:pPr>
    </w:p>
    <w:p>
      <w:pPr>
        <w:pStyle w:val="51"/>
        <w:rPr>
          <w:rFonts w:ascii="宋体" w:hAnsi="宋体" w:eastAsia="宋体"/>
          <w:b w:val="0"/>
          <w:sz w:val="24"/>
          <w:szCs w:val="24"/>
        </w:rPr>
      </w:pPr>
      <w:r>
        <w:rPr>
          <w:rFonts w:ascii="宋体" w:hAnsi="宋体" w:eastAsia="宋体"/>
          <w:b w:val="0"/>
          <w:sz w:val="24"/>
          <w:szCs w:val="24"/>
        </w:rPr>
        <w:t xml:space="preserve">                           年     月     日</w:t>
      </w:r>
    </w:p>
    <w:p>
      <w:pPr>
        <w:pStyle w:val="51"/>
        <w:rPr>
          <w:rFonts w:ascii="宋体" w:hAnsi="宋体"/>
        </w:rPr>
      </w:pPr>
    </w:p>
    <w:bookmarkEnd w:id="93"/>
    <w:bookmarkEnd w:id="94"/>
    <w:p>
      <w:pPr>
        <w:pStyle w:val="2"/>
        <w:spacing w:before="0" w:after="0"/>
      </w:pPr>
      <w:r>
        <w:br w:type="page"/>
      </w:r>
    </w:p>
    <w:p>
      <w:pPr>
        <w:rPr>
          <w:rFonts w:ascii="宋体" w:hAnsi="宋体"/>
        </w:rPr>
      </w:pPr>
      <w:r>
        <w:rPr>
          <w:rFonts w:hint="eastAsia" w:ascii="宋体" w:hAnsi="宋体"/>
        </w:rPr>
        <w:t>附件4：保密承诺书</w:t>
      </w:r>
    </w:p>
    <w:p>
      <w:pPr>
        <w:jc w:val="center"/>
        <w:rPr>
          <w:rFonts w:ascii="宋体" w:hAnsi="宋体"/>
        </w:rPr>
      </w:pPr>
      <w:r>
        <w:rPr>
          <w:rFonts w:hint="eastAsia" w:ascii="宋体" w:hAnsi="宋体"/>
        </w:rPr>
        <w:t>保密承诺书</w:t>
      </w:r>
    </w:p>
    <w:p>
      <w:pPr>
        <w:rPr>
          <w:rFonts w:ascii="宋体" w:hAnsi="宋体"/>
        </w:rPr>
      </w:pPr>
      <w:r>
        <w:rPr>
          <w:rFonts w:hint="eastAsia" w:ascii="宋体" w:hAnsi="宋体"/>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rPr>
          <w:rFonts w:ascii="宋体" w:hAnsi="宋体"/>
        </w:rPr>
      </w:pPr>
      <w:r>
        <w:rPr>
          <w:rFonts w:hint="eastAsia" w:ascii="宋体" w:hAnsi="宋体"/>
        </w:rPr>
        <w:t>1.商业秘密</w:t>
      </w:r>
    </w:p>
    <w:p>
      <w:pPr>
        <w:rPr>
          <w:rFonts w:ascii="宋体" w:hAnsi="宋体"/>
        </w:rPr>
      </w:pPr>
      <w:r>
        <w:rPr>
          <w:rFonts w:hint="eastAsia" w:ascii="宋体" w:hAnsi="宋体"/>
        </w:rPr>
        <w:t>1.1商业秘密是指机场公司（包括机场公司关联公司）一切专有、不对外公开的资料和信息。包括但不限于以下方面：</w:t>
      </w:r>
    </w:p>
    <w:p>
      <w:pPr>
        <w:rPr>
          <w:rFonts w:ascii="宋体" w:hAnsi="宋体"/>
        </w:rPr>
      </w:pPr>
      <w:r>
        <w:rPr>
          <w:rFonts w:hint="eastAsia" w:ascii="宋体" w:hAnsi="宋体"/>
        </w:rPr>
        <w:t>（1）经营信息（发展规划、运营状况、客户资源、货源情报、投融资计划、开发计划、标书等）；</w:t>
      </w:r>
    </w:p>
    <w:p>
      <w:pPr>
        <w:rPr>
          <w:rFonts w:ascii="宋体" w:hAnsi="宋体"/>
        </w:rPr>
      </w:pPr>
      <w:r>
        <w:rPr>
          <w:rFonts w:hint="eastAsia" w:ascii="宋体" w:hAnsi="宋体"/>
        </w:rPr>
        <w:t>（2）管理信息（管理方法、管理制度、员工管理、合同管理、纠纷管理等）；</w:t>
      </w:r>
    </w:p>
    <w:p>
      <w:pPr>
        <w:rPr>
          <w:rFonts w:ascii="宋体" w:hAnsi="宋体"/>
        </w:rPr>
      </w:pPr>
      <w:r>
        <w:rPr>
          <w:rFonts w:hint="eastAsia" w:ascii="宋体" w:hAnsi="宋体"/>
        </w:rPr>
        <w:t>（3）产品及技术信息（设计及图纸、样品及服务、技术方案、质量标准、技术标准、计算机程序等）；</w:t>
      </w:r>
    </w:p>
    <w:p>
      <w:pPr>
        <w:rPr>
          <w:rFonts w:ascii="宋体" w:hAnsi="宋体"/>
        </w:rPr>
      </w:pPr>
      <w:r>
        <w:rPr>
          <w:rFonts w:hint="eastAsia" w:ascii="宋体" w:hAnsi="宋体"/>
        </w:rPr>
        <w:t>（4）财务信息（财务收支、固定资产、流动资金、成本核算等）；</w:t>
      </w:r>
    </w:p>
    <w:p>
      <w:pPr>
        <w:rPr>
          <w:rFonts w:ascii="宋体" w:hAnsi="宋体"/>
        </w:rPr>
      </w:pPr>
      <w:r>
        <w:rPr>
          <w:rFonts w:hint="eastAsia" w:ascii="宋体" w:hAnsi="宋体"/>
        </w:rPr>
        <w:t>（5）我方单独或机场公司（包括机场公司关联公司）和我方共同为机场公司开发、设计、生产的产品、资料及相关信息；</w:t>
      </w:r>
    </w:p>
    <w:p>
      <w:pPr>
        <w:rPr>
          <w:rFonts w:ascii="宋体" w:hAnsi="宋体"/>
        </w:rPr>
      </w:pPr>
      <w:r>
        <w:rPr>
          <w:rFonts w:hint="eastAsia" w:ascii="宋体" w:hAnsi="宋体"/>
        </w:rPr>
        <w:t>（6）其他机场公司未对外公开的有关营运、计划、航班数据、标准、开发、生产、经营、质量管理控制和租赁的资料和数据等信息以及对供应商的管理文件。</w:t>
      </w:r>
    </w:p>
    <w:p>
      <w:pPr>
        <w:rPr>
          <w:rFonts w:ascii="宋体" w:hAnsi="宋体"/>
        </w:rPr>
      </w:pPr>
      <w:r>
        <w:rPr>
          <w:rFonts w:hint="eastAsia" w:ascii="宋体" w:hAnsi="宋体"/>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rPr>
          <w:rFonts w:ascii="宋体" w:hAnsi="宋体"/>
        </w:rPr>
      </w:pPr>
      <w:r>
        <w:rPr>
          <w:rFonts w:hint="eastAsia" w:ascii="宋体" w:hAnsi="宋体"/>
        </w:rPr>
        <w:t>1.3、对于上述提及的商业秘密，不能仅因为公开发表的文章或资讯中包含其内容，就认为是可对外公开的特殊情况。</w:t>
      </w:r>
    </w:p>
    <w:p>
      <w:pPr>
        <w:rPr>
          <w:rFonts w:ascii="宋体" w:hAnsi="宋体"/>
        </w:rPr>
      </w:pPr>
      <w:r>
        <w:rPr>
          <w:rFonts w:hint="eastAsia" w:ascii="宋体" w:hAnsi="宋体"/>
        </w:rPr>
        <w:t>1.4、以下资料不属于本承诺所指的商业秘密：</w:t>
      </w:r>
    </w:p>
    <w:p>
      <w:pPr>
        <w:rPr>
          <w:rFonts w:ascii="宋体" w:hAnsi="宋体"/>
        </w:rPr>
      </w:pPr>
      <w:r>
        <w:rPr>
          <w:rFonts w:hint="eastAsia" w:ascii="宋体" w:hAnsi="宋体"/>
        </w:rPr>
        <w:t>（1）我方从机场公司拟获悉之前已持有的我方无需承担保密义务的机场公司有关资料(但通过其它违约或侵权行为而获得的资料除外)；</w:t>
      </w:r>
    </w:p>
    <w:p>
      <w:pPr>
        <w:rPr>
          <w:rFonts w:ascii="宋体" w:hAnsi="宋体"/>
        </w:rPr>
      </w:pPr>
      <w:r>
        <w:rPr>
          <w:rFonts w:hint="eastAsia" w:ascii="宋体" w:hAnsi="宋体"/>
        </w:rPr>
        <w:t>（2）已经公开或已成为常识性的资料，且该等公开并非因违反本承诺所致。</w:t>
      </w:r>
    </w:p>
    <w:p>
      <w:pPr>
        <w:rPr>
          <w:rFonts w:ascii="宋体" w:hAnsi="宋体"/>
        </w:rPr>
      </w:pPr>
    </w:p>
    <w:p>
      <w:pPr>
        <w:rPr>
          <w:rFonts w:ascii="宋体" w:hAnsi="宋体"/>
        </w:rPr>
      </w:pPr>
      <w:r>
        <w:rPr>
          <w:rFonts w:hint="eastAsia" w:ascii="宋体" w:hAnsi="宋体"/>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rPr>
          <w:rFonts w:ascii="宋体" w:hAnsi="宋体"/>
        </w:rPr>
      </w:pPr>
    </w:p>
    <w:p>
      <w:pPr>
        <w:rPr>
          <w:rFonts w:ascii="宋体" w:hAnsi="宋体"/>
        </w:rPr>
      </w:pPr>
      <w:r>
        <w:rPr>
          <w:rFonts w:hint="eastAsia" w:ascii="宋体" w:hAnsi="宋体"/>
        </w:rPr>
        <w:t>3、当合同履行完毕、合同终止或经机场公司要求，我方应立即返还或根据机场公司书面要求销毁所有含有商业秘密或我方在接触商业秘密后而产生的资料，以及由我方持有的任何复制品。</w:t>
      </w:r>
    </w:p>
    <w:p>
      <w:pPr>
        <w:rPr>
          <w:rFonts w:ascii="宋体" w:hAnsi="宋体"/>
        </w:rPr>
      </w:pPr>
    </w:p>
    <w:p>
      <w:pPr>
        <w:rPr>
          <w:rFonts w:ascii="宋体" w:hAnsi="宋体"/>
        </w:rPr>
      </w:pPr>
      <w:r>
        <w:rPr>
          <w:rFonts w:hint="eastAsia" w:ascii="宋体" w:hAnsi="宋体"/>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rPr>
          <w:rFonts w:ascii="宋体" w:hAnsi="宋体"/>
        </w:rPr>
      </w:pPr>
      <w:r>
        <w:rPr>
          <w:rFonts w:hint="eastAsia" w:ascii="宋体" w:hAnsi="宋体"/>
        </w:rPr>
        <w:t>（1）披露、使用或者允许他人以不正当手段获取的商业秘密；</w:t>
      </w:r>
    </w:p>
    <w:p>
      <w:pPr>
        <w:rPr>
          <w:rFonts w:ascii="宋体" w:hAnsi="宋体"/>
        </w:rPr>
      </w:pPr>
      <w:r>
        <w:rPr>
          <w:rFonts w:hint="eastAsia" w:ascii="宋体" w:hAnsi="宋体"/>
        </w:rPr>
        <w:t>（2）为机场公司以外的第三人窃取、刺探、收买、非法提供商业秘密。</w:t>
      </w:r>
    </w:p>
    <w:p>
      <w:pPr>
        <w:rPr>
          <w:rFonts w:ascii="宋体" w:hAnsi="宋体"/>
        </w:rPr>
      </w:pPr>
      <w:r>
        <w:rPr>
          <w:rFonts w:hint="eastAsia" w:ascii="宋体" w:hAnsi="宋体"/>
        </w:rPr>
        <w:t>（3）在电子公告系统、聊天系统、电子邮箱、论坛等计算机网络系统上传递、转发、抄送、发布、谈论和传播商业秘密；</w:t>
      </w:r>
    </w:p>
    <w:p>
      <w:pPr>
        <w:rPr>
          <w:rFonts w:ascii="宋体" w:hAnsi="宋体"/>
        </w:rPr>
      </w:pPr>
      <w:r>
        <w:rPr>
          <w:rFonts w:hint="eastAsia" w:ascii="宋体" w:hAnsi="宋体"/>
        </w:rPr>
        <w:t xml:space="preserve">（4）在私人交往和通信中，向亲属、朋友以及与工作无关人员泄露商业秘密，或在公共场所谈论商业秘密； </w:t>
      </w:r>
    </w:p>
    <w:p>
      <w:pPr>
        <w:rPr>
          <w:rFonts w:ascii="宋体" w:hAnsi="宋体"/>
        </w:rPr>
      </w:pPr>
      <w:r>
        <w:rPr>
          <w:rFonts w:hint="eastAsia" w:ascii="宋体" w:hAnsi="宋体"/>
        </w:rPr>
        <w:t>（5）擅自将属于商业秘密的文件、资料和其他物品携带、传递、寄运出机场公司办公场所或国（境）外。</w:t>
      </w:r>
    </w:p>
    <w:p>
      <w:pPr>
        <w:rPr>
          <w:rFonts w:ascii="宋体" w:hAnsi="宋体"/>
        </w:rPr>
      </w:pPr>
      <w:r>
        <w:rPr>
          <w:rFonts w:hint="eastAsia" w:ascii="宋体" w:hAnsi="宋体"/>
        </w:rPr>
        <w:t>（6）未经机场公司同意就以任何方式私自保存、截留含有机场公司商业秘密的任何形式资料、文件和物品的复印件、复制品、副本。</w:t>
      </w:r>
    </w:p>
    <w:p>
      <w:pPr>
        <w:rPr>
          <w:rFonts w:ascii="宋体" w:hAnsi="宋体"/>
        </w:rPr>
      </w:pPr>
      <w:r>
        <w:rPr>
          <w:rFonts w:hint="eastAsia" w:ascii="宋体" w:hAnsi="宋体"/>
        </w:rPr>
        <w:t>（7）将含有机场公司商业秘密的产品、技术或其他资料、信息向第三人销售、使用或以任何方式提供。</w:t>
      </w:r>
    </w:p>
    <w:p>
      <w:pPr>
        <w:rPr>
          <w:rFonts w:ascii="宋体" w:hAnsi="宋体"/>
        </w:rPr>
      </w:pPr>
    </w:p>
    <w:p>
      <w:pPr>
        <w:rPr>
          <w:rFonts w:ascii="宋体" w:hAnsi="宋体"/>
        </w:rPr>
      </w:pPr>
      <w:r>
        <w:rPr>
          <w:rFonts w:hint="eastAsia" w:ascii="宋体" w:hAnsi="宋体"/>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rPr>
          <w:rFonts w:ascii="宋体" w:hAnsi="宋体"/>
        </w:rPr>
      </w:pPr>
    </w:p>
    <w:p>
      <w:pPr>
        <w:rPr>
          <w:rFonts w:ascii="宋体" w:hAnsi="宋体"/>
        </w:rPr>
      </w:pPr>
      <w:r>
        <w:rPr>
          <w:rFonts w:hint="eastAsia" w:ascii="宋体" w:hAnsi="宋体"/>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rPr>
          <w:rFonts w:ascii="宋体" w:hAnsi="宋体"/>
        </w:rPr>
      </w:pPr>
    </w:p>
    <w:p>
      <w:pPr>
        <w:rPr>
          <w:rFonts w:ascii="宋体" w:hAnsi="宋体"/>
        </w:rPr>
      </w:pPr>
      <w:r>
        <w:rPr>
          <w:rFonts w:hint="eastAsia" w:ascii="宋体" w:hAnsi="宋体"/>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rPr>
          <w:rFonts w:ascii="宋体" w:hAnsi="宋体"/>
        </w:rPr>
      </w:pPr>
    </w:p>
    <w:p>
      <w:pPr>
        <w:rPr>
          <w:rFonts w:ascii="宋体" w:hAnsi="宋体"/>
        </w:rPr>
      </w:pPr>
      <w:r>
        <w:rPr>
          <w:rFonts w:hint="eastAsia" w:ascii="宋体" w:hAnsi="宋体"/>
        </w:rPr>
        <w:t>8、违约责任</w:t>
      </w:r>
    </w:p>
    <w:p>
      <w:pPr>
        <w:rPr>
          <w:rFonts w:ascii="宋体" w:hAnsi="宋体"/>
        </w:rPr>
      </w:pPr>
      <w:r>
        <w:rPr>
          <w:rFonts w:hint="eastAsia" w:ascii="宋体" w:hAnsi="宋体"/>
        </w:rPr>
        <w:t>8.1因我方违反保密义务的行为造成机场公司的一切损失，我方应当全部予以赔偿。</w:t>
      </w:r>
    </w:p>
    <w:p>
      <w:pPr>
        <w:rPr>
          <w:rFonts w:ascii="宋体" w:hAnsi="宋体"/>
        </w:rPr>
      </w:pPr>
      <w:r>
        <w:rPr>
          <w:rFonts w:hint="eastAsia" w:ascii="宋体" w:hAnsi="宋体"/>
        </w:rPr>
        <w:t>8.2如我方违反本承诺书下保密义务，应当承担违约责任，除赔偿损失外，还应依据合同向机场公司支付相应的违约金；</w:t>
      </w:r>
    </w:p>
    <w:p>
      <w:pPr>
        <w:rPr>
          <w:rFonts w:ascii="宋体" w:hAnsi="宋体"/>
        </w:rPr>
      </w:pPr>
      <w:r>
        <w:rPr>
          <w:rFonts w:hint="eastAsia" w:ascii="宋体" w:hAnsi="宋体"/>
        </w:rPr>
        <w:t>9、本承诺书适用中华人民共和国法律，如因履行本承诺书发生争议，则双方均有权向机场公司所在地法院提起诉讼。</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r>
        <w:rPr>
          <w:rFonts w:hint="eastAsia" w:ascii="宋体" w:hAnsi="宋体"/>
        </w:rPr>
        <w:t xml:space="preserve">                        供应商(盖章):</w:t>
      </w:r>
    </w:p>
    <w:p>
      <w:pPr>
        <w:rPr>
          <w:rFonts w:ascii="宋体" w:hAnsi="宋体"/>
        </w:rPr>
      </w:pPr>
      <w:r>
        <w:rPr>
          <w:rFonts w:hint="eastAsia" w:ascii="宋体" w:hAnsi="宋体"/>
        </w:rPr>
        <w:t>法定代表人或授权代表：</w:t>
      </w:r>
    </w:p>
    <w:p>
      <w:pPr>
        <w:rPr>
          <w:rFonts w:ascii="宋体" w:hAnsi="宋体"/>
        </w:rPr>
      </w:pPr>
    </w:p>
    <w:p>
      <w:pPr>
        <w:rPr>
          <w:rFonts w:ascii="宋体" w:hAnsi="宋体"/>
        </w:rPr>
      </w:pPr>
    </w:p>
    <w:p>
      <w:pPr>
        <w:rPr>
          <w:rFonts w:ascii="宋体" w:hAnsi="宋体"/>
        </w:rPr>
      </w:pPr>
    </w:p>
    <w:p>
      <w:pPr>
        <w:rPr>
          <w:rFonts w:ascii="宋体" w:hAnsi="宋体"/>
        </w:rPr>
      </w:pPr>
      <w:r>
        <w:rPr>
          <w:rFonts w:hint="eastAsia" w:ascii="宋体" w:hAnsi="宋体"/>
        </w:rPr>
        <w:t xml:space="preserve">                       电话/传真：</w:t>
      </w:r>
    </w:p>
    <w:p>
      <w:pPr>
        <w:rPr>
          <w:rFonts w:ascii="宋体" w:hAnsi="宋体"/>
        </w:rPr>
      </w:pPr>
    </w:p>
    <w:p>
      <w:pPr>
        <w:rPr>
          <w:rFonts w:ascii="宋体" w:hAnsi="宋体"/>
        </w:rPr>
      </w:pPr>
      <w:r>
        <w:rPr>
          <w:rFonts w:hint="eastAsia" w:ascii="宋体" w:hAnsi="宋体"/>
        </w:rPr>
        <w:t xml:space="preserve">                       地址：</w:t>
      </w:r>
    </w:p>
    <w:p>
      <w:pPr>
        <w:rPr>
          <w:rFonts w:ascii="宋体" w:hAnsi="宋体"/>
        </w:rPr>
      </w:pPr>
    </w:p>
    <w:p>
      <w:pPr>
        <w:rPr>
          <w:rFonts w:ascii="宋体" w:hAnsi="宋体"/>
        </w:rPr>
      </w:pPr>
    </w:p>
    <w:p>
      <w:pPr>
        <w:rPr>
          <w:rFonts w:ascii="宋体" w:hAnsi="宋体"/>
        </w:rPr>
      </w:pPr>
      <w:r>
        <w:rPr>
          <w:rFonts w:hint="eastAsia" w:ascii="宋体" w:hAnsi="宋体"/>
        </w:rPr>
        <w:t>日期：     年   月   日</w:t>
      </w:r>
    </w:p>
    <w:p>
      <w:pPr>
        <w:rPr>
          <w:rFonts w:ascii="宋体" w:hAnsi="宋体"/>
        </w:rPr>
      </w:pPr>
    </w:p>
    <w:p>
      <w:pPr>
        <w:rPr>
          <w:rFonts w:ascii="宋体" w:hAnsi="宋体"/>
        </w:rPr>
      </w:pPr>
    </w:p>
    <w:p>
      <w:pPr>
        <w:pStyle w:val="2"/>
        <w:spacing w:before="0" w:after="0"/>
      </w:pPr>
    </w:p>
    <w:p>
      <w:pPr>
        <w:pStyle w:val="2"/>
        <w:spacing w:before="0" w:after="0"/>
      </w:pPr>
    </w:p>
    <w:p>
      <w:pPr>
        <w:pStyle w:val="2"/>
        <w:spacing w:before="0" w:after="0"/>
      </w:pPr>
    </w:p>
    <w:p>
      <w:pPr>
        <w:pStyle w:val="2"/>
        <w:spacing w:before="0" w:after="0"/>
        <w:jc w:val="left"/>
      </w:pPr>
      <w:r>
        <w:rPr>
          <w:rFonts w:hint="eastAsia"/>
        </w:rPr>
        <w:t>附件五：</w:t>
      </w:r>
    </w:p>
    <w:p>
      <w:pPr>
        <w:pStyle w:val="2"/>
        <w:spacing w:before="0" w:after="0"/>
      </w:pPr>
      <w:r>
        <w:rPr>
          <w:rFonts w:hint="eastAsia"/>
        </w:rPr>
        <w:t>采购确认单</w:t>
      </w:r>
    </w:p>
    <w:p>
      <w:pPr>
        <w:pStyle w:val="2"/>
        <w:spacing w:before="0" w:after="0"/>
      </w:pPr>
      <w:r>
        <w:rPr>
          <w:rFonts w:hint="eastAsia"/>
        </w:rPr>
        <w:t>（格式样本）</w:t>
      </w:r>
    </w:p>
    <w:tbl>
      <w:tblPr>
        <w:tblStyle w:val="59"/>
        <w:tblW w:w="9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363"/>
        <w:gridCol w:w="1364"/>
        <w:gridCol w:w="1365"/>
        <w:gridCol w:w="1365"/>
        <w:gridCol w:w="1365"/>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3" w:type="dxa"/>
          </w:tcPr>
          <w:p>
            <w:pPr>
              <w:pStyle w:val="2"/>
              <w:spacing w:before="0" w:after="0"/>
              <w:jc w:val="left"/>
              <w:outlineLvl w:val="0"/>
            </w:pPr>
            <w:r>
              <w:rPr>
                <w:rFonts w:hint="eastAsia"/>
              </w:rPr>
              <w:t>序号</w:t>
            </w:r>
          </w:p>
        </w:tc>
        <w:tc>
          <w:tcPr>
            <w:tcW w:w="1363" w:type="dxa"/>
          </w:tcPr>
          <w:p>
            <w:pPr>
              <w:pStyle w:val="2"/>
              <w:spacing w:before="0" w:after="0"/>
              <w:jc w:val="left"/>
              <w:outlineLvl w:val="0"/>
            </w:pPr>
            <w:r>
              <w:rPr>
                <w:rFonts w:hint="eastAsia"/>
              </w:rPr>
              <w:t>采购部门</w:t>
            </w:r>
          </w:p>
        </w:tc>
        <w:tc>
          <w:tcPr>
            <w:tcW w:w="1364" w:type="dxa"/>
          </w:tcPr>
          <w:p>
            <w:pPr>
              <w:pStyle w:val="2"/>
              <w:spacing w:before="0" w:after="0"/>
              <w:jc w:val="left"/>
              <w:outlineLvl w:val="0"/>
            </w:pPr>
            <w:r>
              <w:rPr>
                <w:rFonts w:hint="eastAsia"/>
              </w:rPr>
              <w:t>货物名称</w:t>
            </w:r>
          </w:p>
        </w:tc>
        <w:tc>
          <w:tcPr>
            <w:tcW w:w="1365" w:type="dxa"/>
          </w:tcPr>
          <w:p>
            <w:pPr>
              <w:pStyle w:val="2"/>
              <w:spacing w:before="0" w:after="0"/>
              <w:jc w:val="left"/>
              <w:outlineLvl w:val="0"/>
            </w:pPr>
            <w:r>
              <w:rPr>
                <w:rFonts w:hint="eastAsia"/>
              </w:rPr>
              <w:t>货物型号</w:t>
            </w:r>
          </w:p>
        </w:tc>
        <w:tc>
          <w:tcPr>
            <w:tcW w:w="1365" w:type="dxa"/>
          </w:tcPr>
          <w:p>
            <w:pPr>
              <w:pStyle w:val="2"/>
              <w:spacing w:before="0" w:after="0"/>
              <w:jc w:val="left"/>
              <w:outlineLvl w:val="0"/>
            </w:pPr>
            <w:r>
              <w:rPr>
                <w:rFonts w:hint="eastAsia"/>
              </w:rPr>
              <w:t>货物数量</w:t>
            </w:r>
          </w:p>
        </w:tc>
        <w:tc>
          <w:tcPr>
            <w:tcW w:w="1365" w:type="dxa"/>
          </w:tcPr>
          <w:p>
            <w:pPr>
              <w:pStyle w:val="2"/>
              <w:spacing w:before="0" w:after="0"/>
              <w:jc w:val="left"/>
              <w:outlineLvl w:val="0"/>
            </w:pPr>
            <w:r>
              <w:rPr>
                <w:rFonts w:hint="eastAsia"/>
              </w:rPr>
              <w:t>货物金额</w:t>
            </w:r>
          </w:p>
        </w:tc>
        <w:tc>
          <w:tcPr>
            <w:tcW w:w="1368" w:type="dxa"/>
          </w:tcPr>
          <w:p>
            <w:pPr>
              <w:pStyle w:val="2"/>
              <w:spacing w:before="0" w:after="0"/>
              <w:jc w:val="left"/>
              <w:outlineLvl w:val="0"/>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3" w:type="dxa"/>
          </w:tcPr>
          <w:p>
            <w:pPr>
              <w:pStyle w:val="2"/>
              <w:spacing w:before="0" w:after="0"/>
              <w:jc w:val="left"/>
              <w:outlineLvl w:val="0"/>
            </w:pPr>
          </w:p>
        </w:tc>
        <w:tc>
          <w:tcPr>
            <w:tcW w:w="1363" w:type="dxa"/>
          </w:tcPr>
          <w:p>
            <w:pPr>
              <w:pStyle w:val="2"/>
              <w:spacing w:before="0" w:after="0"/>
              <w:jc w:val="left"/>
              <w:outlineLvl w:val="0"/>
            </w:pPr>
          </w:p>
        </w:tc>
        <w:tc>
          <w:tcPr>
            <w:tcW w:w="1364" w:type="dxa"/>
          </w:tcPr>
          <w:p>
            <w:pPr>
              <w:pStyle w:val="2"/>
              <w:spacing w:before="0" w:after="0"/>
              <w:jc w:val="left"/>
              <w:outlineLvl w:val="0"/>
            </w:pPr>
          </w:p>
        </w:tc>
        <w:tc>
          <w:tcPr>
            <w:tcW w:w="1365" w:type="dxa"/>
          </w:tcPr>
          <w:p>
            <w:pPr>
              <w:pStyle w:val="2"/>
              <w:spacing w:before="0" w:after="0"/>
              <w:jc w:val="left"/>
              <w:outlineLvl w:val="0"/>
            </w:pPr>
          </w:p>
        </w:tc>
        <w:tc>
          <w:tcPr>
            <w:tcW w:w="1365" w:type="dxa"/>
          </w:tcPr>
          <w:p>
            <w:pPr>
              <w:pStyle w:val="2"/>
              <w:spacing w:before="0" w:after="0"/>
              <w:jc w:val="left"/>
              <w:outlineLvl w:val="0"/>
            </w:pPr>
          </w:p>
        </w:tc>
        <w:tc>
          <w:tcPr>
            <w:tcW w:w="1365" w:type="dxa"/>
          </w:tcPr>
          <w:p>
            <w:pPr>
              <w:pStyle w:val="2"/>
              <w:spacing w:before="0" w:after="0"/>
              <w:jc w:val="left"/>
              <w:outlineLvl w:val="0"/>
            </w:pPr>
          </w:p>
        </w:tc>
        <w:tc>
          <w:tcPr>
            <w:tcW w:w="1368" w:type="dxa"/>
          </w:tcPr>
          <w:p>
            <w:pPr>
              <w:pStyle w:val="2"/>
              <w:spacing w:before="0" w:after="0"/>
              <w:jc w:val="left"/>
              <w:outlineLv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3" w:type="dxa"/>
          </w:tcPr>
          <w:p>
            <w:pPr>
              <w:pStyle w:val="2"/>
              <w:spacing w:before="0" w:after="0"/>
              <w:jc w:val="left"/>
              <w:outlineLvl w:val="0"/>
            </w:pPr>
          </w:p>
        </w:tc>
        <w:tc>
          <w:tcPr>
            <w:tcW w:w="1363" w:type="dxa"/>
          </w:tcPr>
          <w:p>
            <w:pPr>
              <w:pStyle w:val="2"/>
              <w:spacing w:before="0" w:after="0"/>
              <w:jc w:val="left"/>
              <w:outlineLvl w:val="0"/>
            </w:pPr>
          </w:p>
        </w:tc>
        <w:tc>
          <w:tcPr>
            <w:tcW w:w="1364" w:type="dxa"/>
          </w:tcPr>
          <w:p>
            <w:pPr>
              <w:pStyle w:val="2"/>
              <w:spacing w:before="0" w:after="0"/>
              <w:jc w:val="left"/>
              <w:outlineLvl w:val="0"/>
            </w:pPr>
          </w:p>
        </w:tc>
        <w:tc>
          <w:tcPr>
            <w:tcW w:w="1365" w:type="dxa"/>
          </w:tcPr>
          <w:p>
            <w:pPr>
              <w:pStyle w:val="2"/>
              <w:spacing w:before="0" w:after="0"/>
              <w:jc w:val="left"/>
              <w:outlineLvl w:val="0"/>
            </w:pPr>
          </w:p>
        </w:tc>
        <w:tc>
          <w:tcPr>
            <w:tcW w:w="1365" w:type="dxa"/>
          </w:tcPr>
          <w:p>
            <w:pPr>
              <w:pStyle w:val="2"/>
              <w:spacing w:before="0" w:after="0"/>
              <w:jc w:val="left"/>
              <w:outlineLvl w:val="0"/>
            </w:pPr>
          </w:p>
        </w:tc>
        <w:tc>
          <w:tcPr>
            <w:tcW w:w="1365" w:type="dxa"/>
          </w:tcPr>
          <w:p>
            <w:pPr>
              <w:pStyle w:val="2"/>
              <w:spacing w:before="0" w:after="0"/>
              <w:jc w:val="left"/>
              <w:outlineLvl w:val="0"/>
            </w:pPr>
          </w:p>
        </w:tc>
        <w:tc>
          <w:tcPr>
            <w:tcW w:w="1368" w:type="dxa"/>
          </w:tcPr>
          <w:p>
            <w:pPr>
              <w:pStyle w:val="2"/>
              <w:spacing w:before="0" w:after="0"/>
              <w:jc w:val="left"/>
              <w:outlineLv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3" w:type="dxa"/>
          </w:tcPr>
          <w:p>
            <w:pPr>
              <w:pStyle w:val="2"/>
              <w:spacing w:before="0" w:after="0"/>
              <w:jc w:val="left"/>
              <w:outlineLvl w:val="0"/>
            </w:pPr>
          </w:p>
        </w:tc>
        <w:tc>
          <w:tcPr>
            <w:tcW w:w="1363" w:type="dxa"/>
          </w:tcPr>
          <w:p>
            <w:pPr>
              <w:pStyle w:val="2"/>
              <w:spacing w:before="0" w:after="0"/>
              <w:jc w:val="left"/>
              <w:outlineLvl w:val="0"/>
            </w:pPr>
          </w:p>
        </w:tc>
        <w:tc>
          <w:tcPr>
            <w:tcW w:w="1364" w:type="dxa"/>
          </w:tcPr>
          <w:p>
            <w:pPr>
              <w:pStyle w:val="2"/>
              <w:spacing w:before="0" w:after="0"/>
              <w:jc w:val="left"/>
              <w:outlineLvl w:val="0"/>
            </w:pPr>
          </w:p>
        </w:tc>
        <w:tc>
          <w:tcPr>
            <w:tcW w:w="1365" w:type="dxa"/>
          </w:tcPr>
          <w:p>
            <w:pPr>
              <w:pStyle w:val="2"/>
              <w:spacing w:before="0" w:after="0"/>
              <w:jc w:val="left"/>
              <w:outlineLvl w:val="0"/>
            </w:pPr>
          </w:p>
        </w:tc>
        <w:tc>
          <w:tcPr>
            <w:tcW w:w="1365" w:type="dxa"/>
          </w:tcPr>
          <w:p>
            <w:pPr>
              <w:pStyle w:val="2"/>
              <w:spacing w:before="0" w:after="0"/>
              <w:jc w:val="left"/>
              <w:outlineLvl w:val="0"/>
            </w:pPr>
          </w:p>
        </w:tc>
        <w:tc>
          <w:tcPr>
            <w:tcW w:w="1365" w:type="dxa"/>
          </w:tcPr>
          <w:p>
            <w:pPr>
              <w:pStyle w:val="2"/>
              <w:spacing w:before="0" w:after="0"/>
              <w:jc w:val="left"/>
              <w:outlineLvl w:val="0"/>
            </w:pPr>
          </w:p>
        </w:tc>
        <w:tc>
          <w:tcPr>
            <w:tcW w:w="1368" w:type="dxa"/>
          </w:tcPr>
          <w:p>
            <w:pPr>
              <w:pStyle w:val="2"/>
              <w:spacing w:before="0" w:after="0"/>
              <w:jc w:val="left"/>
              <w:outlineLv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3" w:type="dxa"/>
          </w:tcPr>
          <w:p>
            <w:pPr>
              <w:pStyle w:val="2"/>
              <w:spacing w:before="0" w:after="0"/>
              <w:jc w:val="left"/>
              <w:outlineLvl w:val="0"/>
            </w:pPr>
          </w:p>
        </w:tc>
        <w:tc>
          <w:tcPr>
            <w:tcW w:w="1363" w:type="dxa"/>
          </w:tcPr>
          <w:p>
            <w:pPr>
              <w:pStyle w:val="2"/>
              <w:spacing w:before="0" w:after="0"/>
              <w:jc w:val="left"/>
              <w:outlineLvl w:val="0"/>
            </w:pPr>
          </w:p>
        </w:tc>
        <w:tc>
          <w:tcPr>
            <w:tcW w:w="1364" w:type="dxa"/>
          </w:tcPr>
          <w:p>
            <w:pPr>
              <w:pStyle w:val="2"/>
              <w:spacing w:before="0" w:after="0"/>
              <w:jc w:val="left"/>
              <w:outlineLvl w:val="0"/>
            </w:pPr>
          </w:p>
        </w:tc>
        <w:tc>
          <w:tcPr>
            <w:tcW w:w="1365" w:type="dxa"/>
          </w:tcPr>
          <w:p>
            <w:pPr>
              <w:pStyle w:val="2"/>
              <w:spacing w:before="0" w:after="0"/>
              <w:jc w:val="left"/>
              <w:outlineLvl w:val="0"/>
            </w:pPr>
          </w:p>
        </w:tc>
        <w:tc>
          <w:tcPr>
            <w:tcW w:w="1365" w:type="dxa"/>
          </w:tcPr>
          <w:p>
            <w:pPr>
              <w:pStyle w:val="2"/>
              <w:spacing w:before="0" w:after="0"/>
              <w:jc w:val="left"/>
              <w:outlineLvl w:val="0"/>
            </w:pPr>
          </w:p>
        </w:tc>
        <w:tc>
          <w:tcPr>
            <w:tcW w:w="1365" w:type="dxa"/>
          </w:tcPr>
          <w:p>
            <w:pPr>
              <w:pStyle w:val="2"/>
              <w:spacing w:before="0" w:after="0"/>
              <w:jc w:val="left"/>
              <w:outlineLvl w:val="0"/>
            </w:pPr>
          </w:p>
        </w:tc>
        <w:tc>
          <w:tcPr>
            <w:tcW w:w="1368" w:type="dxa"/>
          </w:tcPr>
          <w:p>
            <w:pPr>
              <w:pStyle w:val="2"/>
              <w:spacing w:before="0" w:after="0"/>
              <w:jc w:val="left"/>
              <w:outlineLv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3" w:type="dxa"/>
          </w:tcPr>
          <w:p>
            <w:pPr>
              <w:pStyle w:val="2"/>
              <w:spacing w:before="0" w:after="0"/>
              <w:jc w:val="left"/>
              <w:outlineLvl w:val="0"/>
            </w:pPr>
          </w:p>
        </w:tc>
        <w:tc>
          <w:tcPr>
            <w:tcW w:w="1363" w:type="dxa"/>
          </w:tcPr>
          <w:p>
            <w:pPr>
              <w:pStyle w:val="2"/>
              <w:spacing w:before="0" w:after="0"/>
              <w:jc w:val="left"/>
              <w:outlineLvl w:val="0"/>
            </w:pPr>
          </w:p>
        </w:tc>
        <w:tc>
          <w:tcPr>
            <w:tcW w:w="1364" w:type="dxa"/>
          </w:tcPr>
          <w:p>
            <w:pPr>
              <w:pStyle w:val="2"/>
              <w:spacing w:before="0" w:after="0"/>
              <w:jc w:val="left"/>
              <w:outlineLvl w:val="0"/>
            </w:pPr>
          </w:p>
        </w:tc>
        <w:tc>
          <w:tcPr>
            <w:tcW w:w="1365" w:type="dxa"/>
          </w:tcPr>
          <w:p>
            <w:pPr>
              <w:pStyle w:val="2"/>
              <w:spacing w:before="0" w:after="0"/>
              <w:jc w:val="left"/>
              <w:outlineLvl w:val="0"/>
            </w:pPr>
          </w:p>
        </w:tc>
        <w:tc>
          <w:tcPr>
            <w:tcW w:w="1365" w:type="dxa"/>
          </w:tcPr>
          <w:p>
            <w:pPr>
              <w:pStyle w:val="2"/>
              <w:spacing w:before="0" w:after="0"/>
              <w:jc w:val="left"/>
              <w:outlineLvl w:val="0"/>
            </w:pPr>
          </w:p>
        </w:tc>
        <w:tc>
          <w:tcPr>
            <w:tcW w:w="1365" w:type="dxa"/>
          </w:tcPr>
          <w:p>
            <w:pPr>
              <w:pStyle w:val="2"/>
              <w:spacing w:before="0" w:after="0"/>
              <w:jc w:val="left"/>
              <w:outlineLvl w:val="0"/>
            </w:pPr>
          </w:p>
        </w:tc>
        <w:tc>
          <w:tcPr>
            <w:tcW w:w="1368" w:type="dxa"/>
          </w:tcPr>
          <w:p>
            <w:pPr>
              <w:pStyle w:val="2"/>
              <w:spacing w:before="0" w:after="0"/>
              <w:jc w:val="left"/>
              <w:outlineLv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3" w:type="dxa"/>
          </w:tcPr>
          <w:p>
            <w:pPr>
              <w:pStyle w:val="2"/>
              <w:spacing w:before="0" w:after="0"/>
              <w:jc w:val="left"/>
              <w:outlineLvl w:val="0"/>
            </w:pPr>
          </w:p>
        </w:tc>
        <w:tc>
          <w:tcPr>
            <w:tcW w:w="1363" w:type="dxa"/>
          </w:tcPr>
          <w:p>
            <w:pPr>
              <w:pStyle w:val="2"/>
              <w:spacing w:before="0" w:after="0"/>
              <w:jc w:val="left"/>
              <w:outlineLvl w:val="0"/>
            </w:pPr>
          </w:p>
        </w:tc>
        <w:tc>
          <w:tcPr>
            <w:tcW w:w="1364" w:type="dxa"/>
          </w:tcPr>
          <w:p>
            <w:pPr>
              <w:pStyle w:val="2"/>
              <w:spacing w:before="0" w:after="0"/>
              <w:jc w:val="left"/>
              <w:outlineLvl w:val="0"/>
            </w:pPr>
          </w:p>
        </w:tc>
        <w:tc>
          <w:tcPr>
            <w:tcW w:w="1365" w:type="dxa"/>
          </w:tcPr>
          <w:p>
            <w:pPr>
              <w:pStyle w:val="2"/>
              <w:spacing w:before="0" w:after="0"/>
              <w:jc w:val="left"/>
              <w:outlineLvl w:val="0"/>
            </w:pPr>
          </w:p>
        </w:tc>
        <w:tc>
          <w:tcPr>
            <w:tcW w:w="1365" w:type="dxa"/>
          </w:tcPr>
          <w:p>
            <w:pPr>
              <w:pStyle w:val="2"/>
              <w:spacing w:before="0" w:after="0"/>
              <w:jc w:val="left"/>
              <w:outlineLvl w:val="0"/>
            </w:pPr>
          </w:p>
        </w:tc>
        <w:tc>
          <w:tcPr>
            <w:tcW w:w="1365" w:type="dxa"/>
          </w:tcPr>
          <w:p>
            <w:pPr>
              <w:pStyle w:val="2"/>
              <w:spacing w:before="0" w:after="0"/>
              <w:jc w:val="left"/>
              <w:outlineLvl w:val="0"/>
            </w:pPr>
          </w:p>
        </w:tc>
        <w:tc>
          <w:tcPr>
            <w:tcW w:w="1368" w:type="dxa"/>
          </w:tcPr>
          <w:p>
            <w:pPr>
              <w:pStyle w:val="2"/>
              <w:spacing w:before="0" w:after="0"/>
              <w:jc w:val="left"/>
              <w:outlineLv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3" w:type="dxa"/>
          </w:tcPr>
          <w:p>
            <w:pPr>
              <w:pStyle w:val="2"/>
              <w:spacing w:before="0" w:after="0"/>
              <w:jc w:val="left"/>
              <w:outlineLvl w:val="0"/>
            </w:pPr>
            <w:r>
              <w:rPr>
                <w:rFonts w:hint="eastAsia"/>
              </w:rPr>
              <w:t>合计</w:t>
            </w:r>
          </w:p>
        </w:tc>
        <w:tc>
          <w:tcPr>
            <w:tcW w:w="8190" w:type="dxa"/>
            <w:gridSpan w:val="6"/>
          </w:tcPr>
          <w:p>
            <w:pPr>
              <w:pStyle w:val="2"/>
              <w:spacing w:before="0" w:after="0"/>
              <w:jc w:val="left"/>
              <w:outlineLv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9553" w:type="dxa"/>
            <w:gridSpan w:val="7"/>
          </w:tcPr>
          <w:p>
            <w:pPr>
              <w:pStyle w:val="2"/>
              <w:spacing w:before="0" w:after="0"/>
              <w:jc w:val="left"/>
              <w:outlineLvl w:val="0"/>
            </w:pPr>
            <w:r>
              <w:rPr>
                <w:rFonts w:hint="eastAsia"/>
              </w:rPr>
              <w:t>签字栏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363" w:type="dxa"/>
          </w:tcPr>
          <w:p>
            <w:pPr>
              <w:pStyle w:val="2"/>
              <w:spacing w:before="0" w:after="0"/>
              <w:jc w:val="left"/>
              <w:outlineLvl w:val="0"/>
            </w:pPr>
            <w:r>
              <w:rPr>
                <w:rFonts w:hint="eastAsia"/>
              </w:rPr>
              <w:t>甲方</w:t>
            </w:r>
          </w:p>
        </w:tc>
        <w:tc>
          <w:tcPr>
            <w:tcW w:w="4092" w:type="dxa"/>
            <w:gridSpan w:val="3"/>
          </w:tcPr>
          <w:p>
            <w:pPr>
              <w:pStyle w:val="2"/>
              <w:spacing w:before="0" w:after="0"/>
              <w:jc w:val="left"/>
              <w:outlineLvl w:val="0"/>
            </w:pPr>
          </w:p>
        </w:tc>
        <w:tc>
          <w:tcPr>
            <w:tcW w:w="1365" w:type="dxa"/>
          </w:tcPr>
          <w:p>
            <w:pPr>
              <w:pStyle w:val="2"/>
              <w:spacing w:before="0" w:after="0"/>
              <w:jc w:val="left"/>
              <w:outlineLvl w:val="0"/>
            </w:pPr>
            <w:r>
              <w:rPr>
                <w:rFonts w:hint="eastAsia"/>
              </w:rPr>
              <w:t>乙方</w:t>
            </w:r>
          </w:p>
        </w:tc>
        <w:tc>
          <w:tcPr>
            <w:tcW w:w="2733" w:type="dxa"/>
            <w:gridSpan w:val="2"/>
          </w:tcPr>
          <w:p>
            <w:pPr>
              <w:pStyle w:val="2"/>
              <w:spacing w:before="0" w:after="0"/>
              <w:jc w:val="left"/>
              <w:outlineLvl w:val="0"/>
            </w:pPr>
          </w:p>
        </w:tc>
      </w:tr>
    </w:tbl>
    <w:p>
      <w:pPr>
        <w:pStyle w:val="2"/>
        <w:spacing w:before="0" w:after="0"/>
        <w:jc w:val="left"/>
      </w:pPr>
      <w:r>
        <w:br w:type="page"/>
      </w:r>
    </w:p>
    <w:p>
      <w:pPr>
        <w:pStyle w:val="2"/>
        <w:spacing w:before="0" w:after="0"/>
        <w:rPr>
          <w:rFonts w:ascii="Calibri" w:hAnsi="Calibri" w:eastAsia="黑体" w:cs="Calibri"/>
          <w:kern w:val="0"/>
          <w:sz w:val="32"/>
        </w:rPr>
      </w:pP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74"/>
      <w:bookmarkEnd w:id="75"/>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1" w:firstLineChars="214"/>
        <w:rPr>
          <w:rFonts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4" w:firstLineChars="202"/>
        <w:rPr>
          <w:rFonts w:ascii="宋体" w:hAnsi="宋体" w:cs="Calibri"/>
          <w:b/>
          <w:sz w:val="22"/>
        </w:rPr>
      </w:pPr>
      <w:r>
        <w:rPr>
          <w:rFonts w:ascii="宋体" w:hAnsi="宋体" w:cs="Calibri"/>
          <w:b/>
          <w:sz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w:t>
      </w:r>
      <w:r>
        <w:rPr>
          <w:rFonts w:hAnsi="宋体" w:cs="Calibri"/>
          <w:sz w:val="22"/>
          <w:szCs w:val="22"/>
        </w:rPr>
        <w:t>7</w:t>
      </w:r>
      <w:r>
        <w:rPr>
          <w:rFonts w:hint="eastAsia" w:hAnsi="宋体" w:cs="Calibri"/>
          <w:sz w:val="22"/>
          <w:szCs w:val="22"/>
        </w:rPr>
        <w:t>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以</w:t>
      </w:r>
      <w:r>
        <w:rPr>
          <w:rFonts w:hAnsi="宋体"/>
          <w:sz w:val="22"/>
          <w:szCs w:val="22"/>
        </w:rPr>
        <w:t>投标</w:t>
      </w:r>
      <w:r>
        <w:rPr>
          <w:rFonts w:hint="eastAsia" w:hAnsi="宋体"/>
          <w:sz w:val="22"/>
          <w:szCs w:val="22"/>
        </w:rPr>
        <w:t>总价</w:t>
      </w:r>
      <w:r>
        <w:rPr>
          <w:rFonts w:hAnsi="宋体"/>
          <w:sz w:val="22"/>
          <w:szCs w:val="22"/>
        </w:rPr>
        <w:t>进行评审，</w:t>
      </w:r>
      <w:r>
        <w:rPr>
          <w:rFonts w:hint="eastAsia" w:hAnsi="宋体"/>
          <w:sz w:val="22"/>
          <w:szCs w:val="22"/>
        </w:rPr>
        <w:t>如遇</w:t>
      </w:r>
      <w:r>
        <w:rPr>
          <w:rFonts w:hAnsi="宋体"/>
          <w:sz w:val="22"/>
          <w:szCs w:val="22"/>
        </w:rPr>
        <w:t>税率不一致，按不含税价进行评审</w:t>
      </w:r>
      <w:r>
        <w:rPr>
          <w:rFonts w:hint="eastAsia" w:hAnsi="宋体"/>
          <w:sz w:val="22"/>
          <w:szCs w:val="22"/>
        </w:rPr>
        <w:t>。</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w:t>
      </w:r>
      <w:r>
        <w:rPr>
          <w:rFonts w:hAnsi="宋体" w:cs="Calibri"/>
          <w:sz w:val="22"/>
          <w:szCs w:val="22"/>
        </w:rPr>
        <w:t>70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0-</w:t>
      </w:r>
      <w:r>
        <w:rPr>
          <w:rFonts w:hAnsi="宋体" w:cs="Calibri"/>
          <w:sz w:val="22"/>
          <w:szCs w:val="22"/>
        </w:rPr>
        <w:t>3</w:t>
      </w:r>
      <w:r>
        <w:rPr>
          <w:rFonts w:hint="eastAsia" w:hAnsi="宋体" w:cs="Calibri"/>
          <w:sz w:val="22"/>
          <w:szCs w:val="22"/>
        </w:rPr>
        <w:t>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Pr>
          <w:p>
            <w:pPr>
              <w:pStyle w:val="31"/>
              <w:adjustRightInd w:val="0"/>
              <w:snapToGrid w:val="0"/>
              <w:spacing w:line="360" w:lineRule="exact"/>
              <w:jc w:val="center"/>
              <w:rPr>
                <w:rFonts w:hAnsi="宋体" w:cs="Courier New"/>
                <w:kern w:val="2"/>
                <w:sz w:val="22"/>
                <w:szCs w:val="22"/>
              </w:rPr>
            </w:pPr>
            <w:r>
              <w:rPr>
                <w:rFonts w:hAnsi="宋体" w:cs="Courier New"/>
                <w:kern w:val="2"/>
                <w:sz w:val="22"/>
                <w:szCs w:val="22"/>
              </w:rPr>
              <w:t>评定项目</w:t>
            </w:r>
          </w:p>
        </w:tc>
        <w:tc>
          <w:tcPr>
            <w:tcW w:w="2410" w:type="dxa"/>
          </w:tcPr>
          <w:p>
            <w:pPr>
              <w:pStyle w:val="31"/>
              <w:adjustRightInd w:val="0"/>
              <w:snapToGrid w:val="0"/>
              <w:spacing w:line="360" w:lineRule="exact"/>
              <w:jc w:val="center"/>
              <w:rPr>
                <w:rFonts w:hAnsi="宋体" w:cs="Courier New"/>
                <w:kern w:val="2"/>
                <w:sz w:val="22"/>
                <w:szCs w:val="22"/>
              </w:rPr>
            </w:pPr>
            <w:r>
              <w:rPr>
                <w:rFonts w:hAnsi="宋体" w:cs="Courier New"/>
                <w:kern w:val="2"/>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 w:val="22"/>
              </w:rPr>
            </w:pPr>
            <w:r>
              <w:rPr>
                <w:rFonts w:hint="eastAsia" w:ascii="宋体" w:hAnsi="宋体" w:cs="宋体"/>
                <w:kern w:val="0"/>
                <w:sz w:val="22"/>
              </w:rPr>
              <w:t>投标人企业规模、得奖情况</w:t>
            </w:r>
          </w:p>
        </w:tc>
        <w:tc>
          <w:tcPr>
            <w:tcW w:w="2410" w:type="dxa"/>
            <w:vAlign w:val="center"/>
          </w:tcPr>
          <w:p>
            <w:pPr>
              <w:widowControl/>
              <w:snapToGrid w:val="0"/>
              <w:spacing w:line="360" w:lineRule="exact"/>
              <w:jc w:val="center"/>
              <w:rPr>
                <w:rFonts w:ascii="宋体" w:hAnsi="宋体"/>
                <w:sz w:val="22"/>
              </w:rPr>
            </w:pPr>
            <w:r>
              <w:rPr>
                <w:rFonts w:hint="eastAsia"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 w:val="22"/>
              </w:rPr>
            </w:pPr>
            <w:r>
              <w:rPr>
                <w:rFonts w:hint="eastAsia" w:hAnsi="宋体"/>
                <w:sz w:val="22"/>
              </w:rPr>
              <w:t>投标人类似业绩</w:t>
            </w:r>
          </w:p>
        </w:tc>
        <w:tc>
          <w:tcPr>
            <w:tcW w:w="2410" w:type="dxa"/>
            <w:vAlign w:val="center"/>
          </w:tcPr>
          <w:p>
            <w:pPr>
              <w:widowControl/>
              <w:snapToGrid w:val="0"/>
              <w:spacing w:line="360" w:lineRule="exact"/>
              <w:jc w:val="center"/>
              <w:rPr>
                <w:rFonts w:ascii="宋体" w:hAnsi="宋体"/>
                <w:sz w:val="22"/>
              </w:rPr>
            </w:pPr>
            <w:r>
              <w:rPr>
                <w:rFonts w:hint="eastAsia"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hAnsi="宋体"/>
                <w:sz w:val="22"/>
              </w:rPr>
              <w:t>投标货物技术指标的符合性、优越性，正规供货渠道保证措施。</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hAnsi="宋体"/>
                <w:sz w:val="22"/>
              </w:rPr>
              <w:t>组织实施方案：投标人组织实施方案的科学性、合理性、规范性和可操作性，包括货物供货、验货、组装就位、关键步骤的思路和要点以及组织机构、工作时间进度表、工作程序和步骤等内容。</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 w:val="22"/>
              </w:rPr>
            </w:pPr>
            <w:r>
              <w:rPr>
                <w:rFonts w:hint="eastAsia" w:hAnsi="宋体"/>
                <w:sz w:val="22"/>
              </w:rPr>
              <w:t>投标人是否具有较强的本地化服务能力、售后服务承诺、提供的售后服务方案的可行性、完整性以及服务承诺落实的保障措施，质保期内外的后续技术支持和维护能力情况等。</w:t>
            </w:r>
          </w:p>
        </w:tc>
        <w:tc>
          <w:tcPr>
            <w:tcW w:w="2410" w:type="dxa"/>
            <w:vAlign w:val="center"/>
          </w:tcPr>
          <w:p>
            <w:pPr>
              <w:widowControl/>
              <w:snapToGrid w:val="0"/>
              <w:spacing w:line="360" w:lineRule="exact"/>
              <w:jc w:val="center"/>
              <w:rPr>
                <w:rFonts w:ascii="宋体" w:hAnsi="宋体"/>
                <w:sz w:val="22"/>
              </w:rPr>
            </w:pPr>
            <w:r>
              <w:rPr>
                <w:rFonts w:hint="eastAsia" w:ascii="宋体" w:hAnsi="宋体"/>
                <w:sz w:val="22"/>
              </w:rPr>
              <w:t>7</w:t>
            </w:r>
          </w:p>
        </w:tc>
      </w:tr>
    </w:tbl>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3.4.1当有效投标文件大于3名时，评标委员会按得分从高至低推荐前三名投标人为中标候选人（若第三名和第四名得分相同则抽签决定入库供应商）。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3.4.2</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（1）经评标委员会评审后的有效标供应商等于3家时，评标委员会认定其服务方案可行、有竞争性的,最终推荐前2名入围供应商库。</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（2）经评标委员会评审后的有效标少于3家时，重新组织招标。</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cs="Times New Roman"/>
          <w:b/>
          <w:bCs/>
          <w:kern w:val="0"/>
          <w:sz w:val="32"/>
          <w:szCs w:val="32"/>
        </w:rPr>
      </w:pPr>
      <w:r>
        <w:br w:type="page"/>
      </w:r>
    </w:p>
    <w:p>
      <w:pPr>
        <w:pStyle w:val="51"/>
      </w:pPr>
      <w:bookmarkStart w:id="95" w:name="_Toc321925457"/>
      <w:r>
        <w:t>第</w:t>
      </w:r>
      <w:r>
        <w:rPr>
          <w:rFonts w:hint="eastAsia"/>
        </w:rPr>
        <w:t>六</w:t>
      </w:r>
      <w:r>
        <w:t>章  投标文件格式</w:t>
      </w:r>
      <w:bookmarkEnd w:id="76"/>
      <w:bookmarkEnd w:id="95"/>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二、</w:t>
      </w:r>
      <w:r>
        <w:rPr>
          <w:rFonts w:cs="Calibri" w:asciiTheme="minorEastAsia" w:hAnsi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三、</w:t>
      </w:r>
      <w:r>
        <w:rPr>
          <w:rFonts w:cs="Calibri" w:asciiTheme="minorEastAsia" w:hAnsiTheme="minorEastAsia"/>
          <w:color w:val="000000"/>
          <w:sz w:val="22"/>
        </w:rPr>
        <w:t>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四、</w:t>
      </w:r>
      <w:r>
        <w:rPr>
          <w:rFonts w:cs="Calibri" w:asciiTheme="minorEastAsia" w:hAnsiTheme="minorEastAsia"/>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tabs>
          <w:tab w:val="left" w:pos="900"/>
        </w:tabs>
        <w:autoSpaceDE w:val="0"/>
        <w:autoSpaceDN w:val="0"/>
        <w:spacing w:line="360" w:lineRule="auto"/>
        <w:ind w:left="360"/>
        <w:textAlignment w:val="bottom"/>
        <w:rPr>
          <w:rFonts w:cs="Calibri" w:asciiTheme="minorEastAsia" w:hAnsiTheme="minorEastAsia"/>
          <w:color w:val="000000"/>
          <w:sz w:val="22"/>
        </w:rPr>
      </w:pPr>
      <w:r>
        <w:rPr>
          <w:rFonts w:hint="eastAsia" w:ascii="宋体" w:hAnsi="宋体" w:cs="Calibri"/>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r>
        <w:rPr>
          <w:rFonts w:hint="eastAsia" w:cs="Calibri" w:asciiTheme="minorEastAsia" w:hAnsiTheme="minorEastAsia"/>
          <w:color w:val="000000"/>
          <w:sz w:val="22"/>
        </w:rPr>
        <w:t>投标人须提供2018年末3个月的企业依法纳税、依法缴纳社保记录凭证。</w:t>
      </w:r>
    </w:p>
    <w:p>
      <w:pPr>
        <w:adjustRightInd w:val="0"/>
        <w:snapToGrid w:val="0"/>
        <w:spacing w:line="360" w:lineRule="exact"/>
        <w:ind w:firstLine="440"/>
        <w:rPr>
          <w:rFonts w:ascii="宋体" w:hAnsi="宋体" w:cs="Arial"/>
          <w:kern w:val="0"/>
          <w:sz w:val="22"/>
        </w:rPr>
      </w:pPr>
      <w:r>
        <w:rPr>
          <w:rFonts w:hint="eastAsia" w:cs="Calibri" w:asciiTheme="minorEastAsia" w:hAnsiTheme="minorEastAsia"/>
          <w:color w:val="000000"/>
          <w:sz w:val="22"/>
        </w:rPr>
        <w:t>（3）</w:t>
      </w:r>
      <w:r>
        <w:rPr>
          <w:rFonts w:hint="eastAsia" w:ascii="宋体" w:hAnsi="宋体" w:cs="Arial"/>
          <w:kern w:val="0"/>
          <w:sz w:val="22"/>
        </w:rPr>
        <w:t>投标人须具有类似办公用品定点采购配送项目的供货业绩（需提供中标通知书或合同复印件并加盖投标人公章作为证明材料，原件备查）</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 xml:space="preserve"> (4)</w:t>
      </w:r>
      <w:r>
        <w:rPr>
          <w:rFonts w:cs="Calibri" w:asciiTheme="minorEastAsia" w:hAnsiTheme="minorEastAsia"/>
          <w:color w:val="000000"/>
          <w:sz w:val="22"/>
        </w:rPr>
        <w:t>服务承诺函原件。</w:t>
      </w:r>
    </w:p>
    <w:p>
      <w:pPr>
        <w:adjustRightInd w:val="0"/>
        <w:snapToGrid w:val="0"/>
        <w:spacing w:line="360" w:lineRule="exact"/>
        <w:ind w:firstLine="440"/>
        <w:rPr>
          <w:rFonts w:ascii="宋体" w:hAnsi="宋体" w:cs="Calibri"/>
          <w:sz w:val="22"/>
        </w:rPr>
      </w:pPr>
      <w:r>
        <w:rPr>
          <w:rFonts w:hint="eastAsia" w:ascii="宋体" w:hAnsi="宋体" w:cs="Calibri"/>
          <w:sz w:val="22"/>
        </w:rPr>
        <w:t xml:space="preserve"> (5)廉洁自律承诺书。</w:t>
      </w:r>
    </w:p>
    <w:p>
      <w:pPr>
        <w:adjustRightInd w:val="0"/>
        <w:snapToGrid w:val="0"/>
        <w:spacing w:line="360" w:lineRule="exact"/>
        <w:ind w:firstLine="44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96" w:name="_Toc171421958"/>
      <w:r>
        <w:rPr>
          <w:rFonts w:cs="Calibri"/>
          <w:color w:val="000000"/>
        </w:rPr>
        <w:t>封面</w:t>
      </w:r>
      <w:bookmarkEnd w:id="96"/>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ascii="宋体" w:hAnsi="宋体"/>
          <w:sz w:val="22"/>
        </w:rPr>
      </w:pPr>
      <w:r>
        <w:rPr>
          <w:rFonts w:hint="eastAsia" w:ascii="宋体" w:hAnsi="宋体"/>
          <w:sz w:val="22"/>
        </w:rPr>
        <w:t>根据贵方杭州萧山国际机场</w:t>
      </w:r>
      <w:r>
        <w:rPr>
          <w:rFonts w:hint="eastAsia" w:ascii="宋体" w:hAnsi="宋体"/>
          <w:sz w:val="22"/>
          <w:u w:val="single"/>
        </w:rPr>
        <w:t xml:space="preserve">             </w:t>
      </w:r>
      <w:r>
        <w:rPr>
          <w:rFonts w:hint="eastAsia" w:ascii="宋体" w:hAnsi="宋体"/>
          <w:sz w:val="22"/>
        </w:rPr>
        <w:t>采购项目的招标文件，授权代表</w:t>
      </w:r>
      <w:r>
        <w:rPr>
          <w:rFonts w:hint="eastAsia" w:ascii="宋体" w:hAnsi="宋体" w:cs="Arial"/>
          <w:sz w:val="22"/>
          <w:u w:val="single"/>
        </w:rPr>
        <w:t xml:space="preserve">        </w:t>
      </w:r>
      <w:r>
        <w:rPr>
          <w:rFonts w:hint="eastAsia" w:ascii="宋体" w:hAnsi="宋体"/>
          <w:sz w:val="22"/>
        </w:rPr>
        <w:t>(全名、职务)经正式授权，代表投标人</w:t>
      </w:r>
      <w:r>
        <w:rPr>
          <w:rFonts w:hint="eastAsia" w:ascii="宋体" w:hAnsi="宋体" w:cs="Arial"/>
          <w:sz w:val="22"/>
          <w:u w:val="single"/>
        </w:rPr>
        <w:t xml:space="preserve">                    </w:t>
      </w:r>
      <w:r>
        <w:rPr>
          <w:rFonts w:hint="eastAsia" w:ascii="宋体" w:hAnsi="宋体"/>
          <w:sz w:val="22"/>
        </w:rPr>
        <w:t>(投标人名称、地址)递交下述文件正本一份、副本二份。</w:t>
      </w:r>
    </w:p>
    <w:p>
      <w:pPr>
        <w:overflowPunct w:val="0"/>
        <w:autoSpaceDE w:val="0"/>
        <w:autoSpaceDN w:val="0"/>
        <w:spacing w:line="440" w:lineRule="exact"/>
        <w:ind w:firstLine="440" w:firstLineChars="200"/>
        <w:rPr>
          <w:rFonts w:ascii="宋体" w:hAnsi="宋体" w:cs="Arial"/>
          <w:sz w:val="22"/>
        </w:rPr>
      </w:pPr>
      <w:r>
        <w:rPr>
          <w:rFonts w:hint="eastAsia" w:ascii="宋体" w:hAnsi="宋体" w:cs="Arial"/>
          <w:sz w:val="22"/>
        </w:rPr>
        <w:t>据此函，本授权代表宣布同意如下：</w:t>
      </w:r>
    </w:p>
    <w:p>
      <w:pPr>
        <w:numPr>
          <w:ilvl w:val="0"/>
          <w:numId w:val="9"/>
        </w:numPr>
        <w:tabs>
          <w:tab w:val="left" w:pos="840"/>
        </w:tabs>
        <w:overflowPunct w:val="0"/>
        <w:autoSpaceDE w:val="0"/>
        <w:autoSpaceDN w:val="0"/>
        <w:spacing w:line="440" w:lineRule="exact"/>
        <w:rPr>
          <w:rFonts w:ascii="宋体" w:hAnsi="宋体"/>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(大写)</w:t>
      </w:r>
      <w:r>
        <w:rPr>
          <w:rFonts w:hint="eastAsia" w:ascii="宋体" w:hAnsi="宋体"/>
          <w:sz w:val="22"/>
          <w:u w:val="single"/>
        </w:rPr>
        <w:t xml:space="preserve">                   </w:t>
      </w:r>
      <w:r>
        <w:rPr>
          <w:rFonts w:hint="eastAsia" w:ascii="宋体" w:hAnsi="宋体"/>
          <w:sz w:val="22"/>
        </w:rPr>
        <w:t>(小写)</w:t>
      </w:r>
      <w:r>
        <w:rPr>
          <w:rFonts w:hint="eastAsia" w:ascii="宋体" w:hAnsi="宋体"/>
          <w:sz w:val="22"/>
          <w:u w:val="single"/>
        </w:rPr>
        <w:t xml:space="preserve">             </w:t>
      </w:r>
      <w:r>
        <w:rPr>
          <w:rFonts w:hint="eastAsia"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9"/>
        </w:numPr>
        <w:tabs>
          <w:tab w:val="left" w:pos="840"/>
        </w:tabs>
        <w:overflowPunct w:val="0"/>
        <w:autoSpaceDE w:val="0"/>
        <w:autoSpaceDN w:val="0"/>
        <w:spacing w:line="440" w:lineRule="exact"/>
        <w:rPr>
          <w:rFonts w:ascii="宋体" w:hAnsi="宋体"/>
          <w:sz w:val="22"/>
        </w:rPr>
      </w:pPr>
      <w:r>
        <w:rPr>
          <w:rFonts w:hint="eastAsia" w:ascii="宋体" w:hAnsi="宋体"/>
          <w:sz w:val="22"/>
        </w:rPr>
        <w:t>我方承诺：</w:t>
      </w:r>
    </w:p>
    <w:p>
      <w:pPr>
        <w:numPr>
          <w:ilvl w:val="0"/>
          <w:numId w:val="10"/>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我方不是失信被执行人；</w:t>
      </w:r>
    </w:p>
    <w:p>
      <w:pPr>
        <w:numPr>
          <w:ilvl w:val="0"/>
          <w:numId w:val="10"/>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我方在规定期限内无行贿犯罪记录；</w:t>
      </w:r>
    </w:p>
    <w:p>
      <w:pPr>
        <w:numPr>
          <w:ilvl w:val="0"/>
          <w:numId w:val="10"/>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我方具有一般纳税人资格，可提供增值税专用发票；</w:t>
      </w:r>
    </w:p>
    <w:p>
      <w:pPr>
        <w:numPr>
          <w:ilvl w:val="0"/>
          <w:numId w:val="10"/>
        </w:numPr>
        <w:tabs>
          <w:tab w:val="left" w:pos="840"/>
          <w:tab w:val="left" w:pos="907"/>
        </w:tabs>
        <w:overflowPunct w:val="0"/>
        <w:autoSpaceDE w:val="0"/>
        <w:autoSpaceDN w:val="0"/>
        <w:spacing w:line="440" w:lineRule="exact"/>
        <w:rPr>
          <w:rFonts w:ascii="宋体" w:hAnsi="宋体"/>
          <w:sz w:val="22"/>
        </w:rPr>
      </w:pPr>
      <w:r>
        <w:rPr>
          <w:rFonts w:ascii="宋体" w:hAnsi="宋体"/>
          <w:sz w:val="22"/>
        </w:rPr>
        <w:t>我方注册资金符合本项目招标文件资格条件要求。</w:t>
      </w:r>
    </w:p>
    <w:p>
      <w:pPr>
        <w:numPr>
          <w:ilvl w:val="0"/>
          <w:numId w:val="9"/>
        </w:numPr>
        <w:tabs>
          <w:tab w:val="left" w:pos="840"/>
        </w:tabs>
        <w:overflowPunct w:val="0"/>
        <w:autoSpaceDE w:val="0"/>
        <w:autoSpaceDN w:val="0"/>
        <w:spacing w:line="440" w:lineRule="exact"/>
        <w:rPr>
          <w:rFonts w:ascii="宋体" w:hAnsi="宋体"/>
          <w:sz w:val="22"/>
        </w:rPr>
      </w:pPr>
      <w:r>
        <w:rPr>
          <w:rFonts w:hint="eastAsia" w:ascii="宋体" w:hAnsi="宋体"/>
          <w:sz w:val="22"/>
        </w:rPr>
        <w:t>如我方中标，我方承诺：</w:t>
      </w:r>
    </w:p>
    <w:p>
      <w:pPr>
        <w:numPr>
          <w:ilvl w:val="0"/>
          <w:numId w:val="11"/>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在收到中标通知书后，在中标通知书规定的期限内与你方签订合同；</w:t>
      </w:r>
    </w:p>
    <w:p>
      <w:pPr>
        <w:numPr>
          <w:ilvl w:val="0"/>
          <w:numId w:val="11"/>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在签订合同时不向你方提出附加条件；</w:t>
      </w:r>
    </w:p>
    <w:p>
      <w:pPr>
        <w:numPr>
          <w:ilvl w:val="0"/>
          <w:numId w:val="11"/>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按照招标文件要求提交履约保证金；</w:t>
      </w:r>
    </w:p>
    <w:p>
      <w:pPr>
        <w:tabs>
          <w:tab w:val="left" w:pos="840"/>
        </w:tabs>
        <w:overflowPunct w:val="0"/>
        <w:autoSpaceDE w:val="0"/>
        <w:autoSpaceDN w:val="0"/>
        <w:spacing w:line="440" w:lineRule="exact"/>
        <w:ind w:left="907"/>
        <w:rPr>
          <w:rFonts w:ascii="宋体" w:hAnsi="宋体"/>
          <w:sz w:val="22"/>
        </w:rPr>
      </w:pPr>
      <w:r>
        <w:rPr>
          <w:rFonts w:hint="eastAsia" w:ascii="宋体" w:hAnsi="宋体"/>
          <w:sz w:val="22"/>
        </w:rPr>
        <w:t>④在合同约定的期限内完成合同规定的全部义务。</w:t>
      </w:r>
    </w:p>
    <w:p>
      <w:pPr>
        <w:numPr>
          <w:ilvl w:val="0"/>
          <w:numId w:val="9"/>
        </w:numPr>
        <w:tabs>
          <w:tab w:val="left" w:pos="840"/>
        </w:tabs>
        <w:overflowPunct w:val="0"/>
        <w:autoSpaceDE w:val="0"/>
        <w:autoSpaceDN w:val="0"/>
        <w:spacing w:line="440" w:lineRule="exact"/>
        <w:rPr>
          <w:rFonts w:ascii="宋体" w:hAnsi="宋体"/>
          <w:sz w:val="22"/>
        </w:rPr>
      </w:pPr>
      <w:r>
        <w:rPr>
          <w:rFonts w:hint="eastAsia" w:ascii="宋体" w:hAnsi="宋体"/>
          <w:sz w:val="22"/>
        </w:rPr>
        <w:t>我方已详细审查招标文件包括澄清函和修改文件(若有)、所有已提供的资料以及有关附件，我司已完全理解上述文件的全部内容，并放弃提出任何误解或不明作为抗辩的权利。。</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本投标的投标有效期为自投标截止之日起120日内。</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我方同意按照你方可能提出的要求，提供有关的任何其它数字或资料，并对贵方可能不接受最低报价及任何报价表示理解。</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17"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57216;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97" w:name="_Toc144265958"/>
      <w:bookmarkStart w:id="98" w:name="_Toc133214102"/>
      <w:bookmarkStart w:id="99" w:name="_Toc133214309"/>
      <w:bookmarkStart w:id="100" w:name="_Toc133470542"/>
      <w:bookmarkStart w:id="101" w:name="_Toc137373398"/>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120" w:afterLines="50" w:line="360" w:lineRule="auto"/>
        <w:jc w:val="center"/>
        <w:rPr>
          <w:rFonts w:hAnsi="宋体" w:cs="宋体"/>
        </w:rPr>
      </w:pPr>
    </w:p>
    <w:p>
      <w:pPr>
        <w:pStyle w:val="31"/>
        <w:numPr>
          <w:ilvl w:val="1"/>
          <w:numId w:val="12"/>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13"/>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13"/>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13"/>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13"/>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13"/>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13"/>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12"/>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97"/>
    <w:bookmarkEnd w:id="98"/>
    <w:bookmarkEnd w:id="99"/>
    <w:bookmarkEnd w:id="100"/>
    <w:bookmarkEnd w:id="101"/>
    <w:p>
      <w:pPr>
        <w:snapToGrid w:val="0"/>
        <w:spacing w:before="120" w:beforeLines="50" w:line="360" w:lineRule="exact"/>
        <w:rPr>
          <w:rFonts w:ascii="宋体" w:hAnsi="宋体" w:cs="宋体"/>
          <w:sz w:val="22"/>
        </w:rPr>
      </w:pPr>
      <w:r>
        <w:rPr>
          <w:rFonts w:hint="eastAsia" w:ascii="宋体" w:hAnsi="宋体" w:cs="宋体"/>
          <w:sz w:val="22"/>
        </w:rPr>
        <w:t>2.1       投标报价汇总表</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 xml:space="preserve">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868"/>
        <w:gridCol w:w="1106"/>
        <w:gridCol w:w="1108"/>
        <w:gridCol w:w="968"/>
        <w:gridCol w:w="1029"/>
        <w:gridCol w:w="577"/>
        <w:gridCol w:w="1533"/>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eastAsia="宋体" w:cs="宋体"/>
                <w:b/>
                <w:bCs/>
                <w:kern w:val="0"/>
                <w:sz w:val="20"/>
              </w:rPr>
            </w:pPr>
            <w:r>
              <w:rPr>
                <w:rFonts w:hint="eastAsia" w:ascii="宋体" w:hAnsi="宋体" w:cs="宋体"/>
                <w:b/>
                <w:bCs/>
                <w:kern w:val="0"/>
                <w:sz w:val="20"/>
              </w:rPr>
              <w:t>序 号</w:t>
            </w:r>
          </w:p>
        </w:tc>
        <w:tc>
          <w:tcPr>
            <w:tcW w:w="86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类别</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商品全名</w:t>
            </w:r>
          </w:p>
        </w:tc>
        <w:tc>
          <w:tcPr>
            <w:tcW w:w="110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计量单位</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年预估采购量</w:t>
            </w:r>
          </w:p>
        </w:tc>
        <w:tc>
          <w:tcPr>
            <w:tcW w:w="102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市场</w:t>
            </w:r>
          </w:p>
          <w:p>
            <w:pPr>
              <w:widowControl/>
              <w:jc w:val="center"/>
              <w:rPr>
                <w:rFonts w:ascii="宋体" w:hAnsi="宋体" w:cs="宋体"/>
                <w:b/>
                <w:bCs/>
                <w:kern w:val="0"/>
                <w:sz w:val="20"/>
              </w:rPr>
            </w:pPr>
            <w:r>
              <w:rPr>
                <w:rFonts w:hint="eastAsia" w:ascii="宋体" w:hAnsi="宋体" w:cs="宋体"/>
                <w:b/>
                <w:bCs/>
                <w:kern w:val="0"/>
                <w:sz w:val="20"/>
              </w:rPr>
              <w:t>单价</w:t>
            </w:r>
          </w:p>
        </w:tc>
        <w:tc>
          <w:tcPr>
            <w:tcW w:w="57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优惠率</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5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11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8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0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1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9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102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8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Times New Roman"/>
                <w:b/>
                <w:bCs/>
                <w:kern w:val="0"/>
                <w:szCs w:val="21"/>
              </w:rPr>
            </w:pPr>
          </w:p>
        </w:tc>
        <w:tc>
          <w:tcPr>
            <w:tcW w:w="110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9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102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8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Times New Roman"/>
                <w:b/>
                <w:bCs/>
                <w:kern w:val="0"/>
                <w:szCs w:val="21"/>
              </w:rPr>
            </w:pPr>
          </w:p>
        </w:tc>
        <w:tc>
          <w:tcPr>
            <w:tcW w:w="110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9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102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8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Times New Roman"/>
                <w:b/>
                <w:bCs/>
                <w:kern w:val="0"/>
                <w:szCs w:val="21"/>
              </w:rPr>
            </w:pPr>
          </w:p>
        </w:tc>
        <w:tc>
          <w:tcPr>
            <w:tcW w:w="110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9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102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8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Times New Roman"/>
                <w:b/>
                <w:bCs/>
                <w:kern w:val="0"/>
                <w:szCs w:val="21"/>
              </w:rPr>
            </w:pPr>
          </w:p>
        </w:tc>
        <w:tc>
          <w:tcPr>
            <w:tcW w:w="110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9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102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p>
        </w:tc>
        <w:tc>
          <w:tcPr>
            <w:tcW w:w="8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0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9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102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p>
        </w:tc>
        <w:tc>
          <w:tcPr>
            <w:tcW w:w="8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0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9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102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p>
        </w:tc>
        <w:tc>
          <w:tcPr>
            <w:tcW w:w="8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0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9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102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p>
        </w:tc>
        <w:tc>
          <w:tcPr>
            <w:tcW w:w="8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0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9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102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p>
        </w:tc>
        <w:tc>
          <w:tcPr>
            <w:tcW w:w="8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0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9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102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0"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5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0"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0"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5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trPr>
        <w:tc>
          <w:tcPr>
            <w:tcW w:w="9402"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r>
              <w:rPr>
                <w:rFonts w:hint="eastAsia" w:ascii="宋体" w:hAnsi="宋体" w:cs="宋体"/>
                <w:b/>
                <w:bCs/>
                <w:kern w:val="0"/>
                <w:sz w:val="20"/>
              </w:rPr>
              <w:t>报价</w:t>
            </w:r>
            <w:r>
              <w:rPr>
                <w:rFonts w:ascii="宋体" w:hAnsi="宋体" w:cs="宋体"/>
                <w:b/>
                <w:bCs/>
                <w:kern w:val="0"/>
                <w:sz w:val="20"/>
              </w:rPr>
              <w:t>说明：</w:t>
            </w:r>
          </w:p>
        </w:tc>
      </w:tr>
    </w:tbl>
    <w:p>
      <w:pPr>
        <w:spacing w:line="360" w:lineRule="auto"/>
        <w:jc w:val="right"/>
        <w:rPr>
          <w:rFonts w:ascii="宋体" w:hAnsi="宋体" w:cs="宋体"/>
          <w:sz w:val="22"/>
        </w:rPr>
      </w:pPr>
    </w:p>
    <w:p>
      <w:pPr>
        <w:spacing w:line="360" w:lineRule="auto"/>
        <w:jc w:val="right"/>
        <w:rPr>
          <w:rFonts w:ascii="宋体" w:hAnsi="宋体" w:cs="宋体"/>
          <w:sz w:val="22"/>
        </w:rPr>
      </w:pPr>
    </w:p>
    <w:p>
      <w:pPr>
        <w:adjustRightInd w:val="0"/>
        <w:snapToGrid w:val="0"/>
        <w:spacing w:line="360" w:lineRule="auto"/>
        <w:rPr>
          <w:rFonts w:ascii="黑体" w:hAnsi="Arial" w:eastAsia="黑体"/>
          <w:sz w:val="28"/>
          <w:szCs w:val="28"/>
        </w:rPr>
      </w:pPr>
    </w:p>
    <w:p>
      <w:pPr>
        <w:adjustRightInd w:val="0"/>
        <w:snapToGrid w:val="0"/>
        <w:spacing w:line="360" w:lineRule="auto"/>
        <w:rPr>
          <w:rFonts w:ascii="宋体" w:hAnsi="宋体"/>
          <w:b/>
          <w:szCs w:val="21"/>
        </w:rPr>
      </w:pPr>
      <w:r>
        <w:rPr>
          <w:rFonts w:hint="eastAsia" w:ascii="宋体" w:hAnsi="宋体"/>
          <w:b/>
          <w:szCs w:val="21"/>
        </w:rPr>
        <w:t>注：（1）物品名称应与招标</w:t>
      </w:r>
      <w:r>
        <w:rPr>
          <w:rFonts w:ascii="宋体" w:hAnsi="宋体"/>
          <w:b/>
          <w:szCs w:val="21"/>
        </w:rPr>
        <w:t>文件</w:t>
      </w:r>
      <w:r>
        <w:rPr>
          <w:rFonts w:hint="eastAsia" w:ascii="宋体" w:hAnsi="宋体"/>
          <w:b/>
          <w:szCs w:val="21"/>
        </w:rPr>
        <w:t>第三章 招标</w:t>
      </w:r>
      <w:r>
        <w:rPr>
          <w:rFonts w:ascii="宋体" w:hAnsi="宋体"/>
          <w:b/>
          <w:szCs w:val="21"/>
        </w:rPr>
        <w:t>内容及要求</w:t>
      </w:r>
      <w:r>
        <w:rPr>
          <w:rFonts w:hint="eastAsia" w:ascii="宋体" w:hAnsi="宋体"/>
          <w:b/>
          <w:szCs w:val="21"/>
        </w:rPr>
        <w:t>“项目清单”内容一致，</w:t>
      </w:r>
      <w:r>
        <w:rPr>
          <w:rFonts w:ascii="宋体" w:hAnsi="宋体"/>
          <w:b/>
          <w:szCs w:val="21"/>
        </w:rPr>
        <w:t>填写每项物品单价</w:t>
      </w:r>
      <w:r>
        <w:rPr>
          <w:rFonts w:hint="eastAsia" w:ascii="宋体" w:hAnsi="宋体"/>
          <w:b/>
          <w:szCs w:val="21"/>
        </w:rPr>
        <w:t>。</w:t>
      </w:r>
    </w:p>
    <w:p>
      <w:pPr>
        <w:spacing w:line="360" w:lineRule="auto"/>
        <w:ind w:firstLine="315" w:firstLineChars="150"/>
        <w:rPr>
          <w:rFonts w:ascii="宋体" w:hAnsi="宋体"/>
          <w:b/>
          <w:szCs w:val="21"/>
        </w:rPr>
      </w:pPr>
      <w:r>
        <w:rPr>
          <w:rFonts w:hint="eastAsia" w:ascii="宋体" w:hAnsi="宋体"/>
          <w:b/>
          <w:szCs w:val="21"/>
        </w:rPr>
        <w:t>（2）所有价格均用人民币（RMB）表示。如果单价与总价不符时，则以单价为准。</w:t>
      </w:r>
    </w:p>
    <w:p>
      <w:pPr>
        <w:spacing w:line="360" w:lineRule="auto"/>
        <w:ind w:firstLine="315" w:firstLineChars="150"/>
        <w:rPr>
          <w:rFonts w:ascii="宋体" w:hAnsi="宋体"/>
          <w:b/>
          <w:szCs w:val="21"/>
        </w:rPr>
      </w:pPr>
      <w:r>
        <w:rPr>
          <w:rFonts w:hint="eastAsia" w:ascii="宋体" w:hAnsi="宋体"/>
          <w:b/>
          <w:szCs w:val="21"/>
        </w:rPr>
        <w:t xml:space="preserve">（3）各细项顺序应与“项目清单”保持一致。  </w:t>
      </w:r>
    </w:p>
    <w:p>
      <w:pPr>
        <w:spacing w:line="360" w:lineRule="auto"/>
        <w:ind w:firstLine="315" w:firstLineChars="150"/>
        <w:rPr>
          <w:rFonts w:ascii="宋体" w:hAnsi="宋体"/>
          <w:b/>
          <w:szCs w:val="21"/>
        </w:rPr>
      </w:pPr>
      <w:r>
        <w:rPr>
          <w:rFonts w:hint="eastAsia" w:ascii="宋体" w:hAnsi="宋体"/>
          <w:b/>
          <w:szCs w:val="21"/>
        </w:rPr>
        <w:t>（4）报价应按报价表前言规定进行。</w:t>
      </w:r>
    </w:p>
    <w:p>
      <w:pPr>
        <w:spacing w:line="360" w:lineRule="auto"/>
        <w:ind w:firstLine="315" w:firstLineChars="150"/>
        <w:rPr>
          <w:rFonts w:ascii="宋体" w:hAnsi="宋体"/>
          <w:szCs w:val="21"/>
        </w:rPr>
      </w:pPr>
      <w:r>
        <w:rPr>
          <w:rFonts w:hint="eastAsia" w:ascii="宋体" w:hAnsi="宋体"/>
          <w:b/>
          <w:szCs w:val="21"/>
        </w:rPr>
        <w:t>（</w:t>
      </w:r>
      <w:r>
        <w:rPr>
          <w:rFonts w:ascii="宋体" w:hAnsi="宋体"/>
          <w:b/>
          <w:szCs w:val="21"/>
        </w:rPr>
        <w:t>5</w:t>
      </w:r>
      <w:r>
        <w:rPr>
          <w:rFonts w:hint="eastAsia" w:ascii="宋体" w:hAnsi="宋体"/>
          <w:b/>
          <w:szCs w:val="21"/>
        </w:rPr>
        <w:t>）报价表除标书清单外，请另提交电子版。</w:t>
      </w:r>
    </w:p>
    <w:p>
      <w:pPr>
        <w:spacing w:line="360" w:lineRule="auto"/>
        <w:rPr>
          <w:rFonts w:ascii="宋体" w:hAnsi="宋体"/>
          <w:szCs w:val="21"/>
        </w:rPr>
      </w:pPr>
    </w:p>
    <w:p>
      <w:pPr>
        <w:pStyle w:val="16"/>
        <w:spacing w:before="120" w:line="360" w:lineRule="auto"/>
        <w:ind w:firstLine="533"/>
      </w:pPr>
      <w:r>
        <w:rPr>
          <w:rFonts w:hint="eastAsia"/>
        </w:rPr>
        <w:t>投标人名称（公章）：</w:t>
      </w:r>
    </w:p>
    <w:p>
      <w:pPr>
        <w:pStyle w:val="16"/>
        <w:spacing w:before="120" w:line="360" w:lineRule="auto"/>
        <w:ind w:firstLine="533"/>
      </w:pPr>
      <w:r>
        <w:rPr>
          <w:rFonts w:hint="eastAsia"/>
        </w:rPr>
        <w:t>全权代表签字：</w:t>
      </w:r>
    </w:p>
    <w:p>
      <w:pPr>
        <w:pStyle w:val="16"/>
        <w:spacing w:before="120" w:line="360" w:lineRule="auto"/>
        <w:ind w:firstLine="533"/>
      </w:pPr>
      <w:r>
        <w:rPr>
          <w:rFonts w:hint="eastAsia"/>
        </w:rPr>
        <w:t>日期：</w:t>
      </w:r>
      <w:r>
        <w:rPr>
          <w:rFonts w:hint="eastAsia"/>
          <w:u w:val="single"/>
        </w:rPr>
        <w:t>______</w:t>
      </w:r>
      <w:r>
        <w:rPr>
          <w:rFonts w:hint="eastAsia"/>
        </w:rPr>
        <w:t>年</w:t>
      </w:r>
      <w:r>
        <w:rPr>
          <w:rFonts w:hint="eastAsia"/>
          <w:u w:val="single"/>
        </w:rPr>
        <w:t>___</w:t>
      </w:r>
      <w:r>
        <w:rPr>
          <w:rFonts w:hint="eastAsia"/>
        </w:rPr>
        <w:t>月日</w:t>
      </w:r>
      <w: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4"/>
        </w:numPr>
        <w:adjustRightInd w:val="0"/>
        <w:spacing w:before="120"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1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8"/>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9"/>
        </w:numPr>
        <w:adjustRightInd w:val="0"/>
        <w:spacing w:line="360" w:lineRule="auto"/>
        <w:ind w:right="443"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r>
        <w:rPr>
          <w:rFonts w:hint="eastAsia" w:ascii="宋体" w:hAnsi="宋体" w:cs="宋体"/>
          <w:sz w:val="22"/>
          <w:u w:val="single"/>
        </w:rPr>
        <w:t xml:space="preserve">                                                                 </w:t>
      </w:r>
    </w:p>
    <w:p>
      <w:pPr>
        <w:spacing w:line="360" w:lineRule="auto"/>
        <w:ind w:firstLine="360"/>
        <w:rPr>
          <w:rFonts w:ascii="宋体" w:hAnsi="宋体" w:cs="宋体"/>
          <w:sz w:val="22"/>
        </w:rPr>
      </w:pPr>
      <w:r>
        <w:rPr>
          <w:rFonts w:hint="eastAsia" w:ascii="宋体" w:hAnsi="宋体" w:cs="宋体"/>
          <w:sz w:val="22"/>
          <w:u w:val="single"/>
        </w:rPr>
        <w:t xml:space="preserve">                                                                 </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7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120" w:beforeLines="50" w:line="360" w:lineRule="auto"/>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20 -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4">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6">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7">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8">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9">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0">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1">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2">
    <w:nsid w:val="373246C1"/>
    <w:multiLevelType w:val="multilevel"/>
    <w:tmpl w:val="373246C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4">
    <w:nsid w:val="49366583"/>
    <w:multiLevelType w:val="multilevel"/>
    <w:tmpl w:val="49366583"/>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5">
    <w:nsid w:val="5554324B"/>
    <w:multiLevelType w:val="multilevel"/>
    <w:tmpl w:val="5554324B"/>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6">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7">
    <w:nsid w:val="5DB2AF2B"/>
    <w:multiLevelType w:val="singleLevel"/>
    <w:tmpl w:val="5DB2AF2B"/>
    <w:lvl w:ilvl="0" w:tentative="0">
      <w:start w:val="1"/>
      <w:numFmt w:val="chineseCounting"/>
      <w:suff w:val="nothing"/>
      <w:lvlText w:val="%1、"/>
      <w:lvlJc w:val="left"/>
    </w:lvl>
  </w:abstractNum>
  <w:abstractNum w:abstractNumId="18">
    <w:nsid w:val="5DE0633E"/>
    <w:multiLevelType w:val="singleLevel"/>
    <w:tmpl w:val="5DE0633E"/>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19">
    <w:nsid w:val="5DE0635F"/>
    <w:multiLevelType w:val="singleLevel"/>
    <w:tmpl w:val="5DE0635F"/>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20">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1"/>
      <w:lvlText w:val=""/>
      <w:lvlJc w:val="left"/>
      <w:pPr>
        <w:tabs>
          <w:tab w:val="left" w:pos="3780"/>
        </w:tabs>
        <w:ind w:left="3780" w:hanging="420"/>
      </w:pPr>
      <w:rPr>
        <w:rFonts w:hint="default" w:ascii="Wingdings" w:hAnsi="Wingdings"/>
      </w:rPr>
    </w:lvl>
  </w:abstractNum>
  <w:num w:numId="1">
    <w:abstractNumId w:val="13"/>
  </w:num>
  <w:num w:numId="2">
    <w:abstractNumId w:val="18"/>
  </w:num>
  <w:num w:numId="3">
    <w:abstractNumId w:val="19"/>
  </w:num>
  <w:num w:numId="4">
    <w:abstractNumId w:val="20"/>
  </w:num>
  <w:num w:numId="5">
    <w:abstractNumId w:val="12"/>
  </w:num>
  <w:num w:numId="6">
    <w:abstractNumId w:val="17"/>
  </w:num>
  <w:num w:numId="7">
    <w:abstractNumId w:val="16"/>
  </w:num>
  <w:num w:numId="8">
    <w:abstractNumId w:val="1"/>
  </w:num>
  <w:num w:numId="9">
    <w:abstractNumId w:val="11"/>
    <w:lvlOverride w:ilvl="0">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5"/>
  </w:num>
  <w:num w:numId="15">
    <w:abstractNumId w:val="7"/>
  </w:num>
  <w:num w:numId="16">
    <w:abstractNumId w:val="3"/>
  </w:num>
  <w:num w:numId="17">
    <w:abstractNumId w:val="0"/>
  </w:num>
  <w:num w:numId="18">
    <w:abstractNumId w:val="2"/>
  </w:num>
  <w:num w:numId="19">
    <w:abstractNumId w:val="9"/>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4931B0"/>
    <w:rsid w:val="779A510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6"/>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7"/>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8"/>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70"/>
    <w:semiHidden/>
    <w:qFormat/>
    <w:uiPriority w:val="0"/>
    <w:rPr>
      <w:rFonts w:ascii="Times New Roman" w:hAnsi="Times New Roman" w:eastAsia="宋体" w:cs="Times New Roman"/>
      <w:b/>
      <w:bCs/>
      <w:kern w:val="0"/>
      <w:sz w:val="20"/>
      <w:szCs w:val="24"/>
    </w:rPr>
  </w:style>
  <w:style w:type="paragraph" w:styleId="13">
    <w:name w:val="annotation text"/>
    <w:basedOn w:val="1"/>
    <w:link w:val="69"/>
    <w:unhideWhenUsed/>
    <w:qFormat/>
    <w:uiPriority w:val="99"/>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72"/>
    <w:qFormat/>
    <w:uiPriority w:val="0"/>
    <w:pPr>
      <w:ind w:firstLine="420" w:firstLineChars="100"/>
    </w:pPr>
    <w:rPr>
      <w:rFonts w:ascii="Times New Roman" w:hAnsi="Times New Roman" w:eastAsia="宋体" w:cs="Times New Roman"/>
      <w:kern w:val="0"/>
      <w:sz w:val="20"/>
      <w:szCs w:val="24"/>
    </w:rPr>
  </w:style>
  <w:style w:type="paragraph" w:styleId="16">
    <w:name w:val="Body Text"/>
    <w:basedOn w:val="1"/>
    <w:link w:val="71"/>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Cs w:val="24"/>
    </w:rPr>
  </w:style>
  <w:style w:type="paragraph" w:styleId="18">
    <w:name w:val="Normal Indent"/>
    <w:basedOn w:val="1"/>
    <w:qFormat/>
    <w:uiPriority w:val="0"/>
    <w:pPr>
      <w:ind w:firstLine="420"/>
    </w:pPr>
    <w:rPr>
      <w:rFonts w:ascii="Times New Roman" w:hAnsi="Times New Roman" w:eastAsia="宋体" w:cs="Times New Roman"/>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Cs w:val="24"/>
    </w:rPr>
  </w:style>
  <w:style w:type="paragraph" w:styleId="21">
    <w:name w:val="List Bullet"/>
    <w:basedOn w:val="1"/>
    <w:qFormat/>
    <w:uiPriority w:val="0"/>
    <w:pPr>
      <w:numPr>
        <w:ilvl w:val="0"/>
        <w:numId w:val="2"/>
      </w:numPr>
    </w:pPr>
  </w:style>
  <w:style w:type="paragraph" w:styleId="22">
    <w:name w:val="Document Map"/>
    <w:basedOn w:val="1"/>
    <w:link w:val="73"/>
    <w:qFormat/>
    <w:uiPriority w:val="0"/>
    <w:pPr>
      <w:shd w:val="clear" w:color="auto" w:fill="000080"/>
    </w:pPr>
    <w:rPr>
      <w:rFonts w:ascii="Times New Roman" w:hAnsi="Times New Roman" w:eastAsia="宋体" w:cs="Times New Roman"/>
      <w:kern w:val="0"/>
      <w:sz w:val="20"/>
      <w:szCs w:val="24"/>
    </w:rPr>
  </w:style>
  <w:style w:type="paragraph" w:styleId="23">
    <w:name w:val="Body Text 3"/>
    <w:basedOn w:val="1"/>
    <w:link w:val="7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5"/>
    <w:qFormat/>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qFormat/>
    <w:uiPriority w:val="0"/>
    <w:pPr>
      <w:spacing w:after="120"/>
      <w:ind w:left="420" w:leftChars="200"/>
    </w:pPr>
    <w:rPr>
      <w:rFonts w:ascii="Times New Roman" w:hAnsi="Times New Roman" w:eastAsia="宋体" w:cs="Times New Roman"/>
      <w:szCs w:val="24"/>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qFormat/>
    <w:uiPriority w:val="0"/>
    <w:pPr>
      <w:numPr>
        <w:ilvl w:val="0"/>
        <w:numId w:val="3"/>
      </w:numPr>
    </w:p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6"/>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7"/>
    <w:qFormat/>
    <w:uiPriority w:val="0"/>
    <w:pPr>
      <w:ind w:left="100" w:leftChars="2500"/>
    </w:pPr>
    <w:rPr>
      <w:rFonts w:ascii="Times New Roman" w:hAnsi="Times New Roman" w:eastAsia="宋体" w:cs="Times New Roman"/>
      <w:kern w:val="0"/>
      <w:sz w:val="20"/>
      <w:szCs w:val="24"/>
    </w:rPr>
  </w:style>
  <w:style w:type="paragraph" w:styleId="34">
    <w:name w:val="Body Text Indent 2"/>
    <w:basedOn w:val="1"/>
    <w:link w:val="78"/>
    <w:qFormat/>
    <w:uiPriority w:val="0"/>
    <w:pPr>
      <w:spacing w:after="120" w:line="480" w:lineRule="auto"/>
      <w:ind w:left="420" w:leftChars="200"/>
    </w:pPr>
    <w:rPr>
      <w:rFonts w:ascii="Times New Roman" w:hAnsi="Times New Roman" w:eastAsia="宋体" w:cs="Times New Roman"/>
      <w:kern w:val="0"/>
      <w:sz w:val="20"/>
      <w:szCs w:val="24"/>
    </w:rPr>
  </w:style>
  <w:style w:type="paragraph" w:styleId="35">
    <w:name w:val="Balloon Text"/>
    <w:basedOn w:val="1"/>
    <w:link w:val="79"/>
    <w:semiHidden/>
    <w:qFormat/>
    <w:uiPriority w:val="0"/>
    <w:rPr>
      <w:rFonts w:ascii="Times New Roman" w:hAnsi="Times New Roman" w:eastAsia="宋体" w:cs="Times New Roman"/>
      <w:kern w:val="0"/>
      <w:sz w:val="18"/>
      <w:szCs w:val="18"/>
    </w:rPr>
  </w:style>
  <w:style w:type="paragraph" w:styleId="36">
    <w:name w:val="footer"/>
    <w:basedOn w:val="1"/>
    <w:link w:val="80"/>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81"/>
    <w:qFormat/>
    <w:uiPriority w:val="0"/>
    <w:pPr>
      <w:spacing w:after="120"/>
      <w:ind w:left="420" w:leftChars="200" w:firstLine="420"/>
    </w:pPr>
    <w:rPr>
      <w:szCs w:val="24"/>
    </w:rPr>
  </w:style>
  <w:style w:type="paragraph" w:styleId="38">
    <w:name w:val="header"/>
    <w:basedOn w:val="1"/>
    <w:link w:val="8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Cs w:val="24"/>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Cs w:val="24"/>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qFormat/>
    <w:uiPriority w:val="0"/>
    <w:pPr>
      <w:ind w:left="1680"/>
      <w:jc w:val="left"/>
    </w:pPr>
    <w:rPr>
      <w:rFonts w:ascii="Times New Roman" w:hAnsi="Times New Roman" w:eastAsia="宋体" w:cs="Times New Roman"/>
      <w:sz w:val="20"/>
      <w:szCs w:val="20"/>
    </w:rPr>
  </w:style>
  <w:style w:type="paragraph" w:styleId="46">
    <w:name w:val="Body Text 2"/>
    <w:basedOn w:val="1"/>
    <w:link w:val="84"/>
    <w:unhideWhenUsed/>
    <w:qFormat/>
    <w:uiPriority w:val="0"/>
    <w:pPr>
      <w:spacing w:after="120" w:line="480" w:lineRule="auto"/>
    </w:pPr>
    <w:rPr>
      <w:rFonts w:ascii="Times New Roman" w:hAnsi="Times New Roman" w:eastAsia="宋体" w:cs="Times New Roman"/>
      <w:kern w:val="0"/>
      <w:sz w:val="20"/>
      <w:szCs w:val="24"/>
    </w:rPr>
  </w:style>
  <w:style w:type="paragraph" w:styleId="47">
    <w:name w:val="List 4"/>
    <w:basedOn w:val="1"/>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qFormat/>
    <w:uiPriority w:val="0"/>
    <w:pPr>
      <w:spacing w:after="120"/>
      <w:ind w:left="840" w:leftChars="400"/>
    </w:pPr>
    <w:rPr>
      <w:rFonts w:ascii="Times New Roman" w:hAnsi="Times New Roman" w:eastAsia="宋体" w:cs="Times New Roman"/>
      <w:szCs w:val="24"/>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rPr>
  </w:style>
  <w:style w:type="character" w:styleId="54">
    <w:name w:val="page number"/>
    <w:basedOn w:val="52"/>
    <w:qFormat/>
    <w:uiPriority w:val="0"/>
    <w:rPr>
      <w:rFonts w:asciiTheme="minorHAnsi" w:hAnsiTheme="minorHAnsi" w:eastAsiaTheme="minorEastAsia" w:cstheme="minorBidi"/>
    </w:rPr>
  </w:style>
  <w:style w:type="character" w:styleId="55">
    <w:name w:val="FollowedHyperlink"/>
    <w:unhideWhenUsed/>
    <w:qFormat/>
    <w:uiPriority w:val="99"/>
    <w:rPr>
      <w:rFonts w:asciiTheme="minorHAnsi" w:hAnsiTheme="minorHAnsi" w:eastAsiaTheme="minorEastAsia" w:cstheme="minorBidi"/>
      <w:color w:val="800080"/>
      <w:u w:val="single"/>
    </w:rPr>
  </w:style>
  <w:style w:type="character" w:styleId="56">
    <w:name w:val="Hyperlink"/>
    <w:qFormat/>
    <w:uiPriority w:val="99"/>
    <w:rPr>
      <w:rFonts w:asciiTheme="minorHAnsi" w:hAnsiTheme="minorHAnsi" w:eastAsiaTheme="minorEastAsia" w:cstheme="minorBidi"/>
      <w:color w:val="0000FF"/>
      <w:u w:val="single"/>
    </w:rPr>
  </w:style>
  <w:style w:type="character" w:styleId="57">
    <w:name w:val="annotation reference"/>
    <w:qFormat/>
    <w:uiPriority w:val="0"/>
    <w:rPr>
      <w:rFonts w:asciiTheme="minorHAnsi" w:hAnsiTheme="minorHAnsi" w:eastAsiaTheme="minorEastAsia" w:cstheme="minorBidi"/>
      <w:sz w:val="21"/>
      <w:szCs w:val="21"/>
    </w:rPr>
  </w:style>
  <w:style w:type="table" w:styleId="59">
    <w:name w:val="Table Grid"/>
    <w:basedOn w:val="58"/>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0">
    <w:name w:val="标题 1 字符"/>
    <w:basedOn w:val="52"/>
    <w:link w:val="2"/>
    <w:qFormat/>
    <w:uiPriority w:val="0"/>
    <w:rPr>
      <w:rFonts w:ascii="Times New Roman" w:hAnsi="Times New Roman" w:eastAsia="宋体" w:cs="Times New Roman"/>
      <w:b/>
      <w:bCs/>
      <w:kern w:val="44"/>
      <w:sz w:val="30"/>
      <w:szCs w:val="44"/>
    </w:rPr>
  </w:style>
  <w:style w:type="character" w:customStyle="1" w:styleId="61">
    <w:name w:val="标题 2 字符"/>
    <w:basedOn w:val="52"/>
    <w:link w:val="3"/>
    <w:qFormat/>
    <w:uiPriority w:val="0"/>
    <w:rPr>
      <w:rFonts w:ascii="Arial" w:hAnsi="Arial" w:eastAsia="宋体" w:cs="Times New Roman"/>
      <w:b/>
      <w:bCs/>
      <w:kern w:val="0"/>
      <w:sz w:val="28"/>
      <w:szCs w:val="32"/>
    </w:rPr>
  </w:style>
  <w:style w:type="character" w:customStyle="1" w:styleId="62">
    <w:name w:val="标题 3 字符"/>
    <w:basedOn w:val="52"/>
    <w:link w:val="4"/>
    <w:qFormat/>
    <w:uiPriority w:val="0"/>
    <w:rPr>
      <w:rFonts w:ascii="宋体" w:hAnsi="Times New Roman" w:eastAsia="宋体" w:cs="Times New Roman"/>
      <w:b/>
      <w:kern w:val="0"/>
      <w:sz w:val="28"/>
      <w:szCs w:val="20"/>
    </w:rPr>
  </w:style>
  <w:style w:type="character" w:customStyle="1" w:styleId="63">
    <w:name w:val="标题 4 字符"/>
    <w:basedOn w:val="52"/>
    <w:link w:val="5"/>
    <w:qFormat/>
    <w:uiPriority w:val="0"/>
    <w:rPr>
      <w:rFonts w:ascii="Arial" w:hAnsi="Arial" w:eastAsia="黑体" w:cs="Times New Roman"/>
      <w:b/>
      <w:bCs/>
      <w:kern w:val="0"/>
      <w:sz w:val="28"/>
      <w:szCs w:val="28"/>
    </w:rPr>
  </w:style>
  <w:style w:type="character" w:customStyle="1" w:styleId="64">
    <w:name w:val="标题 5 字符"/>
    <w:basedOn w:val="52"/>
    <w:link w:val="6"/>
    <w:qFormat/>
    <w:uiPriority w:val="0"/>
    <w:rPr>
      <w:rFonts w:ascii="Times New Roman" w:hAnsi="Times New Roman" w:eastAsia="宋体" w:cs="Times New Roman"/>
      <w:b/>
      <w:bCs/>
      <w:kern w:val="0"/>
      <w:sz w:val="28"/>
      <w:szCs w:val="28"/>
    </w:rPr>
  </w:style>
  <w:style w:type="character" w:customStyle="1" w:styleId="65">
    <w:name w:val="标题 6 字符"/>
    <w:basedOn w:val="52"/>
    <w:link w:val="7"/>
    <w:qFormat/>
    <w:uiPriority w:val="0"/>
    <w:rPr>
      <w:rFonts w:ascii="Arial" w:hAnsi="Arial" w:eastAsia="黑体" w:cs="Times New Roman"/>
      <w:b/>
      <w:bCs/>
      <w:kern w:val="0"/>
      <w:sz w:val="24"/>
      <w:szCs w:val="24"/>
    </w:rPr>
  </w:style>
  <w:style w:type="character" w:customStyle="1" w:styleId="66">
    <w:name w:val="标题 7 字符"/>
    <w:basedOn w:val="52"/>
    <w:link w:val="8"/>
    <w:qFormat/>
    <w:uiPriority w:val="0"/>
    <w:rPr>
      <w:rFonts w:ascii="Times New Roman" w:hAnsi="Times New Roman" w:eastAsia="宋体" w:cs="Times New Roman"/>
      <w:b/>
      <w:bCs/>
      <w:kern w:val="0"/>
      <w:sz w:val="24"/>
      <w:szCs w:val="24"/>
    </w:rPr>
  </w:style>
  <w:style w:type="character" w:customStyle="1" w:styleId="67">
    <w:name w:val="标题 8 字符"/>
    <w:basedOn w:val="52"/>
    <w:link w:val="9"/>
    <w:qFormat/>
    <w:uiPriority w:val="0"/>
    <w:rPr>
      <w:rFonts w:ascii="Arial" w:hAnsi="Arial" w:eastAsia="黑体" w:cs="Times New Roman"/>
      <w:kern w:val="0"/>
      <w:sz w:val="24"/>
      <w:szCs w:val="24"/>
    </w:rPr>
  </w:style>
  <w:style w:type="character" w:customStyle="1" w:styleId="68">
    <w:name w:val="标题 9 字符"/>
    <w:basedOn w:val="52"/>
    <w:link w:val="10"/>
    <w:qFormat/>
    <w:uiPriority w:val="0"/>
    <w:rPr>
      <w:rFonts w:ascii="Arial" w:hAnsi="Arial" w:eastAsia="黑体" w:cs="Times New Roman"/>
      <w:kern w:val="0"/>
      <w:sz w:val="20"/>
      <w:szCs w:val="21"/>
    </w:rPr>
  </w:style>
  <w:style w:type="character" w:customStyle="1" w:styleId="69">
    <w:name w:val="批注文字 字符"/>
    <w:basedOn w:val="52"/>
    <w:link w:val="13"/>
    <w:semiHidden/>
    <w:qFormat/>
    <w:uiPriority w:val="99"/>
    <w:rPr>
      <w:rFonts w:asciiTheme="minorHAnsi" w:hAnsiTheme="minorHAnsi" w:eastAsiaTheme="minorEastAsia" w:cstheme="minorBidi"/>
    </w:rPr>
  </w:style>
  <w:style w:type="character" w:customStyle="1" w:styleId="70">
    <w:name w:val="批注主题 字符"/>
    <w:basedOn w:val="69"/>
    <w:link w:val="12"/>
    <w:semiHidden/>
    <w:qFormat/>
    <w:uiPriority w:val="0"/>
    <w:rPr>
      <w:rFonts w:ascii="Times New Roman" w:hAnsi="Times New Roman" w:eastAsia="宋体" w:cs="Times New Roman"/>
      <w:b/>
      <w:bCs/>
      <w:kern w:val="0"/>
      <w:sz w:val="20"/>
      <w:szCs w:val="24"/>
    </w:rPr>
  </w:style>
  <w:style w:type="character" w:customStyle="1" w:styleId="71">
    <w:name w:val="正文文本 字符"/>
    <w:basedOn w:val="52"/>
    <w:link w:val="16"/>
    <w:semiHidden/>
    <w:qFormat/>
    <w:uiPriority w:val="99"/>
    <w:rPr>
      <w:rFonts w:asciiTheme="minorHAnsi" w:hAnsiTheme="minorHAnsi" w:eastAsiaTheme="minorEastAsia" w:cstheme="minorBidi"/>
    </w:rPr>
  </w:style>
  <w:style w:type="character" w:customStyle="1" w:styleId="72">
    <w:name w:val="正文首行缩进 字符"/>
    <w:basedOn w:val="71"/>
    <w:link w:val="15"/>
    <w:qFormat/>
    <w:uiPriority w:val="0"/>
    <w:rPr>
      <w:rFonts w:ascii="Times New Roman" w:hAnsi="Times New Roman" w:eastAsia="宋体" w:cs="Times New Roman"/>
      <w:kern w:val="0"/>
      <w:sz w:val="20"/>
      <w:szCs w:val="24"/>
    </w:rPr>
  </w:style>
  <w:style w:type="character" w:customStyle="1" w:styleId="73">
    <w:name w:val="文档结构图 字符"/>
    <w:basedOn w:val="52"/>
    <w:link w:val="22"/>
    <w:qFormat/>
    <w:uiPriority w:val="0"/>
    <w:rPr>
      <w:rFonts w:ascii="Times New Roman" w:hAnsi="Times New Roman" w:eastAsia="宋体" w:cs="Times New Roman"/>
      <w:kern w:val="0"/>
      <w:sz w:val="20"/>
      <w:szCs w:val="24"/>
    </w:rPr>
  </w:style>
  <w:style w:type="character" w:customStyle="1" w:styleId="74">
    <w:name w:val="正文文本 3 字符"/>
    <w:basedOn w:val="52"/>
    <w:link w:val="23"/>
    <w:qFormat/>
    <w:uiPriority w:val="0"/>
    <w:rPr>
      <w:rFonts w:ascii="Times New Roman" w:hAnsi="Times New Roman" w:eastAsia="宋体" w:cs="Times New Roman"/>
      <w:kern w:val="0"/>
      <w:sz w:val="16"/>
      <w:szCs w:val="16"/>
    </w:rPr>
  </w:style>
  <w:style w:type="character" w:customStyle="1" w:styleId="75">
    <w:name w:val="正文文本缩进 字符"/>
    <w:basedOn w:val="52"/>
    <w:link w:val="24"/>
    <w:qFormat/>
    <w:uiPriority w:val="0"/>
    <w:rPr>
      <w:rFonts w:ascii="宋体" w:hAnsi="宋体" w:eastAsia="宋体" w:cs="Times New Roman"/>
      <w:kern w:val="0"/>
      <w:sz w:val="28"/>
      <w:szCs w:val="28"/>
    </w:rPr>
  </w:style>
  <w:style w:type="character" w:customStyle="1" w:styleId="76">
    <w:name w:val="纯文本 字符"/>
    <w:basedOn w:val="52"/>
    <w:link w:val="31"/>
    <w:qFormat/>
    <w:uiPriority w:val="0"/>
    <w:rPr>
      <w:rFonts w:ascii="宋体" w:hAnsi="Courier New" w:eastAsia="宋体" w:cs="Times New Roman"/>
      <w:kern w:val="0"/>
      <w:sz w:val="20"/>
      <w:szCs w:val="21"/>
    </w:rPr>
  </w:style>
  <w:style w:type="character" w:customStyle="1" w:styleId="77">
    <w:name w:val="日期 字符"/>
    <w:basedOn w:val="52"/>
    <w:link w:val="33"/>
    <w:qFormat/>
    <w:uiPriority w:val="0"/>
    <w:rPr>
      <w:rFonts w:ascii="Times New Roman" w:hAnsi="Times New Roman" w:eastAsia="宋体" w:cs="Times New Roman"/>
      <w:kern w:val="0"/>
      <w:sz w:val="20"/>
      <w:szCs w:val="24"/>
    </w:rPr>
  </w:style>
  <w:style w:type="character" w:customStyle="1" w:styleId="78">
    <w:name w:val="正文文本缩进 2 字符"/>
    <w:basedOn w:val="52"/>
    <w:link w:val="34"/>
    <w:qFormat/>
    <w:uiPriority w:val="0"/>
    <w:rPr>
      <w:rFonts w:ascii="Times New Roman" w:hAnsi="Times New Roman" w:eastAsia="宋体" w:cs="Times New Roman"/>
      <w:kern w:val="0"/>
      <w:sz w:val="20"/>
      <w:szCs w:val="24"/>
    </w:rPr>
  </w:style>
  <w:style w:type="character" w:customStyle="1" w:styleId="79">
    <w:name w:val="批注框文本 字符"/>
    <w:basedOn w:val="52"/>
    <w:link w:val="35"/>
    <w:semiHidden/>
    <w:qFormat/>
    <w:uiPriority w:val="0"/>
    <w:rPr>
      <w:rFonts w:ascii="Times New Roman" w:hAnsi="Times New Roman" w:eastAsia="宋体" w:cs="Times New Roman"/>
      <w:kern w:val="0"/>
      <w:sz w:val="18"/>
      <w:szCs w:val="18"/>
    </w:rPr>
  </w:style>
  <w:style w:type="character" w:customStyle="1" w:styleId="80">
    <w:name w:val="页脚 字符"/>
    <w:basedOn w:val="52"/>
    <w:link w:val="36"/>
    <w:qFormat/>
    <w:uiPriority w:val="99"/>
    <w:rPr>
      <w:rFonts w:ascii="Times New Roman" w:hAnsi="Times New Roman" w:eastAsia="宋体" w:cs="Times New Roman"/>
      <w:kern w:val="0"/>
      <w:sz w:val="18"/>
      <w:szCs w:val="20"/>
    </w:rPr>
  </w:style>
  <w:style w:type="character" w:customStyle="1" w:styleId="81">
    <w:name w:val="正文首行缩进 2 字符"/>
    <w:basedOn w:val="75"/>
    <w:link w:val="37"/>
    <w:qFormat/>
    <w:uiPriority w:val="0"/>
    <w:rPr>
      <w:szCs w:val="24"/>
    </w:rPr>
  </w:style>
  <w:style w:type="character" w:customStyle="1" w:styleId="82">
    <w:name w:val="页眉 字符"/>
    <w:basedOn w:val="52"/>
    <w:link w:val="38"/>
    <w:qFormat/>
    <w:uiPriority w:val="0"/>
    <w:rPr>
      <w:rFonts w:ascii="Times New Roman" w:hAnsi="Times New Roman" w:eastAsia="宋体" w:cs="Times New Roman"/>
      <w:kern w:val="0"/>
      <w:sz w:val="18"/>
      <w:szCs w:val="20"/>
    </w:rPr>
  </w:style>
  <w:style w:type="character" w:customStyle="1" w:styleId="83">
    <w:name w:val="正文文本缩进 3 字符"/>
    <w:basedOn w:val="52"/>
    <w:link w:val="43"/>
    <w:qFormat/>
    <w:uiPriority w:val="0"/>
    <w:rPr>
      <w:rFonts w:ascii="Times New Roman" w:hAnsi="Times New Roman" w:eastAsia="宋体" w:cs="Times New Roman"/>
      <w:kern w:val="0"/>
      <w:sz w:val="16"/>
      <w:szCs w:val="16"/>
    </w:rPr>
  </w:style>
  <w:style w:type="character" w:customStyle="1" w:styleId="84">
    <w:name w:val="正文文本 2 字符"/>
    <w:basedOn w:val="52"/>
    <w:link w:val="46"/>
    <w:qFormat/>
    <w:uiPriority w:val="0"/>
    <w:rPr>
      <w:rFonts w:ascii="Times New Roman" w:hAnsi="Times New Roman" w:eastAsia="宋体" w:cs="Times New Roman"/>
      <w:kern w:val="0"/>
      <w:sz w:val="20"/>
      <w:szCs w:val="24"/>
    </w:rPr>
  </w:style>
  <w:style w:type="character" w:customStyle="1" w:styleId="85">
    <w:name w:val="标题 字符"/>
    <w:basedOn w:val="52"/>
    <w:link w:val="51"/>
    <w:qFormat/>
    <w:uiPriority w:val="0"/>
    <w:rPr>
      <w:rFonts w:ascii="Cambria" w:hAnsi="Cambria" w:eastAsia="黑体" w:cs="Times New Roman"/>
      <w:b/>
      <w:bCs/>
      <w:kern w:val="0"/>
      <w:sz w:val="32"/>
      <w:szCs w:val="32"/>
    </w:rPr>
  </w:style>
  <w:style w:type="character" w:customStyle="1" w:styleId="86">
    <w:name w:val="font51"/>
    <w:qFormat/>
    <w:uiPriority w:val="0"/>
    <w:rPr>
      <w:rFonts w:hint="default" w:ascii="Times New Roman" w:hAnsi="Times New Roman" w:cs="Times New Roman" w:eastAsiaTheme="minorEastAsia"/>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注释文本字符"/>
    <w:semiHidden/>
    <w:qFormat/>
    <w:uiPriority w:val="0"/>
    <w:rPr>
      <w:rFonts w:ascii="Times New Roman" w:hAnsi="Times New Roman" w:eastAsia="宋体" w:cs="Times New Roman"/>
      <w:kern w:val="0"/>
      <w:sz w:val="20"/>
      <w:szCs w:val="24"/>
    </w:rPr>
  </w:style>
  <w:style w:type="character" w:customStyle="1" w:styleId="89">
    <w:name w:val="Char Char3"/>
    <w:uiPriority w:val="0"/>
    <w:rPr>
      <w:rFonts w:eastAsia="宋体" w:asciiTheme="minorHAnsi" w:hAnsiTheme="minorHAnsi" w:cstheme="minorBidi"/>
      <w:kern w:val="2"/>
      <w:sz w:val="18"/>
      <w:szCs w:val="18"/>
      <w:lang w:val="en-US" w:eastAsia="zh-CN" w:bidi="ar-SA"/>
    </w:rPr>
  </w:style>
  <w:style w:type="character" w:customStyle="1" w:styleId="90">
    <w:name w:val="font61"/>
    <w:qFormat/>
    <w:uiPriority w:val="0"/>
    <w:rPr>
      <w:rFonts w:hint="default" w:ascii="Times New Roman" w:hAnsi="Times New Roman" w:cs="Times New Roman" w:eastAsiaTheme="minorEastAsia"/>
      <w:color w:val="000000"/>
      <w:sz w:val="24"/>
      <w:szCs w:val="24"/>
      <w:u w:val="none"/>
    </w:rPr>
  </w:style>
  <w:style w:type="character" w:customStyle="1" w:styleId="91">
    <w:name w:val="font21"/>
    <w:qFormat/>
    <w:uiPriority w:val="0"/>
    <w:rPr>
      <w:rFonts w:hint="default" w:ascii="Times New Roman" w:hAnsi="Times New Roman" w:cs="Times New Roman" w:eastAsiaTheme="minorEastAsia"/>
      <w:color w:val="000000"/>
      <w:sz w:val="24"/>
      <w:szCs w:val="24"/>
      <w:u w:val="none"/>
      <w:vertAlign w:val="superscript"/>
    </w:rPr>
  </w:style>
  <w:style w:type="character" w:customStyle="1" w:styleId="92">
    <w:name w:val="font71"/>
    <w:qFormat/>
    <w:uiPriority w:val="0"/>
    <w:rPr>
      <w:rFonts w:hint="eastAsia" w:ascii="宋体" w:hAnsi="宋体" w:eastAsia="宋体" w:cs="宋体"/>
      <w:color w:val="000000"/>
      <w:sz w:val="24"/>
      <w:szCs w:val="24"/>
      <w:u w:val="none"/>
    </w:rPr>
  </w:style>
  <w:style w:type="character" w:customStyle="1" w:styleId="93">
    <w:name w:val="zbggmain style9"/>
    <w:basedOn w:val="52"/>
    <w:qFormat/>
    <w:uiPriority w:val="0"/>
    <w:rPr>
      <w:rFonts w:asciiTheme="minorHAnsi" w:hAnsiTheme="minorHAnsi" w:eastAsiaTheme="minorEastAsia" w:cstheme="minorBidi"/>
    </w:rPr>
  </w:style>
  <w:style w:type="character" w:customStyle="1" w:styleId="94">
    <w:name w:val="px1233"/>
    <w:basedOn w:val="52"/>
    <w:qFormat/>
    <w:uiPriority w:val="0"/>
    <w:rPr>
      <w:rFonts w:asciiTheme="minorHAnsi" w:hAnsiTheme="minorHAnsi" w:eastAsiaTheme="minorEastAsia" w:cstheme="minorBidi"/>
    </w:rPr>
  </w:style>
  <w:style w:type="character" w:customStyle="1" w:styleId="95">
    <w:name w:val="font11"/>
    <w:qFormat/>
    <w:uiPriority w:val="0"/>
    <w:rPr>
      <w:rFonts w:hint="default" w:ascii="Times New Roman" w:hAnsi="Times New Roman" w:cs="Times New Roman" w:eastAsiaTheme="minorEastAsia"/>
      <w:color w:val="000000"/>
      <w:sz w:val="21"/>
      <w:szCs w:val="21"/>
      <w:u w:val="none"/>
    </w:rPr>
  </w:style>
  <w:style w:type="character" w:customStyle="1" w:styleId="96">
    <w:name w:val="font41"/>
    <w:qFormat/>
    <w:uiPriority w:val="0"/>
    <w:rPr>
      <w:rFonts w:hint="eastAsia" w:ascii="宋体" w:hAnsi="宋体" w:eastAsia="宋体" w:cs="宋体"/>
      <w:b/>
      <w:color w:val="000000"/>
      <w:sz w:val="24"/>
      <w:szCs w:val="24"/>
      <w:u w:val="none"/>
    </w:rPr>
  </w:style>
  <w:style w:type="character" w:customStyle="1" w:styleId="97">
    <w:name w:val="正文文本字符"/>
    <w:qFormat/>
    <w:uiPriority w:val="0"/>
    <w:rPr>
      <w:rFonts w:ascii="Times New Roman" w:hAnsi="Times New Roman" w:eastAsia="宋体" w:cs="Times New Roman"/>
      <w:kern w:val="0"/>
      <w:sz w:val="20"/>
      <w:szCs w:val="24"/>
    </w:rPr>
  </w:style>
  <w:style w:type="character" w:customStyle="1" w:styleId="98">
    <w:name w:val="Char Char2"/>
    <w:qFormat/>
    <w:uiPriority w:val="0"/>
    <w:rPr>
      <w:rFonts w:eastAsia="宋体" w:asciiTheme="minorHAnsi" w:hAnsiTheme="minorHAnsi" w:cstheme="minorBidi"/>
      <w:kern w:val="2"/>
      <w:sz w:val="18"/>
      <w:szCs w:val="18"/>
      <w:lang w:val="en-US" w:eastAsia="zh-CN" w:bidi="ar-SA"/>
    </w:rPr>
  </w:style>
  <w:style w:type="character" w:customStyle="1" w:styleId="99">
    <w:name w:val="font01"/>
    <w:qFormat/>
    <w:uiPriority w:val="0"/>
    <w:rPr>
      <w:rFonts w:hint="eastAsia" w:ascii="宋体" w:hAnsi="宋体" w:eastAsia="宋体" w:cs="宋体"/>
      <w:color w:val="000000"/>
      <w:sz w:val="21"/>
      <w:szCs w:val="21"/>
      <w:u w:val="none"/>
    </w:rPr>
  </w:style>
  <w:style w:type="paragraph" w:customStyle="1" w:styleId="100">
    <w:name w:val="样式1"/>
    <w:basedOn w:val="5"/>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character" w:customStyle="1" w:styleId="103">
    <w:name w:val="批注框文本字符1"/>
    <w:basedOn w:val="52"/>
    <w:semiHidden/>
    <w:qFormat/>
    <w:uiPriority w:val="99"/>
    <w:rPr>
      <w:rFonts w:ascii="Heiti SC Light" w:eastAsia="Heiti SC Light" w:hAnsiTheme="minorHAnsi" w:cstheme="minorBidi"/>
      <w:sz w:val="18"/>
      <w:szCs w:val="18"/>
    </w:rPr>
  </w:style>
  <w:style w:type="character" w:customStyle="1" w:styleId="104">
    <w:name w:val="日期字符1"/>
    <w:basedOn w:val="52"/>
    <w:semiHidden/>
    <w:qFormat/>
    <w:uiPriority w:val="99"/>
    <w:rPr>
      <w:rFonts w:asciiTheme="minorHAnsi" w:hAnsiTheme="minorHAnsi" w:eastAsiaTheme="minorEastAsia" w:cstheme="minorBidi"/>
    </w:rPr>
  </w:style>
  <w:style w:type="character" w:customStyle="1" w:styleId="105">
    <w:name w:val="纯文本字符1"/>
    <w:basedOn w:val="52"/>
    <w:semiHidden/>
    <w:qFormat/>
    <w:uiPriority w:val="99"/>
    <w:rPr>
      <w:rFonts w:ascii="宋体" w:hAnsi="Courier" w:eastAsia="宋体" w:cstheme="minorBidi"/>
    </w:rPr>
  </w:style>
  <w:style w:type="character" w:customStyle="1" w:styleId="106">
    <w:name w:val="批注主题字符1"/>
    <w:basedOn w:val="69"/>
    <w:semiHidden/>
    <w:qFormat/>
    <w:uiPriority w:val="99"/>
    <w:rPr>
      <w:b/>
      <w:bCs/>
    </w:rPr>
  </w:style>
  <w:style w:type="paragraph" w:customStyle="1" w:styleId="107">
    <w:name w:val="Char Char Char Char"/>
    <w:basedOn w:val="1"/>
    <w:qFormat/>
    <w:uiPriority w:val="0"/>
    <w:rPr>
      <w:rFonts w:ascii="Times New Roman" w:hAnsi="Times New Roman" w:eastAsia="宋体" w:cs="Times New Roman"/>
      <w:szCs w:val="24"/>
    </w:rPr>
  </w:style>
  <w:style w:type="character" w:customStyle="1" w:styleId="108">
    <w:name w:val="正文首行缩进字符1"/>
    <w:basedOn w:val="71"/>
    <w:semiHidden/>
    <w:qFormat/>
    <w:uiPriority w:val="99"/>
  </w:style>
  <w:style w:type="character" w:customStyle="1" w:styleId="109">
    <w:name w:val="正文文本缩进 3字符1"/>
    <w:basedOn w:val="52"/>
    <w:semiHidden/>
    <w:qFormat/>
    <w:uiPriority w:val="99"/>
    <w:rPr>
      <w:rFonts w:asciiTheme="minorHAnsi" w:hAnsiTheme="minorHAnsi" w:eastAsiaTheme="minorEastAsia" w:cstheme="minorBidi"/>
      <w:sz w:val="16"/>
      <w:szCs w:val="16"/>
    </w:rPr>
  </w:style>
  <w:style w:type="paragraph" w:customStyle="1" w:styleId="110">
    <w:name w:val="p0"/>
    <w:basedOn w:val="1"/>
    <w:qFormat/>
    <w:uiPriority w:val="0"/>
    <w:pPr>
      <w:widowControl/>
    </w:pPr>
    <w:rPr>
      <w:rFonts w:ascii="Times New Roman" w:hAnsi="Times New Roman" w:eastAsia="宋体" w:cs="Times New Roman"/>
      <w:kern w:val="0"/>
      <w:szCs w:val="21"/>
    </w:rPr>
  </w:style>
  <w:style w:type="character" w:customStyle="1" w:styleId="111">
    <w:name w:val="文档结构图 字符1"/>
    <w:basedOn w:val="52"/>
    <w:semiHidden/>
    <w:qFormat/>
    <w:uiPriority w:val="99"/>
    <w:rPr>
      <w:rFonts w:ascii="Heiti SC Light" w:eastAsia="Heiti SC Light" w:hAnsiTheme="minorHAnsi" w:cstheme="minorBidi"/>
    </w:rPr>
  </w:style>
  <w:style w:type="character" w:customStyle="1" w:styleId="112">
    <w:name w:val="正文文本 3字符1"/>
    <w:basedOn w:val="52"/>
    <w:semiHidden/>
    <w:qFormat/>
    <w:uiPriority w:val="99"/>
    <w:rPr>
      <w:rFonts w:asciiTheme="minorHAnsi" w:hAnsiTheme="minorHAnsi" w:eastAsiaTheme="minorEastAsia" w:cstheme="minorBidi"/>
      <w:sz w:val="16"/>
      <w:szCs w:val="16"/>
    </w:rPr>
  </w:style>
  <w:style w:type="character" w:customStyle="1" w:styleId="113">
    <w:name w:val="正文文本缩进字符1"/>
    <w:basedOn w:val="52"/>
    <w:semiHidden/>
    <w:qFormat/>
    <w:uiPriority w:val="99"/>
    <w:rPr>
      <w:rFonts w:asciiTheme="minorHAnsi" w:hAnsiTheme="minorHAnsi" w:eastAsiaTheme="minorEastAsia" w:cstheme="minorBidi"/>
    </w:rPr>
  </w:style>
  <w:style w:type="character" w:customStyle="1" w:styleId="114">
    <w:name w:val="正文文本缩进 2字符1"/>
    <w:basedOn w:val="52"/>
    <w:semiHidden/>
    <w:qFormat/>
    <w:uiPriority w:val="99"/>
    <w:rPr>
      <w:rFonts w:asciiTheme="minorHAnsi" w:hAnsiTheme="minorHAnsi" w:eastAsiaTheme="minorEastAsia" w:cstheme="minorBidi"/>
    </w:rPr>
  </w:style>
  <w:style w:type="paragraph" w:customStyle="1" w:styleId="115">
    <w:name w:val="Legal 3"/>
    <w:basedOn w:val="116"/>
    <w:next w:val="116"/>
    <w:uiPriority w:val="0"/>
    <w:pPr>
      <w:spacing w:after="120"/>
    </w:pPr>
    <w:rPr>
      <w:rFonts w:cs="Times New Roman"/>
      <w:color w:val="auto"/>
    </w:rPr>
  </w:style>
  <w:style w:type="paragraph" w:customStyle="1" w:styleId="116">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17">
    <w:name w:val="页脚字符1"/>
    <w:basedOn w:val="52"/>
    <w:semiHidden/>
    <w:qFormat/>
    <w:uiPriority w:val="99"/>
    <w:rPr>
      <w:rFonts w:asciiTheme="minorHAnsi" w:hAnsiTheme="minorHAnsi" w:eastAsiaTheme="minorEastAsia" w:cstheme="minorBidi"/>
      <w:sz w:val="18"/>
      <w:szCs w:val="18"/>
    </w:rPr>
  </w:style>
  <w:style w:type="character" w:customStyle="1" w:styleId="118">
    <w:name w:val="正文首行缩进 2字符1"/>
    <w:basedOn w:val="113"/>
    <w:semiHidden/>
    <w:qFormat/>
    <w:uiPriority w:val="99"/>
  </w:style>
  <w:style w:type="character" w:customStyle="1" w:styleId="119">
    <w:name w:val="页眉字符1"/>
    <w:basedOn w:val="52"/>
    <w:semiHidden/>
    <w:uiPriority w:val="99"/>
    <w:rPr>
      <w:rFonts w:asciiTheme="minorHAnsi" w:hAnsiTheme="minorHAnsi" w:eastAsiaTheme="minorEastAsia" w:cstheme="minorBidi"/>
      <w:sz w:val="18"/>
      <w:szCs w:val="18"/>
    </w:rPr>
  </w:style>
  <w:style w:type="character" w:customStyle="1" w:styleId="120">
    <w:name w:val="正文文本 2字符1"/>
    <w:basedOn w:val="52"/>
    <w:semiHidden/>
    <w:qFormat/>
    <w:uiPriority w:val="99"/>
    <w:rPr>
      <w:rFonts w:asciiTheme="minorHAnsi" w:hAnsiTheme="minorHAnsi" w:eastAsiaTheme="minorEastAsia" w:cstheme="minorBidi"/>
    </w:rPr>
  </w:style>
  <w:style w:type="character" w:customStyle="1" w:styleId="121">
    <w:name w:val="标题字符1"/>
    <w:basedOn w:val="52"/>
    <w:qFormat/>
    <w:uiPriority w:val="10"/>
    <w:rPr>
      <w:rFonts w:eastAsia="宋体" w:asciiTheme="majorHAnsi" w:hAnsiTheme="majorHAnsi" w:cstheme="majorBidi"/>
      <w:b/>
      <w:bCs/>
      <w:sz w:val="32"/>
      <w:szCs w:val="32"/>
    </w:rPr>
  </w:style>
  <w:style w:type="paragraph" w:customStyle="1" w:styleId="122">
    <w:name w:val="列出段落1"/>
    <w:basedOn w:val="1"/>
    <w:unhideWhenUsed/>
    <w:qFormat/>
    <w:uiPriority w:val="99"/>
    <w:pPr>
      <w:ind w:firstLine="420" w:firstLineChars="200"/>
    </w:pPr>
    <w:rPr>
      <w:rFonts w:ascii="Calibri" w:hAnsi="Calibri" w:eastAsia="宋体" w:cs="Times New Roman"/>
    </w:rPr>
  </w:style>
  <w:style w:type="paragraph" w:customStyle="1" w:styleId="123">
    <w:name w:val="图表标题"/>
    <w:basedOn w:val="1"/>
    <w:next w:val="16"/>
    <w:qFormat/>
    <w:uiPriority w:val="0"/>
    <w:rPr>
      <w:rFonts w:ascii="Times New Roman" w:hAnsi="Times New Roman" w:eastAsia="宋体" w:cs="Times New Roman"/>
      <w:sz w:val="30"/>
      <w:szCs w:val="20"/>
    </w:rPr>
  </w:style>
  <w:style w:type="paragraph" w:customStyle="1" w:styleId="124">
    <w:name w:val="样式 正文文本"/>
    <w:basedOn w:val="1"/>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25">
    <w:name w:val="Char"/>
    <w:basedOn w:val="1"/>
    <w:qFormat/>
    <w:uiPriority w:val="0"/>
    <w:rPr>
      <w:rFonts w:ascii="仿宋_GB2312" w:hAnsi="Times New Roman" w:eastAsia="仿宋_GB2312" w:cs="Times New Roman"/>
      <w:b/>
      <w:sz w:val="32"/>
      <w:szCs w:val="32"/>
    </w:rPr>
  </w:style>
  <w:style w:type="paragraph" w:customStyle="1" w:styleId="126">
    <w:name w:val="Char4 Char Char Char"/>
    <w:basedOn w:val="22"/>
    <w:uiPriority w:val="0"/>
    <w:rPr>
      <w:rFonts w:ascii="Tahoma" w:hAnsi="Tahoma"/>
      <w:sz w:val="24"/>
    </w:rPr>
  </w:style>
  <w:style w:type="paragraph" w:customStyle="1" w:styleId="127">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28">
    <w:name w:val="Char Char Char"/>
    <w:basedOn w:val="1"/>
    <w:qFormat/>
    <w:uiPriority w:val="0"/>
    <w:pPr>
      <w:ind w:firstLine="360" w:firstLineChars="150"/>
    </w:pPr>
    <w:rPr>
      <w:rFonts w:ascii="Tahoma" w:hAnsi="Tahoma" w:eastAsia="宋体" w:cs="Times New Roman"/>
      <w:sz w:val="24"/>
      <w:szCs w:val="20"/>
    </w:rPr>
  </w:style>
  <w:style w:type="paragraph" w:customStyle="1" w:styleId="129">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30">
    <w:name w:val="legal 2"/>
    <w:basedOn w:val="116"/>
    <w:next w:val="116"/>
    <w:qFormat/>
    <w:uiPriority w:val="0"/>
    <w:pPr>
      <w:spacing w:after="120"/>
    </w:pPr>
    <w:rPr>
      <w:rFonts w:cs="Times New Roman"/>
      <w:color w:val="auto"/>
    </w:rPr>
  </w:style>
  <w:style w:type="paragraph" w:customStyle="1" w:styleId="131">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2">
    <w:name w:val="Legal 5"/>
    <w:basedOn w:val="116"/>
    <w:next w:val="116"/>
    <w:qFormat/>
    <w:uiPriority w:val="0"/>
    <w:pPr>
      <w:spacing w:after="120"/>
    </w:pPr>
    <w:rPr>
      <w:rFonts w:cs="Times New Roman"/>
      <w:color w:val="auto"/>
    </w:rPr>
  </w:style>
  <w:style w:type="paragraph" w:customStyle="1" w:styleId="13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Legal 4"/>
    <w:basedOn w:val="116"/>
    <w:next w:val="116"/>
    <w:qFormat/>
    <w:uiPriority w:val="0"/>
    <w:pPr>
      <w:spacing w:after="120"/>
    </w:pPr>
    <w:rPr>
      <w:rFonts w:cs="Times New Roman"/>
      <w:color w:val="auto"/>
    </w:rPr>
  </w:style>
  <w:style w:type="paragraph" w:customStyle="1" w:styleId="135">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7">
    <w:name w:val="1"/>
    <w:basedOn w:val="1"/>
    <w:qFormat/>
    <w:uiPriority w:val="0"/>
    <w:rPr>
      <w:rFonts w:ascii="仿宋_GB2312" w:hAnsi="Times New Roman" w:eastAsia="仿宋_GB2312" w:cs="Times New Roman"/>
      <w:b/>
      <w:sz w:val="32"/>
      <w:szCs w:val="32"/>
    </w:rPr>
  </w:style>
  <w:style w:type="paragraph" w:customStyle="1" w:styleId="13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p16"/>
    <w:basedOn w:val="1"/>
    <w:qFormat/>
    <w:uiPriority w:val="0"/>
    <w:pPr>
      <w:widowControl/>
      <w:spacing w:line="360" w:lineRule="auto"/>
      <w:ind w:left="-2" w:firstLine="2"/>
      <w:jc w:val="left"/>
    </w:pPr>
    <w:rPr>
      <w:rFonts w:ascii="宋体" w:hAnsi="宋体" w:eastAsia="宋体" w:cs="宋体"/>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4435</Words>
  <Characters>25284</Characters>
  <Lines>210</Lines>
  <Paragraphs>59</Paragraphs>
  <ScaleCrop>false</ScaleCrop>
  <LinksUpToDate>false</LinksUpToDate>
  <CharactersWithSpaces>29660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2019-11-08T05:38:00Z</dcterms:created>
  <dc:creator>张治</dc:creator>
  <cp:lastModifiedBy>贾思勰</cp:lastModifiedBy>
  <dcterms:modified xsi:type="dcterms:W3CDTF">2019-11-29T00:20:32Z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