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杭州萧山国际机场有限公司</w:t>
      </w:r>
    </w:p>
    <w:p>
      <w:pPr>
        <w:autoSpaceDE w:val="0"/>
        <w:autoSpaceDN w:val="0"/>
        <w:adjustRightInd w:val="0"/>
        <w:ind w:firstLine="3092" w:firstLineChars="700"/>
        <w:rPr>
          <w:rFonts w:eastAsia="黑体" w:cs="Calibri"/>
          <w:b/>
          <w:sz w:val="44"/>
          <w:szCs w:val="44"/>
        </w:rPr>
      </w:pPr>
      <w:r>
        <w:rPr>
          <w:rFonts w:hint="eastAsia" w:eastAsia="黑体" w:cs="Calibri"/>
          <w:b/>
          <w:sz w:val="44"/>
          <w:szCs w:val="44"/>
        </w:rPr>
        <w:t>税务顾问项目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hint="eastAsia"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lang w:eastAsia="zh-CN"/>
        </w:rPr>
        <w:t>十二</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31"/>
        <w:rPr>
          <w:rFonts w:ascii="Calibri" w:cs="Calibri"/>
          <w:b/>
          <w:color w:val="000000"/>
          <w:sz w:val="44"/>
        </w:rPr>
      </w:pPr>
      <w:bookmarkStart w:id="3" w:name="_Toc349011855"/>
      <w:bookmarkStart w:id="4" w:name="_Toc386363314"/>
      <w:bookmarkStart w:id="5" w:name="_Toc386359390"/>
      <w:bookmarkStart w:id="6" w:name="_Toc349007685"/>
      <w:r>
        <w:rPr>
          <w:rFonts w:hint="eastAsia" w:ascii="Calibri" w:cs="Calibri"/>
          <w:b/>
          <w:color w:val="000000"/>
          <w:sz w:val="44"/>
        </w:rPr>
        <w:t xml:space="preserve"> </w:t>
      </w:r>
    </w:p>
    <w:p>
      <w:pPr>
        <w:pStyle w:val="31"/>
        <w:rPr>
          <w:rFonts w:ascii="Calibri" w:hAnsi="Calibri" w:cs="Calibri"/>
          <w:b/>
          <w:color w:val="000000"/>
          <w:sz w:val="44"/>
        </w:rPr>
      </w:pPr>
      <w:bookmarkStart w:id="7" w:name="_Toc444173456"/>
      <w:bookmarkStart w:id="8" w:name="_Toc444174976"/>
      <w:bookmarkStart w:id="9" w:name="_Toc448002981"/>
      <w:bookmarkStart w:id="10" w:name="_Toc444811406"/>
      <w:bookmarkStart w:id="11" w:name="_Toc400369182"/>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31"/>
        <w:spacing w:line="48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31"/>
        <w:spacing w:line="480" w:lineRule="auto"/>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52"/>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1"/>
        <w:spacing w:line="480" w:lineRule="auto"/>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52"/>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- 4 -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1"/>
        <w:spacing w:line="480" w:lineRule="auto"/>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52"/>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1"/>
        <w:spacing w:line="480" w:lineRule="auto"/>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52"/>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1"/>
        <w:spacing w:line="480" w:lineRule="auto"/>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52"/>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- 18 -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1"/>
        <w:spacing w:line="480" w:lineRule="auto"/>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52"/>
          <w:rFonts w:hint="eastAsia" w:ascii="黑体" w:hAnsi="黑体" w:eastAsia="黑体" w:cs="Calibri"/>
          <w:kern w:val="0"/>
          <w:sz w:val="22"/>
          <w:szCs w:val="22"/>
        </w:rPr>
        <w:t>第五章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- 22 -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12" w:name="_Toc6581"/>
      <w:bookmarkStart w:id="13" w:name="_Toc7641"/>
      <w:bookmarkStart w:id="14" w:name="_Toc24932"/>
      <w:bookmarkStart w:id="15" w:name="_Toc18642"/>
      <w:bookmarkStart w:id="16" w:name="_Toc6832"/>
      <w:bookmarkStart w:id="17" w:name="_Toc24784"/>
      <w:bookmarkStart w:id="18" w:name="_Toc14628"/>
      <w:bookmarkStart w:id="19" w:name="_Toc8110"/>
      <w:bookmarkStart w:id="20" w:name="_Toc22293"/>
      <w:bookmarkStart w:id="21" w:name="_Toc448002982"/>
      <w:bookmarkStart w:id="22" w:name="_Toc249322950"/>
      <w:bookmarkStart w:id="23" w:name="_Toc248766631"/>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bookmarkStart w:id="109" w:name="_GoBack"/>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（1）招标项目：</w:t>
      </w:r>
      <w:r>
        <w:rPr>
          <w:rFonts w:ascii="宋体" w:hAnsi="宋体" w:cs="Arial"/>
          <w:kern w:val="0"/>
          <w:sz w:val="22"/>
        </w:rPr>
        <w:t>杭州萧山国际机场有限公司</w:t>
      </w:r>
      <w:r>
        <w:rPr>
          <w:rFonts w:hint="eastAsia" w:ascii="宋体" w:hAnsi="宋体" w:cs="Arial"/>
          <w:kern w:val="0"/>
          <w:sz w:val="22"/>
        </w:rPr>
        <w:t>税务顾问项目。</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）招标内容：本项目拟选择税务师事务所，为招标人</w:t>
      </w:r>
      <w:r>
        <w:rPr>
          <w:rFonts w:hint="eastAsia" w:cs="Calibri" w:asciiTheme="minorEastAsia" w:hAnsiTheme="minorEastAsia" w:eastAsiaTheme="minorEastAsia"/>
          <w:color w:val="000000"/>
          <w:sz w:val="22"/>
        </w:rPr>
        <w:t>及招标人关联的</w:t>
      </w:r>
      <w:r>
        <w:rPr>
          <w:rFonts w:cs="Calibri" w:asciiTheme="minorEastAsia" w:hAnsiTheme="minorEastAsia" w:eastAsiaTheme="minorEastAsia"/>
          <w:color w:val="000000"/>
          <w:sz w:val="22"/>
        </w:rPr>
        <w:t>8家</w:t>
      </w:r>
      <w:r>
        <w:rPr>
          <w:rFonts w:hint="eastAsia" w:cs="Calibri" w:asciiTheme="minorEastAsia" w:hAnsiTheme="minorEastAsia" w:eastAsiaTheme="minorEastAsia"/>
          <w:color w:val="000000"/>
          <w:sz w:val="22"/>
        </w:rPr>
        <w:t>公司</w:t>
      </w:r>
      <w:r>
        <w:rPr>
          <w:rFonts w:hint="eastAsia" w:ascii="宋体" w:hAnsi="宋体" w:cs="Arial"/>
          <w:kern w:val="0"/>
          <w:sz w:val="22"/>
        </w:rPr>
        <w:t>提供税务顾问服务，包括涉税鉴证服务、税务协调服务、税务咨询服务、税务管理服务、税务培训服务等，协助招标人开展税务管理工作。</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（4）服务期：3年，自【2020】年【1】月【1】日至【2022】年【12】月【31】日</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具有独立法人资格，持有有效营业执照及有效执业许可证，需提供营业执照及执业许可证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近年（2016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投标人近三年（合同签订时间或部分服务期在</w:t>
      </w:r>
      <w:r>
        <w:rPr>
          <w:rFonts w:ascii="宋体" w:hAnsi="宋体" w:cs="Arial"/>
          <w:kern w:val="0"/>
          <w:sz w:val="22"/>
        </w:rPr>
        <w:t>2016年1月1日至投标截止日）</w:t>
      </w:r>
      <w:r>
        <w:rPr>
          <w:rFonts w:hint="eastAsia" w:ascii="宋体" w:hAnsi="宋体" w:cs="Arial"/>
          <w:kern w:val="0"/>
          <w:sz w:val="22"/>
        </w:rPr>
        <w:t>具有类似业绩（业绩证明材料：合同（合同协议书）或中标通知书复印件并加盖投标人公章作为证明材料，原件备查，上述业绩证明材料无法体现服务项目特征、项目负责人的，须另提供投标人出具的证明材料予以证明），类似业绩指航空类、机场、港口、高速公路等大型交通基础设施行业的税务服务；</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6）</w:t>
      </w:r>
      <w:r>
        <w:rPr>
          <w:rFonts w:hint="eastAsia" w:ascii="宋体" w:hAnsi="宋体" w:cs="Arial"/>
          <w:kern w:val="0"/>
          <w:sz w:val="22"/>
        </w:rPr>
        <w:t>投标人具有综合服务能力的税务团队，专职执业注册税务师人数达到10人（含）以上，内部专业部门设置完善，分工明确（需提供相关证明材料复印件并</w:t>
      </w:r>
      <w:r>
        <w:rPr>
          <w:rFonts w:ascii="宋体" w:hAnsi="宋体" w:cs="Arial"/>
          <w:kern w:val="0"/>
          <w:sz w:val="22"/>
        </w:rPr>
        <w:t>加盖投标人公章</w:t>
      </w:r>
      <w:r>
        <w:rPr>
          <w:rFonts w:hint="eastAsia" w:ascii="宋体" w:hAnsi="宋体" w:cs="Arial"/>
          <w:kern w:val="0"/>
          <w:sz w:val="22"/>
        </w:rPr>
        <w:t>，</w:t>
      </w:r>
      <w:r>
        <w:rPr>
          <w:rFonts w:ascii="宋体" w:hAnsi="宋体" w:cs="Arial"/>
          <w:kern w:val="0"/>
          <w:sz w:val="22"/>
        </w:rPr>
        <w:t>原件备查</w:t>
      </w:r>
      <w:r>
        <w:rPr>
          <w:rFonts w:hint="eastAsia" w:ascii="宋体" w:hAnsi="宋体" w:cs="Arial"/>
          <w:kern w:val="0"/>
          <w:sz w:val="22"/>
        </w:rPr>
        <w:t>）；</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7</w:t>
      </w:r>
      <w:r>
        <w:rPr>
          <w:rFonts w:hint="eastAsia" w:ascii="宋体" w:hAnsi="宋体" w:cs="Arial"/>
          <w:kern w:val="0"/>
          <w:sz w:val="22"/>
        </w:rPr>
        <w:t>）拟派项目负责人具有注册税务师资格，且取得注册税务师资格的年限不得低于十年，需提供有效的执业资格证复印件并加盖投标人公章作为证明材料，</w:t>
      </w:r>
      <w:r>
        <w:rPr>
          <w:rFonts w:ascii="宋体" w:hAnsi="宋体" w:cs="Arial"/>
          <w:kern w:val="0"/>
          <w:sz w:val="22"/>
        </w:rPr>
        <w:t>原件备查</w:t>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（8）本次招标不接受联合体投标。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凡符合资格条件并有投标意向的潜在投标人，请通过杭州萧山国际机场有限公司主页http://www.hzairport.com/自行下载招标文件。</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24</w:t>
      </w:r>
      <w:r>
        <w:rPr>
          <w:rFonts w:hint="eastAsia" w:ascii="宋体" w:hAnsi="宋体" w:cs="Arial"/>
          <w:kern w:val="0"/>
          <w:sz w:val="22"/>
        </w:rPr>
        <w:t>日上午9时00分（北京时间）。投标文件在封口处加盖公章，并派专人于201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24</w:t>
      </w:r>
      <w:r>
        <w:rPr>
          <w:rFonts w:hint="eastAsia" w:ascii="宋体" w:hAnsi="宋体" w:cs="Arial"/>
          <w:kern w:val="0"/>
          <w:sz w:val="22"/>
        </w:rPr>
        <w:t>日上午9时00分（北京时间）前送至杭州萧山国际机场翔越路综合服务楼园区招标中心，逾期无效；若采用投递（邮寄）方式的，请于201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24</w:t>
      </w:r>
      <w:r>
        <w:rPr>
          <w:rFonts w:hint="eastAsia" w:ascii="宋体" w:hAnsi="宋体" w:cs="Arial"/>
          <w:kern w:val="0"/>
          <w:sz w:val="22"/>
        </w:rPr>
        <w:t>日上午9时00分（北京时间）前投递至杭州萧山国际机场翔越路综合服务楼园区招标中心，逾期无效。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中国采购与招标网和杭州萧山国际机场有限公司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杭州萧山国际机场有限公司主页http://www.hzairport.com</w:t>
      </w:r>
    </w:p>
    <w:p>
      <w:pPr>
        <w:widowControl/>
        <w:adjustRightInd w:val="0"/>
        <w:snapToGrid w:val="0"/>
        <w:spacing w:line="340" w:lineRule="exac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投标联系人：贾思勰        联系电话： 0571-</w:t>
      </w:r>
      <w:r>
        <w:rPr>
          <w:rFonts w:ascii="宋体" w:hAnsi="宋体"/>
          <w:sz w:val="22"/>
        </w:rPr>
        <w:t>83837612</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招标监督人：闻晓丽         联系电话： </w:t>
      </w:r>
      <w:r>
        <w:rPr>
          <w:rFonts w:ascii="宋体" w:hAnsi="宋体"/>
          <w:sz w:val="22"/>
        </w:rPr>
        <w:t>0571-86662132</w:t>
      </w:r>
    </w:p>
    <w:bookmarkEnd w:id="109"/>
    <w:p>
      <w:pPr>
        <w:widowControl/>
        <w:adjustRightInd w:val="0"/>
        <w:snapToGrid w:val="0"/>
        <w:spacing w:line="340" w:lineRule="exact"/>
        <w:ind w:firstLine="440" w:firstLineChars="200"/>
        <w:rPr>
          <w:rFonts w:ascii="宋体" w:hAnsi="宋体"/>
          <w:sz w:val="22"/>
        </w:rPr>
      </w:pP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130"/>
        <w:jc w:val="center"/>
        <w:rPr>
          <w:rFonts w:ascii="Calibri" w:hAnsi="Calibri" w:eastAsia="黑体" w:cs="Calibri"/>
          <w:kern w:val="2"/>
          <w:sz w:val="28"/>
          <w:szCs w:val="32"/>
        </w:rPr>
      </w:pPr>
      <w:bookmarkStart w:id="26" w:name="_Toc386363317"/>
      <w:bookmarkStart w:id="27" w:name="_Toc349007688"/>
      <w:bookmarkStart w:id="28" w:name="_Toc444173459"/>
      <w:bookmarkStart w:id="29" w:name="_Toc11881"/>
      <w:bookmarkStart w:id="30" w:name="_Toc444174979"/>
      <w:bookmarkStart w:id="31" w:name="_Toc400369185"/>
      <w:bookmarkStart w:id="32" w:name="_Toc448002984"/>
      <w:bookmarkStart w:id="33" w:name="_Toc386359393"/>
      <w:bookmarkStart w:id="34" w:name="_Toc444811409"/>
      <w:bookmarkStart w:id="35" w:name="_Toc349011858"/>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55"/>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sz w:val="22"/>
              </w:rPr>
              <w:t>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项目名称</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Arial"/>
                <w:kern w:val="0"/>
                <w:sz w:val="22"/>
              </w:rPr>
              <w:t>杭州萧山国际机场有限公司税务顾问项目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资金来源</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Style w:val="66"/>
                <w:rFonts w:hint="eastAsia" w:cs="Calibri" w:asciiTheme="minorEastAsia" w:hAnsiTheme="minorEastAsia" w:eastAsia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w:t>
            </w:r>
            <w:r>
              <w:rPr>
                <w:rFonts w:hint="eastAsia" w:cs="Calibri" w:asciiTheme="minorEastAsia" w:hAnsiTheme="minorEastAsia" w:eastAsiaTheme="minorEastAsia"/>
                <w:kern w:val="0"/>
                <w:sz w:val="22"/>
              </w:rPr>
              <w:t>内容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见招标公告，具体要求详见第</w:t>
            </w:r>
            <w:r>
              <w:rPr>
                <w:rFonts w:hint="eastAsia" w:cs="Calibri" w:asciiTheme="minorEastAsia" w:hAnsiTheme="minorEastAsia" w:eastAsiaTheme="minorEastAsia"/>
                <w:kern w:val="0"/>
                <w:sz w:val="22"/>
              </w:rPr>
              <w:t>三</w:t>
            </w:r>
            <w:r>
              <w:rPr>
                <w:rFonts w:cs="Calibri" w:asciiTheme="minorEastAsia" w:hAnsiTheme="minorEastAsia" w:eastAsiaTheme="minorEastAsia"/>
                <w:kern w:val="0"/>
                <w:sz w:val="22"/>
              </w:rPr>
              <w:t>章“</w:t>
            </w:r>
            <w:r>
              <w:rPr>
                <w:rFonts w:hint="eastAsia" w:cs="Calibri" w:asciiTheme="minorEastAsia" w:hAnsiTheme="minorEastAsia" w:eastAsiaTheme="minorEastAsia"/>
                <w:kern w:val="0"/>
                <w:sz w:val="22"/>
              </w:rPr>
              <w:t>服务技术标准及要求</w:t>
            </w:r>
            <w:r>
              <w:rPr>
                <w:rFonts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招标方式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资格审查</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eastAsiaTheme="minorEastAsia"/>
                <w:color w:val="FF0000"/>
                <w:kern w:val="0"/>
                <w:sz w:val="22"/>
              </w:rPr>
            </w:pPr>
            <w:r>
              <w:rPr>
                <w:rFonts w:cs="Calibri" w:asciiTheme="minorEastAsia" w:hAnsiTheme="minorEastAsia" w:eastAsiaTheme="minorEastAsia"/>
                <w:kern w:val="0"/>
                <w:sz w:val="22"/>
              </w:rPr>
              <w:t>详见招标公告</w:t>
            </w:r>
            <w:r>
              <w:rPr>
                <w:rFonts w:hint="eastAsia" w:cs="Calibri" w:asciiTheme="minorEastAsia" w:hAnsiTheme="minorEastAsia" w:eastAsiaTheme="minorEastAsia"/>
                <w:kern w:val="0"/>
                <w:sz w:val="22"/>
              </w:rPr>
              <w:t>“</w:t>
            </w:r>
            <w:r>
              <w:rPr>
                <w:rFonts w:hint="eastAsia" w:cs="黑体" w:asciiTheme="minorEastAsia" w:hAnsiTheme="minorEastAsia" w:eastAsia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服务期</w:t>
            </w:r>
          </w:p>
        </w:tc>
        <w:tc>
          <w:tcPr>
            <w:tcW w:w="6487" w:type="dxa"/>
            <w:vAlign w:val="center"/>
          </w:tcPr>
          <w:p>
            <w:pPr>
              <w:rPr>
                <w:rFonts w:asciiTheme="minorEastAsia" w:hAnsiTheme="minorEastAsia" w:eastAsiaTheme="minorEastAsia"/>
                <w:color w:val="000000"/>
                <w:sz w:val="22"/>
              </w:rPr>
            </w:pPr>
            <w:r>
              <w:rPr>
                <w:rFonts w:hint="eastAsia" w:asciiTheme="minorEastAsia" w:hAnsiTheme="minorEastAsia" w:eastAsiaTheme="minorEastAsia"/>
                <w:color w:val="000000"/>
                <w:sz w:val="22"/>
              </w:rPr>
              <w:t>3年，</w:t>
            </w:r>
            <w:r>
              <w:rPr>
                <w:rFonts w:hint="eastAsia" w:ascii="宋体" w:hAnsi="宋体" w:cs="Arial"/>
                <w:kern w:val="0"/>
                <w:sz w:val="22"/>
              </w:rPr>
              <w:t>自【2020】年【1】月【1】日至【2022】年【12】月【31】日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1.8</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不组织</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□组织，踏勘时间：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1.9</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不召开</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□召开，召开时间：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2.0.1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201</w:t>
            </w:r>
            <w:r>
              <w:rPr>
                <w:rFonts w:ascii="宋体" w:hAnsi="宋体" w:cs="Calibri"/>
                <w:kern w:val="0"/>
                <w:sz w:val="22"/>
              </w:rPr>
              <w:t>9</w:t>
            </w:r>
            <w:r>
              <w:rPr>
                <w:rFonts w:hint="eastAsia" w:ascii="宋体" w:hAnsi="宋体" w:cs="Calibri"/>
                <w:kern w:val="0"/>
                <w:sz w:val="22"/>
              </w:rPr>
              <w:t>年</w:t>
            </w:r>
            <w:r>
              <w:rPr>
                <w:rFonts w:hint="eastAsia" w:ascii="宋体" w:hAnsi="宋体" w:cs="Calibri"/>
                <w:kern w:val="0"/>
                <w:sz w:val="22"/>
                <w:lang w:val="en-US" w:eastAsia="zh-CN"/>
              </w:rPr>
              <w:t>12</w:t>
            </w:r>
            <w:r>
              <w:rPr>
                <w:rFonts w:hint="eastAsia" w:ascii="宋体" w:hAnsi="宋体" w:cs="Calibri"/>
                <w:kern w:val="0"/>
                <w:sz w:val="22"/>
              </w:rPr>
              <w:t>月</w:t>
            </w:r>
            <w:r>
              <w:rPr>
                <w:rFonts w:hint="eastAsia" w:ascii="宋体" w:hAnsi="宋体" w:cs="Calibri"/>
                <w:kern w:val="0"/>
                <w:sz w:val="22"/>
                <w:lang w:val="en-US" w:eastAsia="zh-CN"/>
              </w:rPr>
              <w:t>24</w:t>
            </w:r>
            <w:r>
              <w:rPr>
                <w:rFonts w:hint="eastAsia" w:ascii="宋体" w:hAnsi="宋体" w:cs="Calibri"/>
                <w:kern w:val="0"/>
                <w:sz w:val="22"/>
              </w:rPr>
              <w:t>日11：30前，以书面加盖公章的形式通过E-mail或传真提交给招标人（投标联系人:贾思勰，电话0571-</w:t>
            </w:r>
            <w:r>
              <w:rPr>
                <w:rFonts w:ascii="宋体" w:hAnsi="宋体" w:cs="Calibri"/>
                <w:kern w:val="0"/>
                <w:sz w:val="22"/>
              </w:rPr>
              <w:t>83837612</w:t>
            </w:r>
            <w:r>
              <w:rPr>
                <w:rFonts w:hint="eastAsia" w:ascii="宋体" w:hAnsi="宋体" w:cs="Calibri"/>
                <w:kern w:val="0"/>
                <w:sz w:val="22"/>
              </w:rPr>
              <w:t>；传真：0571-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2.0.2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投标截止时间</w:t>
            </w:r>
          </w:p>
        </w:tc>
        <w:tc>
          <w:tcPr>
            <w:tcW w:w="6487" w:type="dxa"/>
            <w:vAlign w:val="center"/>
          </w:tcPr>
          <w:p>
            <w:pPr>
              <w:autoSpaceDE w:val="0"/>
              <w:autoSpaceDN w:val="0"/>
              <w:adjustRightInd w:val="0"/>
              <w:snapToGrid w:val="0"/>
              <w:rPr>
                <w:rFonts w:cs="Calibri" w:asciiTheme="minorEastAsia" w:hAnsiTheme="minorEastAsia" w:eastAsiaTheme="minorEastAsia"/>
                <w:b/>
                <w:kern w:val="0"/>
                <w:sz w:val="22"/>
              </w:rPr>
            </w:pPr>
            <w:r>
              <w:rPr>
                <w:rFonts w:hint="eastAsia" w:cs="Calibri" w:asciiTheme="minorEastAsia" w:hAnsiTheme="minorEastAsia" w:eastAsiaTheme="minorEastAsia"/>
                <w:b/>
                <w:kern w:val="0"/>
                <w:sz w:val="22"/>
              </w:rPr>
              <w:t>201</w:t>
            </w:r>
            <w:r>
              <w:rPr>
                <w:rFonts w:cs="Calibri" w:asciiTheme="minorEastAsia" w:hAnsiTheme="minorEastAsia" w:eastAsiaTheme="minorEastAsia"/>
                <w:b/>
                <w:kern w:val="0"/>
                <w:sz w:val="22"/>
              </w:rPr>
              <w:t>9</w:t>
            </w:r>
            <w:r>
              <w:rPr>
                <w:rFonts w:hint="eastAsia" w:cs="Calibri" w:asciiTheme="minorEastAsia" w:hAnsiTheme="minorEastAsia" w:eastAsiaTheme="minorEastAsia"/>
                <w:b/>
                <w:kern w:val="0"/>
                <w:sz w:val="22"/>
              </w:rPr>
              <w:t>年</w:t>
            </w:r>
            <w:r>
              <w:rPr>
                <w:rFonts w:hint="eastAsia" w:cs="Calibri" w:asciiTheme="minorEastAsia" w:hAnsiTheme="minorEastAsia" w:eastAsiaTheme="minorEastAsia"/>
                <w:b/>
                <w:kern w:val="0"/>
                <w:sz w:val="22"/>
                <w:lang w:val="en-US" w:eastAsia="zh-CN"/>
              </w:rPr>
              <w:t>12</w:t>
            </w:r>
            <w:r>
              <w:rPr>
                <w:rFonts w:hint="eastAsia" w:cs="Calibri" w:asciiTheme="minorEastAsia" w:hAnsiTheme="minorEastAsia" w:eastAsiaTheme="minorEastAsia"/>
                <w:b/>
                <w:kern w:val="0"/>
                <w:sz w:val="22"/>
              </w:rPr>
              <w:t>月</w:t>
            </w:r>
            <w:r>
              <w:rPr>
                <w:rFonts w:hint="eastAsia" w:cs="Calibri" w:asciiTheme="minorEastAsia" w:hAnsiTheme="minorEastAsia" w:eastAsiaTheme="minorEastAsia"/>
                <w:b/>
                <w:kern w:val="0"/>
                <w:sz w:val="22"/>
                <w:lang w:val="en-US" w:eastAsia="zh-CN"/>
              </w:rPr>
              <w:t>24</w:t>
            </w:r>
            <w:r>
              <w:rPr>
                <w:rFonts w:hint="eastAsia" w:cs="Calibri" w:asciiTheme="minorEastAsia" w:hAnsiTheme="minorEastAsia" w:eastAsiaTheme="minorEastAsia"/>
                <w:b/>
                <w:kern w:val="0"/>
                <w:sz w:val="22"/>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2.0.3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w:t>
            </w:r>
            <w:bookmarkStart w:id="36" w:name="_Toc236586447"/>
            <w:bookmarkStart w:id="37"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投标有效期</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12</w:t>
            </w:r>
            <w:r>
              <w:rPr>
                <w:rFonts w:cs="Calibri" w:asciiTheme="minorEastAsia" w:hAnsiTheme="minorEastAsia" w:eastAsia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投标保证金</w:t>
            </w:r>
          </w:p>
        </w:tc>
        <w:tc>
          <w:tcPr>
            <w:tcW w:w="6487" w:type="dxa"/>
            <w:vAlign w:val="center"/>
          </w:tcPr>
          <w:p>
            <w:pPr>
              <w:snapToGrid w:val="0"/>
              <w:rPr>
                <w:rFonts w:asciiTheme="minorEastAsia" w:hAnsiTheme="minorEastAsia" w:eastAsiaTheme="minorEastAsia"/>
                <w:sz w:val="22"/>
                <w:lang w:val="zh-CN"/>
              </w:rPr>
            </w:pPr>
            <w:r>
              <w:rPr>
                <w:rFonts w:hint="eastAsia" w:asciiTheme="minorEastAsia" w:hAnsiTheme="minorEastAsia" w:eastAsiaTheme="minorEastAsia"/>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b/>
                <w:kern w:val="0"/>
                <w:sz w:val="22"/>
              </w:rPr>
              <w:t>投标文件封面（或扉页）、投标函以及各类报价表</w:t>
            </w:r>
            <w:r>
              <w:rPr>
                <w:rFonts w:cs="Calibri" w:asciiTheme="minorEastAsia" w:hAnsiTheme="minorEastAsia" w:eastAsia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装订要求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按照投标人须知3.2项约定的投标文件组成内容，投标文件应按以下要求装订：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每册采用</w:t>
            </w:r>
            <w:r>
              <w:rPr>
                <w:rFonts w:cs="Calibri" w:asciiTheme="minorEastAsia" w:hAnsiTheme="minorEastAsia" w:eastAsiaTheme="minorEastAsia"/>
                <w:kern w:val="0"/>
                <w:sz w:val="22"/>
                <w:u w:val="single"/>
              </w:rPr>
              <w:t xml:space="preserve"> 胶装 </w:t>
            </w:r>
            <w:r>
              <w:rPr>
                <w:rFonts w:cs="Calibri" w:asciiTheme="minorEastAsia" w:hAnsiTheme="minorEastAsia" w:eastAsiaTheme="minorEastAsia"/>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封套上写明</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招标人的地址：</w:t>
            </w:r>
            <w:r>
              <w:rPr>
                <w:rFonts w:hint="eastAsia" w:asciiTheme="minorEastAsia" w:hAnsiTheme="minorEastAsia" w:eastAsiaTheme="minorEastAsia"/>
                <w:sz w:val="22"/>
                <w:u w:val="single"/>
              </w:rPr>
              <w:t>杭州萧山国际机场内</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招标人名称：</w:t>
            </w:r>
            <w:r>
              <w:rPr>
                <w:rFonts w:hint="eastAsia" w:cs="Calibri" w:asciiTheme="minorEastAsia" w:hAnsiTheme="minorEastAsia" w:eastAsiaTheme="minorEastAsia"/>
                <w:kern w:val="0"/>
                <w:sz w:val="22"/>
                <w:u w:val="single"/>
              </w:rPr>
              <w:t>杭州萧山国际机场有限公司</w:t>
            </w:r>
          </w:p>
          <w:p>
            <w:pPr>
              <w:autoSpaceDE w:val="0"/>
              <w:autoSpaceDN w:val="0"/>
              <w:adjustRightInd w:val="0"/>
              <w:snapToGrid w:val="0"/>
              <w:rPr>
                <w:rFonts w:cs="Calibri" w:asciiTheme="minorEastAsia" w:hAnsiTheme="minorEastAsia" w:eastAsiaTheme="minorEastAsia"/>
                <w:kern w:val="0"/>
                <w:sz w:val="22"/>
              </w:rPr>
            </w:pPr>
            <w:r>
              <w:rPr>
                <w:rFonts w:hint="eastAsia" w:cs="宋体" w:asciiTheme="minorEastAsia" w:hAnsiTheme="minorEastAsia" w:eastAsiaTheme="minorEastAsia"/>
                <w:sz w:val="22"/>
              </w:rPr>
              <w:t>项目名称：</w:t>
            </w:r>
            <w:r>
              <w:rPr>
                <w:rFonts w:hint="eastAsia" w:cs="Calibri" w:asciiTheme="minorEastAsia" w:hAnsiTheme="minorEastAsia" w:eastAsiaTheme="minorEastAsia"/>
                <w:kern w:val="0"/>
                <w:sz w:val="22"/>
                <w:u w:val="single"/>
              </w:rPr>
              <w:t>杭州萧山国际机场有限公司税务顾问</w:t>
            </w:r>
            <w:r>
              <w:rPr>
                <w:rFonts w:cs="Calibri" w:asciiTheme="minorEastAsia" w:hAnsiTheme="minorEastAsia" w:eastAsiaTheme="minorEastAsia"/>
                <w:kern w:val="0"/>
                <w:sz w:val="22"/>
                <w:u w:val="single"/>
              </w:rPr>
              <w:t>项目</w:t>
            </w:r>
            <w:r>
              <w:rPr>
                <w:rFonts w:hint="eastAsia" w:cs="宋体" w:asciiTheme="minorEastAsia" w:hAnsiTheme="minorEastAsia" w:eastAsiaTheme="minorEastAsia"/>
                <w:sz w:val="22"/>
              </w:rPr>
              <w:t>投标文件</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在</w:t>
            </w:r>
            <w:r>
              <w:rPr>
                <w:rFonts w:hint="eastAsia" w:ascii="宋体" w:hAnsi="宋体" w:cs="Arial"/>
                <w:kern w:val="0"/>
                <w:sz w:val="22"/>
              </w:rPr>
              <w:t>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24</w:t>
            </w:r>
            <w:r>
              <w:rPr>
                <w:rFonts w:hint="eastAsia" w:ascii="宋体" w:hAnsi="宋体" w:cs="Arial"/>
                <w:kern w:val="0"/>
                <w:sz w:val="22"/>
              </w:rPr>
              <w:t>日上午9时00分</w:t>
            </w:r>
            <w:r>
              <w:rPr>
                <w:rFonts w:cs="Calibri" w:asciiTheme="minorEastAsia" w:hAnsiTheme="minorEastAsia" w:eastAsia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2.8</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2.9</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是否退还投标文件</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3.0</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开标时间和地点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开标时间：同投标截止时间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开标程序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1</w:t>
            </w:r>
            <w:r>
              <w:rPr>
                <w:rFonts w:cs="Calibri" w:asciiTheme="minorEastAsia" w:hAnsiTheme="minorEastAsia" w:eastAsia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2</w:t>
            </w:r>
            <w:r>
              <w:rPr>
                <w:rFonts w:cs="Calibri" w:asciiTheme="minorEastAsia" w:hAnsiTheme="minorEastAsia" w:eastAsia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评标委员会构成</w:t>
            </w:r>
            <w:r>
              <w:rPr>
                <w:rFonts w:hint="eastAsia" w:cs="Calibri" w:asciiTheme="minorEastAsia" w:hAnsiTheme="minorEastAsia" w:eastAsiaTheme="minorEastAsia"/>
                <w:kern w:val="0"/>
                <w:sz w:val="22"/>
              </w:rPr>
              <w:t>：3</w:t>
            </w:r>
            <w:r>
              <w:rPr>
                <w:rFonts w:hint="eastAsia" w:asciiTheme="minorEastAsia" w:hAnsiTheme="minorEastAsia" w:eastAsiaTheme="minorEastAsia"/>
                <w:sz w:val="22"/>
              </w:rPr>
              <w:t>人及以上单数</w:t>
            </w:r>
          </w:p>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评标专家确定方式：</w:t>
            </w:r>
            <w:r>
              <w:rPr>
                <w:rFonts w:hint="eastAsia" w:asciiTheme="minorEastAsia" w:hAnsiTheme="minorEastAsia"/>
                <w:sz w:val="22"/>
              </w:rPr>
              <w:t>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履约担保</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履约保证金的形式：银行转账</w:t>
            </w:r>
          </w:p>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履约保证金的金额：首年</w:t>
            </w:r>
            <w:r>
              <w:rPr>
                <w:rFonts w:asciiTheme="minorEastAsia" w:hAnsiTheme="minorEastAsia" w:eastAsiaTheme="minorEastAsia"/>
                <w:sz w:val="22"/>
              </w:rPr>
              <w:t>合同</w:t>
            </w:r>
            <w:r>
              <w:rPr>
                <w:rFonts w:hint="eastAsia" w:asciiTheme="minorEastAsia" w:hAnsiTheme="minorEastAsia" w:eastAsiaTheme="minorEastAsia"/>
                <w:sz w:val="22"/>
              </w:rPr>
              <w:t>金额</w:t>
            </w:r>
            <w:r>
              <w:rPr>
                <w:rFonts w:asciiTheme="minorEastAsia" w:hAnsiTheme="minorEastAsia" w:eastAsiaTheme="minorEastAsia"/>
                <w:sz w:val="22"/>
              </w:rPr>
              <w:t>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w:t>
            </w:r>
          </w:p>
        </w:tc>
        <w:tc>
          <w:tcPr>
            <w:tcW w:w="8491" w:type="dxa"/>
            <w:gridSpan w:val="2"/>
            <w:vAlign w:val="center"/>
          </w:tcPr>
          <w:p>
            <w:pPr>
              <w:autoSpaceDE w:val="0"/>
              <w:autoSpaceDN w:val="0"/>
              <w:adjustRightInd w:val="0"/>
              <w:snapToGrid w:val="0"/>
              <w:jc w:val="center"/>
              <w:rPr>
                <w:rFonts w:cs="Calibri" w:asciiTheme="minorEastAsia" w:hAnsiTheme="minorEastAsia" w:eastAsiaTheme="minorEastAsia"/>
                <w:snapToGrid w:val="0"/>
                <w:sz w:val="22"/>
              </w:rPr>
            </w:pPr>
            <w:r>
              <w:rPr>
                <w:rFonts w:cs="Calibri" w:asciiTheme="minorEastAsia" w:hAnsiTheme="minorEastAsia" w:eastAsia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4.1</w:t>
            </w:r>
          </w:p>
        </w:tc>
        <w:tc>
          <w:tcPr>
            <w:tcW w:w="2004" w:type="dxa"/>
            <w:vAlign w:val="center"/>
          </w:tcPr>
          <w:p>
            <w:pPr>
              <w:pStyle w:val="44"/>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cs="Calibri" w:asciiTheme="minorEastAsia" w:hAnsiTheme="minorEastAsia" w:eastAsiaTheme="minorEastAsia"/>
                <w:snapToGrid w:val="0"/>
                <w:kern w:val="0"/>
                <w:sz w:val="22"/>
              </w:rPr>
              <w:t>异议</w:t>
            </w:r>
            <w:r>
              <w:rPr>
                <w:rFonts w:cs="Calibri" w:asciiTheme="minorEastAsia" w:hAnsiTheme="minorEastAsia" w:eastAsiaTheme="minorEastAsia"/>
                <w:snapToGrid w:val="0"/>
                <w:kern w:val="0"/>
                <w:sz w:val="22"/>
              </w:rPr>
              <w:t>。</w:t>
            </w:r>
          </w:p>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2</w:t>
            </w:r>
          </w:p>
        </w:tc>
        <w:tc>
          <w:tcPr>
            <w:tcW w:w="2004" w:type="dxa"/>
            <w:vAlign w:val="center"/>
          </w:tcPr>
          <w:p>
            <w:pPr>
              <w:pStyle w:val="44"/>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43421656"/>
      <w:bookmarkStart w:id="39" w:name="_Toc11067"/>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eastAsia="黑体" w:cs="Calibri"/>
          <w:b/>
          <w:bCs/>
          <w:kern w:val="0"/>
          <w:szCs w:val="21"/>
        </w:rPr>
        <w:br w:type="page"/>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 </w:t>
      </w:r>
      <w:r>
        <w:rPr>
          <w:rFonts w:cs="Calibri" w:asciiTheme="minorEastAsia" w:hAnsiTheme="minorEastAsia" w:eastAsiaTheme="minorEastAsia"/>
          <w:b/>
          <w:bCs/>
          <w:kern w:val="0"/>
          <w:sz w:val="22"/>
        </w:rPr>
        <w:t>总则</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1.1 项目概况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1.1.2项目</w:t>
      </w:r>
      <w:r>
        <w:rPr>
          <w:rFonts w:hint="eastAsia" w:cs="Calibri" w:asciiTheme="minorEastAsia" w:hAnsiTheme="minorEastAsia" w:eastAsiaTheme="minorEastAsia"/>
          <w:color w:val="000000"/>
          <w:kern w:val="0"/>
          <w:sz w:val="22"/>
        </w:rPr>
        <w:t>实施</w:t>
      </w:r>
      <w:r>
        <w:rPr>
          <w:rFonts w:cs="Calibri" w:asciiTheme="minorEastAsia" w:hAnsiTheme="minorEastAsia" w:eastAsiaTheme="minorEastAsia"/>
          <w:color w:val="000000"/>
          <w:kern w:val="0"/>
          <w:sz w:val="22"/>
        </w:rPr>
        <w:t>地点见投标人须知前附表</w:t>
      </w:r>
      <w:r>
        <w:rPr>
          <w:rFonts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资金来源</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3</w:t>
      </w:r>
      <w:r>
        <w:rPr>
          <w:rFonts w:cs="Calibri" w:asciiTheme="minorEastAsia" w:hAnsiTheme="minorEastAsia" w:eastAsiaTheme="minorEastAsia"/>
          <w:b/>
          <w:bCs/>
          <w:kern w:val="0"/>
          <w:sz w:val="22"/>
        </w:rPr>
        <w:t xml:space="preserve"> 招标</w:t>
      </w:r>
      <w:r>
        <w:rPr>
          <w:rFonts w:hint="eastAsia" w:cs="Calibri" w:asciiTheme="minorEastAsia" w:hAnsiTheme="minorEastAsia" w:eastAsiaTheme="minorEastAsia"/>
          <w:b/>
          <w:bCs/>
          <w:kern w:val="0"/>
          <w:sz w:val="22"/>
        </w:rPr>
        <w:t>内容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4</w:t>
      </w:r>
      <w:r>
        <w:rPr>
          <w:rFonts w:cs="Calibri" w:asciiTheme="minorEastAsia" w:hAnsiTheme="minorEastAsia" w:eastAsiaTheme="minorEastAsia"/>
          <w:b/>
          <w:bCs/>
          <w:kern w:val="0"/>
          <w:sz w:val="22"/>
        </w:rPr>
        <w:t xml:space="preserve"> 招标方式</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5 </w:t>
      </w:r>
      <w:r>
        <w:rPr>
          <w:rFonts w:cs="Calibri" w:asciiTheme="minorEastAsia" w:hAnsiTheme="minorEastAsia" w:eastAsiaTheme="minorEastAsia"/>
          <w:b/>
          <w:bCs/>
          <w:kern w:val="0"/>
          <w:sz w:val="22"/>
        </w:rPr>
        <w:t>资格审查</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6</w:t>
      </w:r>
      <w:r>
        <w:rPr>
          <w:rFonts w:cs="Calibri" w:asciiTheme="minorEastAsia" w:hAnsiTheme="minorEastAsia" w:eastAsiaTheme="minorEastAsia"/>
          <w:b/>
          <w:bCs/>
          <w:kern w:val="0"/>
          <w:sz w:val="22"/>
        </w:rPr>
        <w:t xml:space="preserve"> 投标人资质条件、能力和信誉</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7</w:t>
      </w:r>
      <w:r>
        <w:rPr>
          <w:rFonts w:cs="Calibri" w:asciiTheme="minorEastAsia" w:hAnsiTheme="minorEastAsia" w:eastAsiaTheme="minorEastAsia"/>
          <w:b/>
          <w:bCs/>
          <w:kern w:val="0"/>
          <w:sz w:val="22"/>
        </w:rPr>
        <w:t xml:space="preserve"> </w:t>
      </w:r>
      <w:r>
        <w:rPr>
          <w:rFonts w:hint="eastAsia" w:cs="Calibri" w:asciiTheme="minorEastAsia" w:hAnsiTheme="minorEastAsia" w:eastAsiaTheme="minorEastAsia"/>
          <w:b/>
          <w:bCs/>
          <w:kern w:val="0"/>
          <w:sz w:val="22"/>
        </w:rPr>
        <w:t>服务</w:t>
      </w:r>
      <w:r>
        <w:rPr>
          <w:rFonts w:cs="Calibri" w:asciiTheme="minorEastAsia" w:hAnsiTheme="minorEastAsia" w:eastAsiaTheme="minorEastAsia"/>
          <w:b/>
          <w:bCs/>
          <w:kern w:val="0"/>
          <w:sz w:val="22"/>
        </w:rPr>
        <w:t>期</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hint="eastAsia" w:cs="Calibri" w:asciiTheme="minorEastAsia" w:hAnsiTheme="minorEastAsia" w:eastAsiaTheme="minorEastAsia"/>
          <w:b/>
          <w:bCs/>
          <w:kern w:val="0"/>
          <w:sz w:val="22"/>
        </w:rPr>
        <w:t>1.8 质量要求</w:t>
      </w:r>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40" w:name="_Toc13907"/>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9</w:t>
      </w:r>
      <w:r>
        <w:rPr>
          <w:rFonts w:cs="Calibri" w:asciiTheme="minorEastAsia" w:hAnsiTheme="minorEastAsia" w:eastAsiaTheme="minorEastAsia"/>
          <w:b/>
          <w:bCs/>
          <w:kern w:val="0"/>
          <w:sz w:val="22"/>
        </w:rPr>
        <w:t xml:space="preserve"> 踏勘现场</w:t>
      </w:r>
      <w:bookmarkEnd w:id="4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sz w:val="22"/>
        </w:rPr>
        <w:t>1.</w:t>
      </w:r>
      <w:r>
        <w:rPr>
          <w:rFonts w:hint="eastAsia" w:cs="Calibri" w:asciiTheme="minorEastAsia" w:hAnsiTheme="minorEastAsia" w:eastAsiaTheme="minorEastAsia"/>
          <w:sz w:val="22"/>
        </w:rPr>
        <w:t>9</w:t>
      </w:r>
      <w:r>
        <w:rPr>
          <w:rFonts w:cs="Calibri" w:asciiTheme="minorEastAsia" w:hAnsiTheme="minorEastAsia" w:eastAsiaTheme="minorEastAsia"/>
          <w:sz w:val="22"/>
        </w:rPr>
        <w:t>.1</w:t>
      </w:r>
      <w:r>
        <w:rPr>
          <w:rFonts w:cs="Calibri" w:asciiTheme="minorEastAsia" w:hAnsiTheme="minorEastAsia" w:eastAsia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1" w:name="_Toc4199"/>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10</w:t>
      </w:r>
      <w:r>
        <w:rPr>
          <w:rFonts w:cs="Calibri" w:asciiTheme="minorEastAsia" w:hAnsiTheme="minorEastAsia" w:eastAsiaTheme="minorEastAsia"/>
          <w:b/>
          <w:bCs/>
          <w:kern w:val="0"/>
          <w:sz w:val="22"/>
        </w:rPr>
        <w:t xml:space="preserve"> 投标预备会</w:t>
      </w:r>
      <w:bookmarkEnd w:id="4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1</w:t>
      </w:r>
      <w:r>
        <w:rPr>
          <w:rFonts w:cs="Calibri" w:asciiTheme="minorEastAsia" w:hAnsiTheme="minorEastAsia" w:eastAsiaTheme="minorEastAsia"/>
          <w:b/>
          <w:bCs/>
          <w:kern w:val="0"/>
          <w:sz w:val="22"/>
        </w:rPr>
        <w:t xml:space="preserve"> 分包</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本项目</w:t>
      </w:r>
      <w:r>
        <w:rPr>
          <w:rFonts w:hint="eastAsia" w:cs="Calibri" w:asciiTheme="minorEastAsia" w:hAnsiTheme="minorEastAsia" w:eastAsiaTheme="minorEastAsia"/>
          <w:color w:val="000000"/>
          <w:sz w:val="22"/>
        </w:rPr>
        <w:t>涉及到其它专业的部分分项工作</w:t>
      </w:r>
      <w:r>
        <w:rPr>
          <w:rFonts w:cs="Calibri" w:asciiTheme="minorEastAsia" w:hAnsiTheme="minorEastAsia" w:eastAsiaTheme="minorEastAsia"/>
          <w:color w:val="000000"/>
          <w:sz w:val="22"/>
        </w:rPr>
        <w:t>允许分包。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投标费用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投标人在投标过程中的一切费用，不论中标与否，均由投标人自理。</w:t>
      </w:r>
    </w:p>
    <w:bookmarkEnd w:id="38"/>
    <w:bookmarkEnd w:id="39"/>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2" w:name="_Toc15241"/>
      <w:bookmarkStart w:id="43" w:name="_Toc143421657"/>
      <w:r>
        <w:rPr>
          <w:rFonts w:cs="Calibri" w:asciiTheme="minorEastAsia" w:hAnsiTheme="minorEastAsia" w:eastAsiaTheme="minorEastAsia"/>
          <w:b/>
          <w:bCs/>
          <w:kern w:val="0"/>
          <w:sz w:val="22"/>
        </w:rPr>
        <w:t>2.招标文件</w:t>
      </w:r>
      <w:bookmarkEnd w:id="42"/>
      <w:bookmarkEnd w:id="4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4" w:name="_Toc1426"/>
      <w:r>
        <w:rPr>
          <w:rFonts w:cs="Calibri" w:asciiTheme="minorEastAsia" w:hAnsiTheme="minorEastAsia" w:eastAsiaTheme="minorEastAsia"/>
          <w:b/>
          <w:bCs/>
          <w:kern w:val="0"/>
          <w:sz w:val="22"/>
        </w:rPr>
        <w:t>2.1 招标文件的组成</w:t>
      </w:r>
      <w:bookmarkEnd w:id="44"/>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kern w:val="0"/>
          <w:sz w:val="22"/>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5</w:t>
      </w:r>
      <w:r>
        <w:rPr>
          <w:rFonts w:cs="Calibri" w:asciiTheme="minorEastAsia" w:hAnsiTheme="minorEastAsia" w:eastAsia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6</w:t>
      </w:r>
      <w:r>
        <w:rPr>
          <w:rFonts w:cs="Calibri" w:asciiTheme="minorEastAsia" w:hAnsiTheme="minorEastAsia" w:eastAsia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5" w:name="_Toc18230"/>
      <w:r>
        <w:rPr>
          <w:rFonts w:cs="Calibri" w:asciiTheme="minorEastAsia" w:hAnsiTheme="minorEastAsia" w:eastAsiaTheme="minorEastAsia"/>
          <w:b/>
          <w:bCs/>
          <w:kern w:val="0"/>
          <w:sz w:val="22"/>
        </w:rPr>
        <w:t>2.2 招标文件的澄清</w:t>
      </w:r>
      <w:bookmarkEnd w:id="45"/>
    </w:p>
    <w:p>
      <w:pPr>
        <w:adjustRightInd w:val="0"/>
        <w:snapToGrid w:val="0"/>
        <w:spacing w:line="360" w:lineRule="exact"/>
        <w:ind w:firstLine="440"/>
        <w:rPr>
          <w:rFonts w:cs="Calibri" w:asciiTheme="minorEastAsia" w:hAnsiTheme="minorEastAsia"/>
          <w:color w:val="000000"/>
          <w:sz w:val="22"/>
        </w:rPr>
      </w:pPr>
      <w:bookmarkStart w:id="46"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2.3 招标文件的修改</w:t>
      </w:r>
      <w:bookmarkEnd w:id="4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7" w:name="_Toc143421658"/>
      <w:bookmarkStart w:id="48" w:name="_Toc18870"/>
      <w:r>
        <w:rPr>
          <w:rFonts w:cs="Calibri" w:asciiTheme="minorEastAsia" w:hAnsiTheme="minorEastAsia" w:eastAsiaTheme="minorEastAsia"/>
          <w:b/>
          <w:bCs/>
          <w:kern w:val="0"/>
          <w:sz w:val="22"/>
        </w:rPr>
        <w:t>3.投标文件</w:t>
      </w:r>
      <w:bookmarkEnd w:id="47"/>
      <w:bookmarkEnd w:id="48"/>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9" w:name="_Toc461"/>
      <w:r>
        <w:rPr>
          <w:rFonts w:cs="Calibri" w:asciiTheme="minorEastAsia" w:hAnsiTheme="minorEastAsia" w:eastAsiaTheme="minorEastAsia"/>
          <w:b/>
          <w:bCs/>
          <w:kern w:val="0"/>
          <w:sz w:val="22"/>
        </w:rPr>
        <w:t>3.1 投标文件的语言和计量单位</w:t>
      </w:r>
      <w:bookmarkEnd w:id="49"/>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3.1.4招标文件中所指的“合同”除特别说明外，指 “</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合同”。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0" w:name="_Toc1411"/>
      <w:r>
        <w:rPr>
          <w:rFonts w:cs="Calibri" w:asciiTheme="minorEastAsia" w:hAnsiTheme="minorEastAsia" w:eastAsiaTheme="minorEastAsia"/>
          <w:b/>
          <w:bCs/>
          <w:kern w:val="0"/>
          <w:sz w:val="22"/>
        </w:rPr>
        <w:t>3.2 投标文件的组成</w:t>
      </w:r>
      <w:bookmarkEnd w:id="50"/>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51" w:name="_Toc32225"/>
      <w:r>
        <w:rPr>
          <w:rFonts w:cs="Calibri" w:asciiTheme="minorEastAsia" w:hAnsiTheme="minorEastAsia" w:eastAsiaTheme="minorEastAsia"/>
          <w:color w:val="000000"/>
          <w:sz w:val="22"/>
        </w:rPr>
        <w:t>3.2.1投标函；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2负责</w:t>
      </w:r>
      <w:r>
        <w:rPr>
          <w:rFonts w:cs="Calibri" w:asciiTheme="minorEastAsia" w:hAnsiTheme="minorEastAsia" w:eastAsiaTheme="minorEastAsia"/>
          <w:color w:val="000000"/>
          <w:sz w:val="22"/>
        </w:rPr>
        <w:t>人资格证明书；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3</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 xml:space="preserve"> 投标报价表；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3.2.5投标人资格证明文件：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hint="eastAsia" w:ascii="宋体" w:hAnsi="宋体" w:cs="Arial"/>
          <w:kern w:val="0"/>
          <w:sz w:val="22"/>
        </w:rPr>
        <w:t>执业许可证</w:t>
      </w:r>
      <w:r>
        <w:rPr>
          <w:rFonts w:hint="eastAsia" w:cs="Calibri" w:asciiTheme="minorEastAsia" w:hAnsiTheme="minorEastAsia" w:eastAsiaTheme="minorEastAsia"/>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近三年</w:t>
      </w:r>
      <w:r>
        <w:rPr>
          <w:rFonts w:hint="eastAsia" w:ascii="宋体" w:hAnsi="宋体" w:cs="Arial"/>
          <w:kern w:val="0"/>
          <w:sz w:val="22"/>
        </w:rPr>
        <w:t>（合同签订时间或部分服务期在</w:t>
      </w:r>
      <w:r>
        <w:rPr>
          <w:rFonts w:ascii="宋体" w:hAnsi="宋体" w:cs="Arial"/>
          <w:kern w:val="0"/>
          <w:sz w:val="22"/>
        </w:rPr>
        <w:t>2016年1月1日至投标截止日）</w:t>
      </w:r>
      <w:r>
        <w:rPr>
          <w:rFonts w:cs="Calibri" w:asciiTheme="minorEastAsia" w:hAnsiTheme="minorEastAsia" w:eastAsiaTheme="minorEastAsia"/>
          <w:color w:val="000000"/>
          <w:sz w:val="22"/>
        </w:rPr>
        <w:t>完成类似项目业绩情况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6</w:t>
      </w:r>
      <w:r>
        <w:rPr>
          <w:rFonts w:hint="eastAsia" w:cs="Calibri" w:asciiTheme="minorEastAsia" w:hAnsiTheme="minorEastAsia" w:eastAsiaTheme="minorEastAsia"/>
          <w:color w:val="000000"/>
          <w:sz w:val="22"/>
        </w:rPr>
        <w:t>）招标文件投标人资格要求中提供的相关材料。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3.2.6</w:t>
      </w:r>
      <w:r>
        <w:rPr>
          <w:rFonts w:hint="eastAsia" w:cs="Calibri" w:asciiTheme="minorEastAsia" w:hAnsiTheme="minorEastAsia" w:eastAsiaTheme="minorEastAsia"/>
          <w:color w:val="000000"/>
          <w:sz w:val="22"/>
        </w:rPr>
        <w:t xml:space="preserve"> </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人力配置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服务方案</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Theme="minorEastAsia" w:hAnsiTheme="minorEastAsia" w:eastAsiaTheme="minorEastAsia"/>
          <w:sz w:val="22"/>
        </w:rPr>
      </w:pPr>
      <w:r>
        <w:rPr>
          <w:rFonts w:cs="Calibri" w:asciiTheme="minorEastAsia" w:hAnsiTheme="minorEastAsia" w:eastAsiaTheme="minorEastAsia"/>
          <w:color w:val="000000"/>
          <w:sz w:val="22"/>
        </w:rPr>
        <w:t>3.2.7</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3.3 投标报价</w:t>
      </w:r>
      <w:bookmarkEnd w:id="51"/>
    </w:p>
    <w:p>
      <w:pPr>
        <w:adjustRightInd w:val="0"/>
        <w:snapToGrid w:val="0"/>
        <w:spacing w:line="360" w:lineRule="exact"/>
        <w:ind w:firstLine="440" w:firstLineChars="200"/>
        <w:rPr>
          <w:rFonts w:cs="Calibri" w:asciiTheme="minorEastAsia" w:hAnsiTheme="minorEastAsia" w:eastAsiaTheme="minorEastAsia"/>
          <w:color w:val="000000"/>
          <w:kern w:val="0"/>
          <w:sz w:val="22"/>
        </w:rPr>
      </w:pPr>
      <w:bookmarkStart w:id="52" w:name="_Toc13307"/>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.4投标报价的其他要求</w:t>
      </w:r>
      <w:r>
        <w:rPr>
          <w:rFonts w:hint="eastAsia" w:cs="Calibri" w:asciiTheme="minorEastAsia" w:hAnsiTheme="minorEastAsia" w:eastAsiaTheme="minorEastAsia"/>
          <w:color w:val="000000"/>
          <w:kern w:val="0"/>
          <w:sz w:val="22"/>
        </w:rPr>
        <w:t>：</w:t>
      </w:r>
      <w:r>
        <w:rPr>
          <w:rFonts w:hint="eastAsia" w:cs="Calibri" w:asciiTheme="minorEastAsia" w:hAnsiTheme="minorEastAsia" w:eastAsia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eastAsiaTheme="minorEastAsia"/>
          <w:b/>
          <w:color w:val="000000"/>
          <w:kern w:val="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3.4 投标有效期</w:t>
      </w:r>
      <w:bookmarkEnd w:id="52"/>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3" w:name="_Toc30464"/>
      <w:r>
        <w:rPr>
          <w:rFonts w:cs="Calibri" w:asciiTheme="minorEastAsia" w:hAnsiTheme="minorEastAsia" w:eastAsiaTheme="minorEastAsia"/>
          <w:b/>
          <w:bCs/>
          <w:kern w:val="0"/>
          <w:sz w:val="22"/>
        </w:rPr>
        <w:t>3.5 投标保证金</w:t>
      </w:r>
      <w:bookmarkEnd w:id="53"/>
      <w:r>
        <w:rPr>
          <w:rFonts w:hint="eastAsia" w:cs="Calibri" w:asciiTheme="minorEastAsia" w:hAnsiTheme="minorEastAsia" w:eastAsiaTheme="minorEastAsia"/>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4" w:name="_Toc29989"/>
      <w:r>
        <w:rPr>
          <w:rFonts w:cs="Calibri" w:asciiTheme="minorEastAsia" w:hAnsiTheme="minorEastAsia" w:eastAsiaTheme="minorEastAsia"/>
          <w:b/>
          <w:bCs/>
          <w:kern w:val="0"/>
          <w:sz w:val="22"/>
        </w:rPr>
        <w:t>3.6 投标文件的编制</w:t>
      </w:r>
      <w:bookmarkEnd w:id="5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3.6.1 投标文件应按本须知第3.2款规定的内容和第</w:t>
      </w:r>
      <w:r>
        <w:rPr>
          <w:rFonts w:hint="eastAsia" w:cs="Calibri" w:asciiTheme="minorEastAsia" w:hAnsiTheme="minorEastAsia" w:eastAsiaTheme="minorEastAsia"/>
          <w:color w:val="000000"/>
          <w:sz w:val="22"/>
        </w:rPr>
        <w:t>六</w:t>
      </w:r>
      <w:r>
        <w:rPr>
          <w:rFonts w:cs="Calibri" w:asciiTheme="minorEastAsia" w:hAnsiTheme="minorEastAsia" w:eastAsia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rPr>
        <w:t>服务期</w:t>
      </w:r>
      <w:r>
        <w:rPr>
          <w:rFonts w:cs="Calibri" w:asciiTheme="minorEastAsia" w:hAnsiTheme="minorEastAsia" w:eastAsia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 xml:space="preserve">3.6.2 </w:t>
      </w:r>
      <w:r>
        <w:rPr>
          <w:rFonts w:cs="Calibri" w:asciiTheme="minorEastAsia" w:hAnsiTheme="minorEastAsia" w:eastAsiaTheme="minorEastAsia"/>
          <w:color w:val="000000"/>
          <w:kern w:val="0"/>
          <w:sz w:val="22"/>
        </w:rPr>
        <w:t>投标文件应对招标文件有关</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期、投标有效期、招标</w:t>
      </w:r>
      <w:r>
        <w:rPr>
          <w:rFonts w:hint="eastAsia" w:cs="Calibri" w:asciiTheme="minorEastAsia" w:hAnsiTheme="minorEastAsia" w:eastAsiaTheme="minorEastAsia"/>
          <w:color w:val="000000"/>
          <w:kern w:val="0"/>
          <w:sz w:val="22"/>
        </w:rPr>
        <w:t>内容</w:t>
      </w:r>
      <w:r>
        <w:rPr>
          <w:rFonts w:cs="Calibri" w:asciiTheme="minorEastAsia" w:hAnsiTheme="minorEastAsia" w:eastAsia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3.6.4投标文件正本一份， 副本份数见投标人须知前附表。正本、副本的封面上应清楚地标记</w:t>
      </w:r>
      <w:r>
        <w:rPr>
          <w:rFonts w:cs="Calibri" w:asciiTheme="minorEastAsia" w:hAnsiTheme="minorEastAsia" w:eastAsiaTheme="minorEastAsia"/>
          <w:b/>
          <w:bCs/>
          <w:color w:val="000000"/>
          <w:sz w:val="22"/>
        </w:rPr>
        <w:t>“正本</w:t>
      </w:r>
      <w:r>
        <w:rPr>
          <w:rFonts w:cs="Calibri" w:asciiTheme="minorEastAsia" w:hAnsiTheme="minorEastAsia" w:eastAsiaTheme="minorEastAsia"/>
          <w:color w:val="000000"/>
          <w:sz w:val="22"/>
        </w:rPr>
        <w:t>”或“</w:t>
      </w:r>
      <w:r>
        <w:rPr>
          <w:rFonts w:cs="Calibri" w:asciiTheme="minorEastAsia" w:hAnsiTheme="minorEastAsia" w:eastAsiaTheme="minorEastAsia"/>
          <w:b/>
          <w:bCs/>
          <w:color w:val="000000"/>
          <w:sz w:val="22"/>
        </w:rPr>
        <w:t>副本</w:t>
      </w:r>
      <w:r>
        <w:rPr>
          <w:rFonts w:cs="Calibri" w:asciiTheme="minorEastAsia" w:hAnsiTheme="minorEastAsia" w:eastAsia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3.6.5投标文件的正本与副本应分别按A4规格装订成册，具体装订要求见投标人须知前附表规定。</w:t>
      </w:r>
      <w:bookmarkStart w:id="55" w:name="_Toc14342165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6" w:name="_Toc32652"/>
      <w:r>
        <w:rPr>
          <w:rFonts w:cs="Calibri" w:asciiTheme="minorEastAsia" w:hAnsiTheme="minorEastAsia" w:eastAsiaTheme="minorEastAsia"/>
          <w:b/>
          <w:bCs/>
          <w:kern w:val="0"/>
          <w:sz w:val="22"/>
        </w:rPr>
        <w:t>4.投标</w:t>
      </w:r>
      <w:bookmarkEnd w:id="55"/>
      <w:bookmarkEnd w:id="56"/>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7" w:name="_Toc649"/>
      <w:r>
        <w:rPr>
          <w:rFonts w:cs="Calibri" w:asciiTheme="minorEastAsia" w:hAnsiTheme="minorEastAsia" w:eastAsiaTheme="minorEastAsia"/>
          <w:b/>
          <w:bCs/>
          <w:kern w:val="0"/>
          <w:sz w:val="22"/>
        </w:rPr>
        <w:t>4.1 投标文件的密封和标识</w:t>
      </w:r>
      <w:bookmarkEnd w:id="57"/>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4.1.1</w:t>
      </w:r>
      <w:r>
        <w:rPr>
          <w:rFonts w:cs="Calibri" w:asciiTheme="minorEastAsia" w:hAnsiTheme="minorEastAsia" w:eastAsiaTheme="minorEastAsia"/>
          <w:color w:val="000000"/>
          <w:kern w:val="0"/>
          <w:sz w:val="22"/>
        </w:rPr>
        <w:t>投标文件的正本、副本可一同</w:t>
      </w:r>
      <w:r>
        <w:rPr>
          <w:rFonts w:hint="eastAsia" w:cs="Calibri" w:asciiTheme="minorEastAsia" w:hAnsiTheme="minorEastAsia" w:eastAsiaTheme="minorEastAsia"/>
          <w:color w:val="000000"/>
          <w:kern w:val="0"/>
          <w:sz w:val="22"/>
        </w:rPr>
        <w:t>密封</w:t>
      </w:r>
      <w:r>
        <w:rPr>
          <w:rFonts w:cs="Calibri" w:asciiTheme="minorEastAsia" w:hAnsiTheme="minorEastAsia" w:eastAsia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4.1.</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8" w:name="_Toc16616"/>
      <w:r>
        <w:rPr>
          <w:rFonts w:cs="Calibri" w:asciiTheme="minorEastAsia" w:hAnsiTheme="minorEastAsia" w:eastAsiaTheme="minorEastAsia"/>
          <w:b/>
          <w:bCs/>
          <w:kern w:val="0"/>
          <w:sz w:val="22"/>
        </w:rPr>
        <w:t xml:space="preserve">4.2 投标文件的递交 </w:t>
      </w:r>
      <w:bookmarkEnd w:id="58"/>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9" w:name="_Toc26099"/>
      <w:r>
        <w:rPr>
          <w:rFonts w:cs="Calibri" w:asciiTheme="minorEastAsia" w:hAnsiTheme="minorEastAsia" w:eastAsiaTheme="minorEastAsia"/>
          <w:b/>
          <w:bCs/>
          <w:kern w:val="0"/>
          <w:sz w:val="22"/>
        </w:rPr>
        <w:t>4.3 投标文件的修改和撤回</w:t>
      </w:r>
      <w:bookmarkEnd w:id="59"/>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0" w:name="_Toc29641"/>
      <w:r>
        <w:rPr>
          <w:rFonts w:cs="Calibri" w:asciiTheme="minorEastAsia" w:hAnsiTheme="minorEastAsia" w:eastAsiaTheme="minorEastAsia"/>
          <w:b/>
          <w:bCs/>
          <w:kern w:val="0"/>
          <w:sz w:val="22"/>
        </w:rPr>
        <w:t>5.开标</w:t>
      </w:r>
      <w:bookmarkEnd w:id="60"/>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1" w:name="_Toc15123"/>
      <w:r>
        <w:rPr>
          <w:rFonts w:cs="Calibri" w:asciiTheme="minorEastAsia" w:hAnsiTheme="minorEastAsia" w:eastAsiaTheme="minorEastAsia"/>
          <w:b/>
          <w:bCs/>
          <w:kern w:val="0"/>
          <w:sz w:val="22"/>
        </w:rPr>
        <w:t>5.1 开标时间和地点</w:t>
      </w:r>
      <w:bookmarkEnd w:id="6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sz w:val="22"/>
        </w:rPr>
      </w:pPr>
      <w:bookmarkStart w:id="62" w:name="_Toc7101"/>
      <w:r>
        <w:rPr>
          <w:rFonts w:cs="Calibri" w:asciiTheme="minorEastAsia" w:hAnsiTheme="minorEastAsia" w:eastAsiaTheme="minorEastAsia"/>
          <w:sz w:val="22"/>
        </w:rPr>
        <w:t>（1）委托代理人的身份证、法定代表人授权委托书</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djustRightInd w:val="0"/>
        <w:snapToGrid w:val="0"/>
        <w:spacing w:line="360" w:lineRule="exact"/>
        <w:ind w:firstLine="440" w:firstLineChars="200"/>
        <w:rPr>
          <w:rFonts w:cs="Calibri" w:asciiTheme="minorEastAsia" w:hAnsiTheme="minorEastAsia" w:eastAsiaTheme="minorEastAsia"/>
          <w:sz w:val="22"/>
        </w:rPr>
      </w:pPr>
      <w:r>
        <w:rPr>
          <w:rFonts w:cs="Calibri" w:asciiTheme="minorEastAsia" w:hAnsiTheme="minorEastAsia" w:eastAsiaTheme="minorEastAsia"/>
          <w:sz w:val="22"/>
        </w:rPr>
        <w:t>（2）投标保证金收执证明或汇款凭证或银行回单</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5.2 开标程序</w:t>
      </w:r>
      <w:bookmarkEnd w:id="62"/>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w:t>
      </w:r>
      <w:r>
        <w:rPr>
          <w:rFonts w:cs="Calibri" w:asciiTheme="minorEastAsia" w:hAnsiTheme="minorEastAsia" w:eastAsiaTheme="minorEastAsia"/>
          <w:color w:val="000000"/>
          <w:sz w:val="22"/>
        </w:rPr>
        <w:t>按照宣布的开标顺序当众开标，公布投标人名称、投标保证金的递交情况、投标报价、</w:t>
      </w:r>
      <w:r>
        <w:rPr>
          <w:rFonts w:hint="eastAsia" w:cs="Calibri" w:asciiTheme="minorEastAsia" w:hAnsiTheme="minorEastAsia" w:eastAsiaTheme="minorEastAsia"/>
          <w:color w:val="000000"/>
          <w:sz w:val="22"/>
        </w:rPr>
        <w:t>服务期</w:t>
      </w:r>
      <w:r>
        <w:rPr>
          <w:rFonts w:cs="Calibri" w:asciiTheme="minorEastAsia" w:hAnsiTheme="minorEastAsia" w:eastAsia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（8）开标结束。</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3" w:name="_Toc31578"/>
      <w:r>
        <w:rPr>
          <w:rFonts w:cs="Calibri" w:asciiTheme="minorEastAsia" w:hAnsiTheme="minorEastAsia" w:eastAsiaTheme="minorEastAsia"/>
          <w:b/>
          <w:bCs/>
          <w:kern w:val="0"/>
          <w:sz w:val="22"/>
        </w:rPr>
        <w:t>6.评标</w:t>
      </w:r>
      <w:bookmarkEnd w:id="6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4" w:name="_Toc10279"/>
      <w:r>
        <w:rPr>
          <w:rFonts w:cs="Calibri" w:asciiTheme="minorEastAsia" w:hAnsiTheme="minorEastAsia" w:eastAsiaTheme="minorEastAsia"/>
          <w:b/>
          <w:bCs/>
          <w:kern w:val="0"/>
          <w:sz w:val="22"/>
        </w:rPr>
        <w:t>6.1 评标委员会</w:t>
      </w:r>
      <w:bookmarkEnd w:id="64"/>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6.1.1</w:t>
      </w:r>
      <w:r>
        <w:rPr>
          <w:rFonts w:cs="Calibri" w:asciiTheme="minorEastAsia" w:hAnsiTheme="minorEastAsia" w:eastAsia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5" w:name="_Toc3460"/>
      <w:r>
        <w:rPr>
          <w:rFonts w:cs="Calibri" w:asciiTheme="minorEastAsia" w:hAnsiTheme="minorEastAsia" w:eastAsiaTheme="minorEastAsia"/>
          <w:b/>
          <w:bCs/>
          <w:kern w:val="0"/>
          <w:sz w:val="22"/>
        </w:rPr>
        <w:t>6.2 评标原则</w:t>
      </w:r>
      <w:bookmarkEnd w:id="6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6" w:name="_Toc28178"/>
      <w:r>
        <w:rPr>
          <w:rFonts w:cs="Calibri" w:asciiTheme="minorEastAsia" w:hAnsiTheme="minorEastAsia" w:eastAsiaTheme="minorEastAsia"/>
          <w:b/>
          <w:bCs/>
          <w:kern w:val="0"/>
          <w:sz w:val="22"/>
        </w:rPr>
        <w:t>6.3 评标</w:t>
      </w:r>
      <w:bookmarkEnd w:id="6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评标委员会按照第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章“评标方法及标准”对投标文件进行评审。第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7" w:name="_Toc24237"/>
      <w:r>
        <w:rPr>
          <w:rFonts w:cs="Calibri" w:asciiTheme="minorEastAsia" w:hAnsiTheme="minorEastAsia" w:eastAsiaTheme="minorEastAsia"/>
          <w:b/>
          <w:bCs/>
          <w:kern w:val="0"/>
          <w:sz w:val="22"/>
        </w:rPr>
        <w:t>7.合同授予</w:t>
      </w:r>
      <w:bookmarkEnd w:id="67"/>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8" w:name="_Toc18809"/>
      <w:r>
        <w:rPr>
          <w:rFonts w:cs="Calibri" w:asciiTheme="minorEastAsia" w:hAnsiTheme="minorEastAsia" w:eastAsiaTheme="minorEastAsia"/>
          <w:b/>
          <w:bCs/>
          <w:kern w:val="0"/>
          <w:sz w:val="22"/>
        </w:rPr>
        <w:t>7.1 定标方式</w:t>
      </w:r>
      <w:bookmarkEnd w:id="6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9" w:name="_Toc14573"/>
      <w:r>
        <w:rPr>
          <w:rFonts w:cs="Calibri" w:asciiTheme="minorEastAsia" w:hAnsiTheme="minorEastAsia" w:eastAsiaTheme="minorEastAsia"/>
          <w:b/>
          <w:bCs/>
          <w:kern w:val="0"/>
          <w:sz w:val="22"/>
        </w:rPr>
        <w:t>7.2 中标通知</w:t>
      </w:r>
      <w:bookmarkEnd w:id="69"/>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0" w:name="_Toc27132"/>
      <w:r>
        <w:rPr>
          <w:rFonts w:cs="Calibri" w:asciiTheme="minorEastAsia" w:hAnsiTheme="minorEastAsia" w:eastAsiaTheme="minorEastAsia"/>
          <w:b/>
          <w:bCs/>
          <w:kern w:val="0"/>
          <w:sz w:val="22"/>
        </w:rPr>
        <w:t>7.3 履约</w:t>
      </w:r>
      <w:r>
        <w:rPr>
          <w:rFonts w:hint="eastAsia" w:cs="Calibri" w:asciiTheme="minorEastAsia" w:hAnsiTheme="minorEastAsia" w:eastAsiaTheme="minorEastAsia"/>
          <w:b/>
          <w:bCs/>
          <w:kern w:val="0"/>
          <w:sz w:val="22"/>
        </w:rPr>
        <w:t>保证金</w:t>
      </w:r>
      <w:bookmarkEnd w:id="70"/>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7.3.1在签订合同前，中标人应按投标人须知前附表规定的金额</w:t>
      </w:r>
      <w:r>
        <w:rPr>
          <w:rFonts w:hint="eastAsia" w:cs="Calibri" w:asciiTheme="minorEastAsia" w:hAnsiTheme="minorEastAsia" w:eastAsiaTheme="minorEastAsia"/>
          <w:kern w:val="0"/>
          <w:sz w:val="22"/>
        </w:rPr>
        <w:t>和</w:t>
      </w:r>
      <w:r>
        <w:rPr>
          <w:rFonts w:cs="Calibri" w:asciiTheme="minorEastAsia" w:hAnsiTheme="minorEastAsia" w:eastAsiaTheme="minorEastAsia"/>
          <w:kern w:val="0"/>
          <w:sz w:val="22"/>
        </w:rPr>
        <w:t>担保形式向招标人提交履约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7.3.2 中标人不能按本章第7.3.1项要求提交履约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1" w:name="_Toc27581"/>
      <w:r>
        <w:rPr>
          <w:rFonts w:cs="Calibri" w:asciiTheme="minorEastAsia" w:hAnsiTheme="minorEastAsia" w:eastAsiaTheme="minorEastAsia"/>
          <w:b/>
          <w:bCs/>
          <w:kern w:val="0"/>
          <w:sz w:val="22"/>
        </w:rPr>
        <w:t>7.4 签订合同</w:t>
      </w:r>
      <w:bookmarkEnd w:id="7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7</w:t>
      </w:r>
      <w:r>
        <w:rPr>
          <w:rFonts w:cs="Calibri" w:asciiTheme="minorEastAsia" w:hAnsiTheme="minorEastAsia" w:eastAsia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eastAsiaTheme="minorEastAsia"/>
          <w:color w:val="000000"/>
          <w:kern w:val="0"/>
          <w:sz w:val="22"/>
        </w:rPr>
        <w:t>四</w:t>
      </w:r>
      <w:r>
        <w:rPr>
          <w:rFonts w:cs="Calibri" w:asciiTheme="minorEastAsia" w:hAnsiTheme="minorEastAsia" w:eastAsiaTheme="minorEastAsia"/>
          <w:color w:val="000000"/>
          <w:kern w:val="0"/>
          <w:sz w:val="22"/>
        </w:rPr>
        <w:t>章</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合同条款</w:t>
      </w:r>
      <w:r>
        <w:rPr>
          <w:rFonts w:hint="eastAsia" w:cs="Calibri" w:asciiTheme="minorEastAsia" w:hAnsiTheme="minorEastAsia" w:eastAsiaTheme="minorEastAsia"/>
          <w:kern w:val="0"/>
          <w:sz w:val="22"/>
        </w:rPr>
        <w:t>”</w:t>
      </w:r>
      <w:r>
        <w:rPr>
          <w:rFonts w:cs="Calibri" w:asciiTheme="minorEastAsia" w:hAnsiTheme="minorEastAsia" w:eastAsiaTheme="minorEastAsia"/>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eastAsiaTheme="minorEastAsia"/>
          <w:b/>
          <w:color w:val="000000"/>
          <w:kern w:val="0"/>
          <w:sz w:val="22"/>
        </w:rPr>
      </w:pPr>
      <w:r>
        <w:rPr>
          <w:rFonts w:hint="eastAsia" w:cs="Calibri" w:asciiTheme="minorEastAsia" w:hAnsiTheme="minorEastAsia" w:eastAsiaTheme="minorEastAsia"/>
          <w:color w:val="000000"/>
          <w:kern w:val="0"/>
          <w:sz w:val="22"/>
        </w:rPr>
        <w:t xml:space="preserve">7.4.3 </w:t>
      </w:r>
      <w:r>
        <w:rPr>
          <w:rFonts w:hint="eastAsia" w:cs="Calibri" w:asciiTheme="minorEastAsia" w:hAnsiTheme="minorEastAsia" w:eastAsia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 xml:space="preserve">7.4.4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2" w:name="_Toc219809801"/>
      <w:bookmarkStart w:id="73" w:name="_Toc220123241"/>
      <w:bookmarkStart w:id="74" w:name="_Toc11806"/>
      <w:r>
        <w:rPr>
          <w:rFonts w:cs="Calibri" w:asciiTheme="minorEastAsia" w:hAnsiTheme="minorEastAsia" w:eastAsiaTheme="minorEastAsia"/>
          <w:b/>
          <w:bCs/>
          <w:kern w:val="0"/>
          <w:sz w:val="22"/>
        </w:rPr>
        <w:t>8.重新招标和不再招标</w:t>
      </w:r>
      <w:bookmarkEnd w:id="72"/>
      <w:bookmarkEnd w:id="73"/>
      <w:bookmarkEnd w:id="74"/>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5" w:name="_Toc219809802"/>
      <w:bookmarkStart w:id="76" w:name="_Toc220123242"/>
      <w:bookmarkStart w:id="77" w:name="_Toc15553"/>
      <w:r>
        <w:rPr>
          <w:rFonts w:cs="Calibri" w:asciiTheme="minorEastAsia" w:hAnsiTheme="minorEastAsia" w:eastAsiaTheme="minorEastAsia"/>
          <w:b/>
          <w:bCs/>
          <w:kern w:val="0"/>
          <w:sz w:val="22"/>
        </w:rPr>
        <w:t>8.1 重新招标</w:t>
      </w:r>
      <w:bookmarkEnd w:id="75"/>
      <w:bookmarkEnd w:id="76"/>
      <w:bookmarkEnd w:id="7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8" w:name="_Toc18806"/>
      <w:bookmarkStart w:id="79" w:name="_Toc220123243"/>
      <w:bookmarkStart w:id="80" w:name="_Toc219809803"/>
      <w:r>
        <w:rPr>
          <w:rFonts w:cs="Calibri" w:asciiTheme="minorEastAsia" w:hAnsiTheme="minorEastAsia" w:eastAsiaTheme="minorEastAsia"/>
          <w:b/>
          <w:bCs/>
          <w:kern w:val="0"/>
          <w:sz w:val="22"/>
        </w:rPr>
        <w:t>8.2 不再招标</w:t>
      </w:r>
      <w:bookmarkEnd w:id="78"/>
      <w:bookmarkEnd w:id="79"/>
      <w:bookmarkEnd w:id="8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1" w:name="_Toc220123244"/>
      <w:bookmarkStart w:id="82" w:name="_Toc219809804"/>
      <w:bookmarkStart w:id="83" w:name="_Toc215941254"/>
      <w:bookmarkStart w:id="84" w:name="_Toc2986"/>
      <w:r>
        <w:rPr>
          <w:rFonts w:cs="Calibri" w:asciiTheme="minorEastAsia" w:hAnsiTheme="minorEastAsia" w:eastAsiaTheme="minorEastAsia"/>
          <w:b/>
          <w:bCs/>
          <w:kern w:val="0"/>
          <w:sz w:val="22"/>
        </w:rPr>
        <w:t>9.纪律和监督</w:t>
      </w:r>
      <w:bookmarkEnd w:id="81"/>
      <w:bookmarkEnd w:id="82"/>
      <w:bookmarkEnd w:id="83"/>
      <w:bookmarkEnd w:id="84"/>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5" w:name="_Toc5509"/>
      <w:bookmarkStart w:id="86" w:name="_Toc220123245"/>
      <w:bookmarkStart w:id="87" w:name="_Toc219809805"/>
      <w:r>
        <w:rPr>
          <w:rFonts w:cs="Calibri" w:asciiTheme="minorEastAsia" w:hAnsiTheme="minorEastAsia" w:eastAsiaTheme="minorEastAsia"/>
          <w:b/>
          <w:bCs/>
          <w:kern w:val="0"/>
          <w:sz w:val="22"/>
        </w:rPr>
        <w:t>9.1 对招标人的纪律要求</w:t>
      </w:r>
      <w:bookmarkEnd w:id="85"/>
      <w:bookmarkEnd w:id="86"/>
      <w:bookmarkEnd w:id="8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8" w:name="_Toc10820"/>
      <w:bookmarkStart w:id="89" w:name="_Toc220123246"/>
      <w:bookmarkStart w:id="90" w:name="_Toc219809806"/>
      <w:r>
        <w:rPr>
          <w:rFonts w:cs="Calibri" w:asciiTheme="minorEastAsia" w:hAnsiTheme="minorEastAsia" w:eastAsiaTheme="minorEastAsia"/>
          <w:b/>
          <w:bCs/>
          <w:kern w:val="0"/>
          <w:sz w:val="22"/>
        </w:rPr>
        <w:t>9.2 对投标人的纪律要求</w:t>
      </w:r>
      <w:bookmarkEnd w:id="88"/>
      <w:bookmarkEnd w:id="89"/>
      <w:bookmarkEnd w:id="9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1" w:name="_Toc219809807"/>
      <w:bookmarkStart w:id="92" w:name="_Toc220123247"/>
      <w:bookmarkStart w:id="93" w:name="_Toc10756"/>
      <w:r>
        <w:rPr>
          <w:rFonts w:cs="Calibri" w:asciiTheme="minorEastAsia" w:hAnsiTheme="minorEastAsia" w:eastAsiaTheme="minorEastAsia"/>
          <w:b/>
          <w:bCs/>
          <w:kern w:val="0"/>
          <w:sz w:val="22"/>
        </w:rPr>
        <w:t>9.3 对评标委员会成员的纪律要求</w:t>
      </w:r>
      <w:bookmarkEnd w:id="91"/>
      <w:bookmarkEnd w:id="92"/>
      <w:bookmarkEnd w:id="9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4" w:name="_Toc12792"/>
      <w:bookmarkStart w:id="95" w:name="_Toc220123248"/>
      <w:bookmarkStart w:id="96" w:name="_Toc219809808"/>
      <w:r>
        <w:rPr>
          <w:rFonts w:cs="Calibri" w:asciiTheme="minorEastAsia" w:hAnsiTheme="minorEastAsia" w:eastAsiaTheme="minorEastAsia"/>
          <w:b/>
          <w:bCs/>
          <w:kern w:val="0"/>
          <w:sz w:val="22"/>
        </w:rPr>
        <w:t>9.4 对评标活动有关的工作人员的纪律要求</w:t>
      </w:r>
      <w:bookmarkEnd w:id="94"/>
      <w:bookmarkEnd w:id="95"/>
      <w:bookmarkEnd w:id="9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7" w:name="_Toc239"/>
      <w:bookmarkStart w:id="98" w:name="_Toc219809809"/>
      <w:bookmarkStart w:id="99" w:name="_Toc220123249"/>
      <w:r>
        <w:rPr>
          <w:rFonts w:cs="Calibri" w:asciiTheme="minorEastAsia" w:hAnsiTheme="minorEastAsia" w:eastAsiaTheme="minorEastAsia"/>
          <w:b/>
          <w:bCs/>
          <w:kern w:val="0"/>
          <w:sz w:val="22"/>
        </w:rPr>
        <w:t>9.5 投诉</w:t>
      </w:r>
      <w:bookmarkEnd w:id="97"/>
      <w:bookmarkEnd w:id="98"/>
      <w:bookmarkEnd w:id="9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0" w:name="_Toc10817"/>
      <w:r>
        <w:rPr>
          <w:rFonts w:cs="Calibri" w:asciiTheme="minorEastAsia" w:hAnsiTheme="minorEastAsia" w:eastAsiaTheme="minorEastAsia"/>
          <w:b/>
          <w:bCs/>
          <w:kern w:val="0"/>
          <w:sz w:val="22"/>
        </w:rPr>
        <w:t>10. 需要补充的其他内容</w:t>
      </w:r>
      <w:bookmarkEnd w:id="100"/>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需要补充的其他内容：见投标人须知前附表。</w:t>
      </w:r>
    </w:p>
    <w:p>
      <w:pPr>
        <w:pStyle w:val="2"/>
        <w:snapToGrid w:val="0"/>
        <w:spacing w:before="0" w:after="0" w:line="360" w:lineRule="exact"/>
        <w:jc w:val="center"/>
        <w:rPr>
          <w:rFonts w:asciiTheme="minorEastAsia" w:hAnsiTheme="minorEastAsia" w:eastAsiaTheme="minorEastAsia"/>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b/>
          <w:sz w:val="28"/>
          <w:szCs w:val="28"/>
          <w:lang w:val="zh-CN"/>
        </w:rPr>
      </w:pPr>
      <w:bookmarkStart w:id="101" w:name="_Toc213036227"/>
      <w:bookmarkStart w:id="102" w:name="_Toc223327527"/>
    </w:p>
    <w:p>
      <w:pPr>
        <w:pStyle w:val="2"/>
        <w:spacing w:before="0" w:after="0" w:line="360" w:lineRule="auto"/>
        <w:jc w:val="center"/>
        <w:rPr>
          <w:rFonts w:ascii="Calibri" w:hAnsi="Calibri" w:eastAsia="黑体" w:cs="Calibri"/>
          <w:kern w:val="0"/>
          <w:sz w:val="32"/>
        </w:rPr>
      </w:pPr>
      <w:bookmarkStart w:id="103"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01"/>
      <w:bookmarkEnd w:id="102"/>
      <w:r>
        <w:rPr>
          <w:rFonts w:hint="eastAsia" w:ascii="Calibri" w:hAnsi="Calibri" w:eastAsia="黑体" w:cs="Calibri"/>
          <w:kern w:val="0"/>
          <w:sz w:val="32"/>
        </w:rPr>
        <w:t>服务技术标准及要求</w:t>
      </w:r>
      <w:bookmarkEnd w:id="103"/>
    </w:p>
    <w:p>
      <w:pPr>
        <w:widowControl/>
        <w:spacing w:line="360" w:lineRule="exact"/>
        <w:ind w:firstLine="440" w:firstLineChars="200"/>
        <w:jc w:val="lef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服务内容包含并不限于以下范围：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 按照国家税收法规、财务制度等法律规定向招标人提供资产损失和企业所得税汇算清缴鉴证服务并出具鉴证报告。</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2.向招标人提供日常的税务咨询，并随时口头或书面解答招标人提出的涉税问题，帮助招标人用足用活税收政策，合法降低税收支出。</w:t>
      </w:r>
    </w:p>
    <w:p>
      <w:pPr>
        <w:spacing w:line="360" w:lineRule="exact"/>
        <w:ind w:right="28" w:firstLine="440" w:firstLineChars="200"/>
        <w:rPr>
          <w:rFonts w:ascii="宋体" w:hAnsi="宋体"/>
          <w:color w:val="000000"/>
          <w:szCs w:val="21"/>
        </w:rPr>
      </w:pPr>
      <w:r>
        <w:rPr>
          <w:rFonts w:hint="eastAsia" w:cs="Calibri" w:asciiTheme="minorEastAsia" w:hAnsiTheme="minorEastAsia" w:eastAsiaTheme="minorEastAsia"/>
          <w:color w:val="000000"/>
          <w:sz w:val="22"/>
        </w:rPr>
        <w:t>3．</w:t>
      </w:r>
      <w:r>
        <w:rPr>
          <w:rFonts w:hint="eastAsia" w:ascii="宋体" w:hAnsi="宋体"/>
          <w:szCs w:val="21"/>
        </w:rPr>
        <w:t>对招标人</w:t>
      </w:r>
      <w:r>
        <w:rPr>
          <w:rFonts w:hint="eastAsia" w:cs="Calibri" w:asciiTheme="minorEastAsia" w:hAnsiTheme="minorEastAsia" w:eastAsiaTheme="minorEastAsia"/>
          <w:color w:val="000000"/>
          <w:sz w:val="22"/>
        </w:rPr>
        <w:t>及招标人关联的</w:t>
      </w:r>
      <w:r>
        <w:rPr>
          <w:rFonts w:cs="Calibri" w:asciiTheme="minorEastAsia" w:hAnsiTheme="minorEastAsia" w:eastAsiaTheme="minorEastAsia"/>
          <w:color w:val="000000"/>
          <w:sz w:val="22"/>
        </w:rPr>
        <w:t>8家</w:t>
      </w:r>
      <w:r>
        <w:rPr>
          <w:rFonts w:hint="eastAsia" w:cs="Calibri" w:asciiTheme="minorEastAsia" w:hAnsiTheme="minorEastAsia" w:eastAsiaTheme="minorEastAsia"/>
          <w:color w:val="000000"/>
          <w:sz w:val="22"/>
        </w:rPr>
        <w:t>公司（招标人关联的</w:t>
      </w:r>
      <w:r>
        <w:rPr>
          <w:rFonts w:cs="Calibri" w:asciiTheme="minorEastAsia" w:hAnsiTheme="minorEastAsia" w:eastAsiaTheme="minorEastAsia"/>
          <w:color w:val="000000"/>
          <w:sz w:val="22"/>
        </w:rPr>
        <w:t>8家</w:t>
      </w:r>
      <w:r>
        <w:rPr>
          <w:rFonts w:hint="eastAsia" w:cs="Calibri" w:asciiTheme="minorEastAsia" w:hAnsiTheme="minorEastAsia" w:eastAsiaTheme="minorEastAsia"/>
          <w:color w:val="000000"/>
          <w:sz w:val="22"/>
        </w:rPr>
        <w:t>公司指</w:t>
      </w:r>
      <w:r>
        <w:rPr>
          <w:rFonts w:asciiTheme="minorEastAsia" w:hAnsiTheme="minorEastAsia" w:eastAsiaTheme="minorEastAsia"/>
          <w:szCs w:val="21"/>
        </w:rPr>
        <w:t xml:space="preserve"> </w:t>
      </w:r>
      <w:r>
        <w:rPr>
          <w:rFonts w:asciiTheme="minorEastAsia" w:hAnsiTheme="minorEastAsia" w:eastAsiaTheme="minorEastAsia"/>
          <w:szCs w:val="21"/>
        </w:rPr>
        <w:tab/>
      </w:r>
      <w:r>
        <w:rPr>
          <w:rFonts w:hint="eastAsia" w:asciiTheme="minorEastAsia" w:hAnsiTheme="minorEastAsia" w:eastAsiaTheme="minorEastAsia"/>
          <w:szCs w:val="21"/>
        </w:rPr>
        <w:t>杭州萧山国际机场易行商务有限公司、杭州萧山国际机场航空物流有限公司、浙江航空开发总公司、杭州萧山国际机场汉莎航空食品有限公司、浙江航空港经济发展有限公司、杭州萧山国际机场交通运输有限公司、浙江航宇房地产开发有限责任公司、杭州萧山国际机场公务航空地面服务有限公司</w:t>
      </w:r>
      <w:r>
        <w:rPr>
          <w:rFonts w:cs="Calibri" w:asciiTheme="minorEastAsia" w:hAnsiTheme="minorEastAsia" w:eastAsiaTheme="minorEastAsia"/>
          <w:color w:val="000000"/>
          <w:sz w:val="22"/>
        </w:rPr>
        <w:t>）</w:t>
      </w:r>
      <w:r>
        <w:rPr>
          <w:rFonts w:hint="eastAsia" w:ascii="宋体" w:hAnsi="宋体"/>
          <w:szCs w:val="21"/>
        </w:rPr>
        <w:t>每年开展一次税务风险检查，</w:t>
      </w:r>
      <w:r>
        <w:rPr>
          <w:rFonts w:hint="eastAsia" w:asciiTheme="minorEastAsia" w:hAnsiTheme="minorEastAsia" w:eastAsiaTheme="minorEastAsia"/>
          <w:szCs w:val="21"/>
        </w:rPr>
        <w:t>对发现的涉税风险提供评估，提出书面建议，并指导招标人排除涉税风险，最大限度降低招标人的税务风险。</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4.为</w:t>
      </w:r>
      <w:r>
        <w:rPr>
          <w:rFonts w:hint="eastAsia" w:ascii="宋体" w:hAnsi="宋体"/>
          <w:szCs w:val="21"/>
        </w:rPr>
        <w:t>对招标人</w:t>
      </w:r>
      <w:r>
        <w:rPr>
          <w:rFonts w:hint="eastAsia" w:cs="Calibri" w:asciiTheme="minorEastAsia" w:hAnsiTheme="minorEastAsia" w:eastAsiaTheme="minorEastAsia"/>
          <w:color w:val="000000"/>
          <w:sz w:val="22"/>
        </w:rPr>
        <w:t>及招标人关联的</w:t>
      </w:r>
      <w:r>
        <w:rPr>
          <w:rFonts w:cs="Calibri" w:asciiTheme="minorEastAsia" w:hAnsiTheme="minorEastAsia" w:eastAsiaTheme="minorEastAsia"/>
          <w:color w:val="000000"/>
          <w:sz w:val="22"/>
        </w:rPr>
        <w:t>8家</w:t>
      </w:r>
      <w:r>
        <w:rPr>
          <w:rFonts w:hint="eastAsia" w:cs="Calibri" w:asciiTheme="minorEastAsia" w:hAnsiTheme="minorEastAsia" w:eastAsiaTheme="minorEastAsia"/>
          <w:color w:val="000000"/>
          <w:sz w:val="22"/>
        </w:rPr>
        <w:t>公司遇到企业改制、资产分割、资金管理及日常财务会计处理等事项，投标人根据招标人需要积极参与各类重大问题的决策会议，提供专业意见。</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w:t>
      </w:r>
      <w:r>
        <w:rPr>
          <w:rFonts w:cs="Calibri" w:asciiTheme="minorEastAsia" w:hAnsiTheme="minorEastAsia" w:eastAsiaTheme="minorEastAsia"/>
          <w:color w:val="000000"/>
          <w:sz w:val="22"/>
        </w:rPr>
        <w:t xml:space="preserve"> 参与</w:t>
      </w:r>
      <w:r>
        <w:rPr>
          <w:rFonts w:hint="eastAsia" w:cs="Calibri" w:asciiTheme="minorEastAsia" w:hAnsiTheme="minorEastAsia" w:eastAsiaTheme="minorEastAsia"/>
          <w:color w:val="000000"/>
          <w:sz w:val="22"/>
        </w:rPr>
        <w:t>招标人的经营决策。就招标人的经营决策、重要经济活动提供合法性、可行性、税收筹划，税务风险预测等方面的咨询意见，或者应招标人要求，对招标人对外签订的有关经济合同、内部管理制度等提供咨询意见或出具书面意见。</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6.当招标人与税务机关发生纳税争议，帮助进行沟通协调；在招标人遇到税务稽查前帮助事先进行税务自查审计，共同填列自查表，在税务稽查过程中全程跟踪税务稽查过程并协调处理稽查结果。</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7.每年为</w:t>
      </w:r>
      <w:r>
        <w:rPr>
          <w:rFonts w:hint="eastAsia" w:ascii="宋体" w:hAnsi="宋体"/>
          <w:szCs w:val="21"/>
        </w:rPr>
        <w:t>对招标人</w:t>
      </w:r>
      <w:r>
        <w:rPr>
          <w:rFonts w:hint="eastAsia" w:cs="Calibri" w:asciiTheme="minorEastAsia" w:hAnsiTheme="minorEastAsia" w:eastAsiaTheme="minorEastAsia"/>
          <w:color w:val="000000"/>
          <w:sz w:val="22"/>
        </w:rPr>
        <w:t>及招标人关联的</w:t>
      </w:r>
      <w:r>
        <w:rPr>
          <w:rFonts w:cs="Calibri" w:asciiTheme="minorEastAsia" w:hAnsiTheme="minorEastAsia" w:eastAsiaTheme="minorEastAsia"/>
          <w:color w:val="000000"/>
          <w:sz w:val="22"/>
        </w:rPr>
        <w:t>8家</w:t>
      </w:r>
      <w:r>
        <w:rPr>
          <w:rFonts w:hint="eastAsia" w:cs="Calibri" w:asciiTheme="minorEastAsia" w:hAnsiTheme="minorEastAsia" w:eastAsiaTheme="minorEastAsia"/>
          <w:color w:val="000000"/>
          <w:sz w:val="22"/>
        </w:rPr>
        <w:t>公司集中进行关于税务方面知识培训，每年1—3次，具体根据招标人的实际需求，培训的主题讲解最新税收、会计政策及其他相关政策、实际操作等内容，同时现场组织讨论，建立畅通交流平台。</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8.投标人需提供符合本项目服务的团队，团队人数不得少于6人，项目负责人具有注册税务师资格且取得注册税务师资格的年限不得低于10年。</w:t>
      </w:r>
    </w:p>
    <w:p>
      <w:pPr>
        <w:pStyle w:val="2"/>
        <w:spacing w:before="0" w:after="0" w:line="360" w:lineRule="auto"/>
        <w:jc w:val="center"/>
        <w:rPr>
          <w:rFonts w:ascii="Calibri" w:hAnsi="Calibri" w:eastAsia="黑体" w:cs="Calibri"/>
          <w:kern w:val="0"/>
          <w:sz w:val="32"/>
        </w:rPr>
      </w:pPr>
      <w:bookmarkStart w:id="104" w:name="_Toc448002986"/>
    </w:p>
    <w:p>
      <w:pPr>
        <w:pStyle w:val="2"/>
        <w:spacing w:before="0" w:after="0" w:line="360" w:lineRule="auto"/>
        <w:jc w:val="center"/>
        <w:rPr>
          <w:rFonts w:ascii="Calibri" w:hAnsi="Calibri" w:eastAsia="黑体" w:cs="Calibri"/>
          <w:kern w:val="0"/>
          <w:sz w:val="32"/>
        </w:rPr>
      </w:pPr>
    </w:p>
    <w:p>
      <w:pPr>
        <w:pStyle w:val="2"/>
        <w:spacing w:before="0" w:after="0" w:line="360" w:lineRule="auto"/>
        <w:jc w:val="center"/>
        <w:rPr>
          <w:rFonts w:ascii="Calibri" w:hAnsi="Calibri" w:eastAsia="黑体" w:cs="Calibri"/>
          <w:kern w:val="0"/>
          <w:sz w:val="32"/>
        </w:rPr>
      </w:pPr>
    </w:p>
    <w:p>
      <w:pPr>
        <w:pStyle w:val="2"/>
        <w:spacing w:before="0" w:after="0" w:line="360" w:lineRule="auto"/>
        <w:jc w:val="center"/>
        <w:rPr>
          <w:rFonts w:ascii="Calibri" w:hAnsi="Calibri" w:eastAsia="黑体" w:cs="Calibri"/>
          <w:kern w:val="0"/>
          <w:sz w:val="32"/>
        </w:rPr>
      </w:pPr>
    </w:p>
    <w:p>
      <w:pPr>
        <w:pStyle w:val="2"/>
        <w:spacing w:before="0" w:after="0" w:line="360" w:lineRule="auto"/>
        <w:jc w:val="center"/>
        <w:rPr>
          <w:rFonts w:ascii="Calibri" w:hAnsi="Calibri" w:eastAsia="黑体" w:cs="Calibri"/>
          <w:kern w:val="0"/>
          <w:sz w:val="32"/>
        </w:rPr>
      </w:pPr>
    </w:p>
    <w:p>
      <w:pPr>
        <w:pStyle w:val="2"/>
        <w:spacing w:before="0" w:after="0" w:line="360" w:lineRule="auto"/>
        <w:jc w:val="center"/>
        <w:rPr>
          <w:rFonts w:ascii="Calibri" w:hAnsi="Calibri" w:eastAsia="黑体" w:cs="Calibri"/>
          <w:kern w:val="0"/>
          <w:sz w:val="32"/>
        </w:rPr>
      </w:pPr>
    </w:p>
    <w:p>
      <w:pPr>
        <w:pStyle w:val="2"/>
        <w:spacing w:before="0" w:after="0" w:line="360" w:lineRule="auto"/>
        <w:jc w:val="center"/>
        <w:rPr>
          <w:rFonts w:ascii="Calibri" w:hAnsi="Calibri" w:eastAsia="黑体" w:cs="Calibri"/>
          <w:kern w:val="0"/>
          <w:sz w:val="32"/>
        </w:rPr>
      </w:pPr>
    </w:p>
    <w:p>
      <w:pPr>
        <w:pStyle w:val="2"/>
        <w:spacing w:before="0" w:after="0" w:line="360" w:lineRule="auto"/>
        <w:jc w:val="center"/>
        <w:rPr>
          <w:rFonts w:ascii="Calibri" w:hAnsi="Calibri" w:eastAsia="黑体" w:cs="Calibri"/>
          <w:kern w:val="0"/>
          <w:sz w:val="32"/>
        </w:rPr>
      </w:pPr>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04"/>
    </w:p>
    <w:p>
      <w:pPr>
        <w:rPr>
          <w:rFonts w:ascii="宋体" w:hAnsi="宋体"/>
          <w:sz w:val="24"/>
          <w:szCs w:val="24"/>
          <w:u w:val="single"/>
        </w:rPr>
      </w:pPr>
    </w:p>
    <w:p>
      <w:pPr>
        <w:jc w:val="center"/>
        <w:rPr>
          <w:rFonts w:ascii="宋体" w:hAnsi="宋体"/>
          <w:b/>
          <w:sz w:val="36"/>
          <w:szCs w:val="36"/>
        </w:rPr>
      </w:pPr>
      <w:r>
        <w:rPr>
          <w:rFonts w:hint="eastAsia" w:ascii="宋体" w:hAnsi="宋体"/>
          <w:b/>
          <w:sz w:val="36"/>
          <w:szCs w:val="36"/>
        </w:rPr>
        <w:t>税务顾问服务合同</w:t>
      </w:r>
    </w:p>
    <w:p>
      <w:pPr>
        <w:rPr>
          <w:rFonts w:ascii="宋体" w:hAnsi="宋体"/>
          <w:sz w:val="24"/>
          <w:szCs w:val="24"/>
        </w:rPr>
      </w:pPr>
    </w:p>
    <w:p>
      <w:pPr>
        <w:rPr>
          <w:rFonts w:ascii="宋体" w:hAnsi="宋体"/>
          <w:b/>
          <w:sz w:val="24"/>
          <w:szCs w:val="24"/>
        </w:rPr>
      </w:pPr>
    </w:p>
    <w:p>
      <w:pPr>
        <w:rPr>
          <w:rFonts w:asciiTheme="minorEastAsia" w:hAnsiTheme="minorEastAsia" w:eastAsiaTheme="minorEastAsia"/>
          <w:szCs w:val="21"/>
        </w:rPr>
      </w:pPr>
      <w:r>
        <w:rPr>
          <w:rFonts w:hint="eastAsia" w:ascii="宋体" w:hAnsi="宋体"/>
          <w:b/>
          <w:sz w:val="24"/>
          <w:szCs w:val="24"/>
        </w:rPr>
        <w:t xml:space="preserve">   </w:t>
      </w:r>
      <w:r>
        <w:rPr>
          <w:rFonts w:asciiTheme="minorEastAsia" w:hAnsiTheme="minorEastAsia" w:eastAsiaTheme="minorEastAsia"/>
          <w:b/>
          <w:szCs w:val="21"/>
        </w:rPr>
        <w:t xml:space="preserve">  </w:t>
      </w:r>
      <w:r>
        <w:rPr>
          <w:rFonts w:asciiTheme="minorEastAsia" w:hAnsiTheme="minorEastAsia" w:eastAsiaTheme="minorEastAsia"/>
          <w:szCs w:val="21"/>
        </w:rPr>
        <w:t xml:space="preserve"> 项目名称：杭州萧山国际机场</w:t>
      </w:r>
      <w:r>
        <w:rPr>
          <w:rFonts w:hint="eastAsia" w:asciiTheme="minorEastAsia" w:hAnsiTheme="minorEastAsia" w:eastAsiaTheme="minorEastAsia"/>
          <w:szCs w:val="21"/>
        </w:rPr>
        <w:t>有限公司</w:t>
      </w:r>
      <w:r>
        <w:rPr>
          <w:rFonts w:asciiTheme="minorEastAsia" w:hAnsiTheme="minorEastAsia" w:eastAsiaTheme="minorEastAsia"/>
          <w:szCs w:val="21"/>
        </w:rPr>
        <w:t>税务顾问项目</w:t>
      </w: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r>
        <w:rPr>
          <w:rFonts w:asciiTheme="minorEastAsia" w:hAnsiTheme="minorEastAsia" w:eastAsiaTheme="minorEastAsia"/>
          <w:szCs w:val="21"/>
        </w:rPr>
        <w:t xml:space="preserve">       委托方：</w:t>
      </w:r>
      <w:r>
        <w:rPr>
          <w:rFonts w:hint="eastAsia" w:asciiTheme="minorEastAsia" w:hAnsiTheme="minorEastAsia" w:eastAsiaTheme="minorEastAsia"/>
          <w:szCs w:val="21"/>
          <w:u w:val="single"/>
        </w:rPr>
        <w:t>杭州萧山国际机场有限公司</w:t>
      </w:r>
      <w:r>
        <w:rPr>
          <w:rFonts w:hint="eastAsia" w:asciiTheme="minorEastAsia" w:hAnsiTheme="minorEastAsia" w:eastAsiaTheme="minorEastAsia"/>
          <w:szCs w:val="21"/>
        </w:rPr>
        <w:t>（以下简称“甲方”）</w:t>
      </w:r>
    </w:p>
    <w:p>
      <w:pPr>
        <w:rPr>
          <w:rFonts w:asciiTheme="minorEastAsia" w:hAnsiTheme="minorEastAsia" w:eastAsiaTheme="minorEastAsia"/>
          <w:szCs w:val="21"/>
        </w:rPr>
      </w:pPr>
      <w:r>
        <w:rPr>
          <w:rFonts w:hint="eastAsia" w:asciiTheme="minorEastAsia" w:hAnsiTheme="minorEastAsia" w:eastAsiaTheme="minorEastAsia"/>
          <w:szCs w:val="21"/>
        </w:rPr>
        <w:t xml:space="preserve">       </w:t>
      </w:r>
    </w:p>
    <w:p>
      <w:pPr>
        <w:rPr>
          <w:rFonts w:asciiTheme="minorEastAsia" w:hAnsiTheme="minorEastAsia" w:eastAsiaTheme="minorEastAsia"/>
          <w:szCs w:val="21"/>
        </w:rPr>
      </w:pPr>
      <w:r>
        <w:rPr>
          <w:rFonts w:hint="eastAsia" w:asciiTheme="minorEastAsia" w:hAnsiTheme="minorEastAsia" w:eastAsiaTheme="minorEastAsia"/>
          <w:szCs w:val="21"/>
        </w:rPr>
        <w:t xml:space="preserve">       住所地：</w:t>
      </w:r>
    </w:p>
    <w:p>
      <w:pPr>
        <w:rPr>
          <w:rFonts w:asciiTheme="minorEastAsia" w:hAnsiTheme="minorEastAsia" w:eastAsiaTheme="minorEastAsia"/>
          <w:szCs w:val="21"/>
        </w:rPr>
      </w:pPr>
      <w:r>
        <w:rPr>
          <w:rFonts w:asciiTheme="minorEastAsia" w:hAnsiTheme="minorEastAsia" w:eastAsiaTheme="minorEastAsia"/>
          <w:szCs w:val="21"/>
        </w:rPr>
        <w:t xml:space="preserve">       </w:t>
      </w:r>
    </w:p>
    <w:p>
      <w:pPr>
        <w:rPr>
          <w:rFonts w:asciiTheme="minorEastAsia" w:hAnsiTheme="minorEastAsia" w:eastAsiaTheme="minorEastAsia"/>
          <w:szCs w:val="21"/>
        </w:rPr>
      </w:pPr>
      <w:r>
        <w:rPr>
          <w:rFonts w:asciiTheme="minorEastAsia" w:hAnsiTheme="minorEastAsia" w:eastAsiaTheme="minorEastAsia"/>
          <w:szCs w:val="21"/>
        </w:rPr>
        <w:t xml:space="preserve">       </w:t>
      </w:r>
    </w:p>
    <w:p>
      <w:pPr>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服务方：</w:t>
      </w:r>
      <w:r>
        <w:rPr>
          <w:rFonts w:asciiTheme="minorEastAsia" w:hAnsiTheme="minorEastAsia" w:eastAsiaTheme="minorEastAsia"/>
          <w:szCs w:val="21"/>
        </w:rPr>
        <w:t>________________________（</w:t>
      </w:r>
      <w:r>
        <w:rPr>
          <w:rFonts w:hint="eastAsia" w:asciiTheme="minorEastAsia" w:hAnsiTheme="minorEastAsia" w:eastAsiaTheme="minorEastAsia"/>
          <w:szCs w:val="21"/>
        </w:rPr>
        <w:t>以下简称“乙方”</w:t>
      </w:r>
      <w:r>
        <w:rPr>
          <w:rFonts w:asciiTheme="minorEastAsia" w:hAnsiTheme="minorEastAsia" w:eastAsiaTheme="minorEastAsia"/>
          <w:szCs w:val="21"/>
        </w:rPr>
        <w:t>）</w:t>
      </w:r>
    </w:p>
    <w:p>
      <w:pPr>
        <w:ind w:firstLine="840" w:firstLineChars="400"/>
        <w:rPr>
          <w:rFonts w:asciiTheme="minorEastAsia" w:hAnsiTheme="minorEastAsia" w:eastAsiaTheme="minorEastAsia"/>
          <w:szCs w:val="21"/>
        </w:rPr>
      </w:pPr>
    </w:p>
    <w:p>
      <w:pPr>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住所地：</w:t>
      </w: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r>
        <w:rPr>
          <w:rFonts w:asciiTheme="minorEastAsia" w:hAnsiTheme="minorEastAsia" w:eastAsiaTheme="minorEastAsia"/>
          <w:szCs w:val="21"/>
        </w:rPr>
        <w:t xml:space="preserve">                签订地点：杭州萧山国际机场</w:t>
      </w:r>
      <w:r>
        <w:rPr>
          <w:rFonts w:hint="eastAsia" w:asciiTheme="minorEastAsia" w:hAnsiTheme="minorEastAsia" w:eastAsiaTheme="minorEastAsia"/>
          <w:szCs w:val="21"/>
        </w:rPr>
        <w:t>内</w:t>
      </w:r>
    </w:p>
    <w:p>
      <w:pPr>
        <w:rPr>
          <w:rFonts w:asciiTheme="minorEastAsia" w:hAnsiTheme="minorEastAsia" w:eastAsiaTheme="minorEastAsia"/>
          <w:szCs w:val="21"/>
        </w:rPr>
      </w:pPr>
    </w:p>
    <w:p>
      <w:pPr>
        <w:rPr>
          <w:rFonts w:asciiTheme="minorEastAsia" w:hAnsiTheme="minorEastAsia" w:eastAsiaTheme="minorEastAsia"/>
          <w:szCs w:val="21"/>
        </w:rPr>
      </w:pPr>
      <w:r>
        <w:rPr>
          <w:rFonts w:asciiTheme="minorEastAsia" w:hAnsiTheme="minorEastAsia" w:eastAsiaTheme="minorEastAsia"/>
          <w:szCs w:val="21"/>
        </w:rPr>
        <w:t xml:space="preserve">                 签订日期：   年    月     日</w:t>
      </w:r>
    </w:p>
    <w:p>
      <w:pPr>
        <w:rPr>
          <w:rFonts w:asciiTheme="minorEastAsia" w:hAnsiTheme="minorEastAsia" w:eastAsiaTheme="minorEastAsia"/>
          <w:szCs w:val="21"/>
        </w:rPr>
      </w:pPr>
    </w:p>
    <w:p>
      <w:pPr>
        <w:spacing w:line="500" w:lineRule="exact"/>
        <w:rPr>
          <w:rFonts w:asciiTheme="minorEastAsia" w:hAnsiTheme="minorEastAsia" w:eastAsiaTheme="minorEastAsia"/>
          <w:szCs w:val="21"/>
        </w:rPr>
      </w:pPr>
    </w:p>
    <w:p>
      <w:pPr>
        <w:spacing w:line="480" w:lineRule="exact"/>
        <w:ind w:firstLine="525" w:firstLineChars="250"/>
        <w:rPr>
          <w:rFonts w:asciiTheme="minorEastAsia" w:hAnsiTheme="minorEastAsia" w:eastAsiaTheme="minorEastAsia"/>
          <w:szCs w:val="21"/>
        </w:rPr>
      </w:pPr>
      <w:r>
        <w:rPr>
          <w:rFonts w:hint="eastAsia" w:asciiTheme="minorEastAsia" w:hAnsiTheme="minorEastAsia" w:eastAsiaTheme="minorEastAsia"/>
          <w:szCs w:val="21"/>
        </w:rPr>
        <w:t>兹有甲方委托乙方提供税务顾问服务业务，根据《中华人民共和国合同法》及有关规定，经双方协商，达成如下约定</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一、</w:t>
      </w:r>
      <w:r>
        <w:rPr>
          <w:rFonts w:asciiTheme="minorEastAsia" w:hAnsiTheme="minorEastAsia" w:eastAsiaTheme="minorEastAsia"/>
          <w:szCs w:val="21"/>
        </w:rPr>
        <w:t xml:space="preserve">  </w:t>
      </w:r>
      <w:r>
        <w:rPr>
          <w:rFonts w:hint="eastAsia" w:asciiTheme="minorEastAsia" w:hAnsiTheme="minorEastAsia" w:eastAsiaTheme="minorEastAsia"/>
          <w:szCs w:val="21"/>
        </w:rPr>
        <w:t>为适应甲方（包括甲方关联的公司）具体详见附件【企业名单】）（以下简称甲方）的业务发展需要，甲方聘请乙方作为甲方的税务顾问。</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二、为确保服务质量，由乙方指定</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担本项目的负责人，</w:t>
      </w:r>
      <w:r>
        <w:rPr>
          <w:rFonts w:hint="eastAsia" w:ascii="宋体" w:hAnsi="宋体" w:cs="Arial"/>
          <w:kern w:val="0"/>
          <w:sz w:val="22"/>
        </w:rPr>
        <w:t>项目负责人具有注册税务师资格，且取得注册税务师资格的年限不得低于十年，</w:t>
      </w:r>
      <w:r>
        <w:rPr>
          <w:rFonts w:hint="eastAsia" w:asciiTheme="minorEastAsia" w:hAnsiTheme="minorEastAsia" w:eastAsiaTheme="minorEastAsia"/>
          <w:szCs w:val="21"/>
        </w:rPr>
        <w:t>具体负责处理甲方的涉税事务。</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三、</w:t>
      </w:r>
      <w:r>
        <w:rPr>
          <w:rFonts w:asciiTheme="minorEastAsia" w:hAnsiTheme="minorEastAsia" w:eastAsiaTheme="minorEastAsia"/>
          <w:szCs w:val="21"/>
        </w:rPr>
        <w:t xml:space="preserve">  </w:t>
      </w:r>
      <w:r>
        <w:rPr>
          <w:rFonts w:hint="eastAsia" w:asciiTheme="minorEastAsia" w:hAnsiTheme="minorEastAsia" w:eastAsiaTheme="minorEastAsia"/>
          <w:szCs w:val="21"/>
        </w:rPr>
        <w:t>甲方应依照本协议规定支付乙方税务顾问费。</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四、</w:t>
      </w:r>
      <w:r>
        <w:rPr>
          <w:rFonts w:asciiTheme="minorEastAsia" w:hAnsiTheme="minorEastAsia" w:eastAsiaTheme="minorEastAsia"/>
          <w:szCs w:val="21"/>
        </w:rPr>
        <w:t xml:space="preserve"> 乙方需提供包括但</w:t>
      </w:r>
      <w:r>
        <w:rPr>
          <w:rFonts w:hint="eastAsia" w:asciiTheme="minorEastAsia" w:hAnsiTheme="minorEastAsia" w:eastAsiaTheme="minorEastAsia"/>
          <w:szCs w:val="21"/>
        </w:rPr>
        <w:t>不限于下列服务内容：</w:t>
      </w:r>
    </w:p>
    <w:p>
      <w:pPr>
        <w:spacing w:line="480" w:lineRule="exact"/>
        <w:ind w:firstLine="211" w:firstLineChars="100"/>
        <w:rPr>
          <w:rFonts w:ascii="黑体" w:hAnsi="黑体" w:eastAsia="黑体"/>
          <w:b/>
          <w:szCs w:val="21"/>
        </w:rPr>
      </w:pPr>
      <w:r>
        <w:rPr>
          <w:rFonts w:hint="eastAsia" w:ascii="黑体" w:hAnsi="黑体" w:eastAsia="黑体"/>
          <w:b/>
          <w:szCs w:val="21"/>
        </w:rPr>
        <w:t>（一）涉税鉴证服务</w:t>
      </w:r>
    </w:p>
    <w:p>
      <w:pPr>
        <w:spacing w:line="480" w:lineRule="exact"/>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.按照国家税收法规的规定为甲方提供因各种原因造成的流动资产（应收帐款、存货等）、非流动资产（固定资产、对外投资等）的资产损失鉴证业务出具鉴证报告。</w:t>
      </w:r>
    </w:p>
    <w:p>
      <w:pPr>
        <w:spacing w:line="480" w:lineRule="exact"/>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为甲方提供企业所得税汇算清缴</w:t>
      </w:r>
      <w:r>
        <w:rPr>
          <w:rFonts w:hint="eastAsia" w:asciiTheme="minorEastAsia" w:hAnsiTheme="minorEastAsia" w:eastAsiaTheme="minorEastAsia"/>
          <w:szCs w:val="21"/>
        </w:rPr>
        <w:t>鉴证，一般在四季度开展预审，次年一季度进行终审并出具所得税清缴报告。</w:t>
      </w:r>
      <w:r>
        <w:rPr>
          <w:rFonts w:asciiTheme="minorEastAsia" w:hAnsiTheme="minorEastAsia" w:eastAsiaTheme="minorEastAsia"/>
          <w:szCs w:val="21"/>
        </w:rPr>
        <w:t xml:space="preserve"> </w:t>
      </w:r>
    </w:p>
    <w:p>
      <w:pPr>
        <w:spacing w:line="480" w:lineRule="exact"/>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w:t>
      </w:r>
      <w:r>
        <w:rPr>
          <w:rFonts w:asciiTheme="minorEastAsia" w:hAnsiTheme="minorEastAsia" w:eastAsiaTheme="minorEastAsia"/>
          <w:szCs w:val="21"/>
        </w:rPr>
        <w:t>甲方如有涉及企业</w:t>
      </w:r>
      <w:r>
        <w:rPr>
          <w:rFonts w:hint="eastAsia" w:asciiTheme="minorEastAsia" w:hAnsiTheme="minorEastAsia" w:eastAsiaTheme="minorEastAsia"/>
          <w:szCs w:val="21"/>
        </w:rPr>
        <w:t>税费优惠项目，乙方应协助甲方做好备案或报批工作，必要时出具鉴证报告。</w:t>
      </w:r>
    </w:p>
    <w:p>
      <w:pPr>
        <w:spacing w:line="480" w:lineRule="exact"/>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.当甲方涉及所得税退税和弥补亏损事项时，按照国家税收法规的规定为甲方出具相关鉴证报告。</w:t>
      </w:r>
    </w:p>
    <w:p>
      <w:pPr>
        <w:spacing w:line="480" w:lineRule="exact"/>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.根据甲方需要及税务机关要求为甲方出具相关涉税鉴证报告，但涉及其他重大专项报告时，应由双方友好协商再行决定。</w:t>
      </w:r>
    </w:p>
    <w:p>
      <w:pPr>
        <w:spacing w:line="480" w:lineRule="exact"/>
        <w:rPr>
          <w:rFonts w:ascii="黑体" w:hAnsi="黑体" w:eastAsia="黑体"/>
          <w:b/>
          <w:szCs w:val="21"/>
        </w:rPr>
      </w:pPr>
      <w:r>
        <w:rPr>
          <w:rFonts w:hint="eastAsia" w:ascii="黑体" w:hAnsi="黑体" w:eastAsia="黑体"/>
          <w:b/>
          <w:szCs w:val="21"/>
        </w:rPr>
        <w:t>（二）税务咨询服务</w:t>
      </w:r>
    </w:p>
    <w:p>
      <w:pPr>
        <w:spacing w:line="480" w:lineRule="exact"/>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w:t>
      </w:r>
      <w:r>
        <w:rPr>
          <w:rFonts w:asciiTheme="minorEastAsia" w:hAnsiTheme="minorEastAsia" w:eastAsiaTheme="minorEastAsia"/>
          <w:szCs w:val="21"/>
        </w:rPr>
        <w:t>按照国家税收法规、财务制度等法律规定，向甲方提供日常的税务咨询，进行纳税申报辅导，并随时口头或书面解答甲方及成员单位提出的纳税问题，</w:t>
      </w:r>
      <w:r>
        <w:rPr>
          <w:rFonts w:hint="eastAsia" w:asciiTheme="minorEastAsia" w:hAnsiTheme="minorEastAsia" w:eastAsiaTheme="minorEastAsia"/>
          <w:szCs w:val="21"/>
        </w:rPr>
        <w:t>协助</w:t>
      </w:r>
      <w:r>
        <w:rPr>
          <w:rFonts w:asciiTheme="minorEastAsia" w:hAnsiTheme="minorEastAsia" w:eastAsiaTheme="minorEastAsia"/>
          <w:szCs w:val="21"/>
        </w:rPr>
        <w:t>甲方用足用活税收政策，合理降低税收支出。</w:t>
      </w:r>
    </w:p>
    <w:p>
      <w:pPr>
        <w:spacing w:line="480" w:lineRule="exact"/>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关注甲方企业发展动态，并根据最新税收政策的变化，协助甲方做好税收优惠政策的应用。</w:t>
      </w:r>
    </w:p>
    <w:p>
      <w:pPr>
        <w:spacing w:line="480" w:lineRule="exact"/>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w:t>
      </w:r>
      <w:r>
        <w:rPr>
          <w:rFonts w:asciiTheme="minorEastAsia" w:hAnsiTheme="minorEastAsia" w:eastAsiaTheme="minorEastAsia"/>
          <w:szCs w:val="21"/>
        </w:rPr>
        <w:t>根据甲方需要，对特定项目、特定问题进行专项调研取证，为甲方设计纳税方案，包括开展纳税诊断评估，分析纳税筹划环境，提供单项及综合节税措施建议，并出具合法性、合理性论证分析报告，制</w:t>
      </w:r>
      <w:r>
        <w:rPr>
          <w:rFonts w:hint="eastAsia" w:asciiTheme="minorEastAsia" w:hAnsiTheme="minorEastAsia" w:eastAsiaTheme="minorEastAsia"/>
          <w:szCs w:val="21"/>
        </w:rPr>
        <w:t>定税收筹划方案，并辅导相关方案的实施。</w:t>
      </w:r>
    </w:p>
    <w:p>
      <w:pPr>
        <w:spacing w:line="480" w:lineRule="exact"/>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w:t>
      </w:r>
      <w:r>
        <w:rPr>
          <w:rFonts w:asciiTheme="minorEastAsia" w:hAnsiTheme="minorEastAsia" w:eastAsiaTheme="minorEastAsia"/>
          <w:szCs w:val="21"/>
        </w:rPr>
        <w:t>指导甲方涉税合同条款的订立、修改，涉税文书的制作。</w:t>
      </w:r>
    </w:p>
    <w:p>
      <w:pPr>
        <w:spacing w:line="480" w:lineRule="exact"/>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w:t>
      </w:r>
      <w:r>
        <w:rPr>
          <w:rFonts w:asciiTheme="minorEastAsia" w:hAnsiTheme="minorEastAsia" w:eastAsiaTheme="minorEastAsia"/>
          <w:szCs w:val="21"/>
        </w:rPr>
        <w:t>乙方</w:t>
      </w:r>
      <w:r>
        <w:rPr>
          <w:rFonts w:hint="eastAsia" w:asciiTheme="minorEastAsia" w:hAnsiTheme="minorEastAsia" w:eastAsiaTheme="minorEastAsia"/>
          <w:szCs w:val="21"/>
        </w:rPr>
        <w:t>根据</w:t>
      </w:r>
      <w:r>
        <w:rPr>
          <w:rFonts w:asciiTheme="minorEastAsia" w:hAnsiTheme="minorEastAsia" w:eastAsiaTheme="minorEastAsia"/>
          <w:szCs w:val="21"/>
        </w:rPr>
        <w:t>甲方需要可参与各类重大问题的决策会议，提供相关专业意见。</w:t>
      </w:r>
    </w:p>
    <w:p>
      <w:pPr>
        <w:spacing w:line="480" w:lineRule="exact"/>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w:t>
      </w:r>
      <w:r>
        <w:rPr>
          <w:rFonts w:asciiTheme="minorEastAsia" w:hAnsiTheme="minorEastAsia" w:eastAsiaTheme="minorEastAsia"/>
          <w:szCs w:val="21"/>
        </w:rPr>
        <w:t>乙方应根据甲方需要，参与甲方财税方面专题讨论会，研究探讨甲方及成员单位所遇到的财税问题，并提出专项咨询意见。</w:t>
      </w:r>
    </w:p>
    <w:p>
      <w:pPr>
        <w:spacing w:line="480" w:lineRule="exact"/>
        <w:rPr>
          <w:rFonts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w:t>
      </w:r>
      <w:r>
        <w:rPr>
          <w:rFonts w:hint="eastAsia" w:cs="Calibri" w:asciiTheme="minorEastAsia" w:hAnsiTheme="minorEastAsia" w:eastAsiaTheme="minorEastAsia"/>
          <w:color w:val="000000"/>
          <w:szCs w:val="21"/>
        </w:rPr>
        <w:t>每年为甲方（包括甲方关联的公司）集中进行关于税务方面知识培训，每年至少</w:t>
      </w:r>
      <w:r>
        <w:rPr>
          <w:rFonts w:cs="Calibri" w:asciiTheme="minorEastAsia" w:hAnsiTheme="minorEastAsia" w:eastAsiaTheme="minorEastAsia"/>
          <w:color w:val="000000"/>
          <w:szCs w:val="21"/>
        </w:rPr>
        <w:t>1—3次，具体根据招标人的实际需求，培训的主题讲解最新税收、会计政策及其他相关政策、实际操作等内容，同时现场组织讨论，建立畅通交流平台。</w:t>
      </w:r>
      <w:r>
        <w:rPr>
          <w:rFonts w:asciiTheme="minorEastAsia" w:hAnsiTheme="minorEastAsia" w:eastAsiaTheme="minorEastAsia"/>
          <w:szCs w:val="21"/>
        </w:rPr>
        <w:t>。</w:t>
      </w:r>
    </w:p>
    <w:p>
      <w:pPr>
        <w:spacing w:line="480" w:lineRule="exact"/>
        <w:ind w:right="28"/>
        <w:rPr>
          <w:rFonts w:ascii="宋体" w:hAnsi="宋体"/>
          <w:szCs w:val="21"/>
        </w:rPr>
      </w:pPr>
      <w:r>
        <w:rPr>
          <w:rFonts w:asciiTheme="minorEastAsia" w:hAnsiTheme="minorEastAsia" w:eastAsiaTheme="minorEastAsia"/>
          <w:szCs w:val="21"/>
        </w:rPr>
        <w:t>8</w:t>
      </w:r>
      <w:r>
        <w:rPr>
          <w:rFonts w:hint="eastAsia" w:asciiTheme="minorEastAsia" w:hAnsiTheme="minorEastAsia" w:eastAsiaTheme="minorEastAsia"/>
          <w:szCs w:val="21"/>
        </w:rPr>
        <w:t>.</w:t>
      </w:r>
      <w:r>
        <w:rPr>
          <w:rFonts w:hint="eastAsia" w:ascii="宋体" w:hAnsi="宋体"/>
          <w:szCs w:val="21"/>
        </w:rPr>
        <w:t>对甲方</w:t>
      </w:r>
      <w:r>
        <w:rPr>
          <w:rFonts w:hint="eastAsia" w:cs="Calibri" w:asciiTheme="minorEastAsia" w:hAnsiTheme="minorEastAsia" w:eastAsiaTheme="minorEastAsia"/>
          <w:color w:val="000000"/>
          <w:szCs w:val="21"/>
        </w:rPr>
        <w:t>（包括甲方关联的公司）</w:t>
      </w:r>
      <w:r>
        <w:rPr>
          <w:rFonts w:hint="eastAsia" w:ascii="宋体" w:hAnsi="宋体"/>
          <w:szCs w:val="21"/>
        </w:rPr>
        <w:t>运营过程中涉及的主要税种包括但不限于增值税（营改增后）、企业所得税、个人所得税等可能存在的税务风险进行整体梳理，</w:t>
      </w:r>
      <w:r>
        <w:rPr>
          <w:rFonts w:hint="eastAsia" w:asciiTheme="minorEastAsia" w:hAnsiTheme="minorEastAsia" w:eastAsiaTheme="minorEastAsia"/>
          <w:szCs w:val="21"/>
        </w:rPr>
        <w:t>每年一次的涉税风险评估，提出书面建议，最大限度降低甲方</w:t>
      </w:r>
      <w:r>
        <w:rPr>
          <w:rFonts w:hint="eastAsia" w:cs="Calibri" w:asciiTheme="minorEastAsia" w:hAnsiTheme="minorEastAsia" w:eastAsiaTheme="minorEastAsia"/>
          <w:color w:val="000000"/>
          <w:szCs w:val="21"/>
        </w:rPr>
        <w:t>（包括甲方关联的公司）</w:t>
      </w:r>
      <w:r>
        <w:rPr>
          <w:rFonts w:hint="eastAsia" w:asciiTheme="minorEastAsia" w:hAnsiTheme="minorEastAsia" w:eastAsiaTheme="minorEastAsia"/>
          <w:szCs w:val="21"/>
        </w:rPr>
        <w:t>的税务风险（检查时间由甲方确定）</w:t>
      </w:r>
      <w:r>
        <w:rPr>
          <w:rFonts w:hint="eastAsia" w:ascii="宋体" w:hAnsi="宋体"/>
          <w:szCs w:val="21"/>
        </w:rPr>
        <w:t>；</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9.其它应甲方合理要求提供的服务。</w:t>
      </w:r>
    </w:p>
    <w:p>
      <w:pPr>
        <w:spacing w:line="480" w:lineRule="exact"/>
        <w:rPr>
          <w:rFonts w:ascii="黑体" w:hAnsi="黑体" w:eastAsia="黑体"/>
          <w:b/>
          <w:szCs w:val="21"/>
        </w:rPr>
      </w:pPr>
      <w:r>
        <w:rPr>
          <w:rFonts w:hint="eastAsia" w:ascii="黑体" w:hAnsi="黑体" w:eastAsia="黑体"/>
          <w:b/>
          <w:szCs w:val="21"/>
        </w:rPr>
        <w:t>（三）税务协调</w:t>
      </w:r>
    </w:p>
    <w:p>
      <w:pPr>
        <w:spacing w:line="480" w:lineRule="exact"/>
        <w:rPr>
          <w:rFonts w:asciiTheme="minorEastAsia" w:hAnsiTheme="minorEastAsia" w:eastAsiaTheme="minorEastAsia"/>
          <w:b/>
          <w:szCs w:val="21"/>
        </w:rPr>
      </w:pPr>
      <w:r>
        <w:rPr>
          <w:rFonts w:asciiTheme="minorEastAsia" w:hAnsiTheme="minorEastAsia" w:eastAsiaTheme="minorEastAsia"/>
          <w:b/>
          <w:szCs w:val="21"/>
        </w:rPr>
        <w:t>1.纳税受理协调</w:t>
      </w:r>
    </w:p>
    <w:p>
      <w:pPr>
        <w:spacing w:line="480" w:lineRule="exact"/>
        <w:rPr>
          <w:rFonts w:asciiTheme="minorEastAsia" w:hAnsiTheme="minorEastAsia" w:eastAsiaTheme="minorEastAsia"/>
          <w:szCs w:val="21"/>
        </w:rPr>
      </w:pPr>
      <w:r>
        <w:rPr>
          <w:rFonts w:asciiTheme="minorEastAsia" w:hAnsiTheme="minorEastAsia" w:eastAsiaTheme="minorEastAsia"/>
          <w:szCs w:val="21"/>
        </w:rPr>
        <w:t>当甲方纳税申报过程中与</w:t>
      </w:r>
      <w:r>
        <w:rPr>
          <w:rFonts w:hint="eastAsia" w:asciiTheme="minorEastAsia" w:hAnsiTheme="minorEastAsia" w:eastAsiaTheme="minorEastAsia"/>
          <w:szCs w:val="21"/>
        </w:rPr>
        <w:t>需要申报税务的</w:t>
      </w:r>
      <w:r>
        <w:rPr>
          <w:rFonts w:asciiTheme="minorEastAsia" w:hAnsiTheme="minorEastAsia" w:eastAsiaTheme="minorEastAsia"/>
          <w:szCs w:val="21"/>
        </w:rPr>
        <w:t>税务</w:t>
      </w:r>
      <w:r>
        <w:rPr>
          <w:rFonts w:hint="eastAsia" w:asciiTheme="minorEastAsia" w:hAnsiTheme="minorEastAsia" w:eastAsiaTheme="minorEastAsia"/>
          <w:szCs w:val="21"/>
        </w:rPr>
        <w:t>主管部门</w:t>
      </w:r>
      <w:r>
        <w:rPr>
          <w:rFonts w:asciiTheme="minorEastAsia" w:hAnsiTheme="minorEastAsia" w:eastAsiaTheme="minorEastAsia"/>
          <w:szCs w:val="21"/>
        </w:rPr>
        <w:t>发生</w:t>
      </w:r>
      <w:r>
        <w:rPr>
          <w:rFonts w:hint="eastAsia" w:asciiTheme="minorEastAsia" w:hAnsiTheme="minorEastAsia" w:eastAsiaTheme="minorEastAsia"/>
          <w:szCs w:val="21"/>
        </w:rPr>
        <w:t>争议</w:t>
      </w:r>
      <w:r>
        <w:rPr>
          <w:rFonts w:asciiTheme="minorEastAsia" w:hAnsiTheme="minorEastAsia" w:eastAsiaTheme="minorEastAsia"/>
          <w:szCs w:val="21"/>
        </w:rPr>
        <w:t>，乙方应积极</w:t>
      </w:r>
      <w:r>
        <w:rPr>
          <w:rFonts w:hint="eastAsia" w:asciiTheme="minorEastAsia" w:hAnsiTheme="minorEastAsia" w:eastAsiaTheme="minorEastAsia"/>
          <w:szCs w:val="21"/>
        </w:rPr>
        <w:t>配合甲方落实税务事宜</w:t>
      </w:r>
      <w:r>
        <w:rPr>
          <w:rFonts w:asciiTheme="minorEastAsia" w:hAnsiTheme="minorEastAsia" w:eastAsiaTheme="minorEastAsia"/>
          <w:szCs w:val="21"/>
        </w:rPr>
        <w:t>，妥善解决</w:t>
      </w:r>
      <w:r>
        <w:rPr>
          <w:rFonts w:hint="eastAsia" w:asciiTheme="minorEastAsia" w:hAnsiTheme="minorEastAsia" w:eastAsiaTheme="minorEastAsia"/>
          <w:szCs w:val="21"/>
        </w:rPr>
        <w:t>税务争议</w:t>
      </w:r>
      <w:r>
        <w:rPr>
          <w:rFonts w:asciiTheme="minorEastAsia" w:hAnsiTheme="minorEastAsia" w:eastAsiaTheme="minorEastAsia"/>
          <w:szCs w:val="21"/>
        </w:rPr>
        <w:t>。</w:t>
      </w:r>
    </w:p>
    <w:p>
      <w:pPr>
        <w:spacing w:line="480" w:lineRule="exact"/>
        <w:rPr>
          <w:rFonts w:asciiTheme="minorEastAsia" w:hAnsiTheme="minorEastAsia" w:eastAsiaTheme="minorEastAsia"/>
          <w:b/>
          <w:szCs w:val="21"/>
        </w:rPr>
      </w:pPr>
      <w:r>
        <w:rPr>
          <w:rFonts w:asciiTheme="minorEastAsia" w:hAnsiTheme="minorEastAsia" w:eastAsiaTheme="minorEastAsia"/>
          <w:b/>
          <w:szCs w:val="21"/>
        </w:rPr>
        <w:t>2.税务稽查协调</w:t>
      </w:r>
    </w:p>
    <w:p>
      <w:pPr>
        <w:spacing w:line="480" w:lineRule="exact"/>
        <w:rPr>
          <w:rFonts w:asciiTheme="minorEastAsia" w:hAnsiTheme="minorEastAsia" w:eastAsiaTheme="minorEastAsia"/>
          <w:szCs w:val="21"/>
        </w:rPr>
      </w:pPr>
      <w:r>
        <w:rPr>
          <w:rFonts w:asciiTheme="minorEastAsia" w:hAnsiTheme="minorEastAsia" w:eastAsiaTheme="minorEastAsia"/>
          <w:szCs w:val="21"/>
        </w:rPr>
        <w:t>当甲方遇到</w:t>
      </w:r>
      <w:r>
        <w:rPr>
          <w:rFonts w:hint="eastAsia" w:asciiTheme="minorEastAsia" w:hAnsiTheme="minorEastAsia" w:eastAsiaTheme="minorEastAsia"/>
          <w:szCs w:val="21"/>
        </w:rPr>
        <w:t>税务主管部门</w:t>
      </w:r>
      <w:r>
        <w:rPr>
          <w:rFonts w:asciiTheme="minorEastAsia" w:hAnsiTheme="minorEastAsia" w:eastAsiaTheme="minorEastAsia"/>
          <w:szCs w:val="21"/>
        </w:rPr>
        <w:t>稽查，乙方应积极</w:t>
      </w:r>
      <w:r>
        <w:rPr>
          <w:rFonts w:hint="eastAsia" w:asciiTheme="minorEastAsia" w:hAnsiTheme="minorEastAsia" w:eastAsiaTheme="minorEastAsia"/>
          <w:szCs w:val="21"/>
        </w:rPr>
        <w:t>配合甲方与</w:t>
      </w:r>
      <w:r>
        <w:rPr>
          <w:rFonts w:asciiTheme="minorEastAsia" w:hAnsiTheme="minorEastAsia" w:eastAsiaTheme="minorEastAsia"/>
          <w:szCs w:val="21"/>
        </w:rPr>
        <w:t>税务</w:t>
      </w:r>
      <w:r>
        <w:rPr>
          <w:rFonts w:hint="eastAsia" w:asciiTheme="minorEastAsia" w:hAnsiTheme="minorEastAsia" w:eastAsiaTheme="minorEastAsia"/>
          <w:szCs w:val="21"/>
        </w:rPr>
        <w:t>主管部门进行</w:t>
      </w:r>
      <w:r>
        <w:rPr>
          <w:rFonts w:asciiTheme="minorEastAsia" w:hAnsiTheme="minorEastAsia" w:eastAsiaTheme="minorEastAsia"/>
          <w:szCs w:val="21"/>
        </w:rPr>
        <w:t>协调，</w:t>
      </w:r>
      <w:r>
        <w:rPr>
          <w:rFonts w:hint="eastAsia" w:asciiTheme="minorEastAsia" w:hAnsiTheme="minorEastAsia" w:eastAsiaTheme="minorEastAsia"/>
          <w:szCs w:val="21"/>
        </w:rPr>
        <w:t>解决税务主管部门提出的问题与建议，使得甲方的</w:t>
      </w:r>
      <w:r>
        <w:rPr>
          <w:rFonts w:asciiTheme="minorEastAsia" w:hAnsiTheme="minorEastAsia" w:eastAsiaTheme="minorEastAsia"/>
          <w:szCs w:val="21"/>
        </w:rPr>
        <w:t>税收成本降到最合理程度。</w:t>
      </w:r>
    </w:p>
    <w:p>
      <w:pPr>
        <w:spacing w:line="480" w:lineRule="exact"/>
        <w:rPr>
          <w:rFonts w:asciiTheme="minorEastAsia" w:hAnsiTheme="minorEastAsia" w:eastAsiaTheme="minorEastAsia"/>
          <w:b/>
          <w:szCs w:val="21"/>
        </w:rPr>
      </w:pPr>
      <w:r>
        <w:rPr>
          <w:rFonts w:asciiTheme="minorEastAsia" w:hAnsiTheme="minorEastAsia" w:eastAsiaTheme="minorEastAsia"/>
          <w:b/>
          <w:szCs w:val="21"/>
        </w:rPr>
        <w:t>3.税务报批事项及税收优惠政策协调</w:t>
      </w:r>
    </w:p>
    <w:p>
      <w:pPr>
        <w:spacing w:line="480" w:lineRule="exact"/>
        <w:rPr>
          <w:rFonts w:asciiTheme="minorEastAsia" w:hAnsiTheme="minorEastAsia" w:eastAsiaTheme="minorEastAsia"/>
          <w:szCs w:val="21"/>
        </w:rPr>
      </w:pPr>
      <w:r>
        <w:rPr>
          <w:rFonts w:asciiTheme="minorEastAsia" w:hAnsiTheme="minorEastAsia" w:eastAsiaTheme="minorEastAsia"/>
          <w:szCs w:val="21"/>
        </w:rPr>
        <w:t>乙方</w:t>
      </w:r>
      <w:r>
        <w:rPr>
          <w:rFonts w:hint="eastAsia" w:asciiTheme="minorEastAsia" w:hAnsiTheme="minorEastAsia" w:eastAsiaTheme="minorEastAsia"/>
          <w:szCs w:val="21"/>
        </w:rPr>
        <w:t>秉着</w:t>
      </w:r>
      <w:r>
        <w:rPr>
          <w:rFonts w:asciiTheme="minorEastAsia" w:hAnsiTheme="minorEastAsia" w:eastAsiaTheme="minorEastAsia"/>
          <w:szCs w:val="21"/>
        </w:rPr>
        <w:t>提高速度、效果</w:t>
      </w:r>
      <w:r>
        <w:rPr>
          <w:rFonts w:hint="eastAsia" w:asciiTheme="minorEastAsia" w:hAnsiTheme="minorEastAsia" w:eastAsiaTheme="minorEastAsia"/>
          <w:szCs w:val="21"/>
        </w:rPr>
        <w:t>为原则，</w:t>
      </w:r>
      <w:r>
        <w:rPr>
          <w:rFonts w:asciiTheme="minorEastAsia" w:hAnsiTheme="minorEastAsia" w:eastAsiaTheme="minorEastAsia"/>
          <w:szCs w:val="21"/>
        </w:rPr>
        <w:t>应积极配合甲方做好各项涉税报批事项包括</w:t>
      </w:r>
      <w:r>
        <w:rPr>
          <w:rFonts w:hint="eastAsia" w:asciiTheme="minorEastAsia" w:hAnsiTheme="minorEastAsia" w:eastAsiaTheme="minorEastAsia"/>
          <w:szCs w:val="21"/>
        </w:rPr>
        <w:t>但不限于</w:t>
      </w:r>
      <w:r>
        <w:rPr>
          <w:rFonts w:asciiTheme="minorEastAsia" w:hAnsiTheme="minorEastAsia" w:eastAsiaTheme="minorEastAsia"/>
          <w:szCs w:val="21"/>
        </w:rPr>
        <w:t>税收优惠政策的协调</w:t>
      </w:r>
      <w:r>
        <w:rPr>
          <w:rFonts w:hint="eastAsia" w:asciiTheme="minorEastAsia" w:hAnsiTheme="minorEastAsia" w:eastAsiaTheme="minorEastAsia"/>
          <w:szCs w:val="21"/>
        </w:rPr>
        <w:t>等</w:t>
      </w:r>
      <w:r>
        <w:rPr>
          <w:rFonts w:asciiTheme="minorEastAsia" w:hAnsiTheme="minorEastAsia" w:eastAsiaTheme="minorEastAsia"/>
          <w:szCs w:val="21"/>
        </w:rPr>
        <w:t>工作。</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乙方提供前述合同约定的服务，根据甲方需要积极完成落实，属于本合同项下约定的服务，不再额外支付费用。</w:t>
      </w:r>
    </w:p>
    <w:p>
      <w:pPr>
        <w:spacing w:line="480" w:lineRule="exact"/>
        <w:rPr>
          <w:rFonts w:ascii="黑体" w:hAnsi="黑体" w:eastAsia="黑体"/>
          <w:b/>
          <w:szCs w:val="21"/>
        </w:rPr>
      </w:pPr>
      <w:r>
        <w:rPr>
          <w:rFonts w:hint="eastAsia" w:ascii="黑体" w:hAnsi="黑体" w:eastAsia="黑体"/>
          <w:b/>
          <w:szCs w:val="21"/>
        </w:rPr>
        <w:t>五、本协议订立及甲方按本协议支付费用后甲方有权进行如下行为：</w:t>
      </w:r>
    </w:p>
    <w:p>
      <w:pPr>
        <w:spacing w:line="480" w:lineRule="exact"/>
        <w:ind w:firstLine="105" w:firstLineChars="50"/>
        <w:rPr>
          <w:rFonts w:asciiTheme="minorEastAsia" w:hAnsiTheme="minorEastAsia" w:eastAsiaTheme="minorEastAsia"/>
          <w:szCs w:val="21"/>
        </w:rPr>
      </w:pPr>
      <w:r>
        <w:rPr>
          <w:rFonts w:hint="eastAsia" w:asciiTheme="minorEastAsia" w:hAnsiTheme="minorEastAsia" w:eastAsiaTheme="minorEastAsia"/>
          <w:szCs w:val="21"/>
        </w:rPr>
        <w:t>（一）</w:t>
      </w:r>
      <w:r>
        <w:rPr>
          <w:rFonts w:asciiTheme="minorEastAsia" w:hAnsiTheme="minorEastAsia" w:eastAsiaTheme="minorEastAsia"/>
          <w:szCs w:val="21"/>
        </w:rPr>
        <w:t>在乙方指定注册税务师不能履行职责或工作懈怠时可向乙方提出更换指定注册税务师。</w:t>
      </w:r>
      <w:r>
        <w:rPr>
          <w:rFonts w:hint="eastAsia" w:asciiTheme="minorEastAsia" w:hAnsiTheme="minorEastAsia" w:eastAsiaTheme="minorEastAsia"/>
          <w:szCs w:val="21"/>
        </w:rPr>
        <w:t>若在收到甲方书面通知之日起</w:t>
      </w:r>
      <w:r>
        <w:rPr>
          <w:rFonts w:asciiTheme="minorEastAsia" w:hAnsiTheme="minorEastAsia" w:eastAsiaTheme="minorEastAsia"/>
          <w:szCs w:val="21"/>
        </w:rPr>
        <w:t>15</w:t>
      </w:r>
      <w:r>
        <w:rPr>
          <w:rFonts w:hint="eastAsia" w:asciiTheme="minorEastAsia" w:hAnsiTheme="minorEastAsia" w:eastAsiaTheme="minorEastAsia"/>
          <w:szCs w:val="21"/>
        </w:rPr>
        <w:t>日内，不进行更换，则甲方有权解除本合同，并全额没收乙方的履约保证金。</w:t>
      </w:r>
    </w:p>
    <w:p>
      <w:pPr>
        <w:spacing w:line="480" w:lineRule="exact"/>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（二）乙方应在合同签订之日起</w:t>
      </w:r>
      <w:r>
        <w:rPr>
          <w:rFonts w:asciiTheme="minorEastAsia" w:hAnsiTheme="minorEastAsia" w:eastAsiaTheme="minorEastAsia"/>
          <w:szCs w:val="21"/>
        </w:rPr>
        <w:t>15</w:t>
      </w:r>
      <w:r>
        <w:rPr>
          <w:rFonts w:hint="eastAsia" w:asciiTheme="minorEastAsia" w:hAnsiTheme="minorEastAsia" w:eastAsiaTheme="minorEastAsia"/>
          <w:szCs w:val="21"/>
        </w:rPr>
        <w:t>日内向甲方缴纳</w:t>
      </w:r>
      <w:r>
        <w:rPr>
          <w:rFonts w:hint="eastAsia" w:asciiTheme="minorEastAsia" w:hAnsiTheme="minorEastAsia" w:eastAsiaTheme="minorEastAsia"/>
          <w:sz w:val="22"/>
        </w:rPr>
        <w:t>首年</w:t>
      </w:r>
      <w:r>
        <w:rPr>
          <w:rFonts w:asciiTheme="minorEastAsia" w:hAnsiTheme="minorEastAsia" w:eastAsiaTheme="minorEastAsia"/>
          <w:sz w:val="22"/>
        </w:rPr>
        <w:t>合同</w:t>
      </w:r>
      <w:r>
        <w:rPr>
          <w:rFonts w:hint="eastAsia" w:asciiTheme="minorEastAsia" w:hAnsiTheme="minorEastAsia" w:eastAsiaTheme="minorEastAsia"/>
          <w:sz w:val="22"/>
        </w:rPr>
        <w:t>金额</w:t>
      </w:r>
      <w:r>
        <w:rPr>
          <w:rFonts w:asciiTheme="minorEastAsia" w:hAnsiTheme="minorEastAsia" w:eastAsiaTheme="minorEastAsia"/>
          <w:sz w:val="22"/>
        </w:rPr>
        <w:t>的10%</w:t>
      </w:r>
      <w:r>
        <w:rPr>
          <w:rFonts w:hint="eastAsia" w:asciiTheme="minorEastAsia" w:hAnsiTheme="minorEastAsia" w:eastAsiaTheme="minorEastAsia"/>
          <w:szCs w:val="21"/>
        </w:rPr>
        <w:t>人民币（¥</w:t>
      </w:r>
      <w:r>
        <w:rPr>
          <w:rFonts w:asciiTheme="minorEastAsia" w:hAnsiTheme="minorEastAsia" w:eastAsiaTheme="minorEastAsia"/>
          <w:szCs w:val="21"/>
        </w:rPr>
        <w:t xml:space="preserve">    </w:t>
      </w:r>
      <w:r>
        <w:rPr>
          <w:rFonts w:hint="eastAsia" w:asciiTheme="minorEastAsia" w:hAnsiTheme="minorEastAsia" w:eastAsiaTheme="minorEastAsia"/>
          <w:szCs w:val="21"/>
        </w:rPr>
        <w:t>元）作为履约保证金。如果乙方不及时缴纳履约保证金，甲方有权终止合同，并有权要求乙方承担由此给甲方产生的实际损失。履约保证金在本合同服务期限届满后</w:t>
      </w:r>
      <w:r>
        <w:rPr>
          <w:rFonts w:asciiTheme="minorEastAsia" w:hAnsiTheme="minorEastAsia" w:eastAsiaTheme="minorEastAsia"/>
          <w:szCs w:val="21"/>
        </w:rPr>
        <w:t>30</w:t>
      </w:r>
      <w:r>
        <w:rPr>
          <w:rFonts w:hint="eastAsia" w:asciiTheme="minorEastAsia" w:hAnsiTheme="minorEastAsia" w:eastAsiaTheme="minorEastAsia"/>
          <w:szCs w:val="21"/>
        </w:rPr>
        <w:t>日内，经甲方确认乙方不存在任何违约行为后返回给乙方（不计息）。</w:t>
      </w:r>
    </w:p>
    <w:p>
      <w:pPr>
        <w:spacing w:line="480" w:lineRule="exact"/>
        <w:rPr>
          <w:rFonts w:asciiTheme="minorEastAsia" w:hAnsiTheme="minorEastAsia"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（四）</w:t>
      </w:r>
      <w:r>
        <w:rPr>
          <w:rFonts w:asciiTheme="minorEastAsia" w:hAnsiTheme="minorEastAsia" w:eastAsiaTheme="minorEastAsia"/>
          <w:szCs w:val="21"/>
        </w:rPr>
        <w:t xml:space="preserve"> 在本合同有效期限内，如乙方有任何违约行为，甲方有权在乙方缴纳的履约保证金中扣除其相应的违约金或款项。甲方在扣除其相应的违约金或款项后，书面通知乙方扣除的金额和事由。乙方应自收到甲方书面通知之日起个3个</w:t>
      </w:r>
      <w:r>
        <w:rPr>
          <w:rFonts w:hint="eastAsia" w:asciiTheme="minorEastAsia" w:hAnsiTheme="minorEastAsia" w:eastAsiaTheme="minorEastAsia"/>
          <w:szCs w:val="21"/>
        </w:rPr>
        <w:t>日历天内补足履约保证金，如逾期不交，则视为乙方违约，甲方有权单方面终止合同，并没收剩余履约保证金。</w:t>
      </w:r>
    </w:p>
    <w:p>
      <w:pPr>
        <w:spacing w:line="480" w:lineRule="exact"/>
        <w:rPr>
          <w:rFonts w:ascii="黑体" w:hAnsi="黑体" w:eastAsia="黑体"/>
          <w:b/>
          <w:szCs w:val="21"/>
        </w:rPr>
      </w:pPr>
      <w:r>
        <w:rPr>
          <w:rFonts w:hint="eastAsia" w:ascii="黑体" w:hAnsi="黑体" w:eastAsia="黑体"/>
          <w:b/>
          <w:szCs w:val="21"/>
        </w:rPr>
        <w:t>六、甲方根据本协议乙方服务内容，承担下列费用及义务：</w:t>
      </w:r>
    </w:p>
    <w:p>
      <w:pPr>
        <w:spacing w:line="480" w:lineRule="exact"/>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（一）</w:t>
      </w:r>
      <w:r>
        <w:rPr>
          <w:rFonts w:asciiTheme="minorEastAsia" w:hAnsiTheme="minorEastAsia" w:eastAsiaTheme="minorEastAsia"/>
          <w:szCs w:val="21"/>
        </w:rPr>
        <w:t>经双方商定，甲方支付乙方税务顾问费为人民币元</w:t>
      </w:r>
      <w:r>
        <w:rPr>
          <w:rFonts w:asciiTheme="minorEastAsia" w:hAnsiTheme="minorEastAsia" w:eastAsiaTheme="minorEastAsia"/>
          <w:szCs w:val="21"/>
          <w:u w:val="single"/>
        </w:rPr>
        <w:t xml:space="preserve">    </w:t>
      </w:r>
      <w:r>
        <w:rPr>
          <w:rFonts w:asciiTheme="minorEastAsia" w:hAnsiTheme="minorEastAsia" w:eastAsiaTheme="minorEastAsia"/>
          <w:szCs w:val="21"/>
        </w:rPr>
        <w:t>/每年，三年合计</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元，甲方在每年乙方完成企业所得税汇算清缴鉴证报告后且收到乙方开具的增值税专用发票</w:t>
      </w:r>
      <w:r>
        <w:rPr>
          <w:rFonts w:asciiTheme="minorEastAsia" w:hAnsiTheme="minorEastAsia" w:eastAsiaTheme="minorEastAsia"/>
          <w:szCs w:val="21"/>
        </w:rPr>
        <w:t>15日内向乙方</w:t>
      </w:r>
      <w:r>
        <w:rPr>
          <w:rFonts w:hint="eastAsia" w:asciiTheme="minorEastAsia" w:hAnsiTheme="minorEastAsia" w:eastAsiaTheme="minorEastAsia"/>
          <w:szCs w:val="21"/>
        </w:rPr>
        <w:t>支付</w:t>
      </w:r>
      <w:r>
        <w:rPr>
          <w:rFonts w:asciiTheme="minorEastAsia" w:hAnsiTheme="minorEastAsia" w:eastAsiaTheme="minorEastAsia"/>
          <w:szCs w:val="21"/>
        </w:rPr>
        <w:t>当年费用。</w:t>
      </w:r>
    </w:p>
    <w:p>
      <w:pPr>
        <w:spacing w:line="480" w:lineRule="exact"/>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（二）</w:t>
      </w:r>
      <w:r>
        <w:rPr>
          <w:rFonts w:asciiTheme="minorEastAsia" w:hAnsiTheme="minorEastAsia" w:eastAsiaTheme="minorEastAsia"/>
          <w:szCs w:val="21"/>
        </w:rPr>
        <w:t>甲方及其成员单位指定</w:t>
      </w:r>
      <w:r>
        <w:rPr>
          <w:rFonts w:hint="eastAsia" w:asciiTheme="minorEastAsia" w:hAnsiTheme="minorEastAsia" w:eastAsiaTheme="minorEastAsia"/>
          <w:szCs w:val="21"/>
        </w:rPr>
        <w:t>两</w:t>
      </w:r>
      <w:r>
        <w:rPr>
          <w:rFonts w:asciiTheme="minorEastAsia" w:hAnsiTheme="minorEastAsia" w:eastAsiaTheme="minorEastAsia"/>
          <w:szCs w:val="21"/>
        </w:rPr>
        <w:t>名办税员与乙方及乙方指定的注册税务师</w:t>
      </w:r>
      <w:r>
        <w:rPr>
          <w:rFonts w:hint="eastAsia" w:asciiTheme="minorEastAsia" w:hAnsiTheme="minorEastAsia" w:eastAsiaTheme="minorEastAsia"/>
          <w:szCs w:val="21"/>
        </w:rPr>
        <w:t>保持联络。</w:t>
      </w:r>
    </w:p>
    <w:p>
      <w:pPr>
        <w:spacing w:line="480" w:lineRule="exact"/>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（三）</w:t>
      </w:r>
      <w:r>
        <w:rPr>
          <w:rFonts w:asciiTheme="minorEastAsia" w:hAnsiTheme="minorEastAsia" w:eastAsiaTheme="minorEastAsia"/>
          <w:szCs w:val="21"/>
        </w:rPr>
        <w:t>乙方在办理双方约定的事务时，</w:t>
      </w:r>
      <w:r>
        <w:rPr>
          <w:rFonts w:hint="eastAsia" w:asciiTheme="minorEastAsia" w:hAnsiTheme="minorEastAsia" w:eastAsiaTheme="minorEastAsia"/>
          <w:szCs w:val="21"/>
        </w:rPr>
        <w:t>所涉及的</w:t>
      </w:r>
      <w:r>
        <w:rPr>
          <w:rFonts w:asciiTheme="minorEastAsia" w:hAnsiTheme="minorEastAsia" w:eastAsiaTheme="minorEastAsia"/>
          <w:szCs w:val="21"/>
        </w:rPr>
        <w:t>费用和赴外地的差旅费</w:t>
      </w:r>
      <w:r>
        <w:rPr>
          <w:rFonts w:hint="eastAsia" w:asciiTheme="minorEastAsia" w:hAnsiTheme="minorEastAsia" w:eastAsiaTheme="minorEastAsia"/>
          <w:szCs w:val="21"/>
        </w:rPr>
        <w:t>等由乙方负责</w:t>
      </w:r>
      <w:r>
        <w:rPr>
          <w:rFonts w:asciiTheme="minorEastAsia" w:hAnsiTheme="minorEastAsia" w:eastAsiaTheme="minorEastAsia"/>
          <w:szCs w:val="21"/>
        </w:rPr>
        <w:t>。</w:t>
      </w:r>
    </w:p>
    <w:p>
      <w:pPr>
        <w:spacing w:line="480" w:lineRule="exact"/>
        <w:ind w:firstLine="210" w:firstLineChars="100"/>
        <w:rPr>
          <w:rFonts w:ascii="宋体" w:hAnsi="宋体"/>
          <w:szCs w:val="21"/>
        </w:rPr>
      </w:pPr>
      <w:r>
        <w:rPr>
          <w:rFonts w:hint="eastAsia" w:asciiTheme="minorEastAsia" w:hAnsiTheme="minorEastAsia" w:eastAsiaTheme="minorEastAsia"/>
          <w:szCs w:val="21"/>
        </w:rPr>
        <w:t>（四）甲方</w:t>
      </w:r>
      <w:r>
        <w:rPr>
          <w:rFonts w:asciiTheme="minorEastAsia" w:hAnsiTheme="minorEastAsia" w:eastAsiaTheme="minorEastAsia"/>
          <w:szCs w:val="21"/>
        </w:rPr>
        <w:t>保证资产的安全与完整，确保会计资料的真实、合法和完整，以及保证会计报表充分披露有关的信息。</w:t>
      </w:r>
    </w:p>
    <w:p>
      <w:pPr>
        <w:spacing w:line="480" w:lineRule="exact"/>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（五）甲方</w:t>
      </w:r>
      <w:r>
        <w:rPr>
          <w:rFonts w:asciiTheme="minorEastAsia" w:hAnsiTheme="minorEastAsia" w:eastAsiaTheme="minorEastAsia"/>
          <w:szCs w:val="21"/>
        </w:rPr>
        <w:t>按时为乙方的税务顾问及代理工作提供其所要求的全部会计资料和其他有关资料，及时通报有关的生产经营、财务处理变动情况。</w:t>
      </w:r>
    </w:p>
    <w:p>
      <w:pPr>
        <w:spacing w:line="480" w:lineRule="exact"/>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（六）</w:t>
      </w:r>
      <w:r>
        <w:rPr>
          <w:rFonts w:asciiTheme="minorEastAsia" w:hAnsiTheme="minorEastAsia" w:eastAsiaTheme="minorEastAsia"/>
          <w:szCs w:val="21"/>
        </w:rPr>
        <w:t>为乙方派出的工作人员提供必要的工作条件，对乙方在服务时采取的程序和方法一般不得干预。</w:t>
      </w:r>
    </w:p>
    <w:p>
      <w:pPr>
        <w:spacing w:line="480" w:lineRule="exact"/>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（七）甲方不得授意乙方人员实施违反国家法律、法规的行为。</w:t>
      </w:r>
    </w:p>
    <w:p>
      <w:pPr>
        <w:spacing w:line="480" w:lineRule="exact"/>
        <w:rPr>
          <w:rFonts w:asciiTheme="minorEastAsia" w:hAnsiTheme="minorEastAsia" w:eastAsiaTheme="minorEastAsia"/>
          <w:szCs w:val="21"/>
        </w:rPr>
      </w:pPr>
      <w:r>
        <w:rPr>
          <w:rFonts w:hint="eastAsia" w:ascii="黑体" w:hAnsi="黑体" w:eastAsia="黑体"/>
          <w:b/>
          <w:szCs w:val="21"/>
        </w:rPr>
        <w:t>七、乙方及乙方指定的注册税务师应当积极工作，履行本协议规定的服务内容，并承担对工作中接触到的甲方专利、专用技术、商业秘密及其它不宜公开的信息的保密责任。</w:t>
      </w:r>
      <w:r>
        <w:rPr>
          <w:rFonts w:hint="eastAsia" w:asciiTheme="minorEastAsia" w:hAnsiTheme="minorEastAsia" w:eastAsiaTheme="minorEastAsia"/>
          <w:szCs w:val="21"/>
        </w:rPr>
        <w:t>本条约定的乙方保密义务不因本协议的终止而终止。违反本条约定的，乙方应当就给甲方造成的实际损失承担相应赔偿责任，且甲方有权不予退还乙方缴纳的履约保证金。.</w:t>
      </w:r>
    </w:p>
    <w:p>
      <w:pPr>
        <w:spacing w:line="480" w:lineRule="exact"/>
        <w:rPr>
          <w:rFonts w:ascii="黑体" w:hAnsi="黑体" w:eastAsia="黑体"/>
          <w:b/>
          <w:szCs w:val="21"/>
        </w:rPr>
      </w:pPr>
      <w:r>
        <w:rPr>
          <w:rFonts w:hint="eastAsia" w:ascii="黑体" w:hAnsi="黑体" w:eastAsia="黑体"/>
          <w:b/>
          <w:szCs w:val="21"/>
        </w:rPr>
        <w:t>八、</w:t>
      </w:r>
      <w:r>
        <w:rPr>
          <w:rFonts w:ascii="黑体" w:hAnsi="黑体" w:eastAsia="黑体"/>
          <w:b/>
          <w:szCs w:val="21"/>
        </w:rPr>
        <w:t xml:space="preserve"> </w:t>
      </w:r>
      <w:r>
        <w:rPr>
          <w:rFonts w:hint="eastAsia" w:ascii="黑体" w:hAnsi="黑体" w:eastAsia="黑体"/>
          <w:b/>
          <w:szCs w:val="21"/>
        </w:rPr>
        <w:t>本协议有效期限为三年，自</w:t>
      </w:r>
      <w:r>
        <w:rPr>
          <w:rFonts w:ascii="黑体" w:hAnsi="黑体" w:eastAsia="黑体"/>
          <w:b/>
          <w:szCs w:val="21"/>
        </w:rPr>
        <w:t>2020</w:t>
      </w:r>
      <w:r>
        <w:rPr>
          <w:rFonts w:hint="eastAsia" w:ascii="黑体" w:hAnsi="黑体" w:eastAsia="黑体"/>
          <w:b/>
          <w:szCs w:val="21"/>
        </w:rPr>
        <w:t>年</w:t>
      </w:r>
      <w:r>
        <w:rPr>
          <w:rFonts w:ascii="黑体" w:hAnsi="黑体" w:eastAsia="黑体"/>
          <w:b/>
          <w:szCs w:val="21"/>
        </w:rPr>
        <w:t>1月1日至2022</w:t>
      </w:r>
      <w:r>
        <w:rPr>
          <w:rFonts w:hint="eastAsia" w:ascii="黑体" w:hAnsi="黑体" w:eastAsia="黑体"/>
          <w:b/>
          <w:szCs w:val="21"/>
        </w:rPr>
        <w:t>年</w:t>
      </w:r>
      <w:r>
        <w:rPr>
          <w:rFonts w:ascii="黑体" w:hAnsi="黑体" w:eastAsia="黑体"/>
          <w:b/>
          <w:szCs w:val="21"/>
        </w:rPr>
        <w:t>12月31日止。</w:t>
      </w:r>
    </w:p>
    <w:p>
      <w:pPr>
        <w:spacing w:line="480" w:lineRule="exact"/>
        <w:rPr>
          <w:rFonts w:asciiTheme="minorEastAsia" w:hAnsiTheme="minorEastAsia" w:eastAsiaTheme="minorEastAsia"/>
          <w:szCs w:val="21"/>
        </w:rPr>
      </w:pPr>
      <w:r>
        <w:rPr>
          <w:rFonts w:hint="eastAsia" w:ascii="黑体" w:hAnsi="黑体" w:eastAsia="黑体"/>
          <w:b/>
          <w:szCs w:val="21"/>
        </w:rPr>
        <w:t>九、违约责任</w:t>
      </w:r>
    </w:p>
    <w:p>
      <w:pPr>
        <w:numPr>
          <w:ilvl w:val="255"/>
          <w:numId w:val="0"/>
        </w:numPr>
        <w:spacing w:line="480" w:lineRule="exact"/>
        <w:ind w:firstLine="105" w:firstLineChars="50"/>
        <w:rPr>
          <w:rFonts w:asciiTheme="minorEastAsia" w:hAnsiTheme="minorEastAsia" w:eastAsiaTheme="minorEastAsia"/>
          <w:szCs w:val="21"/>
        </w:rPr>
      </w:pPr>
      <w:r>
        <w:rPr>
          <w:rFonts w:hint="eastAsia" w:asciiTheme="minorEastAsia" w:hAnsiTheme="minorEastAsia" w:eastAsiaTheme="minorEastAsia"/>
          <w:szCs w:val="21"/>
        </w:rPr>
        <w:t>（一））甲方无故逾期支付服务费的</w:t>
      </w:r>
      <w:r>
        <w:rPr>
          <w:rFonts w:asciiTheme="minorEastAsia" w:hAnsiTheme="minorEastAsia" w:eastAsiaTheme="minorEastAsia"/>
          <w:szCs w:val="21"/>
        </w:rPr>
        <w:t>,甲方应按逾期付款总额每日【0.05】%向乙方支付违约金。</w:t>
      </w:r>
    </w:p>
    <w:p>
      <w:pPr>
        <w:numPr>
          <w:ilvl w:val="255"/>
          <w:numId w:val="0"/>
        </w:numPr>
        <w:spacing w:line="480" w:lineRule="exact"/>
        <w:ind w:firstLine="105" w:firstLineChars="50"/>
        <w:rPr>
          <w:rFonts w:asciiTheme="minorEastAsia" w:hAnsiTheme="minorEastAsia" w:eastAsiaTheme="minorEastAsia"/>
          <w:szCs w:val="21"/>
        </w:rPr>
      </w:pPr>
      <w:r>
        <w:rPr>
          <w:rFonts w:hint="eastAsia" w:asciiTheme="minorEastAsia" w:hAnsiTheme="minorEastAsia" w:eastAsiaTheme="minorEastAsia"/>
          <w:szCs w:val="21"/>
        </w:rPr>
        <w:t>（二）乙方逾期提供服务，或者未按甲方要求完成服务的，乙方应按合同总额每日【</w:t>
      </w:r>
      <w:r>
        <w:rPr>
          <w:rFonts w:asciiTheme="minorEastAsia" w:hAnsiTheme="minorEastAsia" w:eastAsiaTheme="minorEastAsia"/>
          <w:szCs w:val="21"/>
        </w:rPr>
        <w:t>0.05】%向甲方支付违约金，由甲方从</w:t>
      </w:r>
      <w:r>
        <w:rPr>
          <w:rFonts w:hint="eastAsia" w:asciiTheme="minorEastAsia" w:hAnsiTheme="minorEastAsia" w:eastAsiaTheme="minorEastAsia"/>
          <w:szCs w:val="21"/>
        </w:rPr>
        <w:t>履约保证金中扣除。逾期超过约定日期</w:t>
      </w:r>
      <w:r>
        <w:rPr>
          <w:rFonts w:asciiTheme="minorEastAsia" w:hAnsiTheme="minorEastAsia" w:eastAsiaTheme="minorEastAsia"/>
          <w:szCs w:val="21"/>
        </w:rPr>
        <w:t>10</w:t>
      </w:r>
      <w:r>
        <w:rPr>
          <w:rFonts w:hint="eastAsia" w:asciiTheme="minorEastAsia" w:hAnsiTheme="minorEastAsia" w:eastAsiaTheme="minorEastAsia"/>
          <w:szCs w:val="21"/>
        </w:rPr>
        <w:t>个工作日的，甲方可解除本合同。</w:t>
      </w:r>
    </w:p>
    <w:p>
      <w:pPr>
        <w:numPr>
          <w:ilvl w:val="255"/>
          <w:numId w:val="0"/>
        </w:numPr>
        <w:spacing w:line="480" w:lineRule="exact"/>
        <w:ind w:firstLine="105" w:firstLineChars="50"/>
        <w:rPr>
          <w:rFonts w:asciiTheme="minorEastAsia" w:hAnsiTheme="minorEastAsia" w:eastAsiaTheme="minorEastAsia"/>
          <w:szCs w:val="21"/>
        </w:rPr>
      </w:pPr>
      <w:r>
        <w:rPr>
          <w:rFonts w:hint="eastAsia" w:asciiTheme="minorEastAsia" w:hAnsiTheme="minorEastAsia" w:eastAsiaTheme="minorEastAsia"/>
          <w:szCs w:val="21"/>
        </w:rPr>
        <w:t>（三）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numPr>
          <w:ilvl w:val="255"/>
          <w:numId w:val="0"/>
        </w:numPr>
        <w:spacing w:line="480" w:lineRule="exact"/>
        <w:ind w:firstLine="105" w:firstLineChars="50"/>
        <w:rPr>
          <w:rFonts w:asciiTheme="minorEastAsia" w:hAnsiTheme="minorEastAsia" w:eastAsiaTheme="minorEastAsia"/>
          <w:szCs w:val="21"/>
        </w:rPr>
      </w:pPr>
      <w:r>
        <w:rPr>
          <w:rFonts w:hint="eastAsia" w:asciiTheme="minorEastAsia" w:hAnsiTheme="minorEastAsia" w:eastAsiaTheme="minorEastAsia"/>
          <w:szCs w:val="21"/>
        </w:rPr>
        <w:t>（四）对于本合同项下乙方应支付的赔偿款或违约金，甲方有权从应付乙方的费用及履约保证金中直接扣除，不足的部分，继续向乙方追偿。</w:t>
      </w:r>
    </w:p>
    <w:p>
      <w:pPr>
        <w:spacing w:line="480" w:lineRule="exact"/>
        <w:ind w:firstLine="105" w:firstLineChars="50"/>
        <w:rPr>
          <w:rFonts w:asciiTheme="minorEastAsia" w:hAnsiTheme="minorEastAsia" w:eastAsiaTheme="minorEastAsia"/>
          <w:szCs w:val="21"/>
        </w:rPr>
      </w:pPr>
      <w:r>
        <w:rPr>
          <w:rFonts w:hint="eastAsia" w:asciiTheme="minorEastAsia" w:hAnsiTheme="minorEastAsia" w:eastAsiaTheme="minorEastAsia"/>
          <w:szCs w:val="21"/>
        </w:rPr>
        <w:t>（五）</w:t>
      </w:r>
      <w:r>
        <w:rPr>
          <w:rFonts w:asciiTheme="minorEastAsia" w:hAnsiTheme="minorEastAsia" w:eastAsiaTheme="minorEastAsia"/>
          <w:szCs w:val="21"/>
        </w:rPr>
        <w:t>因甲方无理由不提供乙方与此工作有关联的资料或提供的资料不真实，不完整，不及时，不准确等自身原因而</w:t>
      </w:r>
      <w:r>
        <w:rPr>
          <w:rFonts w:hint="eastAsia" w:asciiTheme="minorEastAsia" w:hAnsiTheme="minorEastAsia" w:eastAsiaTheme="minorEastAsia"/>
          <w:szCs w:val="21"/>
        </w:rPr>
        <w:t>导致</w:t>
      </w:r>
      <w:r>
        <w:rPr>
          <w:rFonts w:asciiTheme="minorEastAsia" w:hAnsiTheme="minorEastAsia" w:eastAsiaTheme="minorEastAsia"/>
          <w:szCs w:val="21"/>
        </w:rPr>
        <w:t>税务机关及其他有关部门的处罚，</w:t>
      </w:r>
      <w:r>
        <w:rPr>
          <w:rFonts w:hint="eastAsia" w:asciiTheme="minorEastAsia" w:hAnsiTheme="minorEastAsia" w:eastAsiaTheme="minorEastAsia"/>
          <w:szCs w:val="21"/>
        </w:rPr>
        <w:t>该等</w:t>
      </w:r>
      <w:r>
        <w:rPr>
          <w:rFonts w:asciiTheme="minorEastAsia" w:hAnsiTheme="minorEastAsia" w:eastAsiaTheme="minorEastAsia"/>
          <w:szCs w:val="21"/>
        </w:rPr>
        <w:t>责任由甲方负责。</w:t>
      </w:r>
      <w:r>
        <w:rPr>
          <w:rFonts w:hint="eastAsia" w:asciiTheme="minorEastAsia" w:hAnsiTheme="minorEastAsia" w:eastAsiaTheme="minorEastAsia"/>
          <w:szCs w:val="21"/>
        </w:rPr>
        <w:t>若该等原因是由于乙方的原因造成的，则甲方有权要求乙方承担该等责任。</w:t>
      </w:r>
    </w:p>
    <w:p>
      <w:pPr>
        <w:spacing w:line="480" w:lineRule="exact"/>
        <w:ind w:firstLine="105" w:firstLineChars="50"/>
        <w:rPr>
          <w:rFonts w:asciiTheme="minorEastAsia" w:hAnsiTheme="minorEastAsia" w:eastAsiaTheme="minorEastAsia" w:cstheme="minorEastAsia"/>
          <w:szCs w:val="21"/>
        </w:rPr>
      </w:pPr>
      <w:r>
        <w:rPr>
          <w:rFonts w:hint="eastAsia" w:asciiTheme="minorEastAsia" w:hAnsiTheme="minorEastAsia" w:eastAsiaTheme="minorEastAsia"/>
          <w:szCs w:val="21"/>
        </w:rPr>
        <w:t>（六）</w:t>
      </w:r>
      <w:r>
        <w:rPr>
          <w:rFonts w:asciiTheme="minorEastAsia" w:hAnsiTheme="minorEastAsia" w:eastAsiaTheme="minorEastAsia"/>
          <w:szCs w:val="21"/>
        </w:rPr>
        <w:t>乙方在</w:t>
      </w:r>
      <w:r>
        <w:rPr>
          <w:rFonts w:hint="eastAsia" w:asciiTheme="minorEastAsia" w:hAnsiTheme="minorEastAsia" w:eastAsiaTheme="minorEastAsia"/>
          <w:szCs w:val="21"/>
        </w:rPr>
        <w:t>本合同履行期间</w:t>
      </w:r>
      <w:r>
        <w:rPr>
          <w:rFonts w:asciiTheme="minorEastAsia" w:hAnsiTheme="minorEastAsia" w:eastAsiaTheme="minorEastAsia"/>
          <w:szCs w:val="21"/>
        </w:rPr>
        <w:t>已向甲方指明的不当行为或已向甲方提供的建议，经核实甲方没有改正、采纳，税务机关对此给予甲方的处罚应由甲方承担。</w:t>
      </w:r>
    </w:p>
    <w:p>
      <w:pPr>
        <w:spacing w:line="480" w:lineRule="exact"/>
        <w:rPr>
          <w:rFonts w:ascii="黑体" w:hAnsi="黑体" w:eastAsia="黑体" w:cstheme="minorEastAsia"/>
          <w:b/>
          <w:szCs w:val="21"/>
        </w:rPr>
      </w:pPr>
      <w:r>
        <w:rPr>
          <w:rFonts w:hint="eastAsia" w:ascii="黑体" w:hAnsi="黑体" w:eastAsia="黑体" w:cstheme="minorEastAsia"/>
          <w:b/>
          <w:szCs w:val="21"/>
        </w:rPr>
        <w:t>十、不可抗力事件处理</w:t>
      </w:r>
    </w:p>
    <w:p>
      <w:pPr>
        <w:spacing w:line="4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在合同有效期内，任何一方因不可抗力事件导致不能履行合同，则合同履行期可延长，其延长期与不可抗力影响期相同。</w:t>
      </w:r>
    </w:p>
    <w:p>
      <w:pPr>
        <w:spacing w:line="4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w:t>
      </w:r>
      <w:r>
        <w:rPr>
          <w:rFonts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不可抗力事件发生后，遭遇不可抗力的一方应立即通知对方，并寄送有关官方权威机构出具的证明。</w:t>
      </w:r>
    </w:p>
    <w:p>
      <w:pPr>
        <w:spacing w:line="4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（三）不可抗力事件延续</w:t>
      </w:r>
      <w:r>
        <w:rPr>
          <w:rFonts w:asciiTheme="minorEastAsia" w:hAnsiTheme="minorEastAsia" w:eastAsiaTheme="minorEastAsia" w:cstheme="minorEastAsia"/>
          <w:szCs w:val="21"/>
        </w:rPr>
        <w:t>30</w:t>
      </w:r>
      <w:r>
        <w:rPr>
          <w:rFonts w:hint="eastAsia" w:asciiTheme="minorEastAsia" w:hAnsiTheme="minorEastAsia" w:eastAsiaTheme="minorEastAsia" w:cstheme="minorEastAsia"/>
          <w:szCs w:val="21"/>
        </w:rPr>
        <w:t>天以上，双方应通过友好协商，确定是否继续履行合同；协商无法达成一致的，本合同自动终止，双方互不承担赔偿或违约责任。</w:t>
      </w:r>
    </w:p>
    <w:p>
      <w:pPr>
        <w:spacing w:line="480" w:lineRule="exact"/>
        <w:rPr>
          <w:rFonts w:ascii="黑体" w:hAnsi="黑体" w:eastAsia="黑体" w:cstheme="minorEastAsia"/>
          <w:b/>
          <w:szCs w:val="21"/>
        </w:rPr>
      </w:pPr>
      <w:r>
        <w:rPr>
          <w:rFonts w:hint="eastAsia" w:ascii="黑体" w:hAnsi="黑体" w:eastAsia="黑体" w:cstheme="minorEastAsia"/>
          <w:b/>
          <w:szCs w:val="21"/>
        </w:rPr>
        <w:t>十一、争议解决</w:t>
      </w:r>
    </w:p>
    <w:p>
      <w:pPr>
        <w:spacing w:line="4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双方在执行合同中所发生的一切争议，应通过协商解决。如协商不成，由甲方所在地的人民法院管辖审理。</w:t>
      </w:r>
    </w:p>
    <w:p>
      <w:pPr>
        <w:spacing w:line="480" w:lineRule="exact"/>
        <w:rPr>
          <w:rFonts w:ascii="黑体" w:hAnsi="黑体" w:eastAsia="黑体" w:cstheme="minorEastAsia"/>
          <w:b/>
          <w:szCs w:val="21"/>
        </w:rPr>
      </w:pPr>
      <w:r>
        <w:rPr>
          <w:rFonts w:hint="eastAsia" w:ascii="黑体" w:hAnsi="黑体" w:eastAsia="黑体" w:cstheme="minorEastAsia"/>
          <w:b/>
          <w:szCs w:val="21"/>
        </w:rPr>
        <w:t>十二、合同组成文件包含下列内容，且解释顺序如下：</w:t>
      </w:r>
    </w:p>
    <w:p>
      <w:pPr>
        <w:spacing w:line="4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asciiTheme="minorEastAsia" w:hAnsiTheme="minorEastAsia" w:eastAsiaTheme="minorEastAsia" w:cstheme="minorEastAsia"/>
          <w:szCs w:val="21"/>
        </w:rPr>
        <w:t>本合同协议书</w:t>
      </w:r>
    </w:p>
    <w:p>
      <w:pPr>
        <w:spacing w:line="480" w:lineRule="exact"/>
        <w:ind w:firstLine="105" w:firstLineChars="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w:t>
      </w:r>
      <w:r>
        <w:rPr>
          <w:rFonts w:asciiTheme="minorEastAsia" w:hAnsiTheme="minorEastAsia" w:eastAsiaTheme="minorEastAsia" w:cstheme="minorEastAsia"/>
          <w:szCs w:val="21"/>
        </w:rPr>
        <w:t>中标通知书</w:t>
      </w:r>
    </w:p>
    <w:p>
      <w:pPr>
        <w:spacing w:line="480" w:lineRule="exact"/>
        <w:ind w:firstLine="105" w:firstLineChars="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w:t>
      </w:r>
      <w:r>
        <w:rPr>
          <w:rFonts w:asciiTheme="minorEastAsia" w:hAnsiTheme="minorEastAsia" w:eastAsiaTheme="minorEastAsia" w:cstheme="minorEastAsia"/>
          <w:szCs w:val="21"/>
        </w:rPr>
        <w:t>投标书及其附件</w:t>
      </w:r>
    </w:p>
    <w:p>
      <w:pPr>
        <w:spacing w:line="480" w:lineRule="exact"/>
        <w:ind w:firstLine="105" w:firstLineChars="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asciiTheme="minorEastAsia" w:hAnsiTheme="minorEastAsia" w:eastAsiaTheme="minorEastAsia" w:cstheme="minorEastAsia"/>
          <w:szCs w:val="21"/>
        </w:rPr>
        <w:t>招标文件</w:t>
      </w:r>
    </w:p>
    <w:p>
      <w:pPr>
        <w:spacing w:line="480" w:lineRule="exact"/>
        <w:ind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w:t>
      </w:r>
      <w:r>
        <w:rPr>
          <w:rFonts w:asciiTheme="minorEastAsia" w:hAnsiTheme="minorEastAsia" w:eastAsiaTheme="minorEastAsia" w:cstheme="minorEastAsia"/>
          <w:szCs w:val="21"/>
        </w:rPr>
        <w:t>标准、规范及有关技术文件</w:t>
      </w:r>
    </w:p>
    <w:p>
      <w:pPr>
        <w:spacing w:line="480" w:lineRule="exact"/>
        <w:ind w:firstLine="105" w:firstLineChars="50"/>
        <w:rPr>
          <w:rFonts w:ascii="黑体" w:hAnsi="黑体" w:eastAsia="黑体" w:cstheme="minorEastAsia"/>
          <w:b/>
          <w:szCs w:val="21"/>
        </w:rPr>
      </w:pPr>
      <w:r>
        <w:rPr>
          <w:rFonts w:hint="eastAsia" w:ascii="黑体" w:hAnsi="黑体" w:eastAsia="黑体" w:cstheme="minorEastAsia"/>
          <w:b/>
          <w:szCs w:val="21"/>
        </w:rPr>
        <w:t>十三、合同生效及其它</w:t>
      </w:r>
    </w:p>
    <w:p>
      <w:pPr>
        <w:spacing w:line="480" w:lineRule="exact"/>
        <w:ind w:firstLine="105" w:firstLineChars="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（一）合同经双方法定代表人或授权代表签字并加盖单位公章或者合同章之日起生效。</w:t>
      </w:r>
    </w:p>
    <w:p>
      <w:pPr>
        <w:spacing w:line="480" w:lineRule="exact"/>
        <w:ind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w:t>
      </w:r>
      <w:r>
        <w:rPr>
          <w:rFonts w:asciiTheme="minorEastAsia" w:hAnsiTheme="minorEastAsia" w:eastAsiaTheme="minorEastAsia" w:cstheme="minorEastAsia"/>
          <w:szCs w:val="21"/>
        </w:rPr>
        <w:t>本合同未尽事宜，双方可签订补充协议予以执行；未达成补充协议的，遵照《合同法》及有关法律法规执行。</w:t>
      </w:r>
    </w:p>
    <w:p>
      <w:pPr>
        <w:spacing w:line="480" w:lineRule="exact"/>
        <w:ind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w:t>
      </w:r>
      <w:r>
        <w:rPr>
          <w:rFonts w:asciiTheme="minorEastAsia" w:hAnsiTheme="minorEastAsia" w:eastAsiaTheme="minorEastAsia" w:cstheme="minorEastAsia"/>
          <w:szCs w:val="21"/>
        </w:rPr>
        <w:t>本合同一式陆份，甲执四份，乙方持二份，具有同等法律效力。</w:t>
      </w:r>
    </w:p>
    <w:p>
      <w:pPr>
        <w:spacing w:line="480" w:lineRule="exact"/>
        <w:rPr>
          <w:rFonts w:asciiTheme="minorEastAsia" w:hAnsiTheme="minorEastAsia" w:eastAsiaTheme="minorEastAsia"/>
          <w:szCs w:val="21"/>
        </w:rPr>
      </w:pPr>
    </w:p>
    <w:p>
      <w:pPr>
        <w:spacing w:line="480" w:lineRule="exact"/>
        <w:rPr>
          <w:rFonts w:asciiTheme="minorEastAsia" w:hAnsiTheme="minorEastAsia" w:eastAsiaTheme="minorEastAsia"/>
          <w:szCs w:val="21"/>
        </w:rPr>
      </w:pPr>
    </w:p>
    <w:p>
      <w:pPr>
        <w:spacing w:line="480" w:lineRule="exact"/>
        <w:rPr>
          <w:rFonts w:asciiTheme="minorEastAsia" w:hAnsiTheme="minorEastAsia" w:eastAsiaTheme="minorEastAsia"/>
          <w:szCs w:val="21"/>
        </w:rPr>
      </w:pPr>
    </w:p>
    <w:p>
      <w:pPr>
        <w:spacing w:line="480" w:lineRule="exact"/>
        <w:rPr>
          <w:rFonts w:asciiTheme="minorEastAsia" w:hAnsiTheme="minorEastAsia" w:eastAsiaTheme="minorEastAsia"/>
          <w:szCs w:val="21"/>
        </w:rPr>
      </w:pPr>
    </w:p>
    <w:p>
      <w:pPr>
        <w:spacing w:line="480" w:lineRule="exact"/>
        <w:rPr>
          <w:rFonts w:asciiTheme="minorEastAsia" w:hAnsiTheme="minorEastAsia" w:eastAsiaTheme="minorEastAsia"/>
          <w:szCs w:val="21"/>
        </w:rPr>
      </w:pP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甲方：</w:t>
      </w:r>
      <w:r>
        <w:rPr>
          <w:rFonts w:asciiTheme="minorEastAsia" w:hAnsiTheme="minorEastAsia" w:eastAsiaTheme="minorEastAsia"/>
          <w:szCs w:val="21"/>
        </w:rPr>
        <w:t xml:space="preserve">                              </w:t>
      </w:r>
      <w:r>
        <w:rPr>
          <w:rFonts w:hint="eastAsia" w:asciiTheme="minorEastAsia" w:hAnsiTheme="minorEastAsia" w:eastAsiaTheme="minorEastAsia"/>
          <w:szCs w:val="21"/>
        </w:rPr>
        <w:t>乙方：</w:t>
      </w:r>
    </w:p>
    <w:p>
      <w:pPr>
        <w:spacing w:line="480" w:lineRule="exact"/>
        <w:rPr>
          <w:rFonts w:asciiTheme="minorEastAsia" w:hAnsiTheme="minorEastAsia" w:eastAsiaTheme="minorEastAsia"/>
          <w:szCs w:val="21"/>
        </w:rPr>
      </w:pPr>
      <w:r>
        <w:rPr>
          <w:rFonts w:asciiTheme="minorEastAsia" w:hAnsiTheme="minorEastAsia" w:eastAsiaTheme="minorEastAsia"/>
          <w:szCs w:val="21"/>
        </w:rPr>
        <w:t xml:space="preserve">    （盖章）                            （盖章）</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代表：（签章）</w:t>
      </w:r>
      <w:r>
        <w:rPr>
          <w:rFonts w:asciiTheme="minorEastAsia" w:hAnsiTheme="minorEastAsia" w:eastAsiaTheme="minorEastAsia"/>
          <w:szCs w:val="21"/>
        </w:rPr>
        <w:t xml:space="preserve">              </w:t>
      </w:r>
      <w:r>
        <w:rPr>
          <w:rFonts w:hint="eastAsia" w:asciiTheme="minorEastAsia" w:hAnsiTheme="minorEastAsia" w:eastAsiaTheme="minorEastAsia"/>
          <w:szCs w:val="21"/>
        </w:rPr>
        <w:t>　</w:t>
      </w:r>
      <w:r>
        <w:rPr>
          <w:rFonts w:asciiTheme="minorEastAsia" w:hAnsiTheme="minorEastAsia" w:eastAsiaTheme="minorEastAsia"/>
          <w:szCs w:val="21"/>
        </w:rPr>
        <w:t xml:space="preserve">       </w:t>
      </w:r>
      <w:r>
        <w:rPr>
          <w:rFonts w:hint="eastAsia" w:asciiTheme="minorEastAsia" w:hAnsiTheme="minorEastAsia" w:eastAsiaTheme="minorEastAsia"/>
          <w:szCs w:val="21"/>
        </w:rPr>
        <w:t>代表：（签章）</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地址：</w:t>
      </w:r>
      <w:r>
        <w:rPr>
          <w:rFonts w:asciiTheme="minorEastAsia" w:hAnsiTheme="minorEastAsia" w:eastAsiaTheme="minorEastAsia"/>
          <w:szCs w:val="21"/>
        </w:rPr>
        <w:t xml:space="preserve">                      　      地址： </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电话：</w:t>
      </w:r>
      <w:r>
        <w:rPr>
          <w:rFonts w:asciiTheme="minorEastAsia" w:hAnsiTheme="minorEastAsia" w:eastAsiaTheme="minorEastAsia"/>
          <w:szCs w:val="21"/>
        </w:rPr>
        <w:t xml:space="preserve">             　       　      电话：  </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传真：</w:t>
      </w:r>
      <w:r>
        <w:rPr>
          <w:rFonts w:asciiTheme="minorEastAsia" w:hAnsiTheme="minorEastAsia" w:eastAsiaTheme="minorEastAsia"/>
          <w:szCs w:val="21"/>
        </w:rPr>
        <w:t xml:space="preserve">               </w:t>
      </w:r>
      <w:r>
        <w:rPr>
          <w:rFonts w:hint="eastAsia" w:asciiTheme="minorEastAsia" w:hAnsiTheme="minorEastAsia" w:eastAsiaTheme="minorEastAsia"/>
          <w:szCs w:val="21"/>
        </w:rPr>
        <w:t>　　</w:t>
      </w:r>
      <w:r>
        <w:rPr>
          <w:rFonts w:asciiTheme="minorEastAsia" w:hAnsiTheme="minorEastAsia" w:eastAsiaTheme="minorEastAsia"/>
          <w:szCs w:val="21"/>
        </w:rPr>
        <w:t xml:space="preserve">           </w:t>
      </w:r>
      <w:r>
        <w:rPr>
          <w:rFonts w:hint="eastAsia" w:asciiTheme="minorEastAsia" w:hAnsiTheme="minorEastAsia" w:eastAsiaTheme="minorEastAsia"/>
          <w:szCs w:val="21"/>
        </w:rPr>
        <w:t>传真：</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开户银行：</w:t>
      </w:r>
      <w:r>
        <w:rPr>
          <w:rFonts w:asciiTheme="minorEastAsia" w:hAnsiTheme="minorEastAsia" w:eastAsiaTheme="minorEastAsia"/>
          <w:szCs w:val="21"/>
        </w:rPr>
        <w:t xml:space="preserve">                  　      开户银行： </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帐号：</w:t>
      </w:r>
      <w:r>
        <w:rPr>
          <w:rFonts w:asciiTheme="minorEastAsia" w:hAnsiTheme="minorEastAsia" w:eastAsiaTheme="minorEastAsia"/>
          <w:szCs w:val="21"/>
        </w:rPr>
        <w:t xml:space="preserve">                              </w:t>
      </w:r>
      <w:r>
        <w:rPr>
          <w:rFonts w:hint="eastAsia" w:asciiTheme="minorEastAsia" w:hAnsiTheme="minorEastAsia" w:eastAsiaTheme="minorEastAsia"/>
          <w:szCs w:val="21"/>
        </w:rPr>
        <w:t>帐号：</w:t>
      </w:r>
    </w:p>
    <w:p>
      <w:pPr>
        <w:spacing w:line="480" w:lineRule="exact"/>
        <w:rPr>
          <w:rFonts w:asciiTheme="minorEastAsia" w:hAnsiTheme="minorEastAsia" w:eastAsiaTheme="minorEastAsia"/>
          <w:szCs w:val="21"/>
        </w:rPr>
      </w:pPr>
    </w:p>
    <w:p>
      <w:pPr>
        <w:spacing w:line="480" w:lineRule="exact"/>
        <w:ind w:firstLine="722"/>
        <w:rPr>
          <w:rFonts w:asciiTheme="minorEastAsia" w:hAnsiTheme="minorEastAsia" w:eastAsiaTheme="minorEastAsia"/>
          <w:szCs w:val="21"/>
        </w:rPr>
      </w:pPr>
      <w:r>
        <w:rPr>
          <w:rFonts w:hint="eastAsia" w:asciiTheme="minorEastAsia" w:hAnsiTheme="minorEastAsia" w:eastAsiaTheme="minorEastAsia"/>
          <w:szCs w:val="21"/>
        </w:rPr>
        <w:t>年</w:t>
      </w:r>
      <w:r>
        <w:rPr>
          <w:rFonts w:asciiTheme="minorEastAsia" w:hAnsiTheme="minorEastAsia" w:eastAsiaTheme="minorEastAsia"/>
          <w:szCs w:val="21"/>
        </w:rPr>
        <w:t xml:space="preserve">    </w:t>
      </w:r>
      <w:r>
        <w:rPr>
          <w:rFonts w:hint="eastAsia" w:asciiTheme="minorEastAsia" w:hAnsiTheme="minorEastAsia" w:eastAsiaTheme="minorEastAsia"/>
          <w:szCs w:val="21"/>
        </w:rPr>
        <w:t>月</w:t>
      </w:r>
      <w:r>
        <w:rPr>
          <w:rFonts w:asciiTheme="minorEastAsia" w:hAnsiTheme="minorEastAsia" w:eastAsiaTheme="minorEastAsia"/>
          <w:szCs w:val="21"/>
        </w:rPr>
        <w:t xml:space="preserve">    </w:t>
      </w:r>
      <w:r>
        <w:rPr>
          <w:rFonts w:hint="eastAsia" w:asciiTheme="minorEastAsia" w:hAnsiTheme="minorEastAsia" w:eastAsiaTheme="minorEastAsia"/>
          <w:szCs w:val="21"/>
        </w:rPr>
        <w:t>日</w:t>
      </w:r>
      <w:r>
        <w:rPr>
          <w:rFonts w:asciiTheme="minorEastAsia" w:hAnsiTheme="minorEastAsia" w:eastAsiaTheme="minorEastAsia"/>
          <w:szCs w:val="21"/>
        </w:rPr>
        <w:t xml:space="preserve">                             </w:t>
      </w:r>
      <w:r>
        <w:rPr>
          <w:rFonts w:hint="eastAsia" w:asciiTheme="minorEastAsia" w:hAnsiTheme="minorEastAsia" w:eastAsiaTheme="minorEastAsia"/>
          <w:szCs w:val="21"/>
        </w:rPr>
        <w:t>年</w:t>
      </w:r>
      <w:r>
        <w:rPr>
          <w:rFonts w:asciiTheme="minorEastAsia" w:hAnsiTheme="minorEastAsia" w:eastAsiaTheme="minorEastAsia"/>
          <w:szCs w:val="21"/>
        </w:rPr>
        <w:t xml:space="preserve">   </w:t>
      </w:r>
      <w:r>
        <w:rPr>
          <w:rFonts w:hint="eastAsia" w:asciiTheme="minorEastAsia" w:hAnsiTheme="minorEastAsia" w:eastAsiaTheme="minorEastAsia"/>
          <w:szCs w:val="21"/>
        </w:rPr>
        <w:t>月</w:t>
      </w:r>
      <w:r>
        <w:rPr>
          <w:rFonts w:asciiTheme="minorEastAsia" w:hAnsiTheme="minorEastAsia" w:eastAsiaTheme="minorEastAsia"/>
          <w:szCs w:val="21"/>
        </w:rPr>
        <w:t xml:space="preserve">    </w:t>
      </w:r>
      <w:r>
        <w:rPr>
          <w:rFonts w:hint="eastAsia" w:asciiTheme="minorEastAsia" w:hAnsiTheme="minorEastAsia" w:eastAsiaTheme="minorEastAsia"/>
          <w:szCs w:val="21"/>
        </w:rPr>
        <w:t>日</w:t>
      </w:r>
    </w:p>
    <w:p>
      <w:pPr>
        <w:spacing w:line="480" w:lineRule="exact"/>
        <w:ind w:firstLine="725" w:firstLineChars="344"/>
        <w:rPr>
          <w:rFonts w:asciiTheme="minorEastAsia" w:hAnsiTheme="minorEastAsia" w:eastAsiaTheme="minorEastAsia"/>
          <w:b/>
          <w:szCs w:val="21"/>
        </w:rPr>
      </w:pPr>
    </w:p>
    <w:p>
      <w:pPr>
        <w:spacing w:line="480" w:lineRule="exact"/>
        <w:ind w:firstLine="725" w:firstLineChars="344"/>
        <w:rPr>
          <w:rFonts w:asciiTheme="minorEastAsia" w:hAnsiTheme="minorEastAsia" w:eastAsiaTheme="minorEastAsia"/>
          <w:b/>
          <w:szCs w:val="21"/>
        </w:rPr>
      </w:pPr>
    </w:p>
    <w:p>
      <w:pPr>
        <w:spacing w:line="480" w:lineRule="exact"/>
        <w:ind w:firstLine="725" w:firstLineChars="344"/>
        <w:rPr>
          <w:rFonts w:asciiTheme="minorEastAsia" w:hAnsiTheme="minorEastAsia" w:eastAsiaTheme="minorEastAsia"/>
          <w:b/>
          <w:szCs w:val="21"/>
        </w:rPr>
      </w:pPr>
    </w:p>
    <w:p>
      <w:pPr>
        <w:spacing w:line="480" w:lineRule="exact"/>
        <w:ind w:firstLine="725" w:firstLineChars="344"/>
        <w:rPr>
          <w:rFonts w:asciiTheme="minorEastAsia" w:hAnsiTheme="minorEastAsia" w:eastAsiaTheme="minorEastAsia"/>
          <w:b/>
          <w:szCs w:val="21"/>
        </w:rPr>
      </w:pPr>
    </w:p>
    <w:p>
      <w:pPr>
        <w:spacing w:line="480" w:lineRule="exact"/>
        <w:ind w:firstLine="725" w:firstLineChars="344"/>
        <w:rPr>
          <w:rFonts w:asciiTheme="minorEastAsia" w:hAnsiTheme="minorEastAsia" w:eastAsiaTheme="minorEastAsia"/>
          <w:b/>
          <w:szCs w:val="21"/>
        </w:rPr>
      </w:pPr>
    </w:p>
    <w:p>
      <w:pPr>
        <w:spacing w:line="480" w:lineRule="exact"/>
        <w:ind w:firstLine="725" w:firstLineChars="344"/>
        <w:rPr>
          <w:rFonts w:asciiTheme="minorEastAsia" w:hAnsiTheme="minorEastAsia" w:eastAsiaTheme="minorEastAsia"/>
          <w:b/>
          <w:szCs w:val="21"/>
        </w:rPr>
      </w:pPr>
    </w:p>
    <w:p>
      <w:pPr>
        <w:spacing w:line="480" w:lineRule="exact"/>
        <w:ind w:firstLine="725" w:firstLineChars="344"/>
        <w:rPr>
          <w:rFonts w:asciiTheme="minorEastAsia" w:hAnsiTheme="minorEastAsia" w:eastAsiaTheme="minorEastAsia"/>
          <w:b/>
          <w:szCs w:val="21"/>
        </w:rPr>
      </w:pPr>
    </w:p>
    <w:p>
      <w:pPr>
        <w:spacing w:line="480" w:lineRule="exact"/>
        <w:ind w:firstLine="725" w:firstLineChars="344"/>
        <w:rPr>
          <w:rFonts w:asciiTheme="minorEastAsia" w:hAnsiTheme="minorEastAsia" w:eastAsiaTheme="minorEastAsia"/>
          <w:b/>
          <w:szCs w:val="21"/>
        </w:rPr>
      </w:pPr>
    </w:p>
    <w:p>
      <w:pPr>
        <w:spacing w:line="480" w:lineRule="exact"/>
        <w:ind w:firstLine="725" w:firstLineChars="344"/>
        <w:rPr>
          <w:rFonts w:asciiTheme="minorEastAsia" w:hAnsiTheme="minorEastAsia" w:eastAsiaTheme="minorEastAsia"/>
          <w:b/>
          <w:szCs w:val="21"/>
        </w:rPr>
      </w:pPr>
    </w:p>
    <w:p>
      <w:pPr>
        <w:spacing w:line="480" w:lineRule="exact"/>
        <w:ind w:firstLine="725" w:firstLineChars="344"/>
        <w:rPr>
          <w:rFonts w:asciiTheme="minorEastAsia" w:hAnsiTheme="minorEastAsia" w:eastAsiaTheme="minorEastAsia"/>
          <w:b/>
          <w:szCs w:val="21"/>
        </w:rPr>
      </w:pPr>
    </w:p>
    <w:p>
      <w:pPr>
        <w:spacing w:line="480" w:lineRule="exact"/>
        <w:ind w:firstLine="725" w:firstLineChars="344"/>
        <w:rPr>
          <w:rFonts w:asciiTheme="minorEastAsia" w:hAnsiTheme="minorEastAsia" w:eastAsiaTheme="minorEastAsia"/>
          <w:b/>
          <w:szCs w:val="21"/>
        </w:rPr>
      </w:pPr>
    </w:p>
    <w:p>
      <w:pPr>
        <w:spacing w:line="480" w:lineRule="exact"/>
        <w:ind w:firstLine="725" w:firstLineChars="344"/>
        <w:rPr>
          <w:rFonts w:asciiTheme="minorEastAsia" w:hAnsiTheme="minorEastAsia" w:eastAsiaTheme="minorEastAsia"/>
          <w:b/>
          <w:szCs w:val="21"/>
        </w:rPr>
      </w:pPr>
    </w:p>
    <w:p>
      <w:pPr>
        <w:spacing w:line="480" w:lineRule="exact"/>
        <w:ind w:firstLine="725" w:firstLineChars="344"/>
        <w:rPr>
          <w:rFonts w:asciiTheme="minorEastAsia" w:hAnsiTheme="minorEastAsia" w:eastAsiaTheme="minorEastAsia"/>
          <w:b/>
          <w:szCs w:val="21"/>
        </w:rPr>
      </w:pPr>
    </w:p>
    <w:p>
      <w:pPr>
        <w:spacing w:line="480" w:lineRule="exact"/>
        <w:ind w:firstLine="725" w:firstLineChars="344"/>
        <w:rPr>
          <w:rFonts w:asciiTheme="minorEastAsia" w:hAnsiTheme="minorEastAsia" w:eastAsiaTheme="minorEastAsia"/>
          <w:b/>
          <w:szCs w:val="21"/>
        </w:rPr>
      </w:pPr>
    </w:p>
    <w:p>
      <w:pPr>
        <w:spacing w:line="480" w:lineRule="exact"/>
        <w:ind w:firstLine="725" w:firstLineChars="344"/>
        <w:rPr>
          <w:rFonts w:asciiTheme="minorEastAsia" w:hAnsiTheme="minorEastAsia" w:eastAsiaTheme="minorEastAsia"/>
          <w:b/>
          <w:szCs w:val="21"/>
        </w:rPr>
      </w:pPr>
    </w:p>
    <w:p>
      <w:pPr>
        <w:spacing w:line="480" w:lineRule="exact"/>
        <w:ind w:firstLine="725" w:firstLineChars="344"/>
        <w:rPr>
          <w:rFonts w:asciiTheme="minorEastAsia" w:hAnsiTheme="minorEastAsia" w:eastAsiaTheme="minorEastAsia"/>
          <w:b/>
          <w:szCs w:val="21"/>
        </w:rPr>
      </w:pPr>
    </w:p>
    <w:p>
      <w:pPr>
        <w:spacing w:line="480" w:lineRule="exact"/>
        <w:ind w:firstLine="141" w:firstLineChars="67"/>
        <w:rPr>
          <w:rFonts w:asciiTheme="minorEastAsia" w:hAnsiTheme="minorEastAsia" w:eastAsiaTheme="minorEastAsia"/>
          <w:b/>
          <w:szCs w:val="21"/>
        </w:rPr>
      </w:pPr>
    </w:p>
    <w:p>
      <w:pPr>
        <w:spacing w:line="480" w:lineRule="exact"/>
        <w:ind w:firstLine="141" w:firstLineChars="67"/>
        <w:rPr>
          <w:rFonts w:asciiTheme="minorEastAsia" w:hAnsiTheme="minorEastAsia" w:eastAsiaTheme="minorEastAsia"/>
          <w:szCs w:val="21"/>
        </w:rPr>
      </w:pPr>
      <w:r>
        <w:rPr>
          <w:rFonts w:hint="eastAsia" w:asciiTheme="minorEastAsia" w:hAnsiTheme="minorEastAsia" w:eastAsiaTheme="minorEastAsia"/>
          <w:b/>
          <w:szCs w:val="21"/>
        </w:rPr>
        <w:t>附件：企业名单</w:t>
      </w:r>
    </w:p>
    <w:p>
      <w:pPr>
        <w:spacing w:line="480" w:lineRule="exact"/>
        <w:rPr>
          <w:rFonts w:asciiTheme="minorEastAsia" w:hAnsiTheme="minorEastAsia" w:eastAsiaTheme="minorEastAsia"/>
          <w:szCs w:val="21"/>
        </w:rPr>
      </w:pP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1、浙江航空开发有限责任公司</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ab/>
      </w:r>
      <w:r>
        <w:rPr>
          <w:rFonts w:hint="eastAsia" w:asciiTheme="minorEastAsia" w:hAnsiTheme="minorEastAsia" w:eastAsiaTheme="minorEastAsia"/>
          <w:szCs w:val="21"/>
        </w:rPr>
        <w:t>杭州萧山国际机场易行商务有限公司</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3、杭州萧山国际机场航空物流有限公司</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4、浙江航空港经济发展有限公司</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ab/>
      </w:r>
      <w:r>
        <w:rPr>
          <w:rFonts w:hint="eastAsia" w:asciiTheme="minorEastAsia" w:hAnsiTheme="minorEastAsia" w:eastAsiaTheme="minorEastAsia"/>
          <w:szCs w:val="21"/>
        </w:rPr>
        <w:t>浙江航宇房地产开发有限责任公司</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6、杭州萧山国际机场交通运输有限公司</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7、杭州萧山国际机场汉莎航空食品有限公司</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8、杭州萧山国际机场公务航空地面服务有限公司</w:t>
      </w:r>
    </w:p>
    <w:p>
      <w:pPr>
        <w:spacing w:line="480" w:lineRule="exact"/>
        <w:rPr>
          <w:rFonts w:ascii="宋体" w:hAnsi="宋体"/>
          <w:szCs w:val="21"/>
        </w:rPr>
      </w:pPr>
    </w:p>
    <w:p>
      <w:pPr>
        <w:spacing w:line="480" w:lineRule="exact"/>
        <w:jc w:val="center"/>
        <w:rPr>
          <w:rFonts w:ascii="宋体" w:hAnsi="宋体"/>
          <w:b/>
          <w:sz w:val="32"/>
          <w:szCs w:val="32"/>
        </w:rPr>
      </w:pPr>
    </w:p>
    <w:p>
      <w:pPr>
        <w:pStyle w:val="21"/>
        <w:spacing w:line="360" w:lineRule="exact"/>
        <w:ind w:firstLine="420"/>
        <w:rPr>
          <w:rFonts w:ascii="Calibri" w:hAnsi="Calibri" w:cs="Calibri"/>
          <w:bCs/>
          <w:szCs w:val="32"/>
        </w:rPr>
        <w:sectPr>
          <w:headerReference r:id="rId7" w:type="first"/>
          <w:pgSz w:w="11906" w:h="16838"/>
          <w:pgMar w:top="1134" w:right="1247" w:bottom="1134" w:left="1247" w:header="851" w:footer="1134" w:gutter="0"/>
          <w:pgNumType w:fmt="numberInDash"/>
          <w:cols w:space="720" w:num="1"/>
          <w:docGrid w:linePitch="312" w:charSpace="0"/>
        </w:sectPr>
      </w:pPr>
    </w:p>
    <w:p>
      <w:pPr>
        <w:pStyle w:val="2"/>
        <w:spacing w:before="0" w:after="0" w:line="360" w:lineRule="auto"/>
        <w:jc w:val="center"/>
        <w:rPr>
          <w:rFonts w:ascii="Calibri" w:hAnsi="Calibri" w:eastAsia="黑体" w:cs="Calibri"/>
          <w:kern w:val="0"/>
          <w:sz w:val="32"/>
        </w:rPr>
      </w:pPr>
      <w:bookmarkStart w:id="105"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05"/>
    </w:p>
    <w:p>
      <w:pPr>
        <w:pStyle w:val="21"/>
        <w:spacing w:line="360" w:lineRule="exact"/>
        <w:ind w:firstLine="420"/>
        <w:rPr>
          <w:rFonts w:hAnsi="宋体" w:cs="Calibri"/>
          <w:bCs/>
          <w:sz w:val="22"/>
          <w:szCs w:val="22"/>
        </w:rPr>
      </w:pPr>
      <w:bookmarkStart w:id="106"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360" w:lineRule="exact"/>
        <w:rPr>
          <w:rFonts w:hAnsi="宋体" w:cs="Calibri"/>
          <w:b/>
          <w:bCs/>
          <w:sz w:val="22"/>
          <w:szCs w:val="22"/>
        </w:rPr>
      </w:pPr>
      <w:r>
        <w:rPr>
          <w:rFonts w:hAnsi="宋体" w:cs="Calibri"/>
          <w:b/>
          <w:bCs/>
          <w:sz w:val="22"/>
          <w:szCs w:val="22"/>
        </w:rPr>
        <w:t>一、评标原则</w:t>
      </w:r>
    </w:p>
    <w:p>
      <w:pPr>
        <w:pStyle w:val="21"/>
        <w:spacing w:line="360" w:lineRule="exact"/>
        <w:ind w:firstLine="420"/>
        <w:rPr>
          <w:rFonts w:hAnsi="宋体" w:cs="Calibri"/>
          <w:sz w:val="22"/>
          <w:szCs w:val="22"/>
        </w:rPr>
      </w:pPr>
      <w:r>
        <w:rPr>
          <w:rFonts w:hAnsi="宋体" w:cs="Calibri"/>
          <w:bCs/>
          <w:sz w:val="22"/>
          <w:szCs w:val="22"/>
        </w:rPr>
        <w:t>评标应遵循公平、公正、科学、择优的原则。</w:t>
      </w:r>
    </w:p>
    <w:p>
      <w:pPr>
        <w:pStyle w:val="21"/>
        <w:spacing w:line="360" w:lineRule="exact"/>
        <w:rPr>
          <w:rFonts w:hAnsi="宋体" w:cs="Calibri"/>
          <w:b/>
          <w:bCs/>
          <w:sz w:val="22"/>
          <w:szCs w:val="22"/>
        </w:rPr>
      </w:pPr>
      <w:r>
        <w:rPr>
          <w:rFonts w:hAnsi="宋体" w:cs="Calibri"/>
          <w:b/>
          <w:bCs/>
          <w:sz w:val="22"/>
          <w:szCs w:val="22"/>
        </w:rPr>
        <w:t>二、评标组织</w:t>
      </w:r>
    </w:p>
    <w:p>
      <w:pPr>
        <w:pStyle w:val="2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1"/>
        <w:spacing w:line="360" w:lineRule="exact"/>
        <w:rPr>
          <w:rFonts w:hAnsi="宋体" w:cs="Calibri"/>
          <w:b/>
          <w:bCs/>
          <w:sz w:val="22"/>
          <w:szCs w:val="22"/>
        </w:rPr>
      </w:pPr>
      <w:r>
        <w:rPr>
          <w:rFonts w:hAnsi="宋体" w:cs="Calibri"/>
          <w:b/>
          <w:bCs/>
          <w:sz w:val="22"/>
          <w:szCs w:val="22"/>
        </w:rPr>
        <w:t>三、投标文件的评审</w:t>
      </w:r>
    </w:p>
    <w:p>
      <w:pPr>
        <w:pStyle w:val="2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1" w:firstLineChars="214"/>
        <w:rPr>
          <w:rFonts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1"/>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1"/>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w:t>
      </w:r>
      <w:r>
        <w:rPr>
          <w:rFonts w:hAnsi="宋体" w:cs="Calibri"/>
          <w:b/>
          <w:sz w:val="22"/>
          <w:szCs w:val="22"/>
        </w:rPr>
        <w:t>处理</w:t>
      </w:r>
      <w:r>
        <w:rPr>
          <w:rFonts w:hAnsi="宋体" w:cs="Calibri"/>
          <w:sz w:val="22"/>
          <w:szCs w:val="22"/>
        </w:rPr>
        <w:t>。</w:t>
      </w:r>
    </w:p>
    <w:p>
      <w:pPr>
        <w:pStyle w:val="2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2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21"/>
        <w:adjustRightInd w:val="0"/>
        <w:snapToGrid w:val="0"/>
        <w:spacing w:line="360" w:lineRule="exact"/>
        <w:ind w:firstLine="440" w:firstLineChars="200"/>
        <w:rPr>
          <w:rFonts w:hAnsi="宋体" w:cs="Calibri"/>
          <w:sz w:val="22"/>
          <w:szCs w:val="22"/>
        </w:rPr>
      </w:pPr>
      <w:r>
        <w:rPr>
          <w:rFonts w:hint="eastAsia" w:hAnsi="宋体"/>
          <w:sz w:val="22"/>
          <w:szCs w:val="22"/>
        </w:rPr>
        <w:t>1、报价评分应在投标报价响应招标文件要求的基础上，取所有有效投标报价的次低价作为评标基准价，如有效投标报价的数量小于</w:t>
      </w:r>
      <w:r>
        <w:rPr>
          <w:rFonts w:hAnsi="宋体"/>
          <w:sz w:val="22"/>
          <w:szCs w:val="22"/>
        </w:rPr>
        <w:t>3</w:t>
      </w:r>
      <w:r>
        <w:rPr>
          <w:rFonts w:hint="eastAsia" w:hAnsi="宋体"/>
          <w:sz w:val="22"/>
          <w:szCs w:val="22"/>
        </w:rPr>
        <w:t>个（含</w:t>
      </w:r>
      <w:r>
        <w:rPr>
          <w:rFonts w:hAnsi="宋体"/>
          <w:sz w:val="22"/>
          <w:szCs w:val="22"/>
        </w:rPr>
        <w:t>3个）</w:t>
      </w:r>
      <w:r>
        <w:rPr>
          <w:rFonts w:hint="eastAsia" w:hAnsi="宋体"/>
          <w:sz w:val="22"/>
          <w:szCs w:val="22"/>
        </w:rPr>
        <w:t>，则取所有有效投标报价的最低价作为评标基准价。</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个百分点按插值法计算，小数点后保留二位，四舍五入，商务分最低得分为30分）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w:t>
      </w:r>
      <w:r>
        <w:rPr>
          <w:rFonts w:hAnsi="宋体" w:cs="Calibri"/>
          <w:sz w:val="22"/>
          <w:szCs w:val="22"/>
        </w:rPr>
        <w:t>40</w:t>
      </w:r>
      <w:r>
        <w:rPr>
          <w:rFonts w:hint="eastAsia" w:hAnsi="宋体" w:cs="Calibri"/>
          <w:sz w:val="22"/>
          <w:szCs w:val="22"/>
        </w:rPr>
        <w:t>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1"/>
        <w:adjustRightInd w:val="0"/>
        <w:snapToGrid w:val="0"/>
        <w:spacing w:line="360" w:lineRule="exact"/>
        <w:rPr>
          <w:rFonts w:hAnsi="宋体" w:cs="Calibri"/>
          <w:sz w:val="22"/>
          <w:szCs w:val="22"/>
        </w:rPr>
      </w:pPr>
      <w:r>
        <w:rPr>
          <w:rFonts w:hint="eastAsia" w:hAnsi="宋体" w:cs="Calibri"/>
          <w:sz w:val="22"/>
          <w:szCs w:val="22"/>
        </w:rPr>
        <w:t>资信及技术评分分值设定标准</w:t>
      </w:r>
    </w:p>
    <w:tbl>
      <w:tblPr>
        <w:tblStyle w:val="5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Pr>
          <w:p>
            <w:pPr>
              <w:pStyle w:val="21"/>
              <w:adjustRightInd w:val="0"/>
              <w:snapToGrid w:val="0"/>
              <w:spacing w:line="360" w:lineRule="exact"/>
              <w:jc w:val="center"/>
              <w:rPr>
                <w:rFonts w:hAnsi="宋体" w:cs="Courier New"/>
                <w:color w:val="000000"/>
                <w:kern w:val="2"/>
                <w:sz w:val="21"/>
              </w:rPr>
            </w:pPr>
            <w:r>
              <w:rPr>
                <w:rFonts w:hAnsi="宋体" w:cs="Courier New"/>
                <w:color w:val="000000"/>
                <w:kern w:val="2"/>
                <w:sz w:val="21"/>
              </w:rPr>
              <w:t>评定项目</w:t>
            </w:r>
          </w:p>
        </w:tc>
        <w:tc>
          <w:tcPr>
            <w:tcW w:w="2410" w:type="dxa"/>
          </w:tcPr>
          <w:p>
            <w:pPr>
              <w:pStyle w:val="21"/>
              <w:adjustRightInd w:val="0"/>
              <w:snapToGrid w:val="0"/>
              <w:spacing w:line="360" w:lineRule="exact"/>
              <w:jc w:val="center"/>
              <w:rPr>
                <w:rFonts w:hAnsi="宋体" w:cs="Courier New"/>
                <w:color w:val="000000"/>
                <w:kern w:val="2"/>
                <w:sz w:val="21"/>
              </w:rPr>
            </w:pPr>
            <w:r>
              <w:rPr>
                <w:rFonts w:hAnsi="宋体" w:cs="Courier New"/>
                <w:color w:val="000000"/>
                <w:kern w:val="2"/>
                <w:sz w:val="21"/>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olor w:val="000000"/>
                <w:szCs w:val="21"/>
              </w:rPr>
            </w:pPr>
            <w:r>
              <w:rPr>
                <w:rFonts w:hint="eastAsia" w:ascii="宋体" w:hAnsi="宋体" w:cs="宋体"/>
                <w:kern w:val="0"/>
                <w:szCs w:val="21"/>
              </w:rPr>
              <w:t>投标人规模、得奖情况等，横向比较后评分</w:t>
            </w:r>
          </w:p>
        </w:tc>
        <w:tc>
          <w:tcPr>
            <w:tcW w:w="2410" w:type="dxa"/>
            <w:vAlign w:val="center"/>
          </w:tcPr>
          <w:p>
            <w:pPr>
              <w:widowControl/>
              <w:snapToGrid w:val="0"/>
              <w:spacing w:line="360" w:lineRule="exact"/>
              <w:jc w:val="center"/>
              <w:rPr>
                <w:rFonts w:ascii="宋体" w:hAnsi="宋体"/>
                <w:color w:val="000000"/>
                <w:szCs w:val="21"/>
              </w:rPr>
            </w:pPr>
            <w:r>
              <w:rPr>
                <w:rFonts w:hint="eastAsia"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Cs w:val="21"/>
              </w:rPr>
            </w:pPr>
            <w:r>
              <w:rPr>
                <w:rFonts w:hint="eastAsia" w:ascii="宋体" w:hAnsi="宋体" w:cs="Arial"/>
                <w:kern w:val="0"/>
                <w:sz w:val="22"/>
              </w:rPr>
              <w:t>投标人近三年（合同签订时间或部分服务期在</w:t>
            </w:r>
            <w:r>
              <w:rPr>
                <w:rFonts w:ascii="宋体" w:hAnsi="宋体" w:cs="Arial"/>
                <w:kern w:val="0"/>
                <w:sz w:val="22"/>
              </w:rPr>
              <w:t>2016年1月1日至投标截止日）具有</w:t>
            </w:r>
            <w:r>
              <w:rPr>
                <w:rFonts w:hint="eastAsia" w:ascii="宋体" w:hAnsi="宋体" w:cs="Arial"/>
                <w:kern w:val="0"/>
                <w:sz w:val="22"/>
              </w:rPr>
              <w:t>的类似业绩（业绩证明材料：合同（合同协议书）或中标通知书复印件并加盖投标人公章作为证明材料，原件备查，上述业绩证明材料无法体现服务项目特征、项目负责人的，须另提供投标人出具的证明材料予以证明，类似业绩指航空类、机场、港口、高速公路等大型交通基础设施行业的税务服务），第一个不得分，每增加一个得2分，本项最高得6分。</w:t>
            </w:r>
          </w:p>
        </w:tc>
        <w:tc>
          <w:tcPr>
            <w:tcW w:w="2410" w:type="dxa"/>
            <w:vAlign w:val="center"/>
          </w:tcPr>
          <w:p>
            <w:pPr>
              <w:widowControl/>
              <w:snapToGrid w:val="0"/>
              <w:spacing w:line="360" w:lineRule="exact"/>
              <w:jc w:val="center"/>
              <w:rPr>
                <w:rFonts w:ascii="宋体" w:hAnsi="宋体"/>
                <w:color w:val="00000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拟派项目负责人和</w:t>
            </w:r>
            <w:r>
              <w:rPr>
                <w:rFonts w:ascii="宋体" w:hAnsi="宋体" w:cs="Calibri"/>
                <w:color w:val="000000"/>
                <w:sz w:val="22"/>
              </w:rPr>
              <w:t>主要参与</w:t>
            </w:r>
            <w:r>
              <w:rPr>
                <w:rFonts w:hint="eastAsia" w:ascii="宋体" w:hAnsi="宋体" w:cs="Calibri"/>
                <w:color w:val="000000"/>
                <w:sz w:val="22"/>
              </w:rPr>
              <w:t>服务</w:t>
            </w:r>
            <w:r>
              <w:rPr>
                <w:rFonts w:ascii="宋体" w:hAnsi="宋体" w:cs="Calibri"/>
                <w:color w:val="000000"/>
                <w:sz w:val="22"/>
              </w:rPr>
              <w:t>人员</w:t>
            </w:r>
            <w:r>
              <w:rPr>
                <w:rFonts w:hint="eastAsia" w:ascii="宋体" w:hAnsi="宋体" w:cs="宋体"/>
                <w:kern w:val="0"/>
                <w:szCs w:val="21"/>
              </w:rPr>
              <w:t>配备情况，</w:t>
            </w:r>
            <w:r>
              <w:rPr>
                <w:rFonts w:hint="eastAsia" w:ascii="宋体" w:hAnsi="宋体" w:cs="Calibri"/>
                <w:color w:val="000000"/>
                <w:sz w:val="22"/>
              </w:rPr>
              <w:t>专业技术职称以及所获得荣誉，横向比较后评分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对招标人税务服务建议书的针对性、完整性和可行性</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对招标人税务服务建议书</w:t>
            </w:r>
            <w:r>
              <w:rPr>
                <w:rFonts w:hint="eastAsia" w:ascii="宋体" w:hAnsi="宋体"/>
                <w:color w:val="000000"/>
                <w:szCs w:val="21"/>
              </w:rPr>
              <w:t>体现项目组织实施、管理、措施等情况</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olor w:val="000000"/>
                <w:szCs w:val="21"/>
              </w:rPr>
            </w:pPr>
            <w:r>
              <w:rPr>
                <w:rFonts w:hint="eastAsia" w:ascii="宋体" w:hAnsi="宋体" w:cs="宋体"/>
                <w:kern w:val="0"/>
                <w:szCs w:val="21"/>
              </w:rPr>
              <w:t>对招标人税务服务建议书</w:t>
            </w:r>
            <w:r>
              <w:rPr>
                <w:rFonts w:hint="eastAsia" w:ascii="宋体" w:hAnsi="宋体"/>
                <w:color w:val="000000"/>
                <w:szCs w:val="21"/>
              </w:rPr>
              <w:t>税务服务成员分工合理性，以及对民航</w:t>
            </w:r>
            <w:r>
              <w:rPr>
                <w:rFonts w:hint="eastAsia" w:ascii="宋体" w:hAnsi="宋体"/>
                <w:szCs w:val="21"/>
              </w:rPr>
              <w:t>行业相关税收政策熟悉了解程度。</w:t>
            </w:r>
          </w:p>
        </w:tc>
        <w:tc>
          <w:tcPr>
            <w:tcW w:w="2410" w:type="dxa"/>
            <w:vAlign w:val="center"/>
          </w:tcPr>
          <w:p>
            <w:pPr>
              <w:widowControl/>
              <w:snapToGrid w:val="0"/>
              <w:spacing w:line="360" w:lineRule="exact"/>
              <w:jc w:val="center"/>
              <w:rPr>
                <w:rFonts w:ascii="宋体" w:hAnsi="宋体"/>
                <w:color w:val="000000"/>
                <w:szCs w:val="21"/>
              </w:rPr>
            </w:pPr>
            <w:r>
              <w:rPr>
                <w:rFonts w:hint="eastAsia" w:ascii="宋体" w:hAnsi="宋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对招标人税务服务建议书</w:t>
            </w:r>
            <w:r>
              <w:rPr>
                <w:rFonts w:hint="eastAsia" w:ascii="宋体" w:hAnsi="宋体"/>
                <w:szCs w:val="21"/>
              </w:rPr>
              <w:t>后续服务的安排及</w:t>
            </w:r>
            <w:r>
              <w:rPr>
                <w:rFonts w:hint="eastAsia" w:ascii="宋体" w:hAnsi="宋体"/>
                <w:color w:val="000000"/>
                <w:szCs w:val="21"/>
              </w:rPr>
              <w:t>相关承诺情况（如响应速度、服务质量、保障措施、风险提示、后补力量等）</w:t>
            </w:r>
          </w:p>
        </w:tc>
        <w:tc>
          <w:tcPr>
            <w:tcW w:w="2410" w:type="dxa"/>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5</w:t>
            </w:r>
          </w:p>
        </w:tc>
      </w:tr>
    </w:tbl>
    <w:p>
      <w:pPr>
        <w:widowControl/>
        <w:jc w:val="left"/>
        <w:rPr>
          <w:rFonts w:hAnsi="宋体" w:cs="Calibri"/>
          <w:sz w:val="22"/>
        </w:rPr>
      </w:pPr>
      <w:r>
        <w:rPr>
          <w:rFonts w:hAnsi="宋体" w:cs="Calibri"/>
          <w:sz w:val="22"/>
        </w:rPr>
        <w:br w:type="page"/>
      </w:r>
    </w:p>
    <w:p>
      <w:pPr>
        <w:widowControl/>
        <w:jc w:val="left"/>
        <w:rPr>
          <w:rFonts w:ascii="宋体" w:hAnsi="宋体" w:cs="Calibri"/>
          <w:kern w:val="0"/>
          <w:sz w:val="22"/>
        </w:rPr>
      </w:pPr>
    </w:p>
    <w:p>
      <w:pPr>
        <w:pStyle w:val="21"/>
        <w:adjustRightInd w:val="0"/>
        <w:snapToGrid w:val="0"/>
        <w:spacing w:line="360" w:lineRule="exact"/>
        <w:ind w:firstLine="440" w:firstLineChars="200"/>
        <w:rPr>
          <w:rFonts w:hAnsi="宋体" w:cs="Calibri"/>
          <w:sz w:val="22"/>
          <w:szCs w:val="22"/>
        </w:rPr>
      </w:pPr>
    </w:p>
    <w:p>
      <w:pPr>
        <w:pStyle w:val="21"/>
        <w:spacing w:line="360" w:lineRule="exact"/>
        <w:rPr>
          <w:rFonts w:hAnsi="宋体" w:cs="Calibri"/>
          <w:b/>
          <w:sz w:val="22"/>
          <w:szCs w:val="22"/>
        </w:rPr>
      </w:pPr>
      <w:r>
        <w:rPr>
          <w:rFonts w:hAnsi="宋体" w:cs="Calibri"/>
          <w:b/>
          <w:sz w:val="22"/>
          <w:szCs w:val="22"/>
        </w:rPr>
        <w:t>3.4推荐中标候选人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.2当有效投标文件只有一名时，则由评标委员会确定是否推荐为中标候选人。</w:t>
      </w:r>
    </w:p>
    <w:p>
      <w:pPr>
        <w:pStyle w:val="2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2" w:firstLineChars="200"/>
        <w:rPr>
          <w:rFonts w:hAnsi="宋体" w:cs="Calibri"/>
          <w:b/>
          <w:sz w:val="22"/>
          <w:szCs w:val="22"/>
        </w:rPr>
      </w:pPr>
      <w:r>
        <w:rPr>
          <w:rFonts w:hint="eastAsia" w:hAnsi="宋体" w:cs="Calibri"/>
          <w:b/>
          <w:sz w:val="22"/>
          <w:szCs w:val="22"/>
        </w:rPr>
        <w:t>4.4</w:t>
      </w:r>
      <w:r>
        <w:rPr>
          <w:rFonts w:hint="eastAsia" w:cs="Calibri" w:asciiTheme="minorEastAsia" w:hAnsiTheme="minorEastAsia" w:eastAsiaTheme="minorEastAsia"/>
          <w:b/>
          <w:color w:val="000000"/>
          <w:sz w:val="22"/>
        </w:rPr>
        <w:t>招标人对评标、定标结果不负责解释。</w:t>
      </w:r>
    </w:p>
    <w:bookmarkEnd w:id="106"/>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07" w:name="_Toc448002988"/>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投标文件格式</w:t>
      </w:r>
      <w:bookmarkEnd w:id="107"/>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一、</w:t>
      </w:r>
      <w:r>
        <w:rPr>
          <w:rFonts w:cs="Calibri" w:asciiTheme="minorEastAsia" w:hAnsiTheme="minorEastAsia" w:eastAsiaTheme="minorEastAsia"/>
          <w:color w:val="000000"/>
          <w:sz w:val="22"/>
        </w:rPr>
        <w:t>投标函；</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二、</w:t>
      </w:r>
      <w:r>
        <w:rPr>
          <w:rFonts w:cs="Calibri" w:asciiTheme="minorEastAsia" w:hAnsiTheme="minorEastAsia" w:eastAsiaTheme="minorEastAsia"/>
          <w:color w:val="000000"/>
          <w:sz w:val="22"/>
        </w:rPr>
        <w:t>投标报价表；</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三、</w:t>
      </w:r>
      <w:r>
        <w:rPr>
          <w:rFonts w:cs="Calibri" w:asciiTheme="minorEastAsia" w:hAnsiTheme="minorEastAsia" w:eastAsia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四、</w:t>
      </w:r>
      <w:r>
        <w:rPr>
          <w:rFonts w:cs="Calibri" w:asciiTheme="minorEastAsia" w:hAnsiTheme="minorEastAsia" w:eastAsiaTheme="minorEastAsia"/>
          <w:color w:val="000000"/>
          <w:sz w:val="22"/>
        </w:rPr>
        <w:t>授权委托书；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投标人资格证明文件：</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ascii="宋体" w:hAnsi="宋体" w:cs="Calibri"/>
          <w:sz w:val="22"/>
        </w:rPr>
        <w:t>税务登记证、</w:t>
      </w:r>
      <w:r>
        <w:rPr>
          <w:rFonts w:hint="eastAsia" w:ascii="宋体" w:hAnsi="宋体" w:cs="Arial"/>
          <w:kern w:val="0"/>
          <w:sz w:val="22"/>
        </w:rPr>
        <w:t>执业许可证</w:t>
      </w:r>
      <w:r>
        <w:rPr>
          <w:rFonts w:hint="eastAsia" w:ascii="宋体" w:hAnsi="宋体" w:cs="Calibri"/>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（3）有关证明投标人的企业信誉及获得各种奖励等资料；</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近三年</w:t>
      </w:r>
      <w:r>
        <w:rPr>
          <w:rFonts w:hint="eastAsia" w:ascii="宋体" w:hAnsi="宋体" w:cs="Arial"/>
          <w:kern w:val="0"/>
          <w:sz w:val="22"/>
        </w:rPr>
        <w:t>（合同签订时间或部分服务期在</w:t>
      </w:r>
      <w:r>
        <w:rPr>
          <w:rFonts w:ascii="宋体" w:hAnsi="宋体" w:cs="Arial"/>
          <w:kern w:val="0"/>
          <w:sz w:val="22"/>
        </w:rPr>
        <w:t>2016年1月1日至投标截止日）</w:t>
      </w:r>
      <w:r>
        <w:rPr>
          <w:rFonts w:cs="Calibri" w:asciiTheme="minorEastAsia" w:hAnsiTheme="minorEastAsia" w:eastAsiaTheme="minorEastAsia"/>
          <w:color w:val="000000"/>
          <w:sz w:val="22"/>
        </w:rPr>
        <w:t>完成类似项目业绩情况</w:t>
      </w:r>
      <w:r>
        <w:rPr>
          <w:rFonts w:hint="eastAsia" w:cs="Calibri" w:asciiTheme="minorEastAsia" w:hAnsiTheme="minorEastAsia" w:eastAsiaTheme="minorEastAsia"/>
          <w:color w:val="000000"/>
          <w:sz w:val="22"/>
        </w:rPr>
        <w:t>（附合同）；</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6</w:t>
      </w:r>
      <w:r>
        <w:rPr>
          <w:rFonts w:hint="eastAsia" w:cs="Calibri" w:asciiTheme="minorEastAsia" w:hAnsiTheme="minorEastAsia" w:eastAsiaTheme="minorEastAsia"/>
          <w:color w:val="000000"/>
          <w:sz w:val="22"/>
        </w:rPr>
        <w:t>）招标文件投标人资格要求中提供的相关材料。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w:t>
      </w:r>
      <w:r>
        <w:rPr>
          <w:rFonts w:hint="eastAsia" w:cs="Calibri" w:asciiTheme="minorEastAsia" w:hAnsiTheme="minorEastAsia" w:eastAsiaTheme="minorEastAsia"/>
          <w:color w:val="000000"/>
          <w:sz w:val="22"/>
        </w:rPr>
        <w:t>对招标人的税务服务建议书。</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七、</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08" w:name="_Toc171421958"/>
      <w:r>
        <w:rPr>
          <w:rFonts w:cs="Calibri"/>
          <w:color w:val="000000"/>
        </w:rPr>
        <w:t>封面</w:t>
      </w:r>
      <w:bookmarkEnd w:id="108"/>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杭州萧山国际机场有限公司</w:t>
      </w:r>
      <w:r>
        <w:rPr>
          <w:rFonts w:hint="eastAsia" w:eastAsia="黑体" w:cs="Calibri"/>
          <w:b/>
          <w:sz w:val="44"/>
          <w:szCs w:val="44"/>
          <w:u w:val="single"/>
        </w:rPr>
        <w:t>税务</w:t>
      </w:r>
      <w:r>
        <w:rPr>
          <w:rFonts w:hint="eastAsia" w:eastAsia="黑体" w:cs="Calibri"/>
          <w:b/>
          <w:sz w:val="44"/>
          <w:szCs w:val="44"/>
        </w:rPr>
        <w:t>顾问</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napToGrid w:val="0"/>
        <w:spacing w:line="360" w:lineRule="auto"/>
        <w:rPr>
          <w:rFonts w:cs="Calibri" w:asciiTheme="minorEastAsia" w:hAnsiTheme="minorEastAsia" w:eastAsiaTheme="minorEastAsia"/>
          <w:b/>
          <w:bCs/>
          <w:sz w:val="24"/>
          <w:szCs w:val="24"/>
        </w:rPr>
      </w:pPr>
      <w:r>
        <w:rPr>
          <w:rFonts w:hint="eastAsia" w:ascii="宋体" w:hAnsi="宋体"/>
          <w:sz w:val="24"/>
          <w:szCs w:val="24"/>
        </w:rPr>
        <w:t>致：杭州萧山国际机场有限公司</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1、根据已收到的</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招标文件，遵照《中华人民共和国招标投标法》等有关规定，经考察现场和研究上述招标文件后，我方愿以投标总价为人民币 (大写)：</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元（RMB</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元）报价并按上述招标文件要求承揽上述项目</w:t>
      </w:r>
      <w:r>
        <w:rPr>
          <w:rFonts w:hint="eastAsia" w:cs="Calibri" w:asciiTheme="minorEastAsia" w:hAnsiTheme="minorEastAsia" w:eastAsiaTheme="minorEastAsia"/>
          <w:bCs/>
          <w:sz w:val="24"/>
        </w:rPr>
        <w:t>所有等工作</w:t>
      </w:r>
      <w:r>
        <w:rPr>
          <w:rFonts w:hint="eastAsia" w:cs="Calibri" w:asciiTheme="minorEastAsia" w:hAnsiTheme="minorEastAsia" w:eastAsiaTheme="minorEastAsia"/>
          <w:sz w:val="24"/>
          <w:szCs w:val="21"/>
        </w:rPr>
        <w:t>。</w:t>
      </w:r>
      <w:r>
        <w:rPr>
          <w:rFonts w:hint="eastAsia" w:cs="Calibri" w:asciiTheme="minorEastAsia" w:hAnsiTheme="minorEastAsia" w:eastAsiaTheme="minorEastAsia"/>
          <w:sz w:val="24"/>
        </w:rPr>
        <w:t xml:space="preserve"> </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 我方承诺：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（1）我方不是失信被执行人；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（2）我方在规定期限内无行贿犯罪记录；</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（3）我方具有一般纳税人资格，可提供增值税专用发票；</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3．如我方中标，我方承诺：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(1)在收到中标通知书后，在中标通知书规定的期限内与你方签订合同；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(2)在签订合同时不向你方提出附加条件；</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(3)按照招标文件要求提交履约保证金；</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(4)在合同约定的期限内完成合同规定的全部义务。</w:t>
      </w:r>
    </w:p>
    <w:p>
      <w:pPr>
        <w:snapToGrid w:val="0"/>
        <w:spacing w:line="360" w:lineRule="auto"/>
        <w:rPr>
          <w:rFonts w:cs="Calibri" w:asciiTheme="minorEastAsia" w:hAnsiTheme="minorEastAsia" w:eastAsiaTheme="minorEastAsia"/>
          <w:sz w:val="24"/>
          <w:szCs w:val="20"/>
        </w:rPr>
      </w:pPr>
      <w:r>
        <w:rPr>
          <w:rFonts w:hint="eastAsia" w:cs="Calibri" w:asciiTheme="minorEastAsia" w:hAnsiTheme="minorEastAsia" w:eastAsiaTheme="minorEastAsia"/>
          <w:sz w:val="24"/>
        </w:rPr>
        <w:t>　　 4、我方同意所递交的投标文件在“前附表”规定的投标有效期内有效，在此期间内我方的投标有可能中标，我方将受此约束。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4"/>
          <w:szCs w:val="20"/>
        </w:rPr>
      </w:pPr>
      <w:r>
        <w:rPr>
          <w:rFonts w:hint="eastAsia" w:cs="Calibri" w:asciiTheme="minorEastAsia" w:hAnsiTheme="minorEastAsia" w:eastAsiaTheme="minorEastAsia"/>
          <w:sz w:val="24"/>
        </w:rPr>
        <w:t xml:space="preserve">     5、除非另外达成协议并生效，你方的中标通知书和本投标文件将构成约束我们双方的合同。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7、我方同意按照你方可能提出的要求，提供有关的任何其它数字或资料，并对贵方可能不接受最低报价及任何报价表示理解。</w:t>
      </w: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投标人：（盖单位章）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地    址：</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邮政编码：</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电    话：</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传    真：</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开户银行：</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账    号：</w:t>
      </w:r>
    </w:p>
    <w:p>
      <w:pPr>
        <w:snapToGrid w:val="0"/>
        <w:spacing w:line="440" w:lineRule="exact"/>
        <w:ind w:firstLine="3600" w:firstLineChars="1500"/>
        <w:rPr>
          <w:rFonts w:eastAsia="黑体" w:cs="Calibri"/>
          <w:color w:val="000000"/>
          <w:sz w:val="32"/>
          <w:szCs w:val="32"/>
        </w:rPr>
      </w:pPr>
      <w:r>
        <w:rPr>
          <w:rFonts w:cs="Calibri" w:asciiTheme="minorEastAsia" w:hAnsiTheme="minorEastAsia" w:eastAsiaTheme="minorEastAsia"/>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anyu01wAAAAcBAAAPAAAA&#10;AAAAAAEAIAAAACIAAABkcnMvZG93bnJldi54bWxQSwECFAAUAAAACACHTuJAHebABRYCAAA5BAAA&#10;DgAAAAAAAAABACAAAAAmAQAAZHJzL2Uyb0RvYy54bWxQSwUGAAAAAAYABgBZAQAArg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k96wdcAAAAJAQAADwAA&#10;AAAAAAABACAAAAAiAAAAZHJzL2Rvd25yZXYueG1sUEsBAhQAFAAAAAgAh07iQMCAvR8XAgAAOQQA&#10;AA4AAAAAAAAAAQAgAAAAJgEAAGRycy9lMm9Eb2MueG1sUEsFBgAAAAAGAAYAWQEAAK8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sz w:val="32"/>
          <w:szCs w:val="32"/>
        </w:rPr>
      </w:pPr>
      <w:r>
        <w:rPr>
          <w:rFonts w:hint="eastAsia" w:eastAsia="黑体" w:cs="Calibri"/>
          <w:sz w:val="32"/>
          <w:szCs w:val="32"/>
        </w:rPr>
        <w:t>四、投标报价表</w:t>
      </w:r>
    </w:p>
    <w:p>
      <w:pPr>
        <w:rPr>
          <w:rFonts w:cs="Calibri"/>
          <w:sz w:val="24"/>
        </w:rPr>
      </w:pPr>
    </w:p>
    <w:p>
      <w:pPr>
        <w:jc w:val="right"/>
        <w:rPr>
          <w:rFonts w:cs="Calibri"/>
          <w:bCs/>
          <w:sz w:val="24"/>
        </w:rPr>
      </w:pPr>
      <w:r>
        <w:rPr>
          <w:rFonts w:hint="eastAsia" w:cs="Calibri"/>
          <w:bCs/>
          <w:sz w:val="24"/>
        </w:rPr>
        <w:t>单位：万元</w:t>
      </w:r>
    </w:p>
    <w:tbl>
      <w:tblPr>
        <w:tblStyle w:val="5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r>
              <w:rPr>
                <w:rFonts w:hint="eastAsia" w:cs="Calibri"/>
                <w:szCs w:val="21"/>
              </w:rPr>
              <w:t>第一年</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r>
              <w:rPr>
                <w:rFonts w:hint="eastAsia" w:cs="Calibri"/>
                <w:color w:val="000000"/>
                <w:szCs w:val="21"/>
              </w:rPr>
              <w:t>第二年</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r>
              <w:rPr>
                <w:rFonts w:hint="eastAsia" w:cs="Calibri"/>
                <w:color w:val="000000"/>
                <w:szCs w:val="21"/>
              </w:rPr>
              <w:t>第三年</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hint="eastAsia" w:cs="Calibri"/>
          <w:color w:val="000000"/>
          <w:szCs w:val="21"/>
        </w:rPr>
        <w:t>投标人：（盖单位章）</w:t>
      </w:r>
    </w:p>
    <w:p>
      <w:pPr>
        <w:snapToGrid w:val="0"/>
        <w:spacing w:line="440" w:lineRule="exact"/>
        <w:ind w:firstLine="3969" w:firstLineChars="1890"/>
        <w:rPr>
          <w:rFonts w:cs="Calibri"/>
          <w:color w:val="000000"/>
          <w:szCs w:val="21"/>
        </w:rPr>
      </w:pPr>
      <w:r>
        <w:rPr>
          <w:rFonts w:hint="eastAsia"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hint="eastAsia"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hint="eastAsia"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55"/>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（二）近三年</w:t>
      </w:r>
      <w:r>
        <w:rPr>
          <w:rFonts w:hint="eastAsia" w:eastAsia="黑体" w:cs="Calibri"/>
          <w:color w:val="000000"/>
          <w:sz w:val="32"/>
          <w:szCs w:val="32"/>
        </w:rPr>
        <w:t>（合同签订时间或部分服务期在2016年1月1日至投标截止日）</w:t>
      </w:r>
      <w:r>
        <w:rPr>
          <w:rFonts w:eastAsia="黑体" w:cs="Calibri"/>
          <w:color w:val="000000"/>
          <w:sz w:val="32"/>
          <w:szCs w:val="32"/>
        </w:rPr>
        <w:t>完成类似</w:t>
      </w:r>
      <w:r>
        <w:rPr>
          <w:rFonts w:hint="eastAsia" w:eastAsia="黑体" w:cs="Calibri"/>
          <w:color w:val="000000"/>
          <w:sz w:val="32"/>
          <w:szCs w:val="32"/>
        </w:rPr>
        <w:t>项目业绩</w:t>
      </w:r>
      <w:r>
        <w:rPr>
          <w:rFonts w:eastAsia="黑体" w:cs="Calibri"/>
          <w:color w:val="000000"/>
          <w:sz w:val="32"/>
          <w:szCs w:val="32"/>
        </w:rPr>
        <w:t>情况</w:t>
      </w:r>
    </w:p>
    <w:tbl>
      <w:tblPr>
        <w:tblStyle w:val="55"/>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服务</w:t>
            </w:r>
            <w:r>
              <w:rPr>
                <w:rFonts w:cs="Calibri"/>
                <w:szCs w:val="21"/>
              </w:rPr>
              <w:t>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w:t>
            </w:r>
            <w:r>
              <w:rPr>
                <w:rFonts w:hint="eastAsia" w:cs="Calibri"/>
                <w:szCs w:val="21"/>
              </w:rPr>
              <w:t>服务</w:t>
            </w:r>
            <w:r>
              <w:rPr>
                <w:rFonts w:cs="Calibri"/>
                <w:szCs w:val="21"/>
              </w:rPr>
              <w:t>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24"/>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55"/>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hint="eastAsia" w:cs="Calibri"/>
                <w:szCs w:val="21"/>
              </w:rPr>
              <w:t>项目</w:t>
            </w: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二</w:t>
      </w:r>
      <w:r>
        <w:rPr>
          <w:rFonts w:eastAsia="黑体" w:cs="Calibri"/>
          <w:color w:val="000000"/>
          <w:sz w:val="32"/>
          <w:szCs w:val="32"/>
        </w:rPr>
        <w:t>）主要参与</w:t>
      </w:r>
      <w:r>
        <w:rPr>
          <w:rFonts w:hint="eastAsia" w:eastAsia="黑体" w:cs="Calibri"/>
          <w:color w:val="000000"/>
          <w:sz w:val="32"/>
          <w:szCs w:val="32"/>
        </w:rPr>
        <w:t>服务</w:t>
      </w:r>
      <w:r>
        <w:rPr>
          <w:rFonts w:eastAsia="黑体" w:cs="Calibri"/>
          <w:color w:val="000000"/>
          <w:sz w:val="32"/>
          <w:szCs w:val="32"/>
        </w:rPr>
        <w:t>人员简介</w:t>
      </w:r>
    </w:p>
    <w:tbl>
      <w:tblPr>
        <w:tblStyle w:val="55"/>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241"/>
              <w:jc w:val="center"/>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28"/>
          <w:jc w:val="center"/>
        </w:pPr>
        <w:r>
          <w:fldChar w:fldCharType="begin"/>
        </w:r>
        <w:r>
          <w:instrText xml:space="preserve"> PAGE   \* MERGEFORMAT </w:instrText>
        </w:r>
        <w:r>
          <w:fldChar w:fldCharType="separate"/>
        </w:r>
        <w:r>
          <w:t>- 34 -</w:t>
        </w:r>
        <w:r>
          <w:fldChar w:fldCharType="end"/>
        </w:r>
      </w:p>
    </w:sdtContent>
  </w:sdt>
  <w:p>
    <w:pPr>
      <w:pStyle w:val="28"/>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outside" w:y="1"/>
      <w:rPr>
        <w:rStyle w:val="49"/>
      </w:rPr>
    </w:pPr>
    <w:r>
      <w:fldChar w:fldCharType="begin"/>
    </w:r>
    <w:r>
      <w:rPr>
        <w:rStyle w:val="49"/>
      </w:rPr>
      <w:instrText xml:space="preserve">PAGE  </w:instrText>
    </w:r>
    <w:r>
      <w:fldChar w:fldCharType="separate"/>
    </w:r>
    <w:r>
      <w:rPr>
        <w:rStyle w:val="49"/>
      </w:rPr>
      <w:t>0</w:t>
    </w:r>
    <w:r>
      <w:fldChar w:fldCharType="end"/>
    </w:r>
  </w:p>
  <w:p>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outside" w:y="1"/>
      <w:rPr>
        <w:rStyle w:val="49"/>
      </w:rPr>
    </w:pPr>
    <w:r>
      <w:fldChar w:fldCharType="begin"/>
    </w:r>
    <w:r>
      <w:rPr>
        <w:rStyle w:val="49"/>
      </w:rPr>
      <w:instrText xml:space="preserve">PAGE  </w:instrText>
    </w:r>
    <w:r>
      <w:fldChar w:fldCharType="separate"/>
    </w:r>
    <w:r>
      <w:rPr>
        <w:rStyle w:val="49"/>
      </w:rPr>
      <w:t>0</w:t>
    </w:r>
    <w:r>
      <w:fldChar w:fldCharType="end"/>
    </w:r>
  </w:p>
  <w:p>
    <w:pPr>
      <w:pStyle w:val="2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left"/>
    </w:pPr>
    <w:r>
      <w:rPr>
        <w:rFonts w:hint="eastAsia"/>
        <w:lang w:val="en-US"/>
      </w:rPr>
      <w:t>杭州萧山国际机场有限公司</w:t>
    </w:r>
    <w:r>
      <w:rPr>
        <w:rFonts w:hint="eastAsia"/>
      </w:rPr>
      <w:t>税务顾问</w:t>
    </w:r>
    <w:r>
      <w:t>项目</w:t>
    </w:r>
    <w:r>
      <w:rPr>
        <w:rFonts w:hint="eastAsia"/>
      </w:rPr>
      <w:t>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B7C3F"/>
    <w:rsid w:val="1EBB516E"/>
    <w:rsid w:val="790079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1"/>
    <w:qFormat/>
    <w:uiPriority w:val="0"/>
    <w:pPr>
      <w:keepNext/>
      <w:keepLines/>
      <w:spacing w:before="340" w:after="330" w:line="576" w:lineRule="auto"/>
      <w:outlineLvl w:val="0"/>
    </w:pPr>
    <w:rPr>
      <w:rFonts w:ascii="Times New Roman" w:hAnsi="Times New Roman"/>
      <w:b/>
      <w:bCs/>
      <w:kern w:val="44"/>
      <w:sz w:val="44"/>
      <w:szCs w:val="44"/>
      <w:lang w:val="zh-CN"/>
    </w:rPr>
  </w:style>
  <w:style w:type="paragraph" w:styleId="3">
    <w:name w:val="heading 2"/>
    <w:basedOn w:val="1"/>
    <w:next w:val="1"/>
    <w:link w:val="62"/>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4">
    <w:name w:val="heading 3"/>
    <w:basedOn w:val="1"/>
    <w:next w:val="1"/>
    <w:link w:val="63"/>
    <w:qFormat/>
    <w:uiPriority w:val="0"/>
    <w:pPr>
      <w:spacing w:line="440" w:lineRule="atLeast"/>
      <w:outlineLvl w:val="2"/>
    </w:pPr>
    <w:rPr>
      <w:rFonts w:ascii="Times New Roman" w:hAnsi="Times New Roman" w:eastAsia="楷体_GB2312"/>
      <w:kern w:val="0"/>
      <w:sz w:val="28"/>
      <w:szCs w:val="20"/>
      <w:lang w:val="zh-CN"/>
    </w:rPr>
  </w:style>
  <w:style w:type="paragraph" w:styleId="5">
    <w:name w:val="heading 4"/>
    <w:basedOn w:val="1"/>
    <w:next w:val="1"/>
    <w:link w:val="64"/>
    <w:qFormat/>
    <w:uiPriority w:val="0"/>
    <w:pPr>
      <w:keepNext/>
      <w:keepLines/>
      <w:spacing w:before="280" w:after="290" w:line="372" w:lineRule="auto"/>
      <w:outlineLvl w:val="3"/>
    </w:pPr>
    <w:rPr>
      <w:rFonts w:ascii="Arial" w:hAnsi="Arial" w:eastAsia="黑体"/>
      <w:b/>
      <w:bCs/>
      <w:kern w:val="0"/>
      <w:sz w:val="28"/>
      <w:szCs w:val="28"/>
      <w:lang w:val="zh-CN"/>
    </w:rPr>
  </w:style>
  <w:style w:type="paragraph" w:styleId="6">
    <w:name w:val="heading 5"/>
    <w:basedOn w:val="1"/>
    <w:next w:val="1"/>
    <w:link w:val="65"/>
    <w:qFormat/>
    <w:uiPriority w:val="0"/>
    <w:pPr>
      <w:keepNext/>
      <w:keepLines/>
      <w:spacing w:before="280" w:after="290" w:line="372" w:lineRule="auto"/>
      <w:outlineLvl w:val="4"/>
    </w:pPr>
    <w:rPr>
      <w:rFonts w:ascii="Times New Roman" w:hAnsi="Times New Roman"/>
      <w:b/>
      <w:bCs/>
      <w:kern w:val="0"/>
      <w:sz w:val="28"/>
      <w:szCs w:val="28"/>
      <w:lang w:val="zh-CN"/>
    </w:rPr>
  </w:style>
  <w:style w:type="character" w:default="1" w:styleId="47">
    <w:name w:val="Default Paragraph Font"/>
    <w:unhideWhenUsed/>
    <w:uiPriority w:val="1"/>
  </w:style>
  <w:style w:type="table" w:default="1" w:styleId="55">
    <w:name w:val="Normal Table"/>
    <w:unhideWhenUsed/>
    <w:uiPriority w:val="99"/>
    <w:tblPr>
      <w:tblLayout w:type="fixed"/>
      <w:tblCellMar>
        <w:top w:w="0" w:type="dxa"/>
        <w:left w:w="108" w:type="dxa"/>
        <w:bottom w:w="0" w:type="dxa"/>
        <w:right w:w="108" w:type="dxa"/>
      </w:tblCellMar>
    </w:tblPr>
  </w:style>
  <w:style w:type="paragraph" w:styleId="7">
    <w:name w:val="List 3"/>
    <w:basedOn w:val="1"/>
    <w:qFormat/>
    <w:uiPriority w:val="0"/>
    <w:pPr>
      <w:ind w:left="100" w:leftChars="400" w:hanging="200" w:hangingChars="200"/>
    </w:pPr>
    <w:rPr>
      <w:rFonts w:ascii="Times New Roman" w:hAnsi="Times New Roman"/>
      <w:szCs w:val="24"/>
    </w:rPr>
  </w:style>
  <w:style w:type="paragraph" w:styleId="8">
    <w:name w:val="annotation subject"/>
    <w:basedOn w:val="9"/>
    <w:next w:val="9"/>
    <w:link w:val="137"/>
    <w:semiHidden/>
    <w:qFormat/>
    <w:uiPriority w:val="0"/>
    <w:rPr>
      <w:rFonts w:ascii="Times New Roman" w:hAnsi="Times New Roman"/>
      <w:b/>
      <w:bCs/>
      <w:kern w:val="0"/>
      <w:sz w:val="20"/>
      <w:szCs w:val="24"/>
    </w:rPr>
  </w:style>
  <w:style w:type="paragraph" w:styleId="9">
    <w:name w:val="annotation text"/>
    <w:basedOn w:val="1"/>
    <w:link w:val="138"/>
    <w:unhideWhenUsed/>
    <w:qFormat/>
    <w:uiPriority w:val="99"/>
    <w:pPr>
      <w:jc w:val="left"/>
    </w:pPr>
  </w:style>
  <w:style w:type="paragraph" w:styleId="10">
    <w:name w:val="toc 7"/>
    <w:basedOn w:val="1"/>
    <w:next w:val="1"/>
    <w:qFormat/>
    <w:uiPriority w:val="0"/>
    <w:pPr>
      <w:ind w:left="2520"/>
    </w:pPr>
    <w:rPr>
      <w:rFonts w:ascii="Times New Roman" w:hAnsi="Times New Roman"/>
      <w:szCs w:val="24"/>
    </w:rPr>
  </w:style>
  <w:style w:type="paragraph" w:styleId="11">
    <w:name w:val="Body Text First Indent"/>
    <w:basedOn w:val="12"/>
    <w:link w:val="109"/>
    <w:qFormat/>
    <w:uiPriority w:val="0"/>
    <w:pPr>
      <w:ind w:firstLine="420" w:firstLineChars="100"/>
    </w:pPr>
    <w:rPr>
      <w:rFonts w:ascii="Times New Roman" w:hAnsi="Times New Roman"/>
      <w:szCs w:val="24"/>
    </w:rPr>
  </w:style>
  <w:style w:type="paragraph" w:styleId="12">
    <w:name w:val="Body Text"/>
    <w:basedOn w:val="1"/>
    <w:link w:val="107"/>
    <w:unhideWhenUsed/>
    <w:qFormat/>
    <w:uiPriority w:val="0"/>
    <w:pPr>
      <w:spacing w:after="120"/>
    </w:pPr>
    <w:rPr>
      <w:kern w:val="0"/>
      <w:sz w:val="20"/>
      <w:szCs w:val="20"/>
      <w:lang w:val="zh-CN"/>
    </w:rPr>
  </w:style>
  <w:style w:type="paragraph" w:styleId="13">
    <w:name w:val="Normal Indent"/>
    <w:basedOn w:val="1"/>
    <w:link w:val="136"/>
    <w:qFormat/>
    <w:uiPriority w:val="0"/>
    <w:pPr>
      <w:autoSpaceDE w:val="0"/>
      <w:autoSpaceDN w:val="0"/>
      <w:adjustRightInd w:val="0"/>
      <w:ind w:firstLine="420"/>
      <w:jc w:val="left"/>
    </w:pPr>
    <w:rPr>
      <w:rFonts w:ascii="宋体" w:hAnsi="Times New Roman"/>
      <w:kern w:val="0"/>
      <w:sz w:val="34"/>
      <w:szCs w:val="20"/>
      <w:lang w:val="zh-CN"/>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76"/>
    <w:qFormat/>
    <w:uiPriority w:val="0"/>
    <w:pPr>
      <w:shd w:val="clear" w:color="auto" w:fill="000080"/>
    </w:pPr>
    <w:rPr>
      <w:rFonts w:ascii="Times New Roman" w:hAnsi="Times New Roman"/>
      <w:kern w:val="0"/>
      <w:sz w:val="20"/>
      <w:szCs w:val="24"/>
      <w:lang w:val="zh-CN"/>
    </w:rPr>
  </w:style>
  <w:style w:type="paragraph" w:styleId="16">
    <w:name w:val="toa heading"/>
    <w:basedOn w:val="1"/>
    <w:next w:val="1"/>
    <w:qFormat/>
    <w:uiPriority w:val="0"/>
    <w:pPr>
      <w:spacing w:before="120"/>
    </w:pPr>
    <w:rPr>
      <w:rFonts w:ascii="Arial" w:hAnsi="Arial" w:cs="Arial"/>
      <w:sz w:val="24"/>
      <w:szCs w:val="24"/>
    </w:rPr>
  </w:style>
  <w:style w:type="paragraph" w:styleId="17">
    <w:name w:val="Body Text Indent"/>
    <w:basedOn w:val="1"/>
    <w:link w:val="70"/>
    <w:unhideWhenUsed/>
    <w:qFormat/>
    <w:uiPriority w:val="0"/>
    <w:pPr>
      <w:spacing w:after="120"/>
      <w:ind w:left="420" w:leftChars="200"/>
    </w:pPr>
    <w:rPr>
      <w:kern w:val="0"/>
      <w:sz w:val="20"/>
      <w:szCs w:val="20"/>
      <w:lang w:val="zh-CN"/>
    </w:rPr>
  </w:style>
  <w:style w:type="paragraph" w:styleId="18">
    <w:name w:val="List 2"/>
    <w:basedOn w:val="1"/>
    <w:qFormat/>
    <w:uiPriority w:val="0"/>
    <w:pPr>
      <w:ind w:left="100" w:leftChars="200" w:hanging="200" w:hangingChars="200"/>
    </w:pPr>
    <w:rPr>
      <w:rFonts w:ascii="Times New Roman" w:hAnsi="Times New Roman"/>
      <w:szCs w:val="24"/>
    </w:rPr>
  </w:style>
  <w:style w:type="paragraph" w:styleId="19">
    <w:name w:val="toc 5"/>
    <w:basedOn w:val="1"/>
    <w:next w:val="1"/>
    <w:qFormat/>
    <w:uiPriority w:val="0"/>
    <w:pPr>
      <w:ind w:left="1680"/>
    </w:pPr>
    <w:rPr>
      <w:rFonts w:ascii="Times New Roman" w:hAnsi="Times New Roman"/>
      <w:szCs w:val="24"/>
    </w:rPr>
  </w:style>
  <w:style w:type="paragraph" w:styleId="20">
    <w:name w:val="toc 3"/>
    <w:basedOn w:val="1"/>
    <w:next w:val="1"/>
    <w:qFormat/>
    <w:uiPriority w:val="39"/>
    <w:pPr>
      <w:spacing w:line="360" w:lineRule="auto"/>
      <w:ind w:left="400" w:leftChars="400"/>
    </w:pPr>
    <w:rPr>
      <w:rFonts w:ascii="Times New Roman" w:hAnsi="Times New Roman"/>
      <w:szCs w:val="24"/>
    </w:rPr>
  </w:style>
  <w:style w:type="paragraph" w:styleId="21">
    <w:name w:val="Plain Text"/>
    <w:basedOn w:val="1"/>
    <w:link w:val="115"/>
    <w:qFormat/>
    <w:uiPriority w:val="0"/>
    <w:rPr>
      <w:rFonts w:ascii="宋体" w:hAnsi="Courier New"/>
      <w:kern w:val="0"/>
      <w:sz w:val="20"/>
      <w:szCs w:val="21"/>
      <w:lang w:val="zh-CN"/>
    </w:rPr>
  </w:style>
  <w:style w:type="paragraph" w:styleId="22">
    <w:name w:val="toc 8"/>
    <w:basedOn w:val="1"/>
    <w:next w:val="1"/>
    <w:qFormat/>
    <w:uiPriority w:val="0"/>
    <w:pPr>
      <w:ind w:left="2940"/>
    </w:pPr>
    <w:rPr>
      <w:rFonts w:ascii="Times New Roman" w:hAnsi="Times New Roman"/>
      <w:szCs w:val="24"/>
    </w:rPr>
  </w:style>
  <w:style w:type="paragraph" w:styleId="23">
    <w:name w:val="index 3"/>
    <w:basedOn w:val="1"/>
    <w:next w:val="1"/>
    <w:qFormat/>
    <w:uiPriority w:val="0"/>
    <w:pPr>
      <w:ind w:left="400" w:leftChars="400"/>
    </w:pPr>
    <w:rPr>
      <w:rFonts w:ascii="Times New Roman" w:hAnsi="Times New Roman"/>
      <w:szCs w:val="24"/>
    </w:rPr>
  </w:style>
  <w:style w:type="paragraph" w:styleId="24">
    <w:name w:val="Date"/>
    <w:basedOn w:val="1"/>
    <w:next w:val="1"/>
    <w:link w:val="78"/>
    <w:qFormat/>
    <w:uiPriority w:val="0"/>
    <w:pPr>
      <w:ind w:left="100" w:leftChars="2500"/>
    </w:pPr>
    <w:rPr>
      <w:rFonts w:ascii="Times New Roman" w:hAnsi="Times New Roman"/>
      <w:b/>
      <w:bCs/>
      <w:kern w:val="0"/>
      <w:sz w:val="36"/>
      <w:szCs w:val="24"/>
      <w:lang w:val="zh-CN"/>
    </w:rPr>
  </w:style>
  <w:style w:type="paragraph" w:styleId="25">
    <w:name w:val="Body Text Indent 2"/>
    <w:basedOn w:val="1"/>
    <w:link w:val="122"/>
    <w:uiPriority w:val="0"/>
    <w:pPr>
      <w:spacing w:after="120" w:line="480" w:lineRule="auto"/>
      <w:ind w:left="420" w:leftChars="200"/>
    </w:pPr>
    <w:rPr>
      <w:rFonts w:ascii="Times New Roman" w:hAnsi="Times New Roman"/>
      <w:kern w:val="0"/>
      <w:sz w:val="20"/>
      <w:szCs w:val="24"/>
      <w:lang w:val="zh-CN"/>
    </w:rPr>
  </w:style>
  <w:style w:type="paragraph" w:styleId="26">
    <w:name w:val="endnote text"/>
    <w:basedOn w:val="1"/>
    <w:link w:val="141"/>
    <w:unhideWhenUsed/>
    <w:qFormat/>
    <w:uiPriority w:val="99"/>
    <w:pPr>
      <w:snapToGrid w:val="0"/>
      <w:jc w:val="left"/>
    </w:pPr>
  </w:style>
  <w:style w:type="paragraph" w:styleId="27">
    <w:name w:val="Balloon Text"/>
    <w:basedOn w:val="1"/>
    <w:link w:val="111"/>
    <w:qFormat/>
    <w:uiPriority w:val="0"/>
    <w:rPr>
      <w:rFonts w:ascii="Times New Roman" w:hAnsi="Times New Roman"/>
      <w:kern w:val="0"/>
      <w:sz w:val="18"/>
      <w:szCs w:val="18"/>
      <w:lang w:val="zh-CN"/>
    </w:rPr>
  </w:style>
  <w:style w:type="paragraph" w:styleId="28">
    <w:name w:val="footer"/>
    <w:basedOn w:val="1"/>
    <w:link w:val="124"/>
    <w:qFormat/>
    <w:uiPriority w:val="99"/>
    <w:pPr>
      <w:tabs>
        <w:tab w:val="center" w:pos="4153"/>
        <w:tab w:val="right" w:pos="8306"/>
      </w:tabs>
      <w:snapToGrid w:val="0"/>
      <w:jc w:val="left"/>
    </w:pPr>
    <w:rPr>
      <w:rFonts w:ascii="Times New Roman" w:hAnsi="Times New Roman"/>
      <w:kern w:val="0"/>
      <w:sz w:val="18"/>
      <w:szCs w:val="18"/>
      <w:lang w:val="zh-CN"/>
    </w:rPr>
  </w:style>
  <w:style w:type="paragraph" w:styleId="29">
    <w:name w:val="Body Text First Indent 2"/>
    <w:basedOn w:val="17"/>
    <w:link w:val="72"/>
    <w:qFormat/>
    <w:uiPriority w:val="0"/>
    <w:pPr>
      <w:ind w:firstLine="420" w:firstLineChars="200"/>
    </w:pPr>
    <w:rPr>
      <w:rFonts w:ascii="Times New Roman" w:hAnsi="Times New Roman"/>
      <w:szCs w:val="24"/>
    </w:rPr>
  </w:style>
  <w:style w:type="paragraph" w:styleId="30">
    <w:name w:val="header"/>
    <w:basedOn w:val="1"/>
    <w:link w:val="74"/>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lang w:val="zh-CN"/>
    </w:rPr>
  </w:style>
  <w:style w:type="paragraph" w:styleId="31">
    <w:name w:val="toc 1"/>
    <w:basedOn w:val="2"/>
    <w:next w:val="1"/>
    <w:qFormat/>
    <w:uiPriority w:val="39"/>
    <w:pPr>
      <w:tabs>
        <w:tab w:val="right" w:leader="dot" w:pos="8659"/>
      </w:tabs>
      <w:spacing w:before="0" w:after="0" w:line="240" w:lineRule="auto"/>
      <w:jc w:val="center"/>
    </w:pPr>
    <w:rPr>
      <w:b w:val="0"/>
      <w:sz w:val="21"/>
    </w:rPr>
  </w:style>
  <w:style w:type="paragraph" w:styleId="32">
    <w:name w:val="toc 4"/>
    <w:basedOn w:val="1"/>
    <w:next w:val="1"/>
    <w:qFormat/>
    <w:uiPriority w:val="0"/>
    <w:pPr>
      <w:ind w:left="1260"/>
    </w:pPr>
    <w:rPr>
      <w:rFonts w:ascii="Times New Roman" w:hAnsi="Times New Roman"/>
      <w:szCs w:val="24"/>
    </w:rPr>
  </w:style>
  <w:style w:type="paragraph" w:styleId="33">
    <w:name w:val="List"/>
    <w:basedOn w:val="1"/>
    <w:qFormat/>
    <w:uiPriority w:val="0"/>
    <w:pPr>
      <w:ind w:left="200" w:hanging="200" w:hangingChars="200"/>
    </w:pPr>
    <w:rPr>
      <w:rFonts w:ascii="Times New Roman" w:hAnsi="Times New Roman"/>
      <w:szCs w:val="24"/>
    </w:rPr>
  </w:style>
  <w:style w:type="paragraph" w:styleId="34">
    <w:name w:val="footnote text"/>
    <w:basedOn w:val="1"/>
    <w:link w:val="113"/>
    <w:qFormat/>
    <w:uiPriority w:val="0"/>
    <w:pPr>
      <w:snapToGrid w:val="0"/>
      <w:jc w:val="left"/>
    </w:pPr>
    <w:rPr>
      <w:rFonts w:ascii="Times New Roman" w:hAnsi="Times New Roman"/>
      <w:kern w:val="0"/>
      <w:sz w:val="18"/>
      <w:szCs w:val="18"/>
      <w:lang w:val="zh-CN"/>
    </w:rPr>
  </w:style>
  <w:style w:type="paragraph" w:styleId="35">
    <w:name w:val="toc 6"/>
    <w:basedOn w:val="1"/>
    <w:next w:val="1"/>
    <w:qFormat/>
    <w:uiPriority w:val="0"/>
    <w:pPr>
      <w:ind w:left="2100"/>
    </w:pPr>
    <w:rPr>
      <w:rFonts w:ascii="Times New Roman" w:hAnsi="Times New Roman"/>
      <w:szCs w:val="24"/>
    </w:rPr>
  </w:style>
  <w:style w:type="paragraph" w:styleId="36">
    <w:name w:val="Body Text Indent 3"/>
    <w:basedOn w:val="1"/>
    <w:link w:val="68"/>
    <w:qFormat/>
    <w:uiPriority w:val="0"/>
    <w:pPr>
      <w:spacing w:line="540" w:lineRule="atLeast"/>
      <w:ind w:firstLine="480" w:firstLineChars="200"/>
    </w:pPr>
    <w:rPr>
      <w:rFonts w:ascii="Times New Roman" w:hAnsi="Times New Roman"/>
      <w:kern w:val="0"/>
      <w:sz w:val="24"/>
      <w:szCs w:val="24"/>
      <w:lang w:val="zh-CN"/>
    </w:rPr>
  </w:style>
  <w:style w:type="paragraph" w:styleId="37">
    <w:name w:val="table of figures"/>
    <w:basedOn w:val="1"/>
    <w:next w:val="1"/>
    <w:qFormat/>
    <w:uiPriority w:val="0"/>
    <w:pPr>
      <w:ind w:left="200" w:leftChars="200" w:hanging="200" w:hangingChars="200"/>
    </w:pPr>
    <w:rPr>
      <w:rFonts w:ascii="Times New Roman" w:hAnsi="Times New Roman"/>
      <w:szCs w:val="24"/>
    </w:rPr>
  </w:style>
  <w:style w:type="paragraph" w:styleId="38">
    <w:name w:val="toc 2"/>
    <w:basedOn w:val="1"/>
    <w:next w:val="1"/>
    <w:qFormat/>
    <w:uiPriority w:val="39"/>
    <w:pPr>
      <w:spacing w:line="360" w:lineRule="auto"/>
      <w:ind w:left="200" w:leftChars="200"/>
    </w:pPr>
    <w:rPr>
      <w:rFonts w:ascii="Times New Roman" w:hAnsi="Times New Roman"/>
      <w:szCs w:val="24"/>
    </w:rPr>
  </w:style>
  <w:style w:type="paragraph" w:styleId="39">
    <w:name w:val="toc 9"/>
    <w:basedOn w:val="1"/>
    <w:next w:val="1"/>
    <w:qFormat/>
    <w:uiPriority w:val="0"/>
    <w:pPr>
      <w:ind w:left="3360"/>
    </w:pPr>
    <w:rPr>
      <w:rFonts w:ascii="Times New Roman" w:hAnsi="Times New Roman"/>
      <w:szCs w:val="24"/>
    </w:rPr>
  </w:style>
  <w:style w:type="paragraph" w:styleId="40">
    <w:name w:val="Body Text 2"/>
    <w:basedOn w:val="1"/>
    <w:link w:val="120"/>
    <w:qFormat/>
    <w:uiPriority w:val="0"/>
    <w:pPr>
      <w:spacing w:after="120" w:line="480" w:lineRule="auto"/>
    </w:pPr>
    <w:rPr>
      <w:rFonts w:ascii="Times New Roman" w:hAnsi="Times New Roman"/>
      <w:kern w:val="0"/>
      <w:sz w:val="20"/>
      <w:szCs w:val="24"/>
      <w:lang w:val="zh-CN"/>
    </w:rPr>
  </w:style>
  <w:style w:type="paragraph" w:styleId="41">
    <w:name w:val="List 4"/>
    <w:basedOn w:val="1"/>
    <w:qFormat/>
    <w:uiPriority w:val="0"/>
    <w:pPr>
      <w:ind w:left="100" w:leftChars="600" w:hanging="200" w:hangingChars="200"/>
    </w:pPr>
    <w:rPr>
      <w:rFonts w:ascii="Times New Roman" w:hAnsi="Times New Roman"/>
      <w:szCs w:val="24"/>
    </w:rPr>
  </w:style>
  <w:style w:type="paragraph" w:styleId="42">
    <w:name w:val="List Continue 2"/>
    <w:basedOn w:val="1"/>
    <w:qFormat/>
    <w:uiPriority w:val="0"/>
    <w:pPr>
      <w:spacing w:after="120"/>
      <w:ind w:left="840" w:leftChars="400"/>
    </w:pPr>
    <w:rPr>
      <w:rFonts w:ascii="Times New Roman" w:hAnsi="Times New Roman"/>
      <w:szCs w:val="24"/>
    </w:rPr>
  </w:style>
  <w:style w:type="paragraph" w:styleId="43">
    <w:name w:val="Normal (Web)"/>
    <w:basedOn w:val="1"/>
    <w:uiPriority w:val="99"/>
    <w:pPr>
      <w:widowControl/>
      <w:spacing w:before="100" w:beforeAutospacing="1" w:after="100" w:afterAutospacing="1"/>
      <w:jc w:val="left"/>
    </w:pPr>
    <w:rPr>
      <w:rFonts w:ascii="宋体" w:hAnsi="宋体" w:cs="宋体"/>
      <w:kern w:val="0"/>
      <w:sz w:val="24"/>
      <w:szCs w:val="24"/>
    </w:rPr>
  </w:style>
  <w:style w:type="paragraph" w:styleId="44">
    <w:name w:val="index 1"/>
    <w:basedOn w:val="1"/>
    <w:next w:val="1"/>
    <w:qFormat/>
    <w:uiPriority w:val="0"/>
    <w:pPr>
      <w:spacing w:line="320" w:lineRule="exact"/>
    </w:pPr>
    <w:rPr>
      <w:rFonts w:ascii="Times New Roman" w:hAnsi="Times New Roman"/>
      <w:snapToGrid w:val="0"/>
      <w:color w:val="FF6600"/>
      <w:kern w:val="0"/>
      <w:sz w:val="18"/>
      <w:szCs w:val="21"/>
    </w:rPr>
  </w:style>
  <w:style w:type="paragraph" w:styleId="45">
    <w:name w:val="index 2"/>
    <w:basedOn w:val="1"/>
    <w:next w:val="1"/>
    <w:qFormat/>
    <w:uiPriority w:val="0"/>
    <w:pPr>
      <w:ind w:left="200" w:leftChars="200"/>
    </w:pPr>
    <w:rPr>
      <w:rFonts w:ascii="Times New Roman" w:hAnsi="Times New Roman"/>
      <w:szCs w:val="24"/>
    </w:rPr>
  </w:style>
  <w:style w:type="paragraph" w:styleId="46">
    <w:name w:val="Title"/>
    <w:basedOn w:val="1"/>
    <w:link w:val="80"/>
    <w:qFormat/>
    <w:uiPriority w:val="0"/>
    <w:pPr>
      <w:spacing w:before="240" w:after="60"/>
      <w:jc w:val="center"/>
      <w:outlineLvl w:val="0"/>
    </w:pPr>
    <w:rPr>
      <w:rFonts w:ascii="Arial" w:hAnsi="Arial"/>
      <w:b/>
      <w:bCs/>
      <w:kern w:val="0"/>
      <w:sz w:val="32"/>
      <w:szCs w:val="32"/>
      <w:lang w:val="zh-CN"/>
    </w:rPr>
  </w:style>
  <w:style w:type="character" w:styleId="48">
    <w:name w:val="endnote reference"/>
    <w:basedOn w:val="47"/>
    <w:unhideWhenUsed/>
    <w:qFormat/>
    <w:uiPriority w:val="99"/>
    <w:rPr>
      <w:rFonts w:ascii="Calibri" w:hAnsi="Calibri" w:eastAsia="宋体" w:cs="Times New Roman"/>
      <w:vertAlign w:val="superscript"/>
    </w:rPr>
  </w:style>
  <w:style w:type="character" w:styleId="49">
    <w:name w:val="page number"/>
    <w:qFormat/>
    <w:uiPriority w:val="0"/>
    <w:rPr>
      <w:rFonts w:ascii="Calibri" w:hAnsi="Calibri" w:eastAsia="宋体" w:cs="Times New Roman"/>
    </w:rPr>
  </w:style>
  <w:style w:type="character" w:styleId="50">
    <w:name w:val="FollowedHyperlink"/>
    <w:qFormat/>
    <w:uiPriority w:val="0"/>
    <w:rPr>
      <w:rFonts w:ascii="Calibri" w:hAnsi="Calibri" w:eastAsia="宋体" w:cs="Times New Roman"/>
      <w:color w:val="800080"/>
      <w:u w:val="single"/>
    </w:rPr>
  </w:style>
  <w:style w:type="character" w:styleId="51">
    <w:name w:val="Emphasis"/>
    <w:qFormat/>
    <w:uiPriority w:val="20"/>
    <w:rPr>
      <w:rFonts w:ascii="Calibri" w:hAnsi="Calibri" w:eastAsia="宋体" w:cs="Times New Roman"/>
      <w:i/>
      <w:iCs/>
    </w:rPr>
  </w:style>
  <w:style w:type="character" w:styleId="52">
    <w:name w:val="Hyperlink"/>
    <w:qFormat/>
    <w:uiPriority w:val="99"/>
    <w:rPr>
      <w:rFonts w:ascii="Calibri" w:hAnsi="Calibri" w:eastAsia="宋体" w:cs="Times New Roman"/>
      <w:color w:val="0000FF"/>
      <w:u w:val="single"/>
    </w:rPr>
  </w:style>
  <w:style w:type="character" w:styleId="53">
    <w:name w:val="annotation reference"/>
    <w:qFormat/>
    <w:uiPriority w:val="0"/>
    <w:rPr>
      <w:rFonts w:ascii="Calibri" w:hAnsi="Calibri" w:eastAsia="宋体" w:cs="Times New Roman"/>
      <w:sz w:val="21"/>
      <w:szCs w:val="21"/>
    </w:rPr>
  </w:style>
  <w:style w:type="character" w:styleId="54">
    <w:name w:val="footnote reference"/>
    <w:qFormat/>
    <w:uiPriority w:val="0"/>
    <w:rPr>
      <w:rFonts w:ascii="Calibri" w:hAnsi="Calibri" w:eastAsia="宋体" w:cs="Times New Roman"/>
      <w:vertAlign w:val="superscript"/>
    </w:rPr>
  </w:style>
  <w:style w:type="character" w:customStyle="1" w:styleId="56">
    <w:name w:val="标题 1 字符"/>
    <w:qFormat/>
    <w:uiPriority w:val="9"/>
    <w:rPr>
      <w:rFonts w:ascii="Calibri" w:hAnsi="Calibri" w:eastAsia="宋体" w:cs="Times New Roman"/>
      <w:b/>
      <w:bCs/>
      <w:kern w:val="44"/>
      <w:sz w:val="44"/>
      <w:szCs w:val="44"/>
    </w:rPr>
  </w:style>
  <w:style w:type="character" w:customStyle="1" w:styleId="57">
    <w:name w:val="标题 2 字符"/>
    <w:semiHidden/>
    <w:qFormat/>
    <w:uiPriority w:val="9"/>
    <w:rPr>
      <w:rFonts w:ascii="Calibri Light" w:hAnsi="Calibri Light" w:eastAsia="宋体" w:cs="Times New Roman"/>
      <w:b/>
      <w:bCs/>
      <w:sz w:val="32"/>
      <w:szCs w:val="32"/>
    </w:rPr>
  </w:style>
  <w:style w:type="character" w:customStyle="1" w:styleId="58">
    <w:name w:val="标题 3 字符"/>
    <w:semiHidden/>
    <w:qFormat/>
    <w:uiPriority w:val="9"/>
    <w:rPr>
      <w:rFonts w:ascii="Calibri" w:hAnsi="Calibri" w:eastAsia="宋体" w:cs="Times New Roman"/>
      <w:b/>
      <w:bCs/>
      <w:sz w:val="32"/>
      <w:szCs w:val="32"/>
    </w:rPr>
  </w:style>
  <w:style w:type="character" w:customStyle="1" w:styleId="59">
    <w:name w:val="标题 4 字符"/>
    <w:semiHidden/>
    <w:qFormat/>
    <w:uiPriority w:val="9"/>
    <w:rPr>
      <w:rFonts w:ascii="Calibri Light" w:hAnsi="Calibri Light" w:eastAsia="宋体" w:cs="Times New Roman"/>
      <w:b/>
      <w:bCs/>
      <w:sz w:val="28"/>
      <w:szCs w:val="28"/>
    </w:rPr>
  </w:style>
  <w:style w:type="character" w:customStyle="1" w:styleId="60">
    <w:name w:val="标题 5 字符"/>
    <w:semiHidden/>
    <w:qFormat/>
    <w:uiPriority w:val="9"/>
    <w:rPr>
      <w:rFonts w:ascii="Calibri" w:hAnsi="Calibri" w:eastAsia="宋体" w:cs="Times New Roman"/>
      <w:b/>
      <w:bCs/>
      <w:sz w:val="28"/>
      <w:szCs w:val="28"/>
    </w:rPr>
  </w:style>
  <w:style w:type="character" w:customStyle="1" w:styleId="61">
    <w:name w:val="标题 1 Char"/>
    <w:link w:val="2"/>
    <w:qFormat/>
    <w:uiPriority w:val="0"/>
    <w:rPr>
      <w:rFonts w:ascii="Times New Roman" w:hAnsi="Times New Roman" w:eastAsia="宋体" w:cs="Times New Roman"/>
      <w:b/>
      <w:bCs/>
      <w:kern w:val="44"/>
      <w:sz w:val="44"/>
      <w:szCs w:val="44"/>
      <w:lang w:val="zh-CN"/>
    </w:rPr>
  </w:style>
  <w:style w:type="character" w:customStyle="1" w:styleId="62">
    <w:name w:val="标题 2 Char"/>
    <w:link w:val="3"/>
    <w:qFormat/>
    <w:uiPriority w:val="0"/>
    <w:rPr>
      <w:rFonts w:ascii="Arial" w:hAnsi="Arial" w:eastAsia="黑体" w:cs="Times New Roman"/>
      <w:b/>
      <w:bCs/>
      <w:kern w:val="0"/>
      <w:sz w:val="32"/>
      <w:szCs w:val="32"/>
      <w:lang w:val="zh-CN"/>
    </w:rPr>
  </w:style>
  <w:style w:type="character" w:customStyle="1" w:styleId="63">
    <w:name w:val="标题 3 Char"/>
    <w:link w:val="4"/>
    <w:qFormat/>
    <w:uiPriority w:val="0"/>
    <w:rPr>
      <w:rFonts w:ascii="Times New Roman" w:hAnsi="Times New Roman" w:eastAsia="楷体_GB2312" w:cs="Times New Roman"/>
      <w:kern w:val="0"/>
      <w:sz w:val="28"/>
      <w:szCs w:val="20"/>
      <w:lang w:val="zh-CN"/>
    </w:rPr>
  </w:style>
  <w:style w:type="character" w:customStyle="1" w:styleId="64">
    <w:name w:val="标题 4 Char"/>
    <w:link w:val="5"/>
    <w:qFormat/>
    <w:uiPriority w:val="0"/>
    <w:rPr>
      <w:rFonts w:ascii="Arial" w:hAnsi="Arial" w:eastAsia="黑体" w:cs="Times New Roman"/>
      <w:b/>
      <w:bCs/>
      <w:kern w:val="0"/>
      <w:sz w:val="28"/>
      <w:szCs w:val="28"/>
      <w:lang w:val="zh-CN"/>
    </w:rPr>
  </w:style>
  <w:style w:type="character" w:customStyle="1" w:styleId="65">
    <w:name w:val="标题 5 Char"/>
    <w:link w:val="6"/>
    <w:qFormat/>
    <w:uiPriority w:val="0"/>
    <w:rPr>
      <w:rFonts w:ascii="Times New Roman" w:hAnsi="Times New Roman" w:eastAsia="宋体" w:cs="Times New Roman"/>
      <w:b/>
      <w:bCs/>
      <w:kern w:val="0"/>
      <w:sz w:val="28"/>
      <w:szCs w:val="28"/>
      <w:lang w:val="zh-CN"/>
    </w:rPr>
  </w:style>
  <w:style w:type="character" w:customStyle="1" w:styleId="66">
    <w:name w:val="zbggmain style9"/>
    <w:qFormat/>
    <w:uiPriority w:val="0"/>
    <w:rPr>
      <w:rFonts w:ascii="Calibri" w:hAnsi="Calibri" w:eastAsia="宋体" w:cs="Times New Roman"/>
    </w:rPr>
  </w:style>
  <w:style w:type="character" w:customStyle="1" w:styleId="67">
    <w:name w:val="正文文本缩进 3 字符"/>
    <w:semiHidden/>
    <w:qFormat/>
    <w:uiPriority w:val="99"/>
    <w:rPr>
      <w:rFonts w:ascii="Calibri" w:hAnsi="Calibri" w:eastAsia="宋体" w:cs="Times New Roman"/>
      <w:sz w:val="16"/>
      <w:szCs w:val="16"/>
    </w:rPr>
  </w:style>
  <w:style w:type="character" w:customStyle="1" w:styleId="68">
    <w:name w:val="正文文本缩进 3 Char"/>
    <w:link w:val="36"/>
    <w:qFormat/>
    <w:uiPriority w:val="0"/>
    <w:rPr>
      <w:rFonts w:ascii="Times New Roman" w:hAnsi="Times New Roman" w:eastAsia="宋体" w:cs="Times New Roman"/>
      <w:kern w:val="0"/>
      <w:sz w:val="24"/>
      <w:szCs w:val="24"/>
      <w:lang w:val="zh-CN"/>
    </w:rPr>
  </w:style>
  <w:style w:type="character" w:customStyle="1" w:styleId="69">
    <w:name w:val="正文文本缩进 字符"/>
    <w:basedOn w:val="47"/>
    <w:semiHidden/>
    <w:qFormat/>
    <w:uiPriority w:val="99"/>
    <w:rPr>
      <w:rFonts w:ascii="Calibri" w:hAnsi="Calibri" w:eastAsia="宋体" w:cs="Times New Roman"/>
    </w:rPr>
  </w:style>
  <w:style w:type="character" w:customStyle="1" w:styleId="70">
    <w:name w:val="正文文本缩进 Char"/>
    <w:link w:val="17"/>
    <w:qFormat/>
    <w:uiPriority w:val="0"/>
    <w:rPr>
      <w:rFonts w:ascii="Calibri" w:hAnsi="Calibri" w:eastAsia="宋体" w:cs="Times New Roman"/>
      <w:kern w:val="0"/>
      <w:sz w:val="20"/>
      <w:szCs w:val="20"/>
      <w:lang w:val="zh-CN"/>
    </w:rPr>
  </w:style>
  <w:style w:type="character" w:customStyle="1" w:styleId="71">
    <w:name w:val="正文首行缩进 2 字符"/>
    <w:basedOn w:val="69"/>
    <w:semiHidden/>
    <w:qFormat/>
    <w:uiPriority w:val="99"/>
  </w:style>
  <w:style w:type="character" w:customStyle="1" w:styleId="72">
    <w:name w:val="正文首行缩进 2 Char"/>
    <w:link w:val="29"/>
    <w:qFormat/>
    <w:uiPriority w:val="0"/>
    <w:rPr>
      <w:rFonts w:ascii="Times New Roman" w:hAnsi="Times New Roman" w:eastAsia="宋体" w:cs="Times New Roman"/>
      <w:szCs w:val="24"/>
    </w:rPr>
  </w:style>
  <w:style w:type="character" w:customStyle="1" w:styleId="73">
    <w:name w:val="页眉 字符"/>
    <w:semiHidden/>
    <w:qFormat/>
    <w:uiPriority w:val="99"/>
    <w:rPr>
      <w:rFonts w:ascii="Calibri" w:hAnsi="Calibri" w:eastAsia="宋体" w:cs="Times New Roman"/>
      <w:sz w:val="18"/>
      <w:szCs w:val="18"/>
    </w:rPr>
  </w:style>
  <w:style w:type="character" w:customStyle="1" w:styleId="74">
    <w:name w:val="页眉 Char"/>
    <w:link w:val="30"/>
    <w:qFormat/>
    <w:uiPriority w:val="99"/>
    <w:rPr>
      <w:rFonts w:ascii="Times New Roman" w:hAnsi="Times New Roman" w:eastAsia="宋体" w:cs="Times New Roman"/>
      <w:kern w:val="0"/>
      <w:sz w:val="18"/>
      <w:szCs w:val="18"/>
      <w:lang w:val="zh-CN"/>
    </w:rPr>
  </w:style>
  <w:style w:type="character" w:customStyle="1" w:styleId="75">
    <w:name w:val="文档结构图 字符"/>
    <w:semiHidden/>
    <w:qFormat/>
    <w:uiPriority w:val="99"/>
    <w:rPr>
      <w:rFonts w:ascii="Microsoft YaHei UI" w:hAnsi="Calibri" w:eastAsia="Microsoft YaHei UI" w:cs="Times New Roman"/>
      <w:sz w:val="18"/>
      <w:szCs w:val="18"/>
    </w:rPr>
  </w:style>
  <w:style w:type="character" w:customStyle="1" w:styleId="76">
    <w:name w:val="文档结构图 Char"/>
    <w:link w:val="15"/>
    <w:qFormat/>
    <w:uiPriority w:val="0"/>
    <w:rPr>
      <w:rFonts w:ascii="Times New Roman" w:hAnsi="Times New Roman" w:eastAsia="宋体" w:cs="Times New Roman"/>
      <w:kern w:val="0"/>
      <w:sz w:val="20"/>
      <w:szCs w:val="24"/>
      <w:lang w:val="zh-CN"/>
    </w:rPr>
  </w:style>
  <w:style w:type="character" w:customStyle="1" w:styleId="77">
    <w:name w:val="日期 字符"/>
    <w:basedOn w:val="47"/>
    <w:semiHidden/>
    <w:qFormat/>
    <w:uiPriority w:val="99"/>
    <w:rPr>
      <w:rFonts w:ascii="Calibri" w:hAnsi="Calibri" w:eastAsia="宋体" w:cs="Times New Roman"/>
    </w:rPr>
  </w:style>
  <w:style w:type="character" w:customStyle="1" w:styleId="78">
    <w:name w:val="日期 Char"/>
    <w:link w:val="24"/>
    <w:qFormat/>
    <w:uiPriority w:val="0"/>
    <w:rPr>
      <w:rFonts w:ascii="Times New Roman" w:hAnsi="Times New Roman" w:eastAsia="宋体" w:cs="Times New Roman"/>
      <w:b/>
      <w:bCs/>
      <w:kern w:val="0"/>
      <w:sz w:val="36"/>
      <w:szCs w:val="24"/>
      <w:lang w:val="zh-CN"/>
    </w:rPr>
  </w:style>
  <w:style w:type="character" w:customStyle="1" w:styleId="79">
    <w:name w:val="标题 字符"/>
    <w:qFormat/>
    <w:uiPriority w:val="10"/>
    <w:rPr>
      <w:rFonts w:ascii="Calibri Light" w:hAnsi="Calibri Light" w:eastAsia="宋体" w:cs="Times New Roman"/>
      <w:b/>
      <w:bCs/>
      <w:sz w:val="32"/>
      <w:szCs w:val="32"/>
    </w:rPr>
  </w:style>
  <w:style w:type="character" w:customStyle="1" w:styleId="80">
    <w:name w:val="标题 Char"/>
    <w:link w:val="46"/>
    <w:qFormat/>
    <w:uiPriority w:val="0"/>
    <w:rPr>
      <w:rFonts w:ascii="Arial" w:hAnsi="Arial" w:eastAsia="宋体" w:cs="Times New Roman"/>
      <w:b/>
      <w:bCs/>
      <w:kern w:val="0"/>
      <w:sz w:val="32"/>
      <w:szCs w:val="32"/>
      <w:lang w:val="zh-CN"/>
    </w:rPr>
  </w:style>
  <w:style w:type="paragraph" w:customStyle="1" w:styleId="81">
    <w:name w:val="样式2"/>
    <w:basedOn w:val="37"/>
    <w:qFormat/>
    <w:uiPriority w:val="0"/>
    <w:pPr>
      <w:ind w:firstLine="2720"/>
    </w:pPr>
    <w:rPr>
      <w:bCs/>
    </w:rPr>
  </w:style>
  <w:style w:type="paragraph" w:customStyle="1" w:styleId="82">
    <w:name w:val="0"/>
    <w:basedOn w:val="1"/>
    <w:qFormat/>
    <w:uiPriority w:val="0"/>
    <w:pPr>
      <w:widowControl/>
    </w:pPr>
    <w:rPr>
      <w:rFonts w:ascii="Times New Roman" w:hAnsi="Times New Roman"/>
      <w:kern w:val="0"/>
      <w:szCs w:val="20"/>
    </w:rPr>
  </w:style>
  <w:style w:type="paragraph" w:customStyle="1" w:styleId="83">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84">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5">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86">
    <w:name w:val="Char"/>
    <w:basedOn w:val="1"/>
    <w:qFormat/>
    <w:uiPriority w:val="0"/>
    <w:pPr>
      <w:spacing w:line="360" w:lineRule="auto"/>
    </w:pPr>
    <w:rPr>
      <w:rFonts w:ascii="黑体" w:hAnsi="黑体"/>
      <w:sz w:val="24"/>
      <w:szCs w:val="24"/>
      <w:lang w:val="zh-CN"/>
    </w:rPr>
  </w:style>
  <w:style w:type="paragraph" w:customStyle="1" w:styleId="87">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88">
    <w:name w:val="z-窗体顶端1"/>
    <w:basedOn w:val="1"/>
    <w:next w:val="1"/>
    <w:link w:val="90"/>
    <w:qFormat/>
    <w:uiPriority w:val="0"/>
    <w:pPr>
      <w:pBdr>
        <w:bottom w:val="single" w:color="auto" w:sz="6" w:space="1"/>
      </w:pBdr>
      <w:jc w:val="center"/>
    </w:pPr>
    <w:rPr>
      <w:rFonts w:ascii="Arial" w:hAnsi="Arial"/>
      <w:vanish/>
      <w:kern w:val="0"/>
      <w:sz w:val="16"/>
      <w:szCs w:val="16"/>
      <w:lang w:val="zh-CN"/>
    </w:rPr>
  </w:style>
  <w:style w:type="character" w:customStyle="1" w:styleId="89">
    <w:name w:val="z-窗体顶端 字符"/>
    <w:semiHidden/>
    <w:qFormat/>
    <w:uiPriority w:val="99"/>
    <w:rPr>
      <w:rFonts w:ascii="Arial" w:hAnsi="Arial" w:eastAsia="宋体" w:cs="Arial"/>
      <w:vanish/>
      <w:sz w:val="16"/>
      <w:szCs w:val="16"/>
    </w:rPr>
  </w:style>
  <w:style w:type="character" w:customStyle="1" w:styleId="90">
    <w:name w:val="z-窗体顶端 Char"/>
    <w:link w:val="88"/>
    <w:qFormat/>
    <w:uiPriority w:val="0"/>
    <w:rPr>
      <w:rFonts w:ascii="Arial" w:hAnsi="Arial" w:eastAsia="宋体" w:cs="Times New Roman"/>
      <w:vanish/>
      <w:kern w:val="0"/>
      <w:sz w:val="16"/>
      <w:szCs w:val="16"/>
      <w:lang w:val="zh-CN"/>
    </w:rPr>
  </w:style>
  <w:style w:type="paragraph" w:customStyle="1" w:styleId="91">
    <w:name w:val="_Style 10"/>
    <w:basedOn w:val="1"/>
    <w:next w:val="1"/>
    <w:qFormat/>
    <w:uiPriority w:val="0"/>
    <w:rPr>
      <w:rFonts w:ascii="Times New Roman" w:hAnsi="Times New Roman"/>
      <w:szCs w:val="24"/>
    </w:rPr>
  </w:style>
  <w:style w:type="paragraph" w:customStyle="1" w:styleId="92">
    <w:name w:val="Char Char"/>
    <w:basedOn w:val="1"/>
    <w:qFormat/>
    <w:uiPriority w:val="0"/>
    <w:rPr>
      <w:rFonts w:ascii="Tahoma" w:hAnsi="Tahoma"/>
      <w:sz w:val="24"/>
      <w:szCs w:val="20"/>
    </w:rPr>
  </w:style>
  <w:style w:type="paragraph" w:customStyle="1" w:styleId="93">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94">
    <w:name w:val="Char Char Char Char"/>
    <w:basedOn w:val="1"/>
    <w:qFormat/>
    <w:uiPriority w:val="0"/>
    <w:rPr>
      <w:rFonts w:ascii="仿宋_GB2312" w:hAnsi="Times New Roman" w:eastAsia="仿宋_GB2312"/>
      <w:b/>
      <w:sz w:val="32"/>
      <w:szCs w:val="32"/>
    </w:rPr>
  </w:style>
  <w:style w:type="paragraph" w:customStyle="1" w:styleId="95">
    <w:name w:val="末级"/>
    <w:basedOn w:val="1"/>
    <w:qFormat/>
    <w:uiPriority w:val="0"/>
    <w:pPr>
      <w:tabs>
        <w:tab w:val="left" w:pos="851"/>
      </w:tabs>
      <w:spacing w:line="360" w:lineRule="auto"/>
      <w:ind w:firstLine="510"/>
    </w:pPr>
    <w:rPr>
      <w:rFonts w:ascii="Times New Roman" w:hAnsi="Times New Roman"/>
      <w:sz w:val="24"/>
      <w:szCs w:val="24"/>
    </w:rPr>
  </w:style>
  <w:style w:type="paragraph" w:customStyle="1" w:styleId="96">
    <w:name w:val="样式1"/>
    <w:basedOn w:val="1"/>
    <w:qFormat/>
    <w:uiPriority w:val="0"/>
    <w:pPr>
      <w:spacing w:line="360" w:lineRule="auto"/>
      <w:jc w:val="center"/>
    </w:pPr>
    <w:rPr>
      <w:rFonts w:ascii="宋体" w:hAnsi="宋体"/>
      <w:sz w:val="32"/>
      <w:szCs w:val="30"/>
    </w:rPr>
  </w:style>
  <w:style w:type="paragraph" w:customStyle="1" w:styleId="97">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98">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99">
    <w:name w:val="正文段"/>
    <w:basedOn w:val="1"/>
    <w:qFormat/>
    <w:uiPriority w:val="0"/>
    <w:pPr>
      <w:spacing w:line="360" w:lineRule="auto"/>
      <w:ind w:firstLine="420"/>
    </w:pPr>
    <w:rPr>
      <w:rFonts w:ascii="宋体" w:hAnsi="Times New Roman"/>
      <w:sz w:val="24"/>
      <w:szCs w:val="24"/>
    </w:rPr>
  </w:style>
  <w:style w:type="paragraph" w:customStyle="1" w:styleId="100">
    <w:name w:val="表格一"/>
    <w:basedOn w:val="1"/>
    <w:qFormat/>
    <w:uiPriority w:val="0"/>
    <w:pPr>
      <w:spacing w:line="240" w:lineRule="exact"/>
      <w:ind w:left="105" w:leftChars="50"/>
    </w:pPr>
    <w:rPr>
      <w:rFonts w:ascii="Times New Roman" w:hAnsi="Times New Roman"/>
      <w:sz w:val="18"/>
      <w:szCs w:val="21"/>
    </w:rPr>
  </w:style>
  <w:style w:type="paragraph" w:customStyle="1" w:styleId="101">
    <w:name w:val="样式 一号 加粗 居中"/>
    <w:basedOn w:val="1"/>
    <w:qFormat/>
    <w:uiPriority w:val="0"/>
    <w:pPr>
      <w:jc w:val="center"/>
    </w:pPr>
    <w:rPr>
      <w:rFonts w:ascii="Times New Roman" w:hAnsi="Times New Roman" w:cs="宋体"/>
      <w:bCs/>
      <w:sz w:val="52"/>
      <w:szCs w:val="20"/>
    </w:rPr>
  </w:style>
  <w:style w:type="paragraph" w:customStyle="1" w:styleId="102">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03">
    <w:name w:val="z-窗体底端1"/>
    <w:basedOn w:val="1"/>
    <w:next w:val="1"/>
    <w:link w:val="105"/>
    <w:qFormat/>
    <w:uiPriority w:val="0"/>
    <w:pPr>
      <w:pBdr>
        <w:top w:val="single" w:color="auto" w:sz="6" w:space="1"/>
      </w:pBdr>
      <w:jc w:val="center"/>
    </w:pPr>
    <w:rPr>
      <w:rFonts w:ascii="Arial" w:hAnsi="Arial"/>
      <w:vanish/>
      <w:kern w:val="0"/>
      <w:sz w:val="16"/>
      <w:szCs w:val="16"/>
      <w:lang w:val="zh-CN"/>
    </w:rPr>
  </w:style>
  <w:style w:type="character" w:customStyle="1" w:styleId="104">
    <w:name w:val="z-窗体底端 字符"/>
    <w:semiHidden/>
    <w:qFormat/>
    <w:uiPriority w:val="99"/>
    <w:rPr>
      <w:rFonts w:ascii="Arial" w:hAnsi="Arial" w:eastAsia="宋体" w:cs="Arial"/>
      <w:vanish/>
      <w:sz w:val="16"/>
      <w:szCs w:val="16"/>
    </w:rPr>
  </w:style>
  <w:style w:type="character" w:customStyle="1" w:styleId="105">
    <w:name w:val="z-窗体底端 Char"/>
    <w:link w:val="103"/>
    <w:qFormat/>
    <w:uiPriority w:val="0"/>
    <w:rPr>
      <w:rFonts w:ascii="Arial" w:hAnsi="Arial" w:eastAsia="宋体" w:cs="Times New Roman"/>
      <w:vanish/>
      <w:kern w:val="0"/>
      <w:sz w:val="16"/>
      <w:szCs w:val="16"/>
      <w:lang w:val="zh-CN"/>
    </w:rPr>
  </w:style>
  <w:style w:type="character" w:customStyle="1" w:styleId="106">
    <w:name w:val="正文文本 字符"/>
    <w:basedOn w:val="47"/>
    <w:semiHidden/>
    <w:qFormat/>
    <w:uiPriority w:val="99"/>
    <w:rPr>
      <w:rFonts w:ascii="Calibri" w:hAnsi="Calibri" w:eastAsia="宋体" w:cs="Times New Roman"/>
    </w:rPr>
  </w:style>
  <w:style w:type="character" w:customStyle="1" w:styleId="107">
    <w:name w:val="正文文本 Char"/>
    <w:link w:val="12"/>
    <w:qFormat/>
    <w:uiPriority w:val="0"/>
    <w:rPr>
      <w:rFonts w:ascii="Calibri" w:hAnsi="Calibri" w:eastAsia="宋体" w:cs="Times New Roman"/>
      <w:kern w:val="0"/>
      <w:sz w:val="20"/>
      <w:szCs w:val="20"/>
      <w:lang w:val="zh-CN"/>
    </w:rPr>
  </w:style>
  <w:style w:type="character" w:customStyle="1" w:styleId="108">
    <w:name w:val="正文首行缩进 字符"/>
    <w:basedOn w:val="106"/>
    <w:semiHidden/>
    <w:qFormat/>
    <w:uiPriority w:val="99"/>
  </w:style>
  <w:style w:type="character" w:customStyle="1" w:styleId="109">
    <w:name w:val="正文首行缩进 Char"/>
    <w:link w:val="11"/>
    <w:qFormat/>
    <w:uiPriority w:val="0"/>
    <w:rPr>
      <w:rFonts w:ascii="Times New Roman" w:hAnsi="Times New Roman" w:eastAsia="宋体" w:cs="Times New Roman"/>
      <w:szCs w:val="24"/>
    </w:rPr>
  </w:style>
  <w:style w:type="character" w:customStyle="1" w:styleId="110">
    <w:name w:val="批注框文本 字符"/>
    <w:semiHidden/>
    <w:qFormat/>
    <w:uiPriority w:val="99"/>
    <w:rPr>
      <w:rFonts w:ascii="Calibri" w:hAnsi="Calibri" w:eastAsia="宋体" w:cs="Times New Roman"/>
      <w:sz w:val="18"/>
      <w:szCs w:val="18"/>
    </w:rPr>
  </w:style>
  <w:style w:type="character" w:customStyle="1" w:styleId="111">
    <w:name w:val="批注框文本 Char"/>
    <w:link w:val="27"/>
    <w:qFormat/>
    <w:uiPriority w:val="0"/>
    <w:rPr>
      <w:rFonts w:ascii="Times New Roman" w:hAnsi="Times New Roman" w:eastAsia="宋体" w:cs="Times New Roman"/>
      <w:kern w:val="0"/>
      <w:sz w:val="18"/>
      <w:szCs w:val="18"/>
      <w:lang w:val="zh-CN"/>
    </w:rPr>
  </w:style>
  <w:style w:type="character" w:customStyle="1" w:styleId="112">
    <w:name w:val="脚注文本 字符"/>
    <w:semiHidden/>
    <w:qFormat/>
    <w:uiPriority w:val="99"/>
    <w:rPr>
      <w:rFonts w:ascii="Calibri" w:hAnsi="Calibri" w:eastAsia="宋体" w:cs="Times New Roman"/>
      <w:sz w:val="18"/>
      <w:szCs w:val="18"/>
    </w:rPr>
  </w:style>
  <w:style w:type="character" w:customStyle="1" w:styleId="113">
    <w:name w:val="脚注文本 Char"/>
    <w:link w:val="34"/>
    <w:qFormat/>
    <w:uiPriority w:val="0"/>
    <w:rPr>
      <w:rFonts w:ascii="Times New Roman" w:hAnsi="Times New Roman" w:eastAsia="宋体" w:cs="Times New Roman"/>
      <w:kern w:val="0"/>
      <w:sz w:val="18"/>
      <w:szCs w:val="18"/>
      <w:lang w:val="zh-CN"/>
    </w:rPr>
  </w:style>
  <w:style w:type="character" w:customStyle="1" w:styleId="114">
    <w:name w:val="纯文本 字符"/>
    <w:qFormat/>
    <w:uiPriority w:val="0"/>
    <w:rPr>
      <w:rFonts w:ascii="宋体" w:hAnsi="Courier New" w:eastAsia="宋体" w:cs="Courier New"/>
    </w:rPr>
  </w:style>
  <w:style w:type="character" w:customStyle="1" w:styleId="115">
    <w:name w:val="纯文本 Char1"/>
    <w:link w:val="21"/>
    <w:qFormat/>
    <w:uiPriority w:val="0"/>
    <w:rPr>
      <w:rFonts w:ascii="宋体" w:hAnsi="Courier New" w:eastAsia="宋体" w:cs="Times New Roman"/>
      <w:kern w:val="0"/>
      <w:sz w:val="20"/>
      <w:szCs w:val="21"/>
      <w:lang w:val="zh-CN"/>
    </w:rPr>
  </w:style>
  <w:style w:type="paragraph" w:customStyle="1" w:styleId="116">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117">
    <w:name w:val="样式3"/>
    <w:basedOn w:val="4"/>
    <w:qFormat/>
    <w:uiPriority w:val="0"/>
    <w:pPr>
      <w:keepNext/>
      <w:keepLines/>
      <w:spacing w:before="120" w:after="120" w:line="360" w:lineRule="auto"/>
    </w:pPr>
    <w:rPr>
      <w:rFonts w:eastAsia="宋体"/>
      <w:sz w:val="24"/>
      <w:szCs w:val="24"/>
    </w:rPr>
  </w:style>
  <w:style w:type="paragraph" w:customStyle="1" w:styleId="118">
    <w:name w:val="表"/>
    <w:basedOn w:val="1"/>
    <w:qFormat/>
    <w:uiPriority w:val="0"/>
    <w:pPr>
      <w:spacing w:line="360" w:lineRule="auto"/>
      <w:jc w:val="center"/>
    </w:pPr>
    <w:rPr>
      <w:rFonts w:ascii="Times New Roman" w:hAnsi="Times New Roman"/>
      <w:color w:val="000000"/>
      <w:szCs w:val="21"/>
    </w:rPr>
  </w:style>
  <w:style w:type="character" w:customStyle="1" w:styleId="119">
    <w:name w:val="正文文本 2 字符"/>
    <w:basedOn w:val="47"/>
    <w:semiHidden/>
    <w:qFormat/>
    <w:uiPriority w:val="99"/>
    <w:rPr>
      <w:rFonts w:ascii="Calibri" w:hAnsi="Calibri" w:eastAsia="宋体" w:cs="Times New Roman"/>
    </w:rPr>
  </w:style>
  <w:style w:type="character" w:customStyle="1" w:styleId="120">
    <w:name w:val="正文文本 2 Char"/>
    <w:link w:val="40"/>
    <w:qFormat/>
    <w:uiPriority w:val="0"/>
    <w:rPr>
      <w:rFonts w:ascii="Times New Roman" w:hAnsi="Times New Roman" w:eastAsia="宋体" w:cs="Times New Roman"/>
      <w:kern w:val="0"/>
      <w:sz w:val="20"/>
      <w:szCs w:val="24"/>
      <w:lang w:val="zh-CN"/>
    </w:rPr>
  </w:style>
  <w:style w:type="character" w:customStyle="1" w:styleId="121">
    <w:name w:val="正文文本缩进 2 字符"/>
    <w:basedOn w:val="47"/>
    <w:semiHidden/>
    <w:qFormat/>
    <w:uiPriority w:val="99"/>
    <w:rPr>
      <w:rFonts w:ascii="Calibri" w:hAnsi="Calibri" w:eastAsia="宋体" w:cs="Times New Roman"/>
    </w:rPr>
  </w:style>
  <w:style w:type="character" w:customStyle="1" w:styleId="122">
    <w:name w:val="正文文本缩进 2 Char"/>
    <w:link w:val="25"/>
    <w:qFormat/>
    <w:uiPriority w:val="0"/>
    <w:rPr>
      <w:rFonts w:ascii="Times New Roman" w:hAnsi="Times New Roman" w:eastAsia="宋体" w:cs="Times New Roman"/>
      <w:kern w:val="0"/>
      <w:sz w:val="20"/>
      <w:szCs w:val="24"/>
      <w:lang w:val="zh-CN"/>
    </w:rPr>
  </w:style>
  <w:style w:type="character" w:customStyle="1" w:styleId="123">
    <w:name w:val="页脚 字符"/>
    <w:semiHidden/>
    <w:qFormat/>
    <w:uiPriority w:val="99"/>
    <w:rPr>
      <w:rFonts w:ascii="Calibri" w:hAnsi="Calibri" w:eastAsia="宋体" w:cs="Times New Roman"/>
      <w:sz w:val="18"/>
      <w:szCs w:val="18"/>
    </w:rPr>
  </w:style>
  <w:style w:type="character" w:customStyle="1" w:styleId="124">
    <w:name w:val="页脚 Char"/>
    <w:link w:val="28"/>
    <w:qFormat/>
    <w:uiPriority w:val="99"/>
    <w:rPr>
      <w:rFonts w:ascii="Times New Roman" w:hAnsi="Times New Roman" w:eastAsia="宋体" w:cs="Times New Roman"/>
      <w:kern w:val="0"/>
      <w:sz w:val="18"/>
      <w:szCs w:val="18"/>
      <w:lang w:val="zh-CN"/>
    </w:rPr>
  </w:style>
  <w:style w:type="paragraph" w:customStyle="1" w:styleId="125">
    <w:name w:val="列出段落1"/>
    <w:basedOn w:val="1"/>
    <w:qFormat/>
    <w:uiPriority w:val="0"/>
    <w:pPr>
      <w:spacing w:before="100" w:beforeAutospacing="1" w:after="100" w:afterAutospacing="1" w:line="300" w:lineRule="auto"/>
      <w:ind w:firstLine="420" w:firstLineChars="200"/>
    </w:pPr>
  </w:style>
  <w:style w:type="paragraph" w:customStyle="1" w:styleId="126">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27">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128">
    <w:name w:val="样式 样式1 + 首行缩进:  2 字符 Char"/>
    <w:link w:val="129"/>
    <w:qFormat/>
    <w:uiPriority w:val="0"/>
    <w:rPr>
      <w:rFonts w:ascii="Arial" w:hAnsi="Arial" w:eastAsia="宋体" w:cs="Times New Roman"/>
      <w:kern w:val="0"/>
      <w:sz w:val="24"/>
      <w:szCs w:val="20"/>
      <w:lang w:val="zh-CN"/>
    </w:rPr>
  </w:style>
  <w:style w:type="paragraph" w:customStyle="1" w:styleId="129">
    <w:name w:val="样式 样式1 + 首行缩进:  2 字符"/>
    <w:basedOn w:val="96"/>
    <w:link w:val="128"/>
    <w:qFormat/>
    <w:uiPriority w:val="0"/>
    <w:pPr>
      <w:spacing w:line="360" w:lineRule="exact"/>
      <w:ind w:firstLine="420" w:firstLineChars="200"/>
      <w:jc w:val="both"/>
    </w:pPr>
    <w:rPr>
      <w:rFonts w:ascii="Arial" w:hAnsi="Arial"/>
      <w:kern w:val="0"/>
      <w:sz w:val="24"/>
      <w:szCs w:val="20"/>
      <w:lang w:val="zh-CN"/>
    </w:rPr>
  </w:style>
  <w:style w:type="paragraph" w:customStyle="1" w:styleId="130">
    <w:name w:val="样式 标题 1 + (符号) Arial 三号"/>
    <w:basedOn w:val="2"/>
    <w:qFormat/>
    <w:uiPriority w:val="0"/>
    <w:pPr>
      <w:snapToGrid w:val="0"/>
      <w:spacing w:before="0" w:after="0" w:line="360" w:lineRule="auto"/>
    </w:pPr>
    <w:rPr>
      <w:sz w:val="32"/>
    </w:rPr>
  </w:style>
  <w:style w:type="paragraph" w:customStyle="1" w:styleId="131">
    <w:name w:val="列出段落11"/>
    <w:basedOn w:val="1"/>
    <w:qFormat/>
    <w:uiPriority w:val="0"/>
    <w:pPr>
      <w:ind w:firstLine="420" w:firstLineChars="200"/>
    </w:pPr>
  </w:style>
  <w:style w:type="character" w:customStyle="1" w:styleId="132">
    <w:name w:val="Char Char14"/>
    <w:qFormat/>
    <w:uiPriority w:val="0"/>
    <w:rPr>
      <w:rFonts w:ascii="宋体" w:hAnsi="Courier New" w:eastAsia="宋体" w:cs="Courier New"/>
      <w:kern w:val="2"/>
      <w:sz w:val="21"/>
      <w:szCs w:val="21"/>
      <w:lang w:val="en-US" w:eastAsia="zh-CN" w:bidi="ar-SA"/>
    </w:rPr>
  </w:style>
  <w:style w:type="paragraph" w:customStyle="1" w:styleId="133">
    <w:name w:val="_Style 5"/>
    <w:basedOn w:val="1"/>
    <w:next w:val="1"/>
    <w:qFormat/>
    <w:uiPriority w:val="0"/>
    <w:rPr>
      <w:rFonts w:ascii="Times New Roman" w:hAnsi="Times New Roman"/>
      <w:szCs w:val="20"/>
    </w:rPr>
  </w:style>
  <w:style w:type="paragraph" w:customStyle="1" w:styleId="13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5">
    <w:name w:val="!机场正文"/>
    <w:basedOn w:val="1"/>
    <w:qFormat/>
    <w:uiPriority w:val="0"/>
    <w:pPr>
      <w:spacing w:line="560" w:lineRule="exact"/>
      <w:ind w:firstLine="200" w:firstLineChars="200"/>
    </w:pPr>
    <w:rPr>
      <w:rFonts w:ascii="仿宋_GB2312" w:hAnsi="仿宋_GB2312" w:eastAsia="仿宋_GB2312"/>
      <w:sz w:val="32"/>
    </w:rPr>
  </w:style>
  <w:style w:type="character" w:customStyle="1" w:styleId="136">
    <w:name w:val="正文缩进 Char"/>
    <w:link w:val="13"/>
    <w:qFormat/>
    <w:uiPriority w:val="0"/>
    <w:rPr>
      <w:rFonts w:ascii="宋体" w:hAnsi="Times New Roman" w:eastAsia="宋体" w:cs="Times New Roman"/>
      <w:kern w:val="0"/>
      <w:sz w:val="34"/>
      <w:szCs w:val="20"/>
      <w:lang w:val="zh-CN"/>
    </w:rPr>
  </w:style>
  <w:style w:type="character" w:customStyle="1" w:styleId="137">
    <w:name w:val="批注主题 Char"/>
    <w:basedOn w:val="138"/>
    <w:link w:val="8"/>
    <w:semiHidden/>
    <w:qFormat/>
    <w:uiPriority w:val="0"/>
    <w:rPr>
      <w:rFonts w:ascii="Times New Roman" w:hAnsi="Times New Roman"/>
      <w:b/>
      <w:bCs/>
      <w:kern w:val="0"/>
      <w:sz w:val="20"/>
      <w:szCs w:val="24"/>
    </w:rPr>
  </w:style>
  <w:style w:type="character" w:customStyle="1" w:styleId="138">
    <w:name w:val="批注文字 Char"/>
    <w:basedOn w:val="47"/>
    <w:link w:val="9"/>
    <w:semiHidden/>
    <w:qFormat/>
    <w:uiPriority w:val="99"/>
    <w:rPr>
      <w:rFonts w:ascii="Calibri" w:hAnsi="Calibri" w:eastAsia="宋体" w:cs="Times New Roman"/>
    </w:rPr>
  </w:style>
  <w:style w:type="character" w:customStyle="1" w:styleId="139">
    <w:name w:val="批注主题 Char1"/>
    <w:basedOn w:val="138"/>
    <w:semiHidden/>
    <w:qFormat/>
    <w:uiPriority w:val="99"/>
    <w:rPr>
      <w:b/>
      <w:bCs/>
      <w:kern w:val="2"/>
      <w:sz w:val="21"/>
      <w:szCs w:val="22"/>
    </w:rPr>
  </w:style>
  <w:style w:type="character" w:customStyle="1" w:styleId="140">
    <w:name w:val="纯文本 Char"/>
    <w:qFormat/>
    <w:uiPriority w:val="0"/>
    <w:rPr>
      <w:rFonts w:ascii="宋体" w:hAnsi="Courier New" w:eastAsia="宋体" w:cs="Times New Roman"/>
      <w:kern w:val="2"/>
      <w:sz w:val="21"/>
      <w:szCs w:val="24"/>
    </w:rPr>
  </w:style>
  <w:style w:type="character" w:customStyle="1" w:styleId="141">
    <w:name w:val="尾注文本 Char"/>
    <w:basedOn w:val="47"/>
    <w:link w:val="26"/>
    <w:semiHidden/>
    <w:qFormat/>
    <w:uiPriority w:val="99"/>
    <w:rPr>
      <w:rFonts w:ascii="Calibri" w:hAnsi="Calibri" w:eastAsia="宋体" w:cs="Times New Roman"/>
    </w:rPr>
  </w:style>
  <w:style w:type="paragraph" w:customStyle="1" w:styleId="142">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3171</Words>
  <Characters>18077</Characters>
  <Lines>150</Lines>
  <Paragraphs>42</Paragraphs>
  <ScaleCrop>false</ScaleCrop>
  <LinksUpToDate>false</LinksUpToDate>
  <CharactersWithSpaces>21206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2019-01-02T07:17:00Z</dcterms:created>
  <dc:creator>徐海波</dc:creator>
  <cp:lastModifiedBy>贾思勰</cp:lastModifiedBy>
  <cp:lastPrinted>2019-03-11T01:42:00Z</cp:lastPrinted>
  <dcterms:modified xsi:type="dcterms:W3CDTF">2019-12-04T09:06:01Z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