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sz w:val="56"/>
          <w:szCs w:val="82"/>
        </w:rPr>
      </w:pPr>
      <w:r>
        <w:rPr>
          <w:rFonts w:hint="eastAsia" w:eastAsia="黑体" w:cs="Calibri"/>
          <w:b/>
          <w:sz w:val="56"/>
          <w:szCs w:val="82"/>
        </w:rPr>
        <w:t>自助登机门系统软硬件采购项目</w:t>
      </w:r>
    </w:p>
    <w:p>
      <w:pPr>
        <w:autoSpaceDE w:val="0"/>
        <w:autoSpaceDN w:val="0"/>
        <w:adjustRightInd w:val="0"/>
        <w:jc w:val="center"/>
        <w:rPr>
          <w:rFonts w:hint="eastAsia" w:eastAsia="黑体" w:cs="Calibri"/>
          <w:b/>
          <w:sz w:val="56"/>
          <w:szCs w:val="82"/>
          <w:lang w:val="en-US" w:eastAsia="zh-CN"/>
        </w:rPr>
      </w:pPr>
      <w:r>
        <w:rPr>
          <w:rFonts w:hint="eastAsia" w:eastAsia="黑体" w:cs="Calibri"/>
          <w:b/>
          <w:sz w:val="56"/>
          <w:szCs w:val="82"/>
          <w:lang w:val="en-US"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ascii="Calibri" w:hAnsi="Calibri" w:eastAsia="黑体" w:cs="Calibri"/>
          <w:sz w:val="32"/>
          <w:szCs w:val="32"/>
          <w:u w:val="single"/>
        </w:rPr>
        <w:t>10</w:t>
      </w:r>
      <w:r>
        <w:rPr>
          <w:rFonts w:ascii="Calibri" w:hAnsi="Calibri" w:eastAsia="黑体" w:cs="Calibri"/>
          <w:sz w:val="32"/>
          <w:szCs w:val="32"/>
        </w:rPr>
        <w:t>月</w:t>
      </w:r>
    </w:p>
    <w:p>
      <w:pPr>
        <w:pStyle w:val="21"/>
        <w:spacing w:line="480" w:lineRule="auto"/>
        <w:jc w:val="center"/>
        <w:rPr>
          <w:rFonts w:ascii="Calibri" w:hAnsi="Calibri" w:eastAsia="楷体_GB2312" w:cs="Calibri"/>
          <w:sz w:val="24"/>
          <w:szCs w:val="24"/>
          <w:u w:val="single"/>
        </w:rPr>
      </w:pPr>
      <w:r>
        <w:rPr>
          <w:rFonts w:ascii="Calibri" w:hAnsi="Calibri" w:eastAsia="黑体" w:cs="Calibri"/>
          <w:sz w:val="32"/>
          <w:szCs w:val="32"/>
        </w:rPr>
        <w:br w:type="page"/>
      </w:r>
    </w:p>
    <w:p>
      <w:pPr>
        <w:snapToGrid w:val="0"/>
        <w:spacing w:line="360" w:lineRule="auto"/>
        <w:jc w:val="center"/>
        <w:rPr>
          <w:rFonts w:cs="Calibri"/>
          <w:sz w:val="32"/>
          <w:szCs w:val="32"/>
        </w:rPr>
      </w:pPr>
    </w:p>
    <w:p>
      <w:pPr>
        <w:pStyle w:val="30"/>
        <w:rPr>
          <w:rFonts w:ascii="Calibri" w:cs="Calibri"/>
          <w:b/>
          <w:sz w:val="44"/>
        </w:rPr>
      </w:pPr>
      <w:bookmarkStart w:id="0" w:name="_Toc386363314"/>
      <w:bookmarkStart w:id="1" w:name="_Toc349007685"/>
      <w:bookmarkStart w:id="2" w:name="_Toc349011855"/>
      <w:bookmarkStart w:id="3" w:name="_Toc386359390"/>
      <w:r>
        <w:rPr>
          <w:rFonts w:hint="eastAsia" w:ascii="Calibri" w:cs="Calibri"/>
          <w:b/>
          <w:sz w:val="44"/>
        </w:rPr>
        <w:t xml:space="preserve"> </w:t>
      </w:r>
    </w:p>
    <w:p>
      <w:pPr>
        <w:pStyle w:val="30"/>
        <w:rPr>
          <w:rFonts w:ascii="Calibri" w:hAnsi="Calibri" w:cs="Calibri"/>
          <w:b/>
          <w:sz w:val="44"/>
        </w:rPr>
      </w:pPr>
      <w:bookmarkStart w:id="4" w:name="_Toc444174976"/>
      <w:bookmarkStart w:id="5" w:name="_Toc444173456"/>
      <w:bookmarkStart w:id="6" w:name="_Toc478453289"/>
      <w:bookmarkStart w:id="7" w:name="_Toc448002981"/>
      <w:bookmarkStart w:id="8" w:name="_Toc444811406"/>
      <w:bookmarkStart w:id="9" w:name="_Toc400369182"/>
      <w:r>
        <w:rPr>
          <w:rFonts w:ascii="Calibri" w:cs="Calibri"/>
          <w:b/>
          <w:sz w:val="44"/>
        </w:rPr>
        <w:t>目</w:t>
      </w:r>
      <w:r>
        <w:rPr>
          <w:rFonts w:ascii="Calibri" w:hAnsi="Calibri" w:cs="Calibri"/>
          <w:b/>
          <w:sz w:val="44"/>
        </w:rPr>
        <w:t xml:space="preserve">  </w:t>
      </w:r>
      <w:r>
        <w:rPr>
          <w:rFonts w:ascii="Calibri" w:cs="Calibri"/>
          <w:b/>
          <w:sz w:val="44"/>
        </w:rPr>
        <w:t>录</w:t>
      </w:r>
      <w:bookmarkEnd w:id="0"/>
      <w:bookmarkEnd w:id="1"/>
      <w:bookmarkEnd w:id="2"/>
      <w:bookmarkEnd w:id="3"/>
      <w:bookmarkEnd w:id="4"/>
      <w:bookmarkEnd w:id="5"/>
      <w:bookmarkEnd w:id="6"/>
      <w:bookmarkEnd w:id="7"/>
      <w:bookmarkEnd w:id="8"/>
      <w:bookmarkEnd w:id="9"/>
    </w:p>
    <w:p>
      <w:pPr>
        <w:pStyle w:val="30"/>
        <w:rPr>
          <w:rFonts w:ascii="Calibri" w:hAnsi="Calibri"/>
          <w:bCs w:val="0"/>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"_Toc478453290" </w:instrText>
      </w:r>
      <w:r>
        <w:fldChar w:fldCharType="separate"/>
      </w:r>
      <w:r>
        <w:rPr>
          <w:rStyle w:val="50"/>
          <w:rFonts w:hint="eastAsia" w:ascii="Calibri" w:eastAsia="黑体" w:cs="Calibri"/>
          <w:kern w:val="0"/>
        </w:rPr>
        <w:t>第一章</w:t>
      </w:r>
      <w:r>
        <w:rPr>
          <w:rStyle w:val="50"/>
          <w:rFonts w:ascii="Calibri" w:hAnsi="Calibri" w:eastAsia="黑体" w:cs="Calibri"/>
          <w:kern w:val="0"/>
        </w:rPr>
        <w:t xml:space="preserve">  </w:t>
      </w:r>
      <w:r>
        <w:rPr>
          <w:rStyle w:val="50"/>
          <w:rFonts w:hint="eastAsia" w:ascii="Calibri" w:eastAsia="黑体" w:cs="Calibri"/>
          <w:kern w:val="0"/>
        </w:rPr>
        <w:t>招标公告</w:t>
      </w:r>
      <w:r>
        <w:tab/>
      </w:r>
      <w:r>
        <w:fldChar w:fldCharType="begin"/>
      </w:r>
      <w:r>
        <w:instrText xml:space="preserve"> PAGEREF _Toc478453290 \h </w:instrText>
      </w:r>
      <w:r>
        <w:fldChar w:fldCharType="separate"/>
      </w:r>
      <w:r>
        <w:t>3</w:t>
      </w:r>
      <w:r>
        <w:fldChar w:fldCharType="end"/>
      </w:r>
      <w:r>
        <w:fldChar w:fldCharType="end"/>
      </w:r>
    </w:p>
    <w:p>
      <w:pPr>
        <w:pStyle w:val="30"/>
        <w:rPr>
          <w:rFonts w:ascii="Calibri" w:hAnsi="Calibri"/>
          <w:bCs w:val="0"/>
          <w:kern w:val="2"/>
          <w:szCs w:val="22"/>
        </w:rPr>
      </w:pPr>
      <w:r>
        <w:fldChar w:fldCharType="begin"/>
      </w:r>
      <w:r>
        <w:instrText xml:space="preserve"> HYPERLINK \l "_Toc478453291" </w:instrText>
      </w:r>
      <w:r>
        <w:fldChar w:fldCharType="separate"/>
      </w:r>
      <w:r>
        <w:rPr>
          <w:rStyle w:val="50"/>
          <w:rFonts w:hint="eastAsia" w:ascii="Calibri" w:eastAsia="黑体" w:cs="Calibri"/>
          <w:kern w:val="0"/>
        </w:rPr>
        <w:t>第二章</w:t>
      </w:r>
      <w:r>
        <w:rPr>
          <w:rStyle w:val="50"/>
          <w:rFonts w:ascii="Calibri" w:hAnsi="Calibri" w:eastAsia="黑体" w:cs="Calibri"/>
          <w:kern w:val="0"/>
        </w:rPr>
        <w:t xml:space="preserve">  </w:t>
      </w:r>
      <w:r>
        <w:rPr>
          <w:rStyle w:val="50"/>
          <w:rFonts w:hint="eastAsia" w:ascii="Calibri" w:eastAsia="黑体" w:cs="Calibri"/>
          <w:kern w:val="0"/>
        </w:rPr>
        <w:t>投标人须知</w:t>
      </w:r>
      <w:r>
        <w:tab/>
      </w:r>
      <w:r>
        <w:rPr>
          <w:rFonts w:hint="eastAsia"/>
        </w:rPr>
        <w:t>5</w:t>
      </w:r>
      <w:r>
        <w:fldChar w:fldCharType="end"/>
      </w:r>
    </w:p>
    <w:p>
      <w:pPr>
        <w:pStyle w:val="30"/>
        <w:rPr>
          <w:rFonts w:ascii="Calibri" w:hAnsi="Calibri"/>
          <w:bCs w:val="0"/>
          <w:kern w:val="2"/>
          <w:szCs w:val="22"/>
        </w:rPr>
      </w:pPr>
      <w:r>
        <w:fldChar w:fldCharType="begin"/>
      </w:r>
      <w:r>
        <w:instrText xml:space="preserve"> HYPERLINK \l "_Toc478453293" </w:instrText>
      </w:r>
      <w:r>
        <w:fldChar w:fldCharType="separate"/>
      </w:r>
      <w:r>
        <w:rPr>
          <w:rStyle w:val="50"/>
          <w:rFonts w:hint="eastAsia" w:ascii="Calibri" w:hAnsi="Calibri" w:eastAsia="黑体" w:cs="Calibri"/>
          <w:kern w:val="0"/>
        </w:rPr>
        <w:t>第三章</w:t>
      </w:r>
      <w:r>
        <w:rPr>
          <w:rStyle w:val="50"/>
          <w:rFonts w:ascii="Calibri" w:hAnsi="Calibri" w:eastAsia="黑体" w:cs="Calibri"/>
          <w:kern w:val="0"/>
        </w:rPr>
        <w:t xml:space="preserve">  </w:t>
      </w:r>
      <w:r>
        <w:rPr>
          <w:rStyle w:val="50"/>
          <w:rFonts w:hint="eastAsia" w:ascii="Calibri" w:hAnsi="Calibri" w:eastAsia="黑体" w:cs="Calibri"/>
          <w:kern w:val="0"/>
        </w:rPr>
        <w:t>采购内容、技术标准及要求</w:t>
      </w:r>
      <w:r>
        <w:tab/>
      </w:r>
      <w:r>
        <w:t>1</w:t>
      </w:r>
      <w:r>
        <w:rPr>
          <w:rFonts w:hint="eastAsia"/>
        </w:rPr>
        <w:t>5</w:t>
      </w:r>
      <w:r>
        <w:fldChar w:fldCharType="end"/>
      </w:r>
    </w:p>
    <w:p>
      <w:pPr>
        <w:pStyle w:val="30"/>
        <w:rPr>
          <w:rFonts w:ascii="Calibri" w:hAnsi="Calibri"/>
          <w:bCs w:val="0"/>
          <w:kern w:val="2"/>
          <w:szCs w:val="22"/>
        </w:rPr>
      </w:pPr>
      <w:r>
        <w:fldChar w:fldCharType="begin"/>
      </w:r>
      <w:r>
        <w:instrText xml:space="preserve"> HYPERLINK \l "_Toc478453294" </w:instrText>
      </w:r>
      <w:r>
        <w:fldChar w:fldCharType="separate"/>
      </w:r>
      <w:r>
        <w:rPr>
          <w:rStyle w:val="50"/>
          <w:rFonts w:hint="eastAsia" w:ascii="Calibri" w:hAnsi="Calibri" w:eastAsia="黑体" w:cs="Calibri"/>
          <w:kern w:val="0"/>
        </w:rPr>
        <w:t>第四章</w:t>
      </w:r>
      <w:r>
        <w:rPr>
          <w:rStyle w:val="50"/>
          <w:rFonts w:ascii="Calibri" w:hAnsi="Calibri" w:eastAsia="黑体" w:cs="Calibri"/>
          <w:kern w:val="0"/>
        </w:rPr>
        <w:t xml:space="preserve">  </w:t>
      </w:r>
      <w:r>
        <w:rPr>
          <w:rStyle w:val="50"/>
          <w:rFonts w:hint="eastAsia" w:ascii="Calibri" w:hAnsi="Calibri" w:eastAsia="黑体" w:cs="Calibri"/>
          <w:kern w:val="0"/>
        </w:rPr>
        <w:t>合同条款</w:t>
      </w:r>
      <w:r>
        <w:tab/>
      </w:r>
      <w:r>
        <w:t>1</w:t>
      </w:r>
      <w:r>
        <w:rPr>
          <w:rFonts w:hint="eastAsia"/>
        </w:rPr>
        <w:t>8</w:t>
      </w:r>
      <w:r>
        <w:fldChar w:fldCharType="end"/>
      </w:r>
    </w:p>
    <w:p>
      <w:pPr>
        <w:pStyle w:val="30"/>
        <w:rPr>
          <w:rStyle w:val="50"/>
        </w:rPr>
      </w:pPr>
      <w:r>
        <w:fldChar w:fldCharType="begin"/>
      </w:r>
      <w:r>
        <w:instrText xml:space="preserve"> HYPERLINK \l "_Toc478453303" </w:instrText>
      </w:r>
      <w:r>
        <w:fldChar w:fldCharType="separate"/>
      </w:r>
      <w:r>
        <w:rPr>
          <w:rStyle w:val="50"/>
          <w:rFonts w:hint="eastAsia" w:ascii="Calibri" w:hAnsi="Calibri" w:eastAsia="黑体" w:cs="Calibri"/>
          <w:kern w:val="0"/>
        </w:rPr>
        <w:t>第五章</w:t>
      </w:r>
      <w:r>
        <w:rPr>
          <w:rStyle w:val="50"/>
          <w:rFonts w:ascii="Calibri" w:hAnsi="Calibri" w:eastAsia="黑体" w:cs="Calibri"/>
          <w:kern w:val="0"/>
        </w:rPr>
        <w:t xml:space="preserve">  </w:t>
      </w:r>
      <w:r>
        <w:rPr>
          <w:rStyle w:val="50"/>
          <w:rFonts w:hint="eastAsia" w:ascii="Calibri" w:hAnsi="Calibri" w:eastAsia="黑体" w:cs="Calibri"/>
          <w:kern w:val="0"/>
        </w:rPr>
        <w:t>评标方法及标准</w:t>
      </w:r>
      <w:r>
        <w:tab/>
      </w:r>
      <w:r>
        <w:fldChar w:fldCharType="end"/>
      </w:r>
      <w:r>
        <w:rPr>
          <w:rStyle w:val="50"/>
        </w:rPr>
        <w:t>2</w:t>
      </w:r>
      <w:r>
        <w:rPr>
          <w:rStyle w:val="50"/>
          <w:rFonts w:hint="eastAsia"/>
        </w:rPr>
        <w:t>9</w:t>
      </w:r>
    </w:p>
    <w:p>
      <w:pPr>
        <w:pStyle w:val="30"/>
        <w:rPr>
          <w:rStyle w:val="50"/>
        </w:rPr>
      </w:pPr>
      <w:r>
        <w:fldChar w:fldCharType="begin"/>
      </w:r>
      <w:r>
        <w:instrText xml:space="preserve"> HYPERLINK \l "_Toc478453303" </w:instrText>
      </w:r>
      <w:r>
        <w:fldChar w:fldCharType="separate"/>
      </w:r>
      <w:r>
        <w:rPr>
          <w:rStyle w:val="50"/>
          <w:rFonts w:hint="eastAsia" w:ascii="Calibri" w:hAnsi="Calibri" w:eastAsia="黑体" w:cs="Calibri"/>
          <w:kern w:val="0"/>
        </w:rPr>
        <w:t>第六章</w:t>
      </w:r>
      <w:r>
        <w:rPr>
          <w:rStyle w:val="50"/>
          <w:rFonts w:ascii="Calibri" w:hAnsi="Calibri" w:eastAsia="黑体" w:cs="Calibri"/>
          <w:kern w:val="0"/>
        </w:rPr>
        <w:t xml:space="preserve">  </w:t>
      </w:r>
      <w:r>
        <w:rPr>
          <w:rStyle w:val="50"/>
          <w:rFonts w:hint="eastAsia" w:ascii="Calibri" w:hAnsi="Calibri" w:eastAsia="黑体" w:cs="Calibri"/>
          <w:kern w:val="0"/>
        </w:rPr>
        <w:t>投标文件格式</w:t>
      </w:r>
      <w:r>
        <w:rPr>
          <w:rStyle w:val="50"/>
          <w:rFonts w:hint="eastAsia" w:ascii="Calibri" w:hAnsi="Calibri" w:eastAsia="黑体" w:cs="Calibri"/>
          <w:kern w:val="0"/>
        </w:rPr>
        <w:tab/>
      </w:r>
      <w:r>
        <w:rPr>
          <w:rFonts w:ascii="Calibri" w:hAnsi="Calibri" w:eastAsia="黑体" w:cs="Calibri"/>
          <w:kern w:val="0"/>
        </w:rPr>
        <w:fldChar w:fldCharType="end"/>
      </w:r>
      <w:r>
        <w:rPr>
          <w:rStyle w:val="50"/>
          <w:rFonts w:hint="eastAsia"/>
        </w:rPr>
        <w:t>3</w:t>
      </w:r>
      <w:r>
        <w:rPr>
          <w:rStyle w:val="50"/>
        </w:rPr>
        <w:t>3</w:t>
      </w:r>
    </w:p>
    <w:p/>
    <w:p>
      <w:pPr>
        <w:spacing w:line="480" w:lineRule="auto"/>
        <w:jc w:val="center"/>
        <w:rPr>
          <w:rFonts w:eastAsia="黑体" w:cs="Calibri"/>
          <w:kern w:val="0"/>
          <w:sz w:val="32"/>
        </w:rPr>
      </w:pPr>
      <w:r>
        <w:rPr>
          <w:rFonts w:hint="eastAsia" w:ascii="黑体" w:hAnsi="黑体" w:eastAsia="黑体" w:cs="Calibri"/>
          <w:sz w:val="22"/>
        </w:rPr>
        <w:fldChar w:fldCharType="end"/>
      </w:r>
      <w:r>
        <w:rPr>
          <w:rFonts w:cs="Calibri"/>
        </w:rPr>
        <w:br w:type="page"/>
      </w:r>
      <w:bookmarkStart w:id="10" w:name="_Toc18642"/>
      <w:bookmarkStart w:id="11" w:name="_Toc14628"/>
      <w:bookmarkStart w:id="12" w:name="_Toc24932"/>
      <w:bookmarkStart w:id="13" w:name="_Toc22293"/>
      <w:bookmarkStart w:id="14" w:name="_Toc6581"/>
      <w:bookmarkStart w:id="15" w:name="_Toc8110"/>
      <w:bookmarkStart w:id="16" w:name="_Toc6832"/>
      <w:bookmarkStart w:id="17" w:name="_Toc7641"/>
      <w:bookmarkStart w:id="18" w:name="_Toc24784"/>
      <w:bookmarkStart w:id="19" w:name="_Toc478453290"/>
      <w:bookmarkStart w:id="20" w:name="_Toc249322950"/>
      <w:bookmarkStart w:id="21" w:name="_Toc248766631"/>
      <w:r>
        <w:rPr>
          <w:rFonts w:eastAsia="黑体" w:cs="Calibri"/>
          <w:kern w:val="0"/>
          <w:sz w:val="32"/>
        </w:rPr>
        <w:t xml:space="preserve">第一章 </w:t>
      </w:r>
      <w:bookmarkEnd w:id="10"/>
      <w:bookmarkEnd w:id="11"/>
      <w:bookmarkEnd w:id="12"/>
      <w:bookmarkEnd w:id="13"/>
      <w:bookmarkEnd w:id="14"/>
      <w:bookmarkEnd w:id="15"/>
      <w:bookmarkEnd w:id="16"/>
      <w:bookmarkEnd w:id="17"/>
      <w:bookmarkEnd w:id="18"/>
      <w:r>
        <w:rPr>
          <w:rFonts w:eastAsia="黑体" w:cs="Calibri"/>
          <w:kern w:val="0"/>
          <w:sz w:val="32"/>
        </w:rPr>
        <w:t xml:space="preserve"> </w:t>
      </w:r>
      <w:r>
        <w:rPr>
          <w:rFonts w:hint="eastAsia" w:eastAsia="黑体" w:cs="Calibri"/>
          <w:kern w:val="0"/>
          <w:sz w:val="32"/>
        </w:rPr>
        <w:t>招标公告</w:t>
      </w:r>
      <w:bookmarkEnd w:id="19"/>
    </w:p>
    <w:p>
      <w:pPr>
        <w:widowControl/>
        <w:snapToGrid w:val="0"/>
        <w:spacing w:line="340" w:lineRule="exact"/>
        <w:jc w:val="left"/>
        <w:rPr>
          <w:rFonts w:ascii="Arial" w:hAnsi="Arial" w:cs="Arial"/>
          <w:b/>
          <w:bCs/>
          <w:kern w:val="0"/>
          <w:sz w:val="22"/>
        </w:rPr>
      </w:pPr>
      <w:bookmarkStart w:id="126" w:name="_GoBack"/>
      <w:r>
        <w:rPr>
          <w:rFonts w:hint="eastAsia" w:ascii="Arial" w:hAnsi="Arial" w:cs="Arial"/>
          <w:b/>
          <w:bCs/>
          <w:kern w:val="0"/>
          <w:sz w:val="22"/>
        </w:rPr>
        <w:t>一、招标范围及内容</w:t>
      </w:r>
    </w:p>
    <w:p>
      <w:pPr>
        <w:widowControl/>
        <w:adjustRightInd w:val="0"/>
        <w:snapToGrid w:val="0"/>
        <w:spacing w:line="360" w:lineRule="exact"/>
        <w:ind w:firstLine="440" w:firstLineChars="200"/>
        <w:rPr>
          <w:rFonts w:cs="Arial"/>
          <w:kern w:val="0"/>
          <w:sz w:val="22"/>
        </w:rPr>
      </w:pPr>
      <w:r>
        <w:rPr>
          <w:rFonts w:hint="eastAsia" w:cs="Arial"/>
          <w:kern w:val="0"/>
          <w:sz w:val="22"/>
        </w:rPr>
        <w:t>杭州萧山国际机场有限公司就</w:t>
      </w:r>
      <w:r>
        <w:rPr>
          <w:rFonts w:cs="Arial"/>
          <w:kern w:val="0"/>
          <w:sz w:val="22"/>
        </w:rPr>
        <w:t>杭州萧山国际机场</w:t>
      </w:r>
      <w:r>
        <w:rPr>
          <w:rFonts w:hint="eastAsia" w:cs="Arial"/>
          <w:b/>
          <w:kern w:val="0"/>
          <w:sz w:val="22"/>
          <w:u w:val="single"/>
        </w:rPr>
        <w:t>自助登机门系统软硬件</w:t>
      </w:r>
      <w:r>
        <w:rPr>
          <w:rFonts w:cs="Arial"/>
          <w:kern w:val="0"/>
          <w:sz w:val="22"/>
        </w:rPr>
        <w:t>采购项</w:t>
      </w:r>
      <w:r>
        <w:rPr>
          <w:rFonts w:hint="eastAsia" w:cs="Arial"/>
          <w:kern w:val="0"/>
          <w:sz w:val="22"/>
        </w:rPr>
        <w:t>目进行公开招标，欢迎符合资格要求的供应商参与投标。</w:t>
      </w:r>
    </w:p>
    <w:p>
      <w:pPr>
        <w:widowControl/>
        <w:adjustRightInd w:val="0"/>
        <w:snapToGrid w:val="0"/>
        <w:spacing w:line="360" w:lineRule="exact"/>
        <w:ind w:firstLine="440" w:firstLineChars="200"/>
        <w:rPr>
          <w:rFonts w:cs="Arial"/>
          <w:kern w:val="0"/>
          <w:sz w:val="22"/>
        </w:rPr>
      </w:pPr>
      <w:r>
        <w:rPr>
          <w:rFonts w:hint="eastAsia" w:cs="Arial"/>
          <w:kern w:val="0"/>
          <w:sz w:val="22"/>
        </w:rPr>
        <w:t>招标货物名称、数量及主要技术规格</w:t>
      </w:r>
    </w:p>
    <w:tbl>
      <w:tblPr>
        <w:tblStyle w:val="53"/>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463"/>
        <w:gridCol w:w="2057"/>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caps/>
                <w:sz w:val="22"/>
              </w:rPr>
            </w:pPr>
            <w:r>
              <w:rPr>
                <w:caps/>
                <w:sz w:val="22"/>
              </w:rPr>
              <w:t>货物名称</w:t>
            </w:r>
          </w:p>
        </w:tc>
        <w:tc>
          <w:tcPr>
            <w:tcW w:w="992" w:type="dxa"/>
            <w:vAlign w:val="center"/>
          </w:tcPr>
          <w:p>
            <w:pPr>
              <w:adjustRightInd w:val="0"/>
              <w:snapToGrid w:val="0"/>
              <w:jc w:val="center"/>
              <w:rPr>
                <w:caps/>
                <w:sz w:val="22"/>
              </w:rPr>
            </w:pPr>
            <w:r>
              <w:rPr>
                <w:caps/>
                <w:sz w:val="22"/>
              </w:rPr>
              <w:t>数 量</w:t>
            </w:r>
          </w:p>
        </w:tc>
        <w:tc>
          <w:tcPr>
            <w:tcW w:w="2463" w:type="dxa"/>
            <w:vAlign w:val="center"/>
          </w:tcPr>
          <w:p>
            <w:pPr>
              <w:adjustRightInd w:val="0"/>
              <w:snapToGrid w:val="0"/>
              <w:jc w:val="center"/>
              <w:rPr>
                <w:caps/>
                <w:sz w:val="22"/>
              </w:rPr>
            </w:pPr>
            <w:r>
              <w:rPr>
                <w:caps/>
                <w:sz w:val="22"/>
              </w:rPr>
              <w:t>主要技术规格</w:t>
            </w:r>
          </w:p>
        </w:tc>
        <w:tc>
          <w:tcPr>
            <w:tcW w:w="2057" w:type="dxa"/>
            <w:vAlign w:val="center"/>
          </w:tcPr>
          <w:p>
            <w:pPr>
              <w:adjustRightInd w:val="0"/>
              <w:snapToGrid w:val="0"/>
              <w:jc w:val="center"/>
              <w:rPr>
                <w:caps/>
                <w:sz w:val="22"/>
              </w:rPr>
            </w:pPr>
            <w:r>
              <w:rPr>
                <w:caps/>
                <w:sz w:val="22"/>
              </w:rPr>
              <w:t>供货期</w:t>
            </w:r>
          </w:p>
        </w:tc>
        <w:tc>
          <w:tcPr>
            <w:tcW w:w="1340" w:type="dxa"/>
            <w:vAlign w:val="center"/>
          </w:tcPr>
          <w:p>
            <w:pPr>
              <w:adjustRightInd w:val="0"/>
              <w:snapToGrid w:val="0"/>
              <w:jc w:val="center"/>
              <w:rPr>
                <w:caps/>
                <w:sz w:val="22"/>
              </w:rPr>
            </w:pPr>
            <w:r>
              <w:rPr>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sz w:val="22"/>
              </w:rPr>
            </w:pPr>
            <w:r>
              <w:rPr>
                <w:rFonts w:hint="eastAsia" w:ascii="Arial" w:hAnsi="Arial" w:cs="Arial"/>
                <w:bCs/>
                <w:kern w:val="0"/>
                <w:sz w:val="22"/>
              </w:rPr>
              <w:t>单通道自助登机门系统的硬件及应用软件（含人脸识别）、离港工作站及离港应用软件授权、与本场安检信息系统接口、廊桥玻璃隔断。</w:t>
            </w:r>
          </w:p>
        </w:tc>
        <w:tc>
          <w:tcPr>
            <w:tcW w:w="992" w:type="dxa"/>
            <w:vAlign w:val="center"/>
          </w:tcPr>
          <w:p>
            <w:pPr>
              <w:snapToGrid w:val="0"/>
              <w:jc w:val="center"/>
              <w:rPr>
                <w:sz w:val="22"/>
              </w:rPr>
            </w:pPr>
            <w:r>
              <w:rPr>
                <w:rFonts w:hint="eastAsia"/>
                <w:sz w:val="22"/>
              </w:rPr>
              <w:t>10套</w:t>
            </w:r>
          </w:p>
        </w:tc>
        <w:tc>
          <w:tcPr>
            <w:tcW w:w="2463" w:type="dxa"/>
            <w:vAlign w:val="center"/>
          </w:tcPr>
          <w:p>
            <w:pPr>
              <w:widowControl/>
              <w:snapToGrid w:val="0"/>
              <w:spacing w:line="340" w:lineRule="exact"/>
              <w:jc w:val="left"/>
              <w:rPr>
                <w:sz w:val="22"/>
              </w:rPr>
            </w:pPr>
            <w:r>
              <w:rPr>
                <w:rFonts w:hint="eastAsia" w:ascii="Arial" w:hAnsi="Arial" w:cs="Arial"/>
                <w:bCs/>
                <w:kern w:val="0"/>
                <w:sz w:val="22"/>
              </w:rPr>
              <w:t>详见第三章货物需求一览表及技术规格</w:t>
            </w:r>
          </w:p>
        </w:tc>
        <w:tc>
          <w:tcPr>
            <w:tcW w:w="2057" w:type="dxa"/>
            <w:vAlign w:val="center"/>
          </w:tcPr>
          <w:p>
            <w:pPr>
              <w:adjustRightInd w:val="0"/>
              <w:snapToGrid w:val="0"/>
              <w:jc w:val="center"/>
              <w:rPr>
                <w:sz w:val="22"/>
              </w:rPr>
            </w:pPr>
            <w:r>
              <w:rPr>
                <w:rFonts w:hint="eastAsia"/>
                <w:sz w:val="22"/>
              </w:rPr>
              <w:t>合同签订后</w:t>
            </w:r>
            <w:r>
              <w:rPr>
                <w:sz w:val="22"/>
              </w:rPr>
              <w:t>180</w:t>
            </w:r>
            <w:r>
              <w:rPr>
                <w:rFonts w:hint="eastAsia"/>
                <w:sz w:val="22"/>
              </w:rPr>
              <w:t>日历天</w:t>
            </w:r>
          </w:p>
        </w:tc>
        <w:tc>
          <w:tcPr>
            <w:tcW w:w="1340" w:type="dxa"/>
            <w:vAlign w:val="center"/>
          </w:tcPr>
          <w:p>
            <w:pPr>
              <w:adjustRightInd w:val="0"/>
              <w:snapToGrid w:val="0"/>
              <w:jc w:val="center"/>
              <w:rPr>
                <w:sz w:val="22"/>
              </w:rPr>
            </w:pPr>
            <w:r>
              <w:rPr>
                <w:sz w:val="22"/>
              </w:rPr>
              <w:t>杭州萧山国际机场</w:t>
            </w:r>
          </w:p>
        </w:tc>
      </w:tr>
    </w:tbl>
    <w:p>
      <w:pPr>
        <w:widowControl/>
        <w:snapToGrid w:val="0"/>
        <w:spacing w:line="340" w:lineRule="exact"/>
        <w:ind w:firstLine="440" w:firstLineChars="200"/>
        <w:jc w:val="left"/>
        <w:rPr>
          <w:rFonts w:ascii="Arial" w:hAnsi="Arial" w:cs="Arial"/>
          <w:bCs/>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（1）具有独立法人资格的制造商或代理商，制造商注册资金不少于人民币</w:t>
      </w:r>
      <w:r>
        <w:rPr>
          <w:rFonts w:ascii="宋体" w:hAnsi="宋体" w:cs="Arial"/>
          <w:kern w:val="0"/>
          <w:sz w:val="22"/>
        </w:rPr>
        <w:t>500万元或等值外币(按投标截止日当天中国银行公布的外汇牌价的中间价换算)，代理商注册资金不少于人民币500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r>
        <w:rPr>
          <w:rFonts w:hint="eastAsia" w:ascii="宋体" w:hAnsi="宋体" w:cs="Arial"/>
          <w:kern w:val="0"/>
          <w:sz w:val="22"/>
        </w:rPr>
        <w:t>（2）依据最高人民法院等九部门《关于在招标投标活动中对失信被执行人实施联合惩戒的通知》，投标人不得为失信被执行人。（通过信用中国网站</w:t>
      </w:r>
      <w:r>
        <w:rPr>
          <w:rFonts w:ascii="宋体" w:hAnsi="宋体" w:cs="Arial"/>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w:t>
      </w:r>
      <w:r>
        <w:rPr>
          <w:rFonts w:ascii="宋体" w:hAnsi="宋体" w:cs="Arial"/>
          <w:kern w:val="0"/>
          <w:sz w:val="22"/>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w:t>
      </w:r>
      <w:r>
        <w:rPr>
          <w:rFonts w:ascii="宋体" w:hAnsi="宋体" w:cs="Arial"/>
          <w:kern w:val="0"/>
          <w:sz w:val="22"/>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hint="eastAsia" w:ascii="宋体" w:hAnsi="宋体" w:cs="Arial"/>
          <w:kern w:val="0"/>
          <w:sz w:val="22"/>
        </w:rPr>
        <w:t xml:space="preserve">（5）投标人所投的自助登机门系统产品，具有自2016年1月1日起至投标截止日期前在机场使用案例。投标时需提供系统案例证明（中标书或合同或验收材料的复印件，原件备查）。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（6）若投标人为自助登机门系统代理商，则需提供自助登机门系统硬件产品的制造商授权书</w:t>
      </w:r>
      <w:r>
        <w:rPr>
          <w:rFonts w:hint="eastAsia" w:cs="宋体"/>
        </w:rPr>
        <w:t>（需提供授权书复印件并加盖投标人公章作为证明材料，原件备查）</w:t>
      </w:r>
      <w:r>
        <w:rPr>
          <w:rFonts w:hint="eastAsia" w:ascii="宋体" w:hAnsi="宋体" w:cs="Arial"/>
          <w:kern w:val="0"/>
          <w:sz w:val="22"/>
        </w:rPr>
        <w:t>，</w:t>
      </w:r>
      <w:r>
        <w:rPr>
          <w:rFonts w:hint="eastAsia"/>
        </w:rPr>
        <w:t>同一品牌</w:t>
      </w:r>
      <w:r>
        <w:t>，仅能委托一个代理商参加投标</w:t>
      </w:r>
      <w:r>
        <w:rPr>
          <w:rFonts w:hint="eastAsia"/>
        </w:rPr>
        <w:t>，</w:t>
      </w:r>
      <w:r>
        <w:t>且</w:t>
      </w:r>
      <w:r>
        <w:rPr>
          <w:rFonts w:hint="eastAsia"/>
        </w:rPr>
        <w:t>制造商</w:t>
      </w:r>
      <w:r>
        <w:t>与其代理商不能同时参与本项目投标。</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（7）对于所投的自助登机门系统产品，投标人需提供中国航信第三方设备入网认证的证明材料(提供证明材料复印件并</w:t>
      </w:r>
      <w:r>
        <w:rPr>
          <w:rFonts w:ascii="宋体" w:hAnsi="宋体" w:cs="Arial"/>
          <w:kern w:val="0"/>
          <w:sz w:val="22"/>
        </w:rPr>
        <w:t>加盖投标人公章</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w:t>
      </w:r>
      <w:r>
        <w:rPr>
          <w:rFonts w:cs="Arial"/>
          <w:kern w:val="0"/>
          <w:sz w:val="22"/>
        </w:rPr>
        <w:t>本项目不接受联合</w:t>
      </w:r>
      <w:r>
        <w:rPr>
          <w:rFonts w:hint="eastAsia" w:cs="Arial"/>
          <w:kern w:val="0"/>
          <w:sz w:val="22"/>
        </w:rPr>
        <w:t>体</w:t>
      </w:r>
      <w:r>
        <w:rPr>
          <w:rFonts w:cs="Arial"/>
          <w:kern w:val="0"/>
          <w:sz w:val="22"/>
        </w:rPr>
        <w:t>投标</w:t>
      </w:r>
      <w:r>
        <w:rPr>
          <w:rFonts w:hint="eastAsia" w:cs="Arial"/>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2019年12月30日上午9时00分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2019年12月30日上午9时00分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2019年12月30日上午9时00分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sz w:val="22"/>
        </w:rPr>
      </w:pPr>
      <w:r>
        <w:rPr>
          <w:rFonts w:hint="eastAsia"/>
          <w:sz w:val="22"/>
        </w:rPr>
        <w:t xml:space="preserve">投标联系人：贾工       </w:t>
      </w:r>
      <w:r>
        <w:rPr>
          <w:sz w:val="22"/>
        </w:rPr>
        <w:t xml:space="preserve">   </w:t>
      </w:r>
      <w:r>
        <w:rPr>
          <w:rFonts w:hint="eastAsia"/>
          <w:sz w:val="22"/>
        </w:rPr>
        <w:t>联系电话： 0571-</w:t>
      </w:r>
      <w:r>
        <w:rPr>
          <w:sz w:val="22"/>
        </w:rPr>
        <w:t>83837612</w:t>
      </w:r>
    </w:p>
    <w:p>
      <w:pPr>
        <w:widowControl/>
        <w:adjustRightInd w:val="0"/>
        <w:snapToGrid w:val="0"/>
        <w:spacing w:line="340" w:lineRule="exact"/>
        <w:ind w:firstLine="440" w:firstLineChars="200"/>
        <w:rPr>
          <w:bCs/>
          <w:sz w:val="22"/>
        </w:rPr>
      </w:pPr>
      <w:r>
        <w:rPr>
          <w:rFonts w:hint="eastAsia"/>
          <w:bCs/>
          <w:sz w:val="22"/>
        </w:rPr>
        <w:t xml:space="preserve">招标监督人：阮工      </w:t>
      </w:r>
      <w:r>
        <w:rPr>
          <w:bCs/>
          <w:sz w:val="22"/>
        </w:rPr>
        <w:t xml:space="preserve"> </w:t>
      </w:r>
      <w:r>
        <w:rPr>
          <w:rFonts w:hint="eastAsia"/>
          <w:bCs/>
          <w:sz w:val="22"/>
        </w:rPr>
        <w:t xml:space="preserve">  </w:t>
      </w:r>
      <w:r>
        <w:rPr>
          <w:bCs/>
          <w:sz w:val="22"/>
        </w:rPr>
        <w:t xml:space="preserve"> </w:t>
      </w:r>
      <w:r>
        <w:rPr>
          <w:rFonts w:hint="eastAsia"/>
          <w:bCs/>
          <w:sz w:val="22"/>
        </w:rPr>
        <w:t>联系电话： 0</w:t>
      </w:r>
      <w:r>
        <w:rPr>
          <w:bCs/>
          <w:sz w:val="22"/>
        </w:rPr>
        <w:t>571-86662133</w:t>
      </w:r>
    </w:p>
    <w:bookmarkEnd w:id="126"/>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2" w:name="_Toc478453291"/>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20"/>
      <w:bookmarkEnd w:id="21"/>
      <w:bookmarkEnd w:id="22"/>
      <w:bookmarkStart w:id="23" w:name="_Toc143421654"/>
    </w:p>
    <w:p>
      <w:pPr>
        <w:pStyle w:val="61"/>
        <w:jc w:val="center"/>
        <w:rPr>
          <w:rFonts w:ascii="Calibri" w:hAnsi="Calibri" w:eastAsia="黑体" w:cs="Calibri"/>
          <w:kern w:val="2"/>
          <w:sz w:val="28"/>
          <w:szCs w:val="32"/>
        </w:rPr>
      </w:pPr>
      <w:bookmarkStart w:id="24" w:name="_Toc478453292"/>
      <w:bookmarkStart w:id="25" w:name="_Toc11881"/>
      <w:bookmarkStart w:id="26" w:name="_Toc349007688"/>
      <w:bookmarkStart w:id="27" w:name="_Toc349011858"/>
      <w:bookmarkStart w:id="28" w:name="_Toc386359393"/>
      <w:bookmarkStart w:id="29" w:name="_Toc386363317"/>
      <w:bookmarkStart w:id="30" w:name="_Toc400369185"/>
      <w:bookmarkStart w:id="31" w:name="_Toc444173459"/>
      <w:bookmarkStart w:id="32" w:name="_Toc444174979"/>
      <w:bookmarkStart w:id="33" w:name="_Toc444811409"/>
      <w:bookmarkStart w:id="34" w:name="_Toc448002984"/>
      <w:r>
        <w:rPr>
          <w:rFonts w:ascii="Calibri" w:hAnsi="Arial" w:eastAsia="黑体" w:cs="Calibri"/>
          <w:kern w:val="2"/>
          <w:sz w:val="28"/>
          <w:szCs w:val="32"/>
        </w:rPr>
        <w:t>投标人须知前附表</w:t>
      </w:r>
      <w:bookmarkEnd w:id="23"/>
      <w:bookmarkEnd w:id="24"/>
      <w:bookmarkEnd w:id="25"/>
      <w:bookmarkEnd w:id="26"/>
      <w:bookmarkEnd w:id="27"/>
      <w:bookmarkEnd w:id="28"/>
      <w:bookmarkEnd w:id="29"/>
      <w:bookmarkEnd w:id="30"/>
      <w:bookmarkEnd w:id="31"/>
      <w:bookmarkEnd w:id="32"/>
      <w:bookmarkEnd w:id="33"/>
      <w:bookmarkEnd w:id="34"/>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b/>
                <w:kern w:val="0"/>
                <w:sz w:val="22"/>
              </w:rPr>
              <w:t>杭州萧山国际机场</w:t>
            </w:r>
            <w:r>
              <w:rPr>
                <w:rFonts w:hint="eastAsia" w:ascii="宋体" w:hAnsi="宋体" w:cs="Arial"/>
                <w:b/>
                <w:kern w:val="0"/>
                <w:sz w:val="22"/>
              </w:rPr>
              <w:t>自助登机门系统软硬件采购</w:t>
            </w:r>
            <w:r>
              <w:rPr>
                <w:rFonts w:ascii="宋体" w:hAnsi="宋体" w:cs="Arial"/>
                <w:b/>
                <w:kern w:val="0"/>
                <w:sz w:val="22"/>
              </w:rPr>
              <w:t>项</w:t>
            </w:r>
            <w:r>
              <w:rPr>
                <w:rFonts w:hint="eastAsia" w:ascii="宋体" w:hAnsi="宋体" w:cs="Arial"/>
                <w:b/>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8"/>
                <w:rFonts w:hint="eastAsia"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180  </w:t>
            </w:r>
            <w:r>
              <w:rPr>
                <w:rFonts w:hint="eastAsia"/>
                <w:b/>
                <w:sz w:val="22"/>
              </w:rPr>
              <w:t>日历天</w:t>
            </w:r>
            <w:r>
              <w:rPr>
                <w:rFonts w:hint="eastAsia" w:ascii="宋体" w:hAnsi="宋体" w:cs="Calibri"/>
                <w:b/>
                <w:kern w:val="0"/>
                <w:sz w:val="22"/>
              </w:rPr>
              <w:t>内。</w:t>
            </w:r>
          </w:p>
          <w:p>
            <w:pPr>
              <w:rPr>
                <w:rFonts w:ascii="宋体" w:hAnsi="宋体"/>
                <w:b/>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iCs/>
                <w:sz w:val="22"/>
              </w:rPr>
              <w:t>符</w:t>
            </w:r>
            <w:r>
              <w:rPr>
                <w:rFonts w:hint="eastAsia"/>
                <w:sz w:val="22"/>
              </w:rPr>
              <w:t>合国家现行</w:t>
            </w:r>
            <w:r>
              <w:rPr>
                <w:rFonts w:hint="eastAsia"/>
                <w:sz w:val="22"/>
                <w:u w:val="single"/>
              </w:rPr>
              <w:t xml:space="preserve">  行业   </w:t>
            </w:r>
            <w:r>
              <w:rPr>
                <w:rFonts w:hint="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23</w:t>
            </w:r>
            <w:r>
              <w:rPr>
                <w:rFonts w:hint="eastAsia" w:ascii="宋体" w:hAnsi="宋体" w:cs="Calibri"/>
                <w:kern w:val="0"/>
                <w:sz w:val="22"/>
              </w:rPr>
              <w:t>日11：30前，以书面加盖公章的形式通过E-mail或传真提交给招标人（投标联系人:贾工，电话0571-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cs="Calibri"/>
                <w:b/>
                <w:kern w:val="0"/>
                <w:sz w:val="22"/>
                <w:lang w:eastAsia="zh-CN"/>
              </w:rPr>
              <w:t>2019年12月30日上午9时00分</w:t>
            </w:r>
            <w:r>
              <w:rPr>
                <w:rFonts w:hint="eastAsia"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5" w:name="_Toc226175287"/>
            <w:bookmarkStart w:id="36"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5"/>
            <w:bookmarkEnd w:id="3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人民币贰万元整（</w:t>
            </w:r>
            <w:r>
              <w:rPr>
                <w:rFonts w:ascii="宋体" w:hAnsi="宋体"/>
                <w:b/>
                <w:sz w:val="22"/>
              </w:rPr>
              <w:t>¥20,000.00</w:t>
            </w:r>
            <w:r>
              <w:rPr>
                <w:rFonts w:hint="eastAsia" w:ascii="宋体" w:hAnsi="宋体"/>
                <w:b/>
                <w:sz w:val="22"/>
              </w:rPr>
              <w:t>）</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autoSpaceDE w:val="0"/>
              <w:autoSpaceDN w:val="0"/>
              <w:adjustRightInd w:val="0"/>
              <w:snapToGrid w:val="0"/>
              <w:rPr>
                <w:rFonts w:ascii="宋体" w:hAnsi="宋体" w:cs="Calibri"/>
                <w:kern w:val="0"/>
                <w:sz w:val="22"/>
              </w:rPr>
            </w:pPr>
            <w:r>
              <w:rPr>
                <w:rFonts w:hint="eastAsia" w:ascii="宋体" w:hAnsi="宋体"/>
                <w:b/>
                <w:sz w:val="22"/>
                <w:highlight w:val="yellow"/>
              </w:rPr>
              <w:t>投标人提交投标保证金时需注明“</w:t>
            </w:r>
            <w:r>
              <w:rPr>
                <w:rFonts w:hint="eastAsia" w:ascii="宋体" w:hAnsi="宋体"/>
                <w:b/>
                <w:sz w:val="22"/>
              </w:rPr>
              <w:t>自助登机门采购</w:t>
            </w:r>
            <w:r>
              <w:rPr>
                <w:rFonts w:hint="eastAsia" w:ascii="宋体" w:hAnsi="宋体"/>
                <w:b/>
                <w:sz w:val="22"/>
                <w:highlight w:val="yellow"/>
              </w:rPr>
              <w:t>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自助登机门系统软硬件采购项目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eastAsia="zh-CN"/>
              </w:rPr>
              <w:t>2019年12月30日上午9时00分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w:t>
            </w:r>
            <w:r>
              <w:rPr>
                <w:rFonts w:hint="eastAsia" w:ascii="宋体" w:hAnsi="宋体"/>
                <w:b/>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7" w:name="_Toc143421656"/>
      <w:bookmarkStart w:id="38"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7"/>
      <w:bookmarkEnd w:id="38"/>
    </w:p>
    <w:p>
      <w:pPr>
        <w:autoSpaceDE w:val="0"/>
        <w:autoSpaceDN w:val="0"/>
        <w:adjustRightInd w:val="0"/>
        <w:snapToGrid w:val="0"/>
        <w:spacing w:line="360" w:lineRule="exact"/>
        <w:rPr>
          <w:rFonts w:ascii="宋体" w:hAnsi="宋体" w:cs="Calibri"/>
          <w:b/>
          <w:bCs/>
          <w:kern w:val="0"/>
          <w:sz w:val="22"/>
        </w:rPr>
      </w:pPr>
      <w:bookmarkStart w:id="39" w:name="_Toc26216"/>
      <w:r>
        <w:rPr>
          <w:rFonts w:ascii="宋体" w:hAnsi="宋体" w:cs="Calibri"/>
          <w:b/>
          <w:bCs/>
          <w:kern w:val="0"/>
          <w:sz w:val="22"/>
        </w:rPr>
        <w:t>1.1 项目</w:t>
      </w:r>
      <w:bookmarkEnd w:id="39"/>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w:t>
      </w:r>
      <w:r>
        <w:rPr>
          <w:rFonts w:hint="eastAsia" w:ascii="宋体" w:hAnsi="宋体" w:cs="Calibri"/>
          <w:kern w:val="0"/>
          <w:sz w:val="22"/>
        </w:rPr>
        <w:t>《浙江省招投标条例》</w:t>
      </w:r>
      <w:r>
        <w:rPr>
          <w:rFonts w:ascii="宋体" w:hAnsi="宋体" w:cs="Calibri"/>
          <w:kern w:val="0"/>
          <w:sz w:val="22"/>
        </w:rPr>
        <w:t>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0"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1"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1"/>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2"/>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6"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6"/>
    </w:p>
    <w:p>
      <w:pPr>
        <w:adjustRightInd w:val="0"/>
        <w:snapToGrid w:val="0"/>
        <w:spacing w:line="360" w:lineRule="exact"/>
        <w:ind w:firstLine="440" w:firstLineChars="200"/>
        <w:rPr>
          <w:rFonts w:ascii="宋体" w:hAnsi="宋体" w:cs="Calibri"/>
          <w:sz w:val="22"/>
        </w:rPr>
      </w:pPr>
      <w:bookmarkStart w:id="47" w:name="_Toc4199"/>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8"/>
    </w:p>
    <w:p>
      <w:pPr>
        <w:adjustRightInd w:val="0"/>
        <w:snapToGrid w:val="0"/>
        <w:spacing w:line="360" w:lineRule="exact"/>
        <w:ind w:firstLine="440"/>
        <w:rPr>
          <w:rFonts w:cs="Calibri"/>
          <w:color w:val="000000"/>
          <w:sz w:val="22"/>
        </w:rPr>
      </w:pPr>
      <w:bookmarkStart w:id="49" w:name="_Toc3996"/>
      <w:r>
        <w:rPr>
          <w:rFonts w:cs="Calibri"/>
          <w:color w:val="000000"/>
          <w:sz w:val="22"/>
        </w:rPr>
        <w:t>本项目</w:t>
      </w:r>
      <w:r>
        <w:rPr>
          <w:rFonts w:hint="eastAsia" w:cs="Calibri"/>
          <w:color w:val="000000"/>
          <w:sz w:val="22"/>
        </w:rPr>
        <w:t>涉及到其它专业的部分分项工作</w:t>
      </w:r>
      <w:r>
        <w:rPr>
          <w:rFonts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0" w:name="_Toc15241"/>
      <w:bookmarkStart w:id="51" w:name="_Toc143421657"/>
      <w:r>
        <w:rPr>
          <w:rFonts w:ascii="宋体" w:hAnsi="宋体" w:cs="Calibri"/>
          <w:b/>
          <w:bCs/>
          <w:kern w:val="0"/>
          <w:sz w:val="22"/>
        </w:rPr>
        <w:t>2.招标文件</w:t>
      </w:r>
      <w:bookmarkEnd w:id="50"/>
      <w:bookmarkEnd w:id="51"/>
    </w:p>
    <w:p>
      <w:pPr>
        <w:autoSpaceDE w:val="0"/>
        <w:autoSpaceDN w:val="0"/>
        <w:adjustRightInd w:val="0"/>
        <w:snapToGrid w:val="0"/>
        <w:spacing w:line="360" w:lineRule="exact"/>
        <w:rPr>
          <w:rFonts w:ascii="宋体" w:hAnsi="宋体" w:cs="Calibri"/>
          <w:b/>
          <w:bCs/>
          <w:kern w:val="0"/>
          <w:sz w:val="22"/>
        </w:rPr>
      </w:pPr>
      <w:bookmarkStart w:id="52" w:name="_Toc1426"/>
      <w:r>
        <w:rPr>
          <w:rFonts w:ascii="宋体" w:hAnsi="宋体" w:cs="Calibri"/>
          <w:b/>
          <w:bCs/>
          <w:kern w:val="0"/>
          <w:sz w:val="22"/>
        </w:rPr>
        <w:t>2.1 招标文件的组成</w:t>
      </w:r>
      <w:bookmarkEnd w:id="5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采购内容、技术标准及要求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3" w:name="_Toc18230"/>
      <w:r>
        <w:rPr>
          <w:rFonts w:ascii="宋体" w:hAnsi="宋体" w:cs="Calibri"/>
          <w:b/>
          <w:bCs/>
          <w:kern w:val="0"/>
          <w:sz w:val="22"/>
        </w:rPr>
        <w:t>2.2 招标文件的澄清</w:t>
      </w:r>
      <w:bookmarkEnd w:id="53"/>
    </w:p>
    <w:p>
      <w:pPr>
        <w:adjustRightInd w:val="0"/>
        <w:snapToGrid w:val="0"/>
        <w:spacing w:line="360" w:lineRule="exact"/>
        <w:ind w:firstLine="440"/>
        <w:rPr>
          <w:rFonts w:ascii="宋体" w:hAnsi="宋体" w:cs="Calibri"/>
          <w:sz w:val="22"/>
        </w:rPr>
      </w:pPr>
      <w:bookmarkStart w:id="54"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4"/>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5" w:name="_Toc18870"/>
      <w:bookmarkStart w:id="56" w:name="_Toc143421658"/>
      <w:r>
        <w:rPr>
          <w:rFonts w:ascii="宋体" w:hAnsi="宋体" w:cs="Calibri"/>
          <w:b/>
          <w:bCs/>
          <w:kern w:val="0"/>
          <w:sz w:val="22"/>
        </w:rPr>
        <w:t>3.投标文件</w:t>
      </w:r>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461"/>
      <w:r>
        <w:rPr>
          <w:rFonts w:ascii="宋体" w:hAnsi="宋体" w:cs="Calibri"/>
          <w:b/>
          <w:bCs/>
          <w:kern w:val="0"/>
          <w:sz w:val="22"/>
        </w:rPr>
        <w:t>3.1 投标文件的语言和计量单位</w:t>
      </w:r>
      <w:bookmarkEnd w:id="57"/>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采购</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58" w:name="_Toc1411"/>
      <w:r>
        <w:rPr>
          <w:rFonts w:ascii="宋体" w:hAnsi="宋体" w:cs="Calibri"/>
          <w:b/>
          <w:bCs/>
          <w:kern w:val="0"/>
          <w:sz w:val="22"/>
        </w:rPr>
        <w:t>3.2 投标文件的组成</w:t>
      </w:r>
      <w:bookmarkEnd w:id="58"/>
    </w:p>
    <w:p>
      <w:pPr>
        <w:adjustRightInd w:val="0"/>
        <w:snapToGrid w:val="0"/>
        <w:spacing w:line="360" w:lineRule="exact"/>
        <w:ind w:firstLine="440" w:firstLineChars="200"/>
        <w:rPr>
          <w:rFonts w:ascii="宋体" w:hAnsi="宋体" w:cs="Calibri"/>
          <w:sz w:val="22"/>
        </w:rPr>
      </w:pPr>
      <w:bookmarkStart w:id="59"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3.2.5 </w:t>
      </w:r>
      <w:r>
        <w:rPr>
          <w:rFonts w:hint="eastAsia" w:ascii="宋体" w:hAnsi="宋体" w:cs="Calibri"/>
          <w:sz w:val="22"/>
        </w:rPr>
        <w:t>所投设备详细技术参数说明（含外观彩色图片）；</w:t>
      </w:r>
    </w:p>
    <w:p>
      <w:pPr>
        <w:adjustRightInd w:val="0"/>
        <w:snapToGrid w:val="0"/>
        <w:spacing w:line="360" w:lineRule="exact"/>
        <w:ind w:firstLine="440" w:firstLineChars="200"/>
        <w:rPr>
          <w:rFonts w:ascii="宋体" w:hAnsi="宋体" w:cs="Calibri"/>
          <w:sz w:val="22"/>
        </w:rPr>
      </w:pPr>
      <w:r>
        <w:rPr>
          <w:rFonts w:ascii="宋体" w:hAnsi="宋体" w:cs="Calibri"/>
          <w:sz w:val="22"/>
        </w:rPr>
        <w:t>3.2.6投标人资格证明文件：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ascii="宋体" w:hAnsi="宋体" w:cs="Calibri"/>
          <w:sz w:val="22"/>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w:t>
      </w:r>
      <w:r>
        <w:rPr>
          <w:rFonts w:ascii="宋体" w:hAnsi="宋体" w:cs="Calibri"/>
          <w:sz w:val="22"/>
        </w:rPr>
        <w:t>近三年的销售业绩一览表（</w:t>
      </w:r>
      <w:r>
        <w:rPr>
          <w:rFonts w:hint="eastAsia" w:ascii="宋体" w:hAnsi="宋体" w:cs="Calibri"/>
          <w:sz w:val="22"/>
        </w:rPr>
        <w:t>附业绩的</w:t>
      </w:r>
      <w:r>
        <w:rPr>
          <w:rFonts w:ascii="宋体" w:hAnsi="宋体" w:cs="Calibri"/>
          <w:sz w:val="22"/>
        </w:rPr>
        <w:t>合同）</w:t>
      </w:r>
      <w:r>
        <w:rPr>
          <w:rFonts w:hint="eastAsia" w:ascii="宋体" w:hAnsi="宋体" w:cs="Calibri"/>
          <w:sz w:val="22"/>
        </w:rPr>
        <w:t>；</w:t>
      </w:r>
    </w:p>
    <w:p>
      <w:pPr>
        <w:adjustRightInd w:val="0"/>
        <w:snapToGrid w:val="0"/>
        <w:spacing w:line="360" w:lineRule="exact"/>
        <w:ind w:firstLine="440" w:firstLineChars="200"/>
        <w:rPr>
          <w:rFonts w:ascii="宋体" w:hAnsi="宋体" w:cs="Arial"/>
          <w:kern w:val="0"/>
          <w:sz w:val="22"/>
        </w:rPr>
      </w:pPr>
      <w:r>
        <w:rPr>
          <w:rFonts w:ascii="宋体" w:hAnsi="宋体" w:cs="Calibri"/>
          <w:sz w:val="22"/>
        </w:rPr>
        <w:t>（6）</w:t>
      </w:r>
      <w:r>
        <w:rPr>
          <w:rFonts w:hint="eastAsia" w:ascii="宋体" w:hAnsi="宋体" w:cs="Arial"/>
          <w:kern w:val="0"/>
          <w:sz w:val="22"/>
        </w:rPr>
        <w:t>ISO9000质量体系认证；</w:t>
      </w:r>
    </w:p>
    <w:p>
      <w:pPr>
        <w:adjustRightInd w:val="0"/>
        <w:snapToGrid w:val="0"/>
        <w:spacing w:line="360" w:lineRule="exact"/>
        <w:ind w:firstLine="440" w:firstLineChars="200"/>
        <w:rPr>
          <w:rFonts w:ascii="宋体" w:hAnsi="宋体" w:cs="Arial"/>
          <w:kern w:val="0"/>
          <w:sz w:val="22"/>
        </w:rPr>
      </w:pPr>
      <w:r>
        <w:rPr>
          <w:rFonts w:ascii="宋体" w:hAnsi="宋体" w:cs="Arial"/>
          <w:kern w:val="0"/>
          <w:sz w:val="22"/>
        </w:rPr>
        <w:t>（7）</w:t>
      </w:r>
      <w:r>
        <w:rPr>
          <w:rFonts w:hint="eastAsia" w:ascii="宋体" w:hAnsi="宋体" w:cs="Calibri"/>
          <w:sz w:val="22"/>
        </w:rPr>
        <w:t>中航信第三方入网许可证</w:t>
      </w:r>
      <w:r>
        <w:rPr>
          <w:rFonts w:hint="eastAsia" w:ascii="宋体" w:hAnsi="宋体" w:cs="Arial"/>
          <w:kern w:val="0"/>
          <w:sz w:val="22"/>
        </w:rPr>
        <w:t>；</w:t>
      </w:r>
    </w:p>
    <w:p>
      <w:pPr>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（8）制造商</w:t>
      </w:r>
      <w:r>
        <w:rPr>
          <w:rFonts w:ascii="宋体" w:hAnsi="宋体" w:cs="Arial"/>
          <w:kern w:val="0"/>
          <w:sz w:val="22"/>
        </w:rPr>
        <w:t>资格声明</w:t>
      </w:r>
      <w:r>
        <w:rPr>
          <w:rFonts w:hint="eastAsia" w:ascii="宋体" w:hAnsi="宋体" w:cs="Arial"/>
          <w:kern w:val="0"/>
          <w:sz w:val="22"/>
        </w:rPr>
        <w:t>；</w:t>
      </w:r>
    </w:p>
    <w:p>
      <w:pPr>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9</w:t>
      </w:r>
      <w:r>
        <w:rPr>
          <w:rFonts w:hint="eastAsia" w:ascii="宋体" w:hAnsi="宋体" w:cs="Arial"/>
          <w:kern w:val="0"/>
          <w:sz w:val="22"/>
        </w:rPr>
        <w:t>）设备</w:t>
      </w:r>
      <w:r>
        <w:rPr>
          <w:rFonts w:ascii="宋体" w:hAnsi="宋体" w:cs="Arial"/>
          <w:kern w:val="0"/>
          <w:sz w:val="22"/>
        </w:rPr>
        <w:t>制造商的授权书（</w:t>
      </w:r>
      <w:r>
        <w:rPr>
          <w:rFonts w:hint="eastAsia" w:ascii="宋体" w:hAnsi="宋体" w:cs="Arial"/>
          <w:kern w:val="0"/>
          <w:sz w:val="22"/>
        </w:rPr>
        <w:t>代理商</w:t>
      </w:r>
      <w:r>
        <w:rPr>
          <w:rFonts w:ascii="宋体" w:hAnsi="宋体" w:cs="Arial"/>
          <w:kern w:val="0"/>
          <w:sz w:val="22"/>
        </w:rPr>
        <w:t>投标时提供）</w:t>
      </w:r>
      <w:r>
        <w:rPr>
          <w:rFonts w:hint="eastAsia" w:ascii="宋体" w:hAnsi="宋体" w:cs="Arial"/>
          <w:kern w:val="0"/>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3.2.7</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r>
        <w:rPr>
          <w:rFonts w:hint="eastAsia" w:ascii="宋体" w:hAnsi="宋体" w:cs="Calibri"/>
          <w:sz w:val="22"/>
        </w:rPr>
        <w:t>供货、培训、售后服务、质量保证等）</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3.2.8技术规格偏离表；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3.2.9商务条款响应偏离表；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3.2.10廉洁自律承诺书</w:t>
      </w:r>
    </w:p>
    <w:p>
      <w:pPr>
        <w:adjustRightInd w:val="0"/>
        <w:snapToGrid w:val="0"/>
        <w:spacing w:line="400" w:lineRule="exact"/>
        <w:ind w:firstLine="440" w:firstLineChars="200"/>
        <w:rPr>
          <w:rFonts w:ascii="宋体" w:hAnsi="宋体"/>
          <w:sz w:val="22"/>
        </w:rPr>
      </w:pPr>
      <w:r>
        <w:rPr>
          <w:rFonts w:hint="eastAsia" w:ascii="宋体" w:hAnsi="宋体" w:cs="Calibri"/>
          <w:sz w:val="22"/>
        </w:rPr>
        <w:t>3.2.11</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9"/>
    </w:p>
    <w:p>
      <w:pPr>
        <w:adjustRightInd w:val="0"/>
        <w:snapToGrid w:val="0"/>
        <w:spacing w:line="360" w:lineRule="exact"/>
        <w:ind w:firstLine="440"/>
        <w:rPr>
          <w:rFonts w:ascii="宋体" w:hAnsi="宋体" w:cs="Calibri"/>
          <w:sz w:val="22"/>
        </w:rPr>
      </w:pPr>
      <w:bookmarkStart w:id="60"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1" w:name="_Toc30464"/>
      <w:r>
        <w:rPr>
          <w:rFonts w:ascii="宋体" w:hAnsi="宋体" w:cs="Calibri"/>
          <w:b/>
          <w:bCs/>
          <w:kern w:val="0"/>
          <w:sz w:val="22"/>
        </w:rPr>
        <w:t>3.5 投标保证金</w:t>
      </w:r>
      <w:bookmarkEnd w:id="61"/>
      <w:r>
        <w:rPr>
          <w:rFonts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2"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2"/>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3" w:name="_Toc143421659"/>
    </w:p>
    <w:p>
      <w:pPr>
        <w:autoSpaceDE w:val="0"/>
        <w:autoSpaceDN w:val="0"/>
        <w:adjustRightInd w:val="0"/>
        <w:snapToGrid w:val="0"/>
        <w:spacing w:line="360" w:lineRule="exact"/>
        <w:rPr>
          <w:rFonts w:ascii="宋体" w:hAnsi="宋体" w:cs="Calibri"/>
          <w:b/>
          <w:bCs/>
          <w:kern w:val="0"/>
          <w:sz w:val="22"/>
        </w:rPr>
      </w:pPr>
      <w:bookmarkStart w:id="64" w:name="_Toc32652"/>
      <w:r>
        <w:rPr>
          <w:rFonts w:ascii="宋体" w:hAnsi="宋体" w:cs="Calibri"/>
          <w:b/>
          <w:bCs/>
          <w:kern w:val="0"/>
          <w:sz w:val="22"/>
        </w:rPr>
        <w:t>4.投标</w:t>
      </w:r>
      <w:bookmarkEnd w:id="63"/>
      <w:bookmarkEnd w:id="64"/>
    </w:p>
    <w:p>
      <w:pPr>
        <w:autoSpaceDE w:val="0"/>
        <w:autoSpaceDN w:val="0"/>
        <w:adjustRightInd w:val="0"/>
        <w:snapToGrid w:val="0"/>
        <w:spacing w:line="360" w:lineRule="exact"/>
        <w:rPr>
          <w:rFonts w:ascii="宋体" w:hAnsi="宋体" w:cs="Calibri"/>
          <w:b/>
          <w:bCs/>
          <w:kern w:val="0"/>
          <w:sz w:val="22"/>
        </w:rPr>
      </w:pPr>
      <w:bookmarkStart w:id="65" w:name="_Toc649"/>
      <w:r>
        <w:rPr>
          <w:rFonts w:ascii="宋体" w:hAnsi="宋体" w:cs="Calibri"/>
          <w:b/>
          <w:bCs/>
          <w:kern w:val="0"/>
          <w:sz w:val="22"/>
        </w:rPr>
        <w:t>4.1 投标文件的密封和标识</w:t>
      </w:r>
      <w:bookmarkEnd w:id="65"/>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6" w:name="_Toc16616"/>
      <w:r>
        <w:rPr>
          <w:rFonts w:ascii="宋体" w:hAnsi="宋体" w:cs="Calibri"/>
          <w:b/>
          <w:bCs/>
          <w:kern w:val="0"/>
          <w:sz w:val="22"/>
        </w:rPr>
        <w:t xml:space="preserve">4.2 投标文件的递交 </w:t>
      </w:r>
      <w:bookmarkEnd w:id="66"/>
    </w:p>
    <w:p>
      <w:pPr>
        <w:autoSpaceDE w:val="0"/>
        <w:autoSpaceDN w:val="0"/>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7" w:name="_Toc26099"/>
      <w:r>
        <w:rPr>
          <w:rFonts w:ascii="宋体" w:hAnsi="宋体" w:cs="Calibri"/>
          <w:b/>
          <w:bCs/>
          <w:kern w:val="0"/>
          <w:sz w:val="22"/>
        </w:rPr>
        <w:t>4.3 投标文件的修改和撤回</w:t>
      </w:r>
      <w:bookmarkEnd w:id="6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8" w:name="_Toc29641"/>
      <w:r>
        <w:rPr>
          <w:rFonts w:ascii="宋体" w:hAnsi="宋体" w:cs="Calibri"/>
          <w:b/>
          <w:bCs/>
          <w:kern w:val="0"/>
          <w:sz w:val="22"/>
        </w:rPr>
        <w:t>5.开标</w:t>
      </w:r>
      <w:bookmarkEnd w:id="68"/>
    </w:p>
    <w:p>
      <w:pPr>
        <w:autoSpaceDE w:val="0"/>
        <w:autoSpaceDN w:val="0"/>
        <w:adjustRightInd w:val="0"/>
        <w:snapToGrid w:val="0"/>
        <w:spacing w:line="360" w:lineRule="exact"/>
        <w:rPr>
          <w:rFonts w:ascii="宋体" w:hAnsi="宋体" w:cs="Calibri"/>
          <w:b/>
          <w:bCs/>
          <w:kern w:val="0"/>
          <w:sz w:val="22"/>
        </w:rPr>
      </w:pPr>
      <w:bookmarkStart w:id="69" w:name="_Toc15123"/>
      <w:r>
        <w:rPr>
          <w:rFonts w:ascii="宋体" w:hAnsi="宋体" w:cs="Calibri"/>
          <w:b/>
          <w:bCs/>
          <w:kern w:val="0"/>
          <w:sz w:val="22"/>
        </w:rPr>
        <w:t>5.1 开标时间和地点</w:t>
      </w:r>
      <w:bookmarkEnd w:id="69"/>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0"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1" w:name="_Toc31578"/>
      <w:r>
        <w:rPr>
          <w:rFonts w:ascii="宋体" w:hAnsi="宋体" w:cs="Calibri"/>
          <w:b/>
          <w:bCs/>
          <w:kern w:val="0"/>
          <w:sz w:val="22"/>
        </w:rPr>
        <w:t>6.评标</w:t>
      </w:r>
      <w:bookmarkEnd w:id="71"/>
    </w:p>
    <w:p>
      <w:pPr>
        <w:autoSpaceDE w:val="0"/>
        <w:autoSpaceDN w:val="0"/>
        <w:adjustRightInd w:val="0"/>
        <w:snapToGrid w:val="0"/>
        <w:spacing w:line="360" w:lineRule="exact"/>
        <w:rPr>
          <w:rFonts w:ascii="宋体" w:hAnsi="宋体" w:cs="Calibri"/>
          <w:b/>
          <w:bCs/>
          <w:kern w:val="0"/>
          <w:sz w:val="22"/>
        </w:rPr>
      </w:pPr>
      <w:bookmarkStart w:id="72" w:name="_Toc10279"/>
      <w:r>
        <w:rPr>
          <w:rFonts w:ascii="宋体" w:hAnsi="宋体" w:cs="Calibri"/>
          <w:b/>
          <w:bCs/>
          <w:kern w:val="0"/>
          <w:sz w:val="22"/>
        </w:rPr>
        <w:t>6.1 评标委员会</w:t>
      </w:r>
      <w:bookmarkEnd w:id="7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3" w:name="_Toc3460"/>
      <w:r>
        <w:rPr>
          <w:rFonts w:ascii="宋体" w:hAnsi="宋体" w:cs="Calibri"/>
          <w:b/>
          <w:bCs/>
          <w:kern w:val="0"/>
          <w:sz w:val="22"/>
        </w:rPr>
        <w:t>6.2 评标原则</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4" w:name="_Toc28178"/>
      <w:r>
        <w:rPr>
          <w:rFonts w:ascii="宋体" w:hAnsi="宋体" w:cs="Calibri"/>
          <w:b/>
          <w:bCs/>
          <w:kern w:val="0"/>
          <w:sz w:val="22"/>
        </w:rPr>
        <w:t>6.3 评标</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b/>
          <w:kern w:val="0"/>
          <w:sz w:val="22"/>
        </w:rPr>
        <w:t>评标委员会按照第</w:t>
      </w:r>
      <w:r>
        <w:rPr>
          <w:rFonts w:hint="eastAsia" w:ascii="宋体" w:hAnsi="宋体" w:cs="Calibri"/>
          <w:b/>
          <w:kern w:val="0"/>
          <w:sz w:val="22"/>
        </w:rPr>
        <w:t>五</w:t>
      </w:r>
      <w:r>
        <w:rPr>
          <w:rFonts w:ascii="宋体" w:hAnsi="宋体" w:cs="Calibri"/>
          <w:b/>
          <w:kern w:val="0"/>
          <w:sz w:val="22"/>
        </w:rPr>
        <w:t>章“评标方法及标准”对投标文件进行评审。</w:t>
      </w:r>
      <w:r>
        <w:rPr>
          <w:rFonts w:ascii="宋体" w:hAnsi="宋体" w:cs="Calibri"/>
          <w:kern w:val="0"/>
          <w:sz w:val="22"/>
        </w:rPr>
        <w:t>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5" w:name="_Toc24237"/>
      <w:r>
        <w:rPr>
          <w:rFonts w:ascii="宋体" w:hAnsi="宋体" w:cs="Calibri"/>
          <w:b/>
          <w:bCs/>
          <w:kern w:val="0"/>
          <w:sz w:val="22"/>
        </w:rPr>
        <w:t>7.合同授予</w:t>
      </w:r>
      <w:bookmarkEnd w:id="75"/>
    </w:p>
    <w:p>
      <w:pPr>
        <w:autoSpaceDE w:val="0"/>
        <w:autoSpaceDN w:val="0"/>
        <w:adjustRightInd w:val="0"/>
        <w:snapToGrid w:val="0"/>
        <w:spacing w:line="360" w:lineRule="exact"/>
        <w:rPr>
          <w:rFonts w:ascii="宋体" w:hAnsi="宋体" w:cs="Calibri"/>
          <w:b/>
          <w:bCs/>
          <w:kern w:val="0"/>
          <w:sz w:val="22"/>
        </w:rPr>
      </w:pPr>
      <w:bookmarkStart w:id="76" w:name="_Toc18809"/>
      <w:r>
        <w:rPr>
          <w:rFonts w:ascii="宋体" w:hAnsi="宋体" w:cs="Calibri"/>
          <w:b/>
          <w:bCs/>
          <w:kern w:val="0"/>
          <w:sz w:val="22"/>
        </w:rPr>
        <w:t>7.1 定标方式</w:t>
      </w:r>
      <w:bookmarkEnd w:id="76"/>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77" w:name="_Toc14573"/>
      <w:r>
        <w:rPr>
          <w:rFonts w:ascii="宋体" w:hAnsi="宋体" w:cs="Calibri"/>
          <w:b/>
          <w:bCs/>
          <w:kern w:val="0"/>
          <w:sz w:val="22"/>
        </w:rPr>
        <w:t>7.2 中标通知</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8" w:name="_Toc27132"/>
      <w:bookmarkStart w:id="79" w:name="_Toc27581"/>
      <w:r>
        <w:rPr>
          <w:rFonts w:ascii="宋体" w:hAnsi="宋体" w:cs="Calibri"/>
          <w:b/>
          <w:bCs/>
          <w:kern w:val="0"/>
          <w:sz w:val="22"/>
        </w:rPr>
        <w:t>7.3 履约</w:t>
      </w:r>
      <w:r>
        <w:rPr>
          <w:rFonts w:hint="eastAsia" w:ascii="宋体" w:hAnsi="宋体" w:cs="Calibri"/>
          <w:b/>
          <w:bCs/>
          <w:kern w:val="0"/>
          <w:sz w:val="22"/>
        </w:rPr>
        <w:t>保证金</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0" w:name="_Toc219809801"/>
      <w:bookmarkStart w:id="81" w:name="_Toc220123241"/>
      <w:bookmarkStart w:id="82"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b/>
          <w:color w:val="000000"/>
          <w:kern w:val="0"/>
          <w:sz w:val="22"/>
        </w:rPr>
      </w:pPr>
      <w:r>
        <w:rPr>
          <w:rFonts w:hint="eastAsia" w:cs="Calibri"/>
          <w:color w:val="000000"/>
          <w:kern w:val="0"/>
          <w:sz w:val="22"/>
        </w:rPr>
        <w:t xml:space="preserve">7.4.3 </w:t>
      </w:r>
      <w:r>
        <w:rPr>
          <w:rFonts w:hint="eastAsia"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color w:val="000000"/>
          <w:kern w:val="0"/>
          <w:sz w:val="22"/>
        </w:rPr>
        <w:t xml:space="preserve">7.4.4 </w:t>
      </w:r>
      <w:r>
        <w:rPr>
          <w:rFonts w:hint="eastAsia"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0"/>
      <w:bookmarkEnd w:id="81"/>
      <w:bookmarkEnd w:id="82"/>
    </w:p>
    <w:p>
      <w:pPr>
        <w:autoSpaceDE w:val="0"/>
        <w:autoSpaceDN w:val="0"/>
        <w:adjustRightInd w:val="0"/>
        <w:snapToGrid w:val="0"/>
        <w:spacing w:line="360" w:lineRule="exact"/>
        <w:rPr>
          <w:rFonts w:ascii="宋体" w:hAnsi="宋体" w:cs="Calibri"/>
          <w:b/>
          <w:bCs/>
          <w:kern w:val="0"/>
          <w:sz w:val="22"/>
        </w:rPr>
      </w:pPr>
      <w:bookmarkStart w:id="83" w:name="_Toc219809802"/>
      <w:bookmarkStart w:id="84" w:name="_Toc220123242"/>
      <w:bookmarkStart w:id="85" w:name="_Toc15553"/>
      <w:r>
        <w:rPr>
          <w:rFonts w:ascii="宋体" w:hAnsi="宋体" w:cs="Calibri"/>
          <w:b/>
          <w:bCs/>
          <w:kern w:val="0"/>
          <w:sz w:val="22"/>
        </w:rPr>
        <w:t>8.1 重新招标</w:t>
      </w:r>
      <w:bookmarkEnd w:id="83"/>
      <w:bookmarkEnd w:id="84"/>
      <w:bookmarkEnd w:id="85"/>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6" w:name="_Toc219809803"/>
      <w:bookmarkStart w:id="87" w:name="_Toc220123243"/>
      <w:bookmarkStart w:id="88" w:name="_Toc18806"/>
      <w:r>
        <w:rPr>
          <w:rFonts w:ascii="宋体" w:hAnsi="宋体" w:cs="Calibri"/>
          <w:b/>
          <w:bCs/>
          <w:kern w:val="0"/>
          <w:sz w:val="22"/>
        </w:rPr>
        <w:t>8.2 不再招标</w:t>
      </w:r>
      <w:bookmarkEnd w:id="86"/>
      <w:bookmarkEnd w:id="87"/>
      <w:bookmarkEnd w:id="88"/>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9" w:name="_Toc215941254"/>
      <w:bookmarkStart w:id="90" w:name="_Toc219809804"/>
      <w:bookmarkStart w:id="91" w:name="_Toc220123244"/>
      <w:bookmarkStart w:id="92" w:name="_Toc2986"/>
      <w:r>
        <w:rPr>
          <w:rFonts w:ascii="宋体" w:hAnsi="宋体" w:cs="Calibri"/>
          <w:b/>
          <w:bCs/>
          <w:kern w:val="0"/>
          <w:sz w:val="22"/>
        </w:rPr>
        <w:t>9.纪律和监督</w:t>
      </w:r>
      <w:bookmarkEnd w:id="89"/>
      <w:bookmarkEnd w:id="90"/>
      <w:bookmarkEnd w:id="91"/>
      <w:bookmarkEnd w:id="92"/>
    </w:p>
    <w:p>
      <w:pPr>
        <w:autoSpaceDE w:val="0"/>
        <w:autoSpaceDN w:val="0"/>
        <w:adjustRightInd w:val="0"/>
        <w:snapToGrid w:val="0"/>
        <w:spacing w:line="360" w:lineRule="exact"/>
        <w:rPr>
          <w:rFonts w:ascii="宋体" w:hAnsi="宋体" w:cs="Calibri"/>
          <w:b/>
          <w:bCs/>
          <w:kern w:val="0"/>
          <w:sz w:val="22"/>
        </w:rPr>
      </w:pPr>
      <w:bookmarkStart w:id="93" w:name="_Toc219809805"/>
      <w:bookmarkStart w:id="94" w:name="_Toc220123245"/>
      <w:bookmarkStart w:id="95" w:name="_Toc5509"/>
      <w:r>
        <w:rPr>
          <w:rFonts w:ascii="宋体" w:hAnsi="宋体" w:cs="Calibri"/>
          <w:b/>
          <w:bCs/>
          <w:kern w:val="0"/>
          <w:sz w:val="22"/>
        </w:rPr>
        <w:t>9.1 对招标人的纪律要求</w:t>
      </w:r>
      <w:bookmarkEnd w:id="93"/>
      <w:bookmarkEnd w:id="94"/>
      <w:bookmarkEnd w:id="95"/>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6" w:name="_Toc219809806"/>
      <w:bookmarkStart w:id="97" w:name="_Toc220123246"/>
      <w:bookmarkStart w:id="98" w:name="_Toc10820"/>
      <w:r>
        <w:rPr>
          <w:rFonts w:ascii="宋体" w:hAnsi="宋体" w:cs="Calibri"/>
          <w:b/>
          <w:bCs/>
          <w:kern w:val="0"/>
          <w:sz w:val="22"/>
        </w:rPr>
        <w:t>9.2 对投标人的纪律要求</w:t>
      </w:r>
      <w:bookmarkEnd w:id="96"/>
      <w:bookmarkEnd w:id="97"/>
      <w:bookmarkEnd w:id="98"/>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hAnsi="宋体" w:cs="Calibri"/>
          <w:b/>
          <w:sz w:val="22"/>
        </w:rPr>
      </w:pPr>
      <w:r>
        <w:rPr>
          <w:rFonts w:hint="eastAsia" w:ascii="宋体" w:hAnsi="宋体" w:cs="Calibri"/>
          <w:b/>
          <w:sz w:val="22"/>
        </w:rPr>
        <w:t>若投标人存在串通投标或弄虚作假或有其他违法行为的，招标人有权没收投标人的投标保证金，</w:t>
      </w:r>
      <w:r>
        <w:rPr>
          <w:rFonts w:ascii="宋体" w:hAnsi="宋体" w:cs="Calibri"/>
          <w:b/>
          <w:sz w:val="22"/>
        </w:rPr>
        <w:t>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99" w:name="_Toc219809807"/>
      <w:bookmarkStart w:id="100" w:name="_Toc220123247"/>
      <w:bookmarkStart w:id="101" w:name="_Toc10756"/>
      <w:r>
        <w:rPr>
          <w:rFonts w:ascii="宋体" w:hAnsi="宋体" w:cs="Calibri"/>
          <w:b/>
          <w:bCs/>
          <w:kern w:val="0"/>
          <w:sz w:val="22"/>
        </w:rPr>
        <w:t>9.3 对评标委员会成员的纪律要求</w:t>
      </w:r>
      <w:bookmarkEnd w:id="99"/>
      <w:bookmarkEnd w:id="100"/>
      <w:bookmarkEnd w:id="101"/>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2" w:name="_Toc219809808"/>
      <w:bookmarkStart w:id="103" w:name="_Toc220123248"/>
      <w:bookmarkStart w:id="104" w:name="_Toc12792"/>
      <w:r>
        <w:rPr>
          <w:rFonts w:ascii="宋体" w:hAnsi="宋体" w:cs="Calibri"/>
          <w:b/>
          <w:bCs/>
          <w:kern w:val="0"/>
          <w:sz w:val="22"/>
        </w:rPr>
        <w:t>9.4 对评标活动有关的工作人员的纪律要求</w:t>
      </w:r>
      <w:bookmarkEnd w:id="102"/>
      <w:bookmarkEnd w:id="103"/>
      <w:bookmarkEnd w:id="104"/>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5" w:name="_Toc219809809"/>
      <w:bookmarkStart w:id="106" w:name="_Toc220123249"/>
      <w:bookmarkStart w:id="107" w:name="_Toc239"/>
      <w:r>
        <w:rPr>
          <w:rFonts w:ascii="宋体" w:hAnsi="宋体" w:cs="Calibri"/>
          <w:b/>
          <w:bCs/>
          <w:kern w:val="0"/>
          <w:sz w:val="22"/>
        </w:rPr>
        <w:t>9.5 投诉</w:t>
      </w:r>
      <w:bookmarkEnd w:id="105"/>
      <w:bookmarkEnd w:id="106"/>
      <w:bookmarkEnd w:id="107"/>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8" w:name="_Toc10817"/>
      <w:r>
        <w:rPr>
          <w:rFonts w:ascii="宋体" w:hAnsi="宋体" w:cs="Calibri"/>
          <w:b/>
          <w:bCs/>
          <w:kern w:val="0"/>
          <w:sz w:val="22"/>
        </w:rPr>
        <w:t>10. 需要补充的其他内容</w:t>
      </w:r>
      <w:bookmarkEnd w:id="108"/>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9" w:name="_Toc213036227"/>
      <w:bookmarkStart w:id="110" w:name="_Toc223327527"/>
    </w:p>
    <w:p>
      <w:pPr>
        <w:pStyle w:val="2"/>
        <w:spacing w:before="0" w:after="0" w:line="360" w:lineRule="auto"/>
        <w:jc w:val="center"/>
        <w:rPr>
          <w:rFonts w:ascii="Calibri" w:hAnsi="Calibri" w:eastAsia="黑体" w:cs="Calibri"/>
          <w:kern w:val="0"/>
          <w:sz w:val="32"/>
        </w:rPr>
      </w:pPr>
      <w:bookmarkStart w:id="111" w:name="_Toc47845329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9"/>
      <w:bookmarkEnd w:id="110"/>
      <w:bookmarkEnd w:id="111"/>
      <w:r>
        <w:rPr>
          <w:rFonts w:ascii="Calibri" w:hAnsi="Calibri" w:eastAsia="黑体" w:cs="Calibri"/>
          <w:kern w:val="0"/>
          <w:sz w:val="32"/>
        </w:rPr>
        <w:t>货物需求一览表及技术规格</w:t>
      </w:r>
    </w:p>
    <w:p>
      <w:pPr>
        <w:pStyle w:val="66"/>
        <w:spacing w:line="240" w:lineRule="auto"/>
        <w:ind w:firstLine="422"/>
        <w:rPr>
          <w:rFonts w:ascii="宋体" w:eastAsia="宋体"/>
          <w:sz w:val="21"/>
          <w:szCs w:val="21"/>
        </w:rPr>
      </w:pPr>
      <w:r>
        <w:rPr>
          <w:rFonts w:hint="eastAsia" w:ascii="宋体" w:eastAsia="宋体"/>
          <w:sz w:val="21"/>
          <w:szCs w:val="21"/>
        </w:rPr>
        <w:t>一、项目</w:t>
      </w:r>
      <w:r>
        <w:rPr>
          <w:rFonts w:ascii="宋体" w:eastAsia="宋体"/>
          <w:sz w:val="21"/>
          <w:szCs w:val="21"/>
        </w:rPr>
        <w:t>概况</w:t>
      </w:r>
    </w:p>
    <w:p>
      <w:pPr>
        <w:pStyle w:val="66"/>
        <w:spacing w:line="240" w:lineRule="auto"/>
        <w:ind w:firstLine="420"/>
        <w:rPr>
          <w:rFonts w:ascii="宋体" w:eastAsia="宋体"/>
          <w:b w:val="0"/>
          <w:snapToGrid w:val="0"/>
          <w:sz w:val="21"/>
          <w:szCs w:val="21"/>
        </w:rPr>
      </w:pPr>
      <w:r>
        <w:rPr>
          <w:rFonts w:hint="eastAsia" w:ascii="宋体" w:eastAsia="宋体"/>
          <w:b w:val="0"/>
          <w:snapToGrid w:val="0"/>
          <w:sz w:val="21"/>
          <w:szCs w:val="21"/>
        </w:rPr>
        <w:t>本次招标主要是为了在杭州萧山国际机场T3航站楼内建设完成单通道自助登机门系统10套，安装地点在B14、B</w:t>
      </w:r>
      <w:r>
        <w:rPr>
          <w:rFonts w:ascii="宋体" w:eastAsia="宋体"/>
          <w:b w:val="0"/>
          <w:snapToGrid w:val="0"/>
          <w:sz w:val="21"/>
          <w:szCs w:val="21"/>
        </w:rPr>
        <w:t>22</w:t>
      </w:r>
      <w:r>
        <w:rPr>
          <w:rFonts w:hint="eastAsia" w:ascii="宋体" w:eastAsia="宋体"/>
          <w:b w:val="0"/>
          <w:snapToGrid w:val="0"/>
          <w:sz w:val="21"/>
          <w:szCs w:val="21"/>
        </w:rPr>
        <w:t>、B26、B</w:t>
      </w:r>
      <w:r>
        <w:rPr>
          <w:rFonts w:ascii="宋体" w:eastAsia="宋体"/>
          <w:b w:val="0"/>
          <w:snapToGrid w:val="0"/>
          <w:sz w:val="21"/>
          <w:szCs w:val="21"/>
        </w:rPr>
        <w:t>36</w:t>
      </w:r>
      <w:r>
        <w:rPr>
          <w:rFonts w:hint="eastAsia" w:ascii="宋体" w:eastAsia="宋体"/>
          <w:b w:val="0"/>
          <w:snapToGrid w:val="0"/>
          <w:sz w:val="21"/>
          <w:szCs w:val="21"/>
        </w:rPr>
        <w:t>和B</w:t>
      </w:r>
      <w:r>
        <w:rPr>
          <w:rFonts w:ascii="宋体" w:eastAsia="宋体"/>
          <w:b w:val="0"/>
          <w:snapToGrid w:val="0"/>
          <w:sz w:val="21"/>
          <w:szCs w:val="21"/>
        </w:rPr>
        <w:t>42</w:t>
      </w:r>
      <w:r>
        <w:rPr>
          <w:rFonts w:hint="eastAsia" w:ascii="宋体" w:eastAsia="宋体"/>
          <w:b w:val="0"/>
          <w:snapToGrid w:val="0"/>
          <w:sz w:val="21"/>
          <w:szCs w:val="21"/>
        </w:rPr>
        <w:t>登机口（机场隔离区内）。每个登机口安装2套。本项目实施需保证不停航施工。</w:t>
      </w:r>
    </w:p>
    <w:p>
      <w:pPr>
        <w:pStyle w:val="66"/>
        <w:spacing w:line="240" w:lineRule="auto"/>
        <w:ind w:firstLine="420"/>
        <w:rPr>
          <w:rFonts w:ascii="宋体" w:eastAsia="宋体"/>
          <w:b w:val="0"/>
          <w:snapToGrid w:val="0"/>
          <w:sz w:val="21"/>
          <w:szCs w:val="21"/>
        </w:rPr>
      </w:pPr>
      <w:r>
        <w:rPr>
          <w:rFonts w:hint="eastAsia" w:ascii="宋体" w:eastAsia="宋体"/>
          <w:b w:val="0"/>
          <w:snapToGrid w:val="0"/>
          <w:sz w:val="21"/>
          <w:szCs w:val="21"/>
        </w:rPr>
        <w:t>机场新增10套自助登机门系统可进一步提升机场的服务品质，丰富旅客的乘机体验，推进智慧机场建设，并在一定程度上提升地面服务的效率，缓解一线工作人员的压力。</w:t>
      </w:r>
    </w:p>
    <w:p>
      <w:pPr>
        <w:pStyle w:val="66"/>
        <w:spacing w:line="240" w:lineRule="auto"/>
        <w:ind w:firstLine="420"/>
        <w:rPr>
          <w:rFonts w:ascii="宋体" w:eastAsia="宋体"/>
          <w:b w:val="0"/>
          <w:snapToGrid w:val="0"/>
          <w:sz w:val="21"/>
          <w:szCs w:val="21"/>
        </w:rPr>
      </w:pPr>
    </w:p>
    <w:p>
      <w:pPr>
        <w:pStyle w:val="66"/>
        <w:spacing w:line="240" w:lineRule="auto"/>
        <w:ind w:firstLine="422"/>
        <w:rPr>
          <w:rFonts w:ascii="宋体" w:eastAsia="宋体"/>
          <w:b w:val="0"/>
          <w:sz w:val="21"/>
          <w:szCs w:val="21"/>
        </w:rPr>
      </w:pPr>
      <w:r>
        <w:rPr>
          <w:rFonts w:hint="eastAsia" w:ascii="宋体" w:eastAsia="宋体"/>
          <w:sz w:val="21"/>
          <w:szCs w:val="21"/>
        </w:rPr>
        <w:t>二、采购内容及货物需求一览表</w:t>
      </w:r>
    </w:p>
    <w:p>
      <w:pPr>
        <w:pStyle w:val="66"/>
        <w:spacing w:line="240" w:lineRule="auto"/>
        <w:ind w:firstLine="422"/>
        <w:rPr>
          <w:rFonts w:ascii="宋体" w:eastAsia="宋体"/>
          <w:sz w:val="21"/>
          <w:szCs w:val="21"/>
        </w:rPr>
      </w:pPr>
      <w:r>
        <w:rPr>
          <w:rFonts w:ascii="宋体" w:eastAsia="宋体"/>
          <w:sz w:val="21"/>
          <w:szCs w:val="21"/>
        </w:rPr>
        <w:t>2</w:t>
      </w:r>
      <w:r>
        <w:rPr>
          <w:rFonts w:hint="eastAsia" w:ascii="宋体" w:eastAsia="宋体"/>
          <w:sz w:val="21"/>
          <w:szCs w:val="21"/>
        </w:rPr>
        <w:t>.</w:t>
      </w:r>
      <w:r>
        <w:rPr>
          <w:rFonts w:ascii="宋体" w:eastAsia="宋体"/>
          <w:sz w:val="21"/>
          <w:szCs w:val="21"/>
        </w:rPr>
        <w:t>1</w:t>
      </w:r>
      <w:r>
        <w:rPr>
          <w:rFonts w:hint="eastAsia" w:ascii="宋体" w:eastAsia="宋体"/>
          <w:sz w:val="21"/>
          <w:szCs w:val="21"/>
        </w:rPr>
        <w:t>、自助登机门系统 ：</w:t>
      </w:r>
    </w:p>
    <w:p>
      <w:pPr>
        <w:pStyle w:val="67"/>
        <w:tabs>
          <w:tab w:val="left" w:pos="360"/>
        </w:tabs>
        <w:spacing w:line="240" w:lineRule="auto"/>
        <w:ind w:firstLine="409" w:firstLineChars="195"/>
        <w:jc w:val="left"/>
        <w:rPr>
          <w:rFonts w:ascii="宋体" w:hAnsi="宋体" w:eastAsia="宋体"/>
          <w:sz w:val="21"/>
          <w:szCs w:val="21"/>
        </w:rPr>
      </w:pPr>
      <w:r>
        <w:rPr>
          <w:rFonts w:hint="eastAsia" w:ascii="宋体" w:hAnsi="宋体" w:eastAsia="宋体"/>
          <w:sz w:val="21"/>
          <w:szCs w:val="21"/>
        </w:rPr>
        <w:t>2.1.1自助登机门系统软件硬件需求见表1，投标人应根据机场的实际需要完全实现自助登机门系统应具有的功能</w:t>
      </w:r>
      <w:r>
        <w:rPr>
          <w:rFonts w:hint="eastAsia" w:ascii="宋体" w:hAnsi="宋体" w:eastAsia="宋体"/>
          <w:b/>
          <w:sz w:val="21"/>
          <w:szCs w:val="21"/>
        </w:rPr>
        <w:t>，若招标人进行系统增加时，要求投标人供货的，投标人所报产品单价应保持不变。</w:t>
      </w:r>
      <w:r>
        <w:rPr>
          <w:rFonts w:hint="eastAsia" w:ascii="宋体" w:hAnsi="宋体" w:eastAsia="宋体"/>
          <w:sz w:val="21"/>
          <w:szCs w:val="21"/>
        </w:rPr>
        <w:t>投标人所提供产品符合本次招标要求及国家相关产品，满足售后服务技术支持，具备知识产权保障的最新质量标准的产品。</w:t>
      </w:r>
    </w:p>
    <w:p>
      <w:pPr>
        <w:pStyle w:val="67"/>
        <w:tabs>
          <w:tab w:val="left" w:pos="360"/>
        </w:tabs>
        <w:spacing w:line="240" w:lineRule="auto"/>
        <w:ind w:firstLine="409" w:firstLineChars="195"/>
        <w:jc w:val="left"/>
        <w:rPr>
          <w:rFonts w:ascii="宋体" w:hAnsi="宋体" w:eastAsia="宋体"/>
          <w:sz w:val="21"/>
          <w:szCs w:val="21"/>
        </w:rPr>
      </w:pPr>
    </w:p>
    <w:p>
      <w:pPr>
        <w:pStyle w:val="67"/>
        <w:tabs>
          <w:tab w:val="left" w:pos="360"/>
        </w:tabs>
        <w:spacing w:line="240" w:lineRule="auto"/>
        <w:ind w:firstLine="409" w:firstLineChars="195"/>
        <w:jc w:val="left"/>
        <w:rPr>
          <w:rFonts w:ascii="宋体" w:hAnsi="宋体" w:eastAsia="宋体"/>
          <w:sz w:val="21"/>
          <w:szCs w:val="21"/>
        </w:rPr>
      </w:pPr>
      <w:r>
        <w:rPr>
          <w:rFonts w:hint="eastAsia" w:ascii="宋体" w:hAnsi="宋体" w:eastAsia="宋体"/>
          <w:sz w:val="21"/>
          <w:szCs w:val="21"/>
        </w:rPr>
        <w:t>表</w:t>
      </w:r>
      <w:r>
        <w:rPr>
          <w:rFonts w:ascii="宋体" w:hAnsi="宋体" w:eastAsia="宋体"/>
          <w:sz w:val="21"/>
          <w:szCs w:val="21"/>
        </w:rPr>
        <w:t>1</w:t>
      </w:r>
      <w:r>
        <w:rPr>
          <w:rFonts w:hint="eastAsia" w:ascii="宋体" w:hAnsi="宋体" w:eastAsia="宋体"/>
          <w:sz w:val="21"/>
          <w:szCs w:val="21"/>
        </w:rPr>
        <w:t>：自助登机门系统软件硬件产品</w:t>
      </w:r>
      <w:r>
        <w:rPr>
          <w:rFonts w:ascii="宋体" w:hAnsi="宋体" w:eastAsia="宋体"/>
          <w:sz w:val="21"/>
          <w:szCs w:val="21"/>
        </w:rPr>
        <w:t>清单</w:t>
      </w:r>
    </w:p>
    <w:tbl>
      <w:tblPr>
        <w:tblStyle w:val="53"/>
        <w:tblW w:w="932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3119"/>
        <w:gridCol w:w="1134"/>
        <w:gridCol w:w="708"/>
        <w:gridCol w:w="3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Cs w:val="21"/>
                <w:u w:val="none" w:color="000000"/>
                <w:lang w:val="zh-TW"/>
              </w:rPr>
            </w:pPr>
            <w:r>
              <w:rPr>
                <w:rFonts w:hint="eastAsia" w:ascii="宋体" w:hAnsi="宋体" w:cs="宋体"/>
                <w:b/>
                <w:kern w:val="0"/>
                <w:szCs w:val="21"/>
                <w:u w:val="none" w:color="000000"/>
                <w:lang w:val="zh-TW"/>
              </w:rPr>
              <w:t>序号</w:t>
            </w:r>
          </w:p>
        </w:tc>
        <w:tc>
          <w:tcPr>
            <w:tcW w:w="3119"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eastAsia="zh-TW"/>
              </w:rPr>
              <w:t>名</w:t>
            </w:r>
            <w:r>
              <w:rPr>
                <w:rFonts w:hint="eastAsia" w:ascii="宋体" w:hAnsi="宋体" w:cs="宋体"/>
                <w:b/>
                <w:kern w:val="0"/>
                <w:szCs w:val="21"/>
                <w:u w:val="none" w:color="000000"/>
                <w:lang w:val="zh-TW"/>
              </w:rPr>
              <w:t xml:space="preserve">   </w:t>
            </w:r>
            <w:r>
              <w:rPr>
                <w:rFonts w:hint="eastAsia" w:ascii="宋体" w:hAnsi="宋体" w:cs="宋体"/>
                <w:b/>
                <w:kern w:val="0"/>
                <w:szCs w:val="21"/>
                <w:u w:val="none" w:color="000000"/>
                <w:lang w:val="zh-TW" w:eastAsia="zh-TW"/>
              </w:rPr>
              <w:t>称</w:t>
            </w:r>
          </w:p>
        </w:tc>
        <w:tc>
          <w:tcPr>
            <w:tcW w:w="113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b/>
                <w:szCs w:val="21"/>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rPr>
              <w:t>数量</w:t>
            </w:r>
          </w:p>
        </w:tc>
        <w:tc>
          <w:tcPr>
            <w:tcW w:w="3686"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Cs w:val="21"/>
                <w:u w:val="none" w:color="000000"/>
                <w:lang w:val="zh-TW"/>
              </w:rPr>
            </w:pPr>
            <w:r>
              <w:rPr>
                <w:rFonts w:hint="eastAsia" w:ascii="宋体" w:hAnsi="宋体" w:cs="宋体"/>
                <w:bCs/>
                <w:kern w:val="0"/>
                <w:szCs w:val="21"/>
                <w:u w:val="none" w:color="000000"/>
                <w:lang w:val="zh-TW"/>
              </w:rPr>
              <w:t>1</w:t>
            </w:r>
          </w:p>
        </w:tc>
        <w:tc>
          <w:tcPr>
            <w:tcW w:w="311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前后双道门单通道</w:t>
            </w:r>
          </w:p>
          <w:p>
            <w:pPr>
              <w:widowControl/>
              <w:jc w:val="center"/>
              <w:rPr>
                <w:rFonts w:ascii="宋体" w:hAnsi="宋体"/>
                <w:szCs w:val="21"/>
              </w:rPr>
            </w:pPr>
            <w:r>
              <w:rPr>
                <w:rFonts w:hint="eastAsia" w:ascii="宋体" w:hAnsi="宋体" w:cs="宋体"/>
                <w:kern w:val="0"/>
                <w:szCs w:val="21"/>
                <w:u w:val="none" w:color="000000"/>
                <w:lang w:val="zh-TW"/>
              </w:rPr>
              <w:t>自助登机门硬件及应用软件</w:t>
            </w:r>
            <w:r>
              <w:rPr>
                <w:rFonts w:hint="eastAsia" w:ascii="宋体" w:hAnsi="宋体" w:cs="宋体"/>
                <w:kern w:val="0"/>
                <w:szCs w:val="21"/>
                <w:u w:val="none" w:color="000000"/>
              </w:rPr>
              <w:t xml:space="preserve">  </w:t>
            </w:r>
            <w:r>
              <w:rPr>
                <w:rFonts w:hint="eastAsia" w:ascii="宋体" w:hAnsi="宋体" w:cs="宋体"/>
                <w:kern w:val="0"/>
                <w:szCs w:val="21"/>
                <w:u w:val="none" w:color="000000"/>
                <w:lang w:val="zh-TW"/>
              </w:rPr>
              <w:t>（</w:t>
            </w:r>
            <w:r>
              <w:rPr>
                <w:rFonts w:hint="eastAsia" w:ascii="宋体" w:hAnsi="宋体" w:cs="宋体"/>
                <w:kern w:val="0"/>
                <w:szCs w:val="21"/>
                <w:u w:val="none" w:color="000000"/>
              </w:rPr>
              <w:t>含人脸识别</w:t>
            </w:r>
            <w:r>
              <w:rPr>
                <w:rFonts w:hint="eastAsia" w:ascii="宋体" w:hAnsi="宋体" w:cs="宋体"/>
                <w:kern w:val="0"/>
                <w:szCs w:val="21"/>
                <w:u w:val="none" w:color="000000"/>
                <w:lang w:val="zh-TW"/>
              </w:rPr>
              <w:t>）</w:t>
            </w:r>
          </w:p>
        </w:tc>
        <w:tc>
          <w:tcPr>
            <w:tcW w:w="1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eastAsia="PMingLiU"/>
                <w:szCs w:val="21"/>
                <w:lang w:eastAsia="zh-TW"/>
              </w:rPr>
            </w:pPr>
            <w:r>
              <w:rPr>
                <w:rFonts w:hint="eastAsia" w:cs="宋体"/>
                <w:kern w:val="0"/>
                <w:szCs w:val="21"/>
                <w:u w:val="none" w:color="000000"/>
                <w:lang w:val="zh-TW" w:eastAsia="zh-TW"/>
              </w:rPr>
              <w:t>10</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Cs w:val="21"/>
              </w:rPr>
            </w:pPr>
            <w:r>
              <w:rPr>
                <w:rFonts w:hint="eastAsia" w:ascii="宋体" w:hAnsi="宋体"/>
                <w:szCs w:val="21"/>
              </w:rPr>
              <w:t>满足2.2项详细功能要求内的自助登机通行需求，提供人脸识别比对算法、授权及所需硬件。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2</w:t>
            </w:r>
          </w:p>
        </w:tc>
        <w:tc>
          <w:tcPr>
            <w:tcW w:w="311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离港工作站、自助登机门离港应用软件及软件授权</w:t>
            </w:r>
          </w:p>
        </w:tc>
        <w:tc>
          <w:tcPr>
            <w:tcW w:w="1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5</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Cs w:val="21"/>
              </w:rPr>
            </w:pPr>
            <w:r>
              <w:rPr>
                <w:rFonts w:hint="eastAsia" w:ascii="宋体" w:hAnsi="宋体"/>
                <w:szCs w:val="21"/>
              </w:rPr>
              <w:t>包含离港电脑、自助登机门离港应用软件、I</w:t>
            </w:r>
            <w:r>
              <w:rPr>
                <w:rFonts w:ascii="宋体" w:hAnsi="宋体"/>
                <w:szCs w:val="21"/>
              </w:rPr>
              <w:t>P</w:t>
            </w:r>
            <w:r>
              <w:rPr>
                <w:rFonts w:hint="eastAsia" w:ascii="宋体" w:hAnsi="宋体"/>
                <w:szCs w:val="21"/>
              </w:rPr>
              <w:t>配置等，以及5年中航信离港应用软件授权。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3</w:t>
            </w:r>
          </w:p>
        </w:tc>
        <w:tc>
          <w:tcPr>
            <w:tcW w:w="311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与本场安检信息系统接口</w:t>
            </w:r>
          </w:p>
        </w:tc>
        <w:tc>
          <w:tcPr>
            <w:tcW w:w="1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napToGrid w:val="0"/>
                <w:kern w:val="0"/>
                <w:szCs w:val="21"/>
              </w:rPr>
            </w:pPr>
            <w:r>
              <w:rPr>
                <w:rFonts w:hint="eastAsia" w:ascii="宋体" w:hAnsi="宋体"/>
                <w:snapToGrid w:val="0"/>
                <w:kern w:val="0"/>
                <w:szCs w:val="21"/>
              </w:rPr>
              <w:t>包含本系统和安检信息系统双方接口软件，须负责协调本场安检信息系统厂家配合实施。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4</w:t>
            </w:r>
          </w:p>
        </w:tc>
        <w:tc>
          <w:tcPr>
            <w:tcW w:w="311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自助登机</w:t>
            </w:r>
            <w:r>
              <w:rPr>
                <w:rFonts w:ascii="宋体" w:hAnsi="宋体" w:cs="宋体"/>
                <w:kern w:val="0"/>
                <w:szCs w:val="21"/>
                <w:u w:val="none" w:color="000000"/>
                <w:lang w:val="zh-TW"/>
              </w:rPr>
              <w:t>门</w:t>
            </w:r>
            <w:r>
              <w:rPr>
                <w:rFonts w:hint="eastAsia" w:ascii="宋体" w:hAnsi="宋体" w:cs="宋体"/>
                <w:kern w:val="0"/>
                <w:szCs w:val="21"/>
                <w:u w:val="none" w:color="000000"/>
                <w:lang w:val="zh-TW"/>
              </w:rPr>
              <w:t>与廊</w:t>
            </w:r>
            <w:r>
              <w:rPr>
                <w:rFonts w:ascii="宋体" w:hAnsi="宋体" w:cs="宋体"/>
                <w:kern w:val="0"/>
                <w:szCs w:val="21"/>
                <w:u w:val="none" w:color="000000"/>
                <w:lang w:val="zh-TW"/>
              </w:rPr>
              <w:t>桥玻璃隔断</w:t>
            </w:r>
          </w:p>
        </w:tc>
        <w:tc>
          <w:tcPr>
            <w:tcW w:w="1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eastAsia="PMingLiU"/>
                <w:szCs w:val="21"/>
                <w:lang w:eastAsia="zh-TW"/>
              </w:rPr>
            </w:pPr>
            <w:r>
              <w:rPr>
                <w:rFonts w:hint="eastAsia" w:cs="宋体"/>
                <w:kern w:val="0"/>
                <w:szCs w:val="21"/>
                <w:u w:val="none" w:color="000000"/>
                <w:lang w:val="zh-TW" w:eastAsia="zh-TW"/>
              </w:rPr>
              <w:t>5</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Cs w:val="21"/>
              </w:rPr>
            </w:pPr>
            <w:r>
              <w:rPr>
                <w:rFonts w:hint="eastAsia" w:ascii="宋体" w:hAnsi="宋体"/>
                <w:szCs w:val="21"/>
              </w:rPr>
              <w:t>登机口区域增加玻璃隔断</w:t>
            </w:r>
            <w:r>
              <w:rPr>
                <w:rFonts w:hint="eastAsia" w:ascii="宋体" w:hAnsi="宋体" w:cs="宋体"/>
                <w:kern w:val="0"/>
                <w:szCs w:val="21"/>
                <w:u w:val="none" w:color="00000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5</w:t>
            </w:r>
          </w:p>
        </w:tc>
        <w:tc>
          <w:tcPr>
            <w:tcW w:w="311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网络实施费</w:t>
            </w:r>
          </w:p>
        </w:tc>
        <w:tc>
          <w:tcPr>
            <w:tcW w:w="1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批</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cs="宋体"/>
                <w:kern w:val="0"/>
                <w:szCs w:val="21"/>
                <w:u w:val="none" w:color="000000"/>
                <w:lang w:val="zh-TW" w:eastAsia="zh-TW"/>
              </w:rPr>
            </w:pPr>
            <w:r>
              <w:rPr>
                <w:rFonts w:hint="eastAsia" w:cs="宋体"/>
                <w:kern w:val="0"/>
                <w:szCs w:val="21"/>
                <w:u w:val="none" w:color="000000"/>
                <w:lang w:val="zh-TW" w:eastAsia="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Cs w:val="21"/>
                <w:u w:val="none" w:color="000000"/>
              </w:rPr>
            </w:pPr>
            <w:r>
              <w:rPr>
                <w:rFonts w:hint="eastAsia" w:ascii="宋体" w:hAnsi="宋体" w:cs="宋体"/>
                <w:kern w:val="0"/>
                <w:szCs w:val="21"/>
                <w:u w:val="none" w:color="000000"/>
              </w:rPr>
              <w:t>包括网络布线、信息点及网络交换机。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6</w:t>
            </w:r>
          </w:p>
        </w:tc>
        <w:tc>
          <w:tcPr>
            <w:tcW w:w="311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项目实施、培训及维保等费用</w:t>
            </w:r>
          </w:p>
        </w:tc>
        <w:tc>
          <w:tcPr>
            <w:tcW w:w="113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批</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Cs w:val="21"/>
              </w:rPr>
            </w:pPr>
            <w:r>
              <w:rPr>
                <w:rFonts w:hint="eastAsia" w:ascii="宋体" w:hAnsi="宋体" w:cs="宋体"/>
                <w:kern w:val="0"/>
                <w:szCs w:val="21"/>
                <w:u w:val="none" w:color="000000"/>
              </w:rPr>
              <w:t>包括货物运送安装、现场实施费用、离港电脑机柜及维保费用（5年软硬件免费维保）。</w:t>
            </w:r>
          </w:p>
        </w:tc>
      </w:tr>
    </w:tbl>
    <w:p>
      <w:pPr>
        <w:pStyle w:val="67"/>
        <w:tabs>
          <w:tab w:val="left" w:pos="360"/>
        </w:tabs>
        <w:spacing w:line="240" w:lineRule="auto"/>
        <w:ind w:firstLine="0" w:firstLineChars="0"/>
        <w:rPr>
          <w:rFonts w:ascii="宋体" w:hAnsi="宋体" w:eastAsia="宋体"/>
          <w:b/>
          <w:sz w:val="21"/>
          <w:szCs w:val="21"/>
        </w:rPr>
      </w:pPr>
    </w:p>
    <w:p>
      <w:pPr>
        <w:pStyle w:val="67"/>
        <w:tabs>
          <w:tab w:val="left" w:pos="360"/>
        </w:tabs>
        <w:spacing w:line="240" w:lineRule="auto"/>
        <w:ind w:firstLine="409" w:firstLineChars="195"/>
        <w:jc w:val="left"/>
        <w:rPr>
          <w:rFonts w:hint="eastAsia" w:ascii="宋体" w:hAnsi="宋体" w:eastAsia="宋体"/>
          <w:sz w:val="21"/>
          <w:szCs w:val="21"/>
        </w:rPr>
      </w:pPr>
      <w:r>
        <w:rPr>
          <w:rFonts w:hint="eastAsia" w:ascii="宋体" w:hAnsi="宋体" w:eastAsia="宋体"/>
          <w:sz w:val="21"/>
          <w:szCs w:val="21"/>
        </w:rPr>
        <w:t>2.1.2若包含服务器或者交换机（含光模块）等其他闸机以外的硬件，须单独列出价格。</w:t>
      </w:r>
    </w:p>
    <w:p>
      <w:pPr>
        <w:pStyle w:val="67"/>
        <w:tabs>
          <w:tab w:val="left" w:pos="360"/>
        </w:tabs>
        <w:spacing w:line="240" w:lineRule="auto"/>
        <w:ind w:firstLine="411" w:firstLineChars="195"/>
        <w:rPr>
          <w:rFonts w:ascii="宋体" w:hAnsi="宋体" w:eastAsia="宋体"/>
          <w:b/>
          <w:sz w:val="21"/>
          <w:szCs w:val="21"/>
        </w:rPr>
      </w:pPr>
    </w:p>
    <w:p>
      <w:pPr>
        <w:pStyle w:val="67"/>
        <w:tabs>
          <w:tab w:val="left" w:pos="360"/>
        </w:tabs>
        <w:spacing w:line="240" w:lineRule="auto"/>
        <w:ind w:firstLine="411" w:firstLineChars="195"/>
        <w:rPr>
          <w:rFonts w:ascii="宋体" w:hAnsi="宋体" w:eastAsia="宋体"/>
          <w:b/>
          <w:sz w:val="21"/>
          <w:szCs w:val="21"/>
        </w:rPr>
      </w:pPr>
      <w:r>
        <w:rPr>
          <w:rFonts w:ascii="宋体" w:hAnsi="宋体" w:eastAsia="宋体"/>
          <w:b/>
          <w:sz w:val="21"/>
          <w:szCs w:val="21"/>
        </w:rPr>
        <w:t>2.2</w:t>
      </w:r>
      <w:r>
        <w:rPr>
          <w:rFonts w:hint="eastAsia" w:ascii="宋体" w:hAnsi="宋体" w:eastAsia="宋体"/>
          <w:b/>
          <w:sz w:val="21"/>
          <w:szCs w:val="21"/>
        </w:rPr>
        <w:t>、自助登机门系统详细功能要求：</w:t>
      </w:r>
    </w:p>
    <w:p>
      <w:pPr>
        <w:tabs>
          <w:tab w:val="left" w:pos="5985"/>
        </w:tabs>
        <w:snapToGrid w:val="0"/>
        <w:ind w:firstLine="420" w:firstLineChars="200"/>
        <w:rPr>
          <w:rFonts w:ascii="宋体" w:hAnsi="宋体"/>
          <w:snapToGrid w:val="0"/>
          <w:kern w:val="0"/>
          <w:szCs w:val="21"/>
        </w:rPr>
      </w:pPr>
      <w:r>
        <w:rPr>
          <w:rFonts w:ascii="宋体" w:hAnsi="宋体"/>
          <w:snapToGrid w:val="0"/>
          <w:kern w:val="0"/>
          <w:szCs w:val="21"/>
        </w:rPr>
        <w:t xml:space="preserve"> </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2.2.1、功能性要求</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2.2.1.1条码信息的读取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2.2.1.1.1旅客可通过在登机门上扫描条码通过登机门，条码扫描装置需支持一维码、二维码等常用登机牌条码，并可识别条码类型；</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2.2.1.1.2为提高条码读取速度，阅读区域应大于标准登机牌一维条码长度，保证扫描区域内各个角度均可实现条码读取；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2.2.1.1.3条码扫描识别时间：＜1S（即条码放上去即可被识别出来）；</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2.2.1.1.4条码扫描区域需有明显图片及文字提示；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2.2.1.1.5扫描装置需在外观上与整体设备融入一体；</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2.2.1.1.6支持连续扫描；</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2.2.1.2证件读取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2.2.1.2.1可支持读取二代身份证，旅客可扫描二代身份证进行自助登机；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2.2.1.2.2扫描区域有明显图片及文字提示；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2.2.1.2.3可支持读取港澳台居民居住证和外国人永久居留身份证；</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2.2.1.3打印登机凭证</w:t>
      </w:r>
    </w:p>
    <w:p>
      <w:pPr>
        <w:tabs>
          <w:tab w:val="left" w:pos="5985"/>
        </w:tabs>
        <w:snapToGrid w:val="0"/>
        <w:ind w:firstLine="420" w:firstLineChars="200"/>
        <w:rPr>
          <w:rFonts w:ascii="宋体" w:hAnsi="宋体" w:cs="宋体"/>
          <w:bCs/>
          <w:szCs w:val="21"/>
        </w:rPr>
      </w:pPr>
      <w:r>
        <w:rPr>
          <w:rFonts w:hint="eastAsia" w:ascii="宋体" w:hAnsi="宋体" w:cs="宋体"/>
          <w:bCs/>
          <w:szCs w:val="21"/>
        </w:rPr>
        <w:t>2.2.1.3.1要求配备微型热敏打印机，为旅客打印纸质登机凭证；</w:t>
      </w:r>
    </w:p>
    <w:p>
      <w:pPr>
        <w:tabs>
          <w:tab w:val="left" w:pos="5985"/>
        </w:tabs>
        <w:snapToGrid w:val="0"/>
        <w:ind w:firstLine="420" w:firstLineChars="200"/>
        <w:rPr>
          <w:rFonts w:ascii="宋体" w:hAnsi="宋体" w:cs="宋体"/>
          <w:bCs/>
          <w:szCs w:val="21"/>
        </w:rPr>
      </w:pPr>
      <w:r>
        <w:rPr>
          <w:rFonts w:hint="eastAsia" w:ascii="宋体" w:hAnsi="宋体" w:cs="宋体"/>
          <w:bCs/>
          <w:szCs w:val="21"/>
        </w:rPr>
        <w:t>2.2.1.3.2微型打印机可根据需求开启或关闭部分条码类型的打印功能；</w:t>
      </w:r>
    </w:p>
    <w:p>
      <w:pPr>
        <w:tabs>
          <w:tab w:val="left" w:pos="5985"/>
        </w:tabs>
        <w:snapToGrid w:val="0"/>
        <w:ind w:firstLine="420" w:firstLineChars="200"/>
        <w:rPr>
          <w:rFonts w:ascii="宋体" w:hAnsi="宋体" w:cs="宋体"/>
          <w:bCs/>
          <w:szCs w:val="21"/>
        </w:rPr>
      </w:pPr>
      <w:r>
        <w:rPr>
          <w:rFonts w:hint="eastAsia" w:ascii="宋体" w:hAnsi="宋体" w:cs="宋体"/>
          <w:bCs/>
          <w:szCs w:val="21"/>
        </w:rPr>
        <w:t>2.2.1.3.3微型打印机可根据客户需求自动汇总打印航班登机信息；</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2.2.1.4设备功能及状态显示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2.2.1.4.1需配备显示屏，可同时显示人脸对比框和旅客登机相关提示信息，并可根据现场实际情况调整显示屏的角度位置；</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2.2.1.4.2可以给通关旅客提供指引，设备工作（可用）/休眠（不可用）状态提示；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2.2.1.4.3根据2.2.1.3项的要求，可打印纸质登机凭证，并允许自定义打印模板；</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2.2.1.4.4双道门之间空间可保证携带行李箱旅客正常进入刷牌；</w:t>
      </w:r>
      <w:r>
        <w:rPr>
          <w:rFonts w:ascii="宋体" w:hAnsi="宋体" w:cs="宋体"/>
          <w:bCs/>
          <w:szCs w:val="21"/>
        </w:rPr>
        <w:t xml:space="preserve"> </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2.2.1.4.5</w:t>
      </w:r>
      <w:r>
        <w:rPr>
          <w:rFonts w:hint="eastAsia" w:ascii="宋体" w:hAnsi="宋体"/>
          <w:szCs w:val="21"/>
        </w:rPr>
        <w:t>具备语音提示组件，每个操作步骤可通过语音方式提醒</w:t>
      </w:r>
      <w:r>
        <w:rPr>
          <w:rFonts w:ascii="宋体" w:hAnsi="宋体" w:cs="宋体"/>
          <w:bCs/>
          <w:szCs w:val="21"/>
        </w:rPr>
        <w:t>；</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2.2.1.4.6可根据现场需求调整双道门的开关门逻辑，以满足现场自助登机流程需求；</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2.2.1.5具备人脸识别系统</w:t>
      </w:r>
    </w:p>
    <w:p>
      <w:pPr>
        <w:tabs>
          <w:tab w:val="left" w:pos="5985"/>
        </w:tabs>
        <w:snapToGrid w:val="0"/>
        <w:ind w:firstLine="420" w:firstLineChars="200"/>
        <w:rPr>
          <w:rFonts w:ascii="宋体" w:hAnsi="宋体"/>
          <w:snapToGrid w:val="0"/>
          <w:kern w:val="0"/>
          <w:szCs w:val="21"/>
        </w:rPr>
      </w:pPr>
      <w:r>
        <w:rPr>
          <w:rFonts w:hint="eastAsia" w:ascii="宋体" w:hAnsi="宋体" w:cs="宋体"/>
          <w:bCs/>
          <w:szCs w:val="21"/>
        </w:rPr>
        <w:t>2.2.1.5.1</w:t>
      </w:r>
      <w:r>
        <w:rPr>
          <w:rFonts w:hint="eastAsia" w:ascii="宋体" w:hAnsi="宋体"/>
          <w:snapToGrid w:val="0"/>
          <w:kern w:val="0"/>
          <w:szCs w:val="21"/>
        </w:rPr>
        <w:t>要求集成人脸识别系统，需要把人脸验证结果作为允许旅客通行的必要条件；</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2.2.1.5.2可在显示屏上给出人脸比对提示区域，并显示比对结果；</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2.2.1.5.3需与安检信息系统做接口，获取旅客过安检时的人脸照片；</w:t>
      </w:r>
      <w:r>
        <w:rPr>
          <w:rFonts w:ascii="宋体" w:hAnsi="宋体"/>
          <w:snapToGrid w:val="0"/>
          <w:kern w:val="0"/>
          <w:szCs w:val="21"/>
        </w:rPr>
        <w:t xml:space="preserve"> </w:t>
      </w:r>
    </w:p>
    <w:p>
      <w:pPr>
        <w:tabs>
          <w:tab w:val="left" w:pos="5985"/>
        </w:tabs>
        <w:snapToGrid w:val="0"/>
        <w:ind w:firstLine="420" w:firstLineChars="200"/>
        <w:rPr>
          <w:rFonts w:ascii="宋体" w:hAnsi="宋体" w:cs="宋体"/>
          <w:bCs/>
          <w:szCs w:val="21"/>
        </w:rPr>
      </w:pPr>
      <w:r>
        <w:rPr>
          <w:rFonts w:hint="eastAsia" w:ascii="宋体" w:hAnsi="宋体"/>
          <w:snapToGrid w:val="0"/>
          <w:kern w:val="0"/>
          <w:szCs w:val="21"/>
        </w:rPr>
        <w:t>2.2.1.5.4提供人脸比对算法及实现方案，</w:t>
      </w:r>
      <w:r>
        <w:rPr>
          <w:rFonts w:hint="eastAsia" w:ascii="宋体" w:hAnsi="宋体"/>
          <w:snapToGrid w:val="0"/>
          <w:color w:val="000000"/>
          <w:kern w:val="0"/>
          <w:szCs w:val="21"/>
        </w:rPr>
        <w:t>验证旅客现场照片与过安检照片是否一致</w:t>
      </w:r>
      <w:r>
        <w:rPr>
          <w:rFonts w:hint="eastAsia" w:ascii="宋体" w:hAnsi="宋体"/>
          <w:snapToGrid w:val="0"/>
          <w:kern w:val="0"/>
          <w:szCs w:val="21"/>
        </w:rPr>
        <w:t>；</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2.2.1.6安全防护</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2.2.1.6.1尾随检测：防止异常通行尾随。可监测多种尾随情况，尾随判断正确率达到95</w:t>
      </w:r>
      <w:r>
        <w:rPr>
          <w:rFonts w:ascii="宋体" w:hAnsi="宋体" w:cs="宋体"/>
          <w:bCs/>
          <w:szCs w:val="21"/>
        </w:rPr>
        <w:t>%</w:t>
      </w:r>
      <w:r>
        <w:rPr>
          <w:rFonts w:hint="eastAsia" w:ascii="宋体" w:hAnsi="宋体" w:cs="宋体"/>
          <w:bCs/>
          <w:szCs w:val="21"/>
        </w:rPr>
        <w:t xml:space="preserve">以上； </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2.2.1.6.2紧急疏散功能：断电状态下，门翼为非锁定状态，工作人员可调整门翼状态；</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2.2.1.6.3紧急疏散按钮：通道末端、通道前端外侧及登机口柜台内均需设置紧急疏散按钮；</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2.2.1.6.4禁止反向通行：具备反向预警功能；</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2.2.1.6.5防夹功能：具备防夹功能，请在标书中说明具体方案；</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2.2.1.6.6自助登机门与廊桥之间增加玻璃隔断，防止旅客绕过自助登机门直接进入廊桥区域，要求玻璃隔断整体外观与航站楼整体的建筑风格保持一致。</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2.2.1.7其他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2.2.1.7.1不间断电源：UPS及其他形式的后备电源设备应保证掉电情况发生时的旅客安全、生产数据保留及快速查阅；</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2.2.1.7.2需配备1米警戒区域，防止旅客无序拥挤，提高登机效率；</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2.2.1.7.3可根据需求增加各种提示性图片及文字信息；</w:t>
      </w:r>
    </w:p>
    <w:p>
      <w:pPr>
        <w:tabs>
          <w:tab w:val="left" w:pos="5985"/>
        </w:tabs>
        <w:snapToGrid w:val="0"/>
        <w:ind w:firstLine="420" w:firstLineChars="200"/>
        <w:rPr>
          <w:rFonts w:ascii="宋体" w:hAnsi="宋体" w:cs="宋体"/>
          <w:bCs/>
          <w:szCs w:val="21"/>
        </w:rPr>
      </w:pPr>
      <w:r>
        <w:rPr>
          <w:rFonts w:hint="eastAsia" w:ascii="宋体" w:hAnsi="宋体"/>
          <w:szCs w:val="21"/>
        </w:rPr>
        <w:t>2.2.1.7.4</w:t>
      </w:r>
      <w:r>
        <w:rPr>
          <w:rFonts w:hint="eastAsia" w:ascii="宋体" w:hAnsi="宋体" w:cs="宋体"/>
          <w:bCs/>
          <w:szCs w:val="21"/>
        </w:rPr>
        <w:t>通行效率：单通道单人通行时间不高于6s；</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2.2.1.7.5自助登机门所配备的离港工作站须支持使用二代身份证进行验证和记录；</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w:t>
      </w:r>
      <w:r>
        <w:rPr>
          <w:rFonts w:hint="eastAsia" w:ascii="宋体" w:hAnsi="宋体" w:cs="宋体"/>
          <w:bCs/>
          <w:szCs w:val="21"/>
          <w:lang w:val="en-US" w:eastAsia="zh-CN"/>
        </w:rPr>
        <w:t>6</w:t>
      </w:r>
      <w:r>
        <w:rPr>
          <w:rFonts w:hint="eastAsia" w:ascii="宋体" w:hAnsi="宋体" w:cs="宋体"/>
          <w:bCs/>
          <w:szCs w:val="21"/>
        </w:rPr>
        <w:t>后台须配备管理终端，用于监控所有硬件设备状态，实时统计自助登机旅客人数，并可根据旅客扫描凭证进行分类统计，包括二代身份证、一维码纸质登机牌、二维码电子登机牌等。</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2.2.2非功能性需求</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2.2.2.1自助登机门设备需具有“中航信”第</w:t>
      </w:r>
      <w:r>
        <w:rPr>
          <w:rFonts w:ascii="宋体" w:hAnsi="宋体" w:cs="宋体"/>
          <w:b/>
          <w:bCs/>
          <w:szCs w:val="21"/>
        </w:rPr>
        <w:t>三方入网认证</w:t>
      </w:r>
      <w:r>
        <w:rPr>
          <w:rFonts w:hint="eastAsia" w:ascii="宋体" w:hAnsi="宋体" w:cs="宋体"/>
          <w:b/>
          <w:bCs/>
          <w:szCs w:val="21"/>
        </w:rPr>
        <w:t>；</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2.2.2.2登机门外观应与机场风格相统一</w:t>
      </w:r>
      <w:r>
        <w:rPr>
          <w:rFonts w:hint="eastAsia" w:ascii="宋体" w:hAnsi="宋体" w:cs="宋体"/>
          <w:bCs/>
          <w:szCs w:val="21"/>
        </w:rPr>
        <w:t>：登机门外观风格应符合机场航站楼整体的建筑风格，登机门外观设计应尽量简约，登机门上应具备各类信息提示模块；</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2.2.2.3登机门不同功能区域间应分开</w:t>
      </w:r>
      <w:r>
        <w:rPr>
          <w:rFonts w:hint="eastAsia" w:ascii="宋体" w:hAnsi="宋体" w:cs="宋体"/>
          <w:bCs/>
          <w:szCs w:val="21"/>
        </w:rPr>
        <w:t>：登机门的不同功能区域，如信息采集区域（身份证阅读器，登机牌扫描等）、显示区域等在设计上应分开，方便工作人员和旅客进行操作和查看；</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2.2.2.4登机门设计选用的材质安全、可靠</w:t>
      </w:r>
      <w:r>
        <w:rPr>
          <w:rFonts w:hint="eastAsia" w:ascii="宋体" w:hAnsi="宋体" w:cs="宋体"/>
          <w:bCs/>
          <w:szCs w:val="21"/>
        </w:rPr>
        <w:t>：登机门设计时应使用安全可靠的材质，以防止在正常的业务流程中伤及旅客；</w:t>
      </w:r>
    </w:p>
    <w:p>
      <w:pPr>
        <w:tabs>
          <w:tab w:val="left" w:pos="5985"/>
        </w:tabs>
        <w:snapToGrid w:val="0"/>
        <w:ind w:firstLine="420" w:firstLineChars="200"/>
        <w:rPr>
          <w:rFonts w:hint="eastAsia" w:ascii="宋体" w:hAnsi="宋体" w:cs="宋体"/>
          <w:bCs/>
          <w:szCs w:val="21"/>
        </w:rPr>
      </w:pPr>
      <w:r>
        <w:rPr>
          <w:rFonts w:hint="eastAsia" w:ascii="宋体" w:hAnsi="宋体" w:cs="宋体"/>
          <w:b/>
          <w:bCs/>
          <w:szCs w:val="21"/>
        </w:rPr>
        <w:t>2.2.2.5网络实施方案：</w:t>
      </w:r>
      <w:r>
        <w:rPr>
          <w:rFonts w:hint="eastAsia" w:ascii="宋体" w:hAnsi="宋体" w:cs="宋体"/>
          <w:bCs/>
          <w:szCs w:val="21"/>
        </w:rPr>
        <w:t>需根据现场实际情况给出网络实施方案，包括网络布线、信息点及交换机数量；</w:t>
      </w:r>
    </w:p>
    <w:p>
      <w:pPr>
        <w:tabs>
          <w:tab w:val="left" w:pos="5985"/>
        </w:tabs>
        <w:snapToGrid w:val="0"/>
        <w:ind w:firstLine="420" w:firstLineChars="200"/>
        <w:rPr>
          <w:rFonts w:hint="eastAsia" w:ascii="宋体" w:hAnsi="宋体" w:cs="宋体"/>
          <w:bCs/>
          <w:szCs w:val="21"/>
        </w:rPr>
      </w:pPr>
      <w:r>
        <w:rPr>
          <w:rFonts w:hint="eastAsia" w:ascii="宋体" w:hAnsi="宋体" w:cs="宋体"/>
          <w:b/>
          <w:bCs w:val="0"/>
          <w:szCs w:val="21"/>
        </w:rPr>
        <w:t>2.2.3.1闸机工控机配置要求：</w:t>
      </w:r>
      <w:r>
        <w:rPr>
          <w:rFonts w:hint="eastAsia" w:ascii="宋体" w:hAnsi="宋体" w:cs="宋体"/>
          <w:bCs/>
          <w:szCs w:val="21"/>
        </w:rPr>
        <w:t>I5处理器或以上，8G或以上内存，500G或以上固态硬盘，windows7或以上正版操作系统；</w:t>
      </w:r>
    </w:p>
    <w:p>
      <w:pPr>
        <w:tabs>
          <w:tab w:val="left" w:pos="5985"/>
        </w:tabs>
        <w:snapToGrid w:val="0"/>
        <w:ind w:firstLine="420" w:firstLineChars="200"/>
        <w:rPr>
          <w:rFonts w:hint="eastAsia" w:ascii="宋体" w:hAnsi="宋体" w:cs="宋体"/>
          <w:bCs/>
          <w:szCs w:val="21"/>
        </w:rPr>
      </w:pPr>
      <w:r>
        <w:rPr>
          <w:rFonts w:hint="eastAsia" w:ascii="宋体" w:hAnsi="宋体" w:cs="宋体"/>
          <w:b/>
          <w:bCs w:val="0"/>
          <w:szCs w:val="21"/>
        </w:rPr>
        <w:t>2.2.3.2离港工作站配置要求：</w:t>
      </w:r>
      <w:r>
        <w:rPr>
          <w:rFonts w:hint="eastAsia" w:ascii="宋体" w:hAnsi="宋体" w:cs="宋体"/>
          <w:bCs/>
          <w:szCs w:val="21"/>
        </w:rPr>
        <w:t>I7处理器或以上，8G或以上内存，1T或以上硬盘空间，windows7或以上正版操作系统；</w:t>
      </w:r>
    </w:p>
    <w:p>
      <w:pPr>
        <w:tabs>
          <w:tab w:val="left" w:pos="5985"/>
        </w:tabs>
        <w:snapToGrid w:val="0"/>
        <w:ind w:firstLine="420" w:firstLineChars="200"/>
        <w:rPr>
          <w:rFonts w:hint="eastAsia" w:ascii="宋体" w:hAnsi="宋体" w:cs="宋体"/>
          <w:bCs/>
          <w:szCs w:val="21"/>
        </w:rPr>
      </w:pPr>
      <w:r>
        <w:rPr>
          <w:rFonts w:hint="eastAsia" w:ascii="宋体" w:hAnsi="宋体" w:cs="宋体"/>
          <w:b/>
          <w:bCs w:val="0"/>
          <w:szCs w:val="21"/>
        </w:rPr>
        <w:t>2.2.3.3网络交换机配置要求：</w:t>
      </w:r>
      <w:r>
        <w:rPr>
          <w:rFonts w:hint="eastAsia" w:ascii="宋体" w:hAnsi="宋体" w:cs="宋体"/>
          <w:bCs/>
          <w:szCs w:val="21"/>
        </w:rPr>
        <w:t>须采用知名品牌网络设备，并与本场现有离港网络交换机使用同一级别的产品，由经过H3CIE/CCIE（或同级别）的认证的网络技术专业人员进行安装配置实施，支持24个10/100/1000BASE-T电口,支持4个1000BASE-X SFP端口,支持AC，须满足24小时连续工作的要求</w:t>
      </w:r>
    </w:p>
    <w:p>
      <w:pPr>
        <w:tabs>
          <w:tab w:val="left" w:pos="5985"/>
        </w:tabs>
        <w:snapToGrid w:val="0"/>
        <w:ind w:firstLine="420" w:firstLineChars="200"/>
        <w:rPr>
          <w:rFonts w:hint="eastAsia" w:ascii="宋体" w:hAnsi="宋体" w:cs="宋体"/>
          <w:bCs/>
          <w:szCs w:val="21"/>
        </w:rPr>
      </w:pPr>
      <w:r>
        <w:rPr>
          <w:rFonts w:hint="eastAsia" w:ascii="宋体" w:hAnsi="宋体" w:cs="宋体"/>
          <w:b/>
          <w:bCs w:val="0"/>
          <w:szCs w:val="21"/>
        </w:rPr>
        <w:t>2.2.3.4光模块要求：</w:t>
      </w:r>
      <w:r>
        <w:rPr>
          <w:rFonts w:hint="eastAsia" w:ascii="宋体" w:hAnsi="宋体" w:cs="宋体"/>
          <w:bCs/>
          <w:szCs w:val="21"/>
        </w:rPr>
        <w:t>光模块-SFP-GE-单模模块-(1310nm,10km,LC)。</w:t>
      </w:r>
    </w:p>
    <w:p>
      <w:pPr>
        <w:pStyle w:val="66"/>
        <w:spacing w:line="240" w:lineRule="auto"/>
        <w:ind w:firstLine="422"/>
        <w:rPr>
          <w:rFonts w:ascii="宋体" w:eastAsia="宋体"/>
          <w:b w:val="0"/>
          <w:sz w:val="21"/>
          <w:szCs w:val="21"/>
        </w:rPr>
      </w:pPr>
      <w:r>
        <w:rPr>
          <w:rFonts w:hint="eastAsia" w:ascii="宋体" w:eastAsia="宋体"/>
          <w:sz w:val="21"/>
          <w:szCs w:val="21"/>
        </w:rPr>
        <w:t>三、培训、质保、维保</w:t>
      </w:r>
      <w:r>
        <w:rPr>
          <w:rFonts w:ascii="宋体" w:eastAsia="宋体"/>
          <w:sz w:val="21"/>
          <w:szCs w:val="21"/>
        </w:rPr>
        <w:t>服务：</w:t>
      </w:r>
    </w:p>
    <w:p>
      <w:pPr>
        <w:pStyle w:val="66"/>
        <w:spacing w:line="240" w:lineRule="auto"/>
        <w:ind w:firstLine="422"/>
        <w:rPr>
          <w:rFonts w:ascii="宋体" w:eastAsia="宋体"/>
          <w:sz w:val="21"/>
          <w:szCs w:val="21"/>
          <w:u w:val="single"/>
        </w:rPr>
      </w:pPr>
      <w:r>
        <w:rPr>
          <w:rFonts w:hint="eastAsia" w:ascii="宋体" w:eastAsia="宋体"/>
          <w:sz w:val="21"/>
          <w:szCs w:val="21"/>
          <w:u w:val="single"/>
        </w:rPr>
        <w:t>（1）</w:t>
      </w:r>
      <w:r>
        <w:rPr>
          <w:rFonts w:hint="eastAsia" w:ascii="宋体" w:eastAsia="宋体"/>
          <w:snapToGrid w:val="0"/>
          <w:sz w:val="21"/>
          <w:szCs w:val="21"/>
          <w:u w:val="single"/>
        </w:rPr>
        <w:t>提供原厂免费维保服务至少5</w:t>
      </w:r>
      <w:r>
        <w:rPr>
          <w:rFonts w:ascii="宋体" w:eastAsia="宋体"/>
          <w:snapToGrid w:val="0"/>
          <w:sz w:val="21"/>
          <w:szCs w:val="21"/>
          <w:u w:val="single"/>
        </w:rPr>
        <w:t>年</w:t>
      </w:r>
      <w:r>
        <w:rPr>
          <w:rFonts w:hint="eastAsia" w:ascii="宋体" w:eastAsia="宋体"/>
          <w:snapToGrid w:val="0"/>
          <w:sz w:val="21"/>
          <w:szCs w:val="21"/>
          <w:u w:val="single"/>
        </w:rPr>
        <w:t>。</w:t>
      </w:r>
    </w:p>
    <w:p>
      <w:pPr>
        <w:ind w:firstLine="420" w:firstLineChars="200"/>
        <w:textAlignment w:val="center"/>
        <w:rPr>
          <w:rFonts w:ascii="宋体" w:hAnsi="宋体" w:cs="Calibri"/>
          <w:szCs w:val="21"/>
        </w:rPr>
      </w:pPr>
      <w:r>
        <w:rPr>
          <w:rFonts w:hint="eastAsia" w:ascii="宋体" w:hAnsi="宋体" w:cs="Calibri"/>
          <w:szCs w:val="21"/>
        </w:rPr>
        <w:t>（2）投标人应确保自助登机门和项目实施过程中与其它厂家的密切配合，应用软件和各个其它系统厂家的接口和维护费用包含在本次投标报价之中。</w:t>
      </w:r>
    </w:p>
    <w:p>
      <w:pPr>
        <w:ind w:firstLine="420" w:firstLineChars="200"/>
        <w:textAlignment w:val="center"/>
        <w:rPr>
          <w:rFonts w:ascii="宋体" w:hAnsi="宋体" w:cs="Calibri"/>
          <w:szCs w:val="21"/>
        </w:rPr>
      </w:pPr>
      <w:r>
        <w:rPr>
          <w:rFonts w:hint="eastAsia" w:ascii="宋体" w:hAnsi="宋体" w:cs="Calibri"/>
          <w:szCs w:val="21"/>
        </w:rPr>
        <w:t>（3）投标人应提供对用户的维护操作、系统管理技术培训，培训包括现场培训，使用户能够掌握软件产品使用的基本要求，做好知识移交。</w:t>
      </w:r>
    </w:p>
    <w:p>
      <w:pPr>
        <w:ind w:firstLine="420" w:firstLineChars="200"/>
        <w:textAlignment w:val="center"/>
        <w:rPr>
          <w:rFonts w:ascii="宋体" w:hAnsi="宋体" w:cs="Calibri"/>
          <w:szCs w:val="21"/>
        </w:rPr>
      </w:pPr>
      <w:r>
        <w:rPr>
          <w:rFonts w:hint="eastAsia" w:ascii="宋体" w:hAnsi="宋体" w:cs="Calibri"/>
          <w:szCs w:val="21"/>
        </w:rPr>
        <w:t>（4）项目实施试运行期间，提供不少于30天的原厂现场技术支持服务。</w:t>
      </w:r>
    </w:p>
    <w:p>
      <w:pPr>
        <w:pStyle w:val="66"/>
        <w:spacing w:line="240" w:lineRule="auto"/>
        <w:ind w:firstLine="422"/>
        <w:rPr>
          <w:rFonts w:ascii="宋体" w:eastAsia="宋体"/>
          <w:sz w:val="21"/>
          <w:szCs w:val="21"/>
        </w:rPr>
      </w:pPr>
      <w:r>
        <w:rPr>
          <w:rFonts w:hint="eastAsia" w:ascii="宋体" w:eastAsia="宋体"/>
          <w:sz w:val="21"/>
          <w:szCs w:val="21"/>
        </w:rPr>
        <w:t>四、</w:t>
      </w:r>
      <w:r>
        <w:rPr>
          <w:rFonts w:ascii="宋体" w:eastAsia="宋体"/>
          <w:sz w:val="21"/>
          <w:szCs w:val="21"/>
        </w:rPr>
        <w:t>产品</w:t>
      </w:r>
      <w:r>
        <w:rPr>
          <w:rFonts w:hint="eastAsia" w:ascii="宋体" w:eastAsia="宋体"/>
          <w:sz w:val="21"/>
          <w:szCs w:val="21"/>
        </w:rPr>
        <w:t>需满足的</w:t>
      </w:r>
      <w:r>
        <w:rPr>
          <w:rFonts w:ascii="宋体" w:eastAsia="宋体"/>
          <w:sz w:val="21"/>
          <w:szCs w:val="21"/>
        </w:rPr>
        <w:t>标准和规范</w:t>
      </w:r>
    </w:p>
    <w:p>
      <w:pPr>
        <w:pStyle w:val="66"/>
        <w:spacing w:line="240" w:lineRule="auto"/>
        <w:ind w:firstLine="420"/>
        <w:rPr>
          <w:rFonts w:ascii="宋体" w:eastAsia="宋体"/>
          <w:b w:val="0"/>
          <w:sz w:val="21"/>
          <w:szCs w:val="21"/>
        </w:rPr>
      </w:pPr>
      <w:r>
        <w:rPr>
          <w:rFonts w:hint="eastAsia" w:ascii="宋体" w:eastAsia="宋体"/>
          <w:b w:val="0"/>
          <w:sz w:val="21"/>
          <w:szCs w:val="21"/>
        </w:rPr>
        <w:t>4.1正规渠道货源，不存在任何质量瑕疵或因质量瑕疵而导致的安全隐患，且规格型号符合招标文件的要求。</w:t>
      </w:r>
    </w:p>
    <w:p>
      <w:pPr>
        <w:pStyle w:val="66"/>
        <w:spacing w:line="240" w:lineRule="auto"/>
        <w:ind w:firstLine="420"/>
        <w:rPr>
          <w:rFonts w:ascii="宋体" w:eastAsia="宋体"/>
          <w:b w:val="0"/>
          <w:sz w:val="21"/>
          <w:szCs w:val="21"/>
        </w:rPr>
      </w:pPr>
      <w:r>
        <w:rPr>
          <w:rFonts w:hint="eastAsia" w:ascii="宋体" w:eastAsia="宋体"/>
          <w:b w:val="0"/>
          <w:sz w:val="21"/>
          <w:szCs w:val="21"/>
        </w:rPr>
        <w:t>4.2除特殊要求质保期外，产品均要求原厂标准质保。</w:t>
      </w:r>
    </w:p>
    <w:p>
      <w:pPr>
        <w:pStyle w:val="66"/>
        <w:spacing w:line="240" w:lineRule="auto"/>
        <w:ind w:firstLine="420"/>
        <w:rPr>
          <w:rFonts w:ascii="宋体" w:eastAsia="宋体"/>
          <w:sz w:val="21"/>
          <w:szCs w:val="21"/>
        </w:rPr>
      </w:pPr>
      <w:r>
        <w:rPr>
          <w:rFonts w:ascii="宋体" w:eastAsia="宋体"/>
          <w:b w:val="0"/>
          <w:sz w:val="21"/>
          <w:szCs w:val="21"/>
        </w:rPr>
        <w:t>4.3</w:t>
      </w:r>
      <w:r>
        <w:rPr>
          <w:rFonts w:hint="eastAsia" w:ascii="宋体" w:eastAsia="宋体"/>
          <w:b w:val="0"/>
          <w:sz w:val="21"/>
          <w:szCs w:val="21"/>
        </w:rPr>
        <w:t>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招标人不承担责任。</w:t>
      </w:r>
    </w:p>
    <w:p>
      <w:pPr>
        <w:pStyle w:val="66"/>
        <w:spacing w:line="240" w:lineRule="auto"/>
        <w:ind w:firstLine="422"/>
        <w:rPr>
          <w:rFonts w:ascii="宋体" w:eastAsia="宋体"/>
          <w:sz w:val="21"/>
          <w:szCs w:val="21"/>
        </w:rPr>
      </w:pPr>
      <w:r>
        <w:rPr>
          <w:rFonts w:hint="eastAsia" w:ascii="宋体" w:eastAsia="宋体"/>
          <w:sz w:val="21"/>
          <w:szCs w:val="21"/>
        </w:rPr>
        <w:t>五、资料要求</w:t>
      </w:r>
    </w:p>
    <w:p>
      <w:pPr>
        <w:pStyle w:val="79"/>
        <w:spacing w:line="240" w:lineRule="auto"/>
        <w:ind w:firstLine="420"/>
        <w:rPr>
          <w:rFonts w:ascii="宋体" w:eastAsia="宋体"/>
          <w:sz w:val="21"/>
          <w:szCs w:val="21"/>
        </w:rPr>
      </w:pPr>
      <w:r>
        <w:rPr>
          <w:rFonts w:hint="eastAsia" w:ascii="宋体" w:eastAsia="宋体"/>
          <w:sz w:val="21"/>
          <w:szCs w:val="21"/>
        </w:rPr>
        <w:t>5.1使用说明书、质量检验证明书、随配附件和工具以及清单一并附于货物内。</w:t>
      </w:r>
    </w:p>
    <w:p>
      <w:pPr>
        <w:pStyle w:val="66"/>
        <w:spacing w:line="240" w:lineRule="auto"/>
        <w:ind w:firstLine="422"/>
        <w:rPr>
          <w:rFonts w:ascii="宋体" w:eastAsia="宋体"/>
          <w:sz w:val="21"/>
          <w:szCs w:val="21"/>
        </w:rPr>
      </w:pPr>
      <w:r>
        <w:rPr>
          <w:rFonts w:hint="eastAsia" w:ascii="宋体" w:eastAsia="宋体"/>
          <w:sz w:val="21"/>
          <w:szCs w:val="21"/>
        </w:rPr>
        <w:t>六、运输和包装要求</w:t>
      </w:r>
    </w:p>
    <w:p>
      <w:pPr>
        <w:pStyle w:val="79"/>
        <w:spacing w:line="240" w:lineRule="auto"/>
        <w:ind w:firstLine="420"/>
        <w:rPr>
          <w:rFonts w:ascii="宋体" w:eastAsia="宋体"/>
          <w:sz w:val="21"/>
          <w:szCs w:val="21"/>
        </w:rPr>
      </w:pPr>
      <w:r>
        <w:rPr>
          <w:rFonts w:hint="eastAsia" w:ascii="宋体" w:eastAsia="宋体"/>
          <w:sz w:val="21"/>
          <w:szCs w:val="21"/>
        </w:rPr>
        <w:t>6.1中标人负责将全部货物运送到杭州萧山国际机场内指定地点，并承担一切费用及风险。</w:t>
      </w:r>
    </w:p>
    <w:p>
      <w:pPr>
        <w:pStyle w:val="79"/>
        <w:spacing w:line="240" w:lineRule="auto"/>
        <w:ind w:firstLine="420"/>
        <w:rPr>
          <w:rFonts w:ascii="宋体" w:eastAsia="宋体"/>
          <w:sz w:val="21"/>
          <w:szCs w:val="21"/>
        </w:rPr>
      </w:pPr>
      <w:r>
        <w:rPr>
          <w:rFonts w:ascii="宋体" w:eastAsia="宋体"/>
          <w:sz w:val="21"/>
          <w:szCs w:val="21"/>
        </w:rPr>
        <w:t>6.2</w:t>
      </w:r>
      <w:r>
        <w:rPr>
          <w:rFonts w:hint="eastAsia" w:ascii="宋体" w:eastAsia="宋体"/>
          <w:sz w:val="21"/>
          <w:szCs w:val="21"/>
        </w:rPr>
        <w:t>运输方式中标人自定，但必须确保运输方式适合货物特性及质量要求。</w:t>
      </w:r>
    </w:p>
    <w:p>
      <w:pPr>
        <w:pStyle w:val="79"/>
        <w:spacing w:line="240" w:lineRule="auto"/>
        <w:ind w:firstLine="420"/>
        <w:rPr>
          <w:rFonts w:ascii="宋体" w:eastAsia="宋体"/>
          <w:sz w:val="21"/>
          <w:szCs w:val="21"/>
        </w:rPr>
      </w:pPr>
      <w:r>
        <w:rPr>
          <w:rFonts w:ascii="宋体" w:eastAsia="宋体"/>
          <w:sz w:val="21"/>
          <w:szCs w:val="21"/>
        </w:rPr>
        <w:t>6.3</w:t>
      </w:r>
      <w:r>
        <w:rPr>
          <w:rFonts w:hint="eastAsia" w:ascii="宋体" w:eastAsia="宋体"/>
          <w:sz w:val="21"/>
          <w:szCs w:val="21"/>
        </w:rPr>
        <w:t>包装：符合产品性质及质量要求的原厂包装，完好无破损、无刮痕。</w:t>
      </w:r>
    </w:p>
    <w:p>
      <w:pPr>
        <w:pStyle w:val="66"/>
        <w:spacing w:line="240" w:lineRule="auto"/>
        <w:ind w:firstLine="422"/>
        <w:rPr>
          <w:rFonts w:ascii="宋体" w:eastAsia="宋体"/>
          <w:sz w:val="21"/>
          <w:szCs w:val="21"/>
        </w:rPr>
      </w:pPr>
      <w:r>
        <w:rPr>
          <w:rFonts w:hint="eastAsia" w:ascii="宋体" w:eastAsia="宋体"/>
          <w:sz w:val="21"/>
          <w:szCs w:val="21"/>
        </w:rPr>
        <w:t>七、验收</w:t>
      </w:r>
    </w:p>
    <w:p>
      <w:pPr>
        <w:pStyle w:val="79"/>
        <w:spacing w:line="240" w:lineRule="auto"/>
        <w:ind w:firstLine="420"/>
        <w:rPr>
          <w:rFonts w:ascii="宋体" w:eastAsia="宋体"/>
          <w:sz w:val="21"/>
          <w:szCs w:val="21"/>
        </w:rPr>
      </w:pPr>
      <w:r>
        <w:rPr>
          <w:rFonts w:ascii="宋体" w:eastAsia="宋体"/>
          <w:sz w:val="21"/>
          <w:szCs w:val="21"/>
        </w:rPr>
        <w:t>7.1</w:t>
      </w:r>
      <w:r>
        <w:rPr>
          <w:rFonts w:hint="eastAsia" w:ascii="宋体" w:eastAsia="宋体"/>
          <w:sz w:val="21"/>
          <w:szCs w:val="21"/>
        </w:rPr>
        <w:t>招标人对中标人提交的货物依据招标文件上的技术规格要求和国家有关质量标准进行现场初步验收，外观、说明书符合招标文件技术要求的，给予签收，初步验收不合格的不予签收。货到后，招标人需在五个工作日内验收。</w:t>
      </w:r>
    </w:p>
    <w:p>
      <w:pPr>
        <w:pStyle w:val="79"/>
        <w:spacing w:line="240" w:lineRule="auto"/>
        <w:ind w:firstLine="420"/>
        <w:rPr>
          <w:rFonts w:ascii="宋体" w:eastAsia="宋体"/>
          <w:sz w:val="21"/>
          <w:szCs w:val="21"/>
        </w:rPr>
      </w:pPr>
      <w:r>
        <w:rPr>
          <w:rFonts w:ascii="宋体" w:eastAsia="宋体"/>
          <w:sz w:val="21"/>
          <w:szCs w:val="21"/>
        </w:rPr>
        <w:t>7.2</w:t>
      </w:r>
      <w:r>
        <w:rPr>
          <w:rFonts w:hint="eastAsia" w:ascii="宋体" w:eastAsia="宋体"/>
          <w:sz w:val="21"/>
          <w:szCs w:val="21"/>
        </w:rPr>
        <w:t>中标人交货前应对产品作出全面检查和对验收文件进行整理，并列出清单，作为招标人收货验收和使用的技术条件依据，中标人检验的结果应随货物交招标人。中标人交货产品应具有有产品原厂质保书或产品合格证书。</w:t>
      </w:r>
    </w:p>
    <w:p>
      <w:pPr>
        <w:pStyle w:val="79"/>
        <w:spacing w:line="240" w:lineRule="auto"/>
        <w:ind w:firstLine="420"/>
        <w:rPr>
          <w:rFonts w:ascii="宋体" w:eastAsia="宋体"/>
          <w:sz w:val="21"/>
          <w:szCs w:val="21"/>
        </w:rPr>
      </w:pPr>
      <w:r>
        <w:rPr>
          <w:rFonts w:ascii="宋体" w:eastAsia="宋体"/>
          <w:sz w:val="21"/>
          <w:szCs w:val="21"/>
        </w:rPr>
        <w:t>7.3</w:t>
      </w:r>
      <w:r>
        <w:rPr>
          <w:rFonts w:hint="eastAsia" w:ascii="宋体" w:eastAsia="宋体"/>
          <w:sz w:val="21"/>
          <w:szCs w:val="21"/>
        </w:rPr>
        <w:t xml:space="preserve"> 招标人对中标人提供的货物在使用前进行调试时，中标人需负责安装并培训招标人的使用操作人员，并协助招标人一起调试，直到符合技术要求，方可视为招标人完成最终验收。</w:t>
      </w:r>
    </w:p>
    <w:p>
      <w:pPr>
        <w:pStyle w:val="79"/>
        <w:spacing w:line="240" w:lineRule="auto"/>
        <w:ind w:firstLine="420"/>
        <w:rPr>
          <w:rFonts w:ascii="宋体" w:eastAsia="宋体"/>
          <w:sz w:val="21"/>
          <w:szCs w:val="21"/>
        </w:rPr>
      </w:pPr>
      <w:r>
        <w:rPr>
          <w:rFonts w:ascii="宋体" w:eastAsia="宋体"/>
          <w:sz w:val="21"/>
          <w:szCs w:val="21"/>
        </w:rPr>
        <w:t>7.4</w:t>
      </w:r>
      <w:r>
        <w:rPr>
          <w:rFonts w:hint="eastAsia" w:ascii="宋体" w:eastAsia="宋体"/>
          <w:sz w:val="21"/>
          <w:szCs w:val="21"/>
        </w:rPr>
        <w:t>对技术复杂的货物，招标人有权聘请国家认可的专业检测机构参与初步验收及最终验收，并由其出具质量检测报告，在此情况下，该等检测报告作为中标人提供货物的最终验收依据。</w:t>
      </w:r>
    </w:p>
    <w:p>
      <w:pPr>
        <w:pStyle w:val="79"/>
        <w:spacing w:line="240" w:lineRule="auto"/>
        <w:ind w:firstLine="420"/>
        <w:rPr>
          <w:rFonts w:ascii="宋体" w:eastAsia="宋体"/>
          <w:sz w:val="21"/>
          <w:szCs w:val="21"/>
        </w:rPr>
      </w:pPr>
      <w:r>
        <w:rPr>
          <w:rFonts w:ascii="宋体" w:eastAsia="宋体"/>
          <w:sz w:val="21"/>
          <w:szCs w:val="21"/>
        </w:rPr>
        <w:t>7.5</w:t>
      </w:r>
      <w:r>
        <w:rPr>
          <w:rFonts w:hint="eastAsia" w:ascii="宋体" w:eastAsia="宋体"/>
          <w:sz w:val="21"/>
          <w:szCs w:val="21"/>
        </w:rPr>
        <w:t xml:space="preserve"> 招标人或招标人聘请的专业机构对货物进行验收时中标人必须在现场，验收完毕后由招标人或招标人聘请的专业机构作出验收结果报告；验收费用由中标人负责。</w:t>
      </w:r>
    </w:p>
    <w:p>
      <w:pPr>
        <w:pStyle w:val="66"/>
        <w:spacing w:line="240" w:lineRule="auto"/>
        <w:ind w:firstLine="422"/>
        <w:rPr>
          <w:rFonts w:ascii="宋体" w:eastAsia="宋体"/>
          <w:sz w:val="21"/>
          <w:szCs w:val="21"/>
        </w:rPr>
      </w:pPr>
      <w:r>
        <w:rPr>
          <w:rFonts w:hint="eastAsia" w:ascii="宋体" w:eastAsia="宋体"/>
          <w:sz w:val="21"/>
          <w:szCs w:val="21"/>
        </w:rPr>
        <w:t>八、售后服务</w:t>
      </w:r>
    </w:p>
    <w:p>
      <w:pPr>
        <w:pStyle w:val="79"/>
        <w:spacing w:line="240" w:lineRule="auto"/>
        <w:ind w:firstLine="420"/>
        <w:rPr>
          <w:rFonts w:ascii="宋体" w:eastAsia="宋体"/>
          <w:sz w:val="21"/>
          <w:szCs w:val="21"/>
        </w:rPr>
      </w:pPr>
      <w:r>
        <w:rPr>
          <w:rFonts w:ascii="宋体" w:eastAsia="宋体"/>
          <w:sz w:val="21"/>
          <w:szCs w:val="21"/>
        </w:rPr>
        <w:t>8.1</w:t>
      </w:r>
      <w:r>
        <w:rPr>
          <w:rFonts w:hint="eastAsia" w:ascii="宋体" w:eastAsia="宋体"/>
          <w:sz w:val="21"/>
          <w:szCs w:val="21"/>
        </w:rPr>
        <w:t>中标人按招标文件规定的货物性能、技术要求、质量标准、数量要求等全部条件向招标人提供未经使用的全新产品。</w:t>
      </w:r>
    </w:p>
    <w:p>
      <w:pPr>
        <w:pStyle w:val="79"/>
        <w:spacing w:line="240" w:lineRule="auto"/>
        <w:ind w:firstLine="420"/>
        <w:rPr>
          <w:rFonts w:ascii="宋体" w:eastAsia="宋体"/>
          <w:sz w:val="21"/>
          <w:szCs w:val="21"/>
        </w:rPr>
      </w:pPr>
      <w:r>
        <w:rPr>
          <w:rFonts w:ascii="宋体" w:eastAsia="宋体"/>
          <w:sz w:val="21"/>
          <w:szCs w:val="21"/>
        </w:rPr>
        <w:t>8.2</w:t>
      </w:r>
      <w:r>
        <w:rPr>
          <w:rFonts w:hint="eastAsia" w:ascii="宋体" w:eastAsia="宋体"/>
          <w:sz w:val="21"/>
          <w:szCs w:val="21"/>
        </w:rPr>
        <w:t xml:space="preserve"> 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pStyle w:val="79"/>
        <w:spacing w:line="240" w:lineRule="auto"/>
        <w:ind w:firstLine="420"/>
        <w:rPr>
          <w:rFonts w:ascii="宋体" w:eastAsia="宋体"/>
          <w:sz w:val="21"/>
          <w:szCs w:val="21"/>
        </w:rPr>
      </w:pPr>
      <w:r>
        <w:rPr>
          <w:rFonts w:ascii="宋体" w:eastAsia="宋体"/>
          <w:sz w:val="21"/>
          <w:szCs w:val="21"/>
        </w:rPr>
        <w:t>8.3</w:t>
      </w:r>
      <w:r>
        <w:rPr>
          <w:rFonts w:hint="eastAsia" w:ascii="宋体" w:eastAsia="宋体"/>
          <w:sz w:val="21"/>
          <w:szCs w:val="21"/>
        </w:rPr>
        <w:t xml:space="preserve"> 如在使用过程中发生质量问题，投标人必须在接到用户通知后在24小时内到达现场予以解决。</w:t>
      </w:r>
    </w:p>
    <w:p>
      <w:pPr>
        <w:pStyle w:val="79"/>
        <w:spacing w:line="240" w:lineRule="auto"/>
        <w:ind w:firstLine="420"/>
        <w:rPr>
          <w:rFonts w:ascii="宋体" w:eastAsia="宋体"/>
          <w:sz w:val="21"/>
          <w:szCs w:val="21"/>
        </w:rPr>
      </w:pPr>
      <w:r>
        <w:rPr>
          <w:rFonts w:ascii="宋体" w:eastAsia="宋体"/>
          <w:sz w:val="21"/>
          <w:szCs w:val="21"/>
        </w:rPr>
        <w:t>8.4</w:t>
      </w:r>
      <w:r>
        <w:rPr>
          <w:rFonts w:hint="eastAsia" w:ascii="宋体" w:eastAsia="宋体"/>
          <w:sz w:val="21"/>
          <w:szCs w:val="21"/>
        </w:rPr>
        <w:t xml:space="preserve"> 在质保期内，投标人应对货物出现的质量及安全问题负责处理解决并承担一切费用。如对货物出现的质量及安全问题经处理仍不能解决的，则招标人有权退货或要求投标人更换货物。</w:t>
      </w:r>
    </w:p>
    <w:p>
      <w:pPr>
        <w:pStyle w:val="79"/>
        <w:spacing w:line="240" w:lineRule="auto"/>
        <w:ind w:firstLine="420"/>
        <w:rPr>
          <w:rFonts w:ascii="宋体" w:cs="Calibri"/>
          <w:bCs/>
          <w:kern w:val="0"/>
          <w:sz w:val="24"/>
          <w:szCs w:val="24"/>
        </w:rPr>
      </w:pPr>
      <w:r>
        <w:rPr>
          <w:rFonts w:ascii="宋体" w:eastAsia="宋体"/>
          <w:sz w:val="21"/>
          <w:szCs w:val="21"/>
        </w:rPr>
        <w:t>8.5</w:t>
      </w:r>
      <w:r>
        <w:rPr>
          <w:rFonts w:hint="eastAsia" w:ascii="宋体" w:eastAsia="宋体"/>
          <w:sz w:val="21"/>
          <w:szCs w:val="21"/>
        </w:rPr>
        <w:t>上述的货物免费保修期按照本文件要求，因招标人人为因素出现的故障不在免费保修范围内。对于超过保修期的机器设备，投标人仍负责终生维修，维修时只收部件成本费。</w:t>
      </w:r>
      <w:r>
        <w:rPr>
          <w:rFonts w:ascii="宋体" w:cs="Calibri"/>
          <w:bCs/>
          <w:kern w:val="0"/>
          <w:sz w:val="24"/>
          <w:szCs w:val="24"/>
        </w:rPr>
        <w:br w:type="page"/>
      </w:r>
    </w:p>
    <w:p>
      <w:pPr>
        <w:pStyle w:val="2"/>
        <w:spacing w:before="0" w:after="0" w:line="360" w:lineRule="auto"/>
        <w:jc w:val="center"/>
        <w:rPr>
          <w:rFonts w:ascii="Calibri" w:hAnsi="Calibri" w:eastAsia="黑体" w:cs="Calibri"/>
          <w:kern w:val="0"/>
          <w:sz w:val="32"/>
        </w:rPr>
      </w:pPr>
      <w:bookmarkStart w:id="112" w:name="_Toc478453294"/>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2"/>
    </w:p>
    <w:p>
      <w:pPr>
        <w:adjustRightInd w:val="0"/>
        <w:snapToGrid w:val="0"/>
        <w:ind w:firstLine="452"/>
        <w:jc w:val="center"/>
        <w:rPr>
          <w:rFonts w:ascii="宋体" w:hAnsi="宋体"/>
          <w:b/>
          <w:sz w:val="22"/>
        </w:rPr>
      </w:pPr>
    </w:p>
    <w:p>
      <w:pPr>
        <w:adjustRightInd w:val="0"/>
        <w:snapToGrid w:val="0"/>
        <w:ind w:firstLine="452"/>
        <w:jc w:val="center"/>
        <w:rPr>
          <w:rFonts w:ascii="宋体" w:hAnsi="宋体"/>
          <w:b/>
          <w:sz w:val="32"/>
        </w:rPr>
      </w:pPr>
      <w:r>
        <w:rPr>
          <w:rFonts w:hint="eastAsia" w:ascii="宋体" w:hAnsi="宋体"/>
          <w:b/>
          <w:sz w:val="32"/>
        </w:rPr>
        <w:t>采购合同</w:t>
      </w:r>
    </w:p>
    <w:p>
      <w:pPr>
        <w:pStyle w:val="21"/>
        <w:ind w:right="200" w:firstLine="420"/>
        <w:jc w:val="right"/>
        <w:rPr>
          <w:rFonts w:hAnsi="宋体" w:cs="Calibri"/>
          <w:bCs/>
          <w:sz w:val="22"/>
          <w:szCs w:val="22"/>
        </w:rPr>
      </w:pPr>
    </w:p>
    <w:p>
      <w:pPr>
        <w:adjustRightInd w:val="0"/>
        <w:snapToGrid w:val="0"/>
        <w:ind w:firstLine="452"/>
        <w:jc w:val="lef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r>
        <w:rPr>
          <w:rFonts w:hint="eastAsia" w:ascii="宋体" w:hAnsi="宋体"/>
          <w:b/>
          <w:sz w:val="22"/>
        </w:rPr>
        <w:t xml:space="preserve">乙方： </w:t>
      </w:r>
      <w:r>
        <w:rPr>
          <w:rFonts w:ascii="宋体" w:hAnsi="宋体"/>
          <w:b/>
          <w:sz w:val="22"/>
          <w:u w:val="single"/>
        </w:rPr>
        <w:t xml:space="preserve">                       </w:t>
      </w:r>
    </w:p>
    <w:p>
      <w:pPr>
        <w:adjustRightInd w:val="0"/>
        <w:snapToGrid w:val="0"/>
        <w:ind w:firstLine="452"/>
        <w:jc w:val="left"/>
        <w:rPr>
          <w:rFonts w:ascii="宋体" w:hAnsi="宋体"/>
          <w:sz w:val="22"/>
          <w:u w:val="single"/>
        </w:rPr>
      </w:pPr>
      <w:r>
        <w:rPr>
          <w:rFonts w:hint="eastAsia" w:ascii="宋体" w:hAnsi="宋体"/>
          <w:b/>
          <w:sz w:val="22"/>
        </w:rPr>
        <w:t>住所地：</w:t>
      </w:r>
      <w:r>
        <w:rPr>
          <w:rFonts w:ascii="宋体" w:hAnsi="宋体"/>
          <w:sz w:val="22"/>
          <w:u w:val="single"/>
        </w:rPr>
        <w:t xml:space="preserve">                      </w:t>
      </w:r>
    </w:p>
    <w:p>
      <w:pPr>
        <w:adjustRightInd w:val="0"/>
        <w:snapToGrid w:val="0"/>
        <w:ind w:firstLine="450"/>
        <w:jc w:val="left"/>
        <w:rPr>
          <w:rFonts w:ascii="宋体" w:hAnsi="宋体"/>
          <w:sz w:val="22"/>
        </w:rPr>
      </w:pPr>
    </w:p>
    <w:p>
      <w:pPr>
        <w:adjustRightInd w:val="0"/>
        <w:snapToGrid w:val="0"/>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ind w:firstLine="593"/>
        <w:jc w:val="left"/>
        <w:rPr>
          <w:rFonts w:ascii="宋体" w:hAnsi="宋体"/>
          <w:b/>
          <w:bCs/>
          <w:sz w:val="22"/>
        </w:rPr>
      </w:pPr>
      <w:r>
        <w:rPr>
          <w:rFonts w:hint="eastAsia" w:ascii="宋体" w:hAnsi="宋体"/>
          <w:b/>
          <w:bCs/>
          <w:sz w:val="22"/>
        </w:rPr>
        <w:t>一、产品规格型号及参数（以下简称“货物”）</w:t>
      </w:r>
    </w:p>
    <w:tbl>
      <w:tblPr>
        <w:tblStyle w:val="53"/>
        <w:tblW w:w="10781"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694"/>
        <w:gridCol w:w="1661"/>
        <w:gridCol w:w="693"/>
        <w:gridCol w:w="561"/>
        <w:gridCol w:w="894"/>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546" w:type="dxa"/>
            <w:tcBorders>
              <w:top w:val="single" w:color="auto" w:sz="4" w:space="0"/>
              <w:left w:val="single" w:color="auto" w:sz="4" w:space="0"/>
              <w:bottom w:val="single" w:color="auto" w:sz="4" w:space="0"/>
              <w:right w:val="single" w:color="auto" w:sz="4" w:space="0"/>
            </w:tcBorders>
            <w:vAlign w:val="center"/>
          </w:tcPr>
          <w:p>
            <w:pPr>
              <w:pStyle w:val="57"/>
              <w:jc w:val="left"/>
              <w:rPr>
                <w:rFonts w:ascii="宋体" w:hAnsi="宋体"/>
                <w:b/>
                <w:sz w:val="22"/>
              </w:rPr>
            </w:pPr>
            <w:r>
              <w:rPr>
                <w:rFonts w:hint="eastAsia" w:ascii="宋体" w:hAnsi="宋体"/>
                <w:b/>
                <w:sz w:val="22"/>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pStyle w:val="57"/>
              <w:jc w:val="left"/>
              <w:rPr>
                <w:rFonts w:ascii="宋体" w:hAnsi="宋体"/>
                <w:b/>
                <w:sz w:val="18"/>
              </w:rPr>
            </w:pPr>
            <w:r>
              <w:rPr>
                <w:rFonts w:hint="eastAsia" w:ascii="宋体" w:hAnsi="宋体"/>
                <w:b/>
                <w:sz w:val="18"/>
              </w:rPr>
              <w:t>产品名称</w:t>
            </w:r>
          </w:p>
        </w:tc>
        <w:tc>
          <w:tcPr>
            <w:tcW w:w="1661" w:type="dxa"/>
            <w:tcBorders>
              <w:top w:val="single" w:color="auto" w:sz="4" w:space="0"/>
              <w:left w:val="single" w:color="auto" w:sz="4" w:space="0"/>
              <w:bottom w:val="single" w:color="auto" w:sz="4" w:space="0"/>
              <w:right w:val="single" w:color="auto" w:sz="4" w:space="0"/>
            </w:tcBorders>
            <w:vAlign w:val="center"/>
          </w:tcPr>
          <w:p>
            <w:pPr>
              <w:pStyle w:val="57"/>
              <w:jc w:val="left"/>
              <w:rPr>
                <w:rFonts w:ascii="宋体" w:hAnsi="宋体"/>
                <w:b/>
                <w:sz w:val="18"/>
              </w:rPr>
            </w:pPr>
            <w:r>
              <w:rPr>
                <w:rFonts w:hint="eastAsia" w:ascii="宋体" w:hAnsi="宋体"/>
                <w:b/>
                <w:sz w:val="18"/>
              </w:rPr>
              <w:t>品牌型号</w:t>
            </w:r>
          </w:p>
        </w:tc>
        <w:tc>
          <w:tcPr>
            <w:tcW w:w="693" w:type="dxa"/>
            <w:tcBorders>
              <w:top w:val="single" w:color="auto" w:sz="4" w:space="0"/>
              <w:left w:val="single" w:color="auto" w:sz="4" w:space="0"/>
              <w:bottom w:val="single" w:color="auto" w:sz="4" w:space="0"/>
              <w:right w:val="single" w:color="auto" w:sz="4" w:space="0"/>
            </w:tcBorders>
            <w:vAlign w:val="center"/>
          </w:tcPr>
          <w:p>
            <w:pPr>
              <w:pStyle w:val="57"/>
              <w:jc w:val="center"/>
              <w:rPr>
                <w:rFonts w:ascii="宋体" w:hAnsi="宋体"/>
                <w:b/>
                <w:sz w:val="18"/>
              </w:rPr>
            </w:pPr>
            <w:r>
              <w:rPr>
                <w:rFonts w:hint="eastAsia" w:ascii="宋体" w:hAnsi="宋体"/>
                <w:b/>
                <w:sz w:val="18"/>
              </w:rPr>
              <w:t>单位</w:t>
            </w:r>
          </w:p>
        </w:tc>
        <w:tc>
          <w:tcPr>
            <w:tcW w:w="561" w:type="dxa"/>
            <w:tcBorders>
              <w:top w:val="single" w:color="auto" w:sz="4" w:space="0"/>
              <w:left w:val="single" w:color="auto" w:sz="4" w:space="0"/>
              <w:bottom w:val="single" w:color="auto" w:sz="4" w:space="0"/>
              <w:right w:val="single" w:color="auto" w:sz="4" w:space="0"/>
            </w:tcBorders>
            <w:vAlign w:val="center"/>
          </w:tcPr>
          <w:p>
            <w:pPr>
              <w:pStyle w:val="57"/>
              <w:jc w:val="left"/>
              <w:rPr>
                <w:rFonts w:ascii="宋体" w:hAnsi="宋体"/>
                <w:b/>
                <w:sz w:val="18"/>
              </w:rPr>
            </w:pPr>
            <w:r>
              <w:rPr>
                <w:rFonts w:hint="eastAsia" w:ascii="宋体" w:hAnsi="宋体"/>
                <w:b/>
                <w:sz w:val="18"/>
              </w:rPr>
              <w:t>数量</w:t>
            </w:r>
          </w:p>
        </w:tc>
        <w:tc>
          <w:tcPr>
            <w:tcW w:w="894" w:type="dxa"/>
            <w:tcBorders>
              <w:top w:val="single" w:color="auto" w:sz="4" w:space="0"/>
              <w:left w:val="single" w:color="auto" w:sz="4" w:space="0"/>
              <w:bottom w:val="single" w:color="auto" w:sz="4" w:space="0"/>
              <w:right w:val="single" w:color="auto" w:sz="4" w:space="0"/>
            </w:tcBorders>
            <w:vAlign w:val="center"/>
          </w:tcPr>
          <w:p>
            <w:pPr>
              <w:pStyle w:val="57"/>
              <w:jc w:val="center"/>
              <w:rPr>
                <w:rFonts w:ascii="宋体" w:hAnsi="宋体"/>
                <w:b/>
                <w:sz w:val="18"/>
              </w:rPr>
            </w:pPr>
            <w:r>
              <w:rPr>
                <w:rFonts w:hint="eastAsia" w:ascii="宋体" w:hAnsi="宋体" w:cs="宋体"/>
                <w:b/>
                <w:bCs/>
                <w:kern w:val="0"/>
                <w:sz w:val="20"/>
              </w:rPr>
              <w:t>单  价 (元，不含税)</w:t>
            </w:r>
          </w:p>
        </w:tc>
        <w:tc>
          <w:tcPr>
            <w:tcW w:w="1183" w:type="dxa"/>
            <w:tcBorders>
              <w:top w:val="single" w:color="auto" w:sz="4" w:space="0"/>
              <w:left w:val="single" w:color="auto" w:sz="4" w:space="0"/>
              <w:bottom w:val="single" w:color="auto" w:sz="4" w:space="0"/>
              <w:right w:val="single" w:color="auto" w:sz="4" w:space="0"/>
            </w:tcBorders>
            <w:vAlign w:val="top"/>
          </w:tcPr>
          <w:p>
            <w:pPr>
              <w:pStyle w:val="57"/>
              <w:jc w:val="center"/>
              <w:rPr>
                <w:rFonts w:ascii="宋体" w:hAnsi="宋体"/>
                <w:b/>
                <w:sz w:val="18"/>
              </w:rPr>
            </w:pPr>
            <w:r>
              <w:rPr>
                <w:rFonts w:hint="eastAsia" w:ascii="宋体" w:hAnsi="宋体" w:cs="宋体"/>
                <w:b/>
                <w:bCs/>
                <w:kern w:val="0"/>
                <w:sz w:val="20"/>
              </w:rPr>
              <w:t>合价（元，不含税）</w:t>
            </w:r>
          </w:p>
        </w:tc>
        <w:tc>
          <w:tcPr>
            <w:tcW w:w="1183" w:type="dxa"/>
            <w:tcBorders>
              <w:top w:val="single" w:color="auto" w:sz="4" w:space="0"/>
              <w:left w:val="single" w:color="auto" w:sz="4" w:space="0"/>
              <w:bottom w:val="single" w:color="auto" w:sz="4" w:space="0"/>
              <w:right w:val="single" w:color="auto" w:sz="4" w:space="0"/>
            </w:tcBorders>
            <w:vAlign w:val="top"/>
          </w:tcPr>
          <w:p>
            <w:pPr>
              <w:pStyle w:val="57"/>
              <w:jc w:val="center"/>
              <w:rPr>
                <w:rFonts w:ascii="宋体" w:hAnsi="宋体"/>
                <w:b/>
                <w:sz w:val="18"/>
              </w:rPr>
            </w:pPr>
            <w:r>
              <w:rPr>
                <w:rFonts w:hint="eastAsia" w:ascii="宋体" w:hAnsi="宋体" w:cs="宋体"/>
                <w:b/>
                <w:bCs/>
                <w:kern w:val="0"/>
                <w:sz w:val="20"/>
              </w:rPr>
              <w:t>增值税税率</w:t>
            </w:r>
          </w:p>
        </w:tc>
        <w:tc>
          <w:tcPr>
            <w:tcW w:w="1183" w:type="dxa"/>
            <w:tcBorders>
              <w:top w:val="single" w:color="auto" w:sz="4" w:space="0"/>
              <w:left w:val="single" w:color="auto" w:sz="4" w:space="0"/>
              <w:bottom w:val="single" w:color="auto" w:sz="4" w:space="0"/>
              <w:right w:val="single" w:color="auto" w:sz="4" w:space="0"/>
            </w:tcBorders>
            <w:vAlign w:val="top"/>
          </w:tcPr>
          <w:p>
            <w:pPr>
              <w:pStyle w:val="57"/>
              <w:jc w:val="center"/>
              <w:rPr>
                <w:rFonts w:ascii="宋体" w:hAnsi="宋体"/>
                <w:b/>
                <w:sz w:val="18"/>
              </w:rPr>
            </w:pPr>
            <w:r>
              <w:rPr>
                <w:rFonts w:hint="eastAsia" w:ascii="宋体" w:hAnsi="宋体" w:cs="宋体"/>
                <w:b/>
                <w:bCs/>
                <w:kern w:val="0"/>
                <w:sz w:val="20"/>
              </w:rPr>
              <w:t>单价（元，含税）</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pStyle w:val="57"/>
              <w:jc w:val="center"/>
              <w:rPr>
                <w:rFonts w:ascii="宋体" w:hAnsi="宋体"/>
                <w:b/>
                <w:sz w:val="18"/>
              </w:rPr>
            </w:pPr>
            <w:r>
              <w:rPr>
                <w:rFonts w:hint="eastAsia" w:ascii="宋体" w:hAnsi="宋体" w:cs="宋体"/>
                <w:b/>
                <w:bCs/>
                <w:kern w:val="0"/>
                <w:sz w:val="20"/>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546" w:type="dxa"/>
            <w:tcBorders>
              <w:top w:val="single" w:color="auto" w:sz="4" w:space="0"/>
              <w:left w:val="single" w:color="auto" w:sz="4" w:space="0"/>
              <w:bottom w:val="single" w:color="auto" w:sz="4" w:space="0"/>
              <w:right w:val="single" w:color="auto" w:sz="4" w:space="0"/>
            </w:tcBorders>
            <w:vAlign w:val="center"/>
          </w:tcPr>
          <w:p>
            <w:pPr>
              <w:pStyle w:val="57"/>
              <w:ind w:firstLine="440" w:firstLineChars="200"/>
              <w:jc w:val="left"/>
              <w:rPr>
                <w:rFonts w:ascii="宋体" w:hAnsi="宋体"/>
                <w:sz w:val="22"/>
              </w:rPr>
            </w:pPr>
          </w:p>
        </w:tc>
        <w:tc>
          <w:tcPr>
            <w:tcW w:w="16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46" w:type="dxa"/>
            <w:tcBorders>
              <w:top w:val="single" w:color="auto" w:sz="4" w:space="0"/>
              <w:left w:val="single" w:color="auto" w:sz="4" w:space="0"/>
              <w:bottom w:val="single" w:color="auto" w:sz="4" w:space="0"/>
              <w:right w:val="single" w:color="auto" w:sz="4" w:space="0"/>
            </w:tcBorders>
            <w:vAlign w:val="center"/>
          </w:tcPr>
          <w:p>
            <w:pPr>
              <w:pStyle w:val="57"/>
              <w:ind w:firstLine="440" w:firstLineChars="200"/>
              <w:jc w:val="left"/>
              <w:rPr>
                <w:rFonts w:ascii="宋体" w:hAnsi="宋体"/>
                <w:sz w:val="22"/>
              </w:rPr>
            </w:pPr>
          </w:p>
        </w:tc>
        <w:tc>
          <w:tcPr>
            <w:tcW w:w="16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46" w:type="dxa"/>
            <w:tcBorders>
              <w:top w:val="single" w:color="auto" w:sz="4" w:space="0"/>
              <w:left w:val="single" w:color="auto" w:sz="4" w:space="0"/>
              <w:bottom w:val="single" w:color="auto" w:sz="4" w:space="0"/>
              <w:right w:val="single" w:color="auto" w:sz="4" w:space="0"/>
            </w:tcBorders>
            <w:vAlign w:val="center"/>
          </w:tcPr>
          <w:p>
            <w:pPr>
              <w:pStyle w:val="57"/>
              <w:ind w:firstLine="440" w:firstLineChars="200"/>
              <w:jc w:val="left"/>
              <w:rPr>
                <w:rFonts w:ascii="宋体" w:hAnsi="宋体"/>
                <w:sz w:val="22"/>
              </w:rPr>
            </w:pPr>
          </w:p>
        </w:tc>
        <w:tc>
          <w:tcPr>
            <w:tcW w:w="16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546" w:type="dxa"/>
            <w:tcBorders>
              <w:top w:val="single" w:color="auto" w:sz="4" w:space="0"/>
              <w:left w:val="single" w:color="auto" w:sz="4" w:space="0"/>
              <w:bottom w:val="single" w:color="auto" w:sz="4" w:space="0"/>
              <w:right w:val="single" w:color="auto" w:sz="4" w:space="0"/>
            </w:tcBorders>
            <w:vAlign w:val="center"/>
          </w:tcPr>
          <w:p>
            <w:pPr>
              <w:pStyle w:val="57"/>
              <w:jc w:val="left"/>
              <w:rPr>
                <w:rFonts w:ascii="宋体" w:hAnsi="宋体"/>
                <w:sz w:val="22"/>
              </w:rPr>
            </w:pPr>
            <w:r>
              <w:rPr>
                <w:rFonts w:hint="eastAsia" w:ascii="宋体" w:hAnsi="宋体"/>
                <w:sz w:val="22"/>
              </w:rPr>
              <w:t>合计</w:t>
            </w:r>
          </w:p>
        </w:tc>
        <w:tc>
          <w:tcPr>
            <w:tcW w:w="16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vAlign w:val="center"/>
          </w:tcPr>
          <w:p>
            <w:pPr>
              <w:pStyle w:val="57"/>
              <w:ind w:firstLine="360" w:firstLineChars="200"/>
              <w:jc w:val="left"/>
              <w:rPr>
                <w:rFonts w:ascii="宋体" w:hAnsi="宋体"/>
                <w:sz w:val="18"/>
              </w:rPr>
            </w:pPr>
          </w:p>
        </w:tc>
      </w:tr>
    </w:tbl>
    <w:p>
      <w:pPr>
        <w:adjustRightInd w:val="0"/>
        <w:snapToGrid w:val="0"/>
        <w:ind w:firstLine="602"/>
        <w:jc w:val="left"/>
        <w:rPr>
          <w:rFonts w:ascii="宋体" w:hAnsi="宋体"/>
          <w:b/>
          <w:sz w:val="22"/>
        </w:rPr>
      </w:pPr>
      <w:r>
        <w:rPr>
          <w:rFonts w:hint="eastAsia" w:ascii="宋体" w:hAnsi="宋体"/>
          <w:b/>
          <w:sz w:val="22"/>
        </w:rPr>
        <w:t>自助登机门系统详细功能要求：见招标文件 第三章</w:t>
      </w:r>
    </w:p>
    <w:p>
      <w:pPr>
        <w:adjustRightInd w:val="0"/>
        <w:snapToGrid w:val="0"/>
        <w:ind w:firstLine="602"/>
        <w:jc w:val="left"/>
        <w:rPr>
          <w:rFonts w:ascii="宋体" w:hAnsi="宋体"/>
          <w:b/>
          <w:sz w:val="22"/>
        </w:rPr>
      </w:pPr>
      <w:r>
        <w:rPr>
          <w:rFonts w:hint="eastAsia" w:ascii="宋体" w:hAnsi="宋体"/>
          <w:b/>
          <w:sz w:val="22"/>
        </w:rPr>
        <w:t>二、合同金额</w:t>
      </w:r>
    </w:p>
    <w:p>
      <w:pPr>
        <w:ind w:firstLine="422" w:firstLineChars="192"/>
        <w:jc w:val="left"/>
        <w:rPr>
          <w:rFonts w:ascii="宋体" w:hAnsi="宋体"/>
          <w:sz w:val="22"/>
        </w:rPr>
      </w:pPr>
      <w:r>
        <w:rPr>
          <w:rFonts w:hint="eastAsia" w:ascii="宋体" w:hAnsi="宋体"/>
          <w:sz w:val="22"/>
        </w:rPr>
        <w:t>本合同金额为（大写）：              元（</w:t>
      </w:r>
      <w:r>
        <w:rPr>
          <w:rFonts w:ascii="宋体" w:hAnsi="宋体"/>
          <w:sz w:val="22"/>
        </w:rPr>
        <w:t>¥</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w:t>
      </w:r>
      <w:r>
        <w:rPr>
          <w:rFonts w:hint="eastAsia" w:ascii="宋体" w:hAnsi="宋体"/>
          <w:sz w:val="22"/>
          <w:u w:val="single"/>
        </w:rPr>
        <w:t>安装调试、应用软件和各个其它系统厂家的接口和【】年免费维护</w:t>
      </w:r>
      <w:r>
        <w:rPr>
          <w:rFonts w:hint="eastAsia" w:ascii="宋体" w:hAnsi="宋体"/>
          <w:sz w:val="22"/>
        </w:rPr>
        <w:t>等所有费用。甲方不再承担其他任何费用。</w:t>
      </w:r>
    </w:p>
    <w:p>
      <w:pPr>
        <w:spacing w:line="276" w:lineRule="auto"/>
        <w:ind w:firstLine="440" w:firstLineChars="200"/>
        <w:jc w:val="left"/>
        <w:rPr>
          <w:rFonts w:cs="仿宋_GB2312"/>
          <w:b/>
          <w:sz w:val="22"/>
          <w:u w:val="single"/>
        </w:rPr>
      </w:pPr>
      <w:r>
        <w:rPr>
          <w:rFonts w:hint="eastAsia" w:cs="仿宋_GB2312"/>
          <w:b/>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276" w:lineRule="auto"/>
        <w:ind w:firstLine="440" w:firstLineChars="200"/>
        <w:rPr>
          <w:rFonts w:cs="仿宋_GB2312"/>
          <w:b/>
          <w:sz w:val="22"/>
        </w:rPr>
      </w:pPr>
      <w:r>
        <w:rPr>
          <w:rFonts w:hint="eastAsia" w:ascii="宋体" w:hAnsi="宋体"/>
          <w:b/>
          <w:sz w:val="22"/>
        </w:rPr>
        <w:t>三、</w:t>
      </w:r>
      <w:r>
        <w:rPr>
          <w:rFonts w:hint="eastAsia" w:cs="仿宋_GB2312"/>
          <w:b/>
          <w:sz w:val="22"/>
        </w:rPr>
        <w:t>技术要求</w:t>
      </w:r>
    </w:p>
    <w:p>
      <w:pPr>
        <w:tabs>
          <w:tab w:val="left" w:pos="5985"/>
        </w:tabs>
        <w:snapToGrid w:val="0"/>
        <w:spacing w:line="276" w:lineRule="auto"/>
        <w:ind w:firstLine="440" w:firstLineChars="200"/>
        <w:rPr>
          <w:rFonts w:cs="仿宋_GB2312"/>
          <w:snapToGrid w:val="0"/>
          <w:sz w:val="22"/>
        </w:rPr>
      </w:pPr>
      <w:r>
        <w:rPr>
          <w:rFonts w:hint="eastAsia" w:cs="仿宋_GB2312"/>
          <w:snapToGrid w:val="0"/>
          <w:sz w:val="22"/>
        </w:rPr>
        <w:t>3.1 总体目标</w:t>
      </w:r>
    </w:p>
    <w:p>
      <w:pPr>
        <w:spacing w:line="276" w:lineRule="auto"/>
        <w:ind w:firstLine="440" w:firstLineChars="200"/>
        <w:rPr>
          <w:rFonts w:cs="仿宋_GB2312"/>
          <w:snapToGrid w:val="0"/>
          <w:sz w:val="22"/>
        </w:rPr>
      </w:pPr>
      <w:r>
        <w:rPr>
          <w:rFonts w:hint="eastAsia" w:cs="仿宋_GB2312"/>
          <w:snapToGrid w:val="0"/>
          <w:sz w:val="22"/>
        </w:rPr>
        <w:t>3.2 功能要求</w:t>
      </w:r>
    </w:p>
    <w:p>
      <w:pPr>
        <w:tabs>
          <w:tab w:val="left" w:pos="5985"/>
        </w:tabs>
        <w:snapToGrid w:val="0"/>
        <w:spacing w:line="276" w:lineRule="auto"/>
        <w:ind w:firstLine="440" w:firstLineChars="200"/>
        <w:rPr>
          <w:rFonts w:cs="仿宋_GB2312"/>
          <w:snapToGrid w:val="0"/>
          <w:kern w:val="0"/>
          <w:sz w:val="22"/>
        </w:rPr>
      </w:pPr>
      <w:r>
        <w:rPr>
          <w:rFonts w:hint="eastAsia" w:cs="仿宋_GB2312"/>
          <w:sz w:val="22"/>
        </w:rPr>
        <w:t>3.4</w:t>
      </w:r>
      <w:r>
        <w:rPr>
          <w:rFonts w:hint="eastAsia" w:cs="仿宋_GB2312"/>
          <w:snapToGrid w:val="0"/>
          <w:kern w:val="0"/>
          <w:sz w:val="22"/>
        </w:rPr>
        <w:t>实施要求</w:t>
      </w:r>
    </w:p>
    <w:p>
      <w:pPr>
        <w:tabs>
          <w:tab w:val="left" w:pos="5985"/>
        </w:tabs>
        <w:snapToGrid w:val="0"/>
        <w:spacing w:line="276" w:lineRule="auto"/>
        <w:ind w:firstLine="440" w:firstLineChars="200"/>
        <w:rPr>
          <w:rFonts w:cs="仿宋_GB2312"/>
          <w:bCs/>
          <w:sz w:val="22"/>
        </w:rPr>
      </w:pPr>
      <w:r>
        <w:rPr>
          <w:rFonts w:hint="eastAsia" w:cs="仿宋_GB2312"/>
          <w:bCs/>
          <w:sz w:val="22"/>
        </w:rPr>
        <w:t>3.4.1实施工期要求</w:t>
      </w:r>
    </w:p>
    <w:p>
      <w:pPr>
        <w:tabs>
          <w:tab w:val="left" w:pos="5985"/>
        </w:tabs>
        <w:snapToGrid w:val="0"/>
        <w:spacing w:line="276" w:lineRule="auto"/>
        <w:ind w:firstLine="440" w:firstLineChars="200"/>
        <w:rPr>
          <w:rFonts w:cs="仿宋_GB2312"/>
          <w:bCs/>
          <w:sz w:val="22"/>
        </w:rPr>
      </w:pPr>
      <w:r>
        <w:rPr>
          <w:rFonts w:hint="eastAsia" w:cs="仿宋_GB2312"/>
          <w:bCs/>
          <w:sz w:val="22"/>
        </w:rPr>
        <w:t>本项目要求【180】日历天完成</w:t>
      </w:r>
      <w:r>
        <w:rPr>
          <w:rFonts w:hint="eastAsia" w:cs="仿宋_GB2312"/>
          <w:sz w:val="22"/>
          <w:u w:val="single"/>
        </w:rPr>
        <w:t>（含安装调试和试运行）</w:t>
      </w:r>
      <w:r>
        <w:rPr>
          <w:rFonts w:hint="eastAsia" w:cs="仿宋_GB2312"/>
          <w:bCs/>
          <w:sz w:val="22"/>
        </w:rPr>
        <w:t>。</w:t>
      </w:r>
    </w:p>
    <w:p>
      <w:pPr>
        <w:tabs>
          <w:tab w:val="left" w:pos="5985"/>
        </w:tabs>
        <w:snapToGrid w:val="0"/>
        <w:spacing w:line="276" w:lineRule="auto"/>
        <w:ind w:firstLine="440" w:firstLineChars="200"/>
        <w:rPr>
          <w:rFonts w:cs="仿宋_GB2312"/>
          <w:bCs/>
          <w:sz w:val="22"/>
        </w:rPr>
      </w:pPr>
      <w:r>
        <w:rPr>
          <w:rFonts w:hint="eastAsia" w:cs="仿宋_GB2312"/>
          <w:bCs/>
          <w:sz w:val="22"/>
        </w:rPr>
        <w:t>3.4.2项目实施人员要求</w:t>
      </w:r>
    </w:p>
    <w:p>
      <w:pPr>
        <w:tabs>
          <w:tab w:val="left" w:pos="5985"/>
        </w:tabs>
        <w:snapToGrid w:val="0"/>
        <w:spacing w:line="276" w:lineRule="auto"/>
        <w:ind w:firstLine="440" w:firstLineChars="200"/>
        <w:rPr>
          <w:rFonts w:cs="仿宋_GB2312"/>
          <w:bCs/>
          <w:sz w:val="22"/>
        </w:rPr>
      </w:pPr>
      <w:r>
        <w:rPr>
          <w:rFonts w:hint="eastAsia" w:cs="仿宋_GB2312"/>
          <w:bCs/>
          <w:sz w:val="22"/>
        </w:rPr>
        <w:t>1、</w:t>
      </w:r>
    </w:p>
    <w:p>
      <w:pPr>
        <w:tabs>
          <w:tab w:val="left" w:pos="5985"/>
        </w:tabs>
        <w:snapToGrid w:val="0"/>
        <w:spacing w:line="276" w:lineRule="auto"/>
        <w:ind w:firstLine="440" w:firstLineChars="200"/>
        <w:rPr>
          <w:rFonts w:cs="仿宋_GB2312"/>
          <w:bCs/>
          <w:sz w:val="22"/>
        </w:rPr>
      </w:pPr>
      <w:r>
        <w:rPr>
          <w:rFonts w:hint="eastAsia" w:cs="仿宋_GB2312"/>
          <w:bCs/>
          <w:sz w:val="22"/>
        </w:rPr>
        <w:t>2、</w:t>
      </w:r>
    </w:p>
    <w:p>
      <w:pPr>
        <w:tabs>
          <w:tab w:val="left" w:pos="5985"/>
        </w:tabs>
        <w:snapToGrid w:val="0"/>
        <w:spacing w:line="276" w:lineRule="auto"/>
        <w:ind w:firstLine="440" w:firstLineChars="200"/>
        <w:rPr>
          <w:rFonts w:cs="仿宋_GB2312"/>
          <w:bCs/>
          <w:sz w:val="22"/>
        </w:rPr>
      </w:pPr>
      <w:r>
        <w:rPr>
          <w:rFonts w:hint="eastAsia" w:cs="仿宋_GB2312"/>
          <w:bCs/>
          <w:sz w:val="22"/>
        </w:rPr>
        <w:t>3、</w:t>
      </w:r>
    </w:p>
    <w:p>
      <w:pPr>
        <w:tabs>
          <w:tab w:val="left" w:pos="5985"/>
        </w:tabs>
        <w:snapToGrid w:val="0"/>
        <w:spacing w:line="276" w:lineRule="auto"/>
        <w:ind w:firstLine="440" w:firstLineChars="200"/>
        <w:rPr>
          <w:rFonts w:cs="仿宋_GB2312"/>
          <w:bCs/>
          <w:sz w:val="22"/>
        </w:rPr>
      </w:pPr>
      <w:r>
        <w:rPr>
          <w:rFonts w:hint="eastAsia" w:cs="仿宋_GB2312"/>
          <w:bCs/>
          <w:sz w:val="22"/>
        </w:rPr>
        <w:t>3.4.2实施过程要求</w:t>
      </w:r>
    </w:p>
    <w:p>
      <w:pPr>
        <w:tabs>
          <w:tab w:val="left" w:pos="5985"/>
        </w:tabs>
        <w:snapToGrid w:val="0"/>
        <w:spacing w:line="276" w:lineRule="auto"/>
        <w:ind w:firstLine="440" w:firstLineChars="200"/>
        <w:rPr>
          <w:rFonts w:cs="仿宋_GB2312"/>
          <w:bCs/>
          <w:sz w:val="22"/>
        </w:rPr>
      </w:pPr>
      <w:r>
        <w:rPr>
          <w:rFonts w:hint="eastAsia" w:cs="仿宋_GB2312"/>
          <w:bCs/>
          <w:sz w:val="22"/>
        </w:rPr>
        <w:t>1、</w:t>
      </w:r>
    </w:p>
    <w:p>
      <w:pPr>
        <w:tabs>
          <w:tab w:val="left" w:pos="5985"/>
        </w:tabs>
        <w:snapToGrid w:val="0"/>
        <w:spacing w:line="276" w:lineRule="auto"/>
        <w:ind w:firstLine="440" w:firstLineChars="200"/>
        <w:rPr>
          <w:rFonts w:cs="仿宋_GB2312"/>
          <w:bCs/>
          <w:sz w:val="22"/>
        </w:rPr>
      </w:pPr>
      <w:r>
        <w:rPr>
          <w:rFonts w:hint="eastAsia" w:cs="仿宋_GB2312"/>
          <w:bCs/>
          <w:sz w:val="22"/>
        </w:rPr>
        <w:t>2、</w:t>
      </w:r>
    </w:p>
    <w:p>
      <w:pPr>
        <w:tabs>
          <w:tab w:val="left" w:pos="5985"/>
        </w:tabs>
        <w:snapToGrid w:val="0"/>
        <w:spacing w:line="276" w:lineRule="auto"/>
        <w:ind w:firstLine="440" w:firstLineChars="200"/>
        <w:rPr>
          <w:rFonts w:cs="仿宋_GB2312"/>
          <w:bCs/>
          <w:sz w:val="22"/>
        </w:rPr>
      </w:pPr>
      <w:r>
        <w:rPr>
          <w:rFonts w:hint="eastAsia" w:cs="仿宋_GB2312"/>
          <w:bCs/>
          <w:sz w:val="22"/>
        </w:rPr>
        <w:t>3、</w:t>
      </w:r>
    </w:p>
    <w:p>
      <w:pPr>
        <w:adjustRightInd w:val="0"/>
        <w:snapToGrid w:val="0"/>
        <w:ind w:firstLine="440" w:firstLineChars="200"/>
        <w:jc w:val="left"/>
        <w:rPr>
          <w:rFonts w:ascii="宋体" w:hAnsi="宋体"/>
          <w:b/>
          <w:sz w:val="22"/>
        </w:rPr>
      </w:pPr>
      <w:r>
        <w:rPr>
          <w:rFonts w:hint="eastAsia" w:ascii="宋体" w:hAnsi="宋体"/>
          <w:b/>
          <w:sz w:val="22"/>
        </w:rPr>
        <w:t>四、技术资料</w:t>
      </w:r>
    </w:p>
    <w:p>
      <w:pPr>
        <w:adjustRightInd w:val="0"/>
        <w:snapToGrid w:val="0"/>
        <w:spacing w:line="276" w:lineRule="auto"/>
        <w:ind w:firstLine="440" w:firstLineChars="200"/>
        <w:jc w:val="left"/>
        <w:rPr>
          <w:rFonts w:cs="仿宋_GB2312"/>
          <w:sz w:val="22"/>
        </w:rPr>
      </w:pPr>
      <w:r>
        <w:rPr>
          <w:rFonts w:hint="eastAsia" w:cs="仿宋_GB2312"/>
          <w:sz w:val="22"/>
        </w:rPr>
        <w:t>1.乙方应在</w:t>
      </w:r>
      <w:r>
        <w:rPr>
          <w:rFonts w:hint="eastAsia" w:cs="仿宋_GB2312"/>
          <w:sz w:val="22"/>
          <w:u w:val="single"/>
        </w:rPr>
        <w:t xml:space="preserve">项目最终验收前【3】日内 </w:t>
      </w:r>
      <w:r>
        <w:rPr>
          <w:rFonts w:hint="eastAsia" w:cs="仿宋_GB2312"/>
          <w:sz w:val="22"/>
        </w:rPr>
        <w:t>向甲方提供使用系统的有关技术资料。乙方按照本合同约定期间交付符合本合同规定的货物和服务以及全部技术资料的，方视为完成交付义务。</w:t>
      </w:r>
    </w:p>
    <w:p>
      <w:pPr>
        <w:adjustRightInd w:val="0"/>
        <w:snapToGrid w:val="0"/>
        <w:ind w:firstLine="440" w:firstLineChars="200"/>
        <w:jc w:val="left"/>
        <w:rPr>
          <w:rFonts w:ascii="宋体" w:hAnsi="宋体"/>
          <w:sz w:val="22"/>
        </w:rPr>
      </w:pPr>
      <w:r>
        <w:rPr>
          <w:rFonts w:hint="eastAsia" w:cs="仿宋_GB2312"/>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ind w:firstLine="440" w:firstLineChars="200"/>
        <w:jc w:val="left"/>
        <w:rPr>
          <w:rFonts w:ascii="宋体" w:hAnsi="宋体"/>
          <w:b/>
          <w:sz w:val="22"/>
        </w:rPr>
      </w:pPr>
      <w:r>
        <w:rPr>
          <w:rFonts w:hint="eastAsia" w:ascii="宋体" w:hAnsi="宋体"/>
          <w:b/>
          <w:sz w:val="22"/>
        </w:rPr>
        <w:t>五、知识产权</w:t>
      </w:r>
    </w:p>
    <w:p>
      <w:pPr>
        <w:adjustRightInd w:val="0"/>
        <w:snapToGrid w:val="0"/>
        <w:ind w:firstLine="440" w:firstLineChars="200"/>
        <w:jc w:val="left"/>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ind w:firstLine="420" w:firstLineChars="200"/>
        <w:jc w:val="left"/>
        <w:rPr>
          <w:rFonts w:ascii="宋体" w:hAnsi="宋体"/>
          <w:b/>
          <w:sz w:val="22"/>
        </w:rPr>
      </w:pPr>
      <w:r>
        <w:rPr>
          <w:rFonts w:hint="eastAsia" w:ascii="宋体" w:hAnsi="宋体"/>
          <w:b/>
          <w:szCs w:val="21"/>
        </w:rPr>
        <w:t>六</w:t>
      </w:r>
      <w:r>
        <w:rPr>
          <w:rFonts w:hint="eastAsia" w:ascii="宋体" w:hAnsi="宋体"/>
          <w:b/>
          <w:sz w:val="22"/>
        </w:rPr>
        <w:t>、产权担保</w:t>
      </w:r>
    </w:p>
    <w:p>
      <w:pPr>
        <w:adjustRightInd w:val="0"/>
        <w:snapToGrid w:val="0"/>
        <w:ind w:firstLine="440" w:firstLineChars="200"/>
        <w:jc w:val="left"/>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ind w:firstLine="420" w:firstLineChars="200"/>
        <w:jc w:val="left"/>
        <w:rPr>
          <w:rFonts w:ascii="宋体" w:hAnsi="宋体"/>
          <w:b/>
          <w:szCs w:val="21"/>
        </w:rPr>
      </w:pPr>
      <w:r>
        <w:rPr>
          <w:rFonts w:hint="eastAsia" w:ascii="宋体" w:hAnsi="宋体"/>
          <w:b/>
          <w:szCs w:val="21"/>
        </w:rPr>
        <w:t>七、转包或分包</w:t>
      </w:r>
    </w:p>
    <w:p>
      <w:pPr>
        <w:adjustRightInd w:val="0"/>
        <w:snapToGrid w:val="0"/>
        <w:ind w:firstLine="420" w:firstLineChars="200"/>
        <w:jc w:val="left"/>
        <w:rPr>
          <w:rFonts w:ascii="宋体" w:hAnsi="宋体"/>
          <w:szCs w:val="21"/>
        </w:rPr>
      </w:pPr>
      <w:r>
        <w:rPr>
          <w:rFonts w:hint="eastAsia" w:ascii="宋体" w:hAnsi="宋体"/>
          <w:b/>
          <w:szCs w:val="21"/>
        </w:rPr>
        <w:t>1.</w:t>
      </w:r>
      <w:r>
        <w:rPr>
          <w:rFonts w:hint="eastAsia" w:ascii="宋体" w:hAnsi="宋体"/>
          <w:szCs w:val="21"/>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ind w:firstLine="420" w:firstLineChars="200"/>
        <w:jc w:val="left"/>
        <w:rPr>
          <w:rFonts w:ascii="宋体" w:hAnsi="宋体"/>
          <w:szCs w:val="21"/>
        </w:rPr>
      </w:pPr>
      <w:r>
        <w:rPr>
          <w:rFonts w:hint="eastAsia" w:ascii="宋体" w:hAnsi="宋体"/>
          <w:b/>
          <w:szCs w:val="21"/>
        </w:rPr>
        <w:t>2.</w:t>
      </w:r>
      <w:r>
        <w:rPr>
          <w:rFonts w:hint="eastAsia" w:ascii="宋体" w:hAnsi="宋体"/>
          <w:szCs w:val="21"/>
        </w:rPr>
        <w:t>如有未经甲方书面同意的转让和分包行为，甲方有权解除合同，并追究乙方的违约责任。</w:t>
      </w:r>
    </w:p>
    <w:p>
      <w:pPr>
        <w:adjustRightInd w:val="0"/>
        <w:snapToGrid w:val="0"/>
        <w:ind w:firstLine="420" w:firstLineChars="200"/>
        <w:jc w:val="left"/>
        <w:outlineLvl w:val="0"/>
        <w:rPr>
          <w:rFonts w:ascii="宋体" w:hAnsi="宋体"/>
          <w:b/>
          <w:szCs w:val="21"/>
        </w:rPr>
      </w:pPr>
      <w:r>
        <w:rPr>
          <w:rFonts w:hint="eastAsia" w:ascii="宋体" w:hAnsi="宋体"/>
          <w:b/>
          <w:szCs w:val="21"/>
        </w:rPr>
        <w:t>八、货物包装、发运及运输</w:t>
      </w:r>
    </w:p>
    <w:p>
      <w:pPr>
        <w:adjustRightInd w:val="0"/>
        <w:snapToGrid w:val="0"/>
        <w:ind w:firstLine="420" w:firstLineChars="200"/>
        <w:jc w:val="left"/>
        <w:rPr>
          <w:rFonts w:ascii="宋体" w:hAnsi="宋体"/>
          <w:szCs w:val="21"/>
        </w:rPr>
      </w:pPr>
      <w:r>
        <w:rPr>
          <w:rFonts w:hint="eastAsia" w:ascii="宋体" w:hAnsi="宋体"/>
          <w:b/>
          <w:szCs w:val="21"/>
        </w:rPr>
        <w:t>1.</w:t>
      </w:r>
      <w:r>
        <w:rPr>
          <w:rFonts w:hint="eastAsia" w:ascii="宋体" w:hAnsi="宋体"/>
          <w:szCs w:val="21"/>
        </w:rPr>
        <w:t>乙方应在货物发运前对其按满足运输距离、防潮、防震、防锈和防破损装卸等要求进行包装，以保证货物安全运达甲方指定地点。</w:t>
      </w:r>
    </w:p>
    <w:p>
      <w:pPr>
        <w:adjustRightInd w:val="0"/>
        <w:snapToGrid w:val="0"/>
        <w:ind w:firstLine="420" w:firstLineChars="200"/>
        <w:jc w:val="left"/>
        <w:rPr>
          <w:rFonts w:ascii="宋体" w:hAnsi="宋体"/>
          <w:szCs w:val="21"/>
        </w:rPr>
      </w:pPr>
      <w:r>
        <w:rPr>
          <w:rFonts w:hint="eastAsia" w:ascii="宋体" w:hAnsi="宋体"/>
          <w:b/>
          <w:szCs w:val="21"/>
        </w:rPr>
        <w:t>2.</w:t>
      </w:r>
      <w:r>
        <w:rPr>
          <w:rFonts w:hint="eastAsia" w:ascii="宋体" w:hAnsi="宋体"/>
          <w:szCs w:val="21"/>
        </w:rPr>
        <w:t>使用说明书、质量检验证明书、随配附件和工具以及清单一并附于货物内。</w:t>
      </w:r>
    </w:p>
    <w:p>
      <w:pPr>
        <w:adjustRightInd w:val="0"/>
        <w:snapToGrid w:val="0"/>
        <w:ind w:firstLine="420" w:firstLineChars="200"/>
        <w:jc w:val="left"/>
        <w:rPr>
          <w:rFonts w:ascii="宋体" w:hAnsi="宋体"/>
          <w:szCs w:val="21"/>
        </w:rPr>
      </w:pPr>
      <w:r>
        <w:rPr>
          <w:rFonts w:hint="eastAsia" w:ascii="宋体" w:hAnsi="宋体"/>
          <w:b/>
          <w:szCs w:val="21"/>
        </w:rPr>
        <w:t>3.</w:t>
      </w:r>
      <w:r>
        <w:rPr>
          <w:rFonts w:hint="eastAsia" w:ascii="宋体" w:hAnsi="宋体"/>
          <w:szCs w:val="21"/>
        </w:rPr>
        <w:t>乙方在货物发运手续办理完毕后24小时内必须书面通知甲方，以便甲方准备接货。</w:t>
      </w:r>
    </w:p>
    <w:p>
      <w:pPr>
        <w:adjustRightInd w:val="0"/>
        <w:snapToGrid w:val="0"/>
        <w:ind w:firstLine="420" w:firstLineChars="200"/>
        <w:jc w:val="left"/>
        <w:rPr>
          <w:rFonts w:ascii="宋体" w:hAnsi="宋体"/>
          <w:szCs w:val="21"/>
        </w:rPr>
      </w:pPr>
      <w:r>
        <w:rPr>
          <w:rFonts w:hint="eastAsia" w:ascii="宋体" w:hAnsi="宋体"/>
          <w:b/>
          <w:szCs w:val="21"/>
        </w:rPr>
        <w:t>4.</w:t>
      </w:r>
      <w:r>
        <w:rPr>
          <w:rFonts w:hint="eastAsia" w:ascii="宋体" w:hAnsi="宋体"/>
          <w:szCs w:val="21"/>
        </w:rPr>
        <w:t>货物在本合同规定的交货地点交付甲方前发生的一切风险包括货物运输风险均由乙方负责。</w:t>
      </w:r>
    </w:p>
    <w:p>
      <w:pPr>
        <w:adjustRightInd w:val="0"/>
        <w:snapToGrid w:val="0"/>
        <w:ind w:firstLine="420" w:firstLineChars="200"/>
        <w:jc w:val="left"/>
        <w:rPr>
          <w:rFonts w:ascii="宋体" w:hAnsi="宋体"/>
          <w:szCs w:val="21"/>
        </w:rPr>
      </w:pPr>
      <w:r>
        <w:rPr>
          <w:rFonts w:hint="eastAsia" w:ascii="宋体" w:hAnsi="宋体"/>
          <w:b/>
          <w:szCs w:val="21"/>
        </w:rPr>
        <w:t>5.</w:t>
      </w:r>
      <w:r>
        <w:rPr>
          <w:rFonts w:hint="eastAsia" w:ascii="宋体" w:hAnsi="宋体"/>
          <w:szCs w:val="21"/>
        </w:rPr>
        <w:t>货物在规定的交付期限内由乙方送达甲方指定的交货地点并经甲方签收后视为交付，乙方同时必须在货物到达的当天立即通知甲方货物已送达。</w:t>
      </w:r>
    </w:p>
    <w:p>
      <w:pPr>
        <w:adjustRightInd w:val="0"/>
        <w:snapToGrid w:val="0"/>
        <w:ind w:firstLine="440" w:firstLineChars="200"/>
        <w:jc w:val="left"/>
        <w:outlineLvl w:val="0"/>
        <w:rPr>
          <w:rFonts w:ascii="宋体" w:hAnsi="宋体"/>
          <w:b/>
          <w:sz w:val="22"/>
        </w:rPr>
      </w:pPr>
      <w:bookmarkStart w:id="113" w:name="_Toc478453295"/>
      <w:r>
        <w:rPr>
          <w:rFonts w:hint="eastAsia" w:ascii="宋体" w:hAnsi="宋体"/>
          <w:b/>
          <w:sz w:val="22"/>
        </w:rPr>
        <w:t>九、交货期、交货方式</w:t>
      </w:r>
      <w:bookmarkEnd w:id="113"/>
    </w:p>
    <w:p>
      <w:pPr>
        <w:adjustRightInd w:val="0"/>
        <w:snapToGrid w:val="0"/>
        <w:ind w:firstLine="420" w:firstLineChars="200"/>
        <w:jc w:val="left"/>
        <w:rPr>
          <w:rFonts w:ascii="宋体" w:hAnsi="宋体"/>
          <w:szCs w:val="21"/>
        </w:rPr>
      </w:pPr>
      <w:bookmarkStart w:id="114" w:name="_Toc478453296"/>
      <w:r>
        <w:rPr>
          <w:rFonts w:hint="eastAsia" w:ascii="宋体" w:hAnsi="宋体"/>
          <w:szCs w:val="21"/>
        </w:rPr>
        <w:t>1.交货期：合同生效之日起    日历天。</w:t>
      </w:r>
    </w:p>
    <w:p>
      <w:pPr>
        <w:adjustRightInd w:val="0"/>
        <w:snapToGrid w:val="0"/>
        <w:ind w:firstLine="420" w:firstLineChars="200"/>
        <w:jc w:val="left"/>
        <w:rPr>
          <w:rFonts w:ascii="宋体" w:hAnsi="宋体"/>
          <w:szCs w:val="21"/>
        </w:rPr>
      </w:pPr>
      <w:r>
        <w:rPr>
          <w:rFonts w:hint="eastAsia" w:ascii="宋体" w:hAnsi="宋体"/>
          <w:szCs w:val="21"/>
        </w:rPr>
        <w:t>2.交货地点：杭州萧山国际机场内</w:t>
      </w:r>
    </w:p>
    <w:p>
      <w:pPr>
        <w:adjustRightInd w:val="0"/>
        <w:snapToGrid w:val="0"/>
        <w:ind w:firstLine="420" w:firstLineChars="200"/>
        <w:jc w:val="left"/>
        <w:rPr>
          <w:rFonts w:ascii="宋体" w:hAnsi="宋体"/>
          <w:szCs w:val="21"/>
        </w:rPr>
      </w:pPr>
      <w:r>
        <w:rPr>
          <w:rFonts w:hint="eastAsia" w:ascii="宋体" w:hAnsi="宋体"/>
          <w:szCs w:val="21"/>
        </w:rPr>
        <w:t>3.交货方式：乙方在甲方安装联调系统。</w:t>
      </w:r>
    </w:p>
    <w:p>
      <w:pPr>
        <w:adjustRightInd w:val="0"/>
        <w:snapToGrid w:val="0"/>
        <w:ind w:firstLine="440" w:firstLineChars="200"/>
        <w:jc w:val="left"/>
        <w:outlineLvl w:val="0"/>
        <w:rPr>
          <w:rFonts w:ascii="宋体" w:hAnsi="宋体"/>
          <w:b/>
          <w:sz w:val="22"/>
        </w:rPr>
      </w:pPr>
      <w:r>
        <w:rPr>
          <w:rFonts w:hint="eastAsia" w:ascii="宋体" w:hAnsi="宋体"/>
          <w:b/>
          <w:sz w:val="22"/>
        </w:rPr>
        <w:t>十、安装、调试及验收</w:t>
      </w:r>
      <w:bookmarkEnd w:id="114"/>
    </w:p>
    <w:p>
      <w:pPr>
        <w:adjustRightInd w:val="0"/>
        <w:snapToGrid w:val="0"/>
        <w:spacing w:line="276" w:lineRule="auto"/>
        <w:ind w:firstLine="420" w:firstLineChars="200"/>
        <w:jc w:val="left"/>
        <w:rPr>
          <w:rFonts w:cs="仿宋_GB2312"/>
          <w:sz w:val="22"/>
        </w:rPr>
      </w:pPr>
      <w:bookmarkStart w:id="115" w:name="_Toc478453297"/>
      <w:r>
        <w:rPr>
          <w:rFonts w:hint="eastAsia" w:ascii="宋体" w:hAnsi="宋体"/>
          <w:szCs w:val="21"/>
        </w:rPr>
        <w:t>1.</w:t>
      </w:r>
      <w:r>
        <w:rPr>
          <w:rFonts w:hint="eastAsia" w:cs="仿宋_GB2312"/>
          <w:sz w:val="22"/>
        </w:rPr>
        <w:t>乙方系统开发完成后，负责在甲方完成现场安装、调试，确保系统正常运行。系统安装、调试完毕由乙方提交甲方初验，甲方按本合同及招标文件的要求对系统进行初验，初验合格后，进入为期【3</w:t>
      </w:r>
      <w:r>
        <w:rPr>
          <w:rFonts w:cs="仿宋_GB2312"/>
          <w:sz w:val="22"/>
        </w:rPr>
        <w:t>0</w:t>
      </w:r>
      <w:r>
        <w:rPr>
          <w:rFonts w:hint="eastAsia" w:cs="仿宋_GB2312"/>
          <w:sz w:val="22"/>
        </w:rPr>
        <w:t>】天的试运行。</w:t>
      </w:r>
    </w:p>
    <w:p>
      <w:pPr>
        <w:adjustRightInd w:val="0"/>
        <w:snapToGrid w:val="0"/>
        <w:spacing w:line="276" w:lineRule="auto"/>
        <w:ind w:firstLine="440" w:firstLineChars="200"/>
        <w:jc w:val="left"/>
        <w:rPr>
          <w:rFonts w:cs="仿宋_GB2312"/>
          <w:sz w:val="22"/>
        </w:rPr>
      </w:pPr>
      <w:r>
        <w:rPr>
          <w:rFonts w:hint="eastAsia" w:cs="仿宋_GB2312"/>
          <w:sz w:val="22"/>
        </w:rPr>
        <w:t>初验的标准是：乙方已完成所有软硬件设备安装和调试工作，所提供的软硬件设备满足本合同及招标文件的所有要求，提交合同货物文件、现场安装报告并根据软硬件设备可能出现的问题拟订应急处理计划（方案），并在软硬件设备启用前进行营运测试和评估，测试合格后提交甲方设备软硬件的功能进行初验,满足甲方功能要求的，甲方签署《初验报告》视为初验通过，乙方提交系统上线试运行。</w:t>
      </w:r>
    </w:p>
    <w:p>
      <w:pPr>
        <w:snapToGrid w:val="0"/>
        <w:spacing w:line="276" w:lineRule="auto"/>
        <w:ind w:firstLine="440" w:firstLineChars="200"/>
        <w:jc w:val="left"/>
        <w:rPr>
          <w:rFonts w:cs="仿宋_GB2312"/>
          <w:sz w:val="22"/>
        </w:rPr>
      </w:pPr>
      <w:r>
        <w:rPr>
          <w:rFonts w:hint="eastAsia" w:cs="仿宋_GB2312"/>
          <w:sz w:val="22"/>
        </w:rPr>
        <w:t>2.试运行：</w:t>
      </w:r>
      <w:r>
        <w:rPr>
          <w:rFonts w:hint="eastAsia" w:ascii="宋体" w:hAnsi="宋体" w:cs="仿宋_GB2312"/>
          <w:kern w:val="0"/>
          <w:szCs w:val="21"/>
        </w:rPr>
        <w:t>初验合格后，进入为期【3</w:t>
      </w:r>
      <w:r>
        <w:rPr>
          <w:rFonts w:ascii="宋体" w:hAnsi="宋体" w:cs="仿宋_GB2312"/>
          <w:kern w:val="0"/>
          <w:szCs w:val="21"/>
        </w:rPr>
        <w:t>0</w:t>
      </w:r>
      <w:r>
        <w:rPr>
          <w:rFonts w:hint="eastAsia" w:ascii="宋体" w:hAnsi="宋体" w:cs="仿宋_GB2312"/>
          <w:kern w:val="0"/>
          <w:szCs w:val="21"/>
        </w:rPr>
        <w:t>】天的试运行。若试运行期间系统运行不稳定或存在功能缺陷，且试运行期间问题没有解决，则试运行结束日期顺延，直到解决所有问题。项目实施试运行期间，提供</w:t>
      </w:r>
      <w:r>
        <w:rPr>
          <w:rFonts w:hint="eastAsia" w:cs="仿宋_GB2312"/>
          <w:sz w:val="22"/>
        </w:rPr>
        <w:t xml:space="preserve">【 </w:t>
      </w:r>
      <w:r>
        <w:rPr>
          <w:rFonts w:cs="仿宋_GB2312"/>
          <w:sz w:val="22"/>
        </w:rPr>
        <w:t>30</w:t>
      </w:r>
      <w:r>
        <w:rPr>
          <w:rFonts w:hint="eastAsia" w:cs="仿宋_GB2312"/>
          <w:sz w:val="22"/>
        </w:rPr>
        <w:t xml:space="preserve"> 】人/天的原厂现场技术支持服务。</w:t>
      </w:r>
    </w:p>
    <w:p>
      <w:pPr>
        <w:adjustRightInd w:val="0"/>
        <w:snapToGrid w:val="0"/>
        <w:spacing w:line="276" w:lineRule="auto"/>
        <w:ind w:firstLine="440" w:firstLineChars="200"/>
        <w:jc w:val="left"/>
        <w:outlineLvl w:val="0"/>
        <w:rPr>
          <w:rFonts w:ascii="宋体" w:hAnsi="宋体" w:cs="仿宋_GB2312"/>
          <w:kern w:val="0"/>
          <w:szCs w:val="21"/>
        </w:rPr>
      </w:pPr>
      <w:r>
        <w:rPr>
          <w:rFonts w:hint="eastAsia" w:cs="仿宋_GB2312"/>
          <w:sz w:val="22"/>
        </w:rPr>
        <w:t>3.终验标准是：</w:t>
      </w:r>
      <w:r>
        <w:rPr>
          <w:rFonts w:hint="eastAsia" w:ascii="宋体" w:hAnsi="宋体" w:cs="仿宋_GB2312"/>
          <w:kern w:val="0"/>
          <w:szCs w:val="21"/>
        </w:rPr>
        <w:t>试运行期结束，乙方提交《试运行记录报告》和系统维护文档，系统性能、功能满足合同和需求分析确认文件的要求，且试运行期间的问题得到解决，提供合同规定的全部货物和资料后，乙方提交甲方进行项目终验，甲方签署《终验报告》视为终验合格。</w:t>
      </w:r>
    </w:p>
    <w:p>
      <w:pPr>
        <w:adjustRightInd w:val="0"/>
        <w:snapToGrid w:val="0"/>
        <w:spacing w:line="276" w:lineRule="auto"/>
        <w:ind w:firstLine="440" w:firstLineChars="200"/>
        <w:jc w:val="left"/>
        <w:outlineLvl w:val="0"/>
        <w:rPr>
          <w:rFonts w:cs="仿宋_GB2312"/>
          <w:sz w:val="22"/>
        </w:rPr>
      </w:pPr>
      <w:r>
        <w:rPr>
          <w:rFonts w:hint="eastAsia" w:cs="仿宋_GB2312"/>
          <w:sz w:val="22"/>
        </w:rPr>
        <w:t>4.乙方安装调试系统前应对产品做出全面检查和对验收文件进行整理，并列出清单，作为甲方验收和使用的技术条件依据，乙方检验的结果应随系统交甲方。</w:t>
      </w:r>
    </w:p>
    <w:p>
      <w:pPr>
        <w:adjustRightInd w:val="0"/>
        <w:snapToGrid w:val="0"/>
        <w:spacing w:line="276" w:lineRule="auto"/>
        <w:ind w:firstLine="440" w:firstLineChars="200"/>
        <w:jc w:val="left"/>
        <w:outlineLvl w:val="0"/>
        <w:rPr>
          <w:rFonts w:cs="仿宋_GB2312"/>
          <w:sz w:val="22"/>
        </w:rPr>
      </w:pPr>
      <w:r>
        <w:rPr>
          <w:rFonts w:hint="eastAsia" w:cs="仿宋_GB2312"/>
          <w:sz w:val="22"/>
        </w:rPr>
        <w:t>5.甲方在验收后如发现产品的品种、型号、规格、数量或质量不符合合同约定或相关质量要求，甲方应在验收之日起【7】日内以书面或电话形式向乙方提出异议；乙方应当在收到甲方异议之日起【3】日内作出答复或与甲方协商处理，并承担由此产生的相关费用。在上述异议期及产品质量问题的处理期间，甲方有权中止本合同项下的付款义务。</w:t>
      </w:r>
    </w:p>
    <w:p>
      <w:pPr>
        <w:adjustRightInd w:val="0"/>
        <w:snapToGrid w:val="0"/>
        <w:spacing w:line="276" w:lineRule="auto"/>
        <w:ind w:firstLine="440" w:firstLineChars="200"/>
        <w:jc w:val="left"/>
        <w:outlineLvl w:val="0"/>
        <w:rPr>
          <w:rFonts w:cs="仿宋_GB2312"/>
          <w:sz w:val="22"/>
        </w:rPr>
      </w:pPr>
      <w:r>
        <w:rPr>
          <w:rFonts w:hint="eastAsia" w:cs="仿宋_GB2312"/>
          <w:sz w:val="22"/>
        </w:rPr>
        <w:t>6如甲方未按上述规定期限提出质量异议的，视为乙方所交付的产品符合合同规定；乙方未按上述规定期限做出答复或负责处理的，则视为乙方同意甲方提出的异议和处理意见。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276" w:lineRule="auto"/>
        <w:ind w:firstLine="440" w:firstLineChars="200"/>
        <w:jc w:val="left"/>
        <w:outlineLvl w:val="0"/>
        <w:rPr>
          <w:rFonts w:cs="仿宋_GB2312"/>
          <w:sz w:val="22"/>
        </w:rPr>
      </w:pPr>
      <w:r>
        <w:rPr>
          <w:rFonts w:hint="eastAsia" w:cs="仿宋_GB2312"/>
          <w:sz w:val="22"/>
        </w:rPr>
        <w:t>7.免费技术培训：应提供对甲方的维护操作技术培训，培训包括现场培训，使甲方能够掌握软件产品使用的基本要求，做好技术档案移交。</w:t>
      </w:r>
    </w:p>
    <w:p>
      <w:pPr>
        <w:adjustRightInd w:val="0"/>
        <w:snapToGrid w:val="0"/>
        <w:ind w:firstLine="440" w:firstLineChars="200"/>
        <w:jc w:val="left"/>
        <w:outlineLvl w:val="0"/>
        <w:rPr>
          <w:rFonts w:ascii="宋体" w:hAnsi="宋体"/>
          <w:b/>
          <w:sz w:val="22"/>
        </w:rPr>
      </w:pPr>
      <w:r>
        <w:rPr>
          <w:rFonts w:hint="eastAsia" w:ascii="宋体" w:hAnsi="宋体"/>
          <w:b/>
          <w:sz w:val="22"/>
        </w:rPr>
        <w:t>十一、货款支付</w:t>
      </w:r>
      <w:bookmarkEnd w:id="115"/>
    </w:p>
    <w:p>
      <w:pPr>
        <w:adjustRightInd w:val="0"/>
        <w:snapToGrid w:val="0"/>
        <w:ind w:firstLine="420" w:firstLineChars="200"/>
        <w:jc w:val="left"/>
        <w:rPr>
          <w:rFonts w:ascii="宋体" w:hAnsi="宋体"/>
          <w:b/>
          <w:szCs w:val="21"/>
        </w:rPr>
      </w:pPr>
      <w:bookmarkStart w:id="116" w:name="_Toc478453298"/>
      <w:r>
        <w:rPr>
          <w:rFonts w:ascii="宋体" w:hAnsi="宋体"/>
          <w:b/>
          <w:szCs w:val="21"/>
        </w:rPr>
        <w:t>1.预付款：合同签订后，乙方提交《项目进度计划》并经甲方书面确认后30日内，甲方凭乙方出具的增值税专用发票(发票含税金额为合同总金额的20%)，支付乙方合同总价的20%作为预付款；</w:t>
      </w:r>
    </w:p>
    <w:p>
      <w:pPr>
        <w:adjustRightInd w:val="0"/>
        <w:snapToGrid w:val="0"/>
        <w:ind w:firstLine="420" w:firstLineChars="200"/>
        <w:jc w:val="left"/>
        <w:rPr>
          <w:rFonts w:ascii="宋体" w:hAnsi="宋体"/>
          <w:b/>
          <w:szCs w:val="21"/>
        </w:rPr>
      </w:pPr>
      <w:r>
        <w:rPr>
          <w:rFonts w:ascii="宋体" w:hAnsi="宋体"/>
          <w:b/>
          <w:szCs w:val="21"/>
        </w:rPr>
        <w:t>2.终验款：自助登机门系统经甲方终验合格且甲方签署《项目终验报告》后30日内，甲方凭乙方出具的增值税专用发票(发票含税金额为合同总金额的80%)支付乙方合同总金额的75 %（累计甲方支付乙方合同总金额的95%，累计乙方开具100%全额发票）；</w:t>
      </w:r>
    </w:p>
    <w:p>
      <w:pPr>
        <w:snapToGrid w:val="0"/>
        <w:spacing w:line="276" w:lineRule="auto"/>
        <w:ind w:firstLine="420" w:firstLineChars="200"/>
        <w:jc w:val="left"/>
        <w:rPr>
          <w:rFonts w:ascii="宋体" w:hAnsi="宋体"/>
          <w:b/>
          <w:szCs w:val="21"/>
        </w:rPr>
      </w:pPr>
      <w:r>
        <w:rPr>
          <w:rFonts w:ascii="宋体" w:hAnsi="宋体"/>
          <w:b/>
          <w:szCs w:val="21"/>
        </w:rPr>
        <w:t>3.合同总价的5%作为质保金，结合质保服务考核表考核结果（详见附件4.质保服务考核表），自终验合格之日起，每满一年后的30日内支付合同总价的1%，在第5年满后30日内累计支付合同总价的100%。在每次付款前，乙方出具相应金额的收据作为质保金支付申请。</w:t>
      </w:r>
    </w:p>
    <w:p>
      <w:pPr>
        <w:snapToGrid w:val="0"/>
        <w:spacing w:line="276" w:lineRule="auto"/>
        <w:ind w:firstLine="440" w:firstLineChars="200"/>
        <w:jc w:val="left"/>
        <w:rPr>
          <w:rFonts w:hint="eastAsia" w:cs="仿宋_GB2312"/>
          <w:b/>
          <w:kern w:val="0"/>
          <w:sz w:val="22"/>
        </w:rPr>
      </w:pPr>
    </w:p>
    <w:p>
      <w:pPr>
        <w:adjustRightInd w:val="0"/>
        <w:snapToGrid w:val="0"/>
        <w:ind w:firstLine="440" w:firstLineChars="200"/>
        <w:jc w:val="left"/>
        <w:outlineLvl w:val="0"/>
        <w:rPr>
          <w:rFonts w:ascii="宋体" w:hAnsi="宋体"/>
          <w:b/>
          <w:szCs w:val="21"/>
        </w:rPr>
      </w:pPr>
      <w:r>
        <w:rPr>
          <w:rFonts w:hint="eastAsia" w:ascii="宋体" w:hAnsi="宋体"/>
          <w:b/>
          <w:sz w:val="22"/>
        </w:rPr>
        <w:t>十二、履约担保金</w:t>
      </w:r>
    </w:p>
    <w:p>
      <w:pPr>
        <w:adjustRightInd w:val="0"/>
        <w:snapToGrid w:val="0"/>
        <w:spacing w:line="276" w:lineRule="auto"/>
        <w:ind w:firstLine="440" w:firstLineChars="200"/>
        <w:jc w:val="left"/>
        <w:outlineLvl w:val="0"/>
        <w:rPr>
          <w:rFonts w:cs="仿宋_GB2312"/>
          <w:sz w:val="22"/>
        </w:rPr>
      </w:pPr>
      <w:r>
        <w:rPr>
          <w:rFonts w:hint="eastAsia" w:cs="仿宋_GB2312"/>
          <w:sz w:val="22"/>
        </w:rPr>
        <w:t xml:space="preserve">1.履约保证金金额（人民币）： </w:t>
      </w:r>
      <w:r>
        <w:rPr>
          <w:rFonts w:hint="eastAsia" w:ascii="宋体" w:hAnsi="宋体"/>
          <w:sz w:val="22"/>
        </w:rPr>
        <w:t>合同总价的【10%】。</w:t>
      </w:r>
    </w:p>
    <w:p>
      <w:pPr>
        <w:adjustRightInd w:val="0"/>
        <w:snapToGrid w:val="0"/>
        <w:spacing w:line="276" w:lineRule="auto"/>
        <w:ind w:firstLine="440" w:firstLineChars="200"/>
        <w:jc w:val="left"/>
        <w:outlineLvl w:val="0"/>
        <w:rPr>
          <w:rFonts w:cs="仿宋_GB2312"/>
          <w:sz w:val="22"/>
        </w:rPr>
      </w:pPr>
      <w:r>
        <w:rPr>
          <w:rFonts w:hint="eastAsia" w:cs="仿宋_GB2312"/>
          <w:sz w:val="22"/>
        </w:rPr>
        <w:t>2.履约保证金支付时间：</w:t>
      </w:r>
      <w:r>
        <w:rPr>
          <w:rFonts w:hint="eastAsia" w:ascii="宋体" w:hAnsi="宋体"/>
          <w:sz w:val="22"/>
        </w:rPr>
        <w:t>收到甲方中标通知书后【十】日内。</w:t>
      </w:r>
    </w:p>
    <w:p>
      <w:pPr>
        <w:adjustRightInd w:val="0"/>
        <w:snapToGrid w:val="0"/>
        <w:spacing w:line="276" w:lineRule="auto"/>
        <w:ind w:firstLine="440" w:firstLineChars="200"/>
        <w:jc w:val="left"/>
        <w:outlineLvl w:val="0"/>
        <w:rPr>
          <w:rFonts w:cs="仿宋_GB2312"/>
          <w:kern w:val="0"/>
          <w:sz w:val="22"/>
        </w:rPr>
      </w:pPr>
      <w:r>
        <w:rPr>
          <w:rFonts w:hint="eastAsia" w:cs="仿宋_GB2312"/>
          <w:sz w:val="22"/>
        </w:rPr>
        <w:t>3.该履约保证金在完成系统最终验收后[15]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bookmarkEnd w:id="116"/>
    <w:p>
      <w:pPr>
        <w:adjustRightInd w:val="0"/>
        <w:snapToGrid w:val="0"/>
        <w:ind w:firstLine="440" w:firstLineChars="200"/>
        <w:jc w:val="left"/>
        <w:outlineLvl w:val="0"/>
        <w:rPr>
          <w:rFonts w:ascii="宋体" w:hAnsi="宋体"/>
          <w:b/>
          <w:sz w:val="22"/>
        </w:rPr>
      </w:pPr>
      <w:bookmarkStart w:id="117" w:name="_Toc478453299"/>
      <w:r>
        <w:rPr>
          <w:rFonts w:hint="eastAsia" w:ascii="宋体" w:hAnsi="宋体"/>
          <w:b/>
          <w:sz w:val="22"/>
        </w:rPr>
        <w:t>十三、质量保证及售后服务</w:t>
      </w:r>
      <w:bookmarkEnd w:id="117"/>
    </w:p>
    <w:p>
      <w:pPr>
        <w:adjustRightInd w:val="0"/>
        <w:snapToGrid w:val="0"/>
        <w:spacing w:line="276" w:lineRule="auto"/>
        <w:ind w:firstLine="440" w:firstLineChars="200"/>
        <w:jc w:val="left"/>
        <w:rPr>
          <w:rFonts w:cs="仿宋_GB2312"/>
          <w:sz w:val="22"/>
        </w:rPr>
      </w:pPr>
      <w:bookmarkStart w:id="118" w:name="_Toc478453300"/>
      <w:r>
        <w:rPr>
          <w:rFonts w:hint="eastAsia" w:cs="仿宋_GB2312"/>
          <w:b/>
          <w:sz w:val="22"/>
        </w:rPr>
        <w:t>1.</w:t>
      </w:r>
      <w:r>
        <w:rPr>
          <w:rFonts w:cs="仿宋_GB2312"/>
          <w:b/>
          <w:sz w:val="22"/>
        </w:rPr>
        <w:t xml:space="preserve"> </w:t>
      </w:r>
      <w:r>
        <w:rPr>
          <w:rFonts w:hint="eastAsia" w:cs="仿宋_GB2312"/>
          <w:sz w:val="22"/>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276" w:lineRule="auto"/>
        <w:ind w:firstLine="440" w:firstLineChars="200"/>
        <w:jc w:val="left"/>
        <w:rPr>
          <w:rFonts w:cs="仿宋_GB2312"/>
          <w:sz w:val="22"/>
          <w:u w:val="single"/>
        </w:rPr>
      </w:pPr>
      <w:r>
        <w:rPr>
          <w:rFonts w:hint="eastAsia" w:cs="仿宋_GB2312"/>
          <w:b/>
          <w:sz w:val="22"/>
        </w:rPr>
        <w:t>2.</w:t>
      </w:r>
      <w:r>
        <w:rPr>
          <w:rFonts w:cs="仿宋_GB2312"/>
          <w:b/>
          <w:sz w:val="22"/>
        </w:rPr>
        <w:t xml:space="preserve"> </w:t>
      </w:r>
      <w:r>
        <w:rPr>
          <w:rFonts w:hint="eastAsia" w:cs="仿宋_GB2312"/>
          <w:sz w:val="22"/>
        </w:rPr>
        <w:t>乙方应为系统提供的免费质量保证期：</w:t>
      </w:r>
      <w:r>
        <w:rPr>
          <w:rFonts w:hint="eastAsia" w:cs="仿宋_GB2312"/>
          <w:sz w:val="22"/>
          <w:u w:val="single"/>
        </w:rPr>
        <w:t>自最终验收合格且双方签署最终验收合格报告之日起开始计算质保期，时间为【5年】。</w:t>
      </w:r>
    </w:p>
    <w:p>
      <w:pPr>
        <w:spacing w:line="276" w:lineRule="auto"/>
        <w:ind w:firstLine="440" w:firstLineChars="200"/>
        <w:jc w:val="left"/>
        <w:rPr>
          <w:rFonts w:cs="仿宋_GB2312"/>
          <w:sz w:val="22"/>
        </w:rPr>
      </w:pPr>
      <w:r>
        <w:rPr>
          <w:rFonts w:hint="eastAsia" w:cs="仿宋_GB2312"/>
          <w:b/>
          <w:sz w:val="22"/>
        </w:rPr>
        <w:t>3.</w:t>
      </w:r>
      <w:r>
        <w:rPr>
          <w:rFonts w:cs="仿宋_GB2312"/>
          <w:b/>
          <w:sz w:val="22"/>
        </w:rPr>
        <w:t xml:space="preserve"> </w:t>
      </w:r>
      <w:r>
        <w:rPr>
          <w:rFonts w:hint="eastAsia" w:cs="仿宋_GB2312"/>
          <w:sz w:val="22"/>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276" w:lineRule="auto"/>
        <w:ind w:firstLine="440" w:firstLineChars="200"/>
        <w:jc w:val="left"/>
        <w:rPr>
          <w:rFonts w:cs="仿宋_GB2312"/>
          <w:sz w:val="22"/>
        </w:rPr>
      </w:pPr>
      <w:r>
        <w:rPr>
          <w:rFonts w:hint="eastAsia" w:cs="仿宋_GB2312"/>
          <w:b/>
          <w:sz w:val="22"/>
        </w:rPr>
        <w:t>4.</w:t>
      </w:r>
      <w:r>
        <w:rPr>
          <w:rFonts w:cs="仿宋_GB2312"/>
          <w:b/>
          <w:sz w:val="22"/>
        </w:rPr>
        <w:t xml:space="preserve"> </w:t>
      </w:r>
      <w:r>
        <w:rPr>
          <w:rFonts w:hint="eastAsia" w:cs="仿宋_GB2312"/>
          <w:sz w:val="22"/>
        </w:rPr>
        <w:t>免费质保期内，乙方提供【24】小时售后服务，在接到报修通知后，维修人员应在【24】小时内赶到杭州萧山国际机场，并连续进行维修，直到系统恢复正常。修复部分的质保期自修复之日起重新开始计算。</w:t>
      </w:r>
    </w:p>
    <w:p>
      <w:pPr>
        <w:spacing w:line="276" w:lineRule="auto"/>
        <w:ind w:firstLine="440" w:firstLineChars="200"/>
        <w:jc w:val="left"/>
        <w:rPr>
          <w:rFonts w:cs="仿宋_GB2312"/>
          <w:sz w:val="22"/>
        </w:rPr>
      </w:pPr>
      <w:r>
        <w:rPr>
          <w:rFonts w:hint="eastAsia" w:cs="仿宋_GB2312"/>
          <w:b/>
          <w:bCs/>
          <w:sz w:val="22"/>
        </w:rPr>
        <w:t xml:space="preserve">5. </w:t>
      </w:r>
      <w:r>
        <w:rPr>
          <w:rFonts w:hint="eastAsia" w:cs="仿宋_GB2312"/>
          <w:sz w:val="22"/>
        </w:rPr>
        <w:t>质保期内每季度进行一次现场巡检，内容包括设备性能调整、部件实用情况检查等，并提供巡检报告。每年对产品进行两次闸机设备精细化维护，内容包括设备除尘、添加润滑剂等内容，并提供维护报告。投标人在进行维护保养的同时，可根据用户的使用情况，对系统优化，包括但不限于程序、参数、传感器等。质保期内由于非招标人原因发生的故障或损坏，投标方免费提供维修和备件（包括易耗品，如果有）直至设备性能、状态等达到正常标准，可以正常安全使用为止。</w:t>
      </w:r>
    </w:p>
    <w:p>
      <w:pPr>
        <w:spacing w:line="276" w:lineRule="auto"/>
        <w:ind w:firstLine="440" w:firstLineChars="200"/>
        <w:jc w:val="left"/>
        <w:rPr>
          <w:rFonts w:cs="仿宋_GB2312"/>
          <w:sz w:val="22"/>
        </w:rPr>
      </w:pPr>
      <w:r>
        <w:rPr>
          <w:rFonts w:hint="eastAsia" w:cs="仿宋_GB2312"/>
          <w:b/>
          <w:sz w:val="22"/>
        </w:rPr>
        <w:t>6.</w:t>
      </w:r>
      <w:r>
        <w:rPr>
          <w:rFonts w:cs="仿宋_GB2312"/>
          <w:b/>
          <w:sz w:val="22"/>
        </w:rPr>
        <w:t xml:space="preserve"> </w:t>
      </w:r>
      <w:r>
        <w:rPr>
          <w:rFonts w:hint="eastAsia" w:cs="仿宋_GB2312"/>
          <w:sz w:val="22"/>
        </w:rPr>
        <w:t>免费质保期结束的【3】天前，乙方负责对系统进行一次全面的检查和维护，并由甲方验收认可。</w:t>
      </w:r>
    </w:p>
    <w:p>
      <w:pPr>
        <w:spacing w:line="276" w:lineRule="auto"/>
        <w:ind w:firstLine="440" w:firstLineChars="200"/>
        <w:jc w:val="left"/>
        <w:rPr>
          <w:rFonts w:cs="仿宋_GB2312"/>
          <w:sz w:val="22"/>
        </w:rPr>
      </w:pPr>
      <w:r>
        <w:rPr>
          <w:rFonts w:hint="eastAsia" w:cs="仿宋_GB2312"/>
          <w:b/>
          <w:sz w:val="22"/>
        </w:rPr>
        <w:t>7.</w:t>
      </w:r>
      <w:r>
        <w:rPr>
          <w:rFonts w:cs="仿宋_GB2312"/>
          <w:b/>
          <w:sz w:val="22"/>
        </w:rPr>
        <w:t xml:space="preserve"> </w:t>
      </w:r>
      <w:r>
        <w:rPr>
          <w:rFonts w:hint="eastAsia" w:cs="仿宋_GB2312"/>
          <w:sz w:val="22"/>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276" w:lineRule="auto"/>
        <w:ind w:firstLine="440" w:firstLineChars="200"/>
        <w:jc w:val="left"/>
        <w:rPr>
          <w:rFonts w:cs="仿宋_GB2312"/>
          <w:sz w:val="22"/>
        </w:rPr>
      </w:pPr>
      <w:r>
        <w:rPr>
          <w:rFonts w:hint="eastAsia" w:cs="仿宋_GB2312"/>
          <w:b/>
          <w:sz w:val="22"/>
        </w:rPr>
        <w:t xml:space="preserve">8. </w:t>
      </w:r>
      <w:r>
        <w:rPr>
          <w:rFonts w:hint="eastAsia" w:cs="仿宋_GB2312"/>
          <w:sz w:val="22"/>
        </w:rPr>
        <w:t>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5%】的违约金。</w:t>
      </w:r>
    </w:p>
    <w:p>
      <w:pPr>
        <w:spacing w:line="276" w:lineRule="auto"/>
        <w:ind w:firstLine="440" w:firstLineChars="200"/>
        <w:jc w:val="left"/>
        <w:rPr>
          <w:rFonts w:ascii="宋体" w:hAnsi="宋体"/>
          <w:sz w:val="22"/>
        </w:rPr>
      </w:pPr>
      <w:r>
        <w:rPr>
          <w:rFonts w:hint="eastAsia" w:cs="仿宋_GB2312"/>
          <w:b/>
          <w:sz w:val="22"/>
        </w:rPr>
        <w:t xml:space="preserve">9. </w:t>
      </w:r>
      <w:r>
        <w:rPr>
          <w:rFonts w:ascii="宋体" w:hAnsi="宋体"/>
          <w:sz w:val="22"/>
        </w:rPr>
        <w:t>终身向用户免费提供系统控制软件的升级版本。</w:t>
      </w:r>
    </w:p>
    <w:p>
      <w:pPr>
        <w:spacing w:line="276" w:lineRule="auto"/>
        <w:ind w:firstLine="440" w:firstLineChars="200"/>
        <w:jc w:val="left"/>
        <w:rPr>
          <w:rFonts w:ascii="宋体" w:hAnsi="宋体"/>
          <w:sz w:val="22"/>
        </w:rPr>
      </w:pPr>
      <w:r>
        <w:rPr>
          <w:rFonts w:hint="eastAsia" w:cs="仿宋_GB2312"/>
          <w:b/>
          <w:sz w:val="22"/>
        </w:rPr>
        <w:t xml:space="preserve">10. </w:t>
      </w:r>
      <w:r>
        <w:rPr>
          <w:rFonts w:ascii="宋体" w:hAnsi="宋体"/>
          <w:sz w:val="22"/>
        </w:rPr>
        <w:t>需提供现场培训。包括用户操作培训和技术维护培训。</w:t>
      </w:r>
    </w:p>
    <w:p>
      <w:pPr>
        <w:adjustRightInd w:val="0"/>
        <w:snapToGrid w:val="0"/>
        <w:ind w:firstLine="440" w:firstLineChars="200"/>
        <w:jc w:val="left"/>
        <w:outlineLvl w:val="0"/>
        <w:rPr>
          <w:rFonts w:ascii="宋体" w:hAnsi="宋体"/>
          <w:b/>
          <w:sz w:val="22"/>
        </w:rPr>
      </w:pPr>
      <w:r>
        <w:rPr>
          <w:rFonts w:hint="eastAsia" w:ascii="宋体" w:hAnsi="宋体"/>
          <w:b/>
          <w:sz w:val="22"/>
        </w:rPr>
        <w:t>十四、违约责任</w:t>
      </w:r>
      <w:bookmarkEnd w:id="118"/>
    </w:p>
    <w:p>
      <w:pPr>
        <w:adjustRightInd w:val="0"/>
        <w:snapToGrid w:val="0"/>
        <w:spacing w:line="276" w:lineRule="auto"/>
        <w:ind w:firstLine="440" w:firstLineChars="200"/>
        <w:jc w:val="left"/>
        <w:rPr>
          <w:rFonts w:cs="仿宋_GB2312"/>
          <w:sz w:val="22"/>
        </w:rPr>
      </w:pPr>
      <w:bookmarkStart w:id="119" w:name="_Toc478453301"/>
      <w:r>
        <w:rPr>
          <w:rFonts w:hint="eastAsia" w:cs="仿宋_GB2312"/>
          <w:b/>
          <w:sz w:val="22"/>
        </w:rPr>
        <w:t>1.</w:t>
      </w:r>
      <w:r>
        <w:rPr>
          <w:rFonts w:hint="eastAsia" w:cs="仿宋_GB2312"/>
          <w:sz w:val="22"/>
        </w:rPr>
        <w:t xml:space="preserve"> 甲方无正当理由拒收系统的，甲方向乙方偿付</w:t>
      </w:r>
      <w:r>
        <w:rPr>
          <w:rFonts w:hint="eastAsia" w:cs="仿宋_GB2312"/>
          <w:sz w:val="22"/>
          <w:u w:val="single"/>
        </w:rPr>
        <w:t>合同款项百分之五作为违约金。</w:t>
      </w:r>
    </w:p>
    <w:p>
      <w:pPr>
        <w:adjustRightInd w:val="0"/>
        <w:snapToGrid w:val="0"/>
        <w:spacing w:line="276" w:lineRule="auto"/>
        <w:ind w:firstLine="440" w:firstLineChars="200"/>
        <w:jc w:val="left"/>
        <w:rPr>
          <w:rFonts w:cs="仿宋_GB2312"/>
          <w:sz w:val="22"/>
        </w:rPr>
      </w:pPr>
      <w:r>
        <w:rPr>
          <w:rFonts w:hint="eastAsia" w:cs="仿宋_GB2312"/>
          <w:b/>
          <w:sz w:val="22"/>
        </w:rPr>
        <w:t>2.</w:t>
      </w:r>
      <w:r>
        <w:rPr>
          <w:rFonts w:hint="eastAsia" w:cs="仿宋_GB2312"/>
          <w:sz w:val="22"/>
        </w:rPr>
        <w:t xml:space="preserve"> 甲方无故逾期支付本合同约定款项的,甲方应按逾期付款总额每日【0.05】%向乙方支付违约金。</w:t>
      </w:r>
    </w:p>
    <w:p>
      <w:pPr>
        <w:adjustRightInd w:val="0"/>
        <w:snapToGrid w:val="0"/>
        <w:spacing w:line="276" w:lineRule="auto"/>
        <w:ind w:firstLine="440" w:firstLineChars="200"/>
        <w:jc w:val="left"/>
        <w:rPr>
          <w:rFonts w:cs="仿宋_GB2312"/>
          <w:sz w:val="22"/>
        </w:rPr>
      </w:pPr>
      <w:r>
        <w:rPr>
          <w:rFonts w:hint="eastAsia" w:cs="仿宋_GB2312"/>
          <w:b/>
          <w:sz w:val="22"/>
        </w:rPr>
        <w:t xml:space="preserve">3. </w:t>
      </w:r>
      <w:r>
        <w:rPr>
          <w:rFonts w:hint="eastAsia" w:cs="仿宋_GB2312"/>
          <w:sz w:val="22"/>
        </w:rPr>
        <w:t xml:space="preserve">乙方责任原因逾期交付系统或提供服务（包含质保期内未按照本合同约定提供免费质保服务）的，乙方应按逾期交付部分每日【0.05】%向甲方支付违约金，由甲方从货款中扣除。逾期超过约定日期【10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276" w:lineRule="auto"/>
        <w:ind w:firstLine="440" w:firstLineChars="200"/>
        <w:jc w:val="left"/>
        <w:rPr>
          <w:rFonts w:cs="仿宋_GB2312"/>
          <w:sz w:val="22"/>
        </w:rPr>
      </w:pPr>
      <w:r>
        <w:rPr>
          <w:rFonts w:hint="eastAsia" w:cs="仿宋_GB2312"/>
          <w:b/>
          <w:sz w:val="22"/>
        </w:rPr>
        <w:t xml:space="preserve">4. </w:t>
      </w:r>
      <w:r>
        <w:rPr>
          <w:rFonts w:hint="eastAsia" w:cs="仿宋_GB2312"/>
          <w:sz w:val="22"/>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276" w:lineRule="auto"/>
        <w:ind w:firstLine="440" w:firstLineChars="200"/>
        <w:jc w:val="left"/>
        <w:rPr>
          <w:rFonts w:cs="仿宋_GB2312"/>
          <w:sz w:val="22"/>
        </w:rPr>
      </w:pPr>
      <w:r>
        <w:rPr>
          <w:rFonts w:hint="eastAsia" w:cs="仿宋_GB2312"/>
          <w:b/>
          <w:sz w:val="22"/>
        </w:rPr>
        <w:t>5．</w:t>
      </w:r>
      <w:r>
        <w:rPr>
          <w:rFonts w:hint="eastAsia" w:cs="仿宋_GB2312"/>
          <w:sz w:val="22"/>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276" w:lineRule="auto"/>
        <w:ind w:firstLine="440" w:firstLineChars="200"/>
        <w:jc w:val="left"/>
        <w:rPr>
          <w:rFonts w:cs="仿宋_GB2312"/>
          <w:sz w:val="22"/>
        </w:rPr>
      </w:pPr>
      <w:r>
        <w:rPr>
          <w:rFonts w:hint="eastAsia" w:cs="仿宋_GB2312"/>
          <w:b/>
          <w:sz w:val="22"/>
        </w:rPr>
        <w:t xml:space="preserve">6. </w:t>
      </w:r>
      <w:r>
        <w:rPr>
          <w:rFonts w:hint="eastAsia" w:cs="仿宋_GB2312"/>
          <w:sz w:val="22"/>
        </w:rPr>
        <w:t>初验、试运行、终验过程中，如果发现系统运行存在任何问题时，乙方接到甲方通知之日起，必须 【 4】小时内赶到现场，解决问题。经过三次修改，系统问题仍然得不到解决，甲方有权要求乙方重新部署系统（含安装软件）或更换产品，并且有权要求乙方承担由此给甲方造成的损失。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276" w:lineRule="auto"/>
        <w:ind w:firstLine="440" w:firstLineChars="200"/>
        <w:jc w:val="left"/>
        <w:rPr>
          <w:rFonts w:cs="仿宋_GB2312"/>
          <w:sz w:val="22"/>
        </w:rPr>
      </w:pPr>
      <w:r>
        <w:rPr>
          <w:rFonts w:hint="eastAsia" w:cs="仿宋_GB2312"/>
          <w:b/>
          <w:sz w:val="22"/>
        </w:rPr>
        <w:t>7.</w:t>
      </w:r>
      <w:r>
        <w:rPr>
          <w:rFonts w:hint="eastAsia" w:cs="仿宋_GB2312"/>
          <w:sz w:val="22"/>
        </w:rPr>
        <w:t xml:space="preserve"> 在系统免费质量保证期内，乙方提供服务，详见本合同第十三条。质保期内，如果乙方不能及时解决故障，甲方有权扣除乙方质保金。 </w:t>
      </w:r>
    </w:p>
    <w:p>
      <w:pPr>
        <w:adjustRightInd w:val="0"/>
        <w:snapToGrid w:val="0"/>
        <w:spacing w:line="276" w:lineRule="auto"/>
        <w:ind w:firstLine="440" w:firstLineChars="200"/>
        <w:jc w:val="left"/>
        <w:rPr>
          <w:rFonts w:cs="仿宋_GB2312"/>
          <w:sz w:val="22"/>
        </w:rPr>
      </w:pPr>
      <w:r>
        <w:rPr>
          <w:rFonts w:hint="eastAsia" w:cs="仿宋_GB2312"/>
          <w:b/>
          <w:sz w:val="22"/>
        </w:rPr>
        <w:t>8．</w:t>
      </w:r>
      <w:r>
        <w:rPr>
          <w:rFonts w:hint="eastAsia" w:cs="仿宋_GB2312"/>
          <w:sz w:val="22"/>
        </w:rPr>
        <w:t>除本合同另有规定外，乙方违反其在本合同项下其他义务并给甲方造成损失的，须向甲方承担全部赔偿责任。</w:t>
      </w:r>
    </w:p>
    <w:p>
      <w:pPr>
        <w:adjustRightInd w:val="0"/>
        <w:snapToGrid w:val="0"/>
        <w:ind w:firstLine="440" w:firstLineChars="200"/>
        <w:jc w:val="left"/>
        <w:outlineLvl w:val="0"/>
        <w:rPr>
          <w:rFonts w:ascii="宋体" w:hAnsi="宋体"/>
          <w:b/>
          <w:sz w:val="22"/>
        </w:rPr>
      </w:pPr>
      <w:r>
        <w:rPr>
          <w:rFonts w:hint="eastAsia" w:ascii="宋体" w:hAnsi="宋体"/>
          <w:b/>
          <w:sz w:val="22"/>
        </w:rPr>
        <w:t>十五、不可抗力事件处理</w:t>
      </w:r>
      <w:bookmarkEnd w:id="119"/>
    </w:p>
    <w:p>
      <w:pPr>
        <w:adjustRightInd w:val="0"/>
        <w:snapToGrid w:val="0"/>
        <w:spacing w:line="276" w:lineRule="auto"/>
        <w:ind w:firstLine="440" w:firstLineChars="200"/>
        <w:jc w:val="left"/>
        <w:rPr>
          <w:rFonts w:cs="仿宋_GB2312"/>
          <w:sz w:val="22"/>
        </w:rPr>
      </w:pPr>
      <w:r>
        <w:rPr>
          <w:rFonts w:hint="eastAsia" w:cs="仿宋_GB2312"/>
          <w:sz w:val="22"/>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ind w:firstLine="440" w:firstLineChars="200"/>
        <w:jc w:val="left"/>
        <w:rPr>
          <w:rFonts w:ascii="宋体" w:hAnsi="宋体"/>
          <w:b/>
          <w:sz w:val="22"/>
        </w:rPr>
      </w:pPr>
      <w:r>
        <w:rPr>
          <w:rFonts w:hint="eastAsia" w:ascii="宋体" w:hAnsi="宋体"/>
          <w:b/>
          <w:sz w:val="22"/>
        </w:rPr>
        <w:t>十六、争议解决</w:t>
      </w:r>
    </w:p>
    <w:p>
      <w:pPr>
        <w:adjustRightInd w:val="0"/>
        <w:snapToGrid w:val="0"/>
        <w:ind w:firstLine="440" w:firstLineChars="200"/>
        <w:jc w:val="left"/>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ind w:firstLine="440" w:firstLineChars="200"/>
        <w:jc w:val="left"/>
        <w:rPr>
          <w:rFonts w:ascii="宋体" w:hAnsi="宋体"/>
          <w:b/>
          <w:sz w:val="22"/>
        </w:rPr>
      </w:pPr>
      <w:r>
        <w:rPr>
          <w:rFonts w:hint="eastAsia" w:ascii="宋体" w:hAnsi="宋体"/>
          <w:b/>
          <w:sz w:val="22"/>
        </w:rPr>
        <w:t>十七、合同组成文件包含下列内容，且解释顺序如下：</w:t>
      </w:r>
    </w:p>
    <w:p>
      <w:pPr>
        <w:adjustRightInd w:val="0"/>
        <w:snapToGrid w:val="0"/>
        <w:ind w:firstLine="440" w:firstLineChars="200"/>
        <w:jc w:val="left"/>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ind w:firstLine="440" w:firstLineChars="200"/>
        <w:jc w:val="left"/>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ind w:firstLine="440" w:firstLineChars="200"/>
        <w:jc w:val="left"/>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ind w:firstLine="440" w:firstLineChars="200"/>
        <w:jc w:val="left"/>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ind w:firstLine="440" w:firstLineChars="200"/>
        <w:jc w:val="left"/>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ind w:firstLine="440" w:firstLineChars="200"/>
        <w:jc w:val="left"/>
        <w:outlineLvl w:val="0"/>
        <w:rPr>
          <w:rFonts w:ascii="宋体" w:hAnsi="宋体"/>
          <w:b/>
          <w:sz w:val="22"/>
        </w:rPr>
      </w:pPr>
      <w:bookmarkStart w:id="120" w:name="_Toc478453302"/>
      <w:r>
        <w:rPr>
          <w:rFonts w:hint="eastAsia" w:ascii="宋体" w:hAnsi="宋体"/>
          <w:b/>
          <w:sz w:val="22"/>
        </w:rPr>
        <w:t>十八、合同生效及其它</w:t>
      </w:r>
      <w:bookmarkEnd w:id="120"/>
    </w:p>
    <w:p>
      <w:pPr>
        <w:adjustRightInd w:val="0"/>
        <w:snapToGrid w:val="0"/>
        <w:ind w:firstLine="440" w:firstLineChars="200"/>
        <w:jc w:val="left"/>
        <w:rPr>
          <w:rFonts w:ascii="宋体" w:hAnsi="宋体"/>
          <w:sz w:val="22"/>
        </w:rPr>
      </w:pPr>
      <w:r>
        <w:rPr>
          <w:rFonts w:hint="eastAsia" w:ascii="宋体" w:hAnsi="宋体"/>
          <w:b/>
          <w:sz w:val="22"/>
        </w:rPr>
        <w:t>1.</w:t>
      </w:r>
      <w:r>
        <w:rPr>
          <w:rFonts w:hint="eastAsia" w:cs="仿宋_GB2312"/>
          <w:sz w:val="22"/>
        </w:rPr>
        <w:t>合同经双方法定代表人或授权代表签字/盖章，并加盖单位公章或者合同专用章之日起生效。</w:t>
      </w:r>
    </w:p>
    <w:p>
      <w:pPr>
        <w:adjustRightInd w:val="0"/>
        <w:snapToGrid w:val="0"/>
        <w:ind w:firstLine="440" w:firstLineChars="200"/>
        <w:jc w:val="left"/>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ind w:firstLine="440" w:firstLineChars="200"/>
        <w:jc w:val="left"/>
        <w:rPr>
          <w:rFonts w:ascii="宋体" w:hAnsi="宋体"/>
          <w:sz w:val="22"/>
        </w:rPr>
      </w:pPr>
      <w:r>
        <w:rPr>
          <w:rFonts w:hint="eastAsia" w:ascii="宋体" w:hAnsi="宋体"/>
          <w:b/>
          <w:sz w:val="22"/>
        </w:rPr>
        <w:t>3.</w:t>
      </w:r>
      <w:r>
        <w:rPr>
          <w:rFonts w:hint="eastAsia" w:ascii="宋体" w:hAnsi="宋体"/>
          <w:sz w:val="22"/>
        </w:rPr>
        <w:t>本合同一式陆份，甲乙双方各持三份，具有同等法律效力。</w:t>
      </w:r>
    </w:p>
    <w:p>
      <w:pPr>
        <w:tabs>
          <w:tab w:val="right" w:pos="8306"/>
        </w:tabs>
        <w:adjustRightInd w:val="0"/>
        <w:snapToGrid w:val="0"/>
        <w:ind w:firstLine="440" w:firstLineChars="200"/>
        <w:jc w:val="left"/>
        <w:rPr>
          <w:rFonts w:ascii="宋体" w:hAnsi="宋体"/>
          <w:sz w:val="22"/>
        </w:rPr>
      </w:pPr>
      <w:r>
        <w:rPr>
          <w:rFonts w:ascii="宋体" w:hAnsi="宋体"/>
          <w:b/>
          <w:sz w:val="22"/>
        </w:rPr>
        <w:t>4.</w:t>
      </w:r>
      <w:r>
        <w:rPr>
          <w:rFonts w:hint="eastAsia" w:cs="仿宋_GB2312"/>
          <w:sz w:val="22"/>
        </w:rPr>
        <w:t>附件：（1）廉洁自律承诺书；（2）保密承诺书；（3）安全文明协议书；（4）质保服务考核表</w:t>
      </w:r>
    </w:p>
    <w:p>
      <w:pPr>
        <w:tabs>
          <w:tab w:val="right" w:pos="8306"/>
        </w:tabs>
        <w:adjustRightInd w:val="0"/>
        <w:snapToGrid w:val="0"/>
        <w:ind w:firstLine="440" w:firstLineChars="200"/>
        <w:jc w:val="left"/>
        <w:rPr>
          <w:rFonts w:ascii="宋体" w:hAnsi="宋体"/>
          <w:sz w:val="22"/>
        </w:rPr>
      </w:pPr>
      <w:r>
        <w:rPr>
          <w:rFonts w:hint="eastAsia" w:ascii="宋体" w:hAnsi="宋体"/>
          <w:sz w:val="22"/>
        </w:rPr>
        <w:tab/>
      </w:r>
    </w:p>
    <w:p>
      <w:pPr>
        <w:spacing w:line="440" w:lineRule="exact"/>
        <w:ind w:firstLine="420" w:firstLineChars="200"/>
        <w:rPr>
          <w:rFonts w:cs="仿宋_GB2312"/>
          <w:b/>
          <w:szCs w:val="21"/>
        </w:rPr>
      </w:pPr>
      <w:r>
        <w:rPr>
          <w:rFonts w:hint="eastAsia" w:cs="仿宋_GB2312"/>
          <w:b/>
          <w:szCs w:val="21"/>
        </w:rPr>
        <w:t xml:space="preserve">甲方：                                  乙方：  </w:t>
      </w:r>
    </w:p>
    <w:p>
      <w:pPr>
        <w:spacing w:line="440" w:lineRule="exact"/>
        <w:ind w:firstLine="420" w:firstLineChars="200"/>
        <w:rPr>
          <w:rFonts w:cs="仿宋_GB2312"/>
          <w:b/>
          <w:szCs w:val="21"/>
        </w:rPr>
      </w:pPr>
      <w:r>
        <w:rPr>
          <w:rFonts w:hint="eastAsia" w:cs="仿宋_GB2312"/>
          <w:b/>
          <w:szCs w:val="21"/>
        </w:rPr>
        <w:t>法定代表人或其委托代理人：              法定代表人或其委托代理人：</w:t>
      </w:r>
    </w:p>
    <w:p>
      <w:pPr>
        <w:spacing w:line="440" w:lineRule="exact"/>
        <w:ind w:firstLine="420" w:firstLineChars="200"/>
        <w:rPr>
          <w:rFonts w:cs="仿宋_GB2312"/>
          <w:b/>
          <w:szCs w:val="21"/>
        </w:rPr>
      </w:pPr>
      <w:r>
        <w:rPr>
          <w:rFonts w:hint="eastAsia" w:cs="仿宋_GB2312"/>
          <w:b/>
          <w:szCs w:val="21"/>
        </w:rPr>
        <w:t>签字日期：    年  月   日                     年    月    日</w:t>
      </w:r>
    </w:p>
    <w:p>
      <w:pPr>
        <w:pStyle w:val="21"/>
        <w:spacing w:line="360" w:lineRule="exact"/>
        <w:rPr>
          <w:rFonts w:hAnsi="宋体" w:cs="Calibri"/>
          <w:bCs/>
          <w:sz w:val="22"/>
          <w:szCs w:val="22"/>
        </w:rPr>
      </w:pPr>
    </w:p>
    <w:p>
      <w:pPr>
        <w:pStyle w:val="21"/>
        <w:spacing w:line="360" w:lineRule="exact"/>
        <w:rPr>
          <w:rFonts w:hAnsi="宋体" w:cs="Calibri"/>
          <w:bCs/>
          <w:sz w:val="22"/>
          <w:szCs w:val="22"/>
        </w:rPr>
      </w:pPr>
    </w:p>
    <w:p>
      <w:pPr>
        <w:pStyle w:val="21"/>
        <w:spacing w:line="360" w:lineRule="exact"/>
        <w:rPr>
          <w:rFonts w:hAnsi="宋体" w:cs="Calibri"/>
          <w:bCs/>
          <w:sz w:val="22"/>
          <w:szCs w:val="22"/>
        </w:rPr>
      </w:pPr>
    </w:p>
    <w:p>
      <w:pPr>
        <w:pStyle w:val="21"/>
        <w:spacing w:line="360" w:lineRule="exact"/>
        <w:rPr>
          <w:rFonts w:hAnsi="宋体" w:cs="Calibri"/>
          <w:bCs/>
          <w:sz w:val="22"/>
          <w:szCs w:val="22"/>
        </w:rPr>
      </w:pPr>
    </w:p>
    <w:p>
      <w:pPr>
        <w:pStyle w:val="21"/>
        <w:spacing w:line="360" w:lineRule="exact"/>
        <w:rPr>
          <w:rFonts w:hAnsi="宋体" w:cs="Calibri"/>
          <w:bCs/>
          <w:sz w:val="22"/>
          <w:szCs w:val="22"/>
        </w:rPr>
      </w:pPr>
    </w:p>
    <w:p>
      <w:pPr>
        <w:pStyle w:val="21"/>
        <w:spacing w:line="360" w:lineRule="exact"/>
        <w:rPr>
          <w:rFonts w:hAnsi="宋体" w:cs="Calibri"/>
          <w:bCs/>
          <w:sz w:val="22"/>
          <w:szCs w:val="22"/>
        </w:rPr>
      </w:pPr>
    </w:p>
    <w:p>
      <w:pPr>
        <w:pStyle w:val="21"/>
        <w:spacing w:line="360" w:lineRule="exact"/>
        <w:rPr>
          <w:rFonts w:hAnsi="宋体" w:cs="Calibri"/>
          <w:bCs/>
          <w:sz w:val="22"/>
          <w:szCs w:val="22"/>
        </w:rPr>
      </w:pPr>
    </w:p>
    <w:p>
      <w:pPr>
        <w:pStyle w:val="21"/>
        <w:spacing w:line="360" w:lineRule="exact"/>
        <w:rPr>
          <w:rFonts w:hAnsi="宋体" w:cs="Calibri"/>
          <w:bCs/>
          <w:sz w:val="22"/>
          <w:szCs w:val="22"/>
        </w:rPr>
        <w:sectPr>
          <w:headerReference r:id="rId7" w:type="first"/>
          <w:pgSz w:w="11906" w:h="16838"/>
          <w:pgMar w:top="1134" w:right="1247" w:bottom="1134" w:left="1247" w:header="851" w:footer="1134" w:gutter="0"/>
          <w:pgNumType w:fmt="numberInDash"/>
          <w:cols w:space="720" w:num="1"/>
          <w:docGrid w:linePitch="312" w:charSpace="0"/>
        </w:sectPr>
      </w:pPr>
    </w:p>
    <w:p>
      <w:pPr>
        <w:pStyle w:val="21"/>
        <w:spacing w:line="360" w:lineRule="exact"/>
        <w:rPr>
          <w:rFonts w:hAnsi="宋体" w:cs="Calibri"/>
          <w:bCs/>
          <w:sz w:val="22"/>
          <w:szCs w:val="22"/>
        </w:rPr>
      </w:pPr>
    </w:p>
    <w:p>
      <w:pPr>
        <w:pStyle w:val="21"/>
        <w:spacing w:line="360" w:lineRule="exact"/>
        <w:rPr>
          <w:rFonts w:hAnsi="宋体" w:cs="Calibri"/>
          <w:bCs/>
          <w:sz w:val="22"/>
          <w:szCs w:val="22"/>
        </w:rPr>
      </w:pPr>
      <w:r>
        <w:rPr>
          <w:rFonts w:hint="eastAsia" w:hAnsi="宋体" w:cs="Calibri"/>
          <w:bCs/>
          <w:sz w:val="22"/>
          <w:szCs w:val="22"/>
        </w:rPr>
        <w:t>附件1</w:t>
      </w:r>
      <w:r>
        <w:rPr>
          <w:rFonts w:hAnsi="宋体" w:cs="Calibri"/>
          <w:bCs/>
          <w:sz w:val="22"/>
          <w:szCs w:val="22"/>
        </w:rPr>
        <w:t>:</w:t>
      </w:r>
      <w:r>
        <w:rPr>
          <w:rFonts w:hint="eastAsia" w:hAnsi="宋体" w:cs="Calibri"/>
          <w:bCs/>
          <w:sz w:val="22"/>
          <w:szCs w:val="22"/>
        </w:rPr>
        <w:t>廉洁自律承诺书</w:t>
      </w:r>
    </w:p>
    <w:p>
      <w:pPr>
        <w:pStyle w:val="21"/>
        <w:spacing w:line="360" w:lineRule="exact"/>
        <w:ind w:firstLine="420"/>
        <w:rPr>
          <w:rFonts w:hAnsi="宋体" w:cs="Calibri"/>
          <w:bCs/>
          <w:sz w:val="22"/>
          <w:szCs w:val="22"/>
        </w:rPr>
      </w:pPr>
    </w:p>
    <w:p>
      <w:pPr>
        <w:pStyle w:val="21"/>
        <w:spacing w:line="360" w:lineRule="exact"/>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360" w:lineRule="exact"/>
        <w:rPr>
          <w:rFonts w:hAnsi="宋体" w:cs="Calibri"/>
          <w:bCs/>
          <w:sz w:val="22"/>
          <w:szCs w:val="22"/>
        </w:rPr>
      </w:pPr>
    </w:p>
    <w:p>
      <w:pPr>
        <w:pStyle w:val="21"/>
        <w:spacing w:line="360" w:lineRule="exact"/>
        <w:rPr>
          <w:rFonts w:hAnsi="宋体" w:cs="Calibri"/>
          <w:bCs/>
          <w:sz w:val="22"/>
          <w:szCs w:val="22"/>
        </w:rPr>
      </w:pPr>
      <w:r>
        <w:rPr>
          <w:rFonts w:hint="eastAsia" w:hAnsi="宋体" w:cs="Calibri"/>
          <w:bCs/>
          <w:sz w:val="22"/>
          <w:szCs w:val="22"/>
        </w:rPr>
        <w:t>附件2：保密承诺书</w:t>
      </w:r>
    </w:p>
    <w:p>
      <w:pPr>
        <w:tabs>
          <w:tab w:val="left" w:pos="540"/>
        </w:tabs>
        <w:topLinePunct/>
        <w:jc w:val="center"/>
        <w:rPr>
          <w:rFonts w:ascii="宋体" w:hAnsi="宋体" w:cs="宋体"/>
          <w:b/>
          <w:sz w:val="36"/>
        </w:rPr>
      </w:pPr>
      <w:r>
        <w:rPr>
          <w:rFonts w:hint="eastAsia" w:ascii="宋体" w:hAnsi="宋体" w:cs="宋体"/>
          <w:b/>
          <w:sz w:val="36"/>
        </w:rPr>
        <w:t>保密承诺书</w:t>
      </w:r>
    </w:p>
    <w:p>
      <w:pPr>
        <w:pStyle w:val="21"/>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Ansi="宋体" w:cs="Calibri"/>
          <w:bCs/>
          <w:sz w:val="22"/>
          <w:szCs w:val="22"/>
        </w:rPr>
      </w:pPr>
      <w:r>
        <w:rPr>
          <w:rFonts w:hint="eastAsia" w:hAnsi="宋体" w:cs="Calibri"/>
          <w:bCs/>
          <w:sz w:val="22"/>
          <w:szCs w:val="22"/>
        </w:rPr>
        <w:t>1.商业秘密</w:t>
      </w:r>
    </w:p>
    <w:p>
      <w:pPr>
        <w:pStyle w:val="21"/>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8、违约责任</w:t>
      </w:r>
    </w:p>
    <w:p>
      <w:pPr>
        <w:pStyle w:val="21"/>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cs="Calibri"/>
          <w:bCs/>
          <w:sz w:val="22"/>
          <w:szCs w:val="22"/>
        </w:rPr>
      </w:pPr>
      <w:r>
        <w:rPr>
          <w:rFonts w:hint="eastAsia" w:hAnsi="宋体" w:cs="Calibri"/>
          <w:bCs/>
          <w:sz w:val="22"/>
          <w:szCs w:val="22"/>
        </w:rPr>
        <w:t>日期：     年   月   日</w:t>
      </w:r>
    </w:p>
    <w:p>
      <w:pPr>
        <w:pStyle w:val="21"/>
        <w:spacing w:line="360" w:lineRule="exact"/>
        <w:rPr>
          <w:rFonts w:hAnsi="宋体" w:cs="Calibri"/>
          <w:bCs/>
          <w:sz w:val="22"/>
          <w:szCs w:val="22"/>
        </w:rPr>
      </w:pPr>
    </w:p>
    <w:p>
      <w:pPr>
        <w:pStyle w:val="21"/>
        <w:spacing w:line="360" w:lineRule="exact"/>
        <w:rPr>
          <w:rFonts w:hAnsi="宋体" w:cs="Calibri"/>
          <w:bCs/>
          <w:sz w:val="22"/>
          <w:szCs w:val="22"/>
        </w:rPr>
      </w:pPr>
      <w:r>
        <w:br w:type="page"/>
      </w:r>
      <w:r>
        <w:rPr>
          <w:rFonts w:hint="eastAsia" w:hAnsi="宋体" w:cs="Calibri"/>
          <w:bCs/>
          <w:sz w:val="22"/>
          <w:szCs w:val="22"/>
        </w:rPr>
        <w:t>附件</w:t>
      </w:r>
      <w:r>
        <w:rPr>
          <w:rFonts w:hAnsi="宋体" w:cs="Calibri"/>
          <w:bCs/>
          <w:sz w:val="22"/>
          <w:szCs w:val="22"/>
        </w:rPr>
        <w:t>3</w:t>
      </w:r>
      <w:r>
        <w:rPr>
          <w:rFonts w:hint="eastAsia" w:hAnsi="宋体" w:cs="Calibri"/>
          <w:bCs/>
          <w:sz w:val="22"/>
          <w:szCs w:val="22"/>
        </w:rPr>
        <w:t>：安全文明施工协议书</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0"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0"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0"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0"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p>
    <w:p>
      <w:pPr>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r>
        <w:rPr>
          <w:rFonts w:hint="eastAsia" w:ascii="宋体" w:hAnsi="宋体"/>
          <w:b/>
          <w:sz w:val="22"/>
        </w:rPr>
        <w:t>附件4：质保服务考核表</w:t>
      </w:r>
    </w:p>
    <w:p>
      <w:pPr>
        <w:rPr>
          <w:rFonts w:ascii="宋体" w:hAnsi="宋体"/>
          <w:b/>
          <w:sz w:val="22"/>
        </w:rPr>
      </w:pPr>
    </w:p>
    <w:tbl>
      <w:tblPr>
        <w:tblStyle w:val="53"/>
        <w:tblW w:w="10463" w:type="dxa"/>
        <w:tblInd w:w="-432" w:type="dxa"/>
        <w:tblLayout w:type="fixed"/>
        <w:tblCellMar>
          <w:top w:w="0" w:type="dxa"/>
          <w:left w:w="108" w:type="dxa"/>
          <w:bottom w:w="0" w:type="dxa"/>
          <w:right w:w="108" w:type="dxa"/>
        </w:tblCellMar>
      </w:tblPr>
      <w:tblGrid>
        <w:gridCol w:w="462"/>
        <w:gridCol w:w="2326"/>
        <w:gridCol w:w="2579"/>
        <w:gridCol w:w="1127"/>
        <w:gridCol w:w="2835"/>
        <w:gridCol w:w="1134"/>
      </w:tblGrid>
      <w:tr>
        <w:tblPrEx>
          <w:tblLayout w:type="fixed"/>
          <w:tblCellMar>
            <w:top w:w="0" w:type="dxa"/>
            <w:left w:w="108" w:type="dxa"/>
            <w:bottom w:w="0" w:type="dxa"/>
            <w:right w:w="108" w:type="dxa"/>
          </w:tblCellMar>
        </w:tblPrEx>
        <w:trPr>
          <w:trHeight w:val="445" w:hRule="atLeast"/>
        </w:trPr>
        <w:tc>
          <w:tcPr>
            <w:tcW w:w="10463" w:type="dxa"/>
            <w:gridSpan w:val="6"/>
            <w:vAlign w:val="center"/>
          </w:tcPr>
          <w:p>
            <w:pPr>
              <w:widowControl/>
              <w:jc w:val="center"/>
              <w:rPr>
                <w:rFonts w:ascii="方正小标宋简体" w:hAnsi="宋体" w:eastAsia="方正小标宋简体" w:cs="宋体"/>
                <w:bCs/>
                <w:kern w:val="0"/>
                <w:sz w:val="36"/>
                <w:szCs w:val="36"/>
              </w:rPr>
            </w:pPr>
            <w:r>
              <w:rPr>
                <w:rFonts w:hint="eastAsia" w:ascii="方正小标宋简体" w:hAnsi="宋体" w:eastAsia="方正小标宋简体"/>
                <w:sz w:val="36"/>
                <w:szCs w:val="36"/>
              </w:rPr>
              <w:t>质保</w:t>
            </w:r>
            <w:r>
              <w:rPr>
                <w:rFonts w:hint="eastAsia" w:ascii="方正小标宋简体" w:hAnsi="宋体" w:eastAsia="方正小标宋简体" w:cs="宋体"/>
                <w:bCs/>
                <w:kern w:val="0"/>
                <w:sz w:val="36"/>
                <w:szCs w:val="36"/>
              </w:rPr>
              <w:t>服务考核表　</w:t>
            </w:r>
          </w:p>
          <w:p>
            <w:pPr>
              <w:widowControl/>
              <w:jc w:val="center"/>
              <w:rPr>
                <w:rFonts w:ascii="方正小标宋简体" w:hAnsi="宋体" w:eastAsia="方正小标宋简体" w:cs="宋体"/>
                <w:bCs/>
                <w:kern w:val="0"/>
                <w:sz w:val="36"/>
                <w:szCs w:val="36"/>
              </w:rPr>
            </w:pPr>
          </w:p>
        </w:tc>
      </w:tr>
      <w:tr>
        <w:tblPrEx>
          <w:tblLayout w:type="fixed"/>
          <w:tblCellMar>
            <w:top w:w="0" w:type="dxa"/>
            <w:left w:w="108" w:type="dxa"/>
            <w:bottom w:w="0" w:type="dxa"/>
            <w:right w:w="108" w:type="dxa"/>
          </w:tblCellMar>
        </w:tblPrEx>
        <w:trPr>
          <w:trHeight w:val="458"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KPI指标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目标值</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分值</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外包单位加扣分办法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半年得分</w:t>
            </w:r>
          </w:p>
        </w:tc>
      </w:tr>
      <w:tr>
        <w:tblPrEx>
          <w:tblLayout w:type="fixed"/>
          <w:tblCellMar>
            <w:top w:w="0" w:type="dxa"/>
            <w:left w:w="108" w:type="dxa"/>
            <w:bottom w:w="0" w:type="dxa"/>
            <w:right w:w="108" w:type="dxa"/>
          </w:tblCellMar>
        </w:tblPrEx>
        <w:trPr>
          <w:trHeight w:val="70"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1</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服务规范</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维保人员的服务行为规范要求是否达标</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每次违规扣1分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2" w:hRule="atLeast"/>
        </w:trPr>
        <w:tc>
          <w:tcPr>
            <w:tcW w:w="4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232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故障处理及时率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≥98%</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40分</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无正当理由，没有在合同规定的时间内到达处理问题的，一次扣10分</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84" w:hRule="atLeast"/>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故障响应和解决时间见合同</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895"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不发生因设备故障原因导致航班延误</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0架次/年</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发生一次扣10分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1706"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维修质量、维护等表格记录等情况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达标</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不定期抽查方式：检查中没有达到规定要求的或未登记的,每次、每项扣1分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732"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88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合计得分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cs="宋体"/>
          <w:kern w:val="0"/>
          <w:szCs w:val="21"/>
        </w:rPr>
      </w:pPr>
      <w:r>
        <w:rPr>
          <w:rFonts w:hint="eastAsia" w:ascii="宋体" w:hAnsi="宋体" w:cs="宋体"/>
          <w:kern w:val="0"/>
          <w:szCs w:val="21"/>
        </w:rPr>
        <w:t>说明：</w:t>
      </w:r>
    </w:p>
    <w:p>
      <w:pPr>
        <w:pStyle w:val="21"/>
        <w:spacing w:line="276" w:lineRule="auto"/>
        <w:ind w:firstLine="420"/>
        <w:rPr>
          <w:rFonts w:hAnsi="宋体" w:cs="Calibri"/>
          <w:bCs/>
          <w:sz w:val="22"/>
          <w:szCs w:val="22"/>
        </w:rPr>
      </w:pPr>
      <w:r>
        <w:rPr>
          <w:rFonts w:hint="eastAsia" w:hAnsi="宋体" w:cs="Calibri"/>
          <w:bCs/>
          <w:sz w:val="22"/>
          <w:szCs w:val="22"/>
        </w:rPr>
        <w:t>1、按半年内实行累计积分，在半年考核完成后全部恢复到初始值，积分初始值统一设定为100分。</w:t>
      </w:r>
    </w:p>
    <w:p>
      <w:pPr>
        <w:pStyle w:val="21"/>
        <w:spacing w:line="276" w:lineRule="auto"/>
        <w:ind w:firstLine="420"/>
        <w:rPr>
          <w:rFonts w:hAnsi="宋体" w:cs="Calibri"/>
          <w:bCs/>
          <w:sz w:val="22"/>
          <w:szCs w:val="22"/>
        </w:rPr>
      </w:pPr>
      <w:r>
        <w:rPr>
          <w:rFonts w:hint="eastAsia" w:hAnsi="宋体" w:cs="Calibri"/>
          <w:bCs/>
          <w:sz w:val="22"/>
          <w:szCs w:val="22"/>
        </w:rPr>
        <w:t>2、考核积分与质保挂钩:（1）一年内两次考核分数均≥90分为基本满意，不予扣罚；（2）一年内两次考核有一次或两次得分：90分&gt;考核得分≥80分，投标人应按当年应付款的2.5%向招标人支付违约金；（3）一年内两次考核有一次或两次得分：80分&gt;考核积分≥70分，乙方应按当年应付款的5%向招标人支付违约金；4)考核积分&lt;70分，投标人应按当年应付款的10%向招标人支付违约金，且招标人有权终止合同，不支付剩余款项。</w:t>
      </w:r>
    </w:p>
    <w:p>
      <w:pPr>
        <w:rPr>
          <w:rFonts w:ascii="宋体" w:hAnsi="宋体"/>
          <w:b/>
          <w:sz w:val="22"/>
        </w:rPr>
        <w:sectPr>
          <w:pgSz w:w="11906" w:h="16838"/>
          <w:pgMar w:top="1134" w:right="1247" w:bottom="1134" w:left="1247" w:header="851" w:footer="1134" w:gutter="0"/>
          <w:pgNumType w:fmt="numberInDash"/>
          <w:cols w:space="720" w:num="1"/>
          <w:docGrid w:linePitch="312" w:charSpace="0"/>
        </w:sectPr>
      </w:pPr>
    </w:p>
    <w:p>
      <w:pPr>
        <w:pStyle w:val="2"/>
        <w:spacing w:before="0" w:after="0"/>
        <w:jc w:val="center"/>
        <w:rPr>
          <w:rFonts w:ascii="Calibri" w:hAnsi="Calibri" w:eastAsia="黑体" w:cs="Calibri"/>
          <w:kern w:val="0"/>
          <w:sz w:val="32"/>
        </w:rPr>
      </w:pPr>
      <w:bookmarkStart w:id="121" w:name="_Toc478453303"/>
      <w:bookmarkStart w:id="122"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1"/>
      <w:bookmarkEnd w:id="122"/>
    </w:p>
    <w:p>
      <w:pPr>
        <w:pStyle w:val="21"/>
        <w:spacing w:line="360" w:lineRule="exact"/>
        <w:ind w:firstLine="420"/>
        <w:rPr>
          <w:rFonts w:hAnsi="宋体" w:cs="Calibri"/>
          <w:bCs/>
          <w:sz w:val="22"/>
          <w:szCs w:val="22"/>
        </w:rPr>
      </w:pPr>
      <w:bookmarkStart w:id="123"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hint="eastAsia" w:ascii="宋体" w:hAnsi="宋体" w:cs="Calibri"/>
          <w:sz w:val="22"/>
        </w:rPr>
      </w:pPr>
      <w:r>
        <w:rPr>
          <w:rFonts w:hint="eastAsia" w:ascii="宋体" w:hAnsi="宋体" w:cs="Calibri"/>
          <w:sz w:val="22"/>
        </w:rPr>
        <w:t>涉及本文件投标人资格条件第（</w:t>
      </w:r>
      <w:r>
        <w:rPr>
          <w:rFonts w:ascii="宋体" w:hAnsi="宋体" w:cs="Calibri"/>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0"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360" w:lineRule="exact"/>
        <w:ind w:firstLine="440" w:firstLineChars="200"/>
        <w:rPr>
          <w:rFonts w:hAnsi="宋体" w:cs="Calibri"/>
          <w:b/>
          <w:sz w:val="22"/>
          <w:szCs w:val="22"/>
        </w:rPr>
      </w:pPr>
      <w:r>
        <w:rPr>
          <w:rFonts w:hint="eastAsia" w:hAnsi="宋体" w:cs="Calibri"/>
          <w:b/>
          <w:sz w:val="22"/>
          <w:szCs w:val="22"/>
        </w:rPr>
        <w:t>3.3.1商务报价分   40-60分</w:t>
      </w:r>
    </w:p>
    <w:p>
      <w:pPr>
        <w:pStyle w:val="21"/>
        <w:adjustRightInd w:val="0"/>
        <w:snapToGrid w:val="0"/>
        <w:spacing w:line="360" w:lineRule="exact"/>
        <w:ind w:firstLine="440" w:firstLineChars="200"/>
        <w:rPr>
          <w:rFonts w:hAnsi="宋体"/>
          <w:bCs/>
        </w:rPr>
      </w:pPr>
      <w:r>
        <w:rPr>
          <w:rFonts w:hint="eastAsia" w:hAnsi="宋体"/>
          <w:sz w:val="22"/>
          <w:szCs w:val="22"/>
        </w:rPr>
        <w:t>报价评分应在投标报价响应招标文件要求的基础上，</w:t>
      </w:r>
      <w:r>
        <w:rPr>
          <w:rFonts w:hint="eastAsia" w:hAnsi="宋体"/>
          <w:b/>
          <w:sz w:val="22"/>
          <w:szCs w:val="22"/>
        </w:rPr>
        <w:t>评标基准价的计算方式为：（1）若有效评标价少于四家（含）时，报价平均值与最低价的平均值作为基准价。（2）若有效评标价大于四家时，报价的平均值与次低价的平均值作为基准价。</w:t>
      </w:r>
      <w:r>
        <w:rPr>
          <w:rFonts w:hint="eastAsia" w:hAnsi="宋体"/>
          <w:sz w:val="22"/>
          <w:szCs w:val="22"/>
        </w:rPr>
        <w:t>。</w:t>
      </w:r>
    </w:p>
    <w:p>
      <w:pPr>
        <w:adjustRightInd w:val="0"/>
        <w:snapToGrid w:val="0"/>
        <w:ind w:firstLine="540" w:firstLineChars="257"/>
        <w:jc w:val="center"/>
        <w:rPr>
          <w:rFonts w:ascii="宋体" w:hAnsi="宋体"/>
          <w:b/>
          <w:szCs w:val="21"/>
        </w:rPr>
      </w:pPr>
      <w:r>
        <w:rPr>
          <w:rFonts w:hint="eastAsia" w:ascii="宋体" w:hAnsi="宋体"/>
          <w:b/>
          <w:szCs w:val="21"/>
        </w:rPr>
        <w:t>商务标评分细则</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60</w:t>
            </w:r>
            <w:r>
              <w:rPr>
                <w:rFonts w:hint="eastAsia" w:ascii="宋体" w:hAnsi="宋体"/>
                <w:bCs/>
                <w:szCs w:val="21"/>
              </w:rPr>
              <w:t>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60</w:t>
            </w:r>
            <w:r>
              <w:rPr>
                <w:rFonts w:hint="eastAsia" w:ascii="宋体" w:hAnsi="宋体"/>
                <w:szCs w:val="21"/>
              </w:rPr>
              <w:t>分）</w:t>
            </w:r>
          </w:p>
        </w:tc>
        <w:tc>
          <w:tcPr>
            <w:tcW w:w="5132" w:type="dxa"/>
            <w:vAlign w:val="center"/>
          </w:tcPr>
          <w:p>
            <w:pPr>
              <w:snapToGrid w:val="0"/>
              <w:jc w:val="left"/>
              <w:rPr>
                <w:rFonts w:ascii="宋体" w:hAnsi="宋体"/>
                <w:szCs w:val="21"/>
              </w:rPr>
            </w:pPr>
            <w:r>
              <w:rPr>
                <w:rFonts w:hint="eastAsia" w:ascii="宋体" w:hAnsi="宋体"/>
                <w:szCs w:val="21"/>
              </w:rPr>
              <w:t>与基准价相等的为满分</w:t>
            </w:r>
            <w:r>
              <w:rPr>
                <w:rFonts w:ascii="宋体" w:hAnsi="宋体"/>
                <w:szCs w:val="21"/>
              </w:rPr>
              <w:t>60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投标总价每高于基准价</w:t>
            </w:r>
            <w:r>
              <w:rPr>
                <w:rFonts w:ascii="宋体" w:hAnsi="宋体"/>
                <w:szCs w:val="21"/>
              </w:rPr>
              <w:t>1%,</w:t>
            </w:r>
            <w:r>
              <w:rPr>
                <w:rFonts w:hint="eastAsia" w:ascii="宋体" w:hAnsi="宋体"/>
                <w:szCs w:val="21"/>
              </w:rPr>
              <w:t>扣1分；</w:t>
            </w:r>
          </w:p>
          <w:p>
            <w:pPr>
              <w:snapToGrid w:val="0"/>
              <w:jc w:val="left"/>
              <w:rPr>
                <w:rFonts w:ascii="宋体" w:hAnsi="宋体"/>
                <w:szCs w:val="21"/>
              </w:rPr>
            </w:pPr>
            <w:r>
              <w:rPr>
                <w:rFonts w:hint="eastAsia" w:ascii="宋体" w:hAnsi="宋体"/>
                <w:szCs w:val="21"/>
              </w:rPr>
              <w:t>投标总价每低于基准价1%，扣0.5分。</w:t>
            </w:r>
          </w:p>
          <w:p>
            <w:pPr>
              <w:snapToGrid w:val="0"/>
              <w:jc w:val="left"/>
              <w:rPr>
                <w:rFonts w:ascii="宋体" w:hAnsi="宋体"/>
                <w:szCs w:val="21"/>
              </w:rPr>
            </w:pPr>
            <w:r>
              <w:rPr>
                <w:rFonts w:hint="eastAsia" w:ascii="宋体" w:hAnsi="宋体"/>
                <w:bCs/>
                <w:szCs w:val="21"/>
              </w:rPr>
              <w:t>投标报价分扣分至40分止。</w:t>
            </w:r>
          </w:p>
        </w:tc>
        <w:tc>
          <w:tcPr>
            <w:tcW w:w="1276" w:type="dxa"/>
            <w:vAlign w:val="center"/>
          </w:tcPr>
          <w:p>
            <w:pPr>
              <w:snapToGrid w:val="0"/>
              <w:jc w:val="center"/>
              <w:rPr>
                <w:rFonts w:ascii="宋体" w:hAnsi="宋体"/>
                <w:b/>
                <w:szCs w:val="21"/>
              </w:rPr>
            </w:pPr>
            <w:r>
              <w:rPr>
                <w:rFonts w:hint="eastAsia" w:ascii="宋体" w:hAnsi="宋体"/>
                <w:b/>
                <w:szCs w:val="21"/>
              </w:rPr>
              <w:t>40-</w:t>
            </w:r>
            <w:r>
              <w:rPr>
                <w:rFonts w:ascii="宋体" w:hAnsi="宋体"/>
                <w:b/>
                <w:szCs w:val="21"/>
              </w:rPr>
              <w:t>60</w:t>
            </w:r>
            <w:r>
              <w:rPr>
                <w:rFonts w:hint="eastAsia" w:ascii="宋体" w:hAnsi="宋体"/>
                <w:b/>
                <w:szCs w:val="21"/>
              </w:rPr>
              <w:t>分</w:t>
            </w:r>
          </w:p>
        </w:tc>
      </w:tr>
    </w:tbl>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b/>
          <w:sz w:val="22"/>
          <w:szCs w:val="22"/>
        </w:rPr>
      </w:pPr>
      <w:r>
        <w:rPr>
          <w:rFonts w:hint="eastAsia" w:hAnsi="宋体" w:cs="Calibri"/>
          <w:b/>
          <w:sz w:val="22"/>
          <w:szCs w:val="22"/>
        </w:rPr>
        <w:t>2、资信及技术评分   0-40分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b/>
        </w:rPr>
      </w:pPr>
      <w:r>
        <w:rPr>
          <w:rFonts w:hint="eastAsia" w:hAnsi="宋体" w:cs="Calibri"/>
          <w:sz w:val="22"/>
          <w:szCs w:val="22"/>
        </w:rPr>
        <w:t>资信及技术评分分值设定标准</w:t>
      </w:r>
      <w:r>
        <w:rPr>
          <w:rFonts w:hAnsi="宋体"/>
          <w:b/>
        </w:rPr>
        <w:t xml:space="preserve">  </w:t>
      </w:r>
    </w:p>
    <w:tbl>
      <w:tblPr>
        <w:tblStyle w:val="53"/>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119"/>
        <w:gridCol w:w="496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562" w:type="dxa"/>
            <w:vAlign w:val="center"/>
          </w:tcPr>
          <w:p>
            <w:pPr>
              <w:rPr>
                <w:rFonts w:ascii="宋体" w:hAnsi="宋体" w:eastAsia="宋体"/>
                <w:szCs w:val="21"/>
              </w:rPr>
            </w:pPr>
            <w:r>
              <w:rPr>
                <w:rFonts w:hint="eastAsia" w:ascii="宋体" w:hAnsi="宋体" w:eastAsia="宋体"/>
                <w:szCs w:val="21"/>
              </w:rPr>
              <w:t>评分因素</w:t>
            </w:r>
          </w:p>
          <w:p>
            <w:pPr>
              <w:rPr>
                <w:rFonts w:ascii="宋体" w:hAnsi="宋体" w:eastAsia="宋体"/>
                <w:szCs w:val="21"/>
              </w:rPr>
            </w:pPr>
            <w:r>
              <w:rPr>
                <w:rFonts w:hint="eastAsia" w:ascii="宋体" w:hAnsi="宋体" w:eastAsia="宋体"/>
                <w:szCs w:val="21"/>
              </w:rPr>
              <w:t>及分值权重</w:t>
            </w:r>
          </w:p>
        </w:tc>
        <w:tc>
          <w:tcPr>
            <w:tcW w:w="2119" w:type="dxa"/>
            <w:vAlign w:val="center"/>
          </w:tcPr>
          <w:p>
            <w:pPr>
              <w:rPr>
                <w:rFonts w:ascii="宋体" w:hAnsi="宋体" w:eastAsia="宋体"/>
                <w:szCs w:val="21"/>
              </w:rPr>
            </w:pPr>
            <w:r>
              <w:rPr>
                <w:rFonts w:hint="eastAsia" w:ascii="宋体" w:hAnsi="宋体" w:eastAsia="宋体"/>
                <w:szCs w:val="21"/>
              </w:rPr>
              <w:t>评审因素子项</w:t>
            </w:r>
          </w:p>
        </w:tc>
        <w:tc>
          <w:tcPr>
            <w:tcW w:w="4966" w:type="dxa"/>
            <w:vAlign w:val="center"/>
          </w:tcPr>
          <w:p>
            <w:pPr>
              <w:rPr>
                <w:rFonts w:ascii="宋体" w:hAnsi="宋体" w:eastAsia="宋体"/>
                <w:szCs w:val="21"/>
              </w:rPr>
            </w:pPr>
            <w:r>
              <w:rPr>
                <w:rFonts w:hint="eastAsia" w:ascii="宋体" w:hAnsi="宋体" w:eastAsia="宋体"/>
                <w:szCs w:val="21"/>
              </w:rPr>
              <w:t>评分标准</w:t>
            </w:r>
          </w:p>
        </w:tc>
        <w:tc>
          <w:tcPr>
            <w:tcW w:w="1418" w:type="dxa"/>
            <w:vAlign w:val="center"/>
          </w:tcPr>
          <w:p>
            <w:pPr>
              <w:rPr>
                <w:rFonts w:ascii="宋体" w:hAnsi="宋体" w:eastAsia="宋体"/>
                <w:szCs w:val="21"/>
              </w:rPr>
            </w:pPr>
            <w:r>
              <w:rPr>
                <w:rFonts w:hint="eastAsia" w:ascii="宋体" w:hAnsi="宋体" w:eastAsia="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restart"/>
            <w:vAlign w:val="center"/>
          </w:tcPr>
          <w:p>
            <w:pPr>
              <w:rPr>
                <w:rFonts w:ascii="宋体" w:hAnsi="宋体" w:eastAsia="宋体"/>
                <w:szCs w:val="21"/>
              </w:rPr>
            </w:pPr>
            <w:r>
              <w:rPr>
                <w:rFonts w:hint="eastAsia" w:ascii="宋体" w:hAnsi="宋体" w:eastAsia="宋体"/>
                <w:szCs w:val="21"/>
              </w:rPr>
              <w:t>技术标评分（</w:t>
            </w:r>
            <w:r>
              <w:rPr>
                <w:rFonts w:hint="eastAsia" w:ascii="宋体" w:hAnsi="宋体" w:eastAsia="宋体"/>
                <w:bCs/>
                <w:szCs w:val="21"/>
              </w:rPr>
              <w:t>满分3</w:t>
            </w:r>
            <w:r>
              <w:rPr>
                <w:rFonts w:ascii="宋体" w:hAnsi="宋体" w:eastAsia="宋体"/>
                <w:bCs/>
                <w:szCs w:val="21"/>
              </w:rPr>
              <w:t>4</w:t>
            </w:r>
            <w:r>
              <w:rPr>
                <w:rFonts w:hint="eastAsia" w:ascii="宋体" w:hAnsi="宋体" w:eastAsia="宋体"/>
                <w:bCs/>
                <w:szCs w:val="21"/>
              </w:rPr>
              <w:t>分）</w:t>
            </w:r>
          </w:p>
        </w:tc>
        <w:tc>
          <w:tcPr>
            <w:tcW w:w="2119" w:type="dxa"/>
            <w:vAlign w:val="center"/>
          </w:tcPr>
          <w:p>
            <w:pPr>
              <w:snapToGrid w:val="0"/>
              <w:jc w:val="left"/>
              <w:rPr>
                <w:rFonts w:ascii="宋体" w:hAnsi="宋体" w:eastAsia="宋体"/>
                <w:snapToGrid w:val="0"/>
                <w:kern w:val="0"/>
                <w:szCs w:val="21"/>
              </w:rPr>
            </w:pPr>
            <w:r>
              <w:rPr>
                <w:rFonts w:ascii="宋体" w:hAnsi="宋体" w:eastAsia="宋体"/>
                <w:snapToGrid w:val="0"/>
                <w:kern w:val="0"/>
                <w:szCs w:val="21"/>
              </w:rPr>
              <w:t>设备功能</w:t>
            </w:r>
            <w:r>
              <w:rPr>
                <w:rFonts w:hint="eastAsia" w:ascii="宋体" w:hAnsi="宋体" w:eastAsia="宋体"/>
                <w:snapToGrid w:val="0"/>
                <w:kern w:val="0"/>
                <w:szCs w:val="21"/>
              </w:rPr>
              <w:t>及</w:t>
            </w:r>
            <w:r>
              <w:rPr>
                <w:rFonts w:ascii="宋体" w:hAnsi="宋体" w:eastAsia="宋体"/>
                <w:snapToGrid w:val="0"/>
                <w:kern w:val="0"/>
                <w:szCs w:val="21"/>
              </w:rPr>
              <w:t>状态显示</w:t>
            </w:r>
          </w:p>
        </w:tc>
        <w:tc>
          <w:tcPr>
            <w:tcW w:w="4966" w:type="dxa"/>
            <w:vAlign w:val="center"/>
          </w:tcPr>
          <w:p>
            <w:pPr>
              <w:snapToGrid w:val="0"/>
              <w:jc w:val="center"/>
              <w:rPr>
                <w:rFonts w:ascii="宋体" w:hAnsi="宋体" w:eastAsia="宋体"/>
                <w:snapToGrid w:val="0"/>
                <w:kern w:val="0"/>
                <w:szCs w:val="21"/>
              </w:rPr>
            </w:pPr>
            <w:r>
              <w:rPr>
                <w:rFonts w:hint="eastAsia" w:ascii="宋体" w:hAnsi="宋体" w:eastAsia="宋体"/>
                <w:snapToGrid w:val="0"/>
                <w:kern w:val="0"/>
                <w:szCs w:val="21"/>
              </w:rPr>
              <w:t>根据第三章2.2.1.4项中6条功能，一条不满足，扣</w:t>
            </w:r>
            <w:r>
              <w:rPr>
                <w:rFonts w:ascii="宋体" w:hAnsi="宋体" w:eastAsia="宋体"/>
                <w:snapToGrid w:val="0"/>
                <w:kern w:val="0"/>
                <w:szCs w:val="21"/>
              </w:rPr>
              <w:t>1</w:t>
            </w:r>
            <w:r>
              <w:rPr>
                <w:rFonts w:hint="eastAsia" w:ascii="宋体" w:hAnsi="宋体" w:eastAsia="宋体"/>
                <w:snapToGrid w:val="0"/>
                <w:kern w:val="0"/>
                <w:szCs w:val="21"/>
              </w:rPr>
              <w:t>分，最多扣</w:t>
            </w:r>
            <w:r>
              <w:rPr>
                <w:rFonts w:ascii="宋体" w:hAnsi="宋体" w:eastAsia="宋体"/>
                <w:snapToGrid w:val="0"/>
                <w:kern w:val="0"/>
                <w:szCs w:val="21"/>
              </w:rPr>
              <w:t>6</w:t>
            </w:r>
            <w:r>
              <w:rPr>
                <w:rFonts w:hint="eastAsia" w:ascii="宋体" w:hAnsi="宋体" w:eastAsia="宋体"/>
                <w:snapToGrid w:val="0"/>
                <w:kern w:val="0"/>
                <w:szCs w:val="21"/>
              </w:rPr>
              <w:t>分。</w:t>
            </w:r>
          </w:p>
        </w:tc>
        <w:tc>
          <w:tcPr>
            <w:tcW w:w="1418" w:type="dxa"/>
            <w:vAlign w:val="center"/>
          </w:tcPr>
          <w:p>
            <w:pPr>
              <w:snapToGrid w:val="0"/>
              <w:jc w:val="center"/>
              <w:rPr>
                <w:rFonts w:ascii="宋体" w:hAnsi="宋体" w:eastAsia="宋体"/>
                <w:b/>
                <w:bCs/>
                <w:snapToGrid w:val="0"/>
                <w:kern w:val="0"/>
                <w:szCs w:val="21"/>
              </w:rPr>
            </w:pPr>
            <w:r>
              <w:rPr>
                <w:rFonts w:ascii="宋体" w:hAnsi="宋体" w:eastAsia="宋体"/>
                <w:b/>
                <w:bCs/>
                <w:snapToGrid w:val="0"/>
                <w:kern w:val="0"/>
                <w:szCs w:val="21"/>
              </w:rPr>
              <w:t>0-6</w:t>
            </w:r>
            <w:r>
              <w:rPr>
                <w:rFonts w:hint="eastAsia" w:ascii="宋体" w:hAnsi="宋体" w:eastAsia="宋体"/>
                <w:b/>
                <w:bCs/>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continue"/>
            <w:vAlign w:val="center"/>
          </w:tcPr>
          <w:p>
            <w:pPr>
              <w:rPr>
                <w:rFonts w:ascii="宋体" w:hAnsi="宋体" w:eastAsia="宋体"/>
                <w:szCs w:val="21"/>
              </w:rPr>
            </w:pPr>
          </w:p>
        </w:tc>
        <w:tc>
          <w:tcPr>
            <w:tcW w:w="2119"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安全防护</w:t>
            </w:r>
          </w:p>
        </w:tc>
        <w:tc>
          <w:tcPr>
            <w:tcW w:w="4966" w:type="dxa"/>
            <w:vAlign w:val="center"/>
          </w:tcPr>
          <w:p>
            <w:pPr>
              <w:snapToGrid w:val="0"/>
              <w:jc w:val="center"/>
              <w:rPr>
                <w:rFonts w:ascii="宋体" w:hAnsi="宋体" w:eastAsia="宋体"/>
                <w:snapToGrid w:val="0"/>
                <w:kern w:val="0"/>
                <w:szCs w:val="21"/>
              </w:rPr>
            </w:pPr>
            <w:r>
              <w:rPr>
                <w:rFonts w:hint="eastAsia" w:ascii="宋体" w:hAnsi="宋体" w:eastAsia="宋体"/>
                <w:snapToGrid w:val="0"/>
                <w:kern w:val="0"/>
                <w:szCs w:val="21"/>
              </w:rPr>
              <w:t>根据第三章2.2.1.6项中6条功能，一条不满足，扣0.5分，最多扣3分。</w:t>
            </w:r>
          </w:p>
        </w:tc>
        <w:tc>
          <w:tcPr>
            <w:tcW w:w="1418" w:type="dxa"/>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vAlign w:val="center"/>
          </w:tcPr>
          <w:p>
            <w:pPr>
              <w:rPr>
                <w:rFonts w:ascii="宋体" w:hAnsi="宋体" w:eastAsia="宋体"/>
                <w:szCs w:val="21"/>
              </w:rPr>
            </w:pPr>
          </w:p>
        </w:tc>
        <w:tc>
          <w:tcPr>
            <w:tcW w:w="2119"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与本场安检信息系统接口</w:t>
            </w:r>
          </w:p>
        </w:tc>
        <w:tc>
          <w:tcPr>
            <w:tcW w:w="4966"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投标人提供与安检信息系统的接口实施方案，根据实施方案的可行性和系统性，由评委横向打分。</w:t>
            </w:r>
          </w:p>
        </w:tc>
        <w:tc>
          <w:tcPr>
            <w:tcW w:w="1418" w:type="dxa"/>
            <w:vAlign w:val="center"/>
          </w:tcPr>
          <w:p>
            <w:pPr>
              <w:snapToGrid w:val="0"/>
              <w:jc w:val="center"/>
              <w:rPr>
                <w:rFonts w:ascii="宋体" w:hAnsi="宋体" w:eastAsia="宋体"/>
                <w:b/>
                <w:szCs w:val="21"/>
              </w:rPr>
            </w:pPr>
            <w:r>
              <w:rPr>
                <w:rFonts w:hint="eastAsia" w:ascii="宋体" w:hAnsi="宋体" w:eastAsia="宋体"/>
                <w:b/>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vAlign w:val="center"/>
          </w:tcPr>
          <w:p>
            <w:pPr>
              <w:rPr>
                <w:rFonts w:ascii="宋体" w:hAnsi="宋体" w:eastAsia="宋体"/>
                <w:szCs w:val="21"/>
              </w:rPr>
            </w:pPr>
          </w:p>
        </w:tc>
        <w:tc>
          <w:tcPr>
            <w:tcW w:w="2119"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人脸识别系统</w:t>
            </w:r>
          </w:p>
        </w:tc>
        <w:tc>
          <w:tcPr>
            <w:tcW w:w="4966"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投标人提供人脸识别系统实施方案，根据实施方案的可行性和系统性，由评委横向打分。</w:t>
            </w:r>
          </w:p>
        </w:tc>
        <w:tc>
          <w:tcPr>
            <w:tcW w:w="1418" w:type="dxa"/>
            <w:vAlign w:val="center"/>
          </w:tcPr>
          <w:p>
            <w:pPr>
              <w:snapToGrid w:val="0"/>
              <w:jc w:val="center"/>
              <w:rPr>
                <w:rFonts w:ascii="宋体" w:hAnsi="宋体" w:eastAsia="宋体"/>
                <w:b/>
                <w:bCs/>
                <w:snapToGrid w:val="0"/>
                <w:kern w:val="0"/>
                <w:szCs w:val="21"/>
              </w:rPr>
            </w:pPr>
            <w:r>
              <w:rPr>
                <w:rFonts w:hint="eastAsia" w:ascii="宋体" w:hAnsi="宋体" w:eastAsia="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vAlign w:val="center"/>
          </w:tcPr>
          <w:p>
            <w:pPr>
              <w:rPr>
                <w:rFonts w:ascii="宋体" w:hAnsi="宋体" w:eastAsia="宋体"/>
                <w:szCs w:val="21"/>
              </w:rPr>
            </w:pPr>
          </w:p>
        </w:tc>
        <w:tc>
          <w:tcPr>
            <w:tcW w:w="2119"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自助登机效率</w:t>
            </w:r>
          </w:p>
        </w:tc>
        <w:tc>
          <w:tcPr>
            <w:tcW w:w="4966" w:type="dxa"/>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投标人需根据自助登机流程给出可实现的最高通行效率。根据投标人给出的最高通行效率，由评委</w:t>
            </w:r>
            <w:r>
              <w:rPr>
                <w:rFonts w:ascii="宋体" w:hAnsi="宋体" w:eastAsia="宋体"/>
                <w:snapToGrid w:val="0"/>
                <w:kern w:val="0"/>
                <w:szCs w:val="21"/>
              </w:rPr>
              <w:t>横向</w:t>
            </w:r>
            <w:r>
              <w:rPr>
                <w:rFonts w:hint="eastAsia" w:ascii="宋体" w:hAnsi="宋体" w:eastAsia="宋体"/>
                <w:snapToGrid w:val="0"/>
                <w:kern w:val="0"/>
                <w:szCs w:val="21"/>
              </w:rPr>
              <w:t>比较打分</w:t>
            </w:r>
            <w:r>
              <w:rPr>
                <w:rFonts w:ascii="宋体" w:hAnsi="宋体" w:eastAsia="宋体"/>
                <w:snapToGrid w:val="0"/>
                <w:kern w:val="0"/>
                <w:szCs w:val="21"/>
              </w:rPr>
              <w:t>。</w:t>
            </w:r>
          </w:p>
        </w:tc>
        <w:tc>
          <w:tcPr>
            <w:tcW w:w="1418" w:type="dxa"/>
            <w:vAlign w:val="center"/>
          </w:tcPr>
          <w:p>
            <w:pPr>
              <w:snapToGrid w:val="0"/>
              <w:jc w:val="center"/>
              <w:rPr>
                <w:rFonts w:ascii="宋体" w:hAnsi="宋体" w:eastAsia="宋体"/>
                <w:b/>
                <w:szCs w:val="21"/>
              </w:rPr>
            </w:pPr>
            <w:r>
              <w:rPr>
                <w:rFonts w:ascii="宋体" w:hAnsi="宋体" w:eastAsia="宋体"/>
                <w:b/>
                <w:bCs/>
                <w:snapToGrid w:val="0"/>
                <w:kern w:val="0"/>
                <w:szCs w:val="21"/>
              </w:rPr>
              <w:t>0-</w:t>
            </w:r>
            <w:r>
              <w:rPr>
                <w:rFonts w:hint="eastAsia" w:ascii="宋体" w:hAnsi="宋体" w:eastAsia="宋体"/>
                <w:b/>
                <w:bCs/>
                <w:snapToGrid w:val="0"/>
                <w:kern w:val="0"/>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vAlign w:val="center"/>
          </w:tcPr>
          <w:p>
            <w:pPr>
              <w:rPr>
                <w:rFonts w:ascii="宋体" w:hAnsi="宋体" w:eastAsia="宋体"/>
                <w:szCs w:val="21"/>
              </w:rPr>
            </w:pPr>
          </w:p>
        </w:tc>
        <w:tc>
          <w:tcPr>
            <w:tcW w:w="2119" w:type="dxa"/>
            <w:vAlign w:val="center"/>
          </w:tcPr>
          <w:p>
            <w:pPr>
              <w:snapToGrid w:val="0"/>
              <w:jc w:val="left"/>
              <w:rPr>
                <w:rFonts w:ascii="宋体" w:hAnsi="宋体" w:eastAsia="宋体"/>
                <w:snapToGrid w:val="0"/>
                <w:kern w:val="0"/>
                <w:szCs w:val="21"/>
              </w:rPr>
            </w:pPr>
            <w:r>
              <w:rPr>
                <w:rFonts w:hint="eastAsia" w:ascii="宋体" w:hAnsi="宋体" w:eastAsia="宋体"/>
                <w:szCs w:val="21"/>
              </w:rPr>
              <w:t>闸机工控机配置</w:t>
            </w:r>
          </w:p>
        </w:tc>
        <w:tc>
          <w:tcPr>
            <w:tcW w:w="4966" w:type="dxa"/>
            <w:vAlign w:val="center"/>
          </w:tcPr>
          <w:p>
            <w:pPr>
              <w:snapToGrid w:val="0"/>
              <w:jc w:val="left"/>
              <w:rPr>
                <w:rFonts w:ascii="宋体" w:hAnsi="宋体" w:eastAsia="宋体"/>
                <w:snapToGrid w:val="0"/>
                <w:kern w:val="0"/>
                <w:szCs w:val="21"/>
              </w:rPr>
            </w:pPr>
            <w:r>
              <w:rPr>
                <w:rFonts w:hint="eastAsia" w:ascii="宋体" w:hAnsi="宋体" w:eastAsia="宋体" w:cs="宋体"/>
                <w:bCs/>
                <w:szCs w:val="21"/>
              </w:rPr>
              <w:t>优于第三章2.2.1.7.6项配置要求的得1分。否则不得分。</w:t>
            </w:r>
          </w:p>
        </w:tc>
        <w:tc>
          <w:tcPr>
            <w:tcW w:w="1418" w:type="dxa"/>
            <w:vAlign w:val="center"/>
          </w:tcPr>
          <w:p>
            <w:pPr>
              <w:snapToGrid w:val="0"/>
              <w:jc w:val="center"/>
              <w:rPr>
                <w:rFonts w:ascii="宋体" w:hAnsi="宋体" w:eastAsia="宋体"/>
                <w:b/>
                <w:bCs/>
                <w:snapToGrid w:val="0"/>
                <w:kern w:val="0"/>
                <w:szCs w:val="21"/>
              </w:rPr>
            </w:pPr>
            <w:r>
              <w:rPr>
                <w:rFonts w:hint="eastAsia" w:ascii="宋体" w:hAnsi="宋体" w:eastAsia="宋体"/>
                <w:b/>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continue"/>
            <w:vAlign w:val="center"/>
          </w:tcPr>
          <w:p>
            <w:pPr>
              <w:rPr>
                <w:rFonts w:ascii="宋体" w:hAnsi="宋体" w:eastAsia="宋体"/>
                <w:szCs w:val="21"/>
              </w:rPr>
            </w:pPr>
          </w:p>
        </w:tc>
        <w:tc>
          <w:tcPr>
            <w:tcW w:w="2119" w:type="dxa"/>
            <w:vAlign w:val="center"/>
          </w:tcPr>
          <w:p>
            <w:pPr>
              <w:jc w:val="left"/>
              <w:rPr>
                <w:rFonts w:ascii="宋体" w:hAnsi="宋体" w:eastAsia="宋体"/>
                <w:snapToGrid w:val="0"/>
                <w:kern w:val="0"/>
                <w:szCs w:val="21"/>
              </w:rPr>
            </w:pPr>
            <w:r>
              <w:rPr>
                <w:rFonts w:hint="eastAsia" w:ascii="宋体" w:hAnsi="宋体" w:eastAsia="宋体"/>
                <w:szCs w:val="21"/>
              </w:rPr>
              <w:t>设备外观</w:t>
            </w:r>
          </w:p>
        </w:tc>
        <w:tc>
          <w:tcPr>
            <w:tcW w:w="4966" w:type="dxa"/>
            <w:vAlign w:val="center"/>
          </w:tcPr>
          <w:p>
            <w:pPr>
              <w:jc w:val="left"/>
              <w:rPr>
                <w:rFonts w:ascii="宋体" w:hAnsi="宋体" w:eastAsia="宋体"/>
                <w:szCs w:val="21"/>
              </w:rPr>
            </w:pPr>
            <w:r>
              <w:rPr>
                <w:rFonts w:hint="eastAsia" w:ascii="宋体" w:hAnsi="宋体" w:eastAsia="宋体"/>
                <w:szCs w:val="21"/>
              </w:rPr>
              <w:t>投标人提供设备外观彩色图片。</w:t>
            </w:r>
          </w:p>
          <w:p>
            <w:pPr>
              <w:jc w:val="left"/>
              <w:rPr>
                <w:rFonts w:ascii="宋体" w:hAnsi="宋体" w:eastAsia="宋体"/>
                <w:szCs w:val="21"/>
              </w:rPr>
            </w:pPr>
            <w:r>
              <w:rPr>
                <w:rFonts w:hint="eastAsia" w:ascii="宋体" w:hAnsi="宋体" w:eastAsia="宋体"/>
                <w:szCs w:val="21"/>
              </w:rPr>
              <w:t>根据外形的美观度及与杭州机场氛围的契合度由评委横向打分。</w:t>
            </w:r>
            <w:r>
              <w:rPr>
                <w:rFonts w:ascii="宋体" w:hAnsi="宋体" w:eastAsia="宋体"/>
                <w:szCs w:val="21"/>
              </w:rPr>
              <w:t xml:space="preserve"> </w:t>
            </w:r>
          </w:p>
        </w:tc>
        <w:tc>
          <w:tcPr>
            <w:tcW w:w="1418" w:type="dxa"/>
            <w:vAlign w:val="center"/>
          </w:tcPr>
          <w:p>
            <w:pPr>
              <w:snapToGrid w:val="0"/>
              <w:jc w:val="center"/>
              <w:rPr>
                <w:rFonts w:ascii="宋体" w:hAnsi="宋体" w:eastAsia="宋体"/>
                <w:b/>
                <w:szCs w:val="21"/>
              </w:rPr>
            </w:pPr>
            <w:r>
              <w:rPr>
                <w:rFonts w:hint="eastAsia" w:ascii="宋体" w:hAnsi="宋体" w:eastAsia="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continue"/>
            <w:vAlign w:val="center"/>
          </w:tcPr>
          <w:p>
            <w:pPr>
              <w:rPr>
                <w:rFonts w:ascii="宋体" w:hAnsi="宋体" w:eastAsia="宋体"/>
                <w:szCs w:val="21"/>
              </w:rPr>
            </w:pPr>
          </w:p>
        </w:tc>
        <w:tc>
          <w:tcPr>
            <w:tcW w:w="2119" w:type="dxa"/>
            <w:vAlign w:val="center"/>
          </w:tcPr>
          <w:p>
            <w:pPr>
              <w:jc w:val="left"/>
              <w:rPr>
                <w:rFonts w:ascii="宋体" w:hAnsi="宋体" w:eastAsia="宋体"/>
                <w:szCs w:val="21"/>
              </w:rPr>
            </w:pPr>
            <w:r>
              <w:rPr>
                <w:rFonts w:hint="eastAsia" w:ascii="宋体" w:hAnsi="宋体" w:eastAsia="宋体"/>
                <w:szCs w:val="21"/>
              </w:rPr>
              <w:t>培训方案</w:t>
            </w:r>
          </w:p>
        </w:tc>
        <w:tc>
          <w:tcPr>
            <w:tcW w:w="4966" w:type="dxa"/>
            <w:vAlign w:val="center"/>
          </w:tcPr>
          <w:p>
            <w:pPr>
              <w:jc w:val="left"/>
              <w:rPr>
                <w:rFonts w:ascii="宋体" w:hAnsi="宋体" w:eastAsia="宋体"/>
                <w:szCs w:val="21"/>
              </w:rPr>
            </w:pPr>
            <w:r>
              <w:rPr>
                <w:rFonts w:hint="eastAsia" w:ascii="宋体" w:hAnsi="宋体" w:eastAsia="宋体"/>
                <w:szCs w:val="21"/>
              </w:rPr>
              <w:t>具备完整且尽可能详细的操作人员和技术维护人员的培训方案，根据培训方案的完整性由评委横向打分。</w:t>
            </w:r>
          </w:p>
        </w:tc>
        <w:tc>
          <w:tcPr>
            <w:tcW w:w="1418" w:type="dxa"/>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62" w:type="dxa"/>
            <w:vMerge w:val="continue"/>
            <w:vAlign w:val="center"/>
          </w:tcPr>
          <w:p>
            <w:pPr>
              <w:rPr>
                <w:rFonts w:ascii="宋体" w:hAnsi="宋体" w:eastAsia="宋体"/>
                <w:szCs w:val="21"/>
              </w:rPr>
            </w:pPr>
          </w:p>
        </w:tc>
        <w:tc>
          <w:tcPr>
            <w:tcW w:w="2119" w:type="dxa"/>
            <w:vAlign w:val="center"/>
          </w:tcPr>
          <w:p>
            <w:pPr>
              <w:jc w:val="left"/>
              <w:rPr>
                <w:rFonts w:ascii="宋体" w:hAnsi="宋体" w:eastAsia="宋体"/>
                <w:szCs w:val="21"/>
              </w:rPr>
            </w:pPr>
            <w:r>
              <w:rPr>
                <w:rFonts w:hint="eastAsia" w:ascii="宋体" w:hAnsi="宋体" w:eastAsia="宋体"/>
                <w:szCs w:val="21"/>
              </w:rPr>
              <w:t>质保服务</w:t>
            </w:r>
          </w:p>
        </w:tc>
        <w:tc>
          <w:tcPr>
            <w:tcW w:w="4966" w:type="dxa"/>
            <w:vAlign w:val="center"/>
          </w:tcPr>
          <w:p>
            <w:pPr>
              <w:snapToGrid w:val="0"/>
              <w:jc w:val="left"/>
              <w:rPr>
                <w:rFonts w:ascii="宋体" w:hAnsi="宋体" w:eastAsia="宋体"/>
                <w:szCs w:val="21"/>
              </w:rPr>
            </w:pPr>
            <w:r>
              <w:rPr>
                <w:rFonts w:hint="eastAsia" w:ascii="宋体" w:hAnsi="宋体" w:eastAsia="宋体"/>
                <w:szCs w:val="21"/>
              </w:rPr>
              <w:t>根据投标人提供的质保服务期限，</w:t>
            </w:r>
            <w:r>
              <w:rPr>
                <w:rFonts w:hint="eastAsia" w:ascii="宋体" w:hAnsi="宋体" w:eastAsia="宋体"/>
                <w:color w:val="000000"/>
                <w:szCs w:val="21"/>
              </w:rPr>
              <w:t>由评委横向比较打分。</w:t>
            </w:r>
            <w:r>
              <w:rPr>
                <w:rFonts w:hint="eastAsia" w:ascii="宋体" w:hAnsi="宋体" w:eastAsia="宋体"/>
              </w:rPr>
              <w:t xml:space="preserve">      </w:t>
            </w:r>
          </w:p>
        </w:tc>
        <w:tc>
          <w:tcPr>
            <w:tcW w:w="1418" w:type="dxa"/>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562" w:type="dxa"/>
            <w:vMerge w:val="continue"/>
            <w:vAlign w:val="center"/>
          </w:tcPr>
          <w:p>
            <w:pPr>
              <w:rPr>
                <w:rFonts w:ascii="宋体" w:hAnsi="宋体" w:eastAsia="宋体"/>
                <w:szCs w:val="21"/>
              </w:rPr>
            </w:pPr>
          </w:p>
        </w:tc>
        <w:tc>
          <w:tcPr>
            <w:tcW w:w="2119" w:type="dxa"/>
            <w:vAlign w:val="center"/>
          </w:tcPr>
          <w:p>
            <w:pPr>
              <w:jc w:val="left"/>
              <w:rPr>
                <w:rFonts w:ascii="宋体" w:hAnsi="宋体" w:eastAsia="宋体"/>
                <w:szCs w:val="21"/>
              </w:rPr>
            </w:pPr>
            <w:r>
              <w:rPr>
                <w:rFonts w:hint="eastAsia" w:ascii="宋体" w:hAnsi="宋体" w:eastAsia="宋体"/>
                <w:szCs w:val="21"/>
              </w:rPr>
              <w:t>售后服务</w:t>
            </w:r>
          </w:p>
        </w:tc>
        <w:tc>
          <w:tcPr>
            <w:tcW w:w="4966" w:type="dxa"/>
            <w:vAlign w:val="center"/>
          </w:tcPr>
          <w:p>
            <w:pPr>
              <w:snapToGrid w:val="0"/>
              <w:jc w:val="left"/>
              <w:rPr>
                <w:rFonts w:ascii="宋体" w:hAnsi="宋体" w:eastAsia="宋体"/>
                <w:szCs w:val="21"/>
              </w:rPr>
            </w:pPr>
            <w:r>
              <w:rPr>
                <w:rFonts w:hint="eastAsia" w:ascii="宋体" w:hAnsi="宋体" w:eastAsia="宋体"/>
                <w:szCs w:val="21"/>
              </w:rPr>
              <w:t>根据投标人提供的故障保障响应时间进行横向比较。</w:t>
            </w:r>
          </w:p>
        </w:tc>
        <w:tc>
          <w:tcPr>
            <w:tcW w:w="1418" w:type="dxa"/>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562" w:type="dxa"/>
            <w:vAlign w:val="center"/>
          </w:tcPr>
          <w:p>
            <w:pPr>
              <w:rPr>
                <w:rFonts w:ascii="宋体" w:hAnsi="宋体" w:eastAsia="宋体"/>
                <w:szCs w:val="21"/>
              </w:rPr>
            </w:pPr>
            <w:r>
              <w:rPr>
                <w:rFonts w:hint="eastAsia" w:ascii="宋体" w:hAnsi="宋体" w:eastAsia="宋体"/>
                <w:szCs w:val="21"/>
              </w:rPr>
              <w:t>业绩评分（满分</w:t>
            </w:r>
            <w:r>
              <w:rPr>
                <w:rFonts w:ascii="宋体" w:hAnsi="宋体" w:eastAsia="宋体"/>
                <w:szCs w:val="21"/>
              </w:rPr>
              <w:t>6</w:t>
            </w:r>
            <w:r>
              <w:rPr>
                <w:rFonts w:hint="eastAsia" w:ascii="宋体" w:hAnsi="宋体" w:eastAsia="宋体"/>
                <w:szCs w:val="21"/>
              </w:rPr>
              <w:t>分）</w:t>
            </w:r>
          </w:p>
        </w:tc>
        <w:tc>
          <w:tcPr>
            <w:tcW w:w="2119" w:type="dxa"/>
            <w:vAlign w:val="center"/>
          </w:tcPr>
          <w:p>
            <w:pPr>
              <w:rPr>
                <w:rFonts w:ascii="宋体" w:hAnsi="宋体" w:eastAsia="宋体"/>
                <w:szCs w:val="21"/>
              </w:rPr>
            </w:pPr>
            <w:r>
              <w:rPr>
                <w:rFonts w:hint="eastAsia" w:ascii="宋体" w:hAnsi="宋体" w:eastAsia="宋体"/>
                <w:szCs w:val="21"/>
              </w:rPr>
              <w:t>自助登机门系统在机场行业案例</w:t>
            </w:r>
          </w:p>
        </w:tc>
        <w:tc>
          <w:tcPr>
            <w:tcW w:w="4966" w:type="dxa"/>
            <w:vAlign w:val="center"/>
          </w:tcPr>
          <w:p>
            <w:pPr>
              <w:snapToGrid w:val="0"/>
              <w:jc w:val="left"/>
              <w:rPr>
                <w:rFonts w:hint="eastAsia" w:ascii="宋体" w:hAnsi="宋体" w:eastAsia="宋体"/>
                <w:szCs w:val="21"/>
              </w:rPr>
            </w:pPr>
            <w:r>
              <w:rPr>
                <w:rFonts w:hint="eastAsia" w:ascii="宋体" w:hAnsi="宋体" w:eastAsia="宋体"/>
                <w:szCs w:val="21"/>
              </w:rPr>
              <w:t>需提供自2016年1月1日至投标截止日的</w:t>
            </w:r>
            <w:r>
              <w:rPr>
                <w:rStyle w:val="175"/>
                <w:rFonts w:hint="eastAsia" w:ascii="宋体" w:hAnsi="宋体"/>
                <w:kern w:val="0"/>
                <w:szCs w:val="21"/>
              </w:rPr>
              <w:t>类似</w:t>
            </w:r>
            <w:r>
              <w:rPr>
                <w:rFonts w:hint="eastAsia" w:ascii="宋体" w:hAnsi="宋体" w:eastAsia="宋体"/>
                <w:szCs w:val="21"/>
              </w:rPr>
              <w:t>项目合同复印件或中标通知书作为证</w:t>
            </w:r>
          </w:p>
          <w:p>
            <w:pPr>
              <w:snapToGrid w:val="0"/>
              <w:jc w:val="left"/>
              <w:rPr>
                <w:rFonts w:ascii="宋体" w:hAnsi="宋体" w:eastAsia="宋体"/>
                <w:szCs w:val="21"/>
              </w:rPr>
            </w:pPr>
            <w:r>
              <w:rPr>
                <w:rFonts w:hint="eastAsia" w:ascii="宋体" w:hAnsi="宋体" w:eastAsia="宋体"/>
                <w:szCs w:val="21"/>
              </w:rPr>
              <w:t>明材料，否则不得分。每增加一个</w:t>
            </w:r>
            <w:r>
              <w:rPr>
                <w:rStyle w:val="175"/>
                <w:rFonts w:hint="eastAsia" w:ascii="宋体" w:hAnsi="宋体"/>
                <w:kern w:val="0"/>
                <w:szCs w:val="21"/>
              </w:rPr>
              <w:t>类似</w:t>
            </w:r>
            <w:r>
              <w:rPr>
                <w:rFonts w:hint="eastAsia" w:ascii="宋体" w:hAnsi="宋体" w:eastAsia="宋体"/>
                <w:szCs w:val="21"/>
              </w:rPr>
              <w:t>项目金额大于500万人民币的案例得2分，每增加一个</w:t>
            </w:r>
            <w:r>
              <w:rPr>
                <w:rStyle w:val="175"/>
                <w:rFonts w:hint="eastAsia" w:ascii="宋体" w:hAnsi="宋体"/>
                <w:kern w:val="0"/>
                <w:szCs w:val="21"/>
              </w:rPr>
              <w:t>类似</w:t>
            </w:r>
            <w:r>
              <w:rPr>
                <w:rFonts w:hint="eastAsia" w:ascii="宋体" w:hAnsi="宋体" w:eastAsia="宋体"/>
                <w:szCs w:val="21"/>
              </w:rPr>
              <w:t>项目金额大于300万人民币小于500万人民币的案例得1分，每增加一个</w:t>
            </w:r>
            <w:r>
              <w:rPr>
                <w:rStyle w:val="175"/>
                <w:rFonts w:hint="eastAsia" w:ascii="宋体" w:hAnsi="宋体"/>
                <w:kern w:val="0"/>
                <w:szCs w:val="21"/>
              </w:rPr>
              <w:t>类似</w:t>
            </w:r>
            <w:r>
              <w:rPr>
                <w:rFonts w:hint="eastAsia" w:ascii="宋体" w:hAnsi="宋体" w:eastAsia="宋体"/>
                <w:szCs w:val="21"/>
              </w:rPr>
              <w:t>项目金额大于100万人民币小于300万人民币的案例得0.5分，低于100万人民币的案例不得分，</w:t>
            </w:r>
            <w:r>
              <w:rPr>
                <w:rStyle w:val="175"/>
                <w:rFonts w:hint="eastAsia" w:ascii="宋体" w:hAnsi="宋体"/>
                <w:kern w:val="0"/>
                <w:szCs w:val="21"/>
              </w:rPr>
              <w:t>类似</w:t>
            </w:r>
            <w:r>
              <w:rPr>
                <w:rFonts w:hint="eastAsia" w:ascii="宋体" w:hAnsi="宋体" w:eastAsia="宋体"/>
                <w:szCs w:val="21"/>
              </w:rPr>
              <w:t>项目金额仅计算自助登机门系统的软硬件采购价格，最高不超过</w:t>
            </w:r>
            <w:r>
              <w:rPr>
                <w:rFonts w:ascii="宋体" w:hAnsi="宋体" w:eastAsia="宋体"/>
                <w:szCs w:val="21"/>
              </w:rPr>
              <w:t>6</w:t>
            </w:r>
            <w:r>
              <w:rPr>
                <w:rFonts w:hint="eastAsia" w:ascii="宋体" w:hAnsi="宋体" w:eastAsia="宋体"/>
                <w:szCs w:val="21"/>
              </w:rPr>
              <w:t>分。</w:t>
            </w:r>
          </w:p>
        </w:tc>
        <w:tc>
          <w:tcPr>
            <w:tcW w:w="1418" w:type="dxa"/>
            <w:vAlign w:val="center"/>
          </w:tcPr>
          <w:p>
            <w:pPr>
              <w:snapToGrid w:val="0"/>
              <w:jc w:val="center"/>
              <w:rPr>
                <w:rFonts w:ascii="宋体" w:hAnsi="宋体" w:eastAsia="宋体"/>
                <w:b/>
                <w:szCs w:val="21"/>
              </w:rPr>
            </w:pPr>
            <w:r>
              <w:rPr>
                <w:rFonts w:hint="eastAsia" w:ascii="宋体" w:hAnsi="宋体" w:eastAsia="宋体"/>
                <w:b/>
                <w:bCs/>
                <w:szCs w:val="21"/>
              </w:rPr>
              <w:t>0</w:t>
            </w:r>
            <w:r>
              <w:rPr>
                <w:rFonts w:ascii="宋体" w:hAnsi="宋体" w:eastAsia="宋体"/>
                <w:b/>
                <w:bCs/>
                <w:szCs w:val="21"/>
              </w:rPr>
              <w:t>-6</w:t>
            </w:r>
            <w:r>
              <w:rPr>
                <w:rFonts w:hint="eastAsia" w:ascii="宋体" w:hAnsi="宋体" w:eastAsia="宋体"/>
                <w:b/>
                <w:bCs/>
                <w:szCs w:val="21"/>
              </w:rPr>
              <w:t>分</w:t>
            </w:r>
          </w:p>
        </w:tc>
      </w:tr>
    </w:tbl>
    <w:p>
      <w:pPr>
        <w:pStyle w:val="21"/>
        <w:adjustRightInd w:val="0"/>
        <w:snapToGrid w:val="0"/>
        <w:spacing w:line="360" w:lineRule="exact"/>
        <w:ind w:firstLine="440"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3.4.1当有效投标文件大于等于二名时，评标委员会推荐</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bookmarkEnd w:id="123"/>
    </w:p>
    <w:p>
      <w:pPr>
        <w:pStyle w:val="21"/>
        <w:adjustRightInd w:val="0"/>
        <w:snapToGrid w:val="0"/>
        <w:spacing w:line="360" w:lineRule="exact"/>
        <w:ind w:firstLine="440" w:firstLineChars="200"/>
        <w:rPr>
          <w:rFonts w:hAnsi="宋体" w:cs="Calibri"/>
          <w:b/>
          <w:sz w:val="22"/>
          <w:szCs w:val="22"/>
        </w:rPr>
      </w:pPr>
      <w:r>
        <w:rPr>
          <w:rFonts w:hint="eastAsia" w:hAnsi="宋体" w:cs="Calibri"/>
          <w:b/>
          <w:sz w:val="22"/>
          <w:szCs w:val="22"/>
        </w:rPr>
        <w:t>4.4招标人对评标、定标结果不负责解释。</w:t>
      </w:r>
    </w:p>
    <w:p>
      <w:pPr>
        <w:pStyle w:val="21"/>
        <w:adjustRightInd w:val="0"/>
        <w:snapToGrid w:val="0"/>
        <w:spacing w:line="360" w:lineRule="exact"/>
        <w:ind w:firstLine="420" w:firstLineChars="200"/>
        <w:rPr>
          <w:rFonts w:hAnsi="宋体"/>
        </w:rPr>
      </w:pPr>
    </w:p>
    <w:p>
      <w:pPr>
        <w:widowControl/>
        <w:jc w:val="center"/>
        <w:rPr>
          <w:rFonts w:ascii="Cambria" w:hAnsi="Cambria" w:eastAsia="黑体"/>
          <w:b/>
          <w:bCs/>
          <w:kern w:val="0"/>
          <w:sz w:val="32"/>
          <w:szCs w:val="32"/>
        </w:rPr>
      </w:pPr>
      <w:r>
        <w:br w:type="page"/>
      </w:r>
      <w:r>
        <w:rPr>
          <w:rFonts w:eastAsia="黑体" w:cs="Calibri"/>
          <w:kern w:val="0"/>
          <w:sz w:val="32"/>
        </w:rPr>
        <w:t>第</w:t>
      </w:r>
      <w:r>
        <w:rPr>
          <w:rFonts w:hint="eastAsia" w:eastAsia="黑体" w:cs="Calibri"/>
          <w:kern w:val="0"/>
          <w:sz w:val="32"/>
        </w:rPr>
        <w:t>六</w:t>
      </w:r>
      <w:r>
        <w:rPr>
          <w:rFonts w:eastAsia="黑体" w:cs="Calibri"/>
          <w:kern w:val="0"/>
          <w:sz w:val="32"/>
        </w:rPr>
        <w:t>章  投标文件格式</w:t>
      </w:r>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360" w:lineRule="exact"/>
        <w:ind w:firstLine="440" w:firstLineChars="200"/>
        <w:rPr>
          <w:rFonts w:ascii="宋体" w:hAnsi="宋体" w:cs="Calibri"/>
          <w:sz w:val="22"/>
        </w:rPr>
      </w:pPr>
      <w:bookmarkStart w:id="124" w:name="_Hlk12066648"/>
      <w:r>
        <w:rPr>
          <w:rFonts w:hint="eastAsia" w:ascii="宋体" w:hAnsi="宋体" w:cs="Calibri"/>
          <w:sz w:val="22"/>
        </w:rPr>
        <w:t>五、所投设备详细技术参数说明（含设备外观彩色图片）；</w:t>
      </w:r>
    </w:p>
    <w:bookmarkEnd w:id="124"/>
    <w:p>
      <w:pPr>
        <w:adjustRightInd w:val="0"/>
        <w:snapToGrid w:val="0"/>
        <w:spacing w:line="36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6</w:t>
      </w:r>
      <w:r>
        <w:rPr>
          <w:rFonts w:hint="eastAsia" w:ascii="宋体" w:hAnsi="宋体" w:cs="Calibri"/>
          <w:sz w:val="22"/>
        </w:rPr>
        <w:t>）I</w:t>
      </w:r>
      <w:r>
        <w:rPr>
          <w:rFonts w:hint="eastAsia" w:ascii="宋体" w:hAnsi="宋体" w:cs="Arial"/>
          <w:kern w:val="0"/>
          <w:sz w:val="22"/>
        </w:rPr>
        <w:t>SO9000质量体系认证。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）中航信第三方入网许可证</w:t>
      </w:r>
      <w:r>
        <w:rPr>
          <w:rStyle w:val="51"/>
          <w:rFonts w:hint="eastAsia"/>
          <w:kern w:val="0"/>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w:t>
      </w:r>
      <w:r>
        <w:rPr>
          <w:rFonts w:hint="eastAsia" w:ascii="宋体" w:hAnsi="宋体" w:cs="Calibri"/>
          <w:sz w:val="22"/>
        </w:rPr>
        <w:t>服务人员的作业安排和进场计划（供货、售后服务、质量保证等）；</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spacing w:line="440" w:lineRule="exact"/>
        <w:ind w:right="420" w:firstLine="440" w:firstLineChars="200"/>
        <w:rPr>
          <w:rFonts w:ascii="宋体" w:hAnsi="宋体" w:cs="Calibri"/>
        </w:rPr>
      </w:pPr>
      <w:r>
        <w:rPr>
          <w:rFonts w:hint="eastAsia" w:ascii="宋体" w:hAnsi="宋体" w:cs="Calibri"/>
          <w:sz w:val="22"/>
        </w:rPr>
        <w:t>十一、</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cs="Calibri"/>
        </w:rPr>
      </w:pPr>
    </w:p>
    <w:p>
      <w:pPr>
        <w:spacing w:line="440" w:lineRule="exact"/>
        <w:ind w:right="420"/>
        <w:jc w:val="right"/>
        <w:rPr>
          <w:rFonts w:cs="Calibri"/>
        </w:rPr>
      </w:pPr>
      <w:r>
        <w:rPr>
          <w:rFonts w:cs="Calibri"/>
        </w:rPr>
        <w:br w:type="page"/>
      </w:r>
      <w:r>
        <w:rPr>
          <w:rFonts w:cs="Calibri"/>
        </w:rPr>
        <w:t>正本（或副本）</w:t>
      </w:r>
    </w:p>
    <w:p>
      <w:pPr>
        <w:spacing w:line="440" w:lineRule="exact"/>
        <w:rPr>
          <w:rFonts w:cs="Calibri"/>
          <w:sz w:val="24"/>
          <w:u w:val="single"/>
        </w:rPr>
      </w:pPr>
      <w:bookmarkStart w:id="125" w:name="_Toc171421958"/>
      <w:r>
        <w:rPr>
          <w:rFonts w:cs="Calibri"/>
        </w:rPr>
        <w:t>封面</w:t>
      </w:r>
      <w:bookmarkEnd w:id="12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hint="eastAsia"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hint="eastAsia" w:ascii="宋体" w:hAnsi="宋体" w:cs="Arial"/>
          <w:sz w:val="22"/>
        </w:rPr>
      </w:pPr>
      <w:r>
        <w:rPr>
          <w:rFonts w:hint="eastAsia"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我方承诺：</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我方不是失信被执行人；</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我方在规定期限内无行贿犯罪记录；</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我方具有一般纳税人资格，可提供增值税专用发票。</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我方注册资金符合本项目招标文件资格条件要求。</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如我方中标，我方承诺：</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在收到中标通知书后，在中标通知书规定的期限内与你方签订合同；</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在签订合同时不向你方提出附加条件；</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hint="eastAsia" w:ascii="宋体" w:hAnsi="宋体"/>
          <w:sz w:val="22"/>
        </w:rPr>
      </w:pPr>
      <w:r>
        <w:rPr>
          <w:rFonts w:hint="eastAsia" w:ascii="宋体" w:hAnsi="宋体"/>
          <w:sz w:val="22"/>
        </w:rPr>
        <w:t>④在合同约定的期限内完成合同规定的全部义务。</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2"/>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本投标的投标有效期为自投标截止之日起120日内。</w:t>
      </w:r>
    </w:p>
    <w:p>
      <w:pPr>
        <w:numPr>
          <w:ilvl w:val="0"/>
          <w:numId w:val="2"/>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2"/>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numPr>
          <w:ilvl w:val="0"/>
          <w:numId w:val="5"/>
        </w:numPr>
        <w:tabs>
          <w:tab w:val="left" w:pos="840"/>
          <w:tab w:val="left" w:pos="907"/>
        </w:tabs>
        <w:overflowPunct w:val="0"/>
        <w:autoSpaceDE w:val="0"/>
        <w:autoSpaceDN w:val="0"/>
        <w:spacing w:line="440" w:lineRule="exact"/>
        <w:ind w:left="840" w:hanging="420"/>
        <w:rPr>
          <w:rFonts w:ascii="宋体" w:hAnsi="宋体"/>
          <w:sz w:val="22"/>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ascii="宋体" w:hAnsi="宋体" w:cs="Calibri"/>
          <w:sz w:val="24"/>
        </w:rPr>
      </w:pPr>
      <w:r>
        <w:rPr>
          <w:rFonts w:ascii="宋体" w:hAnsi="宋体" w:cs="Calibri"/>
          <w:sz w:val="24"/>
        </w:rPr>
        <w:t>日    期：    年     月     日</w:t>
      </w:r>
    </w:p>
    <w:p>
      <w:pPr>
        <w:spacing w:line="440" w:lineRule="exact"/>
        <w:jc w:val="center"/>
        <w:rPr>
          <w:rFonts w:eastAsia="黑体" w:cs="Calibri"/>
          <w:sz w:val="32"/>
          <w:szCs w:val="32"/>
        </w:rPr>
      </w:pP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sz w:val="24"/>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附：法定代表人身份证复印件</w:t>
      </w:r>
    </w:p>
    <w:p>
      <w:pPr>
        <w:spacing w:line="440" w:lineRule="exact"/>
        <w:rPr>
          <w:rFonts w:cs="Calibri"/>
          <w:szCs w:val="21"/>
        </w:rPr>
      </w:pPr>
      <w:r>
        <w:rPr>
          <w:rFonts w:cs="Calibri"/>
          <w:szCs w:val="21"/>
        </w:rPr>
        <w:t xml:space="preserve">投标人：（盖单位章） </w:t>
      </w:r>
    </w:p>
    <w:p>
      <w:pPr>
        <w:spacing w:line="440" w:lineRule="exact"/>
        <w:ind w:firstLine="6216" w:firstLineChars="2960"/>
        <w:rPr>
          <w:rFonts w:cs="Calibri"/>
          <w:b/>
          <w:szCs w:val="21"/>
        </w:rPr>
      </w:pPr>
      <w:r>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">
            <v:path/>
            <v:fill on="t" focussize="0,0"/>
            <v:stroke/>
            <v:imagedata o:title=""/>
            <o:lock v:ext="edit" grouping="f" rotation="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Cs w:val="21"/>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附：委托代理人身份证复印件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spacing w:line="440" w:lineRule="exact"/>
        <w:rPr>
          <w:rFonts w:cs="Calibri"/>
          <w:szCs w:val="21"/>
        </w:rPr>
      </w:pPr>
      <w:r>
        <w:rPr>
          <w:rFonts w:cs="Calibri"/>
          <w:szCs w:val="21"/>
        </w:rPr>
        <w:t>委托的代理人：（签字或盖章）</w:t>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pict>
          <v:shape id="文本框 1" o:spid="_x0000_s1027" o:spt="202" type="#_x0000_t202" style="position:absolute;left:0pt;margin-left:0.65pt;margin-top:42.8pt;height:171.6pt;width:473.25pt;mso-wrap-distance-bottom:0pt;mso-wrap-distance-left:9pt;mso-wrap-distance-right:9pt;mso-wrap-distance-top:0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">
            <v:path/>
            <v:fill on="t" focussize="0,0"/>
            <v:stroke/>
            <v:imagedata o:title=""/>
            <o:lock v:ext="edit" grouping="f" rotation="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pStyle w:val="79"/>
        <w:spacing w:line="240" w:lineRule="auto"/>
        <w:ind w:left="420" w:firstLine="420"/>
        <w:rPr>
          <w:rFonts w:ascii="宋体" w:eastAsia="宋体" w:cs="楷体_GB2312"/>
          <w:sz w:val="21"/>
          <w:szCs w:val="21"/>
          <w:u w:val="single"/>
          <w:lang w:val="zh-CN"/>
        </w:rPr>
      </w:pPr>
    </w:p>
    <w:p>
      <w:pPr>
        <w:pStyle w:val="21"/>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pStyle w:val="79"/>
        <w:spacing w:line="240" w:lineRule="auto"/>
        <w:ind w:left="420" w:firstLine="420"/>
        <w:rPr>
          <w:rFonts w:ascii="宋体" w:eastAsia="宋体" w:cs="楷体_GB2312"/>
          <w:sz w:val="21"/>
          <w:szCs w:val="21"/>
          <w:u w:val="single"/>
          <w:lang w:val="zh-CN"/>
        </w:rPr>
      </w:pPr>
    </w:p>
    <w:p>
      <w:pPr>
        <w:pStyle w:val="79"/>
        <w:spacing w:line="240" w:lineRule="auto"/>
        <w:ind w:left="420" w:firstLine="420"/>
        <w:rPr>
          <w:rFonts w:ascii="宋体" w:eastAsia="宋体" w:cs="楷体_GB2312"/>
          <w:sz w:val="21"/>
          <w:szCs w:val="21"/>
          <w:u w:val="single"/>
          <w:lang w:val="zh-CN"/>
        </w:rPr>
      </w:pPr>
    </w:p>
    <w:p>
      <w:pPr>
        <w:pStyle w:val="79"/>
        <w:spacing w:line="240" w:lineRule="auto"/>
        <w:ind w:left="420" w:firstLine="420"/>
        <w:rPr>
          <w:rFonts w:ascii="宋体" w:eastAsia="宋体" w:cs="楷体_GB2312"/>
          <w:sz w:val="21"/>
          <w:szCs w:val="21"/>
          <w:u w:val="single"/>
          <w:lang w:val="zh-CN"/>
        </w:rPr>
      </w:pPr>
    </w:p>
    <w:p>
      <w:pPr>
        <w:pStyle w:val="79"/>
        <w:spacing w:line="240" w:lineRule="auto"/>
        <w:ind w:firstLine="0" w:firstLineChars="0"/>
        <w:rPr>
          <w:rFonts w:ascii="宋体" w:eastAsia="宋体" w:cs="楷体_GB2312"/>
          <w:sz w:val="21"/>
          <w:szCs w:val="21"/>
          <w:u w:val="single"/>
          <w:lang w:val="zh-CN"/>
        </w:rPr>
        <w:sectPr>
          <w:footerReference r:id="rId8" w:type="even"/>
          <w:pgSz w:w="11906" w:h="16838"/>
          <w:pgMar w:top="1134" w:right="1247" w:bottom="1134" w:left="1247" w:header="851" w:footer="992" w:gutter="0"/>
          <w:pgNumType w:fmt="numberInDash"/>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napToGrid w:val="0"/>
        <w:spacing w:line="440" w:lineRule="exact"/>
        <w:ind w:firstLine="3968" w:firstLineChars="1890"/>
        <w:rPr>
          <w:rFonts w:cs="Calibri"/>
          <w:szCs w:val="21"/>
        </w:rPr>
      </w:pPr>
    </w:p>
    <w:p>
      <w:pPr>
        <w:snapToGrid w:val="0"/>
        <w:spacing w:line="440" w:lineRule="exact"/>
        <w:ind w:firstLine="3968" w:firstLineChars="1890"/>
        <w:rPr>
          <w:rFonts w:cs="Calibri"/>
          <w:szCs w:val="21"/>
        </w:rPr>
      </w:pPr>
      <w:r>
        <w:rPr>
          <w:rFonts w:cs="Calibri"/>
          <w:szCs w:val="21"/>
        </w:rPr>
        <w:t>投标人：（盖单位章）</w:t>
      </w:r>
    </w:p>
    <w:p>
      <w:pPr>
        <w:snapToGrid w:val="0"/>
        <w:spacing w:line="440" w:lineRule="exact"/>
        <w:ind w:firstLine="3968" w:firstLineChars="1890"/>
        <w:rPr>
          <w:rFonts w:cs="Calibri"/>
          <w:szCs w:val="21"/>
        </w:rPr>
      </w:pPr>
      <w:r>
        <w:rPr>
          <w:rFonts w:cs="Calibri"/>
          <w:szCs w:val="21"/>
        </w:rPr>
        <w:t>法定代表人或其委托代理人：（签字或盖章）</w:t>
      </w:r>
    </w:p>
    <w:p>
      <w:pPr>
        <w:snapToGrid w:val="0"/>
        <w:spacing w:line="440" w:lineRule="exact"/>
        <w:ind w:firstLine="3968" w:firstLineChars="1890"/>
        <w:rPr>
          <w:rFonts w:cs="Calibri"/>
          <w:szCs w:val="21"/>
        </w:rPr>
        <w:sectPr>
          <w:pgSz w:w="16838" w:h="11906" w:orient="landscape"/>
          <w:pgMar w:top="1247" w:right="1134" w:bottom="1247" w:left="1134" w:header="851" w:footer="992" w:gutter="0"/>
          <w:pgNumType w:fmt="numberInDash"/>
          <w:cols w:space="720" w:num="1"/>
          <w:docGrid w:linePitch="312" w:charSpace="0"/>
        </w:sectPr>
      </w:pPr>
      <w:r>
        <w:rPr>
          <w:rFonts w:cs="Calibri"/>
          <w:szCs w:val="21"/>
        </w:rPr>
        <w:t xml:space="preserve">日期：    年     月    </w:t>
      </w: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cs="Calibri"/>
          <w:szCs w:val="21"/>
        </w:rPr>
      </w:pPr>
      <w:r>
        <w:rPr>
          <w:rFonts w:hint="eastAsia" w:cs="Calibri"/>
          <w:szCs w:val="21"/>
        </w:rPr>
        <w:t>注:需包含设备外观彩色图片</w:t>
      </w: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cs="Calibri"/>
          <w:b/>
          <w:bCs/>
          <w:sz w:val="32"/>
        </w:rPr>
      </w:pP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ascii="宋体" w:hAnsi="宋体" w:cs="宋体"/>
          <w:b/>
          <w:sz w:val="32"/>
          <w:szCs w:val="32"/>
        </w:rPr>
      </w:pPr>
      <w:r>
        <w:rPr>
          <w:rFonts w:eastAsia="黑体" w:cs="Calibri"/>
          <w:sz w:val="32"/>
          <w:szCs w:val="32"/>
        </w:rPr>
        <w:t xml:space="preserve"> </w:t>
      </w:r>
      <w:r>
        <w:rPr>
          <w:rFonts w:hint="eastAsia" w:ascii="宋体" w:hAnsi="宋体" w:cs="宋体"/>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p>
    <w:p>
      <w:pPr>
        <w:spacing w:line="360" w:lineRule="auto"/>
        <w:jc w:val="center"/>
        <w:rPr>
          <w:rFonts w:cs="Calibri"/>
          <w:szCs w:val="21"/>
        </w:rPr>
      </w:pPr>
      <w:r>
        <w:rPr>
          <w:rFonts w:hint="eastAsia" w:ascii="宋体" w:hAnsi="宋体" w:cs="宋体"/>
          <w:b/>
          <w:sz w:val="32"/>
          <w:szCs w:val="32"/>
        </w:rPr>
        <w:t>（二）具有独立法人资格，持有有效营业执照，注册资本500万元（含）以上 (提供营业执照复印件，原件备查)</w:t>
      </w:r>
    </w:p>
    <w:p>
      <w:pPr>
        <w:spacing w:line="360" w:lineRule="auto"/>
        <w:jc w:val="center"/>
        <w:rPr>
          <w:rFonts w:ascii="宋体" w:hAnsi="宋体" w:cs="宋体"/>
          <w:b/>
          <w:sz w:val="32"/>
          <w:szCs w:val="32"/>
        </w:rPr>
      </w:pPr>
      <w:r>
        <w:rPr>
          <w:rFonts w:eastAsia="黑体" w:cs="Calibri"/>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440" w:lineRule="exact"/>
        <w:jc w:val="center"/>
        <w:rPr>
          <w:rFonts w:ascii="宋体" w:hAnsi="宋体" w:cs="宋体"/>
          <w:b/>
          <w:sz w:val="32"/>
          <w:szCs w:val="32"/>
        </w:rPr>
      </w:pPr>
      <w:r>
        <w:rPr>
          <w:rFonts w:eastAsia="黑体" w:cs="Calibri"/>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cs="Calibri"/>
          <w:b/>
          <w:sz w:val="36"/>
          <w:szCs w:val="36"/>
        </w:rPr>
      </w:pP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360" w:lineRule="auto"/>
        <w:jc w:val="center"/>
        <w:rPr>
          <w:rFonts w:cs="Calibri"/>
          <w:b/>
          <w:sz w:val="36"/>
          <w:szCs w:val="36"/>
        </w:rPr>
      </w:pPr>
      <w:r>
        <w:rPr>
          <w:rFonts w:hint="eastAsia" w:cs="Calibri"/>
          <w:b/>
          <w:sz w:val="36"/>
          <w:szCs w:val="36"/>
        </w:rPr>
        <w:t>（六）投标人所投的自助登机门系统产品，具有自2016年1月1日起至投标截止日期前在机场使用案例。投标时需提供系统案例证明（中标书或合同或验收材料的复印件，原件备查）。</w:t>
      </w:r>
    </w:p>
    <w:p>
      <w:pPr>
        <w:spacing w:line="440" w:lineRule="exact"/>
        <w:jc w:val="center"/>
        <w:rPr>
          <w:rFonts w:eastAsia="黑体" w:cs="Calibri"/>
          <w:sz w:val="32"/>
          <w:szCs w:val="32"/>
        </w:rPr>
      </w:pPr>
    </w:p>
    <w:p>
      <w:pPr>
        <w:spacing w:line="360" w:lineRule="auto"/>
        <w:jc w:val="left"/>
        <w:rPr>
          <w:rFonts w:cs="Calibri"/>
          <w:szCs w:val="21"/>
        </w:rPr>
      </w:pPr>
    </w:p>
    <w:p>
      <w:pPr>
        <w:spacing w:line="360" w:lineRule="auto"/>
        <w:jc w:val="left"/>
        <w:rPr>
          <w:rFonts w:cs="Calibri"/>
          <w:szCs w:val="21"/>
        </w:rPr>
      </w:pPr>
    </w:p>
    <w:p>
      <w:pPr>
        <w:spacing w:line="360" w:lineRule="auto"/>
        <w:jc w:val="center"/>
        <w:rPr>
          <w:rFonts w:cs="Calibri"/>
          <w:b/>
          <w:sz w:val="36"/>
          <w:szCs w:val="36"/>
        </w:rPr>
      </w:pPr>
      <w:r>
        <w:rPr>
          <w:rFonts w:cs="Calibri"/>
          <w:szCs w:val="21"/>
        </w:rPr>
        <w:br w:type="page"/>
      </w:r>
      <w:r>
        <w:rPr>
          <w:rFonts w:ascii="宋体" w:hAnsi="宋体"/>
          <w:szCs w:val="21"/>
        </w:rPr>
        <w:t xml:space="preserve"> </w:t>
      </w:r>
      <w:r>
        <w:rPr>
          <w:rFonts w:hint="eastAsia" w:cs="Calibri"/>
          <w:b/>
          <w:sz w:val="36"/>
          <w:szCs w:val="36"/>
        </w:rPr>
        <w:t>（七）若投标人代理自助登机门系统，则需提供自助登机门系统硬件产品的原厂商授权书，投标人代理不能超过一家（包括原厂商）。</w:t>
      </w: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jc w:val="center"/>
        <w:rPr>
          <w:rFonts w:ascii="宋体" w:hAnsi="宋体" w:cs="宋体"/>
          <w:b/>
          <w:sz w:val="32"/>
          <w:szCs w:val="32"/>
        </w:rPr>
      </w:pPr>
      <w:r>
        <w:rPr>
          <w:rFonts w:hint="eastAsia" w:ascii="宋体" w:hAnsi="宋体" w:cs="宋体"/>
          <w:b/>
          <w:sz w:val="32"/>
          <w:szCs w:val="32"/>
        </w:rPr>
        <w:t>（八）投标产品近三年（2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5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jc w:val="center"/>
        <w:rPr>
          <w:rFonts w:eastAsia="黑体" w:cs="Calibri"/>
          <w:sz w:val="32"/>
          <w:szCs w:val="32"/>
        </w:rPr>
      </w:pPr>
      <w:r>
        <w:rPr>
          <w:rFonts w:hint="eastAsia" w:eastAsia="黑体" w:cs="Calibri"/>
          <w:sz w:val="32"/>
          <w:szCs w:val="32"/>
        </w:rPr>
        <w:t>(九)</w:t>
      </w:r>
      <w:r>
        <w:rPr>
          <w:rFonts w:hint="eastAsia"/>
        </w:rPr>
        <w:t xml:space="preserve"> </w:t>
      </w:r>
      <w:r>
        <w:rPr>
          <w:rFonts w:hint="eastAsia" w:eastAsia="黑体" w:cs="Calibri"/>
          <w:sz w:val="32"/>
          <w:szCs w:val="32"/>
        </w:rPr>
        <w:t>ISO9000质量体系认证证（如有）</w:t>
      </w: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r>
        <w:rPr>
          <w:rFonts w:hint="eastAsia" w:eastAsia="黑体" w:cs="Calibri"/>
          <w:sz w:val="32"/>
          <w:szCs w:val="32"/>
        </w:rPr>
        <w:t>(十)</w:t>
      </w:r>
      <w:r>
        <w:rPr>
          <w:rFonts w:hint="eastAsia"/>
        </w:rPr>
        <w:t xml:space="preserve"> </w:t>
      </w:r>
      <w:r>
        <w:rPr>
          <w:rFonts w:hint="eastAsia" w:eastAsia="黑体" w:cs="Calibri"/>
          <w:sz w:val="32"/>
          <w:szCs w:val="32"/>
        </w:rPr>
        <w:t>中航信第三方入网许可证</w:t>
      </w: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cs="Calibri"/>
          <w:b/>
          <w:sz w:val="36"/>
          <w:szCs w:val="36"/>
        </w:rPr>
      </w:pPr>
      <w:r>
        <w:rPr>
          <w:rFonts w:hint="eastAsia" w:eastAsia="黑体" w:cs="Calibri"/>
          <w:sz w:val="32"/>
          <w:szCs w:val="32"/>
        </w:rPr>
        <w:t>七、服务大纲</w:t>
      </w:r>
    </w:p>
    <w:p>
      <w:pPr>
        <w:spacing w:line="360" w:lineRule="auto"/>
        <w:rPr>
          <w:rFonts w:cs="Calibri"/>
          <w:b/>
          <w:sz w:val="36"/>
          <w:szCs w:val="36"/>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bl>
    <w:p>
      <w:pPr>
        <w:pStyle w:val="21"/>
        <w:adjustRightInd w:val="0"/>
        <w:snapToGrid w:val="0"/>
        <w:rPr>
          <w:rFonts w:hAnsi="宋体"/>
          <w:bCs/>
        </w:rPr>
      </w:pPr>
    </w:p>
    <w:p>
      <w:pPr>
        <w:widowControl/>
        <w:jc w:val="left"/>
        <w:rPr>
          <w:rFonts w:eastAsia="黑体" w:cs="Calibri"/>
          <w:sz w:val="32"/>
          <w:szCs w:val="32"/>
        </w:rPr>
      </w:pPr>
      <w:r>
        <w:rPr>
          <w:rFonts w:hint="eastAsia" w:hAnsi="宋体"/>
          <w:bCs/>
        </w:rPr>
        <w:t>注：如不填写，则视为完全响应招标文件的商务要求。</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ˎ̥">
    <w:altName w:val="MV Boli"/>
    <w:panose1 w:val="00000000000000000000"/>
    <w:charset w:val="00"/>
    <w:family w:val="roman"/>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17 -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num w:numId="1">
    <w:abstractNumId w:val="1"/>
  </w:num>
  <w:num w:numId="2">
    <w:abstractNumId w:val="4"/>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72"/>
    <w:rsid w:val="00013B7A"/>
    <w:rsid w:val="000D6860"/>
    <w:rsid w:val="000F26AF"/>
    <w:rsid w:val="0011700A"/>
    <w:rsid w:val="001A249D"/>
    <w:rsid w:val="001C23C4"/>
    <w:rsid w:val="005F45F2"/>
    <w:rsid w:val="007546B5"/>
    <w:rsid w:val="007D78CB"/>
    <w:rsid w:val="008554E2"/>
    <w:rsid w:val="008B70A5"/>
    <w:rsid w:val="00A36C72"/>
    <w:rsid w:val="00AE22D4"/>
    <w:rsid w:val="00E46C57"/>
    <w:rsid w:val="00EF787A"/>
    <w:rsid w:val="00F1002C"/>
    <w:rsid w:val="060A7774"/>
    <w:rsid w:val="09DF5D3D"/>
    <w:rsid w:val="3A091F4B"/>
    <w:rsid w:val="56163D19"/>
    <w:rsid w:val="633E3A0E"/>
    <w:rsid w:val="643E670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0"/>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29"/>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162"/>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64"/>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37"/>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semiHidden/>
    <w:qFormat/>
    <w:uiPriority w:val="0"/>
  </w:style>
  <w:style w:type="table" w:default="1" w:styleId="53">
    <w:name w:val="Normal Table"/>
    <w:semiHidden/>
    <w:qFormat/>
    <w:uiPriority w:val="0"/>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53"/>
    <w:semiHidden/>
    <w:qFormat/>
    <w:uiPriority w:val="0"/>
    <w:rPr>
      <w:rFonts w:ascii="Times New Roman" w:hAnsi="Times New Roman"/>
      <w:b/>
      <w:bCs/>
      <w:szCs w:val="24"/>
    </w:rPr>
  </w:style>
  <w:style w:type="paragraph" w:styleId="9">
    <w:name w:val="annotation text"/>
    <w:basedOn w:val="1"/>
    <w:link w:val="208"/>
    <w:unhideWhenUsed/>
    <w:qFormat/>
    <w:uiPriority w:val="99"/>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87"/>
    <w:qFormat/>
    <w:uiPriority w:val="0"/>
    <w:pPr>
      <w:ind w:firstLine="420" w:firstLineChars="100"/>
    </w:pPr>
    <w:rPr>
      <w:rFonts w:ascii="Times New Roman" w:hAnsi="Times New Roman" w:eastAsia="等线" w:cs="Times New Roman"/>
      <w:szCs w:val="24"/>
    </w:rPr>
  </w:style>
  <w:style w:type="paragraph" w:styleId="12">
    <w:name w:val="Body Text"/>
    <w:basedOn w:val="1"/>
    <w:link w:val="128"/>
    <w:unhideWhenUsed/>
    <w:qFormat/>
    <w:uiPriority w:val="99"/>
    <w:pPr>
      <w:spacing w:after="120"/>
    </w:pPr>
    <w:rPr>
      <w:rFonts w:ascii="Calibri" w:hAnsi="Calibri" w:eastAsia="宋体" w:cs="Times New Roman"/>
    </w:rPr>
  </w:style>
  <w:style w:type="paragraph" w:styleId="13">
    <w:name w:val="Normal Indent"/>
    <w:basedOn w:val="1"/>
    <w:link w:val="182"/>
    <w:qFormat/>
    <w:uiPriority w:val="0"/>
    <w:pPr>
      <w:autoSpaceDE w:val="0"/>
      <w:autoSpaceDN w:val="0"/>
      <w:adjustRightInd w:val="0"/>
      <w:ind w:firstLine="420"/>
      <w:jc w:val="left"/>
    </w:pPr>
    <w:rPr>
      <w:rFonts w:ascii="宋体" w:hAnsi="Times New Roman"/>
      <w:sz w:val="34"/>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73"/>
    <w:qFormat/>
    <w:uiPriority w:val="0"/>
    <w:pPr>
      <w:shd w:val="clear" w:color="auto" w:fill="000080"/>
    </w:pPr>
    <w:rPr>
      <w:rFonts w:ascii="Times New Roman" w:hAnsi="Times New Roman"/>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200"/>
    <w:unhideWhenUsed/>
    <w:qFormat/>
    <w:uiPriority w:val="0"/>
    <w:pPr>
      <w:spacing w:after="120"/>
      <w:ind w:left="420" w:leftChars="200"/>
    </w:p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91"/>
    <w:qFormat/>
    <w:uiPriority w:val="0"/>
    <w:rPr>
      <w:rFonts w:ascii="宋体" w:hAnsi="Courier New"/>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168"/>
    <w:qFormat/>
    <w:uiPriority w:val="0"/>
    <w:pPr>
      <w:ind w:left="100" w:leftChars="2500"/>
    </w:pPr>
    <w:rPr>
      <w:rFonts w:ascii="Times New Roman" w:hAnsi="Times New Roman"/>
      <w:b/>
      <w:bCs/>
      <w:sz w:val="36"/>
      <w:szCs w:val="24"/>
    </w:rPr>
  </w:style>
  <w:style w:type="paragraph" w:styleId="25">
    <w:name w:val="Body Text Indent 2"/>
    <w:basedOn w:val="1"/>
    <w:link w:val="146"/>
    <w:qFormat/>
    <w:uiPriority w:val="0"/>
    <w:pPr>
      <w:spacing w:after="120" w:line="480" w:lineRule="auto"/>
      <w:ind w:left="420" w:leftChars="200"/>
    </w:pPr>
    <w:rPr>
      <w:rFonts w:ascii="Times New Roman" w:hAnsi="Times New Roman"/>
      <w:szCs w:val="24"/>
    </w:rPr>
  </w:style>
  <w:style w:type="paragraph" w:styleId="26">
    <w:name w:val="Balloon Text"/>
    <w:basedOn w:val="1"/>
    <w:link w:val="150"/>
    <w:qFormat/>
    <w:uiPriority w:val="0"/>
    <w:rPr>
      <w:rFonts w:ascii="Times New Roman" w:hAnsi="Times New Roman"/>
      <w:sz w:val="18"/>
      <w:szCs w:val="18"/>
    </w:rPr>
  </w:style>
  <w:style w:type="paragraph" w:styleId="27">
    <w:name w:val="footer"/>
    <w:basedOn w:val="1"/>
    <w:link w:val="135"/>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28">
    <w:name w:val="Body Text First Indent 2"/>
    <w:basedOn w:val="17"/>
    <w:link w:val="193"/>
    <w:qFormat/>
    <w:uiPriority w:val="0"/>
    <w:pPr>
      <w:ind w:firstLine="420" w:firstLineChars="200"/>
    </w:pPr>
    <w:rPr>
      <w:rFonts w:ascii="Times New Roman" w:hAnsi="Times New Roman"/>
      <w:szCs w:val="24"/>
    </w:rPr>
  </w:style>
  <w:style w:type="paragraph" w:styleId="29">
    <w:name w:val="header"/>
    <w:basedOn w:val="1"/>
    <w:link w:val="103"/>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0">
    <w:name w:val="toc 1"/>
    <w:basedOn w:val="2"/>
    <w:next w:val="1"/>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uiPriority w:val="0"/>
    <w:pPr>
      <w:ind w:left="200" w:hanging="200" w:hangingChars="200"/>
    </w:pPr>
    <w:rPr>
      <w:rFonts w:ascii="Times New Roman" w:hAnsi="Times New Roman" w:eastAsia="宋体" w:cs="Times New Roman"/>
      <w:szCs w:val="24"/>
    </w:rPr>
  </w:style>
  <w:style w:type="paragraph" w:styleId="33">
    <w:name w:val="footnote text"/>
    <w:basedOn w:val="1"/>
    <w:link w:val="113"/>
    <w:qFormat/>
    <w:uiPriority w:val="0"/>
    <w:pPr>
      <w:snapToGrid w:val="0"/>
      <w:jc w:val="left"/>
    </w:pPr>
    <w:rPr>
      <w:rFonts w:ascii="Times New Roman" w:hAnsi="Times New Roman"/>
      <w:sz w:val="18"/>
      <w:szCs w:val="18"/>
    </w:rPr>
  </w:style>
  <w:style w:type="paragraph" w:styleId="34">
    <w:name w:val="toc 6"/>
    <w:basedOn w:val="1"/>
    <w:next w:val="1"/>
    <w:uiPriority w:val="0"/>
    <w:pPr>
      <w:ind w:left="2100"/>
    </w:pPr>
    <w:rPr>
      <w:rFonts w:ascii="Times New Roman" w:hAnsi="Times New Roman" w:eastAsia="宋体" w:cs="Times New Roman"/>
      <w:szCs w:val="24"/>
    </w:rPr>
  </w:style>
  <w:style w:type="paragraph" w:styleId="35">
    <w:name w:val="Body Text Indent 3"/>
    <w:basedOn w:val="1"/>
    <w:link w:val="159"/>
    <w:qFormat/>
    <w:uiPriority w:val="0"/>
    <w:pPr>
      <w:spacing w:line="540" w:lineRule="atLeast"/>
      <w:ind w:firstLine="480" w:firstLineChars="200"/>
    </w:pPr>
    <w:rPr>
      <w:rFonts w:ascii="Times New Roman" w:hAnsi="Times New Roman"/>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05"/>
    <w:uiPriority w:val="0"/>
    <w:pPr>
      <w:spacing w:after="120" w:line="480" w:lineRule="auto"/>
    </w:pPr>
    <w:rPr>
      <w:rFonts w:ascii="Times New Roman" w:hAnsi="Times New Roman"/>
      <w:szCs w:val="24"/>
    </w:rPr>
  </w:style>
  <w:style w:type="paragraph" w:styleId="40">
    <w:name w:val="List 4"/>
    <w:basedOn w:val="1"/>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eastAsia="宋体" w:cs="Times New Roman"/>
      <w:szCs w:val="24"/>
    </w:rPr>
  </w:style>
  <w:style w:type="paragraph" w:styleId="45">
    <w:name w:val="Title"/>
    <w:basedOn w:val="1"/>
    <w:link w:val="97"/>
    <w:qFormat/>
    <w:uiPriority w:val="0"/>
    <w:pPr>
      <w:spacing w:before="240" w:after="60"/>
      <w:jc w:val="center"/>
      <w:outlineLvl w:val="0"/>
    </w:pPr>
    <w:rPr>
      <w:rFonts w:ascii="Arial" w:hAnsi="Arial"/>
      <w:b/>
      <w:bCs/>
      <w:sz w:val="32"/>
      <w:szCs w:val="32"/>
    </w:rPr>
  </w:style>
  <w:style w:type="character" w:styleId="47">
    <w:name w:val="page number"/>
    <w:qFormat/>
    <w:uiPriority w:val="0"/>
    <w:rPr>
      <w:rFonts w:ascii="等线" w:hAnsi="等线" w:eastAsia="等线" w:cs="Times New Roman"/>
    </w:rPr>
  </w:style>
  <w:style w:type="character" w:styleId="48">
    <w:name w:val="FollowedHyperlink"/>
    <w:unhideWhenUsed/>
    <w:uiPriority w:val="99"/>
    <w:rPr>
      <w:rFonts w:ascii="等线" w:hAnsi="等线" w:eastAsia="等线" w:cs="Times New Roman"/>
      <w:color w:val="954F72"/>
      <w:u w:val="single"/>
    </w:rPr>
  </w:style>
  <w:style w:type="character" w:styleId="49">
    <w:name w:val="Emphasis"/>
    <w:qFormat/>
    <w:uiPriority w:val="20"/>
    <w:rPr>
      <w:rFonts w:ascii="等线" w:hAnsi="等线" w:eastAsia="等线" w:cs="Times New Roman"/>
      <w:i/>
      <w:iCs/>
    </w:rPr>
  </w:style>
  <w:style w:type="character" w:styleId="50">
    <w:name w:val="Hyperlink"/>
    <w:qFormat/>
    <w:uiPriority w:val="99"/>
    <w:rPr>
      <w:rFonts w:ascii="等线" w:hAnsi="等线" w:eastAsia="等线" w:cs="Times New Roman"/>
      <w:color w:val="0000FF"/>
      <w:u w:val="single"/>
    </w:rPr>
  </w:style>
  <w:style w:type="character" w:styleId="51">
    <w:name w:val="annotation reference"/>
    <w:uiPriority w:val="0"/>
    <w:rPr>
      <w:rFonts w:ascii="等线" w:hAnsi="等线" w:eastAsia="等线" w:cs="Times New Roman"/>
      <w:sz w:val="21"/>
      <w:szCs w:val="21"/>
    </w:rPr>
  </w:style>
  <w:style w:type="character" w:styleId="52">
    <w:name w:val="footnote reference"/>
    <w:qFormat/>
    <w:uiPriority w:val="0"/>
    <w:rPr>
      <w:rFonts w:ascii="等线" w:hAnsi="等线" w:eastAsia="等线" w:cs="Times New Roman"/>
      <w:vertAlign w:val="superscript"/>
    </w:rPr>
  </w:style>
  <w:style w:type="paragraph" w:customStyle="1" w:styleId="54">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5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8">
    <w:name w:val="样式 样式1 + 首行缩进:  2 字符"/>
    <w:basedOn w:val="59"/>
    <w:link w:val="188"/>
    <w:qFormat/>
    <w:uiPriority w:val="0"/>
    <w:pPr>
      <w:spacing w:line="360" w:lineRule="exact"/>
      <w:ind w:firstLine="420" w:firstLineChars="200"/>
      <w:jc w:val="both"/>
    </w:pPr>
    <w:rPr>
      <w:rFonts w:ascii="Arial" w:hAnsi="Arial" w:eastAsia="等线" w:cs="Times New Roman"/>
      <w:sz w:val="24"/>
      <w:szCs w:val="22"/>
    </w:rPr>
  </w:style>
  <w:style w:type="paragraph" w:customStyle="1" w:styleId="59">
    <w:name w:val="样式1"/>
    <w:basedOn w:val="1"/>
    <w:uiPriority w:val="0"/>
    <w:pPr>
      <w:spacing w:line="360" w:lineRule="auto"/>
      <w:jc w:val="center"/>
    </w:pPr>
    <w:rPr>
      <w:rFonts w:ascii="宋体" w:hAnsi="宋体" w:eastAsia="宋体" w:cs="Times New Roman"/>
      <w:sz w:val="32"/>
      <w:szCs w:val="30"/>
    </w:rPr>
  </w:style>
  <w:style w:type="paragraph" w:customStyle="1" w:styleId="60">
    <w:name w:val="0"/>
    <w:basedOn w:val="1"/>
    <w:uiPriority w:val="0"/>
    <w:pPr>
      <w:widowControl/>
    </w:pPr>
    <w:rPr>
      <w:rFonts w:ascii="Times New Roman" w:hAnsi="Times New Roman" w:eastAsia="宋体" w:cs="Times New Roman"/>
      <w:kern w:val="0"/>
      <w:szCs w:val="20"/>
    </w:rPr>
  </w:style>
  <w:style w:type="paragraph" w:customStyle="1" w:styleId="61">
    <w:name w:val="样式 标题 1 + (符号) Arial 三号"/>
    <w:basedOn w:val="2"/>
    <w:qFormat/>
    <w:uiPriority w:val="0"/>
    <w:pPr>
      <w:snapToGrid w:val="0"/>
      <w:spacing w:before="0" w:after="0" w:line="360" w:lineRule="auto"/>
    </w:pPr>
    <w:rPr>
      <w:sz w:val="32"/>
    </w:rPr>
  </w:style>
  <w:style w:type="paragraph" w:customStyle="1" w:styleId="62">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3">
    <w:name w:val="Char Char Char Char"/>
    <w:basedOn w:val="1"/>
    <w:qFormat/>
    <w:uiPriority w:val="0"/>
    <w:rPr>
      <w:rFonts w:ascii="仿宋_GB2312" w:hAnsi="Times New Roman" w:eastAsia="仿宋_GB2312" w:cs="Times New Roman"/>
      <w:b/>
      <w:sz w:val="32"/>
      <w:szCs w:val="32"/>
    </w:rPr>
  </w:style>
  <w:style w:type="paragraph" w:customStyle="1" w:styleId="64">
    <w:name w:val="_Style 6"/>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66">
    <w:name w:val="一、"/>
    <w:basedOn w:val="1"/>
    <w:link w:val="156"/>
    <w:qFormat/>
    <w:uiPriority w:val="0"/>
    <w:pPr>
      <w:widowControl/>
      <w:tabs>
        <w:tab w:val="left" w:pos="720"/>
      </w:tabs>
      <w:spacing w:line="560" w:lineRule="exact"/>
      <w:ind w:firstLine="562" w:firstLineChars="200"/>
      <w:jc w:val="left"/>
      <w:outlineLvl w:val="1"/>
    </w:pPr>
    <w:rPr>
      <w:rFonts w:ascii="仿宋_GB2312" w:hAnsi="宋体" w:eastAsia="仿宋_GB2312"/>
      <w:b/>
      <w:sz w:val="28"/>
      <w:szCs w:val="28"/>
    </w:rPr>
  </w:style>
  <w:style w:type="paragraph" w:customStyle="1" w:styleId="67">
    <w:name w:val="28磅"/>
    <w:basedOn w:val="1"/>
    <w:link w:val="133"/>
    <w:qFormat/>
    <w:uiPriority w:val="0"/>
    <w:pPr>
      <w:spacing w:line="560" w:lineRule="exact"/>
      <w:ind w:firstLine="548" w:firstLineChars="200"/>
    </w:pPr>
    <w:rPr>
      <w:rFonts w:ascii="仿宋_GB2312" w:eastAsia="仿宋_GB2312"/>
      <w:sz w:val="28"/>
      <w:szCs w:val="28"/>
    </w:rPr>
  </w:style>
  <w:style w:type="paragraph" w:customStyle="1" w:styleId="68">
    <w:name w:val="_Style 10"/>
    <w:basedOn w:val="1"/>
    <w:next w:val="1"/>
    <w:qFormat/>
    <w:uiPriority w:val="0"/>
    <w:rPr>
      <w:rFonts w:ascii="Times New Roman" w:hAnsi="Times New Roman" w:eastAsia="宋体" w:cs="Times New Roman"/>
      <w:szCs w:val="24"/>
    </w:rPr>
  </w:style>
  <w:style w:type="paragraph" w:customStyle="1" w:styleId="69">
    <w:name w:val="样式 一号 加粗 居中"/>
    <w:basedOn w:val="1"/>
    <w:qFormat/>
    <w:uiPriority w:val="0"/>
    <w:pPr>
      <w:jc w:val="center"/>
    </w:pPr>
    <w:rPr>
      <w:rFonts w:ascii="Times New Roman" w:hAnsi="Times New Roman" w:eastAsia="宋体" w:cs="宋体"/>
      <w:bCs/>
      <w:sz w:val="52"/>
      <w:szCs w:val="20"/>
    </w:rPr>
  </w:style>
  <w:style w:type="paragraph" w:customStyle="1" w:styleId="70">
    <w:name w:val="List Paragraph"/>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1">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2">
    <w:name w:val="_Style 5"/>
    <w:basedOn w:val="1"/>
    <w:next w:val="1"/>
    <w:uiPriority w:val="0"/>
    <w:rPr>
      <w:rFonts w:ascii="Times New Roman" w:hAnsi="Times New Roman" w:eastAsia="宋体" w:cs="Times New Roman"/>
      <w:szCs w:val="20"/>
    </w:rPr>
  </w:style>
  <w:style w:type="paragraph" w:customStyle="1" w:styleId="73">
    <w:name w:val="正文段"/>
    <w:basedOn w:val="1"/>
    <w:uiPriority w:val="0"/>
    <w:pPr>
      <w:spacing w:line="360" w:lineRule="auto"/>
      <w:ind w:firstLine="420"/>
    </w:pPr>
    <w:rPr>
      <w:rFonts w:ascii="宋体" w:hAnsi="Times New Roman" w:eastAsia="宋体" w:cs="Times New Roman"/>
      <w:sz w:val="24"/>
      <w:szCs w:val="24"/>
    </w:rPr>
  </w:style>
  <w:style w:type="paragraph" w:customStyle="1" w:styleId="74">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75">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76">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7">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8">
    <w:name w:val="列出段落1"/>
    <w:basedOn w:val="1"/>
    <w:qFormat/>
    <w:uiPriority w:val="0"/>
    <w:pPr>
      <w:ind w:firstLine="420" w:firstLineChars="200"/>
    </w:pPr>
    <w:rPr>
      <w:rFonts w:ascii="Calibri" w:hAnsi="Calibri" w:eastAsia="宋体" w:cs="Times New Roman"/>
    </w:rPr>
  </w:style>
  <w:style w:type="paragraph" w:customStyle="1" w:styleId="79">
    <w:name w:val="小正文"/>
    <w:basedOn w:val="80"/>
    <w:link w:val="180"/>
    <w:qFormat/>
    <w:uiPriority w:val="0"/>
    <w:pPr>
      <w:spacing w:line="560" w:lineRule="exact"/>
      <w:ind w:firstLine="560" w:firstLineChars="200"/>
      <w:jc w:val="left"/>
    </w:pPr>
    <w:rPr>
      <w:rFonts w:ascii="仿宋_GB2312" w:hAnsi="宋体" w:eastAsia="仿宋_GB2312" w:cs="Times New Roman"/>
      <w:sz w:val="28"/>
      <w:szCs w:val="28"/>
      <w:lang w:val="en-US"/>
    </w:rPr>
  </w:style>
  <w:style w:type="paragraph" w:customStyle="1" w:styleId="80">
    <w:name w:val="Char"/>
    <w:basedOn w:val="1"/>
    <w:uiPriority w:val="0"/>
    <w:pPr>
      <w:spacing w:line="360" w:lineRule="auto"/>
    </w:pPr>
    <w:rPr>
      <w:rFonts w:ascii="黑体" w:hAnsi="黑体" w:eastAsia="宋体" w:cs="Times New Roman"/>
      <w:sz w:val="24"/>
      <w:szCs w:val="24"/>
      <w:lang w:val="zh-CN"/>
    </w:rPr>
  </w:style>
  <w:style w:type="paragraph" w:customStyle="1" w:styleId="81">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2">
    <w:name w:val="Char Char"/>
    <w:basedOn w:val="1"/>
    <w:uiPriority w:val="0"/>
    <w:rPr>
      <w:rFonts w:ascii="Tahoma" w:hAnsi="Tahoma" w:eastAsia="宋体" w:cs="Times New Roman"/>
      <w:sz w:val="24"/>
      <w:szCs w:val="20"/>
    </w:rPr>
  </w:style>
  <w:style w:type="paragraph" w:customStyle="1" w:styleId="83">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84">
    <w:name w:val="样式3"/>
    <w:basedOn w:val="4"/>
    <w:uiPriority w:val="0"/>
    <w:pPr>
      <w:keepNext/>
      <w:keepLines/>
      <w:spacing w:before="120" w:after="120" w:line="360" w:lineRule="auto"/>
    </w:pPr>
    <w:rPr>
      <w:rFonts w:eastAsia="宋体"/>
      <w:sz w:val="24"/>
      <w:szCs w:val="24"/>
    </w:rPr>
  </w:style>
  <w:style w:type="paragraph" w:customStyle="1" w:styleId="85">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86">
    <w:name w:val="样式2"/>
    <w:basedOn w:val="36"/>
    <w:uiPriority w:val="0"/>
    <w:pPr>
      <w:ind w:firstLine="2720"/>
    </w:pPr>
    <w:rPr>
      <w:bCs/>
    </w:rPr>
  </w:style>
  <w:style w:type="paragraph" w:customStyle="1" w:styleId="87">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8">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customStyle="1" w:styleId="89">
    <w:name w:val="_Style 88"/>
    <w:basedOn w:val="1"/>
    <w:next w:val="1"/>
    <w:link w:val="116"/>
    <w:uiPriority w:val="0"/>
    <w:pPr>
      <w:pBdr>
        <w:bottom w:val="single" w:color="auto" w:sz="6" w:space="1"/>
      </w:pBdr>
      <w:jc w:val="center"/>
    </w:pPr>
    <w:rPr>
      <w:rFonts w:ascii="Arial" w:hAnsi="Arial"/>
      <w:vanish/>
      <w:sz w:val="16"/>
      <w:szCs w:val="16"/>
    </w:rPr>
  </w:style>
  <w:style w:type="paragraph" w:customStyle="1" w:styleId="90">
    <w:name w:val="_Style 89"/>
    <w:basedOn w:val="1"/>
    <w:next w:val="1"/>
    <w:link w:val="176"/>
    <w:uiPriority w:val="0"/>
    <w:pPr>
      <w:pBdr>
        <w:top w:val="single" w:color="auto" w:sz="6" w:space="1"/>
      </w:pBdr>
      <w:jc w:val="center"/>
    </w:pPr>
    <w:rPr>
      <w:rFonts w:ascii="Arial" w:hAnsi="Arial"/>
      <w:vanish/>
      <w:sz w:val="16"/>
      <w:szCs w:val="16"/>
    </w:rPr>
  </w:style>
  <w:style w:type="paragraph" w:customStyle="1" w:styleId="91">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character" w:customStyle="1" w:styleId="92">
    <w:name w:val="标题 1 字符"/>
    <w:uiPriority w:val="9"/>
    <w:rPr>
      <w:rFonts w:ascii="等线" w:hAnsi="等线" w:eastAsia="等线" w:cs="Times New Roman"/>
      <w:b/>
      <w:bCs/>
      <w:kern w:val="44"/>
      <w:sz w:val="44"/>
      <w:szCs w:val="44"/>
    </w:rPr>
  </w:style>
  <w:style w:type="character" w:customStyle="1" w:styleId="93">
    <w:name w:val="标题 2 字符"/>
    <w:semiHidden/>
    <w:uiPriority w:val="9"/>
    <w:rPr>
      <w:rFonts w:ascii="等线 Light" w:hAnsi="等线 Light" w:eastAsia="等线 Light" w:cs="Times New Roman"/>
      <w:b/>
      <w:bCs/>
      <w:sz w:val="32"/>
      <w:szCs w:val="32"/>
    </w:rPr>
  </w:style>
  <w:style w:type="character" w:customStyle="1" w:styleId="94">
    <w:name w:val="标题 3 字符"/>
    <w:semiHidden/>
    <w:uiPriority w:val="9"/>
    <w:rPr>
      <w:rFonts w:ascii="等线" w:hAnsi="等线" w:eastAsia="等线" w:cs="Times New Roman"/>
      <w:b/>
      <w:bCs/>
      <w:sz w:val="32"/>
      <w:szCs w:val="32"/>
    </w:rPr>
  </w:style>
  <w:style w:type="character" w:customStyle="1" w:styleId="95">
    <w:name w:val="标题 4 字符"/>
    <w:semiHidden/>
    <w:uiPriority w:val="9"/>
    <w:rPr>
      <w:rFonts w:ascii="等线 Light" w:hAnsi="等线 Light" w:eastAsia="等线 Light" w:cs="Times New Roman"/>
      <w:b/>
      <w:bCs/>
      <w:sz w:val="28"/>
      <w:szCs w:val="28"/>
    </w:rPr>
  </w:style>
  <w:style w:type="character" w:customStyle="1" w:styleId="96">
    <w:name w:val="标题 5 字符"/>
    <w:semiHidden/>
    <w:qFormat/>
    <w:uiPriority w:val="9"/>
    <w:rPr>
      <w:rFonts w:ascii="等线" w:hAnsi="等线" w:eastAsia="等线" w:cs="Times New Roman"/>
      <w:b/>
      <w:bCs/>
      <w:sz w:val="28"/>
      <w:szCs w:val="28"/>
    </w:rPr>
  </w:style>
  <w:style w:type="character" w:customStyle="1" w:styleId="97">
    <w:name w:val="标题 字符1"/>
    <w:link w:val="45"/>
    <w:uiPriority w:val="0"/>
    <w:rPr>
      <w:rFonts w:ascii="Arial" w:hAnsi="Arial" w:eastAsia="等线" w:cs="Times New Roman"/>
      <w:b/>
      <w:bCs/>
      <w:sz w:val="32"/>
      <w:szCs w:val="32"/>
    </w:rPr>
  </w:style>
  <w:style w:type="character" w:customStyle="1" w:styleId="98">
    <w:name w:val="脚注文本 字符"/>
    <w:semiHidden/>
    <w:uiPriority w:val="99"/>
    <w:rPr>
      <w:rFonts w:ascii="等线" w:hAnsi="等线" w:eastAsia="等线" w:cs="Times New Roman"/>
      <w:sz w:val="18"/>
      <w:szCs w:val="18"/>
    </w:rPr>
  </w:style>
  <w:style w:type="character" w:customStyle="1" w:styleId="99">
    <w:name w:val="纯文本 字符2"/>
    <w:semiHidden/>
    <w:uiPriority w:val="99"/>
    <w:rPr>
      <w:rFonts w:ascii="等线" w:hAnsi="Courier New" w:eastAsia="等线" w:cs="Courier New"/>
    </w:rPr>
  </w:style>
  <w:style w:type="character" w:customStyle="1" w:styleId="100">
    <w:name w:val="正文首行缩进 2 Char1"/>
    <w:semiHidden/>
    <w:uiPriority w:val="99"/>
    <w:rPr>
      <w:rFonts w:ascii="等线" w:hAnsi="等线" w:eastAsia="等线" w:cs="Times New Roman"/>
    </w:rPr>
  </w:style>
  <w:style w:type="character" w:customStyle="1" w:styleId="101">
    <w:name w:val="正文文本 2 Char1"/>
    <w:semiHidden/>
    <w:uiPriority w:val="99"/>
    <w:rPr>
      <w:rFonts w:ascii="等线" w:hAnsi="等线" w:eastAsia="等线" w:cs="Times New Roman"/>
      <w:kern w:val="2"/>
      <w:sz w:val="21"/>
      <w:szCs w:val="22"/>
    </w:rPr>
  </w:style>
  <w:style w:type="character" w:customStyle="1" w:styleId="102">
    <w:name w:val="正文文本缩进 2 字符"/>
    <w:semiHidden/>
    <w:qFormat/>
    <w:uiPriority w:val="99"/>
    <w:rPr>
      <w:rFonts w:ascii="等线" w:hAnsi="等线" w:eastAsia="等线" w:cs="Times New Roman"/>
    </w:rPr>
  </w:style>
  <w:style w:type="character" w:customStyle="1" w:styleId="103">
    <w:name w:val="页眉 字符1"/>
    <w:link w:val="29"/>
    <w:uiPriority w:val="99"/>
    <w:rPr>
      <w:rFonts w:ascii="Calibri" w:hAnsi="Calibri" w:eastAsia="宋体" w:cs="Times New Roman"/>
      <w:sz w:val="18"/>
      <w:szCs w:val="18"/>
    </w:rPr>
  </w:style>
  <w:style w:type="character" w:customStyle="1" w:styleId="104">
    <w:name w:val="z-窗体底端 Char1"/>
    <w:semiHidden/>
    <w:uiPriority w:val="99"/>
    <w:rPr>
      <w:rFonts w:ascii="Arial" w:hAnsi="Arial" w:eastAsia="等线" w:cs="Arial"/>
      <w:vanish/>
      <w:kern w:val="2"/>
      <w:sz w:val="16"/>
      <w:szCs w:val="16"/>
    </w:rPr>
  </w:style>
  <w:style w:type="character" w:customStyle="1" w:styleId="105">
    <w:name w:val="正文文本 2 字符1"/>
    <w:link w:val="39"/>
    <w:uiPriority w:val="0"/>
    <w:rPr>
      <w:rFonts w:ascii="Times New Roman" w:hAnsi="Times New Roman" w:eastAsia="等线" w:cs="Times New Roman"/>
      <w:szCs w:val="24"/>
    </w:rPr>
  </w:style>
  <w:style w:type="character" w:customStyle="1" w:styleId="106">
    <w:name w:val="标题 字符2"/>
    <w:uiPriority w:val="10"/>
    <w:rPr>
      <w:rFonts w:ascii="等线 Light" w:hAnsi="等线 Light" w:eastAsia="等线 Light" w:cs="Times New Roman"/>
      <w:b/>
      <w:bCs/>
      <w:sz w:val="32"/>
      <w:szCs w:val="32"/>
    </w:rPr>
  </w:style>
  <w:style w:type="character" w:customStyle="1" w:styleId="107">
    <w:name w:val="纯文本 Char2"/>
    <w:semiHidden/>
    <w:uiPriority w:val="99"/>
    <w:rPr>
      <w:rFonts w:ascii="宋体" w:hAnsi="Courier New" w:eastAsia="宋体" w:cs="Courier New"/>
      <w:szCs w:val="21"/>
    </w:rPr>
  </w:style>
  <w:style w:type="character" w:customStyle="1" w:styleId="108">
    <w:name w:val="日期 字符"/>
    <w:semiHidden/>
    <w:qFormat/>
    <w:uiPriority w:val="99"/>
    <w:rPr>
      <w:rFonts w:ascii="等线" w:hAnsi="等线" w:eastAsia="等线" w:cs="Times New Roman"/>
    </w:rPr>
  </w:style>
  <w:style w:type="character" w:customStyle="1" w:styleId="109">
    <w:name w:val="正文文本缩进 3 字符2"/>
    <w:semiHidden/>
    <w:uiPriority w:val="99"/>
    <w:rPr>
      <w:rFonts w:ascii="等线" w:hAnsi="等线" w:eastAsia="等线" w:cs="Times New Roman"/>
      <w:sz w:val="16"/>
      <w:szCs w:val="16"/>
    </w:rPr>
  </w:style>
  <w:style w:type="character" w:customStyle="1" w:styleId="110">
    <w:name w:val="正文文本 Char1"/>
    <w:semiHidden/>
    <w:uiPriority w:val="99"/>
    <w:rPr>
      <w:rFonts w:ascii="等线" w:hAnsi="等线" w:eastAsia="等线" w:cs="Times New Roman"/>
      <w:kern w:val="2"/>
      <w:sz w:val="21"/>
      <w:szCs w:val="22"/>
    </w:rPr>
  </w:style>
  <w:style w:type="character" w:customStyle="1" w:styleId="111">
    <w:name w:val="页脚 字符"/>
    <w:semiHidden/>
    <w:uiPriority w:val="99"/>
    <w:rPr>
      <w:rFonts w:ascii="等线" w:hAnsi="等线" w:eastAsia="等线" w:cs="Times New Roman"/>
      <w:sz w:val="18"/>
      <w:szCs w:val="18"/>
    </w:rPr>
  </w:style>
  <w:style w:type="character" w:customStyle="1" w:styleId="112">
    <w:name w:val="z-窗体顶端 Char2"/>
    <w:semiHidden/>
    <w:uiPriority w:val="99"/>
    <w:rPr>
      <w:rFonts w:ascii="Arial" w:hAnsi="Arial" w:eastAsia="宋体" w:cs="Arial"/>
      <w:vanish/>
      <w:sz w:val="16"/>
      <w:szCs w:val="16"/>
    </w:rPr>
  </w:style>
  <w:style w:type="character" w:customStyle="1" w:styleId="113">
    <w:name w:val="脚注文本 字符1"/>
    <w:link w:val="33"/>
    <w:uiPriority w:val="0"/>
    <w:rPr>
      <w:rFonts w:ascii="Times New Roman" w:hAnsi="Times New Roman" w:eastAsia="等线" w:cs="Times New Roman"/>
      <w:sz w:val="18"/>
      <w:szCs w:val="18"/>
    </w:rPr>
  </w:style>
  <w:style w:type="character" w:customStyle="1" w:styleId="114">
    <w:name w:val="日期 Char2"/>
    <w:semiHidden/>
    <w:uiPriority w:val="99"/>
    <w:rPr>
      <w:rFonts w:ascii="Calibri" w:hAnsi="Calibri" w:eastAsia="宋体" w:cs="Times New Roman"/>
    </w:rPr>
  </w:style>
  <w:style w:type="character" w:customStyle="1" w:styleId="115">
    <w:name w:val="文档结构图 Char2"/>
    <w:semiHidden/>
    <w:uiPriority w:val="99"/>
    <w:rPr>
      <w:rFonts w:ascii="Microsoft YaHei UI" w:hAnsi="Calibri" w:eastAsia="Microsoft YaHei UI" w:cs="Times New Roman"/>
      <w:sz w:val="18"/>
      <w:szCs w:val="18"/>
    </w:rPr>
  </w:style>
  <w:style w:type="character" w:customStyle="1" w:styleId="116">
    <w:name w:val="z-窗体顶端 字符1"/>
    <w:link w:val="89"/>
    <w:uiPriority w:val="0"/>
    <w:rPr>
      <w:rFonts w:ascii="Arial" w:hAnsi="Arial" w:eastAsia="等线" w:cs="Times New Roman"/>
      <w:vanish/>
      <w:sz w:val="16"/>
      <w:szCs w:val="16"/>
    </w:rPr>
  </w:style>
  <w:style w:type="character" w:customStyle="1" w:styleId="117">
    <w:name w:val="正文文本缩进 3 Char2"/>
    <w:semiHidden/>
    <w:qFormat/>
    <w:uiPriority w:val="99"/>
    <w:rPr>
      <w:rFonts w:ascii="Calibri" w:hAnsi="Calibri" w:eastAsia="宋体" w:cs="Times New Roman"/>
      <w:sz w:val="16"/>
      <w:szCs w:val="16"/>
    </w:rPr>
  </w:style>
  <w:style w:type="character" w:customStyle="1" w:styleId="118">
    <w:name w:val="批注主题 Char1"/>
    <w:semiHidden/>
    <w:uiPriority w:val="99"/>
    <w:rPr>
      <w:rFonts w:ascii="等线" w:hAnsi="等线" w:eastAsia="等线" w:cs="Times New Roman"/>
      <w:b/>
      <w:bCs/>
    </w:rPr>
  </w:style>
  <w:style w:type="character" w:customStyle="1" w:styleId="119">
    <w:name w:val="正文首行缩进 2 字符2"/>
    <w:basedOn w:val="120"/>
    <w:semiHidden/>
    <w:uiPriority w:val="99"/>
  </w:style>
  <w:style w:type="character" w:customStyle="1" w:styleId="120">
    <w:name w:val="正文文本缩进 字符2"/>
    <w:basedOn w:val="46"/>
    <w:semiHidden/>
    <w:uiPriority w:val="99"/>
    <w:rPr>
      <w:rFonts w:ascii="等线" w:hAnsi="等线" w:eastAsia="等线" w:cs="Times New Roman"/>
    </w:rPr>
  </w:style>
  <w:style w:type="character" w:customStyle="1" w:styleId="121">
    <w:name w:val="纯文本 字符"/>
    <w:semiHidden/>
    <w:uiPriority w:val="99"/>
    <w:rPr>
      <w:rFonts w:ascii="宋体" w:hAnsi="Courier New" w:eastAsia="等线" w:cs="Courier New"/>
    </w:rPr>
  </w:style>
  <w:style w:type="character" w:customStyle="1" w:styleId="122">
    <w:name w:val="日期 Char1"/>
    <w:semiHidden/>
    <w:uiPriority w:val="99"/>
    <w:rPr>
      <w:rFonts w:ascii="等线" w:hAnsi="等线" w:eastAsia="等线" w:cs="Times New Roman"/>
      <w:kern w:val="2"/>
      <w:sz w:val="21"/>
      <w:szCs w:val="22"/>
    </w:rPr>
  </w:style>
  <w:style w:type="character" w:customStyle="1" w:styleId="123">
    <w:name w:val="z-窗体底端 字符2"/>
    <w:semiHidden/>
    <w:qFormat/>
    <w:uiPriority w:val="99"/>
    <w:rPr>
      <w:rFonts w:ascii="Arial" w:hAnsi="Arial" w:eastAsia="等线" w:cs="Arial"/>
      <w:vanish/>
      <w:sz w:val="16"/>
      <w:szCs w:val="16"/>
    </w:rPr>
  </w:style>
  <w:style w:type="character" w:customStyle="1" w:styleId="124">
    <w:name w:val="正文首行缩进 Char1"/>
    <w:semiHidden/>
    <w:uiPriority w:val="99"/>
    <w:rPr>
      <w:rFonts w:ascii="等线" w:hAnsi="等线" w:eastAsia="等线" w:cs="Times New Roman"/>
    </w:rPr>
  </w:style>
  <w:style w:type="character" w:customStyle="1" w:styleId="125">
    <w:name w:val="正文首行缩进 字符"/>
    <w:semiHidden/>
    <w:uiPriority w:val="99"/>
    <w:rPr>
      <w:rFonts w:ascii="等线" w:hAnsi="等线" w:eastAsia="等线" w:cs="Times New Roman"/>
    </w:rPr>
  </w:style>
  <w:style w:type="character" w:customStyle="1" w:styleId="126">
    <w:name w:val="正文文本缩进 Char2"/>
    <w:semiHidden/>
    <w:uiPriority w:val="99"/>
    <w:rPr>
      <w:rFonts w:ascii="Calibri" w:hAnsi="Calibri" w:eastAsia="宋体" w:cs="Times New Roman"/>
    </w:rPr>
  </w:style>
  <w:style w:type="character" w:customStyle="1" w:styleId="127">
    <w:name w:val="正文文本 字符"/>
    <w:semiHidden/>
    <w:uiPriority w:val="99"/>
    <w:rPr>
      <w:rFonts w:ascii="等线" w:hAnsi="等线" w:eastAsia="等线" w:cs="Times New Roman"/>
    </w:rPr>
  </w:style>
  <w:style w:type="character" w:customStyle="1" w:styleId="128">
    <w:name w:val="正文文本 字符1"/>
    <w:link w:val="12"/>
    <w:uiPriority w:val="99"/>
    <w:rPr>
      <w:rFonts w:ascii="Calibri" w:hAnsi="Calibri" w:eastAsia="宋体" w:cs="Times New Roman"/>
    </w:rPr>
  </w:style>
  <w:style w:type="character" w:customStyle="1" w:styleId="129">
    <w:name w:val="标题 2 字符1"/>
    <w:link w:val="3"/>
    <w:uiPriority w:val="0"/>
    <w:rPr>
      <w:rFonts w:ascii="Arial" w:hAnsi="Arial" w:eastAsia="黑体" w:cs="Times New Roman"/>
      <w:b/>
      <w:bCs/>
      <w:kern w:val="0"/>
      <w:sz w:val="32"/>
      <w:szCs w:val="32"/>
    </w:rPr>
  </w:style>
  <w:style w:type="character" w:customStyle="1" w:styleId="130">
    <w:name w:val="正文首行缩进 2 字符"/>
    <w:semiHidden/>
    <w:uiPriority w:val="99"/>
    <w:rPr>
      <w:rFonts w:ascii="等线" w:hAnsi="等线" w:eastAsia="等线" w:cs="Times New Roman"/>
    </w:rPr>
  </w:style>
  <w:style w:type="character" w:customStyle="1" w:styleId="131">
    <w:name w:val="页眉 Char1"/>
    <w:semiHidden/>
    <w:uiPriority w:val="99"/>
    <w:rPr>
      <w:rFonts w:ascii="等线" w:hAnsi="等线" w:eastAsia="等线" w:cs="Times New Roman"/>
      <w:kern w:val="2"/>
      <w:sz w:val="18"/>
      <w:szCs w:val="18"/>
    </w:rPr>
  </w:style>
  <w:style w:type="character" w:customStyle="1" w:styleId="132">
    <w:name w:val="正文首行缩进 字符2"/>
    <w:basedOn w:val="128"/>
    <w:semiHidden/>
    <w:uiPriority w:val="99"/>
  </w:style>
  <w:style w:type="character" w:customStyle="1" w:styleId="133">
    <w:name w:val="28磅 Char"/>
    <w:link w:val="67"/>
    <w:uiPriority w:val="0"/>
    <w:rPr>
      <w:rFonts w:ascii="仿宋_GB2312" w:hAnsi="等线" w:eastAsia="仿宋_GB2312" w:cs="Times New Roman"/>
      <w:sz w:val="28"/>
      <w:szCs w:val="28"/>
    </w:rPr>
  </w:style>
  <w:style w:type="character" w:customStyle="1" w:styleId="134">
    <w:name w:val="正文文本缩进 2 字符2"/>
    <w:basedOn w:val="46"/>
    <w:semiHidden/>
    <w:uiPriority w:val="99"/>
    <w:rPr>
      <w:rFonts w:ascii="等线" w:hAnsi="等线" w:eastAsia="等线" w:cs="Times New Roman"/>
    </w:rPr>
  </w:style>
  <w:style w:type="character" w:customStyle="1" w:styleId="135">
    <w:name w:val="页脚 字符1"/>
    <w:link w:val="27"/>
    <w:qFormat/>
    <w:uiPriority w:val="99"/>
    <w:rPr>
      <w:rFonts w:ascii="Calibri" w:hAnsi="Calibri" w:eastAsia="宋体" w:cs="Times New Roman"/>
      <w:sz w:val="18"/>
      <w:szCs w:val="18"/>
    </w:rPr>
  </w:style>
  <w:style w:type="character" w:customStyle="1" w:styleId="136">
    <w:name w:val="脚注文本 Char2"/>
    <w:semiHidden/>
    <w:uiPriority w:val="99"/>
    <w:rPr>
      <w:rFonts w:ascii="Calibri" w:hAnsi="Calibri" w:eastAsia="宋体" w:cs="Times New Roman"/>
      <w:sz w:val="18"/>
      <w:szCs w:val="18"/>
    </w:rPr>
  </w:style>
  <w:style w:type="character" w:customStyle="1" w:styleId="137">
    <w:name w:val="标题 5 字符1"/>
    <w:link w:val="6"/>
    <w:qFormat/>
    <w:uiPriority w:val="0"/>
    <w:rPr>
      <w:rFonts w:ascii="Times New Roman" w:hAnsi="Times New Roman" w:eastAsia="宋体" w:cs="Times New Roman"/>
      <w:b/>
      <w:bCs/>
      <w:kern w:val="0"/>
      <w:sz w:val="28"/>
      <w:szCs w:val="28"/>
    </w:rPr>
  </w:style>
  <w:style w:type="character" w:customStyle="1" w:styleId="138">
    <w:name w:val="批注框文本 Char2"/>
    <w:semiHidden/>
    <w:uiPriority w:val="99"/>
    <w:rPr>
      <w:rFonts w:ascii="Calibri" w:hAnsi="Calibri" w:eastAsia="宋体" w:cs="Times New Roman"/>
      <w:sz w:val="18"/>
      <w:szCs w:val="18"/>
    </w:rPr>
  </w:style>
  <w:style w:type="character" w:customStyle="1" w:styleId="139">
    <w:name w:val="批注框文本 字符"/>
    <w:semiHidden/>
    <w:uiPriority w:val="99"/>
    <w:rPr>
      <w:rFonts w:ascii="等线" w:hAnsi="等线" w:eastAsia="等线" w:cs="Times New Roman"/>
      <w:sz w:val="18"/>
      <w:szCs w:val="18"/>
    </w:rPr>
  </w:style>
  <w:style w:type="character" w:customStyle="1" w:styleId="140">
    <w:name w:val="正文文本缩进 2 Char3"/>
    <w:semiHidden/>
    <w:qFormat/>
    <w:uiPriority w:val="99"/>
    <w:rPr>
      <w:rFonts w:ascii="Calibri" w:hAnsi="Calibri" w:eastAsia="宋体" w:cs="Times New Roman"/>
    </w:rPr>
  </w:style>
  <w:style w:type="character" w:customStyle="1" w:styleId="141">
    <w:name w:val="页脚 Char1"/>
    <w:semiHidden/>
    <w:uiPriority w:val="99"/>
    <w:rPr>
      <w:rFonts w:ascii="等线" w:hAnsi="等线" w:eastAsia="等线" w:cs="Times New Roman"/>
      <w:kern w:val="2"/>
      <w:sz w:val="18"/>
      <w:szCs w:val="18"/>
    </w:rPr>
  </w:style>
  <w:style w:type="character" w:customStyle="1" w:styleId="142">
    <w:name w:val="日期 字符2"/>
    <w:basedOn w:val="46"/>
    <w:semiHidden/>
    <w:uiPriority w:val="99"/>
    <w:rPr>
      <w:rFonts w:ascii="等线" w:hAnsi="等线" w:eastAsia="等线" w:cs="Times New Roman"/>
    </w:rPr>
  </w:style>
  <w:style w:type="character" w:customStyle="1" w:styleId="143">
    <w:name w:val="文档结构图 Char1"/>
    <w:semiHidden/>
    <w:qFormat/>
    <w:uiPriority w:val="99"/>
    <w:rPr>
      <w:rFonts w:ascii="宋体" w:hAnsi="等线" w:eastAsia="等线" w:cs="Times New Roman"/>
      <w:kern w:val="2"/>
      <w:sz w:val="18"/>
      <w:szCs w:val="18"/>
    </w:rPr>
  </w:style>
  <w:style w:type="character" w:customStyle="1" w:styleId="144">
    <w:name w:val="脚注文本 Char1"/>
    <w:semiHidden/>
    <w:qFormat/>
    <w:uiPriority w:val="99"/>
    <w:rPr>
      <w:rFonts w:ascii="等线" w:hAnsi="等线" w:eastAsia="等线" w:cs="Times New Roman"/>
      <w:kern w:val="2"/>
      <w:sz w:val="18"/>
      <w:szCs w:val="18"/>
    </w:rPr>
  </w:style>
  <w:style w:type="character" w:customStyle="1" w:styleId="145">
    <w:name w:val="文档结构图 字符2"/>
    <w:semiHidden/>
    <w:qFormat/>
    <w:uiPriority w:val="99"/>
    <w:rPr>
      <w:rFonts w:ascii="Microsoft YaHei UI" w:hAnsi="等线" w:eastAsia="Microsoft YaHei UI" w:cs="Times New Roman"/>
      <w:sz w:val="18"/>
      <w:szCs w:val="18"/>
    </w:rPr>
  </w:style>
  <w:style w:type="character" w:customStyle="1" w:styleId="146">
    <w:name w:val="正文文本缩进 2 字符1"/>
    <w:link w:val="25"/>
    <w:uiPriority w:val="0"/>
    <w:rPr>
      <w:rFonts w:ascii="Times New Roman" w:hAnsi="Times New Roman" w:eastAsia="等线" w:cs="Times New Roman"/>
      <w:szCs w:val="24"/>
    </w:rPr>
  </w:style>
  <w:style w:type="character" w:customStyle="1" w:styleId="147">
    <w:name w:val="批注框文本 字符2"/>
    <w:semiHidden/>
    <w:qFormat/>
    <w:uiPriority w:val="99"/>
    <w:rPr>
      <w:rFonts w:ascii="等线" w:hAnsi="等线" w:eastAsia="等线" w:cs="Times New Roman"/>
      <w:sz w:val="18"/>
      <w:szCs w:val="18"/>
    </w:rPr>
  </w:style>
  <w:style w:type="character" w:customStyle="1" w:styleId="148">
    <w:name w:val="zbggmain style9"/>
    <w:qFormat/>
    <w:uiPriority w:val="0"/>
    <w:rPr>
      <w:rFonts w:ascii="等线" w:hAnsi="等线" w:eastAsia="等线" w:cs="Times New Roman"/>
    </w:rPr>
  </w:style>
  <w:style w:type="character" w:customStyle="1" w:styleId="149">
    <w:name w:val="z-窗体底端 Char2"/>
    <w:semiHidden/>
    <w:uiPriority w:val="99"/>
    <w:rPr>
      <w:rFonts w:ascii="Arial" w:hAnsi="Arial" w:eastAsia="宋体" w:cs="Arial"/>
      <w:vanish/>
      <w:sz w:val="16"/>
      <w:szCs w:val="16"/>
    </w:rPr>
  </w:style>
  <w:style w:type="character" w:customStyle="1" w:styleId="150">
    <w:name w:val="批注框文本 字符1"/>
    <w:link w:val="26"/>
    <w:qFormat/>
    <w:uiPriority w:val="0"/>
    <w:rPr>
      <w:rFonts w:ascii="Times New Roman" w:hAnsi="Times New Roman" w:eastAsia="等线" w:cs="Times New Roman"/>
      <w:sz w:val="18"/>
      <w:szCs w:val="18"/>
    </w:rPr>
  </w:style>
  <w:style w:type="character" w:customStyle="1" w:styleId="151">
    <w:name w:val="脚注文本 字符2"/>
    <w:semiHidden/>
    <w:qFormat/>
    <w:uiPriority w:val="99"/>
    <w:rPr>
      <w:rFonts w:ascii="等线" w:hAnsi="等线" w:eastAsia="等线" w:cs="Times New Roman"/>
      <w:sz w:val="18"/>
      <w:szCs w:val="18"/>
    </w:rPr>
  </w:style>
  <w:style w:type="character" w:customStyle="1" w:styleId="152">
    <w:name w:val="正文文本缩进 Char1"/>
    <w:semiHidden/>
    <w:qFormat/>
    <w:uiPriority w:val="99"/>
    <w:rPr>
      <w:rFonts w:ascii="等线" w:hAnsi="等线" w:eastAsia="等线" w:cs="Times New Roman"/>
      <w:kern w:val="2"/>
      <w:sz w:val="21"/>
      <w:szCs w:val="22"/>
    </w:rPr>
  </w:style>
  <w:style w:type="character" w:customStyle="1" w:styleId="153">
    <w:name w:val="批注主题 字符"/>
    <w:link w:val="8"/>
    <w:semiHidden/>
    <w:uiPriority w:val="0"/>
    <w:rPr>
      <w:rFonts w:ascii="Times New Roman" w:hAnsi="Times New Roman" w:eastAsia="等线" w:cs="Times New Roman"/>
      <w:b/>
      <w:bCs/>
      <w:szCs w:val="24"/>
    </w:rPr>
  </w:style>
  <w:style w:type="character" w:customStyle="1" w:styleId="154">
    <w:name w:val="z-窗体底端 字符"/>
    <w:semiHidden/>
    <w:qFormat/>
    <w:uiPriority w:val="99"/>
    <w:rPr>
      <w:rFonts w:ascii="Arial" w:hAnsi="Arial" w:eastAsia="等线" w:cs="Arial"/>
      <w:vanish/>
      <w:sz w:val="16"/>
      <w:szCs w:val="16"/>
    </w:rPr>
  </w:style>
  <w:style w:type="character" w:customStyle="1" w:styleId="155">
    <w:name w:val="z-窗体顶端 Char1"/>
    <w:semiHidden/>
    <w:uiPriority w:val="99"/>
    <w:rPr>
      <w:rFonts w:ascii="Arial" w:hAnsi="Arial" w:eastAsia="等线" w:cs="Arial"/>
      <w:vanish/>
      <w:kern w:val="2"/>
      <w:sz w:val="16"/>
      <w:szCs w:val="16"/>
    </w:rPr>
  </w:style>
  <w:style w:type="character" w:customStyle="1" w:styleId="156">
    <w:name w:val="一、 Char"/>
    <w:link w:val="66"/>
    <w:uiPriority w:val="0"/>
    <w:rPr>
      <w:rFonts w:ascii="仿宋_GB2312" w:hAnsi="宋体" w:eastAsia="仿宋_GB2312" w:cs="Times New Roman"/>
      <w:b/>
      <w:sz w:val="28"/>
      <w:szCs w:val="28"/>
    </w:rPr>
  </w:style>
  <w:style w:type="character" w:customStyle="1" w:styleId="157">
    <w:name w:val="z-窗体顶端 字符"/>
    <w:semiHidden/>
    <w:qFormat/>
    <w:uiPriority w:val="99"/>
    <w:rPr>
      <w:rFonts w:ascii="Arial" w:hAnsi="Arial" w:eastAsia="等线" w:cs="Arial"/>
      <w:vanish/>
      <w:sz w:val="16"/>
      <w:szCs w:val="16"/>
    </w:rPr>
  </w:style>
  <w:style w:type="character" w:customStyle="1" w:styleId="158">
    <w:name w:val="页眉 字符"/>
    <w:semiHidden/>
    <w:qFormat/>
    <w:uiPriority w:val="99"/>
    <w:rPr>
      <w:rFonts w:ascii="等线" w:hAnsi="等线" w:eastAsia="等线" w:cs="Times New Roman"/>
      <w:sz w:val="18"/>
      <w:szCs w:val="18"/>
    </w:rPr>
  </w:style>
  <w:style w:type="character" w:customStyle="1" w:styleId="159">
    <w:name w:val="正文文本缩进 3 字符1"/>
    <w:link w:val="35"/>
    <w:qFormat/>
    <w:uiPriority w:val="0"/>
    <w:rPr>
      <w:rFonts w:ascii="Times New Roman" w:hAnsi="Times New Roman" w:eastAsia="等线" w:cs="Times New Roman"/>
      <w:sz w:val="24"/>
      <w:szCs w:val="24"/>
    </w:rPr>
  </w:style>
  <w:style w:type="character" w:customStyle="1" w:styleId="160">
    <w:name w:val="标题 1 字符1"/>
    <w:link w:val="2"/>
    <w:uiPriority w:val="0"/>
    <w:rPr>
      <w:rFonts w:ascii="Times New Roman" w:hAnsi="Times New Roman" w:eastAsia="宋体" w:cs="Times New Roman"/>
      <w:b/>
      <w:bCs/>
      <w:kern w:val="44"/>
      <w:sz w:val="44"/>
      <w:szCs w:val="44"/>
    </w:rPr>
  </w:style>
  <w:style w:type="character" w:customStyle="1" w:styleId="161">
    <w:name w:val="批注文字 Char"/>
    <w:qFormat/>
    <w:uiPriority w:val="99"/>
    <w:rPr>
      <w:rFonts w:ascii="等线" w:hAnsi="等线" w:eastAsia="等线" w:cs="Times New Roman"/>
    </w:rPr>
  </w:style>
  <w:style w:type="character" w:customStyle="1" w:styleId="162">
    <w:name w:val="标题 3 字符1"/>
    <w:link w:val="4"/>
    <w:uiPriority w:val="0"/>
    <w:rPr>
      <w:rFonts w:ascii="Times New Roman" w:hAnsi="Times New Roman" w:eastAsia="楷体_GB2312" w:cs="Times New Roman"/>
      <w:kern w:val="0"/>
      <w:sz w:val="28"/>
      <w:szCs w:val="20"/>
    </w:rPr>
  </w:style>
  <w:style w:type="character" w:customStyle="1" w:styleId="163">
    <w:name w:val="正文文本 2 字符2"/>
    <w:basedOn w:val="46"/>
    <w:semiHidden/>
    <w:uiPriority w:val="99"/>
    <w:rPr>
      <w:rFonts w:ascii="等线" w:hAnsi="等线" w:eastAsia="等线" w:cs="Times New Roman"/>
    </w:rPr>
  </w:style>
  <w:style w:type="character" w:customStyle="1" w:styleId="164">
    <w:name w:val="标题 4 字符1"/>
    <w:link w:val="5"/>
    <w:qFormat/>
    <w:uiPriority w:val="0"/>
    <w:rPr>
      <w:rFonts w:ascii="Arial" w:hAnsi="Arial" w:eastAsia="黑体" w:cs="Times New Roman"/>
      <w:b/>
      <w:bCs/>
      <w:kern w:val="0"/>
      <w:sz w:val="28"/>
      <w:szCs w:val="28"/>
    </w:rPr>
  </w:style>
  <w:style w:type="character" w:customStyle="1" w:styleId="165">
    <w:name w:val="正文文本 2 字符"/>
    <w:semiHidden/>
    <w:qFormat/>
    <w:uiPriority w:val="99"/>
    <w:rPr>
      <w:rFonts w:ascii="等线" w:hAnsi="等线" w:eastAsia="等线" w:cs="Times New Roman"/>
    </w:rPr>
  </w:style>
  <w:style w:type="character" w:customStyle="1" w:styleId="166">
    <w:name w:val="正文文本 Char"/>
    <w:qFormat/>
    <w:uiPriority w:val="0"/>
    <w:rPr>
      <w:rFonts w:ascii="等线" w:hAnsi="等线" w:eastAsia="等线" w:cs="Times New Roman"/>
    </w:rPr>
  </w:style>
  <w:style w:type="character" w:customStyle="1" w:styleId="167">
    <w:name w:val="正文文本缩进 2 Char2"/>
    <w:semiHidden/>
    <w:uiPriority w:val="99"/>
    <w:rPr>
      <w:rFonts w:ascii="等线" w:hAnsi="等线" w:eastAsia="等线" w:cs="Times New Roman"/>
      <w:kern w:val="2"/>
      <w:sz w:val="21"/>
      <w:szCs w:val="22"/>
    </w:rPr>
  </w:style>
  <w:style w:type="character" w:customStyle="1" w:styleId="168">
    <w:name w:val="日期 字符1"/>
    <w:link w:val="24"/>
    <w:qFormat/>
    <w:uiPriority w:val="0"/>
    <w:rPr>
      <w:rFonts w:ascii="Times New Roman" w:hAnsi="Times New Roman" w:eastAsia="等线" w:cs="Times New Roman"/>
      <w:b/>
      <w:bCs/>
      <w:sz w:val="36"/>
      <w:szCs w:val="24"/>
    </w:rPr>
  </w:style>
  <w:style w:type="character" w:customStyle="1" w:styleId="169">
    <w:name w:val="批注文字 字符"/>
    <w:uiPriority w:val="99"/>
    <w:rPr>
      <w:rFonts w:ascii="Calibri" w:hAnsi="Calibri" w:eastAsia="宋体" w:cs="Times New Roman"/>
    </w:rPr>
  </w:style>
  <w:style w:type="character" w:customStyle="1" w:styleId="170">
    <w:name w:val="正文文本缩进 2 Char1"/>
    <w:uiPriority w:val="0"/>
    <w:rPr>
      <w:rFonts w:ascii="Times New Roman" w:hAnsi="Times New Roman" w:eastAsia="宋体" w:cs="Times New Roman"/>
      <w:kern w:val="0"/>
      <w:sz w:val="20"/>
      <w:szCs w:val="24"/>
    </w:rPr>
  </w:style>
  <w:style w:type="character" w:customStyle="1" w:styleId="171">
    <w:name w:val="正文文本 2 Char2"/>
    <w:semiHidden/>
    <w:qFormat/>
    <w:uiPriority w:val="99"/>
    <w:rPr>
      <w:rFonts w:ascii="Calibri" w:hAnsi="Calibri" w:eastAsia="宋体" w:cs="Times New Roman"/>
    </w:rPr>
  </w:style>
  <w:style w:type="character" w:customStyle="1" w:styleId="172">
    <w:name w:val="纯文本 Char1"/>
    <w:semiHidden/>
    <w:uiPriority w:val="99"/>
    <w:rPr>
      <w:rFonts w:ascii="宋体" w:hAnsi="Courier New" w:eastAsia="等线" w:cs="Courier New"/>
      <w:kern w:val="2"/>
      <w:sz w:val="21"/>
      <w:szCs w:val="21"/>
    </w:rPr>
  </w:style>
  <w:style w:type="character" w:customStyle="1" w:styleId="173">
    <w:name w:val="文档结构图 字符1"/>
    <w:link w:val="15"/>
    <w:qFormat/>
    <w:uiPriority w:val="0"/>
    <w:rPr>
      <w:rFonts w:ascii="Times New Roman" w:hAnsi="Times New Roman" w:eastAsia="等线" w:cs="Times New Roman"/>
      <w:szCs w:val="24"/>
      <w:shd w:val="clear" w:color="auto" w:fill="000080"/>
    </w:rPr>
  </w:style>
  <w:style w:type="character" w:customStyle="1" w:styleId="174">
    <w:name w:val="批注主题 Char2"/>
    <w:semiHidden/>
    <w:qFormat/>
    <w:uiPriority w:val="99"/>
    <w:rPr>
      <w:rFonts w:ascii="等线" w:hAnsi="等线" w:eastAsia="等线" w:cs="Times New Roman"/>
      <w:b/>
      <w:bCs/>
      <w:kern w:val="2"/>
      <w:sz w:val="21"/>
      <w:szCs w:val="22"/>
    </w:rPr>
  </w:style>
  <w:style w:type="character" w:customStyle="1" w:styleId="175">
    <w:name w:val="px1233"/>
    <w:qFormat/>
    <w:uiPriority w:val="0"/>
    <w:rPr>
      <w:rFonts w:ascii="等线" w:hAnsi="等线" w:eastAsia="等线" w:cs="Times New Roman"/>
    </w:rPr>
  </w:style>
  <w:style w:type="character" w:customStyle="1" w:styleId="176">
    <w:name w:val="z-窗体底端 字符1"/>
    <w:link w:val="90"/>
    <w:qFormat/>
    <w:uiPriority w:val="0"/>
    <w:rPr>
      <w:rFonts w:ascii="Arial" w:hAnsi="Arial" w:eastAsia="等线" w:cs="Times New Roman"/>
      <w:vanish/>
      <w:sz w:val="16"/>
      <w:szCs w:val="16"/>
    </w:rPr>
  </w:style>
  <w:style w:type="character" w:customStyle="1" w:styleId="177">
    <w:name w:val="纯文本 字符3"/>
    <w:qFormat/>
    <w:uiPriority w:val="0"/>
    <w:rPr>
      <w:rFonts w:ascii="宋体" w:hAnsi="Courier New" w:eastAsia="等线" w:cs="Times New Roman"/>
      <w:szCs w:val="21"/>
    </w:rPr>
  </w:style>
  <w:style w:type="character" w:customStyle="1" w:styleId="178">
    <w:name w:val="文档结构图 字符"/>
    <w:semiHidden/>
    <w:qFormat/>
    <w:uiPriority w:val="99"/>
    <w:rPr>
      <w:rFonts w:ascii="Microsoft YaHei UI" w:hAnsi="等线" w:eastAsia="Microsoft YaHei UI" w:cs="Times New Roman"/>
      <w:sz w:val="18"/>
      <w:szCs w:val="18"/>
    </w:rPr>
  </w:style>
  <w:style w:type="character" w:customStyle="1" w:styleId="179">
    <w:name w:val="批注主题 字符1"/>
    <w:semiHidden/>
    <w:uiPriority w:val="99"/>
    <w:rPr>
      <w:rFonts w:ascii="Calibri" w:hAnsi="Calibri" w:eastAsia="宋体" w:cs="Times New Roman"/>
      <w:b/>
      <w:bCs/>
    </w:rPr>
  </w:style>
  <w:style w:type="character" w:customStyle="1" w:styleId="180">
    <w:name w:val="小正文 Char"/>
    <w:link w:val="79"/>
    <w:qFormat/>
    <w:uiPriority w:val="0"/>
    <w:rPr>
      <w:rFonts w:ascii="仿宋_GB2312" w:hAnsi="宋体" w:eastAsia="仿宋_GB2312" w:cs="Times New Roman"/>
      <w:sz w:val="28"/>
      <w:szCs w:val="28"/>
    </w:rPr>
  </w:style>
  <w:style w:type="character" w:customStyle="1" w:styleId="181">
    <w:name w:val="正文首行缩进 Char2"/>
    <w:semiHidden/>
    <w:qFormat/>
    <w:uiPriority w:val="99"/>
    <w:rPr>
      <w:rFonts w:ascii="Calibri" w:hAnsi="Calibri" w:eastAsia="宋体" w:cs="Times New Roman"/>
    </w:rPr>
  </w:style>
  <w:style w:type="character" w:customStyle="1" w:styleId="182">
    <w:name w:val="正文缩进 字符"/>
    <w:link w:val="13"/>
    <w:qFormat/>
    <w:uiPriority w:val="0"/>
    <w:rPr>
      <w:rFonts w:ascii="宋体" w:hAnsi="Times New Roman" w:eastAsia="等线" w:cs="Times New Roman"/>
      <w:sz w:val="34"/>
    </w:rPr>
  </w:style>
  <w:style w:type="character" w:customStyle="1" w:styleId="183">
    <w:name w:val="标题 Char2"/>
    <w:qFormat/>
    <w:uiPriority w:val="10"/>
    <w:rPr>
      <w:rFonts w:ascii="等线 Light" w:hAnsi="等线 Light" w:eastAsia="宋体" w:cs="Times New Roman"/>
      <w:b/>
      <w:bCs/>
      <w:sz w:val="32"/>
      <w:szCs w:val="32"/>
    </w:rPr>
  </w:style>
  <w:style w:type="character" w:customStyle="1" w:styleId="184">
    <w:name w:val="正文文本缩进 3 Char1"/>
    <w:semiHidden/>
    <w:qFormat/>
    <w:uiPriority w:val="99"/>
    <w:rPr>
      <w:rFonts w:ascii="等线" w:hAnsi="等线" w:eastAsia="等线" w:cs="Times New Roman"/>
      <w:kern w:val="2"/>
      <w:sz w:val="16"/>
      <w:szCs w:val="16"/>
    </w:rPr>
  </w:style>
  <w:style w:type="character" w:customStyle="1" w:styleId="185">
    <w:name w:val="正文文本缩进 字符"/>
    <w:semiHidden/>
    <w:qFormat/>
    <w:uiPriority w:val="99"/>
    <w:rPr>
      <w:rFonts w:ascii="等线" w:hAnsi="等线" w:eastAsia="等线" w:cs="Times New Roman"/>
    </w:rPr>
  </w:style>
  <w:style w:type="character" w:customStyle="1" w:styleId="186">
    <w:name w:val="z-窗体顶端 字符2"/>
    <w:semiHidden/>
    <w:uiPriority w:val="99"/>
    <w:rPr>
      <w:rFonts w:ascii="Arial" w:hAnsi="Arial" w:eastAsia="等线" w:cs="Arial"/>
      <w:vanish/>
      <w:sz w:val="16"/>
      <w:szCs w:val="16"/>
    </w:rPr>
  </w:style>
  <w:style w:type="character" w:customStyle="1" w:styleId="187">
    <w:name w:val="正文首行缩进 字符1"/>
    <w:link w:val="11"/>
    <w:qFormat/>
    <w:uiPriority w:val="0"/>
    <w:rPr>
      <w:rFonts w:ascii="Times New Roman" w:hAnsi="Times New Roman" w:eastAsia="等线" w:cs="Times New Roman"/>
      <w:szCs w:val="24"/>
    </w:rPr>
  </w:style>
  <w:style w:type="character" w:customStyle="1" w:styleId="188">
    <w:name w:val="样式 样式1 + 首行缩进:  2 字符 Char"/>
    <w:link w:val="58"/>
    <w:qFormat/>
    <w:uiPriority w:val="0"/>
    <w:rPr>
      <w:rFonts w:ascii="Arial" w:hAnsi="Arial" w:eastAsia="等线" w:cs="Times New Roman"/>
      <w:sz w:val="24"/>
    </w:rPr>
  </w:style>
  <w:style w:type="character" w:customStyle="1" w:styleId="189">
    <w:name w:val="批注框文本 Char1"/>
    <w:semiHidden/>
    <w:qFormat/>
    <w:uiPriority w:val="99"/>
    <w:rPr>
      <w:rFonts w:ascii="等线" w:hAnsi="等线" w:eastAsia="等线" w:cs="Times New Roman"/>
      <w:kern w:val="2"/>
      <w:sz w:val="18"/>
      <w:szCs w:val="18"/>
    </w:rPr>
  </w:style>
  <w:style w:type="character" w:customStyle="1" w:styleId="190">
    <w:name w:val="Char Char14"/>
    <w:qFormat/>
    <w:uiPriority w:val="0"/>
    <w:rPr>
      <w:rFonts w:ascii="宋体" w:hAnsi="Courier New" w:eastAsia="宋体" w:cs="Courier New"/>
      <w:kern w:val="2"/>
      <w:sz w:val="21"/>
      <w:szCs w:val="21"/>
      <w:lang w:val="en-US" w:eastAsia="zh-CN" w:bidi="ar-SA"/>
    </w:rPr>
  </w:style>
  <w:style w:type="character" w:customStyle="1" w:styleId="191">
    <w:name w:val="纯文本 字符1"/>
    <w:link w:val="21"/>
    <w:qFormat/>
    <w:uiPriority w:val="0"/>
    <w:rPr>
      <w:rFonts w:ascii="宋体" w:hAnsi="Courier New" w:eastAsia="等线" w:cs="Times New Roman"/>
      <w:szCs w:val="21"/>
    </w:rPr>
  </w:style>
  <w:style w:type="character" w:customStyle="1" w:styleId="192">
    <w:name w:val="批注主题 Char3"/>
    <w:semiHidden/>
    <w:qFormat/>
    <w:uiPriority w:val="99"/>
    <w:rPr>
      <w:rFonts w:ascii="Calibri" w:hAnsi="Calibri" w:eastAsia="宋体" w:cs="Times New Roman"/>
      <w:b/>
      <w:bCs/>
    </w:rPr>
  </w:style>
  <w:style w:type="character" w:customStyle="1" w:styleId="193">
    <w:name w:val="正文首行缩进 2 字符1"/>
    <w:link w:val="28"/>
    <w:uiPriority w:val="0"/>
    <w:rPr>
      <w:rFonts w:ascii="Times New Roman" w:hAnsi="Times New Roman" w:eastAsia="等线" w:cs="Times New Roman"/>
      <w:szCs w:val="24"/>
    </w:rPr>
  </w:style>
  <w:style w:type="character" w:customStyle="1" w:styleId="194">
    <w:name w:val="批注文字 Char1"/>
    <w:semiHidden/>
    <w:qFormat/>
    <w:uiPriority w:val="99"/>
    <w:rPr>
      <w:rFonts w:ascii="等线" w:hAnsi="等线" w:eastAsia="等线" w:cs="Times New Roman"/>
      <w:kern w:val="2"/>
      <w:sz w:val="21"/>
      <w:szCs w:val="22"/>
    </w:rPr>
  </w:style>
  <w:style w:type="character" w:customStyle="1" w:styleId="195">
    <w:name w:val="正文首行缩进 2 Char2"/>
    <w:semiHidden/>
    <w:qFormat/>
    <w:uiPriority w:val="99"/>
    <w:rPr>
      <w:rFonts w:ascii="等线" w:hAnsi="等线" w:eastAsia="等线" w:cs="Times New Roman"/>
    </w:rPr>
  </w:style>
  <w:style w:type="character" w:customStyle="1" w:styleId="196">
    <w:name w:val="标题 字符"/>
    <w:qFormat/>
    <w:uiPriority w:val="10"/>
    <w:rPr>
      <w:rFonts w:ascii="Calibri Light" w:hAnsi="Calibri Light" w:eastAsia="宋体" w:cs="Times New Roman"/>
      <w:b/>
      <w:bCs/>
      <w:sz w:val="32"/>
      <w:szCs w:val="32"/>
    </w:rPr>
  </w:style>
  <w:style w:type="character" w:customStyle="1" w:styleId="197">
    <w:name w:val="正文文本缩进 字符1"/>
    <w:qFormat/>
    <w:uiPriority w:val="0"/>
    <w:rPr>
      <w:rFonts w:ascii="等线" w:hAnsi="等线" w:eastAsia="等线" w:cs="Times New Roman"/>
    </w:rPr>
  </w:style>
  <w:style w:type="character" w:customStyle="1" w:styleId="198">
    <w:name w:val="标题 Char1"/>
    <w:qFormat/>
    <w:uiPriority w:val="10"/>
    <w:rPr>
      <w:rFonts w:ascii="Cambria" w:hAnsi="Cambria" w:eastAsia="等线" w:cs="Times New Roman"/>
      <w:b/>
      <w:bCs/>
      <w:kern w:val="2"/>
      <w:sz w:val="32"/>
      <w:szCs w:val="32"/>
    </w:rPr>
  </w:style>
  <w:style w:type="character" w:customStyle="1" w:styleId="199">
    <w:name w:val="正文文本缩进 3 字符"/>
    <w:semiHidden/>
    <w:qFormat/>
    <w:uiPriority w:val="99"/>
    <w:rPr>
      <w:rFonts w:ascii="等线" w:hAnsi="等线" w:eastAsia="等线" w:cs="Times New Roman"/>
      <w:sz w:val="16"/>
      <w:szCs w:val="16"/>
    </w:rPr>
  </w:style>
  <w:style w:type="character" w:customStyle="1" w:styleId="200">
    <w:name w:val="正文文本缩进 字符3"/>
    <w:basedOn w:val="46"/>
    <w:link w:val="17"/>
    <w:semiHidden/>
    <w:uiPriority w:val="99"/>
    <w:rPr>
      <w:rFonts w:ascii="等线" w:hAnsi="等线" w:eastAsia="等线" w:cs="Times New Roman"/>
    </w:rPr>
  </w:style>
  <w:style w:type="character" w:customStyle="1" w:styleId="201">
    <w:name w:val="正文首行缩进 2 字符3"/>
    <w:basedOn w:val="200"/>
    <w:semiHidden/>
    <w:qFormat/>
    <w:uiPriority w:val="99"/>
  </w:style>
  <w:style w:type="character" w:customStyle="1" w:styleId="202">
    <w:name w:val="正文文本 2 字符3"/>
    <w:basedOn w:val="46"/>
    <w:semiHidden/>
    <w:qFormat/>
    <w:uiPriority w:val="99"/>
    <w:rPr>
      <w:rFonts w:ascii="等线" w:hAnsi="等线" w:eastAsia="等线" w:cs="Times New Roman"/>
    </w:rPr>
  </w:style>
  <w:style w:type="character" w:customStyle="1" w:styleId="203">
    <w:name w:val="页脚 字符2"/>
    <w:semiHidden/>
    <w:uiPriority w:val="99"/>
    <w:rPr>
      <w:rFonts w:ascii="等线" w:hAnsi="等线" w:eastAsia="等线" w:cs="Times New Roman"/>
      <w:sz w:val="18"/>
      <w:szCs w:val="18"/>
    </w:rPr>
  </w:style>
  <w:style w:type="character" w:customStyle="1" w:styleId="204">
    <w:name w:val="批注框文本 字符3"/>
    <w:semiHidden/>
    <w:qFormat/>
    <w:uiPriority w:val="99"/>
    <w:rPr>
      <w:rFonts w:ascii="等线" w:hAnsi="等线" w:eastAsia="等线" w:cs="Times New Roman"/>
      <w:sz w:val="18"/>
      <w:szCs w:val="18"/>
    </w:rPr>
  </w:style>
  <w:style w:type="character" w:customStyle="1" w:styleId="205">
    <w:name w:val="标题 字符3"/>
    <w:qFormat/>
    <w:uiPriority w:val="10"/>
    <w:rPr>
      <w:rFonts w:ascii="等线 Light" w:hAnsi="等线 Light" w:eastAsia="等线 Light" w:cs="Times New Roman"/>
      <w:b/>
      <w:bCs/>
      <w:sz w:val="32"/>
      <w:szCs w:val="32"/>
    </w:rPr>
  </w:style>
  <w:style w:type="character" w:customStyle="1" w:styleId="206">
    <w:name w:val="正文文本缩进 3 字符3"/>
    <w:semiHidden/>
    <w:qFormat/>
    <w:uiPriority w:val="99"/>
    <w:rPr>
      <w:rFonts w:ascii="等线" w:hAnsi="等线" w:eastAsia="等线" w:cs="Times New Roman"/>
      <w:sz w:val="16"/>
      <w:szCs w:val="16"/>
    </w:rPr>
  </w:style>
  <w:style w:type="character" w:customStyle="1" w:styleId="207">
    <w:name w:val="页眉 字符2"/>
    <w:semiHidden/>
    <w:qFormat/>
    <w:uiPriority w:val="99"/>
    <w:rPr>
      <w:rFonts w:ascii="等线" w:hAnsi="等线" w:eastAsia="等线" w:cs="Times New Roman"/>
      <w:sz w:val="18"/>
      <w:szCs w:val="18"/>
    </w:rPr>
  </w:style>
  <w:style w:type="character" w:customStyle="1" w:styleId="208">
    <w:name w:val="批注文字 字符1"/>
    <w:basedOn w:val="46"/>
    <w:link w:val="9"/>
    <w:semiHidden/>
    <w:qFormat/>
    <w:uiPriority w:val="99"/>
    <w:rPr>
      <w:rFonts w:ascii="等线" w:hAnsi="等线" w:eastAsia="等线" w:cs="Times New Roman"/>
    </w:rPr>
  </w:style>
  <w:style w:type="character" w:customStyle="1" w:styleId="209">
    <w:name w:val="批注主题 字符2"/>
    <w:semiHidden/>
    <w:qFormat/>
    <w:uiPriority w:val="99"/>
    <w:rPr>
      <w:rFonts w:ascii="等线" w:hAnsi="等线" w:eastAsia="等线" w:cs="Times New Roman"/>
      <w:b/>
      <w:bCs/>
    </w:rPr>
  </w:style>
  <w:style w:type="character" w:customStyle="1" w:styleId="210">
    <w:name w:val="脚注文本 字符3"/>
    <w:semiHidden/>
    <w:uiPriority w:val="99"/>
    <w:rPr>
      <w:rFonts w:ascii="等线" w:hAnsi="等线" w:eastAsia="等线" w:cs="Times New Roman"/>
      <w:sz w:val="18"/>
      <w:szCs w:val="18"/>
    </w:rPr>
  </w:style>
  <w:style w:type="character" w:customStyle="1" w:styleId="211">
    <w:name w:val="纯文本 字符4"/>
    <w:semiHidden/>
    <w:qFormat/>
    <w:uiPriority w:val="99"/>
    <w:rPr>
      <w:rFonts w:ascii="等线" w:hAnsi="Courier New" w:eastAsia="等线" w:cs="Courier New"/>
    </w:rPr>
  </w:style>
  <w:style w:type="character" w:customStyle="1" w:styleId="212">
    <w:name w:val="日期 字符3"/>
    <w:basedOn w:val="46"/>
    <w:semiHidden/>
    <w:qFormat/>
    <w:uiPriority w:val="99"/>
    <w:rPr>
      <w:rFonts w:ascii="等线" w:hAnsi="等线" w:eastAsia="等线" w:cs="Times New Roman"/>
    </w:rPr>
  </w:style>
  <w:style w:type="character" w:customStyle="1" w:styleId="213">
    <w:name w:val="正文文本 字符2"/>
    <w:basedOn w:val="46"/>
    <w:semiHidden/>
    <w:qFormat/>
    <w:uiPriority w:val="99"/>
    <w:rPr>
      <w:rFonts w:ascii="等线" w:hAnsi="等线" w:eastAsia="等线" w:cs="Times New Roman"/>
    </w:rPr>
  </w:style>
  <w:style w:type="character" w:customStyle="1" w:styleId="214">
    <w:name w:val="文档结构图 字符3"/>
    <w:semiHidden/>
    <w:qFormat/>
    <w:uiPriority w:val="99"/>
    <w:rPr>
      <w:rFonts w:ascii="Microsoft YaHei UI" w:hAnsi="等线" w:eastAsia="Microsoft YaHei UI" w:cs="Times New Roman"/>
      <w:sz w:val="18"/>
      <w:szCs w:val="18"/>
    </w:rPr>
  </w:style>
  <w:style w:type="character" w:customStyle="1" w:styleId="215">
    <w:name w:val="正文首行缩进 字符3"/>
    <w:basedOn w:val="213"/>
    <w:semiHidden/>
    <w:uiPriority w:val="99"/>
  </w:style>
  <w:style w:type="character" w:customStyle="1" w:styleId="216">
    <w:name w:val="正文文本缩进 2 字符3"/>
    <w:basedOn w:val="46"/>
    <w:semiHidden/>
    <w:qFormat/>
    <w:uiPriority w:val="99"/>
    <w:rPr>
      <w:rFonts w:ascii="等线" w:hAnsi="等线" w:eastAsia="等线" w:cs="Times New Roman"/>
    </w:rPr>
  </w:style>
  <w:style w:type="character" w:customStyle="1" w:styleId="217">
    <w:name w:val="z-窗体顶端 字符3"/>
    <w:semiHidden/>
    <w:uiPriority w:val="99"/>
    <w:rPr>
      <w:rFonts w:ascii="Arial" w:hAnsi="Arial" w:eastAsia="等线" w:cs="Arial"/>
      <w:vanish/>
      <w:sz w:val="16"/>
      <w:szCs w:val="16"/>
    </w:rPr>
  </w:style>
  <w:style w:type="character" w:customStyle="1" w:styleId="218">
    <w:name w:val="z-窗体底端 字符3"/>
    <w:semiHidden/>
    <w:uiPriority w:val="99"/>
    <w:rPr>
      <w:rFonts w:ascii="Arial" w:hAnsi="Arial" w:eastAsia="等线"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zbzx-jsx</dc:creator>
  <cp:lastModifiedBy>张文娴</cp:lastModifiedBy>
  <dcterms:modified xsi:type="dcterms:W3CDTF">2019-12-09T10:50:24Z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