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bookmarkStart w:id="132" w:name="_GoBack"/>
      <w:bookmarkEnd w:id="132"/>
    </w:p>
    <w:p>
      <w:pPr>
        <w:widowControl/>
        <w:autoSpaceDE w:val="0"/>
        <w:autoSpaceDN w:val="0"/>
        <w:jc w:val="center"/>
        <w:textAlignment w:val="bottom"/>
        <w:rPr>
          <w:rFonts w:hint="eastAsia" w:ascii="黑体" w:hAnsi="黑体" w:eastAsia="黑体"/>
          <w:b/>
          <w:sz w:val="44"/>
          <w:szCs w:val="44"/>
        </w:rPr>
      </w:pPr>
      <w:r>
        <w:rPr>
          <w:rFonts w:hint="eastAsia" w:ascii="黑体" w:hAnsi="黑体" w:eastAsia="黑体"/>
          <w:b/>
          <w:sz w:val="44"/>
          <w:szCs w:val="44"/>
        </w:rPr>
        <w:t>杭州萧山国际机场航空物流有限公司</w:t>
      </w:r>
    </w:p>
    <w:p>
      <w:pPr>
        <w:widowControl/>
        <w:autoSpaceDE w:val="0"/>
        <w:autoSpaceDN w:val="0"/>
        <w:jc w:val="center"/>
        <w:textAlignment w:val="bottom"/>
        <w:rPr>
          <w:rFonts w:ascii="黑体" w:hAnsi="黑体" w:eastAsia="黑体"/>
          <w:sz w:val="84"/>
          <w:szCs w:val="84"/>
        </w:rPr>
      </w:pPr>
      <w:r>
        <w:rPr>
          <w:rFonts w:hint="eastAsia" w:eastAsia="黑体" w:cs="Calibri"/>
          <w:b/>
          <w:sz w:val="44"/>
          <w:szCs w:val="44"/>
          <w:u w:val="none"/>
          <w:lang w:val="en-US" w:eastAsia="zh-CN"/>
        </w:rPr>
        <w:t>充电场所整改</w:t>
      </w:r>
      <w:r>
        <w:rPr>
          <w:rFonts w:hint="eastAsia" w:eastAsia="黑体" w:cs="Calibri"/>
          <w:b/>
          <w:sz w:val="44"/>
          <w:szCs w:val="44"/>
          <w:u w:val="none"/>
        </w:rPr>
        <w:t>项目</w:t>
      </w:r>
      <w:r>
        <w:rPr>
          <w:rFonts w:hint="eastAsia" w:ascii="黑体" w:hAnsi="黑体" w:eastAsia="黑体"/>
          <w:b/>
          <w:sz w:val="44"/>
          <w:szCs w:val="44"/>
        </w:rPr>
        <w:t>施工</w:t>
      </w:r>
      <w:r>
        <w:rPr>
          <w:rFonts w:hint="eastAsia" w:ascii="黑体" w:hAnsi="黑体" w:eastAsia="黑体"/>
          <w:b/>
          <w:sz w:val="44"/>
          <w:szCs w:val="44"/>
          <w:lang w:eastAsia="zh-CN"/>
        </w:rPr>
        <w:t>（</w:t>
      </w:r>
      <w:r>
        <w:rPr>
          <w:rFonts w:hint="eastAsia" w:ascii="黑体" w:hAnsi="黑体" w:eastAsia="黑体"/>
          <w:b/>
          <w:sz w:val="44"/>
          <w:szCs w:val="44"/>
          <w:lang w:val="en-US" w:eastAsia="zh-CN"/>
        </w:rPr>
        <w:t>重新</w:t>
      </w:r>
      <w:r>
        <w:rPr>
          <w:rFonts w:hint="eastAsia" w:ascii="黑体" w:hAnsi="黑体" w:eastAsia="黑体"/>
          <w:b/>
          <w:sz w:val="44"/>
          <w:szCs w:val="44"/>
          <w:lang w:eastAsia="zh-CN"/>
        </w:rPr>
        <w:t>）</w:t>
      </w:r>
      <w:r>
        <w:rPr>
          <w:rFonts w:ascii="黑体" w:hAnsi="黑体" w:eastAsia="黑体"/>
          <w:b/>
          <w:sz w:val="44"/>
          <w:szCs w:val="44"/>
        </w:rPr>
        <w:t>招标</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eastAsia="黑体" w:cs="Calibri"/>
          <w:sz w:val="32"/>
          <w:szCs w:val="32"/>
        </w:rPr>
      </w:pPr>
      <w:r>
        <w:rPr>
          <w:rFonts w:hint="eastAsia" w:eastAsia="黑体" w:cs="Calibri"/>
          <w:sz w:val="32"/>
          <w:szCs w:val="32"/>
        </w:rPr>
        <w:t>杭州萧山国际机场航空物流有限公司</w:t>
      </w:r>
    </w:p>
    <w:p>
      <w:pPr>
        <w:pStyle w:val="29"/>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Calibri" w:hAnsi="Calibri" w:eastAsia="黑体" w:cs="Calibri"/>
          <w:sz w:val="32"/>
          <w:szCs w:val="32"/>
          <w:lang w:val="en-US" w:eastAsia="zh-CN"/>
        </w:rPr>
        <w:t>一</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val="en-US" w:eastAsia="zh-CN"/>
        </w:rPr>
        <w:t>五</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fldChar w:fldCharType="begin"/>
      </w:r>
      <w:r>
        <w:instrText xml:space="preserve"> HYPERLINK \l "_Toc448097401" </w:instrText>
      </w:r>
      <w:r>
        <w:fldChar w:fldCharType="separate"/>
      </w:r>
      <w:r>
        <w:rPr>
          <w:rStyle w:val="58"/>
          <w:rFonts w:hint="eastAsia" w:ascii="黑体" w:hAnsi="黑体" w:eastAsia="黑体"/>
          <w:sz w:val="22"/>
          <w:szCs w:val="22"/>
        </w:rPr>
        <w:t>第一章</w:t>
      </w:r>
      <w:r>
        <w:rPr>
          <w:rStyle w:val="58"/>
          <w:rFonts w:ascii="黑体" w:hAnsi="黑体" w:eastAsia="黑体"/>
          <w:sz w:val="22"/>
          <w:szCs w:val="22"/>
        </w:rPr>
        <w:t xml:space="preserve"> </w:t>
      </w:r>
      <w:r>
        <w:rPr>
          <w:rStyle w:val="58"/>
          <w:rFonts w:hint="eastAsia" w:ascii="黑体" w:hAnsi="黑体" w:eastAsia="黑体"/>
          <w:sz w:val="22"/>
          <w:szCs w:val="22"/>
        </w:rPr>
        <w:t xml:space="preserve"> 招标公告</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_Toc448097401 \h </w:instrText>
      </w:r>
      <w:r>
        <w:rPr>
          <w:rFonts w:ascii="黑体" w:hAnsi="黑体" w:eastAsia="黑体"/>
          <w:sz w:val="22"/>
          <w:szCs w:val="22"/>
        </w:rPr>
        <w:fldChar w:fldCharType="separate"/>
      </w:r>
      <w:r>
        <w:rPr>
          <w:rFonts w:ascii="黑体" w:hAnsi="黑体" w:eastAsia="黑体"/>
          <w:sz w:val="22"/>
          <w:szCs w:val="22"/>
        </w:rPr>
        <w:t>- 2 -</w:t>
      </w:r>
      <w:r>
        <w:rPr>
          <w:rFonts w:ascii="黑体" w:hAnsi="黑体" w:eastAsia="黑体"/>
          <w:sz w:val="22"/>
          <w:szCs w:val="22"/>
        </w:rPr>
        <w:fldChar w:fldCharType="end"/>
      </w:r>
      <w:r>
        <w:rPr>
          <w:rFonts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fldChar w:fldCharType="begin"/>
      </w:r>
      <w:r>
        <w:instrText xml:space="preserve"> HYPERLINK \l "_Toc448097402" </w:instrText>
      </w:r>
      <w:r>
        <w:fldChar w:fldCharType="separate"/>
      </w:r>
      <w:r>
        <w:rPr>
          <w:rStyle w:val="58"/>
          <w:rFonts w:hint="eastAsia" w:ascii="黑体" w:hAnsi="黑体" w:eastAsia="黑体"/>
          <w:sz w:val="22"/>
          <w:szCs w:val="22"/>
        </w:rPr>
        <w:t>第二章</w:t>
      </w:r>
      <w:r>
        <w:rPr>
          <w:rStyle w:val="58"/>
          <w:rFonts w:ascii="黑体" w:hAnsi="黑体" w:eastAsia="黑体"/>
          <w:sz w:val="22"/>
          <w:szCs w:val="22"/>
        </w:rPr>
        <w:t xml:space="preserve">  </w:t>
      </w:r>
      <w:r>
        <w:rPr>
          <w:rStyle w:val="58"/>
          <w:rFonts w:hint="eastAsia" w:ascii="黑体" w:hAnsi="黑体" w:eastAsia="黑体"/>
          <w:sz w:val="22"/>
          <w:szCs w:val="22"/>
        </w:rPr>
        <w:t>投标人须知</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_Toc448097402 \h </w:instrText>
      </w:r>
      <w:r>
        <w:rPr>
          <w:rFonts w:ascii="黑体" w:hAnsi="黑体" w:eastAsia="黑体"/>
          <w:sz w:val="22"/>
          <w:szCs w:val="22"/>
        </w:rPr>
        <w:fldChar w:fldCharType="separate"/>
      </w:r>
      <w:r>
        <w:rPr>
          <w:rFonts w:ascii="黑体" w:hAnsi="黑体" w:eastAsia="黑体"/>
          <w:sz w:val="22"/>
          <w:szCs w:val="22"/>
        </w:rPr>
        <w:t>- 3 -</w:t>
      </w:r>
      <w:r>
        <w:rPr>
          <w:rFonts w:ascii="黑体" w:hAnsi="黑体" w:eastAsia="黑体"/>
          <w:sz w:val="22"/>
          <w:szCs w:val="22"/>
        </w:rPr>
        <w:fldChar w:fldCharType="end"/>
      </w:r>
      <w:r>
        <w:rPr>
          <w:rFonts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fldChar w:fldCharType="begin"/>
      </w:r>
      <w:r>
        <w:instrText xml:space="preserve"> HYPERLINK \l "_Toc448097404" </w:instrText>
      </w:r>
      <w:r>
        <w:fldChar w:fldCharType="separate"/>
      </w:r>
      <w:r>
        <w:rPr>
          <w:rStyle w:val="58"/>
          <w:rFonts w:hint="eastAsia" w:ascii="黑体" w:hAnsi="黑体" w:eastAsia="黑体"/>
          <w:sz w:val="22"/>
          <w:szCs w:val="22"/>
        </w:rPr>
        <w:t>第三章</w:t>
      </w:r>
      <w:r>
        <w:rPr>
          <w:rStyle w:val="58"/>
          <w:rFonts w:ascii="黑体" w:hAnsi="黑体" w:eastAsia="黑体"/>
          <w:sz w:val="22"/>
          <w:szCs w:val="22"/>
        </w:rPr>
        <w:t xml:space="preserve">  </w:t>
      </w:r>
      <w:r>
        <w:rPr>
          <w:rStyle w:val="58"/>
          <w:rFonts w:hint="eastAsia" w:ascii="黑体" w:hAnsi="黑体" w:eastAsia="黑体"/>
          <w:sz w:val="22"/>
          <w:szCs w:val="22"/>
        </w:rPr>
        <w:t>评标办法</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_Toc448097404 \h </w:instrText>
      </w:r>
      <w:r>
        <w:rPr>
          <w:rFonts w:ascii="黑体" w:hAnsi="黑体" w:eastAsia="黑体"/>
          <w:sz w:val="22"/>
          <w:szCs w:val="22"/>
        </w:rPr>
        <w:fldChar w:fldCharType="separate"/>
      </w:r>
      <w:r>
        <w:rPr>
          <w:rFonts w:ascii="黑体" w:hAnsi="黑体" w:eastAsia="黑体"/>
          <w:sz w:val="22"/>
          <w:szCs w:val="22"/>
        </w:rPr>
        <w:t>- 11 -</w:t>
      </w:r>
      <w:r>
        <w:rPr>
          <w:rFonts w:ascii="黑体" w:hAnsi="黑体" w:eastAsia="黑体"/>
          <w:sz w:val="22"/>
          <w:szCs w:val="22"/>
        </w:rPr>
        <w:fldChar w:fldCharType="end"/>
      </w:r>
      <w:r>
        <w:rPr>
          <w:rFonts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fldChar w:fldCharType="begin"/>
      </w:r>
      <w:r>
        <w:instrText xml:space="preserve"> HYPERLINK \l "_Toc448097407" </w:instrText>
      </w:r>
      <w:r>
        <w:fldChar w:fldCharType="separate"/>
      </w:r>
      <w:r>
        <w:rPr>
          <w:rStyle w:val="58"/>
          <w:rFonts w:hint="eastAsia" w:ascii="黑体" w:hAnsi="黑体" w:eastAsia="黑体"/>
          <w:sz w:val="22"/>
          <w:szCs w:val="22"/>
        </w:rPr>
        <w:t>第四章</w:t>
      </w:r>
      <w:r>
        <w:rPr>
          <w:rStyle w:val="58"/>
          <w:rFonts w:ascii="黑体" w:hAnsi="黑体" w:eastAsia="黑体"/>
          <w:sz w:val="22"/>
          <w:szCs w:val="22"/>
        </w:rPr>
        <w:t xml:space="preserve">  </w:t>
      </w:r>
      <w:r>
        <w:rPr>
          <w:rStyle w:val="58"/>
          <w:rFonts w:hint="eastAsia" w:ascii="黑体" w:hAnsi="黑体" w:eastAsia="黑体"/>
          <w:sz w:val="22"/>
          <w:szCs w:val="22"/>
        </w:rPr>
        <w:t>合同条款及格式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_Toc448097407 \h </w:instrText>
      </w:r>
      <w:r>
        <w:rPr>
          <w:rFonts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lang w:val="en-US" w:eastAsia="zh-CN"/>
        </w:rPr>
        <w:t xml:space="preserve">14 </w:t>
      </w:r>
      <w:r>
        <w:rPr>
          <w:rFonts w:ascii="黑体" w:hAnsi="黑体" w:eastAsia="黑体"/>
          <w:sz w:val="22"/>
          <w:szCs w:val="22"/>
        </w:rPr>
        <w:t>-</w:t>
      </w:r>
      <w:r>
        <w:rPr>
          <w:rFonts w:ascii="黑体" w:hAnsi="黑体" w:eastAsia="黑体"/>
          <w:sz w:val="22"/>
          <w:szCs w:val="22"/>
        </w:rPr>
        <w:fldChar w:fldCharType="end"/>
      </w:r>
      <w:r>
        <w:rPr>
          <w:rFonts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fldChar w:fldCharType="begin"/>
      </w:r>
      <w:r>
        <w:instrText xml:space="preserve"> HYPERLINK \l "_Toc448097408" </w:instrText>
      </w:r>
      <w:r>
        <w:fldChar w:fldCharType="separate"/>
      </w:r>
      <w:r>
        <w:rPr>
          <w:rStyle w:val="58"/>
          <w:rFonts w:hint="eastAsia" w:ascii="黑体" w:hAnsi="黑体" w:eastAsia="黑体"/>
          <w:sz w:val="22"/>
          <w:szCs w:val="22"/>
        </w:rPr>
        <w:t>第五章</w:t>
      </w:r>
      <w:r>
        <w:rPr>
          <w:rStyle w:val="58"/>
          <w:rFonts w:ascii="黑体" w:hAnsi="黑体" w:eastAsia="黑体"/>
          <w:sz w:val="22"/>
          <w:szCs w:val="22"/>
        </w:rPr>
        <w:t xml:space="preserve">  </w:t>
      </w:r>
      <w:r>
        <w:rPr>
          <w:rStyle w:val="58"/>
          <w:rFonts w:hint="eastAsia" w:ascii="黑体" w:hAnsi="黑体" w:eastAsia="黑体"/>
          <w:sz w:val="22"/>
          <w:szCs w:val="22"/>
        </w:rPr>
        <w:t>参考工程量清单</w:t>
      </w:r>
      <w:r>
        <w:rPr>
          <w:rFonts w:ascii="黑体" w:hAnsi="黑体" w:eastAsia="黑体"/>
          <w:sz w:val="22"/>
          <w:szCs w:val="22"/>
        </w:rPr>
        <w:tab/>
      </w:r>
      <w:r>
        <w:rPr>
          <w:rFonts w:ascii="黑体" w:hAnsi="黑体" w:eastAsia="黑体"/>
          <w:sz w:val="22"/>
          <w:szCs w:val="22"/>
        </w:rPr>
        <w:fldChar w:fldCharType="end"/>
      </w:r>
      <w:r>
        <w:rPr>
          <w:rFonts w:ascii="黑体" w:hAnsi="黑体" w:eastAsia="黑体"/>
          <w:sz w:val="22"/>
          <w:szCs w:val="22"/>
        </w:rPr>
        <w:fldChar w:fldCharType="begin"/>
      </w:r>
      <w:r>
        <w:rPr>
          <w:rFonts w:ascii="黑体" w:hAnsi="黑体" w:eastAsia="黑体"/>
          <w:sz w:val="22"/>
          <w:szCs w:val="22"/>
        </w:rPr>
        <w:instrText xml:space="preserve"> PAGEREF _Toc448097407 \h </w:instrText>
      </w:r>
      <w:r>
        <w:rPr>
          <w:rFonts w:ascii="黑体" w:hAnsi="黑体" w:eastAsia="黑体"/>
          <w:sz w:val="22"/>
          <w:szCs w:val="22"/>
        </w:rPr>
        <w:fldChar w:fldCharType="separate"/>
      </w:r>
      <w:r>
        <w:rPr>
          <w:rFonts w:ascii="黑体" w:hAnsi="黑体" w:eastAsia="黑体"/>
          <w:sz w:val="22"/>
          <w:szCs w:val="22"/>
        </w:rPr>
        <w:t>- 35 -</w:t>
      </w:r>
      <w:r>
        <w:rPr>
          <w:rFonts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fldChar w:fldCharType="begin"/>
      </w:r>
      <w:r>
        <w:instrText xml:space="preserve"> HYPERLINK \l "_Toc448097409" </w:instrText>
      </w:r>
      <w:r>
        <w:fldChar w:fldCharType="separate"/>
      </w:r>
      <w:r>
        <w:rPr>
          <w:rStyle w:val="58"/>
          <w:rFonts w:hint="eastAsia" w:ascii="黑体" w:hAnsi="黑体" w:eastAsia="黑体"/>
          <w:sz w:val="22"/>
          <w:szCs w:val="22"/>
        </w:rPr>
        <w:t>第</w:t>
      </w:r>
      <w:r>
        <w:rPr>
          <w:rStyle w:val="58"/>
          <w:rFonts w:hint="eastAsia" w:ascii="黑体" w:hAnsi="黑体" w:eastAsia="黑体"/>
          <w:sz w:val="22"/>
          <w:szCs w:val="22"/>
          <w:lang w:val="en-US" w:eastAsia="zh-CN"/>
        </w:rPr>
        <w:t>六</w:t>
      </w:r>
      <w:r>
        <w:rPr>
          <w:rStyle w:val="58"/>
          <w:rFonts w:hint="eastAsia" w:ascii="黑体" w:hAnsi="黑体" w:eastAsia="黑体"/>
          <w:sz w:val="22"/>
          <w:szCs w:val="22"/>
        </w:rPr>
        <w:t>章</w:t>
      </w:r>
      <w:r>
        <w:rPr>
          <w:rStyle w:val="58"/>
          <w:rFonts w:ascii="黑体" w:hAnsi="黑体" w:eastAsia="黑体"/>
          <w:sz w:val="22"/>
          <w:szCs w:val="22"/>
        </w:rPr>
        <w:t xml:space="preserve">  </w:t>
      </w:r>
      <w:r>
        <w:rPr>
          <w:rStyle w:val="58"/>
          <w:rFonts w:hint="eastAsia" w:ascii="黑体" w:hAnsi="黑体" w:eastAsia="黑体"/>
          <w:sz w:val="22"/>
          <w:szCs w:val="22"/>
        </w:rPr>
        <w:t>投标文件格式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_Toc448097409 \h </w:instrText>
      </w:r>
      <w:r>
        <w:rPr>
          <w:rFonts w:ascii="黑体" w:hAnsi="黑体" w:eastAsia="黑体"/>
          <w:sz w:val="22"/>
          <w:szCs w:val="22"/>
        </w:rPr>
        <w:fldChar w:fldCharType="separate"/>
      </w:r>
      <w:r>
        <w:rPr>
          <w:rFonts w:ascii="黑体" w:hAnsi="黑体" w:eastAsia="黑体"/>
          <w:sz w:val="22"/>
          <w:szCs w:val="22"/>
        </w:rPr>
        <w:t>- 36 -</w:t>
      </w:r>
      <w:r>
        <w:rPr>
          <w:rFonts w:ascii="黑体" w:hAnsi="黑体" w:eastAsia="黑体"/>
          <w:sz w:val="22"/>
          <w:szCs w:val="22"/>
        </w:rPr>
        <w:fldChar w:fldCharType="end"/>
      </w:r>
      <w:r>
        <w:rPr>
          <w:rFonts w:ascii="黑体" w:hAnsi="黑体" w:eastAsia="黑体"/>
          <w:sz w:val="22"/>
          <w:szCs w:val="22"/>
        </w:rPr>
        <w:fldChar w:fldCharType="end"/>
      </w:r>
    </w:p>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0" w:h="16840"/>
          <w:pgMar w:top="1134" w:right="1800" w:bottom="1134" w:left="1800" w:header="851" w:footer="992" w:gutter="0"/>
          <w:pgNumType w:fmt="numberInDash" w:start="0"/>
          <w:cols w:space="425" w:num="1"/>
          <w:titlePg/>
          <w:docGrid w:linePitch="326" w:charSpace="0"/>
        </w:sectPr>
      </w:pPr>
      <w:r>
        <w:rPr>
          <w:rFonts w:hint="eastAsia"/>
          <w:b/>
        </w:rPr>
        <w:t xml:space="preserve">                                                          </w:t>
      </w:r>
    </w:p>
    <w:p>
      <w:pPr>
        <w:pStyle w:val="48"/>
      </w:pPr>
      <w:bookmarkStart w:id="0" w:name="_Toc448097401"/>
      <w:r>
        <w:rPr>
          <w:rFonts w:hint="eastAsia"/>
        </w:rPr>
        <w:t>第一章 招标公告</w:t>
      </w:r>
      <w:bookmarkEnd w:id="0"/>
    </w:p>
    <w:p>
      <w:pPr>
        <w:widowControl/>
        <w:snapToGrid w:val="0"/>
        <w:spacing w:line="360" w:lineRule="exact"/>
        <w:jc w:val="left"/>
        <w:rPr>
          <w:rFonts w:cs="Arial" w:asciiTheme="minorEastAsia" w:hAnsiTheme="minorEastAsia"/>
          <w:b/>
          <w:bCs/>
          <w:kern w:val="0"/>
          <w:sz w:val="22"/>
        </w:rPr>
      </w:pPr>
    </w:p>
    <w:p>
      <w:pPr>
        <w:pStyle w:val="126"/>
        <w:widowControl/>
        <w:numPr>
          <w:ilvl w:val="0"/>
          <w:numId w:val="4"/>
        </w:numPr>
        <w:snapToGrid w:val="0"/>
        <w:spacing w:line="360" w:lineRule="exact"/>
        <w:ind w:firstLineChars="0"/>
        <w:jc w:val="left"/>
        <w:rPr>
          <w:rFonts w:cs="Arial" w:asciiTheme="minorEastAsia" w:hAnsiTheme="minorEastAsia"/>
          <w:kern w:val="0"/>
          <w:sz w:val="22"/>
          <w:szCs w:val="22"/>
        </w:rPr>
      </w:pPr>
      <w:r>
        <w:rPr>
          <w:rFonts w:hint="eastAsia" w:cs="Arial" w:asciiTheme="minorEastAsia" w:hAnsiTheme="minorEastAsia"/>
          <w:b/>
          <w:bCs/>
          <w:kern w:val="0"/>
          <w:sz w:val="22"/>
          <w:szCs w:val="22"/>
        </w:rPr>
        <w:t>招标内容</w:t>
      </w:r>
    </w:p>
    <w:p>
      <w:pPr>
        <w:widowControl/>
        <w:numPr>
          <w:ilvl w:val="0"/>
          <w:numId w:val="5"/>
        </w:numPr>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项目概况：杭州萧山国际机场航空物流有限公司</w:t>
      </w:r>
      <w:r>
        <w:rPr>
          <w:rFonts w:hint="eastAsia" w:cs="Arial" w:asciiTheme="minorEastAsia" w:hAnsiTheme="minorEastAsia"/>
          <w:kern w:val="0"/>
          <w:sz w:val="22"/>
          <w:lang w:val="en-US" w:eastAsia="zh-CN"/>
        </w:rPr>
        <w:t>充电场所整改</w:t>
      </w:r>
      <w:r>
        <w:rPr>
          <w:rFonts w:hint="eastAsia" w:cs="Arial" w:asciiTheme="minorEastAsia" w:hAnsiTheme="minorEastAsia"/>
          <w:kern w:val="0"/>
          <w:sz w:val="22"/>
        </w:rPr>
        <w:t>项目</w:t>
      </w:r>
    </w:p>
    <w:p>
      <w:pPr>
        <w:widowControl/>
        <w:numPr>
          <w:ilvl w:val="0"/>
          <w:numId w:val="5"/>
        </w:numPr>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招标内容：详见</w:t>
      </w:r>
      <w:r>
        <w:rPr>
          <w:rFonts w:hint="eastAsia" w:cs="Arial" w:asciiTheme="minorEastAsia" w:hAnsiTheme="minorEastAsia"/>
          <w:kern w:val="0"/>
          <w:sz w:val="22"/>
          <w:lang w:val="en-US" w:eastAsia="zh-CN"/>
        </w:rPr>
        <w:t>工程量</w:t>
      </w:r>
      <w:r>
        <w:rPr>
          <w:rFonts w:hint="eastAsia" w:cs="Arial" w:asciiTheme="minorEastAsia" w:hAnsiTheme="minorEastAsia"/>
          <w:kern w:val="0"/>
          <w:sz w:val="22"/>
        </w:rPr>
        <w:t>清单</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（3）本</w:t>
      </w:r>
      <w:r>
        <w:rPr>
          <w:rFonts w:cs="Arial" w:asciiTheme="minorEastAsia" w:hAnsiTheme="minorEastAsia"/>
          <w:kern w:val="0"/>
          <w:sz w:val="22"/>
        </w:rPr>
        <w:t>项目</w:t>
      </w:r>
      <w:r>
        <w:rPr>
          <w:rFonts w:hint="eastAsia" w:cs="Arial" w:asciiTheme="minorEastAsia" w:hAnsiTheme="minorEastAsia"/>
          <w:kern w:val="0"/>
          <w:sz w:val="22"/>
        </w:rPr>
        <w:t>由杭州萧山国际机场航空物流有限公司公开</w:t>
      </w:r>
      <w:r>
        <w:rPr>
          <w:rFonts w:cs="Arial" w:asciiTheme="minorEastAsia" w:hAnsiTheme="minorEastAsia"/>
          <w:kern w:val="0"/>
          <w:sz w:val="22"/>
        </w:rPr>
        <w:t>招标。</w:t>
      </w:r>
      <w:r>
        <w:rPr>
          <w:rFonts w:hint="eastAsia" w:cs="Arial" w:asciiTheme="minorEastAsia" w:hAnsiTheme="minorEastAsia"/>
          <w:kern w:val="0"/>
          <w:sz w:val="22"/>
        </w:rPr>
        <w:t xml:space="preserve"> </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w:t>
      </w:r>
      <w:r>
        <w:rPr>
          <w:rFonts w:cs="Arial" w:asciiTheme="minorEastAsia" w:hAnsiTheme="minorEastAsia"/>
          <w:kern w:val="0"/>
          <w:sz w:val="22"/>
        </w:rPr>
        <w:t>4</w:t>
      </w:r>
      <w:r>
        <w:rPr>
          <w:rFonts w:hint="eastAsia" w:cs="Arial" w:asciiTheme="minorEastAsia" w:hAnsiTheme="minorEastAsia"/>
          <w:kern w:val="0"/>
          <w:sz w:val="22"/>
        </w:rPr>
        <w:t>）要求</w:t>
      </w:r>
      <w:r>
        <w:rPr>
          <w:rFonts w:hint="eastAsia" w:ascii="宋体" w:hAnsi="宋体" w:cs="Calibri"/>
          <w:kern w:val="0"/>
          <w:sz w:val="22"/>
        </w:rPr>
        <w:t>合同签订后</w:t>
      </w:r>
      <w:r>
        <w:rPr>
          <w:rFonts w:hint="eastAsia" w:ascii="宋体" w:hAnsi="宋体" w:cs="Calibri"/>
          <w:kern w:val="0"/>
          <w:sz w:val="22"/>
          <w:u w:val="single"/>
          <w:lang w:val="en-US" w:eastAsia="zh-CN"/>
        </w:rPr>
        <w:t>45</w:t>
      </w:r>
      <w:r>
        <w:rPr>
          <w:rFonts w:hint="eastAsia" w:cs="Arial" w:asciiTheme="minorEastAsia" w:hAnsiTheme="minorEastAsia"/>
          <w:kern w:val="0"/>
          <w:sz w:val="22"/>
        </w:rPr>
        <w:t>日历天内完工。</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二、投标人资格要求</w:t>
      </w:r>
      <w:r>
        <w:rPr>
          <w:rFonts w:cs="Arial" w:asciiTheme="minorEastAsia" w:hAnsiTheme="minorEastAsia"/>
          <w:b/>
          <w:bCs/>
          <w:kern w:val="0"/>
          <w:sz w:val="22"/>
        </w:rPr>
        <w:t> </w:t>
      </w:r>
    </w:p>
    <w:p>
      <w:pPr>
        <w:widowControl/>
        <w:adjustRightInd w:val="0"/>
        <w:snapToGrid w:val="0"/>
        <w:spacing w:line="340" w:lineRule="exact"/>
        <w:ind w:firstLine="440" w:firstLineChars="200"/>
        <w:rPr>
          <w:rFonts w:hint="eastAsia" w:cs="Arial" w:asciiTheme="minorEastAsia" w:hAnsiTheme="minorEastAsia"/>
          <w:kern w:val="0"/>
          <w:sz w:val="22"/>
        </w:rPr>
      </w:pPr>
      <w:r>
        <w:rPr>
          <w:rFonts w:hint="eastAsia" w:cs="Arial" w:asciiTheme="minorEastAsia" w:hAnsiTheme="minorEastAsia"/>
          <w:kern w:val="0"/>
          <w:sz w:val="22"/>
        </w:rPr>
        <w:t>（1）投标人具备建筑施工总承包三级及以上资质。</w:t>
      </w:r>
    </w:p>
    <w:p>
      <w:pPr>
        <w:widowControl/>
        <w:adjustRightInd w:val="0"/>
        <w:snapToGrid w:val="0"/>
        <w:spacing w:line="340" w:lineRule="exact"/>
        <w:ind w:firstLine="440" w:firstLineChars="200"/>
        <w:rPr>
          <w:rFonts w:hint="eastAsia" w:cs="Arial" w:asciiTheme="minorEastAsia" w:hAnsiTheme="minorEastAsia"/>
          <w:kern w:val="0"/>
          <w:sz w:val="22"/>
        </w:rPr>
      </w:pPr>
      <w:r>
        <w:rPr>
          <w:rFonts w:hint="eastAsia" w:cs="Arial" w:asciiTheme="minorEastAsia" w:hAnsiTheme="minorEastAsia"/>
          <w:kern w:val="0"/>
          <w:sz w:val="22"/>
        </w:rPr>
        <w:t>（2）具有有效的《安全生产许可证》。企业法定代表人、企业经理、企业技术负责人及企业分管安全的副经理具有“三类人员”A类证书；项目安全生产专职管理人员具有“三类人员”C类证书。</w:t>
      </w:r>
      <w:r>
        <w:rPr>
          <w:rFonts w:hint="eastAsia" w:cs="Arial" w:asciiTheme="minorEastAsia" w:hAnsiTheme="minorEastAsia"/>
          <w:b/>
          <w:bCs/>
          <w:kern w:val="0"/>
          <w:sz w:val="22"/>
        </w:rPr>
        <w:t>企业法定代表人、企业经理、企业技术负责人及企业分管安全的副经理须提供相应任职文件</w:t>
      </w:r>
      <w:r>
        <w:rPr>
          <w:rFonts w:hint="eastAsia" w:cs="Arial" w:asciiTheme="minorEastAsia" w:hAnsiTheme="minorEastAsia"/>
          <w:kern w:val="0"/>
          <w:sz w:val="22"/>
        </w:rPr>
        <w:t>。</w:t>
      </w:r>
    </w:p>
    <w:p>
      <w:pPr>
        <w:widowControl/>
        <w:adjustRightInd w:val="0"/>
        <w:snapToGrid w:val="0"/>
        <w:spacing w:line="340" w:lineRule="exact"/>
        <w:ind w:firstLine="440" w:firstLineChars="200"/>
        <w:rPr>
          <w:rFonts w:hint="eastAsia" w:cs="宋体"/>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w:t>
      </w:r>
      <w:r>
        <w:rPr>
          <w:rFonts w:hint="eastAsia" w:cs="宋体"/>
        </w:rPr>
        <w:t>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承诺书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20" w:firstLineChars="200"/>
        <w:rPr>
          <w:rFonts w:hint="eastAsia" w:cs="宋体"/>
        </w:rPr>
      </w:pPr>
      <w:r>
        <w:rPr>
          <w:rFonts w:hint="eastAsia" w:cs="宋体"/>
        </w:rPr>
        <w:t xml:space="preserve"> </w:t>
      </w:r>
      <w:r>
        <w:rPr>
          <w:rFonts w:hint="eastAsia" w:cs="宋体"/>
          <w:lang w:eastAsia="zh-CN"/>
        </w:rPr>
        <w:t>（</w:t>
      </w:r>
      <w:r>
        <w:rPr>
          <w:rFonts w:hint="eastAsia" w:cs="宋体"/>
          <w:lang w:val="en-US" w:eastAsia="zh-CN"/>
        </w:rPr>
        <w:t>4</w:t>
      </w:r>
      <w:r>
        <w:rPr>
          <w:rFonts w:hint="eastAsia" w:cs="宋体"/>
          <w:lang w:eastAsia="zh-CN"/>
        </w:rPr>
        <w:t>）</w:t>
      </w:r>
      <w:r>
        <w:rPr>
          <w:rFonts w:hint="eastAsia" w:cs="宋体"/>
        </w:rPr>
        <w:t>近年(</w:t>
      </w:r>
      <w:r>
        <w:rPr>
          <w:rFonts w:ascii="Times New Roman" w:hAnsi="Times New Roman" w:eastAsia="Times New Roman"/>
        </w:rPr>
        <w:t>201</w:t>
      </w:r>
      <w:r>
        <w:rPr>
          <w:rFonts w:hint="eastAsia" w:ascii="Times New Roman" w:hAnsi="Times New Roman" w:eastAsiaTheme="minorEastAsia"/>
          <w:u w:val="single"/>
        </w:rPr>
        <w:t xml:space="preserve"> </w:t>
      </w:r>
      <w:r>
        <w:rPr>
          <w:rFonts w:hint="eastAsia" w:ascii="Times New Roman" w:hAnsi="Times New Roman"/>
          <w:u w:val="single"/>
          <w:lang w:val="en-US" w:eastAsia="zh-CN"/>
        </w:rPr>
        <w:t>8</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日起至投标截止日止)投标人</w:t>
      </w:r>
      <w:r>
        <w:rPr>
          <w:rFonts w:cs="宋体"/>
        </w:rPr>
        <w:t>及</w:t>
      </w:r>
      <w:r>
        <w:rPr>
          <w:rFonts w:hint="eastAsia" w:cs="宋体"/>
        </w:rPr>
        <w:t>拟派项目经理无行贿犯罪记录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查询，查询结果以网站页面显示内容为准，投标时提供查询结果并加盖投标人公章作为证明材料或在承诺书中承诺投标人及拟派项目经理在规定期限内无行贿犯罪记录</w:t>
      </w:r>
      <w:r>
        <w:rPr>
          <w:rFonts w:hint="eastAsia" w:ascii="Times New Roman" w:hAnsi="Times New Roman" w:eastAsia="Times New Roman"/>
        </w:rPr>
        <w:t>)</w:t>
      </w:r>
      <w:r>
        <w:rPr>
          <w:rFonts w:hint="eastAsia" w:cs="宋体"/>
        </w:rPr>
        <w:t>。若在中标候选人公示期间发现中标候选人或其拟派项目经理在投标截止日前存在行贿犯罪记录的，招标人将依法取消其中标候选人资格。</w:t>
      </w:r>
    </w:p>
    <w:p>
      <w:pPr>
        <w:widowControl/>
        <w:adjustRightInd w:val="0"/>
        <w:snapToGrid w:val="0"/>
        <w:spacing w:line="340" w:lineRule="exact"/>
        <w:ind w:firstLine="420" w:firstLineChars="200"/>
        <w:rPr>
          <w:rFonts w:hint="eastAsia" w:cs="宋体"/>
          <w:lang w:val="en-US" w:eastAsia="zh-CN"/>
        </w:rPr>
      </w:pPr>
      <w:r>
        <w:rPr>
          <w:rFonts w:hint="eastAsia" w:cs="宋体"/>
          <w:lang w:eastAsia="zh-CN"/>
        </w:rPr>
        <w:t>（</w:t>
      </w:r>
      <w:r>
        <w:rPr>
          <w:rFonts w:hint="eastAsia" w:cs="宋体"/>
          <w:lang w:val="en-US" w:eastAsia="zh-CN"/>
        </w:rPr>
        <w:t>5</w:t>
      </w:r>
      <w:r>
        <w:rPr>
          <w:rFonts w:hint="eastAsia" w:cs="宋体"/>
          <w:lang w:eastAsia="zh-CN"/>
        </w:rPr>
        <w:t>）</w:t>
      </w:r>
      <w:r>
        <w:rPr>
          <w:rFonts w:hint="eastAsia" w:cs="宋体"/>
          <w:lang w:val="en-US" w:eastAsia="zh-CN"/>
        </w:rPr>
        <w:t>本次招标不接受联合投标。</w:t>
      </w:r>
    </w:p>
    <w:p>
      <w:pPr>
        <w:widowControl/>
        <w:adjustRightInd w:val="0"/>
        <w:snapToGrid w:val="0"/>
        <w:spacing w:line="340" w:lineRule="exact"/>
        <w:ind w:firstLine="420" w:firstLineChars="200"/>
        <w:rPr>
          <w:rFonts w:hint="default" w:cs="宋体"/>
          <w:lang w:val="en-US" w:eastAsia="zh-CN"/>
        </w:rPr>
      </w:pPr>
      <w:r>
        <w:rPr>
          <w:rFonts w:hint="eastAsia" w:cs="宋体"/>
          <w:lang w:val="en-US" w:eastAsia="zh-CN"/>
        </w:rPr>
        <w:t>（6）</w:t>
      </w:r>
      <w:r>
        <w:rPr>
          <w:rFonts w:hint="eastAsia"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三、招标文件获取</w:t>
      </w:r>
    </w:p>
    <w:p>
      <w:pPr>
        <w:widowControl/>
        <w:adjustRightInd w:val="0"/>
        <w:snapToGrid w:val="0"/>
        <w:spacing w:line="340" w:lineRule="exact"/>
        <w:ind w:firstLine="420" w:firstLineChars="200"/>
        <w:rPr>
          <w:rFonts w:hint="eastAsia" w:cs="宋体"/>
        </w:rPr>
      </w:pPr>
      <w:r>
        <w:rPr>
          <w:rFonts w:hint="eastAsia" w:cs="宋体"/>
        </w:rPr>
        <w:t>凡符合资格条件并有投标意向的潜在投标人，请通过杭州萧山机场有限公司主页招投标信息栏http://www.hzairport.com/tender/index.html自行下载招标文件。</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招标文件下载</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工程量清单下载</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四、投标文件的递交</w:t>
      </w:r>
    </w:p>
    <w:p>
      <w:pPr>
        <w:widowControl/>
        <w:adjustRightInd w:val="0"/>
        <w:snapToGrid w:val="0"/>
        <w:spacing w:line="340" w:lineRule="exact"/>
        <w:ind w:firstLine="440" w:firstLineChars="200"/>
        <w:rPr>
          <w:rFonts w:hint="eastAsia" w:cs="Arial" w:asciiTheme="minorEastAsia" w:hAnsiTheme="minorEastAsia" w:eastAsiaTheme="minorEastAsia"/>
          <w:kern w:val="0"/>
          <w:sz w:val="22"/>
          <w:lang w:val="en-US" w:eastAsia="zh-CN"/>
        </w:rPr>
      </w:pPr>
      <w:r>
        <w:rPr>
          <w:rFonts w:hint="eastAsia" w:cs="Arial" w:asciiTheme="minorEastAsia" w:hAnsiTheme="minorEastAsia"/>
          <w:kern w:val="0"/>
          <w:sz w:val="22"/>
        </w:rPr>
        <w:t>（1）投标文件递交截止时间：20</w:t>
      </w:r>
      <w:r>
        <w:rPr>
          <w:rFonts w:cs="Arial" w:asciiTheme="minorEastAsia" w:hAnsiTheme="minorEastAsia"/>
          <w:kern w:val="0"/>
          <w:sz w:val="22"/>
        </w:rPr>
        <w:t>2</w:t>
      </w:r>
      <w:r>
        <w:rPr>
          <w:rFonts w:hint="eastAsia" w:cs="Arial" w:asciiTheme="minorEastAsia" w:hAnsiTheme="minorEastAsia"/>
          <w:kern w:val="0"/>
          <w:sz w:val="22"/>
          <w:lang w:val="en-US" w:eastAsia="zh-CN"/>
        </w:rPr>
        <w:t>1</w:t>
      </w:r>
      <w:r>
        <w:rPr>
          <w:rFonts w:hint="eastAsia" w:cs="Arial" w:asciiTheme="minorEastAsia" w:hAnsiTheme="minorEastAsia"/>
          <w:kern w:val="0"/>
          <w:sz w:val="22"/>
        </w:rPr>
        <w:t>年</w:t>
      </w:r>
      <w:r>
        <w:rPr>
          <w:rFonts w:hint="eastAsia" w:cs="Arial" w:asciiTheme="minorEastAsia" w:hAnsiTheme="minorEastAsia"/>
          <w:kern w:val="0"/>
          <w:sz w:val="22"/>
          <w:lang w:val="en-US" w:eastAsia="zh-CN"/>
        </w:rPr>
        <w:t>5</w:t>
      </w:r>
      <w:r>
        <w:rPr>
          <w:rFonts w:hint="eastAsia" w:cs="Arial" w:asciiTheme="minorEastAsia" w:hAnsiTheme="minorEastAsia"/>
          <w:kern w:val="0"/>
          <w:sz w:val="22"/>
        </w:rPr>
        <w:t>月</w:t>
      </w:r>
      <w:r>
        <w:rPr>
          <w:rFonts w:hint="eastAsia" w:cs="Arial" w:asciiTheme="minorEastAsia" w:hAnsiTheme="minorEastAsia"/>
          <w:kern w:val="0"/>
          <w:sz w:val="22"/>
          <w:lang w:val="en-US" w:eastAsia="zh-CN"/>
        </w:rPr>
        <w:t>25</w:t>
      </w:r>
      <w:r>
        <w:rPr>
          <w:rFonts w:hint="eastAsia" w:cs="Arial" w:asciiTheme="minorEastAsia" w:hAnsiTheme="minorEastAsia"/>
          <w:kern w:val="0"/>
          <w:sz w:val="22"/>
        </w:rPr>
        <w:t>日上午9时00分（北京时间）。投标文件递交地点：</w:t>
      </w:r>
      <w:r>
        <w:rPr>
          <w:rFonts w:hint="eastAsia" w:asciiTheme="minorEastAsia" w:hAnsiTheme="minorEastAsia"/>
          <w:sz w:val="22"/>
        </w:rPr>
        <w:t>杭州萧山国际机场内航空货站A区A</w:t>
      </w:r>
      <w:r>
        <w:rPr>
          <w:rFonts w:hint="eastAsia" w:asciiTheme="minorEastAsia" w:hAnsiTheme="minorEastAsia"/>
          <w:sz w:val="22"/>
          <w:lang w:val="en-US" w:eastAsia="zh-CN"/>
        </w:rPr>
        <w:t>2232</w:t>
      </w:r>
      <w:r>
        <w:rPr>
          <w:rFonts w:hint="eastAsia" w:asciiTheme="minorEastAsia" w:hAnsiTheme="minorEastAsia"/>
          <w:sz w:val="22"/>
        </w:rPr>
        <w:t>室</w:t>
      </w:r>
      <w:r>
        <w:rPr>
          <w:rFonts w:hint="eastAsia" w:asciiTheme="minorEastAsia" w:hAnsiTheme="minorEastAsia"/>
          <w:sz w:val="22"/>
          <w:lang w:val="en-US" w:eastAsia="zh-CN"/>
        </w:rPr>
        <w:t>或</w:t>
      </w:r>
      <w:r>
        <w:rPr>
          <w:rFonts w:hint="eastAsia" w:cs="宋体"/>
        </w:rPr>
        <w:t>送至杭州萧山国际机场翔越路综合服务楼园区招标中心</w:t>
      </w:r>
      <w:r>
        <w:rPr>
          <w:rFonts w:hint="eastAsia" w:cs="宋体"/>
          <w:lang w:eastAsia="zh-CN"/>
        </w:rPr>
        <w:t>。</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五、发布公告的媒介</w:t>
      </w:r>
    </w:p>
    <w:p>
      <w:pPr>
        <w:pStyle w:val="21"/>
        <w:tabs>
          <w:tab w:val="left" w:pos="4394"/>
          <w:tab w:val="left" w:pos="5990"/>
        </w:tabs>
        <w:spacing w:line="331" w:lineRule="auto"/>
        <w:ind w:right="157" w:firstLine="419"/>
        <w:rPr>
          <w:rFonts w:hint="eastAsia" w:cs="宋体"/>
        </w:rPr>
      </w:pPr>
      <w:r>
        <w:rPr>
          <w:rFonts w:hint="eastAsia" w:cs="宋体"/>
        </w:rPr>
        <w:t>本次招标公告在在浙江省机场集团有限公司和杭州萧山机场有限公司主页等媒介上发布，相关媒介如下：</w:t>
      </w:r>
    </w:p>
    <w:p>
      <w:pPr>
        <w:pStyle w:val="21"/>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宋体"/>
          <w:lang w:val="en-US" w:eastAsia="zh-CN"/>
        </w:rPr>
        <w:t>5.</w:t>
      </w:r>
      <w:r>
        <w:rPr>
          <w:rFonts w:ascii="Times New Roman" w:hAnsi="Times New Roman" w:eastAsia="Times New Roman"/>
        </w:rPr>
        <w:t>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21"/>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宋体"/>
          <w:lang w:val="en-US" w:eastAsia="zh-CN"/>
        </w:rPr>
        <w:t>5</w:t>
      </w:r>
      <w:r>
        <w:rPr>
          <w:rFonts w:ascii="Times New Roman" w:hAnsi="Times New Roman" w:eastAsia="Times New Roman"/>
        </w:rPr>
        <w:t xml:space="preserve">.2 </w:t>
      </w:r>
      <w:r>
        <w:rPr>
          <w:rFonts w:hint="eastAsia" w:cs="宋体"/>
        </w:rPr>
        <w:t>杭州萧山机场有限公司主页：</w:t>
      </w:r>
      <w:r>
        <w:rPr>
          <w:rFonts w:hint="eastAsia" w:ascii="Times New Roman" w:hAnsi="Times New Roman" w:eastAsia="Times New Roman"/>
        </w:rPr>
        <w:t>http://www.hzairport.com</w:t>
      </w:r>
    </w:p>
    <w:p>
      <w:pPr>
        <w:pStyle w:val="21"/>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宋体"/>
          <w:lang w:val="en-US" w:eastAsia="zh-CN"/>
        </w:rPr>
        <w:t>5</w:t>
      </w:r>
      <w:r>
        <w:rPr>
          <w:rFonts w:ascii="Times New Roman" w:hAnsi="Times New Roman" w:eastAsia="Times New Roman"/>
        </w:rPr>
        <w:t>.3</w:t>
      </w:r>
      <w:r>
        <w:rPr>
          <w:rFonts w:hint="eastAsia" w:ascii="宋体" w:hAnsi="宋体" w:cs="宋体"/>
        </w:rPr>
        <w:t>浙江政府采购网</w:t>
      </w:r>
      <w:r>
        <w:rPr>
          <w:rFonts w:hint="eastAsia" w:ascii="Times New Roman" w:hAnsi="Times New Roman" w:eastAsia="Times New Roman"/>
        </w:rPr>
        <w:t xml:space="preserve"> http://zfcg.czt.zj.gov.cn</w:t>
      </w:r>
    </w:p>
    <w:p>
      <w:pPr>
        <w:pStyle w:val="21"/>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宋体"/>
          <w:lang w:val="en-US" w:eastAsia="zh-CN"/>
        </w:rPr>
        <w:t>5</w:t>
      </w:r>
      <w:r>
        <w:rPr>
          <w:rFonts w:hint="eastAsia" w:ascii="Times New Roman" w:hAnsi="Times New Roman" w:eastAsia="Times New Roman"/>
        </w:rPr>
        <w:t xml:space="preserve">.4 </w:t>
      </w:r>
      <w:r>
        <w:rPr>
          <w:rFonts w:hint="eastAsia" w:ascii="宋体" w:hAnsi="宋体" w:cs="宋体"/>
        </w:rPr>
        <w:t>浙江政务服务网</w:t>
      </w:r>
      <w:r>
        <w:rPr>
          <w:rFonts w:hint="eastAsia" w:ascii="Times New Roman" w:hAnsi="Times New Roman" w:eastAsia="Times New Roman"/>
        </w:rPr>
        <w:t>http://zjpubservice.zjzwfw.gov.cn</w:t>
      </w:r>
    </w:p>
    <w:p>
      <w:pPr>
        <w:pStyle w:val="21"/>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宋体"/>
          <w:lang w:val="en-US" w:eastAsia="zh-CN"/>
        </w:rPr>
        <w:t>5</w:t>
      </w:r>
      <w:r>
        <w:rPr>
          <w:rFonts w:ascii="Times New Roman" w:hAnsi="Times New Roman" w:eastAsia="Times New Roman"/>
        </w:rPr>
        <w:t>.</w:t>
      </w:r>
      <w:r>
        <w:rPr>
          <w:rFonts w:hint="eastAsia" w:ascii="Times New Roman" w:hAnsi="Times New Roman" w:eastAsia="宋体"/>
          <w:lang w:val="en-US" w:eastAsia="zh-CN"/>
        </w:rPr>
        <w:t>5</w:t>
      </w:r>
      <w:r>
        <w:rPr>
          <w:rFonts w:hint="eastAsia" w:cs="宋体"/>
        </w:rPr>
        <w:t>中国采购与招标网：</w:t>
      </w:r>
      <w:r>
        <w:rPr>
          <w:rFonts w:hint="eastAsia" w:ascii="Times New Roman" w:hAnsi="Times New Roman" w:eastAsia="Times New Roman"/>
        </w:rPr>
        <w:t>http://www.chinabidding.com.cn</w:t>
      </w:r>
    </w:p>
    <w:p>
      <w:pPr>
        <w:pStyle w:val="21"/>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宋体"/>
          <w:lang w:val="en-US" w:eastAsia="zh-CN"/>
        </w:rPr>
        <w:t>5</w:t>
      </w:r>
      <w:r>
        <w:rPr>
          <w:rFonts w:ascii="Times New Roman" w:hAnsi="Times New Roman" w:eastAsia="Times New Roman"/>
        </w:rPr>
        <w:t>.</w:t>
      </w:r>
      <w:r>
        <w:rPr>
          <w:rFonts w:hint="eastAsia" w:ascii="Times New Roman" w:hAnsi="Times New Roman" w:eastAsia="宋体"/>
          <w:lang w:val="en-US" w:eastAsia="zh-CN"/>
        </w:rPr>
        <w:t>6</w:t>
      </w:r>
      <w:r>
        <w:rPr>
          <w:rFonts w:hint="eastAsia" w:ascii="宋体" w:hAnsi="宋体" w:cs="宋体"/>
        </w:rPr>
        <w:t>招天下</w:t>
      </w:r>
      <w:r>
        <w:rPr>
          <w:rFonts w:hint="eastAsia" w:ascii="Times New Roman" w:hAnsi="Times New Roman" w:eastAsia="Times New Roman"/>
        </w:rPr>
        <w:t xml:space="preserve"> https://www.zhaotx.cn</w:t>
      </w:r>
    </w:p>
    <w:p>
      <w:pPr>
        <w:pStyle w:val="21"/>
        <w:tabs>
          <w:tab w:val="left" w:pos="4394"/>
          <w:tab w:val="left" w:pos="5990"/>
        </w:tabs>
        <w:spacing w:line="331" w:lineRule="auto"/>
        <w:ind w:right="157" w:firstLine="419"/>
        <w:rPr>
          <w:rFonts w:hint="eastAsia" w:cs="宋体"/>
        </w:rPr>
      </w:pP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六、联系方式</w:t>
      </w:r>
    </w:p>
    <w:p>
      <w:pPr>
        <w:widowControl/>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投标联系人： 王</w:t>
      </w:r>
      <w:r>
        <w:rPr>
          <w:rFonts w:hint="eastAsia" w:asciiTheme="minorEastAsia" w:hAnsiTheme="minorEastAsia"/>
          <w:sz w:val="22"/>
          <w:lang w:val="en-US" w:eastAsia="zh-CN"/>
        </w:rPr>
        <w:t xml:space="preserve">  剑</w:t>
      </w:r>
      <w:r>
        <w:rPr>
          <w:rFonts w:hint="eastAsia" w:asciiTheme="minorEastAsia" w:hAnsiTheme="minorEastAsia"/>
          <w:sz w:val="22"/>
        </w:rPr>
        <w:t xml:space="preserve">      联系电话： </w:t>
      </w:r>
      <w:r>
        <w:rPr>
          <w:rFonts w:asciiTheme="minorEastAsia" w:hAnsiTheme="minorEastAsia"/>
          <w:sz w:val="22"/>
        </w:rPr>
        <w:t>8</w:t>
      </w:r>
      <w:r>
        <w:rPr>
          <w:rFonts w:hint="eastAsia" w:asciiTheme="minorEastAsia" w:hAnsiTheme="minorEastAsia"/>
          <w:sz w:val="22"/>
        </w:rPr>
        <w:t>6665</w:t>
      </w:r>
      <w:r>
        <w:rPr>
          <w:rFonts w:hint="eastAsia" w:asciiTheme="minorEastAsia" w:hAnsiTheme="minorEastAsia"/>
          <w:sz w:val="22"/>
          <w:lang w:val="en-US" w:eastAsia="zh-CN"/>
        </w:rPr>
        <w:t>070</w:t>
      </w:r>
      <w:r>
        <w:rPr>
          <w:rFonts w:hint="eastAsia" w:asciiTheme="minorEastAsia" w:hAnsiTheme="minorEastAsia"/>
          <w:sz w:val="22"/>
        </w:rPr>
        <w:t xml:space="preserve">  </w:t>
      </w:r>
    </w:p>
    <w:p>
      <w:pPr>
        <w:widowControl/>
        <w:adjustRightInd w:val="0"/>
        <w:snapToGrid w:val="0"/>
        <w:spacing w:line="340" w:lineRule="exact"/>
        <w:ind w:firstLine="440" w:firstLineChars="200"/>
        <w:rPr>
          <w:rFonts w:asciiTheme="minorEastAsia" w:hAnsiTheme="minorEastAsia"/>
          <w:bCs/>
          <w:sz w:val="22"/>
        </w:rPr>
      </w:pPr>
      <w:r>
        <w:rPr>
          <w:rFonts w:hint="eastAsia" w:asciiTheme="minorEastAsia" w:hAnsiTheme="minorEastAsia"/>
          <w:bCs/>
          <w:sz w:val="22"/>
        </w:rPr>
        <w:t xml:space="preserve">招标监督人： </w:t>
      </w:r>
      <w:r>
        <w:rPr>
          <w:rFonts w:hint="eastAsia" w:asciiTheme="minorEastAsia" w:hAnsiTheme="minorEastAsia"/>
          <w:bCs/>
          <w:sz w:val="22"/>
          <w:lang w:val="en-US" w:eastAsia="zh-CN"/>
        </w:rPr>
        <w:t>张钰婧</w:t>
      </w:r>
      <w:r>
        <w:rPr>
          <w:rFonts w:hint="eastAsia" w:asciiTheme="minorEastAsia" w:hAnsiTheme="minorEastAsia"/>
          <w:bCs/>
          <w:sz w:val="22"/>
        </w:rPr>
        <w:t xml:space="preserve">       联系电话： 8666</w:t>
      </w:r>
      <w:r>
        <w:rPr>
          <w:rFonts w:hint="eastAsia" w:asciiTheme="minorEastAsia" w:hAnsiTheme="minorEastAsia"/>
          <w:bCs/>
          <w:sz w:val="22"/>
          <w:lang w:val="en-US" w:eastAsia="zh-CN"/>
        </w:rPr>
        <w:t>5081</w:t>
      </w:r>
    </w:p>
    <w:p>
      <w:pPr>
        <w:pStyle w:val="48"/>
        <w:rPr>
          <w:rFonts w:asciiTheme="minorEastAsia" w:hAnsiTheme="minorEastAsia"/>
          <w:bCs w:val="0"/>
          <w:sz w:val="22"/>
          <w:szCs w:val="22"/>
        </w:rPr>
      </w:pPr>
    </w:p>
    <w:p/>
    <w:p/>
    <w:p/>
    <w:p/>
    <w:p/>
    <w:p/>
    <w:p/>
    <w:p/>
    <w:p/>
    <w:p/>
    <w:p/>
    <w:p/>
    <w:p/>
    <w:p/>
    <w:p/>
    <w:p/>
    <w:p/>
    <w:p/>
    <w:p/>
    <w:p/>
    <w:p/>
    <w:p/>
    <w:p/>
    <w:p/>
    <w:p/>
    <w:p/>
    <w:p/>
    <w:p/>
    <w:p/>
    <w:p/>
    <w:p/>
    <w:p>
      <w:pPr>
        <w:pStyle w:val="48"/>
      </w:pPr>
      <w:bookmarkStart w:id="1" w:name="_Toc448097403"/>
      <w:bookmarkStart w:id="2" w:name="_Toc448097402"/>
      <w:r>
        <w:t>第</w:t>
      </w:r>
      <w:r>
        <w:rPr>
          <w:rFonts w:hint="eastAsia"/>
        </w:rPr>
        <w:t>二</w:t>
      </w:r>
      <w:r>
        <w:t>章  投标</w:t>
      </w:r>
      <w:r>
        <w:rPr>
          <w:rFonts w:hint="eastAsia"/>
        </w:rPr>
        <w:t>人须知及评标办法</w:t>
      </w:r>
      <w:bookmarkEnd w:id="1"/>
      <w:bookmarkEnd w:id="2"/>
    </w:p>
    <w:p>
      <w:pPr>
        <w:pStyle w:val="32"/>
        <w:spacing w:line="240" w:lineRule="auto"/>
        <w:jc w:val="center"/>
        <w:rPr>
          <w:b/>
          <w:sz w:val="28"/>
          <w:szCs w:val="28"/>
        </w:rPr>
      </w:pPr>
      <w:r>
        <w:rPr>
          <w:rFonts w:hint="eastAsia"/>
          <w:b/>
          <w:sz w:val="28"/>
          <w:szCs w:val="28"/>
        </w:rPr>
        <w:t>投标人须知前附表</w:t>
      </w:r>
    </w:p>
    <w:tbl>
      <w:tblPr>
        <w:tblStyle w:val="52"/>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hint="default" w:ascii="宋体" w:hAnsi="宋体" w:cs="Calibri" w:eastAsiaTheme="minorEastAsia"/>
                <w:kern w:val="0"/>
                <w:sz w:val="22"/>
                <w:lang w:val="en-US" w:eastAsia="zh-CN"/>
              </w:rPr>
            </w:pPr>
            <w:r>
              <w:rPr>
                <w:rFonts w:hint="eastAsia" w:ascii="宋体" w:hAnsi="宋体" w:cs="Calibri"/>
                <w:kern w:val="0"/>
                <w:sz w:val="22"/>
                <w:lang w:val="en-US" w:eastAsia="zh-CN"/>
              </w:rPr>
              <w:t>杭州萧山机场航空物流有限公司充电场所整改项目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92"/>
                <w:rFonts w:hint="eastAsia" w:cs="Calibri"/>
                <w:sz w:val="22"/>
                <w:lang w:val="en-US" w:eastAsia="zh-CN"/>
              </w:rPr>
              <w:t>100%</w:t>
            </w:r>
            <w:r>
              <w:rPr>
                <w:rStyle w:val="92"/>
                <w:rFonts w:hint="eastAsia"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w:t>
            </w:r>
            <w:r>
              <w:rPr>
                <w:rFonts w:hint="eastAsia" w:ascii="宋体" w:hAnsi="宋体"/>
                <w:sz w:val="22"/>
                <w:u w:val="single"/>
                <w:lang w:val="en-US" w:eastAsia="zh-CN"/>
              </w:rPr>
              <w:t>45</w:t>
            </w:r>
            <w:r>
              <w:rPr>
                <w:rFonts w:hint="eastAsia"/>
                <w:sz w:val="22"/>
              </w:rPr>
              <w:t>个日历天</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autoSpaceDE w:val="0"/>
              <w:autoSpaceDN w:val="0"/>
              <w:adjustRightInd w:val="0"/>
              <w:snapToGrid w:val="0"/>
              <w:rPr>
                <w:rFonts w:asciiTheme="minorEastAsia" w:hAnsiTheme="minorEastAsia"/>
                <w:color w:val="000000"/>
                <w:sz w:val="22"/>
              </w:rPr>
            </w:pPr>
            <w:r>
              <w:rPr>
                <w:rFonts w:hint="eastAsia" w:hAnsi="宋体" w:cs="宋体"/>
                <w:sz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组织，踏勘时间：</w:t>
            </w:r>
            <w:r>
              <w:rPr>
                <w:rFonts w:hint="eastAsia" w:cs="Calibri" w:asciiTheme="minorEastAsia" w:hAnsiTheme="minorEastAsia"/>
                <w:kern w:val="0"/>
                <w:sz w:val="22"/>
              </w:rPr>
              <w:t>20</w:t>
            </w:r>
            <w:r>
              <w:rPr>
                <w:rFonts w:cs="Calibri" w:asciiTheme="minorEastAsia" w:hAnsiTheme="minorEastAsia"/>
                <w:kern w:val="0"/>
                <w:sz w:val="22"/>
              </w:rPr>
              <w:t>2</w:t>
            </w:r>
            <w:r>
              <w:rPr>
                <w:rFonts w:hint="eastAsia" w:cs="Calibri" w:asciiTheme="minorEastAsia" w:hAnsiTheme="minorEastAsia"/>
                <w:kern w:val="0"/>
                <w:sz w:val="22"/>
                <w:lang w:val="en-US" w:eastAsia="zh-CN"/>
              </w:rPr>
              <w:t>1</w:t>
            </w:r>
            <w:r>
              <w:rPr>
                <w:rFonts w:hint="eastAsia" w:cs="Calibri" w:asciiTheme="minorEastAsia" w:hAnsiTheme="minorEastAsia"/>
                <w:kern w:val="0"/>
                <w:sz w:val="22"/>
              </w:rPr>
              <w:t>年</w:t>
            </w:r>
            <w:r>
              <w:rPr>
                <w:rFonts w:hint="eastAsia" w:cs="Calibri" w:asciiTheme="minorEastAsia" w:hAnsiTheme="minorEastAsia"/>
                <w:kern w:val="0"/>
                <w:sz w:val="22"/>
                <w:lang w:val="en-US" w:eastAsia="zh-CN"/>
              </w:rPr>
              <w:t>5</w:t>
            </w:r>
            <w:r>
              <w:rPr>
                <w:rFonts w:hint="eastAsia" w:cs="Calibri" w:asciiTheme="minorEastAsia" w:hAnsiTheme="minorEastAsia"/>
                <w:kern w:val="0"/>
                <w:sz w:val="22"/>
              </w:rPr>
              <w:t>月</w:t>
            </w:r>
            <w:r>
              <w:rPr>
                <w:rFonts w:hint="eastAsia" w:cs="Calibri" w:asciiTheme="minorEastAsia" w:hAnsiTheme="minorEastAsia"/>
                <w:kern w:val="0"/>
                <w:sz w:val="22"/>
                <w:lang w:val="en-US" w:eastAsia="zh-CN"/>
              </w:rPr>
              <w:t>18</w:t>
            </w:r>
            <w:r>
              <w:rPr>
                <w:rFonts w:hint="eastAsia" w:cs="Calibri" w:asciiTheme="minorEastAsia" w:hAnsiTheme="minorEastAsia"/>
                <w:kern w:val="0"/>
                <w:sz w:val="22"/>
              </w:rPr>
              <w:t>日  上午</w:t>
            </w:r>
            <w:r>
              <w:rPr>
                <w:rFonts w:cs="Calibri" w:asciiTheme="minorEastAsia" w:hAnsiTheme="minorEastAsia"/>
                <w:kern w:val="0"/>
                <w:sz w:val="22"/>
              </w:rPr>
              <w:t>9</w:t>
            </w:r>
            <w:r>
              <w:rPr>
                <w:rFonts w:hint="eastAsia" w:cs="Calibri" w:asciiTheme="minorEastAsia" w:hAnsiTheme="minorEastAsia"/>
                <w:kern w:val="0"/>
                <w:sz w:val="22"/>
              </w:rPr>
              <w:t>:30点</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踏勘集中地点：</w:t>
            </w:r>
            <w:r>
              <w:rPr>
                <w:rFonts w:hint="eastAsia" w:cs="Calibri" w:asciiTheme="minorEastAsia" w:hAnsiTheme="minorEastAsia"/>
                <w:kern w:val="0"/>
                <w:sz w:val="22"/>
              </w:rPr>
              <w:t>杭州萧山机场内航空货站</w:t>
            </w:r>
            <w:r>
              <w:rPr>
                <w:rFonts w:cs="Calibri" w:asciiTheme="minorEastAsia" w:hAnsiTheme="minorEastAsia"/>
                <w:kern w:val="0"/>
                <w:sz w:val="22"/>
              </w:rPr>
              <w:t>b</w:t>
            </w:r>
            <w:r>
              <w:rPr>
                <w:rFonts w:hint="eastAsia" w:cs="Calibri" w:asciiTheme="minorEastAsia" w:hAnsiTheme="minorEastAsia"/>
                <w:kern w:val="0"/>
                <w:sz w:val="22"/>
              </w:rPr>
              <w:t>区</w:t>
            </w:r>
            <w:r>
              <w:rPr>
                <w:rFonts w:cs="Calibri" w:asciiTheme="minorEastAsia" w:hAnsiTheme="minorEastAsia"/>
                <w:kern w:val="0"/>
                <w:sz w:val="22"/>
              </w:rPr>
              <w:t xml:space="preserve"> </w:t>
            </w:r>
          </w:p>
          <w:p>
            <w:pPr>
              <w:rPr>
                <w:rFonts w:ascii="宋体" w:hAnsi="宋体" w:cs="宋体"/>
                <w:sz w:val="22"/>
                <w:lang w:val="en-US"/>
              </w:rPr>
            </w:pPr>
            <w:r>
              <w:rPr>
                <w:rFonts w:hint="eastAsia" w:ascii="宋体" w:hAnsi="宋体" w:cs="宋体"/>
                <w:sz w:val="22"/>
              </w:rPr>
              <w:t>联系人：王</w:t>
            </w:r>
            <w:r>
              <w:rPr>
                <w:rFonts w:hint="eastAsia" w:ascii="宋体" w:hAnsi="宋体" w:cs="宋体"/>
                <w:sz w:val="22"/>
                <w:lang w:val="en-US" w:eastAsia="zh-CN"/>
              </w:rPr>
              <w:t>剑</w:t>
            </w:r>
            <w:r>
              <w:rPr>
                <w:rFonts w:hint="eastAsia" w:ascii="宋体" w:hAnsi="宋体" w:cs="宋体"/>
                <w:sz w:val="22"/>
              </w:rPr>
              <w:t xml:space="preserve">       0571-</w:t>
            </w:r>
            <w:r>
              <w:rPr>
                <w:rFonts w:ascii="宋体" w:hAnsi="宋体" w:cs="宋体"/>
                <w:sz w:val="22"/>
              </w:rPr>
              <w:t>8</w:t>
            </w:r>
            <w:r>
              <w:rPr>
                <w:rFonts w:hint="eastAsia" w:ascii="宋体" w:hAnsi="宋体" w:cs="宋体"/>
                <w:sz w:val="22"/>
              </w:rPr>
              <w:t>666</w:t>
            </w:r>
            <w:r>
              <w:rPr>
                <w:rFonts w:hint="eastAsia" w:ascii="宋体" w:hAnsi="宋体" w:cs="宋体"/>
                <w:sz w:val="22"/>
                <w:lang w:val="en-US" w:eastAsia="zh-CN"/>
              </w:rPr>
              <w:t>5070</w:t>
            </w:r>
          </w:p>
          <w:p>
            <w:pPr>
              <w:autoSpaceDE w:val="0"/>
              <w:autoSpaceDN w:val="0"/>
              <w:adjustRightInd w:val="0"/>
              <w:snapToGrid w:val="0"/>
              <w:rPr>
                <w:rFonts w:cs="Calibri" w:asciiTheme="minorEastAsia" w:hAnsiTheme="minorEastAsia"/>
                <w:kern w:val="0"/>
                <w:sz w:val="22"/>
              </w:rPr>
            </w:pPr>
            <w:r>
              <w:rPr>
                <w:rFonts w:hint="eastAsia" w:ascii="宋体" w:hAnsi="宋体" w:cs="Arial"/>
                <w:sz w:val="22"/>
              </w:rPr>
              <w:t>（</w:t>
            </w:r>
            <w:r>
              <w:rPr>
                <w:rFonts w:hint="eastAsia" w:ascii="宋体" w:hAnsi="宋体" w:cs="Arial"/>
                <w:b/>
                <w:sz w:val="22"/>
              </w:rPr>
              <w:t>由于未参加现场踏勘引起的报价失误等责任由投标人自负</w:t>
            </w:r>
            <w:r>
              <w:rPr>
                <w:rFonts w:hint="eastAsia" w:ascii="宋体" w:hAnsi="宋体" w:cs="Arial"/>
                <w:sz w:val="22"/>
              </w:rPr>
              <w:t>）</w:t>
            </w:r>
            <w:r>
              <w:rPr>
                <w:rFonts w:cs="Calibri" w:asciiTheme="minorEastAsia" w:hAnsiTheme="minorEastAsia"/>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r>
              <w:rPr>
                <w:rFonts w:hint="eastAsia" w:cs="Calibri" w:asciiTheme="minorEastAsia" w:hAnsiTheme="minorEastAsia"/>
                <w:kern w:val="0"/>
                <w:sz w:val="22"/>
              </w:rPr>
              <w:t xml:space="preserve">  年 月  日 上午 </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召开地点：</w:t>
            </w:r>
          </w:p>
          <w:p>
            <w:pPr>
              <w:autoSpaceDE w:val="0"/>
              <w:autoSpaceDN w:val="0"/>
              <w:adjustRightInd w:val="0"/>
              <w:snapToGrid w:val="0"/>
              <w:rPr>
                <w:rFonts w:cs="Calibri" w:asciiTheme="minorEastAsia" w:hAnsiTheme="minorEastAsia"/>
                <w:kern w:val="0"/>
                <w:sz w:val="22"/>
              </w:rPr>
            </w:pPr>
            <w:r>
              <w:rPr>
                <w:rFonts w:hint="eastAsia" w:cs="Calibri" w:asciiTheme="minorEastAsia" w:hAnsiTheme="minorEastAsia"/>
                <w:kern w:val="0"/>
                <w:sz w:val="22"/>
              </w:rPr>
              <w:t>要求：意向投标者必须参加</w:t>
            </w:r>
          </w:p>
          <w:p>
            <w:pPr>
              <w:autoSpaceDE w:val="0"/>
              <w:autoSpaceDN w:val="0"/>
              <w:adjustRightInd w:val="0"/>
              <w:snapToGrid w:val="0"/>
              <w:rPr>
                <w:rFonts w:cs="Calibri" w:asciiTheme="minorEastAsia" w:hAnsiTheme="minorEastAsia"/>
                <w:kern w:val="0"/>
                <w:sz w:val="22"/>
              </w:rPr>
            </w:pPr>
            <w:r>
              <w:rPr>
                <w:rFonts w:hint="eastAsia" w:ascii="宋体" w:hAnsi="宋体" w:cs="Arial"/>
                <w:sz w:val="22"/>
              </w:rPr>
              <w:t>（</w:t>
            </w:r>
            <w:r>
              <w:rPr>
                <w:rFonts w:hint="eastAsia" w:ascii="宋体" w:hAnsi="宋体" w:cs="Arial"/>
                <w:b/>
                <w:sz w:val="22"/>
              </w:rPr>
              <w:t>由于未参加投标预备会引起的报价失误等责任由投标人自负</w:t>
            </w:r>
            <w:r>
              <w:rPr>
                <w:rFonts w:hint="eastAsia" w:ascii="宋体" w:hAnsi="宋体" w:cs="Arial"/>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202</w:t>
            </w:r>
            <w:r>
              <w:rPr>
                <w:rFonts w:hint="eastAsia" w:cs="Calibri" w:asciiTheme="minorEastAsia" w:hAnsiTheme="minorEastAsia"/>
                <w:kern w:val="0"/>
                <w:sz w:val="22"/>
                <w:lang w:val="en-US" w:eastAsia="zh-CN"/>
              </w:rPr>
              <w:t>1</w:t>
            </w:r>
            <w:r>
              <w:rPr>
                <w:rFonts w:cs="Calibri" w:asciiTheme="minorEastAsia" w:hAnsiTheme="minorEastAsia"/>
                <w:kern w:val="0"/>
                <w:sz w:val="22"/>
              </w:rPr>
              <w:t>年</w:t>
            </w:r>
            <w:r>
              <w:rPr>
                <w:rFonts w:hint="eastAsia" w:cs="Calibri" w:asciiTheme="minorEastAsia" w:hAnsiTheme="minorEastAsia"/>
                <w:kern w:val="0"/>
                <w:sz w:val="22"/>
                <w:lang w:val="en-US" w:eastAsia="zh-CN"/>
              </w:rPr>
              <w:t>5</w:t>
            </w:r>
            <w:r>
              <w:rPr>
                <w:rFonts w:cs="Calibri" w:asciiTheme="minorEastAsia" w:hAnsiTheme="minorEastAsia"/>
                <w:kern w:val="0"/>
                <w:sz w:val="22"/>
              </w:rPr>
              <w:t>月</w:t>
            </w:r>
            <w:r>
              <w:rPr>
                <w:rFonts w:hint="eastAsia" w:cs="Calibri" w:asciiTheme="minorEastAsia" w:hAnsiTheme="minorEastAsia"/>
                <w:kern w:val="0"/>
                <w:sz w:val="22"/>
                <w:lang w:val="en-US" w:eastAsia="zh-CN"/>
              </w:rPr>
              <w:t>19</w:t>
            </w:r>
            <w:r>
              <w:rPr>
                <w:rFonts w:cs="Calibri" w:asciiTheme="minorEastAsia" w:hAnsiTheme="minorEastAsia"/>
                <w:kern w:val="0"/>
                <w:sz w:val="22"/>
              </w:rPr>
              <w:t>日16：30前，以E-mail及书面（传真）形式提交给招标</w:t>
            </w:r>
            <w:r>
              <w:rPr>
                <w:rFonts w:hint="eastAsia" w:cs="Calibri" w:asciiTheme="minorEastAsia" w:hAnsiTheme="minorEastAsia"/>
                <w:kern w:val="0"/>
                <w:sz w:val="22"/>
              </w:rPr>
              <w:t>人</w:t>
            </w:r>
            <w:r>
              <w:rPr>
                <w:rFonts w:cs="Calibri" w:asciiTheme="minorEastAsia" w:hAnsiTheme="minorEastAsia"/>
                <w:kern w:val="0"/>
                <w:sz w:val="22"/>
              </w:rPr>
              <w:t>（邮箱：</w:t>
            </w:r>
            <w:r>
              <w:rPr>
                <w:rFonts w:hint="eastAsia" w:cs="Calibri" w:asciiTheme="minorEastAsia" w:hAnsiTheme="minorEastAsia"/>
                <w:kern w:val="0"/>
                <w:sz w:val="22"/>
                <w:lang w:val="en-US" w:eastAsia="zh-CN"/>
              </w:rPr>
              <w:t>156456807</w:t>
            </w:r>
            <w:r>
              <w:rPr>
                <w:rFonts w:hint="eastAsia" w:cs="Calibri" w:asciiTheme="minorEastAsia" w:hAnsiTheme="minorEastAsia"/>
                <w:kern w:val="0"/>
                <w:sz w:val="22"/>
              </w:rPr>
              <w:t>@qq.com</w:t>
            </w:r>
            <w:r>
              <w:rPr>
                <w:rFonts w:cs="Calibri" w:asciiTheme="minorEastAsia" w:hAnsiTheme="minorEastAsia"/>
                <w:kern w:val="0"/>
                <w:sz w:val="22"/>
              </w:rPr>
              <w:t>，联系人：</w:t>
            </w:r>
            <w:r>
              <w:rPr>
                <w:rFonts w:hint="eastAsia" w:cs="Calibri" w:asciiTheme="minorEastAsia" w:hAnsiTheme="minorEastAsia"/>
                <w:kern w:val="0"/>
                <w:sz w:val="22"/>
              </w:rPr>
              <w:t>王</w:t>
            </w:r>
            <w:r>
              <w:rPr>
                <w:rFonts w:hint="eastAsia" w:cs="Calibri" w:asciiTheme="minorEastAsia" w:hAnsiTheme="minorEastAsia"/>
                <w:kern w:val="0"/>
                <w:sz w:val="22"/>
                <w:lang w:val="en-US" w:eastAsia="zh-CN"/>
              </w:rPr>
              <w:t>剑</w:t>
            </w:r>
            <w:r>
              <w:rPr>
                <w:rFonts w:cs="Calibri" w:asciiTheme="minorEastAsia" w:hAnsiTheme="minorEastAsia"/>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Arial" w:asciiTheme="minorEastAsia" w:hAnsiTheme="minorEastAsia"/>
                <w:kern w:val="0"/>
                <w:sz w:val="22"/>
              </w:rPr>
              <w:t>20</w:t>
            </w:r>
            <w:r>
              <w:rPr>
                <w:rFonts w:cs="Arial" w:asciiTheme="minorEastAsia" w:hAnsiTheme="minorEastAsia"/>
                <w:kern w:val="0"/>
                <w:sz w:val="22"/>
              </w:rPr>
              <w:t>2</w:t>
            </w:r>
            <w:r>
              <w:rPr>
                <w:rFonts w:hint="eastAsia" w:cs="Arial" w:asciiTheme="minorEastAsia" w:hAnsiTheme="minorEastAsia"/>
                <w:kern w:val="0"/>
                <w:sz w:val="22"/>
                <w:lang w:val="en-US" w:eastAsia="zh-CN"/>
              </w:rPr>
              <w:t>1</w:t>
            </w:r>
            <w:r>
              <w:rPr>
                <w:rFonts w:hint="eastAsia" w:cs="Arial" w:asciiTheme="minorEastAsia" w:hAnsiTheme="minorEastAsia"/>
                <w:kern w:val="0"/>
                <w:sz w:val="22"/>
              </w:rPr>
              <w:t>年</w:t>
            </w:r>
            <w:r>
              <w:rPr>
                <w:rFonts w:hint="eastAsia" w:cs="Arial" w:asciiTheme="minorEastAsia" w:hAnsiTheme="minorEastAsia"/>
                <w:kern w:val="0"/>
                <w:sz w:val="22"/>
                <w:lang w:val="en-US" w:eastAsia="zh-CN"/>
              </w:rPr>
              <w:t>5</w:t>
            </w:r>
            <w:r>
              <w:rPr>
                <w:rFonts w:hint="eastAsia" w:cs="Arial" w:asciiTheme="minorEastAsia" w:hAnsiTheme="minorEastAsia"/>
                <w:kern w:val="0"/>
                <w:sz w:val="22"/>
              </w:rPr>
              <w:t>月</w:t>
            </w:r>
            <w:r>
              <w:rPr>
                <w:rFonts w:hint="eastAsia" w:cs="Arial" w:asciiTheme="minorEastAsia" w:hAnsiTheme="minorEastAsia"/>
                <w:kern w:val="0"/>
                <w:sz w:val="22"/>
                <w:lang w:val="en-US" w:eastAsia="zh-CN"/>
              </w:rPr>
              <w:t>25</w:t>
            </w:r>
            <w:r>
              <w:rPr>
                <w:rFonts w:hint="eastAsia" w:cs="Arial" w:asciiTheme="minorEastAsia" w:hAnsiTheme="minorEastAsia"/>
                <w:kern w:val="0"/>
                <w:sz w:val="22"/>
              </w:rPr>
              <w:t>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 w:name="_Toc226175287"/>
            <w:bookmarkStart w:id="4"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lang w:val="en-US" w:eastAsia="zh-CN"/>
              </w:rPr>
              <w:t>120</w:t>
            </w:r>
            <w:r>
              <w:rPr>
                <w:rFonts w:hint="eastAsia" w:ascii="宋体" w:hAnsi="宋体" w:cs="Calibri"/>
                <w:kern w:val="0"/>
                <w:sz w:val="22"/>
              </w:rPr>
              <w:t>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lang w:val="en-US" w:eastAsia="zh-CN"/>
              </w:rPr>
              <w:t>三</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w:t>
            </w:r>
            <w:r>
              <w:rPr>
                <w:rFonts w:hint="eastAsia" w:ascii="宋体" w:hAnsi="宋体" w:cs="Calibri"/>
                <w:kern w:val="0"/>
                <w:sz w:val="22"/>
                <w:u w:val="single"/>
              </w:rPr>
              <w:t>等</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hint="eastAsia" w:cs="Calibri" w:asciiTheme="minorEastAsia" w:hAnsiTheme="minorEastAsia"/>
                <w:kern w:val="0"/>
                <w:sz w:val="22"/>
                <w:u w:val="single"/>
              </w:rPr>
              <w:t>杭州萧山国际机场航空物流有限公司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 xml:space="preserve">项目名称： </w:t>
            </w:r>
            <w:r>
              <w:rPr>
                <w:rFonts w:hint="eastAsia" w:cs="宋体" w:asciiTheme="minorEastAsia" w:hAnsiTheme="minorEastAsia"/>
                <w:sz w:val="22"/>
                <w:u w:val="single"/>
                <w:lang w:val="en-US" w:eastAsia="zh-CN"/>
              </w:rPr>
              <w:t>充电场所整改</w:t>
            </w:r>
            <w:r>
              <w:rPr>
                <w:rFonts w:hint="eastAsia" w:cs="宋体" w:asciiTheme="minorEastAsia" w:hAnsiTheme="minorEastAsia"/>
                <w:sz w:val="22"/>
                <w:u w:val="single"/>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lang w:val="en-US" w:eastAsia="zh-CN"/>
              </w:rPr>
              <w:t>2021</w:t>
            </w:r>
            <w:r>
              <w:rPr>
                <w:rFonts w:cs="Calibri" w:asciiTheme="minorEastAsia" w:hAnsiTheme="minorEastAsia"/>
                <w:kern w:val="0"/>
                <w:sz w:val="22"/>
                <w:u w:val="single"/>
              </w:rPr>
              <w:t xml:space="preserve">  </w:t>
            </w:r>
            <w:r>
              <w:rPr>
                <w:rFonts w:cs="Calibri" w:asciiTheme="minorEastAsia" w:hAnsiTheme="minorEastAsia"/>
                <w:kern w:val="0"/>
                <w:sz w:val="22"/>
              </w:rPr>
              <w:t>年</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lang w:val="en-US" w:eastAsia="zh-CN"/>
              </w:rPr>
              <w:t>5</w:t>
            </w:r>
            <w:r>
              <w:rPr>
                <w:rFonts w:cs="Calibri" w:asciiTheme="minorEastAsia" w:hAnsiTheme="minorEastAsia"/>
                <w:kern w:val="0"/>
                <w:sz w:val="22"/>
                <w:u w:val="single"/>
              </w:rPr>
              <w:t xml:space="preserve"> </w:t>
            </w:r>
            <w:r>
              <w:rPr>
                <w:rFonts w:cs="Calibri" w:asciiTheme="minorEastAsia" w:hAnsiTheme="minorEastAsia"/>
                <w:kern w:val="0"/>
                <w:sz w:val="22"/>
              </w:rPr>
              <w:t>月</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lang w:val="en-US" w:eastAsia="zh-CN"/>
              </w:rPr>
              <w:t>25</w:t>
            </w:r>
            <w:r>
              <w:rPr>
                <w:rFonts w:cs="Calibri" w:asciiTheme="minorEastAsia" w:hAnsiTheme="minorEastAsia"/>
                <w:kern w:val="0"/>
                <w:sz w:val="22"/>
                <w:u w:val="single"/>
              </w:rPr>
              <w:t xml:space="preserve"> </w:t>
            </w:r>
            <w:r>
              <w:rPr>
                <w:rFonts w:cs="Calibri" w:asciiTheme="minorEastAsia" w:hAnsiTheme="minorEastAsia"/>
                <w:kern w:val="0"/>
                <w:sz w:val="22"/>
              </w:rPr>
              <w:t>日</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lang w:val="en-US" w:eastAsia="zh-CN"/>
              </w:rPr>
              <w:t>9</w:t>
            </w:r>
            <w:r>
              <w:rPr>
                <w:rFonts w:cs="Calibri" w:asciiTheme="minorEastAsia" w:hAnsiTheme="minorEastAsia"/>
                <w:kern w:val="0"/>
                <w:sz w:val="22"/>
                <w:u w:val="single"/>
              </w:rPr>
              <w:t xml:space="preserve"> </w:t>
            </w:r>
            <w:r>
              <w:rPr>
                <w:rFonts w:cs="Calibri" w:asciiTheme="minorEastAsia" w:hAnsiTheme="minorEastAsia"/>
                <w:kern w:val="0"/>
                <w:sz w:val="22"/>
              </w:rPr>
              <w:t>时</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lang w:val="en-US" w:eastAsia="zh-CN"/>
              </w:rPr>
              <w:t>00</w:t>
            </w:r>
            <w:r>
              <w:rPr>
                <w:rFonts w:cs="Calibri" w:asciiTheme="minorEastAsia" w:hAnsiTheme="minorEastAsia"/>
                <w:kern w:val="0"/>
                <w:sz w:val="22"/>
                <w:u w:val="single"/>
              </w:rPr>
              <w:t xml:space="preserve"> </w:t>
            </w:r>
            <w:r>
              <w:rPr>
                <w:rFonts w:cs="Calibri" w:asciiTheme="minorEastAsia" w:hAnsiTheme="minorEastAsia"/>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Theme="minorEastAsia" w:hAnsiTheme="minorEastAsia"/>
                <w:b/>
                <w:sz w:val="22"/>
              </w:rPr>
              <w:t>杭州萧山国际机场航空货站A区A</w:t>
            </w:r>
            <w:r>
              <w:rPr>
                <w:rFonts w:hint="eastAsia" w:asciiTheme="minorEastAsia" w:hAnsiTheme="minorEastAsia"/>
                <w:b/>
                <w:sz w:val="22"/>
                <w:lang w:val="en-US" w:eastAsia="zh-CN"/>
              </w:rPr>
              <w:t>2232</w:t>
            </w:r>
            <w:r>
              <w:rPr>
                <w:rFonts w:hint="eastAsia" w:asciiTheme="minorEastAsia" w:hAnsiTheme="minorEastAsia"/>
                <w:b/>
                <w:sz w:val="22"/>
              </w:rPr>
              <w:t>室或杭州萧山国际机场翔越路综合服务楼园区招标中心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w:t>
            </w:r>
            <w:r>
              <w:rPr>
                <w:rFonts w:hint="eastAsia" w:asciiTheme="minorEastAsia" w:hAnsiTheme="minorEastAsia"/>
                <w:b/>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（1）密封情况检查：由投标人或者其集体推选的代表检查投标文件的密封情况。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（2）开标顺序：按照后送达先开的顺序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设计</w:t>
            </w:r>
            <w:r>
              <w:rPr>
                <w:rFonts w:ascii="宋体" w:hAnsi="宋体" w:cs="Calibri"/>
                <w:kern w:val="0"/>
                <w:sz w:val="22"/>
              </w:rPr>
              <w:t>费、履约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支票、银行汇票或电汇</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w:t>
            </w:r>
            <w:r>
              <w:rPr>
                <w:rFonts w:ascii="宋体" w:hAnsi="宋体" w:cs="Calibri"/>
                <w:kern w:val="0"/>
                <w:sz w:val="22"/>
              </w:rPr>
              <w:t>1</w:t>
            </w:r>
          </w:p>
        </w:tc>
        <w:tc>
          <w:tcPr>
            <w:tcW w:w="2004" w:type="dxa"/>
            <w:shd w:val="clear" w:color="auto" w:fill="auto"/>
            <w:vAlign w:val="center"/>
          </w:tcPr>
          <w:p>
            <w:pPr>
              <w:pStyle w:val="47"/>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w:t>
            </w:r>
            <w:r>
              <w:rPr>
                <w:rFonts w:ascii="宋体" w:hAnsi="宋体" w:cs="Calibri"/>
                <w:kern w:val="0"/>
                <w:sz w:val="22"/>
              </w:rPr>
              <w:t>2</w:t>
            </w:r>
          </w:p>
        </w:tc>
        <w:tc>
          <w:tcPr>
            <w:tcW w:w="2004" w:type="dxa"/>
            <w:shd w:val="clear" w:color="auto" w:fill="auto"/>
            <w:vAlign w:val="center"/>
          </w:tcPr>
          <w:p>
            <w:pPr>
              <w:pStyle w:val="47"/>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5"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5"/>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1.1.2项目建设地点见投标人须知前附表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6"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7"/>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9"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0"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工期</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12"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3"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4"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4"/>
    </w:p>
    <w:p>
      <w:pPr>
        <w:adjustRightInd w:val="0"/>
        <w:snapToGrid w:val="0"/>
        <w:spacing w:line="360" w:lineRule="exact"/>
        <w:ind w:firstLine="440"/>
        <w:rPr>
          <w:rFonts w:cs="Calibri" w:asciiTheme="minorEastAsia" w:hAnsiTheme="minorEastAsia"/>
          <w:color w:val="000000"/>
          <w:sz w:val="22"/>
        </w:rPr>
      </w:pPr>
      <w:bookmarkStart w:id="15" w:name="_Toc3996"/>
      <w:r>
        <w:rPr>
          <w:rFonts w:cs="Calibri" w:asciiTheme="minorEastAsia" w:hAnsiTheme="minorEastAsia"/>
          <w:color w:val="000000"/>
          <w:sz w:val="22"/>
        </w:rPr>
        <w:t>本项目</w:t>
      </w:r>
      <w:r>
        <w:rPr>
          <w:rFonts w:hint="eastAsia" w:cs="Calibri" w:asciiTheme="minorEastAsia" w:hAnsiTheme="minorEastAsia"/>
          <w:color w:val="000000"/>
          <w:sz w:val="22"/>
        </w:rPr>
        <w:t>不</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6" w:name="_Toc143421657"/>
      <w:bookmarkStart w:id="17" w:name="_Toc15241"/>
      <w:r>
        <w:rPr>
          <w:rFonts w:cs="Calibri" w:asciiTheme="minorEastAsia" w:hAnsiTheme="minorEastAsia"/>
          <w:b/>
          <w:bCs/>
          <w:kern w:val="0"/>
          <w:sz w:val="22"/>
        </w:rPr>
        <w:t>2.招标文件</w:t>
      </w:r>
      <w:bookmarkEnd w:id="16"/>
      <w:bookmarkEnd w:id="17"/>
    </w:p>
    <w:p>
      <w:pPr>
        <w:autoSpaceDE w:val="0"/>
        <w:autoSpaceDN w:val="0"/>
        <w:adjustRightInd w:val="0"/>
        <w:snapToGrid w:val="0"/>
        <w:spacing w:line="360" w:lineRule="exact"/>
        <w:rPr>
          <w:rFonts w:cs="Calibri" w:asciiTheme="minorEastAsia" w:hAnsiTheme="minorEastAsia"/>
          <w:b/>
          <w:bCs/>
          <w:kern w:val="0"/>
          <w:sz w:val="22"/>
        </w:rPr>
      </w:pPr>
      <w:bookmarkStart w:id="18" w:name="_Toc1426"/>
      <w:r>
        <w:rPr>
          <w:rFonts w:cs="Calibri" w:asciiTheme="minorEastAsia" w:hAnsiTheme="minorEastAsia"/>
          <w:b/>
          <w:bCs/>
          <w:kern w:val="0"/>
          <w:sz w:val="22"/>
        </w:rPr>
        <w:t>2.1 招标文件的组成</w:t>
      </w:r>
      <w:bookmarkEnd w:id="18"/>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ascii="宋体" w:hAnsi="宋体" w:cs="Calibri"/>
          <w:kern w:val="0"/>
          <w:sz w:val="22"/>
        </w:rPr>
        <w:t>（5）投标文件格式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9" w:name="_Toc18230"/>
      <w:r>
        <w:rPr>
          <w:rFonts w:cs="Calibri" w:asciiTheme="minorEastAsia" w:hAnsiTheme="minorEastAsia"/>
          <w:b/>
          <w:bCs/>
          <w:kern w:val="0"/>
          <w:sz w:val="22"/>
        </w:rPr>
        <w:t>2.2 招标文件的澄清</w:t>
      </w:r>
      <w:bookmarkEnd w:id="1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20" w:name="_Toc18303"/>
      <w:r>
        <w:rPr>
          <w:rFonts w:cs="Calibri" w:asciiTheme="minorEastAsia" w:hAnsiTheme="minorEastAsia"/>
          <w:b/>
          <w:bCs/>
          <w:kern w:val="0"/>
          <w:sz w:val="22"/>
        </w:rPr>
        <w:t>2.3 招标文件的修改</w:t>
      </w:r>
      <w:bookmarkEnd w:id="2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1" w:name="_Toc143421658"/>
      <w:bookmarkStart w:id="22" w:name="_Toc18870"/>
      <w:r>
        <w:rPr>
          <w:rFonts w:ascii="宋体" w:hAnsi="宋体" w:cs="Calibri"/>
          <w:b/>
          <w:bCs/>
          <w:kern w:val="0"/>
          <w:sz w:val="22"/>
        </w:rPr>
        <w:t>3.投标文件</w:t>
      </w:r>
      <w:bookmarkEnd w:id="21"/>
      <w:bookmarkEnd w:id="22"/>
    </w:p>
    <w:p>
      <w:pPr>
        <w:autoSpaceDE w:val="0"/>
        <w:autoSpaceDN w:val="0"/>
        <w:adjustRightInd w:val="0"/>
        <w:snapToGrid w:val="0"/>
        <w:spacing w:line="360" w:lineRule="exact"/>
        <w:rPr>
          <w:rFonts w:ascii="宋体" w:hAnsi="宋体" w:cs="Calibri"/>
          <w:b/>
          <w:bCs/>
          <w:kern w:val="0"/>
          <w:sz w:val="22"/>
        </w:rPr>
      </w:pPr>
      <w:bookmarkStart w:id="23" w:name="_Toc461"/>
      <w:r>
        <w:rPr>
          <w:rFonts w:ascii="宋体" w:hAnsi="宋体" w:cs="Calibri"/>
          <w:b/>
          <w:bCs/>
          <w:kern w:val="0"/>
          <w:sz w:val="22"/>
        </w:rPr>
        <w:t>3.1 投标文件的语言和计量单位</w:t>
      </w:r>
      <w:bookmarkEnd w:id="23"/>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4" w:name="_Toc1411"/>
      <w:r>
        <w:rPr>
          <w:rFonts w:ascii="宋体" w:hAnsi="宋体" w:cs="Calibri"/>
          <w:b/>
          <w:bCs/>
          <w:kern w:val="0"/>
          <w:sz w:val="22"/>
        </w:rPr>
        <w:t>3.2 投标文件的组成</w:t>
      </w:r>
      <w:bookmarkEnd w:id="24"/>
    </w:p>
    <w:p>
      <w:pPr>
        <w:adjustRightInd w:val="0"/>
        <w:snapToGrid w:val="0"/>
        <w:spacing w:line="360" w:lineRule="exact"/>
        <w:ind w:firstLine="440"/>
        <w:rPr>
          <w:rFonts w:ascii="宋体" w:hAnsi="宋体" w:cs="Calibri"/>
          <w:sz w:val="22"/>
        </w:rPr>
      </w:pPr>
      <w:bookmarkStart w:id="25"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4已标价工程量清单</w:t>
      </w:r>
      <w:r>
        <w:rPr>
          <w:rFonts w:cs="Calibri" w:asciiTheme="minorEastAsia" w:hAnsiTheme="minorEastAsia"/>
          <w:color w:val="000000"/>
          <w:sz w:val="22"/>
        </w:rPr>
        <w:t>；</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3.2.5</w:t>
      </w:r>
      <w:r>
        <w:rPr>
          <w:rFonts w:hint="eastAsia" w:cs="Calibri" w:asciiTheme="minorEastAsia" w:hAnsiTheme="minorEastAsia"/>
          <w:color w:val="000000"/>
          <w:sz w:val="22"/>
        </w:rPr>
        <w:t>施工组织设计；</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3.2.6 项目管理机构</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5"/>
    </w:p>
    <w:p>
      <w:pPr>
        <w:adjustRightInd w:val="0"/>
        <w:snapToGrid w:val="0"/>
        <w:spacing w:line="360" w:lineRule="exact"/>
        <w:ind w:firstLine="440"/>
        <w:rPr>
          <w:rFonts w:ascii="宋体" w:hAnsi="宋体" w:cs="宋体"/>
          <w:sz w:val="22"/>
        </w:rPr>
      </w:pPr>
      <w:bookmarkStart w:id="26" w:name="_Toc13307"/>
      <w:r>
        <w:rPr>
          <w:rFonts w:hint="eastAsia" w:ascii="宋体" w:hAnsi="宋体" w:cs="宋体"/>
          <w:sz w:val="22"/>
        </w:rPr>
        <w:t>3.3.1投标人应按第六章“投标文件格式”的要求填写相应表格并报价。</w:t>
      </w:r>
    </w:p>
    <w:p>
      <w:pPr>
        <w:adjustRightInd w:val="0"/>
        <w:snapToGrid w:val="0"/>
        <w:spacing w:line="360" w:lineRule="exact"/>
        <w:ind w:firstLine="440"/>
        <w:rPr>
          <w:rFonts w:ascii="宋体" w:hAnsi="宋体" w:cs="宋体"/>
          <w:sz w:val="22"/>
        </w:rPr>
      </w:pPr>
      <w:r>
        <w:rPr>
          <w:rFonts w:hint="eastAsia" w:ascii="宋体" w:hAnsi="宋体" w:cs="宋体"/>
          <w:sz w:val="22"/>
        </w:rPr>
        <w:t>3.3.2本工程各项取费标准及相关调整系数，根据《浙江省建设工程施工取费定额》（2010版）及浙江省现行的相关文件规定，请投标人在投标报价中，按照上述文件精神执行。</w:t>
      </w:r>
    </w:p>
    <w:p>
      <w:pPr>
        <w:adjustRightInd w:val="0"/>
        <w:snapToGrid w:val="0"/>
        <w:spacing w:line="360" w:lineRule="exact"/>
        <w:ind w:firstLine="440"/>
        <w:rPr>
          <w:rFonts w:ascii="宋体" w:hAnsi="宋体" w:cs="宋体"/>
          <w:b/>
          <w:sz w:val="22"/>
        </w:rPr>
      </w:pPr>
      <w:r>
        <w:rPr>
          <w:rFonts w:hint="eastAsia" w:ascii="宋体" w:hAnsi="宋体" w:cs="宋体"/>
          <w:sz w:val="22"/>
        </w:rPr>
        <w:t>3.3.3招标文件提供的工程量清单为参考清单，投标人根据招标文件要求和参考清单自行编制投标报价。</w:t>
      </w:r>
    </w:p>
    <w:p>
      <w:pPr>
        <w:adjustRightInd w:val="0"/>
        <w:snapToGrid w:val="0"/>
        <w:spacing w:line="360" w:lineRule="exact"/>
        <w:ind w:firstLine="440"/>
        <w:rPr>
          <w:rFonts w:ascii="宋体" w:hAnsi="宋体" w:cs="宋体"/>
          <w:sz w:val="22"/>
        </w:rPr>
      </w:pPr>
      <w:r>
        <w:rPr>
          <w:rFonts w:hint="eastAsia" w:ascii="宋体" w:hAnsi="宋体" w:cs="宋体"/>
          <w:sz w:val="22"/>
        </w:rPr>
        <w:t>3.3.4</w:t>
      </w:r>
      <w:r>
        <w:rPr>
          <w:rFonts w:hint="eastAsia" w:ascii="宋体" w:hAnsi="宋体" w:cs="宋体"/>
          <w:b/>
          <w:sz w:val="22"/>
        </w:rPr>
        <w:t>本工程为固定总价合同（计日工除外）</w:t>
      </w:r>
      <w:r>
        <w:rPr>
          <w:rFonts w:hint="eastAsia" w:ascii="宋体" w:hAnsi="宋体" w:cs="宋体"/>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发包人不对承包人提出的任何工程量清单、价格变更要求进行总价调整，投标报价即为结算价。</w:t>
      </w:r>
    </w:p>
    <w:p>
      <w:pPr>
        <w:adjustRightInd w:val="0"/>
        <w:snapToGrid w:val="0"/>
        <w:spacing w:line="360" w:lineRule="exact"/>
        <w:ind w:firstLine="440"/>
        <w:rPr>
          <w:rFonts w:ascii="宋体" w:hAnsi="宋体" w:cs="宋体"/>
          <w:sz w:val="22"/>
        </w:rPr>
      </w:pPr>
      <w:r>
        <w:rPr>
          <w:rFonts w:hint="eastAsia" w:ascii="宋体" w:hAnsi="宋体" w:cs="宋体"/>
          <w:sz w:val="22"/>
        </w:rPr>
        <w:t>3.3.5投标报价中应包含国家有关部门和地方政府规定交纳的“规费”，其包括工程排污费、社会保障费、住房公积金、危险作业意外伤害保险；农民工工伤保险等。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sz w:val="22"/>
        </w:rPr>
      </w:pPr>
      <w:r>
        <w:rPr>
          <w:rFonts w:hint="eastAsia" w:ascii="宋体" w:hAnsi="宋体" w:cs="宋体"/>
          <w:sz w:val="22"/>
        </w:rPr>
        <w:t xml:space="preserve">3.3.6 </w:t>
      </w:r>
      <w:r>
        <w:rPr>
          <w:rFonts w:hint="eastAsia" w:ascii="宋体" w:hAnsi="宋体" w:cs="宋体"/>
          <w:b/>
          <w:sz w:val="22"/>
        </w:rPr>
        <w:t>计日工单价最高限价150元/工日。</w:t>
      </w:r>
    </w:p>
    <w:p>
      <w:pPr>
        <w:adjustRightInd w:val="0"/>
        <w:snapToGrid w:val="0"/>
        <w:spacing w:line="360" w:lineRule="exact"/>
        <w:ind w:firstLine="440"/>
        <w:rPr>
          <w:rFonts w:ascii="宋体" w:hAnsi="宋体" w:cs="宋体"/>
          <w:sz w:val="22"/>
        </w:rPr>
      </w:pPr>
      <w:r>
        <w:rPr>
          <w:rFonts w:hint="eastAsia" w:ascii="宋体" w:hAnsi="宋体" w:cs="宋体"/>
          <w:sz w:val="22"/>
        </w:rPr>
        <w:t>3.3.7工程量清单中的报价，均应以人民币元为单位，最终以人民币办理结算。</w:t>
      </w:r>
    </w:p>
    <w:p>
      <w:pPr>
        <w:adjustRightInd w:val="0"/>
        <w:snapToGrid w:val="0"/>
        <w:spacing w:line="360" w:lineRule="exact"/>
        <w:ind w:firstLine="440"/>
        <w:rPr>
          <w:rFonts w:ascii="宋体" w:hAnsi="宋体" w:cs="宋体"/>
          <w:sz w:val="22"/>
        </w:rPr>
      </w:pPr>
      <w:r>
        <w:rPr>
          <w:rFonts w:hint="eastAsia" w:ascii="宋体" w:hAnsi="宋体" w:cs="宋体"/>
          <w:sz w:val="22"/>
        </w:rPr>
        <w:t>3.3.8投标人应充分考虑以下各项风险因素可能导致发生或增加的费用，并计入投标报价中，不报视作优惠：</w:t>
      </w:r>
    </w:p>
    <w:p>
      <w:pPr>
        <w:adjustRightInd w:val="0"/>
        <w:snapToGrid w:val="0"/>
        <w:spacing w:line="360" w:lineRule="exact"/>
        <w:ind w:firstLine="440"/>
        <w:rPr>
          <w:rFonts w:ascii="宋体" w:hAnsi="宋体" w:cs="宋体"/>
          <w:sz w:val="22"/>
        </w:rPr>
      </w:pPr>
      <w:r>
        <w:rPr>
          <w:rFonts w:ascii="宋体" w:hAnsi="宋体" w:cs="宋体"/>
          <w:sz w:val="22"/>
        </w:rPr>
        <w:t>a</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6"/>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7" w:name="_Toc30464"/>
      <w:r>
        <w:rPr>
          <w:rFonts w:ascii="宋体" w:hAnsi="宋体" w:cs="Calibri"/>
          <w:b/>
          <w:bCs/>
          <w:kern w:val="0"/>
          <w:sz w:val="22"/>
        </w:rPr>
        <w:t>3.5 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8" w:name="_Toc29989"/>
      <w:r>
        <w:rPr>
          <w:rFonts w:ascii="宋体" w:hAnsi="宋体" w:cs="Calibri"/>
          <w:b/>
          <w:bCs/>
          <w:kern w:val="0"/>
          <w:sz w:val="22"/>
        </w:rPr>
        <w:t>3.6 投标文件的编制</w:t>
      </w:r>
      <w:bookmarkEnd w:id="28"/>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9" w:name="_Toc143421659"/>
    </w:p>
    <w:p>
      <w:pPr>
        <w:autoSpaceDE w:val="0"/>
        <w:autoSpaceDN w:val="0"/>
        <w:adjustRightInd w:val="0"/>
        <w:snapToGrid w:val="0"/>
        <w:spacing w:line="360" w:lineRule="exact"/>
        <w:rPr>
          <w:rFonts w:ascii="宋体" w:hAnsi="宋体" w:cs="Calibri"/>
          <w:b/>
          <w:bCs/>
          <w:kern w:val="0"/>
          <w:sz w:val="22"/>
        </w:rPr>
      </w:pPr>
      <w:bookmarkStart w:id="30" w:name="_Toc32652"/>
      <w:r>
        <w:rPr>
          <w:rFonts w:ascii="宋体" w:hAnsi="宋体" w:cs="Calibri"/>
          <w:b/>
          <w:bCs/>
          <w:kern w:val="0"/>
          <w:sz w:val="22"/>
        </w:rPr>
        <w:t>4.投标</w:t>
      </w:r>
      <w:bookmarkEnd w:id="29"/>
      <w:bookmarkEnd w:id="30"/>
    </w:p>
    <w:p>
      <w:pPr>
        <w:autoSpaceDE w:val="0"/>
        <w:autoSpaceDN w:val="0"/>
        <w:adjustRightInd w:val="0"/>
        <w:snapToGrid w:val="0"/>
        <w:spacing w:line="360" w:lineRule="exact"/>
        <w:rPr>
          <w:rFonts w:ascii="宋体" w:hAnsi="宋体" w:cs="Calibri"/>
          <w:b/>
          <w:bCs/>
          <w:kern w:val="0"/>
          <w:sz w:val="22"/>
        </w:rPr>
      </w:pPr>
      <w:bookmarkStart w:id="31" w:name="_Toc649"/>
      <w:r>
        <w:rPr>
          <w:rFonts w:ascii="宋体" w:hAnsi="宋体" w:cs="Calibri"/>
          <w:b/>
          <w:bCs/>
          <w:kern w:val="0"/>
          <w:sz w:val="22"/>
        </w:rPr>
        <w:t>4.1 投标文件的密封和标识</w:t>
      </w:r>
      <w:bookmarkEnd w:id="31"/>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2" w:name="_Toc16616"/>
      <w:r>
        <w:rPr>
          <w:rFonts w:ascii="宋体" w:hAnsi="宋体" w:cs="Calibri"/>
          <w:b/>
          <w:bCs/>
          <w:kern w:val="0"/>
          <w:sz w:val="22"/>
        </w:rPr>
        <w:t xml:space="preserve">4.2 投标文件的递交 </w:t>
      </w:r>
      <w:bookmarkEnd w:id="32"/>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3" w:name="_Toc26099"/>
      <w:r>
        <w:rPr>
          <w:rFonts w:ascii="宋体" w:hAnsi="宋体" w:cs="Calibri"/>
          <w:b/>
          <w:bCs/>
          <w:kern w:val="0"/>
          <w:sz w:val="22"/>
        </w:rPr>
        <w:t>4.3 投标文件的修改和撤回</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4" w:name="_Toc29641"/>
      <w:r>
        <w:rPr>
          <w:rFonts w:ascii="宋体" w:hAnsi="宋体" w:cs="Calibri"/>
          <w:b/>
          <w:bCs/>
          <w:kern w:val="0"/>
          <w:sz w:val="22"/>
        </w:rPr>
        <w:t>5.开标</w:t>
      </w:r>
      <w:bookmarkEnd w:id="34"/>
    </w:p>
    <w:p>
      <w:pPr>
        <w:autoSpaceDE w:val="0"/>
        <w:autoSpaceDN w:val="0"/>
        <w:adjustRightInd w:val="0"/>
        <w:snapToGrid w:val="0"/>
        <w:spacing w:line="360" w:lineRule="exact"/>
        <w:rPr>
          <w:rFonts w:ascii="宋体" w:hAnsi="宋体" w:cs="Calibri"/>
          <w:b/>
          <w:bCs/>
          <w:kern w:val="0"/>
          <w:sz w:val="22"/>
        </w:rPr>
      </w:pPr>
      <w:bookmarkStart w:id="35" w:name="_Toc15123"/>
      <w:r>
        <w:rPr>
          <w:rFonts w:ascii="宋体" w:hAnsi="宋体" w:cs="Calibri"/>
          <w:b/>
          <w:bCs/>
          <w:kern w:val="0"/>
          <w:sz w:val="22"/>
        </w:rPr>
        <w:t>5.1 开标时间和地点</w:t>
      </w:r>
      <w:bookmarkEnd w:id="35"/>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6" w:name="_Toc7101"/>
      <w:r>
        <w:rPr>
          <w:rFonts w:ascii="宋体" w:hAnsi="宋体" w:cs="Calibri"/>
          <w:b/>
          <w:bCs/>
          <w:kern w:val="0"/>
          <w:sz w:val="22"/>
        </w:rPr>
        <w:t>5.2 开标程序</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7" w:name="_Toc31578"/>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pStyle w:val="2"/>
        <w:spacing w:line="564" w:lineRule="exact"/>
        <w:ind w:right="57"/>
        <w:jc w:val="both"/>
        <w:rPr>
          <w:rFonts w:hint="eastAsia" w:ascii="Cambria" w:hAnsi="Cambria" w:eastAsia="黑体" w:cs="Times New Roman"/>
          <w:b/>
          <w:bCs/>
          <w:kern w:val="0"/>
          <w:sz w:val="32"/>
          <w:szCs w:val="32"/>
          <w:lang w:val="en-US" w:eastAsia="zh-CN" w:bidi="ar-SA"/>
        </w:rPr>
      </w:pPr>
      <w:bookmarkStart w:id="38" w:name="_Toc33099963"/>
      <w:r>
        <w:rPr>
          <w:rFonts w:hint="eastAsia" w:ascii="Cambria" w:hAnsi="Cambria" w:eastAsia="黑体" w:cs="Times New Roman"/>
          <w:b/>
          <w:bCs/>
          <w:kern w:val="0"/>
          <w:sz w:val="32"/>
          <w:szCs w:val="32"/>
          <w:lang w:val="en-US" w:eastAsia="zh-CN" w:bidi="ar-SA"/>
        </w:rPr>
        <w:t xml:space="preserve">             第三章  评标办法(</w:t>
      </w:r>
      <w:r>
        <w:rPr>
          <w:rFonts w:hint="eastAsia"/>
        </w:rPr>
        <w:t>最低投标价法</w:t>
      </w:r>
      <w:r>
        <w:rPr>
          <w:rFonts w:hint="eastAsia" w:ascii="Cambria" w:hAnsi="Cambria" w:eastAsia="黑体" w:cs="Times New Roman"/>
          <w:b/>
          <w:bCs/>
          <w:kern w:val="0"/>
          <w:sz w:val="32"/>
          <w:szCs w:val="32"/>
          <w:lang w:val="en-US" w:eastAsia="zh-CN" w:bidi="ar-SA"/>
        </w:rPr>
        <w:t>)</w:t>
      </w:r>
      <w:bookmarkEnd w:id="38"/>
    </w:p>
    <w:p>
      <w:pPr>
        <w:autoSpaceDE w:val="0"/>
        <w:autoSpaceDN w:val="0"/>
        <w:adjustRightInd w:val="0"/>
        <w:spacing w:before="3" w:line="100" w:lineRule="exact"/>
        <w:jc w:val="left"/>
        <w:rPr>
          <w:rFonts w:ascii="微软雅黑" w:hAnsi="Times New Roman" w:cs="微软雅黑"/>
          <w:kern w:val="0"/>
          <w:sz w:val="10"/>
          <w:szCs w:val="10"/>
        </w:rPr>
      </w:pPr>
    </w:p>
    <w:bookmarkEnd w:id="37"/>
    <w:p>
      <w:pPr>
        <w:adjustRightInd w:val="0"/>
        <w:snapToGrid w:val="0"/>
        <w:spacing w:line="360" w:lineRule="exact"/>
        <w:ind w:firstLine="440"/>
        <w:rPr>
          <w:rFonts w:ascii="宋体" w:hAnsi="宋体" w:cs="Calibri"/>
          <w:kern w:val="0"/>
          <w:sz w:val="22"/>
        </w:rPr>
      </w:pPr>
      <w:bookmarkStart w:id="39" w:name="_Toc448097404"/>
      <w:bookmarkStart w:id="40" w:name="_Toc24237"/>
      <w:r>
        <w:rPr>
          <w:rFonts w:hint="eastAsia" w:ascii="宋体" w:hAnsi="宋体" w:cs="Calibri"/>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评标委员会应依照招标文件的要求和规定首先对投标人的投标资格和投标文件进行符合性评审，评审条件见投标人须知前附表</w:t>
      </w:r>
      <w:r>
        <w:rPr>
          <w:rFonts w:ascii="宋体" w:hAnsi="宋体" w:cs="宋体"/>
          <w:sz w:val="22"/>
        </w:rPr>
        <w:t>1.1</w:t>
      </w:r>
      <w:r>
        <w:rPr>
          <w:rFonts w:hint="eastAsia" w:ascii="宋体" w:hAnsi="宋体" w:cs="宋体"/>
          <w:sz w:val="22"/>
        </w:rPr>
        <w:t>2</w:t>
      </w:r>
      <w:r>
        <w:rPr>
          <w:rFonts w:ascii="宋体" w:hAnsi="宋体" w:cs="宋体"/>
          <w:sz w:val="22"/>
        </w:rPr>
        <w:t>.1</w:t>
      </w:r>
      <w:r>
        <w:rPr>
          <w:rFonts w:hint="eastAsia" w:ascii="宋体" w:hAnsi="宋体" w:cs="宋体"/>
          <w:sz w:val="22"/>
        </w:rPr>
        <w:t xml:space="preserve"> “实质性要求和条件”。</w:t>
      </w:r>
      <w:r>
        <w:rPr>
          <w:rFonts w:hint="eastAsia" w:ascii="宋体" w:hAnsi="宋体" w:cs="宋体"/>
          <w:b/>
          <w:sz w:val="22"/>
        </w:rPr>
        <w:t>审查过程中评标委员会可以要求投标人提交审查项所需的有关证明和证件的原件，以便核验。</w:t>
      </w:r>
      <w:r>
        <w:rPr>
          <w:rFonts w:hint="eastAsia" w:ascii="宋体" w:hAnsi="宋体" w:cs="宋体"/>
          <w:sz w:val="22"/>
        </w:rPr>
        <w:t>投标文件如存在评审条件之一的，经评标委员会三分之二以上的成员认定，符合性审查不予通过，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投标报价中用数字表示的数额与用文字表示的数额以及投标总价与各清单项目报价合计不一致时，一律以投标函中用文字表示的投标总价为评标价，计算报价分时不作调整。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当投标报价有算术错误时，评标委员会按有</w:t>
      </w:r>
      <w:r>
        <w:rPr>
          <w:rFonts w:hint="eastAsia" w:ascii="宋体" w:hAnsi="宋体" w:cs="宋体"/>
          <w:b/>
          <w:sz w:val="22"/>
        </w:rPr>
        <w:t>利于招标人的原则</w:t>
      </w:r>
      <w:r>
        <w:rPr>
          <w:rFonts w:hint="eastAsia" w:ascii="宋体" w:hAnsi="宋体" w:cs="宋体"/>
          <w:sz w:val="22"/>
        </w:rPr>
        <w:t>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具体如下：</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审通过的最低投标报价的投标人推荐为第一中标候选人，评审通过的次低投标报价的投标人推荐为第二中标候选人。当评审通过的最低投标报价出现多个相等时，由评标委员会通过抽签（或记名投票表决）方式推荐2名中标候选人并采用同等方式确定中标候选人排序。当评审通过的次低投标报价出现多个相等时，由评标委员会通过抽签（或记名投票表决）方式推荐第二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48"/>
        <w:rPr>
          <w:rFonts w:hint="eastAsia"/>
          <w:lang w:val="en-US" w:eastAsia="zh-CN"/>
        </w:rPr>
      </w:pPr>
    </w:p>
    <w:p>
      <w:pPr>
        <w:pStyle w:val="48"/>
        <w:rPr>
          <w:rFonts w:hint="eastAsia"/>
          <w:lang w:val="en-US" w:eastAsia="zh-CN"/>
        </w:rPr>
      </w:pPr>
    </w:p>
    <w:p>
      <w:pPr>
        <w:pStyle w:val="48"/>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48"/>
        <w:rPr>
          <w:rFonts w:hint="eastAsia"/>
          <w:lang w:val="en-US" w:eastAsia="zh-CN"/>
        </w:rPr>
      </w:pPr>
    </w:p>
    <w:p>
      <w:pPr>
        <w:pStyle w:val="48"/>
        <w:rPr>
          <w:rFonts w:ascii="宋体" w:hAnsi="宋体" w:cs="宋体"/>
          <w:b/>
          <w:sz w:val="28"/>
          <w:szCs w:val="20"/>
        </w:rPr>
      </w:pPr>
      <w:r>
        <w:rPr>
          <w:rFonts w:hint="eastAsia"/>
          <w:lang w:val="en-US" w:eastAsia="zh-CN"/>
        </w:rPr>
        <w:t>第四</w:t>
      </w:r>
      <w:r>
        <w:t xml:space="preserve">章  </w:t>
      </w:r>
      <w:r>
        <w:rPr>
          <w:rFonts w:hint="eastAsia"/>
        </w:rPr>
        <w:t>合同条款及格式</w:t>
      </w:r>
      <w:bookmarkEnd w:id="39"/>
      <w:bookmarkStart w:id="41" w:name="_Toc448097405"/>
    </w:p>
    <w:bookmarkEnd w:id="41"/>
    <w:p>
      <w:pPr>
        <w:spacing w:line="360" w:lineRule="auto"/>
        <w:jc w:val="center"/>
        <w:rPr>
          <w:rFonts w:hint="eastAsia" w:ascii="方正小标宋简体" w:hAnsi="方正小标宋简体" w:eastAsia="方正小标宋简体" w:cs="方正小标宋简体"/>
          <w:sz w:val="36"/>
          <w:szCs w:val="36"/>
        </w:rPr>
      </w:pPr>
      <w:bookmarkStart w:id="42" w:name="_Toc144974736"/>
      <w:bookmarkStart w:id="43" w:name="_Toc375636694"/>
      <w:bookmarkStart w:id="44" w:name="_Toc152042545"/>
      <w:bookmarkStart w:id="45" w:name="_Toc152045766"/>
      <w:r>
        <w:rPr>
          <w:rFonts w:hint="eastAsia" w:ascii="方正小标宋简体" w:hAnsi="方正小标宋简体" w:eastAsia="方正小标宋简体" w:cs="方正小标宋简体"/>
          <w:sz w:val="36"/>
          <w:szCs w:val="36"/>
        </w:rPr>
        <w:t>建筑工程施工合同</w:t>
      </w:r>
    </w:p>
    <w:p>
      <w:pPr>
        <w:spacing w:line="360" w:lineRule="auto"/>
        <w:ind w:firstLine="2160" w:firstLineChars="900"/>
        <w:rPr>
          <w:sz w:val="24"/>
        </w:rPr>
      </w:pPr>
    </w:p>
    <w:p>
      <w:pPr>
        <w:spacing w:line="360" w:lineRule="auto"/>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rPr>
        <w:t>发包方（甲方）：</w:t>
      </w:r>
      <w:r>
        <w:rPr>
          <w:rFonts w:hint="eastAsia" w:ascii="黑体" w:hAnsi="黑体" w:eastAsia="黑体" w:cs="黑体"/>
          <w:sz w:val="30"/>
          <w:szCs w:val="30"/>
          <w:lang w:val="en-US" w:eastAsia="zh-CN"/>
        </w:rPr>
        <w:t>杭州萧山国际机场航空物流有限公司</w:t>
      </w: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住所地：杭州萧山国际机场内</w:t>
      </w:r>
    </w:p>
    <w:p>
      <w:pPr>
        <w:spacing w:line="360" w:lineRule="auto"/>
        <w:ind w:firstLine="600" w:firstLineChars="200"/>
        <w:rPr>
          <w:rFonts w:hint="eastAsia" w:ascii="黑体" w:hAnsi="黑体" w:eastAsia="黑体" w:cs="黑体"/>
          <w:sz w:val="30"/>
          <w:szCs w:val="30"/>
        </w:rPr>
      </w:pP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承包方（乙方）：</w:t>
      </w: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住所地：</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按照《中华人民共和国</w:t>
      </w:r>
      <w:r>
        <w:rPr>
          <w:rFonts w:hint="eastAsia" w:ascii="仿宋_GB2312" w:hAnsi="仿宋_GB2312" w:eastAsia="仿宋_GB2312" w:cs="仿宋_GB2312"/>
          <w:sz w:val="28"/>
          <w:szCs w:val="28"/>
          <w:lang w:val="en-US" w:eastAsia="zh-CN"/>
        </w:rPr>
        <w:t>民</w:t>
      </w:r>
      <w:r>
        <w:rPr>
          <w:rFonts w:hint="eastAsia" w:ascii="仿宋_GB2312" w:hAnsi="仿宋_GB2312" w:eastAsia="仿宋_GB2312" w:cs="仿宋_GB2312"/>
          <w:sz w:val="28"/>
          <w:szCs w:val="28"/>
        </w:rPr>
        <w:t>法</w:t>
      </w:r>
      <w:r>
        <w:rPr>
          <w:rFonts w:hint="eastAsia" w:ascii="仿宋_GB2312" w:hAnsi="仿宋_GB2312" w:eastAsia="仿宋_GB2312" w:cs="仿宋_GB2312"/>
          <w:sz w:val="28"/>
          <w:szCs w:val="28"/>
          <w:lang w:val="en-US" w:eastAsia="zh-CN"/>
        </w:rPr>
        <w:t>典</w:t>
      </w:r>
      <w:r>
        <w:rPr>
          <w:rFonts w:hint="eastAsia" w:ascii="仿宋_GB2312" w:hAnsi="仿宋_GB2312" w:eastAsia="仿宋_GB2312" w:cs="仿宋_GB2312"/>
          <w:sz w:val="28"/>
          <w:szCs w:val="28"/>
        </w:rPr>
        <w:t>》和《中华人民共和国建筑法》的规定，结合本工程具体情况，双方达成如下协议。</w:t>
      </w:r>
    </w:p>
    <w:p>
      <w:pPr>
        <w:numPr>
          <w:ilvl w:val="0"/>
          <w:numId w:val="6"/>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工程概况</w:t>
      </w:r>
    </w:p>
    <w:p>
      <w:pPr>
        <w:spacing w:line="360" w:lineRule="auto"/>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1.1工程名称：</w:t>
      </w:r>
      <w:r>
        <w:rPr>
          <w:rFonts w:hint="eastAsia" w:ascii="仿宋_GB2312" w:hAnsi="仿宋_GB2312" w:eastAsia="仿宋_GB2312" w:cs="仿宋_GB2312"/>
          <w:b/>
          <w:bCs/>
          <w:color w:val="000000"/>
          <w:sz w:val="28"/>
          <w:szCs w:val="28"/>
          <w:lang w:val="en-US" w:eastAsia="zh-CN"/>
        </w:rPr>
        <w:t>充电场所整改项目</w:t>
      </w: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1.2工程地点：</w:t>
      </w:r>
      <w:r>
        <w:rPr>
          <w:rFonts w:hint="eastAsia" w:ascii="仿宋_GB2312" w:hAnsi="仿宋_GB2312" w:eastAsia="仿宋_GB2312" w:cs="仿宋_GB2312"/>
          <w:sz w:val="28"/>
          <w:szCs w:val="28"/>
          <w:lang w:val="en-US" w:eastAsia="zh-CN"/>
        </w:rPr>
        <w:t>杭州萧山国际机场内</w:t>
      </w: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1.3承包范围：</w:t>
      </w:r>
      <w:r>
        <w:rPr>
          <w:rFonts w:hint="eastAsia" w:ascii="仿宋_GB2312" w:hAnsi="仿宋_GB2312" w:eastAsia="仿宋_GB2312" w:cs="仿宋_GB2312"/>
          <w:b/>
          <w:bCs/>
          <w:color w:val="000000"/>
          <w:sz w:val="28"/>
          <w:szCs w:val="28"/>
          <w:lang w:val="en-US" w:eastAsia="zh-CN"/>
        </w:rPr>
        <w:t>充电场所整改</w:t>
      </w:r>
    </w:p>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1.4承包方式：</w:t>
      </w:r>
      <w:r>
        <w:rPr>
          <w:rFonts w:hint="eastAsia" w:ascii="仿宋_GB2312" w:hAnsi="仿宋_GB2312" w:eastAsia="仿宋_GB2312" w:cs="仿宋_GB2312"/>
          <w:sz w:val="28"/>
          <w:szCs w:val="28"/>
          <w:lang w:val="en-US" w:eastAsia="zh-CN"/>
        </w:rPr>
        <w:t>建设全过程承包</w:t>
      </w:r>
    </w:p>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1.5工期：本工程</w:t>
      </w:r>
      <w:r>
        <w:rPr>
          <w:rFonts w:hint="eastAsia" w:ascii="仿宋_GB2312" w:hAnsi="仿宋_GB2312" w:eastAsia="仿宋_GB2312" w:cs="仿宋_GB2312"/>
          <w:sz w:val="28"/>
          <w:szCs w:val="28"/>
          <w:lang w:val="en-US" w:eastAsia="zh-CN"/>
        </w:rPr>
        <w:t>自2021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XX</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XX</w:t>
      </w:r>
      <w:r>
        <w:rPr>
          <w:rFonts w:hint="eastAsia" w:ascii="仿宋_GB2312" w:hAnsi="仿宋_GB2312" w:eastAsia="仿宋_GB2312" w:cs="仿宋_GB2312"/>
          <w:sz w:val="28"/>
          <w:szCs w:val="28"/>
        </w:rPr>
        <w:t>日开工，于</w:t>
      </w:r>
      <w:r>
        <w:rPr>
          <w:rFonts w:hint="eastAsia" w:ascii="仿宋_GB2312" w:hAnsi="仿宋_GB2312" w:eastAsia="仿宋_GB2312" w:cs="仿宋_GB2312"/>
          <w:sz w:val="28"/>
          <w:szCs w:val="28"/>
          <w:lang w:val="en-US" w:eastAsia="zh-CN"/>
        </w:rPr>
        <w:t>2021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XX</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XX</w:t>
      </w:r>
      <w:r>
        <w:rPr>
          <w:rFonts w:hint="eastAsia" w:ascii="仿宋_GB2312" w:hAnsi="仿宋_GB2312" w:eastAsia="仿宋_GB2312" w:cs="仿宋_GB2312"/>
          <w:sz w:val="28"/>
          <w:szCs w:val="28"/>
        </w:rPr>
        <w:t>日竣工。工期总共</w:t>
      </w:r>
      <w:r>
        <w:rPr>
          <w:rFonts w:hint="eastAsia" w:ascii="仿宋_GB2312" w:hAnsi="仿宋_GB2312" w:eastAsia="仿宋_GB2312" w:cs="仿宋_GB2312"/>
          <w:sz w:val="28"/>
          <w:szCs w:val="28"/>
          <w:lang w:val="en-US" w:eastAsia="zh-CN"/>
        </w:rPr>
        <w:t>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45</w:t>
      </w:r>
      <w:r>
        <w:rPr>
          <w:rFonts w:hint="eastAsia" w:ascii="仿宋_GB2312" w:hAnsi="仿宋_GB2312" w:eastAsia="仿宋_GB2312" w:cs="仿宋_GB2312"/>
          <w:sz w:val="28"/>
          <w:szCs w:val="28"/>
        </w:rPr>
        <w:t>】个公历日。开工日期具体以甲方开工令为准。</w:t>
      </w:r>
    </w:p>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1.6工程质量：</w:t>
      </w:r>
    </w:p>
    <w:p>
      <w:pPr>
        <w:spacing w:line="360" w:lineRule="auto"/>
        <w:ind w:firstLine="48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1.7合同价款（人民币大写）：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，（小写）¥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元人民币 ，增值税税率为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%，不含增值税总金额为（大写人民币）：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，（小写）¥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元人民币，增值税税额为</w:t>
      </w:r>
      <w:r>
        <w:rPr>
          <w:rFonts w:hint="default" w:ascii="Arial" w:hAnsi="Arial" w:eastAsia="仿宋_GB2312" w:cs="Arial"/>
          <w:sz w:val="28"/>
          <w:szCs w:val="28"/>
          <w:lang w:val="en-US" w:eastAsia="zh-CN"/>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元。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在合同有效期限内，若因国家税收政策调整而引起的增值税税率变化的，应按照国家税收政策调整，合同总金额变更为原合同不含增值税货物或劳务价格与调整后税率计算税额的合计金额。</w:t>
      </w:r>
    </w:p>
    <w:p>
      <w:pPr>
        <w:numPr>
          <w:ilvl w:val="0"/>
          <w:numId w:val="6"/>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甲方工作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2.1开</w:t>
      </w:r>
      <w:r>
        <w:rPr>
          <w:rFonts w:hint="eastAsia" w:ascii="仿宋_GB2312" w:hAnsi="仿宋_GB2312" w:eastAsia="仿宋_GB2312" w:cs="仿宋_GB2312"/>
          <w:sz w:val="28"/>
          <w:szCs w:val="28"/>
          <w:lang w:val="en-US" w:eastAsia="zh-CN"/>
        </w:rPr>
        <w:t>工</w:t>
      </w:r>
      <w:r>
        <w:rPr>
          <w:rFonts w:hint="eastAsia" w:ascii="仿宋_GB2312" w:hAnsi="仿宋_GB2312" w:eastAsia="仿宋_GB2312" w:cs="仿宋_GB2312"/>
          <w:sz w:val="28"/>
          <w:szCs w:val="28"/>
        </w:rPr>
        <w:t>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7</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天，向乙方提供经确认的施工图纸或做法说明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2</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2.2指派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为甲方驻工地代表，负责合同履行。对工程质量、进度进行监督检查，办理验收、变更、登记手续和其他事宜。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2.3委托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监理公司进行工程监理，监理公司任命</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为总监理工程师，其职责在监理合同中应明确，并将合同副本交乙方   </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 xml:space="preserve"> 份。</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2.4在施工开始前负责保护好周围建筑物及装修、设备管线、古树名木、绿地等不受损坏，并承担相应费用。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2.5如确实需要拆改原建筑物结构或设备管线，负责到有关部门办理相应审批手续。</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2.6协调有关部门做好现场保卫、消防、垃圾处理等工作。</w:t>
      </w:r>
    </w:p>
    <w:p>
      <w:pPr>
        <w:numPr>
          <w:ilvl w:val="0"/>
          <w:numId w:val="6"/>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乙方工作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3.1参加甲方组织的施工图纸或作法说明的现场交底，拟定施工方案和进度计划，交甲方审定。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3.2指派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为乙方驻工地代表，负责合同履行。按要求组织施工，保质、保量、按期完成施工任务，解决由乙方负责的各项事宜。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3.3严格执行施工规范、安全操作规程、防火安全规定、环境保护规定。严格按照图纸或作法说明进行施工，做好各项质量检查记录。参加竣工验收，编制工程结算。</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3.5施工中未经甲方同意或有关部门批准，不得随意拆改或损坏原建筑物结构及各种设备管线。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3.6工程竣工未移交甲方之前，负责对现场的一切设施和工程成品进行保护，并承担风险和费用。</w:t>
      </w:r>
    </w:p>
    <w:p>
      <w:pPr>
        <w:numPr>
          <w:ilvl w:val="0"/>
          <w:numId w:val="6"/>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关于工期的约定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4.1甲方要求比合同约定的工期提前竣工时，应征得乙方同意，并支付乙方因赶工采取的措施费用。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4.2因甲方未按约定完成工作，影响工期，则工期相应顺延。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4.3乙方非因甲方原因不能按期开工或中途无故停工影响工期，或乙方非因甲方原因延误工期的，则工期不顺延，且乙方须向甲方承担工期延误的违约责任。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4.4因涉及甲方要求的设计或工程量变更或非乙方原因造成的停电、停水、停气及不可抗力因素影响，导致停工【</w:t>
      </w:r>
      <w:r>
        <w:rPr>
          <w:rFonts w:hint="eastAsia" w:ascii="仿宋_GB2312" w:hAnsi="仿宋_GB2312" w:eastAsia="仿宋_GB2312" w:cs="仿宋_GB2312"/>
          <w:sz w:val="28"/>
          <w:szCs w:val="28"/>
          <w:lang w:val="en-US" w:eastAsia="zh-CN"/>
        </w:rPr>
        <w:t>48</w:t>
      </w:r>
      <w:r>
        <w:rPr>
          <w:rFonts w:hint="eastAsia" w:ascii="仿宋_GB2312" w:hAnsi="仿宋_GB2312" w:eastAsia="仿宋_GB2312" w:cs="仿宋_GB2312"/>
          <w:sz w:val="28"/>
          <w:szCs w:val="28"/>
        </w:rPr>
        <w:t>】小时以上（一周内累计计算），工期相应顺延。</w:t>
      </w:r>
    </w:p>
    <w:p>
      <w:pPr>
        <w:numPr>
          <w:ilvl w:val="0"/>
          <w:numId w:val="6"/>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关于工程质量及验收的约定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5.1本工程以施工图纸、作法说明、设计变更等国家制定的施工及验收规范为质量评定验收标准。</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5.2本工程质量应达到国家质量评定合格标准。甲方要求部分或全部工程项目达到优良标准时，应向乙方支付由此增加的费用。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5.3甲、乙双方应在发现隐蔽工程时【</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5.4由于甲方提供的材料、设备质量不合格而影响工程质量，其返工费用由甲方承担，工期顺延。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5.5由于乙方原因造成质量事故，其返工费用由乙方承担，工期不顺延。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4481195</wp:posOffset>
                </wp:positionH>
                <wp:positionV relativeFrom="paragraph">
                  <wp:posOffset>147320</wp:posOffset>
                </wp:positionV>
                <wp:extent cx="295910" cy="0"/>
                <wp:effectExtent l="0" t="0" r="0" b="0"/>
                <wp:wrapNone/>
                <wp:docPr id="23" name="直接连接符 23"/>
                <wp:cNvGraphicFramePr/>
                <a:graphic xmlns:a="http://schemas.openxmlformats.org/drawingml/2006/main">
                  <a:graphicData uri="http://schemas.microsoft.com/office/word/2010/wordprocessingShape">
                    <wps:wsp>
                      <wps:cNvCnPr/>
                      <wps:spPr>
                        <a:xfrm>
                          <a:off x="5500370" y="2623820"/>
                          <a:ext cx="295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52.85pt;margin-top:11.6pt;height:0pt;width:23.3pt;z-index:251661312;mso-width-relative:page;mso-height-relative:page;" filled="f" stroked="t" coordsize="21600,21600" o:gfxdata="UEsDBAoAAAAAAIdO4kAAAAAAAAAAAAAAAAAEAAAAZHJzL1BLAwQUAAAACACHTuJAYRVIqNYAAAAJ&#10;AQAADwAAAGRycy9kb3ducmV2LnhtbE2PsU7DMBCGdyTewTokNmo3VXEV4nRAYkBCAgIDoxtfk4B9&#10;DrabhLfHiAHGu/v13fdX+8VZNmGIgycF65UAhtR6M1Cn4PXl7moHLCZNRltPqOALI+zr87NKl8bP&#10;9IxTkzqWIRRLraBPaSw5j22PTseVH5Hy7eiD0ymPoeMm6DnDneWFENfc6YHyh16PeNtj+9GcXKaQ&#10;/DwuNrw9PT70u2Z+x/tJolKXF2txAyzhkv7C8KOf1aHOTgd/IhOZVSDFVuaogmJTAMsBuS02wA6/&#10;C15X/H+D+htQSwMEFAAAAAgAh07iQGYnAyXnAQAAkgMAAA4AAABkcnMvZTJvRG9jLnhtbK1TzY7T&#10;MBC+I/EOlu80aaqWbtR0D1stFwSVWB5g1nEaS/6TxzTtS/ACSNzgxJE7b8PuYzB2w9JdbogcJuPM&#10;zDczn7+sLg9Gs70MqJxt+HRSciatcK2yu4a/v7l+seQMI9gWtLOy4UeJ/HL9/Nlq8LWsXO90KwMj&#10;EIv14Bvex+jrokDRSwM4cV5aCnYuGIh0DLuiDTAQutFFVZaLYnCh9cEJiUhfN6cgX2f8rpMivu06&#10;lJHphtNsMduQ7W2yxXoF9S6A75UYx4B/mMKAstT0AWoDEdiHoP6CMkoEh66LE+FM4bpOCZl3oG2m&#10;5ZNt3vXgZd6FyEH/QBP+P1jxZr8NTLUNr2acWTB0R3efvv/8+OX+x2eyd9++MooQTYPHmrKv7DaM&#10;J/TbkHY+dMGkN23DDg2fz8ty9pLIPhLoopotq5FmeYhMUEJ1Mb+YUlxQQg4VfzB8wPhKOsOS03Ct&#10;bCIAati/xkh9KfV3Svps3bXSOl+itmxo+GI2T8hAUuo0RHKNp+XQ7jgDvSONihgyIjqt2lSdcPCI&#10;VzqwPZBMSF2tG25oWs40YKQAzZmfxANN8Kg0jbMB7E/FOXRSlVGRpK2VafjyvFrb1FFmcY5LJW5P&#10;bCbv1rXHTHKRTnTxueko0qSs8zP557/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FUio1gAA&#10;AAkBAAAPAAAAAAAAAAEAIAAAACIAAABkcnMvZG93bnJldi54bWxQSwECFAAUAAAACACHTuJAZicD&#10;JecBAACS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hAnsi="仿宋_GB2312" w:eastAsia="仿宋_GB2312" w:cs="仿宋_GB2312"/>
          <w:sz w:val="28"/>
          <w:szCs w:val="28"/>
        </w:rPr>
        <w:t xml:space="preserve">5.6工程竣工后，乙方应通知甲方验收，甲方自接到验收通知  </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 xml:space="preserve">  日内组织验收，并办理验收、移交手续。如甲方在规定时间内未能组织验收，需及时通知乙方，另定验收日期。</w:t>
      </w:r>
    </w:p>
    <w:p>
      <w:pPr>
        <w:numPr>
          <w:ilvl w:val="0"/>
          <w:numId w:val="6"/>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关于工程价款及结算的约定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6.1双方商定本合同价款采用第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种：</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（1）固定总价。</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（2）固定单价。可调价格：</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规则结算。</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6.2工程竣工验收后，乙方提出工程结算申请并将有关资料送交甲方。款项支付：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竣工验收合格后10日内一次性全额支付。</w:t>
      </w:r>
      <w:r>
        <w:rPr>
          <w:rFonts w:hint="eastAsia" w:ascii="仿宋_GB2312" w:hAnsi="仿宋_GB2312" w:eastAsia="仿宋_GB2312" w:cs="仿宋_GB2312"/>
          <w:sz w:val="28"/>
          <w:szCs w:val="28"/>
          <w:u w:val="single"/>
        </w:rPr>
        <w:t xml:space="preserve">   </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第七条关于材料供应的约定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由乙方负责保管，甲方不用支付保管费。由于乙方保管不当造成损失，由乙方负责赔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7.2凡由乙方采购的材料、设备，如不符合质量要求或规格有差异，应禁止使用。若已使用，对工程造成的损失由乙方负责。</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第八条</w:t>
      </w:r>
      <w:r>
        <w:rPr>
          <w:rFonts w:hint="eastAsia" w:ascii="仿宋_GB2312" w:hAnsi="仿宋_GB2312" w:eastAsia="仿宋_GB2312" w:cs="仿宋_GB2312"/>
          <w:sz w:val="28"/>
          <w:szCs w:val="28"/>
        </w:rPr>
        <w:t xml:space="preserve"> 有关安全生产和防火的约定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8.1甲方提供的施工图纸或作法说明，应符合《中华人民共和国消防法》和有关防火设计规范。</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8.3由于甲方确认的图纸或作法说明，违反有关安全操作规范，消防条例和防火设计规范，导致发生安全或火灾事故，甲方应承担由此产生的一切经济损失。</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8.4由于乙方在施工生产过程中违反有关安全操作规程、消防条例，导致发生安全或火灾事故，乙方应承担由此引发的一切经济损失。</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第九条 </w:t>
      </w:r>
      <w:r>
        <w:rPr>
          <w:rFonts w:hint="eastAsia" w:ascii="仿宋_GB2312" w:hAnsi="仿宋_GB2312" w:eastAsia="仿宋_GB2312" w:cs="仿宋_GB2312"/>
          <w:sz w:val="28"/>
          <w:szCs w:val="28"/>
        </w:rPr>
        <w:t>违约责任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9.1由于甲方原因导致延期开工或中途停工的，甲方应补偿乙方因停工、窝工所造成的损失。每停工或窝工一天，甲方支付乙方</w:t>
      </w:r>
      <w:r>
        <w:rPr>
          <w:rFonts w:hint="eastAsia" w:ascii="仿宋_GB2312" w:hAnsi="仿宋_GB2312" w:eastAsia="仿宋_GB2312" w:cs="仿宋_GB2312"/>
          <w:sz w:val="28"/>
          <w:szCs w:val="28"/>
          <w:lang w:val="en-US" w:eastAsia="zh-CN"/>
        </w:rPr>
        <w:t>合同总价的0.05%</w:t>
      </w:r>
      <w:r>
        <w:rPr>
          <w:rFonts w:hint="eastAsia" w:ascii="仿宋_GB2312" w:hAnsi="仿宋_GB2312" w:eastAsia="仿宋_GB2312" w:cs="仿宋_GB2312"/>
          <w:sz w:val="28"/>
          <w:szCs w:val="28"/>
        </w:rPr>
        <w:t xml:space="preserve">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9.2由于乙方原因，逾期竣工，每逾期一天，乙方支付甲方</w:t>
      </w:r>
      <w:r>
        <w:rPr>
          <w:rFonts w:hint="eastAsia" w:ascii="仿宋_GB2312" w:hAnsi="仿宋_GB2312" w:eastAsia="仿宋_GB2312" w:cs="仿宋_GB2312"/>
          <w:sz w:val="28"/>
          <w:szCs w:val="28"/>
          <w:lang w:val="en-US" w:eastAsia="zh-CN"/>
        </w:rPr>
        <w:t>合同总价的0.05%</w:t>
      </w:r>
      <w:r>
        <w:rPr>
          <w:rFonts w:hint="eastAsia" w:ascii="仿宋_GB2312" w:hAnsi="仿宋_GB2312" w:eastAsia="仿宋_GB2312" w:cs="仿宋_GB2312"/>
          <w:sz w:val="28"/>
          <w:szCs w:val="28"/>
        </w:rPr>
        <w:t xml:space="preserve">  元违约金；如延误工期达到【</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】日的，甲方有权解除本合同，并要求乙方支付违约金【</w:t>
      </w:r>
      <w:r>
        <w:rPr>
          <w:rFonts w:hint="eastAsia" w:ascii="仿宋_GB2312" w:hAnsi="仿宋_GB2312" w:eastAsia="仿宋_GB2312" w:cs="仿宋_GB2312"/>
          <w:sz w:val="28"/>
          <w:szCs w:val="28"/>
          <w:lang w:val="en-US" w:eastAsia="zh-CN"/>
        </w:rPr>
        <w:t>30000</w:t>
      </w:r>
      <w:r>
        <w:rPr>
          <w:rFonts w:hint="eastAsia" w:ascii="仿宋_GB2312" w:hAnsi="仿宋_GB2312" w:eastAsia="仿宋_GB2312" w:cs="仿宋_GB2312"/>
          <w:sz w:val="28"/>
          <w:szCs w:val="28"/>
        </w:rPr>
        <w:t>】元；本条规定的违约金不足以弥补甲方损失的，乙方应当另行向甲方承担赔偿责任。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9.3乙方应妥善保护甲方提供的设备及现场堆放的家具、陈设和工程成品，如造成损失，应照价赔偿。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未经甲方同意，乙方擅自拆改原建筑物结构或设备管线，由此发生的损失或事故（包括罚款），由乙方负责并承担损失。</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除本合同另有约定外，任何一方违约应当就因此给对方造成的损失承担赔偿责任。</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第十条</w:t>
      </w:r>
      <w:r>
        <w:rPr>
          <w:rFonts w:hint="eastAsia" w:ascii="仿宋_GB2312" w:hAnsi="仿宋_GB2312" w:eastAsia="仿宋_GB2312" w:cs="仿宋_GB2312"/>
          <w:sz w:val="28"/>
          <w:szCs w:val="28"/>
        </w:rPr>
        <w:t xml:space="preserve"> 争议或纠纷处理</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10.1本合同在履行期间，双方发生争议时，在不影响工作进度的前提下，双方可采取协商解决或请有关部门进行调解。</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10.2当事人不愿通过协商、调解解决或者协商、调解不成时，本合同在执行中发生的争议双方同意由甲方所在地人民法院诉讼管辖解决。</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条  履约保证金</w:t>
      </w:r>
    </w:p>
    <w:p>
      <w:pPr>
        <w:spacing w:line="360" w:lineRule="auto"/>
        <w:ind w:firstLine="840" w:firstLineChars="3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无</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第十二条</w:t>
      </w:r>
      <w:r>
        <w:rPr>
          <w:rFonts w:hint="eastAsia" w:ascii="仿宋_GB2312" w:hAnsi="仿宋_GB2312" w:eastAsia="仿宋_GB2312" w:cs="仿宋_GB2312"/>
          <w:sz w:val="28"/>
          <w:szCs w:val="28"/>
        </w:rPr>
        <w:t xml:space="preserve"> 附则</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12.1本工程保修事宜由双方签订保修协议。</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12.2本合同肆份，甲方执</w:t>
      </w:r>
      <w:r>
        <w:rPr>
          <w:rFonts w:hint="eastAsia" w:ascii="仿宋_GB2312" w:hAnsi="仿宋_GB2312" w:eastAsia="仿宋_GB2312" w:cs="仿宋_GB2312"/>
          <w:sz w:val="28"/>
          <w:szCs w:val="28"/>
          <w:u w:val="single"/>
        </w:rPr>
        <w:t>叁</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rPr>
        <w:t>壹</w:t>
      </w:r>
      <w:r>
        <w:rPr>
          <w:rFonts w:hint="eastAsia" w:ascii="仿宋_GB2312" w:hAnsi="仿宋_GB2312" w:eastAsia="仿宋_GB2312" w:cs="仿宋_GB2312"/>
          <w:sz w:val="28"/>
          <w:szCs w:val="28"/>
        </w:rPr>
        <w:t>份，具有同等法律效力。</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12.3本合同履行完成后自动终止。</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12.4本合同包含以下附件，附件与本合同具有同等法律效力。</w:t>
      </w:r>
    </w:p>
    <w:p>
      <w:pPr>
        <w:pStyle w:val="110"/>
        <w:spacing w:line="360" w:lineRule="exact"/>
        <w:ind w:firstLine="480"/>
        <w:rPr>
          <w:rFonts w:hint="eastAsia" w:ascii="仿宋_GB2312" w:hAnsi="仿宋_GB2312" w:eastAsia="仿宋_GB2312" w:cs="仿宋_GB2312"/>
          <w:b/>
          <w:color w:val="auto"/>
          <w:sz w:val="28"/>
          <w:szCs w:val="28"/>
          <w:u w:val="single"/>
        </w:rPr>
      </w:pPr>
      <w:r>
        <w:rPr>
          <w:rFonts w:hint="eastAsia" w:ascii="仿宋_GB2312" w:hAnsi="仿宋_GB2312" w:eastAsia="仿宋_GB2312" w:cs="仿宋_GB2312"/>
          <w:sz w:val="28"/>
          <w:szCs w:val="28"/>
        </w:rPr>
        <w:t>（1）</w:t>
      </w:r>
      <w:r>
        <w:rPr>
          <w:rFonts w:hint="eastAsia" w:ascii="仿宋_GB2312" w:eastAsia="仿宋_GB2312"/>
          <w:sz w:val="28"/>
          <w:szCs w:val="28"/>
          <w:u w:val="single"/>
          <w:lang w:val="en-US" w:eastAsia="zh-CN"/>
        </w:rPr>
        <w:t>杭州萧山国际机场航空物流有限公司</w:t>
      </w:r>
      <w:r>
        <w:rPr>
          <w:rFonts w:hint="eastAsia" w:ascii="仿宋_GB2312" w:hAnsi="仿宋_GB2312" w:eastAsia="仿宋_GB2312" w:cs="仿宋_GB2312"/>
          <w:sz w:val="28"/>
          <w:szCs w:val="28"/>
          <w:u w:val="single"/>
        </w:rPr>
        <w:t>廉洁自律承诺书</w:t>
      </w:r>
    </w:p>
    <w:p>
      <w:pPr>
        <w:spacing w:line="360" w:lineRule="auto"/>
        <w:ind w:left="48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u w:val="single"/>
        </w:rPr>
        <w:t>工程质量保修书</w:t>
      </w:r>
    </w:p>
    <w:p>
      <w:pPr>
        <w:numPr>
          <w:ilvl w:val="0"/>
          <w:numId w:val="7"/>
        </w:num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安全文明施工协议书</w:t>
      </w: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甲方（盖章）：                          乙方（盖章）：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rPr>
        <w:t xml:space="preserve">代理人：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代理人：</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单位地址：                             单位地址：</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  话：                               电  话：</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  真:                                 传  真:</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  编：                                邮  编：</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                              开户银行：</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  名：                                户  名：</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  号：                                账  号：</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ascii="方正小标宋简体" w:hAnsi="方正小标宋简体" w:eastAsia="方正小标宋简体" w:cs="方正小标宋简体"/>
          <w:sz w:val="36"/>
          <w:szCs w:val="36"/>
        </w:rPr>
      </w:pPr>
      <w:r>
        <w:rPr>
          <w:rFonts w:hint="eastAsia" w:ascii="仿宋_GB2312" w:hAnsi="仿宋_GB2312" w:eastAsia="仿宋_GB2312" w:cs="仿宋_GB2312"/>
          <w:sz w:val="28"/>
          <w:szCs w:val="28"/>
        </w:rPr>
        <w:t>附件1：</w:t>
      </w:r>
    </w:p>
    <w:p>
      <w:pPr>
        <w:spacing w:line="360" w:lineRule="auto"/>
        <w:jc w:val="center"/>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杭州萧山国际机场航空物流有限公司</w:t>
      </w:r>
    </w:p>
    <w:p>
      <w:pPr>
        <w:spacing w:line="360" w:lineRule="auto"/>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廉洁自律承诺书</w:t>
      </w:r>
    </w:p>
    <w:p>
      <w:pPr>
        <w:spacing w:line="360" w:lineRule="auto"/>
        <w:ind w:firstLine="960" w:firstLineChars="400"/>
        <w:jc w:val="center"/>
        <w:rPr>
          <w:sz w:val="24"/>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eastAsia="仿宋_GB2312"/>
          <w:sz w:val="28"/>
          <w:szCs w:val="28"/>
          <w:lang w:val="en-US" w:eastAsia="zh-CN"/>
        </w:rPr>
        <w:t>杭州萧山国际机场航空物流有限公司</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我单位响应贵公司项目招标要求，参加项目投标。在投标过程中及中标后，我们将严格遵守国家法律法规和贵司招标文件要求，并郑重作出如下承诺和保证：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二、不以任何名义为贵公司有关人员或项目第三方人员报销应由贵公司或个人支付的费用；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三、不向贵公司有关人员或项目第三方人员提供宴请、旅游、和健身娱乐等活动；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四、不为贵公司有关人员或项目第三方人员出国（境）、旅游等提供方便；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五、不为贵公司有关人员或项目第三方人员个人装修住房、婚丧嫁娶、配偶子女工作安排等提供好处或便利条件；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六、严格遵守国家招标投标法、合同法等法律规定，诚实守信，合法经营，坚决杜绝各种违法违纪行为。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七、若发现贵公司有关人员或项目第三方人员有故意设置障碍或推诿刁难我方人员参与正常投标项目建设活动以索要好处等行为，我单位将及时向贵公司纪检监察部门举报，举报电话：0571－8666</w:t>
      </w:r>
      <w:r>
        <w:rPr>
          <w:rFonts w:hint="eastAsia" w:ascii="仿宋_GB2312" w:hAnsi="仿宋_GB2312" w:eastAsia="仿宋_GB2312" w:cs="仿宋_GB2312"/>
          <w:sz w:val="28"/>
          <w:szCs w:val="28"/>
          <w:lang w:val="en-US" w:eastAsia="zh-CN"/>
        </w:rPr>
        <w:t>5081</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八、如违反上述廉洁自律承诺，贵公司有权：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立即取消我单位投标、中标或在建项目的实施资格；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拒绝我单位在一定时期内进入贵公司进行项目建设或其它经营活动；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由此引起的相应损失均由我单位承担。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承诺人单位名称（盖章）：            </w:t>
      </w: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法定代表人 ：                    </w:t>
      </w: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或                            </w:t>
      </w: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委托代理人：                   </w:t>
      </w: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p>
    <w:p>
      <w:pPr>
        <w:spacing w:line="360" w:lineRule="auto"/>
        <w:jc w:val="left"/>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年     月     日</w:t>
      </w: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rPr>
          <w:rFonts w:hint="eastAsia" w:ascii="仿宋_GB2312" w:hAnsi="仿宋_GB2312" w:eastAsia="仿宋_GB2312" w:cs="仿宋_GB2312"/>
          <w:sz w:val="24"/>
        </w:rPr>
      </w:pPr>
    </w:p>
    <w:p>
      <w:pPr>
        <w:spacing w:line="360" w:lineRule="auto"/>
        <w:rPr>
          <w:rFonts w:hint="eastAsia" w:ascii="仿宋_GB2312" w:eastAsia="仿宋_GB2312"/>
          <w:sz w:val="28"/>
          <w:szCs w:val="28"/>
        </w:rPr>
      </w:pPr>
      <w:r>
        <w:rPr>
          <w:rFonts w:hint="eastAsia" w:ascii="仿宋_GB2312" w:eastAsia="仿宋_GB2312"/>
          <w:sz w:val="28"/>
          <w:szCs w:val="28"/>
        </w:rPr>
        <w:t>附件2：</w:t>
      </w:r>
    </w:p>
    <w:p>
      <w:pPr>
        <w:spacing w:line="360" w:lineRule="auto"/>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工程质量保修书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黑体" w:hAnsi="黑体" w:eastAsia="黑体" w:cs="黑体"/>
          <w:sz w:val="30"/>
          <w:szCs w:val="30"/>
        </w:rPr>
      </w:pPr>
      <w:r>
        <w:rPr>
          <w:rFonts w:hint="eastAsia" w:ascii="黑体" w:hAnsi="黑体" w:eastAsia="黑体" w:cs="黑体"/>
          <w:sz w:val="30"/>
          <w:szCs w:val="30"/>
        </w:rPr>
        <w:t>发包人（全称）：</w:t>
      </w:r>
      <w:r>
        <w:rPr>
          <w:rFonts w:hint="eastAsia" w:ascii="黑体" w:hAnsi="黑体" w:eastAsia="黑体" w:cs="黑体"/>
          <w:sz w:val="30"/>
          <w:szCs w:val="30"/>
          <w:lang w:val="en-US" w:eastAsia="zh-CN"/>
        </w:rPr>
        <w:t>杭州萧山国际机场航空物流有限公司</w:t>
      </w:r>
      <w:r>
        <w:rPr>
          <w:rFonts w:hint="eastAsia" w:ascii="黑体" w:hAnsi="黑体" w:eastAsia="黑体" w:cs="黑体"/>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仿宋_GB2312" w:eastAsia="仿宋_GB2312"/>
          <w:sz w:val="28"/>
          <w:szCs w:val="28"/>
        </w:rPr>
      </w:pPr>
      <w:r>
        <w:rPr>
          <w:rFonts w:hint="eastAsia" w:ascii="黑体" w:hAnsi="黑体" w:eastAsia="黑体" w:cs="黑体"/>
          <w:sz w:val="30"/>
          <w:szCs w:val="30"/>
        </w:rPr>
        <w:t>承包人（全称）</w:t>
      </w:r>
      <w:r>
        <w:rPr>
          <w:rFonts w:hint="eastAsia" w:ascii="黑体" w:hAnsi="黑体" w:eastAsia="黑体" w:cs="黑体"/>
          <w:sz w:val="30"/>
          <w:szCs w:val="30"/>
          <w:lang w:eastAsia="zh-CN"/>
        </w:rPr>
        <w:t>：</w:t>
      </w:r>
      <w:r>
        <w:rPr>
          <w:rFonts w:hint="eastAsia" w:ascii="黑体" w:hAnsi="黑体" w:eastAsia="黑体" w:cs="黑体"/>
          <w:sz w:val="30"/>
          <w:szCs w:val="30"/>
        </w:rPr>
        <w:t xml:space="preserve"> </w:t>
      </w:r>
      <w:r>
        <w:rPr>
          <w:rFonts w:hint="eastAsia" w:ascii="仿宋_GB2312"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发包人和承包人根据《中华人民共和国建筑法》和《建设工程质量管理条例》，经协商一致就</w:t>
      </w:r>
      <w:r>
        <w:rPr>
          <w:rFonts w:hint="eastAsia" w:ascii="仿宋_GB2312" w:eastAsia="仿宋_GB2312"/>
          <w:sz w:val="28"/>
          <w:szCs w:val="28"/>
          <w:lang w:val="en-US" w:eastAsia="zh-CN"/>
        </w:rPr>
        <w:t>充电场所整改项目</w:t>
      </w:r>
      <w:r>
        <w:rPr>
          <w:rFonts w:hint="eastAsia" w:ascii="仿宋_GB2312" w:eastAsia="仿宋_GB2312"/>
          <w:sz w:val="28"/>
          <w:szCs w:val="28"/>
        </w:rPr>
        <w:t>签订工程质量保修书。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一、</w:t>
      </w:r>
      <w:r>
        <w:rPr>
          <w:rFonts w:hint="eastAsia" w:ascii="仿宋_GB2312" w:eastAsia="仿宋_GB2312"/>
          <w:sz w:val="28"/>
          <w:szCs w:val="28"/>
        </w:rPr>
        <w:t>工程质量保修范围和内容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承包人在质量保修期内，按照有关法律规定和合同约定，承担工程质量保修责任。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质量保修范围包括地基基础工程、主体结构工程，屋面防水工程、有防水要求的卫生间、房间和外墙面的防渗漏，供热与供冷系统，电气管线、给排水管道、设备安装和装修工程，以及双方约定的其他项目。具体保修的内容</w:t>
      </w:r>
      <w:r>
        <w:rPr>
          <w:rFonts w:hint="eastAsia" w:ascii="仿宋_GB2312" w:eastAsia="仿宋_GB2312"/>
          <w:sz w:val="28"/>
          <w:szCs w:val="28"/>
          <w:lang w:val="en-US" w:eastAsia="zh-CN"/>
        </w:rPr>
        <w:t>为：</w:t>
      </w:r>
      <w:r>
        <w:rPr>
          <w:rFonts w:hint="eastAsia" w:ascii="仿宋_GB2312" w:eastAsia="仿宋_GB2312"/>
          <w:sz w:val="28"/>
          <w:szCs w:val="28"/>
        </w:rPr>
        <w:t>本次工程所涉及的所有内容</w:t>
      </w:r>
      <w:r>
        <w:rPr>
          <w:rFonts w:hint="eastAsia" w:ascii="仿宋_GB2312" w:eastAsia="仿宋_GB2312"/>
          <w:sz w:val="28"/>
          <w:szCs w:val="28"/>
          <w:lang w:eastAsia="zh-CN"/>
        </w:rPr>
        <w:t>。</w:t>
      </w:r>
      <w:r>
        <w:rPr>
          <w:rFonts w:hint="eastAsia" w:ascii="仿宋_GB2312"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二、质量保修期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根据《建设工程质量管理条例》及有关规定，工程的质量保修期如下：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基础设施工程、房屋建筑的地基基础工程和主体结构工程，为设计文件规定的工程合理使用年限；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屋面防水工程、有防水要求的卫生间、房间和外墙面的防渗为    5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 xml:space="preserve">装修工程为     </w:t>
      </w:r>
      <w:r>
        <w:rPr>
          <w:rFonts w:hint="eastAsia" w:ascii="仿宋_GB2312" w:eastAsia="仿宋_GB2312"/>
          <w:sz w:val="28"/>
          <w:szCs w:val="28"/>
          <w:lang w:val="en-US" w:eastAsia="zh-CN"/>
        </w:rPr>
        <w:t>2</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 xml:space="preserve">电气管线、给排水管道、设备安装工程为     </w:t>
      </w:r>
      <w:r>
        <w:rPr>
          <w:rFonts w:hint="eastAsia" w:ascii="仿宋_GB2312" w:eastAsia="仿宋_GB2312"/>
          <w:sz w:val="28"/>
          <w:szCs w:val="28"/>
          <w:lang w:val="en-US" w:eastAsia="zh-CN"/>
        </w:rPr>
        <w:t>2</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 xml:space="preserve">供热与供冷系统为     </w:t>
      </w:r>
      <w:r>
        <w:rPr>
          <w:rFonts w:hint="eastAsia" w:ascii="仿宋_GB2312" w:eastAsia="仿宋_GB2312"/>
          <w:sz w:val="28"/>
          <w:szCs w:val="28"/>
          <w:lang w:val="en-US" w:eastAsia="zh-CN"/>
        </w:rPr>
        <w:t>2</w:t>
      </w:r>
      <w:r>
        <w:rPr>
          <w:rFonts w:hint="eastAsia" w:ascii="仿宋_GB2312" w:eastAsia="仿宋_GB2312"/>
          <w:sz w:val="28"/>
          <w:szCs w:val="28"/>
        </w:rPr>
        <w:t xml:space="preserve">   个采暖期、供冷期；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 xml:space="preserve">住宅小区内的给排水设施、道路等配套工程为    </w:t>
      </w:r>
      <w:r>
        <w:rPr>
          <w:rFonts w:hint="eastAsia" w:ascii="仿宋_GB2312" w:eastAsia="仿宋_GB2312"/>
          <w:sz w:val="28"/>
          <w:szCs w:val="28"/>
          <w:lang w:val="en-US" w:eastAsia="zh-CN"/>
        </w:rPr>
        <w:t>2</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 xml:space="preserve">其他项目保修期限约定如下：    </w:t>
      </w:r>
      <w:r>
        <w:rPr>
          <w:rFonts w:hint="eastAsia" w:ascii="仿宋_GB2312" w:eastAsia="仿宋_GB2312"/>
          <w:sz w:val="28"/>
          <w:szCs w:val="28"/>
          <w:lang w:val="en-US" w:eastAsia="zh-CN"/>
        </w:rPr>
        <w:t>2</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质量保修期自工程竣工验收合格之日起计算。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三、缺陷责任期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工程缺陷责任期为</w:t>
      </w:r>
      <w:r>
        <w:rPr>
          <w:rFonts w:hint="eastAsia" w:ascii="仿宋_GB2312" w:eastAsia="仿宋_GB2312"/>
          <w:sz w:val="28"/>
          <w:szCs w:val="28"/>
          <w:lang w:val="en-US" w:eastAsia="zh-CN"/>
        </w:rPr>
        <w:t>12</w:t>
      </w:r>
      <w:r>
        <w:rPr>
          <w:rFonts w:hint="eastAsia" w:ascii="仿宋_GB2312" w:eastAsia="仿宋_GB2312"/>
          <w:sz w:val="28"/>
          <w:szCs w:val="28"/>
        </w:rPr>
        <w:t>个月，缺陷责任期自工程竣工验收合格之日起计算。单位工程先于全部工程进行验收，单位工程缺陷责任期自单位工程验收合格之日起算。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缺陷责任期届满后，缺陷责任期届满后，经发包人确认核实，承包人不存在违约情形以及质量保修不存在问题后15天内无息返还质保金。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四、质量保修责任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发生紧急事故需抢修的，承包人在接到事故通知后，应当立即到达事故现场进行持续抢修直至修复。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质量保修完成后，由发包人组织验收。验收不合格的，发包人有权自行委托第三方修理，全部费用由承包人承担，由发包人与第三方确认后直接从质保金中扣除。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五、保修费用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保修费用由造成质量缺陷的责任方承担；对责任方的确定产生疑问或争议的，依发包人委托的鉴定机构所出具的独立报告来确定。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 xml:space="preserve">六、双方约定的其他工程质量保修事项：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1、在承包人人员到达之前，发包人可采取适当的应急措施，费用由承包人承担。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a．紧急抢修事故时，为避免损失进一步扩大；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b．直接影响到工程正常运行或危害人身财产及财产安全时；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4、因工程质量问题发生工程维修费用或对第三人赔偿损失的，发包人通知承包人应承担的费用或损失金额，承包人应于收到通知后7日内支付通知书中确定的金额。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6、工程质量保修书由发包人、承包人在工程竣工验收前共同盖章，作为本施工合同附件，其有效期限至质保期届满且发包人书面确认承包人完成全部保修工作止。</w:t>
      </w:r>
    </w:p>
    <w:p>
      <w:pPr>
        <w:spacing w:line="360" w:lineRule="auto"/>
        <w:ind w:firstLine="1120" w:firstLineChars="400"/>
        <w:rPr>
          <w:rFonts w:ascii="仿宋_GB2312" w:eastAsia="仿宋_GB2312"/>
          <w:sz w:val="28"/>
          <w:szCs w:val="28"/>
        </w:rPr>
      </w:pPr>
    </w:p>
    <w:p>
      <w:pPr>
        <w:spacing w:line="360" w:lineRule="auto"/>
        <w:rPr>
          <w:rFonts w:hint="eastAsia" w:ascii="仿宋_GB2312" w:hAnsi="仿宋_GB2312" w:eastAsia="仿宋_GB2312" w:cs="仿宋_GB2312"/>
          <w:b w:val="0"/>
          <w:bCs/>
          <w:sz w:val="28"/>
          <w:szCs w:val="28"/>
          <w:lang w:val="en-US" w:eastAsia="zh-CN"/>
        </w:rPr>
      </w:pPr>
      <w:r>
        <w:rPr>
          <w:rFonts w:hint="eastAsia" w:ascii="黑体" w:hAnsi="黑体" w:eastAsia="黑体" w:cs="黑体"/>
          <w:sz w:val="30"/>
          <w:szCs w:val="30"/>
        </w:rPr>
        <w:t>发包人(公章)：                     承包人(公章)：</w:t>
      </w:r>
      <w:r>
        <w:rPr>
          <w:rFonts w:hint="eastAsia" w:ascii="仿宋_GB2312" w:eastAsia="仿宋_GB2312"/>
          <w:sz w:val="28"/>
          <w:szCs w:val="28"/>
        </w:rPr>
        <w:t xml:space="preserve">          </w:t>
      </w:r>
      <w:bookmarkEnd w:id="42"/>
      <w:bookmarkEnd w:id="43"/>
      <w:bookmarkEnd w:id="44"/>
      <w:bookmarkEnd w:id="45"/>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附件3：</w:t>
      </w:r>
    </w:p>
    <w:p>
      <w:pPr>
        <w:tabs>
          <w:tab w:val="left" w:pos="540"/>
        </w:tabs>
        <w:topLinePunct/>
        <w:ind w:firstLine="723"/>
        <w:jc w:val="both"/>
        <w:rPr>
          <w:rFonts w:hint="eastAsia" w:ascii="方正小标宋简体" w:hAnsi="方正小标宋简体" w:eastAsia="方正小标宋简体" w:cs="方正小标宋简体"/>
          <w:b/>
          <w:sz w:val="36"/>
          <w:szCs w:val="36"/>
        </w:rPr>
      </w:pPr>
      <w:r>
        <w:rPr>
          <w:rFonts w:hint="eastAsia" w:ascii="黑体" w:hAnsi="黑体" w:eastAsia="黑体" w:cs="黑体"/>
          <w:b/>
          <w:sz w:val="30"/>
          <w:szCs w:val="30"/>
          <w:lang w:val="en-US" w:eastAsia="zh-CN"/>
        </w:rPr>
        <w:t xml:space="preserve">            </w:t>
      </w:r>
      <w:r>
        <w:rPr>
          <w:rFonts w:hint="eastAsia" w:ascii="方正小标宋简体" w:hAnsi="方正小标宋简体" w:eastAsia="方正小标宋简体" w:cs="方正小标宋简体"/>
          <w:b/>
          <w:sz w:val="36"/>
          <w:szCs w:val="36"/>
          <w:lang w:val="en-US" w:eastAsia="zh-CN"/>
        </w:rPr>
        <w:t xml:space="preserve"> </w:t>
      </w:r>
      <w:r>
        <w:rPr>
          <w:rFonts w:hint="eastAsia" w:ascii="方正小标宋简体" w:hAnsi="方正小标宋简体" w:eastAsia="方正小标宋简体" w:cs="方正小标宋简体"/>
          <w:b/>
          <w:sz w:val="36"/>
          <w:szCs w:val="36"/>
        </w:rPr>
        <w:t>安全文明施工协议书</w:t>
      </w:r>
    </w:p>
    <w:p>
      <w:pPr>
        <w:keepNext w:val="0"/>
        <w:keepLines w:val="0"/>
        <w:pageBreakBefore w:val="0"/>
        <w:widowControl w:val="0"/>
        <w:kinsoku/>
        <w:wordWrap/>
        <w:overflowPunct/>
        <w:topLinePunct w:val="0"/>
        <w:autoSpaceDE/>
        <w:autoSpaceDN/>
        <w:bidi w:val="0"/>
        <w:spacing w:line="560" w:lineRule="atLeast"/>
        <w:ind w:right="0" w:rightChars="0" w:firstLine="600" w:firstLineChars="200"/>
        <w:jc w:val="both"/>
        <w:textAlignment w:val="auto"/>
        <w:outlineLvl w:val="9"/>
        <w:rPr>
          <w:rFonts w:hint="eastAsia" w:ascii="黑体" w:hAnsi="黑体" w:eastAsia="黑体" w:cs="黑体"/>
          <w:b w:val="0"/>
          <w:bCs/>
          <w:sz w:val="30"/>
          <w:szCs w:val="30"/>
        </w:rPr>
      </w:pPr>
      <w:r>
        <w:rPr>
          <w:rFonts w:hint="eastAsia" w:ascii="黑体" w:hAnsi="黑体" w:eastAsia="黑体" w:cs="黑体"/>
          <w:b w:val="0"/>
          <w:bCs/>
          <w:sz w:val="30"/>
          <w:szCs w:val="30"/>
        </w:rPr>
        <w:t>发包人（甲方）：</w:t>
      </w:r>
      <w:r>
        <w:rPr>
          <w:rFonts w:hint="eastAsia" w:ascii="黑体" w:hAnsi="黑体" w:eastAsia="黑体" w:cs="黑体"/>
          <w:sz w:val="30"/>
          <w:szCs w:val="30"/>
          <w:lang w:val="en-US" w:eastAsia="zh-CN"/>
        </w:rPr>
        <w:t>杭州萧山国际机场航空物流有限公司</w:t>
      </w:r>
    </w:p>
    <w:p>
      <w:pPr>
        <w:keepNext w:val="0"/>
        <w:keepLines w:val="0"/>
        <w:pageBreakBefore w:val="0"/>
        <w:widowControl w:val="0"/>
        <w:kinsoku/>
        <w:wordWrap/>
        <w:overflowPunct/>
        <w:topLinePunct w:val="0"/>
        <w:autoSpaceDE/>
        <w:autoSpaceDN/>
        <w:bidi w:val="0"/>
        <w:spacing w:line="560" w:lineRule="atLeast"/>
        <w:ind w:right="0" w:rightChars="0" w:firstLine="600" w:firstLineChars="200"/>
        <w:jc w:val="both"/>
        <w:textAlignment w:val="auto"/>
        <w:outlineLvl w:val="9"/>
        <w:rPr>
          <w:rFonts w:hint="eastAsia" w:ascii="黑体" w:hAnsi="黑体" w:eastAsia="黑体" w:cs="黑体"/>
          <w:b w:val="0"/>
          <w:bCs/>
          <w:sz w:val="30"/>
          <w:szCs w:val="30"/>
        </w:rPr>
      </w:pPr>
      <w:r>
        <w:rPr>
          <w:rFonts w:hint="eastAsia" w:ascii="黑体" w:hAnsi="黑体" w:eastAsia="黑体" w:cs="黑体"/>
          <w:b w:val="0"/>
          <w:bCs/>
          <w:sz w:val="30"/>
          <w:szCs w:val="30"/>
        </w:rPr>
        <w:t>承包人（乙方）：</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为确保</w:t>
      </w:r>
      <w:r>
        <w:rPr>
          <w:rFonts w:hint="eastAsia" w:ascii="仿宋_GB2312" w:hAnsi="仿宋_GB2312" w:eastAsia="仿宋_GB2312" w:cs="仿宋_GB2312"/>
          <w:b w:val="0"/>
          <w:bCs/>
          <w:sz w:val="28"/>
          <w:szCs w:val="28"/>
          <w:lang w:val="en-US" w:eastAsia="zh-CN"/>
        </w:rPr>
        <w:t>充电场所整改项目</w:t>
      </w:r>
      <w:r>
        <w:rPr>
          <w:rFonts w:hint="eastAsia" w:ascii="仿宋_GB2312" w:hAnsi="仿宋_GB2312" w:eastAsia="仿宋_GB2312" w:cs="仿宋_GB2312"/>
          <w:b w:val="0"/>
          <w:bCs/>
          <w:sz w:val="28"/>
          <w:szCs w:val="28"/>
        </w:rPr>
        <w:t xml:space="preserve">工程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一、甲方对乙方实行安全目标管理，安全目标的具体内容是：</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1、无死亡事故和重大伤害事故(含道路交通事故)。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2、无重大责任事故。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3、无空防安全事故。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4、无七类重大刑事案件(杀人、绑架、强奸、放火、爆炸、劫持、故意伤害致死)及其它严重、恶性案件。</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上述情况的认定按国家和行业的有关规定和标准执行。</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二、甲方的协助责任和权利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5、不得对乙方提出违反国家法律、法规和强制性标准规定的要求。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6、不得要求乙方购买、租赁、使用不符合安全施工要求的安全防护用具、机械设备、施工机具及配件、消防设施和器材等。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8、联系和协调机场公安机关，督促施工单位按有关规定申报暂住登记和申领《暂住证》，并协助乙方联系机场公安局商定有关飞行区安全保卫事宜。</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9、利用施工例会定期分析和掌握施工单位的治安情况，通报当前治安形势，交流工作经验，协助处理相关问题。</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10、乙方拒不按照本协议条款规定组织安全文明施工的，甲方有权责令乙方停工整改直至终止合同。</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11、甲方有权对乙方各项安全工作进行监督、检查。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三、乙方的安全责任和权利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（一）乙方应从事的施工安全管理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16、对安全作业环境建设及安全施工措施制定、实行所需的费用，应当列入建设工程预算，专款专用，不得挪作他用。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19、在施工前，负责项目管理的技术人员应当对有关安全施工的技术要求向作业班组、作业人员做出书面交底，并由双方确认签字。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20、应根据不同的施工阶段和环境及季节、气候的变化，在施工现场采取相应的安全防护措施；施工现场暂时停止施工的，乙方要做好现场防护工作，所需费用由乙方承担（合同有约定的除外）。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21、应当向作业人员提供安全防护用具和安全防护服装，并书面告知危险岗位的操作规程以及违章操作所产生的危害。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22、采购、租赁的安全防护用具、机械设备、施工机具及配件，应当具有生产许可证、产品合格证，并在进入施工现场前进行查验。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23、施工现场的安全防护用具、机械设备、施工机具及配件必须由专人管理，并定期检查、维修和保养，建立相应的资料档案，并按照国家规定及时报废。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24、在采用新技术、新工艺、新设备、新材料时，应当对作业人员进行相应的安全生产教育培训。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25、应当为施工现场从事危险作业的人员办理意外伤害保险，并支付意外伤害保险费。意外伤害保险期自建设工程开工之日起至竣工验收合格止。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26、乙方不得在机场和机场净空保护区范围内施放烟花、爆竹、气球等升空物体；不得随意焚烧垃圾等物品制造烟雾；不得饲养动物；不得随意丢弃飘浮物。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（二）乙方应从事的空防安全管理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29、需进入机场控制区施工的人员和车辆需主动接受机场管理人员的检查，并服从机场相关职能部门的监管，无通行证者一律不得进入。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（三）乙方应从事的不停航施工项目安全管理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34、施工机具须停放在指定安全区域内。机场开放运行期间，必须严格控制施工机械的活动范围，杜绝出现机具、车辆侵入隔离区或超越机场净空限制面等情况。</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（四）乙方的文明施工责任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35、按照《建筑施工安全检查标准》JGJ59—99的标准和浙江省、杭州市有关文明施工检查评分标准做好文明施工，保证施工项目文明施工合格。</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（五）乙方应从事的社会治安综合治理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38、做好内部的治安防范工作，对重要部位和物资，要落实人防、物防和技防的措施，积极配合公安机关组织的治安联防活动。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39、认真排查、调处各类矛盾，及时消除隐患，杜绝各类社会矛盾引发的群体性事件的发生。</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40、制定包括重大安全生产事故、重大道路交通事故、重大消防安全事故、重大刑事案件以及群体性事件等突发性事件在内的应急处置预案，一旦发生，及时报告甲方和上级主管部门并做好处置工作。</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（六）乙方应从事的消防安全管理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41、遵守国家消防法律法规，建立和健全消防管理规章制度，明确消防安全责任人，健全消防安全网络（配备专职或兼职消防员），建立消防应急队伍，并报甲方和机场公安局消防部门备案。</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42、制定用火、用电、使用易燃材料等各项消防安全操作规程，设置消防通道、消防水源、配备必须的消防设备和灭火器材，并在重点场所重点部位设置消防警示标志。</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43、施工中使用明火，使用电、气进行焊接和切割作业，须经机场公安消防管理部门审查批准，未经批准一律不得使用。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44、加强对施工人员进行消防安全教育，使其熟悉本岗位防火措施、遇险报警、初期扑救及自救逃生的知识和技能。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（七）乙方应从事的交通安全管理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45、加强对下属员工、驾驶人员、承运单位的道路交通安全法律法规宣传教育，车辆进出机场和施工场地均应服从交警及其他交通管理人员的指挥和管理。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47、确保各类运输车辆技术状况良好，不得使用无号牌、无行驶证、无保险和带故障、检验不合格的运输车辆，不得使用拖拉机和农用运输车。</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48、所有运输车辆均应办理施工通行证并按指定路线和限定速度行驶，不得违反车辆装载规定：超载、超高、超宽。进入控制区施工车辆应开启黄色警示灯。</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49、占用、挖掘道路，跨越道路架设、铺设管线以及大型机械进出机场须提前与甲方协商，征得甲方和机场公安局交警队同意，并采取防护措施和设置明显警示标志方可实施。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四、违约责任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51、严禁因乙方行为导致发生飞行事故征侯，违者扣合同总款的20%，如发生飞行事故扣合同年度总款50％，并追究法律责任。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五、本协议书附于《施工合同》正副本后，签字盖章后生效。</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五、附则：</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（一）由于乙方行为违反国家法律、法规和杭州萧山国际机场有限公司有关规章制度和责任书规定内容，甲方有权对乙方进行处罚。乙方触犯法律的，依法追究有关责任人的法律责任。</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（二）本责任书解释权归甲方。</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黑体" w:hAnsi="黑体" w:eastAsia="黑体" w:cs="黑体"/>
          <w:b w:val="0"/>
          <w:bCs/>
          <w:color w:val="000000"/>
          <w:sz w:val="28"/>
          <w:szCs w:val="28"/>
        </w:rPr>
      </w:pPr>
      <w:r>
        <w:rPr>
          <w:rFonts w:hint="eastAsia" w:ascii="仿宋_GB2312" w:hAnsi="仿宋_GB2312" w:eastAsia="仿宋_GB2312" w:cs="仿宋_GB2312"/>
          <w:b w:val="0"/>
          <w:bCs/>
          <w:sz w:val="28"/>
          <w:szCs w:val="28"/>
        </w:rPr>
        <w:t>（三）本责任书由甲乙双方共同签字盖章后生效。</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发包人：                                 承包人：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法定代表人：                             法定代表人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lang w:eastAsia="zh-CN"/>
        </w:rPr>
      </w:pPr>
      <w:r>
        <w:rPr>
          <w:rFonts w:hint="eastAsia" w:ascii="黑体" w:hAnsi="黑体" w:eastAsia="黑体" w:cs="黑体"/>
          <w:b w:val="0"/>
          <w:bCs/>
          <w:color w:val="000000"/>
          <w:sz w:val="28"/>
          <w:szCs w:val="28"/>
          <w:lang w:eastAsia="zh-CN"/>
        </w:rPr>
        <w:t>（</w:t>
      </w:r>
      <w:r>
        <w:rPr>
          <w:rFonts w:hint="eastAsia" w:ascii="黑体" w:hAnsi="黑体" w:eastAsia="黑体" w:cs="黑体"/>
          <w:b w:val="0"/>
          <w:bCs/>
          <w:color w:val="000000"/>
          <w:sz w:val="28"/>
          <w:szCs w:val="28"/>
          <w:lang w:val="en-US" w:eastAsia="zh-CN"/>
        </w:rPr>
        <w:t>或</w:t>
      </w:r>
      <w:r>
        <w:rPr>
          <w:rFonts w:hint="eastAsia" w:ascii="黑体" w:hAnsi="黑体" w:eastAsia="黑体" w:cs="黑体"/>
          <w:b w:val="0"/>
          <w:bCs/>
          <w:color w:val="000000"/>
          <w:sz w:val="28"/>
          <w:szCs w:val="28"/>
          <w:lang w:eastAsia="zh-CN"/>
        </w:rPr>
        <w:t>）</w:t>
      </w:r>
      <w:r>
        <w:rPr>
          <w:rFonts w:hint="eastAsia" w:ascii="黑体" w:hAnsi="黑体" w:eastAsia="黑体" w:cs="黑体"/>
          <w:b w:val="0"/>
          <w:bCs/>
          <w:color w:val="000000"/>
          <w:sz w:val="28"/>
          <w:szCs w:val="28"/>
          <w:lang w:val="en-US" w:eastAsia="zh-CN"/>
        </w:rPr>
        <w:t xml:space="preserve">                                   （或）</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sz w:val="28"/>
          <w:szCs w:val="28"/>
        </w:rPr>
      </w:pPr>
      <w:r>
        <w:rPr>
          <w:rFonts w:hint="eastAsia" w:ascii="黑体" w:hAnsi="黑体" w:eastAsia="黑体" w:cs="黑体"/>
          <w:b w:val="0"/>
          <w:bCs/>
          <w:color w:val="000000"/>
          <w:sz w:val="28"/>
          <w:szCs w:val="28"/>
        </w:rPr>
        <w:t>委托代理人：                             委托代理人：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cs="宋体" w:asciiTheme="minorEastAsia" w:hAnsiTheme="minorEastAsia"/>
          <w:bCs/>
          <w:sz w:val="22"/>
        </w:rPr>
      </w:pPr>
      <w:r>
        <w:rPr>
          <w:rFonts w:hint="eastAsia" w:ascii="黑体" w:hAnsi="黑体" w:eastAsia="黑体" w:cs="黑体"/>
          <w:b w:val="0"/>
          <w:bCs/>
          <w:color w:val="000000"/>
          <w:sz w:val="28"/>
          <w:szCs w:val="28"/>
        </w:rPr>
        <w:t xml:space="preserve"> 年   月   日                               年   月   日</w:t>
      </w:r>
    </w:p>
    <w:p>
      <w:pPr>
        <w:widowControl/>
        <w:jc w:val="left"/>
        <w:rPr>
          <w:rFonts w:ascii="Cambria" w:hAnsi="Cambria" w:eastAsia="黑体" w:cs="Times New Roman"/>
          <w:b/>
          <w:bCs/>
          <w:kern w:val="0"/>
          <w:sz w:val="32"/>
          <w:szCs w:val="32"/>
        </w:rPr>
      </w:pPr>
      <w:r>
        <w:rPr>
          <w:rFonts w:hint="eastAsia" w:ascii="宋体" w:hAnsi="宋体"/>
          <w:color w:val="auto"/>
        </w:rPr>
        <w:br w:type="page"/>
      </w:r>
    </w:p>
    <w:p>
      <w:pPr>
        <w:pStyle w:val="48"/>
      </w:pPr>
      <w:bookmarkStart w:id="46" w:name="_Toc448097407"/>
      <w:r>
        <w:rPr>
          <w:rFonts w:hint="eastAsia"/>
        </w:rPr>
        <w:t>第</w:t>
      </w:r>
      <w:r>
        <w:rPr>
          <w:rFonts w:hint="eastAsia"/>
          <w:lang w:val="en-US" w:eastAsia="zh-CN"/>
        </w:rPr>
        <w:t>五</w:t>
      </w:r>
      <w:r>
        <w:rPr>
          <w:rFonts w:hint="eastAsia"/>
        </w:rPr>
        <w:t>章  参考工程量清单</w:t>
      </w:r>
      <w:bookmarkEnd w:id="46"/>
      <w:r>
        <w:rPr>
          <w:rFonts w:hint="eastAsia"/>
        </w:rPr>
        <w:t>（详见附件）</w:t>
      </w:r>
    </w:p>
    <w:p>
      <w:pPr>
        <w:widowControl/>
        <w:jc w:val="left"/>
      </w:pPr>
    </w:p>
    <w:tbl>
      <w:tblPr>
        <w:tblStyle w:val="52"/>
        <w:tblW w:w="91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55"/>
        <w:gridCol w:w="3825"/>
        <w:gridCol w:w="120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0" w:hRule="atLeast"/>
        </w:trPr>
        <w:tc>
          <w:tcPr>
            <w:tcW w:w="9120" w:type="dxa"/>
            <w:gridSpan w:val="6"/>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55" w:type="dxa"/>
            <w:tcBorders>
              <w:top w:val="single" w:color="000000" w:sz="18" w:space="0"/>
              <w:left w:val="single" w:color="000000" w:sz="1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825" w:type="dxa"/>
            <w:tcBorders>
              <w:top w:val="single" w:color="000000" w:sz="1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200" w:type="dxa"/>
            <w:tcBorders>
              <w:top w:val="single" w:color="000000" w:sz="1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080" w:type="dxa"/>
            <w:tcBorders>
              <w:top w:val="single" w:color="000000" w:sz="1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080" w:type="dxa"/>
            <w:tcBorders>
              <w:top w:val="single" w:color="000000" w:sz="1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080" w:type="dxa"/>
            <w:tcBorders>
              <w:top w:val="single" w:color="000000" w:sz="18" w:space="0"/>
              <w:left w:val="single" w:color="000000" w:sz="4" w:space="0"/>
              <w:bottom w:val="single" w:color="000000" w:sz="4" w:space="0"/>
              <w:right w:val="single" w:color="000000" w:sz="1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55" w:type="dxa"/>
            <w:tcBorders>
              <w:top w:val="single" w:color="000000" w:sz="4" w:space="0"/>
              <w:left w:val="single" w:color="000000" w:sz="1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地、圈梁浇捣（200*200，内配4φ16，φ8@200，含模板制作、安装、拆除）</w:t>
            </w:r>
          </w:p>
        </w:tc>
        <w:tc>
          <w:tcPr>
            <w:tcW w:w="120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48.00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18"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55" w:type="dxa"/>
            <w:tcBorders>
              <w:top w:val="single" w:color="000000" w:sz="4" w:space="0"/>
              <w:left w:val="single" w:color="000000" w:sz="1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混凝土柱浇捣（200*200，内配4φ16，φ8@200，含模板制作、安装、拆除）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18"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55" w:type="dxa"/>
            <w:tcBorders>
              <w:top w:val="single" w:color="000000" w:sz="4" w:space="0"/>
              <w:left w:val="single" w:color="000000" w:sz="1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200厚加气块砌体</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30.28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18"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55" w:type="dxa"/>
            <w:tcBorders>
              <w:top w:val="single" w:color="000000" w:sz="4" w:space="0"/>
              <w:left w:val="single" w:color="000000" w:sz="1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墙面贴玻璃纤维布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336.00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18"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55" w:type="dxa"/>
            <w:tcBorders>
              <w:top w:val="single" w:color="000000" w:sz="4" w:space="0"/>
              <w:left w:val="single" w:color="000000" w:sz="1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82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墙面专用批灰，一底一面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08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336.00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18"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55" w:type="dxa"/>
            <w:tcBorders>
              <w:top w:val="single" w:color="000000" w:sz="4" w:space="0"/>
              <w:left w:val="single" w:color="000000" w:sz="1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825"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墙面刷乳胶漆</w:t>
            </w:r>
          </w:p>
        </w:tc>
        <w:tc>
          <w:tcPr>
            <w:tcW w:w="1200" w:type="dxa"/>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08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336.00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18"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55" w:type="dxa"/>
            <w:tcBorders>
              <w:top w:val="single" w:color="000000" w:sz="4" w:space="0"/>
              <w:left w:val="single" w:color="000000" w:sz="1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桥架制作（200mm*100mm)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18"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55" w:type="dxa"/>
            <w:tcBorders>
              <w:top w:val="single" w:color="000000" w:sz="4" w:space="0"/>
              <w:left w:val="single" w:color="000000" w:sz="1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电缆铺设4*70+1*35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18"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55" w:type="dxa"/>
            <w:tcBorders>
              <w:top w:val="single" w:color="000000" w:sz="4" w:space="0"/>
              <w:left w:val="single" w:color="000000" w:sz="1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电箱移位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18"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55" w:type="dxa"/>
            <w:tcBorders>
              <w:top w:val="single" w:color="000000" w:sz="4" w:space="0"/>
              <w:left w:val="single" w:color="000000" w:sz="1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18"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55" w:type="dxa"/>
            <w:tcBorders>
              <w:top w:val="single" w:color="000000" w:sz="4" w:space="0"/>
              <w:left w:val="single" w:color="000000" w:sz="1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18"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55" w:type="dxa"/>
            <w:tcBorders>
              <w:top w:val="single" w:color="000000" w:sz="4" w:space="0"/>
              <w:left w:val="single" w:color="000000" w:sz="1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18"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55" w:type="dxa"/>
            <w:tcBorders>
              <w:top w:val="single" w:color="000000" w:sz="4" w:space="0"/>
              <w:left w:val="single" w:color="000000" w:sz="1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税金（9%）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18"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55" w:type="dxa"/>
            <w:tcBorders>
              <w:top w:val="single" w:color="000000" w:sz="4" w:space="0"/>
              <w:left w:val="single" w:color="000000" w:sz="1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工程总价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18"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120" w:type="dxa"/>
            <w:gridSpan w:val="6"/>
            <w:tcBorders>
              <w:top w:val="single" w:color="000000" w:sz="4" w:space="0"/>
              <w:left w:val="single" w:color="000000" w:sz="18" w:space="0"/>
              <w:bottom w:val="single" w:color="000000" w:sz="4" w:space="0"/>
              <w:right w:val="single" w:color="000000" w:sz="18" w:space="0"/>
            </w:tcBorders>
            <w:shd w:val="clear" w:color="auto" w:fill="auto"/>
            <w:vAlign w:val="center"/>
          </w:tcPr>
          <w:p>
            <w:pPr>
              <w:rPr>
                <w:rFonts w:hint="eastAsia" w:ascii="宋体" w:hAnsi="宋体" w:eastAsia="宋体" w:cs="宋体"/>
                <w:i w:val="0"/>
                <w:color w:val="000000"/>
                <w:sz w:val="20"/>
                <w:szCs w:val="20"/>
                <w:u w:val="none"/>
              </w:rPr>
            </w:pPr>
            <w:r>
              <w:rPr>
                <w:rFonts w:hint="eastAsia" w:ascii="宋体" w:hAnsi="宋体" w:eastAsia="宋体" w:cs="宋体"/>
                <w:b/>
                <w:bCs/>
                <w:i w:val="0"/>
                <w:color w:val="000000"/>
                <w:sz w:val="22"/>
                <w:szCs w:val="22"/>
                <w:u w:val="none"/>
                <w:lang w:val="en-US" w:eastAsia="zh-CN"/>
              </w:rPr>
              <w:t>电缆线要求：1、万马或同等品牌；2、需具备产品质量合格证，并提供相关检测报告。</w:t>
            </w:r>
          </w:p>
        </w:tc>
      </w:tr>
    </w:tbl>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pStyle w:val="48"/>
        <w:jc w:val="both"/>
      </w:pPr>
      <w:bookmarkStart w:id="47" w:name="_Toc448097409"/>
      <w:bookmarkStart w:id="48" w:name="_Toc275274581"/>
      <w:r>
        <w:rPr>
          <w:rFonts w:hint="eastAsia"/>
        </w:rPr>
        <w:t xml:space="preserve"> </w:t>
      </w:r>
      <w:r>
        <w:t xml:space="preserve">                 第</w:t>
      </w:r>
      <w:r>
        <w:rPr>
          <w:rFonts w:hint="eastAsia"/>
        </w:rPr>
        <w:t>六</w:t>
      </w:r>
      <w:r>
        <w:t>章  投标文件格式</w:t>
      </w:r>
      <w:bookmarkEnd w:id="47"/>
      <w:bookmarkEnd w:id="48"/>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二、</w:t>
      </w:r>
      <w:r>
        <w:rPr>
          <w:rFonts w:cs="Calibri" w:asciiTheme="minorEastAsia" w:hAnsi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三、</w:t>
      </w:r>
      <w:r>
        <w:rPr>
          <w:rFonts w:cs="Calibri" w:asciiTheme="minorEastAsia" w:hAnsiTheme="minorEastAsia"/>
          <w:color w:val="000000"/>
          <w:sz w:val="22"/>
        </w:rPr>
        <w:t>授权委托书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四、已标价工程量清单</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五、施工组织设计</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六、项目管理机构</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七、资格审查资料</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八、投标人认为</w:t>
      </w:r>
      <w:r>
        <w:rPr>
          <w:rFonts w:cs="Calibri" w:asciiTheme="minorEastAsia" w:hAnsiTheme="minorEastAsia"/>
          <w:color w:val="000000"/>
          <w:sz w:val="22"/>
        </w:rPr>
        <w:t>应该提供的其他材料</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49" w:name="_Toc171421958"/>
      <w:r>
        <w:rPr>
          <w:rFonts w:cs="Calibri"/>
          <w:color w:val="000000"/>
        </w:rPr>
        <w:t>封面</w:t>
      </w:r>
      <w:bookmarkEnd w:id="49"/>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杭州萧山国际机场航空物流有限公司</w:t>
      </w:r>
    </w:p>
    <w:p>
      <w:pPr>
        <w:autoSpaceDE w:val="0"/>
        <w:autoSpaceDN w:val="0"/>
        <w:adjustRightInd w:val="0"/>
        <w:jc w:val="center"/>
        <w:rPr>
          <w:rFonts w:eastAsia="黑体" w:cs="Calibri"/>
          <w:b/>
          <w:sz w:val="44"/>
          <w:szCs w:val="44"/>
        </w:rPr>
      </w:pPr>
      <w:r>
        <w:rPr>
          <w:rFonts w:hint="eastAsia" w:eastAsia="黑体" w:cs="Calibri"/>
          <w:b/>
          <w:sz w:val="44"/>
          <w:szCs w:val="44"/>
          <w:u w:val="single"/>
        </w:rPr>
        <w:t xml:space="preserve">     </w:t>
      </w:r>
      <w:r>
        <w:rPr>
          <w:rFonts w:eastAsia="黑体" w:cs="Calibri"/>
          <w:b/>
          <w:sz w:val="44"/>
          <w:szCs w:val="44"/>
          <w:u w:val="single"/>
        </w:rPr>
        <w:t xml:space="preserve">      </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w:t>
      </w:r>
      <w:r>
        <w:rPr>
          <w:rFonts w:ascii="宋体" w:hAnsi="宋体"/>
          <w:sz w:val="22"/>
        </w:rPr>
        <w:t xml:space="preserve">************* </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36" w:firstLineChars="2235"/>
        <w:rPr>
          <w:rFonts w:cs="Calibri"/>
          <w:b/>
          <w:color w:val="000000"/>
          <w:sz w:val="22"/>
        </w:rPr>
      </w:pPr>
      <w:r>
        <w:rPr>
          <w:rFonts w:cs="Calibri"/>
          <w:b/>
          <w:color w:val="000000"/>
          <w:sz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0" t="0" r="19050" b="1143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AbNIRGJQIAADoEAAAOAAAAZHJzL2Uyb0RvYy54bWytU82O&#10;0zAQviPxDpbvND/b0m3UdLV0VYS0/EgLD+A4TmLheIztNikPwL4BJy7cea4+BxOnW6oFLggfLI9n&#10;/Hnm+2aWV32ryE5YJ0HnNJnElAjNoZS6zumH95tnl5Q4z3TJFGiR071w9Gr19MmyM5lIoQFVCksQ&#10;RLusMzltvDdZFDneiJa5CRih0VmBbZlH09ZRaVmH6K2K0jh+HnVgS2OBC+fw9mZ00lXAryrB/duq&#10;csITlVPMzYfdhr0Y9mi1ZFltmWkkP6bB/iGLlkmNn56gbphnZGvlb1Ct5BYcVH7CoY2gqiQXoQas&#10;JokfVXPXMCNCLUiOMyea3P+D5W927yyRZU5TSjRrUaLD1/vDtx+H719IOtDTGZdh1J3BON+/gB5l&#10;DqU6cwv8oyMa1g3Ttbi2FrpGsBLTS4aX0dnTEccNIEX3Gkr8h209BKC+su3AHbJBEB1l2p+kEb0n&#10;HC9nF/M0idHF0Zcm88VFGsSLWPbw3FjnXwpoyXDIqUXtAzzb3To/pMOyh5DhNwdKlhupVDBsXayV&#10;JTuGfbIJK1TwKExp0uV0MUtnIwN/hYjD+hNEKz02vJJtTi/Pg5Q+EjZwNLLl+6I/ClBAuUfqLIwN&#10;jAOHhwbsZ0o6bN6cuk9bZgUl6pVG+hfJdDp0ezCmszlyRey5pzj3MM0RKqeekvG49uOEbI2VdYM/&#10;jYJruEbJKhnIHLQdszrmjQ0aOD4O0zAB53aI+jXyq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M&#10;zC8j1wAAAAgBAAAPAAAAAAAAAAEAIAAAACIAAABkcnMvZG93bnJldi54bWxQSwECFAAUAAAACACH&#10;TuJAGzSERiUCAAA6BAAADgAAAAAAAAABACAAAAAmAQAAZHJzL2Uyb0RvYy54bWxQSwUGAAAAAAYA&#10;BgBZAQAAv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0" t="0" r="19050" b="11430"/>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DyTRDKAIAADoEAAAOAAAAZHJzL2Uyb0RvYy54bWytU82O&#10;0zAQviPxDpbvNGm3ZbdV09XSVRHS8iMtPIDjOI2F7TG226Q8APsGnLhw57n6HIydbomAE8IHy/bM&#10;fJ75vpnldacV2QvnJZiCjkc5JcJwqKTZFvTD+82zK0p8YKZiCowo6EF4er16+mTZ2oWYQAOqEo4g&#10;iPGL1ha0CcEusszzRmjmR2CFQWMNTrOAV7fNKsdaRNcqm+T586wFV1kHXHiPr7e9ka4Sfl0LHt7W&#10;tReBqIJibiHtLu1l3LPVki22jtlG8lMa7B+y0Ewa/PQMdcsCIzsn/4DSkjvwUIcRB51BXUsuUg1Y&#10;zTj/rZr7hlmRakFyvD3T5P8fLH+zf+eIrFA7SgzTKNHx68Px24/j9y9kHOlprV+g171Fv9C9gC66&#10;xlK9vQP+0RMD64aZrbhxDtpGsArTS5HZILTH8RGkbF9Dhf+wXYAE1NVOR0BkgyA6ynQ4SyO6QDg+&#10;zi4uJ+McTRxtk/Hl/GKSxMvY4jHcOh9eCtAkHgrqUPsEz/Z3PmAh6ProktIHJauNVCpd3LZcK0f2&#10;DPtkk1asHUP80E0Z0hZ0PpvMegaGNj+EyNP6G4SWARteSV3Qq6GTMvhdJCxy1LMVurI7CVBCdUDq&#10;HPQNjAOHhwbcZ0pabN6C+k875gQl6pVB+ufj6TR2e7pMZ5fIFXFDSzm0MMMRqqCBkv64Dv2E7KyT&#10;2wZ/6gU3cIOS1TKRGVPtszrljQ2aCDsNU5yA4T15/Rr5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qT3rB1wAAAAkBAAAPAAAAAAAAAAEAIAAAACIAAABkcnMvZG93bnJldi54bWxQSwECFAAUAAAA&#10;CACHTuJAQ8k0QygCAAA6BAAADgAAAAAAAAABACAAAAAmAQAAZHJzL2Uyb0RvYy54bWxQSwUGAAAA&#10;AAYABgBZAQAAwA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29"/>
        <w:spacing w:after="120" w:afterLines="50" w:line="360" w:lineRule="auto"/>
        <w:ind w:left="1382" w:hanging="422"/>
        <w:jc w:val="left"/>
        <w:rPr>
          <w:rFonts w:hAnsi="宋体" w:cs="宋体"/>
          <w:b/>
        </w:rPr>
      </w:pPr>
      <w:r>
        <w:rPr>
          <w:rFonts w:hAnsi="宋体" w:cs="宋体"/>
          <w:b/>
        </w:rPr>
        <w:br w:type="page"/>
      </w:r>
      <w:bookmarkStart w:id="50" w:name="_Toc133214309"/>
      <w:bookmarkStart w:id="51" w:name="_Toc137373398"/>
      <w:bookmarkStart w:id="52" w:name="_Toc133214102"/>
      <w:bookmarkStart w:id="53" w:name="_Toc144265958"/>
      <w:bookmarkStart w:id="54" w:name="_Toc133470542"/>
    </w:p>
    <w:p>
      <w:pPr>
        <w:pStyle w:val="29"/>
        <w:spacing w:after="120" w:afterLines="50" w:line="360" w:lineRule="auto"/>
        <w:ind w:left="1400" w:hanging="440"/>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29"/>
        <w:spacing w:after="120" w:afterLines="50" w:line="360" w:lineRule="auto"/>
        <w:ind w:left="1380" w:hanging="420"/>
        <w:jc w:val="center"/>
        <w:rPr>
          <w:rFonts w:hAnsi="宋体" w:cs="宋体"/>
        </w:rPr>
      </w:pPr>
    </w:p>
    <w:bookmarkEnd w:id="50"/>
    <w:bookmarkEnd w:id="51"/>
    <w:bookmarkEnd w:id="52"/>
    <w:bookmarkEnd w:id="53"/>
    <w:bookmarkEnd w:id="54"/>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rPr>
      </w:pPr>
      <w:r>
        <w:rPr>
          <w:rFonts w:hint="eastAsia" w:ascii="宋体" w:hAnsi="宋体"/>
          <w:sz w:val="22"/>
        </w:rPr>
        <w:t xml:space="preserve">1. </w:t>
      </w:r>
      <w:r>
        <w:rPr>
          <w:rFonts w:hint="eastAsia" w:ascii="宋体" w:hAnsi="宋体"/>
          <w:sz w:val="22"/>
        </w:rPr>
        <w:tab/>
      </w:r>
      <w:r>
        <w:rPr>
          <w:rFonts w:hint="eastAsia" w:ascii="宋体" w:hAnsi="宋体"/>
          <w:sz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rPr>
      </w:pPr>
      <w:r>
        <w:rPr>
          <w:rFonts w:hint="eastAsia" w:ascii="宋体" w:hAnsi="宋体"/>
          <w:sz w:val="22"/>
        </w:rPr>
        <w:t xml:space="preserve">2. </w:t>
      </w:r>
      <w:r>
        <w:rPr>
          <w:rFonts w:hint="eastAsia" w:ascii="宋体" w:hAnsi="宋体"/>
          <w:sz w:val="22"/>
        </w:rPr>
        <w:tab/>
      </w:r>
      <w:r>
        <w:rPr>
          <w:rFonts w:hint="eastAsia" w:ascii="宋体" w:hAnsi="宋体"/>
          <w:sz w:val="22"/>
        </w:rPr>
        <w:t>施工组织设计除采用文字表述外可附下列图表，图表及格式要求附后。</w:t>
      </w:r>
    </w:p>
    <w:p>
      <w:pPr>
        <w:tabs>
          <w:tab w:val="left" w:pos="720"/>
        </w:tabs>
        <w:spacing w:line="440" w:lineRule="exact"/>
        <w:ind w:firstLine="792" w:firstLineChars="360"/>
        <w:rPr>
          <w:rFonts w:ascii="宋体" w:hAnsi="宋体"/>
          <w:sz w:val="22"/>
        </w:rPr>
      </w:pPr>
      <w:r>
        <w:rPr>
          <w:rFonts w:hint="eastAsia" w:ascii="宋体" w:hAnsi="宋体"/>
          <w:sz w:val="22"/>
        </w:rPr>
        <w:t>附表一  拟投入本标段的主要施工设备表</w:t>
      </w:r>
    </w:p>
    <w:p>
      <w:pPr>
        <w:tabs>
          <w:tab w:val="left" w:pos="720"/>
        </w:tabs>
        <w:spacing w:line="440" w:lineRule="exact"/>
        <w:ind w:firstLine="792" w:firstLineChars="360"/>
        <w:rPr>
          <w:rFonts w:ascii="宋体" w:hAnsi="宋体"/>
          <w:sz w:val="22"/>
        </w:rPr>
      </w:pPr>
      <w:r>
        <w:rPr>
          <w:rFonts w:hint="eastAsia" w:ascii="宋体" w:hAnsi="宋体"/>
          <w:sz w:val="22"/>
        </w:rPr>
        <w:t>附表二  拟配备本标段的试验和检测仪器设备表</w:t>
      </w:r>
    </w:p>
    <w:p>
      <w:pPr>
        <w:tabs>
          <w:tab w:val="left" w:pos="720"/>
        </w:tabs>
        <w:spacing w:line="440" w:lineRule="exact"/>
        <w:ind w:firstLine="792" w:firstLineChars="360"/>
        <w:rPr>
          <w:rFonts w:ascii="宋体" w:hAnsi="宋体"/>
          <w:sz w:val="22"/>
        </w:rPr>
      </w:pPr>
      <w:r>
        <w:rPr>
          <w:rFonts w:hint="eastAsia" w:ascii="宋体" w:hAnsi="宋体"/>
          <w:sz w:val="22"/>
        </w:rPr>
        <w:t>附表三  劳动力计划表</w:t>
      </w:r>
    </w:p>
    <w:p>
      <w:pPr>
        <w:tabs>
          <w:tab w:val="left" w:pos="720"/>
        </w:tabs>
        <w:spacing w:line="440" w:lineRule="exact"/>
        <w:ind w:firstLine="792" w:firstLineChars="360"/>
        <w:rPr>
          <w:rFonts w:ascii="宋体" w:hAnsi="宋体"/>
          <w:sz w:val="22"/>
        </w:rPr>
      </w:pPr>
      <w:r>
        <w:rPr>
          <w:rFonts w:hint="eastAsia" w:ascii="宋体" w:hAnsi="宋体"/>
          <w:sz w:val="22"/>
        </w:rPr>
        <w:t>附表四  计划开、竣工日期和施工进度网络图</w:t>
      </w:r>
    </w:p>
    <w:p>
      <w:pPr>
        <w:tabs>
          <w:tab w:val="left" w:pos="720"/>
        </w:tabs>
        <w:spacing w:line="440" w:lineRule="exact"/>
        <w:ind w:firstLine="792" w:firstLineChars="360"/>
        <w:rPr>
          <w:rFonts w:ascii="宋体" w:hAnsi="宋体"/>
          <w:sz w:val="22"/>
        </w:rPr>
      </w:pPr>
      <w:r>
        <w:rPr>
          <w:rFonts w:hint="eastAsia" w:ascii="宋体" w:hAnsi="宋体"/>
          <w:sz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127"/>
        <w:rPr>
          <w:rFonts w:ascii="宋体" w:hAnsi="宋体" w:eastAsia="宋体"/>
          <w:szCs w:val="23"/>
        </w:rPr>
      </w:pPr>
      <w:bookmarkStart w:id="55" w:name="_Toc152042586"/>
      <w:bookmarkStart w:id="56" w:name="_Toc144974865"/>
      <w:bookmarkStart w:id="57" w:name="_Toc246392155"/>
      <w:bookmarkStart w:id="58" w:name="_Toc179632817"/>
      <w:bookmarkStart w:id="59" w:name="_Toc11710"/>
      <w:bookmarkStart w:id="60" w:name="_Toc152045797"/>
      <w:r>
        <w:rPr>
          <w:rFonts w:hint="eastAsia" w:ascii="宋体" w:hAnsi="宋体" w:eastAsia="宋体"/>
        </w:rPr>
        <w:t>附表一：</w:t>
      </w:r>
      <w:r>
        <w:rPr>
          <w:rFonts w:hint="eastAsia" w:ascii="宋体" w:hAnsi="宋体" w:eastAsia="宋体"/>
          <w:szCs w:val="23"/>
        </w:rPr>
        <w:t>拟投入本标段的主要施工设备表</w:t>
      </w:r>
      <w:bookmarkEnd w:id="55"/>
      <w:bookmarkEnd w:id="56"/>
      <w:bookmarkEnd w:id="57"/>
      <w:bookmarkEnd w:id="58"/>
      <w:bookmarkEnd w:id="59"/>
      <w:bookmarkEnd w:id="60"/>
    </w:p>
    <w:p>
      <w:pPr>
        <w:spacing w:line="440" w:lineRule="exact"/>
        <w:rPr>
          <w:rFonts w:ascii="宋体" w:hAnsi="宋体"/>
          <w:sz w:val="20"/>
          <w:szCs w:val="20"/>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127"/>
        <w:rPr>
          <w:rFonts w:ascii="宋体" w:hAnsi="宋体" w:eastAsia="宋体"/>
        </w:rPr>
      </w:pPr>
      <w:bookmarkStart w:id="61" w:name="_Toc246392156"/>
      <w:bookmarkStart w:id="62" w:name="_Toc152042587"/>
      <w:bookmarkStart w:id="63" w:name="_Toc144974866"/>
      <w:bookmarkStart w:id="64" w:name="_Toc179632818"/>
      <w:bookmarkStart w:id="65" w:name="_Toc4957"/>
      <w:bookmarkStart w:id="66" w:name="_Toc152045798"/>
      <w:r>
        <w:rPr>
          <w:rFonts w:hint="eastAsia" w:ascii="宋体" w:hAnsi="宋体" w:eastAsia="宋体"/>
        </w:rPr>
        <w:t>附表二：拟配备本标段的试验和检测仪器设备表</w:t>
      </w:r>
      <w:bookmarkEnd w:id="61"/>
      <w:bookmarkEnd w:id="62"/>
      <w:bookmarkEnd w:id="63"/>
      <w:bookmarkEnd w:id="64"/>
      <w:bookmarkEnd w:id="65"/>
      <w:bookmarkEnd w:id="66"/>
    </w:p>
    <w:p>
      <w:pPr>
        <w:spacing w:line="440" w:lineRule="exact"/>
        <w:rPr>
          <w:rFonts w:ascii="宋体" w:hAnsi="宋体"/>
          <w:sz w:val="20"/>
          <w:szCs w:val="20"/>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127"/>
        <w:rPr>
          <w:rFonts w:ascii="宋体" w:hAnsi="宋体" w:eastAsia="宋体"/>
        </w:rPr>
      </w:pPr>
      <w:bookmarkStart w:id="67" w:name="_Toc8928"/>
      <w:bookmarkStart w:id="68" w:name="_Toc144974867"/>
      <w:bookmarkStart w:id="69" w:name="_Toc179632819"/>
      <w:bookmarkStart w:id="70" w:name="_Toc246392157"/>
      <w:bookmarkStart w:id="71" w:name="_Toc152042588"/>
      <w:bookmarkStart w:id="72" w:name="_Toc152045799"/>
      <w:r>
        <w:rPr>
          <w:rFonts w:hint="eastAsia" w:ascii="宋体" w:hAnsi="宋体" w:eastAsia="宋体"/>
        </w:rPr>
        <w:t>附表三：劳动力计划表</w:t>
      </w:r>
      <w:bookmarkEnd w:id="67"/>
      <w:bookmarkEnd w:id="68"/>
      <w:bookmarkEnd w:id="69"/>
      <w:bookmarkEnd w:id="70"/>
      <w:bookmarkEnd w:id="71"/>
      <w:bookmarkEnd w:id="72"/>
    </w:p>
    <w:p>
      <w:pPr>
        <w:spacing w:line="440" w:lineRule="exact"/>
        <w:ind w:right="200"/>
        <w:jc w:val="right"/>
        <w:rPr>
          <w:rFonts w:ascii="宋体" w:hAnsi="宋体"/>
          <w:szCs w:val="21"/>
        </w:rPr>
      </w:pPr>
      <w:r>
        <w:rPr>
          <w:rFonts w:hint="eastAsia" w:ascii="宋体" w:hAnsi="宋体"/>
          <w:szCs w:val="21"/>
        </w:rPr>
        <w:t>单位：人</w:t>
      </w: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127"/>
        <w:rPr>
          <w:rFonts w:ascii="宋体" w:hAnsi="宋体" w:eastAsia="宋体"/>
          <w:sz w:val="22"/>
          <w:szCs w:val="22"/>
        </w:rPr>
      </w:pPr>
      <w:bookmarkStart w:id="73" w:name="_Toc152042589"/>
      <w:bookmarkStart w:id="74" w:name="_Toc3750"/>
      <w:bookmarkStart w:id="75" w:name="_Toc179632820"/>
      <w:bookmarkStart w:id="76" w:name="_Toc144974868"/>
      <w:bookmarkStart w:id="77" w:name="_Toc246392158"/>
      <w:bookmarkStart w:id="78" w:name="_Toc152045800"/>
      <w:r>
        <w:rPr>
          <w:rFonts w:hint="eastAsia" w:ascii="宋体" w:hAnsi="宋体" w:eastAsia="宋体"/>
          <w:sz w:val="22"/>
          <w:szCs w:val="22"/>
        </w:rPr>
        <w:t>附表四：计划开、竣工日期和施工进度网络图</w:t>
      </w:r>
      <w:bookmarkEnd w:id="73"/>
      <w:bookmarkEnd w:id="74"/>
      <w:bookmarkEnd w:id="75"/>
      <w:bookmarkEnd w:id="76"/>
      <w:bookmarkEnd w:id="77"/>
      <w:bookmarkEnd w:id="78"/>
    </w:p>
    <w:p>
      <w:pPr>
        <w:spacing w:line="440" w:lineRule="exact"/>
        <w:rPr>
          <w:rFonts w:ascii="宋体" w:hAnsi="宋体"/>
          <w:sz w:val="22"/>
        </w:rPr>
      </w:pPr>
    </w:p>
    <w:p>
      <w:pPr>
        <w:spacing w:line="440" w:lineRule="exact"/>
        <w:ind w:firstLine="440" w:firstLineChars="200"/>
        <w:rPr>
          <w:rFonts w:ascii="宋体" w:hAnsi="宋体"/>
          <w:sz w:val="22"/>
        </w:rPr>
      </w:pPr>
      <w:r>
        <w:rPr>
          <w:rFonts w:hint="eastAsia" w:ascii="宋体" w:hAnsi="宋体"/>
          <w:sz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rPr>
      </w:pPr>
      <w:r>
        <w:rPr>
          <w:rFonts w:hint="eastAsia" w:ascii="宋体" w:hAnsi="宋体"/>
          <w:sz w:val="22"/>
        </w:rPr>
        <w:t>2. 施工进度表可采用网络图（或横道图）表示。</w:t>
      </w:r>
    </w:p>
    <w:p>
      <w:pPr>
        <w:spacing w:line="440" w:lineRule="exact"/>
        <w:rPr>
          <w:rFonts w:ascii="宋体" w:hAnsi="宋体"/>
          <w:sz w:val="22"/>
        </w:rPr>
      </w:pPr>
    </w:p>
    <w:p>
      <w:pPr>
        <w:spacing w:line="440" w:lineRule="exact"/>
        <w:rPr>
          <w:rFonts w:ascii="宋体" w:hAnsi="宋体"/>
          <w:sz w:val="22"/>
        </w:rPr>
      </w:pPr>
    </w:p>
    <w:p>
      <w:pPr>
        <w:spacing w:line="440" w:lineRule="exact"/>
        <w:rPr>
          <w:rFonts w:ascii="宋体" w:hAnsi="宋体"/>
          <w:sz w:val="22"/>
        </w:rPr>
      </w:pPr>
      <w:bookmarkStart w:id="79" w:name="_Toc144974869"/>
      <w:bookmarkStart w:id="80" w:name="_Toc179632821"/>
      <w:bookmarkStart w:id="81" w:name="_Toc246392159"/>
      <w:bookmarkStart w:id="82" w:name="_Toc152045801"/>
      <w:bookmarkStart w:id="83" w:name="_Toc152042590"/>
      <w:r>
        <w:rPr>
          <w:rFonts w:hint="eastAsia" w:ascii="宋体" w:hAnsi="宋体"/>
          <w:sz w:val="22"/>
        </w:rPr>
        <w:t>附表五：施工总平面图</w:t>
      </w:r>
      <w:bookmarkEnd w:id="79"/>
      <w:bookmarkEnd w:id="80"/>
      <w:bookmarkEnd w:id="81"/>
      <w:bookmarkEnd w:id="82"/>
      <w:bookmarkEnd w:id="83"/>
    </w:p>
    <w:p>
      <w:pPr>
        <w:spacing w:line="440" w:lineRule="exact"/>
        <w:rPr>
          <w:rFonts w:ascii="宋体" w:hAnsi="宋体"/>
          <w:sz w:val="22"/>
        </w:rPr>
      </w:pPr>
      <w:r>
        <w:rPr>
          <w:rFonts w:hint="eastAsia" w:ascii="宋体" w:hAnsi="宋体"/>
          <w:sz w:val="22"/>
        </w:rPr>
        <w:tab/>
      </w:r>
    </w:p>
    <w:p>
      <w:pPr>
        <w:spacing w:line="440" w:lineRule="exact"/>
        <w:ind w:firstLine="440" w:firstLineChars="200"/>
        <w:rPr>
          <w:rFonts w:ascii="宋体" w:hAnsi="宋体"/>
          <w:sz w:val="22"/>
        </w:rPr>
      </w:pPr>
      <w:r>
        <w:rPr>
          <w:rFonts w:hint="eastAsia" w:ascii="宋体" w:hAnsi="宋体"/>
          <w:sz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127"/>
        <w:rPr>
          <w:rFonts w:ascii="宋体" w:hAnsi="宋体" w:eastAsia="宋体"/>
          <w:szCs w:val="23"/>
        </w:rPr>
      </w:pPr>
      <w:bookmarkStart w:id="84" w:name="_Toc152042593"/>
      <w:bookmarkStart w:id="85" w:name="_Toc246392161"/>
      <w:bookmarkStart w:id="86" w:name="_Toc144974872"/>
      <w:bookmarkStart w:id="87" w:name="_Toc29304"/>
      <w:bookmarkStart w:id="88" w:name="_Toc152045804"/>
      <w:bookmarkStart w:id="89" w:name="_Toc179632824"/>
      <w:r>
        <w:rPr>
          <w:rFonts w:hint="eastAsia" w:ascii="宋体" w:hAnsi="宋体" w:eastAsia="宋体"/>
          <w:szCs w:val="23"/>
        </w:rPr>
        <w:t>（一）项目管理机构组成表</w:t>
      </w:r>
      <w:bookmarkEnd w:id="84"/>
      <w:bookmarkEnd w:id="85"/>
      <w:bookmarkEnd w:id="86"/>
      <w:bookmarkEnd w:id="87"/>
      <w:bookmarkEnd w:id="88"/>
      <w:bookmarkEnd w:id="89"/>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127"/>
        <w:rPr>
          <w:rFonts w:ascii="宋体" w:hAnsi="宋体" w:eastAsia="宋体"/>
          <w:szCs w:val="23"/>
        </w:rPr>
      </w:pPr>
      <w:bookmarkStart w:id="90" w:name="_Toc246392162"/>
      <w:bookmarkStart w:id="91" w:name="_Toc144974873"/>
      <w:bookmarkStart w:id="92" w:name="_Toc152042594"/>
      <w:bookmarkStart w:id="93" w:name="_Toc25718"/>
      <w:bookmarkStart w:id="94" w:name="_Toc152045805"/>
      <w:bookmarkStart w:id="95" w:name="_Toc179632825"/>
      <w:r>
        <w:rPr>
          <w:rFonts w:hint="eastAsia" w:ascii="宋体" w:hAnsi="宋体" w:eastAsia="宋体"/>
          <w:szCs w:val="23"/>
        </w:rPr>
        <w:t>（二）主要人员简历表</w:t>
      </w:r>
      <w:bookmarkEnd w:id="90"/>
      <w:bookmarkEnd w:id="91"/>
      <w:bookmarkEnd w:id="92"/>
      <w:bookmarkEnd w:id="93"/>
      <w:bookmarkEnd w:id="94"/>
      <w:bookmarkEnd w:id="95"/>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2"/>
        <w:tblW w:w="8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asciiTheme="minorEastAsia" w:hAnsiTheme="minorEastAsia"/>
                <w:sz w:val="22"/>
              </w:rPr>
            </w:pPr>
            <w:r>
              <w:rPr>
                <w:rFonts w:hint="eastAsia" w:asciiTheme="minorEastAsia" w:hAnsiTheme="minorEastAsia"/>
                <w:sz w:val="22"/>
              </w:rPr>
              <w:t>姓  名</w:t>
            </w:r>
          </w:p>
        </w:tc>
        <w:tc>
          <w:tcPr>
            <w:tcW w:w="1079" w:type="dxa"/>
            <w:gridSpan w:val="2"/>
            <w:vAlign w:val="center"/>
          </w:tcPr>
          <w:p>
            <w:pPr>
              <w:spacing w:line="440" w:lineRule="exact"/>
              <w:rPr>
                <w:rFonts w:asciiTheme="minorEastAsia" w:hAnsiTheme="minorEastAsia"/>
                <w:sz w:val="22"/>
              </w:rPr>
            </w:pPr>
          </w:p>
        </w:tc>
        <w:tc>
          <w:tcPr>
            <w:tcW w:w="927" w:type="dxa"/>
            <w:vAlign w:val="center"/>
          </w:tcPr>
          <w:p>
            <w:pPr>
              <w:spacing w:line="440" w:lineRule="exact"/>
              <w:rPr>
                <w:rFonts w:asciiTheme="minorEastAsia" w:hAnsiTheme="minorEastAsia"/>
                <w:sz w:val="22"/>
              </w:rPr>
            </w:pPr>
            <w:r>
              <w:rPr>
                <w:rFonts w:hint="eastAsia" w:asciiTheme="minorEastAsia" w:hAnsiTheme="minorEastAsia"/>
                <w:sz w:val="22"/>
              </w:rPr>
              <w:t>年 龄</w:t>
            </w:r>
          </w:p>
        </w:tc>
        <w:tc>
          <w:tcPr>
            <w:tcW w:w="1065" w:type="dxa"/>
            <w:vAlign w:val="center"/>
          </w:tcPr>
          <w:p>
            <w:pPr>
              <w:spacing w:line="440" w:lineRule="exact"/>
              <w:rPr>
                <w:rFonts w:asciiTheme="minorEastAsia" w:hAnsiTheme="minorEastAsia"/>
                <w:sz w:val="22"/>
              </w:rPr>
            </w:pPr>
          </w:p>
        </w:tc>
        <w:tc>
          <w:tcPr>
            <w:tcW w:w="1784" w:type="dxa"/>
            <w:gridSpan w:val="3"/>
            <w:vAlign w:val="center"/>
          </w:tcPr>
          <w:p>
            <w:pPr>
              <w:spacing w:line="440" w:lineRule="exact"/>
              <w:rPr>
                <w:rFonts w:asciiTheme="minorEastAsia" w:hAnsiTheme="minorEastAsia"/>
                <w:sz w:val="22"/>
              </w:rPr>
            </w:pPr>
            <w:r>
              <w:rPr>
                <w:rFonts w:hint="eastAsia" w:asciiTheme="minorEastAsia" w:hAnsiTheme="minorEastAsia"/>
                <w:sz w:val="22"/>
              </w:rPr>
              <w:t>学历</w:t>
            </w:r>
          </w:p>
        </w:tc>
        <w:tc>
          <w:tcPr>
            <w:tcW w:w="2135" w:type="dxa"/>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asciiTheme="minorEastAsia" w:hAnsiTheme="minorEastAsia"/>
                <w:sz w:val="22"/>
              </w:rPr>
            </w:pPr>
            <w:r>
              <w:rPr>
                <w:rFonts w:hint="eastAsia" w:asciiTheme="minorEastAsia" w:hAnsiTheme="minorEastAsia"/>
                <w:sz w:val="22"/>
              </w:rPr>
              <w:t>职  称</w:t>
            </w:r>
          </w:p>
        </w:tc>
        <w:tc>
          <w:tcPr>
            <w:tcW w:w="1079" w:type="dxa"/>
            <w:gridSpan w:val="2"/>
            <w:vAlign w:val="center"/>
          </w:tcPr>
          <w:p>
            <w:pPr>
              <w:spacing w:line="440" w:lineRule="exact"/>
              <w:rPr>
                <w:rFonts w:asciiTheme="minorEastAsia" w:hAnsiTheme="minorEastAsia"/>
                <w:sz w:val="22"/>
              </w:rPr>
            </w:pPr>
          </w:p>
        </w:tc>
        <w:tc>
          <w:tcPr>
            <w:tcW w:w="927" w:type="dxa"/>
            <w:vAlign w:val="center"/>
          </w:tcPr>
          <w:p>
            <w:pPr>
              <w:spacing w:line="440" w:lineRule="exact"/>
              <w:rPr>
                <w:rFonts w:asciiTheme="minorEastAsia" w:hAnsiTheme="minorEastAsia"/>
                <w:sz w:val="22"/>
              </w:rPr>
            </w:pPr>
            <w:r>
              <w:rPr>
                <w:rFonts w:hint="eastAsia" w:asciiTheme="minorEastAsia" w:hAnsiTheme="minorEastAsia"/>
                <w:sz w:val="22"/>
              </w:rPr>
              <w:t>职 务</w:t>
            </w:r>
          </w:p>
        </w:tc>
        <w:tc>
          <w:tcPr>
            <w:tcW w:w="1065" w:type="dxa"/>
            <w:vAlign w:val="center"/>
          </w:tcPr>
          <w:p>
            <w:pPr>
              <w:spacing w:line="440" w:lineRule="exact"/>
              <w:rPr>
                <w:rFonts w:asciiTheme="minorEastAsia" w:hAnsiTheme="minorEastAsia"/>
                <w:sz w:val="22"/>
              </w:rPr>
            </w:pPr>
          </w:p>
        </w:tc>
        <w:tc>
          <w:tcPr>
            <w:tcW w:w="1784" w:type="dxa"/>
            <w:gridSpan w:val="3"/>
            <w:vAlign w:val="center"/>
          </w:tcPr>
          <w:p>
            <w:pPr>
              <w:spacing w:line="440" w:lineRule="exact"/>
              <w:rPr>
                <w:rFonts w:asciiTheme="minorEastAsia" w:hAnsiTheme="minorEastAsia"/>
                <w:sz w:val="22"/>
              </w:rPr>
            </w:pPr>
            <w:r>
              <w:rPr>
                <w:rFonts w:hint="eastAsia" w:asciiTheme="minorEastAsia" w:hAnsiTheme="minorEastAsia"/>
                <w:sz w:val="22"/>
              </w:rPr>
              <w:t>拟在本合同任职</w:t>
            </w:r>
          </w:p>
        </w:tc>
        <w:tc>
          <w:tcPr>
            <w:tcW w:w="2135" w:type="dxa"/>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asciiTheme="minorEastAsia" w:hAnsiTheme="minorEastAsia"/>
                <w:sz w:val="22"/>
              </w:rPr>
            </w:pPr>
            <w:r>
              <w:rPr>
                <w:rFonts w:hint="eastAsia" w:asciiTheme="minorEastAsia" w:hAnsiTheme="minorEastAsia"/>
                <w:sz w:val="22"/>
              </w:rPr>
              <w:t>毕业学校</w:t>
            </w:r>
          </w:p>
        </w:tc>
        <w:tc>
          <w:tcPr>
            <w:tcW w:w="6990" w:type="dxa"/>
            <w:gridSpan w:val="8"/>
          </w:tcPr>
          <w:p>
            <w:pPr>
              <w:spacing w:line="440" w:lineRule="exact"/>
              <w:rPr>
                <w:rFonts w:asciiTheme="minorEastAsia" w:hAnsiTheme="minorEastAsia"/>
                <w:sz w:val="22"/>
              </w:rPr>
            </w:pPr>
            <w:r>
              <w:rPr>
                <w:rFonts w:hint="eastAsia" w:asciiTheme="minorEastAsia" w:hAnsiTheme="minorEastAsia"/>
                <w:sz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6" w:type="dxa"/>
            <w:gridSpan w:val="9"/>
            <w:vAlign w:val="center"/>
          </w:tcPr>
          <w:p>
            <w:pPr>
              <w:spacing w:line="440" w:lineRule="exact"/>
              <w:rPr>
                <w:rFonts w:asciiTheme="minorEastAsia" w:hAnsiTheme="minorEastAsia"/>
                <w:sz w:val="22"/>
              </w:rPr>
            </w:pPr>
            <w:r>
              <w:rPr>
                <w:rFonts w:hint="eastAsia" w:asciiTheme="minorEastAsia" w:hAnsiTheme="minorEastAsia"/>
                <w:sz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Theme="minorEastAsia" w:hAnsiTheme="minorEastAsia"/>
                <w:sz w:val="22"/>
              </w:rPr>
            </w:pPr>
            <w:r>
              <w:rPr>
                <w:rFonts w:hint="eastAsia" w:asciiTheme="minorEastAsia" w:hAnsiTheme="minorEastAsia"/>
                <w:sz w:val="22"/>
              </w:rPr>
              <w:t>时  间</w:t>
            </w:r>
          </w:p>
        </w:tc>
        <w:tc>
          <w:tcPr>
            <w:tcW w:w="3074" w:type="dxa"/>
            <w:gridSpan w:val="4"/>
            <w:vAlign w:val="center"/>
          </w:tcPr>
          <w:p>
            <w:pPr>
              <w:spacing w:line="440" w:lineRule="exact"/>
              <w:rPr>
                <w:rFonts w:asciiTheme="minorEastAsia" w:hAnsiTheme="minorEastAsia"/>
                <w:sz w:val="22"/>
              </w:rPr>
            </w:pPr>
            <w:r>
              <w:rPr>
                <w:rFonts w:hint="eastAsia" w:asciiTheme="minorEastAsia" w:hAnsiTheme="minorEastAsia"/>
                <w:sz w:val="22"/>
              </w:rPr>
              <w:t>参加过的类似项目</w:t>
            </w:r>
          </w:p>
        </w:tc>
        <w:tc>
          <w:tcPr>
            <w:tcW w:w="1261" w:type="dxa"/>
            <w:vAlign w:val="center"/>
          </w:tcPr>
          <w:p>
            <w:pPr>
              <w:spacing w:line="440" w:lineRule="exact"/>
              <w:rPr>
                <w:rFonts w:asciiTheme="minorEastAsia" w:hAnsiTheme="minorEastAsia"/>
                <w:sz w:val="22"/>
              </w:rPr>
            </w:pPr>
            <w:r>
              <w:rPr>
                <w:rFonts w:hint="eastAsia" w:asciiTheme="minorEastAsia" w:hAnsiTheme="minorEastAsia"/>
                <w:sz w:val="22"/>
              </w:rPr>
              <w:t>担任职务</w:t>
            </w:r>
          </w:p>
        </w:tc>
        <w:tc>
          <w:tcPr>
            <w:tcW w:w="2296" w:type="dxa"/>
            <w:gridSpan w:val="2"/>
            <w:vAlign w:val="center"/>
          </w:tcPr>
          <w:p>
            <w:pPr>
              <w:spacing w:line="440" w:lineRule="exact"/>
              <w:rPr>
                <w:rFonts w:asciiTheme="minorEastAsia" w:hAnsiTheme="minorEastAsia"/>
                <w:sz w:val="22"/>
              </w:rPr>
            </w:pPr>
            <w:r>
              <w:rPr>
                <w:rFonts w:hint="eastAsia" w:asciiTheme="minorEastAsia" w:hAnsiTheme="minorEastAsia"/>
                <w:sz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Theme="minorEastAsia" w:hAnsiTheme="minorEastAsia"/>
                <w:sz w:val="22"/>
              </w:rPr>
            </w:pPr>
          </w:p>
        </w:tc>
        <w:tc>
          <w:tcPr>
            <w:tcW w:w="3074" w:type="dxa"/>
            <w:gridSpan w:val="4"/>
          </w:tcPr>
          <w:p>
            <w:pPr>
              <w:spacing w:line="440" w:lineRule="exact"/>
              <w:rPr>
                <w:rFonts w:asciiTheme="minorEastAsia" w:hAnsiTheme="minorEastAsia"/>
                <w:sz w:val="22"/>
              </w:rPr>
            </w:pPr>
          </w:p>
        </w:tc>
        <w:tc>
          <w:tcPr>
            <w:tcW w:w="1261" w:type="dxa"/>
          </w:tcPr>
          <w:p>
            <w:pPr>
              <w:spacing w:line="440" w:lineRule="exact"/>
              <w:rPr>
                <w:rFonts w:asciiTheme="minorEastAsia" w:hAnsiTheme="minorEastAsia"/>
                <w:sz w:val="22"/>
              </w:rPr>
            </w:pPr>
          </w:p>
        </w:tc>
        <w:tc>
          <w:tcPr>
            <w:tcW w:w="2296" w:type="dxa"/>
            <w:gridSpan w:val="2"/>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Theme="minorEastAsia" w:hAnsiTheme="minorEastAsia"/>
                <w:sz w:val="22"/>
              </w:rPr>
            </w:pPr>
          </w:p>
        </w:tc>
        <w:tc>
          <w:tcPr>
            <w:tcW w:w="3074" w:type="dxa"/>
            <w:gridSpan w:val="4"/>
          </w:tcPr>
          <w:p>
            <w:pPr>
              <w:spacing w:line="440" w:lineRule="exact"/>
              <w:rPr>
                <w:rFonts w:asciiTheme="minorEastAsia" w:hAnsiTheme="minorEastAsia"/>
                <w:sz w:val="22"/>
              </w:rPr>
            </w:pPr>
          </w:p>
        </w:tc>
        <w:tc>
          <w:tcPr>
            <w:tcW w:w="1261" w:type="dxa"/>
          </w:tcPr>
          <w:p>
            <w:pPr>
              <w:spacing w:line="440" w:lineRule="exact"/>
              <w:rPr>
                <w:rFonts w:asciiTheme="minorEastAsia" w:hAnsiTheme="minorEastAsia"/>
                <w:sz w:val="22"/>
              </w:rPr>
            </w:pPr>
          </w:p>
        </w:tc>
        <w:tc>
          <w:tcPr>
            <w:tcW w:w="2296" w:type="dxa"/>
            <w:gridSpan w:val="2"/>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Theme="minorEastAsia" w:hAnsiTheme="minorEastAsia"/>
                <w:sz w:val="22"/>
              </w:rPr>
            </w:pPr>
          </w:p>
        </w:tc>
        <w:tc>
          <w:tcPr>
            <w:tcW w:w="3074" w:type="dxa"/>
            <w:gridSpan w:val="4"/>
          </w:tcPr>
          <w:p>
            <w:pPr>
              <w:spacing w:line="440" w:lineRule="exact"/>
              <w:rPr>
                <w:rFonts w:asciiTheme="minorEastAsia" w:hAnsiTheme="minorEastAsia"/>
                <w:sz w:val="22"/>
              </w:rPr>
            </w:pPr>
          </w:p>
        </w:tc>
        <w:tc>
          <w:tcPr>
            <w:tcW w:w="1261" w:type="dxa"/>
          </w:tcPr>
          <w:p>
            <w:pPr>
              <w:spacing w:line="440" w:lineRule="exact"/>
              <w:rPr>
                <w:rFonts w:asciiTheme="minorEastAsia" w:hAnsiTheme="minorEastAsia"/>
                <w:sz w:val="22"/>
              </w:rPr>
            </w:pPr>
          </w:p>
        </w:tc>
        <w:tc>
          <w:tcPr>
            <w:tcW w:w="2296" w:type="dxa"/>
            <w:gridSpan w:val="2"/>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eastAsia="宋体"/>
        </w:rPr>
        <w:br w:type="page"/>
      </w:r>
      <w:bookmarkStart w:id="96" w:name="_Toc245036711"/>
      <w:bookmarkStart w:id="97" w:name="_Toc7025"/>
      <w:r>
        <w:rPr>
          <w:rFonts w:hint="eastAsia" w:ascii="Calibri" w:hAnsi="Calibri" w:eastAsia="黑体" w:cs="Calibri"/>
          <w:color w:val="000000"/>
          <w:sz w:val="32"/>
          <w:szCs w:val="32"/>
        </w:rPr>
        <w:t>七、资格审查资料</w:t>
      </w:r>
      <w:bookmarkEnd w:id="96"/>
      <w:bookmarkEnd w:id="97"/>
    </w:p>
    <w:p>
      <w:pPr>
        <w:topLinePunct/>
        <w:spacing w:line="440" w:lineRule="exact"/>
        <w:jc w:val="center"/>
        <w:rPr>
          <w:rFonts w:ascii="宋体" w:hAnsi="宋体"/>
          <w:sz w:val="27"/>
          <w:szCs w:val="27"/>
        </w:rPr>
      </w:pPr>
    </w:p>
    <w:p>
      <w:pPr>
        <w:pStyle w:val="127"/>
        <w:rPr>
          <w:rFonts w:ascii="宋体" w:hAnsi="宋体" w:eastAsia="宋体"/>
          <w:szCs w:val="23"/>
        </w:rPr>
      </w:pPr>
      <w:bookmarkStart w:id="98" w:name="_Toc17487"/>
      <w:bookmarkStart w:id="99" w:name="_Toc152045808"/>
      <w:bookmarkStart w:id="100" w:name="_Toc245036712"/>
      <w:bookmarkStart w:id="101" w:name="_Toc144974876"/>
      <w:bookmarkStart w:id="102" w:name="_Toc152042597"/>
      <w:r>
        <w:rPr>
          <w:rFonts w:hint="eastAsia" w:ascii="宋体" w:hAnsi="宋体" w:eastAsia="宋体"/>
          <w:szCs w:val="23"/>
        </w:rPr>
        <w:t>（一）投标人基本情况表</w:t>
      </w:r>
      <w:bookmarkEnd w:id="98"/>
      <w:bookmarkEnd w:id="99"/>
      <w:bookmarkEnd w:id="100"/>
      <w:bookmarkEnd w:id="101"/>
      <w:bookmarkEnd w:id="102"/>
    </w:p>
    <w:p>
      <w:pPr>
        <w:topLinePunct/>
        <w:spacing w:line="440" w:lineRule="exact"/>
        <w:jc w:val="center"/>
        <w:rPr>
          <w:rFonts w:ascii="宋体" w:hAnsi="宋体"/>
          <w:sz w:val="23"/>
          <w:szCs w:val="23"/>
        </w:rPr>
      </w:pPr>
    </w:p>
    <w:tbl>
      <w:tblPr>
        <w:tblStyle w:val="52"/>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Theme="minorEastAsia" w:hAnsiTheme="minorEastAsia"/>
                <w:sz w:val="22"/>
              </w:rPr>
            </w:pPr>
            <w:r>
              <w:rPr>
                <w:rFonts w:hint="eastAsia" w:asciiTheme="minorEastAsia" w:hAnsiTheme="minorEastAsia"/>
                <w:sz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6"/>
              <w:ind w:left="-23"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Theme="minorEastAsia" w:hAnsiTheme="minorEastAsia"/>
                <w:sz w:val="22"/>
              </w:rPr>
            </w:pPr>
            <w:r>
              <w:rPr>
                <w:rFonts w:hint="eastAsia" w:asciiTheme="minorEastAsia" w:hAnsiTheme="minorEastAsia"/>
                <w:sz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Theme="minorEastAsia" w:hAnsiTheme="minorEastAsia"/>
                <w:sz w:val="22"/>
              </w:rPr>
            </w:pPr>
          </w:p>
          <w:p>
            <w:pPr>
              <w:topLinePunct/>
              <w:spacing w:line="440" w:lineRule="exact"/>
              <w:jc w:val="center"/>
              <w:rPr>
                <w:rFonts w:asciiTheme="minorEastAsia" w:hAnsiTheme="minorEastAsia"/>
                <w:sz w:val="22"/>
              </w:rPr>
            </w:pPr>
          </w:p>
          <w:p>
            <w:pPr>
              <w:topLinePunct/>
              <w:spacing w:line="440" w:lineRule="exact"/>
              <w:jc w:val="center"/>
              <w:rPr>
                <w:rFonts w:asciiTheme="minorEastAsia" w:hAnsiTheme="minorEastAsia"/>
                <w:sz w:val="22"/>
              </w:rPr>
            </w:pPr>
          </w:p>
          <w:p>
            <w:pPr>
              <w:topLinePunct/>
              <w:spacing w:line="440" w:lineRule="exact"/>
              <w:jc w:val="center"/>
              <w:rPr>
                <w:rFonts w:asciiTheme="minorEastAsia" w:hAnsiTheme="minorEastAsia"/>
                <w:sz w:val="22"/>
              </w:rPr>
            </w:pPr>
          </w:p>
          <w:p>
            <w:pPr>
              <w:topLinePunct/>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bl>
    <w:p>
      <w:pPr>
        <w:spacing w:line="400" w:lineRule="exact"/>
        <w:ind w:firstLine="42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127"/>
        <w:rPr>
          <w:rFonts w:ascii="宋体" w:hAnsi="宋体" w:eastAsia="宋体"/>
          <w:szCs w:val="23"/>
        </w:rPr>
      </w:pPr>
      <w:bookmarkStart w:id="103" w:name="_Toc152042598"/>
      <w:bookmarkStart w:id="104" w:name="_Toc245036713"/>
      <w:bookmarkStart w:id="105" w:name="_Toc144974877"/>
      <w:bookmarkStart w:id="106" w:name="_Toc152045809"/>
      <w:bookmarkStart w:id="107" w:name="_Toc16950"/>
      <w:r>
        <w:rPr>
          <w:rFonts w:hint="eastAsia" w:ascii="宋体" w:hAnsi="宋体" w:eastAsia="宋体"/>
        </w:rPr>
        <w:br w:type="page"/>
      </w:r>
      <w:r>
        <w:rPr>
          <w:rFonts w:hint="eastAsia" w:ascii="宋体" w:hAnsi="宋体" w:eastAsia="宋体"/>
        </w:rPr>
        <w:t>（二）近年财务状况表</w:t>
      </w:r>
      <w:bookmarkEnd w:id="103"/>
      <w:bookmarkEnd w:id="104"/>
      <w:bookmarkEnd w:id="105"/>
      <w:bookmarkEnd w:id="106"/>
      <w:bookmarkEnd w:id="107"/>
    </w:p>
    <w:p>
      <w:pPr>
        <w:spacing w:line="440" w:lineRule="exact"/>
        <w:rPr>
          <w:rFonts w:ascii="宋体" w:hAnsi="宋体"/>
          <w:sz w:val="23"/>
          <w:szCs w:val="23"/>
        </w:rPr>
      </w:pPr>
    </w:p>
    <w:p>
      <w:pPr>
        <w:pStyle w:val="127"/>
        <w:rPr>
          <w:rFonts w:ascii="宋体" w:hAnsi="宋体" w:eastAsia="宋体"/>
          <w:szCs w:val="23"/>
        </w:rPr>
      </w:pPr>
      <w:bookmarkStart w:id="108" w:name="_Toc152042599"/>
      <w:bookmarkStart w:id="109" w:name="_Toc31021"/>
      <w:bookmarkStart w:id="110" w:name="_Toc152045810"/>
      <w:bookmarkStart w:id="111" w:name="_Toc245036714"/>
      <w:bookmarkStart w:id="112" w:name="_Toc144974878"/>
      <w:r>
        <w:rPr>
          <w:rFonts w:hint="eastAsia" w:ascii="宋体" w:hAnsi="宋体" w:eastAsia="宋体"/>
          <w:szCs w:val="23"/>
        </w:rPr>
        <w:t>（三）近年完成的类似项目情况表</w:t>
      </w:r>
      <w:bookmarkEnd w:id="108"/>
      <w:bookmarkEnd w:id="109"/>
      <w:bookmarkEnd w:id="110"/>
      <w:bookmarkEnd w:id="111"/>
      <w:bookmarkEnd w:id="112"/>
    </w:p>
    <w:p>
      <w:pPr>
        <w:spacing w:line="440" w:lineRule="exact"/>
        <w:jc w:val="center"/>
        <w:rPr>
          <w:rFonts w:ascii="宋体" w:hAnsi="宋体"/>
          <w:sz w:val="23"/>
          <w:szCs w:val="23"/>
        </w:rPr>
      </w:pPr>
    </w:p>
    <w:tbl>
      <w:tblPr>
        <w:tblStyle w:val="52"/>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13" w:name="_Toc13233"/>
            <w:r>
              <w:rPr>
                <w:rFonts w:hint="eastAsia" w:ascii="宋体" w:hAnsi="宋体"/>
                <w:szCs w:val="21"/>
              </w:rPr>
              <w:t>项目所在地</w:t>
            </w:r>
            <w:bookmarkEnd w:id="113"/>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14" w:name="_Toc20896"/>
            <w:r>
              <w:rPr>
                <w:rFonts w:hint="eastAsia" w:ascii="宋体" w:hAnsi="宋体"/>
                <w:szCs w:val="21"/>
              </w:rPr>
              <w:t>发包人地址</w:t>
            </w:r>
            <w:bookmarkEnd w:id="114"/>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15" w:name="_Toc3155"/>
            <w:r>
              <w:rPr>
                <w:rFonts w:hint="eastAsia" w:ascii="宋体" w:hAnsi="宋体"/>
                <w:szCs w:val="21"/>
              </w:rPr>
              <w:t>承担的工作</w:t>
            </w:r>
            <w:bookmarkEnd w:id="115"/>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127"/>
        <w:rPr>
          <w:rFonts w:ascii="宋体" w:hAnsi="宋体" w:eastAsia="宋体"/>
          <w:szCs w:val="23"/>
        </w:rPr>
      </w:pPr>
      <w:bookmarkStart w:id="116" w:name="_Toc152045811"/>
      <w:bookmarkStart w:id="117" w:name="_Toc245036715"/>
      <w:bookmarkStart w:id="118" w:name="_Toc152042600"/>
      <w:bookmarkStart w:id="119" w:name="_Toc144974879"/>
      <w:bookmarkStart w:id="120" w:name="_Toc26600"/>
      <w:r>
        <w:rPr>
          <w:rFonts w:hint="eastAsia" w:ascii="宋体" w:hAnsi="宋体" w:eastAsia="宋体"/>
          <w:szCs w:val="23"/>
        </w:rPr>
        <w:br w:type="page"/>
      </w:r>
      <w:r>
        <w:rPr>
          <w:rFonts w:hint="eastAsia" w:ascii="宋体" w:hAnsi="宋体" w:eastAsia="宋体"/>
          <w:szCs w:val="23"/>
        </w:rPr>
        <w:t>（四）正在施工的和新承接的项目情况表</w:t>
      </w:r>
      <w:bookmarkEnd w:id="116"/>
      <w:bookmarkEnd w:id="117"/>
      <w:bookmarkEnd w:id="118"/>
      <w:bookmarkEnd w:id="119"/>
      <w:bookmarkEnd w:id="120"/>
    </w:p>
    <w:p>
      <w:pPr>
        <w:keepNext/>
        <w:keepLines/>
        <w:topLinePunct/>
        <w:spacing w:before="240" w:beforeLines="100" w:line="280" w:lineRule="exact"/>
        <w:outlineLvl w:val="2"/>
        <w:rPr>
          <w:rFonts w:ascii="宋体" w:hAnsi="宋体"/>
          <w:b/>
          <w:bCs/>
          <w:szCs w:val="21"/>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21" w:name="_Toc5773"/>
            <w:bookmarkStart w:id="122" w:name="_Toc152042601"/>
            <w:bookmarkStart w:id="123" w:name="_Toc245036716"/>
            <w:bookmarkStart w:id="124" w:name="_Toc144974880"/>
            <w:bookmarkStart w:id="125" w:name="_Toc152045812"/>
            <w:r>
              <w:rPr>
                <w:rFonts w:hint="eastAsia" w:ascii="宋体" w:hAnsi="宋体"/>
                <w:szCs w:val="21"/>
              </w:rPr>
              <w:t>项目名称</w:t>
            </w:r>
            <w:bookmarkEnd w:id="121"/>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bookmarkEnd w:id="122"/>
      <w:bookmarkEnd w:id="123"/>
      <w:bookmarkEnd w:id="124"/>
      <w:bookmarkEnd w:id="125"/>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26" w:name="_Toc152045813"/>
      <w:bookmarkStart w:id="127" w:name="_Toc152042602"/>
      <w:bookmarkStart w:id="128" w:name="_Toc144974881"/>
      <w:bookmarkStart w:id="129" w:name="_Toc245036717"/>
      <w:bookmarkStart w:id="130" w:name="_Toc675"/>
      <w:r>
        <w:rPr>
          <w:rFonts w:hint="eastAsia" w:ascii="宋体" w:hAnsi="宋体" w:eastAsia="宋体"/>
        </w:rPr>
        <w:br w:type="page"/>
      </w:r>
      <w:r>
        <w:rPr>
          <w:rFonts w:hint="eastAsia" w:ascii="Calibri" w:hAnsi="Calibri" w:eastAsia="黑体" w:cs="Calibri"/>
          <w:color w:val="000000"/>
          <w:sz w:val="32"/>
          <w:szCs w:val="32"/>
        </w:rPr>
        <w:t>八、</w:t>
      </w:r>
      <w:bookmarkEnd w:id="126"/>
      <w:bookmarkEnd w:id="127"/>
      <w:bookmarkEnd w:id="128"/>
      <w:bookmarkEnd w:id="129"/>
      <w:bookmarkEnd w:id="130"/>
      <w:bookmarkStart w:id="131" w:name="_Toc21221"/>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31"/>
    <w:p>
      <w:pPr>
        <w:overflowPunct w:val="0"/>
        <w:autoSpaceDE w:val="0"/>
        <w:autoSpaceDN w:val="0"/>
        <w:spacing w:line="440" w:lineRule="exact"/>
        <w:ind w:left="839" w:hanging="839"/>
        <w:jc w:val="center"/>
        <w:rPr>
          <w:rFonts w:ascii="宋体" w:hAnsi="宋体" w:cs="宋体"/>
          <w:b/>
          <w:sz w:val="32"/>
          <w:szCs w:val="32"/>
        </w:rPr>
      </w:pPr>
    </w:p>
    <w:p/>
    <w:bookmarkEnd w:id="40"/>
    <w:p>
      <w:pPr>
        <w:adjustRightInd w:val="0"/>
        <w:snapToGrid w:val="0"/>
        <w:spacing w:line="360" w:lineRule="exact"/>
        <w:ind w:firstLine="440"/>
        <w:rPr>
          <w:rFonts w:ascii="宋体" w:hAnsi="宋体" w:cs="Calibri"/>
          <w:kern w:val="0"/>
          <w:sz w:val="22"/>
        </w:rPr>
      </w:pPr>
    </w:p>
    <w:p/>
    <w:p/>
    <w:p/>
    <w:p/>
    <w:p/>
    <w:sectPr>
      <w:footerReference r:id="rId7" w:type="first"/>
      <w:pgSz w:w="11906" w:h="16838"/>
      <w:pgMar w:top="1440" w:right="1800" w:bottom="1440" w:left="180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B0604020202020204"/>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80"/>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1381"/>
    </w:sdtPr>
    <w:sdtContent>
      <w:p>
        <w:pPr>
          <w:pStyle w:val="34"/>
          <w:jc w:val="center"/>
        </w:pPr>
        <w:r>
          <w:fldChar w:fldCharType="begin"/>
        </w:r>
        <w:r>
          <w:instrText xml:space="preserve"> PAGE   \* MERGEFORMAT </w:instrText>
        </w:r>
        <w:r>
          <w:fldChar w:fldCharType="separate"/>
        </w:r>
        <w:r>
          <w:rPr>
            <w:lang w:val="zh-CN"/>
          </w:rPr>
          <w:t>-</w:t>
        </w:r>
        <w:r>
          <w:t xml:space="preserve"> 47 -</w:t>
        </w:r>
        <w:r>
          <w:fldChar w:fldCharType="end"/>
        </w:r>
      </w:p>
    </w:sdtContent>
  </w:sdt>
  <w:p>
    <w:pPr>
      <w:pStyle w:val="3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6"/>
      </w:rPr>
    </w:pPr>
    <w:r>
      <w:fldChar w:fldCharType="begin"/>
    </w:r>
    <w:r>
      <w:rPr>
        <w:rStyle w:val="56"/>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6"/>
      </w:rPr>
    </w:pPr>
    <w:r>
      <w:fldChar w:fldCharType="begin"/>
    </w:r>
    <w:r>
      <w:rPr>
        <w:rStyle w:val="56"/>
      </w:rPr>
      <w:instrText xml:space="preserve">PAGE  </w:instrText>
    </w:r>
    <w:r>
      <w:fldChar w:fldCharType="separate"/>
    </w:r>
    <w:r>
      <w:rPr>
        <w:rStyle w:val="56"/>
      </w:rPr>
      <w:t>40</w:t>
    </w:r>
    <w:r>
      <w:fldChar w:fldCharType="end"/>
    </w: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top w:val="none" w:color="auto" w:sz="0" w:space="0"/>
        <w:left w:val="none" w:color="auto" w:sz="0" w:space="0"/>
        <w:bottom w:val="single" w:color="auto" w:sz="4" w:space="1"/>
        <w:right w:val="none" w:color="auto" w:sz="0" w:space="0"/>
      </w:pBdr>
      <w:rPr>
        <w:rFonts w:ascii="宋体" w:hAnsi="宋体"/>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678B2A3"/>
    <w:multiLevelType w:val="singleLevel"/>
    <w:tmpl w:val="F678B2A3"/>
    <w:lvl w:ilvl="0" w:tentative="0">
      <w:start w:val="3"/>
      <w:numFmt w:val="decimal"/>
      <w:suff w:val="space"/>
      <w:lvlText w:val="（%1）"/>
      <w:lvlJc w:val="left"/>
    </w:lvl>
  </w:abstractNum>
  <w:abstractNum w:abstractNumId="2">
    <w:nsid w:val="FFFFFF83"/>
    <w:multiLevelType w:val="singleLevel"/>
    <w:tmpl w:val="FFFFFF83"/>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3">
    <w:nsid w:val="FFFFFF89"/>
    <w:multiLevelType w:val="singleLevel"/>
    <w:tmpl w:val="FFFFFF89"/>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4">
    <w:nsid w:val="0C2BE856"/>
    <w:multiLevelType w:val="singleLevel"/>
    <w:tmpl w:val="0C2BE856"/>
    <w:lvl w:ilvl="0" w:tentative="0">
      <w:start w:val="1"/>
      <w:numFmt w:val="decimal"/>
      <w:suff w:val="nothing"/>
      <w:lvlText w:val="（%1）"/>
      <w:lvlJc w:val="left"/>
    </w:lvl>
  </w:abstractNum>
  <w:abstractNum w:abstractNumId="5">
    <w:nsid w:val="13D44F69"/>
    <w:multiLevelType w:val="multilevel"/>
    <w:tmpl w:val="13D44F69"/>
    <w:lvl w:ilvl="0" w:tentative="0">
      <w:start w:val="1"/>
      <w:numFmt w:val="japaneseCounting"/>
      <w:lvlText w:val="%1、"/>
      <w:lvlJc w:val="left"/>
      <w:pPr>
        <w:ind w:left="480" w:hanging="48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6">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6"/>
  </w:num>
  <w:num w:numId="2">
    <w:abstractNumId w:val="3"/>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BD"/>
    <w:rsid w:val="000644AC"/>
    <w:rsid w:val="000B2F59"/>
    <w:rsid w:val="00113446"/>
    <w:rsid w:val="00131184"/>
    <w:rsid w:val="002B4F00"/>
    <w:rsid w:val="003507F1"/>
    <w:rsid w:val="003A7A6F"/>
    <w:rsid w:val="00462BD4"/>
    <w:rsid w:val="00587F8E"/>
    <w:rsid w:val="005E0BAE"/>
    <w:rsid w:val="005F0805"/>
    <w:rsid w:val="00635F10"/>
    <w:rsid w:val="006B60A2"/>
    <w:rsid w:val="00791F92"/>
    <w:rsid w:val="007B0CE0"/>
    <w:rsid w:val="00B279BA"/>
    <w:rsid w:val="00E10267"/>
    <w:rsid w:val="00E640B6"/>
    <w:rsid w:val="00F24DBD"/>
    <w:rsid w:val="02020D6D"/>
    <w:rsid w:val="03583F59"/>
    <w:rsid w:val="04A62CB6"/>
    <w:rsid w:val="04C749D8"/>
    <w:rsid w:val="06F807C5"/>
    <w:rsid w:val="09BB0783"/>
    <w:rsid w:val="09DD2801"/>
    <w:rsid w:val="0DD676DE"/>
    <w:rsid w:val="13F20B84"/>
    <w:rsid w:val="145B4CAD"/>
    <w:rsid w:val="15142C91"/>
    <w:rsid w:val="1830240A"/>
    <w:rsid w:val="1E795720"/>
    <w:rsid w:val="1E9D040B"/>
    <w:rsid w:val="217F5243"/>
    <w:rsid w:val="2350657B"/>
    <w:rsid w:val="238B4C29"/>
    <w:rsid w:val="2D80496F"/>
    <w:rsid w:val="2E7904ED"/>
    <w:rsid w:val="32BC5FD6"/>
    <w:rsid w:val="359666B2"/>
    <w:rsid w:val="35D52A5B"/>
    <w:rsid w:val="39230717"/>
    <w:rsid w:val="3B7B6994"/>
    <w:rsid w:val="3C5B42D6"/>
    <w:rsid w:val="3CBE550C"/>
    <w:rsid w:val="3D6D416E"/>
    <w:rsid w:val="45CC02EE"/>
    <w:rsid w:val="47D70846"/>
    <w:rsid w:val="4C85295E"/>
    <w:rsid w:val="4D183AF8"/>
    <w:rsid w:val="4DE21316"/>
    <w:rsid w:val="500E4F99"/>
    <w:rsid w:val="51D9191A"/>
    <w:rsid w:val="532F678C"/>
    <w:rsid w:val="56C97132"/>
    <w:rsid w:val="57541178"/>
    <w:rsid w:val="5A21013C"/>
    <w:rsid w:val="5B2A3347"/>
    <w:rsid w:val="5F992902"/>
    <w:rsid w:val="656E4A4C"/>
    <w:rsid w:val="65E50DF5"/>
    <w:rsid w:val="65EC6B08"/>
    <w:rsid w:val="66BE5796"/>
    <w:rsid w:val="69814770"/>
    <w:rsid w:val="6B4B40E8"/>
    <w:rsid w:val="6BCA71E6"/>
    <w:rsid w:val="6CC149F9"/>
    <w:rsid w:val="74593728"/>
    <w:rsid w:val="745B5430"/>
    <w:rsid w:val="7A35219D"/>
    <w:rsid w:val="7D56698F"/>
    <w:rsid w:val="7E4878F4"/>
    <w:rsid w:val="7FBD6564"/>
    <w:rsid w:val="7FC01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0"/>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1"/>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3"/>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4"/>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5"/>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6"/>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7"/>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4">
    <w:name w:val="Default Paragraph Font"/>
    <w:unhideWhenUsed/>
    <w:qFormat/>
    <w:uiPriority w:val="1"/>
  </w:style>
  <w:style w:type="table" w:default="1" w:styleId="52">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toc 7"/>
    <w:basedOn w:val="1"/>
    <w:next w:val="1"/>
    <w:qFormat/>
    <w:uiPriority w:val="0"/>
    <w:pPr>
      <w:ind w:left="1260"/>
      <w:jc w:val="left"/>
    </w:pPr>
    <w:rPr>
      <w:rFonts w:ascii="Times New Roman" w:hAnsi="Times New Roman" w:eastAsia="宋体" w:cs="Times New Roman"/>
      <w:sz w:val="20"/>
      <w:szCs w:val="20"/>
    </w:rPr>
  </w:style>
  <w:style w:type="paragraph" w:styleId="13">
    <w:name w:val="table of authorities"/>
    <w:basedOn w:val="1"/>
    <w:next w:val="1"/>
    <w:qFormat/>
    <w:uiPriority w:val="0"/>
    <w:pPr>
      <w:ind w:left="420" w:leftChars="200"/>
    </w:pPr>
    <w:rPr>
      <w:rFonts w:ascii="Times New Roman" w:hAnsi="Times New Roman" w:eastAsia="宋体" w:cs="Times New Roman"/>
      <w:szCs w:val="24"/>
    </w:rPr>
  </w:style>
  <w:style w:type="paragraph" w:styleId="14">
    <w:name w:val="Normal Indent"/>
    <w:basedOn w:val="1"/>
    <w:qFormat/>
    <w:uiPriority w:val="0"/>
    <w:pPr>
      <w:ind w:firstLine="420"/>
    </w:pPr>
    <w:rPr>
      <w:rFonts w:ascii="Times New Roman" w:hAnsi="Times New Roman" w:eastAsia="宋体" w:cs="Times New Roman"/>
      <w:szCs w:val="20"/>
    </w:rPr>
  </w:style>
  <w:style w:type="paragraph" w:styleId="15">
    <w:name w:val="caption"/>
    <w:basedOn w:val="1"/>
    <w:next w:val="1"/>
    <w:qFormat/>
    <w:uiPriority w:val="0"/>
    <w:rPr>
      <w:rFonts w:ascii="Arial" w:hAnsi="Arial" w:eastAsia="黑体" w:cs="Arial"/>
      <w:sz w:val="20"/>
      <w:szCs w:val="20"/>
    </w:rPr>
  </w:style>
  <w:style w:type="paragraph" w:styleId="16">
    <w:name w:val="index 5"/>
    <w:basedOn w:val="1"/>
    <w:next w:val="1"/>
    <w:qFormat/>
    <w:uiPriority w:val="0"/>
    <w:pPr>
      <w:ind w:left="800" w:leftChars="800"/>
    </w:pPr>
    <w:rPr>
      <w:rFonts w:ascii="Times New Roman" w:hAnsi="Times New Roman" w:eastAsia="宋体" w:cs="Times New Roman"/>
      <w:szCs w:val="24"/>
    </w:rPr>
  </w:style>
  <w:style w:type="paragraph" w:styleId="17">
    <w:name w:val="List Bullet"/>
    <w:basedOn w:val="1"/>
    <w:qFormat/>
    <w:uiPriority w:val="0"/>
    <w:pPr>
      <w:numPr>
        <w:ilvl w:val="0"/>
        <w:numId w:val="2"/>
      </w:numPr>
    </w:pPr>
    <w:rPr>
      <w:rFonts w:ascii="Times New Roman" w:hAnsi="Times New Roman" w:eastAsia="宋体" w:cs="Times New Roman"/>
      <w:szCs w:val="24"/>
    </w:rPr>
  </w:style>
  <w:style w:type="paragraph" w:styleId="18">
    <w:name w:val="Document Map"/>
    <w:basedOn w:val="1"/>
    <w:link w:val="73"/>
    <w:qFormat/>
    <w:uiPriority w:val="0"/>
    <w:pPr>
      <w:shd w:val="clear" w:color="auto" w:fill="000080"/>
    </w:pPr>
    <w:rPr>
      <w:rFonts w:ascii="Times New Roman" w:hAnsi="Times New Roman" w:eastAsia="宋体" w:cs="Times New Roman"/>
      <w:kern w:val="0"/>
      <w:sz w:val="20"/>
    </w:rPr>
  </w:style>
  <w:style w:type="paragraph" w:styleId="19">
    <w:name w:val="annotation text"/>
    <w:basedOn w:val="1"/>
    <w:link w:val="68"/>
    <w:unhideWhenUsed/>
    <w:qFormat/>
    <w:uiPriority w:val="0"/>
    <w:pPr>
      <w:jc w:val="left"/>
    </w:pPr>
  </w:style>
  <w:style w:type="paragraph" w:styleId="20">
    <w:name w:val="Body Text 3"/>
    <w:basedOn w:val="1"/>
    <w:link w:val="74"/>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1">
    <w:name w:val="Body Text"/>
    <w:basedOn w:val="1"/>
    <w:link w:val="71"/>
    <w:unhideWhenUsed/>
    <w:qFormat/>
    <w:uiPriority w:val="0"/>
    <w:pPr>
      <w:spacing w:after="120"/>
    </w:pPr>
  </w:style>
  <w:style w:type="paragraph" w:styleId="22">
    <w:name w:val="Body Text Indent"/>
    <w:basedOn w:val="1"/>
    <w:link w:val="75"/>
    <w:unhideWhenUsed/>
    <w:qFormat/>
    <w:uiPriority w:val="0"/>
    <w:pPr>
      <w:spacing w:after="120"/>
      <w:ind w:left="420" w:leftChars="200"/>
    </w:pPr>
    <w:rPr>
      <w:sz w:val="24"/>
      <w:szCs w:val="24"/>
    </w:rPr>
  </w:style>
  <w:style w:type="paragraph" w:styleId="23">
    <w:name w:val="List 2"/>
    <w:basedOn w:val="1"/>
    <w:qFormat/>
    <w:uiPriority w:val="0"/>
    <w:pPr>
      <w:ind w:left="100" w:leftChars="200" w:hanging="200" w:hangingChars="200"/>
    </w:pPr>
    <w:rPr>
      <w:rFonts w:ascii="Times New Roman" w:hAnsi="Times New Roman" w:eastAsia="宋体" w:cs="Times New Roman"/>
      <w:szCs w:val="24"/>
    </w:rPr>
  </w:style>
  <w:style w:type="paragraph" w:styleId="24">
    <w:name w:val="List Continue"/>
    <w:basedOn w:val="1"/>
    <w:qFormat/>
    <w:uiPriority w:val="0"/>
    <w:pPr>
      <w:spacing w:after="120"/>
      <w:ind w:left="420" w:leftChars="200"/>
    </w:pPr>
    <w:rPr>
      <w:rFonts w:ascii="Times New Roman" w:hAnsi="Times New Roman" w:eastAsia="宋体" w:cs="Times New Roman"/>
      <w:szCs w:val="24"/>
    </w:rPr>
  </w:style>
  <w:style w:type="paragraph" w:styleId="25">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6">
    <w:name w:val="List Bullet 2"/>
    <w:basedOn w:val="1"/>
    <w:qFormat/>
    <w:uiPriority w:val="0"/>
    <w:pPr>
      <w:numPr>
        <w:ilvl w:val="0"/>
        <w:numId w:val="3"/>
      </w:numPr>
    </w:pPr>
    <w:rPr>
      <w:rFonts w:ascii="Times New Roman" w:hAnsi="Times New Roman" w:eastAsia="宋体" w:cs="Times New Roman"/>
      <w:szCs w:val="24"/>
    </w:rPr>
  </w:style>
  <w:style w:type="paragraph" w:styleId="27">
    <w:name w:val="toc 5"/>
    <w:basedOn w:val="1"/>
    <w:next w:val="1"/>
    <w:qFormat/>
    <w:uiPriority w:val="0"/>
    <w:pPr>
      <w:ind w:left="840"/>
      <w:jc w:val="left"/>
    </w:pPr>
    <w:rPr>
      <w:rFonts w:ascii="Times New Roman" w:hAnsi="Times New Roman" w:eastAsia="宋体" w:cs="Times New Roman"/>
      <w:sz w:val="20"/>
      <w:szCs w:val="20"/>
    </w:rPr>
  </w:style>
  <w:style w:type="paragraph" w:styleId="28">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29">
    <w:name w:val="Plain Text"/>
    <w:basedOn w:val="1"/>
    <w:link w:val="76"/>
    <w:qFormat/>
    <w:uiPriority w:val="0"/>
    <w:rPr>
      <w:rFonts w:ascii="宋体" w:hAnsi="Courier New" w:eastAsia="宋体" w:cs="Times New Roman"/>
      <w:kern w:val="0"/>
      <w:sz w:val="20"/>
      <w:szCs w:val="21"/>
    </w:rPr>
  </w:style>
  <w:style w:type="paragraph" w:styleId="30">
    <w:name w:val="toc 8"/>
    <w:basedOn w:val="1"/>
    <w:next w:val="1"/>
    <w:qFormat/>
    <w:uiPriority w:val="0"/>
    <w:pPr>
      <w:ind w:left="1470"/>
      <w:jc w:val="left"/>
    </w:pPr>
    <w:rPr>
      <w:rFonts w:ascii="Times New Roman" w:hAnsi="Times New Roman" w:eastAsia="宋体" w:cs="Times New Roman"/>
      <w:sz w:val="20"/>
      <w:szCs w:val="20"/>
    </w:rPr>
  </w:style>
  <w:style w:type="paragraph" w:styleId="31">
    <w:name w:val="Date"/>
    <w:basedOn w:val="1"/>
    <w:next w:val="1"/>
    <w:link w:val="77"/>
    <w:qFormat/>
    <w:uiPriority w:val="0"/>
    <w:pPr>
      <w:ind w:left="100" w:leftChars="2500"/>
    </w:pPr>
    <w:rPr>
      <w:rFonts w:ascii="Times New Roman" w:hAnsi="Times New Roman" w:eastAsia="宋体" w:cs="Times New Roman"/>
      <w:kern w:val="0"/>
      <w:sz w:val="20"/>
    </w:rPr>
  </w:style>
  <w:style w:type="paragraph" w:styleId="32">
    <w:name w:val="Body Text Indent 2"/>
    <w:basedOn w:val="1"/>
    <w:link w:val="78"/>
    <w:qFormat/>
    <w:uiPriority w:val="0"/>
    <w:pPr>
      <w:spacing w:after="120" w:line="480" w:lineRule="auto"/>
      <w:ind w:left="420" w:leftChars="200"/>
    </w:pPr>
    <w:rPr>
      <w:rFonts w:ascii="Times New Roman" w:hAnsi="Times New Roman" w:eastAsia="宋体" w:cs="Times New Roman"/>
      <w:kern w:val="0"/>
      <w:sz w:val="20"/>
    </w:rPr>
  </w:style>
  <w:style w:type="paragraph" w:styleId="33">
    <w:name w:val="Balloon Text"/>
    <w:basedOn w:val="1"/>
    <w:link w:val="79"/>
    <w:semiHidden/>
    <w:qFormat/>
    <w:uiPriority w:val="0"/>
    <w:rPr>
      <w:rFonts w:ascii="Times New Roman" w:hAnsi="Times New Roman" w:eastAsia="宋体" w:cs="Times New Roman"/>
      <w:kern w:val="0"/>
      <w:sz w:val="18"/>
      <w:szCs w:val="18"/>
    </w:rPr>
  </w:style>
  <w:style w:type="paragraph" w:styleId="34">
    <w:name w:val="footer"/>
    <w:basedOn w:val="1"/>
    <w:link w:val="80"/>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5">
    <w:name w:val="header"/>
    <w:basedOn w:val="1"/>
    <w:link w:val="8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6">
    <w:name w:val="toc 1"/>
    <w:basedOn w:val="1"/>
    <w:next w:val="1"/>
    <w:qFormat/>
    <w:uiPriority w:val="39"/>
    <w:pPr>
      <w:adjustRightInd w:val="0"/>
      <w:snapToGrid w:val="0"/>
    </w:pPr>
    <w:rPr>
      <w:rFonts w:ascii="Times New Roman" w:hAnsi="Times New Roman" w:eastAsia="仿宋" w:cs="Times New Roman"/>
      <w:szCs w:val="24"/>
    </w:rPr>
  </w:style>
  <w:style w:type="paragraph" w:styleId="37">
    <w:name w:val="toc 4"/>
    <w:basedOn w:val="1"/>
    <w:next w:val="1"/>
    <w:qFormat/>
    <w:uiPriority w:val="0"/>
    <w:pPr>
      <w:ind w:left="630"/>
      <w:jc w:val="left"/>
    </w:pPr>
    <w:rPr>
      <w:rFonts w:ascii="楷体_GB2312" w:hAnsi="Times New Roman" w:eastAsia="楷体_GB2312" w:cs="Times New Roman"/>
      <w:sz w:val="28"/>
      <w:szCs w:val="20"/>
    </w:rPr>
  </w:style>
  <w:style w:type="paragraph" w:styleId="38">
    <w:name w:val="List"/>
    <w:basedOn w:val="1"/>
    <w:qFormat/>
    <w:uiPriority w:val="0"/>
    <w:pPr>
      <w:ind w:left="200" w:hanging="200" w:hangingChars="200"/>
    </w:pPr>
    <w:rPr>
      <w:rFonts w:ascii="Times New Roman" w:hAnsi="Times New Roman" w:eastAsia="宋体" w:cs="Times New Roman"/>
      <w:szCs w:val="24"/>
    </w:rPr>
  </w:style>
  <w:style w:type="paragraph" w:styleId="39">
    <w:name w:val="toc 6"/>
    <w:basedOn w:val="1"/>
    <w:next w:val="1"/>
    <w:qFormat/>
    <w:uiPriority w:val="0"/>
    <w:pPr>
      <w:ind w:left="1050"/>
      <w:jc w:val="left"/>
    </w:pPr>
    <w:rPr>
      <w:rFonts w:ascii="Times New Roman" w:hAnsi="Times New Roman" w:eastAsia="宋体" w:cs="Times New Roman"/>
      <w:sz w:val="20"/>
      <w:szCs w:val="20"/>
    </w:rPr>
  </w:style>
  <w:style w:type="paragraph" w:styleId="40">
    <w:name w:val="Body Text Indent 3"/>
    <w:basedOn w:val="1"/>
    <w:link w:val="83"/>
    <w:qFormat/>
    <w:uiPriority w:val="0"/>
    <w:pPr>
      <w:spacing w:after="120"/>
      <w:ind w:left="420" w:leftChars="200"/>
    </w:pPr>
    <w:rPr>
      <w:rFonts w:ascii="Times New Roman" w:hAnsi="Times New Roman" w:eastAsia="宋体" w:cs="Times New Roman"/>
      <w:kern w:val="0"/>
      <w:sz w:val="16"/>
      <w:szCs w:val="16"/>
    </w:rPr>
  </w:style>
  <w:style w:type="paragraph" w:styleId="41">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2">
    <w:name w:val="toc 9"/>
    <w:basedOn w:val="1"/>
    <w:next w:val="1"/>
    <w:qFormat/>
    <w:uiPriority w:val="0"/>
    <w:pPr>
      <w:ind w:left="1680"/>
      <w:jc w:val="left"/>
    </w:pPr>
    <w:rPr>
      <w:rFonts w:ascii="Times New Roman" w:hAnsi="Times New Roman" w:eastAsia="宋体" w:cs="Times New Roman"/>
      <w:sz w:val="20"/>
      <w:szCs w:val="20"/>
    </w:rPr>
  </w:style>
  <w:style w:type="paragraph" w:styleId="43">
    <w:name w:val="Body Text 2"/>
    <w:basedOn w:val="1"/>
    <w:link w:val="84"/>
    <w:unhideWhenUsed/>
    <w:qFormat/>
    <w:uiPriority w:val="0"/>
    <w:pPr>
      <w:spacing w:after="120" w:line="480" w:lineRule="auto"/>
    </w:pPr>
    <w:rPr>
      <w:rFonts w:ascii="Times New Roman" w:hAnsi="Times New Roman" w:eastAsia="宋体" w:cs="Times New Roman"/>
      <w:kern w:val="0"/>
      <w:sz w:val="20"/>
    </w:rPr>
  </w:style>
  <w:style w:type="paragraph" w:styleId="44">
    <w:name w:val="List 4"/>
    <w:basedOn w:val="1"/>
    <w:qFormat/>
    <w:uiPriority w:val="0"/>
    <w:pPr>
      <w:ind w:left="100" w:leftChars="600" w:hanging="200" w:hangingChars="200"/>
    </w:pPr>
    <w:rPr>
      <w:rFonts w:ascii="Times New Roman" w:hAnsi="Times New Roman" w:eastAsia="宋体" w:cs="Times New Roman"/>
      <w:szCs w:val="24"/>
    </w:rPr>
  </w:style>
  <w:style w:type="paragraph" w:styleId="45">
    <w:name w:val="List Continue 2"/>
    <w:basedOn w:val="1"/>
    <w:qFormat/>
    <w:uiPriority w:val="0"/>
    <w:pPr>
      <w:spacing w:after="120"/>
      <w:ind w:left="840" w:leftChars="400"/>
    </w:pPr>
    <w:rPr>
      <w:rFonts w:ascii="Times New Roman" w:hAnsi="Times New Roman" w:eastAsia="宋体" w:cs="Times New Roman"/>
      <w:szCs w:val="24"/>
    </w:rPr>
  </w:style>
  <w:style w:type="paragraph" w:styleId="46">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7">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48">
    <w:name w:val="Title"/>
    <w:basedOn w:val="1"/>
    <w:next w:val="1"/>
    <w:link w:val="85"/>
    <w:qFormat/>
    <w:uiPriority w:val="0"/>
    <w:pPr>
      <w:spacing w:before="60" w:after="60"/>
      <w:jc w:val="center"/>
      <w:outlineLvl w:val="0"/>
    </w:pPr>
    <w:rPr>
      <w:rFonts w:ascii="Cambria" w:hAnsi="Cambria" w:eastAsia="黑体" w:cs="Times New Roman"/>
      <w:b/>
      <w:bCs/>
      <w:kern w:val="0"/>
      <w:sz w:val="32"/>
      <w:szCs w:val="32"/>
    </w:rPr>
  </w:style>
  <w:style w:type="paragraph" w:styleId="49">
    <w:name w:val="annotation subject"/>
    <w:basedOn w:val="19"/>
    <w:next w:val="19"/>
    <w:link w:val="69"/>
    <w:semiHidden/>
    <w:qFormat/>
    <w:uiPriority w:val="0"/>
    <w:rPr>
      <w:rFonts w:ascii="Times New Roman" w:hAnsi="Times New Roman" w:eastAsia="宋体" w:cs="Times New Roman"/>
      <w:b/>
      <w:bCs/>
      <w:kern w:val="0"/>
      <w:sz w:val="20"/>
    </w:rPr>
  </w:style>
  <w:style w:type="paragraph" w:styleId="50">
    <w:name w:val="Body Text First Indent"/>
    <w:basedOn w:val="21"/>
    <w:link w:val="72"/>
    <w:qFormat/>
    <w:uiPriority w:val="0"/>
    <w:pPr>
      <w:ind w:firstLine="420" w:firstLineChars="100"/>
    </w:pPr>
    <w:rPr>
      <w:rFonts w:ascii="Times New Roman" w:hAnsi="Times New Roman" w:eastAsia="宋体" w:cs="Times New Roman"/>
      <w:kern w:val="0"/>
      <w:sz w:val="20"/>
      <w:szCs w:val="24"/>
    </w:rPr>
  </w:style>
  <w:style w:type="paragraph" w:styleId="51">
    <w:name w:val="Body Text First Indent 2"/>
    <w:basedOn w:val="22"/>
    <w:link w:val="81"/>
    <w:qFormat/>
    <w:uiPriority w:val="0"/>
    <w:pPr>
      <w:ind w:firstLine="420" w:firstLineChars="200"/>
    </w:pPr>
    <w:rPr>
      <w:rFonts w:ascii="宋体" w:hAnsi="宋体" w:eastAsia="宋体" w:cs="Times New Roman"/>
      <w:kern w:val="0"/>
      <w:sz w:val="28"/>
      <w:szCs w:val="22"/>
    </w:rPr>
  </w:style>
  <w:style w:type="table" w:styleId="53">
    <w:name w:val="Table Grid"/>
    <w:basedOn w:val="52"/>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unhideWhenUsed/>
    <w:qFormat/>
    <w:uiPriority w:val="99"/>
    <w:rPr>
      <w:color w:val="800080"/>
      <w:u w:val="single"/>
    </w:rPr>
  </w:style>
  <w:style w:type="character" w:styleId="58">
    <w:name w:val="Hyperlink"/>
    <w:qFormat/>
    <w:uiPriority w:val="99"/>
    <w:rPr>
      <w:color w:val="0000FF"/>
      <w:u w:val="single"/>
    </w:rPr>
  </w:style>
  <w:style w:type="character" w:customStyle="1" w:styleId="59">
    <w:name w:val="标题 1 字符"/>
    <w:basedOn w:val="54"/>
    <w:link w:val="2"/>
    <w:qFormat/>
    <w:uiPriority w:val="0"/>
    <w:rPr>
      <w:rFonts w:ascii="Times New Roman" w:hAnsi="Times New Roman" w:eastAsia="宋体" w:cs="Times New Roman"/>
      <w:b/>
      <w:bCs/>
      <w:kern w:val="44"/>
      <w:sz w:val="30"/>
      <w:szCs w:val="44"/>
    </w:rPr>
  </w:style>
  <w:style w:type="character" w:customStyle="1" w:styleId="60">
    <w:name w:val="标题 2 字符"/>
    <w:basedOn w:val="54"/>
    <w:link w:val="3"/>
    <w:qFormat/>
    <w:uiPriority w:val="0"/>
    <w:rPr>
      <w:rFonts w:ascii="Arial" w:hAnsi="Arial" w:eastAsia="宋体" w:cs="Times New Roman"/>
      <w:b/>
      <w:bCs/>
      <w:kern w:val="0"/>
      <w:sz w:val="28"/>
      <w:szCs w:val="32"/>
    </w:rPr>
  </w:style>
  <w:style w:type="character" w:customStyle="1" w:styleId="61">
    <w:name w:val="标题 3 字符"/>
    <w:basedOn w:val="54"/>
    <w:link w:val="4"/>
    <w:qFormat/>
    <w:uiPriority w:val="0"/>
    <w:rPr>
      <w:rFonts w:ascii="宋体" w:hAnsi="Times New Roman" w:eastAsia="宋体" w:cs="Times New Roman"/>
      <w:b/>
      <w:kern w:val="0"/>
      <w:sz w:val="28"/>
      <w:szCs w:val="20"/>
    </w:rPr>
  </w:style>
  <w:style w:type="character" w:customStyle="1" w:styleId="62">
    <w:name w:val="标题 4 字符"/>
    <w:basedOn w:val="54"/>
    <w:link w:val="5"/>
    <w:qFormat/>
    <w:uiPriority w:val="0"/>
    <w:rPr>
      <w:rFonts w:ascii="Arial" w:hAnsi="Arial" w:eastAsia="黑体" w:cs="Times New Roman"/>
      <w:b/>
      <w:bCs/>
      <w:kern w:val="0"/>
      <w:sz w:val="28"/>
      <w:szCs w:val="28"/>
    </w:rPr>
  </w:style>
  <w:style w:type="character" w:customStyle="1" w:styleId="63">
    <w:name w:val="标题 5 字符"/>
    <w:basedOn w:val="54"/>
    <w:link w:val="6"/>
    <w:qFormat/>
    <w:uiPriority w:val="0"/>
    <w:rPr>
      <w:rFonts w:ascii="Times New Roman" w:hAnsi="Times New Roman" w:eastAsia="宋体" w:cs="Times New Roman"/>
      <w:b/>
      <w:bCs/>
      <w:kern w:val="0"/>
      <w:sz w:val="28"/>
      <w:szCs w:val="28"/>
    </w:rPr>
  </w:style>
  <w:style w:type="character" w:customStyle="1" w:styleId="64">
    <w:name w:val="标题 6 字符"/>
    <w:basedOn w:val="54"/>
    <w:link w:val="7"/>
    <w:qFormat/>
    <w:uiPriority w:val="0"/>
    <w:rPr>
      <w:rFonts w:ascii="Arial" w:hAnsi="Arial" w:eastAsia="黑体" w:cs="Times New Roman"/>
      <w:b/>
      <w:bCs/>
      <w:kern w:val="0"/>
      <w:sz w:val="24"/>
      <w:szCs w:val="24"/>
    </w:rPr>
  </w:style>
  <w:style w:type="character" w:customStyle="1" w:styleId="65">
    <w:name w:val="标题 7 字符"/>
    <w:basedOn w:val="54"/>
    <w:link w:val="8"/>
    <w:qFormat/>
    <w:uiPriority w:val="0"/>
    <w:rPr>
      <w:rFonts w:ascii="Times New Roman" w:hAnsi="Times New Roman" w:eastAsia="宋体" w:cs="Times New Roman"/>
      <w:b/>
      <w:bCs/>
      <w:kern w:val="0"/>
      <w:sz w:val="24"/>
      <w:szCs w:val="24"/>
    </w:rPr>
  </w:style>
  <w:style w:type="character" w:customStyle="1" w:styleId="66">
    <w:name w:val="标题 8 字符"/>
    <w:basedOn w:val="54"/>
    <w:link w:val="9"/>
    <w:qFormat/>
    <w:uiPriority w:val="0"/>
    <w:rPr>
      <w:rFonts w:ascii="Arial" w:hAnsi="Arial" w:eastAsia="黑体" w:cs="Times New Roman"/>
      <w:kern w:val="0"/>
      <w:sz w:val="24"/>
      <w:szCs w:val="24"/>
    </w:rPr>
  </w:style>
  <w:style w:type="character" w:customStyle="1" w:styleId="67">
    <w:name w:val="标题 9 字符"/>
    <w:basedOn w:val="54"/>
    <w:link w:val="10"/>
    <w:qFormat/>
    <w:uiPriority w:val="0"/>
    <w:rPr>
      <w:rFonts w:ascii="Arial" w:hAnsi="Arial" w:eastAsia="黑体" w:cs="Times New Roman"/>
      <w:kern w:val="0"/>
      <w:sz w:val="20"/>
      <w:szCs w:val="21"/>
    </w:rPr>
  </w:style>
  <w:style w:type="character" w:customStyle="1" w:styleId="68">
    <w:name w:val="批注文字 字符"/>
    <w:basedOn w:val="54"/>
    <w:link w:val="19"/>
    <w:semiHidden/>
    <w:qFormat/>
    <w:uiPriority w:val="0"/>
  </w:style>
  <w:style w:type="character" w:customStyle="1" w:styleId="69">
    <w:name w:val="批注主题 字符"/>
    <w:basedOn w:val="68"/>
    <w:link w:val="49"/>
    <w:semiHidden/>
    <w:qFormat/>
    <w:uiPriority w:val="0"/>
    <w:rPr>
      <w:rFonts w:ascii="Times New Roman" w:hAnsi="Times New Roman" w:eastAsia="宋体" w:cs="Times New Roman"/>
      <w:b/>
      <w:bCs/>
      <w:kern w:val="0"/>
      <w:sz w:val="20"/>
    </w:rPr>
  </w:style>
  <w:style w:type="character" w:customStyle="1" w:styleId="70">
    <w:name w:val="批注主题 Char1"/>
    <w:basedOn w:val="68"/>
    <w:semiHidden/>
    <w:qFormat/>
    <w:uiPriority w:val="99"/>
    <w:rPr>
      <w:b/>
      <w:bCs/>
    </w:rPr>
  </w:style>
  <w:style w:type="character" w:customStyle="1" w:styleId="71">
    <w:name w:val="正文文本 字符"/>
    <w:basedOn w:val="54"/>
    <w:link w:val="21"/>
    <w:qFormat/>
    <w:uiPriority w:val="0"/>
  </w:style>
  <w:style w:type="character" w:customStyle="1" w:styleId="72">
    <w:name w:val="正文文本首行缩进 字符"/>
    <w:basedOn w:val="71"/>
    <w:link w:val="50"/>
    <w:qFormat/>
    <w:uiPriority w:val="0"/>
    <w:rPr>
      <w:rFonts w:ascii="Times New Roman" w:hAnsi="Times New Roman" w:eastAsia="宋体" w:cs="Times New Roman"/>
      <w:kern w:val="0"/>
      <w:sz w:val="20"/>
      <w:szCs w:val="24"/>
    </w:rPr>
  </w:style>
  <w:style w:type="character" w:customStyle="1" w:styleId="73">
    <w:name w:val="文档结构图 字符"/>
    <w:basedOn w:val="54"/>
    <w:link w:val="18"/>
    <w:qFormat/>
    <w:uiPriority w:val="0"/>
    <w:rPr>
      <w:rFonts w:ascii="Times New Roman" w:hAnsi="Times New Roman" w:eastAsia="宋体" w:cs="Times New Roman"/>
      <w:kern w:val="0"/>
      <w:sz w:val="20"/>
      <w:shd w:val="clear" w:color="auto" w:fill="000080"/>
    </w:rPr>
  </w:style>
  <w:style w:type="character" w:customStyle="1" w:styleId="74">
    <w:name w:val="正文文本 3 字符"/>
    <w:basedOn w:val="54"/>
    <w:link w:val="20"/>
    <w:qFormat/>
    <w:uiPriority w:val="0"/>
    <w:rPr>
      <w:rFonts w:ascii="Times New Roman" w:hAnsi="Times New Roman" w:eastAsia="宋体" w:cs="Times New Roman"/>
      <w:kern w:val="0"/>
      <w:sz w:val="16"/>
      <w:szCs w:val="16"/>
    </w:rPr>
  </w:style>
  <w:style w:type="character" w:customStyle="1" w:styleId="75">
    <w:name w:val="正文文本缩进 字符"/>
    <w:basedOn w:val="54"/>
    <w:link w:val="22"/>
    <w:qFormat/>
    <w:uiPriority w:val="0"/>
    <w:rPr>
      <w:sz w:val="24"/>
      <w:szCs w:val="24"/>
    </w:rPr>
  </w:style>
  <w:style w:type="character" w:customStyle="1" w:styleId="76">
    <w:name w:val="纯文本 字符"/>
    <w:basedOn w:val="54"/>
    <w:link w:val="29"/>
    <w:qFormat/>
    <w:uiPriority w:val="0"/>
    <w:rPr>
      <w:rFonts w:ascii="宋体" w:hAnsi="Courier New" w:eastAsia="宋体" w:cs="Times New Roman"/>
      <w:kern w:val="0"/>
      <w:sz w:val="20"/>
      <w:szCs w:val="21"/>
    </w:rPr>
  </w:style>
  <w:style w:type="character" w:customStyle="1" w:styleId="77">
    <w:name w:val="日期 字符"/>
    <w:basedOn w:val="54"/>
    <w:link w:val="31"/>
    <w:qFormat/>
    <w:uiPriority w:val="0"/>
    <w:rPr>
      <w:rFonts w:ascii="Times New Roman" w:hAnsi="Times New Roman" w:eastAsia="宋体" w:cs="Times New Roman"/>
      <w:kern w:val="0"/>
      <w:sz w:val="20"/>
    </w:rPr>
  </w:style>
  <w:style w:type="character" w:customStyle="1" w:styleId="78">
    <w:name w:val="正文文本缩进 2 字符"/>
    <w:basedOn w:val="54"/>
    <w:link w:val="32"/>
    <w:qFormat/>
    <w:uiPriority w:val="0"/>
    <w:rPr>
      <w:rFonts w:ascii="Times New Roman" w:hAnsi="Times New Roman" w:eastAsia="宋体" w:cs="Times New Roman"/>
      <w:kern w:val="0"/>
      <w:sz w:val="20"/>
    </w:rPr>
  </w:style>
  <w:style w:type="character" w:customStyle="1" w:styleId="79">
    <w:name w:val="批注框文本 字符"/>
    <w:basedOn w:val="54"/>
    <w:link w:val="33"/>
    <w:semiHidden/>
    <w:qFormat/>
    <w:uiPriority w:val="0"/>
    <w:rPr>
      <w:rFonts w:ascii="Times New Roman" w:hAnsi="Times New Roman" w:eastAsia="宋体" w:cs="Times New Roman"/>
      <w:kern w:val="0"/>
      <w:sz w:val="18"/>
      <w:szCs w:val="18"/>
    </w:rPr>
  </w:style>
  <w:style w:type="character" w:customStyle="1" w:styleId="80">
    <w:name w:val="页脚 字符"/>
    <w:basedOn w:val="54"/>
    <w:link w:val="34"/>
    <w:qFormat/>
    <w:uiPriority w:val="99"/>
    <w:rPr>
      <w:rFonts w:ascii="Times New Roman" w:hAnsi="Times New Roman" w:eastAsia="宋体" w:cs="Times New Roman"/>
      <w:kern w:val="0"/>
      <w:sz w:val="18"/>
      <w:szCs w:val="20"/>
    </w:rPr>
  </w:style>
  <w:style w:type="character" w:customStyle="1" w:styleId="81">
    <w:name w:val="正文文本首行缩进 2 字符"/>
    <w:basedOn w:val="75"/>
    <w:link w:val="51"/>
    <w:qFormat/>
    <w:uiPriority w:val="0"/>
    <w:rPr>
      <w:rFonts w:ascii="宋体" w:hAnsi="宋体" w:eastAsia="宋体" w:cs="Times New Roman"/>
      <w:kern w:val="0"/>
      <w:sz w:val="28"/>
      <w:szCs w:val="24"/>
    </w:rPr>
  </w:style>
  <w:style w:type="character" w:customStyle="1" w:styleId="82">
    <w:name w:val="页眉 字符"/>
    <w:basedOn w:val="54"/>
    <w:link w:val="35"/>
    <w:qFormat/>
    <w:uiPriority w:val="0"/>
    <w:rPr>
      <w:rFonts w:ascii="Times New Roman" w:hAnsi="Times New Roman" w:eastAsia="宋体" w:cs="Times New Roman"/>
      <w:kern w:val="0"/>
      <w:sz w:val="18"/>
      <w:szCs w:val="20"/>
    </w:rPr>
  </w:style>
  <w:style w:type="character" w:customStyle="1" w:styleId="83">
    <w:name w:val="正文文本缩进 3 字符"/>
    <w:basedOn w:val="54"/>
    <w:link w:val="40"/>
    <w:qFormat/>
    <w:uiPriority w:val="0"/>
    <w:rPr>
      <w:rFonts w:ascii="Times New Roman" w:hAnsi="Times New Roman" w:eastAsia="宋体" w:cs="Times New Roman"/>
      <w:kern w:val="0"/>
      <w:sz w:val="16"/>
      <w:szCs w:val="16"/>
    </w:rPr>
  </w:style>
  <w:style w:type="character" w:customStyle="1" w:styleId="84">
    <w:name w:val="正文文本 2 字符"/>
    <w:basedOn w:val="54"/>
    <w:link w:val="43"/>
    <w:qFormat/>
    <w:uiPriority w:val="0"/>
    <w:rPr>
      <w:rFonts w:ascii="Times New Roman" w:hAnsi="Times New Roman" w:eastAsia="宋体" w:cs="Times New Roman"/>
      <w:kern w:val="0"/>
      <w:sz w:val="20"/>
    </w:rPr>
  </w:style>
  <w:style w:type="character" w:customStyle="1" w:styleId="85">
    <w:name w:val="标题 字符"/>
    <w:basedOn w:val="54"/>
    <w:link w:val="48"/>
    <w:qFormat/>
    <w:uiPriority w:val="0"/>
    <w:rPr>
      <w:rFonts w:ascii="Cambria" w:hAnsi="Cambria" w:eastAsia="黑体" w:cs="Times New Roman"/>
      <w:b/>
      <w:bCs/>
      <w:kern w:val="0"/>
      <w:sz w:val="32"/>
      <w:szCs w:val="32"/>
    </w:rPr>
  </w:style>
  <w:style w:type="character" w:customStyle="1" w:styleId="86">
    <w:name w:val="font51"/>
    <w:qFormat/>
    <w:uiPriority w:val="0"/>
    <w:rPr>
      <w:rFonts w:hint="default" w:ascii="Times New Roman" w:hAnsi="Times New Roman" w:cs="Times New Roman"/>
      <w:b/>
      <w:color w:val="000000"/>
      <w:sz w:val="24"/>
      <w:szCs w:val="24"/>
      <w:u w:val="none"/>
    </w:rPr>
  </w:style>
  <w:style w:type="character" w:customStyle="1" w:styleId="87">
    <w:name w:val="Char Char"/>
    <w:qFormat/>
    <w:uiPriority w:val="0"/>
    <w:rPr>
      <w:rFonts w:ascii="宋体" w:hAnsi="Courier New" w:eastAsia="宋体" w:cs="Courier New"/>
      <w:kern w:val="2"/>
      <w:sz w:val="21"/>
      <w:szCs w:val="21"/>
      <w:lang w:val="en-US" w:eastAsia="zh-CN" w:bidi="ar-SA"/>
    </w:rPr>
  </w:style>
  <w:style w:type="character" w:customStyle="1" w:styleId="88">
    <w:name w:val="Char Char3"/>
    <w:qFormat/>
    <w:uiPriority w:val="0"/>
    <w:rPr>
      <w:rFonts w:eastAsia="宋体"/>
      <w:kern w:val="2"/>
      <w:sz w:val="18"/>
      <w:szCs w:val="18"/>
      <w:lang w:val="en-US" w:eastAsia="zh-CN" w:bidi="ar-SA"/>
    </w:rPr>
  </w:style>
  <w:style w:type="character" w:customStyle="1" w:styleId="89">
    <w:name w:val="font61"/>
    <w:qFormat/>
    <w:uiPriority w:val="0"/>
    <w:rPr>
      <w:rFonts w:hint="default" w:ascii="Times New Roman" w:hAnsi="Times New Roman" w:cs="Times New Roman"/>
      <w:color w:val="000000"/>
      <w:sz w:val="24"/>
      <w:szCs w:val="24"/>
      <w:u w:val="none"/>
    </w:rPr>
  </w:style>
  <w:style w:type="character" w:customStyle="1" w:styleId="90">
    <w:name w:val="font21"/>
    <w:qFormat/>
    <w:uiPriority w:val="0"/>
    <w:rPr>
      <w:rFonts w:hint="default" w:ascii="Times New Roman" w:hAnsi="Times New Roman" w:cs="Times New Roman"/>
      <w:color w:val="000000"/>
      <w:sz w:val="24"/>
      <w:szCs w:val="24"/>
      <w:u w:val="none"/>
      <w:vertAlign w:val="superscript"/>
    </w:rPr>
  </w:style>
  <w:style w:type="character" w:customStyle="1" w:styleId="91">
    <w:name w:val="font71"/>
    <w:qFormat/>
    <w:uiPriority w:val="0"/>
    <w:rPr>
      <w:rFonts w:hint="eastAsia" w:ascii="宋体" w:hAnsi="宋体" w:eastAsia="宋体" w:cs="宋体"/>
      <w:color w:val="000000"/>
      <w:sz w:val="24"/>
      <w:szCs w:val="24"/>
      <w:u w:val="none"/>
    </w:rPr>
  </w:style>
  <w:style w:type="character" w:customStyle="1" w:styleId="92">
    <w:name w:val="zbggmain style9"/>
    <w:basedOn w:val="54"/>
    <w:qFormat/>
    <w:uiPriority w:val="0"/>
  </w:style>
  <w:style w:type="character" w:customStyle="1" w:styleId="93">
    <w:name w:val="px1233"/>
    <w:basedOn w:val="54"/>
    <w:qFormat/>
    <w:uiPriority w:val="0"/>
  </w:style>
  <w:style w:type="character" w:customStyle="1" w:styleId="94">
    <w:name w:val="font11"/>
    <w:qFormat/>
    <w:uiPriority w:val="0"/>
    <w:rPr>
      <w:rFonts w:hint="default" w:ascii="Times New Roman" w:hAnsi="Times New Roman" w:cs="Times New Roman"/>
      <w:color w:val="000000"/>
      <w:sz w:val="21"/>
      <w:szCs w:val="21"/>
      <w:u w:val="none"/>
    </w:rPr>
  </w:style>
  <w:style w:type="character" w:customStyle="1" w:styleId="95">
    <w:name w:val="font41"/>
    <w:qFormat/>
    <w:uiPriority w:val="0"/>
    <w:rPr>
      <w:rFonts w:hint="eastAsia" w:ascii="宋体" w:hAnsi="宋体" w:eastAsia="宋体" w:cs="宋体"/>
      <w:b/>
      <w:color w:val="000000"/>
      <w:sz w:val="24"/>
      <w:szCs w:val="24"/>
      <w:u w:val="none"/>
    </w:rPr>
  </w:style>
  <w:style w:type="character" w:customStyle="1" w:styleId="96">
    <w:name w:val="正文文本字符"/>
    <w:qFormat/>
    <w:uiPriority w:val="0"/>
    <w:rPr>
      <w:rFonts w:ascii="Times New Roman" w:hAnsi="Times New Roman" w:eastAsia="宋体" w:cs="Times New Roman"/>
      <w:kern w:val="0"/>
      <w:sz w:val="20"/>
      <w:szCs w:val="24"/>
    </w:rPr>
  </w:style>
  <w:style w:type="character" w:customStyle="1" w:styleId="97">
    <w:name w:val="Char Char2"/>
    <w:qFormat/>
    <w:uiPriority w:val="0"/>
    <w:rPr>
      <w:rFonts w:eastAsia="宋体"/>
      <w:kern w:val="2"/>
      <w:sz w:val="18"/>
      <w:szCs w:val="18"/>
      <w:lang w:val="en-US" w:eastAsia="zh-CN" w:bidi="ar-SA"/>
    </w:rPr>
  </w:style>
  <w:style w:type="character" w:customStyle="1" w:styleId="98">
    <w:name w:val="font01"/>
    <w:qFormat/>
    <w:uiPriority w:val="0"/>
    <w:rPr>
      <w:rFonts w:hint="eastAsia" w:ascii="宋体" w:hAnsi="宋体" w:eastAsia="宋体" w:cs="宋体"/>
      <w:color w:val="000000"/>
      <w:sz w:val="21"/>
      <w:szCs w:val="21"/>
      <w:u w:val="none"/>
    </w:rPr>
  </w:style>
  <w:style w:type="character" w:customStyle="1" w:styleId="99">
    <w:name w:val="标题 Char1"/>
    <w:basedOn w:val="54"/>
    <w:qFormat/>
    <w:uiPriority w:val="10"/>
    <w:rPr>
      <w:rFonts w:eastAsia="宋体" w:asciiTheme="majorHAnsi" w:hAnsiTheme="majorHAnsi" w:cstheme="majorBidi"/>
      <w:b/>
      <w:bCs/>
      <w:sz w:val="32"/>
      <w:szCs w:val="32"/>
    </w:rPr>
  </w:style>
  <w:style w:type="paragraph" w:customStyle="1" w:styleId="100">
    <w:name w:val="样式1"/>
    <w:basedOn w:val="5"/>
    <w:qFormat/>
    <w:uiPriority w:val="0"/>
    <w:pPr>
      <w:tabs>
        <w:tab w:val="left" w:pos="864"/>
      </w:tabs>
      <w:spacing w:before="120" w:after="120" w:line="360" w:lineRule="auto"/>
      <w:ind w:left="864" w:hanging="864"/>
    </w:pPr>
    <w:rPr>
      <w:b w:val="0"/>
      <w:bCs w:val="0"/>
    </w:rPr>
  </w:style>
  <w:style w:type="paragraph" w:customStyle="1" w:styleId="101">
    <w:name w:val="Char Char Char1 Char Char Char Char"/>
    <w:basedOn w:val="1"/>
    <w:qFormat/>
    <w:uiPriority w:val="0"/>
    <w:rPr>
      <w:rFonts w:ascii="Times New Roman" w:hAnsi="Times New Roman" w:eastAsia="宋体" w:cs="Times New Roman"/>
      <w:szCs w:val="24"/>
    </w:rPr>
  </w:style>
  <w:style w:type="paragraph" w:customStyle="1" w:styleId="102">
    <w:name w:val="Char Char Char Char Char Char"/>
    <w:basedOn w:val="1"/>
    <w:qFormat/>
    <w:uiPriority w:val="0"/>
    <w:rPr>
      <w:rFonts w:ascii="Times New Roman" w:hAnsi="Times New Roman" w:eastAsia="宋体" w:cs="Times New Roman"/>
      <w:szCs w:val="24"/>
    </w:rPr>
  </w:style>
  <w:style w:type="paragraph" w:customStyle="1" w:styleId="103">
    <w:name w:val="Char Char Char Char"/>
    <w:basedOn w:val="1"/>
    <w:qFormat/>
    <w:uiPriority w:val="0"/>
    <w:rPr>
      <w:rFonts w:ascii="Times New Roman" w:hAnsi="Times New Roman" w:eastAsia="宋体" w:cs="Times New Roman"/>
      <w:szCs w:val="24"/>
    </w:rPr>
  </w:style>
  <w:style w:type="paragraph" w:customStyle="1" w:styleId="104">
    <w:name w:val="p0"/>
    <w:basedOn w:val="1"/>
    <w:qFormat/>
    <w:uiPriority w:val="0"/>
    <w:pPr>
      <w:widowControl/>
    </w:pPr>
    <w:rPr>
      <w:rFonts w:ascii="Times New Roman" w:hAnsi="Times New Roman" w:eastAsia="宋体" w:cs="Times New Roman"/>
      <w:kern w:val="0"/>
      <w:szCs w:val="21"/>
    </w:rPr>
  </w:style>
  <w:style w:type="paragraph" w:customStyle="1" w:styleId="105">
    <w:name w:val="Legal 3"/>
    <w:basedOn w:val="106"/>
    <w:next w:val="106"/>
    <w:qFormat/>
    <w:uiPriority w:val="0"/>
    <w:pPr>
      <w:spacing w:after="120"/>
    </w:pPr>
    <w:rPr>
      <w:rFonts w:cs="Times New Roman"/>
      <w:color w:val="auto"/>
    </w:rPr>
  </w:style>
  <w:style w:type="paragraph" w:customStyle="1" w:styleId="10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7">
    <w:name w:val="标题字符1"/>
    <w:basedOn w:val="54"/>
    <w:qFormat/>
    <w:uiPriority w:val="10"/>
    <w:rPr>
      <w:rFonts w:eastAsia="宋体" w:asciiTheme="majorHAnsi" w:hAnsiTheme="majorHAnsi" w:cstheme="majorBidi"/>
      <w:b/>
      <w:bCs/>
      <w:sz w:val="32"/>
      <w:szCs w:val="32"/>
    </w:rPr>
  </w:style>
  <w:style w:type="paragraph" w:customStyle="1" w:styleId="108">
    <w:name w:val="列出段落1"/>
    <w:basedOn w:val="1"/>
    <w:unhideWhenUsed/>
    <w:qFormat/>
    <w:uiPriority w:val="99"/>
    <w:pPr>
      <w:ind w:firstLine="420" w:firstLineChars="200"/>
    </w:pPr>
    <w:rPr>
      <w:rFonts w:ascii="Calibri" w:hAnsi="Calibri" w:eastAsia="宋体" w:cs="Times New Roman"/>
    </w:rPr>
  </w:style>
  <w:style w:type="paragraph" w:customStyle="1" w:styleId="109">
    <w:name w:val="图表标题"/>
    <w:basedOn w:val="1"/>
    <w:next w:val="21"/>
    <w:qFormat/>
    <w:uiPriority w:val="0"/>
    <w:rPr>
      <w:rFonts w:ascii="Times New Roman" w:hAnsi="Times New Roman" w:eastAsia="宋体" w:cs="Times New Roman"/>
      <w:sz w:val="30"/>
      <w:szCs w:val="20"/>
    </w:rPr>
  </w:style>
  <w:style w:type="paragraph" w:customStyle="1" w:styleId="110">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1">
    <w:name w:val="Char"/>
    <w:basedOn w:val="1"/>
    <w:qFormat/>
    <w:uiPriority w:val="0"/>
    <w:rPr>
      <w:rFonts w:ascii="仿宋_GB2312" w:hAnsi="Times New Roman" w:eastAsia="仿宋_GB2312" w:cs="Times New Roman"/>
      <w:b/>
      <w:sz w:val="32"/>
      <w:szCs w:val="32"/>
    </w:rPr>
  </w:style>
  <w:style w:type="paragraph" w:customStyle="1" w:styleId="112">
    <w:name w:val="Char4 Char Char Char"/>
    <w:basedOn w:val="18"/>
    <w:qFormat/>
    <w:uiPriority w:val="0"/>
    <w:rPr>
      <w:rFonts w:ascii="Tahoma" w:hAnsi="Tahoma"/>
      <w:sz w:val="24"/>
    </w:rPr>
  </w:style>
  <w:style w:type="paragraph" w:customStyle="1" w:styleId="113">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4">
    <w:name w:val="Char Char Char"/>
    <w:basedOn w:val="1"/>
    <w:qFormat/>
    <w:uiPriority w:val="0"/>
    <w:pPr>
      <w:ind w:firstLine="360" w:firstLineChars="150"/>
    </w:pPr>
    <w:rPr>
      <w:rFonts w:ascii="Tahoma" w:hAnsi="Tahoma" w:eastAsia="宋体" w:cs="Times New Roman"/>
      <w:sz w:val="24"/>
      <w:szCs w:val="20"/>
    </w:rPr>
  </w:style>
  <w:style w:type="paragraph" w:customStyle="1" w:styleId="115">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6">
    <w:name w:val="legal 2"/>
    <w:basedOn w:val="106"/>
    <w:next w:val="106"/>
    <w:qFormat/>
    <w:uiPriority w:val="0"/>
    <w:pPr>
      <w:spacing w:after="120"/>
    </w:pPr>
    <w:rPr>
      <w:rFonts w:cs="Times New Roman"/>
      <w:color w:val="auto"/>
    </w:rPr>
  </w:style>
  <w:style w:type="paragraph" w:customStyle="1" w:styleId="117">
    <w:name w:val="列表延续"/>
    <w:basedOn w:val="1"/>
    <w:qFormat/>
    <w:uiPriority w:val="0"/>
    <w:pPr>
      <w:tabs>
        <w:tab w:val="left" w:pos="3780"/>
      </w:tabs>
      <w:adjustRightInd w:val="0"/>
      <w:spacing w:line="360" w:lineRule="auto"/>
      <w:ind w:left="3780" w:hanging="420"/>
      <w:textAlignment w:val="baseline"/>
    </w:pPr>
    <w:rPr>
      <w:rFonts w:ascii="Times New Roman" w:hAnsi="Tms Rmn" w:eastAsia="楷体_GB2312" w:cs="Times New Roman"/>
      <w:kern w:val="28"/>
      <w:sz w:val="28"/>
      <w:szCs w:val="20"/>
    </w:rPr>
  </w:style>
  <w:style w:type="paragraph" w:customStyle="1" w:styleId="118">
    <w:name w:val="Legal 5"/>
    <w:basedOn w:val="106"/>
    <w:next w:val="106"/>
    <w:qFormat/>
    <w:uiPriority w:val="0"/>
    <w:pPr>
      <w:spacing w:after="120"/>
    </w:pPr>
    <w:rPr>
      <w:rFonts w:cs="Times New Roman"/>
      <w:color w:val="auto"/>
    </w:rPr>
  </w:style>
  <w:style w:type="paragraph" w:customStyle="1" w:styleId="1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Legal 4"/>
    <w:basedOn w:val="106"/>
    <w:next w:val="106"/>
    <w:qFormat/>
    <w:uiPriority w:val="0"/>
    <w:pPr>
      <w:spacing w:after="120"/>
    </w:pPr>
    <w:rPr>
      <w:rFonts w:cs="Times New Roman"/>
      <w:color w:val="auto"/>
    </w:rPr>
  </w:style>
  <w:style w:type="paragraph" w:customStyle="1" w:styleId="121">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文字3"/>
    <w:basedOn w:val="21"/>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3">
    <w:name w:val="1"/>
    <w:basedOn w:val="1"/>
    <w:qFormat/>
    <w:uiPriority w:val="0"/>
    <w:rPr>
      <w:rFonts w:ascii="仿宋_GB2312" w:hAnsi="Times New Roman" w:eastAsia="仿宋_GB2312" w:cs="Times New Roman"/>
      <w:b/>
      <w:sz w:val="32"/>
      <w:szCs w:val="32"/>
    </w:rPr>
  </w:style>
  <w:style w:type="paragraph" w:customStyle="1" w:styleId="124">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5">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26">
    <w:name w:val="List Paragraph"/>
    <w:basedOn w:val="1"/>
    <w:qFormat/>
    <w:uiPriority w:val="34"/>
    <w:pPr>
      <w:ind w:firstLine="420" w:firstLineChars="200"/>
    </w:pPr>
    <w:rPr>
      <w:sz w:val="24"/>
      <w:szCs w:val="24"/>
    </w:rPr>
  </w:style>
  <w:style w:type="paragraph" w:customStyle="1" w:styleId="127">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128">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129">
    <w:name w:val="中等深浅网格 2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5395</Words>
  <Characters>30752</Characters>
  <Lines>256</Lines>
  <Paragraphs>72</Paragraphs>
  <TotalTime>8</TotalTime>
  <ScaleCrop>false</ScaleCrop>
  <LinksUpToDate>false</LinksUpToDate>
  <CharactersWithSpaces>36075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2019-07-16T06:40:00Z</dcterms:created>
  <dc:creator>王建坤</dc:creator>
  <cp:lastModifiedBy>帝国广阔</cp:lastModifiedBy>
  <cp:lastPrinted>2021-04-26T06:35:00Z</cp:lastPrinted>
  <dcterms:modified xsi:type="dcterms:W3CDTF">2021-05-18T06:22:53Z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