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rPr>
      </w:pPr>
      <w:r>
        <w:rPr>
          <w:rFonts w:hint="eastAsia" w:ascii="黑体" w:hAnsi="黑体" w:eastAsia="黑体"/>
          <w:b/>
          <w:sz w:val="52"/>
          <w:szCs w:val="52"/>
          <w:lang w:eastAsia="zh-CN"/>
        </w:rPr>
        <w:t>杭州萧山国际机场</w:t>
      </w:r>
      <w:r>
        <w:rPr>
          <w:rFonts w:hint="eastAsia" w:ascii="黑体" w:hAnsi="黑体" w:eastAsia="黑体"/>
          <w:b/>
          <w:sz w:val="52"/>
          <w:szCs w:val="52"/>
        </w:rPr>
        <w:t>维修室</w:t>
      </w:r>
      <w:r>
        <w:rPr>
          <w:rFonts w:hint="eastAsia" w:ascii="黑体" w:hAnsi="黑体" w:eastAsia="黑体"/>
          <w:b/>
          <w:sz w:val="52"/>
          <w:szCs w:val="52"/>
          <w:lang w:eastAsia="zh-CN"/>
        </w:rPr>
        <w:t>材料</w:t>
      </w:r>
      <w:r>
        <w:rPr>
          <w:rFonts w:hint="eastAsia" w:ascii="黑体" w:hAnsi="黑体" w:eastAsia="黑体"/>
          <w:b/>
          <w:sz w:val="52"/>
          <w:szCs w:val="52"/>
        </w:rPr>
        <w:t>仓库</w:t>
      </w:r>
    </w:p>
    <w:p>
      <w:pPr>
        <w:widowControl/>
        <w:autoSpaceDE w:val="0"/>
        <w:autoSpaceDN w:val="0"/>
        <w:jc w:val="center"/>
        <w:textAlignment w:val="bottom"/>
        <w:rPr>
          <w:rFonts w:hint="eastAsia" w:ascii="黑体" w:hAnsi="黑体" w:eastAsia="黑体"/>
          <w:sz w:val="52"/>
          <w:szCs w:val="52"/>
          <w:lang w:val="en-US" w:eastAsia="zh-CN"/>
        </w:rPr>
      </w:pPr>
      <w:r>
        <w:rPr>
          <w:rFonts w:hint="eastAsia" w:ascii="黑体" w:hAnsi="黑体" w:eastAsia="黑体"/>
          <w:b/>
          <w:sz w:val="52"/>
          <w:szCs w:val="52"/>
        </w:rPr>
        <w:t>改造项目</w:t>
      </w:r>
      <w:r>
        <w:rPr>
          <w:rFonts w:hint="eastAsia" w:ascii="黑体" w:hAnsi="黑体" w:eastAsia="黑体"/>
          <w:b/>
          <w:sz w:val="52"/>
          <w:szCs w:val="52"/>
          <w:lang w:val="en-US" w:eastAsia="zh-CN"/>
        </w:rPr>
        <w:t>施工</w:t>
      </w:r>
      <w:r>
        <w:rPr>
          <w:rFonts w:ascii="黑体" w:hAnsi="黑体" w:eastAsia="黑体"/>
          <w:b/>
          <w:sz w:val="52"/>
          <w:szCs w:val="52"/>
        </w:rPr>
        <w:t>招标</w:t>
      </w:r>
      <w:r>
        <w:rPr>
          <w:rFonts w:hint="eastAsia" w:ascii="黑体" w:hAnsi="黑体" w:eastAsia="黑体"/>
          <w:b/>
          <w:sz w:val="52"/>
          <w:szCs w:val="52"/>
          <w:lang w:val="en-US" w:eastAsia="zh-CN"/>
        </w:rPr>
        <w:t>公告</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lang w:eastAsia="zh-CN"/>
        </w:rPr>
      </w:pPr>
      <w:r>
        <w:rPr>
          <w:rFonts w:hint="eastAsia" w:eastAsia="黑体" w:cs="Calibri"/>
          <w:sz w:val="32"/>
          <w:szCs w:val="32"/>
          <w:lang w:eastAsia="zh-CN"/>
        </w:rPr>
        <w:t>、</w:t>
      </w:r>
    </w:p>
    <w:p>
      <w:pPr>
        <w:jc w:val="center"/>
        <w:rPr>
          <w:rFonts w:hint="eastAsia" w:eastAsia="黑体" w:cs="Calibri"/>
          <w:sz w:val="32"/>
          <w:szCs w:val="32"/>
          <w:lang w:eastAsia="zh-CN"/>
        </w:rPr>
      </w:pPr>
    </w:p>
    <w:p>
      <w:pPr>
        <w:jc w:val="center"/>
        <w:rPr>
          <w:rFonts w:hint="eastAsia" w:eastAsia="黑体" w:cs="Calibri"/>
          <w:sz w:val="32"/>
          <w:szCs w:val="32"/>
          <w:lang w:eastAsia="zh-CN"/>
        </w:rPr>
      </w:pPr>
    </w:p>
    <w:p>
      <w:pPr>
        <w:jc w:val="center"/>
        <w:rPr>
          <w:rFonts w:eastAsia="黑体" w:cs="Calibri"/>
          <w:sz w:val="32"/>
          <w:szCs w:val="32"/>
        </w:rPr>
      </w:pPr>
      <w:r>
        <w:rPr>
          <w:rFonts w:hint="eastAsia" w:eastAsia="黑体" w:cs="Calibri"/>
          <w:sz w:val="32"/>
          <w:szCs w:val="32"/>
        </w:rPr>
        <w:t>杭州萧山国际机场有限公司</w:t>
      </w: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rFonts w:hint="eastAsia"/>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sdt>
      <w:sdtPr>
        <w:rPr>
          <w:rFonts w:ascii="宋体" w:hAnsi="宋体" w:eastAsia="宋体" w:cstheme="minorBidi"/>
          <w:kern w:val="2"/>
          <w:sz w:val="21"/>
          <w:szCs w:val="22"/>
          <w:lang w:val="en-US" w:eastAsia="zh-CN" w:bidi="ar-SA"/>
        </w:rPr>
        <w:id w:val="147456706"/>
        <w15:color w:val="DBDBDB"/>
      </w:sdtPr>
      <w:sdtEndPr>
        <w:rPr>
          <w:rFonts w:hint="eastAsia" w:asciiTheme="minorEastAsia" w:hAnsiTheme="minorEastAsia" w:eastAsiaTheme="minorEastAsia" w:cstheme="minorEastAsia"/>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36"/>
            <w:tabs>
              <w:tab w:val="right" w:leader="dot" w:pos="9639"/>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TOC \o "1-3" \h \u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_Toc16063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第一章 招标公告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_Toc16063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rPr>
            <w:fldChar w:fldCharType="end"/>
          </w:r>
        </w:p>
        <w:p>
          <w:pPr>
            <w:pStyle w:val="36"/>
            <w:tabs>
              <w:tab w:val="right" w:leader="dot" w:pos="9639"/>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_Toc22995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第二章 评标办法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_Toc22995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rPr>
            <w:fldChar w:fldCharType="end"/>
          </w:r>
        </w:p>
        <w:p>
          <w:pPr>
            <w:pStyle w:val="36"/>
            <w:tabs>
              <w:tab w:val="right" w:leader="dot" w:pos="9639"/>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_Toc10512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lang w:val="en-US" w:eastAsia="zh-CN"/>
            </w:rPr>
            <w:t>第三章</w:t>
          </w:r>
          <w:r>
            <w:rPr>
              <w:rFonts w:hint="eastAsia" w:asciiTheme="minorEastAsia" w:hAnsiTheme="minorEastAsia" w:eastAsiaTheme="minorEastAsia" w:cstheme="minorEastAsia"/>
              <w:sz w:val="28"/>
              <w:szCs w:val="28"/>
            </w:rPr>
            <w:t xml:space="preserve"> 合同条款及格式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_Toc10512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rPr>
            <w:fldChar w:fldCharType="end"/>
          </w:r>
        </w:p>
        <w:p>
          <w:pPr>
            <w:pStyle w:val="36"/>
            <w:tabs>
              <w:tab w:val="right" w:leader="dot" w:pos="9639"/>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_Toc7514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章 工程量清单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_Toc7514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rPr>
            <w:fldChar w:fldCharType="end"/>
          </w:r>
        </w:p>
        <w:p>
          <w:pPr>
            <w:pStyle w:val="36"/>
            <w:tabs>
              <w:tab w:val="right" w:leader="dot" w:pos="9639"/>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_Toc4136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 xml:space="preserve">章 </w:t>
          </w:r>
          <w:r>
            <w:rPr>
              <w:rFonts w:hint="eastAsia" w:asciiTheme="minorEastAsia" w:hAnsiTheme="minorEastAsia" w:eastAsiaTheme="minorEastAsia" w:cstheme="minorEastAsia"/>
              <w:sz w:val="28"/>
              <w:szCs w:val="28"/>
              <w:lang w:val="en-US" w:eastAsia="zh-CN"/>
            </w:rPr>
            <w:t>技术标准及要求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_Toc4136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rPr>
            <w:fldChar w:fldCharType="end"/>
          </w:r>
        </w:p>
        <w:p>
          <w:pPr>
            <w:pStyle w:val="36"/>
            <w:tabs>
              <w:tab w:val="right" w:leader="dot" w:pos="9639"/>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HYPERLINK \l _Toc10157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sz w:val="28"/>
              <w:szCs w:val="28"/>
            </w:rPr>
            <w:t>第</w:t>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章 投标文件格式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_Toc10157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rPr>
            <w:fldChar w:fldCharType="end"/>
          </w:r>
        </w:p>
        <w:p>
          <w:pPr>
            <w:spacing w:line="5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Cs/>
              <w:sz w:val="28"/>
              <w:szCs w:val="28"/>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sz w:val="44"/>
          <w:szCs w:val="44"/>
        </w:rPr>
      </w:pPr>
    </w:p>
    <w:p>
      <w:pPr>
        <w:pStyle w:val="48"/>
        <w:bidi w:val="0"/>
      </w:pPr>
      <w:bookmarkStart w:id="0" w:name="_Toc16063"/>
      <w:bookmarkStart w:id="1" w:name="_Toc448097401"/>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kern w:val="0"/>
          <w:sz w:val="24"/>
          <w:szCs w:val="24"/>
        </w:rPr>
      </w:pPr>
      <w:bookmarkStart w:id="2" w:name="_Toc448097403"/>
      <w:bookmarkStart w:id="3" w:name="_Toc448097402"/>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4"/>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项目概况：杭州萧山国际机场维修室</w:t>
      </w:r>
      <w:r>
        <w:rPr>
          <w:rFonts w:hint="eastAsia" w:ascii="宋体" w:hAnsi="宋体" w:eastAsia="宋体" w:cs="宋体"/>
          <w:kern w:val="0"/>
          <w:sz w:val="24"/>
          <w:szCs w:val="24"/>
          <w:lang w:eastAsia="zh-CN"/>
        </w:rPr>
        <w:t>材料</w:t>
      </w:r>
      <w:r>
        <w:rPr>
          <w:rFonts w:hint="eastAsia" w:ascii="宋体" w:hAnsi="宋体" w:eastAsia="宋体" w:cs="宋体"/>
          <w:kern w:val="0"/>
          <w:sz w:val="24"/>
          <w:szCs w:val="24"/>
        </w:rPr>
        <w:t>仓库改造项目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位于</w:t>
      </w:r>
      <w:r>
        <w:rPr>
          <w:rFonts w:hint="eastAsia" w:ascii="宋体" w:hAnsi="宋体" w:eastAsia="宋体" w:cs="宋体"/>
          <w:kern w:val="0"/>
          <w:sz w:val="24"/>
          <w:szCs w:val="24"/>
          <w:lang w:eastAsia="zh-CN"/>
        </w:rPr>
        <w:t>杭州萧山国际机场</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地面水性涂料、货架搬运及材料整理、防爆灯安装、火灾探测报警器安装</w:t>
      </w:r>
      <w:r>
        <w:rPr>
          <w:rFonts w:hint="eastAsia" w:ascii="宋体" w:hAnsi="宋体" w:eastAsia="宋体" w:cs="宋体"/>
          <w:kern w:val="0"/>
          <w:sz w:val="24"/>
          <w:szCs w:val="24"/>
        </w:rPr>
        <w:t>等工作内容。</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工程量清单和技术标准及要求</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lang w:val="en-US" w:eastAsia="zh-CN"/>
        </w:rPr>
        <w:t>50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rPr>
          <w:rFonts w:hint="eastAsia" w:ascii="宋体" w:hAnsi="宋体" w:cs="Calibri"/>
          <w:kern w:val="0"/>
          <w:sz w:val="22"/>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cs="Calibri"/>
          <w:kern w:val="0"/>
          <w:sz w:val="22"/>
          <w:lang w:val="en-US" w:eastAsia="zh-CN"/>
        </w:rPr>
        <w:t>质量要求：符合合同要求且一次验收合格。</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或具有</w:t>
      </w:r>
      <w:r>
        <w:rPr>
          <w:rFonts w:hint="eastAsia" w:ascii="宋体" w:hAnsi="宋体" w:eastAsia="宋体" w:cs="宋体"/>
          <w:b/>
          <w:bCs/>
          <w:sz w:val="24"/>
          <w:szCs w:val="24"/>
          <w:u w:val="single"/>
          <w:lang w:eastAsia="zh-CN"/>
        </w:rPr>
        <w:t>建筑装修装饰工程</w:t>
      </w:r>
      <w:r>
        <w:rPr>
          <w:rFonts w:hint="eastAsia" w:ascii="宋体" w:hAnsi="宋体" w:eastAsia="宋体" w:cs="宋体"/>
          <w:b/>
          <w:bCs/>
          <w:sz w:val="24"/>
          <w:szCs w:val="24"/>
          <w:u w:val="none"/>
          <w:lang w:eastAsia="zh-CN"/>
        </w:rPr>
        <w:t>专业承包二级及以上资质；</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w:t>
      </w:r>
      <w:r>
        <w:rPr>
          <w:rFonts w:hint="eastAsia" w:ascii="宋体" w:hAnsi="宋体" w:eastAsia="宋体" w:cs="宋体"/>
          <w:b/>
          <w:bCs/>
          <w:sz w:val="24"/>
          <w:szCs w:val="24"/>
          <w:lang w:val="en-US" w:eastAsia="zh-CN"/>
        </w:rPr>
        <w:t>投标人均须参加现场踏勘，否则其投标将不被接受。</w:t>
      </w:r>
      <w:r>
        <w:rPr>
          <w:rFonts w:hint="eastAsia" w:ascii="宋体" w:hAnsi="宋体" w:eastAsia="宋体" w:cs="宋体"/>
          <w:b w:val="0"/>
          <w:bCs w:val="0"/>
          <w:sz w:val="24"/>
          <w:szCs w:val="24"/>
          <w:lang w:val="en-US" w:eastAsia="zh-CN"/>
        </w:rPr>
        <w:t>集中踏勘时间为</w:t>
      </w:r>
      <w:r>
        <w:rPr>
          <w:rFonts w:hint="eastAsia" w:ascii="宋体" w:hAnsi="宋体" w:eastAsia="宋体" w:cs="宋体"/>
          <w:color w:val="auto"/>
          <w:kern w:val="0"/>
          <w:sz w:val="24"/>
          <w:szCs w:val="24"/>
        </w:rPr>
        <w:t xml:space="preserve">2021年 </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 xml:space="preserve">月 </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 xml:space="preserve">00 </w:t>
      </w:r>
      <w:r>
        <w:rPr>
          <w:rFonts w:hint="eastAsia" w:ascii="宋体" w:hAnsi="宋体" w:eastAsia="宋体" w:cs="宋体"/>
          <w:color w:val="auto"/>
          <w:kern w:val="0"/>
          <w:sz w:val="24"/>
          <w:szCs w:val="24"/>
        </w:rPr>
        <w:t>分（北京时间）</w:t>
      </w:r>
      <w:r>
        <w:rPr>
          <w:rFonts w:hint="eastAsia" w:ascii="宋体" w:hAnsi="宋体" w:eastAsia="宋体" w:cs="宋体"/>
          <w:color w:val="auto"/>
          <w:kern w:val="0"/>
          <w:sz w:val="24"/>
          <w:szCs w:val="24"/>
          <w:lang w:eastAsia="zh-CN"/>
        </w:rPr>
        <w:t>。踏勘集中地点为萧山国际机场动力部物业维修中心。</w:t>
      </w:r>
    </w:p>
    <w:p>
      <w:pPr>
        <w:keepNext w:val="0"/>
        <w:keepLines w:val="0"/>
        <w:pageBreakBefore w:val="0"/>
        <w:numPr>
          <w:ilvl w:val="0"/>
          <w:numId w:val="5"/>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val="0"/>
          <w:bCs w:val="0"/>
          <w:color w:val="auto"/>
          <w:kern w:val="0"/>
          <w:sz w:val="24"/>
          <w:szCs w:val="24"/>
          <w:lang w:val="en-US" w:eastAsia="zh-CN"/>
        </w:rPr>
        <w:t>2021年 6月 5日16时 00分前，</w:t>
      </w:r>
      <w:r>
        <w:rPr>
          <w:rFonts w:hint="eastAsia" w:ascii="宋体" w:hAnsi="宋体" w:eastAsia="宋体" w:cs="宋体"/>
          <w:b w:val="0"/>
          <w:bCs w:val="0"/>
          <w:kern w:val="0"/>
          <w:sz w:val="24"/>
          <w:szCs w:val="24"/>
          <w:lang w:val="en-US" w:eastAsia="zh-CN"/>
        </w:rPr>
        <w:t>以E-mail及书面（传真）形式提交给</w:t>
      </w:r>
      <w:r>
        <w:rPr>
          <w:rFonts w:hint="eastAsia" w:ascii="宋体" w:hAnsi="宋体" w:eastAsia="宋体" w:cs="宋体"/>
          <w:b w:val="0"/>
          <w:bCs w:val="0"/>
          <w:color w:val="auto"/>
          <w:kern w:val="0"/>
          <w:sz w:val="24"/>
          <w:szCs w:val="24"/>
          <w:lang w:val="en-US" w:eastAsia="zh-CN"/>
        </w:rPr>
        <w:t>招标人</w:t>
      </w:r>
      <w:r>
        <w:rPr>
          <w:rFonts w:hint="eastAsia" w:ascii="宋体" w:hAnsi="宋体" w:eastAsia="宋体" w:cs="宋体"/>
          <w:b w:val="0"/>
          <w:bCs w:val="0"/>
          <w:color w:val="FF0000"/>
          <w:kern w:val="0"/>
          <w:sz w:val="24"/>
          <w:szCs w:val="24"/>
          <w:lang w:val="en-US" w:eastAsia="zh-CN"/>
        </w:rPr>
        <w:t>（</w:t>
      </w:r>
      <w:r>
        <w:rPr>
          <w:rFonts w:hint="eastAsia" w:ascii="宋体" w:hAnsi="宋体" w:eastAsia="宋体" w:cs="宋体"/>
          <w:b w:val="0"/>
          <w:bCs w:val="0"/>
          <w:kern w:val="0"/>
          <w:sz w:val="24"/>
          <w:szCs w:val="24"/>
          <w:lang w:val="en-US" w:eastAsia="zh-CN"/>
        </w:rPr>
        <w:t>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auto"/>
          <w:kern w:val="0"/>
          <w:sz w:val="24"/>
          <w:szCs w:val="24"/>
          <w:lang w:val="en-US" w:eastAsia="zh-CN"/>
        </w:rPr>
        <w:t>2021年6月9日 9时00分</w:t>
      </w:r>
      <w:r>
        <w:rPr>
          <w:rFonts w:hint="eastAsia" w:ascii="宋体" w:hAnsi="宋体" w:eastAsia="宋体" w:cs="宋体"/>
          <w:color w:val="auto"/>
          <w:kern w:val="0"/>
          <w:sz w:val="24"/>
          <w:szCs w:val="24"/>
        </w:rPr>
        <w:t>（北京时间）。投标文件在封口处加盖公章</w:t>
      </w:r>
      <w:r>
        <w:rPr>
          <w:rFonts w:hint="eastAsia" w:ascii="宋体" w:hAnsi="宋体" w:eastAsia="宋体" w:cs="宋体"/>
          <w:color w:val="auto"/>
          <w:kern w:val="0"/>
          <w:sz w:val="24"/>
          <w:szCs w:val="24"/>
          <w:lang w:val="en-US" w:eastAsia="zh-CN"/>
        </w:rPr>
        <w:t>并注明是：</w:t>
      </w:r>
      <w:r>
        <w:rPr>
          <w:rFonts w:hint="eastAsia" w:ascii="宋体" w:hAnsi="宋体" w:eastAsia="宋体" w:cs="宋体"/>
          <w:b/>
          <w:bCs/>
          <w:color w:val="auto"/>
          <w:sz w:val="24"/>
          <w:szCs w:val="24"/>
          <w:lang w:val="en-US" w:eastAsia="zh-CN"/>
        </w:rPr>
        <w:t>杭州萧山国际机场维修室材料仓库改造项目</w:t>
      </w:r>
      <w:r>
        <w:rPr>
          <w:rFonts w:hint="eastAsia" w:ascii="宋体" w:hAnsi="宋体" w:eastAsia="宋体" w:cs="宋体"/>
          <w:b/>
          <w:bCs/>
          <w:color w:val="auto"/>
          <w:kern w:val="0"/>
          <w:sz w:val="24"/>
          <w:szCs w:val="24"/>
          <w:lang w:val="en-US" w:eastAsia="zh-CN"/>
        </w:rPr>
        <w:t>投标文件</w:t>
      </w:r>
      <w:r>
        <w:rPr>
          <w:rFonts w:hint="eastAsia" w:ascii="宋体" w:hAnsi="宋体" w:eastAsia="宋体" w:cs="宋体"/>
          <w:color w:val="auto"/>
          <w:kern w:val="0"/>
          <w:sz w:val="24"/>
          <w:szCs w:val="24"/>
        </w:rPr>
        <w:t>，并派专人于</w:t>
      </w:r>
      <w:r>
        <w:rPr>
          <w:rFonts w:hint="eastAsia" w:ascii="宋体" w:hAnsi="宋体" w:eastAsia="宋体" w:cs="宋体"/>
          <w:color w:val="auto"/>
          <w:kern w:val="0"/>
          <w:sz w:val="24"/>
          <w:szCs w:val="24"/>
          <w:lang w:val="en-US" w:eastAsia="zh-CN"/>
        </w:rPr>
        <w:t>2021年6月9日 14时00分</w:t>
      </w:r>
      <w:r>
        <w:rPr>
          <w:rFonts w:hint="eastAsia" w:ascii="宋体" w:hAnsi="宋体" w:eastAsia="宋体" w:cs="宋体"/>
          <w:color w:val="auto"/>
          <w:kern w:val="0"/>
          <w:sz w:val="24"/>
          <w:szCs w:val="24"/>
        </w:rPr>
        <w:t>（北京时间）前送至州萧山国际机场翔越路综合服务楼园区招标中心</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 xml:space="preserve">逾期无效；若采用投递方式的，请于2021年 </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 xml:space="preserve">月 </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 xml:space="preserve"> 00</w:t>
      </w:r>
      <w:r>
        <w:rPr>
          <w:rFonts w:hint="eastAsia" w:ascii="宋体" w:hAnsi="宋体" w:eastAsia="宋体" w:cs="宋体"/>
          <w:color w:val="auto"/>
          <w:kern w:val="0"/>
          <w:sz w:val="24"/>
          <w:szCs w:val="24"/>
        </w:rPr>
        <w:t>分（北京时间）前投递至杭州萧山国际机场</w:t>
      </w:r>
      <w:r>
        <w:rPr>
          <w:rFonts w:hint="eastAsia" w:ascii="宋体" w:hAnsi="宋体" w:eastAsia="宋体" w:cs="宋体"/>
          <w:color w:val="auto"/>
          <w:kern w:val="0"/>
          <w:sz w:val="24"/>
          <w:szCs w:val="24"/>
          <w:lang w:eastAsia="zh-CN"/>
        </w:rPr>
        <w:t>动力部物业维修中心</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快递面单上注明是：</w:t>
      </w:r>
      <w:r>
        <w:rPr>
          <w:rFonts w:hint="eastAsia" w:ascii="宋体" w:hAnsi="宋体" w:eastAsia="宋体" w:cs="宋体"/>
          <w:b/>
          <w:bCs/>
          <w:color w:val="auto"/>
          <w:sz w:val="24"/>
          <w:szCs w:val="24"/>
          <w:lang w:val="en-US" w:eastAsia="zh-CN"/>
        </w:rPr>
        <w:t>杭州萧山国际机场</w:t>
      </w:r>
      <w:r>
        <w:rPr>
          <w:rFonts w:hint="eastAsia" w:ascii="宋体" w:hAnsi="宋体" w:eastAsia="宋体" w:cs="宋体"/>
          <w:b/>
          <w:bCs/>
          <w:color w:val="000000" w:themeColor="text1"/>
          <w:sz w:val="24"/>
          <w:szCs w:val="24"/>
          <w:lang w:val="en-US" w:eastAsia="zh-CN"/>
          <w14:textFill>
            <w14:solidFill>
              <w14:schemeClr w14:val="tx1"/>
            </w14:solidFill>
          </w14:textFill>
        </w:rPr>
        <w:t>维修室材料仓库改造项目投标文件</w:t>
      </w:r>
      <w:r>
        <w:rPr>
          <w:rFonts w:hint="eastAsia" w:ascii="宋体" w:hAnsi="宋体" w:eastAsia="宋体" w:cs="宋体"/>
          <w:kern w:val="0"/>
          <w:sz w:val="24"/>
          <w:szCs w:val="24"/>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cs="Calibri"/>
          <w:kern w:val="0"/>
          <w:sz w:val="22"/>
          <w:lang w:eastAsia="zh-CN"/>
        </w:rPr>
      </w:pPr>
      <w:r>
        <w:rPr>
          <w:rFonts w:hint="eastAsia" w:ascii="宋体" w:hAnsi="宋体" w:eastAsia="宋体" w:cs="宋体"/>
          <w:sz w:val="24"/>
          <w:szCs w:val="24"/>
          <w:lang w:val="en-US" w:eastAsia="zh-CN"/>
        </w:rPr>
        <w:t>（6）</w:t>
      </w:r>
      <w:r>
        <w:rPr>
          <w:rFonts w:ascii="宋体" w:hAnsi="宋体" w:cs="Calibri"/>
          <w:kern w:val="0"/>
          <w:sz w:val="22"/>
        </w:rPr>
        <w:t>封套上写明</w:t>
      </w:r>
      <w:r>
        <w:rPr>
          <w:rFonts w:hint="eastAsia" w:ascii="宋体" w:hAnsi="宋体" w:cs="Calibri"/>
          <w:kern w:val="0"/>
          <w:sz w:val="22"/>
          <w:lang w:eastAsia="zh-CN"/>
        </w:rPr>
        <w:t>：</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杭州萧山国际机场维修室材料仓库改造项目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2021</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cstheme="minorEastAsia"/>
          <w:color w:val="auto"/>
          <w:kern w:val="0"/>
          <w:sz w:val="24"/>
          <w:szCs w:val="24"/>
          <w:u w:val="single"/>
          <w:lang w:val="en-US" w:eastAsia="zh-CN"/>
        </w:rPr>
        <w:t>6</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日</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cstheme="minorEastAsia"/>
          <w:color w:val="auto"/>
          <w:kern w:val="0"/>
          <w:sz w:val="24"/>
          <w:szCs w:val="24"/>
          <w:u w:val="single"/>
          <w:lang w:val="en-US" w:eastAsia="zh-CN"/>
        </w:rPr>
        <w:t>9</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时</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cstheme="minorEastAsia"/>
          <w:color w:val="auto"/>
          <w:kern w:val="0"/>
          <w:sz w:val="24"/>
          <w:szCs w:val="24"/>
          <w:u w:val="single"/>
          <w:lang w:val="en-US" w:eastAsia="zh-CN"/>
        </w:rPr>
        <w:t xml:space="preserve"> 00</w:t>
      </w:r>
      <w:r>
        <w:rPr>
          <w:rFonts w:hint="eastAsia" w:asciiTheme="minorEastAsia" w:hAnsiTheme="minorEastAsia" w:eastAsiaTheme="minorEastAsia" w:cstheme="minorEastAsia"/>
          <w:color w:val="auto"/>
          <w:kern w:val="0"/>
          <w:sz w:val="24"/>
          <w:szCs w:val="24"/>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6"/>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bookmarkStart w:id="20" w:name="_GoBack"/>
      <w:bookmarkEnd w:id="20"/>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7"/>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评标委员会推荐的中标候选人数：1人。</w:t>
      </w:r>
    </w:p>
    <w:p>
      <w:pPr>
        <w:keepNext w:val="0"/>
        <w:keepLines w:val="0"/>
        <w:pageBreakBefore w:val="0"/>
        <w:widowControl/>
        <w:numPr>
          <w:ilvl w:val="0"/>
          <w:numId w:val="7"/>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kinsoku/>
        <w:wordWrap/>
        <w:overflowPunct/>
        <w:topLinePunct w:val="0"/>
        <w:autoSpaceDE/>
        <w:autoSpaceDN/>
        <w:bidi w:val="0"/>
        <w:spacing w:line="320" w:lineRule="exact"/>
        <w:ind w:left="0" w:leftChars="0" w:right="0" w:rightChars="0" w:firstLine="720"/>
        <w:jc w:val="center"/>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20" w:lineRule="exact"/>
        <w:ind w:left="0" w:leftChars="0" w:right="0" w:rightChars="0" w:firstLine="560"/>
        <w:textAlignment w:val="auto"/>
        <w:rPr>
          <w:rFonts w:hint="eastAsia" w:ascii="宋体" w:hAnsi="宋体" w:eastAsia="宋体" w:cs="宋体"/>
          <w:sz w:val="24"/>
          <w:szCs w:val="24"/>
          <w:shd w:val="clear" w:color="auto" w:fill="FFFFFF"/>
        </w:rP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both"/>
      </w:pPr>
    </w:p>
    <w:p>
      <w:pPr>
        <w:pStyle w:val="48"/>
        <w:jc w:val="center"/>
      </w:pPr>
      <w:bookmarkStart w:id="4" w:name="_Toc22995"/>
      <w:r>
        <w:t>第</w:t>
      </w:r>
      <w:r>
        <w:rPr>
          <w:rFonts w:hint="eastAsia"/>
        </w:rPr>
        <w:t>二</w:t>
      </w:r>
      <w:r>
        <w:t xml:space="preserve">章  </w:t>
      </w:r>
      <w:r>
        <w:rPr>
          <w:rFonts w:hint="eastAsia"/>
        </w:rPr>
        <w:t>评标办法</w:t>
      </w:r>
      <w:bookmarkEnd w:id="2"/>
      <w:bookmarkEnd w:id="3"/>
      <w:bookmarkEnd w:id="4"/>
    </w:p>
    <w:p>
      <w:pPr>
        <w:autoSpaceDE w:val="0"/>
        <w:autoSpaceDN w:val="0"/>
        <w:adjustRightInd w:val="0"/>
        <w:spacing w:before="3" w:line="100" w:lineRule="exact"/>
        <w:jc w:val="left"/>
        <w:rPr>
          <w:rFonts w:ascii="微软雅黑" w:hAnsi="Times New Roman" w:cs="微软雅黑"/>
          <w:kern w:val="0"/>
          <w:sz w:val="10"/>
          <w:szCs w:val="10"/>
        </w:rPr>
      </w:pPr>
      <w:bookmarkStart w:id="5" w:name="_Toc31578"/>
    </w:p>
    <w:bookmarkEnd w:id="5"/>
    <w:p>
      <w:pPr>
        <w:adjustRightInd w:val="0"/>
        <w:snapToGrid w:val="0"/>
        <w:spacing w:line="360" w:lineRule="exact"/>
        <w:ind w:firstLine="440" w:firstLineChars="200"/>
        <w:rPr>
          <w:rFonts w:ascii="宋体" w:hAnsi="宋体" w:cs="宋体"/>
          <w:sz w:val="22"/>
        </w:rPr>
      </w:pPr>
      <w:bookmarkStart w:id="6" w:name="_Toc448097404"/>
      <w:bookmarkStart w:id="7"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w:t>
      </w:r>
      <w:r>
        <w:rPr>
          <w:rFonts w:hint="eastAsia" w:ascii="宋体" w:hAnsi="宋体" w:cs="宋体"/>
          <w:sz w:val="22"/>
          <w:lang w:val="en-US" w:eastAsia="zh-CN"/>
        </w:rPr>
        <w:t>负责</w:t>
      </w:r>
      <w:r>
        <w:rPr>
          <w:rFonts w:hint="eastAsia" w:ascii="宋体" w:hAnsi="宋体" w:cs="宋体"/>
          <w:sz w:val="22"/>
        </w:rPr>
        <w:t>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utoSpaceDE w:val="0"/>
        <w:autoSpaceDN w:val="0"/>
        <w:adjustRightInd w:val="0"/>
        <w:spacing w:line="360" w:lineRule="auto"/>
        <w:rPr>
          <w:rFonts w:ascii="宋体" w:hAnsi="宋体" w:cs="宋体"/>
          <w:kern w:val="0"/>
          <w:szCs w:val="21"/>
          <w:lang w:val="zh-CN"/>
        </w:rPr>
      </w:pPr>
    </w:p>
    <w:p>
      <w:pPr>
        <w:pStyle w:val="48"/>
        <w:rPr>
          <w:rFonts w:hint="eastAsia"/>
          <w:lang w:val="en-US" w:eastAsia="zh-CN"/>
        </w:rPr>
      </w:pPr>
      <w:r>
        <w:rPr>
          <w:rFonts w:ascii="宋体" w:hAnsi="宋体" w:cs="宋体"/>
          <w:sz w:val="22"/>
        </w:rPr>
        <w:br w:type="page"/>
      </w:r>
    </w:p>
    <w:p>
      <w:pPr>
        <w:pStyle w:val="48"/>
        <w:jc w:val="center"/>
        <w:rPr>
          <w:rFonts w:ascii="宋体" w:hAnsi="宋体" w:cs="宋体"/>
          <w:b/>
          <w:sz w:val="28"/>
          <w:szCs w:val="20"/>
        </w:rPr>
      </w:pPr>
      <w:bookmarkStart w:id="8" w:name="_Toc10512"/>
      <w:r>
        <w:rPr>
          <w:rFonts w:hint="eastAsia"/>
          <w:lang w:val="en-US" w:eastAsia="zh-CN"/>
        </w:rPr>
        <w:t>第三章</w:t>
      </w:r>
      <w:r>
        <w:t xml:space="preserve">  </w:t>
      </w:r>
      <w:r>
        <w:rPr>
          <w:rFonts w:hint="eastAsia"/>
        </w:rPr>
        <w:t>合同条款及格式</w:t>
      </w:r>
      <w:bookmarkEnd w:id="6"/>
      <w:bookmarkEnd w:id="8"/>
      <w:bookmarkStart w:id="9" w:name="_Toc448097405"/>
    </w:p>
    <w:bookmarkEnd w:id="9"/>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lang w:val="en-US" w:eastAsia="zh-CN"/>
        </w:rPr>
      </w:pPr>
      <w:bookmarkStart w:id="10" w:name="_Toc448097407"/>
      <w:r>
        <w:rPr>
          <w:rFonts w:hint="eastAsia" w:ascii="宋体" w:hAnsi="宋体" w:eastAsia="宋体" w:cs="宋体"/>
          <w:b/>
          <w:bCs/>
          <w:sz w:val="36"/>
          <w:szCs w:val="36"/>
          <w:lang w:val="en-US" w:eastAsia="zh-CN"/>
        </w:rPr>
        <w:t>杭州萧山国际机场维修室材料仓库改造项目</w:t>
      </w: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257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7HiPOdgAAAAJAQAADwAA&#10;AAAAAAABACAAAAAiAAAAZHJzL2Rvd25yZXYueG1sUEsBAhQAFAAAAAgAh07iQPcLLDndAQAAiQ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1552;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》和《中华人民共和国建筑法》的规定，结合本工程具体情况，双方达成如下协议。</w:t>
      </w:r>
    </w:p>
    <w:p>
      <w:pPr>
        <w:keepNext w:val="0"/>
        <w:keepLines w:val="0"/>
        <w:pageBreakBefore w:val="0"/>
        <w:numPr>
          <w:ilvl w:val="0"/>
          <w:numId w:val="8"/>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lang w:eastAsia="zh-CN"/>
        </w:rPr>
      </w:pPr>
      <w:r>
        <w:rPr>
          <w:rFonts w:hint="eastAsia" w:ascii="宋体" w:hAnsi="宋体" w:eastAsia="宋体" w:cs="宋体"/>
          <w:sz w:val="24"/>
          <w:szCs w:val="24"/>
        </w:rPr>
        <w:t>1.1工程名称：</w:t>
      </w:r>
      <w:r>
        <w:rPr>
          <w:rFonts w:hint="eastAsia" w:ascii="宋体" w:hAnsi="宋体" w:eastAsia="宋体" w:cs="宋体"/>
          <w:sz w:val="24"/>
          <w:szCs w:val="24"/>
          <w:lang w:eastAsia="zh-CN"/>
        </w:rPr>
        <w:t>杭州萧山国际机场维修室材料仓库改造项目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w:t>
      </w:r>
      <w:r>
        <w:rPr>
          <w:rFonts w:hint="eastAsia" w:ascii="宋体" w:hAnsi="宋体" w:eastAsia="宋体" w:cs="宋体"/>
          <w:kern w:val="0"/>
          <w:sz w:val="24"/>
          <w:szCs w:val="24"/>
        </w:rPr>
        <w:t>主要包括</w:t>
      </w:r>
      <w:r>
        <w:rPr>
          <w:rFonts w:hint="eastAsia" w:ascii="宋体" w:hAnsi="宋体" w:eastAsia="宋体" w:cs="宋体"/>
          <w:kern w:val="0"/>
          <w:sz w:val="24"/>
          <w:szCs w:val="24"/>
          <w:lang w:eastAsia="zh-CN"/>
        </w:rPr>
        <w:t>地面水性涂料、货架搬运及材料整理、防爆灯安装、火灾探测报警器安装</w:t>
      </w:r>
      <w:r>
        <w:rPr>
          <w:rFonts w:hint="eastAsia" w:ascii="宋体" w:hAnsi="宋体" w:eastAsia="宋体" w:cs="宋体"/>
          <w:sz w:val="24"/>
          <w:szCs w:val="24"/>
        </w:rPr>
        <w:t>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50</w:t>
      </w:r>
      <w:r>
        <w:rPr>
          <w:rFonts w:hint="eastAsia" w:ascii="宋体" w:hAnsi="宋体" w:eastAsia="宋体" w:cs="宋体"/>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2" name="直接连接符 2"/>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3600;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1Fyn&#10;Ie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8"/>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rPr>
        <w:t>工程预算审核</w:t>
      </w:r>
      <w:r>
        <w:rPr>
          <w:rFonts w:hint="eastAsia" w:ascii="宋体" w:hAnsi="宋体" w:eastAsia="宋体" w:cs="宋体"/>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监理公司进行工程监理，监理公司任命 </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8"/>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9"/>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1" w:name="_Hlk47444557"/>
    </w:p>
    <w:bookmarkEnd w:id="11"/>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工程竣工验收通过后，发包人向承包人支付至合同价款的50%；工程完成工程结算，经发包人认可后30天内，发包人向承包人支付至结算价的95%；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变更估价时，工程量清单中有的项目单价，按乙方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9.1由于乙方原因，逾期竣工，每逾期一天，乙方支付甲方</w:t>
      </w:r>
      <w:r>
        <w:rPr>
          <w:rFonts w:hint="eastAsia" w:ascii="宋体" w:hAnsi="宋体" w:eastAsia="宋体" w:cs="宋体"/>
          <w:sz w:val="24"/>
          <w:szCs w:val="24"/>
          <w:lang w:eastAsia="zh-CN"/>
        </w:rPr>
        <w:t>壹万</w:t>
      </w:r>
      <w:r>
        <w:rPr>
          <w:rFonts w:hint="eastAsia" w:ascii="宋体" w:hAnsi="宋体" w:eastAsia="宋体" w:cs="宋体"/>
          <w:sz w:val="24"/>
          <w:szCs w:val="24"/>
        </w:rPr>
        <w:t>元违约金</w:t>
      </w:r>
      <w:r>
        <w:rPr>
          <w:rFonts w:hint="eastAsia" w:ascii="宋体" w:hAnsi="宋体" w:eastAsia="宋体" w:cs="宋体"/>
          <w:sz w:val="24"/>
          <w:szCs w:val="24"/>
          <w:lang w:eastAsia="zh-CN"/>
        </w:rPr>
        <w:t>；甲方有权终止合同，有权没收乙方入库履约保证金，并保留对乙方追溯赔偿其他一切损失的权利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widowControl w:val="0"/>
        <w:tabs>
          <w:tab w:val="left" w:pos="540"/>
        </w:tabs>
        <w:kinsoku/>
        <w:wordWrap/>
        <w:overflowPunct/>
        <w:topLinePunct/>
        <w:autoSpaceDE/>
        <w:autoSpaceDN/>
        <w:bidi w:val="0"/>
        <w:adjustRightInd/>
        <w:snapToGrid/>
        <w:spacing w:after="156" w:afterLines="50"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杭州萧山国际机场维修室材料仓库改造项目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130"/>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lang w:eastAsia="zh-CN"/>
        </w:rPr>
        <w:t>杭州萧山国际机场维修室材料仓库改造项目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w:t>
      </w:r>
      <w:r>
        <w:rPr>
          <w:rFonts w:hint="eastAsia" w:ascii="宋体" w:hAnsi="宋体" w:eastAsia="宋体" w:cs="宋体"/>
          <w:sz w:val="24"/>
          <w:szCs w:val="24"/>
          <w:lang w:eastAsia="zh-CN"/>
        </w:rPr>
        <w:t>杭州萧山国际机场维修室材料仓库改造项目</w:t>
      </w:r>
      <w:r>
        <w:rPr>
          <w:rFonts w:hint="eastAsia" w:ascii="宋体" w:hAnsi="宋体" w:eastAsia="宋体" w:cs="宋体"/>
          <w:sz w:val="24"/>
          <w:szCs w:val="24"/>
          <w:lang w:val="en-US" w:eastAsia="zh-CN"/>
        </w:rPr>
        <w:t>施工合同</w:t>
      </w:r>
      <w:r>
        <w:rPr>
          <w:rFonts w:hint="eastAsia" w:ascii="宋体" w:hAnsi="宋体" w:eastAsia="宋体" w:cs="宋体"/>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宋体" w:hAnsi="宋体" w:eastAsia="宋体" w:cs="宋体"/>
          <w:b w:val="0"/>
          <w:bCs/>
          <w:color w:val="000000"/>
          <w:sz w:val="24"/>
          <w:szCs w:val="24"/>
          <w:lang w:eastAsia="zh-CN"/>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pStyle w:val="48"/>
        <w:keepNext w:val="0"/>
        <w:keepLines w:val="0"/>
        <w:pageBreakBefore/>
        <w:widowControl w:val="0"/>
        <w:kinsoku/>
        <w:wordWrap/>
        <w:overflowPunct/>
        <w:topLinePunct w:val="0"/>
        <w:autoSpaceDE/>
        <w:autoSpaceDN/>
        <w:bidi w:val="0"/>
        <w:adjustRightInd/>
        <w:snapToGrid/>
        <w:jc w:val="center"/>
        <w:textAlignment w:val="auto"/>
      </w:pPr>
      <w:bookmarkStart w:id="12" w:name="_Toc7514"/>
      <w:r>
        <w:rPr>
          <w:rFonts w:hint="eastAsia"/>
        </w:rPr>
        <w:t>第</w:t>
      </w:r>
      <w:r>
        <w:rPr>
          <w:rFonts w:hint="eastAsia"/>
          <w:lang w:val="en-US" w:eastAsia="zh-CN"/>
        </w:rPr>
        <w:t>四</w:t>
      </w:r>
      <w:r>
        <w:rPr>
          <w:rFonts w:hint="eastAsia"/>
        </w:rPr>
        <w:t>章  工程量清单</w:t>
      </w:r>
      <w:bookmarkEnd w:id="10"/>
      <w:bookmarkEnd w:id="12"/>
    </w:p>
    <w:p>
      <w:pPr>
        <w:widowControl/>
        <w:jc w:val="left"/>
      </w:pPr>
    </w:p>
    <w:tbl>
      <w:tblPr>
        <w:tblStyle w:val="53"/>
        <w:tblpPr w:leftFromText="180" w:rightFromText="180" w:vertAnchor="page" w:horzAnchor="page" w:tblpX="2057" w:tblpY="239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993"/>
        <w:gridCol w:w="870"/>
        <w:gridCol w:w="1005"/>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399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eastAsiaTheme="minorEastAsia" w:cstheme="minorEastAsia"/>
                <w:b w:val="0"/>
                <w:bCs w:val="0"/>
                <w:sz w:val="24"/>
                <w:szCs w:val="24"/>
                <w:lang w:val="en-US" w:eastAsia="zh-CN"/>
              </w:rPr>
              <w:t>及</w:t>
            </w:r>
            <w:r>
              <w:rPr>
                <w:rFonts w:hint="eastAsia" w:asciiTheme="minorEastAsia" w:hAnsiTheme="minorEastAsia" w:eastAsiaTheme="minorEastAsia" w:cstheme="minorEastAsia"/>
                <w:b w:val="0"/>
                <w:bCs w:val="0"/>
                <w:sz w:val="24"/>
                <w:szCs w:val="24"/>
              </w:rPr>
              <w:t>特征描述</w:t>
            </w:r>
          </w:p>
        </w:tc>
        <w:tc>
          <w:tcPr>
            <w:tcW w:w="87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w:t>
            </w:r>
          </w:p>
        </w:tc>
        <w:tc>
          <w:tcPr>
            <w:tcW w:w="1005"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地面水性涂料（含原地面清理及水泥拌胶水批二次）</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m2</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316.13</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直径110PVC管安装</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m</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4.76</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空调管拆装（含砖墙开孔直径110 2个）</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个</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砼地面开槽及修复（0.2*0.2*4.76米）</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m</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4.76</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5</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货架搬运及材料整理</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项</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6</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独立式光电感烟火灾探测报警器安装（1、有效监控面积不小于35㎡  2、具备联网报警功能 3、可更换电池供电，持续供电时间不少于1年）</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套</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7</w:t>
            </w:r>
          </w:p>
        </w:tc>
        <w:tc>
          <w:tcPr>
            <w:tcW w:w="3993" w:type="dxa"/>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6000兆级无线速率路由器更换（含网线50米）</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个</w:t>
            </w:r>
          </w:p>
        </w:tc>
        <w:tc>
          <w:tcPr>
            <w:tcW w:w="10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智能无线摄像机安装（1080P高清10米红外夜视TF卡+运存储200万像素高清镜头）</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个</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9</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穿动力线 铜芯导线截面（mm2以内）BV2.5</w:t>
            </w:r>
          </w:p>
        </w:tc>
        <w:tc>
          <w:tcPr>
            <w:tcW w:w="870" w:type="dxa"/>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w:t>
            </w:r>
          </w:p>
        </w:tc>
        <w:tc>
          <w:tcPr>
            <w:tcW w:w="10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150.00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10</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PVC线管 直径（mm）20</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m</w:t>
            </w:r>
          </w:p>
        </w:tc>
        <w:tc>
          <w:tcPr>
            <w:tcW w:w="10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70.00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11</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86型明盒安装</w:t>
            </w:r>
          </w:p>
        </w:tc>
        <w:tc>
          <w:tcPr>
            <w:tcW w:w="870" w:type="dxa"/>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个</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12</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86型10A五孔插座安装</w:t>
            </w:r>
          </w:p>
        </w:tc>
        <w:tc>
          <w:tcPr>
            <w:tcW w:w="870" w:type="dxa"/>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套</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13</w:t>
            </w:r>
          </w:p>
        </w:tc>
        <w:tc>
          <w:tcPr>
            <w:tcW w:w="3993" w:type="dxa"/>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20WLED防爆照明灯安装（含原有灯具拆除）</w:t>
            </w:r>
          </w:p>
        </w:tc>
        <w:tc>
          <w:tcPr>
            <w:tcW w:w="870" w:type="dxa"/>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套</w:t>
            </w:r>
          </w:p>
        </w:tc>
        <w:tc>
          <w:tcPr>
            <w:tcW w:w="100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14</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材料搬运及垃圾清理外运</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w:t>
            </w:r>
          </w:p>
        </w:tc>
        <w:tc>
          <w:tcPr>
            <w:tcW w:w="10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15</w:t>
            </w:r>
          </w:p>
        </w:tc>
        <w:tc>
          <w:tcPr>
            <w:tcW w:w="399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登高辅助费</w:t>
            </w:r>
          </w:p>
        </w:tc>
        <w:tc>
          <w:tcPr>
            <w:tcW w:w="870"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w:t>
            </w:r>
          </w:p>
        </w:tc>
        <w:tc>
          <w:tcPr>
            <w:tcW w:w="100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p>
        </w:tc>
        <w:tc>
          <w:tcPr>
            <w:tcW w:w="1831"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Theme="minorEastAsia" w:hAnsiTheme="minorEastAsia" w:eastAsiaTheme="minorEastAsia" w:cstheme="minorEastAsia"/>
                <w:b w:val="0"/>
                <w:bCs w:val="0"/>
                <w:sz w:val="24"/>
                <w:szCs w:val="24"/>
              </w:rPr>
            </w:pPr>
          </w:p>
        </w:tc>
      </w:tr>
    </w:tbl>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48"/>
        <w:numPr>
          <w:ilvl w:val="0"/>
          <w:numId w:val="0"/>
        </w:numPr>
        <w:jc w:val="center"/>
        <w:rPr>
          <w:rFonts w:hint="eastAsia"/>
          <w:lang w:val="en-US" w:eastAsia="zh-CN"/>
        </w:rPr>
      </w:pPr>
      <w:bookmarkStart w:id="13" w:name="_Toc4136"/>
      <w:r>
        <w:rPr>
          <w:rFonts w:hint="eastAsia"/>
        </w:rPr>
        <w:t>第</w:t>
      </w:r>
      <w:r>
        <w:rPr>
          <w:rFonts w:hint="eastAsia"/>
          <w:lang w:val="en-US" w:eastAsia="zh-CN"/>
        </w:rPr>
        <w:t>五</w:t>
      </w:r>
      <w:r>
        <w:rPr>
          <w:rFonts w:hint="eastAsia"/>
        </w:rPr>
        <w:t xml:space="preserve">章  </w:t>
      </w:r>
      <w:bookmarkStart w:id="14" w:name="_Toc448097409"/>
      <w:bookmarkStart w:id="15" w:name="_Toc275274581"/>
      <w:r>
        <w:t xml:space="preserve"> </w:t>
      </w:r>
      <w:r>
        <w:rPr>
          <w:rFonts w:hint="eastAsia"/>
          <w:lang w:val="en-US" w:eastAsia="zh-CN"/>
        </w:rPr>
        <w:t>技术标准及要求</w:t>
      </w:r>
      <w:bookmarkEnd w:id="13"/>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：具体详见</w:t>
      </w:r>
      <w:r>
        <w:rPr>
          <w:rFonts w:hint="eastAsia" w:ascii="宋体" w:hAnsi="宋体" w:cs="宋体"/>
          <w:sz w:val="22"/>
          <w:lang w:val="en-US" w:eastAsia="zh-CN"/>
        </w:rPr>
        <w:t>招标内容及</w:t>
      </w:r>
      <w:r>
        <w:rPr>
          <w:rFonts w:hint="eastAsia" w:ascii="宋体" w:hAnsi="宋体" w:cs="宋体"/>
          <w:sz w:val="22"/>
        </w:rPr>
        <w:t>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16"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52"/>
        <w:tblW w:w="8560" w:type="dxa"/>
        <w:jc w:val="center"/>
        <w:tblLayout w:type="fixed"/>
        <w:tblCellMar>
          <w:top w:w="0" w:type="dxa"/>
          <w:left w:w="108" w:type="dxa"/>
          <w:bottom w:w="0" w:type="dxa"/>
          <w:right w:w="108" w:type="dxa"/>
        </w:tblCellMar>
      </w:tblPr>
      <w:tblGrid>
        <w:gridCol w:w="1063"/>
        <w:gridCol w:w="3113"/>
        <w:gridCol w:w="4384"/>
      </w:tblGrid>
      <w:tr>
        <w:tblPrEx>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311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38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eastAsia="zh-CN"/>
              </w:rPr>
            </w:pPr>
            <w:r>
              <w:rPr>
                <w:rFonts w:hint="eastAsia" w:ascii="宋体" w:hAnsi="宋体" w:cs="宋体"/>
                <w:bCs/>
                <w:sz w:val="22"/>
                <w:lang w:eastAsia="zh-CN"/>
              </w:rPr>
              <w:t>独立式光电感烟火灾探测报警器</w:t>
            </w:r>
          </w:p>
        </w:tc>
        <w:tc>
          <w:tcPr>
            <w:tcW w:w="4384"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eastAsia="zh-CN"/>
              </w:rPr>
            </w:pPr>
            <w:r>
              <w:rPr>
                <w:rFonts w:hint="eastAsia" w:ascii="宋体" w:hAnsi="宋体" w:cs="宋体"/>
                <w:bCs/>
                <w:sz w:val="22"/>
                <w:lang w:eastAsia="zh-CN"/>
              </w:rPr>
              <w:t>海康威视、松下、海曼或“相当于”品牌</w:t>
            </w:r>
          </w:p>
        </w:tc>
      </w:tr>
      <w:tr>
        <w:tblPrEx>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eastAsia="zh-CN"/>
              </w:rPr>
            </w:pPr>
            <w:r>
              <w:rPr>
                <w:rFonts w:hint="eastAsia" w:ascii="宋体" w:hAnsi="宋体" w:cs="宋体"/>
                <w:bCs/>
                <w:sz w:val="22"/>
                <w:lang w:eastAsia="zh-CN"/>
              </w:rPr>
              <w:t>地面水性涂料</w:t>
            </w:r>
          </w:p>
        </w:tc>
        <w:tc>
          <w:tcPr>
            <w:tcW w:w="438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多乐士、立邦、华润或“相当于”品牌</w:t>
            </w:r>
          </w:p>
        </w:tc>
      </w:tr>
      <w:tr>
        <w:tblPrEx>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3</w:t>
            </w:r>
          </w:p>
        </w:tc>
        <w:tc>
          <w:tcPr>
            <w:tcW w:w="3113" w:type="dxa"/>
            <w:tcBorders>
              <w:top w:val="nil"/>
              <w:left w:val="nil"/>
              <w:bottom w:val="single" w:color="auto" w:sz="4" w:space="0"/>
              <w:right w:val="single" w:color="auto" w:sz="4" w:space="0"/>
            </w:tcBorders>
            <w:vAlign w:val="center"/>
          </w:tcPr>
          <w:p>
            <w:pPr>
              <w:snapToGrid w:val="0"/>
              <w:rPr>
                <w:rFonts w:hint="default" w:ascii="宋体" w:hAnsi="宋体" w:cs="宋体"/>
                <w:bCs/>
                <w:sz w:val="22"/>
                <w:lang w:val="en-US" w:eastAsia="zh-CN"/>
              </w:rPr>
            </w:pPr>
            <w:r>
              <w:rPr>
                <w:rFonts w:hint="eastAsia" w:ascii="宋体" w:hAnsi="宋体" w:cs="宋体"/>
                <w:bCs/>
                <w:sz w:val="22"/>
                <w:lang w:val="en-US" w:eastAsia="zh-CN"/>
              </w:rPr>
              <w:t>6000兆级无线速率路由器</w:t>
            </w:r>
          </w:p>
        </w:tc>
        <w:tc>
          <w:tcPr>
            <w:tcW w:w="4384" w:type="dxa"/>
            <w:tcBorders>
              <w:top w:val="nil"/>
              <w:left w:val="nil"/>
              <w:bottom w:val="single" w:color="auto" w:sz="4" w:space="0"/>
              <w:right w:val="single" w:color="auto" w:sz="4" w:space="0"/>
            </w:tcBorders>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lang w:val="en-US" w:eastAsia="zh-CN"/>
              </w:rPr>
              <w:t>TP-link、</w:t>
            </w:r>
            <w:r>
              <w:rPr>
                <w:rFonts w:hint="eastAsia" w:ascii="宋体" w:hAnsi="宋体" w:cs="宋体"/>
                <w:bCs/>
                <w:sz w:val="22"/>
                <w:lang w:eastAsia="zh-CN"/>
              </w:rPr>
              <w:t>华为、小米</w:t>
            </w:r>
            <w:r>
              <w:rPr>
                <w:rFonts w:hint="eastAsia" w:ascii="宋体" w:hAnsi="宋体" w:cs="宋体"/>
                <w:bCs/>
                <w:sz w:val="22"/>
                <w:lang w:val="en-US" w:eastAsia="zh-CN"/>
              </w:rPr>
              <w:t>或“相当于”品牌</w:t>
            </w:r>
          </w:p>
        </w:tc>
      </w:tr>
      <w:tr>
        <w:tblPrEx>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cs="宋体"/>
                <w:sz w:val="22"/>
                <w:lang w:val="en-US" w:eastAsia="zh-CN"/>
              </w:rPr>
            </w:pPr>
            <w:r>
              <w:rPr>
                <w:rFonts w:hint="eastAsia" w:ascii="宋体" w:hAnsi="宋体" w:cs="宋体"/>
                <w:sz w:val="22"/>
                <w:lang w:val="en-US" w:eastAsia="zh-CN"/>
              </w:rPr>
              <w:t>4</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智能无线摄像机</w:t>
            </w:r>
          </w:p>
        </w:tc>
        <w:tc>
          <w:tcPr>
            <w:tcW w:w="4384" w:type="dxa"/>
            <w:tcBorders>
              <w:top w:val="nil"/>
              <w:left w:val="nil"/>
              <w:bottom w:val="single" w:color="auto" w:sz="4" w:space="0"/>
              <w:right w:val="single" w:color="auto" w:sz="4" w:space="0"/>
            </w:tcBorders>
            <w:vAlign w:val="center"/>
          </w:tcPr>
          <w:p>
            <w:pPr>
              <w:snapToGrid w:val="0"/>
              <w:rPr>
                <w:rFonts w:hint="default" w:ascii="宋体" w:hAnsi="宋体" w:cs="宋体"/>
                <w:bCs/>
                <w:sz w:val="22"/>
                <w:lang w:val="en-US" w:eastAsia="zh-CN"/>
              </w:rPr>
            </w:pPr>
            <w:r>
              <w:rPr>
                <w:rFonts w:hint="eastAsia" w:ascii="宋体" w:hAnsi="宋体" w:cs="宋体"/>
                <w:bCs/>
                <w:sz w:val="22"/>
                <w:lang w:eastAsia="zh-CN"/>
              </w:rPr>
              <w:t>华为、小米、海康威视</w:t>
            </w:r>
            <w:r>
              <w:rPr>
                <w:rFonts w:hint="eastAsia" w:ascii="宋体" w:hAnsi="宋体" w:cs="宋体"/>
                <w:bCs/>
                <w:sz w:val="22"/>
                <w:lang w:val="en-US" w:eastAsia="zh-CN"/>
              </w:rPr>
              <w:t>或“相当于”品牌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5</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电线电缆</w:t>
            </w:r>
          </w:p>
        </w:tc>
        <w:tc>
          <w:tcPr>
            <w:tcW w:w="4384"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万马、能猫、上上或“相当于”品牌</w:t>
            </w:r>
          </w:p>
        </w:tc>
      </w:tr>
      <w:tr>
        <w:tblPrEx>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6</w:t>
            </w:r>
          </w:p>
        </w:tc>
        <w:tc>
          <w:tcPr>
            <w:tcW w:w="3113"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开关、插座</w:t>
            </w:r>
          </w:p>
        </w:tc>
        <w:tc>
          <w:tcPr>
            <w:tcW w:w="4384"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鸿雁、正泰、德力西或“相当于”品牌</w:t>
            </w:r>
          </w:p>
        </w:tc>
      </w:tr>
      <w:tr>
        <w:tblPrEx>
          <w:tblCellMar>
            <w:top w:w="0" w:type="dxa"/>
            <w:left w:w="108" w:type="dxa"/>
            <w:bottom w:w="0" w:type="dxa"/>
            <w:right w:w="108" w:type="dxa"/>
          </w:tblCellMar>
        </w:tblPrEx>
        <w:trPr>
          <w:trHeight w:val="40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cs="宋体" w:eastAsiaTheme="minorEastAsia"/>
                <w:sz w:val="22"/>
                <w:lang w:val="en-US" w:eastAsia="zh-CN"/>
              </w:rPr>
            </w:pPr>
            <w:r>
              <w:rPr>
                <w:rFonts w:hint="eastAsia" w:ascii="宋体" w:hAnsi="宋体" w:cs="宋体"/>
                <w:sz w:val="22"/>
                <w:lang w:val="en-US" w:eastAsia="zh-CN"/>
              </w:rPr>
              <w:t>7</w:t>
            </w:r>
          </w:p>
        </w:tc>
        <w:tc>
          <w:tcPr>
            <w:tcW w:w="3113" w:type="dxa"/>
            <w:tcBorders>
              <w:top w:val="single" w:color="auto" w:sz="4" w:space="0"/>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lang w:val="en-US" w:eastAsia="zh-CN"/>
              </w:rPr>
              <w:t>防爆灯</w:t>
            </w:r>
          </w:p>
        </w:tc>
        <w:tc>
          <w:tcPr>
            <w:tcW w:w="4384" w:type="dxa"/>
            <w:tcBorders>
              <w:top w:val="single" w:color="auto" w:sz="4" w:space="0"/>
              <w:left w:val="nil"/>
              <w:bottom w:val="single" w:color="auto" w:sz="4" w:space="0"/>
              <w:right w:val="single" w:color="auto" w:sz="4" w:space="0"/>
            </w:tcBorders>
            <w:vAlign w:val="center"/>
          </w:tcPr>
          <w:p>
            <w:pPr>
              <w:snapToGrid w:val="0"/>
              <w:rPr>
                <w:rFonts w:hint="eastAsia" w:ascii="宋体" w:hAnsi="宋体" w:cs="宋体" w:eastAsiaTheme="minorEastAsia"/>
                <w:bCs/>
                <w:sz w:val="22"/>
                <w:lang w:eastAsia="zh-CN"/>
              </w:rPr>
            </w:pPr>
            <w:r>
              <w:rPr>
                <w:rFonts w:hint="eastAsia" w:ascii="宋体" w:hAnsi="宋体" w:cs="宋体"/>
                <w:bCs/>
                <w:sz w:val="22"/>
                <w:lang w:eastAsia="zh-CN"/>
              </w:rPr>
              <w:t>飞利浦、三雄极光、雷士或“相当于”品牌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16"/>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5.1施工临设在建设单位指定区域自行搭设，方案报招标人同意后方可搭建。施工临设用地、材料堆场等在工程竣工验收通过后10日内自行拆除、彻底清理，并恢复原状。费用由投标人综合考虑，不另行计算。</w:t>
      </w:r>
    </w:p>
    <w:p>
      <w:pPr>
        <w:snapToGrid w:val="0"/>
        <w:spacing w:line="360" w:lineRule="exact"/>
        <w:ind w:firstLine="442" w:firstLineChars="200"/>
        <w:rPr>
          <w:rFonts w:hint="eastAsia"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5.4  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 xml:space="preserve">5.5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48"/>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    5.6  承包人须负责火灾报警、无线路由以及无线摄像机等设备的安装调试工作，相关费用由投标人综合考虑，包含在投标报价中。</w:t>
      </w: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Pr>
        <w:pStyle w:val="48"/>
        <w:jc w:val="center"/>
      </w:pPr>
    </w:p>
    <w:p/>
    <w:p/>
    <w:p/>
    <w:p/>
    <w:p/>
    <w:p/>
    <w:p/>
    <w:p/>
    <w:p/>
    <w:p/>
    <w:p/>
    <w:p/>
    <w:p/>
    <w:bookmarkEnd w:id="7"/>
    <w:bookmarkEnd w:id="14"/>
    <w:bookmarkEnd w:id="15"/>
    <w:p>
      <w:pPr>
        <w:pStyle w:val="2"/>
        <w:spacing w:before="0" w:after="0" w:line="564" w:lineRule="exact"/>
        <w:ind w:right="57"/>
        <w:jc w:val="center"/>
        <w:rPr>
          <w:sz w:val="32"/>
          <w:szCs w:val="32"/>
        </w:rPr>
      </w:pPr>
      <w:bookmarkStart w:id="17" w:name="_Toc10157"/>
      <w:bookmarkStart w:id="18" w:name="_Toc52907682"/>
      <w:r>
        <w:rPr>
          <w:sz w:val="32"/>
          <w:szCs w:val="32"/>
        </w:rPr>
        <w:t>第</w:t>
      </w:r>
      <w:r>
        <w:rPr>
          <w:rFonts w:hint="eastAsia"/>
          <w:sz w:val="32"/>
          <w:szCs w:val="32"/>
          <w:lang w:eastAsia="zh-CN"/>
        </w:rPr>
        <w:t>六</w:t>
      </w:r>
      <w:r>
        <w:rPr>
          <w:sz w:val="32"/>
          <w:szCs w:val="32"/>
        </w:rPr>
        <w:t>章</w:t>
      </w:r>
      <w:r>
        <w:rPr>
          <w:rFonts w:hint="eastAsia"/>
          <w:sz w:val="32"/>
          <w:szCs w:val="32"/>
        </w:rPr>
        <w:t xml:space="preserve">    </w:t>
      </w:r>
      <w:r>
        <w:rPr>
          <w:sz w:val="32"/>
          <w:szCs w:val="32"/>
        </w:rPr>
        <w:t>投标文件格式</w:t>
      </w:r>
      <w:bookmarkEnd w:id="17"/>
      <w:bookmarkEnd w:id="18"/>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31"/>
        <w:numPr>
          <w:ilvl w:val="0"/>
          <w:numId w:val="10"/>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31"/>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31"/>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认为需要补充的</w:t>
      </w:r>
      <w:r>
        <w:rPr>
          <w:rFonts w:ascii="微软雅黑" w:hAnsi="Times New Roman" w:cs="微软雅黑"/>
          <w:spacing w:val="-2"/>
          <w:kern w:val="0"/>
          <w:sz w:val="22"/>
        </w:rPr>
        <w:t>其他材料。</w:t>
      </w:r>
    </w:p>
    <w:p>
      <w:pPr>
        <w:pStyle w:val="131"/>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3</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745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848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848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center"/>
        <w:rPr>
          <w:rFonts w:cs="微软雅黑"/>
          <w:b/>
          <w:kern w:val="0"/>
          <w:sz w:val="36"/>
          <w:szCs w:val="36"/>
        </w:rPr>
      </w:pPr>
      <w:r>
        <w:rPr>
          <w:rFonts w:hint="eastAsia" w:cs="微软雅黑"/>
          <w:b/>
          <w:kern w:val="0"/>
          <w:sz w:val="36"/>
          <w:szCs w:val="36"/>
          <w:lang w:val="en-US" w:eastAsia="zh-CN"/>
        </w:rPr>
        <w:t>三</w:t>
      </w:r>
      <w:r>
        <w:rPr>
          <w:rFonts w:hint="eastAsia" w:cs="微软雅黑"/>
          <w:b/>
          <w:kern w:val="0"/>
          <w:sz w:val="36"/>
          <w:szCs w:val="36"/>
        </w:rPr>
        <w:t>、已标价工程量清单</w:t>
      </w:r>
      <w:r>
        <w:rPr>
          <w:rFonts w:hint="eastAsia" w:cs="微软雅黑"/>
          <w:b/>
          <w:kern w:val="0"/>
          <w:sz w:val="36"/>
          <w:szCs w:val="36"/>
          <w:lang w:eastAsia="zh-CN"/>
        </w:rPr>
        <w:t>（</w:t>
      </w:r>
      <w:r>
        <w:rPr>
          <w:rFonts w:hint="eastAsia" w:cs="微软雅黑"/>
          <w:b/>
          <w:kern w:val="0"/>
          <w:sz w:val="36"/>
          <w:szCs w:val="36"/>
          <w:lang w:val="en-US" w:eastAsia="zh-CN"/>
        </w:rPr>
        <w:t>投标人自拟）</w:t>
      </w:r>
    </w:p>
    <w:p>
      <w:pPr>
        <w:widowControl/>
        <w:jc w:val="left"/>
        <w:rPr>
          <w:rFonts w:cs="宋体"/>
          <w:sz w:val="22"/>
        </w:rPr>
      </w:pPr>
      <w:r>
        <w:rPr>
          <w:rFonts w:ascii="宋体" w:hAnsi="宋体" w:cs="Arial"/>
          <w:b/>
          <w:bCs/>
          <w:kern w:val="0"/>
          <w:szCs w:val="21"/>
        </w:rPr>
        <w:br w:type="page"/>
      </w:r>
    </w:p>
    <w:p>
      <w:pPr>
        <w:widowControl/>
        <w:jc w:val="center"/>
        <w:rPr>
          <w:rFonts w:hint="eastAsia" w:cs="微软雅黑"/>
          <w:b/>
          <w:kern w:val="0"/>
          <w:sz w:val="36"/>
          <w:szCs w:val="36"/>
        </w:rPr>
      </w:pPr>
      <w:bookmarkStart w:id="19" w:name="_Hlk54024727"/>
      <w:r>
        <w:rPr>
          <w:rFonts w:hint="eastAsia" w:cs="微软雅黑"/>
          <w:b/>
          <w:kern w:val="0"/>
          <w:sz w:val="36"/>
          <w:szCs w:val="36"/>
          <w:lang w:val="en-US" w:eastAsia="zh-CN"/>
        </w:rPr>
        <w:t>四</w:t>
      </w:r>
      <w:r>
        <w:rPr>
          <w:rFonts w:hint="eastAsia" w:cs="微软雅黑"/>
          <w:b/>
          <w:kern w:val="0"/>
          <w:sz w:val="36"/>
          <w:szCs w:val="36"/>
        </w:rPr>
        <w:t>、投标人认为需要补充的其他材料。</w:t>
      </w:r>
    </w:p>
    <w:p>
      <w:pPr>
        <w:autoSpaceDE w:val="0"/>
        <w:autoSpaceDN w:val="0"/>
        <w:adjustRightInd w:val="0"/>
        <w:spacing w:line="360" w:lineRule="auto"/>
        <w:jc w:val="center"/>
        <w:rPr>
          <w:b/>
          <w:sz w:val="24"/>
        </w:rPr>
      </w:pPr>
    </w:p>
    <w:bookmarkEnd w:id="19"/>
    <w:p>
      <w:pPr>
        <w:widowControl/>
        <w:rPr>
          <w:rFonts w:cs="宋体"/>
          <w:b/>
          <w:sz w:val="32"/>
          <w:szCs w:val="32"/>
        </w:rPr>
      </w:pPr>
    </w:p>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4"/>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3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PAGE   \* MERGEFORMAT</w:instrText>
    </w:r>
    <w:r>
      <w:fldChar w:fldCharType="separate"/>
    </w:r>
    <w:r>
      <w:rPr>
        <w:lang w:val="zh-CN"/>
      </w:rPr>
      <w:t>61</w:t>
    </w:r>
    <w:r>
      <w:rPr>
        <w:lang w:val="zh-CN"/>
      </w:rPr>
      <w:fldChar w:fldCharType="end"/>
    </w:r>
  </w:p>
  <w:p>
    <w:pPr>
      <w:pStyle w:val="34"/>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3">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75C5AD"/>
    <w:multiLevelType w:val="singleLevel"/>
    <w:tmpl w:val="5D75C5AD"/>
    <w:lvl w:ilvl="0" w:tentative="0">
      <w:start w:val="1"/>
      <w:numFmt w:val="decimal"/>
      <w:suff w:val="nothing"/>
      <w:lvlText w:val="（%1）"/>
      <w:lvlJc w:val="left"/>
    </w:lvl>
  </w:abstractNum>
  <w:abstractNum w:abstractNumId="6">
    <w:nsid w:val="5FD1CD8C"/>
    <w:multiLevelType w:val="singleLevel"/>
    <w:tmpl w:val="5FD1CD8C"/>
    <w:lvl w:ilvl="0" w:tentative="0">
      <w:start w:val="6"/>
      <w:numFmt w:val="chineseCounting"/>
      <w:suff w:val="space"/>
      <w:lvlText w:val="第%1条"/>
      <w:lvlJc w:val="left"/>
    </w:lvl>
  </w:abstractNum>
  <w:abstractNum w:abstractNumId="7">
    <w:nsid w:val="5FF401CA"/>
    <w:multiLevelType w:val="singleLevel"/>
    <w:tmpl w:val="5FF401CA"/>
    <w:lvl w:ilvl="0" w:tentative="0">
      <w:start w:val="5"/>
      <w:numFmt w:val="chineseCounting"/>
      <w:suff w:val="nothing"/>
      <w:lvlText w:val="%1、"/>
      <w:lvlJc w:val="left"/>
    </w:lvl>
  </w:abstractNum>
  <w:abstractNum w:abstractNumId="8">
    <w:nsid w:val="609CC20A"/>
    <w:multiLevelType w:val="singleLevel"/>
    <w:tmpl w:val="609CC20A"/>
    <w:lvl w:ilvl="0" w:tentative="0">
      <w:start w:val="8"/>
      <w:numFmt w:val="chineseCounting"/>
      <w:suff w:val="nothing"/>
      <w:lvlText w:val="%1、"/>
      <w:lvlJc w:val="left"/>
    </w:lvl>
  </w:abstractNum>
  <w:abstractNum w:abstractNumId="9">
    <w:nsid w:val="609CDB1A"/>
    <w:multiLevelType w:val="singleLevel"/>
    <w:tmpl w:val="609CDB1A"/>
    <w:lvl w:ilvl="0" w:tentative="0">
      <w:start w:val="3"/>
      <w:numFmt w:val="decimal"/>
      <w:suff w:val="nothing"/>
      <w:lvlText w:val="（%1）"/>
      <w:lvlJc w:val="left"/>
    </w:lvl>
  </w:abstractNum>
  <w:num w:numId="1">
    <w:abstractNumId w:val="4"/>
  </w:num>
  <w:num w:numId="2">
    <w:abstractNumId w:val="2"/>
  </w:num>
  <w:num w:numId="3">
    <w:abstractNumId w:val="1"/>
  </w:num>
  <w:num w:numId="4">
    <w:abstractNumId w:val="5"/>
  </w:num>
  <w:num w:numId="5">
    <w:abstractNumId w:val="7"/>
  </w:num>
  <w:num w:numId="6">
    <w:abstractNumId w:val="8"/>
  </w:num>
  <w:num w:numId="7">
    <w:abstractNumId w:val="9"/>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2020D6D"/>
    <w:rsid w:val="03452A7C"/>
    <w:rsid w:val="04A62CB6"/>
    <w:rsid w:val="04C749D8"/>
    <w:rsid w:val="06F807C5"/>
    <w:rsid w:val="09B9313A"/>
    <w:rsid w:val="09DD2801"/>
    <w:rsid w:val="0AD53915"/>
    <w:rsid w:val="0CA22F79"/>
    <w:rsid w:val="0DD676DE"/>
    <w:rsid w:val="0F2D5DC1"/>
    <w:rsid w:val="12ED020A"/>
    <w:rsid w:val="13F20B84"/>
    <w:rsid w:val="145B4CAD"/>
    <w:rsid w:val="15142C91"/>
    <w:rsid w:val="18037573"/>
    <w:rsid w:val="1830240A"/>
    <w:rsid w:val="1E795720"/>
    <w:rsid w:val="1E9D040B"/>
    <w:rsid w:val="217F5243"/>
    <w:rsid w:val="2350657B"/>
    <w:rsid w:val="238B4C29"/>
    <w:rsid w:val="24E8024A"/>
    <w:rsid w:val="2AE41E9F"/>
    <w:rsid w:val="2DB32780"/>
    <w:rsid w:val="2E7904ED"/>
    <w:rsid w:val="30AA1A07"/>
    <w:rsid w:val="32BC5FD6"/>
    <w:rsid w:val="34352EE3"/>
    <w:rsid w:val="359666B2"/>
    <w:rsid w:val="35BB7294"/>
    <w:rsid w:val="35D52A5B"/>
    <w:rsid w:val="362D1F00"/>
    <w:rsid w:val="381A07F0"/>
    <w:rsid w:val="390A26FA"/>
    <w:rsid w:val="39230717"/>
    <w:rsid w:val="3A12424F"/>
    <w:rsid w:val="3A755AB7"/>
    <w:rsid w:val="3B2C1BDA"/>
    <w:rsid w:val="3B7B6994"/>
    <w:rsid w:val="3C5B42D6"/>
    <w:rsid w:val="3CBE550C"/>
    <w:rsid w:val="3D533A68"/>
    <w:rsid w:val="3D6D416E"/>
    <w:rsid w:val="40A4284E"/>
    <w:rsid w:val="42E24BAA"/>
    <w:rsid w:val="457602A0"/>
    <w:rsid w:val="45CC02EE"/>
    <w:rsid w:val="47D70846"/>
    <w:rsid w:val="47E7669C"/>
    <w:rsid w:val="48734ABD"/>
    <w:rsid w:val="4A04115E"/>
    <w:rsid w:val="4A755628"/>
    <w:rsid w:val="4C85295E"/>
    <w:rsid w:val="4D183AF8"/>
    <w:rsid w:val="4DE21316"/>
    <w:rsid w:val="4E101130"/>
    <w:rsid w:val="4E842ABA"/>
    <w:rsid w:val="500B6C1A"/>
    <w:rsid w:val="510C2D33"/>
    <w:rsid w:val="5112258C"/>
    <w:rsid w:val="516F1FB8"/>
    <w:rsid w:val="51D9191A"/>
    <w:rsid w:val="532F678C"/>
    <w:rsid w:val="57541178"/>
    <w:rsid w:val="5A21013C"/>
    <w:rsid w:val="5B2A3347"/>
    <w:rsid w:val="5F992902"/>
    <w:rsid w:val="62916325"/>
    <w:rsid w:val="656E4A4C"/>
    <w:rsid w:val="65EC6B08"/>
    <w:rsid w:val="66BE5796"/>
    <w:rsid w:val="689524E6"/>
    <w:rsid w:val="69814770"/>
    <w:rsid w:val="6B3806CB"/>
    <w:rsid w:val="6B4B40E8"/>
    <w:rsid w:val="6BCA71E6"/>
    <w:rsid w:val="6CC149F9"/>
    <w:rsid w:val="72E90B5E"/>
    <w:rsid w:val="7403509A"/>
    <w:rsid w:val="74593728"/>
    <w:rsid w:val="745B5430"/>
    <w:rsid w:val="76C82D6E"/>
    <w:rsid w:val="7A1165B6"/>
    <w:rsid w:val="7A35219D"/>
    <w:rsid w:val="7D56698F"/>
    <w:rsid w:val="7DC05A19"/>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8"/>
    <w:unhideWhenUsed/>
    <w:qFormat/>
    <w:uiPriority w:val="0"/>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unhideWhenUsed/>
    <w:qFormat/>
    <w:uiPriority w:val="0"/>
    <w:pPr>
      <w:spacing w:after="120"/>
      <w:ind w:left="420" w:leftChars="200"/>
    </w:pPr>
    <w:rPr>
      <w:sz w:val="24"/>
      <w:szCs w:val="24"/>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69"/>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2"/>
    <w:qFormat/>
    <w:uiPriority w:val="0"/>
    <w:rPr>
      <w:rFonts w:ascii="Times New Roman" w:hAnsi="Times New Roman" w:eastAsia="宋体" w:cs="Times New Roman"/>
      <w:b/>
      <w:bCs/>
      <w:kern w:val="44"/>
      <w:sz w:val="30"/>
      <w:szCs w:val="44"/>
    </w:rPr>
  </w:style>
  <w:style w:type="character" w:customStyle="1" w:styleId="60">
    <w:name w:val="标题 2 字符"/>
    <w:basedOn w:val="54"/>
    <w:link w:val="3"/>
    <w:qFormat/>
    <w:uiPriority w:val="0"/>
    <w:rPr>
      <w:rFonts w:ascii="Arial" w:hAnsi="Arial" w:eastAsia="宋体" w:cs="Times New Roman"/>
      <w:b/>
      <w:bCs/>
      <w:kern w:val="0"/>
      <w:sz w:val="28"/>
      <w:szCs w:val="32"/>
    </w:rPr>
  </w:style>
  <w:style w:type="character" w:customStyle="1" w:styleId="61">
    <w:name w:val="标题 3 字符"/>
    <w:basedOn w:val="54"/>
    <w:link w:val="4"/>
    <w:qFormat/>
    <w:uiPriority w:val="0"/>
    <w:rPr>
      <w:rFonts w:ascii="宋体" w:hAnsi="Times New Roman" w:eastAsia="宋体" w:cs="Times New Roman"/>
      <w:b/>
      <w:kern w:val="0"/>
      <w:sz w:val="28"/>
      <w:szCs w:val="20"/>
    </w:rPr>
  </w:style>
  <w:style w:type="character" w:customStyle="1" w:styleId="62">
    <w:name w:val="标题 4 字符"/>
    <w:basedOn w:val="54"/>
    <w:link w:val="5"/>
    <w:qFormat/>
    <w:uiPriority w:val="0"/>
    <w:rPr>
      <w:rFonts w:ascii="Arial" w:hAnsi="Arial" w:eastAsia="黑体" w:cs="Times New Roman"/>
      <w:b/>
      <w:bCs/>
      <w:kern w:val="0"/>
      <w:sz w:val="28"/>
      <w:szCs w:val="28"/>
    </w:rPr>
  </w:style>
  <w:style w:type="character" w:customStyle="1" w:styleId="63">
    <w:name w:val="标题 5 字符"/>
    <w:basedOn w:val="54"/>
    <w:link w:val="6"/>
    <w:qFormat/>
    <w:uiPriority w:val="0"/>
    <w:rPr>
      <w:rFonts w:ascii="Times New Roman" w:hAnsi="Times New Roman" w:eastAsia="宋体" w:cs="Times New Roman"/>
      <w:b/>
      <w:bCs/>
      <w:kern w:val="0"/>
      <w:sz w:val="28"/>
      <w:szCs w:val="28"/>
    </w:rPr>
  </w:style>
  <w:style w:type="character" w:customStyle="1" w:styleId="64">
    <w:name w:val="标题 6 字符"/>
    <w:basedOn w:val="54"/>
    <w:link w:val="7"/>
    <w:qFormat/>
    <w:uiPriority w:val="0"/>
    <w:rPr>
      <w:rFonts w:ascii="Arial" w:hAnsi="Arial" w:eastAsia="黑体" w:cs="Times New Roman"/>
      <w:b/>
      <w:bCs/>
      <w:kern w:val="0"/>
      <w:sz w:val="24"/>
      <w:szCs w:val="24"/>
    </w:rPr>
  </w:style>
  <w:style w:type="character" w:customStyle="1" w:styleId="65">
    <w:name w:val="标题 7 字符"/>
    <w:basedOn w:val="54"/>
    <w:link w:val="8"/>
    <w:qFormat/>
    <w:uiPriority w:val="0"/>
    <w:rPr>
      <w:rFonts w:ascii="Times New Roman" w:hAnsi="Times New Roman" w:eastAsia="宋体" w:cs="Times New Roman"/>
      <w:b/>
      <w:bCs/>
      <w:kern w:val="0"/>
      <w:sz w:val="24"/>
      <w:szCs w:val="24"/>
    </w:rPr>
  </w:style>
  <w:style w:type="character" w:customStyle="1" w:styleId="66">
    <w:name w:val="标题 8 字符"/>
    <w:basedOn w:val="54"/>
    <w:link w:val="9"/>
    <w:qFormat/>
    <w:uiPriority w:val="0"/>
    <w:rPr>
      <w:rFonts w:ascii="Arial" w:hAnsi="Arial" w:eastAsia="黑体" w:cs="Times New Roman"/>
      <w:kern w:val="0"/>
      <w:sz w:val="24"/>
      <w:szCs w:val="24"/>
    </w:rPr>
  </w:style>
  <w:style w:type="character" w:customStyle="1" w:styleId="67">
    <w:name w:val="标题 9 字符"/>
    <w:basedOn w:val="54"/>
    <w:link w:val="10"/>
    <w:qFormat/>
    <w:uiPriority w:val="0"/>
    <w:rPr>
      <w:rFonts w:ascii="Arial" w:hAnsi="Arial" w:eastAsia="黑体" w:cs="Times New Roman"/>
      <w:kern w:val="0"/>
      <w:sz w:val="20"/>
      <w:szCs w:val="21"/>
    </w:rPr>
  </w:style>
  <w:style w:type="character" w:customStyle="1" w:styleId="68">
    <w:name w:val="批注文字 字符"/>
    <w:basedOn w:val="54"/>
    <w:link w:val="19"/>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1"/>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0"/>
    <w:qFormat/>
    <w:uiPriority w:val="0"/>
    <w:rPr>
      <w:rFonts w:ascii="Times New Roman" w:hAnsi="Times New Roman" w:eastAsia="宋体" w:cs="Times New Roman"/>
      <w:kern w:val="0"/>
      <w:sz w:val="16"/>
      <w:szCs w:val="16"/>
    </w:rPr>
  </w:style>
  <w:style w:type="character" w:customStyle="1" w:styleId="75">
    <w:name w:val="正文文本缩进 字符"/>
    <w:basedOn w:val="54"/>
    <w:link w:val="22"/>
    <w:qFormat/>
    <w:uiPriority w:val="0"/>
    <w:rPr>
      <w:sz w:val="24"/>
      <w:szCs w:val="24"/>
    </w:rPr>
  </w:style>
  <w:style w:type="character" w:customStyle="1" w:styleId="76">
    <w:name w:val="纯文本 字符"/>
    <w:basedOn w:val="54"/>
    <w:link w:val="29"/>
    <w:qFormat/>
    <w:uiPriority w:val="0"/>
    <w:rPr>
      <w:rFonts w:ascii="宋体" w:hAnsi="Courier New" w:eastAsia="宋体" w:cs="Times New Roman"/>
      <w:kern w:val="0"/>
      <w:sz w:val="20"/>
      <w:szCs w:val="21"/>
    </w:rPr>
  </w:style>
  <w:style w:type="character" w:customStyle="1" w:styleId="77">
    <w:name w:val="日期 字符"/>
    <w:basedOn w:val="54"/>
    <w:link w:val="31"/>
    <w:qFormat/>
    <w:uiPriority w:val="0"/>
    <w:rPr>
      <w:rFonts w:ascii="Times New Roman" w:hAnsi="Times New Roman" w:eastAsia="宋体" w:cs="Times New Roman"/>
      <w:kern w:val="0"/>
      <w:sz w:val="20"/>
    </w:rPr>
  </w:style>
  <w:style w:type="character" w:customStyle="1" w:styleId="78">
    <w:name w:val="正文文本缩进 2 字符"/>
    <w:basedOn w:val="54"/>
    <w:link w:val="32"/>
    <w:qFormat/>
    <w:uiPriority w:val="0"/>
    <w:rPr>
      <w:rFonts w:ascii="Times New Roman" w:hAnsi="Times New Roman" w:eastAsia="宋体" w:cs="Times New Roman"/>
      <w:kern w:val="0"/>
      <w:sz w:val="20"/>
    </w:rPr>
  </w:style>
  <w:style w:type="character" w:customStyle="1" w:styleId="79">
    <w:name w:val="批注框文本 字符"/>
    <w:basedOn w:val="54"/>
    <w:link w:val="33"/>
    <w:semiHidden/>
    <w:qFormat/>
    <w:uiPriority w:val="0"/>
    <w:rPr>
      <w:rFonts w:ascii="Times New Roman" w:hAnsi="Times New Roman" w:eastAsia="宋体" w:cs="Times New Roman"/>
      <w:kern w:val="0"/>
      <w:sz w:val="18"/>
      <w:szCs w:val="18"/>
    </w:rPr>
  </w:style>
  <w:style w:type="character" w:customStyle="1" w:styleId="80">
    <w:name w:val="页脚 字符"/>
    <w:basedOn w:val="54"/>
    <w:link w:val="34"/>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5"/>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rPr>
  </w:style>
  <w:style w:type="character" w:customStyle="1" w:styleId="84">
    <w:name w:val="正文文本 2 字符"/>
    <w:basedOn w:val="54"/>
    <w:link w:val="43"/>
    <w:qFormat/>
    <w:uiPriority w:val="0"/>
    <w:rPr>
      <w:rFonts w:ascii="Times New Roman" w:hAnsi="Times New Roman" w:eastAsia="宋体" w:cs="Times New Roman"/>
      <w:kern w:val="0"/>
      <w:sz w:val="20"/>
    </w:rPr>
  </w:style>
  <w:style w:type="character" w:customStyle="1" w:styleId="85">
    <w:name w:val="标题 字符"/>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2</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2021-05-31T00:56:39Z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