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eastAsia="黑体" w:cs="Calibri"/>
          <w:b/>
          <w:sz w:val="44"/>
          <w:szCs w:val="44"/>
          <w:u w:val="none"/>
          <w:lang w:val="en-US" w:eastAsia="zh-CN"/>
        </w:rPr>
      </w:pPr>
      <w:r>
        <w:rPr>
          <w:rFonts w:hint="eastAsia" w:ascii="黑体" w:hAnsi="黑体" w:eastAsia="黑体"/>
          <w:b/>
          <w:sz w:val="44"/>
          <w:szCs w:val="44"/>
        </w:rPr>
        <w:t>杭州萧山国际机场</w:t>
      </w:r>
      <w:r>
        <w:rPr>
          <w:rFonts w:hint="eastAsia" w:eastAsia="黑体" w:cs="Calibri"/>
          <w:b/>
          <w:sz w:val="44"/>
          <w:szCs w:val="44"/>
          <w:u w:val="none"/>
          <w:lang w:eastAsia="zh-CN"/>
        </w:rPr>
        <w:t>航站楼问询台无障碍设施及</w:t>
      </w:r>
      <w:r>
        <w:rPr>
          <w:rFonts w:hint="eastAsia" w:eastAsia="黑体" w:cs="Calibri"/>
          <w:b/>
          <w:sz w:val="44"/>
          <w:szCs w:val="44"/>
          <w:u w:val="none"/>
          <w:lang w:val="en-US" w:eastAsia="zh-CN"/>
        </w:rPr>
        <w:t>新增</w:t>
      </w:r>
      <w:r>
        <w:rPr>
          <w:rFonts w:hint="eastAsia" w:eastAsia="黑体" w:cs="Calibri"/>
          <w:b/>
          <w:sz w:val="44"/>
          <w:szCs w:val="44"/>
          <w:u w:val="none"/>
          <w:lang w:eastAsia="zh-CN"/>
        </w:rPr>
        <w:t>盲道改造项目（</w:t>
      </w:r>
      <w:r>
        <w:rPr>
          <w:rFonts w:hint="eastAsia" w:eastAsia="黑体" w:cs="Calibri"/>
          <w:b/>
          <w:sz w:val="44"/>
          <w:szCs w:val="44"/>
          <w:u w:val="none"/>
          <w:lang w:val="en-US" w:eastAsia="zh-CN"/>
        </w:rPr>
        <w:t>重新招标</w:t>
      </w:r>
      <w:r>
        <w:rPr>
          <w:rFonts w:hint="eastAsia" w:eastAsia="黑体" w:cs="Calibri"/>
          <w:b/>
          <w:sz w:val="44"/>
          <w:szCs w:val="44"/>
          <w:u w:val="none"/>
          <w:lang w:eastAsia="zh-CN"/>
        </w:rPr>
        <w:t>）</w:t>
      </w: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b/>
          <w:sz w:val="84"/>
          <w:szCs w:val="84"/>
          <w:u w:val="none"/>
        </w:rPr>
      </w:pP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sz w:val="84"/>
          <w:szCs w:val="84"/>
        </w:rPr>
      </w:pPr>
      <w:bookmarkStart w:id="161" w:name="_GoBack"/>
      <w:bookmarkEnd w:id="161"/>
      <w:r>
        <w:rPr>
          <w:rFonts w:ascii="黑体" w:hAnsi="黑体" w:eastAsia="黑体"/>
          <w:b/>
          <w:sz w:val="84"/>
          <w:szCs w:val="84"/>
        </w:rPr>
        <w:t>招标文件</w:t>
      </w: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both"/>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snapToGrid w:val="0"/>
        <w:spacing w:line="360" w:lineRule="auto"/>
        <w:jc w:val="center"/>
        <w:rPr>
          <w:rFonts w:eastAsia="黑体" w:cs="Calibri"/>
          <w:sz w:val="32"/>
          <w:szCs w:val="32"/>
        </w:rPr>
      </w:pPr>
      <w:r>
        <w:rPr>
          <w:rFonts w:eastAsia="黑体" w:cs="Calibri"/>
          <w:sz w:val="32"/>
          <w:szCs w:val="32"/>
        </w:rPr>
        <w:t>杭州萧山国际机场有限公司</w:t>
      </w:r>
    </w:p>
    <w:p>
      <w:pPr>
        <w:keepNext w:val="0"/>
        <w:keepLines w:val="0"/>
        <w:pageBreakBefore w:val="0"/>
        <w:kinsoku/>
        <w:wordWrap/>
        <w:topLinePunct w:val="0"/>
        <w:bidi w:val="0"/>
        <w:spacing w:line="360" w:lineRule="auto"/>
        <w:rPr>
          <w:rFonts w:eastAsia="黑体" w:cs="Calibri"/>
          <w:sz w:val="32"/>
          <w:szCs w:val="32"/>
        </w:rPr>
      </w:pPr>
    </w:p>
    <w:p>
      <w:pPr>
        <w:pStyle w:val="7"/>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szCs w:val="2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六</w:t>
      </w:r>
      <w:r>
        <w:rPr>
          <w:rFonts w:ascii="Calibri" w:hAnsi="Calibri" w:eastAsia="黑体" w:cs="Calibri"/>
          <w:sz w:val="32"/>
          <w:szCs w:val="32"/>
        </w:rPr>
        <w:t>月</w:t>
      </w: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bCs/>
          <w:sz w:val="24"/>
          <w:szCs w:val="24"/>
        </w:rPr>
      </w:pP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sz w:val="24"/>
          <w:szCs w:val="24"/>
        </w:rPr>
      </w:pP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"1-1" \h \z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第二章  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第四章  合同条款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20</w:t>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第五章  项目概况和要求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p>
    <w:p>
      <w:pPr>
        <w:keepNext w:val="0"/>
        <w:keepLines w:val="0"/>
        <w:pageBreakBefore w:val="0"/>
        <w:tabs>
          <w:tab w:val="right" w:leader="dot" w:pos="8364"/>
        </w:tabs>
        <w:kinsoku/>
        <w:wordWrap/>
        <w:topLinePunct w:val="0"/>
        <w:bidi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end"/>
      </w:r>
    </w:p>
    <w:p>
      <w:pPr>
        <w:keepNext w:val="0"/>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4"/>
          <w:szCs w:val="24"/>
        </w:rPr>
        <w:sectPr>
          <w:pgSz w:w="11906" w:h="16838"/>
          <w:pgMar w:top="1440" w:right="1800" w:bottom="1440" w:left="1800" w:header="851" w:footer="992" w:gutter="0"/>
          <w:cols w:space="425" w:num="1"/>
          <w:docGrid w:type="lines" w:linePitch="312" w:charSpace="0"/>
        </w:sectPr>
      </w:pPr>
    </w:p>
    <w:p>
      <w:pPr>
        <w:pStyle w:val="14"/>
        <w:keepNext w:val="0"/>
        <w:keepLines w:val="0"/>
        <w:pageBreakBefore w:val="0"/>
        <w:kinsoku/>
        <w:wordWrap/>
        <w:topLinePunct w:val="0"/>
        <w:bidi w:val="0"/>
        <w:spacing w:line="360" w:lineRule="auto"/>
        <w:rPr>
          <w:rFonts w:hint="eastAsia" w:asciiTheme="minorEastAsia" w:hAnsiTheme="minorEastAsia" w:eastAsiaTheme="minorEastAsia" w:cstheme="minorEastAsia"/>
          <w:b/>
          <w:bCs/>
          <w:kern w:val="0"/>
          <w:sz w:val="24"/>
          <w:szCs w:val="24"/>
        </w:rPr>
      </w:pPr>
      <w:bookmarkStart w:id="0" w:name="_Toc321925451"/>
      <w:r>
        <w:rPr>
          <w:rFonts w:hint="eastAsia" w:ascii="黑体" w:hAnsi="黑体" w:eastAsia="黑体" w:cs="黑体"/>
          <w:sz w:val="32"/>
          <w:szCs w:val="32"/>
        </w:rPr>
        <w:t>第一章招标公告</w:t>
      </w:r>
      <w:bookmarkEnd w:id="0"/>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一、招标内容</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项目概况：</w:t>
      </w:r>
      <w:r>
        <w:rPr>
          <w:rFonts w:hint="eastAsia" w:asciiTheme="minorEastAsia" w:hAnsiTheme="minorEastAsia" w:eastAsiaTheme="minorEastAsia" w:cstheme="minorEastAsia"/>
          <w:color w:val="000000"/>
          <w:sz w:val="24"/>
          <w:szCs w:val="24"/>
        </w:rPr>
        <w:t>本项目为杭州萧山国际机场航站楼</w:t>
      </w:r>
      <w:r>
        <w:rPr>
          <w:rFonts w:hint="eastAsia" w:asciiTheme="minorEastAsia" w:hAnsiTheme="minorEastAsia" w:eastAsiaTheme="minorEastAsia" w:cstheme="minorEastAsia"/>
          <w:color w:val="000000"/>
          <w:sz w:val="24"/>
          <w:szCs w:val="24"/>
          <w:lang w:eastAsia="zh-CN"/>
        </w:rPr>
        <w:t>问询台无障碍设施</w:t>
      </w:r>
      <w:r>
        <w:rPr>
          <w:rFonts w:hint="eastAsia" w:asciiTheme="minorEastAsia" w:hAnsiTheme="minorEastAsia" w:cstheme="minorEastAsia"/>
          <w:color w:val="000000"/>
          <w:sz w:val="24"/>
          <w:szCs w:val="24"/>
          <w:lang w:eastAsia="zh-CN"/>
        </w:rPr>
        <w:t>及</w:t>
      </w:r>
      <w:r>
        <w:rPr>
          <w:rFonts w:hint="eastAsia" w:asciiTheme="minorEastAsia" w:hAnsiTheme="minorEastAsia" w:cstheme="minorEastAsia"/>
          <w:color w:val="000000"/>
          <w:sz w:val="24"/>
          <w:szCs w:val="24"/>
          <w:lang w:val="en-US" w:eastAsia="zh-CN"/>
        </w:rPr>
        <w:t>新增</w:t>
      </w:r>
      <w:r>
        <w:rPr>
          <w:rFonts w:hint="eastAsia" w:asciiTheme="minorEastAsia" w:hAnsiTheme="minorEastAsia" w:cstheme="minorEastAsia"/>
          <w:color w:val="000000"/>
          <w:sz w:val="24"/>
          <w:szCs w:val="24"/>
          <w:lang w:eastAsia="zh-CN"/>
        </w:rPr>
        <w:t>盲道改造</w:t>
      </w: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，位于杭州萧山国际机场内，主要内容为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在现有</w:t>
      </w:r>
      <w:r>
        <w:rPr>
          <w:rFonts w:hint="eastAsia" w:asciiTheme="minorEastAsia" w:hAnsiTheme="minorEastAsia" w:cstheme="minorEastAsia"/>
          <w:color w:val="000000" w:themeColor="text1"/>
          <w:sz w:val="24"/>
          <w:szCs w:val="24"/>
          <w:lang w:eastAsia="zh-CN"/>
          <w14:textFill>
            <w14:solidFill>
              <w14:schemeClr w14:val="tx1"/>
            </w14:solidFill>
          </w14:textFill>
        </w:rPr>
        <w:t>航站楼</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问询台基础上进行无障碍</w:t>
      </w:r>
      <w:r>
        <w:rPr>
          <w:rFonts w:hint="eastAsia" w:asciiTheme="minorEastAsia" w:hAnsiTheme="minorEastAsia" w:cstheme="minorEastAsia"/>
          <w:color w:val="000000" w:themeColor="text1"/>
          <w:sz w:val="24"/>
          <w:szCs w:val="24"/>
          <w:lang w:eastAsia="zh-CN"/>
          <w14:textFill>
            <w14:solidFill>
              <w14:schemeClr w14:val="tx1"/>
            </w14:solidFill>
          </w14:textFill>
        </w:rPr>
        <w:t>设施及新增盲道改造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，并负责</w:t>
      </w:r>
      <w:r>
        <w:rPr>
          <w:rFonts w:hint="eastAsia" w:asciiTheme="minorEastAsia" w:hAnsiTheme="minorEastAsia" w:cstheme="minorEastAsia"/>
          <w:color w:val="000000" w:themeColor="text1"/>
          <w:sz w:val="24"/>
          <w:szCs w:val="24"/>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、盲道及设施设备后期维护等（含柜台设计、盲道安装、后续维保等）全部内容，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具体招标技术规格及要求详见招标文件。本次招标工程的概算造价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万元人民币，投标资格审查采用后审方式。</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（2）本</w:t>
      </w:r>
      <w:r>
        <w:rPr>
          <w:rFonts w:hint="eastAsia" w:asciiTheme="minorEastAsia" w:hAnsi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sz w:val="24"/>
          <w:szCs w:val="24"/>
        </w:rPr>
        <w:t>设一个标段，要求合同签订后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sz w:val="24"/>
          <w:szCs w:val="24"/>
        </w:rPr>
        <w:t>日历天内完工。</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二、投标人资格要求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（1）</w:t>
      </w:r>
      <w:r>
        <w:rPr>
          <w:rFonts w:hint="eastAsia" w:asciiTheme="minorEastAsia" w:hAnsiTheme="minorEastAsia" w:eastAsiaTheme="minorEastAsia" w:cstheme="minorEastAsia"/>
          <w:b w:val="0"/>
          <w:bCs w:val="0"/>
          <w:sz w:val="24"/>
          <w:szCs w:val="24"/>
        </w:rPr>
        <w:t>投标人具备</w:t>
      </w:r>
      <w:r>
        <w:rPr>
          <w:rFonts w:hint="eastAsia" w:asciiTheme="minorEastAsia" w:hAnsiTheme="minorEastAsia" w:eastAsiaTheme="minorEastAsia" w:cstheme="minorEastAsia"/>
          <w:b w:val="0"/>
          <w:bCs w:val="0"/>
          <w:sz w:val="24"/>
          <w:szCs w:val="24"/>
          <w:u w:val="single"/>
        </w:rPr>
        <w:t xml:space="preserve"> 建筑工程 </w:t>
      </w:r>
      <w:r>
        <w:rPr>
          <w:rFonts w:hint="eastAsia" w:asciiTheme="minorEastAsia" w:hAnsiTheme="minorEastAsia" w:eastAsiaTheme="minorEastAsia" w:cstheme="minorEastAsia"/>
          <w:b w:val="0"/>
          <w:bCs w:val="0"/>
          <w:sz w:val="24"/>
          <w:szCs w:val="24"/>
        </w:rPr>
        <w:t>施工总承包三级及以上资质或具有</w:t>
      </w:r>
      <w:r>
        <w:rPr>
          <w:rFonts w:hint="eastAsia" w:asciiTheme="minorEastAsia" w:hAnsiTheme="minorEastAsia" w:eastAsiaTheme="minorEastAsia" w:cstheme="minorEastAsia"/>
          <w:b w:val="0"/>
          <w:bCs w:val="0"/>
          <w:sz w:val="24"/>
          <w:szCs w:val="24"/>
          <w:u w:val="single"/>
        </w:rPr>
        <w:t>建筑装修装饰工程</w:t>
      </w:r>
      <w:r>
        <w:rPr>
          <w:rFonts w:hint="eastAsia" w:asciiTheme="minorEastAsia" w:hAnsiTheme="minorEastAsia" w:eastAsiaTheme="minorEastAsia" w:cstheme="minorEastAsia"/>
          <w:b w:val="0"/>
          <w:bCs w:val="0"/>
          <w:sz w:val="24"/>
          <w:szCs w:val="24"/>
        </w:rPr>
        <w:t>专业承包二级及以上资质；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kern w:val="0"/>
          <w:sz w:val="24"/>
          <w:szCs w:val="24"/>
        </w:rPr>
        <w:t>（2）</w:t>
      </w:r>
      <w:r>
        <w:rPr>
          <w:rFonts w:hint="eastAsia" w:asciiTheme="minorEastAsia" w:hAnsiTheme="minorEastAsia" w:eastAsiaTheme="minorEastAsia" w:cstheme="minorEastAsia"/>
          <w:b w:val="0"/>
          <w:bCs w:val="0"/>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（3）项目经理资格要求：具有</w:t>
      </w:r>
      <w:r>
        <w:rPr>
          <w:rFonts w:hint="eastAsia" w:asciiTheme="minorEastAsia" w:hAnsiTheme="minorEastAsia" w:eastAsiaTheme="minorEastAsia" w:cstheme="minorEastAsia"/>
          <w:b w:val="0"/>
          <w:bCs w:val="0"/>
          <w:sz w:val="24"/>
          <w:szCs w:val="24"/>
          <w:u w:val="single"/>
        </w:rPr>
        <w:t xml:space="preserve">  建筑   </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u w:val="single"/>
        </w:rPr>
        <w:t xml:space="preserve">  二  </w:t>
      </w:r>
      <w:r>
        <w:rPr>
          <w:rFonts w:hint="eastAsia" w:asciiTheme="minorEastAsia" w:hAnsiTheme="minorEastAsia" w:eastAsiaTheme="minorEastAsia" w:cstheme="minorEastAsia"/>
          <w:b w:val="0"/>
          <w:bCs w:val="0"/>
          <w:sz w:val="24"/>
          <w:szCs w:val="24"/>
        </w:rPr>
        <w:t>级及以上注册建造师执业证书</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（4）本项目不接受联合体投标</w:t>
      </w:r>
      <w:r>
        <w:rPr>
          <w:rFonts w:hint="eastAsia" w:asciiTheme="minorEastAsia" w:hAnsiTheme="minorEastAsia" w:cstheme="minorEastAsia"/>
          <w:b w:val="0"/>
          <w:bCs w:val="0"/>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rPr>
        <w:t>）具有良</w:t>
      </w:r>
      <w:r>
        <w:rPr>
          <w:rFonts w:hint="eastAsia" w:asciiTheme="minorEastAsia" w:hAnsiTheme="minorEastAsia" w:eastAsiaTheme="minorEastAsia" w:cstheme="minorEastAsia"/>
          <w:b w:val="0"/>
          <w:bCs w:val="0"/>
          <w:sz w:val="24"/>
          <w:szCs w:val="24"/>
        </w:rPr>
        <w:t>好的商业信誉和健全的财务会计制度，近三年无违法或其他信誉不良记录；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）投标人具有一般纳税人资格，</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可提供增值税专用发票。</w:t>
      </w:r>
      <w:r>
        <w:rPr>
          <w:rFonts w:hint="eastAsia" w:asciiTheme="minorEastAsia" w:hAnsiTheme="minorEastAsia" w:eastAsiaTheme="minorEastAsia" w:cstheme="minorEastAsia"/>
          <w:b w:val="0"/>
          <w:bCs w:val="0"/>
          <w:sz w:val="24"/>
          <w:szCs w:val="24"/>
        </w:rPr>
        <w:t>（需提供增值税一般纳税人资格登记表复印件并加盖公章，原件备查）</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投标单位自2014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能参加本项目的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）在杭州萧山国际机场以往工程建设过程中存在违法或犯罪行为而致使机场员工受到刑罚制裁，不能参加此次项目的投标。</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lang w:eastAsia="zh-CN"/>
        </w:rPr>
        <w:t>、招标文件获取</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凡符合资格条件并有投标意向的潜在投标人，请通过杭州萧山机场有限公司主页</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"http://www.hzairport.com/zbxx.aspx"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http://www.hzairport.com/zbxx.aspx</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自行下载招标文件</w:t>
      </w:r>
      <w:r>
        <w:rPr>
          <w:rFonts w:hint="eastAsia" w:asciiTheme="minorEastAsia" w:hAnsiTheme="minorEastAsia" w:eastAsiaTheme="minorEastAsia" w:cstheme="minorEastAsia"/>
          <w:sz w:val="24"/>
          <w:szCs w:val="24"/>
        </w:rPr>
        <w:t>。</w:t>
      </w:r>
    </w:p>
    <w:p>
      <w:pPr>
        <w:keepNext w:val="0"/>
        <w:keepLines w:val="0"/>
        <w:pageBreakBefore w:val="0"/>
        <w:numPr>
          <w:ilvl w:val="0"/>
          <w:numId w:val="0"/>
        </w:numPr>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sz w:val="24"/>
          <w:szCs w:val="24"/>
          <w:lang w:eastAsia="zh-CN"/>
        </w:rPr>
        <w:t>四、</w:t>
      </w:r>
      <w:r>
        <w:rPr>
          <w:rFonts w:hint="eastAsia" w:asciiTheme="minorEastAsia" w:hAnsiTheme="minorEastAsia" w:eastAsiaTheme="minorEastAsia" w:cstheme="minorEastAsia"/>
          <w:b/>
          <w:bCs/>
          <w:sz w:val="24"/>
          <w:szCs w:val="24"/>
        </w:rPr>
        <w:t>踏勘现场</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招标人组织踏勘现场，集中踏勘时间为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2021年</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时</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分（北京时间）。踏勘集中地点为杭州萧山国际机场11号门内（问询台），</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、投标文件的递交</w:t>
      </w:r>
    </w:p>
    <w:p>
      <w:pPr>
        <w:keepNext w:val="0"/>
        <w:keepLines w:val="0"/>
        <w:pageBreakBefore w:val="0"/>
        <w:widowControl/>
        <w:kinsoku/>
        <w:wordWrap/>
        <w:topLinePunct w:val="0"/>
        <w:bidi w:val="0"/>
        <w:adjustRightInd w:val="0"/>
        <w:snapToGrid w:val="0"/>
        <w:spacing w:line="360" w:lineRule="auto"/>
        <w:ind w:firstLine="480" w:firstLineChars="200"/>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（1）投标文件递交截止时间：20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0分（北京时间）。投标文件在封口处加盖公章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并注明是：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杭州萧山国际机场航站楼</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问询台</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无障碍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设施</w:t>
      </w:r>
      <w:r>
        <w:rPr>
          <w:rFonts w:hint="eastAsia" w:asciiTheme="minorEastAsia" w:hAnsiTheme="minorEastAsia" w:cstheme="minorEastAsia"/>
          <w:b/>
          <w:bCs/>
          <w:color w:val="000000" w:themeColor="text1"/>
          <w:sz w:val="24"/>
          <w:szCs w:val="24"/>
          <w:lang w:eastAsia="zh-CN"/>
          <w14:textFill>
            <w14:solidFill>
              <w14:schemeClr w14:val="tx1"/>
            </w14:solidFill>
          </w14:textFill>
        </w:rPr>
        <w:t>及</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新增</w:t>
      </w:r>
      <w:r>
        <w:rPr>
          <w:rFonts w:hint="eastAsia" w:asciiTheme="minorEastAsia" w:hAnsiTheme="minorEastAsia" w:cstheme="minorEastAsia"/>
          <w:b/>
          <w:bCs/>
          <w:color w:val="000000" w:themeColor="text1"/>
          <w:sz w:val="24"/>
          <w:szCs w:val="24"/>
          <w:lang w:eastAsia="zh-CN"/>
          <w14:textFill>
            <w14:solidFill>
              <w14:schemeClr w14:val="tx1"/>
            </w14:solidFill>
          </w14:textFill>
        </w:rPr>
        <w:t>盲道改造</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并派专人于20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0分（北京时间）前送至杭州萧山国际机场翔越路综合服务楼园区招标中心，逾期无效；若采用投递方式的，请于20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月  </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0分（北京时间）前投递至杭州萧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山国际机场招标中心，快递面单上注明是：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杭州萧山国际机场航站楼</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问询台</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无障碍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设施</w:t>
      </w:r>
      <w:r>
        <w:rPr>
          <w:rFonts w:hint="eastAsia" w:asciiTheme="minorEastAsia" w:hAnsiTheme="minorEastAsia" w:cstheme="minorEastAsia"/>
          <w:b/>
          <w:bCs/>
          <w:color w:val="000000" w:themeColor="text1"/>
          <w:sz w:val="24"/>
          <w:szCs w:val="24"/>
          <w:lang w:eastAsia="zh-CN"/>
          <w14:textFill>
            <w14:solidFill>
              <w14:schemeClr w14:val="tx1"/>
            </w14:solidFill>
          </w14:textFill>
        </w:rPr>
        <w:t>及</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新增</w:t>
      </w:r>
      <w:r>
        <w:rPr>
          <w:rFonts w:hint="eastAsia" w:asciiTheme="minorEastAsia" w:hAnsiTheme="minorEastAsia" w:cstheme="minorEastAsia"/>
          <w:b/>
          <w:bCs/>
          <w:color w:val="000000" w:themeColor="text1"/>
          <w:sz w:val="24"/>
          <w:szCs w:val="24"/>
          <w:lang w:eastAsia="zh-CN"/>
          <w14:textFill>
            <w14:solidFill>
              <w14:schemeClr w14:val="tx1"/>
            </w14:solidFill>
          </w14:textFill>
        </w:rPr>
        <w:t>盲道改造</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项目投标文件</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sz w:val="24"/>
          <w:szCs w:val="24"/>
        </w:rPr>
        <w:t>（2）逾期送达或者未送达指定地点的投标文件，招标人不予受理。</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六</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七</w:t>
      </w:r>
      <w:r>
        <w:rPr>
          <w:rFonts w:hint="eastAsia" w:asciiTheme="minorEastAsia" w:hAnsiTheme="minorEastAsia" w:eastAsiaTheme="minorEastAsia" w:cstheme="minorEastAsia"/>
          <w:b/>
          <w:bCs/>
          <w:kern w:val="0"/>
          <w:sz w:val="24"/>
          <w:szCs w:val="24"/>
        </w:rPr>
        <w:t>、联系方式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投标联系人：</w:t>
      </w:r>
      <w:r>
        <w:rPr>
          <w:rFonts w:hint="eastAsia" w:asciiTheme="minorEastAsia" w:hAnsiTheme="minorEastAsia" w:cstheme="minorEastAsia"/>
          <w:sz w:val="24"/>
          <w:szCs w:val="24"/>
          <w:lang w:eastAsia="zh-CN"/>
        </w:rPr>
        <w:t>张莺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联系电话：0571-86662560  </w:t>
      </w:r>
    </w:p>
    <w:p>
      <w:pPr>
        <w:keepNext w:val="0"/>
        <w:keepLines w:val="0"/>
        <w:pageBreakBefore w:val="0"/>
        <w:widowControl/>
        <w:kinsoku/>
        <w:wordWrap/>
        <w:topLinePunct w:val="0"/>
        <w:bidi w:val="0"/>
        <w:snapToGrid w:val="0"/>
        <w:spacing w:line="360" w:lineRule="auto"/>
        <w:ind w:firstLine="480" w:firstLineChars="200"/>
        <w:jc w:val="lef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eastAsia="zh-CN"/>
          <w14:textFill>
            <w14:solidFill>
              <w14:schemeClr w14:val="tx1"/>
            </w14:solidFill>
          </w14:textFill>
        </w:rPr>
        <w:t>朱伟</w:t>
      </w:r>
      <w:r>
        <w:rPr>
          <w:rFonts w:hint="eastAsia" w:ascii="宋体" w:hAnsi="宋体" w:eastAsia="宋体" w:cs="宋体"/>
          <w:color w:val="000000" w:themeColor="text1"/>
          <w:sz w:val="24"/>
          <w:szCs w:val="24"/>
          <w14:textFill>
            <w14:solidFill>
              <w14:schemeClr w14:val="tx1"/>
            </w14:solidFill>
          </w14:textFill>
        </w:rPr>
        <w:t xml:space="preserve">         联系电话：</w:t>
      </w:r>
      <w:r>
        <w:rPr>
          <w:rFonts w:hint="eastAsia" w:ascii="宋体" w:hAnsi="宋体" w:eastAsia="宋体" w:cs="宋体"/>
          <w:color w:val="000000" w:themeColor="text1"/>
          <w:sz w:val="24"/>
          <w:szCs w:val="24"/>
          <w:lang w:val="en-US" w:eastAsia="zh-CN"/>
          <w14:textFill>
            <w14:solidFill>
              <w14:schemeClr w14:val="tx1"/>
            </w14:solidFill>
          </w14:textFill>
        </w:rPr>
        <w:t>0571-83837713</w:t>
      </w: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jc w:val="both"/>
      </w:pPr>
    </w:p>
    <w:p>
      <w:pPr>
        <w:pStyle w:val="14"/>
        <w:keepNext w:val="0"/>
        <w:keepLines w:val="0"/>
        <w:pageBreakBefore w:val="0"/>
        <w:kinsoku/>
        <w:wordWrap/>
        <w:topLinePunct w:val="0"/>
        <w:bidi w:val="0"/>
        <w:spacing w:line="360" w:lineRule="auto"/>
      </w:pPr>
      <w:r>
        <w:t>第</w:t>
      </w:r>
      <w:r>
        <w:rPr>
          <w:rFonts w:hint="eastAsia"/>
        </w:rPr>
        <w:t>二</w:t>
      </w:r>
      <w:r>
        <w:t>章  投标</w:t>
      </w:r>
      <w:r>
        <w:rPr>
          <w:rFonts w:hint="eastAsia"/>
        </w:rPr>
        <w:t>人须知</w:t>
      </w:r>
    </w:p>
    <w:p>
      <w:pPr>
        <w:pStyle w:val="8"/>
        <w:keepNext w:val="0"/>
        <w:keepLines w:val="0"/>
        <w:pageBreakBefore w:val="0"/>
        <w:kinsoku/>
        <w:wordWrap/>
        <w:topLinePunct w:val="0"/>
        <w:bidi w:val="0"/>
        <w:spacing w:line="360" w:lineRule="auto"/>
        <w:ind w:left="480"/>
        <w:jc w:val="center"/>
        <w:rPr>
          <w:b/>
          <w:sz w:val="28"/>
          <w:szCs w:val="28"/>
        </w:rPr>
      </w:pPr>
      <w:r>
        <w:rPr>
          <w:rFonts w:hint="eastAsia"/>
          <w:b/>
          <w:sz w:val="28"/>
          <w:szCs w:val="28"/>
        </w:rPr>
        <w:t>投标人须知前附表</w:t>
      </w:r>
    </w:p>
    <w:tbl>
      <w:tblPr>
        <w:tblStyle w:val="15"/>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项目名称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eastAsia="zh-CN"/>
              </w:rPr>
            </w:pPr>
            <w:r>
              <w:rPr>
                <w:rFonts w:hint="eastAsia" w:ascii="宋体" w:hAnsi="宋体" w:cs="Arial"/>
                <w:kern w:val="0"/>
                <w:sz w:val="22"/>
              </w:rPr>
              <w:t>杭州萧山国际机场</w:t>
            </w:r>
            <w:r>
              <w:rPr>
                <w:rFonts w:hint="eastAsia" w:ascii="宋体" w:hAnsi="宋体" w:cs="Arial"/>
                <w:kern w:val="0"/>
                <w:sz w:val="22"/>
                <w:lang w:eastAsia="zh-CN"/>
              </w:rPr>
              <w:t>航站楼问询台无障碍设施及</w:t>
            </w:r>
            <w:r>
              <w:rPr>
                <w:rFonts w:hint="eastAsia" w:ascii="宋体" w:hAnsi="宋体" w:cs="Arial"/>
                <w:kern w:val="0"/>
                <w:sz w:val="22"/>
                <w:lang w:val="en-US" w:eastAsia="zh-CN"/>
              </w:rPr>
              <w:t>新增</w:t>
            </w:r>
            <w:r>
              <w:rPr>
                <w:rFonts w:hint="eastAsia" w:ascii="宋体" w:hAnsi="宋体" w:cs="Arial"/>
                <w:kern w:val="0"/>
                <w:sz w:val="22"/>
                <w:lang w:eastAsia="zh-CN"/>
              </w:rPr>
              <w:t>盲道改造项目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z w:val="22"/>
              </w:rPr>
            </w:pPr>
            <w:r>
              <w:rPr>
                <w:rFonts w:ascii="宋体" w:hAnsi="宋体" w:cs="Calibri"/>
                <w:sz w:val="22"/>
              </w:rPr>
              <w:t>1.1.2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建设地点</w:t>
            </w:r>
          </w:p>
        </w:tc>
        <w:tc>
          <w:tcPr>
            <w:tcW w:w="6487" w:type="dxa"/>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cs="Calibri" w:eastAsiaTheme="minorEastAsia"/>
                <w:color w:val="000000" w:themeColor="text1"/>
                <w:kern w:val="0"/>
                <w:sz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sz w:val="22"/>
                <w:lang w:val="en-US" w:eastAsia="zh-CN"/>
              </w:rPr>
            </w:pPr>
            <w:r>
              <w:rPr>
                <w:rFonts w:ascii="宋体" w:hAnsi="宋体" w:cs="Calibri"/>
                <w:color w:val="auto"/>
                <w:sz w:val="22"/>
              </w:rPr>
              <w:t>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auto"/>
                <w:kern w:val="0"/>
                <w:sz w:val="22"/>
              </w:rPr>
            </w:pPr>
            <w:r>
              <w:rPr>
                <w:rFonts w:ascii="宋体" w:hAnsi="宋体" w:cs="Calibri"/>
                <w:color w:val="auto"/>
                <w:kern w:val="0"/>
                <w:sz w:val="22"/>
              </w:rPr>
              <w:t>资金来源</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color w:val="auto"/>
                <w:kern w:val="0"/>
                <w:sz w:val="22"/>
              </w:rPr>
            </w:pPr>
            <w:r>
              <w:rPr>
                <w:rStyle w:val="18"/>
                <w:rFonts w:hint="eastAsia" w:ascii="宋体" w:hAnsi="宋体" w:cs="Calibri"/>
                <w:color w:val="auto"/>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招标方式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资格审查</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1.6</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1.7</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1.8</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踏勘现场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□不组织</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组织，踏勘时间：</w:t>
            </w:r>
            <w:r>
              <w:rPr>
                <w:rFonts w:hint="eastAsia" w:ascii="宋体" w:hAnsi="宋体" w:cs="Arial"/>
                <w:color w:val="000000" w:themeColor="text1"/>
                <w:kern w:val="0"/>
                <w:sz w:val="22"/>
                <w14:textFill>
                  <w14:solidFill>
                    <w14:schemeClr w14:val="tx1"/>
                  </w14:solidFill>
                </w14:textFill>
              </w:rPr>
              <w:t>2</w:t>
            </w:r>
            <w:r>
              <w:rPr>
                <w:rFonts w:hint="eastAsia" w:ascii="宋体" w:hAnsi="宋体" w:cs="Arial"/>
                <w:color w:val="000000" w:themeColor="text1"/>
                <w:kern w:val="0"/>
                <w:sz w:val="22"/>
                <w:lang w:val="en-US" w:eastAsia="zh-CN"/>
                <w14:textFill>
                  <w14:solidFill>
                    <w14:schemeClr w14:val="tx1"/>
                  </w14:solidFill>
                </w14:textFill>
              </w:rPr>
              <w:t>021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6 </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23 </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上午</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分</w:t>
            </w:r>
          </w:p>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kern w:val="0"/>
                <w:sz w:val="22"/>
                <w:lang w:val="en-US" w:eastAsia="zh-CN"/>
              </w:rPr>
            </w:pPr>
            <w:r>
              <w:rPr>
                <w:rFonts w:ascii="宋体" w:hAnsi="宋体" w:cs="Calibri"/>
                <w:kern w:val="0"/>
                <w:sz w:val="22"/>
              </w:rPr>
              <w:t>踏勘集中地点：</w:t>
            </w:r>
            <w:r>
              <w:rPr>
                <w:rFonts w:hint="eastAsia" w:ascii="宋体" w:hAnsi="宋体" w:cs="Calibri"/>
                <w:kern w:val="0"/>
                <w:sz w:val="22"/>
              </w:rPr>
              <w:t>杭州萧山国际机场11号门内（问询台）</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投标预备会</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□召开，召开时间：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20</w:t>
            </w:r>
            <w:r>
              <w:rPr>
                <w:rFonts w:hint="eastAsia" w:ascii="宋体" w:hAnsi="宋体" w:cs="Calibri"/>
                <w:color w:val="000000" w:themeColor="text1"/>
                <w:kern w:val="0"/>
                <w:sz w:val="22"/>
                <w:lang w:val="en-US" w:eastAsia="zh-CN"/>
                <w14:textFill>
                  <w14:solidFill>
                    <w14:schemeClr w14:val="tx1"/>
                  </w14:solidFill>
                </w14:textFill>
              </w:rPr>
              <w:t>21</w:t>
            </w:r>
            <w:r>
              <w:rPr>
                <w:rFonts w:hint="eastAsia" w:ascii="宋体" w:hAnsi="宋体" w:cs="Calibri"/>
                <w:color w:val="000000" w:themeColor="text1"/>
                <w:kern w:val="0"/>
                <w:sz w:val="22"/>
                <w14:textFill>
                  <w14:solidFill>
                    <w14:schemeClr w14:val="tx1"/>
                  </w14:solidFill>
                </w14:textFill>
              </w:rPr>
              <w:t>年</w:t>
            </w:r>
            <w:r>
              <w:rPr>
                <w:rFonts w:hint="eastAsia" w:ascii="宋体" w:hAnsi="宋体" w:cs="Calibri"/>
                <w:color w:val="000000" w:themeColor="text1"/>
                <w:kern w:val="0"/>
                <w:sz w:val="22"/>
                <w:lang w:val="en-US" w:eastAsia="zh-CN"/>
                <w14:textFill>
                  <w14:solidFill>
                    <w14:schemeClr w14:val="tx1"/>
                  </w14:solidFill>
                </w14:textFill>
              </w:rPr>
              <w:t xml:space="preserve">  </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 xml:space="preserve">  </w:t>
            </w:r>
            <w:r>
              <w:rPr>
                <w:rFonts w:hint="eastAsia" w:ascii="宋体" w:hAnsi="宋体" w:cs="Calibri"/>
                <w:color w:val="000000" w:themeColor="text1"/>
                <w:kern w:val="0"/>
                <w:sz w:val="22"/>
                <w14:textFill>
                  <w14:solidFill>
                    <w14:schemeClr w14:val="tx1"/>
                  </w14:solidFill>
                </w14:textFill>
              </w:rPr>
              <w:t>日11：30前，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14:textFill>
                  <w14:solidFill>
                    <w14:schemeClr w14:val="tx1"/>
                  </w14:solidFill>
                </w14:textFill>
              </w:rPr>
              <w:t>（投标联系人:</w:t>
            </w:r>
            <w:r>
              <w:rPr>
                <w:rFonts w:hint="eastAsia" w:ascii="宋体" w:hAnsi="宋体" w:cs="Calibri"/>
                <w:color w:val="000000" w:themeColor="text1"/>
                <w:kern w:val="0"/>
                <w:sz w:val="22"/>
                <w:lang w:eastAsia="zh-CN"/>
                <w14:textFill>
                  <w14:solidFill>
                    <w14:schemeClr w14:val="tx1"/>
                  </w14:solidFill>
                </w14:textFill>
              </w:rPr>
              <w:t>张莺</w:t>
            </w:r>
            <w:r>
              <w:rPr>
                <w:rFonts w:hint="eastAsia" w:ascii="宋体" w:hAnsi="宋体" w:cs="Calibri"/>
                <w:color w:val="000000" w:themeColor="text1"/>
                <w:kern w:val="0"/>
                <w:sz w:val="22"/>
                <w14:textFill>
                  <w14:solidFill>
                    <w14:schemeClr w14:val="tx1"/>
                  </w14:solidFill>
                </w14:textFill>
              </w:rPr>
              <w:t>，电话0571-</w:t>
            </w:r>
            <w:r>
              <w:rPr>
                <w:rFonts w:hint="eastAsia" w:ascii="宋体" w:hAnsi="宋体" w:cs="Calibri"/>
                <w:color w:val="000000" w:themeColor="text1"/>
                <w:kern w:val="0"/>
                <w:sz w:val="22"/>
                <w:lang w:val="en-US" w:eastAsia="zh-CN"/>
                <w14:textFill>
                  <w14:solidFill>
                    <w14:schemeClr w14:val="tx1"/>
                  </w14:solidFill>
                </w14:textFill>
              </w:rPr>
              <w:t>86662560</w:t>
            </w:r>
            <w:r>
              <w:rPr>
                <w:rFonts w:hint="eastAsia" w:ascii="宋体" w:hAnsi="宋体" w:cs="Calibri"/>
                <w:color w:val="000000" w:themeColor="text1"/>
                <w:kern w:val="0"/>
                <w:sz w:val="22"/>
                <w14:textFill>
                  <w14:solidFill>
                    <w14:schemeClr w14:val="tx1"/>
                  </w14:solidFill>
                </w14:textFill>
              </w:rPr>
              <w:t>；电子邮箱：</w:t>
            </w:r>
            <w:r>
              <w:rPr>
                <w:rFonts w:hint="eastAsia" w:ascii="宋体" w:hAnsi="宋体" w:cs="Calibri"/>
                <w:color w:val="000000" w:themeColor="text1"/>
                <w:kern w:val="0"/>
                <w:sz w:val="22"/>
                <w:lang w:val="en-US" w:eastAsia="zh-CN"/>
                <w14:textFill>
                  <w14:solidFill>
                    <w14:schemeClr w14:val="tx1"/>
                  </w14:solidFill>
                </w14:textFill>
              </w:rPr>
              <w:t>492293149@qq.com</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eastAsia="宋体" w:cs="Calibri"/>
                <w:b/>
                <w:kern w:val="0"/>
                <w:sz w:val="22"/>
                <w:lang w:eastAsia="zh-CN"/>
              </w:rPr>
            </w:pPr>
            <w:r>
              <w:rPr>
                <w:rFonts w:hint="eastAsia" w:ascii="宋体" w:hAnsi="宋体" w:cs="Arial"/>
                <w:color w:val="000000" w:themeColor="text1"/>
                <w:kern w:val="0"/>
                <w:sz w:val="22"/>
                <w:lang w:eastAsia="zh-CN"/>
                <w14:textFill>
                  <w14:solidFill>
                    <w14:schemeClr w14:val="tx1"/>
                  </w14:solidFill>
                </w14:textFill>
              </w:rPr>
              <w:t>202</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lang w:eastAsia="zh-CN"/>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6 </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28 </w:t>
            </w:r>
            <w:r>
              <w:rPr>
                <w:rFonts w:hint="eastAsia" w:ascii="宋体" w:hAnsi="宋体" w:cs="Arial"/>
                <w:color w:val="000000" w:themeColor="text1"/>
                <w:kern w:val="0"/>
                <w:sz w:val="22"/>
                <w:lang w:eastAsia="zh-CN"/>
                <w14:textFill>
                  <w14:solidFill>
                    <w14:schemeClr w14:val="tx1"/>
                  </w14:solidFill>
                </w14:textFill>
              </w:rPr>
              <w:t>日下午</w:t>
            </w:r>
            <w:r>
              <w:rPr>
                <w:rFonts w:hint="eastAsia" w:ascii="宋体" w:hAnsi="宋体" w:cs="Arial"/>
                <w:color w:val="000000" w:themeColor="text1"/>
                <w:kern w:val="0"/>
                <w:sz w:val="22"/>
                <w:lang w:val="en-US" w:eastAsia="zh-CN"/>
                <w14:textFill>
                  <w14:solidFill>
                    <w14:schemeClr w14:val="tx1"/>
                  </w14:solidFill>
                </w14:textFill>
              </w:rPr>
              <w:t xml:space="preserve"> 13 </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30</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2.3.2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w:t>
            </w:r>
          </w:p>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标文件修改的时间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3.4.1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投标有效期</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3.5.1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投标保证金</w:t>
            </w:r>
          </w:p>
        </w:tc>
        <w:tc>
          <w:tcPr>
            <w:tcW w:w="6487" w:type="dxa"/>
            <w:vAlign w:val="center"/>
          </w:tcPr>
          <w:p>
            <w:pPr>
              <w:keepNext w:val="0"/>
              <w:keepLines w:val="0"/>
              <w:pageBreakBefore w:val="0"/>
              <w:kinsoku/>
              <w:wordWrap/>
              <w:topLinePunct w:val="0"/>
              <w:bidi w:val="0"/>
              <w:snapToGrid w:val="0"/>
              <w:spacing w:line="360" w:lineRule="auto"/>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投标文件份数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装订要求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按照投标人</w:t>
            </w:r>
            <w:r>
              <w:rPr>
                <w:rFonts w:ascii="宋体" w:hAnsi="宋体" w:cs="Calibri"/>
                <w:color w:val="000000" w:themeColor="text1"/>
                <w:kern w:val="0"/>
                <w:sz w:val="22"/>
                <w14:textFill>
                  <w14:solidFill>
                    <w14:schemeClr w14:val="tx1"/>
                  </w14:solidFill>
                </w14:textFill>
              </w:rPr>
              <w:t>须知3.2项约定的投标</w:t>
            </w:r>
            <w:r>
              <w:rPr>
                <w:rFonts w:ascii="宋体" w:hAnsi="宋体" w:cs="Calibri"/>
                <w:kern w:val="0"/>
                <w:sz w:val="22"/>
              </w:rPr>
              <w:t>文件组成内容，投标文件应按以下要求装订：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□分册装订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封套上写明</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Calibri"/>
                <w:kern w:val="0"/>
                <w:sz w:val="22"/>
                <w:u w:val="single"/>
                <w:lang w:eastAsia="zh-CN"/>
              </w:rPr>
              <w:t>航站楼问询台无障碍设施及</w:t>
            </w:r>
            <w:r>
              <w:rPr>
                <w:rFonts w:hint="eastAsia" w:ascii="宋体" w:hAnsi="宋体" w:cs="Calibri"/>
                <w:kern w:val="0"/>
                <w:sz w:val="22"/>
                <w:u w:val="single"/>
                <w:lang w:val="en-US" w:eastAsia="zh-CN"/>
              </w:rPr>
              <w:t>新增</w:t>
            </w:r>
            <w:r>
              <w:rPr>
                <w:rFonts w:hint="eastAsia" w:ascii="宋体" w:hAnsi="宋体" w:cs="Calibri"/>
                <w:kern w:val="0"/>
                <w:sz w:val="22"/>
                <w:u w:val="single"/>
                <w:lang w:eastAsia="zh-CN"/>
              </w:rPr>
              <w:t>盲道改造项目</w:t>
            </w:r>
            <w:r>
              <w:rPr>
                <w:rFonts w:hint="eastAsia" w:ascii="宋体" w:hAnsi="宋体" w:cs="宋体"/>
                <w:sz w:val="22"/>
              </w:rPr>
              <w:t>投标文件</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color w:val="000000" w:themeColor="text1"/>
                <w:kern w:val="0"/>
                <w:sz w:val="22"/>
                <w14:textFill>
                  <w14:solidFill>
                    <w14:schemeClr w14:val="tx1"/>
                  </w14:solidFill>
                </w14:textFill>
              </w:rPr>
              <w:t>在</w:t>
            </w:r>
            <w:r>
              <w:rPr>
                <w:rFonts w:hint="eastAsia" w:ascii="宋体" w:hAnsi="宋体" w:cs="Arial"/>
                <w:color w:val="000000" w:themeColor="text1"/>
                <w:kern w:val="0"/>
                <w:sz w:val="22"/>
                <w14:textFill>
                  <w14:solidFill>
                    <w14:schemeClr w14:val="tx1"/>
                  </w14:solidFill>
                </w14:textFill>
              </w:rPr>
              <w:t>20</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6 </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28 </w:t>
            </w:r>
            <w:r>
              <w:rPr>
                <w:rFonts w:hint="eastAsia" w:ascii="宋体" w:hAnsi="宋体" w:cs="Arial"/>
                <w:color w:val="000000" w:themeColor="text1"/>
                <w:kern w:val="0"/>
                <w:sz w:val="22"/>
                <w:lang w:eastAsia="zh-CN"/>
                <w14:textFill>
                  <w14:solidFill>
                    <w14:schemeClr w14:val="tx1"/>
                  </w14:solidFill>
                </w14:textFill>
              </w:rPr>
              <w:t>日下午</w:t>
            </w:r>
            <w:r>
              <w:rPr>
                <w:rFonts w:hint="eastAsia" w:ascii="宋体" w:hAnsi="宋体" w:cs="Arial"/>
                <w:color w:val="000000" w:themeColor="text1"/>
                <w:kern w:val="0"/>
                <w:sz w:val="22"/>
                <w:lang w:val="en-US" w:eastAsia="zh-CN"/>
                <w14:textFill>
                  <w14:solidFill>
                    <w14:schemeClr w14:val="tx1"/>
                  </w14:solidFill>
                </w14:textFill>
              </w:rPr>
              <w:t>13</w:t>
            </w:r>
            <w:r>
              <w:rPr>
                <w:rFonts w:hint="eastAsia" w:ascii="宋体" w:hAnsi="宋体" w:cs="Arial"/>
                <w:color w:val="000000" w:themeColor="text1"/>
                <w:kern w:val="0"/>
                <w:sz w:val="22"/>
                <w:lang w:eastAsia="zh-CN"/>
                <w14:textFill>
                  <w14:solidFill>
                    <w14:schemeClr w14:val="tx1"/>
                  </w14:solidFill>
                </w14:textFill>
              </w:rPr>
              <w:t>时30分</w:t>
            </w:r>
            <w:r>
              <w:rPr>
                <w:rFonts w:ascii="宋体" w:hAnsi="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开标时间：同投标截止时间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开标程序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（4）密封情况检查：由投标人或者其集体推选的代表检查投标文件的密封情况。</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6.1.1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评标委员会的组建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r>
              <w:rPr>
                <w:rFonts w:ascii="宋体" w:hAnsi="宋体" w:cs="Calibri"/>
                <w:color w:val="000000" w:themeColor="text1"/>
                <w:kern w:val="0"/>
                <w:sz w:val="22"/>
                <w14:textFill>
                  <w14:solidFill>
                    <w14:schemeClr w14:val="tx1"/>
                  </w14:solidFill>
                </w14:textFill>
              </w:rPr>
              <w:t>推荐的中标候选人数：</w:t>
            </w:r>
            <w:r>
              <w:rPr>
                <w:rFonts w:hint="eastAsia" w:ascii="宋体" w:hAnsi="宋体" w:cs="Calibri"/>
                <w:color w:val="000000" w:themeColor="text1"/>
                <w:kern w:val="0"/>
                <w:sz w:val="22"/>
                <w:lang w:val="en-US" w:eastAsia="zh-CN"/>
                <w14:textFill>
                  <w14:solidFill>
                    <w14:schemeClr w14:val="tx1"/>
                  </w14:solidFill>
                </w14:textFill>
              </w:rPr>
              <w:t>1</w:t>
            </w:r>
            <w:r>
              <w:rPr>
                <w:rFonts w:ascii="宋体" w:hAnsi="宋体" w:cs="Calibri"/>
                <w:color w:val="000000" w:themeColor="text1"/>
                <w:kern w:val="0"/>
                <w:sz w:val="22"/>
                <w14:textFill>
                  <w14:solidFill>
                    <w14:schemeClr w14:val="tx1"/>
                  </w14:solidFill>
                </w14:textFill>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7.3.1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keepNext w:val="0"/>
              <w:keepLines w:val="0"/>
              <w:pageBreakBefore w:val="0"/>
              <w:kinsoku/>
              <w:wordWrap/>
              <w:topLinePunct w:val="0"/>
              <w:autoSpaceDE w:val="0"/>
              <w:autoSpaceDN w:val="0"/>
              <w:bidi w:val="0"/>
              <w:adjustRightInd w:val="0"/>
              <w:snapToGrid w:val="0"/>
              <w:spacing w:line="360" w:lineRule="auto"/>
              <w:jc w:val="left"/>
              <w:rPr>
                <w:rFonts w:hint="default" w:ascii="宋体" w:hAnsi="宋体" w:eastAsiaTheme="minorEastAsia"/>
                <w:sz w:val="22"/>
                <w:lang w:val="en-US" w:eastAsia="zh-CN"/>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auto"/>
                <w:sz w:val="22"/>
                <w:lang w:val="en-US" w:eastAsia="zh-CN"/>
              </w:rPr>
              <w:t>13000元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10</w:t>
            </w:r>
          </w:p>
        </w:tc>
        <w:tc>
          <w:tcPr>
            <w:tcW w:w="8491" w:type="dxa"/>
            <w:gridSpan w:val="2"/>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3"/>
              <w:keepNext w:val="0"/>
              <w:keepLines w:val="0"/>
              <w:pageBreakBefore w:val="0"/>
              <w:kinsoku/>
              <w:wordWrap/>
              <w:topLinePunct w:val="0"/>
              <w:bidi w:val="0"/>
              <w:spacing w:line="360" w:lineRule="auto"/>
            </w:pPr>
            <w:r>
              <w:rPr>
                <w:rFonts w:hint="eastAsia"/>
              </w:rPr>
              <w:t>备注</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pStyle w:val="14"/>
        <w:rPr>
          <w:rFonts w:hint="eastAsia" w:asciiTheme="minorEastAsia" w:hAnsiTheme="minorEastAsia" w:eastAsiaTheme="minorEastAsia" w:cstheme="minorEastAsia"/>
          <w:color w:val="FF0000"/>
          <w:sz w:val="24"/>
          <w:szCs w:val="24"/>
        </w:rPr>
      </w:pPr>
    </w:p>
    <w:p>
      <w:pPr>
        <w:rPr>
          <w:rFonts w:hint="eastAsia"/>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1.</w:t>
      </w:r>
      <w:r>
        <w:rPr>
          <w:rFonts w:hint="eastAsia" w:ascii="宋体" w:hAnsi="宋体" w:cs="Calibri"/>
          <w:b/>
          <w:bCs/>
          <w:kern w:val="0"/>
          <w:sz w:val="22"/>
          <w:lang w:val="en-US" w:eastAsia="zh-CN"/>
        </w:rPr>
        <w:t xml:space="preserve">7 </w:t>
      </w:r>
      <w:r>
        <w:rPr>
          <w:rFonts w:hint="eastAsia" w:ascii="宋体" w:hAnsi="宋体" w:cs="Calibri"/>
          <w:b/>
          <w:bCs/>
          <w:kern w:val="0"/>
          <w:sz w:val="22"/>
        </w:rPr>
        <w:t>质量要求</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bookmarkStart w:id="6" w:name="_Toc13907"/>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6"/>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eastAsiaTheme="minorEastAsia" w:cstheme="minorEastAsia"/>
          <w:color w:val="000000"/>
          <w:sz w:val="22"/>
        </w:rPr>
        <w:t>向投标人提供的有关现场的数据和资料，仅供投标人在编制投标文件时参考，招标人不对投标人据此作出的判断和决策负责。</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7" w:name="_Toc4199"/>
      <w:r>
        <w:rPr>
          <w:rFonts w:hint="eastAsia" w:asciiTheme="minorEastAsia" w:hAnsiTheme="minorEastAsia" w:eastAsiaTheme="minorEastAsia" w:cstheme="minorEastAsia"/>
          <w:b/>
          <w:bCs/>
          <w:kern w:val="0"/>
          <w:sz w:val="22"/>
        </w:rPr>
        <w:t>1.10 投标预备会</w:t>
      </w:r>
      <w:bookmarkEnd w:id="7"/>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8" w:name="_Toc4584"/>
      <w:r>
        <w:rPr>
          <w:rFonts w:hint="eastAsia" w:asciiTheme="minorEastAsia" w:hAnsiTheme="minorEastAsia" w:eastAsiaTheme="minorEastAsia" w:cstheme="minorEastAsia"/>
          <w:b/>
          <w:bCs/>
          <w:kern w:val="0"/>
          <w:sz w:val="22"/>
        </w:rPr>
        <w:t>1.11 分包</w:t>
      </w:r>
      <w:bookmarkEnd w:id="8"/>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bookmarkStart w:id="9" w:name="_Toc3996"/>
      <w:r>
        <w:rPr>
          <w:rFonts w:hint="eastAsia" w:asciiTheme="minorEastAsia" w:hAnsiTheme="minorEastAsia" w:eastAsiaTheme="minorEastAsia" w:cstheme="minorEastAsia"/>
          <w:color w:val="000000"/>
          <w:sz w:val="22"/>
        </w:rPr>
        <w:t>本项目涉及到其它专业的部分分项工作允许分包。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1.12 投标费用</w:t>
      </w:r>
      <w:bookmarkEnd w:id="9"/>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投标人在投标过程中的一切费用，不论中标与否，均由投标人自理。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0" w:name="_Toc143421657"/>
      <w:bookmarkStart w:id="11" w:name="_Toc15241"/>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10"/>
      <w:bookmarkEnd w:id="11"/>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2" w:name="_Toc1426"/>
      <w:r>
        <w:rPr>
          <w:rFonts w:hint="eastAsia" w:ascii="宋体" w:hAnsi="宋体" w:cs="Calibri"/>
          <w:b/>
          <w:bCs/>
          <w:kern w:val="0"/>
          <w:sz w:val="22"/>
        </w:rPr>
        <w:t>2.1 招标文件的组成</w:t>
      </w:r>
      <w:bookmarkEnd w:id="12"/>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bookmarkStart w:id="13" w:name="_Toc18230"/>
      <w:r>
        <w:rPr>
          <w:rFonts w:ascii="宋体" w:hAnsi="宋体" w:cs="Calibri"/>
          <w:kern w:val="0"/>
          <w:sz w:val="22"/>
        </w:rPr>
        <w:t>本招标文件包括：</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（2）投标人须知</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rPr>
        <w:t>（</w:t>
      </w:r>
      <w:r>
        <w:rPr>
          <w:rFonts w:hint="eastAsia" w:ascii="宋体" w:hAnsi="宋体" w:cs="Calibri"/>
          <w:kern w:val="0"/>
          <w:sz w:val="22"/>
          <w:lang w:val="en-US" w:eastAsia="zh-CN"/>
        </w:rPr>
        <w:t>4</w:t>
      </w:r>
      <w:r>
        <w:rPr>
          <w:rFonts w:hint="eastAsia" w:ascii="宋体" w:hAnsi="宋体" w:cs="Calibri"/>
          <w:kern w:val="0"/>
          <w:sz w:val="22"/>
        </w:rPr>
        <w:t>）</w:t>
      </w:r>
      <w:r>
        <w:rPr>
          <w:rFonts w:ascii="宋体" w:hAnsi="宋体" w:cs="Calibri"/>
          <w:kern w:val="0"/>
          <w:sz w:val="22"/>
        </w:rPr>
        <w:t>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宋体" w:hAnsi="宋体" w:cs="Calibri" w:eastAsiaTheme="minorEastAsia"/>
          <w:kern w:val="0"/>
          <w:sz w:val="22"/>
          <w:lang w:eastAsia="zh-CN"/>
        </w:rPr>
      </w:pPr>
      <w:r>
        <w:rPr>
          <w:rFonts w:ascii="宋体" w:hAnsi="宋体" w:cs="Calibri"/>
          <w:kern w:val="0"/>
          <w:sz w:val="22"/>
        </w:rPr>
        <w:t>（</w:t>
      </w:r>
      <w:r>
        <w:rPr>
          <w:rFonts w:hint="eastAsia" w:ascii="宋体" w:hAnsi="宋体" w:cs="Calibri"/>
          <w:kern w:val="0"/>
          <w:sz w:val="22"/>
          <w:lang w:val="en-US" w:eastAsia="zh-CN"/>
        </w:rPr>
        <w:t>5</w:t>
      </w:r>
      <w:r>
        <w:rPr>
          <w:rFonts w:ascii="宋体" w:hAnsi="宋体" w:cs="Calibri"/>
          <w:kern w:val="0"/>
          <w:sz w:val="22"/>
        </w:rPr>
        <w:t>）</w:t>
      </w:r>
      <w:r>
        <w:rPr>
          <w:rFonts w:hint="eastAsia" w:ascii="宋体" w:hAnsi="宋体" w:cs="Calibri"/>
          <w:kern w:val="0"/>
          <w:sz w:val="22"/>
          <w:lang w:eastAsia="zh-CN"/>
        </w:rPr>
        <w:t>项目概况和要求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6</w:t>
      </w:r>
      <w:r>
        <w:rPr>
          <w:rFonts w:hint="eastAsia" w:ascii="宋体" w:hAnsi="宋体" w:cs="Calibri"/>
          <w:kern w:val="0"/>
          <w:sz w:val="22"/>
          <w:lang w:eastAsia="zh-CN"/>
        </w:rPr>
        <w:t>）</w:t>
      </w:r>
      <w:r>
        <w:rPr>
          <w:rFonts w:ascii="宋体" w:hAnsi="宋体" w:cs="Calibri"/>
          <w:kern w:val="0"/>
          <w:sz w:val="22"/>
        </w:rPr>
        <w:t>投标文件格式</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1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4" w:name="_Toc18303"/>
      <w:r>
        <w:rPr>
          <w:rFonts w:hint="eastAsia" w:ascii="宋体" w:hAnsi="宋体" w:cs="Calibri"/>
          <w:b/>
          <w:bCs/>
          <w:kern w:val="0"/>
          <w:sz w:val="22"/>
        </w:rPr>
        <w:t>2.3 招标文件的修改</w:t>
      </w:r>
      <w:bookmarkEnd w:id="1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kinsoku/>
        <w:wordWrap/>
        <w:topLinePunct w:val="0"/>
        <w:bidi w:val="0"/>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5" w:name="_Toc143421658"/>
      <w:bookmarkStart w:id="16" w:name="_Toc18870"/>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15"/>
      <w:bookmarkEnd w:id="16"/>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7" w:name="_Toc461"/>
      <w:r>
        <w:rPr>
          <w:rFonts w:ascii="宋体" w:hAnsi="宋体" w:cs="Calibri"/>
          <w:b/>
          <w:bCs/>
          <w:kern w:val="0"/>
          <w:sz w:val="22"/>
        </w:rPr>
        <w:t>3.1 投标文件的语言和计量单位</w:t>
      </w:r>
      <w:bookmarkEnd w:id="17"/>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w:t>
      </w:r>
      <w:r>
        <w:rPr>
          <w:rFonts w:hint="eastAsia" w:ascii="宋体" w:hAnsi="宋体" w:cs="Calibri"/>
          <w:color w:val="000000" w:themeColor="text1"/>
          <w:kern w:val="0"/>
          <w:sz w:val="22"/>
          <w14:textFill>
            <w14:solidFill>
              <w14:schemeClr w14:val="tx1"/>
            </w14:solidFill>
          </w14:textFill>
        </w:rPr>
        <w:t>施工</w:t>
      </w:r>
      <w:r>
        <w:rPr>
          <w:rFonts w:ascii="宋体" w:hAnsi="宋体" w:cs="Calibri"/>
          <w:color w:val="000000" w:themeColor="text1"/>
          <w:kern w:val="0"/>
          <w:sz w:val="22"/>
          <w14:textFill>
            <w14:solidFill>
              <w14:schemeClr w14:val="tx1"/>
            </w14:solidFill>
          </w14:textFill>
        </w:rPr>
        <w:t>合同”。</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color w:val="000000" w:themeColor="text1"/>
          <w:kern w:val="0"/>
          <w:sz w:val="22"/>
          <w14:textFill>
            <w14:solidFill>
              <w14:schemeClr w14:val="tx1"/>
            </w14:solidFill>
          </w14:textFill>
        </w:rPr>
      </w:pPr>
      <w:bookmarkStart w:id="18" w:name="_Toc1411"/>
      <w:r>
        <w:rPr>
          <w:rFonts w:ascii="宋体" w:hAnsi="宋体" w:cs="Calibri"/>
          <w:b/>
          <w:bCs/>
          <w:color w:val="000000" w:themeColor="text1"/>
          <w:kern w:val="0"/>
          <w:sz w:val="22"/>
          <w14:textFill>
            <w14:solidFill>
              <w14:schemeClr w14:val="tx1"/>
            </w14:solidFill>
          </w14:textFill>
        </w:rPr>
        <w:t>3.2 投标文件的组成</w:t>
      </w:r>
      <w:bookmarkEnd w:id="18"/>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bookmarkStart w:id="19" w:name="_Toc32225"/>
      <w:r>
        <w:rPr>
          <w:rFonts w:ascii="宋体" w:hAnsi="宋体" w:cs="Calibri"/>
          <w:color w:val="000000" w:themeColor="text1"/>
          <w:sz w:val="22"/>
          <w14:textFill>
            <w14:solidFill>
              <w14:schemeClr w14:val="tx1"/>
            </w14:solidFill>
          </w14:textFill>
        </w:rPr>
        <w:t>3.2.1投标函；</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2</w:t>
      </w:r>
      <w:r>
        <w:rPr>
          <w:rFonts w:ascii="宋体" w:hAnsi="宋体" w:cs="Calibri"/>
          <w:color w:val="000000" w:themeColor="text1"/>
          <w:sz w:val="22"/>
          <w14:textFill>
            <w14:solidFill>
              <w14:schemeClr w14:val="tx1"/>
            </w14:solidFill>
          </w14:textFill>
        </w:rPr>
        <w:t>法定代表人资格证明书；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3</w:t>
      </w:r>
      <w:r>
        <w:rPr>
          <w:rFonts w:ascii="宋体" w:hAnsi="宋体" w:cs="Calibri"/>
          <w:color w:val="000000" w:themeColor="text1"/>
          <w:sz w:val="22"/>
          <w14:textFill>
            <w14:solidFill>
              <w14:schemeClr w14:val="tx1"/>
            </w14:solidFill>
          </w14:textFill>
        </w:rPr>
        <w:t>授权委托书；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宋体" w:hAnsi="宋体" w:cs="Calibri" w:eastAsiaTheme="minorEastAsia"/>
          <w:color w:val="000000" w:themeColor="text1"/>
          <w:sz w:val="22"/>
          <w:lang w:eastAsia="zh-CN"/>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4</w:t>
      </w:r>
      <w:r>
        <w:rPr>
          <w:rFonts w:hint="eastAsia" w:ascii="宋体" w:hAnsi="宋体" w:cs="Calibri"/>
          <w:color w:val="000000" w:themeColor="text1"/>
          <w:sz w:val="22"/>
          <w:lang w:eastAsia="zh-CN"/>
          <w14:textFill>
            <w14:solidFill>
              <w14:schemeClr w14:val="tx1"/>
            </w14:solidFill>
          </w14:textFill>
        </w:rPr>
        <w:t>投标报价表；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5技术文件</w:t>
      </w:r>
      <w:r>
        <w:rPr>
          <w:rFonts w:hint="eastAsia" w:asciiTheme="minorEastAsia" w:hAnsiTheme="minorEastAsia" w:cstheme="minorEastAsia"/>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6项目管理机构；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14:textFill>
            <w14:solidFill>
              <w14:schemeClr w14:val="tx1"/>
            </w14:solidFill>
          </w14:textFill>
        </w:rPr>
        <w:t>资格审查资料</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投标人认为应该提供的其他材料。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3.3 投标报价</w:t>
      </w:r>
      <w:bookmarkEnd w:id="19"/>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3.3.1投标人递交的投标函及投标报价表中的投标总价必须一致。投标人对该项目只允许有一个总报价，招标人不接受任何有选择的报价及修正报价；</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3.3.2投标人所报投标总价应为投标人为完成本项目所发生的一切费用（包含并不限于</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的供货、运输（包括送至招标人指定地点卸车）、保险费、税费、验收及售后服务等），包括</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供货及相关服务等全过程产生的所有成本和费用以及一切税费；</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3.3.3投标人应按“投标报价表”的要求报价，在投标报价表上写明拟提供</w:t>
      </w:r>
      <w:r>
        <w:rPr>
          <w:rFonts w:hint="eastAsia" w:asciiTheme="minorEastAsia" w:hAnsiTheme="minorEastAsia" w:cstheme="minorEastAsia"/>
          <w:color w:val="000000" w:themeColor="text1"/>
          <w:sz w:val="22"/>
          <w:szCs w:val="22"/>
          <w:lang w:eastAsia="zh-CN"/>
          <w14:textFill>
            <w14:solidFill>
              <w14:schemeClr w14:val="tx1"/>
            </w14:solidFill>
          </w14:textFill>
        </w:rPr>
        <w:t>材料</w:t>
      </w:r>
      <w:r>
        <w:rPr>
          <w:rFonts w:hint="eastAsia" w:asciiTheme="minorEastAsia" w:hAnsiTheme="minorEastAsia" w:eastAsiaTheme="minorEastAsia" w:cstheme="minorEastAsia"/>
          <w:color w:val="000000" w:themeColor="text1"/>
          <w:sz w:val="22"/>
          <w:szCs w:val="22"/>
          <w14:textFill>
            <w14:solidFill>
              <w14:schemeClr w14:val="tx1"/>
            </w14:solidFill>
          </w14:textFill>
        </w:rPr>
        <w:t>的单价和总价；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3.3.5投标人(如中标)在投标文件中提供的</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清单和报价将是签订合同的唯一依据，其报价在本次投标有效期内不能发生改变（招标人变更除外）。如有改变，招标人将拒绝与其签订合同。</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3.3.6投标人对每种</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只允许有一个报价。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3.3.7招标人不接受任何折扣优惠报价，不接受任何赠送和选择性报价。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3.3.8所有根据合同或其它原因应由投标人支付的税款和其它应交纳的费用都要包括在投标人提交的投标价格中。</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本次报价均应以人民币元为单位，最终以人民币办理结算。</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其它须在报价中考虑的因素：</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（1）本项目在安装期间，应注意保护好招标人现有成品，如有损坏，须无条件修复至招标人满意，各投标人须自行考虑相关费用并计入投标总价且一次性包干。</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（2）交付验收前产品的保护费由投标人自行考虑并计入总价。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（3）投标人安装过程中需自行负责现场人员生命、财产安全，自行解决与现场人员的劳务关系纠纷，可能产生的费用计入投标总价。</w:t>
      </w:r>
    </w:p>
    <w:p>
      <w:pPr>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eastAsiaTheme="minorEastAsia" w:cstheme="minorEastAsia"/>
          <w:b/>
          <w:color w:val="000000"/>
          <w:kern w:val="0"/>
          <w:sz w:val="22"/>
          <w:szCs w:val="22"/>
        </w:rPr>
        <w:t>。</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3.4 投标有效期</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3.4.1在投标人须知前附表规定的投标有效期内，投标人不得要求撤销和修改其投标文件。</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0" w:name="_Toc30464"/>
      <w:r>
        <w:rPr>
          <w:rFonts w:hint="eastAsia" w:asciiTheme="minorEastAsia" w:hAnsiTheme="minorEastAsia" w:eastAsiaTheme="minorEastAsia" w:cstheme="minorEastAsia"/>
          <w:b/>
          <w:bCs/>
          <w:kern w:val="0"/>
          <w:sz w:val="22"/>
          <w:szCs w:val="22"/>
        </w:rPr>
        <w:t>3.5 投标保证金</w:t>
      </w:r>
      <w:bookmarkEnd w:id="20"/>
      <w:r>
        <w:rPr>
          <w:rFonts w:hint="eastAsia" w:asciiTheme="minorEastAsia" w:hAnsiTheme="minorEastAsia" w:eastAsiaTheme="minorEastAsia" w:cstheme="minorEastAsia"/>
          <w:b/>
          <w:bCs/>
          <w:kern w:val="0"/>
          <w:sz w:val="22"/>
          <w:szCs w:val="22"/>
        </w:rPr>
        <w:t>（如有）</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bookmarkStart w:id="21" w:name="_Toc29989"/>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3.5.1投标人在递交投标文件的同时，应按投标人须知前附表规定的金额、担保形式和第六章</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“投标文件格式”</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规定的投标保证金格式递交投标保证金，并作为其投标文件的组成部分。否则，视为投标人自动放弃投标资格。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3.5.2招标人与中标人签订合同书后5个工作日内，应当向未中标的投标人和中标人退还投标保证金。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3.5.3投标人如有下列情形之一的，投标保证金将不予退还：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（1）投标人在规定的投标有效期内撤销或修改其投标文件；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r>
        <w:rPr>
          <w:rFonts w:hint="eastAsia" w:asciiTheme="minorEastAsia" w:hAnsiTheme="minorEastAsia" w:eastAsiaTheme="minorEastAsia" w:cstheme="minorEastAsia"/>
          <w:color w:val="000000"/>
          <w:kern w:val="0"/>
          <w:sz w:val="22"/>
          <w:szCs w:val="22"/>
        </w:rPr>
        <w:t>中标人在收到中标通知书后，</w:t>
      </w:r>
      <w:r>
        <w:rPr>
          <w:rFonts w:hint="eastAsia" w:asciiTheme="minorEastAsia" w:hAnsiTheme="minorEastAsia" w:eastAsiaTheme="minorEastAsia" w:cs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3.6 投标文件的编制</w:t>
      </w:r>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bookmarkStart w:id="22" w:name="_Toc32652"/>
      <w:r>
        <w:rPr>
          <w:rFonts w:hint="eastAsia" w:asciiTheme="minorEastAsia" w:hAnsiTheme="minorEastAsia" w:eastAsiaTheme="minorEastAsia" w:cstheme="minorEastAsia"/>
          <w:color w:val="000000" w:themeColor="text1"/>
          <w:sz w:val="22"/>
          <w:szCs w:val="22"/>
          <w14:textFill>
            <w14:solidFill>
              <w14:schemeClr w14:val="tx1"/>
            </w14:solidFill>
          </w14:textFill>
        </w:rPr>
        <w:t>3.6.1 投标文件应按本须知第3.2款规定的内容和第六章“投标文件格式”进行编写，如有必要，可以增加附页，作为投标文件的组成部分，“投标文件格式”中没有规定的可自行编制格式。</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3.6.2 </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投标文件应对招标文</w:t>
      </w:r>
      <w:r>
        <w:rPr>
          <w:rFonts w:hint="eastAsia" w:asciiTheme="minorEastAsia" w:hAnsiTheme="minorEastAsia" w:eastAsiaTheme="minorEastAsia" w:cstheme="minorEastAsia"/>
          <w:color w:val="auto"/>
          <w:kern w:val="0"/>
          <w:sz w:val="22"/>
          <w:szCs w:val="22"/>
        </w:rPr>
        <w:t>件有关</w:t>
      </w:r>
      <w:r>
        <w:rPr>
          <w:rFonts w:hint="eastAsia" w:asciiTheme="minorEastAsia" w:hAnsiTheme="minorEastAsia" w:cstheme="minorEastAsia"/>
          <w:color w:val="auto"/>
          <w:kern w:val="0"/>
          <w:sz w:val="22"/>
          <w:szCs w:val="22"/>
          <w:lang w:eastAsia="zh-CN"/>
        </w:rPr>
        <w:t>工期、</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投标有效期、招标内容等实质性内容作出响应。</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eastAsiaTheme="minorEastAsia" w:cstheme="minorEastAsia"/>
          <w:kern w:val="0"/>
          <w:sz w:val="22"/>
          <w:szCs w:val="22"/>
        </w:rPr>
        <w:t>签字或盖章的具体要求见投标人须知前附表。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3.6.4投标文件正本一份，副本份数见投标人须知前附表。正本、副本的封面上应清楚地标记</w:t>
      </w:r>
      <w:r>
        <w:rPr>
          <w:rFonts w:hint="eastAsia" w:asciiTheme="minorEastAsia" w:hAnsiTheme="minorEastAsia" w:eastAsiaTheme="minorEastAsia" w:cstheme="minorEastAsia"/>
          <w:b/>
          <w:bCs/>
          <w:sz w:val="22"/>
          <w:szCs w:val="22"/>
        </w:rPr>
        <w:t>“正本</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b/>
          <w:bCs/>
          <w:sz w:val="22"/>
          <w:szCs w:val="22"/>
        </w:rPr>
        <w:t>副本</w:t>
      </w:r>
      <w:r>
        <w:rPr>
          <w:rFonts w:hint="eastAsia" w:asciiTheme="minorEastAsia" w:hAnsiTheme="minorEastAsia" w:eastAsiaTheme="minorEastAsia" w:cstheme="minorEastAsia"/>
          <w:sz w:val="22"/>
          <w:szCs w:val="22"/>
        </w:rPr>
        <w:t>”的字样。当副本和正本不一致时，以正本为准。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3.6.5投标文件的正本与副本应分别按A4规格装订成册，具体装订要求见投标人须知前附表规定。</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投标</w:t>
      </w:r>
      <w:bookmarkEnd w:id="22"/>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bookmarkStart w:id="23" w:name="_Toc649"/>
      <w:r>
        <w:rPr>
          <w:rFonts w:hint="eastAsia" w:asciiTheme="minorEastAsia" w:hAnsiTheme="minorEastAsia" w:eastAsiaTheme="minorEastAsia" w:cstheme="minorEastAsia"/>
          <w:b/>
          <w:bCs/>
          <w:kern w:val="0"/>
          <w:sz w:val="22"/>
          <w:szCs w:val="22"/>
        </w:rPr>
        <w:t>4.1 投标文件的密封和标识</w:t>
      </w:r>
      <w:bookmarkEnd w:id="2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4.1.1</w:t>
      </w:r>
      <w:r>
        <w:rPr>
          <w:rFonts w:hint="eastAsia" w:asciiTheme="minorEastAsia" w:hAnsiTheme="minorEastAsia" w:eastAsiaTheme="minorEastAsia" w:cstheme="minorEastAsia"/>
          <w:kern w:val="0"/>
          <w:sz w:val="22"/>
          <w:szCs w:val="22"/>
        </w:rPr>
        <w:t>投标文件的正本、副本及电子文档可一同密封包装，并在封口处加盖投标人单位公章或法定代表人盖章（或签字）或委托代理人盖章（或签字）。</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投标文件的封套上应清楚地标记“投标文件”字样，封套上应写明的其他内容见投标人须知前附表。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 未按本章第4.1.1项或第4.1.2项要求密封和加写标记的投标文件，招标人不予受理。</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4.1.4</w:t>
      </w:r>
      <w:r>
        <w:rPr>
          <w:rFonts w:hint="eastAsia" w:asciiTheme="minorEastAsia" w:hAnsiTheme="minorEastAsia" w:eastAsiaTheme="minorEastAsia" w:cstheme="minorEastAsia"/>
          <w:sz w:val="22"/>
          <w:szCs w:val="22"/>
        </w:rPr>
        <w:t>如果包封上没有按上述规定密封并加以标记，招标人将不承担投标文件错放或提前开封的责任。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4" w:name="_Toc16616"/>
      <w:r>
        <w:rPr>
          <w:rFonts w:hint="eastAsia" w:asciiTheme="minorEastAsia" w:hAnsiTheme="minorEastAsia" w:eastAsiaTheme="minorEastAsia" w:cstheme="minorEastAsia"/>
          <w:b/>
          <w:bCs/>
          <w:kern w:val="0"/>
          <w:sz w:val="22"/>
          <w:szCs w:val="22"/>
        </w:rPr>
        <w:t xml:space="preserve">4.2 投标文件的递交 </w:t>
      </w:r>
      <w:bookmarkEnd w:id="24"/>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4.2.1投标人应在本须知前附表规定的投标截止时间前递交投标文件。</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4.2.2投标人送达投标文件的地点：见投标人须知前附表。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4.2.3除投标人须知前附表另有规定外，投标人所递交的投标文件不予退还。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4.2.4逾期送达的或者未送达指定地点的投标文件，招标人不予受理。</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5" w:name="_Toc26099"/>
      <w:r>
        <w:rPr>
          <w:rFonts w:hint="eastAsia" w:asciiTheme="minorEastAsia" w:hAnsiTheme="minorEastAsia" w:eastAsiaTheme="minorEastAsia" w:cstheme="minorEastAsia"/>
          <w:b/>
          <w:bCs/>
          <w:kern w:val="0"/>
          <w:sz w:val="22"/>
          <w:szCs w:val="22"/>
        </w:rPr>
        <w:t>4.3 投标文件的修改和撤回</w:t>
      </w:r>
      <w:bookmarkEnd w:id="2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4.3.1在规定的投标截止时间前，投标人可以修改或撤回已递交的投标文件，但应以书面形式通知招标人。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4.3.2投标人修改或撤回已递交投标文件的书面通知应按照规定的要求签字。招标人收到书面通知后，向投标人出具签收凭证。</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4.3.3修改的内容为投标文件的组成部分。修改的投标文件应按照本须知3、4规定进行编制、密封、标识和递交，并标明“修改”字样。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6" w:name="_Toc29641"/>
      <w:r>
        <w:rPr>
          <w:rFonts w:hint="eastAsia" w:asciiTheme="minorEastAsia" w:hAnsiTheme="minorEastAsia" w:eastAsiaTheme="minorEastAsia" w:cstheme="minorEastAsia"/>
          <w:b/>
          <w:bCs/>
          <w:kern w:val="0"/>
          <w:sz w:val="22"/>
          <w:szCs w:val="22"/>
        </w:rPr>
        <w:t>5</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开标</w:t>
      </w:r>
      <w:bookmarkEnd w:id="26"/>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7" w:name="_Toc15123"/>
      <w:r>
        <w:rPr>
          <w:rFonts w:hint="eastAsia" w:asciiTheme="minorEastAsia" w:hAnsiTheme="minorEastAsia" w:eastAsiaTheme="minorEastAsia" w:cstheme="minorEastAsia"/>
          <w:b/>
          <w:bCs/>
          <w:kern w:val="0"/>
          <w:sz w:val="22"/>
          <w:szCs w:val="22"/>
        </w:rPr>
        <w:t>5.1 开标时间和地点</w:t>
      </w:r>
      <w:bookmarkEnd w:id="2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5.1.2投标人在投标时应随身携带下列资料提交招标人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（1）委托代理人的身份证、法定代表人授权委托书（装订在投标文件内亦可）；</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（2）投标保证金收执证明或汇款凭证或银行回单（装订在投标文件内亦可）。</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8" w:name="_Toc7101"/>
      <w:r>
        <w:rPr>
          <w:rFonts w:hint="eastAsia" w:asciiTheme="minorEastAsia" w:hAnsiTheme="minorEastAsia" w:eastAsiaTheme="minorEastAsia" w:cstheme="minorEastAsia"/>
          <w:b/>
          <w:bCs/>
          <w:kern w:val="0"/>
          <w:sz w:val="22"/>
          <w:szCs w:val="22"/>
        </w:rPr>
        <w:t>5.2 开标程序</w:t>
      </w:r>
      <w:bookmarkEnd w:id="28"/>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主持人按下列程序进行开标：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（1）宣布开标纪律；</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（2）公布在投标截止时间前递交投标文件的投标人名称，并点名确认投标人是否派人到场；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（3）宣布开标人、唱标人、记录人、监标人等有关人员姓名；</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（4）按照投标人须知前附表规定检查投标文件的密封情况；</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（5）按照投标人须知前附表的规定确定并宣布投标文件开标顺序；</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r>
        <w:rPr>
          <w:rFonts w:hint="eastAsia" w:asciiTheme="minorEastAsia" w:hAnsiTheme="minorEastAsia" w:eastAsiaTheme="minorEastAsia" w:cstheme="minorEastAsia"/>
          <w:sz w:val="22"/>
          <w:szCs w:val="22"/>
        </w:rPr>
        <w:t>按照宣布的开标顺序当众开标，公布投标人名称、投标保证金的递交情况、投标报价、供货期及其他内容，并记录在案；</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（7）投标人代表、招标人代表、监标人、记录人等有关人员在开标记录上签字确认；</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（8）开标结束。</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9" w:name="_Toc31578"/>
      <w:r>
        <w:rPr>
          <w:rFonts w:hint="eastAsia" w:asciiTheme="minorEastAsia" w:hAnsiTheme="minorEastAsia" w:eastAsiaTheme="minorEastAsia" w:cstheme="minorEastAsia"/>
          <w:b/>
          <w:bCs/>
          <w:kern w:val="0"/>
          <w:sz w:val="22"/>
          <w:szCs w:val="22"/>
        </w:rPr>
        <w:t>6</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评标</w:t>
      </w:r>
      <w:bookmarkEnd w:id="29"/>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0" w:name="_Toc10279"/>
      <w:r>
        <w:rPr>
          <w:rFonts w:hint="eastAsia" w:asciiTheme="minorEastAsia" w:hAnsiTheme="minorEastAsia" w:eastAsiaTheme="minorEastAsia" w:cstheme="minorEastAsia"/>
          <w:b/>
          <w:bCs/>
          <w:kern w:val="0"/>
          <w:sz w:val="22"/>
          <w:szCs w:val="22"/>
        </w:rPr>
        <w:t>6.1 评标委员会</w:t>
      </w:r>
      <w:bookmarkEnd w:id="30"/>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6.1.1评标由招标人依法组建的评标委员会负责。评标委员会成员人数以及技术、经济等方面专家的确定方式见投标人须知前附表。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6.1.2评标委员会成员有下列情形之一的，应当回避：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（1）招标人或投标人的主要负责人的近亲属；</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（2）项目主管部门或者行政监督部门的人员；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（3）与投标人有经济利益关系，可能影响对投标公正评审的；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1" w:name="_Toc3460"/>
      <w:r>
        <w:rPr>
          <w:rFonts w:hint="eastAsia" w:asciiTheme="minorEastAsia" w:hAnsiTheme="minorEastAsia" w:eastAsiaTheme="minorEastAsia" w:cstheme="minorEastAsia"/>
          <w:b/>
          <w:bCs/>
          <w:kern w:val="0"/>
          <w:sz w:val="22"/>
          <w:szCs w:val="22"/>
        </w:rPr>
        <w:t>6.2 评标原则</w:t>
      </w:r>
      <w:bookmarkEnd w:id="31"/>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FF0000"/>
          <w:kern w:val="0"/>
          <w:sz w:val="22"/>
          <w:szCs w:val="22"/>
        </w:rPr>
      </w:pPr>
      <w:bookmarkStart w:id="32" w:name="_Toc28178"/>
      <w:r>
        <w:rPr>
          <w:rFonts w:hint="eastAsia" w:asciiTheme="minorEastAsia" w:hAnsiTheme="minorEastAsia" w:eastAsiaTheme="minorEastAsia" w:cstheme="minorEastAsia"/>
          <w:b/>
          <w:bCs/>
          <w:kern w:val="0"/>
          <w:sz w:val="22"/>
          <w:szCs w:val="22"/>
        </w:rPr>
        <w:t>6.3 评标</w:t>
      </w:r>
      <w:bookmarkEnd w:id="3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评标委员会按照第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章“评标方法”对投标文件进行评审。第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3" w:name="_Toc24237"/>
      <w:r>
        <w:rPr>
          <w:rFonts w:hint="eastAsia" w:asciiTheme="minorEastAsia" w:hAnsiTheme="minorEastAsia" w:eastAsiaTheme="minorEastAsia" w:cstheme="minorEastAsia"/>
          <w:b/>
          <w:bCs/>
          <w:kern w:val="0"/>
          <w:sz w:val="22"/>
          <w:szCs w:val="22"/>
        </w:rPr>
        <w:t>7</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合同授予</w:t>
      </w:r>
      <w:bookmarkEnd w:id="33"/>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4" w:name="_Toc18809"/>
      <w:r>
        <w:rPr>
          <w:rFonts w:hint="eastAsia" w:asciiTheme="minorEastAsia" w:hAnsiTheme="minorEastAsia" w:eastAsiaTheme="minorEastAsia" w:cstheme="minorEastAsia"/>
          <w:b/>
          <w:bCs/>
          <w:kern w:val="0"/>
          <w:sz w:val="22"/>
          <w:szCs w:val="22"/>
        </w:rPr>
        <w:t>7.1 定标方式</w:t>
      </w:r>
      <w:bookmarkEnd w:id="3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5" w:name="_Toc14573"/>
      <w:r>
        <w:rPr>
          <w:rFonts w:hint="eastAsia" w:asciiTheme="minorEastAsia" w:hAnsiTheme="minorEastAsia" w:eastAsiaTheme="minorEastAsia" w:cstheme="minorEastAsia"/>
          <w:b/>
          <w:bCs/>
          <w:kern w:val="0"/>
          <w:sz w:val="22"/>
          <w:szCs w:val="22"/>
        </w:rPr>
        <w:t>7.2 中标通知</w:t>
      </w:r>
      <w:bookmarkEnd w:id="3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在投标人须知第3.4款规定的投标有效期内，招标人以书面形式向中标人发出中标通知书。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6" w:name="_Toc27132"/>
      <w:r>
        <w:rPr>
          <w:rFonts w:hint="eastAsia" w:asciiTheme="minorEastAsia" w:hAnsiTheme="minorEastAsia" w:eastAsiaTheme="minorEastAsia" w:cstheme="minorEastAsia"/>
          <w:b/>
          <w:bCs/>
          <w:kern w:val="0"/>
          <w:sz w:val="22"/>
          <w:szCs w:val="22"/>
        </w:rPr>
        <w:t>7.3 履约保证金</w:t>
      </w:r>
      <w:bookmarkEnd w:id="3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7.3.1在签订合同前，中标人应按投标人须知前附表规定的金额和担保形式向招标人提交履约保证金。</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7.3.2 中标人不能按本章第7.3.1项要求提交履约保证金的，视为放弃中标，其投标保证金不予退还，给招标人造成的损失超过投标保证金数额的，中标人还应当对超过部分予以赔偿。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7" w:name="_Toc27581"/>
      <w:r>
        <w:rPr>
          <w:rFonts w:hint="eastAsia" w:asciiTheme="minorEastAsia" w:hAnsiTheme="minorEastAsia" w:eastAsiaTheme="minorEastAsia" w:cstheme="minorEastAsia"/>
          <w:b/>
          <w:bCs/>
          <w:kern w:val="0"/>
          <w:sz w:val="22"/>
          <w:szCs w:val="22"/>
        </w:rPr>
        <w:t>7.4 签订合同</w:t>
      </w:r>
      <w:bookmarkEnd w:id="3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7</w:t>
      </w:r>
      <w:bookmarkStart w:id="38" w:name="_Toc220123241"/>
      <w:bookmarkStart w:id="39" w:name="_Toc219809801"/>
      <w:bookmarkStart w:id="40" w:name="_Toc11806"/>
      <w:r>
        <w:rPr>
          <w:rFonts w:hint="eastAsia" w:asciiTheme="minorEastAsia" w:hAnsiTheme="minorEastAsia" w:eastAsiaTheme="minorEastAsia" w:cstheme="minorEastAsia"/>
          <w:kern w:val="0"/>
          <w:sz w:val="22"/>
          <w:szCs w:val="22"/>
        </w:rPr>
        <w:t>.4.1招标人和中标人应当自中标通知书发出之日起30个工作日内订立书面合同（合同条款按第</w:t>
      </w:r>
      <w:r>
        <w:rPr>
          <w:rFonts w:hint="eastAsia" w:asciiTheme="minorEastAsia" w:hAnsiTheme="minorEastAsia" w:cstheme="minorEastAsia"/>
          <w:kern w:val="0"/>
          <w:sz w:val="22"/>
          <w:szCs w:val="22"/>
          <w:lang w:eastAsia="zh-CN"/>
        </w:rPr>
        <w:t>四</w:t>
      </w:r>
      <w:r>
        <w:rPr>
          <w:rFonts w:hint="eastAsia" w:asciiTheme="minorEastAsia" w:hAnsiTheme="minorEastAsia" w:eastAsiaTheme="minorEastAsia" w:cstheme="minorEastAsia"/>
          <w:kern w:val="0"/>
          <w:sz w:val="22"/>
          <w:szCs w:val="22"/>
        </w:rPr>
        <w:t>章“合同条款及格式”）。中标人无正当理由拒签合同的，招标人取消其中标资格，其投标保证金不予退还；给招标人造成的损失超过投标保证金数额的，中标人还应当对超过部分予以赔偿。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7.4.2 发出中标通知书后，招标人无正当理由拒签合同的，招标人向中标人退还投标保证金；给中标人造成损失的，还应当赔偿损失。</w:t>
      </w:r>
    </w:p>
    <w:p>
      <w:pPr>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b/>
          <w:color w:val="000000"/>
          <w:kern w:val="0"/>
          <w:sz w:val="22"/>
          <w:szCs w:val="22"/>
        </w:rPr>
      </w:pPr>
      <w:r>
        <w:rPr>
          <w:rFonts w:hint="eastAsia" w:asciiTheme="minorEastAsia" w:hAnsiTheme="minorEastAsia" w:eastAsiaTheme="minorEastAsia" w:cstheme="minorEastAsia"/>
          <w:color w:val="000000"/>
          <w:kern w:val="0"/>
          <w:sz w:val="22"/>
          <w:szCs w:val="22"/>
        </w:rPr>
        <w:t xml:space="preserve">7.4.3 </w:t>
      </w:r>
      <w:r>
        <w:rPr>
          <w:rFonts w:hint="eastAsia" w:asciiTheme="minorEastAsia" w:hAnsiTheme="minorEastAsia" w:eastAsiaTheme="minorEastAsia" w:cstheme="minorEastAsia"/>
          <w:b/>
          <w:color w:val="000000"/>
          <w:kern w:val="0"/>
          <w:sz w:val="22"/>
          <w:szCs w:val="22"/>
        </w:rPr>
        <w:t>招标人在授予合同有权对本项目的内容等予以增加或者减少，中标人不得提出异议，否则招标人有权取消其中标资格。</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 xml:space="preserve">7.4.4 </w:t>
      </w:r>
      <w:r>
        <w:rPr>
          <w:rFonts w:hint="eastAsia" w:asciiTheme="minorEastAsia" w:hAnsiTheme="minorEastAsia" w:eastAsiaTheme="minorEastAsia" w:cstheme="minorEastAsia"/>
          <w:b/>
          <w:color w:val="000000"/>
          <w:kern w:val="0"/>
          <w:sz w:val="22"/>
          <w:szCs w:val="22"/>
        </w:rPr>
        <w:t>招标人在授予合同前的任何时候，仍保留接受或者拒绝任何投标和拒绝所有投标的权利。</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8</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重新招标和不再招标</w:t>
      </w:r>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1" w:name="_Toc219809802"/>
      <w:bookmarkStart w:id="42" w:name="_Toc15553"/>
      <w:bookmarkStart w:id="43" w:name="_Toc220123242"/>
      <w:r>
        <w:rPr>
          <w:rFonts w:hint="eastAsia" w:asciiTheme="minorEastAsia" w:hAnsiTheme="minorEastAsia" w:eastAsiaTheme="minorEastAsia" w:cstheme="minorEastAsia"/>
          <w:b/>
          <w:bCs/>
          <w:kern w:val="0"/>
          <w:sz w:val="22"/>
          <w:szCs w:val="22"/>
        </w:rPr>
        <w:t>8.1 重新招标</w:t>
      </w:r>
      <w:bookmarkEnd w:id="41"/>
      <w:bookmarkEnd w:id="42"/>
      <w:bookmarkEnd w:id="4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360" w:lineRule="auto"/>
        <w:ind w:firstLine="476"/>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4" w:name="_Toc18806"/>
      <w:bookmarkStart w:id="45" w:name="_Toc219809803"/>
      <w:bookmarkStart w:id="46" w:name="_Toc220123243"/>
      <w:r>
        <w:rPr>
          <w:rFonts w:hint="eastAsia" w:asciiTheme="minorEastAsia" w:hAnsiTheme="minorEastAsia" w:eastAsiaTheme="minorEastAsia" w:cstheme="minorEastAsia"/>
          <w:b/>
          <w:bCs/>
          <w:kern w:val="0"/>
          <w:sz w:val="22"/>
          <w:szCs w:val="22"/>
        </w:rPr>
        <w:t>8.2 不再招标</w:t>
      </w:r>
      <w:bookmarkEnd w:id="44"/>
      <w:bookmarkEnd w:id="45"/>
      <w:bookmarkEnd w:id="4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重新招标后投标人仍少于3个或者所有投标被否决的，经批准后不再进行招标。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7" w:name="_Toc219809804"/>
      <w:bookmarkStart w:id="48" w:name="_Toc2986"/>
      <w:bookmarkStart w:id="49" w:name="_Toc220123244"/>
      <w:bookmarkStart w:id="50" w:name="_Toc215941254"/>
      <w:r>
        <w:rPr>
          <w:rFonts w:hint="eastAsia" w:asciiTheme="minorEastAsia" w:hAnsiTheme="minorEastAsia" w:eastAsiaTheme="minorEastAsia" w:cstheme="minorEastAsia"/>
          <w:b/>
          <w:bCs/>
          <w:kern w:val="0"/>
          <w:sz w:val="22"/>
          <w:szCs w:val="22"/>
        </w:rPr>
        <w:t>9</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纪律和监督</w:t>
      </w:r>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1" w:name="_Toc220123245"/>
      <w:bookmarkStart w:id="52" w:name="_Toc219809805"/>
      <w:bookmarkStart w:id="53" w:name="_Toc5509"/>
      <w:r>
        <w:rPr>
          <w:rFonts w:hint="eastAsia" w:asciiTheme="minorEastAsia" w:hAnsiTheme="minorEastAsia" w:eastAsiaTheme="minorEastAsia" w:cstheme="minorEastAsia"/>
          <w:b/>
          <w:bCs/>
          <w:kern w:val="0"/>
          <w:sz w:val="22"/>
          <w:szCs w:val="22"/>
        </w:rPr>
        <w:t>9.1 对招标人的纪律要求</w:t>
      </w:r>
      <w:bookmarkEnd w:id="51"/>
      <w:bookmarkEnd w:id="52"/>
      <w:bookmarkEnd w:id="5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4" w:name="_Toc219809806"/>
      <w:bookmarkStart w:id="55" w:name="_Toc10820"/>
      <w:bookmarkStart w:id="56" w:name="_Toc220123246"/>
      <w:r>
        <w:rPr>
          <w:rFonts w:hint="eastAsia" w:asciiTheme="minorEastAsia" w:hAnsiTheme="minorEastAsia" w:eastAsiaTheme="minorEastAsia" w:cstheme="minorEastAsia"/>
          <w:b/>
          <w:bCs/>
          <w:kern w:val="0"/>
          <w:sz w:val="22"/>
          <w:szCs w:val="22"/>
        </w:rPr>
        <w:t>9.2 对投标人的纪律要求</w:t>
      </w:r>
      <w:bookmarkEnd w:id="54"/>
      <w:bookmarkEnd w:id="55"/>
      <w:bookmarkEnd w:id="5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7" w:name="_Toc10756"/>
      <w:bookmarkStart w:id="58" w:name="_Toc219809807"/>
      <w:bookmarkStart w:id="59" w:name="_Toc220123247"/>
      <w:r>
        <w:rPr>
          <w:rFonts w:hint="eastAsia" w:asciiTheme="minorEastAsia" w:hAnsiTheme="minorEastAsia" w:eastAsiaTheme="minorEastAsia" w:cstheme="minorEastAsia"/>
          <w:b/>
          <w:bCs/>
          <w:kern w:val="0"/>
          <w:sz w:val="22"/>
          <w:szCs w:val="22"/>
        </w:rPr>
        <w:t>9.3</w:t>
      </w:r>
      <w:bookmarkEnd w:id="57"/>
      <w:bookmarkEnd w:id="58"/>
      <w:bookmarkEnd w:id="59"/>
      <w:r>
        <w:rPr>
          <w:rFonts w:hint="eastAsia" w:asciiTheme="minorEastAsia" w:hAnsiTheme="minorEastAsia" w:eastAsiaTheme="minorEastAsia" w:cstheme="minorEastAsia"/>
          <w:b/>
          <w:bCs/>
          <w:kern w:val="0"/>
          <w:sz w:val="22"/>
          <w:szCs w:val="22"/>
        </w:rPr>
        <w:t>对评标委员会成员的纪律要求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cstheme="minorEastAsia"/>
          <w:color w:val="000000" w:themeColor="text1"/>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2"/>
          <w:szCs w:val="22"/>
          <w14:textFill>
            <w14:solidFill>
              <w14:schemeClr w14:val="tx1"/>
            </w14:solidFill>
          </w14:textFill>
        </w:rPr>
        <w:t>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0" w:name="_Toc220123248"/>
      <w:bookmarkStart w:id="61" w:name="_Toc219809808"/>
      <w:bookmarkStart w:id="62" w:name="_Toc12792"/>
      <w:r>
        <w:rPr>
          <w:rFonts w:hint="eastAsia" w:asciiTheme="minorEastAsia" w:hAnsiTheme="minorEastAsia" w:eastAsiaTheme="minorEastAsia" w:cstheme="minorEastAsia"/>
          <w:b/>
          <w:bCs/>
          <w:kern w:val="0"/>
          <w:sz w:val="22"/>
          <w:szCs w:val="22"/>
        </w:rPr>
        <w:t>9.4 对评标活动有关的工作人员的纪律要求</w:t>
      </w:r>
      <w:bookmarkEnd w:id="60"/>
      <w:bookmarkEnd w:id="61"/>
      <w:bookmarkEnd w:id="6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3" w:name="_Toc220123249"/>
      <w:bookmarkStart w:id="64" w:name="_Toc239"/>
      <w:bookmarkStart w:id="65" w:name="_Toc219809809"/>
      <w:r>
        <w:rPr>
          <w:rFonts w:hint="eastAsia" w:asciiTheme="minorEastAsia" w:hAnsiTheme="minorEastAsia" w:eastAsiaTheme="minorEastAsia" w:cstheme="minorEastAsia"/>
          <w:b/>
          <w:bCs/>
          <w:kern w:val="0"/>
          <w:sz w:val="22"/>
          <w:szCs w:val="22"/>
        </w:rPr>
        <w:t>9.5 投诉</w:t>
      </w:r>
      <w:bookmarkEnd w:id="63"/>
      <w:bookmarkEnd w:id="64"/>
      <w:bookmarkEnd w:id="6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6" w:name="_Toc10817"/>
      <w:r>
        <w:rPr>
          <w:rFonts w:hint="eastAsia" w:asciiTheme="minorEastAsia" w:hAnsiTheme="minorEastAsia" w:eastAsiaTheme="minorEastAsia" w:cstheme="minorEastAsia"/>
          <w:b/>
          <w:bCs/>
          <w:kern w:val="0"/>
          <w:sz w:val="22"/>
          <w:szCs w:val="22"/>
        </w:rPr>
        <w:t>10. 需要补充的其他内容</w:t>
      </w:r>
      <w:bookmarkEnd w:id="6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40"/>
        <w:jc w:val="left"/>
        <w:textAlignment w:val="auto"/>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000000"/>
          <w:sz w:val="22"/>
          <w:szCs w:val="22"/>
        </w:rPr>
        <w:t>需要补充的其他内容：见投标人须知前附表。</w:t>
      </w:r>
    </w:p>
    <w:p>
      <w:pPr>
        <w:pStyle w:val="14"/>
        <w:jc w:val="both"/>
        <w:rPr>
          <w:rFonts w:hint="eastAsia"/>
        </w:rPr>
      </w:pPr>
      <w:bookmarkStart w:id="67" w:name="_Toc321925453"/>
    </w:p>
    <w:p>
      <w:pPr>
        <w:pStyle w:val="14"/>
        <w:keepLines w:val="0"/>
        <w:pageBreakBefore w:val="0"/>
        <w:kinsoku/>
        <w:wordWrap/>
        <w:topLinePunct w:val="0"/>
        <w:bidi w:val="0"/>
        <w:spacing w:line="360" w:lineRule="auto"/>
      </w:pPr>
      <w:r>
        <w:rPr>
          <w:rFonts w:hint="eastAsia"/>
        </w:rPr>
        <w:t>第三章</w:t>
      </w:r>
      <w:bookmarkEnd w:id="67"/>
      <w:r>
        <w:rPr>
          <w:rFonts w:hint="eastAsia"/>
        </w:rPr>
        <w:t>评标办法</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kern w:val="0"/>
          <w:sz w:val="22"/>
        </w:rPr>
      </w:pP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68" w:name="_Toc400804785"/>
      <w:bookmarkStart w:id="69" w:name="_Toc498694912"/>
      <w:bookmarkStart w:id="70" w:name="_Toc448220020"/>
      <w:r>
        <w:rPr>
          <w:rFonts w:hint="eastAsia" w:ascii="宋体" w:hAnsi="宋体" w:cs="Calibri"/>
          <w:b/>
          <w:bCs/>
          <w:sz w:val="22"/>
        </w:rPr>
        <w:t>1、评标原则</w:t>
      </w:r>
      <w:bookmarkEnd w:id="68"/>
      <w:bookmarkEnd w:id="69"/>
      <w:bookmarkEnd w:id="70"/>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评标工作必须遵循公平、公正的竞争原则。评标人员必须严格遵守保密规定，不得泄露评标有关的情况，不得索贿受贿，不得参加影响评标的任何活动。</w:t>
      </w:r>
      <w:bookmarkStart w:id="71" w:name="_Toc400804786"/>
      <w:bookmarkStart w:id="72" w:name="_Toc448220021"/>
      <w:bookmarkStart w:id="73" w:name="_Toc498694913"/>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评标组织</w:t>
      </w:r>
      <w:bookmarkEnd w:id="71"/>
      <w:bookmarkEnd w:id="72"/>
      <w:bookmarkEnd w:id="7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评标委员会由招标人自行组建。</w:t>
      </w:r>
      <w:bookmarkStart w:id="74" w:name="_Toc448220022"/>
      <w:bookmarkStart w:id="75" w:name="_Toc400804787"/>
      <w:bookmarkStart w:id="76" w:name="_Toc498694914"/>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评标程序和内容</w:t>
      </w:r>
      <w:bookmarkEnd w:id="74"/>
      <w:bookmarkEnd w:id="75"/>
      <w:bookmarkEnd w:id="76"/>
    </w:p>
    <w:p>
      <w:pPr>
        <w:keepLines w:val="0"/>
        <w:pageBreakBefore w:val="0"/>
        <w:kinsoku/>
        <w:wordWrap/>
        <w:topLinePunct w:val="0"/>
        <w:bidi w:val="0"/>
        <w:adjustRightInd w:val="0"/>
        <w:snapToGrid w:val="0"/>
        <w:spacing w:line="360" w:lineRule="auto"/>
        <w:ind w:firstLine="440" w:firstLineChars="200"/>
        <w:rPr>
          <w:szCs w:val="21"/>
        </w:rPr>
      </w:pPr>
      <w:r>
        <w:rPr>
          <w:rFonts w:hint="eastAsia" w:ascii="宋体" w:hAnsi="宋体" w:cs="Calibri"/>
          <w:kern w:val="0"/>
          <w:sz w:val="22"/>
        </w:rPr>
        <w:t>本项目采用</w:t>
      </w:r>
      <w:r>
        <w:rPr>
          <w:rFonts w:hint="eastAsia" w:ascii="宋体" w:hAnsi="宋体" w:cs="Calibri"/>
          <w:b/>
          <w:bCs/>
          <w:kern w:val="0"/>
          <w:sz w:val="22"/>
        </w:rPr>
        <w:t>综合评估法</w:t>
      </w:r>
      <w:r>
        <w:rPr>
          <w:rFonts w:hint="eastAsia" w:ascii="宋体" w:hAnsi="宋体" w:cs="Calibri"/>
          <w:kern w:val="0"/>
          <w:sz w:val="22"/>
        </w:rPr>
        <w:t>。各投标人的总得分为资信</w:t>
      </w:r>
      <w:r>
        <w:rPr>
          <w:rFonts w:hint="eastAsia" w:ascii="宋体" w:hAnsi="宋体" w:cs="Calibri"/>
          <w:kern w:val="0"/>
          <w:sz w:val="22"/>
          <w:lang w:eastAsia="zh-CN"/>
        </w:rPr>
        <w:t>、</w:t>
      </w:r>
      <w:r>
        <w:rPr>
          <w:rFonts w:hint="eastAsia" w:ascii="宋体" w:hAnsi="宋体" w:cs="Calibri"/>
          <w:kern w:val="0"/>
          <w:sz w:val="22"/>
        </w:rPr>
        <w:t>技术与商务报价</w:t>
      </w:r>
      <w:r>
        <w:rPr>
          <w:rFonts w:hint="eastAsia" w:ascii="宋体" w:hAnsi="宋体" w:cs="Calibri"/>
          <w:kern w:val="0"/>
          <w:sz w:val="22"/>
          <w:lang w:eastAsia="zh-CN"/>
        </w:rPr>
        <w:t>三</w:t>
      </w:r>
      <w:r>
        <w:rPr>
          <w:rFonts w:hint="eastAsia" w:ascii="宋体" w:hAnsi="宋体" w:cs="Calibri"/>
          <w:kern w:val="0"/>
          <w:sz w:val="22"/>
        </w:rPr>
        <w:t>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bookmarkStart w:id="77" w:name="_Toc448220023"/>
      <w:bookmarkStart w:id="78" w:name="_Toc498694915"/>
    </w:p>
    <w:p>
      <w:pPr>
        <w:keepLines w:val="0"/>
        <w:pageBreakBefore w:val="0"/>
        <w:kinsoku/>
        <w:wordWrap/>
        <w:topLinePunct w:val="0"/>
        <w:bidi w:val="0"/>
        <w:adjustRightInd w:val="0"/>
        <w:snapToGrid w:val="0"/>
        <w:spacing w:line="360" w:lineRule="auto"/>
        <w:rPr>
          <w:b/>
          <w:szCs w:val="21"/>
        </w:rPr>
      </w:pPr>
      <w:r>
        <w:rPr>
          <w:rFonts w:hint="eastAsia" w:ascii="宋体" w:hAnsi="宋体" w:cs="Calibri"/>
          <w:b/>
          <w:bCs/>
          <w:sz w:val="22"/>
        </w:rPr>
        <w:t>3.1评标的一般程序</w:t>
      </w:r>
      <w:bookmarkEnd w:id="77"/>
      <w:bookmarkEnd w:id="78"/>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评标委员会熟悉招标文件和评标办法；</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投标文件的符合性审查；</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投标文件的资信评审；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投标文件的技术评审；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投标文件的商务评审；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由投标人书面澄清投标文件的疑问（必要时）；</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根据评标办法对投标人进行综合评审</w:t>
      </w:r>
      <w:r>
        <w:rPr>
          <w:rFonts w:hint="eastAsia" w:ascii="宋体" w:hAnsi="宋体" w:cs="Calibri"/>
          <w:kern w:val="0"/>
          <w:sz w:val="22"/>
          <w:lang w:eastAsia="zh-CN"/>
        </w:rPr>
        <w:t>；</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79" w:name="_Toc498694916"/>
      <w:bookmarkStart w:id="80" w:name="_Toc448220024"/>
    </w:p>
    <w:p>
      <w:pPr>
        <w:keepLines w:val="0"/>
        <w:pageBreakBefore w:val="0"/>
        <w:tabs>
          <w:tab w:val="left" w:pos="420"/>
        </w:tabs>
        <w:kinsoku/>
        <w:wordWrap/>
        <w:topLinePunct w:val="0"/>
        <w:bidi w:val="0"/>
        <w:adjustRightInd w:val="0"/>
        <w:snapToGrid w:val="0"/>
        <w:spacing w:line="360" w:lineRule="auto"/>
        <w:ind w:left="6"/>
        <w:rPr>
          <w:rFonts w:ascii="宋体" w:hAnsi="宋体" w:cs="Calibri"/>
          <w:b/>
          <w:kern w:val="0"/>
          <w:sz w:val="22"/>
        </w:rPr>
      </w:pPr>
      <w:r>
        <w:rPr>
          <w:rFonts w:hint="eastAsia" w:ascii="宋体" w:hAnsi="宋体" w:cs="Calibri"/>
          <w:b/>
          <w:bCs/>
          <w:sz w:val="22"/>
        </w:rPr>
        <w:t>3.2投标文件的符合性审查内容</w:t>
      </w:r>
      <w:bookmarkEnd w:id="79"/>
      <w:bookmarkEnd w:id="80"/>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w:t>
      </w:r>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keepLines w:val="0"/>
        <w:pageBreakBefore w:val="0"/>
        <w:tabs>
          <w:tab w:val="left" w:pos="420"/>
        </w:tabs>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投标文件如存在以下情况之一的，经评标委员会审核认定，作为符合性审查未通过予以废除，不再进行技术标和商务标的评审：</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投标人的投标资格不满足国家有关规定或招标文件载明的资格条件要求的；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投标文件未按招标文件要求加盖单位印章或投标人的法定代表人（或其委托代理人）未按招标文件要求签字或盖章的；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投标人提交两份或多份内容不同的投标文件，或在一份投标文件中对同一招标货物报有两个或多个报价，且未声明哪一个为最终报价的，按招标文件规定的提交备选投标方案的除外；</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投标人未按招标文件要求提供投标保证金的或投标保证金有瑕疵的；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投标文件载明的</w:t>
      </w:r>
      <w:r>
        <w:rPr>
          <w:rFonts w:hint="eastAsia" w:ascii="宋体" w:hAnsi="宋体" w:cs="Calibri"/>
          <w:b/>
          <w:kern w:val="0"/>
          <w:sz w:val="22"/>
          <w:lang w:eastAsia="zh-CN"/>
        </w:rPr>
        <w:t>施工</w:t>
      </w:r>
      <w:r>
        <w:rPr>
          <w:rFonts w:hint="eastAsia" w:ascii="宋体" w:hAnsi="宋体" w:cs="Calibri"/>
          <w:b/>
          <w:kern w:val="0"/>
          <w:sz w:val="22"/>
        </w:rPr>
        <w:t>期超过招标文件规定的期限的；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投标有效期不满足招标文件要求的；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不响应招标文件规定的实质性要求（包括具体条文前用“★”标示的）；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是否有明显不符合技术规格、技术标准的要求或不满足招标文件技术规格书中的主要参数或提出的偏离招标人不予接受的投标文件；</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投标文件附有招标人不能接受的条款；</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法律、法规规定的其它废标情况。</w:t>
      </w:r>
      <w:bookmarkStart w:id="81" w:name="_Toc498694917"/>
      <w:bookmarkStart w:id="82" w:name="_Toc448220025"/>
    </w:p>
    <w:p>
      <w:pPr>
        <w:keepLines w:val="0"/>
        <w:pageBreakBefore w:val="0"/>
        <w:tabs>
          <w:tab w:val="left" w:pos="420"/>
          <w:tab w:val="left" w:pos="600"/>
          <w:tab w:val="left" w:pos="945"/>
        </w:tabs>
        <w:kinsoku/>
        <w:wordWrap/>
        <w:topLinePunct w:val="0"/>
        <w:bidi w:val="0"/>
        <w:adjustRightInd w:val="0"/>
        <w:snapToGrid w:val="0"/>
        <w:spacing w:line="360" w:lineRule="auto"/>
        <w:jc w:val="left"/>
        <w:rPr>
          <w:rFonts w:ascii="宋体" w:hAnsi="宋体" w:cs="Calibri"/>
          <w:b/>
          <w:bCs/>
          <w:sz w:val="22"/>
        </w:rPr>
      </w:pPr>
      <w:r>
        <w:rPr>
          <w:rFonts w:hint="eastAsia" w:ascii="宋体" w:hAnsi="宋体" w:cs="Calibri"/>
          <w:b/>
          <w:bCs/>
          <w:sz w:val="22"/>
        </w:rPr>
        <w:t>3.3投标文件的详细评审</w:t>
      </w:r>
      <w:bookmarkEnd w:id="81"/>
      <w:bookmarkEnd w:id="82"/>
    </w:p>
    <w:p>
      <w:pPr>
        <w:keepLines w:val="0"/>
        <w:pageBreakBefore w:val="0"/>
        <w:tabs>
          <w:tab w:val="left" w:pos="420"/>
          <w:tab w:val="left" w:pos="600"/>
          <w:tab w:val="left" w:pos="945"/>
        </w:tabs>
        <w:kinsoku/>
        <w:wordWrap/>
        <w:topLinePunct w:val="0"/>
        <w:bidi w:val="0"/>
        <w:adjustRightInd w:val="0"/>
        <w:snapToGrid w:val="0"/>
        <w:spacing w:line="360" w:lineRule="auto"/>
        <w:ind w:firstLine="440" w:firstLineChars="200"/>
        <w:jc w:val="left"/>
        <w:rPr>
          <w:rFonts w:ascii="宋体" w:hAnsi="宋体" w:cs="Calibri"/>
          <w:b/>
          <w:bCs/>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评标委员会对通过符合性审查的投标文件就以下</w:t>
      </w:r>
      <w:r>
        <w:rPr>
          <w:rFonts w:hint="eastAsia" w:ascii="宋体" w:hAnsi="宋体" w:cs="Calibri"/>
          <w:kern w:val="0"/>
          <w:sz w:val="22"/>
          <w:lang w:eastAsia="zh-CN"/>
        </w:rPr>
        <w:t>三</w:t>
      </w:r>
      <w:r>
        <w:rPr>
          <w:rFonts w:hint="eastAsia" w:ascii="宋体" w:hAnsi="宋体" w:cs="Calibri"/>
          <w:kern w:val="0"/>
          <w:sz w:val="22"/>
        </w:rPr>
        <w:t>部分内容，按评标细则的规定和要求进行评审</w:t>
      </w:r>
      <w:r>
        <w:rPr>
          <w:rFonts w:hint="eastAsia"/>
          <w:szCs w:val="21"/>
        </w:rPr>
        <w:t>：</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1</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资信部分评审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由评标委员会成员负责对投标文件的资信部分采用记名方式各自评分。如发现某个单项的评分超出了评分细则所规定的分值范围的，则该张评分表无效。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2</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技术部分评审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由评标委员会成员负责对投标文件的技术部分采用记名方式各自评分。如发现某个单项的评分超出了评分细则所规定的分值范围的，则该张评分表无效。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ascii="宋体" w:hAnsi="宋体" w:cs="Calibri"/>
          <w:kern w:val="0"/>
          <w:sz w:val="22"/>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3</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宋体" w:hAnsi="宋体" w:cs="Calibri"/>
          <w:b/>
          <w:color w:val="000000" w:themeColor="text1"/>
          <w:kern w:val="0"/>
          <w:sz w:val="22"/>
          <w14:textFill>
            <w14:solidFill>
              <w14:schemeClr w14:val="tx1"/>
            </w14:solidFill>
          </w14:textFill>
        </w:rPr>
        <w:t>商</w:t>
      </w:r>
      <w:r>
        <w:rPr>
          <w:rFonts w:hint="eastAsia" w:ascii="宋体" w:hAnsi="宋体" w:cs="Calibri"/>
          <w:b/>
          <w:kern w:val="0"/>
          <w:sz w:val="22"/>
        </w:rPr>
        <w:t>务报价评审。</w:t>
      </w:r>
      <w:r>
        <w:rPr>
          <w:rFonts w:hint="eastAsia" w:ascii="宋体" w:hAnsi="宋体" w:cs="Calibri"/>
          <w:kern w:val="0"/>
          <w:sz w:val="22"/>
        </w:rPr>
        <w:t>由评标委员会成员对投标文件进行商务评审。评标专家应对商务报价的范围、数量、单价、费用组成和总价等进行全面审阅和对比分析，找出报价差异的原因及存在的问题。</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投标人的综合得分为以上</w:t>
      </w:r>
      <w:r>
        <w:rPr>
          <w:rFonts w:hint="eastAsia" w:ascii="宋体" w:hAnsi="宋体" w:cs="Calibri"/>
          <w:kern w:val="0"/>
          <w:sz w:val="22"/>
          <w:lang w:eastAsia="zh-CN"/>
        </w:rPr>
        <w:t>三</w:t>
      </w:r>
      <w:r>
        <w:rPr>
          <w:rFonts w:hint="eastAsia" w:ascii="宋体" w:hAnsi="宋体" w:cs="Calibri"/>
          <w:kern w:val="0"/>
          <w:sz w:val="22"/>
        </w:rPr>
        <w:t>部分评分的总和。当有效标少于三家时，经评标委员会认定仍具有充分竞争性的，并经现场招标人认可后，可以按原招标方式继续评审。</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投标文件的澄清和补正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（1）在评标过程中，评标委员会可以书面形式要求投标人对所提交投标文件中不明确的内容进行书面澄清或说明，或者对细微偏差进行补正。评标委员会不接受投标人主动提出的澄清、说明或补正。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3</w:t>
      </w:r>
      <w:r>
        <w:rPr>
          <w:rFonts w:hint="eastAsia" w:ascii="宋体" w:hAnsi="宋体" w:cs="Calibri"/>
          <w:kern w:val="0"/>
          <w:sz w:val="22"/>
          <w:lang w:eastAsia="zh-CN"/>
        </w:rPr>
        <w:t>）</w:t>
      </w:r>
      <w:r>
        <w:rPr>
          <w:rFonts w:hint="eastAsia" w:ascii="宋体" w:hAnsi="宋体" w:cs="Calibri"/>
          <w:kern w:val="0"/>
          <w:sz w:val="22"/>
        </w:rPr>
        <w:t>评标委员会对投标人提交的澄清、说明或补正有疑问的，可以要求投标人进一步澄清、说明或补正，直至满足评标委员会的要求。</w:t>
      </w:r>
      <w:bookmarkStart w:id="83" w:name="_Toc498694918"/>
      <w:bookmarkStart w:id="84" w:name="_Toc448220026"/>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3.4评标报告</w:t>
      </w:r>
      <w:bookmarkEnd w:id="83"/>
      <w:bookmarkEnd w:id="84"/>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评标委员会应在评标报告中推荐得分排序第一名为中标候选人。总得分相同的，报价低者优先。评分相同且报价相同时，由评委少数服从多数决定。</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评标报告应包括以下内容：</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eastAsiaTheme="minorEastAsia"/>
          <w:kern w:val="0"/>
          <w:sz w:val="22"/>
          <w:lang w:eastAsia="zh-CN"/>
        </w:rPr>
      </w:pPr>
      <w:r>
        <w:rPr>
          <w:rFonts w:hint="eastAsia" w:ascii="宋体" w:hAnsi="宋体" w:cs="Calibri"/>
          <w:kern w:val="0"/>
          <w:sz w:val="22"/>
        </w:rPr>
        <w:t>（1）开标记录</w:t>
      </w:r>
      <w:r>
        <w:rPr>
          <w:rFonts w:hint="eastAsia" w:ascii="宋体" w:hAnsi="宋体" w:cs="Calibri"/>
          <w:kern w:val="0"/>
          <w:sz w:val="22"/>
          <w:lang w:eastAsia="zh-CN"/>
        </w:rPr>
        <w:t>；</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（2）评标内容、过程和结果；</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（3）废标情况说明及相关依据；</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（4）询标澄清纪要；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（5）中标候选人的优劣对比和存在问题；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w:t>
      </w:r>
      <w:r>
        <w:rPr>
          <w:rFonts w:hint="eastAsia" w:asciiTheme="minorEastAsia" w:hAnsiTheme="minorEastAsia" w:eastAsiaTheme="minorEastAsia" w:cstheme="minorEastAsia"/>
          <w:kern w:val="0"/>
          <w:sz w:val="22"/>
          <w:lang w:val="en-US" w:eastAsia="zh-CN"/>
        </w:rPr>
        <w:t>6</w:t>
      </w:r>
      <w:r>
        <w:rPr>
          <w:rFonts w:hint="eastAsia" w:asciiTheme="minorEastAsia" w:hAnsiTheme="minorEastAsia" w:eastAsiaTheme="minorEastAsia" w:cstheme="minorEastAsia"/>
          <w:kern w:val="0"/>
          <w:sz w:val="22"/>
          <w:lang w:eastAsia="zh-CN"/>
        </w:rPr>
        <w:t>）其他建议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招标人将在发布招标公告的网站上公示中标结果，公示期为3个工作日。投标人有权在公示期内对中标结果提出质疑，但需对质疑内容的真实性承担责任。</w:t>
      </w:r>
      <w:bookmarkStart w:id="85" w:name="_Toc448220027"/>
      <w:bookmarkStart w:id="86" w:name="_Toc498694919"/>
    </w:p>
    <w:p>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bCs/>
          <w:sz w:val="22"/>
        </w:rPr>
        <w:t>评标细则</w:t>
      </w:r>
      <w:bookmarkEnd w:id="85"/>
      <w:bookmarkEnd w:id="86"/>
      <w:bookmarkStart w:id="87" w:name="_Toc498694920"/>
      <w:bookmarkStart w:id="88" w:name="_Toc44822002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4.1技术资信部分（满分</w:t>
      </w:r>
      <w:r>
        <w:rPr>
          <w:rFonts w:hint="eastAsia" w:asciiTheme="minorEastAsia" w:hAnsiTheme="minorEastAsia" w:eastAsiaTheme="minorEastAsia" w:cstheme="minorEastAsia"/>
          <w:b/>
          <w:bCs/>
          <w:sz w:val="22"/>
          <w:lang w:val="en-US" w:eastAsia="zh-CN"/>
        </w:rPr>
        <w:t>4</w:t>
      </w:r>
      <w:r>
        <w:rPr>
          <w:rFonts w:hint="eastAsia" w:asciiTheme="minorEastAsia" w:hAnsiTheme="minorEastAsia" w:eastAsiaTheme="minorEastAsia" w:cstheme="minorEastAsia"/>
          <w:b/>
          <w:bCs/>
          <w:sz w:val="22"/>
        </w:rPr>
        <w:t>0分）</w:t>
      </w:r>
      <w:bookmarkEnd w:id="87"/>
      <w:bookmarkEnd w:id="88"/>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本次评标采用</w:t>
      </w:r>
      <w:r>
        <w:rPr>
          <w:rFonts w:hint="eastAsia" w:asciiTheme="minorEastAsia" w:hAnsiTheme="minorEastAsia" w:eastAsiaTheme="minorEastAsia" w:cstheme="minorEastAsia"/>
          <w:b/>
          <w:sz w:val="22"/>
        </w:rPr>
        <w:t>综合评估法</w:t>
      </w:r>
      <w:r>
        <w:rPr>
          <w:rFonts w:hint="eastAsia" w:asciiTheme="minorEastAsia" w:hAnsiTheme="minorEastAsia" w:eastAsiaTheme="minorEastAsia" w:cstheme="minorEastAsia"/>
          <w:sz w:val="22"/>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ascii="宋体" w:hAnsi="宋体" w:cs="宋体"/>
          <w:b/>
          <w:sz w:val="22"/>
        </w:rPr>
      </w:pPr>
      <w:r>
        <w:rPr>
          <w:rFonts w:ascii="宋体" w:hAnsi="宋体" w:cs="宋体"/>
          <w:b/>
          <w:sz w:val="22"/>
        </w:rPr>
        <w:t>1</w:t>
      </w:r>
      <w:r>
        <w:rPr>
          <w:rFonts w:hint="eastAsia" w:ascii="宋体" w:hAnsi="宋体" w:cs="Calibri"/>
          <w:b/>
          <w:kern w:val="0"/>
          <w:sz w:val="22"/>
        </w:rPr>
        <w:t>．</w:t>
      </w:r>
      <w:r>
        <w:rPr>
          <w:rFonts w:ascii="宋体" w:hAnsi="宋体" w:cs="宋体"/>
          <w:b/>
          <w:sz w:val="22"/>
        </w:rPr>
        <w:t>投标文件的资信评审（</w:t>
      </w:r>
      <w:r>
        <w:rPr>
          <w:rFonts w:hint="eastAsia" w:ascii="宋体" w:hAnsi="宋体" w:cs="宋体"/>
          <w:b/>
          <w:sz w:val="22"/>
        </w:rPr>
        <w:t>10</w:t>
      </w:r>
      <w:r>
        <w:rPr>
          <w:rFonts w:ascii="宋体" w:hAnsi="宋体" w:cs="宋体"/>
          <w:b/>
          <w:sz w:val="22"/>
        </w:rPr>
        <w:t>分）</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投标人综合实力</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根据投标人资质、技术力量、企业规模、所获荣誉等情况横向比较，</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优秀得2.8-4分，良好得1.4-2.7分，一般得0-1.3分</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投标人业绩情况</w:t>
            </w:r>
          </w:p>
        </w:tc>
        <w:tc>
          <w:tcPr>
            <w:tcW w:w="6095" w:type="dxa"/>
            <w:vAlign w:val="center"/>
          </w:tcPr>
          <w:p>
            <w:pPr>
              <w:keepNext w:val="0"/>
              <w:keepLines w:val="0"/>
              <w:pageBreakBefore w:val="0"/>
              <w:widowControl w:val="0"/>
              <w:kinsoku/>
              <w:wordWrap/>
              <w:overflowPunct/>
              <w:topLinePunct w:val="0"/>
              <w:bidi w:val="0"/>
              <w:snapToGrid/>
              <w:spacing w:line="420" w:lineRule="exact"/>
              <w:jc w:val="left"/>
              <w:textAlignment w:val="auto"/>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2018年1月1日以来（以合同签订时间为准）投标人承接过</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类似项目业绩情况</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万（含）至</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2"/>
                <w:szCs w:val="22"/>
                <w14:textFill>
                  <w14:solidFill>
                    <w14:schemeClr w14:val="tx1"/>
                  </w14:solidFill>
                </w14:textFill>
              </w:rPr>
              <w:t>万（不含）的，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每个合同得0.5分；</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万（含）至</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2"/>
                <w:szCs w:val="22"/>
                <w14:textFill>
                  <w14:solidFill>
                    <w14:schemeClr w14:val="tx1"/>
                  </w14:solidFill>
                </w14:textFill>
              </w:rPr>
              <w:t>万（不含）的，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每个合同得1分；</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万（含）以上的，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每个合同得1.5分；本项最高得</w:t>
            </w:r>
            <w:r>
              <w:rPr>
                <w:rFonts w:hint="eastAsia" w:asciiTheme="minorEastAsia" w:hAnsiTheme="minorEastAsia" w:cstheme="minorEastAsia"/>
                <w:color w:val="000000" w:themeColor="text1"/>
                <w:spacing w:val="-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提供合同作为证明材料，如合同中无法体现业绩评审关键信息的，另提供业主证明文件</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bl>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w:t>
      </w:r>
      <w:r>
        <w:rPr>
          <w:rFonts w:hint="eastAsia" w:ascii="宋体" w:hAnsi="宋体" w:cs="Calibri"/>
          <w:b/>
          <w:kern w:val="0"/>
          <w:sz w:val="22"/>
        </w:rPr>
        <w:t>．</w:t>
      </w:r>
      <w:r>
        <w:rPr>
          <w:rFonts w:hint="eastAsia" w:asciiTheme="minorEastAsia" w:hAnsiTheme="minorEastAsia" w:eastAsiaTheme="minorEastAsia" w:cstheme="minorEastAsia"/>
          <w:b/>
          <w:sz w:val="22"/>
          <w:szCs w:val="22"/>
        </w:rPr>
        <w:t>投标文件的技术评审（30分）</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w:t>
      </w:r>
      <w:r>
        <w:rPr>
          <w:rFonts w:hint="eastAsia" w:ascii="宋体" w:hAnsi="宋体" w:cs="Calibri"/>
          <w:kern w:val="0"/>
          <w:sz w:val="22"/>
        </w:rPr>
        <w:t>在统计得分时，如发现某一单项评分超过评分细则规定的分值范围，则该张评分表无效。投标人技术部分的最终得分：按其实际人数评分的算术平均值。</w:t>
      </w:r>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30"/>
        <w:gridCol w:w="613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53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评标因素</w:t>
            </w:r>
          </w:p>
        </w:tc>
        <w:tc>
          <w:tcPr>
            <w:tcW w:w="613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530" w:type="dxa"/>
            <w:vAlign w:val="center"/>
          </w:tcPr>
          <w:p>
            <w:pPr>
              <w:pStyle w:val="20"/>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设计方案</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r>
              <w:rPr>
                <w:rFonts w:hint="eastAsia" w:ascii="宋体" w:hAnsi="宋体" w:eastAsia="宋体" w:cs="Calibri"/>
                <w:color w:val="000000" w:themeColor="text1"/>
                <w:kern w:val="0"/>
                <w:sz w:val="22"/>
                <w:szCs w:val="24"/>
                <w14:textFill>
                  <w14:solidFill>
                    <w14:schemeClr w14:val="tx1"/>
                  </w14:solidFill>
                </w14:textFill>
              </w:rPr>
              <w:t>满</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分15分）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提供的设计方案，内容应包括但不限于项目整体效果、色彩搭配、标识标牌、功能性及安全性等方面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10.2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5分，良好得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5.1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10.1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分，一般得0-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w:t>
            </w: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ascii="宋体" w:hAnsi="宋体" w:eastAsia="宋体" w:cs="Calibri"/>
                <w:color w:val="000000" w:themeColor="text1"/>
                <w:kern w:val="0"/>
                <w:sz w:val="22"/>
                <w:szCs w:val="24"/>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制作方案</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（满分12分）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提供的制作方案，内容应包括但不限于项目施工工期、施工安排、品牌环保材料选用、制作工艺</w:t>
            </w:r>
            <w:r>
              <w:rPr>
                <w:rFonts w:hint="eastAsia" w:ascii="宋体" w:hAnsi="宋体" w:cs="Calibri"/>
                <w:color w:val="000000" w:themeColor="text1"/>
                <w:kern w:val="0"/>
                <w:sz w:val="22"/>
                <w14:textFill>
                  <w14:solidFill>
                    <w14:schemeClr w14:val="tx1"/>
                  </w14:solidFill>
                </w14:textFill>
              </w:rPr>
              <w:t>等</w:t>
            </w:r>
            <w:r>
              <w:rPr>
                <w:rFonts w:hint="eastAsia" w:ascii="宋体" w:hAnsi="宋体" w:cs="Calibri"/>
                <w:color w:val="000000" w:themeColor="text1"/>
                <w:kern w:val="0"/>
                <w:sz w:val="22"/>
                <w:lang w:eastAsia="zh-CN"/>
                <w14:textFill>
                  <w14:solidFill>
                    <w14:schemeClr w14:val="tx1"/>
                  </w14:solidFill>
                </w14:textFill>
              </w:rPr>
              <w:t>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8.2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分，良好得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6.1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8.1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分，一般得0-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ascii="宋体" w:hAnsi="宋体" w:eastAsia="宋体" w:cs="Calibri"/>
                <w:color w:val="000000" w:themeColor="text1"/>
                <w:kern w:val="0"/>
                <w:sz w:val="22"/>
                <w:szCs w:val="24"/>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服务承诺</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（满分3分）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lang w:eastAsia="zh-CN"/>
                <w14:textFill>
                  <w14:solidFill>
                    <w14:schemeClr w14:val="tx1"/>
                  </w14:solidFill>
                </w14:textFill>
              </w:rPr>
              <w:t>根据</w:t>
            </w:r>
            <w:r>
              <w:rPr>
                <w:rFonts w:hint="eastAsia" w:ascii="宋体" w:hAnsi="宋体" w:cs="Calibri"/>
                <w:color w:val="000000" w:themeColor="text1"/>
                <w:kern w:val="0"/>
                <w:sz w:val="22"/>
                <w14:textFill>
                  <w14:solidFill>
                    <w14:schemeClr w14:val="tx1"/>
                  </w14:solidFill>
                </w14:textFill>
              </w:rPr>
              <w:t>投标文件所体现的“三包”、免费保修</w:t>
            </w:r>
            <w:r>
              <w:rPr>
                <w:rFonts w:hint="eastAsia" w:ascii="宋体" w:hAnsi="宋体" w:cs="Calibri"/>
                <w:color w:val="000000" w:themeColor="text1"/>
                <w:kern w:val="0"/>
                <w:sz w:val="22"/>
                <w:lang w:eastAsia="zh-CN"/>
                <w14:textFill>
                  <w14:solidFill>
                    <w14:schemeClr w14:val="tx1"/>
                  </w14:solidFill>
                </w14:textFill>
              </w:rPr>
              <w:t>期</w:t>
            </w:r>
            <w:r>
              <w:rPr>
                <w:rFonts w:hint="eastAsia" w:ascii="宋体" w:hAnsi="宋体" w:cs="Calibri"/>
                <w:color w:val="000000" w:themeColor="text1"/>
                <w:kern w:val="0"/>
                <w:sz w:val="22"/>
                <w14:textFill>
                  <w14:solidFill>
                    <w14:schemeClr w14:val="tx1"/>
                  </w14:solidFill>
                </w14:textFill>
              </w:rPr>
              <w:t>及售后服务</w:t>
            </w:r>
            <w:r>
              <w:rPr>
                <w:rFonts w:hint="eastAsia" w:ascii="宋体" w:hAnsi="宋体" w:cs="Calibri"/>
                <w:color w:val="000000" w:themeColor="text1"/>
                <w:kern w:val="0"/>
                <w:sz w:val="22"/>
                <w:lang w:eastAsia="zh-CN"/>
                <w14:textFill>
                  <w14:solidFill>
                    <w14:schemeClr w14:val="tx1"/>
                  </w14:solidFill>
                </w14:textFill>
              </w:rPr>
              <w:t>时效、</w:t>
            </w:r>
            <w:r>
              <w:rPr>
                <w:rFonts w:hint="eastAsia" w:ascii="宋体" w:hAnsi="宋体" w:cs="Calibri"/>
                <w:color w:val="000000" w:themeColor="text1"/>
                <w:kern w:val="0"/>
                <w:sz w:val="22"/>
                <w14:textFill>
                  <w14:solidFill>
                    <w14:schemeClr w14:val="tx1"/>
                  </w14:solidFill>
                </w14:textFill>
              </w:rPr>
              <w:t>措施和方案情况</w:t>
            </w:r>
            <w:r>
              <w:rPr>
                <w:rFonts w:hint="eastAsia" w:ascii="宋体" w:hAnsi="宋体" w:cs="Calibri"/>
                <w:color w:val="000000" w:themeColor="text1"/>
                <w:kern w:val="0"/>
                <w:sz w:val="22"/>
                <w:lang w:eastAsia="zh-CN"/>
                <w14:textFill>
                  <w14:solidFill>
                    <w14:schemeClr w14:val="tx1"/>
                  </w14:solidFill>
                </w14:textFill>
              </w:rPr>
              <w:t>等方面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分，良好得1.</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-2分，一般得0-1.</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bl>
    <w:p>
      <w:pPr>
        <w:pStyle w:val="5"/>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2"/>
          <w:szCs w:val="22"/>
          <w:lang w:val="en-US"/>
        </w:rPr>
      </w:pPr>
      <w:bookmarkStart w:id="89" w:name="_Toc498694921"/>
      <w:bookmarkStart w:id="90" w:name="_Toc448220029"/>
      <w:r>
        <w:rPr>
          <w:rFonts w:hint="eastAsia" w:asciiTheme="minorEastAsia" w:hAnsiTheme="minorEastAsia" w:eastAsiaTheme="minorEastAsia" w:cstheme="minorEastAsia"/>
          <w:bCs/>
          <w:sz w:val="22"/>
          <w:szCs w:val="22"/>
          <w:lang w:val="en-US"/>
        </w:rPr>
        <w:t>4.2商务报价部分（满分</w:t>
      </w:r>
      <w:r>
        <w:rPr>
          <w:rFonts w:hint="eastAsia" w:asciiTheme="minorEastAsia" w:hAnsiTheme="minorEastAsia" w:eastAsiaTheme="minorEastAsia" w:cstheme="minorEastAsia"/>
          <w:bCs/>
          <w:sz w:val="22"/>
          <w:szCs w:val="22"/>
          <w:lang w:val="en-US" w:eastAsia="zh-CN"/>
        </w:rPr>
        <w:t>6</w:t>
      </w:r>
      <w:r>
        <w:rPr>
          <w:rFonts w:hint="eastAsia" w:asciiTheme="minorEastAsia" w:hAnsiTheme="minorEastAsia" w:eastAsiaTheme="minorEastAsia" w:cstheme="minorEastAsia"/>
          <w:bCs/>
          <w:sz w:val="22"/>
          <w:szCs w:val="22"/>
          <w:lang w:val="en-US"/>
        </w:rPr>
        <w:t>0分）</w:t>
      </w:r>
      <w:bookmarkEnd w:id="89"/>
      <w:bookmarkEnd w:id="90"/>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kern w:val="0"/>
          <w:sz w:val="22"/>
          <w:szCs w:val="22"/>
        </w:rPr>
        <w:t>评标委员会对符合性审查通过的投标文件进行商务评审。报价评审应以报价口径范围一致的评标价为依据，凡属招标文件的原因造成报价口径范围不一致的，应予调整，但因投标人自身失误造成多算、</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少算、漏算的，不得调整。投标人的报价得分按以下方法计算：</w:t>
      </w:r>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取所有有效投标报价的算数平均值与次低价的算数平均值作为评标基准价，如有效投标报价的数量小于4个，则评标基准价为所有有效投标报价的算数平均值与最低价的算数平均值。</w:t>
      </w:r>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投标人的投标价等于评标基准价的得</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分，每高于评标基准价1%的扣1分，每低于评标基准价1%的扣0.5分，最低扣至20分。</w:t>
      </w:r>
      <w:bookmarkStart w:id="91" w:name="_Toc448220030"/>
      <w:bookmarkStart w:id="92" w:name="_Toc498694922"/>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4.3其他</w:t>
      </w:r>
      <w:bookmarkEnd w:id="91"/>
      <w:bookmarkEnd w:id="92"/>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评分时保留小数l位，计算评分值时保留小数2位。</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投标人的综合评分为资信</w:t>
      </w:r>
      <w:r>
        <w:rPr>
          <w:rFonts w:hint="eastAsia" w:ascii="宋体" w:hAnsi="宋体" w:cs="Calibri"/>
          <w:kern w:val="0"/>
          <w:sz w:val="22"/>
          <w:lang w:eastAsia="zh-CN"/>
        </w:rPr>
        <w:t>、</w:t>
      </w:r>
      <w:r>
        <w:rPr>
          <w:rFonts w:hint="eastAsia" w:ascii="宋体" w:hAnsi="宋体" w:cs="Calibri"/>
          <w:kern w:val="0"/>
          <w:sz w:val="22"/>
        </w:rPr>
        <w:t>技术和商务报价</w:t>
      </w:r>
      <w:r>
        <w:rPr>
          <w:rFonts w:hint="eastAsia" w:ascii="宋体" w:hAnsi="宋体" w:cs="Calibri"/>
          <w:kern w:val="0"/>
          <w:sz w:val="22"/>
          <w:lang w:eastAsia="zh-CN"/>
        </w:rPr>
        <w:t>三</w:t>
      </w:r>
      <w:r>
        <w:rPr>
          <w:rFonts w:hint="eastAsia" w:ascii="宋体" w:hAnsi="宋体" w:cs="Calibri"/>
          <w:kern w:val="0"/>
          <w:sz w:val="22"/>
        </w:rPr>
        <w:t>部分得分的总和，由评标委员会指定专人进行计算和复核。</w:t>
      </w:r>
      <w:bookmarkStart w:id="93" w:name="_Toc400804789"/>
      <w:bookmarkStart w:id="94" w:name="_Toc448220031"/>
      <w:bookmarkStart w:id="95" w:name="_Toc498694923"/>
      <w:bookmarkStart w:id="96" w:name="_Toc305915777"/>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5、决标</w:t>
      </w:r>
      <w:bookmarkEnd w:id="93"/>
      <w:bookmarkEnd w:id="94"/>
      <w:bookmarkEnd w:id="95"/>
      <w:bookmarkEnd w:id="96"/>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bookmarkStart w:id="97" w:name="_Toc305915778"/>
      <w:bookmarkStart w:id="98" w:name="_Toc272657367"/>
      <w:bookmarkStart w:id="99" w:name="_Toc448220032"/>
      <w:bookmarkStart w:id="100" w:name="_Toc299912268"/>
      <w:bookmarkStart w:id="101" w:name="_Toc238826226"/>
      <w:bookmarkStart w:id="102" w:name="_Toc400804790"/>
      <w:r>
        <w:rPr>
          <w:rFonts w:hint="eastAsia" w:ascii="宋体" w:hAnsi="宋体" w:cs="Calibri"/>
          <w:kern w:val="0"/>
          <w:sz w:val="22"/>
        </w:rPr>
        <w:t>5.1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5.2中标候选人因不可抗力之外的原因放弃中标权的，必须按文件规定没收其投标保证金，没收的投标保证金不能弥补由于其放弃中标权而给招标人造成报价的差额部分，由放弃中标权的中标候选人承担。</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5.3 如发生投诉争议等情况时，经查实中标候选人存在违法、违规行为，不符合中标条件，且该行为在评标时是无法发现和确认的，招标人可以在其他中标候选人中按照推荐的排序确定中标人或重新招标。</w:t>
      </w:r>
    </w:p>
    <w:p>
      <w:pPr>
        <w:pStyle w:val="19"/>
        <w:keepLines w:val="0"/>
        <w:pageBreakBefore w:val="0"/>
        <w:numPr>
          <w:ilvl w:val="1"/>
          <w:numId w:val="5"/>
        </w:numPr>
        <w:kinsoku/>
        <w:wordWrap/>
        <w:topLinePunct w:val="0"/>
        <w:bidi w:val="0"/>
        <w:adjustRightInd w:val="0"/>
        <w:snapToGrid w:val="0"/>
        <w:spacing w:line="360" w:lineRule="auto"/>
        <w:ind w:firstLineChars="0"/>
        <w:rPr>
          <w:rFonts w:ascii="宋体" w:hAnsi="宋体" w:cs="Calibri"/>
          <w:kern w:val="0"/>
          <w:sz w:val="22"/>
        </w:rPr>
      </w:pPr>
      <w:r>
        <w:rPr>
          <w:rFonts w:hint="eastAsia" w:ascii="宋体" w:hAnsi="宋体" w:cs="Calibri"/>
          <w:kern w:val="0"/>
          <w:sz w:val="22"/>
        </w:rPr>
        <w:t>招标人对评标、定标结果不负责解释。</w:t>
      </w:r>
      <w:bookmarkStart w:id="103" w:name="_Toc498694924"/>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6、其他</w:t>
      </w:r>
      <w:bookmarkEnd w:id="97"/>
      <w:bookmarkEnd w:id="98"/>
      <w:bookmarkEnd w:id="99"/>
      <w:bookmarkEnd w:id="100"/>
      <w:bookmarkEnd w:id="101"/>
      <w:bookmarkEnd w:id="102"/>
      <w:bookmarkEnd w:id="10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即有下列情形之一的，应认定为串通投标行为：</w:t>
      </w:r>
      <w:r>
        <w:rPr>
          <w:rFonts w:hint="eastAsia" w:ascii="宋体" w:hAnsi="宋体" w:cs="Calibri"/>
          <w:kern w:val="0"/>
          <w:sz w:val="22"/>
        </w:rPr>
        <w:br w:type="textWrapping"/>
      </w:r>
      <w:r>
        <w:rPr>
          <w:rFonts w:hint="eastAsia" w:ascii="宋体" w:hAnsi="宋体" w:cs="Calibri"/>
          <w:kern w:val="0"/>
          <w:sz w:val="22"/>
        </w:rPr>
        <w:t>　</w:t>
      </w:r>
      <w:r>
        <w:rPr>
          <w:rFonts w:hint="eastAsia" w:ascii="宋体" w:hAnsi="宋体" w:cs="Calibri"/>
          <w:b w:val="0"/>
          <w:bCs w:val="0"/>
          <w:kern w:val="0"/>
          <w:sz w:val="22"/>
        </w:rPr>
        <w:t>　1．招标人在规定的提交投标文件截止时间后，协助投标人撤换投标文件、更改报价；</w:t>
      </w:r>
      <w:r>
        <w:rPr>
          <w:rFonts w:hint="eastAsia" w:ascii="宋体" w:hAnsi="宋体" w:cs="Calibri"/>
          <w:b w:val="0"/>
          <w:bCs w:val="0"/>
          <w:kern w:val="0"/>
          <w:sz w:val="22"/>
        </w:rPr>
        <w:br w:type="textWrapping"/>
      </w:r>
      <w:r>
        <w:rPr>
          <w:rFonts w:hint="eastAsia" w:ascii="宋体" w:hAnsi="宋体" w:cs="Calibri"/>
          <w:b w:val="0"/>
          <w:bCs w:val="0"/>
          <w:kern w:val="0"/>
          <w:sz w:val="22"/>
        </w:rPr>
        <w:t>　　2．招标人（或招标代理机构）泄露投标人名称、数量或联系方式等应当保密的事项；</w:t>
      </w:r>
      <w:r>
        <w:rPr>
          <w:rFonts w:hint="eastAsia" w:ascii="宋体" w:hAnsi="宋体" w:cs="Calibri"/>
          <w:b w:val="0"/>
          <w:bCs w:val="0"/>
          <w:kern w:val="0"/>
          <w:sz w:val="22"/>
        </w:rPr>
        <w:br w:type="textWrapping"/>
      </w:r>
      <w:r>
        <w:rPr>
          <w:rFonts w:hint="eastAsia" w:ascii="宋体" w:hAnsi="宋体" w:cs="Calibri"/>
          <w:b w:val="0"/>
          <w:bCs w:val="0"/>
          <w:kern w:val="0"/>
          <w:sz w:val="22"/>
        </w:rPr>
        <w:t>　　3．不同投标人的投标文件由同一单位（或个人）编制或提供投标咨询服务；</w:t>
      </w:r>
      <w:r>
        <w:rPr>
          <w:rFonts w:hint="eastAsia" w:ascii="宋体" w:hAnsi="宋体" w:cs="Calibri"/>
          <w:b w:val="0"/>
          <w:bCs w:val="0"/>
          <w:kern w:val="0"/>
          <w:sz w:val="22"/>
        </w:rPr>
        <w:br w:type="textWrapping"/>
      </w:r>
      <w:r>
        <w:rPr>
          <w:rFonts w:hint="eastAsia" w:ascii="宋体" w:hAnsi="宋体" w:cs="Calibri"/>
          <w:b w:val="0"/>
          <w:bCs w:val="0"/>
          <w:kern w:val="0"/>
          <w:sz w:val="22"/>
        </w:rPr>
        <w:t>　　4．不同投标人使用同一人或者同一单位的资金交纳投标保证金；</w:t>
      </w:r>
      <w:r>
        <w:rPr>
          <w:rFonts w:hint="eastAsia" w:ascii="宋体" w:hAnsi="宋体" w:cs="Calibri"/>
          <w:b w:val="0"/>
          <w:bCs w:val="0"/>
          <w:kern w:val="0"/>
          <w:sz w:val="22"/>
        </w:rPr>
        <w:br w:type="textWrapping"/>
      </w:r>
      <w:r>
        <w:rPr>
          <w:rFonts w:hint="eastAsia" w:ascii="宋体" w:hAnsi="宋体" w:cs="Calibri"/>
          <w:b w:val="0"/>
          <w:bCs w:val="0"/>
          <w:kern w:val="0"/>
          <w:sz w:val="22"/>
        </w:rPr>
        <w:t>　　5．不同投标人委托同一人办理投标事宜的或不同投标人与同一投标人联合投标的；</w:t>
      </w:r>
      <w:r>
        <w:rPr>
          <w:rFonts w:hint="eastAsia" w:ascii="宋体" w:hAnsi="宋体" w:cs="Calibri"/>
          <w:b w:val="0"/>
          <w:bCs w:val="0"/>
          <w:kern w:val="0"/>
          <w:sz w:val="22"/>
        </w:rPr>
        <w:br w:type="textWrapping"/>
      </w:r>
      <w:r>
        <w:rPr>
          <w:rFonts w:hint="eastAsia" w:ascii="宋体" w:hAnsi="宋体" w:cs="Calibri"/>
          <w:b w:val="0"/>
          <w:bCs w:val="0"/>
          <w:kern w:val="0"/>
          <w:sz w:val="22"/>
        </w:rPr>
        <w:t>　　6．不同投标人的投标文件内容出现非正常一致，或者报价细目呈明显规律性变化；</w:t>
      </w:r>
      <w:r>
        <w:rPr>
          <w:rFonts w:hint="eastAsia" w:ascii="宋体" w:hAnsi="宋体" w:cs="Calibri"/>
          <w:b w:val="0"/>
          <w:bCs w:val="0"/>
          <w:kern w:val="0"/>
          <w:sz w:val="22"/>
        </w:rPr>
        <w:br w:type="textWrapping"/>
      </w:r>
      <w:r>
        <w:rPr>
          <w:rFonts w:hint="eastAsia" w:ascii="宋体" w:hAnsi="宋体" w:cs="Calibri"/>
          <w:b w:val="0"/>
          <w:bCs w:val="0"/>
          <w:kern w:val="0"/>
          <w:sz w:val="22"/>
        </w:rPr>
        <w:t>　　7．不同投标人的投标文件载明的项目管理人员出现同一人的情况；</w:t>
      </w:r>
      <w:r>
        <w:rPr>
          <w:rFonts w:hint="eastAsia" w:ascii="宋体" w:hAnsi="宋体" w:cs="Calibri"/>
          <w:b w:val="0"/>
          <w:bCs w:val="0"/>
          <w:kern w:val="0"/>
          <w:sz w:val="22"/>
        </w:rPr>
        <w:br w:type="textWrapping"/>
      </w:r>
      <w:r>
        <w:rPr>
          <w:rFonts w:hint="eastAsia" w:ascii="宋体" w:hAnsi="宋体" w:cs="Calibri"/>
          <w:b w:val="0"/>
          <w:bCs w:val="0"/>
          <w:kern w:val="0"/>
          <w:sz w:val="22"/>
        </w:rPr>
        <w:t>　　8．不同投标人的投标文件相互混装；</w:t>
      </w:r>
      <w:r>
        <w:rPr>
          <w:rFonts w:hint="eastAsia" w:ascii="宋体" w:hAnsi="宋体" w:cs="Calibri"/>
          <w:b w:val="0"/>
          <w:bCs w:val="0"/>
          <w:kern w:val="0"/>
          <w:sz w:val="22"/>
        </w:rPr>
        <w:br w:type="textWrapping"/>
      </w:r>
      <w:r>
        <w:rPr>
          <w:rFonts w:hint="eastAsia" w:ascii="宋体" w:hAnsi="宋体" w:cs="Calibri"/>
          <w:b w:val="0"/>
          <w:bCs w:val="0"/>
          <w:kern w:val="0"/>
          <w:sz w:val="22"/>
        </w:rPr>
        <w:t>　　9．法律、法规或规章规定的其他串通投标行为。</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评标结束后，评标专家应将有串通投标嫌疑的投标文件以及相关评标分析材料及时移交相关管理机构作进一步的调查处理，即使最终无法认定串通投标行为成立，也不影响其按无效标处理的结果。</w:t>
      </w:r>
    </w:p>
    <w:p>
      <w:pPr>
        <w:keepLines w:val="0"/>
        <w:pageBreakBefore w:val="0"/>
        <w:widowControl/>
        <w:kinsoku/>
        <w:wordWrap/>
        <w:topLinePunct w:val="0"/>
        <w:bidi w:val="0"/>
        <w:spacing w:beforeAutospacing="1" w:afterAutospacing="1" w:line="360" w:lineRule="auto"/>
        <w:jc w:val="left"/>
        <w:rPr>
          <w:rFonts w:ascii="宋体" w:hAnsi="宋体" w:cs="Calibri"/>
          <w:kern w:val="0"/>
          <w:sz w:val="22"/>
        </w:rPr>
        <w:sectPr>
          <w:pgSz w:w="11906" w:h="16838"/>
          <w:pgMar w:top="1418" w:right="1134" w:bottom="1418" w:left="1134" w:header="851" w:footer="992" w:gutter="0"/>
          <w:cols w:space="720" w:num="1"/>
          <w:docGrid w:type="lines" w:linePitch="312" w:charSpace="0"/>
        </w:sectPr>
      </w:pPr>
    </w:p>
    <w:p>
      <w:pPr>
        <w:pStyle w:val="14"/>
        <w:keepLines w:val="0"/>
        <w:pageBreakBefore w:val="0"/>
        <w:kinsoku/>
        <w:wordWrap/>
        <w:topLinePunct w:val="0"/>
        <w:bidi w:val="0"/>
        <w:spacing w:line="360" w:lineRule="auto"/>
        <w:rPr>
          <w:color w:val="auto"/>
          <w:sz w:val="32"/>
          <w:szCs w:val="32"/>
        </w:rPr>
      </w:pPr>
      <w:r>
        <w:rPr>
          <w:rFonts w:hint="eastAsia"/>
          <w:color w:val="auto"/>
          <w:sz w:val="32"/>
          <w:szCs w:val="32"/>
        </w:rPr>
        <w:t>第四章合同条款</w:t>
      </w:r>
    </w:p>
    <w:p>
      <w:pPr>
        <w:keepLines w:val="0"/>
        <w:pageBreakBefore w:val="0"/>
        <w:kinsoku/>
        <w:wordWrap/>
        <w:topLinePunct w:val="0"/>
        <w:bidi w:val="0"/>
        <w:adjustRightInd w:val="0"/>
        <w:snapToGrid w:val="0"/>
        <w:spacing w:line="360" w:lineRule="auto"/>
        <w:ind w:firstLine="452"/>
        <w:jc w:val="left"/>
        <w:rPr>
          <w:rFonts w:ascii="宋体" w:hAnsi="宋体"/>
          <w:b/>
          <w:sz w:val="22"/>
        </w:rPr>
      </w:pPr>
    </w:p>
    <w:p>
      <w:pPr>
        <w:keepNext w:val="0"/>
        <w:keepLines w:val="0"/>
        <w:pageBreakBefore w:val="0"/>
        <w:widowControl w:val="0"/>
        <w:tabs>
          <w:tab w:val="left" w:pos="61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甲方：杭州萧山国际机场有限公司</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住所地：杭州萧山国际机场内</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tabs>
          <w:tab w:val="left" w:pos="63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按照《中华人民共和国合同法》和《中华人民共和国建筑法》的规定，结合本工程具体情况，双方达成如下协议。</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工程概况</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1.1工程名称</w:t>
      </w:r>
      <w:r>
        <w:rPr>
          <w:rFonts w:hint="eastAsia" w:asciiTheme="minorEastAsia" w:hAnsiTheme="minorEastAsia" w:eastAsiaTheme="minorEastAsia" w:cstheme="minorEastAsia"/>
          <w:sz w:val="22"/>
          <w:szCs w:val="22"/>
          <w:lang w:eastAsia="zh-CN"/>
        </w:rPr>
        <w:t>：杭州萧山国际机场航站楼问询台无障碍设施</w:t>
      </w:r>
      <w:r>
        <w:rPr>
          <w:rFonts w:hint="eastAsia" w:asciiTheme="minorEastAsia" w:hAnsiTheme="minorEastAsia" w:cstheme="minorEastAsia"/>
          <w:sz w:val="22"/>
          <w:szCs w:val="22"/>
          <w:lang w:eastAsia="zh-CN"/>
        </w:rPr>
        <w:t>及</w:t>
      </w:r>
      <w:r>
        <w:rPr>
          <w:rFonts w:hint="eastAsia" w:asciiTheme="minorEastAsia" w:hAnsiTheme="minorEastAsia" w:cstheme="minorEastAsia"/>
          <w:sz w:val="22"/>
          <w:szCs w:val="22"/>
          <w:lang w:val="en-US" w:eastAsia="zh-CN"/>
        </w:rPr>
        <w:t>新增</w:t>
      </w:r>
      <w:r>
        <w:rPr>
          <w:rFonts w:hint="eastAsia" w:asciiTheme="minorEastAsia" w:hAnsiTheme="minorEastAsia" w:cstheme="minorEastAsia"/>
          <w:sz w:val="22"/>
          <w:szCs w:val="22"/>
          <w:lang w:eastAsia="zh-CN"/>
        </w:rPr>
        <w:t>盲道改造</w:t>
      </w:r>
      <w:r>
        <w:rPr>
          <w:rFonts w:hint="eastAsia" w:asciiTheme="minorEastAsia" w:hAnsiTheme="minorEastAsia" w:eastAsiaTheme="minorEastAsia" w:cstheme="minorEastAsia"/>
          <w:sz w:val="22"/>
          <w:szCs w:val="22"/>
          <w:lang w:eastAsia="zh-CN"/>
        </w:rPr>
        <w:t>项目</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1.2工程地点</w:t>
      </w:r>
      <w:r>
        <w:rPr>
          <w:rFonts w:hint="eastAsia" w:asciiTheme="minorEastAsia" w:hAnsiTheme="minorEastAsia" w:eastAsiaTheme="minorEastAsia" w:cstheme="minorEastAsia"/>
          <w:sz w:val="22"/>
          <w:szCs w:val="22"/>
          <w:lang w:eastAsia="zh-CN"/>
        </w:rPr>
        <w:t>：杭州萧山国际机场内</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rPr>
        <w:t>1.3承包范围</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sz w:val="22"/>
          <w:szCs w:val="22"/>
          <w:lang w:eastAsia="zh-CN"/>
        </w:rPr>
        <w:t>在现有航站楼问询台基础上进行无障碍设施及</w:t>
      </w:r>
      <w:r>
        <w:rPr>
          <w:rFonts w:hint="eastAsia" w:asciiTheme="minorEastAsia" w:hAnsiTheme="minorEastAsia" w:cstheme="minorEastAsia"/>
          <w:sz w:val="22"/>
          <w:szCs w:val="22"/>
          <w:lang w:val="en-US" w:eastAsia="zh-CN"/>
        </w:rPr>
        <w:t>新增</w:t>
      </w:r>
      <w:r>
        <w:rPr>
          <w:rFonts w:hint="eastAsia" w:asciiTheme="minorEastAsia" w:hAnsiTheme="minorEastAsia" w:cstheme="minorEastAsia"/>
          <w:sz w:val="22"/>
          <w:szCs w:val="22"/>
          <w:lang w:eastAsia="zh-CN"/>
        </w:rPr>
        <w:t>盲道改造</w:t>
      </w:r>
      <w:r>
        <w:rPr>
          <w:rFonts w:hint="eastAsia" w:asciiTheme="minorEastAsia" w:hAnsiTheme="minorEastAsia" w:eastAsiaTheme="minorEastAsia" w:cstheme="minorEastAsia"/>
          <w:sz w:val="22"/>
          <w:szCs w:val="22"/>
          <w:lang w:eastAsia="zh-CN"/>
        </w:rPr>
        <w:t>，并负责无障碍设施、盲道及设施设备后期维护等（含柜台设计、盲道安装、后续维保等）全部内容</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1.4承包方式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eastAsia="zh-CN"/>
        </w:rPr>
        <w:t>包工包料</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eastAsia="zh-CN"/>
        </w:rPr>
        <w:t>1.5工期：工程具体开工日期以发包人书面指示为准，工期</w:t>
      </w:r>
      <w:r>
        <w:rPr>
          <w:rFonts w:hint="eastAsia" w:asciiTheme="minorEastAsia" w:hAnsiTheme="minorEastAsia" w:eastAsiaTheme="minorEastAsia" w:cstheme="minorEastAsia"/>
          <w:sz w:val="22"/>
          <w:szCs w:val="22"/>
        </w:rPr>
        <w:t>总共为</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个公历日。</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1.6工程质</w:t>
      </w:r>
      <w:r>
        <w:rPr>
          <w:rFonts w:hint="eastAsia" w:asciiTheme="minorEastAsia" w:hAnsiTheme="minorEastAsia" w:eastAsiaTheme="minorEastAsia" w:cstheme="minorEastAsia"/>
          <w:sz w:val="22"/>
          <w:szCs w:val="22"/>
          <w:lang w:eastAsia="zh-CN"/>
        </w:rPr>
        <w:t>量：</w:t>
      </w:r>
      <w:r>
        <w:rPr>
          <w:rFonts w:hint="eastAsia" w:asciiTheme="minorEastAsia" w:hAnsiTheme="minorEastAsia" w:eastAsiaTheme="minorEastAsia" w:cstheme="minorEastAsia"/>
          <w:sz w:val="22"/>
          <w:szCs w:val="22"/>
        </w:rPr>
        <w:t>工程达到符合国家施工验收规范规定的合格标准，确保一次性验收合格。</w:t>
      </w:r>
    </w:p>
    <w:p>
      <w:pPr>
        <w:keepNext w:val="0"/>
        <w:keepLines w:val="0"/>
        <w:pageBreakBefore w:val="0"/>
        <w:widowControl w:val="0"/>
        <w:kinsoku/>
        <w:wordWrap/>
        <w:overflowPunct/>
        <w:topLinePunct w:val="0"/>
        <w:autoSpaceDE/>
        <w:autoSpaceDN/>
        <w:bidi w:val="0"/>
        <w:spacing w:line="360" w:lineRule="auto"/>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1.7合同价：</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2.1开工前</w:t>
      </w:r>
      <w:r>
        <w:rPr>
          <w:rFonts w:hint="eastAsia" w:asciiTheme="minorEastAsia" w:hAnsiTheme="minorEastAsia" w:cstheme="minorEastAsia"/>
          <w:color w:val="auto"/>
          <w:sz w:val="22"/>
          <w:szCs w:val="22"/>
          <w:u w:val="single"/>
          <w:lang w:val="en-US" w:eastAsia="zh-CN"/>
        </w:rPr>
        <w:t>10</w:t>
      </w:r>
      <w:r>
        <w:rPr>
          <w:rFonts w:hint="eastAsia" w:asciiTheme="minorEastAsia" w:hAnsiTheme="minorEastAsia" w:eastAsiaTheme="minorEastAsia" w:cstheme="minorEastAsia"/>
          <w:color w:val="auto"/>
          <w:sz w:val="22"/>
          <w:szCs w:val="22"/>
        </w:rPr>
        <w:t>天，向乙方提供经确认的施工图纸或做法说明</w:t>
      </w:r>
      <w:r>
        <w:rPr>
          <w:rFonts w:hint="eastAsia" w:asciiTheme="minorEastAsia" w:hAnsiTheme="minorEastAsia" w:cstheme="minorEastAsia"/>
          <w:color w:val="auto"/>
          <w:sz w:val="22"/>
          <w:szCs w:val="22"/>
          <w:u w:val="single"/>
          <w:lang w:val="en-US" w:eastAsia="zh-CN"/>
        </w:rPr>
        <w:t>1</w:t>
      </w:r>
      <w:r>
        <w:rPr>
          <w:rFonts w:hint="eastAsia" w:asciiTheme="minorEastAsia" w:hAnsiTheme="minorEastAsia" w:eastAsiaTheme="minorEastAsia" w:cstheme="minorEastAsia"/>
          <w:color w:val="auto"/>
          <w:sz w:val="22"/>
          <w:szCs w:val="22"/>
        </w:rPr>
        <w:t>份，并向乙方进行现场交底。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2.2</w:t>
      </w:r>
      <w:r>
        <w:rPr>
          <w:rFonts w:hint="eastAsia" w:asciiTheme="minorEastAsia" w:hAnsiTheme="minorEastAsia" w:eastAsiaTheme="minorEastAsia" w:cstheme="minorEastAsia"/>
          <w:color w:val="auto"/>
          <w:sz w:val="22"/>
          <w:szCs w:val="22"/>
          <w:lang w:val="en-US" w:eastAsia="zh-CN"/>
        </w:rPr>
        <w:t>甲方组织</w:t>
      </w:r>
      <w:r>
        <w:rPr>
          <w:rFonts w:hint="eastAsia" w:asciiTheme="minorEastAsia" w:hAnsiTheme="minorEastAsia" w:eastAsiaTheme="minorEastAsia" w:cstheme="minorEastAsia"/>
          <w:color w:val="auto"/>
          <w:sz w:val="22"/>
          <w:szCs w:val="22"/>
        </w:rPr>
        <w:t>工程预算审核</w:t>
      </w:r>
      <w:r>
        <w:rPr>
          <w:rFonts w:hint="eastAsia" w:asciiTheme="minorEastAsia" w:hAnsiTheme="minorEastAsia" w:eastAsiaTheme="minorEastAsia" w:cstheme="minorEastAsia"/>
          <w:color w:val="auto"/>
          <w:sz w:val="22"/>
          <w:szCs w:val="22"/>
          <w:lang w:eastAsia="zh-CN"/>
        </w:rPr>
        <w:t>以及施工方案和进度计划的审查工作。</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w:t>
      </w:r>
      <w:r>
        <w:rPr>
          <w:rFonts w:hint="eastAsia" w:asciiTheme="minorEastAsia" w:hAnsiTheme="minorEastAsia" w:eastAsiaTheme="minorEastAsia" w:cstheme="minorEastAsia"/>
          <w:color w:val="auto"/>
          <w:sz w:val="22"/>
          <w:szCs w:val="22"/>
          <w:lang w:eastAsia="zh-CN"/>
        </w:rPr>
        <w:t>涉及</w:t>
      </w:r>
      <w:r>
        <w:rPr>
          <w:rFonts w:hint="eastAsia" w:asciiTheme="minorEastAsia" w:hAnsiTheme="minorEastAsia" w:eastAsiaTheme="minorEastAsia" w:cstheme="minorEastAsia"/>
          <w:color w:val="auto"/>
          <w:sz w:val="22"/>
          <w:szCs w:val="22"/>
        </w:rPr>
        <w:t>机场隔离区</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工程项目实施前，由甲方组织对乙方项目实施人员进行相关安全培训教育，并</w:t>
      </w:r>
      <w:r>
        <w:rPr>
          <w:rFonts w:hint="eastAsia" w:asciiTheme="minorEastAsia" w:hAnsiTheme="minorEastAsia" w:eastAsiaTheme="minorEastAsia" w:cstheme="minorEastAsia"/>
          <w:color w:val="auto"/>
          <w:sz w:val="22"/>
          <w:szCs w:val="22"/>
          <w:lang w:eastAsia="zh-CN"/>
        </w:rPr>
        <w:t>与乙方</w:t>
      </w:r>
      <w:r>
        <w:rPr>
          <w:rFonts w:hint="eastAsia" w:asciiTheme="minorEastAsia" w:hAnsiTheme="minorEastAsia" w:eastAsiaTheme="minorEastAsia" w:cstheme="minorEastAsia"/>
          <w:color w:val="auto"/>
          <w:sz w:val="22"/>
          <w:szCs w:val="22"/>
        </w:rPr>
        <w:t>签订施工安全责任书。</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color w:val="auto"/>
        </w:rPr>
      </w:pPr>
      <w:r>
        <w:rPr>
          <w:rFonts w:hint="eastAsia" w:asciiTheme="minorEastAsia" w:hAnsiTheme="minorEastAsia" w:eastAsiaTheme="minorEastAsia" w:cstheme="minorEastAsia"/>
          <w:color w:val="auto"/>
          <w:sz w:val="22"/>
          <w:szCs w:val="22"/>
          <w:lang w:val="en-US" w:eastAsia="zh-CN"/>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2.5甲方指派</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为甲方驻工地代表，负责合同履行。对工程安全、质量、进度以及造价进行监督检查，办理验收、变更、登记手续和其他事宜。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2.6甲方委托</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监理公司进行工程监理，监理公司任命 /为总监理工程师，其职责在监理合同中应明确，并将合同副本交乙方</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份。</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2.8协调有关部门做好现场保卫、消防、垃圾处理等工作。</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3.2</w:t>
      </w:r>
      <w:r>
        <w:rPr>
          <w:rFonts w:hint="eastAsia" w:asciiTheme="minorEastAsia" w:hAnsiTheme="minorEastAsia" w:cstheme="minorEastAsia"/>
          <w:sz w:val="22"/>
          <w:szCs w:val="22"/>
          <w:lang w:val="en-US" w:eastAsia="zh-CN"/>
        </w:rPr>
        <w:t>乙方</w:t>
      </w:r>
      <w:r>
        <w:rPr>
          <w:rFonts w:hint="eastAsia" w:asciiTheme="minorEastAsia" w:hAnsiTheme="minorEastAsia" w:eastAsiaTheme="minorEastAsia" w:cstheme="minorEastAsia"/>
          <w:sz w:val="22"/>
          <w:szCs w:val="22"/>
        </w:rPr>
        <w:t>指派</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身份证号</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cstheme="minorEastAsia"/>
          <w:sz w:val="22"/>
          <w:szCs w:val="22"/>
          <w:lang w:eastAsia="zh-CN"/>
        </w:rPr>
        <w:t>乙方应</w:t>
      </w:r>
      <w:r>
        <w:rPr>
          <w:rFonts w:hint="eastAsia" w:asciiTheme="minorEastAsia" w:hAnsiTheme="minorEastAsia" w:eastAsiaTheme="minorEastAsia" w:cstheme="minorEastAsia"/>
          <w:sz w:val="22"/>
          <w:szCs w:val="22"/>
        </w:rPr>
        <w:t>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rPr>
      </w:pPr>
      <w:r>
        <w:rPr>
          <w:rFonts w:hint="eastAsia" w:asciiTheme="minorEastAsia" w:hAnsiTheme="minorEastAsia" w:cstheme="minorEastAsia"/>
          <w:sz w:val="22"/>
          <w:szCs w:val="22"/>
          <w:lang w:val="en-US" w:eastAsia="zh-CN"/>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6乙方应</w:t>
      </w:r>
      <w:r>
        <w:rPr>
          <w:rFonts w:hint="eastAsia" w:asciiTheme="minorEastAsia" w:hAnsiTheme="minorEastAsia" w:eastAsiaTheme="minorEastAsia" w:cstheme="minorEastAsia"/>
          <w:sz w:val="22"/>
          <w:szCs w:val="22"/>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工程竣工未移交甲方之前，负责对现场的一切设施和工程成品进行保护，并承担风险和费用。</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关于工期的约定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4.2因甲方未按约定完成工作，影响工期，则工期相应顺延。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4.4因涉及甲方要求的设计或工程量变更或非乙方原因造成的停电、停水、停气及不可抗力因素影响，导致停工</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48</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sz w:val="22"/>
          <w:szCs w:val="22"/>
        </w:rPr>
        <w:t>小时以上（一周内累计计算），工期相应顺延。</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关于工程质量及验收的约定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工程竣工后，乙方应通知甲方验收</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甲方自接到验收通知</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日内组织验收，并办理验收、移交手续。如甲方在规定时间内未能组织验收，需及时通知乙方，另定验收日期。</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关于工程价款及结算的约定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6.1双方商定本合同价款采用第</w:t>
      </w:r>
      <w:r>
        <w:rPr>
          <w:rFonts w:hint="eastAsia" w:asciiTheme="minorEastAsia" w:hAnsiTheme="minorEastAsia" w:eastAsiaTheme="minorEastAsia" w:cstheme="minorEastAsia"/>
          <w:sz w:val="22"/>
          <w:szCs w:val="22"/>
          <w:u w:val="single"/>
          <w:lang w:val="en-US" w:eastAsia="zh-CN"/>
        </w:rPr>
        <w:t>（1）</w:t>
      </w:r>
      <w:r>
        <w:rPr>
          <w:rFonts w:hint="eastAsia" w:asciiTheme="minorEastAsia" w:hAnsiTheme="minorEastAsia" w:eastAsiaTheme="minorEastAsia" w:cstheme="minorEastAsia"/>
          <w:sz w:val="22"/>
          <w:szCs w:val="22"/>
        </w:rPr>
        <w:t>种：</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（1）固定总价</w:t>
      </w:r>
      <w:r>
        <w:rPr>
          <w:rFonts w:hint="eastAsia" w:asciiTheme="minorEastAsia" w:hAnsiTheme="minorEastAsia" w:cstheme="minorEastAsia"/>
          <w:sz w:val="22"/>
          <w:szCs w:val="22"/>
          <w:lang w:val="en-US"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（2）固定单价。</w:t>
      </w:r>
      <w:r>
        <w:rPr>
          <w:rFonts w:hint="eastAsia" w:asciiTheme="minorEastAsia" w:hAnsiTheme="minorEastAsia" w:eastAsiaTheme="minorEastAsia" w:cstheme="minorEastAsia"/>
          <w:sz w:val="22"/>
          <w:szCs w:val="22"/>
          <w:lang w:eastAsia="zh-CN"/>
        </w:rPr>
        <w:t>可调价格按</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规则计算。</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6.2工程竣工验收后，乙方提出工程结算申请并将有关资料送交甲方。</w:t>
      </w:r>
      <w:r>
        <w:rPr>
          <w:rFonts w:hint="eastAsia" w:asciiTheme="minorEastAsia" w:hAnsiTheme="minorEastAsia" w:eastAsiaTheme="minorEastAsia" w:cstheme="minorEastAsia"/>
          <w:sz w:val="22"/>
          <w:szCs w:val="22"/>
          <w:lang w:eastAsia="zh-CN"/>
        </w:rPr>
        <w:t>甲方按照以下方式办理款项支付：</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kinsoku/>
        <w:wordWrap/>
        <w:overflowPunct/>
        <w:topLinePunct w:val="0"/>
        <w:autoSpaceDE/>
        <w:autoSpaceDN/>
        <w:bidi w:val="0"/>
        <w:snapToGrid w:val="0"/>
        <w:spacing w:beforeLines="0" w:afterLines="0"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质量保证金为工程结算价</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sz w:val="22"/>
          <w:szCs w:val="22"/>
          <w:lang w:val="en-US" w:eastAsia="zh-CN"/>
        </w:rPr>
        <w:t>，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第七条 关于材料供应的约定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第八条 有关安全生产和防火的约定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第九条 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由于乙方原因，逾期竣工，每逾期一天，乙方支付甲方</w:t>
      </w:r>
      <w:r>
        <w:rPr>
          <w:rFonts w:hint="eastAsia" w:asciiTheme="minorEastAsia" w:hAnsiTheme="minorEastAsia" w:eastAsiaTheme="minorEastAsia" w:cstheme="minorEastAsia"/>
          <w:sz w:val="22"/>
          <w:szCs w:val="22"/>
          <w:u w:val="single"/>
          <w:lang w:val="en-US" w:eastAsia="zh-CN"/>
        </w:rPr>
        <w:t>600</w:t>
      </w:r>
      <w:r>
        <w:rPr>
          <w:rFonts w:hint="eastAsia" w:asciiTheme="minorEastAsia" w:hAnsiTheme="minorEastAsia" w:eastAsiaTheme="minorEastAsia" w:cstheme="minorEastAsia"/>
          <w:sz w:val="22"/>
          <w:szCs w:val="22"/>
        </w:rPr>
        <w:t>元违约金；如延误工期达到</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日的，甲方有权解除本合同，并要求乙方支付违约金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第十条 争议或纠纷处理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第</w:t>
      </w:r>
      <w:r>
        <w:rPr>
          <w:rFonts w:hint="eastAsia" w:asciiTheme="minorEastAsia" w:hAnsiTheme="minorEastAsia" w:eastAsiaTheme="minorEastAsia" w:cstheme="minorEastAsia"/>
          <w:sz w:val="22"/>
          <w:szCs w:val="22"/>
        </w:rPr>
        <w:t>十一条 附则</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11.1本工程保修事宜由双方签订保修协议。</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11.3本合同履行完成后自动终止。   </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sz w:val="22"/>
          <w:szCs w:val="22"/>
        </w:rPr>
        <w:t>11.4本合同包含以下附件，附件与本合同具有同等法律效力。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）工程质量保修书</w:t>
      </w:r>
    </w:p>
    <w:p>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none"/>
          <w:lang w:val="en-US" w:eastAsia="zh-CN"/>
        </w:rPr>
        <w:t xml:space="preserve">   （2）</w:t>
      </w:r>
      <w:r>
        <w:rPr>
          <w:rFonts w:hint="eastAsia" w:asciiTheme="minorEastAsia" w:hAnsiTheme="minorEastAsia" w:eastAsiaTheme="minorEastAsia" w:cstheme="minorEastAsia"/>
          <w:sz w:val="22"/>
          <w:szCs w:val="22"/>
          <w:u w:val="none"/>
        </w:rPr>
        <w:t xml:space="preserve">安全文明施工协议书   </w:t>
      </w:r>
      <w:r>
        <w:rPr>
          <w:rFonts w:hint="eastAsia" w:asciiTheme="minorEastAsia" w:hAnsiTheme="minorEastAsia" w:eastAsiaTheme="minorEastAsia" w:cstheme="minorEastAsia"/>
          <w:sz w:val="22"/>
          <w:szCs w:val="22"/>
        </w:rPr>
        <w:t xml:space="preserve"> </w:t>
      </w:r>
    </w:p>
    <w:p>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ab/>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或                               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ins w:id="0" w:author="computer" w:date="2021-05-24T08:12:14Z"/>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1：</w:t>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before="120" w:after="120" w:line="360" w:lineRule="auto"/>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发包人（全称）：杭州萧山国际机场有限公司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承包人（全称）：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发包人和承包人根据《中华人民共和国建筑法》和《建设工程质量管理条例》，经协商一致就[</w:t>
      </w:r>
      <w:r>
        <w:rPr>
          <w:rFonts w:hint="eastAsia" w:asciiTheme="minorEastAsia" w:hAnsiTheme="minorEastAsia" w:eastAsiaTheme="minorEastAsia" w:cstheme="minorEastAsia"/>
          <w:sz w:val="22"/>
          <w:szCs w:val="22"/>
          <w:lang w:eastAsia="zh-CN"/>
        </w:rPr>
        <w:t>杭州萧山国际机场航站楼问询台无障碍设施及</w:t>
      </w:r>
      <w:r>
        <w:rPr>
          <w:rFonts w:hint="eastAsia" w:asciiTheme="minorEastAsia" w:hAnsiTheme="minorEastAsia" w:eastAsiaTheme="minorEastAsia" w:cstheme="minorEastAsia"/>
          <w:sz w:val="22"/>
          <w:szCs w:val="22"/>
          <w:lang w:val="en-US" w:eastAsia="zh-CN"/>
        </w:rPr>
        <w:t>新增</w:t>
      </w:r>
      <w:r>
        <w:rPr>
          <w:rFonts w:hint="eastAsia" w:asciiTheme="minorEastAsia" w:hAnsiTheme="minorEastAsia" w:eastAsiaTheme="minorEastAsia" w:cstheme="minorEastAsia"/>
          <w:sz w:val="22"/>
          <w:szCs w:val="22"/>
          <w:lang w:eastAsia="zh-CN"/>
        </w:rPr>
        <w:t>盲道改造项目</w:t>
      </w:r>
      <w:r>
        <w:rPr>
          <w:rFonts w:hint="eastAsia" w:asciiTheme="minorEastAsia" w:hAnsiTheme="minorEastAsia" w:eastAsiaTheme="minorEastAsia" w:cstheme="minorEastAsia"/>
          <w:sz w:val="22"/>
          <w:szCs w:val="22"/>
        </w:rPr>
        <w:t>]（工程全称）签订工程质量保修书。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一、工程质量保修范围和内容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承包人在质量保修期内，按照有关法律规定和合同约定，承担工程质量保修责任。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二、质量保修期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根据《建设工程质量管理条例》及有关规定，工程的质量保修期如下：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1．地基基础工程和主体结构工程为设计文件规定的工程合理使用年限；</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2．屋面防水工程、有防水要求的卫生间、房间和外墙面的防渗     为    5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3．装修工程为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4．电气管线、给排水管道、设备安装工程为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5．供热与供冷系统为     2   个采暖期、供冷期；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6</w:t>
      </w:r>
      <w:r>
        <w:rPr>
          <w:rFonts w:hint="eastAsia" w:asciiTheme="minorEastAsia" w:hAnsiTheme="minorEastAsia" w:eastAsiaTheme="minorEastAsia" w:cstheme="minorEastAsia"/>
          <w:sz w:val="22"/>
          <w:szCs w:val="22"/>
        </w:rPr>
        <w:t>．住宅小区内的给排水设施、道路等配套工程为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7．其他项目保修期限约定如下：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质量保修期自工程竣工验收合格之日起计算。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三、缺陷责任期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工程缺陷责任期为24个月，缺陷责任期自工程竣工验收合格之日起计算。单位工程先于全部工程进行验收，单位工程缺陷责任期自单位工程验收合格之日起算。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缺陷责任期届满后，缺陷责任期届满后，经发包人确认核实，承包人不存在违约情形以及质量保修不存在问题后15天内无息返还质保金。</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四、质量保修责任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1．属于保修范围、内容的项目，承包人应当在接到保修通知之日起</w:t>
      </w:r>
      <w:r>
        <w:rPr>
          <w:rFonts w:hint="eastAsia" w:asciiTheme="minorEastAsia" w:hAnsiTheme="minorEastAsia" w:eastAsiaTheme="minorEastAsia" w:cstheme="minorEastAsia"/>
          <w:sz w:val="22"/>
          <w:szCs w:val="22"/>
          <w:lang w:val="en-US" w:eastAsia="zh-CN"/>
        </w:rPr>
        <w:t>二十四小时</w:t>
      </w:r>
      <w:r>
        <w:rPr>
          <w:rFonts w:hint="eastAsia" w:asciiTheme="minorEastAsia" w:hAnsiTheme="minorEastAsia" w:eastAsiaTheme="minorEastAsia" w:cstheme="minorEastAsia"/>
          <w:sz w:val="22"/>
          <w:szCs w:val="22"/>
        </w:rPr>
        <w:t>内派人保修。承包人不在约定期限内派人保修的，发包人可以自行委托他人修理。费用从质量保证金中扣除。修复部分的质保期自修复之日起重新开始计算。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2．发生紧急事故需抢修的，承包人在接到事故通知后，应当立即到达事故现场进行持续抢修直至修复。</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4．质量保修完成后，由发包人组织验收。验收不合格的，发包人有权自行委托第三方修理，全部费用由承包人承担，由发包人与第三方确认后直接从质保金中扣除。</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五、保修费用</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保修费用由造成质量缺陷的责任方承担；对责任方的确定产生疑问或争议的，依发包人委托的鉴定机构所出具的独立报告来确定。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六、双方约定的其他工程质量保修事项：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1</w:t>
      </w:r>
      <w:r>
        <w:rPr>
          <w:rFonts w:hint="eastAsia" w:asciiTheme="minorEastAsia" w:hAnsiTheme="minorEastAsia" w:eastAsiaTheme="minorEastAsia" w:cstheme="minorEastAsia"/>
          <w:sz w:val="22"/>
          <w:szCs w:val="22"/>
        </w:rPr>
        <w:t>、在承包人人员到达之前，发包人可采取适当的应急措施，费用由承包人承担。</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a．紧急抢修事故时，为避免损失进一步扩大；</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b．直接影响到工程正常运行或危害人身财产及财产安全时；</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4、因工程质量问题发生工程维修费用或对第三人赔偿损失的，发包人通知承包人应承担的费用或损失金额，承包人应于收到通知后7日内支付通知书中确定的金额。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6、工程质量保修书由发包人、承包人在工程竣工验收前共同盖章，作为本施工合同附件，其有效期限至质保期届满且发包人书面确认承包人完成全部保修工作止。</w:t>
      </w: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 xml:space="preserve">发包人(公章)：                     承包人(公章)：           </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附件2：</w:t>
      </w:r>
      <w:r>
        <w:rPr>
          <w:rFonts w:hint="eastAsia" w:asciiTheme="minorEastAsia" w:hAnsiTheme="minorEastAsia" w:eastAsiaTheme="minorEastAsia" w:cstheme="minorEastAsia"/>
          <w:sz w:val="22"/>
          <w:szCs w:val="22"/>
        </w:rPr>
        <w:t xml:space="preserve"> </w:t>
      </w:r>
      <w:bookmarkStart w:id="104" w:name="_Hlk534811958"/>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安全文明施工协议书</w:t>
      </w:r>
      <w:bookmarkEnd w:id="104"/>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发包人：杭州萧山国际机场有限公司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承包人：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一、发包人对承包人实行安全目标管理，安全目标的具体内容是：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1、无责任死亡事故和群伤事件。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2、无重大经济责任事故。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3、无空防安全事故。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4、无影响机场运行的不安全事件。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5、无七类重大刑事案件（杀人、绑架、强奸、放火、爆炸、劫持、故意伤害致死）及其它严重、恶性案件。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6、无因未足额、及时发放工资发生劳资纠纷。</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7、无集体食物中毒事件。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8、无计划外生育。</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9、无因上述原因引发无序维权事件。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上述情况的认定按国家和行业的有关规定和标准执行。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二、发包人的权利和义务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11、发包人联系和协调机场公安机关，督促施工单位按有关规定申报暂住登记和申领《居住证》，并协助承包人联系机场公安局商定有关工地安全保卫事宜。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12、发包人利用施工例会等定期分析和掌握工程的治安情况，通报当前治安形势，交流工作经验，协助处理相关问题。</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13、承包人未按要求配备安全设施、设备、器材，未在限定期限内整改的，发包人有权直接购置并配足，另增加20%的管理费，费用由承包人承担。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16、发包人对承包人的临时设施（包括临时宿舍）进行统一规划和监管，完成后临时设施场地应按发包人要求恢复原状。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19、发包人应按合同约定如期支付承包人工程款。</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三、承包人的安全、文明权利和义务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（一）安全文明施工管理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20、落实施工安全责任，所涉工程依法实行总分包制的，总包单位应对施工安全负总责，以安全责任书的方式确定各分包单位的安全责任，承包人应层层签订安全责任书。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21、承包人应开展风险管理，结合风险评估结果有针对性地制定和落实施工安全技术措施。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22.1 基坑与降水工程；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22.2 土方开挖工程；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22.3 模板工程；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22.4 起重吊装工程；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22.5 脚手架工程；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22.6 焊接、切割、爆破、拆除作业工程；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22.7国务院建设行政主管部门或其它有关部门规定的其它危险性较大的工程。</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23、承包人不得在机场和机场净空保护区范围内施放烟花、爆竹、气球等升空物体；建筑生活垃圾定点集中堆放，及时清运，不得随意焚烧垃圾等物品制造烟雾；不得饲养动物；不得随意丢弃飘浮物。</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24、承包人必须按照发包人的规划要求搭设临时设施，并经发包人验收合格方准使用。但发包人的验收并不免除承包人对其搭设的临时设施的安全承担全部责任。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26、承包人应做好装修施工阶段成品保护工作，按照“谁主管、谁负责；谁使用、谁负责；谁管理、谁负责”的原则，制定成品保护管理办法，层层签订成品保护责任书，真正落实成品保护现场管理的各项措施。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27、为保障民工合法权益，承包人还应承担以下义务：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27.5承包人支付下属劳务单位（或施工班组）进度款之前，有义务查阅下属劳务单位（或施工班组）前期民工工资足额发放的书面材料。</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27.6承包人应制定相关约束性制度，落实措施，预防、杜绝下属劳务单位（或施工班组）无序维权事件发生。</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27.7若民工或下属劳务单位（或施工班组）维权，承包人应负相应举证义务。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27.8一旦发生民工无序维权，承包人主要领导应当及时到场，督促下属劳务单位（或施工班组）负责人劝离民工，并积极配合发包人相关部门协调处置。</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发包人对承包人的上述工作有随时监督检查的权利，承包人应积极配合发包人的检查。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（二）空防安全管理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30、进入机场控制区施工的人员和车辆需由发包人派员负责引领并主动接受机场管理人员的安全检查，服从机场相关职能部门的监管，无通行证者一律不得进入。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（三）不停航施工安全管理（仅指进入控制区从事不停航施工项目）</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33.3、施工机具须停放在指定安全区域内。机场开放运行期间，必须严格控制施工机械的活动范围，杜绝出现机具、车辆侵入飞行活动区或超越机场净空限制面等情况。</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（四）社会治安管理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35、进出口大门应设立门卫，人员和车辆凭发包人制发的施工通行证进出，并接受发包人安保人员或机场公安管理人员查验。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36、做好内部的治安防范工作，对重要部位和物资、设备，要落实人防、物防和技防的措施，积极配合公安机关组织的治安联防活动。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37、加强对施工人员的遵纪守法教育，预防“黄、毒、赌”、斗殴、偷窃等违法违纪行为的发生，主动接受发包人和机场公安机关的指导、检查、监督、考核。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38、认真排查、调处各类矛盾，及时消除不稳定因素，杜绝各类社会矛盾引发的群体性事件的发生。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40、员工宿舍必须定人定位，不得男女混住，不准留宿身份不明的人员，留客住宿必须经项目部负责人同意，并登记备查，保证生产、生活区的安全。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41、加强对施工人员的管理，外来人员拟居住30天以下的，应及时到机场公安机关申报暂住登记；拟居住30天以上的年满16周岁人员， 应在10天内到机场公安机关申领《居住证》。</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42、负责工程建设期间施工队伍中的计划生育工作，做好孕情监测，确保无计划外生育的情况发生。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（五）消防安全管理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43、遵守国家消防法律法规，建立和健全消防管理规章制度，明确消防安全责任人，健全消防安全网络（配备专职或兼职消防员），建立消防应急队伍，并报发包人和机场公安局消防部门备案。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44、制定用火、用电、使用易燃易爆及危险化学物品等各项消防安全操作规程，设置消防通道、消防水源、配备必须的消防设备和灭火器材，并在重点场所重点部位设置消防警示标志。</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46、对施工人员进行消防安全教育，使其熟悉本岗位防火措施、遇险报警、初期扑救及自救逃生的知识和技能。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（六）交通安全管理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48、加强对下属员工、驾驶人员、承运单位的道路交通安全法律法规宣传教育，车辆进出机场和施工场地均应服从交警及其他交通管理人员的指挥和管理。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50、确保各类运输车辆技术状况良好，不得使用假牌、假证、无号牌、无行驶证、无保险和带故障、检验不合格的运输车辆。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51、所有运输车辆均应办理施工通行证并按指定路线和限定速度行驶，不得违反车辆装载规定，严禁沿路抛洒装载物。进入控制区施工车辆应安装并开启黄色警示灯。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52、在施工现场内及进、出口处设置必要的交通标志，预防交通事故的发生。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53、占用、挖掘道路，跨越道路架设、铺设管线以及大型机械进出机场须提前与发包人协商，征得发包人和机场公安局交警队同意，并采取防护措施和设置明显警示标志方可实施。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四、违约责任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4"/>
        <w:keepNext w:val="0"/>
        <w:keepLines w:val="0"/>
        <w:pageBreakBefore w:val="0"/>
        <w:widowControl w:val="0"/>
        <w:kinsoku/>
        <w:wordWrap/>
        <w:overflowPunct/>
        <w:topLinePunct w:val="0"/>
        <w:autoSpaceDE/>
        <w:autoSpaceDN/>
        <w:bidi w:val="0"/>
        <w:snapToGrid w:val="0"/>
        <w:spacing w:line="360" w:lineRule="auto"/>
        <w:ind w:right="0" w:rightChars="0" w:firstLine="44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55、根据工程施工合同规定，</w:t>
      </w:r>
      <w:r>
        <w:rPr>
          <w:rFonts w:hint="eastAsia" w:asciiTheme="minorEastAsia" w:hAnsiTheme="minorEastAsia" w:eastAsiaTheme="minorEastAsia" w:cstheme="minorEastAsia"/>
          <w:color w:val="000000" w:themeColor="text1"/>
          <w:sz w:val="22"/>
          <w:szCs w:val="22"/>
          <w14:textFill>
            <w14:solidFill>
              <w14:schemeClr w14:val="tx1"/>
            </w14:solidFill>
          </w14:textFill>
        </w:rPr>
        <w:t>承包人的履约保证金中20%为履行本协议的保证金。</w:t>
      </w:r>
      <w:r>
        <w:rPr>
          <w:rFonts w:hint="eastAsia" w:asciiTheme="minorEastAsia" w:hAnsiTheme="minorEastAsia" w:eastAsiaTheme="minorEastAsia" w:cstheme="minorEastAsia"/>
          <w:sz w:val="22"/>
          <w:szCs w:val="22"/>
        </w:rPr>
        <w:t>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550" w:firstLineChars="2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五、本协议书附于《</w:t>
      </w:r>
      <w:r>
        <w:rPr>
          <w:rFonts w:hint="eastAsia" w:asciiTheme="minorEastAsia" w:hAnsiTheme="minorEastAsia" w:eastAsiaTheme="minorEastAsia" w:cstheme="minorEastAsia"/>
          <w:sz w:val="22"/>
          <w:szCs w:val="22"/>
          <w:u w:val="single"/>
          <w:lang w:eastAsia="zh-CN"/>
        </w:rPr>
        <w:t>杭州萧山国际机场航站楼问询台无障碍设施及新增盲道改造项目</w:t>
      </w:r>
      <w:r>
        <w:rPr>
          <w:rFonts w:hint="eastAsia" w:asciiTheme="minorEastAsia" w:hAnsiTheme="minorEastAsia" w:eastAsiaTheme="minorEastAsia" w:cstheme="minorEastAsia"/>
          <w:sz w:val="22"/>
          <w:szCs w:val="22"/>
        </w:rPr>
        <w:t>施工合同》后，本协议书自发包人、承包人共同盖章后生效。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Calibri" w:hAnsi="Calibri" w:eastAsia="黑体" w:cs="Calibri"/>
          <w:kern w:val="0"/>
          <w:sz w:val="32"/>
        </w:rPr>
      </w:pPr>
      <w:r>
        <w:rPr>
          <w:rFonts w:hint="eastAsia" w:asciiTheme="minorEastAsia" w:hAnsiTheme="minorEastAsia" w:eastAsiaTheme="minorEastAsia" w:cstheme="minorEastAsia"/>
          <w:sz w:val="22"/>
          <w:szCs w:val="22"/>
        </w:rPr>
        <w:t>发包人（盖章）：                 承包人（盖章）：</w:t>
      </w:r>
      <w:bookmarkStart w:id="105" w:name="_Toc448002987"/>
      <w:bookmarkStart w:id="106" w:name="_Toc321925456"/>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both"/>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bookmarkEnd w:id="105"/>
      <w:bookmarkEnd w:id="106"/>
      <w:r>
        <w:rPr>
          <w:rFonts w:hint="eastAsia" w:ascii="Calibri" w:hAnsi="Calibri" w:eastAsia="黑体" w:cs="Calibri"/>
          <w:color w:val="000000" w:themeColor="text1"/>
          <w:kern w:val="0"/>
          <w:sz w:val="32"/>
          <w14:textFill>
            <w14:solidFill>
              <w14:schemeClr w14:val="tx1"/>
            </w14:solidFill>
          </w14:textFill>
        </w:rPr>
        <w:t>项目概况和要求</w:t>
      </w: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kern w:val="0"/>
          <w:sz w:val="24"/>
          <w:szCs w:val="24"/>
        </w:rPr>
      </w:pP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一、项目总体目标</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投标人应在现有</w:t>
      </w:r>
      <w:r>
        <w:rPr>
          <w:rFonts w:hint="eastAsia" w:asciiTheme="minorEastAsia" w:hAnsiTheme="minorEastAsia" w:cstheme="minorEastAsia"/>
          <w:color w:val="000000" w:themeColor="text1"/>
          <w:sz w:val="22"/>
          <w:szCs w:val="22"/>
          <w:lang w:val="en-US" w:eastAsia="zh-CN"/>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问询台基础上进行无障碍</w:t>
      </w:r>
      <w:r>
        <w:rPr>
          <w:rFonts w:hint="eastAsia" w:asciiTheme="minorEastAsia" w:hAnsiTheme="minorEastAsia" w:cstheme="minorEastAsia"/>
          <w:color w:val="000000" w:themeColor="text1"/>
          <w:sz w:val="22"/>
          <w:szCs w:val="22"/>
          <w:lang w:val="en-US" w:eastAsia="zh-CN"/>
          <w14:textFill>
            <w14:solidFill>
              <w14:schemeClr w14:val="tx1"/>
            </w14:solidFill>
          </w14:textFill>
        </w:rPr>
        <w:t>设施及新增盲道改造</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，并负责</w:t>
      </w:r>
      <w:r>
        <w:rPr>
          <w:rFonts w:hint="eastAsia" w:asciiTheme="minorEastAsia" w:hAnsiTheme="minorEastAsia" w:cstheme="minorEastAsia"/>
          <w:color w:val="000000" w:themeColor="text1"/>
          <w:sz w:val="22"/>
          <w:szCs w:val="22"/>
          <w:lang w:val="en-US"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、盲道及设施设备后期维护等（含柜台设计、盲道安装、后续维保等）全部内容。</w:t>
      </w: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二、</w:t>
      </w:r>
      <w:r>
        <w:rPr>
          <w:rFonts w:hint="eastAsia" w:asciiTheme="minorEastAsia" w:hAnsiTheme="minorEastAsia" w:cstheme="minorEastAsia"/>
          <w:b/>
          <w:sz w:val="22"/>
          <w:szCs w:val="22"/>
          <w:lang w:eastAsia="zh-CN"/>
        </w:rPr>
        <w:t>项目</w:t>
      </w:r>
      <w:r>
        <w:rPr>
          <w:rFonts w:hint="eastAsia" w:asciiTheme="minorEastAsia" w:hAnsiTheme="minorEastAsia" w:eastAsiaTheme="minorEastAsia" w:cstheme="minorEastAsia"/>
          <w:b/>
          <w:sz w:val="22"/>
          <w:szCs w:val="22"/>
        </w:rPr>
        <w:t>内容及要求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    1．</w:t>
      </w:r>
      <w:r>
        <w:rPr>
          <w:rFonts w:hint="eastAsia" w:asciiTheme="minorEastAsia" w:hAnsiTheme="minorEastAsia" w:cstheme="minorEastAsia"/>
          <w:b/>
          <w:sz w:val="22"/>
          <w:szCs w:val="22"/>
          <w:lang w:eastAsia="zh-CN"/>
        </w:rPr>
        <w:t>项目施工</w:t>
      </w:r>
      <w:r>
        <w:rPr>
          <w:rFonts w:hint="eastAsia" w:asciiTheme="minorEastAsia" w:hAnsiTheme="minorEastAsia" w:eastAsiaTheme="minorEastAsia" w:cstheme="minorEastAsia"/>
          <w:b/>
          <w:sz w:val="22"/>
          <w:szCs w:val="22"/>
        </w:rPr>
        <w:t>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cstheme="minorEastAsia"/>
          <w:b/>
          <w:sz w:val="22"/>
          <w:szCs w:val="22"/>
          <w:lang w:val="en-US" w:eastAsia="zh-CN"/>
        </w:rPr>
        <w:t>1</w:t>
      </w:r>
      <w:r>
        <w:rPr>
          <w:rFonts w:hint="eastAsia" w:asciiTheme="minorEastAsia" w:hAnsiTheme="minorEastAsia" w:eastAsiaTheme="minorEastAsia" w:cstheme="minorEastAsia"/>
          <w:b/>
          <w:sz w:val="22"/>
          <w:szCs w:val="22"/>
        </w:rPr>
        <w:t>.1</w:t>
      </w:r>
      <w:r>
        <w:rPr>
          <w:rFonts w:hint="eastAsia" w:asciiTheme="minorEastAsia" w:hAnsiTheme="minorEastAsia" w:cstheme="minorEastAsia"/>
          <w:b/>
          <w:sz w:val="22"/>
          <w:szCs w:val="22"/>
          <w:lang w:eastAsia="zh-CN"/>
        </w:rPr>
        <w:t>航站楼问询台无障碍设施改造区域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出发厅</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5号门附近问询台，11号门附近问询台，</w:t>
      </w:r>
      <w:r>
        <w:rPr>
          <w:rFonts w:hint="eastAsia" w:asciiTheme="minorEastAsia" w:hAnsiTheme="minorEastAsia" w:eastAsiaTheme="minorEastAsia" w:cstheme="minorEastAsia"/>
          <w:color w:val="000000" w:themeColor="text1"/>
          <w:sz w:val="22"/>
          <w:szCs w:val="22"/>
          <w14:textFill>
            <w14:solidFill>
              <w14:schemeClr w14:val="tx1"/>
            </w14:solidFill>
          </w14:textFill>
        </w:rPr>
        <w:t>隔离区内</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问询台</w:t>
      </w:r>
      <w:r>
        <w:rPr>
          <w:rFonts w:hint="eastAsia" w:asciiTheme="minorEastAsia" w:hAnsi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具体以现场踏勘为准</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pStyle w:val="14"/>
        <w:ind w:firstLine="442" w:firstLineChars="20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val="en-US" w:eastAsia="zh-CN"/>
        </w:rPr>
        <w:t>1</w:t>
      </w:r>
      <w:r>
        <w:rPr>
          <w:rFonts w:hint="eastAsia" w:asciiTheme="minorEastAsia" w:hAnsiTheme="minorEastAsia" w:eastAsiaTheme="minorEastAsia" w:cstheme="minorEastAsia"/>
          <w:b/>
          <w:sz w:val="22"/>
          <w:szCs w:val="22"/>
        </w:rPr>
        <w:t>.2</w:t>
      </w:r>
      <w:r>
        <w:rPr>
          <w:rFonts w:hint="eastAsia" w:asciiTheme="minorEastAsia" w:hAnsiTheme="minorEastAsia" w:eastAsiaTheme="minorEastAsia" w:cstheme="minorEastAsia"/>
          <w:b/>
          <w:sz w:val="22"/>
          <w:szCs w:val="22"/>
          <w:lang w:eastAsia="zh-CN"/>
        </w:rPr>
        <w:t>新增盲道改造区域</w:t>
      </w:r>
    </w:p>
    <w:p>
      <w:pPr>
        <w:keepLines w:val="0"/>
        <w:pageBreakBefore w:val="0"/>
        <w:widowControl/>
        <w:kinsoku/>
        <w:wordWrap/>
        <w:topLinePunct w:val="0"/>
        <w:bidi w:val="0"/>
        <w:spacing w:line="360" w:lineRule="auto"/>
        <w:ind w:firstLine="440" w:firstLineChars="200"/>
        <w:jc w:val="left"/>
        <w:rPr>
          <w:rFonts w:hint="default"/>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航站楼内</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从电梯到问询台</w:t>
      </w:r>
      <w:r>
        <w:rPr>
          <w:rFonts w:hint="eastAsia" w:asciiTheme="minorEastAsia" w:hAnsiTheme="minorEastAsia" w:cstheme="minorEastAsia"/>
          <w:color w:val="000000" w:themeColor="text1"/>
          <w:sz w:val="22"/>
          <w:szCs w:val="22"/>
          <w:lang w:val="en-US"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航站楼内上下步行楼梯处，具体以现场踏勘为准</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2．项目对设计、建设等要求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2.1</w:t>
      </w:r>
      <w:r>
        <w:rPr>
          <w:rFonts w:hint="eastAsia" w:asciiTheme="minorEastAsia" w:hAnsiTheme="minorEastAsia" w:cstheme="minorEastAsia"/>
          <w:b/>
          <w:sz w:val="22"/>
          <w:szCs w:val="22"/>
          <w:lang w:eastAsia="zh-CN"/>
        </w:rPr>
        <w:t>航站楼问询台</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设施及新增盲道改造</w:t>
      </w:r>
      <w:r>
        <w:rPr>
          <w:rFonts w:hint="eastAsia" w:asciiTheme="minorEastAsia" w:hAnsiTheme="minorEastAsia" w:eastAsiaTheme="minorEastAsia" w:cstheme="minorEastAsia"/>
          <w:b/>
          <w:sz w:val="22"/>
          <w:szCs w:val="22"/>
        </w:rPr>
        <w:t>设计方案</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投标人应按照招标人的项目需求进行</w:t>
      </w:r>
      <w:r>
        <w:rPr>
          <w:rFonts w:hint="eastAsia" w:asciiTheme="minorEastAsia" w:hAnsiTheme="minorEastAsia" w:cstheme="minorEastAsia"/>
          <w:sz w:val="22"/>
          <w:szCs w:val="22"/>
          <w:lang w:eastAsia="zh-CN"/>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设施及新增盲道改造</w:t>
      </w:r>
      <w:r>
        <w:rPr>
          <w:rFonts w:hint="eastAsia" w:asciiTheme="minorEastAsia" w:hAnsiTheme="minorEastAsia" w:eastAsiaTheme="minorEastAsia" w:cstheme="minorEastAsia"/>
          <w:sz w:val="22"/>
          <w:szCs w:val="22"/>
        </w:rPr>
        <w:t>设计，并按照招标人修改需求，进行深化设计，满足招标人的需求。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2.2</w:t>
      </w:r>
      <w:r>
        <w:rPr>
          <w:rFonts w:hint="eastAsia" w:asciiTheme="minorEastAsia" w:hAnsiTheme="minorEastAsia" w:cstheme="minorEastAsia"/>
          <w:b/>
          <w:sz w:val="22"/>
          <w:szCs w:val="22"/>
          <w:lang w:eastAsia="zh-CN"/>
        </w:rPr>
        <w:t>航站楼问询台</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eastAsiaTheme="minorEastAsia" w:cstheme="minorEastAsia"/>
          <w:b/>
          <w:sz w:val="22"/>
          <w:szCs w:val="22"/>
        </w:rPr>
        <w:t>设计</w:t>
      </w:r>
      <w:r>
        <w:rPr>
          <w:rFonts w:hint="eastAsia" w:asciiTheme="minorEastAsia" w:hAnsiTheme="minorEastAsia" w:cstheme="minorEastAsia"/>
          <w:b/>
          <w:sz w:val="22"/>
          <w:szCs w:val="22"/>
          <w:lang w:eastAsia="zh-CN"/>
        </w:rPr>
        <w:t>及施工</w:t>
      </w:r>
      <w:r>
        <w:rPr>
          <w:rFonts w:hint="eastAsia" w:asciiTheme="minorEastAsia" w:hAnsiTheme="minorEastAsia" w:eastAsiaTheme="minorEastAsia" w:cstheme="minorEastAsia"/>
          <w:b/>
          <w:sz w:val="22"/>
          <w:szCs w:val="22"/>
        </w:rPr>
        <w:t>要求</w:t>
      </w:r>
    </w:p>
    <w:p>
      <w:pPr>
        <w:keepLines w:val="0"/>
        <w:pageBreakBefore w:val="0"/>
        <w:widowControl/>
        <w:kinsoku/>
        <w:wordWrap/>
        <w:topLinePunct w:val="0"/>
        <w:bidi w:val="0"/>
        <w:spacing w:line="360" w:lineRule="auto"/>
        <w:ind w:firstLine="220"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 *（1）</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cstheme="minorEastAsia"/>
          <w:color w:val="000000" w:themeColor="text1"/>
          <w:sz w:val="22"/>
          <w:szCs w:val="22"/>
          <w:lang w:val="en-US" w:eastAsia="zh-CN"/>
          <w14:textFill>
            <w14:solidFill>
              <w14:schemeClr w14:val="tx1"/>
            </w14:solidFill>
          </w14:textFill>
        </w:rPr>
        <w:t>无障碍设施需在现有问询柜台基础上改造，其中</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11号门附近问询台改造后需为全包围式柜台（增设一扇物理门），</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改造完成后的</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柜台整体效果需与候机楼整体色彩搭配</w:t>
      </w:r>
      <w:r>
        <w:rPr>
          <w:rFonts w:hint="eastAsia" w:asciiTheme="minorEastAsia" w:hAnsiTheme="minorEastAsia" w:cstheme="minorEastAsia"/>
          <w:b w:val="0"/>
          <w:bCs w:val="0"/>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并与</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原</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航站楼问询台风格统一，外观整洁、大方。</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14:textFill>
            <w14:solidFill>
              <w14:schemeClr w14:val="tx1"/>
            </w14:solidFill>
          </w14:textFill>
        </w:rPr>
        <w:t>台面</w:t>
      </w:r>
      <w:r>
        <w:rPr>
          <w:rFonts w:hint="eastAsia" w:asciiTheme="minorEastAsia" w:hAnsiTheme="minorEastAsia" w:cstheme="minorEastAsia"/>
          <w:color w:val="000000" w:themeColor="text1"/>
          <w:sz w:val="22"/>
          <w:szCs w:val="22"/>
          <w:lang w:eastAsia="zh-CN"/>
          <w14:textFill>
            <w14:solidFill>
              <w14:schemeClr w14:val="tx1"/>
            </w14:solidFill>
          </w14:textFill>
        </w:rPr>
        <w:t>需</w:t>
      </w:r>
      <w:r>
        <w:rPr>
          <w:rFonts w:hint="eastAsia" w:asciiTheme="minorEastAsia" w:hAnsiTheme="minorEastAsia" w:eastAsiaTheme="minorEastAsia" w:cstheme="minorEastAsia"/>
          <w:color w:val="000000" w:themeColor="text1"/>
          <w:sz w:val="22"/>
          <w:szCs w:val="22"/>
          <w14:textFill>
            <w14:solidFill>
              <w14:schemeClr w14:val="tx1"/>
            </w14:solidFill>
          </w14:textFill>
        </w:rPr>
        <w:t>为人造石材质，</w:t>
      </w:r>
      <w:r>
        <w:rPr>
          <w:rFonts w:hint="eastAsia" w:asciiTheme="minorEastAsia" w:hAnsiTheme="minorEastAsia" w:eastAsiaTheme="minorEastAsia" w:cstheme="minorEastAsia"/>
          <w:sz w:val="22"/>
          <w:szCs w:val="22"/>
        </w:rPr>
        <w:t>柜台面需低于正常柜台，柜台外沿须配备防撞护栏</w:t>
      </w:r>
      <w:r>
        <w:rPr>
          <w:rFonts w:hint="eastAsia" w:asciiTheme="minorEastAsia" w:hAnsiTheme="minorEastAsia" w:eastAsiaTheme="minorEastAsia" w:cstheme="minorEastAsia"/>
          <w:sz w:val="22"/>
          <w:szCs w:val="22"/>
          <w:lang w:eastAsia="zh-CN"/>
        </w:rPr>
        <w:t>，同时柜台</w:t>
      </w:r>
      <w:r>
        <w:rPr>
          <w:rFonts w:hint="eastAsia" w:asciiTheme="minorEastAsia" w:hAnsiTheme="minorEastAsia" w:eastAsiaTheme="minorEastAsia" w:cstheme="minorEastAsia"/>
          <w:sz w:val="22"/>
          <w:szCs w:val="22"/>
          <w:lang w:val="en-US" w:eastAsia="zh-CN"/>
        </w:rPr>
        <w:t>可以实现轮椅推入，满足旅客近距离咨询及书写的需求</w:t>
      </w:r>
      <w:r>
        <w:rPr>
          <w:rFonts w:hint="eastAsia" w:asciiTheme="minorEastAsia" w:hAnsiTheme="minorEastAsia" w:eastAsiaTheme="minorEastAsia" w:cstheme="minorEastAsia"/>
          <w:sz w:val="22"/>
          <w:szCs w:val="22"/>
        </w:rPr>
        <w:t>。</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设施台面</w:t>
      </w:r>
      <w:r>
        <w:rPr>
          <w:rFonts w:hint="eastAsia" w:asciiTheme="minorEastAsia" w:hAnsiTheme="minorEastAsia" w:eastAsiaTheme="minorEastAsia" w:cstheme="minorEastAsia"/>
          <w:sz w:val="22"/>
          <w:szCs w:val="22"/>
        </w:rPr>
        <w:t>宽度需人性化设计，使柜台内员工与旅客沟通时，保持合理的交流距离。</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cstheme="minorEastAsia"/>
          <w:sz w:val="22"/>
          <w:szCs w:val="22"/>
          <w:lang w:eastAsia="zh-CN"/>
        </w:rPr>
        <w:t>无障碍设施改造</w:t>
      </w:r>
      <w:r>
        <w:rPr>
          <w:rFonts w:hint="eastAsia" w:asciiTheme="minorEastAsia" w:hAnsiTheme="minorEastAsia" w:eastAsiaTheme="minorEastAsia" w:cstheme="minorEastAsia"/>
          <w:sz w:val="22"/>
          <w:szCs w:val="22"/>
        </w:rPr>
        <w:t>应在不影响候机楼正常运行秩序的前</w:t>
      </w:r>
      <w:r>
        <w:rPr>
          <w:rFonts w:hint="eastAsia" w:asciiTheme="minorEastAsia" w:hAnsiTheme="minorEastAsia" w:eastAsiaTheme="minorEastAsia" w:cstheme="minorEastAsia"/>
          <w:color w:val="000000" w:themeColor="text1"/>
          <w:sz w:val="22"/>
          <w:szCs w:val="22"/>
          <w14:textFill>
            <w14:solidFill>
              <w14:schemeClr w14:val="tx1"/>
            </w14:solidFill>
          </w14:textFill>
        </w:rPr>
        <w:t>提下进行，中标方应提前对</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区域进行包围，并悬挂相应提醒标志。</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w:t>
      </w:r>
      <w:r>
        <w:rPr>
          <w:rFonts w:hint="eastAsia" w:asciiTheme="minorEastAsia" w:hAnsiTheme="minorEastAsia" w:cstheme="minorEastAsia"/>
          <w:b/>
          <w:bCs/>
          <w:sz w:val="22"/>
          <w:szCs w:val="22"/>
          <w:lang w:val="en-US" w:eastAsia="zh-CN"/>
        </w:rPr>
        <w:t>5</w:t>
      </w:r>
      <w:r>
        <w:rPr>
          <w:rFonts w:hint="eastAsia" w:asciiTheme="minorEastAsia" w:hAnsiTheme="minorEastAsia" w:eastAsiaTheme="minorEastAsia" w:cstheme="minorEastAsia"/>
          <w:b/>
          <w:bCs/>
          <w:sz w:val="22"/>
          <w:szCs w:val="22"/>
        </w:rPr>
        <w:t>）</w:t>
      </w:r>
      <w:r>
        <w:rPr>
          <w:rFonts w:hint="eastAsia" w:asciiTheme="minorEastAsia" w:hAnsiTheme="minorEastAsia" w:cstheme="minorEastAsia"/>
          <w:b/>
          <w:bCs/>
          <w:sz w:val="22"/>
          <w:szCs w:val="22"/>
          <w:lang w:eastAsia="zh-CN"/>
        </w:rPr>
        <w:t>航站楼问询台</w:t>
      </w:r>
      <w:r>
        <w:rPr>
          <w:rFonts w:hint="eastAsia" w:asciiTheme="minorEastAsia" w:hAnsiTheme="minorEastAsia" w:eastAsiaTheme="minorEastAsia" w:cstheme="minorEastAsia"/>
          <w:b/>
          <w:bCs/>
          <w:sz w:val="22"/>
          <w:szCs w:val="22"/>
          <w:lang w:eastAsia="zh-CN"/>
        </w:rPr>
        <w:t>无</w:t>
      </w:r>
      <w:r>
        <w:rPr>
          <w:rFonts w:hint="eastAsia" w:asciiTheme="minorEastAsia" w:hAnsiTheme="minorEastAsia" w:eastAsiaTheme="minorEastAsia" w:cstheme="minorEastAsia"/>
          <w:b/>
          <w:sz w:val="22"/>
          <w:szCs w:val="22"/>
          <w:lang w:eastAsia="zh-CN"/>
        </w:rPr>
        <w:t>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eastAsiaTheme="minorEastAsia" w:cstheme="minorEastAsia"/>
          <w:b/>
          <w:sz w:val="22"/>
          <w:szCs w:val="22"/>
        </w:rPr>
        <w:t>应以成品拼接为主，</w:t>
      </w:r>
      <w:r>
        <w:rPr>
          <w:rFonts w:hint="eastAsia" w:asciiTheme="minorEastAsia" w:hAnsiTheme="minorEastAsia" w:eastAsiaTheme="minorEastAsia" w:cstheme="minorEastAsia"/>
          <w:sz w:val="22"/>
          <w:szCs w:val="22"/>
        </w:rPr>
        <w:t>严禁破坏区域内地板、墙面、柱子等，不得在地面进行钻孔施工，柜台具备可拆除搬迁功能，同时需满足柜台使用的稳固性。</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b w:val="0"/>
          <w:bCs/>
          <w:sz w:val="22"/>
          <w:szCs w:val="22"/>
          <w:lang w:eastAsia="zh-CN"/>
        </w:rPr>
        <w:t>无障碍</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完成后，</w:t>
      </w:r>
      <w:r>
        <w:rPr>
          <w:rFonts w:hint="eastAsia" w:asciiTheme="minorEastAsia" w:hAnsiTheme="minorEastAsia" w:cstheme="minorEastAsia"/>
          <w:sz w:val="22"/>
          <w:szCs w:val="22"/>
          <w:lang w:eastAsia="zh-CN"/>
        </w:rPr>
        <w:t>应</w:t>
      </w:r>
      <w:r>
        <w:rPr>
          <w:rFonts w:hint="eastAsia" w:asciiTheme="minorEastAsia" w:hAnsiTheme="minorEastAsia" w:eastAsiaTheme="minorEastAsia" w:cstheme="minorEastAsia"/>
          <w:sz w:val="22"/>
          <w:szCs w:val="22"/>
        </w:rPr>
        <w:t>对该区域进行整体复原，不得出现线路裸露、地板不平整、破损等情况。</w:t>
      </w:r>
    </w:p>
    <w:p>
      <w:pPr>
        <w:keepLines w:val="0"/>
        <w:pageBreakBefore w:val="0"/>
        <w:widowControl/>
        <w:kinsoku/>
        <w:wordWrap/>
        <w:topLinePunct w:val="0"/>
        <w:bidi w:val="0"/>
        <w:spacing w:line="360" w:lineRule="auto"/>
        <w:ind w:left="1" w:leftChars="-209" w:hanging="440" w:hanging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设施需</w:t>
      </w:r>
      <w:r>
        <w:rPr>
          <w:rFonts w:hint="eastAsia" w:asciiTheme="minorEastAsia" w:hAnsiTheme="minorEastAsia" w:eastAsiaTheme="minorEastAsia" w:cstheme="minorEastAsia"/>
          <w:color w:val="auto"/>
          <w:sz w:val="22"/>
          <w:szCs w:val="22"/>
        </w:rPr>
        <w:t>配备相关强弱电</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sz w:val="22"/>
          <w:szCs w:val="22"/>
        </w:rPr>
        <w:t>需配有醒目指示标志</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字体格式、颜色与航站楼标识系统一致。</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）中标方按规定路线将废料及时清运出航站楼，并负责废料的倾倒及其相应费用。</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9</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r>
        <w:rPr>
          <w:rFonts w:hint="eastAsia" w:asciiTheme="minorEastAsia" w:hAnsiTheme="minorEastAsia" w:cstheme="minorEastAsia"/>
          <w:sz w:val="22"/>
          <w:szCs w:val="22"/>
          <w:lang w:val="en-US" w:eastAsia="zh-CN"/>
        </w:rPr>
        <w:t xml:space="preserve"> </w:t>
      </w:r>
    </w:p>
    <w:p>
      <w:pPr>
        <w:keepLines w:val="0"/>
        <w:pageBreakBefore w:val="0"/>
        <w:widowControl/>
        <w:kinsoku/>
        <w:wordWrap/>
        <w:topLinePunct w:val="0"/>
        <w:bidi w:val="0"/>
        <w:spacing w:line="360" w:lineRule="auto"/>
        <w:ind w:firstLine="442" w:firstLineChars="20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2.3</w:t>
      </w:r>
      <w:r>
        <w:rPr>
          <w:rFonts w:hint="eastAsia" w:asciiTheme="minorEastAsia" w:hAnsiTheme="minorEastAsia" w:cstheme="minorEastAsia"/>
          <w:b/>
          <w:sz w:val="22"/>
          <w:szCs w:val="22"/>
          <w:lang w:eastAsia="zh-CN"/>
        </w:rPr>
        <w:t>新增盲道改造</w:t>
      </w:r>
      <w:r>
        <w:rPr>
          <w:rFonts w:hint="eastAsia" w:asciiTheme="minorEastAsia" w:hAnsiTheme="minorEastAsia" w:eastAsiaTheme="minorEastAsia" w:cstheme="minorEastAsia"/>
          <w:b/>
          <w:sz w:val="22"/>
          <w:szCs w:val="22"/>
        </w:rPr>
        <w:t>设计</w:t>
      </w:r>
      <w:r>
        <w:rPr>
          <w:rFonts w:hint="eastAsia" w:asciiTheme="minorEastAsia" w:hAnsiTheme="minorEastAsia" w:cstheme="minorEastAsia"/>
          <w:b/>
          <w:sz w:val="22"/>
          <w:szCs w:val="22"/>
          <w:lang w:eastAsia="zh-CN"/>
        </w:rPr>
        <w:t>及施工</w:t>
      </w:r>
      <w:r>
        <w:rPr>
          <w:rFonts w:hint="eastAsia" w:asciiTheme="minorEastAsia" w:hAnsiTheme="minorEastAsia" w:eastAsiaTheme="minorEastAsia" w:cstheme="minorEastAsia"/>
          <w:b/>
          <w:sz w:val="22"/>
          <w:szCs w:val="22"/>
        </w:rPr>
        <w:t>要求</w:t>
      </w:r>
    </w:p>
    <w:p>
      <w:pPr>
        <w:keepLines w:val="0"/>
        <w:pageBreakBefore w:val="0"/>
        <w:widowControl/>
        <w:kinsoku/>
        <w:wordWrap/>
        <w:topLinePunct w:val="0"/>
        <w:bidi w:val="0"/>
        <w:spacing w:line="360" w:lineRule="auto"/>
        <w:ind w:firstLine="220" w:firstLineChars="100"/>
        <w:jc w:val="left"/>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新增盲道改造</w:t>
      </w:r>
      <w:r>
        <w:rPr>
          <w:rFonts w:hint="eastAsia" w:asciiTheme="minorEastAsia" w:hAnsiTheme="minorEastAsia" w:eastAsiaTheme="minorEastAsia" w:cstheme="minorEastAsia"/>
          <w:sz w:val="22"/>
          <w:szCs w:val="22"/>
          <w:lang w:val="en-US" w:eastAsia="zh-CN"/>
        </w:rPr>
        <w:t>需在现有</w:t>
      </w:r>
      <w:r>
        <w:rPr>
          <w:rFonts w:hint="eastAsia" w:asciiTheme="minorEastAsia" w:hAnsiTheme="minorEastAsia" w:cstheme="minorEastAsia"/>
          <w:sz w:val="22"/>
          <w:szCs w:val="22"/>
          <w:lang w:val="en-US" w:eastAsia="zh-CN"/>
        </w:rPr>
        <w:t>航站楼</w:t>
      </w:r>
      <w:r>
        <w:rPr>
          <w:rFonts w:hint="eastAsia" w:asciiTheme="minorEastAsia" w:hAnsiTheme="minorEastAsia" w:eastAsiaTheme="minorEastAsia" w:cstheme="minorEastAsia"/>
          <w:sz w:val="22"/>
          <w:szCs w:val="22"/>
          <w:lang w:val="en-US" w:eastAsia="zh-CN"/>
        </w:rPr>
        <w:t>问询台基础上</w:t>
      </w:r>
      <w:r>
        <w:rPr>
          <w:rFonts w:hint="eastAsia" w:asciiTheme="minorEastAsia" w:hAnsiTheme="minorEastAsia" w:cstheme="minorEastAsia"/>
          <w:sz w:val="22"/>
          <w:szCs w:val="22"/>
          <w:lang w:val="en-US" w:eastAsia="zh-CN"/>
        </w:rPr>
        <w:t>进行</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位置要求是</w:t>
      </w:r>
      <w:r>
        <w:rPr>
          <w:rFonts w:hint="eastAsia" w:asciiTheme="minorEastAsia" w:hAnsiTheme="minorEastAsia" w:eastAsiaTheme="minorEastAsia" w:cstheme="minorEastAsia"/>
          <w:sz w:val="22"/>
          <w:szCs w:val="22"/>
          <w:lang w:val="en-US" w:eastAsia="zh-CN"/>
        </w:rPr>
        <w:t>从电梯到问询台</w:t>
      </w:r>
      <w:r>
        <w:rPr>
          <w:rFonts w:hint="eastAsia" w:asciiTheme="minorEastAsia" w:hAnsiTheme="minorEastAsia" w:cstheme="minorEastAsia"/>
          <w:sz w:val="22"/>
          <w:szCs w:val="22"/>
          <w:lang w:val="en-US" w:eastAsia="zh-CN"/>
        </w:rPr>
        <w:t>（三座航站楼各一处）</w:t>
      </w:r>
      <w:r>
        <w:rPr>
          <w:rFonts w:hint="eastAsia" w:asciiTheme="minorEastAsia" w:hAnsiTheme="minorEastAsia" w:eastAsiaTheme="minorEastAsia" w:cstheme="minorEastAsia"/>
          <w:sz w:val="22"/>
          <w:szCs w:val="22"/>
          <w:lang w:val="en-US" w:eastAsia="zh-CN"/>
        </w:rPr>
        <w:t>，上下步行楼梯处增加盲道提醒，</w:t>
      </w:r>
      <w:r>
        <w:rPr>
          <w:rFonts w:hint="eastAsia" w:asciiTheme="minorEastAsia" w:hAnsiTheme="minorEastAsia" w:cstheme="minorEastAsia"/>
          <w:sz w:val="22"/>
          <w:szCs w:val="22"/>
          <w:lang w:val="en-US" w:eastAsia="zh-CN"/>
        </w:rPr>
        <w:t>14号门至交通问询处，需</w:t>
      </w:r>
      <w:r>
        <w:rPr>
          <w:rFonts w:hint="eastAsia" w:asciiTheme="minorEastAsia" w:hAnsiTheme="minorEastAsia" w:eastAsiaTheme="minorEastAsia" w:cstheme="minorEastAsia"/>
          <w:sz w:val="22"/>
          <w:szCs w:val="22"/>
          <w:lang w:val="en-US" w:eastAsia="zh-CN"/>
        </w:rPr>
        <w:t>合理规划盲道安装线路，安装后的盲道需与现有盲道整体效果统一。</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应在不影响候机楼正常运行秩序的前提下进行，中标方应提前对</w:t>
      </w:r>
      <w:r>
        <w:rPr>
          <w:rFonts w:hint="eastAsia" w:asciiTheme="minorEastAsia" w:hAnsiTheme="minorEastAsia" w:cstheme="minorEastAsia"/>
          <w:color w:val="000000" w:themeColor="text1"/>
          <w:sz w:val="22"/>
          <w:szCs w:val="22"/>
          <w:lang w:eastAsia="zh-CN"/>
          <w14:textFill>
            <w14:solidFill>
              <w14:schemeClr w14:val="tx1"/>
            </w14:solidFill>
          </w14:textFill>
        </w:rPr>
        <w:t>安装</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w:t>
      </w:r>
      <w:r>
        <w:rPr>
          <w:rFonts w:hint="eastAsia" w:asciiTheme="minorEastAsia" w:hAnsiTheme="minorEastAsia" w:cstheme="minorEastAsia"/>
          <w:color w:val="000000" w:themeColor="text1"/>
          <w:sz w:val="22"/>
          <w:szCs w:val="22"/>
          <w:lang w:eastAsia="zh-CN"/>
          <w14:textFill>
            <w14:solidFill>
              <w14:schemeClr w14:val="tx1"/>
            </w14:solidFill>
          </w14:textFill>
        </w:rPr>
        <w:t>放置</w:t>
      </w:r>
      <w:r>
        <w:rPr>
          <w:rFonts w:hint="eastAsia" w:asciiTheme="minorEastAsia" w:hAnsiTheme="minorEastAsia" w:eastAsiaTheme="minorEastAsia" w:cstheme="minorEastAsia"/>
          <w:color w:val="000000" w:themeColor="text1"/>
          <w:sz w:val="22"/>
          <w:szCs w:val="22"/>
          <w14:textFill>
            <w14:solidFill>
              <w14:schemeClr w14:val="tx1"/>
            </w14:solidFill>
          </w14:textFill>
        </w:rPr>
        <w:t>相应提醒标志。</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14:textFill>
            <w14:solidFill>
              <w14:schemeClr w14:val="tx1"/>
            </w14:solidFill>
          </w14:textFill>
        </w:rPr>
        <w:t>严禁破坏区域内地板，</w:t>
      </w:r>
      <w:r>
        <w:rPr>
          <w:rFonts w:hint="eastAsia" w:asciiTheme="minorEastAsia" w:hAnsiTheme="minorEastAsia" w:cstheme="minorEastAsia"/>
          <w:color w:val="000000" w:themeColor="text1"/>
          <w:sz w:val="22"/>
          <w:szCs w:val="22"/>
          <w:lang w:eastAsia="zh-CN"/>
          <w14:textFill>
            <w14:solidFill>
              <w14:schemeClr w14:val="tx1"/>
            </w14:solidFill>
          </w14:textFill>
        </w:rPr>
        <w:t>需</w:t>
      </w:r>
      <w:r>
        <w:rPr>
          <w:rFonts w:hint="eastAsia" w:asciiTheme="minorEastAsia" w:hAnsiTheme="minorEastAsia" w:eastAsiaTheme="minorEastAsia" w:cstheme="minorEastAsia"/>
          <w:color w:val="000000" w:themeColor="text1"/>
          <w:sz w:val="22"/>
          <w:szCs w:val="22"/>
          <w14:textFill>
            <w14:solidFill>
              <w14:schemeClr w14:val="tx1"/>
            </w14:solidFill>
          </w14:textFill>
        </w:rPr>
        <w:t>具备可拆除搬迁功能，同时需满足</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盲道</w:t>
      </w:r>
      <w:r>
        <w:rPr>
          <w:rFonts w:hint="eastAsia" w:asciiTheme="minorEastAsia" w:hAnsiTheme="minorEastAsia" w:eastAsiaTheme="minorEastAsia" w:cstheme="minorEastAsia"/>
          <w:color w:val="000000" w:themeColor="text1"/>
          <w:sz w:val="22"/>
          <w:szCs w:val="22"/>
          <w14:textFill>
            <w14:solidFill>
              <w14:schemeClr w14:val="tx1"/>
            </w14:solidFill>
          </w14:textFill>
        </w:rPr>
        <w:t>使用的稳固性</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和安全性</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完成后，应对该区域进行整体复原，不得出现线路裸露、地板不平整、破损等情况。</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5</w:t>
      </w:r>
      <w:r>
        <w:rPr>
          <w:rFonts w:hint="eastAsia" w:asciiTheme="minorEastAsia" w:hAnsiTheme="minorEastAsia" w:eastAsiaTheme="minorEastAsia" w:cstheme="minorEastAsia"/>
          <w:sz w:val="22"/>
          <w:szCs w:val="22"/>
        </w:rPr>
        <w:t>）中标方按规定路线将废料及时清运出航站楼，并负责废料的倾倒及其相应费用。</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r>
        <w:rPr>
          <w:rFonts w:hint="eastAsia" w:asciiTheme="minorEastAsia" w:hAnsiTheme="minorEastAsia" w:cstheme="minorEastAsia"/>
          <w:sz w:val="22"/>
          <w:szCs w:val="22"/>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3．其他要求</w:t>
      </w:r>
    </w:p>
    <w:p>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FF0000"/>
          <w:sz w:val="22"/>
          <w:szCs w:val="22"/>
        </w:rPr>
      </w:pPr>
      <w:r>
        <w:rPr>
          <w:rFonts w:hint="eastAsia" w:asciiTheme="minorEastAsia" w:hAnsiTheme="minorEastAsia" w:eastAsiaTheme="minorEastAsia" w:cstheme="minorEastAsia"/>
          <w:sz w:val="22"/>
          <w:szCs w:val="22"/>
        </w:rPr>
        <w:t>*投标人应提</w:t>
      </w:r>
      <w:r>
        <w:rPr>
          <w:rFonts w:hint="eastAsia" w:asciiTheme="minorEastAsia" w:hAnsiTheme="minorEastAsia" w:eastAsiaTheme="minorEastAsia" w:cstheme="minorEastAsia"/>
          <w:color w:val="000000" w:themeColor="text1"/>
          <w:sz w:val="22"/>
          <w:szCs w:val="22"/>
          <w14:textFill>
            <w14:solidFill>
              <w14:schemeClr w14:val="tx1"/>
            </w14:solidFill>
          </w14:textFill>
        </w:rPr>
        <w:t>出</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设施及</w:t>
      </w:r>
      <w:r>
        <w:rPr>
          <w:rFonts w:hint="eastAsia" w:asciiTheme="minorEastAsia" w:hAnsiTheme="minorEastAsia" w:cstheme="minorEastAsia"/>
          <w:color w:val="000000" w:themeColor="text1"/>
          <w:sz w:val="22"/>
          <w:szCs w:val="22"/>
          <w:lang w:val="en-US" w:eastAsia="zh-CN"/>
          <w14:textFill>
            <w14:solidFill>
              <w14:schemeClr w14:val="tx1"/>
            </w14:solidFill>
          </w14:textFill>
        </w:rPr>
        <w:t>新增</w:t>
      </w:r>
      <w:r>
        <w:rPr>
          <w:rFonts w:hint="eastAsia" w:asciiTheme="minorEastAsia" w:hAnsiTheme="minorEastAsia" w:cstheme="minorEastAsia"/>
          <w:color w:val="000000" w:themeColor="text1"/>
          <w:sz w:val="22"/>
          <w:szCs w:val="22"/>
          <w:lang w:eastAsia="zh-CN"/>
          <w14:textFill>
            <w14:solidFill>
              <w14:schemeClr w14:val="tx1"/>
            </w14:solidFill>
          </w14:textFill>
        </w:rPr>
        <w:t>盲道改造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的总体设计方案和施工方案，</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cstheme="minorEastAsia"/>
          <w:color w:val="000000" w:themeColor="text1"/>
          <w:sz w:val="22"/>
          <w:szCs w:val="22"/>
          <w:lang w:eastAsia="zh-CN"/>
          <w14:textFill>
            <w14:solidFill>
              <w14:schemeClr w14:val="tx1"/>
            </w14:solidFill>
          </w14:textFill>
        </w:rPr>
        <w:t>还需</w:t>
      </w:r>
      <w:r>
        <w:rPr>
          <w:rFonts w:hint="eastAsia" w:asciiTheme="minorEastAsia" w:hAnsiTheme="minorEastAsia" w:eastAsiaTheme="minorEastAsia" w:cstheme="minorEastAsia"/>
          <w:color w:val="000000" w:themeColor="text1"/>
          <w:sz w:val="22"/>
          <w:szCs w:val="22"/>
          <w14:textFill>
            <w14:solidFill>
              <w14:schemeClr w14:val="tx1"/>
            </w14:solidFill>
          </w14:textFill>
        </w:rPr>
        <w:t>提供外观结构样式、装饰装修、选材用材、强弱电安装、区域功能设计、标识标牌等详细说明并附至少</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张设计效果图和</w:t>
      </w:r>
      <w:r>
        <w:rPr>
          <w:rFonts w:hint="eastAsia" w:asciiTheme="minorEastAsia" w:hAnsi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14:textFill>
            <w14:solidFill>
              <w14:schemeClr w14:val="tx1"/>
            </w14:solidFill>
          </w14:textFill>
        </w:rPr>
        <w:t>张不同角度的现场效果图。</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三、付款方式</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1</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经甲方验收合格后【15】个工作日内，支付至合同总金额的95%.</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2</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质量保证金为合同总价5%，质保期两年，于质量保证期满后【十五】工作日内一并无息支付。</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3</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乙方在甲方每次付款前开具正式增值税发票。</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w:t>
      </w:r>
      <w:r>
        <w:rPr>
          <w:rFonts w:hint="eastAsia" w:asciiTheme="minorEastAsia" w:hAnsiTheme="minorEastAsia" w:cstheme="minorEastAsia"/>
          <w:b/>
          <w:sz w:val="22"/>
          <w:szCs w:val="22"/>
          <w:lang w:eastAsia="zh-CN"/>
        </w:rPr>
        <w:t>施工</w:t>
      </w:r>
      <w:r>
        <w:rPr>
          <w:rFonts w:hint="eastAsia" w:asciiTheme="minorEastAsia" w:hAnsiTheme="minorEastAsia" w:eastAsiaTheme="minorEastAsia" w:cstheme="minorEastAsia"/>
          <w:b/>
          <w:sz w:val="22"/>
          <w:szCs w:val="22"/>
        </w:rPr>
        <w:t>期</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合同签订后30日历天内（含</w:t>
      </w:r>
      <w:r>
        <w:rPr>
          <w:rFonts w:hint="eastAsia" w:asciiTheme="minorEastAsia" w:hAnsiTheme="minorEastAsia" w:eastAsiaTheme="minorEastAsia" w:cstheme="minorEastAsia"/>
          <w:sz w:val="22"/>
          <w:szCs w:val="22"/>
          <w:lang w:eastAsia="zh-CN"/>
        </w:rPr>
        <w:t>方案设计</w:t>
      </w:r>
      <w:r>
        <w:rPr>
          <w:rFonts w:hint="eastAsia" w:asciiTheme="minorEastAsia" w:hAnsiTheme="minorEastAsia" w:eastAsiaTheme="minorEastAsia" w:cstheme="minorEastAsia"/>
          <w:sz w:val="22"/>
          <w:szCs w:val="22"/>
        </w:rPr>
        <w:t>、柜台</w:t>
      </w:r>
      <w:r>
        <w:rPr>
          <w:rFonts w:hint="eastAsia" w:asciiTheme="minorEastAsia" w:hAnsiTheme="minorEastAsia" w:cstheme="minorEastAsia"/>
          <w:sz w:val="22"/>
          <w:szCs w:val="22"/>
          <w:lang w:eastAsia="zh-CN"/>
        </w:rPr>
        <w:t>改造、盲道安装</w:t>
      </w:r>
      <w:r>
        <w:rPr>
          <w:rFonts w:hint="eastAsia" w:asciiTheme="minorEastAsia" w:hAnsiTheme="minorEastAsia" w:eastAsiaTheme="minorEastAsia" w:cstheme="minorEastAsia"/>
          <w:sz w:val="22"/>
          <w:szCs w:val="22"/>
        </w:rPr>
        <w:t>等）。</w:t>
      </w:r>
    </w:p>
    <w:p>
      <w:pPr>
        <w:keepNext w:val="0"/>
        <w:keepLines w:val="0"/>
        <w:pageBreakBefore w:val="0"/>
        <w:kinsoku/>
        <w:wordWrap/>
        <w:topLinePunct w:val="0"/>
        <w:bidi w:val="0"/>
        <w:spacing w:line="360" w:lineRule="auto"/>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360" w:lineRule="auto"/>
        <w:rPr>
          <w:rFonts w:hint="eastAsia" w:asciiTheme="minorEastAsia" w:hAnsiTheme="minorEastAsia" w:eastAsiaTheme="minorEastAsia" w:cstheme="minorEastAsia"/>
          <w:sz w:val="24"/>
          <w:szCs w:val="24"/>
        </w:rPr>
      </w:pP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keepLines w:val="0"/>
        <w:pageBreakBefore w:val="0"/>
        <w:kinsoku/>
        <w:wordWrap/>
        <w:topLinePunct w:val="0"/>
        <w:bidi w:val="0"/>
        <w:spacing w:line="360" w:lineRule="auto"/>
      </w:pPr>
      <w:bookmarkStart w:id="107" w:name="_Toc321925457"/>
      <w:r>
        <w:rPr>
          <w:rFonts w:hint="eastAsia"/>
        </w:rPr>
        <w:t>第六章投标文件格式</w:t>
      </w:r>
      <w:bookmarkEnd w:id="107"/>
    </w:p>
    <w:p>
      <w:pPr>
        <w:keepLines w:val="0"/>
        <w:pageBreakBefore w:val="0"/>
        <w:kinsoku/>
        <w:wordWrap/>
        <w:topLinePunct w:val="0"/>
        <w:bidi w:val="0"/>
        <w:spacing w:line="360" w:lineRule="auto"/>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目录</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封面</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一、投标函；</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二、法定代表人资格证明书；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三、授权委托书；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四、投标报价表；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五</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技术</w:t>
      </w:r>
      <w:r>
        <w:rPr>
          <w:rFonts w:hint="eastAsia" w:asciiTheme="minorEastAsia" w:hAnsiTheme="minorEastAsia" w:cstheme="minorEastAsia"/>
          <w:sz w:val="22"/>
          <w:szCs w:val="22"/>
          <w:lang w:eastAsia="zh-CN"/>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Theme="minorEastAsia"/>
          <w:sz w:val="22"/>
          <w:szCs w:val="22"/>
          <w:lang w:val="en-US" w:eastAsia="zh-CN"/>
        </w:rPr>
      </w:pPr>
      <w:r>
        <w:rPr>
          <w:rFonts w:hint="eastAsia"/>
          <w:sz w:val="22"/>
          <w:szCs w:val="22"/>
          <w:lang w:val="en-US" w:eastAsia="zh-CN"/>
        </w:rPr>
        <w:t>六、项目管理机构；</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七</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color w:val="000000"/>
          <w:sz w:val="22"/>
          <w:szCs w:val="22"/>
        </w:rPr>
        <w:t>资格审查资料</w:t>
      </w:r>
      <w:r>
        <w:rPr>
          <w:rFonts w:hint="eastAsia" w:asciiTheme="minorEastAsia" w:hAnsiTheme="minorEastAsia" w:cstheme="minorEastAsia"/>
          <w:color w:val="000000"/>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color w:val="auto"/>
          <w:sz w:val="22"/>
          <w:szCs w:val="22"/>
          <w:lang w:eastAsia="zh-CN"/>
        </w:rPr>
        <w:t>八</w:t>
      </w: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sz w:val="22"/>
          <w:szCs w:val="22"/>
          <w:lang w:eastAsia="zh-CN"/>
        </w:rPr>
        <w:t>投标人认为应该提供的其他材料。</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p>
    <w:p>
      <w:pPr>
        <w:pStyle w:val="14"/>
        <w:rPr>
          <w:rFonts w:hint="eastAsia" w:asciiTheme="minorEastAsia" w:hAnsiTheme="minorEastAsia" w:eastAsiaTheme="minorEastAsia" w:cstheme="minorEastAsia"/>
          <w:sz w:val="22"/>
          <w:szCs w:val="22"/>
        </w:rPr>
      </w:pP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注：未提供格式的由投标人自行拟定格式。</w:t>
      </w: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jc w:val="both"/>
        <w:rPr>
          <w:rFonts w:hint="eastAsia"/>
        </w:rPr>
      </w:pPr>
    </w:p>
    <w:p>
      <w:pPr>
        <w:keepLines w:val="0"/>
        <w:pageBreakBefore w:val="0"/>
        <w:kinsoku/>
        <w:wordWrap/>
        <w:topLinePunct w:val="0"/>
        <w:bidi w:val="0"/>
        <w:spacing w:line="360" w:lineRule="auto"/>
        <w:ind w:right="420"/>
        <w:jc w:val="right"/>
        <w:rPr>
          <w:rFonts w:cs="Calibri"/>
          <w:color w:val="000000"/>
        </w:rPr>
      </w:pPr>
      <w:r>
        <w:rPr>
          <w:rFonts w:hint="eastAsia" w:cs="Calibri"/>
          <w:color w:val="000000"/>
        </w:rPr>
        <w:t>正本（或副本）</w:t>
      </w:r>
    </w:p>
    <w:p>
      <w:pPr>
        <w:keepLines w:val="0"/>
        <w:pageBreakBefore w:val="0"/>
        <w:kinsoku/>
        <w:wordWrap/>
        <w:topLinePunct w:val="0"/>
        <w:bidi w:val="0"/>
        <w:spacing w:line="360" w:lineRule="auto"/>
        <w:rPr>
          <w:rFonts w:cs="Calibri"/>
          <w:color w:val="000000"/>
          <w:u w:val="single"/>
        </w:rPr>
      </w:pPr>
      <w:bookmarkStart w:id="108" w:name="_Toc171421958"/>
      <w:r>
        <w:rPr>
          <w:rFonts w:hint="eastAsia" w:cs="Calibri"/>
          <w:color w:val="000000"/>
        </w:rPr>
        <w:t>封面</w:t>
      </w:r>
      <w:bookmarkEnd w:id="108"/>
    </w:p>
    <w:p>
      <w:pPr>
        <w:keepLines w:val="0"/>
        <w:pageBreakBefore w:val="0"/>
        <w:kinsoku/>
        <w:wordWrap/>
        <w:topLinePunct w:val="0"/>
        <w:autoSpaceDE w:val="0"/>
        <w:autoSpaceDN w:val="0"/>
        <w:bidi w:val="0"/>
        <w:adjustRightInd w:val="0"/>
        <w:spacing w:line="360" w:lineRule="auto"/>
        <w:jc w:val="center"/>
        <w:rPr>
          <w:rFonts w:cs="Calibri"/>
          <w:b/>
          <w:spacing w:val="20"/>
          <w:kern w:val="0"/>
          <w:sz w:val="48"/>
          <w:szCs w:val="48"/>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r>
        <w:rPr>
          <w:rFonts w:hint="eastAsia" w:eastAsia="黑体" w:cs="Calibri"/>
          <w:b/>
          <w:sz w:val="44"/>
          <w:szCs w:val="44"/>
        </w:rPr>
        <w:t>杭州萧山国际机场</w:t>
      </w:r>
    </w:p>
    <w:p>
      <w:pPr>
        <w:keepLines w:val="0"/>
        <w:pageBreakBefore w:val="0"/>
        <w:kinsoku/>
        <w:wordWrap/>
        <w:topLinePunct w:val="0"/>
        <w:autoSpaceDE w:val="0"/>
        <w:autoSpaceDN w:val="0"/>
        <w:bidi w:val="0"/>
        <w:adjustRightInd w:val="0"/>
        <w:spacing w:line="360" w:lineRule="auto"/>
        <w:jc w:val="both"/>
        <w:rPr>
          <w:rFonts w:hint="default" w:eastAsia="黑体" w:cs="Calibri"/>
          <w:b/>
          <w:sz w:val="44"/>
          <w:szCs w:val="44"/>
          <w:u w:val="single"/>
          <w:lang w:val="en-US" w:eastAsia="zh-CN"/>
        </w:rPr>
      </w:pPr>
      <w:r>
        <w:rPr>
          <w:rFonts w:hint="eastAsia" w:eastAsia="黑体" w:cs="Calibri"/>
          <w:b/>
          <w:sz w:val="44"/>
          <w:szCs w:val="44"/>
          <w:u w:val="none"/>
          <w:lang w:val="en-US" w:eastAsia="zh-CN"/>
        </w:rPr>
        <w:t xml:space="preserve">       </w:t>
      </w:r>
      <w:r>
        <w:rPr>
          <w:rFonts w:hint="eastAsia" w:eastAsia="黑体" w:cs="Calibri"/>
          <w:b/>
          <w:sz w:val="44"/>
          <w:szCs w:val="44"/>
          <w:u w:val="single"/>
          <w:lang w:val="en-US" w:eastAsia="zh-CN"/>
        </w:rPr>
        <w:t xml:space="preserve">                        </w:t>
      </w: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rPr>
          <w:rFonts w:cs="Calibri"/>
          <w:color w:val="000000"/>
          <w:sz w:val="44"/>
          <w:szCs w:val="44"/>
        </w:rPr>
      </w:pPr>
    </w:p>
    <w:p>
      <w:pPr>
        <w:keepLines w:val="0"/>
        <w:pageBreakBefore w:val="0"/>
        <w:kinsoku/>
        <w:wordWrap/>
        <w:topLinePunct w:val="0"/>
        <w:bidi w:val="0"/>
        <w:spacing w:beforeLines="200" w:afterLines="200" w:line="360" w:lineRule="auto"/>
        <w:jc w:val="center"/>
        <w:rPr>
          <w:rFonts w:cs="Calibri"/>
          <w:b/>
          <w:bCs/>
          <w:color w:val="000000"/>
          <w:sz w:val="84"/>
          <w:szCs w:val="84"/>
        </w:rPr>
      </w:pPr>
      <w:r>
        <w:rPr>
          <w:rFonts w:hint="eastAsia" w:cs="Calibri"/>
          <w:b/>
          <w:bCs/>
          <w:color w:val="000000"/>
          <w:sz w:val="84"/>
          <w:szCs w:val="84"/>
        </w:rPr>
        <w:t>投标文件</w:t>
      </w: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keepLines w:val="0"/>
        <w:pageBreakBefore w:val="0"/>
        <w:kinsoku/>
        <w:wordWrap/>
        <w:topLinePunct w:val="0"/>
        <w:bidi w:val="0"/>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keepLines w:val="0"/>
        <w:pageBreakBefore w:val="0"/>
        <w:kinsoku/>
        <w:wordWrap/>
        <w:topLinePunct w:val="0"/>
        <w:bidi w:val="0"/>
        <w:spacing w:line="360" w:lineRule="auto"/>
        <w:ind w:firstLine="1400" w:firstLineChars="500"/>
        <w:rPr>
          <w:rFonts w:hint="eastAsia" w:cs="Calibri"/>
          <w:color w:val="000000"/>
          <w:sz w:val="28"/>
          <w:szCs w:val="28"/>
        </w:rPr>
      </w:pPr>
      <w:r>
        <w:rPr>
          <w:rFonts w:hint="eastAsia" w:cs="Calibri"/>
          <w:color w:val="000000"/>
          <w:sz w:val="28"/>
          <w:szCs w:val="28"/>
        </w:rPr>
        <w:t>日期：</w:t>
      </w:r>
      <w:r>
        <w:rPr>
          <w:rFonts w:hint="eastAsia" w:cs="Calibri"/>
          <w:color w:val="000000"/>
          <w:sz w:val="28"/>
          <w:szCs w:val="28"/>
          <w:lang w:val="en-US" w:eastAsia="zh-CN"/>
        </w:rPr>
        <w:t xml:space="preserve">     </w:t>
      </w:r>
      <w:r>
        <w:rPr>
          <w:rFonts w:hint="eastAsia" w:cs="Calibri"/>
          <w:color w:val="000000"/>
          <w:sz w:val="28"/>
          <w:szCs w:val="28"/>
        </w:rPr>
        <w:t>年</w:t>
      </w:r>
      <w:r>
        <w:rPr>
          <w:rFonts w:hint="eastAsia" w:cs="Calibri"/>
          <w:color w:val="000000"/>
          <w:sz w:val="28"/>
          <w:szCs w:val="28"/>
          <w:lang w:val="en-US" w:eastAsia="zh-CN"/>
        </w:rPr>
        <w:t xml:space="preserve">    </w:t>
      </w:r>
      <w:r>
        <w:rPr>
          <w:rFonts w:hint="eastAsia" w:cs="Calibri"/>
          <w:color w:val="000000"/>
          <w:sz w:val="28"/>
          <w:szCs w:val="28"/>
        </w:rPr>
        <w:t>月</w:t>
      </w:r>
      <w:r>
        <w:rPr>
          <w:rFonts w:hint="eastAsia" w:cs="Calibri"/>
          <w:color w:val="000000"/>
          <w:sz w:val="28"/>
          <w:szCs w:val="28"/>
          <w:lang w:val="en-US" w:eastAsia="zh-CN"/>
        </w:rPr>
        <w:t xml:space="preserve">     </w:t>
      </w:r>
      <w:r>
        <w:rPr>
          <w:rFonts w:hint="eastAsia" w:cs="Calibri"/>
          <w:color w:val="000000"/>
          <w:sz w:val="28"/>
          <w:szCs w:val="28"/>
        </w:rPr>
        <w:t>日</w:t>
      </w:r>
    </w:p>
    <w:p>
      <w:pPr>
        <w:rPr>
          <w:rFonts w:hint="eastAsia"/>
        </w:rPr>
      </w:pPr>
    </w:p>
    <w:p>
      <w:pPr>
        <w:keepLines w:val="0"/>
        <w:pageBreakBefore w:val="0"/>
        <w:kinsoku/>
        <w:wordWrap/>
        <w:topLinePunct w:val="0"/>
        <w:bidi w:val="0"/>
        <w:spacing w:line="360" w:lineRule="auto"/>
        <w:jc w:val="center"/>
        <w:rPr>
          <w:rFonts w:hint="eastAsia" w:ascii="宋体" w:hAnsi="宋体" w:cs="宋体"/>
          <w:b/>
          <w:sz w:val="32"/>
          <w:szCs w:val="32"/>
        </w:rPr>
      </w:pPr>
      <w:r>
        <w:rPr>
          <w:rFonts w:hint="eastAsia" w:ascii="宋体" w:hAnsi="宋体" w:cs="宋体"/>
          <w:b/>
          <w:sz w:val="32"/>
          <w:szCs w:val="32"/>
        </w:rPr>
        <w:t>一、投标函</w:t>
      </w:r>
    </w:p>
    <w:p>
      <w:pPr>
        <w:spacing w:line="360" w:lineRule="auto"/>
        <w:jc w:val="center"/>
      </w:pPr>
      <w:r>
        <w:rPr>
          <w:rFonts w:hint="eastAsia" w:ascii="宋体" w:hAnsi="宋体" w:cs="宋体"/>
          <w:b/>
          <w:sz w:val="32"/>
          <w:szCs w:val="32"/>
        </w:rPr>
        <w:t>一、投标函</w:t>
      </w:r>
    </w:p>
    <w:p>
      <w:pPr>
        <w:keepLines w:val="0"/>
        <w:pageBreakBefore w:val="0"/>
        <w:kinsoku/>
        <w:wordWrap/>
        <w:topLinePunct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致：杭州萧山国际机场有限公司</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根据贵方杭州萧山国际机场项目的招标文件，授权代表(全名、职务)经正式授权，代表投标人(投标人名称、地址)递交下述文件正本一份、副本二份。</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据此函，本授权代表宣布同意如下：</w:t>
      </w:r>
    </w:p>
    <w:p>
      <w:pPr>
        <w:keepLines w:val="0"/>
        <w:pageBreakBefore w:val="0"/>
        <w:numPr>
          <w:ilvl w:val="0"/>
          <w:numId w:val="7"/>
        </w:numPr>
        <w:tabs>
          <w:tab w:val="left" w:pos="840"/>
        </w:tabs>
        <w:kinsoku/>
        <w:wordWrap/>
        <w:overflowPunct w:val="0"/>
        <w:topLinePunct w:val="0"/>
        <w:autoSpaceDE w:val="0"/>
        <w:autoSpaceDN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所投标报价汇总表中规定的应提供的货物和服务，投标总价为人民币：</w:t>
      </w:r>
    </w:p>
    <w:p>
      <w:pPr>
        <w:keepLines w:val="0"/>
        <w:pageBreakBefore w:val="0"/>
        <w:kinsoku/>
        <w:wordWrap/>
        <w:overflowPunct w:val="0"/>
        <w:topLinePunct w:val="0"/>
        <w:autoSpaceDE w:val="0"/>
        <w:autoSpaceDN w:val="0"/>
        <w:bidi w:val="0"/>
        <w:spacing w:line="360" w:lineRule="auto"/>
        <w:ind w:left="416" w:leftChars="198"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(大写)(小写)。</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投标人将按投标文件的规定履行合同责任和义务。</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投标人已详细审查全部招标文件包括澄清函和修改文件(如果有)、所有已提供的资料以及有关附件，投标人已完全理解上述文件的全部内容，并放弃提出任何误解或不明作为抗辩的权利。</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本投标的投标有效期为自投标截止之日起120日内。</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投标人完全清楚并理解在投标有效期期满之前撤回投标，招标人有权不予退还投标人的投标保证金及银行同期存款利息。</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投标人同意按照贵方可能提出的要求提供与其投标有关的任何其它数字或资料，并对贵方可能不接受最低价投标及任何投标表示理解。</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如果我方中标，我方将提供</w:t>
      </w:r>
      <w:r>
        <w:rPr>
          <w:rFonts w:hint="eastAsia" w:asciiTheme="minorEastAsia" w:hAnsiTheme="minorEastAsia" w:eastAsiaTheme="minorEastAsia" w:cstheme="minorEastAsia"/>
          <w:sz w:val="22"/>
          <w:lang w:val="en-US" w:eastAsia="zh-CN"/>
        </w:rPr>
        <w:t>1</w:t>
      </w:r>
      <w:r>
        <w:rPr>
          <w:rFonts w:hint="eastAsia" w:asciiTheme="minorEastAsia" w:hAnsiTheme="minorEastAsia" w:cstheme="minorEastAsia"/>
          <w:sz w:val="22"/>
          <w:lang w:val="en-US" w:eastAsia="zh-CN"/>
        </w:rPr>
        <w:t>3</w:t>
      </w:r>
      <w:r>
        <w:rPr>
          <w:rFonts w:hint="eastAsia" w:asciiTheme="minorEastAsia" w:hAnsiTheme="minorEastAsia" w:eastAsiaTheme="minorEastAsia" w:cstheme="minorEastAsia"/>
          <w:sz w:val="22"/>
          <w:lang w:val="en-US" w:eastAsia="zh-CN"/>
        </w:rPr>
        <w:t>000元</w:t>
      </w:r>
      <w:r>
        <w:rPr>
          <w:rFonts w:hint="eastAsia" w:asciiTheme="minorEastAsia" w:hAnsiTheme="minorEastAsia" w:eastAsiaTheme="minorEastAsia" w:cstheme="minorEastAsia"/>
          <w:sz w:val="22"/>
        </w:rPr>
        <w:t>履约保证金，作为履行合同的担保。</w:t>
      </w: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投标人：（盖单位章）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法定代表人或其委托代理人：（签字或盖章）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地址：</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邮政编码：</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电话：</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传真：</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开户银行：</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账号：</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日期：</w:t>
      </w:r>
      <w:r>
        <w:rPr>
          <w:rFonts w:hint="eastAsia" w:ascii="宋体" w:hAnsi="宋体" w:cs="Calibri"/>
          <w:color w:val="000000"/>
          <w:sz w:val="22"/>
          <w:lang w:val="en-US" w:eastAsia="zh-CN"/>
        </w:rPr>
        <w:t xml:space="preserve">      </w:t>
      </w:r>
      <w:r>
        <w:rPr>
          <w:rFonts w:hint="eastAsia" w:ascii="宋体" w:hAnsi="宋体" w:cs="Calibri"/>
          <w:color w:val="000000"/>
          <w:sz w:val="22"/>
        </w:rPr>
        <w:t>年</w:t>
      </w:r>
      <w:r>
        <w:rPr>
          <w:rFonts w:hint="eastAsia" w:ascii="宋体" w:hAnsi="宋体" w:cs="Calibri"/>
          <w:color w:val="000000"/>
          <w:sz w:val="22"/>
          <w:lang w:val="en-US" w:eastAsia="zh-CN"/>
        </w:rPr>
        <w:t xml:space="preserve">    </w:t>
      </w:r>
      <w:r>
        <w:rPr>
          <w:rFonts w:hint="eastAsia" w:ascii="宋体" w:hAnsi="宋体" w:cs="Calibri"/>
          <w:color w:val="000000"/>
          <w:sz w:val="22"/>
        </w:rPr>
        <w:t>月</w:t>
      </w:r>
      <w:r>
        <w:rPr>
          <w:rFonts w:hint="eastAsia" w:ascii="宋体" w:hAnsi="宋体" w:cs="Calibri"/>
          <w:color w:val="000000"/>
          <w:sz w:val="22"/>
          <w:lang w:val="en-US" w:eastAsia="zh-CN"/>
        </w:rPr>
        <w:t xml:space="preserve">     </w:t>
      </w:r>
      <w:r>
        <w:rPr>
          <w:rFonts w:hint="eastAsia" w:ascii="宋体" w:hAnsi="宋体" w:cs="Calibri"/>
          <w:color w:val="000000"/>
          <w:sz w:val="22"/>
        </w:rPr>
        <w:t>日</w:t>
      </w:r>
    </w:p>
    <w:p>
      <w:pPr>
        <w:keepLines w:val="0"/>
        <w:pageBreakBefore w:val="0"/>
        <w:kinsoku/>
        <w:wordWrap/>
        <w:topLinePunct w:val="0"/>
        <w:bidi w:val="0"/>
        <w:adjustRightInd w:val="0"/>
        <w:snapToGrid w:val="0"/>
        <w:spacing w:line="360" w:lineRule="auto"/>
        <w:jc w:val="center"/>
        <w:rPr>
          <w:rFonts w:eastAsia="黑体" w:cs="Calibri"/>
          <w:color w:val="000000"/>
          <w:sz w:val="32"/>
          <w:szCs w:val="32"/>
        </w:rPr>
      </w:pPr>
      <w:r>
        <w:rPr>
          <w:rFonts w:hint="eastAsia" w:ascii="宋体" w:hAnsi="宋体" w:cs="Arial"/>
          <w:sz w:val="22"/>
        </w:rPr>
        <w:br w:type="page"/>
      </w:r>
      <w:r>
        <w:rPr>
          <w:rFonts w:hint="eastAsia" w:eastAsia="黑体" w:cs="Calibri"/>
          <w:color w:val="000000"/>
          <w:sz w:val="32"/>
          <w:szCs w:val="32"/>
        </w:rPr>
        <w:t>二、法定代表人身份证明</w:t>
      </w:r>
    </w:p>
    <w:p>
      <w:pPr>
        <w:keepLines w:val="0"/>
        <w:pageBreakBefore w:val="0"/>
        <w:kinsoku/>
        <w:wordWrap/>
        <w:topLinePunct w:val="0"/>
        <w:bidi w:val="0"/>
        <w:spacing w:afterLines="50" w:line="360" w:lineRule="auto"/>
        <w:rPr>
          <w:rFonts w:cs="Calibri"/>
          <w:color w:val="000000"/>
          <w:sz w:val="24"/>
          <w:szCs w:val="24"/>
        </w:rPr>
      </w:pP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投标人名称：</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单位性质：</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地址：</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cs="Calibri"/>
          <w:color w:val="000000"/>
          <w:sz w:val="22"/>
          <w:szCs w:val="22"/>
          <w:u w:val="single"/>
        </w:rPr>
      </w:pPr>
      <w:r>
        <w:rPr>
          <w:rFonts w:hint="eastAsia" w:cs="Calibri"/>
          <w:color w:val="000000"/>
          <w:sz w:val="22"/>
          <w:szCs w:val="22"/>
        </w:rPr>
        <w:t>成立时间：</w:t>
      </w:r>
      <w:r>
        <w:rPr>
          <w:rFonts w:hint="eastAsia" w:cs="Calibri"/>
          <w:color w:val="000000"/>
          <w:sz w:val="22"/>
          <w:szCs w:val="22"/>
          <w:u w:val="single"/>
          <w:lang w:val="en-US" w:eastAsia="zh-CN"/>
        </w:rPr>
        <w:t xml:space="preserve">        </w:t>
      </w:r>
      <w:r>
        <w:rPr>
          <w:rFonts w:hint="eastAsia" w:cs="Calibri"/>
          <w:color w:val="000000"/>
          <w:sz w:val="22"/>
          <w:szCs w:val="22"/>
        </w:rPr>
        <w:t>年</w:t>
      </w:r>
      <w:r>
        <w:rPr>
          <w:rFonts w:hint="eastAsia" w:cs="Calibri"/>
          <w:color w:val="000000"/>
          <w:sz w:val="22"/>
          <w:szCs w:val="22"/>
          <w:u w:val="single"/>
          <w:lang w:val="en-US" w:eastAsia="zh-CN"/>
        </w:rPr>
        <w:t xml:space="preserve">        </w:t>
      </w:r>
      <w:r>
        <w:rPr>
          <w:rFonts w:hint="eastAsia" w:cs="Calibri"/>
          <w:color w:val="000000"/>
          <w:sz w:val="22"/>
          <w:szCs w:val="22"/>
        </w:rPr>
        <w:t>月</w:t>
      </w:r>
      <w:r>
        <w:rPr>
          <w:rFonts w:hint="eastAsia" w:cs="Calibri"/>
          <w:color w:val="000000"/>
          <w:sz w:val="22"/>
          <w:szCs w:val="22"/>
          <w:u w:val="single"/>
          <w:lang w:val="en-US" w:eastAsia="zh-CN"/>
        </w:rPr>
        <w:t xml:space="preserve">        </w:t>
      </w:r>
      <w:r>
        <w:rPr>
          <w:rFonts w:hint="eastAsia" w:cs="Calibri"/>
          <w:color w:val="000000"/>
          <w:sz w:val="22"/>
          <w:szCs w:val="22"/>
        </w:rPr>
        <w:t>日</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经营期限：</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姓名：</w:t>
      </w:r>
      <w:r>
        <w:rPr>
          <w:rFonts w:hint="eastAsia" w:cs="Calibri"/>
          <w:color w:val="000000"/>
          <w:sz w:val="22"/>
          <w:szCs w:val="22"/>
          <w:u w:val="single"/>
          <w:lang w:val="en-US" w:eastAsia="zh-CN"/>
        </w:rPr>
        <w:t xml:space="preserve">        </w:t>
      </w:r>
      <w:r>
        <w:rPr>
          <w:rFonts w:hint="eastAsia" w:cs="Calibri"/>
          <w:color w:val="000000"/>
          <w:sz w:val="22"/>
          <w:szCs w:val="22"/>
        </w:rPr>
        <w:t>性别：</w:t>
      </w:r>
      <w:r>
        <w:rPr>
          <w:rFonts w:hint="eastAsia" w:cs="Calibri"/>
          <w:color w:val="000000"/>
          <w:sz w:val="22"/>
          <w:szCs w:val="22"/>
          <w:u w:val="single"/>
          <w:lang w:val="en-US" w:eastAsia="zh-CN"/>
        </w:rPr>
        <w:t xml:space="preserve">         </w:t>
      </w:r>
      <w:r>
        <w:rPr>
          <w:rFonts w:hint="eastAsia" w:cs="Calibri"/>
          <w:color w:val="000000"/>
          <w:sz w:val="22"/>
          <w:szCs w:val="22"/>
        </w:rPr>
        <w:t>年龄：</w:t>
      </w:r>
      <w:r>
        <w:rPr>
          <w:rFonts w:hint="eastAsia" w:cs="Calibri"/>
          <w:color w:val="000000"/>
          <w:sz w:val="22"/>
          <w:szCs w:val="22"/>
          <w:u w:val="single"/>
          <w:lang w:val="en-US" w:eastAsia="zh-CN"/>
        </w:rPr>
        <w:t xml:space="preserve">         </w:t>
      </w:r>
      <w:r>
        <w:rPr>
          <w:rFonts w:hint="eastAsia" w:cs="Calibri"/>
          <w:color w:val="000000"/>
          <w:sz w:val="22"/>
          <w:szCs w:val="22"/>
        </w:rPr>
        <w:t>职务：</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身份证号码：</w:t>
      </w:r>
      <w:r>
        <w:rPr>
          <w:rFonts w:hint="eastAsia" w:cs="Calibri"/>
          <w:color w:val="000000"/>
          <w:sz w:val="22"/>
          <w:szCs w:val="22"/>
          <w:lang w:val="en-US" w:eastAsia="zh-CN"/>
        </w:rPr>
        <w:t xml:space="preserve"> </w:t>
      </w:r>
      <w:r>
        <w:rPr>
          <w:rFonts w:hint="eastAsia" w:cs="Calibri"/>
          <w:color w:val="000000"/>
          <w:sz w:val="22"/>
          <w:szCs w:val="22"/>
          <w:u w:val="single"/>
          <w:lang w:val="en-US" w:eastAsia="zh-CN"/>
        </w:rPr>
        <w:t xml:space="preserve">                                     </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系</w:t>
      </w:r>
      <w:r>
        <w:rPr>
          <w:rFonts w:hint="eastAsia" w:cs="Calibri"/>
          <w:color w:val="000000"/>
          <w:sz w:val="22"/>
          <w:szCs w:val="22"/>
          <w:u w:val="single"/>
          <w:lang w:val="en-US" w:eastAsia="zh-CN"/>
        </w:rPr>
        <w:t xml:space="preserve">                        </w:t>
      </w:r>
      <w:r>
        <w:rPr>
          <w:rFonts w:hint="eastAsia" w:cs="Calibri"/>
          <w:color w:val="000000"/>
          <w:sz w:val="22"/>
          <w:szCs w:val="22"/>
        </w:rPr>
        <w:t>（投标人名称）的法定代表人。</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特此证明。</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附：法定代表人身份证复印件</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投标人：（盖单位章）</w:t>
      </w:r>
    </w:p>
    <w:p>
      <w:pPr>
        <w:keepLines w:val="0"/>
        <w:pageBreakBefore w:val="0"/>
        <w:kinsoku/>
        <w:wordWrap/>
        <w:topLinePunct w:val="0"/>
        <w:bidi w:val="0"/>
        <w:spacing w:line="360" w:lineRule="auto"/>
        <w:ind w:firstLine="4917" w:firstLineChars="2235"/>
        <w:rPr>
          <w:rFonts w:cs="Calibri"/>
          <w:b/>
          <w:color w:val="000000"/>
          <w:sz w:val="22"/>
          <w:szCs w:val="22"/>
        </w:rPr>
      </w:pPr>
      <w:r>
        <w:rPr>
          <w:rFonts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Z2Oq48gEAAOk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0zmWZ7RxxZRNx5xaXrppgw9nUc8&#10;zFVPMpj8x3oI+lHo/VlcMSXC8HBxcdnMa3Qx9DXzy6uLpshf3V/3IaY3whmSjY4G7F4RFXZvY8KQ&#10;CP0JydGi04pvlNZlE/rtKx3IDrDTm/LlLPHKI5i2ZOzo1aJZYCKAAyc1JDSNRwmi7Uu8RzfiQ+K6&#10;fH8izomtIQ7HBApDhkFrVBKhWIMA/tpykvYeZbb4HmhOxghOiRb4fLJVkAmU/hskVqctFpl7dOxF&#10;ttK0nZAmm1vH99i3Wx9UP6CkpXMFjvNU1DnNfh7Yh/tCev9CV3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zC8j1wAAAAgBAAAPAAAAAAAAAAEAIAAAACIAAABkcnMvZG93bnJldi54bWxQSwECFAAU&#10;AAAACACHTuJAmdjquPIBAADp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bookmarkStart w:id="109" w:name="_top"/>
      <w:bookmarkEnd w:id="109"/>
      <w:r>
        <w:rPr>
          <w:rFonts w:hint="eastAsia" w:cs="Calibri"/>
          <w:color w:val="000000"/>
          <w:sz w:val="22"/>
          <w:szCs w:val="22"/>
        </w:rPr>
        <w:t>日期：</w:t>
      </w:r>
      <w:r>
        <w:rPr>
          <w:rFonts w:hint="eastAsia" w:cs="Calibri"/>
          <w:color w:val="000000"/>
          <w:sz w:val="22"/>
          <w:szCs w:val="22"/>
          <w:lang w:val="en-US" w:eastAsia="zh-CN"/>
        </w:rPr>
        <w:t xml:space="preserve">     </w:t>
      </w:r>
      <w:r>
        <w:rPr>
          <w:rFonts w:hint="eastAsia" w:cs="Calibri"/>
          <w:color w:val="000000"/>
          <w:sz w:val="22"/>
          <w:szCs w:val="22"/>
        </w:rPr>
        <w:t>年</w:t>
      </w:r>
      <w:r>
        <w:rPr>
          <w:rFonts w:hint="eastAsia" w:cs="Calibri"/>
          <w:color w:val="000000"/>
          <w:sz w:val="22"/>
          <w:szCs w:val="22"/>
          <w:lang w:val="en-US" w:eastAsia="zh-CN"/>
        </w:rPr>
        <w:t xml:space="preserve">     </w:t>
      </w:r>
      <w:r>
        <w:rPr>
          <w:rFonts w:hint="eastAsia" w:cs="Calibri"/>
          <w:color w:val="000000"/>
          <w:sz w:val="22"/>
          <w:szCs w:val="22"/>
        </w:rPr>
        <w:t>月</w:t>
      </w:r>
      <w:r>
        <w:rPr>
          <w:rFonts w:hint="eastAsia" w:cs="Calibri"/>
          <w:color w:val="000000"/>
          <w:sz w:val="22"/>
          <w:szCs w:val="22"/>
          <w:lang w:val="en-US" w:eastAsia="zh-CN"/>
        </w:rPr>
        <w:t xml:space="preserve">      </w:t>
      </w:r>
      <w:r>
        <w:rPr>
          <w:rFonts w:hint="eastAsia" w:cs="Calibri"/>
          <w:color w:val="000000"/>
          <w:sz w:val="22"/>
          <w:szCs w:val="22"/>
        </w:rPr>
        <w:t>日</w:t>
      </w:r>
    </w:p>
    <w:p>
      <w:pPr>
        <w:keepLines w:val="0"/>
        <w:pageBreakBefore w:val="0"/>
        <w:kinsoku/>
        <w:wordWrap/>
        <w:topLinePunct w:val="0"/>
        <w:bidi w:val="0"/>
        <w:spacing w:line="360" w:lineRule="auto"/>
        <w:jc w:val="center"/>
        <w:rPr>
          <w:rFonts w:eastAsia="黑体" w:cs="Calibri"/>
          <w:color w:val="000000"/>
          <w:sz w:val="28"/>
          <w:szCs w:val="28"/>
        </w:rPr>
      </w:pPr>
      <w:r>
        <w:rPr>
          <w:rFonts w:cs="Calibri"/>
          <w:color w:val="000000"/>
          <w:sz w:val="22"/>
          <w:szCs w:val="22"/>
        </w:rPr>
        <w:br w:type="page"/>
      </w:r>
      <w:r>
        <w:rPr>
          <w:rFonts w:hint="eastAsia" w:eastAsia="黑体" w:cs="Calibri"/>
          <w:color w:val="000000"/>
          <w:sz w:val="32"/>
          <w:szCs w:val="32"/>
        </w:rPr>
        <w:t>三、授权委托书</w:t>
      </w:r>
    </w:p>
    <w:p>
      <w:pPr>
        <w:keepLines w:val="0"/>
        <w:pageBreakBefore w:val="0"/>
        <w:kinsoku/>
        <w:wordWrap/>
        <w:topLinePunct w:val="0"/>
        <w:bidi w:val="0"/>
        <w:spacing w:line="360" w:lineRule="auto"/>
        <w:ind w:firstLine="420" w:firstLineChars="200"/>
        <w:rPr>
          <w:rFonts w:cs="Calibri"/>
          <w:color w:val="000000"/>
          <w:szCs w:val="21"/>
        </w:rPr>
      </w:pPr>
    </w:p>
    <w:p>
      <w:pPr>
        <w:keepLines w:val="0"/>
        <w:pageBreakBefore w:val="0"/>
        <w:kinsoku/>
        <w:wordWrap/>
        <w:topLinePunct w:val="0"/>
        <w:bidi w:val="0"/>
        <w:spacing w:line="360" w:lineRule="auto"/>
        <w:ind w:left="0" w:leftChars="0" w:firstLine="440" w:firstLineChars="200"/>
        <w:rPr>
          <w:rFonts w:cs="Calibri"/>
          <w:color w:val="000000"/>
          <w:sz w:val="22"/>
        </w:rPr>
      </w:pPr>
      <w:r>
        <w:rPr>
          <w:rFonts w:hint="eastAsia" w:cs="Calibri"/>
          <w:color w:val="000000"/>
          <w:sz w:val="22"/>
        </w:rPr>
        <w:t>本人</w:t>
      </w:r>
      <w:r>
        <w:rPr>
          <w:rFonts w:hint="eastAsia" w:cs="Calibri"/>
          <w:color w:val="000000"/>
          <w:sz w:val="22"/>
          <w:u w:val="single"/>
          <w:lang w:val="en-US" w:eastAsia="zh-CN"/>
        </w:rPr>
        <w:t xml:space="preserve">       </w:t>
      </w:r>
      <w:r>
        <w:rPr>
          <w:rFonts w:hint="eastAsia" w:cs="Calibri"/>
          <w:color w:val="000000"/>
          <w:sz w:val="22"/>
        </w:rPr>
        <w:t>（姓名）系</w:t>
      </w:r>
      <w:r>
        <w:rPr>
          <w:rFonts w:hint="eastAsia" w:cs="Calibri"/>
          <w:color w:val="000000"/>
          <w:sz w:val="22"/>
          <w:u w:val="single"/>
          <w:lang w:val="en-US" w:eastAsia="zh-CN"/>
        </w:rPr>
        <w:t xml:space="preserve">                    </w:t>
      </w:r>
      <w:r>
        <w:rPr>
          <w:rFonts w:hint="eastAsia" w:cs="Calibri"/>
          <w:color w:val="000000"/>
          <w:sz w:val="22"/>
        </w:rPr>
        <w:t>（投标人名称）的法定代表人，现委托</w:t>
      </w:r>
      <w:r>
        <w:rPr>
          <w:rFonts w:hint="eastAsia" w:cs="Calibri"/>
          <w:color w:val="000000"/>
          <w:sz w:val="22"/>
          <w:u w:val="single"/>
          <w:lang w:val="en-US" w:eastAsia="zh-CN"/>
        </w:rPr>
        <w:t xml:space="preserve">        </w:t>
      </w:r>
      <w:r>
        <w:rPr>
          <w:rFonts w:hint="eastAsia" w:cs="Calibri"/>
          <w:color w:val="000000"/>
          <w:sz w:val="22"/>
        </w:rPr>
        <w:t>（姓名）为我方代理人。代理人根据授权，以我方名义签署、澄清、说明、补正、递交、撤回、修改（项目名称）投标文件、签订合同和处理有关事宜，其法律后果由我方承担。</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代理人无转委托权。</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附：委托代理人身份证复印件</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32"/>
          <w:szCs w:val="32"/>
        </w:rPr>
      </w:pPr>
      <w:r>
        <w:rPr>
          <w:rFonts w:hint="eastAsia" w:cs="Calibri"/>
          <w:color w:val="000000"/>
          <w:sz w:val="22"/>
        </w:rPr>
        <w:t>投标人：（盖单位章）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法定代表人：（签字或盖章）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22"/>
        </w:rPr>
      </w:pPr>
      <w:r>
        <w:rPr>
          <w:rFonts w:hint="eastAsia" w:cs="Calibri"/>
          <w:color w:val="000000"/>
          <w:sz w:val="22"/>
        </w:rPr>
        <w:t>委托的代理人：（签字或盖章）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ind w:firstLine="4730" w:firstLineChars="2150"/>
        <w:rPr>
          <w:rFonts w:cs="Calibri"/>
          <w:color w:val="000000"/>
          <w:sz w:val="22"/>
        </w:rPr>
      </w:pPr>
      <w:r>
        <w:rPr>
          <w:rFonts w:hint="eastAsia" w:cs="Calibri"/>
          <w:color w:val="000000"/>
          <w:sz w:val="22"/>
        </w:rPr>
        <w:t>日期：</w:t>
      </w:r>
      <w:r>
        <w:rPr>
          <w:rFonts w:hint="eastAsia" w:cs="Calibri"/>
          <w:color w:val="000000"/>
          <w:sz w:val="22"/>
          <w:lang w:val="en-US" w:eastAsia="zh-CN"/>
        </w:rPr>
        <w:t xml:space="preserve">  </w:t>
      </w:r>
      <w:r>
        <w:rPr>
          <w:rFonts w:hint="eastAsia" w:cs="Calibri"/>
          <w:color w:val="000000"/>
          <w:sz w:val="22"/>
        </w:rPr>
        <w:t>年</w:t>
      </w:r>
      <w:r>
        <w:rPr>
          <w:rFonts w:hint="eastAsia" w:cs="Calibri"/>
          <w:color w:val="000000"/>
          <w:sz w:val="22"/>
          <w:lang w:val="en-US" w:eastAsia="zh-CN"/>
        </w:rPr>
        <w:t xml:space="preserve">   </w:t>
      </w:r>
      <w:r>
        <w:rPr>
          <w:rFonts w:hint="eastAsia" w:cs="Calibri"/>
          <w:color w:val="000000"/>
          <w:sz w:val="22"/>
        </w:rPr>
        <w:t>月</w:t>
      </w:r>
      <w:r>
        <w:rPr>
          <w:rFonts w:hint="eastAsia" w:cs="Calibri"/>
          <w:color w:val="000000"/>
          <w:sz w:val="22"/>
          <w:lang w:val="en-US" w:eastAsia="zh-CN"/>
        </w:rPr>
        <w:t xml:space="preserve">   </w:t>
      </w:r>
      <w:r>
        <w:rPr>
          <w:rFonts w:hint="eastAsia" w:cs="Calibri"/>
          <w:color w:val="000000"/>
          <w:sz w:val="22"/>
        </w:rPr>
        <w:t>日</w:t>
      </w:r>
    </w:p>
    <w:p>
      <w:pPr>
        <w:keepLines w:val="0"/>
        <w:pageBreakBefore w:val="0"/>
        <w:kinsoku/>
        <w:wordWrap/>
        <w:topLinePunct w:val="0"/>
        <w:bidi w:val="0"/>
        <w:snapToGrid w:val="0"/>
        <w:spacing w:line="360" w:lineRule="auto"/>
        <w:rPr>
          <w:rFonts w:cs="Calibri"/>
          <w:color w:val="000000"/>
          <w:szCs w:val="21"/>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Bw5eV/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keepLines w:val="0"/>
        <w:pageBreakBefore w:val="0"/>
        <w:kinsoku/>
        <w:wordWrap/>
        <w:topLinePunct w:val="0"/>
        <w:bidi w:val="0"/>
        <w:spacing w:line="360" w:lineRule="auto"/>
        <w:rPr>
          <w:rFonts w:cs="Calibri"/>
          <w:b/>
          <w:bCs/>
          <w:color w:val="000000"/>
          <w:sz w:val="22"/>
        </w:rPr>
      </w:pPr>
      <w:r>
        <w:rPr>
          <w:rFonts w:hint="eastAsia" w:cs="Calibri"/>
          <w:color w:val="000000"/>
          <w:sz w:val="22"/>
        </w:rPr>
        <w:t>注：如投标文件由委托代理人签字或盖章的，投标文件必须附此授权委托书。</w:t>
      </w:r>
    </w:p>
    <w:p>
      <w:pPr>
        <w:keepLines w:val="0"/>
        <w:pageBreakBefore w:val="0"/>
        <w:kinsoku/>
        <w:wordWrap/>
        <w:topLinePunct w:val="0"/>
        <w:bidi w:val="0"/>
        <w:spacing w:line="360" w:lineRule="auto"/>
        <w:jc w:val="left"/>
        <w:rPr>
          <w:rFonts w:ascii="宋体" w:hAnsi="宋体" w:cs="宋体"/>
          <w:sz w:val="22"/>
        </w:rPr>
      </w:pPr>
    </w:p>
    <w:p>
      <w:pPr>
        <w:keepLines w:val="0"/>
        <w:pageBreakBefore w:val="0"/>
        <w:kinsoku/>
        <w:wordWrap/>
        <w:topLinePunct w:val="0"/>
        <w:bidi w:val="0"/>
        <w:spacing w:afterLines="50" w:line="360" w:lineRule="auto"/>
        <w:jc w:val="left"/>
        <w:rPr>
          <w:rFonts w:ascii="宋体" w:hAnsi="宋体" w:cs="宋体"/>
          <w:kern w:val="0"/>
          <w:sz w:val="22"/>
        </w:rPr>
      </w:pPr>
      <w:r>
        <w:rPr>
          <w:rFonts w:hint="eastAsia" w:ascii="宋体" w:hAnsi="宋体" w:cs="宋体"/>
          <w:b/>
          <w:kern w:val="0"/>
          <w:sz w:val="20"/>
          <w:szCs w:val="21"/>
        </w:rPr>
        <w:br w:type="page"/>
      </w:r>
      <w:bookmarkStart w:id="110" w:name="_Toc133214102"/>
      <w:bookmarkStart w:id="111" w:name="_Toc133470542"/>
      <w:bookmarkStart w:id="112" w:name="_Toc133214309"/>
      <w:bookmarkStart w:id="113" w:name="_Toc137373398"/>
      <w:bookmarkStart w:id="114" w:name="_Toc144265958"/>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rPr>
        <w:t>四、投标报价表</w:t>
      </w:r>
    </w:p>
    <w:p>
      <w:pPr>
        <w:keepLines w:val="0"/>
        <w:pageBreakBefore w:val="0"/>
        <w:kinsoku/>
        <w:wordWrap/>
        <w:topLinePunct w:val="0"/>
        <w:bidi w:val="0"/>
        <w:spacing w:afterLines="50" w:line="360" w:lineRule="auto"/>
        <w:jc w:val="center"/>
        <w:rPr>
          <w:rFonts w:ascii="宋体" w:hAnsi="宋体" w:cs="宋体"/>
          <w:kern w:val="0"/>
          <w:sz w:val="20"/>
          <w:szCs w:val="21"/>
        </w:rPr>
      </w:pPr>
    </w:p>
    <w:p>
      <w:pPr>
        <w:keepNext w:val="0"/>
        <w:keepLines w:val="0"/>
        <w:pageBreakBefore w:val="0"/>
        <w:widowControl w:val="0"/>
        <w:numPr>
          <w:ilvl w:val="0"/>
          <w:numId w:val="0"/>
        </w:numPr>
        <w:tabs>
          <w:tab w:val="left" w:pos="1086"/>
        </w:tabs>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lang w:val="en-US" w:eastAsia="zh-CN"/>
        </w:rPr>
        <w:t>1、</w:t>
      </w:r>
      <w:r>
        <w:rPr>
          <w:rFonts w:hint="eastAsia" w:asciiTheme="minorEastAsia" w:hAnsiTheme="minorEastAsia" w:eastAsiaTheme="minorEastAsia" w:cstheme="minorEastAsia"/>
          <w:b/>
          <w:kern w:val="0"/>
          <w:sz w:val="22"/>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1.1</w:t>
      </w:r>
      <w:r>
        <w:rPr>
          <w:rFonts w:hint="eastAsia" w:asciiTheme="minorEastAsia" w:hAnsiTheme="minorEastAsia" w:eastAsiaTheme="minorEastAsia" w:cstheme="minorEastAsia"/>
          <w:kern w:val="0"/>
          <w:sz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1.2</w:t>
      </w:r>
      <w:r>
        <w:rPr>
          <w:rFonts w:hint="eastAsia" w:asciiTheme="minorEastAsia" w:hAnsiTheme="minorEastAsia" w:eastAsiaTheme="minorEastAsia" w:cstheme="minorEastAsia"/>
          <w:kern w:val="0"/>
          <w:sz w:val="22"/>
        </w:rPr>
        <w:t>报价应包含本项目所有税项。</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1.3</w:t>
      </w:r>
      <w:r>
        <w:rPr>
          <w:rFonts w:hint="eastAsia" w:asciiTheme="minorEastAsia" w:hAnsiTheme="minorEastAsia" w:eastAsiaTheme="minorEastAsia" w:cstheme="minorEastAsia"/>
          <w:kern w:val="0"/>
          <w:sz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1.4</w:t>
      </w:r>
      <w:r>
        <w:rPr>
          <w:rFonts w:hint="eastAsia" w:asciiTheme="minorEastAsia" w:hAnsiTheme="minorEastAsia" w:eastAsiaTheme="minorEastAsia" w:cstheme="minorEastAsia"/>
          <w:kern w:val="0"/>
          <w:sz w:val="22"/>
        </w:rPr>
        <w:t>本投标报价表中所有金额和单价以人民币结算。</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1.5</w:t>
      </w:r>
      <w:r>
        <w:rPr>
          <w:rFonts w:hint="eastAsia" w:asciiTheme="minorEastAsia" w:hAnsiTheme="minorEastAsia" w:eastAsiaTheme="minorEastAsia" w:cstheme="minorEastAsia"/>
          <w:kern w:val="0"/>
          <w:sz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lang w:val="en-US" w:eastAsia="zh-CN"/>
        </w:rPr>
        <w:t>2、</w:t>
      </w:r>
      <w:r>
        <w:rPr>
          <w:rFonts w:hint="eastAsia" w:asciiTheme="minorEastAsia" w:hAnsiTheme="minorEastAsia" w:eastAsiaTheme="minorEastAsia" w:cstheme="minorEastAsia"/>
          <w:b/>
          <w:bCs/>
          <w:kern w:val="0"/>
          <w:sz w:val="22"/>
        </w:rPr>
        <w:t>投标报价表包含以下各表</w:t>
      </w:r>
    </w:p>
    <w:bookmarkEnd w:id="110"/>
    <w:bookmarkEnd w:id="111"/>
    <w:bookmarkEnd w:id="112"/>
    <w:bookmarkEnd w:id="113"/>
    <w:bookmarkEnd w:id="114"/>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(1)投标报价汇总表</w:t>
      </w:r>
    </w:p>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sz w:val="22"/>
          <w:lang w:eastAsia="zh-CN"/>
        </w:rPr>
        <w:t>材料</w:t>
      </w:r>
      <w:r>
        <w:rPr>
          <w:rFonts w:hint="eastAsia" w:asciiTheme="minorEastAsia" w:hAnsiTheme="minorEastAsia" w:eastAsiaTheme="minorEastAsia" w:cstheme="minorEastAsia"/>
          <w:sz w:val="22"/>
        </w:rPr>
        <w:t>费分项报价表</w:t>
      </w:r>
    </w:p>
    <w:p>
      <w:pPr>
        <w:keepLines w:val="0"/>
        <w:pageBreakBefore w:val="0"/>
        <w:kinsoku/>
        <w:wordWrap/>
        <w:topLinePunct w:val="0"/>
        <w:bidi w:val="0"/>
        <w:snapToGrid w:val="0"/>
        <w:spacing w:beforeLines="50" w:line="360" w:lineRule="auto"/>
        <w:ind w:left="1134"/>
        <w:rPr>
          <w:rFonts w:ascii="宋体" w:hAnsi="宋体" w:cs="宋体"/>
          <w:sz w:val="22"/>
        </w:rPr>
      </w:pPr>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sz w:val="22"/>
        </w:rPr>
        <w:br w:type="page"/>
      </w:r>
      <w:r>
        <w:rPr>
          <w:rFonts w:hint="eastAsia" w:asciiTheme="majorEastAsia" w:hAnsiTheme="majorEastAsia" w:eastAsiaTheme="majorEastAsia" w:cstheme="majorEastAsia"/>
          <w:b/>
          <w:sz w:val="28"/>
          <w:szCs w:val="28"/>
        </w:rPr>
        <w:t>4.1 投标报价汇总表</w:t>
      </w:r>
    </w:p>
    <w:p>
      <w:pPr>
        <w:keepLines w:val="0"/>
        <w:pageBreakBefore w:val="0"/>
        <w:kinsoku/>
        <w:wordWrap/>
        <w:topLinePunct w:val="0"/>
        <w:bidi w:val="0"/>
        <w:spacing w:line="360" w:lineRule="auto"/>
        <w:rPr>
          <w:rFonts w:ascii="宋体" w:hAnsi="宋体" w:cs="宋体"/>
        </w:rPr>
      </w:pPr>
    </w:p>
    <w:p>
      <w:pPr>
        <w:keepLines w:val="0"/>
        <w:pageBreakBefore w:val="0"/>
        <w:kinsoku/>
        <w:wordWrap/>
        <w:topLinePunct w:val="0"/>
        <w:bidi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[货币单位：人民币元]</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内容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投标报价</w:t>
            </w: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材料</w:t>
            </w:r>
            <w:r>
              <w:rPr>
                <w:rFonts w:hint="eastAsia" w:asciiTheme="minorEastAsia" w:hAnsiTheme="minorEastAsia" w:eastAsiaTheme="minorEastAsia" w:cstheme="minorEastAsia"/>
                <w:sz w:val="22"/>
                <w:szCs w:val="22"/>
              </w:rPr>
              <w:t>费(表4.2)</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拆除费及废料运输费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总计</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bl>
    <w:p>
      <w:pPr>
        <w:keepLines w:val="0"/>
        <w:pageBreakBefore w:val="0"/>
        <w:kinsoku/>
        <w:wordWrap/>
        <w:topLinePunct w:val="0"/>
        <w:bidi w:val="0"/>
        <w:spacing w:line="360" w:lineRule="auto"/>
        <w:jc w:val="right"/>
        <w:rPr>
          <w:rFonts w:ascii="宋体" w:hAnsi="宋体" w:cs="宋体"/>
          <w:sz w:val="22"/>
        </w:rPr>
      </w:pPr>
    </w:p>
    <w:p>
      <w:pPr>
        <w:keepLines w:val="0"/>
        <w:pageBreakBefore w:val="0"/>
        <w:kinsoku/>
        <w:wordWrap/>
        <w:topLinePunct w:val="0"/>
        <w:bidi w:val="0"/>
        <w:spacing w:line="360" w:lineRule="auto"/>
        <w:rPr>
          <w:rFonts w:ascii="宋体" w:hAnsi="宋体" w:cs="宋体"/>
          <w:sz w:val="22"/>
        </w:rPr>
      </w:pPr>
    </w:p>
    <w:p>
      <w:pPr>
        <w:keepLines w:val="0"/>
        <w:pageBreakBefore w:val="0"/>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numPr>
          <w:ilvl w:val="2"/>
          <w:numId w:val="8"/>
        </w:numPr>
        <w:kinsoku/>
        <w:wordWrap/>
        <w:topLinePunct w:val="0"/>
        <w:bidi w:val="0"/>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keepLines w:val="0"/>
        <w:pageBreakBefore w:val="0"/>
        <w:kinsoku/>
        <w:wordWrap/>
        <w:topLinePunct w:val="0"/>
        <w:bidi w:val="0"/>
        <w:snapToGrid w:val="0"/>
        <w:spacing w:line="360" w:lineRule="auto"/>
        <w:rPr>
          <w:rFonts w:ascii="宋体" w:hAnsi="宋体" w:cs="宋体"/>
          <w:sz w:val="22"/>
        </w:rPr>
      </w:pPr>
    </w:p>
    <w:p>
      <w:pPr>
        <w:keepLines w:val="0"/>
        <w:pageBreakBefore w:val="0"/>
        <w:kinsoku/>
        <w:wordWrap/>
        <w:topLinePunct w:val="0"/>
        <w:bidi w:val="0"/>
        <w:spacing w:beforeLines="50" w:line="360" w:lineRule="auto"/>
        <w:ind w:firstLine="3960"/>
        <w:rPr>
          <w:rFonts w:ascii="宋体" w:hAnsi="宋体" w:cs="宋体"/>
        </w:rPr>
      </w:pPr>
      <w:bookmarkStart w:id="115" w:name="_Toc137373399"/>
      <w:bookmarkStart w:id="116" w:name="_Toc133470544"/>
      <w:bookmarkStart w:id="117" w:name="_Toc133214103"/>
      <w:bookmarkStart w:id="118" w:name="_Toc133214310"/>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b/>
          <w:sz w:val="32"/>
          <w:szCs w:val="32"/>
        </w:rPr>
        <w:br w:type="page"/>
      </w:r>
      <w:bookmarkStart w:id="119" w:name="_Toc144265959"/>
    </w:p>
    <w:bookmarkEnd w:id="115"/>
    <w:bookmarkEnd w:id="116"/>
    <w:bookmarkEnd w:id="117"/>
    <w:bookmarkEnd w:id="118"/>
    <w:bookmarkEnd w:id="119"/>
    <w:p>
      <w:pPr>
        <w:keepLines w:val="0"/>
        <w:pageBreakBefore w:val="0"/>
        <w:kinsoku/>
        <w:wordWrap/>
        <w:topLinePunct w:val="0"/>
        <w:bidi w:val="0"/>
        <w:snapToGrid w:val="0"/>
        <w:spacing w:line="360" w:lineRule="auto"/>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4.2</w:t>
      </w:r>
      <w:r>
        <w:rPr>
          <w:rFonts w:hint="eastAsia" w:asciiTheme="majorEastAsia" w:hAnsiTheme="majorEastAsia" w:eastAsiaTheme="majorEastAsia" w:cstheme="majorEastAsia"/>
          <w:b/>
          <w:sz w:val="28"/>
          <w:szCs w:val="28"/>
          <w:lang w:eastAsia="zh-CN"/>
        </w:rPr>
        <w:t>材料</w:t>
      </w:r>
      <w:r>
        <w:rPr>
          <w:rFonts w:hint="eastAsia" w:asciiTheme="majorEastAsia" w:hAnsiTheme="majorEastAsia" w:eastAsiaTheme="majorEastAsia" w:cstheme="majorEastAsia"/>
          <w:b/>
          <w:sz w:val="28"/>
          <w:szCs w:val="28"/>
        </w:rPr>
        <w:t>费分项报价表</w:t>
      </w:r>
    </w:p>
    <w:tbl>
      <w:tblPr>
        <w:tblStyle w:val="15"/>
        <w:tblpPr w:leftFromText="180" w:rightFromText="180" w:vertAnchor="text" w:horzAnchor="page" w:tblpX="1305" w:tblpY="28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761"/>
        <w:gridCol w:w="825"/>
        <w:gridCol w:w="13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lang w:eastAsia="zh-CN"/>
              </w:rPr>
              <w:t>材料</w:t>
            </w:r>
            <w:r>
              <w:rPr>
                <w:rFonts w:hint="eastAsia" w:ascii="宋体" w:hAnsi="宋体" w:eastAsia="宋体" w:cs="宋体"/>
                <w:b/>
                <w:bCs/>
                <w:kern w:val="0"/>
                <w:sz w:val="22"/>
                <w:szCs w:val="22"/>
              </w:rPr>
              <w:t>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品牌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产地</w:t>
            </w:r>
          </w:p>
        </w:tc>
        <w:tc>
          <w:tcPr>
            <w:tcW w:w="7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bl>
    <w:p>
      <w:pPr>
        <w:keepLines w:val="0"/>
        <w:pageBreakBefore w:val="0"/>
        <w:kinsoku/>
        <w:wordWrap/>
        <w:topLinePunct w:val="0"/>
        <w:bidi w:val="0"/>
        <w:spacing w:line="360" w:lineRule="auto"/>
        <w:rPr>
          <w:rFonts w:ascii="宋体" w:hAnsi="宋体" w:cs="宋体"/>
          <w:bCs/>
          <w:sz w:val="22"/>
        </w:rPr>
      </w:pPr>
    </w:p>
    <w:p>
      <w:pPr>
        <w:keepLines w:val="0"/>
        <w:pageBreakBefore w:val="0"/>
        <w:widowControl/>
        <w:kinsoku/>
        <w:wordWrap/>
        <w:topLinePunct w:val="0"/>
        <w:bidi w:val="0"/>
        <w:spacing w:line="360" w:lineRule="auto"/>
        <w:rPr>
          <w:rFonts w:ascii="宋体" w:hAnsi="宋体" w:cs="宋体"/>
          <w:sz w:val="22"/>
        </w:rPr>
      </w:pPr>
    </w:p>
    <w:p>
      <w:pPr>
        <w:keepLines w:val="0"/>
        <w:pageBreakBefore w:val="0"/>
        <w:widowControl/>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widowControl/>
        <w:numPr>
          <w:ilvl w:val="0"/>
          <w:numId w:val="9"/>
        </w:numPr>
        <w:tabs>
          <w:tab w:val="left" w:pos="284"/>
        </w:tabs>
        <w:kinsoku/>
        <w:wordWrap/>
        <w:topLinePunct w:val="0"/>
        <w:bidi w:val="0"/>
        <w:spacing w:line="36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综合单价包括但不限于产品生产、包装、运至指定地点的运输、装卸、保险、安装及各种税费。</w:t>
      </w:r>
    </w:p>
    <w:p>
      <w:pPr>
        <w:keepLines w:val="0"/>
        <w:pageBreakBefore w:val="0"/>
        <w:kinsoku/>
        <w:wordWrap/>
        <w:topLinePunct w:val="0"/>
        <w:bidi w:val="0"/>
        <w:spacing w:line="360" w:lineRule="auto"/>
        <w:jc w:val="center"/>
        <w:rPr>
          <w:rFonts w:ascii="宋体" w:hAnsi="宋体" w:cs="Arial"/>
          <w:b/>
          <w:sz w:val="22"/>
        </w:rPr>
      </w:pPr>
      <w:r>
        <w:rPr>
          <w:rFonts w:hint="eastAsia" w:ascii="宋体" w:hAnsi="宋体" w:cs="宋体"/>
          <w:sz w:val="22"/>
        </w:rPr>
        <w:br w:type="page"/>
      </w:r>
    </w:p>
    <w:p>
      <w:pPr>
        <w:keepLines w:val="0"/>
        <w:pageBreakBefore w:val="0"/>
        <w:kinsoku/>
        <w:wordWrap/>
        <w:topLinePunct w:val="0"/>
        <w:bidi w:val="0"/>
        <w:spacing w:line="360" w:lineRule="auto"/>
        <w:jc w:val="center"/>
        <w:rPr>
          <w:rFonts w:hint="eastAsia" w:ascii="黑体" w:hAnsi="黑体" w:eastAsia="黑体" w:cs="黑体"/>
          <w:b/>
          <w:color w:val="000000"/>
          <w:sz w:val="32"/>
          <w:szCs w:val="32"/>
        </w:rPr>
      </w:pPr>
      <w:bookmarkStart w:id="120" w:name="_Toc411356149"/>
      <w:r>
        <w:rPr>
          <w:rFonts w:hint="eastAsia" w:ascii="黑体" w:hAnsi="黑体" w:eastAsia="黑体" w:cs="黑体"/>
          <w:b/>
          <w:color w:val="000000"/>
          <w:sz w:val="32"/>
          <w:szCs w:val="32"/>
          <w:lang w:eastAsia="zh-CN"/>
        </w:rPr>
        <w:t>五</w:t>
      </w:r>
      <w:r>
        <w:rPr>
          <w:rFonts w:hint="eastAsia" w:ascii="黑体" w:hAnsi="黑体" w:eastAsia="黑体" w:cs="黑体"/>
          <w:b/>
          <w:color w:val="000000"/>
          <w:sz w:val="32"/>
          <w:szCs w:val="32"/>
        </w:rPr>
        <w:t>、技术文件</w:t>
      </w:r>
      <w:bookmarkEnd w:id="120"/>
    </w:p>
    <w:p>
      <w:pPr>
        <w:pStyle w:val="14"/>
        <w:rPr>
          <w:rFonts w:hint="eastAsia"/>
          <w:sz w:val="24"/>
          <w:szCs w:val="24"/>
        </w:rPr>
      </w:pPr>
    </w:p>
    <w:p>
      <w:pPr>
        <w:keepLines w:val="0"/>
        <w:pageBreakBefore w:val="0"/>
        <w:kinsoku/>
        <w:wordWrap/>
        <w:topLinePunct w:val="0"/>
        <w:bidi w:val="0"/>
        <w:spacing w:line="360" w:lineRule="auto"/>
        <w:jc w:val="center"/>
        <w:rPr>
          <w:rFonts w:hint="eastAsia" w:asciiTheme="minorEastAsia" w:hAnsiTheme="minorEastAsia" w:eastAsiaTheme="minorEastAsia" w:cstheme="minorEastAsia"/>
          <w:color w:val="000000"/>
          <w:sz w:val="24"/>
        </w:rPr>
      </w:pPr>
      <w:r>
        <w:rPr>
          <w:rFonts w:hint="eastAsia" w:ascii="宋体" w:hAnsi="宋体" w:eastAsia="宋体" w:cs="宋体"/>
          <w:b/>
          <w:color w:val="000000"/>
          <w:sz w:val="28"/>
          <w:szCs w:val="28"/>
        </w:rPr>
        <w:t>1、项目设计与施工方案</w:t>
      </w:r>
    </w:p>
    <w:p>
      <w:pPr>
        <w:keepLines w:val="0"/>
        <w:pageBreakBefore w:val="0"/>
        <w:kinsoku/>
        <w:wordWrap/>
        <w:topLinePunct w:val="0"/>
        <w:bidi w:val="0"/>
        <w:spacing w:line="360" w:lineRule="auto"/>
        <w:rPr>
          <w:rFonts w:ascii="宋体" w:hAnsi="宋体"/>
          <w:sz w:val="22"/>
        </w:rPr>
      </w:pPr>
      <w:r>
        <w:rPr>
          <w:rFonts w:hint="eastAsia" w:ascii="宋体" w:hAnsi="宋体"/>
          <w:sz w:val="22"/>
        </w:rPr>
        <w:t>投标人应提出</w:t>
      </w:r>
      <w:r>
        <w:rPr>
          <w:rFonts w:hint="eastAsia" w:ascii="宋体" w:hAnsi="宋体"/>
          <w:sz w:val="22"/>
          <w:lang w:eastAsia="zh-CN"/>
        </w:rPr>
        <w:t>航站楼</w:t>
      </w:r>
      <w:r>
        <w:rPr>
          <w:rFonts w:hint="eastAsia" w:ascii="宋体" w:hAnsi="宋体"/>
          <w:sz w:val="22"/>
        </w:rPr>
        <w:t>问询</w:t>
      </w:r>
      <w:r>
        <w:rPr>
          <w:rFonts w:hint="eastAsia" w:ascii="宋体" w:hAnsi="宋体"/>
          <w:sz w:val="22"/>
          <w:lang w:eastAsia="zh-CN"/>
        </w:rPr>
        <w:t>台无障碍设施及新增盲道改造</w:t>
      </w:r>
      <w:r>
        <w:rPr>
          <w:rFonts w:hint="eastAsia" w:ascii="宋体" w:hAnsi="宋体"/>
          <w:sz w:val="22"/>
        </w:rPr>
        <w:t>的总体方案，并在投标文件中至少应提供如下文件：</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cstheme="minorEastAsia"/>
          <w:sz w:val="22"/>
          <w:lang w:eastAsia="zh-CN"/>
        </w:rPr>
        <w:t>航站楼问询台无障碍设施</w:t>
      </w:r>
      <w:r>
        <w:rPr>
          <w:rFonts w:hint="eastAsia" w:asciiTheme="minorEastAsia" w:hAnsiTheme="minorEastAsia" w:eastAsiaTheme="minorEastAsia" w:cstheme="minorEastAsia"/>
          <w:sz w:val="22"/>
          <w:lang w:eastAsia="zh-CN"/>
        </w:rPr>
        <w:t>及</w:t>
      </w:r>
      <w:r>
        <w:rPr>
          <w:rFonts w:hint="eastAsia" w:asciiTheme="minorEastAsia" w:hAnsiTheme="minorEastAsia" w:cstheme="minorEastAsia"/>
          <w:sz w:val="22"/>
          <w:lang w:eastAsia="zh-CN"/>
        </w:rPr>
        <w:t>新增盲道改造</w:t>
      </w:r>
      <w:r>
        <w:rPr>
          <w:rFonts w:hint="eastAsia" w:asciiTheme="minorEastAsia" w:hAnsiTheme="minorEastAsia" w:eastAsiaTheme="minorEastAsia" w:cstheme="minorEastAsia"/>
          <w:sz w:val="22"/>
        </w:rPr>
        <w:t>设计方案、施工图纸设计、费用概算；</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w:t>
      </w:r>
      <w:r>
        <w:rPr>
          <w:rFonts w:hint="eastAsia" w:asciiTheme="minorEastAsia" w:hAnsiTheme="minorEastAsia" w:cstheme="minorEastAsia"/>
          <w:sz w:val="22"/>
          <w:lang w:eastAsia="zh-CN"/>
        </w:rPr>
        <w:t>航站楼问询台</w:t>
      </w:r>
      <w:r>
        <w:rPr>
          <w:rFonts w:hint="eastAsia" w:asciiTheme="minorEastAsia" w:hAnsiTheme="minorEastAsia" w:cstheme="minorEastAsia"/>
          <w:color w:val="000000" w:themeColor="text1"/>
          <w:sz w:val="22"/>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14:textFill>
            <w14:solidFill>
              <w14:schemeClr w14:val="tx1"/>
            </w14:solidFill>
          </w14:textFill>
        </w:rPr>
        <w:t>结构样式、装饰装修、选材用材、强弱电安装、区域功能设计、标识标牌等详细说明</w:t>
      </w:r>
      <w:r>
        <w:rPr>
          <w:rFonts w:hint="eastAsia" w:asciiTheme="minorEastAsia" w:hAnsiTheme="minorEastAsia" w:cstheme="minorEastAsia"/>
          <w:color w:val="000000" w:themeColor="text1"/>
          <w:sz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14:textFill>
            <w14:solidFill>
              <w14:schemeClr w14:val="tx1"/>
            </w14:solidFill>
          </w14:textFill>
        </w:rPr>
        <w:t>并附至少</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14:textFill>
            <w14:solidFill>
              <w14:schemeClr w14:val="tx1"/>
            </w14:solidFill>
          </w14:textFill>
        </w:rPr>
        <w:t>张设计效果图和</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14:textFill>
            <w14:solidFill>
              <w14:schemeClr w14:val="tx1"/>
            </w14:solidFill>
          </w14:textFill>
        </w:rPr>
        <w:t>张不同角度的现场效果图；</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w:t>
      </w:r>
      <w:r>
        <w:rPr>
          <w:rFonts w:hint="eastAsia" w:asciiTheme="minorEastAsia" w:hAnsiTheme="minorEastAsia" w:cstheme="minorEastAsia"/>
          <w:sz w:val="22"/>
          <w:lang w:eastAsia="zh-CN"/>
        </w:rPr>
        <w:t>航站楼问询台无障碍设施</w:t>
      </w:r>
      <w:r>
        <w:rPr>
          <w:rFonts w:hint="eastAsia" w:asciiTheme="minorEastAsia" w:hAnsiTheme="minorEastAsia" w:eastAsiaTheme="minorEastAsia" w:cstheme="minorEastAsia"/>
          <w:sz w:val="22"/>
          <w:lang w:eastAsia="zh-CN"/>
        </w:rPr>
        <w:t>及</w:t>
      </w:r>
      <w:r>
        <w:rPr>
          <w:rFonts w:hint="eastAsia" w:asciiTheme="minorEastAsia" w:hAnsiTheme="minorEastAsia" w:cstheme="minorEastAsia"/>
          <w:sz w:val="22"/>
          <w:lang w:eastAsia="zh-CN"/>
        </w:rPr>
        <w:t>新增盲道改造</w:t>
      </w:r>
      <w:r>
        <w:rPr>
          <w:rFonts w:hint="eastAsia" w:asciiTheme="minorEastAsia" w:hAnsiTheme="minorEastAsia" w:eastAsiaTheme="minorEastAsia" w:cstheme="minorEastAsia"/>
          <w:sz w:val="22"/>
        </w:rPr>
        <w:t>施工工艺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说明、工程量清单、主要材料</w:t>
      </w:r>
      <w:r>
        <w:rPr>
          <w:rFonts w:hint="eastAsia" w:asciiTheme="minorEastAsia" w:hAnsiTheme="minorEastAsia" w:eastAsiaTheme="minorEastAsia" w:cstheme="minorEastAsia"/>
          <w:sz w:val="22"/>
          <w:lang w:eastAsia="zh-CN"/>
        </w:rPr>
        <w:t>物</w:t>
      </w:r>
      <w:r>
        <w:rPr>
          <w:rFonts w:hint="eastAsia" w:asciiTheme="minorEastAsia" w:hAnsiTheme="minorEastAsia" w:eastAsiaTheme="minorEastAsia" w:cstheme="minorEastAsia"/>
          <w:sz w:val="22"/>
        </w:rPr>
        <w:t>品清单等；</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w:t>
      </w:r>
      <w:r>
        <w:rPr>
          <w:rFonts w:hint="eastAsia" w:asciiTheme="minorEastAsia" w:hAnsiTheme="minorEastAsia" w:cstheme="minorEastAsia"/>
          <w:sz w:val="22"/>
          <w:lang w:eastAsia="zh-CN"/>
        </w:rPr>
        <w:t>项目</w:t>
      </w:r>
      <w:r>
        <w:rPr>
          <w:rFonts w:hint="eastAsia" w:asciiTheme="minorEastAsia" w:hAnsiTheme="minorEastAsia" w:eastAsiaTheme="minorEastAsia" w:cstheme="minorEastAsia"/>
          <w:sz w:val="22"/>
        </w:rPr>
        <w:t>设计与施工工作安排进度表；</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（5）服务质量承诺及保证措施；</w:t>
      </w:r>
    </w:p>
    <w:p>
      <w:pPr>
        <w:keepLines w:val="0"/>
        <w:pageBreakBefore w:val="0"/>
        <w:kinsoku/>
        <w:wordWrap/>
        <w:topLinePunct w:val="0"/>
        <w:bidi w:val="0"/>
        <w:spacing w:line="360" w:lineRule="auto"/>
        <w:ind w:firstLine="440" w:firstLineChars="200"/>
        <w:rPr>
          <w:rFonts w:hint="eastAsia" w:ascii="宋体" w:hAnsi="宋体" w:eastAsiaTheme="minorEastAsia"/>
          <w:sz w:val="22"/>
          <w:lang w:eastAsia="zh-CN"/>
        </w:rPr>
      </w:pPr>
      <w:r>
        <w:rPr>
          <w:rFonts w:hint="eastAsia" w:ascii="宋体" w:hAnsi="宋体"/>
          <w:sz w:val="22"/>
        </w:rPr>
        <w:t>（6）后续服务的安排及保证措施</w:t>
      </w:r>
      <w:r>
        <w:rPr>
          <w:rFonts w:hint="eastAsia" w:ascii="宋体" w:hAnsi="宋体"/>
          <w:sz w:val="22"/>
          <w:lang w:eastAsia="zh-CN"/>
        </w:rPr>
        <w:t>。</w:t>
      </w:r>
    </w:p>
    <w:p>
      <w:pPr>
        <w:keepLines w:val="0"/>
        <w:pageBreakBefore w:val="0"/>
        <w:kinsoku/>
        <w:wordWrap/>
        <w:topLinePunct w:val="0"/>
        <w:bidi w:val="0"/>
        <w:spacing w:line="360" w:lineRule="auto"/>
        <w:ind w:firstLine="640" w:firstLineChars="200"/>
        <w:jc w:val="center"/>
        <w:rPr>
          <w:rFonts w:ascii="宋体" w:hAnsi="宋体"/>
          <w:b/>
          <w:color w:val="000000"/>
          <w:sz w:val="24"/>
        </w:rPr>
      </w:pPr>
      <w:r>
        <w:rPr>
          <w:rFonts w:eastAsia="黑体" w:cs="Calibri"/>
          <w:color w:val="000000"/>
          <w:sz w:val="32"/>
          <w:szCs w:val="32"/>
        </w:rPr>
        <w:br w:type="page"/>
      </w:r>
      <w:r>
        <w:rPr>
          <w:rFonts w:hint="eastAsia" w:ascii="宋体" w:hAnsi="宋体" w:eastAsia="宋体" w:cs="宋体"/>
          <w:b/>
          <w:color w:val="000000"/>
          <w:sz w:val="28"/>
          <w:szCs w:val="28"/>
        </w:rPr>
        <w:t>2、工作进度计划表</w:t>
      </w:r>
    </w:p>
    <w:p>
      <w:pPr>
        <w:keepLines w:val="0"/>
        <w:pageBreakBefore w:val="0"/>
        <w:kinsoku/>
        <w:wordWrap/>
        <w:topLinePunct w:val="0"/>
        <w:bidi w:val="0"/>
        <w:adjustRightInd w:val="0"/>
        <w:snapToGrid w:val="0"/>
        <w:spacing w:line="360" w:lineRule="auto"/>
        <w:rPr>
          <w:rFonts w:hint="eastAsia" w:ascii="Calibri" w:hAnsi="Calibri" w:eastAsia="黑体" w:cs="Calibri"/>
          <w:color w:val="000000"/>
          <w:sz w:val="32"/>
          <w:szCs w:val="32"/>
        </w:rPr>
      </w:pPr>
      <w:r>
        <w:rPr>
          <w:rFonts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5"/>
        <w:rPr>
          <w:rFonts w:hint="eastAsia" w:asciiTheme="minorEastAsia" w:hAnsiTheme="minorEastAsia" w:eastAsiaTheme="minorEastAsia" w:cstheme="minorEastAsia"/>
          <w:b w:val="0"/>
          <w:kern w:val="0"/>
          <w:sz w:val="22"/>
          <w:szCs w:val="22"/>
          <w:lang w:val="en-US" w:eastAsia="zh-CN" w:bidi="ar-SA"/>
        </w:rPr>
      </w:pPr>
      <w:bookmarkStart w:id="121" w:name="_Toc152045804"/>
      <w:bookmarkStart w:id="122" w:name="_Toc152042593"/>
      <w:bookmarkStart w:id="123" w:name="_Toc29304"/>
      <w:bookmarkStart w:id="124" w:name="_Toc144974872"/>
      <w:bookmarkStart w:id="125" w:name="_Toc179632824"/>
      <w:bookmarkStart w:id="126" w:name="_Toc246392161"/>
      <w:r>
        <w:rPr>
          <w:rFonts w:hint="eastAsia" w:asciiTheme="minorEastAsia" w:hAnsiTheme="minorEastAsia" w:eastAsiaTheme="minorEastAsia" w:cstheme="minorEastAsia"/>
          <w:b w:val="0"/>
          <w:kern w:val="0"/>
          <w:sz w:val="22"/>
          <w:szCs w:val="22"/>
          <w:lang w:val="en-US" w:eastAsia="zh-CN" w:bidi="ar-SA"/>
        </w:rPr>
        <w:t>（一）项目管理机构组成表</w:t>
      </w:r>
      <w:bookmarkEnd w:id="121"/>
      <w:bookmarkEnd w:id="122"/>
      <w:bookmarkEnd w:id="123"/>
      <w:bookmarkEnd w:id="124"/>
      <w:bookmarkEnd w:id="125"/>
      <w:bookmarkEnd w:id="126"/>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职务</w:t>
            </w:r>
          </w:p>
        </w:tc>
        <w:tc>
          <w:tcPr>
            <w:tcW w:w="864"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862"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职称</w:t>
            </w:r>
          </w:p>
        </w:tc>
        <w:tc>
          <w:tcPr>
            <w:tcW w:w="5548" w:type="dxa"/>
            <w:gridSpan w:val="5"/>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执业或职业资格证明</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证书名称</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级别</w:t>
            </w: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证号</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专业</w:t>
            </w: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养老保险</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br w:type="page"/>
      </w:r>
    </w:p>
    <w:p>
      <w:pPr>
        <w:pStyle w:val="25"/>
        <w:rPr>
          <w:rFonts w:hint="eastAsia" w:asciiTheme="minorEastAsia" w:hAnsiTheme="minorEastAsia" w:eastAsiaTheme="minorEastAsia" w:cstheme="minorEastAsia"/>
          <w:b w:val="0"/>
          <w:kern w:val="0"/>
          <w:sz w:val="22"/>
          <w:szCs w:val="22"/>
          <w:lang w:val="en-US" w:eastAsia="zh-CN" w:bidi="ar-SA"/>
        </w:rPr>
      </w:pPr>
      <w:bookmarkStart w:id="127" w:name="_Toc179632825"/>
      <w:bookmarkStart w:id="128" w:name="_Toc144974873"/>
      <w:bookmarkStart w:id="129" w:name="_Toc246392162"/>
      <w:bookmarkStart w:id="130" w:name="_Toc25718"/>
      <w:bookmarkStart w:id="131" w:name="_Toc152042594"/>
      <w:bookmarkStart w:id="132" w:name="_Toc152045805"/>
      <w:r>
        <w:rPr>
          <w:rFonts w:hint="eastAsia" w:asciiTheme="minorEastAsia" w:hAnsiTheme="minorEastAsia" w:eastAsiaTheme="minorEastAsia" w:cstheme="minorEastAsia"/>
          <w:b w:val="0"/>
          <w:kern w:val="0"/>
          <w:sz w:val="22"/>
          <w:szCs w:val="22"/>
          <w:lang w:val="en-US" w:eastAsia="zh-CN" w:bidi="ar-SA"/>
        </w:rPr>
        <w:t>（二）主要人员简历表</w:t>
      </w:r>
      <w:bookmarkEnd w:id="127"/>
      <w:bookmarkEnd w:id="128"/>
      <w:bookmarkEnd w:id="129"/>
      <w:bookmarkEnd w:id="130"/>
      <w:bookmarkEnd w:id="131"/>
      <w:bookmarkEnd w:id="132"/>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  名</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年 龄</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学历</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称</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务</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拟在本合同任职</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毕业学校</w:t>
            </w:r>
          </w:p>
        </w:tc>
        <w:tc>
          <w:tcPr>
            <w:tcW w:w="6990" w:type="dxa"/>
            <w:gridSpan w:val="8"/>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时  间</w:t>
            </w: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参加过的类似项目</w:t>
            </w: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担任职务</w:t>
            </w: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lang w:eastAsia="zh-CN"/>
        </w:rPr>
        <w:t>七</w:t>
      </w:r>
      <w:r>
        <w:rPr>
          <w:rFonts w:hint="eastAsia" w:eastAsia="黑体" w:cs="Calibri"/>
          <w:color w:val="000000"/>
          <w:sz w:val="32"/>
          <w:szCs w:val="32"/>
        </w:rPr>
        <w:t>、</w:t>
      </w:r>
      <w:r>
        <w:rPr>
          <w:rFonts w:hint="eastAsia" w:ascii="Calibri" w:hAnsi="Calibri" w:eastAsia="黑体" w:cs="Calibri"/>
          <w:color w:val="000000"/>
          <w:sz w:val="32"/>
          <w:szCs w:val="32"/>
        </w:rPr>
        <w:t>资格审查资料</w:t>
      </w:r>
    </w:p>
    <w:p>
      <w:pPr>
        <w:keepLines w:val="0"/>
        <w:pageBreakBefore w:val="0"/>
        <w:kinsoku/>
        <w:wordWrap/>
        <w:overflowPunct w:val="0"/>
        <w:topLinePunct w:val="0"/>
        <w:autoSpaceDE w:val="0"/>
        <w:autoSpaceDN w:val="0"/>
        <w:bidi w:val="0"/>
        <w:spacing w:line="360" w:lineRule="auto"/>
        <w:ind w:left="839" w:hanging="839"/>
        <w:jc w:val="center"/>
        <w:rPr>
          <w:rFonts w:ascii="宋体" w:hAnsi="宋体" w:cs="宋体"/>
          <w:b/>
          <w:sz w:val="24"/>
          <w:szCs w:val="24"/>
        </w:rPr>
      </w:pPr>
    </w:p>
    <w:p>
      <w:pPr>
        <w:pStyle w:val="25"/>
        <w:rPr>
          <w:rFonts w:hint="eastAsia" w:asciiTheme="minorEastAsia" w:hAnsiTheme="minorEastAsia" w:eastAsiaTheme="minorEastAsia" w:cstheme="minorEastAsia"/>
          <w:b w:val="0"/>
          <w:kern w:val="0"/>
          <w:sz w:val="22"/>
          <w:szCs w:val="22"/>
          <w:lang w:val="en-US" w:eastAsia="zh-CN" w:bidi="ar-SA"/>
        </w:rPr>
      </w:pPr>
      <w:bookmarkStart w:id="133" w:name="_Toc245036712"/>
      <w:bookmarkStart w:id="134" w:name="_Toc144974876"/>
      <w:bookmarkStart w:id="135" w:name="_Toc17487"/>
      <w:bookmarkStart w:id="136" w:name="_Toc152045808"/>
      <w:bookmarkStart w:id="137" w:name="_Toc152042597"/>
      <w:r>
        <w:rPr>
          <w:rFonts w:hint="eastAsia" w:asciiTheme="minorEastAsia" w:hAnsiTheme="minorEastAsia" w:eastAsiaTheme="minorEastAsia" w:cstheme="minorEastAsia"/>
          <w:b w:val="0"/>
          <w:kern w:val="0"/>
          <w:sz w:val="22"/>
          <w:szCs w:val="22"/>
          <w:lang w:val="en-US" w:eastAsia="zh-CN" w:bidi="ar-SA"/>
        </w:rPr>
        <w:t>（一）投标人基本情况表</w:t>
      </w:r>
      <w:bookmarkEnd w:id="133"/>
      <w:bookmarkEnd w:id="134"/>
      <w:bookmarkEnd w:id="135"/>
      <w:bookmarkEnd w:id="136"/>
      <w:bookmarkEnd w:id="137"/>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251"/>
        <w:gridCol w:w="317"/>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邮政编码</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 话</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网 址</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
              <w:ind w:left="-23"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附：投标人有效的营业执照、资质证书、安全生产许可证及三类人员证书（和任命文件）、业绩证明材料等复印件。</w:t>
      </w:r>
    </w:p>
    <w:p>
      <w:pPr>
        <w:pStyle w:val="25"/>
        <w:rPr>
          <w:rFonts w:hint="eastAsia" w:asciiTheme="minorEastAsia" w:hAnsiTheme="minorEastAsia" w:eastAsiaTheme="minorEastAsia" w:cstheme="minorEastAsia"/>
          <w:b w:val="0"/>
          <w:kern w:val="0"/>
          <w:sz w:val="22"/>
          <w:szCs w:val="22"/>
          <w:lang w:val="en-US" w:eastAsia="zh-CN" w:bidi="ar-SA"/>
        </w:rPr>
      </w:pPr>
      <w:bookmarkStart w:id="138" w:name="_Toc144974877"/>
      <w:bookmarkStart w:id="139" w:name="_Toc152045809"/>
      <w:bookmarkStart w:id="140" w:name="_Toc245036713"/>
      <w:bookmarkStart w:id="141" w:name="_Toc152042598"/>
      <w:bookmarkStart w:id="142" w:name="_Toc16950"/>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（二）近年财务状况表</w:t>
      </w:r>
      <w:bookmarkEnd w:id="138"/>
      <w:bookmarkEnd w:id="139"/>
      <w:bookmarkEnd w:id="140"/>
      <w:bookmarkEnd w:id="141"/>
      <w:bookmarkEnd w:id="142"/>
    </w:p>
    <w:p>
      <w:pPr>
        <w:spacing w:line="440" w:lineRule="exact"/>
        <w:rPr>
          <w:rFonts w:hint="eastAsia" w:asciiTheme="minorEastAsia" w:hAnsiTheme="minorEastAsia" w:eastAsiaTheme="minorEastAsia" w:cstheme="minorEastAsia"/>
          <w:b w:val="0"/>
          <w:kern w:val="0"/>
          <w:sz w:val="22"/>
          <w:szCs w:val="22"/>
          <w:lang w:val="en-US" w:eastAsia="zh-CN" w:bidi="ar-SA"/>
        </w:rPr>
      </w:pPr>
    </w:p>
    <w:p>
      <w:pPr>
        <w:pStyle w:val="25"/>
        <w:rPr>
          <w:rFonts w:hint="eastAsia" w:asciiTheme="minorEastAsia" w:hAnsiTheme="minorEastAsia" w:eastAsiaTheme="minorEastAsia" w:cstheme="minorEastAsia"/>
          <w:b w:val="0"/>
          <w:kern w:val="0"/>
          <w:sz w:val="22"/>
          <w:szCs w:val="22"/>
          <w:lang w:val="en-US" w:eastAsia="zh-CN" w:bidi="ar-SA"/>
        </w:rPr>
      </w:pPr>
      <w:bookmarkStart w:id="143" w:name="_Toc152045810"/>
      <w:bookmarkStart w:id="144" w:name="_Toc31021"/>
      <w:bookmarkStart w:id="145" w:name="_Toc144974878"/>
      <w:bookmarkStart w:id="146" w:name="_Toc245036714"/>
      <w:bookmarkStart w:id="147" w:name="_Toc152042599"/>
      <w:r>
        <w:rPr>
          <w:rFonts w:hint="eastAsia" w:asciiTheme="minorEastAsia" w:hAnsiTheme="minorEastAsia" w:eastAsiaTheme="minorEastAsia" w:cstheme="minorEastAsia"/>
          <w:b w:val="0"/>
          <w:kern w:val="0"/>
          <w:sz w:val="22"/>
          <w:szCs w:val="22"/>
          <w:lang w:val="en-US" w:eastAsia="zh-CN" w:bidi="ar-SA"/>
        </w:rPr>
        <w:t>（三）近年完成的类似项目情况表</w:t>
      </w:r>
      <w:bookmarkEnd w:id="143"/>
      <w:bookmarkEnd w:id="144"/>
      <w:bookmarkEnd w:id="145"/>
      <w:bookmarkEnd w:id="146"/>
      <w:bookmarkEnd w:id="147"/>
    </w:p>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8" w:name="_Toc13233"/>
            <w:r>
              <w:rPr>
                <w:rFonts w:hint="eastAsia" w:asciiTheme="minorEastAsia" w:hAnsiTheme="minorEastAsia" w:eastAsiaTheme="minorEastAsia" w:cstheme="minorEastAsia"/>
                <w:b w:val="0"/>
                <w:kern w:val="0"/>
                <w:sz w:val="22"/>
                <w:szCs w:val="22"/>
                <w:lang w:val="en-US" w:eastAsia="zh-CN" w:bidi="ar-SA"/>
              </w:rPr>
              <w:t>项目所在地</w:t>
            </w:r>
            <w:bookmarkEnd w:id="148"/>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9" w:name="_Toc20896"/>
            <w:r>
              <w:rPr>
                <w:rFonts w:hint="eastAsia" w:asciiTheme="minorEastAsia" w:hAnsiTheme="minorEastAsia" w:eastAsiaTheme="minorEastAsia" w:cstheme="minorEastAsia"/>
                <w:b w:val="0"/>
                <w:kern w:val="0"/>
                <w:sz w:val="22"/>
                <w:szCs w:val="22"/>
                <w:lang w:val="en-US" w:eastAsia="zh-CN" w:bidi="ar-SA"/>
              </w:rPr>
              <w:t>发包人地址</w:t>
            </w:r>
            <w:bookmarkEnd w:id="149"/>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合同价格</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竣工日期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0" w:name="_Toc3155"/>
            <w:r>
              <w:rPr>
                <w:rFonts w:hint="eastAsia" w:asciiTheme="minorEastAsia" w:hAnsiTheme="minorEastAsia" w:eastAsiaTheme="minorEastAsia" w:cstheme="minorEastAsia"/>
                <w:b w:val="0"/>
                <w:kern w:val="0"/>
                <w:sz w:val="22"/>
                <w:szCs w:val="22"/>
                <w:lang w:val="en-US" w:eastAsia="zh-CN" w:bidi="ar-SA"/>
              </w:rPr>
              <w:t>承担的工作</w:t>
            </w:r>
            <w:bookmarkEnd w:id="150"/>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pStyle w:val="25"/>
        <w:rPr>
          <w:rFonts w:hint="eastAsia" w:asciiTheme="minorEastAsia" w:hAnsiTheme="minorEastAsia" w:eastAsiaTheme="minorEastAsia" w:cstheme="minorEastAsia"/>
          <w:b w:val="0"/>
          <w:kern w:val="0"/>
          <w:sz w:val="22"/>
          <w:szCs w:val="22"/>
          <w:lang w:val="en-US" w:eastAsia="zh-CN" w:bidi="ar-SA"/>
        </w:rPr>
      </w:pPr>
      <w:bookmarkStart w:id="151" w:name="_Toc245036715"/>
      <w:bookmarkStart w:id="152" w:name="_Toc152042600"/>
      <w:bookmarkStart w:id="153" w:name="_Toc152045811"/>
      <w:bookmarkStart w:id="154" w:name="_Toc26600"/>
      <w:bookmarkStart w:id="155" w:name="_Toc144974879"/>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（四）正在施工的和新承接的项目情况表</w:t>
      </w:r>
      <w:bookmarkEnd w:id="151"/>
      <w:bookmarkEnd w:id="152"/>
      <w:bookmarkEnd w:id="153"/>
      <w:bookmarkEnd w:id="154"/>
      <w:bookmarkEnd w:id="155"/>
    </w:p>
    <w:p>
      <w:pPr>
        <w:pStyle w:val="25"/>
        <w:rPr>
          <w:rFonts w:hint="eastAsia" w:asciiTheme="minorEastAsia" w:hAnsiTheme="minorEastAsia" w:eastAsiaTheme="minorEastAsia" w:cstheme="minorEastAsia"/>
          <w:b w:val="0"/>
          <w:kern w:val="0"/>
          <w:sz w:val="22"/>
          <w:szCs w:val="22"/>
          <w:lang w:val="en-US" w:eastAsia="zh-CN" w:bidi="ar-SA"/>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6" w:name="_Toc5773"/>
            <w:bookmarkStart w:id="157" w:name="_Toc152045812"/>
            <w:bookmarkStart w:id="158" w:name="_Toc245036716"/>
            <w:bookmarkStart w:id="159" w:name="_Toc144974880"/>
            <w:bookmarkStart w:id="160" w:name="_Toc152042601"/>
            <w:r>
              <w:rPr>
                <w:rFonts w:hint="eastAsia" w:asciiTheme="minorEastAsia" w:hAnsiTheme="minorEastAsia" w:eastAsiaTheme="minorEastAsia" w:cstheme="minorEastAsia"/>
                <w:b w:val="0"/>
                <w:kern w:val="0"/>
                <w:sz w:val="22"/>
                <w:szCs w:val="22"/>
                <w:lang w:val="en-US" w:eastAsia="zh-CN" w:bidi="ar-SA"/>
              </w:rPr>
              <w:t>项目名称</w:t>
            </w:r>
            <w:bookmarkEnd w:id="156"/>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项目所在地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发包人名称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发包人地址</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签约合同价</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计划竣工日期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承担的工作</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bookmarkEnd w:id="157"/>
      <w:bookmarkEnd w:id="158"/>
      <w:bookmarkEnd w:id="159"/>
      <w:bookmarkEnd w:id="160"/>
    </w:tbl>
    <w:p>
      <w:pPr>
        <w:keepLines w:val="0"/>
        <w:pageBreakBefore w:val="0"/>
        <w:kinsoku/>
        <w:wordWrap/>
        <w:topLinePunct w:val="0"/>
        <w:bidi w:val="0"/>
        <w:spacing w:line="360" w:lineRule="auto"/>
        <w:jc w:val="left"/>
        <w:rPr>
          <w:rFonts w:hint="eastAsia" w:asciiTheme="minorEastAsia" w:hAnsiTheme="minorEastAsia" w:eastAsiaTheme="minorEastAsia" w:cstheme="minorEastAsia"/>
          <w:b w:val="0"/>
          <w:kern w:val="0"/>
          <w:sz w:val="22"/>
          <w:szCs w:val="22"/>
          <w:lang w:val="en-US" w:eastAsia="zh-CN" w:bidi="ar-SA"/>
        </w:rPr>
      </w:pPr>
    </w:p>
    <w:p>
      <w:pPr>
        <w:keepLines w:val="0"/>
        <w:pageBreakBefore w:val="0"/>
        <w:kinsoku/>
        <w:wordWrap/>
        <w:topLinePunct w:val="0"/>
        <w:bidi w:val="0"/>
        <w:spacing w:line="360" w:lineRule="auto"/>
        <w:jc w:val="center"/>
        <w:rPr>
          <w:rFonts w:ascii="宋体" w:hAnsi="宋体" w:cs="宋体"/>
          <w:b/>
          <w:sz w:val="32"/>
          <w:szCs w:val="32"/>
        </w:rPr>
      </w:pPr>
    </w:p>
    <w:p>
      <w:pPr>
        <w:keepLines w:val="0"/>
        <w:pageBreakBefore w:val="0"/>
        <w:kinsoku/>
        <w:wordWrap/>
        <w:topLinePunct w:val="0"/>
        <w:bidi w:val="0"/>
        <w:adjustRightInd w:val="0"/>
        <w:snapToGrid w:val="0"/>
        <w:spacing w:line="360" w:lineRule="auto"/>
        <w:rPr>
          <w:rFonts w:ascii="宋体" w:hAnsi="宋体"/>
          <w:bCs/>
          <w:kern w:val="0"/>
        </w:rPr>
      </w:pPr>
      <w:r>
        <w:rPr>
          <w:rFonts w:hint="eastAsia" w:ascii="宋体" w:hAnsi="宋体" w:cs="宋体"/>
          <w:b/>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sz w:val="24"/>
          <w:szCs w:val="24"/>
        </w:rPr>
      </w:pPr>
      <w:r>
        <w:rPr>
          <w:rFonts w:hint="eastAsia" w:ascii="Calibri" w:hAnsi="Calibri" w:eastAsia="黑体" w:cs="Calibri"/>
          <w:color w:val="000000"/>
          <w:sz w:val="32"/>
          <w:szCs w:val="32"/>
          <w:lang w:eastAsia="zh-CN"/>
        </w:rPr>
        <w:t>八</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08"/>
    <w:multiLevelType w:val="multilevel"/>
    <w:tmpl w:val="00000008"/>
    <w:lvl w:ilvl="0" w:tentative="0">
      <w:start w:val="1"/>
      <w:numFmt w:val="decimal"/>
      <w:lvlText w:val="%1."/>
      <w:lvlJc w:val="left"/>
      <w:pPr>
        <w:tabs>
          <w:tab w:val="left" w:pos="900"/>
        </w:tabs>
        <w:ind w:left="480" w:firstLine="420"/>
      </w:pPr>
      <w:rPr>
        <w:b w:val="0"/>
        <w:color w:val="000000"/>
        <w:sz w:val="21"/>
        <w:szCs w:val="24"/>
      </w:rPr>
    </w:lvl>
    <w:lvl w:ilvl="1" w:tentative="0">
      <w:start w:val="1"/>
      <w:numFmt w:val="decimal"/>
      <w:lvlText w:val="%2."/>
      <w:lvlJc w:val="left"/>
      <w:pPr>
        <w:tabs>
          <w:tab w:val="left" w:pos="426"/>
        </w:tabs>
        <w:ind w:left="6" w:firstLine="420"/>
      </w:pPr>
      <w:rPr>
        <w:b w:val="0"/>
        <w:color w:val="000000"/>
        <w:sz w:val="21"/>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E12D2E"/>
    <w:multiLevelType w:val="multilevel"/>
    <w:tmpl w:val="09E12D2E"/>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6">
    <w:nsid w:val="466C6E1F"/>
    <w:multiLevelType w:val="multilevel"/>
    <w:tmpl w:val="466C6E1F"/>
    <w:lvl w:ilvl="0" w:tentative="0">
      <w:start w:val="1"/>
      <w:numFmt w:val="upperLetter"/>
      <w:pStyle w:val="5"/>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8F61B24"/>
    <w:multiLevelType w:val="multilevel"/>
    <w:tmpl w:val="58F61B24"/>
    <w:lvl w:ilvl="0" w:tentative="0">
      <w:start w:val="5"/>
      <w:numFmt w:val="decimal"/>
      <w:lvlText w:val="%1"/>
      <w:lvlJc w:val="left"/>
      <w:pPr>
        <w:ind w:left="360" w:hanging="360"/>
      </w:pPr>
    </w:lvl>
    <w:lvl w:ilvl="1" w:tentative="0">
      <w:start w:val="4"/>
      <w:numFmt w:val="decimal"/>
      <w:lvlText w:val="%1.%2"/>
      <w:lvlJc w:val="left"/>
      <w:pPr>
        <w:ind w:left="800" w:hanging="360"/>
      </w:pPr>
    </w:lvl>
    <w:lvl w:ilvl="2" w:tentative="0">
      <w:start w:val="1"/>
      <w:numFmt w:val="decimal"/>
      <w:lvlText w:val="%1.%2.%3"/>
      <w:lvlJc w:val="left"/>
      <w:pPr>
        <w:ind w:left="1600" w:hanging="720"/>
      </w:pPr>
    </w:lvl>
    <w:lvl w:ilvl="3" w:tentative="0">
      <w:start w:val="1"/>
      <w:numFmt w:val="decimal"/>
      <w:lvlText w:val="%1.%2.%3.%4"/>
      <w:lvlJc w:val="left"/>
      <w:pPr>
        <w:ind w:left="2400" w:hanging="1080"/>
      </w:pPr>
    </w:lvl>
    <w:lvl w:ilvl="4" w:tentative="0">
      <w:start w:val="1"/>
      <w:numFmt w:val="decimal"/>
      <w:lvlText w:val="%1.%2.%3.%4.%5"/>
      <w:lvlJc w:val="left"/>
      <w:pPr>
        <w:ind w:left="2840" w:hanging="1080"/>
      </w:pPr>
    </w:lvl>
    <w:lvl w:ilvl="5" w:tentative="0">
      <w:start w:val="1"/>
      <w:numFmt w:val="decimal"/>
      <w:lvlText w:val="%1.%2.%3.%4.%5.%6"/>
      <w:lvlJc w:val="left"/>
      <w:pPr>
        <w:ind w:left="3640" w:hanging="1440"/>
      </w:pPr>
    </w:lvl>
    <w:lvl w:ilvl="6" w:tentative="0">
      <w:start w:val="1"/>
      <w:numFmt w:val="decimal"/>
      <w:lvlText w:val="%1.%2.%3.%4.%5.%6.%7"/>
      <w:lvlJc w:val="left"/>
      <w:pPr>
        <w:ind w:left="4080" w:hanging="1440"/>
      </w:pPr>
    </w:lvl>
    <w:lvl w:ilvl="7" w:tentative="0">
      <w:start w:val="1"/>
      <w:numFmt w:val="decimal"/>
      <w:lvlText w:val="%1.%2.%3.%4.%5.%6.%7.%8"/>
      <w:lvlJc w:val="left"/>
      <w:pPr>
        <w:ind w:left="4880" w:hanging="1800"/>
      </w:pPr>
    </w:lvl>
    <w:lvl w:ilvl="8" w:tentative="0">
      <w:start w:val="1"/>
      <w:numFmt w:val="decimal"/>
      <w:lvlText w:val="%1.%2.%3.%4.%5.%6.%7.%8.%9"/>
      <w:lvlJc w:val="left"/>
      <w:pPr>
        <w:ind w:left="5680" w:hanging="2160"/>
      </w:pPr>
    </w:lvl>
  </w:abstractNum>
  <w:abstractNum w:abstractNumId="8">
    <w:nsid w:val="7D8E0138"/>
    <w:multiLevelType w:val="multilevel"/>
    <w:tmpl w:val="7D8E013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mputer">
    <w15:presenceInfo w15:providerId="None" w15:userId="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5FE3"/>
    <w:rsid w:val="007363B9"/>
    <w:rsid w:val="015004CE"/>
    <w:rsid w:val="03AB32A9"/>
    <w:rsid w:val="07210532"/>
    <w:rsid w:val="0A3D3BC4"/>
    <w:rsid w:val="0B21686F"/>
    <w:rsid w:val="0BDB783C"/>
    <w:rsid w:val="0EE73C4E"/>
    <w:rsid w:val="113601BC"/>
    <w:rsid w:val="14506548"/>
    <w:rsid w:val="191C16F5"/>
    <w:rsid w:val="1B8A13BC"/>
    <w:rsid w:val="1C2C2308"/>
    <w:rsid w:val="1C9A1B47"/>
    <w:rsid w:val="1D52723D"/>
    <w:rsid w:val="1FE76899"/>
    <w:rsid w:val="20DA1EA6"/>
    <w:rsid w:val="227B6076"/>
    <w:rsid w:val="29316500"/>
    <w:rsid w:val="2F821554"/>
    <w:rsid w:val="31C42A82"/>
    <w:rsid w:val="35624785"/>
    <w:rsid w:val="36E837CD"/>
    <w:rsid w:val="3BD44E75"/>
    <w:rsid w:val="3CC37F44"/>
    <w:rsid w:val="3D835A06"/>
    <w:rsid w:val="3DE3371B"/>
    <w:rsid w:val="3E366495"/>
    <w:rsid w:val="3E7E50E6"/>
    <w:rsid w:val="3F7D1AC3"/>
    <w:rsid w:val="422254DC"/>
    <w:rsid w:val="429C7912"/>
    <w:rsid w:val="45880A9D"/>
    <w:rsid w:val="45B807EF"/>
    <w:rsid w:val="47431570"/>
    <w:rsid w:val="48D6396B"/>
    <w:rsid w:val="49CF6BB2"/>
    <w:rsid w:val="4AD93305"/>
    <w:rsid w:val="4B26242D"/>
    <w:rsid w:val="4CA153AC"/>
    <w:rsid w:val="4D193CB8"/>
    <w:rsid w:val="4DD36000"/>
    <w:rsid w:val="54DF528D"/>
    <w:rsid w:val="55FC2AFA"/>
    <w:rsid w:val="5BE40DB8"/>
    <w:rsid w:val="5BE71FD9"/>
    <w:rsid w:val="60C342C4"/>
    <w:rsid w:val="612D3B49"/>
    <w:rsid w:val="613E01F0"/>
    <w:rsid w:val="61846BC2"/>
    <w:rsid w:val="625650FD"/>
    <w:rsid w:val="66B30BA6"/>
    <w:rsid w:val="66ED3221"/>
    <w:rsid w:val="680B1CBA"/>
    <w:rsid w:val="694D6491"/>
    <w:rsid w:val="6978142A"/>
    <w:rsid w:val="6BB81E8A"/>
    <w:rsid w:val="6D7138BE"/>
    <w:rsid w:val="6E0723EA"/>
    <w:rsid w:val="6E406B10"/>
    <w:rsid w:val="6FEF472E"/>
    <w:rsid w:val="705D053B"/>
    <w:rsid w:val="70A54505"/>
    <w:rsid w:val="721D1586"/>
    <w:rsid w:val="73B517A0"/>
    <w:rsid w:val="778F1701"/>
    <w:rsid w:val="78387950"/>
    <w:rsid w:val="78547F52"/>
    <w:rsid w:val="78B00B95"/>
    <w:rsid w:val="796B7BA3"/>
    <w:rsid w:val="7BA5534E"/>
    <w:rsid w:val="7DAF4F6A"/>
    <w:rsid w:val="7EF00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5">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qFormat/>
    <w:uiPriority w:val="0"/>
    <w:pPr>
      <w:ind w:firstLine="420" w:firstLineChars="100"/>
    </w:pPr>
    <w:rPr>
      <w:rFonts w:ascii="Times New Roman" w:hAnsi="Times New Roman"/>
    </w:rPr>
  </w:style>
  <w:style w:type="paragraph" w:styleId="6">
    <w:name w:val="Normal Indent"/>
    <w:basedOn w:val="1"/>
    <w:unhideWhenUsed/>
    <w:qFormat/>
    <w:uiPriority w:val="0"/>
    <w:pPr>
      <w:ind w:firstLine="420"/>
    </w:pPr>
    <w:rPr>
      <w:rFonts w:ascii="Times New Roman" w:hAnsi="Times New Roman" w:cs="Times New Roman"/>
    </w:rPr>
  </w:style>
  <w:style w:type="paragraph" w:styleId="7">
    <w:name w:val="Plain Text"/>
    <w:basedOn w:val="1"/>
    <w:unhideWhenUsed/>
    <w:qFormat/>
    <w:uiPriority w:val="99"/>
    <w:rPr>
      <w:rFonts w:ascii="宋体" w:hAnsi="Courier New" w:eastAsia="宋体" w:cs="Times New Roman"/>
      <w:kern w:val="0"/>
      <w:sz w:val="20"/>
      <w:szCs w:val="21"/>
    </w:rPr>
  </w:style>
  <w:style w:type="paragraph" w:styleId="8">
    <w:name w:val="Body Text Indent 2"/>
    <w:basedOn w:val="1"/>
    <w:unhideWhenUsed/>
    <w:qFormat/>
    <w:uiPriority w:val="99"/>
    <w:pPr>
      <w:spacing w:after="120" w:line="480" w:lineRule="auto"/>
      <w:ind w:left="420" w:leftChars="200"/>
    </w:pPr>
    <w:rPr>
      <w:rFonts w:ascii="Times New Roman" w:hAnsi="Times New Roman" w:eastAsia="宋体" w:cs="Times New Roman"/>
      <w:kern w:val="0"/>
      <w:sz w:val="20"/>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3">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99"/>
    <w:pPr>
      <w:spacing w:before="60" w:after="60"/>
      <w:jc w:val="center"/>
      <w:outlineLvl w:val="0"/>
    </w:pPr>
    <w:rPr>
      <w:rFonts w:ascii="Cambria" w:hAnsi="Cambria" w:eastAsia="黑体" w:cs="Times New Roman"/>
      <w:b/>
      <w:bCs/>
      <w:kern w:val="0"/>
      <w:sz w:val="32"/>
      <w:szCs w:val="32"/>
    </w:rPr>
  </w:style>
  <w:style w:type="character" w:styleId="17">
    <w:name w:val="Hyperlink"/>
    <w:unhideWhenUsed/>
    <w:qFormat/>
    <w:uiPriority w:val="99"/>
    <w:rPr>
      <w:color w:val="0000FF"/>
      <w:u w:val="single"/>
    </w:rPr>
  </w:style>
  <w:style w:type="character" w:customStyle="1" w:styleId="18">
    <w:name w:val="zbggmain style9"/>
    <w:basedOn w:val="16"/>
    <w:qFormat/>
    <w:uiPriority w:val="0"/>
  </w:style>
  <w:style w:type="paragraph" w:customStyle="1" w:styleId="19">
    <w:name w:val="列出段落2"/>
    <w:basedOn w:val="1"/>
    <w:qFormat/>
    <w:uiPriority w:val="34"/>
    <w:pPr>
      <w:ind w:firstLine="420" w:firstLineChars="200"/>
    </w:pPr>
    <w:rPr>
      <w:rFonts w:ascii="Cambria" w:hAnsi="Cambria" w:eastAsia="宋体" w:cs="Times New Roman"/>
      <w:sz w:val="24"/>
      <w:szCs w:val="24"/>
    </w:rPr>
  </w:style>
  <w:style w:type="paragraph" w:customStyle="1" w:styleId="20">
    <w:name w:val="正文 New"/>
    <w:qFormat/>
    <w:uiPriority w:val="99"/>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1">
    <w:name w:val="标准有序列表（L1）"/>
    <w:basedOn w:val="6"/>
    <w:qFormat/>
    <w:uiPriority w:val="99"/>
  </w:style>
  <w:style w:type="paragraph" w:customStyle="1" w:styleId="2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4">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5">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帝国广阔</cp:lastModifiedBy>
  <cp:lastPrinted>2021-05-24T00:49:00Z</cp:lastPrinted>
  <dcterms:modified xsi:type="dcterms:W3CDTF">2021-06-16T02:30:55Z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21DF9B8396CC4540BF7E8CBCFCAD8529</vt:lpwstr>
  </property>
</Properties>
</file>