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autoSpaceDE w:val="0"/>
        <w:autoSpaceDN w:val="0"/>
        <w:bidi w:val="0"/>
        <w:spacing w:line="360" w:lineRule="auto"/>
        <w:jc w:val="center"/>
        <w:textAlignment w:val="bottom"/>
        <w:rPr>
          <w:rFonts w:hint="eastAsia" w:ascii="黑体" w:hAnsi="黑体" w:eastAsia="黑体"/>
          <w:b/>
          <w:sz w:val="44"/>
          <w:szCs w:val="44"/>
          <w:lang w:val="en-US" w:eastAsia="zh-CN"/>
        </w:rPr>
      </w:pPr>
      <w:r>
        <w:rPr>
          <w:rFonts w:hint="eastAsia" w:ascii="黑体" w:hAnsi="黑体" w:eastAsia="黑体"/>
          <w:b/>
          <w:sz w:val="44"/>
          <w:szCs w:val="44"/>
          <w:lang w:val="en-US" w:eastAsia="zh-CN"/>
        </w:rPr>
        <w:t xml:space="preserve"> </w:t>
      </w:r>
    </w:p>
    <w:p>
      <w:pPr>
        <w:keepNext w:val="0"/>
        <w:keepLines w:val="0"/>
        <w:pageBreakBefore w:val="0"/>
        <w:widowControl/>
        <w:kinsoku/>
        <w:wordWrap/>
        <w:topLinePunct w:val="0"/>
        <w:autoSpaceDE w:val="0"/>
        <w:autoSpaceDN w:val="0"/>
        <w:bidi w:val="0"/>
        <w:spacing w:line="360" w:lineRule="auto"/>
        <w:jc w:val="center"/>
        <w:textAlignment w:val="bottom"/>
        <w:rPr>
          <w:rFonts w:hint="eastAsia" w:ascii="黑体" w:hAnsi="黑体" w:eastAsia="黑体"/>
          <w:b/>
          <w:sz w:val="44"/>
          <w:szCs w:val="44"/>
        </w:rPr>
      </w:pPr>
    </w:p>
    <w:p>
      <w:pPr>
        <w:keepNext w:val="0"/>
        <w:keepLines w:val="0"/>
        <w:pageBreakBefore w:val="0"/>
        <w:widowControl/>
        <w:kinsoku/>
        <w:wordWrap/>
        <w:topLinePunct w:val="0"/>
        <w:autoSpaceDE w:val="0"/>
        <w:autoSpaceDN w:val="0"/>
        <w:bidi w:val="0"/>
        <w:spacing w:line="360" w:lineRule="auto"/>
        <w:jc w:val="center"/>
        <w:textAlignment w:val="bottom"/>
        <w:rPr>
          <w:rFonts w:hint="eastAsia" w:ascii="黑体" w:hAnsi="黑体" w:eastAsia="黑体"/>
          <w:b/>
          <w:sz w:val="44"/>
          <w:szCs w:val="44"/>
        </w:rPr>
      </w:pPr>
    </w:p>
    <w:p>
      <w:pPr>
        <w:keepNext w:val="0"/>
        <w:keepLines w:val="0"/>
        <w:pageBreakBefore w:val="0"/>
        <w:widowControl/>
        <w:kinsoku/>
        <w:wordWrap/>
        <w:topLinePunct w:val="0"/>
        <w:autoSpaceDE w:val="0"/>
        <w:autoSpaceDN w:val="0"/>
        <w:bidi w:val="0"/>
        <w:spacing w:line="360" w:lineRule="auto"/>
        <w:jc w:val="center"/>
        <w:textAlignment w:val="bottom"/>
        <w:rPr>
          <w:rFonts w:hint="default" w:eastAsia="黑体" w:cs="Calibri"/>
          <w:b/>
          <w:sz w:val="44"/>
          <w:szCs w:val="44"/>
          <w:u w:val="none"/>
          <w:lang w:val="en-US" w:eastAsia="zh-CN"/>
        </w:rPr>
      </w:pPr>
      <w:r>
        <w:rPr>
          <w:rFonts w:hint="eastAsia" w:ascii="黑体" w:hAnsi="黑体" w:eastAsia="黑体"/>
          <w:b/>
          <w:sz w:val="52"/>
          <w:szCs w:val="52"/>
        </w:rPr>
        <w:t>杭州萧山国际机场</w:t>
      </w:r>
      <w:r>
        <w:rPr>
          <w:rFonts w:hint="eastAsia" w:eastAsia="黑体" w:cs="Calibri"/>
          <w:b/>
          <w:sz w:val="52"/>
          <w:szCs w:val="52"/>
          <w:u w:val="none"/>
          <w:lang w:val="en-US" w:eastAsia="zh-CN"/>
        </w:rPr>
        <w:t>车站无障碍柜改造项目</w:t>
      </w:r>
      <w:bookmarkStart w:id="161" w:name="_GoBack"/>
      <w:bookmarkEnd w:id="161"/>
    </w:p>
    <w:p>
      <w:pPr>
        <w:keepNext w:val="0"/>
        <w:keepLines w:val="0"/>
        <w:pageBreakBefore w:val="0"/>
        <w:widowControl/>
        <w:kinsoku/>
        <w:wordWrap/>
        <w:topLinePunct w:val="0"/>
        <w:autoSpaceDE w:val="0"/>
        <w:autoSpaceDN w:val="0"/>
        <w:bidi w:val="0"/>
        <w:spacing w:line="360" w:lineRule="auto"/>
        <w:jc w:val="center"/>
        <w:textAlignment w:val="bottom"/>
        <w:rPr>
          <w:rFonts w:ascii="黑体" w:hAnsi="黑体" w:eastAsia="黑体"/>
          <w:b/>
          <w:sz w:val="84"/>
          <w:szCs w:val="84"/>
          <w:u w:val="none"/>
        </w:rPr>
      </w:pPr>
    </w:p>
    <w:p>
      <w:pPr>
        <w:keepNext w:val="0"/>
        <w:keepLines w:val="0"/>
        <w:pageBreakBefore w:val="0"/>
        <w:widowControl/>
        <w:kinsoku/>
        <w:wordWrap/>
        <w:topLinePunct w:val="0"/>
        <w:autoSpaceDE w:val="0"/>
        <w:autoSpaceDN w:val="0"/>
        <w:bidi w:val="0"/>
        <w:spacing w:line="360" w:lineRule="auto"/>
        <w:jc w:val="center"/>
        <w:textAlignment w:val="bottom"/>
        <w:rPr>
          <w:rFonts w:ascii="黑体" w:hAnsi="黑体" w:eastAsia="黑体"/>
          <w:sz w:val="84"/>
          <w:szCs w:val="84"/>
        </w:rPr>
      </w:pPr>
      <w:r>
        <w:rPr>
          <w:rFonts w:ascii="黑体" w:hAnsi="黑体" w:eastAsia="黑体"/>
          <w:b/>
          <w:sz w:val="84"/>
          <w:szCs w:val="84"/>
        </w:rPr>
        <w:t>招标文件</w:t>
      </w:r>
    </w:p>
    <w:p>
      <w:pPr>
        <w:keepNext w:val="0"/>
        <w:keepLines w:val="0"/>
        <w:pageBreakBefore w:val="0"/>
        <w:widowControl/>
        <w:kinsoku/>
        <w:wordWrap/>
        <w:topLinePunct w:val="0"/>
        <w:autoSpaceDE w:val="0"/>
        <w:autoSpaceDN w:val="0"/>
        <w:bidi w:val="0"/>
        <w:snapToGrid w:val="0"/>
        <w:spacing w:line="360" w:lineRule="auto"/>
        <w:jc w:val="center"/>
        <w:textAlignment w:val="bottom"/>
        <w:rPr>
          <w:rFonts w:ascii="宋体" w:hAnsi="宋体"/>
          <w:b/>
          <w:sz w:val="32"/>
          <w:szCs w:val="32"/>
        </w:rPr>
      </w:pPr>
    </w:p>
    <w:p>
      <w:pPr>
        <w:keepNext w:val="0"/>
        <w:keepLines w:val="0"/>
        <w:pageBreakBefore w:val="0"/>
        <w:widowControl/>
        <w:kinsoku/>
        <w:wordWrap/>
        <w:topLinePunct w:val="0"/>
        <w:autoSpaceDE w:val="0"/>
        <w:autoSpaceDN w:val="0"/>
        <w:bidi w:val="0"/>
        <w:snapToGrid w:val="0"/>
        <w:spacing w:line="360" w:lineRule="auto"/>
        <w:jc w:val="center"/>
        <w:textAlignment w:val="bottom"/>
        <w:rPr>
          <w:rFonts w:ascii="宋体" w:hAnsi="宋体"/>
          <w:b/>
          <w:sz w:val="32"/>
          <w:szCs w:val="32"/>
        </w:rPr>
      </w:pPr>
    </w:p>
    <w:p>
      <w:pPr>
        <w:keepNext w:val="0"/>
        <w:keepLines w:val="0"/>
        <w:pageBreakBefore w:val="0"/>
        <w:widowControl/>
        <w:kinsoku/>
        <w:wordWrap/>
        <w:topLinePunct w:val="0"/>
        <w:autoSpaceDE w:val="0"/>
        <w:autoSpaceDN w:val="0"/>
        <w:bidi w:val="0"/>
        <w:snapToGrid w:val="0"/>
        <w:spacing w:line="360" w:lineRule="auto"/>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keepNext w:val="0"/>
        <w:keepLines w:val="0"/>
        <w:pageBreakBefore w:val="0"/>
        <w:widowControl/>
        <w:kinsoku/>
        <w:wordWrap/>
        <w:topLinePunct w:val="0"/>
        <w:autoSpaceDE w:val="0"/>
        <w:autoSpaceDN w:val="0"/>
        <w:bidi w:val="0"/>
        <w:snapToGrid w:val="0"/>
        <w:spacing w:line="360" w:lineRule="auto"/>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keepNext w:val="0"/>
        <w:keepLines w:val="0"/>
        <w:pageBreakBefore w:val="0"/>
        <w:kinsoku/>
        <w:wordWrap/>
        <w:topLinePunct w:val="0"/>
        <w:bidi w:val="0"/>
        <w:adjustRightInd w:val="0"/>
        <w:snapToGrid w:val="0"/>
        <w:spacing w:line="360" w:lineRule="auto"/>
        <w:jc w:val="center"/>
        <w:textAlignment w:val="bottom"/>
        <w:rPr>
          <w:rFonts w:ascii="宋体" w:hAnsi="宋体"/>
          <w:sz w:val="32"/>
          <w:szCs w:val="32"/>
        </w:rPr>
      </w:pPr>
    </w:p>
    <w:p>
      <w:pPr>
        <w:keepNext w:val="0"/>
        <w:keepLines w:val="0"/>
        <w:pageBreakBefore w:val="0"/>
        <w:kinsoku/>
        <w:wordWrap/>
        <w:topLinePunct w:val="0"/>
        <w:bidi w:val="0"/>
        <w:adjustRightInd w:val="0"/>
        <w:snapToGrid w:val="0"/>
        <w:spacing w:line="360" w:lineRule="auto"/>
        <w:jc w:val="center"/>
        <w:textAlignment w:val="bottom"/>
        <w:rPr>
          <w:rFonts w:ascii="宋体" w:hAnsi="宋体"/>
          <w:sz w:val="32"/>
          <w:szCs w:val="32"/>
        </w:rPr>
      </w:pPr>
    </w:p>
    <w:p>
      <w:pPr>
        <w:keepNext w:val="0"/>
        <w:keepLines w:val="0"/>
        <w:pageBreakBefore w:val="0"/>
        <w:kinsoku/>
        <w:wordWrap/>
        <w:topLinePunct w:val="0"/>
        <w:bidi w:val="0"/>
        <w:adjustRightInd w:val="0"/>
        <w:snapToGrid w:val="0"/>
        <w:spacing w:line="360" w:lineRule="auto"/>
        <w:jc w:val="center"/>
        <w:textAlignment w:val="bottom"/>
        <w:rPr>
          <w:rFonts w:ascii="宋体" w:hAnsi="宋体"/>
          <w:sz w:val="32"/>
          <w:szCs w:val="32"/>
        </w:rPr>
      </w:pPr>
    </w:p>
    <w:p>
      <w:pPr>
        <w:keepNext w:val="0"/>
        <w:keepLines w:val="0"/>
        <w:pageBreakBefore w:val="0"/>
        <w:kinsoku/>
        <w:wordWrap/>
        <w:topLinePunct w:val="0"/>
        <w:bidi w:val="0"/>
        <w:adjustRightInd w:val="0"/>
        <w:snapToGrid w:val="0"/>
        <w:spacing w:line="360" w:lineRule="auto"/>
        <w:jc w:val="both"/>
        <w:textAlignment w:val="bottom"/>
        <w:rPr>
          <w:rFonts w:ascii="宋体" w:hAnsi="宋体"/>
          <w:sz w:val="32"/>
          <w:szCs w:val="32"/>
        </w:rPr>
      </w:pPr>
    </w:p>
    <w:p>
      <w:pPr>
        <w:keepNext w:val="0"/>
        <w:keepLines w:val="0"/>
        <w:pageBreakBefore w:val="0"/>
        <w:kinsoku/>
        <w:wordWrap/>
        <w:topLinePunct w:val="0"/>
        <w:bidi w:val="0"/>
        <w:adjustRightInd w:val="0"/>
        <w:snapToGrid w:val="0"/>
        <w:spacing w:line="360" w:lineRule="auto"/>
        <w:jc w:val="center"/>
        <w:textAlignment w:val="bottom"/>
        <w:rPr>
          <w:rFonts w:ascii="宋体" w:hAnsi="宋体"/>
          <w:sz w:val="32"/>
          <w:szCs w:val="32"/>
        </w:rPr>
      </w:pPr>
    </w:p>
    <w:p>
      <w:pPr>
        <w:keepNext w:val="0"/>
        <w:keepLines w:val="0"/>
        <w:pageBreakBefore w:val="0"/>
        <w:kinsoku/>
        <w:wordWrap/>
        <w:topLinePunct w:val="0"/>
        <w:bidi w:val="0"/>
        <w:snapToGrid w:val="0"/>
        <w:spacing w:line="360" w:lineRule="auto"/>
        <w:jc w:val="center"/>
        <w:rPr>
          <w:rFonts w:eastAsia="黑体" w:cs="Calibri"/>
          <w:sz w:val="32"/>
          <w:szCs w:val="32"/>
        </w:rPr>
      </w:pPr>
      <w:r>
        <w:rPr>
          <w:rFonts w:eastAsia="黑体" w:cs="Calibri"/>
          <w:sz w:val="32"/>
          <w:szCs w:val="32"/>
        </w:rPr>
        <w:t>杭州萧山国际机场有限公司</w:t>
      </w:r>
    </w:p>
    <w:p>
      <w:pPr>
        <w:keepNext w:val="0"/>
        <w:keepLines w:val="0"/>
        <w:pageBreakBefore w:val="0"/>
        <w:kinsoku/>
        <w:wordWrap/>
        <w:topLinePunct w:val="0"/>
        <w:bidi w:val="0"/>
        <w:spacing w:line="360" w:lineRule="auto"/>
        <w:rPr>
          <w:rFonts w:eastAsia="黑体" w:cs="Calibri"/>
          <w:sz w:val="32"/>
          <w:szCs w:val="32"/>
        </w:rPr>
      </w:pPr>
    </w:p>
    <w:p>
      <w:pPr>
        <w:pStyle w:val="7"/>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szCs w:val="24"/>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lang w:eastAsia="zh-CN"/>
        </w:rPr>
        <w:t>二一</w:t>
      </w:r>
      <w:r>
        <w:rPr>
          <w:rFonts w:hint="eastAsia" w:ascii="Calibri" w:hAnsi="Calibri" w:eastAsia="黑体" w:cs="Calibri"/>
          <w:sz w:val="32"/>
          <w:szCs w:val="32"/>
        </w:rPr>
        <w:t>年</w:t>
      </w:r>
      <w:r>
        <w:rPr>
          <w:rFonts w:hint="eastAsia" w:ascii="Calibri" w:hAnsi="Calibri" w:eastAsia="黑体" w:cs="Calibri"/>
          <w:sz w:val="32"/>
          <w:szCs w:val="32"/>
          <w:u w:val="single"/>
          <w:lang w:val="en-US" w:eastAsia="zh-CN"/>
        </w:rPr>
        <w:t>七</w:t>
      </w:r>
      <w:r>
        <w:rPr>
          <w:rFonts w:ascii="Calibri" w:hAnsi="Calibri" w:eastAsia="黑体" w:cs="Calibri"/>
          <w:sz w:val="32"/>
          <w:szCs w:val="32"/>
        </w:rPr>
        <w:t>月</w:t>
      </w:r>
    </w:p>
    <w:p>
      <w:pPr>
        <w:keepNext w:val="0"/>
        <w:keepLines w:val="0"/>
        <w:pageBreakBefore w:val="0"/>
        <w:kinsoku/>
        <w:wordWrap/>
        <w:topLinePunct w:val="0"/>
        <w:bidi w:val="0"/>
        <w:spacing w:line="360" w:lineRule="auto"/>
        <w:jc w:val="center"/>
        <w:rPr>
          <w:rFonts w:hint="eastAsia" w:asciiTheme="majorEastAsia" w:hAnsiTheme="majorEastAsia" w:eastAsiaTheme="majorEastAsia" w:cstheme="majorEastAsia"/>
          <w:b/>
          <w:bCs/>
          <w:sz w:val="44"/>
          <w:szCs w:val="44"/>
        </w:rPr>
      </w:pPr>
    </w:p>
    <w:p>
      <w:pPr>
        <w:keepNext w:val="0"/>
        <w:keepLines w:val="0"/>
        <w:pageBreakBefore w:val="0"/>
        <w:kinsoku/>
        <w:wordWrap/>
        <w:topLinePunct w:val="0"/>
        <w:bidi w:val="0"/>
        <w:spacing w:line="360" w:lineRule="auto"/>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目</w:t>
      </w:r>
      <w:r>
        <w:rPr>
          <w:rFonts w:hint="eastAsia" w:asciiTheme="majorEastAsia" w:hAnsiTheme="majorEastAsia" w:eastAsiaTheme="majorEastAsia" w:cstheme="majorEastAsia"/>
          <w:b/>
          <w:bCs/>
          <w:sz w:val="44"/>
          <w:szCs w:val="44"/>
          <w:lang w:val="en-US" w:eastAsia="zh-CN"/>
        </w:rPr>
        <w:t xml:space="preserve"> </w:t>
      </w:r>
      <w:r>
        <w:rPr>
          <w:rFonts w:hint="eastAsia" w:asciiTheme="majorEastAsia" w:hAnsiTheme="majorEastAsia" w:eastAsiaTheme="majorEastAsia" w:cstheme="majorEastAsia"/>
          <w:b/>
          <w:bCs/>
          <w:sz w:val="44"/>
          <w:szCs w:val="44"/>
        </w:rPr>
        <w:t>录</w:t>
      </w:r>
    </w:p>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b/>
          <w:bCs/>
          <w:sz w:val="24"/>
          <w:szCs w:val="24"/>
        </w:rPr>
      </w:pPr>
    </w:p>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b/>
          <w:sz w:val="24"/>
          <w:szCs w:val="24"/>
        </w:rPr>
      </w:pPr>
    </w:p>
    <w:p>
      <w:pPr>
        <w:pStyle w:val="11"/>
        <w:keepNext w:val="0"/>
        <w:keepLines w:val="0"/>
        <w:pageBreakBefore w:val="0"/>
        <w:tabs>
          <w:tab w:val="right" w:leader="dot" w:pos="8290"/>
        </w:tabs>
        <w:kinsoku/>
        <w:wordWrap/>
        <w:topLinePunct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TOC \o "1-1" \h \z \u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sz w:val="24"/>
          <w:szCs w:val="24"/>
        </w:rPr>
        <w:t>第一章  招标公告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_Toc321925451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p>
    <w:p>
      <w:pPr>
        <w:pStyle w:val="11"/>
        <w:keepNext w:val="0"/>
        <w:keepLines w:val="0"/>
        <w:pageBreakBefore w:val="0"/>
        <w:tabs>
          <w:tab w:val="right" w:leader="dot" w:pos="8290"/>
        </w:tabs>
        <w:kinsoku/>
        <w:wordWrap/>
        <w:topLinePunct w:val="0"/>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第二章  投标人须知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5</w:t>
      </w:r>
    </w:p>
    <w:p>
      <w:pPr>
        <w:pStyle w:val="11"/>
        <w:keepNext w:val="0"/>
        <w:keepLines w:val="0"/>
        <w:pageBreakBefore w:val="0"/>
        <w:tabs>
          <w:tab w:val="right" w:leader="dot" w:pos="8290"/>
        </w:tabs>
        <w:kinsoku/>
        <w:wordWrap/>
        <w:topLinePunct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评标办法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_Toc321925453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p>
    <w:p>
      <w:pPr>
        <w:pStyle w:val="11"/>
        <w:keepNext w:val="0"/>
        <w:keepLines w:val="0"/>
        <w:pageBreakBefore w:val="0"/>
        <w:tabs>
          <w:tab w:val="right" w:leader="dot" w:pos="8290"/>
        </w:tabs>
        <w:kinsoku/>
        <w:wordWrap/>
        <w:topLinePunct w:val="0"/>
        <w:bidi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第四章  合同条款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20</w:t>
      </w:r>
    </w:p>
    <w:p>
      <w:pPr>
        <w:pStyle w:val="11"/>
        <w:keepNext w:val="0"/>
        <w:keepLines w:val="0"/>
        <w:pageBreakBefore w:val="0"/>
        <w:tabs>
          <w:tab w:val="right" w:leader="dot" w:pos="8290"/>
        </w:tabs>
        <w:kinsoku/>
        <w:wordWrap/>
        <w:topLinePunct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第五章  项目概况和要求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_Toc321925456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fldChar w:fldCharType="end"/>
      </w:r>
    </w:p>
    <w:p>
      <w:pPr>
        <w:pStyle w:val="11"/>
        <w:keepNext w:val="0"/>
        <w:keepLines w:val="0"/>
        <w:pageBreakBefore w:val="0"/>
        <w:tabs>
          <w:tab w:val="right" w:leader="dot" w:pos="8290"/>
        </w:tabs>
        <w:kinsoku/>
        <w:wordWrap/>
        <w:topLinePunct w:val="0"/>
        <w:bidi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第六章  投标文件格式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40</w:t>
      </w:r>
    </w:p>
    <w:p>
      <w:pPr>
        <w:keepNext w:val="0"/>
        <w:keepLines w:val="0"/>
        <w:pageBreakBefore w:val="0"/>
        <w:tabs>
          <w:tab w:val="right" w:leader="dot" w:pos="8364"/>
        </w:tabs>
        <w:kinsoku/>
        <w:wordWrap/>
        <w:topLinePunct w:val="0"/>
        <w:bidi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fldChar w:fldCharType="end"/>
      </w:r>
    </w:p>
    <w:p>
      <w:pPr>
        <w:keepNext w:val="0"/>
        <w:keepLines w:val="0"/>
        <w:pageBreakBefore w:val="0"/>
        <w:widowControl/>
        <w:kinsoku/>
        <w:wordWrap/>
        <w:topLinePunct w:val="0"/>
        <w:bidi w:val="0"/>
        <w:spacing w:line="360" w:lineRule="auto"/>
        <w:jc w:val="left"/>
        <w:rPr>
          <w:rFonts w:hint="eastAsia" w:asciiTheme="minorEastAsia" w:hAnsiTheme="minorEastAsia" w:eastAsiaTheme="minorEastAsia" w:cstheme="minorEastAsia"/>
          <w:b/>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14"/>
        <w:keepNext w:val="0"/>
        <w:keepLines w:val="0"/>
        <w:pageBreakBefore w:val="0"/>
        <w:kinsoku/>
        <w:wordWrap/>
        <w:topLinePunct w:val="0"/>
        <w:bidi w:val="0"/>
        <w:spacing w:line="360" w:lineRule="auto"/>
        <w:rPr>
          <w:rFonts w:hint="eastAsia" w:asciiTheme="minorEastAsia" w:hAnsiTheme="minorEastAsia" w:eastAsiaTheme="minorEastAsia" w:cstheme="minorEastAsia"/>
          <w:b/>
          <w:bCs/>
          <w:kern w:val="0"/>
          <w:sz w:val="24"/>
          <w:szCs w:val="24"/>
        </w:rPr>
      </w:pPr>
      <w:bookmarkStart w:id="0" w:name="_Toc321925451"/>
      <w:r>
        <w:rPr>
          <w:rFonts w:hint="eastAsia" w:ascii="黑体" w:hAnsi="黑体" w:eastAsia="黑体" w:cs="黑体"/>
          <w:sz w:val="32"/>
          <w:szCs w:val="32"/>
        </w:rPr>
        <w:t>第一章招标公告</w:t>
      </w:r>
      <w:bookmarkEnd w:id="0"/>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kern w:val="0"/>
          <w:sz w:val="24"/>
          <w:szCs w:val="24"/>
        </w:rPr>
      </w:pP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一、招标内容</w:t>
      </w:r>
    </w:p>
    <w:p>
      <w:pPr>
        <w:keepNext w:val="0"/>
        <w:keepLines w:val="0"/>
        <w:pageBreakBefore w:val="0"/>
        <w:kinsoku/>
        <w:wordWrap/>
        <w:overflowPunct/>
        <w:topLinePunct w:val="0"/>
        <w:autoSpaceDE/>
        <w:autoSpaceDN/>
        <w:bidi w:val="0"/>
        <w:adjustRightInd w:val="0"/>
        <w:snapToGrid w:val="0"/>
        <w:spacing w:line="360" w:lineRule="auto"/>
        <w:ind w:firstLine="4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项目概况：</w:t>
      </w:r>
      <w:r>
        <w:rPr>
          <w:rFonts w:hint="eastAsia" w:asciiTheme="minorEastAsia" w:hAnsiTheme="minorEastAsia" w:eastAsiaTheme="minorEastAsia" w:cstheme="minorEastAsia"/>
          <w:color w:val="000000"/>
          <w:sz w:val="24"/>
          <w:szCs w:val="24"/>
        </w:rPr>
        <w:t>本项目为杭州萧山国际机场</w:t>
      </w:r>
      <w:r>
        <w:rPr>
          <w:rFonts w:hint="eastAsia" w:asciiTheme="minorEastAsia" w:hAnsiTheme="minorEastAsia" w:cstheme="minorEastAsia"/>
          <w:color w:val="000000"/>
          <w:sz w:val="24"/>
          <w:szCs w:val="24"/>
          <w:lang w:val="en-US" w:eastAsia="zh-CN"/>
        </w:rPr>
        <w:t>车站</w:t>
      </w:r>
      <w:r>
        <w:rPr>
          <w:rFonts w:hint="eastAsia" w:asciiTheme="minorEastAsia" w:hAnsiTheme="minorEastAsia" w:eastAsiaTheme="minorEastAsia" w:cstheme="minorEastAsia"/>
          <w:color w:val="000000"/>
          <w:sz w:val="24"/>
          <w:szCs w:val="24"/>
          <w:lang w:eastAsia="zh-CN"/>
        </w:rPr>
        <w:t>无障碍</w:t>
      </w:r>
      <w:r>
        <w:rPr>
          <w:rFonts w:hint="eastAsia" w:asciiTheme="minorEastAsia" w:hAnsiTheme="minorEastAsia" w:cstheme="minorEastAsia"/>
          <w:color w:val="000000"/>
          <w:sz w:val="24"/>
          <w:szCs w:val="24"/>
          <w:lang w:val="en-US" w:eastAsia="zh-CN"/>
        </w:rPr>
        <w:t>柜台</w:t>
      </w:r>
      <w:r>
        <w:rPr>
          <w:rFonts w:hint="eastAsia" w:asciiTheme="minorEastAsia" w:hAnsiTheme="minorEastAsia" w:cstheme="minorEastAsia"/>
          <w:color w:val="000000"/>
          <w:sz w:val="24"/>
          <w:szCs w:val="24"/>
          <w:lang w:eastAsia="zh-CN"/>
        </w:rPr>
        <w:t>改造</w:t>
      </w:r>
      <w:r>
        <w:rPr>
          <w:rFonts w:hint="eastAsia" w:asciiTheme="minorEastAsia" w:hAnsiTheme="minorEastAsia" w:eastAsiaTheme="minorEastAsia" w:cstheme="minorEastAsia"/>
          <w:color w:val="000000"/>
          <w:sz w:val="24"/>
          <w:szCs w:val="24"/>
        </w:rPr>
        <w:t>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，位于杭州萧山国际机场内</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主要</w:t>
      </w:r>
      <w:r>
        <w:rPr>
          <w:rFonts w:hint="eastAsia" w:asciiTheme="minorEastAsia" w:hAnsiTheme="minorEastAsia" w:cstheme="minorEastAsia"/>
          <w:color w:val="000000" w:themeColor="text1"/>
          <w:sz w:val="24"/>
          <w:szCs w:val="24"/>
          <w:lang w:val="en-US" w:eastAsia="zh-CN"/>
          <w14:textFill>
            <w14:solidFill>
              <w14:schemeClr w14:val="tx1"/>
            </w14:solidFill>
          </w14:textFill>
        </w:rPr>
        <w:t>内容</w:t>
      </w:r>
      <w:r>
        <w:rPr>
          <w:rFonts w:hint="eastAsia" w:asciiTheme="minorEastAsia" w:hAnsiTheme="minorEastAsia" w:eastAsiaTheme="minorEastAsia" w:cstheme="minorEastAsia"/>
          <w:color w:val="000000" w:themeColor="text1"/>
          <w:sz w:val="24"/>
          <w:szCs w:val="24"/>
          <w14:textFill>
            <w14:solidFill>
              <w14:schemeClr w14:val="tx1"/>
            </w14:solidFill>
          </w14:textFill>
        </w:rPr>
        <w:t>包括：售票柜台旧板拆除新板安装、</w:t>
      </w:r>
      <w:r>
        <w:rPr>
          <w:rFonts w:hint="eastAsia" w:asciiTheme="minorEastAsia" w:hAnsiTheme="minorEastAsia" w:cstheme="minorEastAsia"/>
          <w:color w:val="000000" w:themeColor="text1"/>
          <w:sz w:val="24"/>
          <w:szCs w:val="24"/>
          <w:lang w:val="en-US" w:eastAsia="zh-CN"/>
          <w14:textFill>
            <w14:solidFill>
              <w14:schemeClr w14:val="tx1"/>
            </w14:solidFill>
          </w14:textFill>
        </w:rPr>
        <w:t>改建</w:t>
      </w:r>
      <w:r>
        <w:rPr>
          <w:rFonts w:hint="eastAsia" w:asciiTheme="minorEastAsia" w:hAnsiTheme="minorEastAsia" w:eastAsiaTheme="minorEastAsia" w:cstheme="minorEastAsia"/>
          <w:color w:val="000000" w:themeColor="text1"/>
          <w:sz w:val="24"/>
          <w:szCs w:val="24"/>
          <w14:textFill>
            <w14:solidFill>
              <w14:schemeClr w14:val="tx1"/>
            </w14:solidFill>
          </w14:textFill>
        </w:rPr>
        <w:t>无障碍</w:t>
      </w:r>
      <w:r>
        <w:rPr>
          <w:rFonts w:hint="eastAsia" w:asciiTheme="minorEastAsia" w:hAnsiTheme="minorEastAsia" w:cstheme="minorEastAsia"/>
          <w:color w:val="000000" w:themeColor="text1"/>
          <w:sz w:val="24"/>
          <w:szCs w:val="24"/>
          <w:lang w:val="en-US" w:eastAsia="zh-CN"/>
          <w14:textFill>
            <w14:solidFill>
              <w14:schemeClr w14:val="tx1"/>
            </w14:solidFill>
          </w14:textFill>
        </w:rPr>
        <w:t>售票柜台</w:t>
      </w:r>
      <w:r>
        <w:rPr>
          <w:rFonts w:hint="eastAsia" w:asciiTheme="minorEastAsia" w:hAnsiTheme="minorEastAsia" w:eastAsiaTheme="minorEastAsia" w:cstheme="minorEastAsia"/>
          <w:color w:val="000000" w:themeColor="text1"/>
          <w:sz w:val="24"/>
          <w:szCs w:val="24"/>
          <w14:textFill>
            <w14:solidFill>
              <w14:schemeClr w14:val="tx1"/>
            </w14:solidFill>
          </w14:textFill>
        </w:rPr>
        <w:t>、增加无障碍配套设施、增加无障碍制度标识标牌、建筑垃圾外运等工作内容。</w:t>
      </w:r>
    </w:p>
    <w:p>
      <w:pPr>
        <w:keepNext w:val="0"/>
        <w:keepLines w:val="0"/>
        <w:pageBreakBefore w:val="0"/>
        <w:kinsoku/>
        <w:wordWrap/>
        <w:overflowPunct/>
        <w:topLinePunct w:val="0"/>
        <w:autoSpaceDE/>
        <w:autoSpaceDN/>
        <w:bidi w:val="0"/>
        <w:adjustRightInd w:val="0"/>
        <w:snapToGrid w:val="0"/>
        <w:spacing w:line="360" w:lineRule="auto"/>
        <w:ind w:firstLine="4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（2）实施内容：详见工程量清单和技术要求。</w:t>
      </w:r>
    </w:p>
    <w:p>
      <w:pPr>
        <w:keepNext w:val="0"/>
        <w:keepLines w:val="0"/>
        <w:pageBreakBefore w:val="0"/>
        <w:kinsoku/>
        <w:wordWrap/>
        <w:overflowPunct/>
        <w:topLinePunct w:val="0"/>
        <w:autoSpaceDE/>
        <w:autoSpaceDN/>
        <w:bidi w:val="0"/>
        <w:adjustRightInd w:val="0"/>
        <w:snapToGrid w:val="0"/>
        <w:spacing w:line="360" w:lineRule="auto"/>
        <w:ind w:firstLine="4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（3）本项目设一个标段，要求甲方通知进场后</w:t>
      </w:r>
      <w:r>
        <w:rPr>
          <w:rFonts w:hint="eastAsia" w:asciiTheme="minorEastAsia" w:hAnsiTheme="minorEastAsia" w:cstheme="minorEastAsia"/>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日历天内完工。</w:t>
      </w:r>
    </w:p>
    <w:p>
      <w:pPr>
        <w:keepNext w:val="0"/>
        <w:keepLines w:val="0"/>
        <w:pageBreakBefore w:val="0"/>
        <w:kinsoku/>
        <w:wordWrap/>
        <w:overflowPunct/>
        <w:topLinePunct w:val="0"/>
        <w:autoSpaceDE/>
        <w:autoSpaceDN/>
        <w:bidi w:val="0"/>
        <w:adjustRightInd w:val="0"/>
        <w:snapToGrid w:val="0"/>
        <w:spacing w:line="360" w:lineRule="auto"/>
        <w:ind w:firstLine="440"/>
        <w:textAlignment w:val="auto"/>
        <w:rPr>
          <w:rFonts w:hint="eastAsia"/>
          <w:lang w:val="en-US"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（4）施工时间为每天21:00至翌日06:00</w:t>
      </w: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二、投标人资格要求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（1）</w:t>
      </w:r>
      <w:r>
        <w:rPr>
          <w:rFonts w:hint="eastAsia" w:asciiTheme="minorEastAsia" w:hAnsiTheme="minorEastAsia" w:eastAsiaTheme="minorEastAsia" w:cstheme="minorEastAsia"/>
          <w:b w:val="0"/>
          <w:bCs w:val="0"/>
          <w:sz w:val="24"/>
          <w:szCs w:val="24"/>
        </w:rPr>
        <w:t>投标人具备</w:t>
      </w:r>
      <w:r>
        <w:rPr>
          <w:rFonts w:hint="eastAsia" w:asciiTheme="minorEastAsia" w:hAnsiTheme="minorEastAsia" w:eastAsiaTheme="minorEastAsia" w:cstheme="minorEastAsia"/>
          <w:b w:val="0"/>
          <w:bCs w:val="0"/>
          <w:sz w:val="24"/>
          <w:szCs w:val="24"/>
          <w:u w:val="single"/>
        </w:rPr>
        <w:t xml:space="preserve"> 建筑工程 </w:t>
      </w:r>
      <w:r>
        <w:rPr>
          <w:rFonts w:hint="eastAsia" w:asciiTheme="minorEastAsia" w:hAnsiTheme="minorEastAsia" w:eastAsiaTheme="minorEastAsia" w:cstheme="minorEastAsia"/>
          <w:b w:val="0"/>
          <w:bCs w:val="0"/>
          <w:sz w:val="24"/>
          <w:szCs w:val="24"/>
        </w:rPr>
        <w:t>施工总承包三级及以上资质或具有</w:t>
      </w:r>
      <w:r>
        <w:rPr>
          <w:rFonts w:hint="eastAsia" w:asciiTheme="minorEastAsia" w:hAnsiTheme="minorEastAsia" w:eastAsiaTheme="minorEastAsia" w:cstheme="minorEastAsia"/>
          <w:b w:val="0"/>
          <w:bCs w:val="0"/>
          <w:sz w:val="24"/>
          <w:szCs w:val="24"/>
          <w:u w:val="single"/>
        </w:rPr>
        <w:t>建筑装修装饰工程</w:t>
      </w:r>
      <w:r>
        <w:rPr>
          <w:rFonts w:hint="eastAsia" w:asciiTheme="minorEastAsia" w:hAnsiTheme="minorEastAsia" w:eastAsiaTheme="minorEastAsia" w:cstheme="minorEastAsia"/>
          <w:b w:val="0"/>
          <w:bCs w:val="0"/>
          <w:sz w:val="24"/>
          <w:szCs w:val="24"/>
        </w:rPr>
        <w:t>专业承包二级及以上资质；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kern w:val="0"/>
          <w:sz w:val="24"/>
          <w:szCs w:val="24"/>
        </w:rPr>
        <w:t>（2）</w:t>
      </w:r>
      <w:r>
        <w:rPr>
          <w:rFonts w:hint="eastAsia" w:asciiTheme="minorEastAsia" w:hAnsiTheme="minorEastAsia" w:eastAsiaTheme="minorEastAsia" w:cstheme="minorEastAsia"/>
          <w:b w:val="0"/>
          <w:bCs w:val="0"/>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r>
        <w:rPr>
          <w:rFonts w:hint="eastAsia" w:asciiTheme="minorEastAsia" w:hAnsiTheme="minorEastAsia" w:cstheme="minorEastAsia"/>
          <w:b w:val="0"/>
          <w:bCs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（3）项目经理资格要求：具有</w:t>
      </w:r>
      <w:r>
        <w:rPr>
          <w:rFonts w:hint="eastAsia" w:asciiTheme="minorEastAsia" w:hAnsiTheme="minorEastAsia" w:eastAsiaTheme="minorEastAsia" w:cstheme="minorEastAsia"/>
          <w:b w:val="0"/>
          <w:bCs w:val="0"/>
          <w:sz w:val="24"/>
          <w:szCs w:val="24"/>
          <w:u w:val="single"/>
        </w:rPr>
        <w:t xml:space="preserve">  建筑   </w:t>
      </w:r>
      <w:r>
        <w:rPr>
          <w:rFonts w:hint="eastAsia" w:asciiTheme="minorEastAsia" w:hAnsiTheme="minorEastAsia" w:eastAsiaTheme="minorEastAsia" w:cstheme="minorEastAsia"/>
          <w:b w:val="0"/>
          <w:bCs w:val="0"/>
          <w:sz w:val="24"/>
          <w:szCs w:val="24"/>
        </w:rPr>
        <w:t>专业</w:t>
      </w:r>
      <w:r>
        <w:rPr>
          <w:rFonts w:hint="eastAsia" w:asciiTheme="minorEastAsia" w:hAnsiTheme="minorEastAsia" w:eastAsiaTheme="minorEastAsia" w:cstheme="minorEastAsia"/>
          <w:b w:val="0"/>
          <w:bCs w:val="0"/>
          <w:sz w:val="24"/>
          <w:szCs w:val="24"/>
          <w:u w:val="single"/>
        </w:rPr>
        <w:t xml:space="preserve">  二  </w:t>
      </w:r>
      <w:r>
        <w:rPr>
          <w:rFonts w:hint="eastAsia" w:asciiTheme="minorEastAsia" w:hAnsiTheme="minorEastAsia" w:eastAsiaTheme="minorEastAsia" w:cstheme="minorEastAsia"/>
          <w:b w:val="0"/>
          <w:bCs w:val="0"/>
          <w:sz w:val="24"/>
          <w:szCs w:val="24"/>
        </w:rPr>
        <w:t>级及以上注册建造师执业证书</w:t>
      </w:r>
      <w:r>
        <w:rPr>
          <w:rFonts w:hint="eastAsia" w:asciiTheme="minorEastAsia" w:hAnsiTheme="minorEastAsia" w:cstheme="minorEastAsia"/>
          <w:b w:val="0"/>
          <w:bCs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kern w:val="0"/>
          <w:sz w:val="24"/>
          <w:szCs w:val="24"/>
          <w:lang w:eastAsia="zh-CN"/>
        </w:rPr>
      </w:pPr>
      <w:r>
        <w:rPr>
          <w:rFonts w:hint="eastAsia" w:asciiTheme="minorEastAsia" w:hAnsiTheme="minorEastAsia" w:eastAsiaTheme="minorEastAsia" w:cstheme="minorEastAsia"/>
          <w:b w:val="0"/>
          <w:bCs w:val="0"/>
          <w:color w:val="auto"/>
          <w:kern w:val="0"/>
          <w:sz w:val="24"/>
          <w:szCs w:val="24"/>
        </w:rPr>
        <w:t>（4）本项目不接受联合体投标</w:t>
      </w:r>
      <w:r>
        <w:rPr>
          <w:rFonts w:hint="eastAsia" w:asciiTheme="minorEastAsia" w:hAnsiTheme="minorEastAsia" w:cstheme="minorEastAsia"/>
          <w:b w:val="0"/>
          <w:bCs w:val="0"/>
          <w:color w:val="auto"/>
          <w:kern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kern w:val="0"/>
          <w:sz w:val="24"/>
          <w:szCs w:val="24"/>
        </w:rPr>
        <w:t>（</w:t>
      </w:r>
      <w:r>
        <w:rPr>
          <w:rFonts w:hint="eastAsia" w:asciiTheme="minorEastAsia" w:hAnsiTheme="minorEastAsia" w:cstheme="minorEastAsia"/>
          <w:b w:val="0"/>
          <w:bCs w:val="0"/>
          <w:color w:val="auto"/>
          <w:kern w:val="0"/>
          <w:sz w:val="24"/>
          <w:szCs w:val="24"/>
          <w:lang w:val="en-US" w:eastAsia="zh-CN"/>
        </w:rPr>
        <w:t>5</w:t>
      </w:r>
      <w:r>
        <w:rPr>
          <w:rFonts w:hint="eastAsia" w:asciiTheme="minorEastAsia" w:hAnsiTheme="minorEastAsia" w:eastAsiaTheme="minorEastAsia" w:cstheme="minorEastAsia"/>
          <w:b w:val="0"/>
          <w:bCs w:val="0"/>
          <w:color w:val="auto"/>
          <w:kern w:val="0"/>
          <w:sz w:val="24"/>
          <w:szCs w:val="24"/>
        </w:rPr>
        <w:t>）具有良</w:t>
      </w:r>
      <w:r>
        <w:rPr>
          <w:rFonts w:hint="eastAsia" w:asciiTheme="minorEastAsia" w:hAnsiTheme="minorEastAsia" w:eastAsiaTheme="minorEastAsia" w:cstheme="minorEastAsia"/>
          <w:b w:val="0"/>
          <w:bCs w:val="0"/>
          <w:sz w:val="24"/>
          <w:szCs w:val="24"/>
        </w:rPr>
        <w:t>好的商业信誉和健全的财务会计制度，近三年无违法或其他信誉不良记录；</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）投标人具有一般纳税人资格，</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可提供增值税专用发票。</w:t>
      </w:r>
      <w:r>
        <w:rPr>
          <w:rFonts w:hint="eastAsia" w:asciiTheme="minorEastAsia" w:hAnsiTheme="minorEastAsia" w:eastAsiaTheme="minorEastAsia" w:cstheme="minorEastAsia"/>
          <w:b w:val="0"/>
          <w:bCs w:val="0"/>
          <w:sz w:val="24"/>
          <w:szCs w:val="24"/>
        </w:rPr>
        <w:t>（需提供增值税一般纳税人资格登记表复印件并加盖公章，原件备查）</w:t>
      </w:r>
      <w:r>
        <w:rPr>
          <w:rFonts w:hint="eastAsia" w:asciiTheme="minorEastAsia" w:hAnsiTheme="minorEastAsia" w:cstheme="minorEastAsia"/>
          <w:b w:val="0"/>
          <w:bCs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7</w:t>
      </w:r>
      <w:r>
        <w:rPr>
          <w:rFonts w:hint="eastAsia" w:asciiTheme="minorEastAsia" w:hAnsiTheme="minorEastAsia" w:eastAsiaTheme="minorEastAsia" w:cstheme="minorEastAsia"/>
          <w:b w:val="0"/>
          <w:bCs w:val="0"/>
          <w:sz w:val="24"/>
          <w:szCs w:val="24"/>
        </w:rPr>
        <w:t>）投标单位自201</w:t>
      </w:r>
      <w:r>
        <w:rPr>
          <w:rFonts w:hint="eastAsia" w:asciiTheme="minorEastAsia" w:hAnsi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rPr>
        <w:t>年1月1日起至投标截止之日前不得有行贿犯罪纪录（根据浙江省国资委、浙江省检察院、浙江省监察厅、浙江省审计厅以及杭州萧山国际机场有限公司联合下发浙国资委办[2008]6号文要求，经检察机关确认，有行贿犯罪纪录的单位，不能参加本项目的投标）；</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rPr>
        <w:t>）在杭州萧山国际机场以往工程建设过程中存在违法或犯罪行为而致使机场员工受到刑罚制裁，不能参加此次项目的投标。</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Theme="minorEastAsia" w:hAnsiTheme="minorEastAsia" w:eastAsiaTheme="minorEastAsia" w:cstheme="minorEastAsia"/>
          <w:b/>
          <w:bCs/>
          <w:kern w:val="0"/>
          <w:sz w:val="24"/>
          <w:szCs w:val="24"/>
          <w:lang w:eastAsia="zh-CN"/>
        </w:rPr>
      </w:pPr>
      <w:r>
        <w:rPr>
          <w:rFonts w:hint="eastAsia" w:asciiTheme="minorEastAsia" w:hAnsiTheme="minorEastAsia" w:eastAsiaTheme="minorEastAsia" w:cstheme="minorEastAsia"/>
          <w:b/>
          <w:bCs/>
          <w:kern w:val="0"/>
          <w:sz w:val="24"/>
          <w:szCs w:val="24"/>
          <w:lang w:val="en-US" w:eastAsia="zh-CN"/>
        </w:rPr>
        <w:t>三</w:t>
      </w:r>
      <w:r>
        <w:rPr>
          <w:rFonts w:hint="eastAsia" w:asciiTheme="minorEastAsia" w:hAnsiTheme="minorEastAsia" w:eastAsiaTheme="minorEastAsia" w:cstheme="minorEastAsia"/>
          <w:b/>
          <w:bCs/>
          <w:kern w:val="0"/>
          <w:sz w:val="24"/>
          <w:szCs w:val="24"/>
          <w:lang w:eastAsia="zh-CN"/>
        </w:rPr>
        <w:t>、招标文件获取</w:t>
      </w:r>
    </w:p>
    <w:p>
      <w:pPr>
        <w:keepNext w:val="0"/>
        <w:keepLines w:val="0"/>
        <w:pageBreakBefore w:val="0"/>
        <w:kinsoku/>
        <w:wordWrap/>
        <w:overflowPunct/>
        <w:topLinePunct w:val="0"/>
        <w:autoSpaceDE/>
        <w:autoSpaceDN/>
        <w:bidi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凡符合资格条件并有投标意向的潜在投标人，请通过杭州萧山机场有限公司主页</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"http://www.hzairport.com/zbxx.aspx"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kern w:val="0"/>
          <w:sz w:val="24"/>
          <w:szCs w:val="24"/>
        </w:rPr>
        <w:t>http://www.hzairport.com/zbxx.aspx</w:t>
      </w:r>
      <w:r>
        <w:rPr>
          <w:rFonts w:hint="eastAsia" w:asciiTheme="minorEastAsia" w:hAnsiTheme="minorEastAsia" w:eastAsiaTheme="minorEastAsia" w:cstheme="minorEastAsia"/>
          <w:kern w:val="0"/>
          <w:sz w:val="24"/>
          <w:szCs w:val="24"/>
        </w:rPr>
        <w:fldChar w:fldCharType="end"/>
      </w:r>
      <w:r>
        <w:rPr>
          <w:rFonts w:hint="eastAsia" w:asciiTheme="minorEastAsia" w:hAnsiTheme="minorEastAsia" w:eastAsiaTheme="minorEastAsia" w:cstheme="minorEastAsia"/>
          <w:kern w:val="0"/>
          <w:sz w:val="24"/>
          <w:szCs w:val="24"/>
        </w:rPr>
        <w:t>自行下载招标文件</w:t>
      </w:r>
      <w:r>
        <w:rPr>
          <w:rFonts w:hint="eastAsia" w:asciiTheme="minorEastAsia" w:hAnsiTheme="minorEastAsia" w:eastAsiaTheme="minorEastAsia" w:cstheme="minorEastAsia"/>
          <w:sz w:val="24"/>
          <w:szCs w:val="24"/>
        </w:rPr>
        <w:t>。</w:t>
      </w:r>
    </w:p>
    <w:p>
      <w:pPr>
        <w:keepNext w:val="0"/>
        <w:keepLines w:val="0"/>
        <w:pageBreakBefore w:val="0"/>
        <w:numPr>
          <w:ilvl w:val="0"/>
          <w:numId w:val="0"/>
        </w:numPr>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b/>
          <w:bCs/>
          <w:sz w:val="24"/>
          <w:szCs w:val="24"/>
          <w:lang w:eastAsia="zh-CN"/>
        </w:rPr>
        <w:t>四、</w:t>
      </w:r>
      <w:r>
        <w:rPr>
          <w:rFonts w:hint="eastAsia" w:asciiTheme="minorEastAsia" w:hAnsiTheme="minorEastAsia" w:eastAsiaTheme="minorEastAsia" w:cstheme="minorEastAsia"/>
          <w:b/>
          <w:bCs/>
          <w:sz w:val="24"/>
          <w:szCs w:val="24"/>
        </w:rPr>
        <w:t>踏勘现场</w:t>
      </w:r>
    </w:p>
    <w:p>
      <w:pPr>
        <w:keepNext w:val="0"/>
        <w:keepLines w:val="0"/>
        <w:pageBreakBefore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招标人</w:t>
      </w:r>
      <w:r>
        <w:rPr>
          <w:rFonts w:hint="eastAsia" w:asciiTheme="minorEastAsia" w:hAnsiTheme="minorEastAsia" w:cstheme="minorEastAsia"/>
          <w:color w:val="000000" w:themeColor="text1"/>
          <w:sz w:val="24"/>
          <w:szCs w:val="24"/>
          <w:lang w:val="en-US" w:eastAsia="zh-CN"/>
          <w14:textFill>
            <w14:solidFill>
              <w14:schemeClr w14:val="tx1"/>
            </w14:solidFill>
          </w14:textFill>
        </w:rPr>
        <w:t>不</w:t>
      </w:r>
      <w:r>
        <w:rPr>
          <w:rFonts w:hint="eastAsia" w:asciiTheme="minorEastAsia" w:hAnsiTheme="minorEastAsia" w:eastAsiaTheme="minorEastAsia" w:cstheme="minorEastAsia"/>
          <w:color w:val="000000" w:themeColor="text1"/>
          <w:sz w:val="24"/>
          <w:szCs w:val="24"/>
          <w14:textFill>
            <w14:solidFill>
              <w14:schemeClr w14:val="tx1"/>
            </w14:solidFill>
          </w14:textFill>
        </w:rPr>
        <w:t>组织</w:t>
      </w:r>
      <w:r>
        <w:rPr>
          <w:rFonts w:hint="eastAsia" w:asciiTheme="minorEastAsia" w:hAnsiTheme="minorEastAsia" w:cstheme="minorEastAsia"/>
          <w:color w:val="000000" w:themeColor="text1"/>
          <w:sz w:val="24"/>
          <w:szCs w:val="24"/>
          <w:lang w:val="en-US" w:eastAsia="zh-CN"/>
          <w14:textFill>
            <w14:solidFill>
              <w14:schemeClr w14:val="tx1"/>
            </w14:solidFill>
          </w14:textFill>
        </w:rPr>
        <w:t>集中</w:t>
      </w:r>
      <w:r>
        <w:rPr>
          <w:rFonts w:hint="eastAsia" w:asciiTheme="minorEastAsia" w:hAnsiTheme="minorEastAsia" w:eastAsiaTheme="minorEastAsia" w:cstheme="minorEastAsia"/>
          <w:color w:val="000000" w:themeColor="text1"/>
          <w:sz w:val="24"/>
          <w:szCs w:val="24"/>
          <w14:textFill>
            <w14:solidFill>
              <w14:schemeClr w14:val="tx1"/>
            </w14:solidFill>
          </w14:textFill>
        </w:rPr>
        <w:t>踏勘现场</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自行踏勘地点为杭州萧山国际机场8号门机场巴士售票处及车站安检通道</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由于未参加现场踏勘引起的报价失误等责任由投标人自负。</w:t>
      </w: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cstheme="minorEastAsia"/>
          <w:b/>
          <w:bCs/>
          <w:color w:val="000000" w:themeColor="text1"/>
          <w:kern w:val="0"/>
          <w:sz w:val="24"/>
          <w:szCs w:val="24"/>
          <w:lang w:eastAsia="zh-CN"/>
          <w14:textFill>
            <w14:solidFill>
              <w14:schemeClr w14:val="tx1"/>
            </w14:solidFill>
          </w14:textFill>
        </w:rPr>
        <w:t>五</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、投标文件的递交</w:t>
      </w:r>
    </w:p>
    <w:p>
      <w:pPr>
        <w:keepNext w:val="0"/>
        <w:keepLines w:val="0"/>
        <w:pageBreakBefore w:val="0"/>
        <w:widowControl/>
        <w:kinsoku/>
        <w:wordWrap/>
        <w:topLinePunct w:val="0"/>
        <w:bidi w:val="0"/>
        <w:adjustRightInd w:val="0"/>
        <w:snapToGrid w:val="0"/>
        <w:spacing w:line="360" w:lineRule="auto"/>
        <w:ind w:firstLine="480" w:firstLineChars="200"/>
        <w:rPr>
          <w:rStyle w:val="18"/>
          <w:rFonts w:hint="eastAsia" w:asciiTheme="minorEastAsia" w:hAnsiTheme="minorEastAsia" w:eastAsiaTheme="minorEastAsia" w:cstheme="minorEastAsia"/>
          <w:sz w:val="24"/>
          <w:szCs w:val="24"/>
        </w:rPr>
      </w:pP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（1）投标文件递交截止时间：</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2021</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21</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日</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下</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午</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14</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时</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00</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分（北京时间）。投标文件在封口处加盖公章</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并注明是：</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杭州萧山国际机场车站无障碍柜台改造项目</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投标文件</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并派专人于20</w:t>
      </w:r>
      <w:r>
        <w:rPr>
          <w:rStyle w:val="18"/>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21</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日</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下</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午</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14</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时</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00</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分（北京时间）前送至杭州萧山国际机场</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物业安检楼602室</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，逾期无效；若采用投递方式的，请于20</w:t>
      </w:r>
      <w:r>
        <w:rPr>
          <w:rStyle w:val="18"/>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21</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日</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下</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午</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14</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时</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00</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分（北京时间）前投递至杭州萧</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山国际机场</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物业安检楼602室</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，快递面单上注明是：</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杭州萧山国际机场车站无障碍柜台改造项目投标文件</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kern w:val="0"/>
          <w:sz w:val="24"/>
          <w:szCs w:val="24"/>
        </w:rPr>
        <w:t>逾期无效。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Style w:val="18"/>
          <w:rFonts w:hint="eastAsia" w:asciiTheme="minorEastAsia" w:hAnsiTheme="minorEastAsia" w:eastAsiaTheme="minorEastAsia" w:cstheme="minorEastAsia"/>
          <w:sz w:val="24"/>
          <w:szCs w:val="24"/>
        </w:rPr>
      </w:pPr>
      <w:r>
        <w:rPr>
          <w:rStyle w:val="18"/>
          <w:rFonts w:hint="eastAsia" w:asciiTheme="minorEastAsia" w:hAnsiTheme="minorEastAsia" w:eastAsiaTheme="minorEastAsia" w:cstheme="minorEastAsia"/>
          <w:sz w:val="24"/>
          <w:szCs w:val="24"/>
        </w:rPr>
        <w:t>（2）逾期送达或者未送达指定地点的投标文件，招标人不予受理。</w:t>
      </w: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eastAsia="zh-CN"/>
        </w:rPr>
        <w:t>六</w:t>
      </w:r>
      <w:r>
        <w:rPr>
          <w:rFonts w:hint="eastAsia" w:asciiTheme="minorEastAsia" w:hAnsiTheme="minorEastAsia" w:eastAsiaTheme="minorEastAsia" w:cstheme="minorEastAsia"/>
          <w:b/>
          <w:bCs/>
          <w:kern w:val="0"/>
          <w:sz w:val="24"/>
          <w:szCs w:val="24"/>
        </w:rPr>
        <w:t>、发布公告的媒介</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本次招标公告在杭州萧山机场有限公司主页http://www.hzairport.com上进行发布</w:t>
      </w: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eastAsia="zh-CN"/>
        </w:rPr>
        <w:t>七</w:t>
      </w:r>
      <w:r>
        <w:rPr>
          <w:rFonts w:hint="eastAsia" w:asciiTheme="minorEastAsia" w:hAnsiTheme="minorEastAsia" w:eastAsiaTheme="minorEastAsia" w:cstheme="minorEastAsia"/>
          <w:b/>
          <w:bCs/>
          <w:kern w:val="0"/>
          <w:sz w:val="24"/>
          <w:szCs w:val="24"/>
        </w:rPr>
        <w:t>、联系方式</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投标联系人：</w:t>
      </w:r>
      <w:r>
        <w:rPr>
          <w:rFonts w:hint="eastAsia" w:asciiTheme="minorEastAsia" w:hAnsiTheme="minorEastAsia" w:cstheme="minorEastAsia"/>
          <w:sz w:val="24"/>
          <w:szCs w:val="24"/>
          <w:lang w:val="en-US" w:eastAsia="zh-CN"/>
        </w:rPr>
        <w:t>陈工</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联系电话：0571-</w:t>
      </w:r>
      <w:r>
        <w:rPr>
          <w:rFonts w:hint="eastAsia" w:ascii="宋体" w:hAnsi="宋体" w:eastAsia="宋体" w:cs="宋体"/>
          <w:color w:val="000000" w:themeColor="text1"/>
          <w:sz w:val="24"/>
          <w:szCs w:val="24"/>
          <w:lang w:val="en-US" w:eastAsia="zh-CN"/>
          <w14:textFill>
            <w14:solidFill>
              <w14:schemeClr w14:val="tx1"/>
            </w14:solidFill>
          </w14:textFill>
        </w:rPr>
        <w:t>83837647</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wordWrap/>
        <w:topLinePunct w:val="0"/>
        <w:bidi w:val="0"/>
        <w:snapToGrid w:val="0"/>
        <w:spacing w:line="360" w:lineRule="auto"/>
        <w:ind w:firstLine="480" w:firstLineChars="200"/>
        <w:jc w:val="left"/>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color w:val="000000" w:themeColor="text1"/>
          <w:sz w:val="24"/>
          <w:szCs w:val="24"/>
          <w:lang w:val="en-US" w:eastAsia="zh-CN"/>
          <w14:textFill>
            <w14:solidFill>
              <w14:schemeClr w14:val="tx1"/>
            </w14:solidFill>
          </w14:textFill>
        </w:rPr>
        <w:t>孟工</w:t>
      </w:r>
      <w:r>
        <w:rPr>
          <w:rFonts w:hint="eastAsia" w:ascii="宋体" w:hAnsi="宋体" w:eastAsia="宋体" w:cs="宋体"/>
          <w:color w:val="000000" w:themeColor="text1"/>
          <w:sz w:val="24"/>
          <w:szCs w:val="24"/>
          <w14:textFill>
            <w14:solidFill>
              <w14:schemeClr w14:val="tx1"/>
            </w14:solidFill>
          </w14:textFill>
        </w:rPr>
        <w:t xml:space="preserve">         联系电话：</w:t>
      </w:r>
      <w:r>
        <w:rPr>
          <w:rFonts w:hint="eastAsia" w:ascii="宋体" w:hAnsi="宋体" w:eastAsia="宋体" w:cs="宋体"/>
          <w:color w:val="000000" w:themeColor="text1"/>
          <w:sz w:val="24"/>
          <w:szCs w:val="24"/>
          <w:lang w:val="en-US" w:eastAsia="zh-CN"/>
          <w14:textFill>
            <w14:solidFill>
              <w14:schemeClr w14:val="tx1"/>
            </w14:solidFill>
          </w14:textFill>
        </w:rPr>
        <w:t>0571-83837728</w:t>
      </w:r>
    </w:p>
    <w:p>
      <w:pPr>
        <w:pStyle w:val="14"/>
        <w:keepNext w:val="0"/>
        <w:keepLines w:val="0"/>
        <w:pageBreakBefore w:val="0"/>
        <w:kinsoku/>
        <w:wordWrap/>
        <w:topLinePunct w:val="0"/>
        <w:bidi w:val="0"/>
        <w:spacing w:line="360" w:lineRule="auto"/>
      </w:pPr>
    </w:p>
    <w:p>
      <w:pPr>
        <w:pStyle w:val="14"/>
        <w:keepNext w:val="0"/>
        <w:keepLines w:val="0"/>
        <w:pageBreakBefore w:val="0"/>
        <w:kinsoku/>
        <w:wordWrap/>
        <w:topLinePunct w:val="0"/>
        <w:bidi w:val="0"/>
        <w:spacing w:line="360" w:lineRule="auto"/>
      </w:pPr>
    </w:p>
    <w:p>
      <w:pPr>
        <w:pStyle w:val="14"/>
        <w:keepNext w:val="0"/>
        <w:keepLines w:val="0"/>
        <w:pageBreakBefore w:val="0"/>
        <w:kinsoku/>
        <w:wordWrap/>
        <w:topLinePunct w:val="0"/>
        <w:bidi w:val="0"/>
        <w:spacing w:line="360" w:lineRule="auto"/>
      </w:pPr>
    </w:p>
    <w:p>
      <w:pPr>
        <w:pStyle w:val="14"/>
        <w:keepNext w:val="0"/>
        <w:keepLines w:val="0"/>
        <w:pageBreakBefore w:val="0"/>
        <w:kinsoku/>
        <w:wordWrap/>
        <w:topLinePunct w:val="0"/>
        <w:bidi w:val="0"/>
        <w:spacing w:line="360" w:lineRule="auto"/>
      </w:pPr>
    </w:p>
    <w:p>
      <w:pPr>
        <w:keepLines w:val="0"/>
        <w:pageBreakBefore w:val="0"/>
        <w:kinsoku/>
        <w:wordWrap/>
        <w:topLinePunct w:val="0"/>
        <w:bidi w:val="0"/>
        <w:spacing w:line="360" w:lineRule="auto"/>
      </w:pPr>
    </w:p>
    <w:p>
      <w:pPr>
        <w:keepLines w:val="0"/>
        <w:pageBreakBefore w:val="0"/>
        <w:kinsoku/>
        <w:wordWrap/>
        <w:topLinePunct w:val="0"/>
        <w:bidi w:val="0"/>
        <w:spacing w:line="360" w:lineRule="auto"/>
      </w:pPr>
    </w:p>
    <w:p>
      <w:pPr>
        <w:keepLines w:val="0"/>
        <w:pageBreakBefore w:val="0"/>
        <w:kinsoku/>
        <w:wordWrap/>
        <w:topLinePunct w:val="0"/>
        <w:bidi w:val="0"/>
        <w:spacing w:line="360" w:lineRule="auto"/>
      </w:pPr>
    </w:p>
    <w:p>
      <w:pPr>
        <w:keepLines w:val="0"/>
        <w:pageBreakBefore w:val="0"/>
        <w:kinsoku/>
        <w:wordWrap/>
        <w:topLinePunct w:val="0"/>
        <w:bidi w:val="0"/>
        <w:spacing w:line="360" w:lineRule="auto"/>
      </w:pPr>
    </w:p>
    <w:p>
      <w:pPr>
        <w:pStyle w:val="14"/>
        <w:keepNext w:val="0"/>
        <w:keepLines w:val="0"/>
        <w:pageBreakBefore w:val="0"/>
        <w:kinsoku/>
        <w:wordWrap/>
        <w:topLinePunct w:val="0"/>
        <w:bidi w:val="0"/>
        <w:spacing w:line="360" w:lineRule="auto"/>
        <w:jc w:val="both"/>
      </w:pPr>
    </w:p>
    <w:p>
      <w:r>
        <w:br w:type="page"/>
      </w:r>
    </w:p>
    <w:p>
      <w:pPr>
        <w:pStyle w:val="14"/>
        <w:keepNext w:val="0"/>
        <w:keepLines w:val="0"/>
        <w:pageBreakBefore w:val="0"/>
        <w:kinsoku/>
        <w:wordWrap/>
        <w:topLinePunct w:val="0"/>
        <w:bidi w:val="0"/>
        <w:spacing w:line="360" w:lineRule="auto"/>
      </w:pPr>
      <w:r>
        <w:t>第</w:t>
      </w:r>
      <w:r>
        <w:rPr>
          <w:rFonts w:hint="eastAsia"/>
        </w:rPr>
        <w:t>二</w:t>
      </w:r>
      <w:r>
        <w:t>章  投标</w:t>
      </w:r>
      <w:r>
        <w:rPr>
          <w:rFonts w:hint="eastAsia"/>
        </w:rPr>
        <w:t>人须知</w:t>
      </w:r>
    </w:p>
    <w:p>
      <w:pPr>
        <w:pStyle w:val="8"/>
        <w:keepNext w:val="0"/>
        <w:keepLines w:val="0"/>
        <w:pageBreakBefore w:val="0"/>
        <w:kinsoku/>
        <w:wordWrap/>
        <w:topLinePunct w:val="0"/>
        <w:bidi w:val="0"/>
        <w:spacing w:line="360" w:lineRule="auto"/>
        <w:ind w:left="480"/>
        <w:jc w:val="center"/>
        <w:rPr>
          <w:b/>
          <w:sz w:val="28"/>
          <w:szCs w:val="28"/>
        </w:rPr>
      </w:pPr>
      <w:r>
        <w:rPr>
          <w:rFonts w:hint="eastAsia"/>
          <w:b/>
          <w:sz w:val="28"/>
          <w:szCs w:val="28"/>
        </w:rPr>
        <w:t>投标人须知前附表</w:t>
      </w:r>
    </w:p>
    <w:tbl>
      <w:tblPr>
        <w:tblStyle w:val="15"/>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项目名称</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hint="eastAsia" w:ascii="宋体" w:hAnsi="宋体" w:cs="Calibri" w:eastAsiaTheme="minorEastAsia"/>
                <w:kern w:val="0"/>
                <w:sz w:val="22"/>
                <w:lang w:eastAsia="zh-CN"/>
              </w:rPr>
            </w:pPr>
            <w:r>
              <w:rPr>
                <w:rFonts w:hint="eastAsia" w:ascii="宋体" w:hAnsi="宋体" w:cs="Arial"/>
                <w:kern w:val="0"/>
                <w:sz w:val="22"/>
              </w:rPr>
              <w:t>杭州萧山国际机场车站无障碍柜台改造</w:t>
            </w:r>
            <w:r>
              <w:rPr>
                <w:rFonts w:hint="eastAsia" w:ascii="宋体" w:hAnsi="宋体" w:cs="Arial"/>
                <w:kern w:val="0"/>
                <w:sz w:val="22"/>
                <w:lang w:eastAsia="zh-CN"/>
              </w:rPr>
              <w:t>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sz w:val="22"/>
              </w:rPr>
            </w:pPr>
            <w:r>
              <w:rPr>
                <w:rFonts w:ascii="宋体" w:hAnsi="宋体" w:cs="Calibri"/>
                <w:sz w:val="22"/>
              </w:rPr>
              <w:t>1.1.2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建设地点</w:t>
            </w:r>
          </w:p>
        </w:tc>
        <w:tc>
          <w:tcPr>
            <w:tcW w:w="6487" w:type="dxa"/>
            <w:vAlign w:val="center"/>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宋体" w:hAnsi="宋体" w:cs="Calibri" w:eastAsiaTheme="minorEastAsia"/>
                <w:color w:val="000000" w:themeColor="text1"/>
                <w:kern w:val="0"/>
                <w:sz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hint="default" w:ascii="宋体" w:hAnsi="宋体" w:cs="Calibri" w:eastAsiaTheme="minorEastAsia"/>
                <w:color w:val="auto"/>
                <w:sz w:val="22"/>
                <w:lang w:val="en-US" w:eastAsia="zh-CN"/>
              </w:rPr>
            </w:pPr>
            <w:r>
              <w:rPr>
                <w:rFonts w:ascii="宋体" w:hAnsi="宋体" w:cs="Calibri"/>
                <w:color w:val="auto"/>
                <w:sz w:val="22"/>
              </w:rPr>
              <w:t>1.2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hint="default" w:ascii="宋体" w:hAnsi="宋体" w:cs="Calibri" w:eastAsiaTheme="minorEastAsia"/>
                <w:color w:val="auto"/>
                <w:kern w:val="0"/>
                <w:sz w:val="22"/>
                <w:lang w:val="en-US" w:eastAsia="zh-CN"/>
              </w:rPr>
            </w:pPr>
            <w:r>
              <w:rPr>
                <w:rFonts w:ascii="宋体" w:hAnsi="宋体" w:cs="Calibri"/>
                <w:color w:val="auto"/>
                <w:kern w:val="0"/>
                <w:sz w:val="22"/>
              </w:rPr>
              <w:t>资金</w:t>
            </w:r>
            <w:r>
              <w:rPr>
                <w:rFonts w:hint="eastAsia" w:ascii="宋体" w:hAnsi="宋体" w:cs="Calibri"/>
                <w:color w:val="auto"/>
                <w:kern w:val="0"/>
                <w:sz w:val="22"/>
                <w:lang w:val="en-US" w:eastAsia="zh-CN"/>
              </w:rPr>
              <w:t>落实情况</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hint="eastAsia" w:ascii="宋体" w:hAnsi="宋体" w:cs="Calibri" w:eastAsiaTheme="minorEastAsia"/>
                <w:color w:val="auto"/>
                <w:kern w:val="0"/>
                <w:sz w:val="22"/>
                <w:lang w:val="en-US" w:eastAsia="zh-CN"/>
              </w:rPr>
            </w:pPr>
            <w:r>
              <w:rPr>
                <w:rFonts w:hint="eastAsia" w:ascii="宋体" w:hAnsi="宋体" w:cs="Calibri"/>
                <w:color w:val="auto"/>
                <w:kern w:val="0"/>
                <w:sz w:val="22"/>
                <w:lang w:val="en-US" w:eastAsia="zh-CN"/>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1.3</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1.4</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招标方式</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1.5</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资格审查</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1.6</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1.7</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合同签订后</w:t>
            </w:r>
            <w:r>
              <w:rPr>
                <w:rFonts w:hint="eastAsia" w:ascii="宋体" w:hAnsi="宋体" w:cs="Calibri"/>
                <w:kern w:val="0"/>
                <w:sz w:val="22"/>
                <w:u w:val="single"/>
                <w:lang w:val="en-US" w:eastAsia="zh-CN"/>
              </w:rPr>
              <w:t>3</w:t>
            </w:r>
            <w:r>
              <w:rPr>
                <w:rFonts w:hint="eastAsia" w:ascii="宋体" w:hAnsi="宋体"/>
                <w:sz w:val="22"/>
                <w:u w:val="single"/>
              </w:rPr>
              <w:t>0</w:t>
            </w:r>
            <w:r>
              <w:rPr>
                <w:rFonts w:hint="eastAsia"/>
                <w:sz w:val="22"/>
              </w:rPr>
              <w:t>日历天内</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1.8</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踏勘现场</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lang w:eastAsia="zh-CN"/>
              </w:rPr>
              <w:t>☑</w:t>
            </w:r>
            <w:r>
              <w:rPr>
                <w:rFonts w:ascii="宋体" w:hAnsi="宋体" w:cs="Calibri"/>
                <w:kern w:val="0"/>
                <w:sz w:val="22"/>
              </w:rPr>
              <w:t>不组织</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lang w:val="en-US" w:eastAsia="zh-CN"/>
              </w:rPr>
              <w:t>自行</w:t>
            </w:r>
            <w:r>
              <w:rPr>
                <w:rFonts w:ascii="宋体" w:hAnsi="宋体" w:cs="Calibri"/>
                <w:kern w:val="0"/>
                <w:sz w:val="22"/>
              </w:rPr>
              <w:t>踏勘地点：</w:t>
            </w:r>
            <w:r>
              <w:rPr>
                <w:rFonts w:hint="eastAsia" w:ascii="宋体" w:hAnsi="宋体" w:cs="Calibri"/>
                <w:kern w:val="0"/>
                <w:sz w:val="22"/>
              </w:rPr>
              <w:t>杭州萧山国际机场</w:t>
            </w:r>
            <w:r>
              <w:rPr>
                <w:rFonts w:hint="eastAsia" w:ascii="宋体" w:hAnsi="宋体" w:cs="Calibri"/>
                <w:kern w:val="0"/>
                <w:sz w:val="22"/>
                <w:lang w:val="en-US" w:eastAsia="zh-CN"/>
              </w:rPr>
              <w:t>8号门巴士售票处及车站安检通道</w:t>
            </w: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投标预备会</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2.2.1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color w:val="000000" w:themeColor="text1"/>
                <w:kern w:val="0"/>
                <w:sz w:val="22"/>
                <w14:textFill>
                  <w14:solidFill>
                    <w14:schemeClr w14:val="tx1"/>
                  </w14:solidFill>
                </w14:textFill>
              </w:rPr>
              <w:t>20</w:t>
            </w:r>
            <w:r>
              <w:rPr>
                <w:rFonts w:hint="eastAsia" w:ascii="宋体" w:hAnsi="宋体" w:cs="Calibri"/>
                <w:color w:val="000000" w:themeColor="text1"/>
                <w:kern w:val="0"/>
                <w:sz w:val="22"/>
                <w:lang w:val="en-US" w:eastAsia="zh-CN"/>
                <w14:textFill>
                  <w14:solidFill>
                    <w14:schemeClr w14:val="tx1"/>
                  </w14:solidFill>
                </w14:textFill>
              </w:rPr>
              <w:t>21</w:t>
            </w:r>
            <w:r>
              <w:rPr>
                <w:rFonts w:hint="eastAsia" w:ascii="宋体" w:hAnsi="宋体" w:cs="Calibri"/>
                <w:color w:val="000000" w:themeColor="text1"/>
                <w:kern w:val="0"/>
                <w:sz w:val="22"/>
                <w14:textFill>
                  <w14:solidFill>
                    <w14:schemeClr w14:val="tx1"/>
                  </w14:solidFill>
                </w14:textFill>
              </w:rPr>
              <w:t>年</w:t>
            </w:r>
            <w:r>
              <w:rPr>
                <w:rFonts w:hint="eastAsia" w:ascii="宋体" w:hAnsi="宋体" w:cs="Calibri"/>
                <w:color w:val="000000" w:themeColor="text1"/>
                <w:kern w:val="0"/>
                <w:sz w:val="22"/>
                <w:lang w:val="en-US" w:eastAsia="zh-CN"/>
                <w14:textFill>
                  <w14:solidFill>
                    <w14:schemeClr w14:val="tx1"/>
                  </w14:solidFill>
                </w14:textFill>
              </w:rPr>
              <w:t>7</w:t>
            </w:r>
            <w:r>
              <w:rPr>
                <w:rFonts w:hint="eastAsia" w:ascii="宋体" w:hAnsi="宋体" w:cs="Calibri"/>
                <w:color w:val="000000" w:themeColor="text1"/>
                <w:kern w:val="0"/>
                <w:sz w:val="22"/>
                <w14:textFill>
                  <w14:solidFill>
                    <w14:schemeClr w14:val="tx1"/>
                  </w14:solidFill>
                </w14:textFill>
              </w:rPr>
              <w:t>月</w:t>
            </w:r>
            <w:r>
              <w:rPr>
                <w:rFonts w:hint="eastAsia" w:ascii="宋体" w:hAnsi="宋体" w:cs="Calibri"/>
                <w:color w:val="000000" w:themeColor="text1"/>
                <w:kern w:val="0"/>
                <w:sz w:val="22"/>
                <w:lang w:val="en-US" w:eastAsia="zh-CN"/>
                <w14:textFill>
                  <w14:solidFill>
                    <w14:schemeClr w14:val="tx1"/>
                  </w14:solidFill>
                </w14:textFill>
              </w:rPr>
              <w:t>21</w:t>
            </w:r>
            <w:r>
              <w:rPr>
                <w:rFonts w:hint="eastAsia" w:ascii="宋体" w:hAnsi="宋体" w:cs="Calibri"/>
                <w:color w:val="000000" w:themeColor="text1"/>
                <w:kern w:val="0"/>
                <w:sz w:val="22"/>
                <w14:textFill>
                  <w14:solidFill>
                    <w14:schemeClr w14:val="tx1"/>
                  </w14:solidFill>
                </w14:textFill>
              </w:rPr>
              <w:t>日</w:t>
            </w:r>
            <w:r>
              <w:rPr>
                <w:rFonts w:hint="eastAsia" w:ascii="宋体" w:hAnsi="宋体" w:cs="Calibri"/>
                <w:color w:val="000000" w:themeColor="text1"/>
                <w:kern w:val="0"/>
                <w:sz w:val="22"/>
                <w:lang w:val="en-US" w:eastAsia="zh-CN"/>
                <w14:textFill>
                  <w14:solidFill>
                    <w14:schemeClr w14:val="tx1"/>
                  </w14:solidFill>
                </w14:textFill>
              </w:rPr>
              <w:t>14</w:t>
            </w:r>
            <w:r>
              <w:rPr>
                <w:rFonts w:hint="eastAsia"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lang w:val="en-US" w:eastAsia="zh-CN"/>
                <w14:textFill>
                  <w14:solidFill>
                    <w14:schemeClr w14:val="tx1"/>
                  </w14:solidFill>
                </w14:textFill>
              </w:rPr>
              <w:t>0</w:t>
            </w:r>
            <w:r>
              <w:rPr>
                <w:rFonts w:hint="eastAsia" w:ascii="宋体" w:hAnsi="宋体" w:cs="Calibri"/>
                <w:color w:val="000000" w:themeColor="text1"/>
                <w:kern w:val="0"/>
                <w:sz w:val="22"/>
                <w14:textFill>
                  <w14:solidFill>
                    <w14:schemeClr w14:val="tx1"/>
                  </w14:solidFill>
                </w14:textFill>
              </w:rPr>
              <w:t>0前，</w:t>
            </w:r>
            <w:r>
              <w:rPr>
                <w:rFonts w:hint="eastAsia" w:ascii="宋体" w:hAnsi="宋体" w:cs="Calibri"/>
                <w:kern w:val="0"/>
                <w:sz w:val="22"/>
              </w:rPr>
              <w:t>以书面加盖公章的形式通过E-mail提交给招标人</w:t>
            </w:r>
            <w:r>
              <w:rPr>
                <w:rFonts w:hint="eastAsia" w:ascii="宋体" w:hAnsi="宋体" w:cs="Calibri"/>
                <w:color w:val="000000" w:themeColor="text1"/>
                <w:kern w:val="0"/>
                <w:sz w:val="22"/>
                <w14:textFill>
                  <w14:solidFill>
                    <w14:schemeClr w14:val="tx1"/>
                  </w14:solidFill>
                </w14:textFill>
              </w:rPr>
              <w:t>（投标联系人:</w:t>
            </w:r>
            <w:r>
              <w:rPr>
                <w:rFonts w:hint="eastAsia" w:ascii="宋体" w:hAnsi="宋体" w:cs="Calibri"/>
                <w:color w:val="000000" w:themeColor="text1"/>
                <w:kern w:val="0"/>
                <w:sz w:val="22"/>
                <w:lang w:val="en-US" w:eastAsia="zh-CN"/>
                <w14:textFill>
                  <w14:solidFill>
                    <w14:schemeClr w14:val="tx1"/>
                  </w14:solidFill>
                </w14:textFill>
              </w:rPr>
              <w:t>陈澍昊</w:t>
            </w:r>
            <w:r>
              <w:rPr>
                <w:rFonts w:hint="eastAsia" w:ascii="宋体" w:hAnsi="宋体" w:cs="Calibri"/>
                <w:color w:val="000000" w:themeColor="text1"/>
                <w:kern w:val="0"/>
                <w:sz w:val="22"/>
                <w14:textFill>
                  <w14:solidFill>
                    <w14:schemeClr w14:val="tx1"/>
                  </w14:solidFill>
                </w14:textFill>
              </w:rPr>
              <w:t>，电话0571-</w:t>
            </w:r>
            <w:r>
              <w:rPr>
                <w:rFonts w:hint="eastAsia" w:ascii="宋体" w:hAnsi="宋体" w:cs="Calibri"/>
                <w:color w:val="000000" w:themeColor="text1"/>
                <w:kern w:val="0"/>
                <w:sz w:val="22"/>
                <w:lang w:val="en-US" w:eastAsia="zh-CN"/>
                <w14:textFill>
                  <w14:solidFill>
                    <w14:schemeClr w14:val="tx1"/>
                  </w14:solidFill>
                </w14:textFill>
              </w:rPr>
              <w:t>83837647</w:t>
            </w:r>
            <w:r>
              <w:rPr>
                <w:rFonts w:hint="eastAsia" w:ascii="宋体" w:hAnsi="宋体" w:cs="Calibri"/>
                <w:color w:val="000000" w:themeColor="text1"/>
                <w:kern w:val="0"/>
                <w:sz w:val="22"/>
                <w14:textFill>
                  <w14:solidFill>
                    <w14:schemeClr w14:val="tx1"/>
                  </w14:solidFill>
                </w14:textFill>
              </w:rPr>
              <w:t>；电子邮箱：</w:t>
            </w:r>
            <w:r>
              <w:rPr>
                <w:rFonts w:hint="eastAsia" w:ascii="宋体" w:hAnsi="宋体" w:cs="Calibri"/>
                <w:color w:val="000000" w:themeColor="text1"/>
                <w:kern w:val="0"/>
                <w:sz w:val="22"/>
                <w:lang w:val="en-US" w:eastAsia="zh-CN"/>
                <w14:textFill>
                  <w14:solidFill>
                    <w14:schemeClr w14:val="tx1"/>
                  </w14:solidFill>
                </w14:textFill>
              </w:rPr>
              <w:t>422473488@qq.com</w:t>
            </w:r>
            <w:r>
              <w:rPr>
                <w:rFonts w:hint="eastAsia" w:ascii="宋体" w:hAnsi="宋体" w:cs="Calibri"/>
                <w:color w:val="000000" w:themeColor="text1"/>
                <w:kern w:val="0"/>
                <w:sz w:val="22"/>
                <w14:textFill>
                  <w14:solidFill>
                    <w14:schemeClr w14:val="tx1"/>
                  </w14:solidFill>
                </w14:textFill>
              </w:rPr>
              <w:t>）</w:t>
            </w:r>
            <w:r>
              <w:rPr>
                <w:rFonts w:hint="eastAsia"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2.2.2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投标截止时间</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hint="eastAsia" w:ascii="宋体" w:hAnsi="宋体" w:eastAsia="宋体" w:cs="Calibri"/>
                <w:b/>
                <w:kern w:val="0"/>
                <w:sz w:val="22"/>
                <w:lang w:eastAsia="zh-CN"/>
              </w:rPr>
            </w:pPr>
            <w:r>
              <w:rPr>
                <w:rFonts w:hint="eastAsia" w:ascii="宋体" w:hAnsi="宋体" w:cs="Arial"/>
                <w:color w:val="000000" w:themeColor="text1"/>
                <w:kern w:val="0"/>
                <w:sz w:val="22"/>
                <w:lang w:eastAsia="zh-CN"/>
                <w14:textFill>
                  <w14:solidFill>
                    <w14:schemeClr w14:val="tx1"/>
                  </w14:solidFill>
                </w14:textFill>
              </w:rPr>
              <w:t>202</w:t>
            </w:r>
            <w:r>
              <w:rPr>
                <w:rFonts w:hint="eastAsia" w:ascii="宋体" w:hAnsi="宋体" w:cs="Arial"/>
                <w:color w:val="000000" w:themeColor="text1"/>
                <w:kern w:val="0"/>
                <w:sz w:val="22"/>
                <w:lang w:val="en-US" w:eastAsia="zh-CN"/>
                <w14:textFill>
                  <w14:solidFill>
                    <w14:schemeClr w14:val="tx1"/>
                  </w14:solidFill>
                </w14:textFill>
              </w:rPr>
              <w:t>1</w:t>
            </w:r>
            <w:r>
              <w:rPr>
                <w:rFonts w:hint="eastAsia" w:ascii="宋体" w:hAnsi="宋体" w:cs="Arial"/>
                <w:color w:val="000000" w:themeColor="text1"/>
                <w:kern w:val="0"/>
                <w:sz w:val="22"/>
                <w:lang w:eastAsia="zh-CN"/>
                <w14:textFill>
                  <w14:solidFill>
                    <w14:schemeClr w14:val="tx1"/>
                  </w14:solidFill>
                </w14:textFill>
              </w:rPr>
              <w:t>年</w:t>
            </w:r>
            <w:r>
              <w:rPr>
                <w:rFonts w:hint="eastAsia" w:ascii="宋体" w:hAnsi="宋体" w:cs="Arial"/>
                <w:color w:val="000000" w:themeColor="text1"/>
                <w:kern w:val="0"/>
                <w:sz w:val="22"/>
                <w:lang w:val="en-US" w:eastAsia="zh-CN"/>
                <w14:textFill>
                  <w14:solidFill>
                    <w14:schemeClr w14:val="tx1"/>
                  </w14:solidFill>
                </w14:textFill>
              </w:rPr>
              <w:t>7</w:t>
            </w:r>
            <w:r>
              <w:rPr>
                <w:rFonts w:hint="eastAsia" w:ascii="宋体" w:hAnsi="宋体" w:cs="Arial"/>
                <w:color w:val="000000" w:themeColor="text1"/>
                <w:kern w:val="0"/>
                <w:sz w:val="22"/>
                <w:lang w:eastAsia="zh-CN"/>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21</w:t>
            </w:r>
            <w:r>
              <w:rPr>
                <w:rFonts w:hint="eastAsia" w:ascii="宋体" w:hAnsi="宋体" w:cs="Arial"/>
                <w:color w:val="000000" w:themeColor="text1"/>
                <w:kern w:val="0"/>
                <w:sz w:val="22"/>
                <w:lang w:eastAsia="zh-CN"/>
                <w14:textFill>
                  <w14:solidFill>
                    <w14:schemeClr w14:val="tx1"/>
                  </w14:solidFill>
                </w14:textFill>
              </w:rPr>
              <w:t>日</w:t>
            </w:r>
            <w:r>
              <w:rPr>
                <w:rFonts w:hint="eastAsia" w:ascii="宋体" w:hAnsi="宋体" w:cs="Arial"/>
                <w:color w:val="000000" w:themeColor="text1"/>
                <w:kern w:val="0"/>
                <w:sz w:val="22"/>
                <w:lang w:val="en-US" w:eastAsia="zh-CN"/>
                <w14:textFill>
                  <w14:solidFill>
                    <w14:schemeClr w14:val="tx1"/>
                  </w14:solidFill>
                </w14:textFill>
              </w:rPr>
              <w:t>下</w:t>
            </w:r>
            <w:r>
              <w:rPr>
                <w:rFonts w:hint="eastAsia" w:ascii="宋体" w:hAnsi="宋体" w:cs="Arial"/>
                <w:color w:val="000000" w:themeColor="text1"/>
                <w:kern w:val="0"/>
                <w:sz w:val="22"/>
                <w:lang w:eastAsia="zh-CN"/>
                <w14:textFill>
                  <w14:solidFill>
                    <w14:schemeClr w14:val="tx1"/>
                  </w14:solidFill>
                </w14:textFill>
              </w:rPr>
              <w:t>午</w:t>
            </w:r>
            <w:r>
              <w:rPr>
                <w:rFonts w:hint="eastAsia" w:ascii="宋体" w:hAnsi="宋体" w:cs="Arial"/>
                <w:color w:val="000000" w:themeColor="text1"/>
                <w:kern w:val="0"/>
                <w:sz w:val="22"/>
                <w:lang w:val="en-US" w:eastAsia="zh-CN"/>
                <w14:textFill>
                  <w14:solidFill>
                    <w14:schemeClr w14:val="tx1"/>
                  </w14:solidFill>
                </w14:textFill>
              </w:rPr>
              <w:t>14</w:t>
            </w:r>
            <w:r>
              <w:rPr>
                <w:rFonts w:hint="eastAsia" w:ascii="宋体" w:hAnsi="宋体" w:cs="Arial"/>
                <w:color w:val="000000" w:themeColor="text1"/>
                <w:kern w:val="0"/>
                <w:sz w:val="22"/>
                <w:lang w:eastAsia="zh-CN"/>
                <w14:textFill>
                  <w14:solidFill>
                    <w14:schemeClr w14:val="tx1"/>
                  </w14:solidFill>
                </w14:textFill>
              </w:rPr>
              <w:t>时</w:t>
            </w:r>
            <w:r>
              <w:rPr>
                <w:rFonts w:hint="eastAsia" w:ascii="宋体" w:hAnsi="宋体" w:cs="Arial"/>
                <w:color w:val="000000" w:themeColor="text1"/>
                <w:kern w:val="0"/>
                <w:sz w:val="22"/>
                <w:lang w:val="en-US" w:eastAsia="zh-CN"/>
                <w14:textFill>
                  <w14:solidFill>
                    <w14:schemeClr w14:val="tx1"/>
                  </w14:solidFill>
                </w14:textFill>
              </w:rPr>
              <w:t>00</w:t>
            </w:r>
            <w:r>
              <w:rPr>
                <w:rFonts w:hint="eastAsia" w:ascii="宋体" w:hAnsi="宋体" w:cs="Arial"/>
                <w:color w:val="000000" w:themeColor="text1"/>
                <w:kern w:val="0"/>
                <w:sz w:val="22"/>
                <w:lang w:eastAsia="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2.2.3</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2.3.2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投标人确认收到招</w:t>
            </w:r>
          </w:p>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标文件修改的时间</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3.4.1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投标有效期</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3.5.1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投标保证金</w:t>
            </w:r>
          </w:p>
        </w:tc>
        <w:tc>
          <w:tcPr>
            <w:tcW w:w="6487" w:type="dxa"/>
            <w:vAlign w:val="center"/>
          </w:tcPr>
          <w:p>
            <w:pPr>
              <w:keepNext w:val="0"/>
              <w:keepLines w:val="0"/>
              <w:pageBreakBefore w:val="0"/>
              <w:kinsoku/>
              <w:wordWrap/>
              <w:topLinePunct w:val="0"/>
              <w:bidi w:val="0"/>
              <w:snapToGrid w:val="0"/>
              <w:spacing w:line="360" w:lineRule="auto"/>
              <w:rPr>
                <w:rFonts w:ascii="宋体" w:hAnsi="宋体"/>
                <w:sz w:val="22"/>
              </w:rPr>
            </w:pPr>
            <w:r>
              <w:rPr>
                <w:rFonts w:hint="eastAsia" w:ascii="宋体" w:hAnsi="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3.6.3</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3.6.4</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投标文件份数</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4.1.2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封套上写明</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cs="Calibri"/>
                <w:kern w:val="0"/>
                <w:sz w:val="22"/>
                <w:u w:val="single"/>
                <w:lang w:eastAsia="zh-CN"/>
              </w:rPr>
              <w:t>车站无障碍柜台改造项目</w:t>
            </w:r>
            <w:r>
              <w:rPr>
                <w:rFonts w:hint="eastAsia" w:ascii="宋体" w:hAnsi="宋体" w:cs="宋体"/>
                <w:sz w:val="22"/>
              </w:rPr>
              <w:t>投标文件</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color w:val="000000" w:themeColor="text1"/>
                <w:kern w:val="0"/>
                <w:sz w:val="22"/>
                <w14:textFill>
                  <w14:solidFill>
                    <w14:schemeClr w14:val="tx1"/>
                  </w14:solidFill>
                </w14:textFill>
              </w:rPr>
              <w:t>在</w:t>
            </w:r>
            <w:r>
              <w:rPr>
                <w:rFonts w:hint="eastAsia" w:ascii="宋体" w:hAnsi="宋体" w:cs="Arial"/>
                <w:color w:val="000000" w:themeColor="text1"/>
                <w:kern w:val="0"/>
                <w:sz w:val="22"/>
                <w14:textFill>
                  <w14:solidFill>
                    <w14:schemeClr w14:val="tx1"/>
                  </w14:solidFill>
                </w14:textFill>
              </w:rPr>
              <w:t>20</w:t>
            </w:r>
            <w:r>
              <w:rPr>
                <w:rFonts w:hint="eastAsia" w:ascii="宋体" w:hAnsi="宋体" w:cs="Arial"/>
                <w:color w:val="000000" w:themeColor="text1"/>
                <w:kern w:val="0"/>
                <w:sz w:val="22"/>
                <w:lang w:val="en-US" w:eastAsia="zh-CN"/>
                <w14:textFill>
                  <w14:solidFill>
                    <w14:schemeClr w14:val="tx1"/>
                  </w14:solidFill>
                </w14:textFill>
              </w:rPr>
              <w:t>21</w:t>
            </w:r>
            <w:r>
              <w:rPr>
                <w:rFonts w:hint="eastAsia" w:ascii="宋体" w:hAnsi="宋体" w:cs="Arial"/>
                <w:color w:val="000000" w:themeColor="text1"/>
                <w:kern w:val="0"/>
                <w:sz w:val="22"/>
                <w14:textFill>
                  <w14:solidFill>
                    <w14:schemeClr w14:val="tx1"/>
                  </w14:solidFill>
                </w14:textFill>
              </w:rPr>
              <w:t>年</w:t>
            </w:r>
            <w:r>
              <w:rPr>
                <w:rFonts w:hint="eastAsia" w:ascii="宋体" w:hAnsi="宋体" w:cs="Arial"/>
                <w:color w:val="000000" w:themeColor="text1"/>
                <w:kern w:val="0"/>
                <w:sz w:val="22"/>
                <w:lang w:val="en-US" w:eastAsia="zh-CN"/>
                <w14:textFill>
                  <w14:solidFill>
                    <w14:schemeClr w14:val="tx1"/>
                  </w14:solidFill>
                </w14:textFill>
              </w:rPr>
              <w:t>7</w:t>
            </w:r>
            <w:r>
              <w:rPr>
                <w:rFonts w:hint="eastAsia" w:ascii="宋体" w:hAnsi="宋体" w:cs="Arial"/>
                <w:color w:val="000000" w:themeColor="text1"/>
                <w:kern w:val="0"/>
                <w:sz w:val="22"/>
                <w:lang w:eastAsia="zh-CN"/>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21</w:t>
            </w:r>
            <w:r>
              <w:rPr>
                <w:rFonts w:hint="eastAsia" w:ascii="宋体" w:hAnsi="宋体" w:cs="Arial"/>
                <w:color w:val="000000" w:themeColor="text1"/>
                <w:kern w:val="0"/>
                <w:sz w:val="22"/>
                <w:lang w:eastAsia="zh-CN"/>
                <w14:textFill>
                  <w14:solidFill>
                    <w14:schemeClr w14:val="tx1"/>
                  </w14:solidFill>
                </w14:textFill>
              </w:rPr>
              <w:t>日</w:t>
            </w:r>
            <w:r>
              <w:rPr>
                <w:rFonts w:hint="eastAsia" w:ascii="宋体" w:hAnsi="宋体" w:cs="Arial"/>
                <w:color w:val="000000" w:themeColor="text1"/>
                <w:kern w:val="0"/>
                <w:sz w:val="22"/>
                <w:lang w:val="en-US" w:eastAsia="zh-CN"/>
                <w14:textFill>
                  <w14:solidFill>
                    <w14:schemeClr w14:val="tx1"/>
                  </w14:solidFill>
                </w14:textFill>
              </w:rPr>
              <w:t>下</w:t>
            </w:r>
            <w:r>
              <w:rPr>
                <w:rFonts w:hint="eastAsia" w:ascii="宋体" w:hAnsi="宋体" w:cs="Arial"/>
                <w:color w:val="000000" w:themeColor="text1"/>
                <w:kern w:val="0"/>
                <w:sz w:val="22"/>
                <w:lang w:eastAsia="zh-CN"/>
                <w14:textFill>
                  <w14:solidFill>
                    <w14:schemeClr w14:val="tx1"/>
                  </w14:solidFill>
                </w14:textFill>
              </w:rPr>
              <w:t>午</w:t>
            </w:r>
            <w:r>
              <w:rPr>
                <w:rFonts w:hint="eastAsia" w:ascii="宋体" w:hAnsi="宋体" w:cs="Arial"/>
                <w:color w:val="000000" w:themeColor="text1"/>
                <w:kern w:val="0"/>
                <w:sz w:val="22"/>
                <w:lang w:val="en-US" w:eastAsia="zh-CN"/>
                <w14:textFill>
                  <w14:solidFill>
                    <w14:schemeClr w14:val="tx1"/>
                  </w14:solidFill>
                </w14:textFill>
              </w:rPr>
              <w:t>14</w:t>
            </w:r>
            <w:r>
              <w:rPr>
                <w:rFonts w:hint="eastAsia" w:ascii="宋体" w:hAnsi="宋体" w:cs="Arial"/>
                <w:color w:val="000000" w:themeColor="text1"/>
                <w:kern w:val="0"/>
                <w:sz w:val="22"/>
                <w:lang w:eastAsia="zh-CN"/>
                <w14:textFill>
                  <w14:solidFill>
                    <w14:schemeClr w14:val="tx1"/>
                  </w14:solidFill>
                </w14:textFill>
              </w:rPr>
              <w:t>时</w:t>
            </w:r>
            <w:r>
              <w:rPr>
                <w:rFonts w:hint="eastAsia" w:ascii="宋体" w:hAnsi="宋体" w:cs="Arial"/>
                <w:color w:val="000000" w:themeColor="text1"/>
                <w:kern w:val="0"/>
                <w:sz w:val="22"/>
                <w:lang w:val="en-US" w:eastAsia="zh-CN"/>
                <w14:textFill>
                  <w14:solidFill>
                    <w14:schemeClr w14:val="tx1"/>
                  </w14:solidFill>
                </w14:textFill>
              </w:rPr>
              <w:t>00</w:t>
            </w:r>
            <w:r>
              <w:rPr>
                <w:rFonts w:hint="eastAsia" w:ascii="宋体" w:hAnsi="宋体" w:cs="Arial"/>
                <w:color w:val="000000" w:themeColor="text1"/>
                <w:kern w:val="0"/>
                <w:sz w:val="22"/>
                <w:lang w:eastAsia="zh-CN"/>
                <w14:textFill>
                  <w14:solidFill>
                    <w14:schemeClr w14:val="tx1"/>
                  </w14:solidFill>
                </w14:textFill>
              </w:rPr>
              <w:t>分</w:t>
            </w:r>
            <w:r>
              <w:rPr>
                <w:rFonts w:ascii="宋体" w:hAnsi="宋体" w:cs="Calibri"/>
                <w:color w:val="000000" w:themeColor="text1"/>
                <w:kern w:val="0"/>
                <w:sz w:val="22"/>
                <w14:textFill>
                  <w14:solidFill>
                    <w14:schemeClr w14:val="tx1"/>
                  </w14:solidFill>
                </w14:textFill>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4.2.2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hint="eastAsia" w:ascii="宋体" w:hAnsi="宋体" w:cs="Calibri" w:eastAsiaTheme="minorEastAsia"/>
                <w:kern w:val="0"/>
                <w:sz w:val="22"/>
                <w:lang w:val="en-US" w:eastAsia="zh-CN"/>
              </w:rPr>
            </w:pPr>
            <w:r>
              <w:rPr>
                <w:rFonts w:hint="eastAsia" w:ascii="宋体" w:hAnsi="宋体"/>
                <w:b w:val="0"/>
                <w:bCs w:val="0"/>
                <w:color w:val="000000" w:themeColor="text1"/>
                <w:szCs w:val="21"/>
                <w:lang w:val="en-US" w:eastAsia="zh-CN"/>
                <w14:textFill>
                  <w14:solidFill>
                    <w14:schemeClr w14:val="tx1"/>
                  </w14:solidFill>
                </w14:textFill>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4.2.3</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lang w:eastAsia="zh-CN"/>
              </w:rPr>
              <w:t>□</w:t>
            </w: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5.1.1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开标时间：同投标截止时间</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5.2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开标程序</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w:t>
            </w:r>
            <w:r>
              <w:rPr>
                <w:rFonts w:hint="eastAsia" w:ascii="宋体" w:hAnsi="宋体" w:cs="Calibri"/>
                <w:kern w:val="0"/>
                <w:sz w:val="22"/>
                <w:lang w:val="en-US" w:eastAsia="zh-CN"/>
              </w:rPr>
              <w:t>1</w:t>
            </w:r>
            <w:r>
              <w:rPr>
                <w:rFonts w:ascii="宋体" w:hAnsi="宋体" w:cs="Calibri"/>
                <w:kern w:val="0"/>
                <w:sz w:val="22"/>
              </w:rPr>
              <w:t>）密封情况检查：由投标人或者其集体推选的代表检查投标文件的密封情况。</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w:t>
            </w:r>
            <w:r>
              <w:rPr>
                <w:rFonts w:hint="eastAsia" w:ascii="宋体" w:hAnsi="宋体" w:cs="Calibri"/>
                <w:kern w:val="0"/>
                <w:sz w:val="22"/>
                <w:lang w:val="en-US" w:eastAsia="zh-CN"/>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6.1.1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评标委员会的组建</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hint="default" w:ascii="宋体" w:hAnsi="宋体" w:cs="Calibri" w:eastAsiaTheme="minorEastAsia"/>
                <w:kern w:val="0"/>
                <w:sz w:val="22"/>
                <w:lang w:val="en-US" w:eastAsia="zh-CN"/>
              </w:rPr>
            </w:pPr>
            <w:r>
              <w:rPr>
                <w:rFonts w:hint="eastAsia" w:ascii="宋体" w:hAnsi="宋体" w:cs="Calibri"/>
                <w:kern w:val="0"/>
                <w:sz w:val="22"/>
                <w:lang w:val="en-US" w:eastAsia="zh-CN"/>
              </w:rPr>
              <w:t>6.1.2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rPr>
                <w:rFonts w:hint="default" w:ascii="宋体" w:hAnsi="宋体" w:cs="Calibri" w:eastAsiaTheme="minorEastAsia"/>
                <w:kern w:val="0"/>
                <w:sz w:val="22"/>
                <w:lang w:val="en-US" w:eastAsia="zh-CN"/>
              </w:rPr>
            </w:pPr>
            <w:r>
              <w:rPr>
                <w:rFonts w:hint="eastAsia" w:ascii="宋体" w:hAnsi="宋体" w:cs="Calibri"/>
                <w:kern w:val="0"/>
                <w:sz w:val="22"/>
                <w:lang w:val="en-US" w:eastAsia="zh-CN"/>
              </w:rPr>
              <w:t>评标委员会推荐中标候选人的人数</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hint="default" w:ascii="宋体" w:hAnsi="宋体" w:cs="Calibri" w:eastAsiaTheme="minorEastAsia"/>
                <w:kern w:val="0"/>
                <w:sz w:val="22"/>
                <w:lang w:val="en-US" w:eastAsia="zh-CN"/>
              </w:rPr>
            </w:pPr>
            <w:r>
              <w:rPr>
                <w:rFonts w:hint="eastAsia" w:ascii="宋体" w:hAnsi="宋体" w:cs="Calibri"/>
                <w:kern w:val="0"/>
                <w:sz w:val="22"/>
                <w:lang w:val="en-US" w:eastAsia="zh-CN"/>
              </w:rPr>
              <w:t>1人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7.1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□是</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7.3.1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jc w:val="left"/>
              <w:rPr>
                <w:rFonts w:hint="default" w:ascii="宋体" w:hAnsi="宋体" w:eastAsiaTheme="minorEastAsia"/>
                <w:sz w:val="22"/>
                <w:lang w:val="en-US" w:eastAsia="zh-CN"/>
              </w:rPr>
            </w:pPr>
            <w:r>
              <w:rPr>
                <w:rFonts w:hint="eastAsia" w:ascii="宋体" w:hAnsi="宋体"/>
                <w:sz w:val="22"/>
                <w:lang w:val="en-US" w:eastAsia="zh-CN"/>
              </w:rPr>
              <w:t>不要求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1" w:type="dxa"/>
            <w:shd w:val="clear" w:color="auto" w:fill="auto"/>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hint="default" w:ascii="宋体" w:hAnsi="宋体" w:cs="Calibri" w:eastAsiaTheme="minorEastAsia"/>
                <w:kern w:val="0"/>
                <w:sz w:val="22"/>
                <w:lang w:val="en-US" w:eastAsia="zh-CN"/>
              </w:rPr>
            </w:pPr>
            <w:r>
              <w:rPr>
                <w:rFonts w:hint="eastAsia" w:ascii="宋体" w:hAnsi="宋体" w:cs="Calibri"/>
                <w:kern w:val="0"/>
                <w:sz w:val="22"/>
                <w:lang w:val="en-US" w:eastAsia="zh-CN"/>
              </w:rPr>
              <w:t>10</w:t>
            </w:r>
          </w:p>
        </w:tc>
        <w:tc>
          <w:tcPr>
            <w:tcW w:w="2004" w:type="dxa"/>
            <w:shd w:val="clear" w:color="auto" w:fill="auto"/>
            <w:vAlign w:val="center"/>
          </w:tcPr>
          <w:p>
            <w:pPr>
              <w:pStyle w:val="13"/>
              <w:keepNext w:val="0"/>
              <w:keepLines w:val="0"/>
              <w:pageBreakBefore w:val="0"/>
              <w:kinsoku/>
              <w:wordWrap/>
              <w:topLinePunct w:val="0"/>
              <w:bidi w:val="0"/>
              <w:spacing w:line="360" w:lineRule="auto"/>
              <w:rPr>
                <w:rFonts w:hint="default" w:ascii="宋体" w:hAnsi="宋体" w:cs="Calibri"/>
                <w:sz w:val="22"/>
                <w:szCs w:val="22"/>
                <w:lang w:val="en-US" w:eastAsia="zh-CN"/>
              </w:rPr>
            </w:pPr>
            <w:r>
              <w:rPr>
                <w:rFonts w:hint="eastAsia" w:ascii="宋体" w:hAnsi="宋体" w:cs="Calibri"/>
                <w:sz w:val="22"/>
                <w:szCs w:val="22"/>
                <w:lang w:val="en-US" w:eastAsia="zh-CN"/>
              </w:rPr>
              <w:t>是否采用电子招标投标</w:t>
            </w:r>
          </w:p>
        </w:tc>
        <w:tc>
          <w:tcPr>
            <w:tcW w:w="6487" w:type="dxa"/>
            <w:shd w:val="clear" w:color="auto" w:fill="FFFFFF"/>
            <w:vAlign w:val="center"/>
          </w:tcPr>
          <w:p>
            <w:pPr>
              <w:keepNext w:val="0"/>
              <w:keepLines w:val="0"/>
              <w:pageBreakBefore w:val="0"/>
              <w:kinsoku/>
              <w:wordWrap/>
              <w:topLinePunct w:val="0"/>
              <w:bidi w:val="0"/>
              <w:adjustRightInd w:val="0"/>
              <w:snapToGrid w:val="0"/>
              <w:spacing w:line="360" w:lineRule="auto"/>
              <w:rPr>
                <w:rFonts w:hint="eastAsia" w:ascii="宋体" w:hAnsi="宋体" w:cs="Calibri" w:eastAsiaTheme="minorEastAsia"/>
                <w:snapToGrid w:val="0"/>
                <w:kern w:val="0"/>
                <w:sz w:val="22"/>
                <w:lang w:val="en-US" w:eastAsia="zh-CN"/>
              </w:rPr>
            </w:pPr>
            <w:r>
              <w:rPr>
                <w:rFonts w:hint="eastAsia" w:ascii="宋体" w:hAnsi="宋体" w:cs="Calibri"/>
                <w:snapToGrid w:val="0"/>
                <w:kern w:val="0"/>
                <w:sz w:val="22"/>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hint="eastAsia" w:ascii="宋体" w:hAnsi="宋体" w:cs="Calibri" w:eastAsiaTheme="minorEastAsia"/>
                <w:kern w:val="0"/>
                <w:sz w:val="22"/>
                <w:lang w:val="en-US" w:eastAsia="zh-CN"/>
              </w:rPr>
            </w:pPr>
            <w:r>
              <w:rPr>
                <w:rFonts w:hint="eastAsia" w:ascii="宋体" w:hAnsi="宋体" w:cs="Calibri"/>
                <w:kern w:val="0"/>
                <w:sz w:val="22"/>
              </w:rPr>
              <w:t>1</w:t>
            </w:r>
            <w:r>
              <w:rPr>
                <w:rFonts w:hint="eastAsia" w:ascii="宋体" w:hAnsi="宋体" w:cs="Calibri"/>
                <w:kern w:val="0"/>
                <w:sz w:val="22"/>
                <w:lang w:val="en-US" w:eastAsia="zh-CN"/>
              </w:rPr>
              <w:t>1</w:t>
            </w:r>
          </w:p>
        </w:tc>
        <w:tc>
          <w:tcPr>
            <w:tcW w:w="2004" w:type="dxa"/>
            <w:shd w:val="clear" w:color="auto" w:fill="auto"/>
            <w:vAlign w:val="center"/>
          </w:tcPr>
          <w:p>
            <w:pPr>
              <w:pStyle w:val="13"/>
              <w:keepNext w:val="0"/>
              <w:keepLines w:val="0"/>
              <w:pageBreakBefore w:val="0"/>
              <w:kinsoku/>
              <w:wordWrap/>
              <w:topLinePunct w:val="0"/>
              <w:bidi w:val="0"/>
              <w:spacing w:line="360" w:lineRule="auto"/>
              <w:rPr>
                <w:rFonts w:hint="default" w:ascii="宋体" w:hAnsi="宋体" w:eastAsia="宋体" w:cs="Calibri"/>
                <w:sz w:val="22"/>
                <w:szCs w:val="22"/>
                <w:lang w:val="en-US" w:eastAsia="zh-CN"/>
              </w:rPr>
            </w:pPr>
            <w:r>
              <w:rPr>
                <w:rFonts w:hint="eastAsia" w:ascii="宋体" w:hAnsi="宋体" w:cs="Calibri"/>
                <w:sz w:val="22"/>
                <w:szCs w:val="22"/>
                <w:lang w:val="en-US" w:eastAsia="zh-CN"/>
              </w:rPr>
              <w:t>需要补充的其他内容</w:t>
            </w:r>
          </w:p>
        </w:tc>
        <w:tc>
          <w:tcPr>
            <w:tcW w:w="6487" w:type="dxa"/>
            <w:shd w:val="clear" w:color="auto" w:fill="FFFFFF"/>
            <w:vAlign w:val="center"/>
          </w:tcPr>
          <w:p>
            <w:pPr>
              <w:keepNext w:val="0"/>
              <w:keepLines w:val="0"/>
              <w:pageBreakBefore w:val="0"/>
              <w:kinsoku/>
              <w:wordWrap/>
              <w:topLinePunct w:val="0"/>
              <w:bidi w:val="0"/>
              <w:adjustRightInd w:val="0"/>
              <w:snapToGrid w:val="0"/>
              <w:spacing w:line="360" w:lineRule="auto"/>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keepNext w:val="0"/>
              <w:keepLines w:val="0"/>
              <w:pageBreakBefore w:val="0"/>
              <w:kinsoku/>
              <w:wordWrap/>
              <w:topLinePunct w:val="0"/>
              <w:bidi w:val="0"/>
              <w:adjustRightInd w:val="0"/>
              <w:snapToGrid w:val="0"/>
              <w:spacing w:line="360" w:lineRule="auto"/>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hint="default" w:ascii="宋体" w:hAnsi="宋体" w:cs="Calibri" w:eastAsiaTheme="minorEastAsia"/>
                <w:kern w:val="0"/>
                <w:sz w:val="22"/>
                <w:lang w:val="en-US" w:eastAsia="zh-CN"/>
              </w:rPr>
            </w:pPr>
            <w:r>
              <w:rPr>
                <w:rFonts w:hint="eastAsia" w:ascii="宋体" w:hAnsi="宋体" w:cs="Calibri"/>
                <w:kern w:val="0"/>
                <w:sz w:val="22"/>
              </w:rPr>
              <w:t>1</w:t>
            </w:r>
            <w:r>
              <w:rPr>
                <w:rFonts w:hint="eastAsia" w:ascii="宋体" w:hAnsi="宋体" w:cs="Calibri"/>
                <w:kern w:val="0"/>
                <w:sz w:val="22"/>
                <w:lang w:val="en-US" w:eastAsia="zh-CN"/>
              </w:rPr>
              <w:t>1.1</w:t>
            </w:r>
          </w:p>
        </w:tc>
        <w:tc>
          <w:tcPr>
            <w:tcW w:w="2004" w:type="dxa"/>
            <w:shd w:val="clear" w:color="auto" w:fill="auto"/>
            <w:vAlign w:val="center"/>
          </w:tcPr>
          <w:p>
            <w:pPr>
              <w:pStyle w:val="13"/>
              <w:keepNext w:val="0"/>
              <w:keepLines w:val="0"/>
              <w:pageBreakBefore w:val="0"/>
              <w:kinsoku/>
              <w:wordWrap/>
              <w:topLinePunct w:val="0"/>
              <w:bidi w:val="0"/>
              <w:spacing w:line="360" w:lineRule="auto"/>
            </w:pPr>
            <w:r>
              <w:rPr>
                <w:rFonts w:hint="eastAsia"/>
              </w:rPr>
              <w:t>备注</w:t>
            </w:r>
          </w:p>
        </w:tc>
        <w:tc>
          <w:tcPr>
            <w:tcW w:w="6487" w:type="dxa"/>
            <w:shd w:val="clear" w:color="auto" w:fill="FFFFFF"/>
            <w:vAlign w:val="center"/>
          </w:tcPr>
          <w:p>
            <w:pPr>
              <w:keepNext w:val="0"/>
              <w:keepLines w:val="0"/>
              <w:pageBreakBefore w:val="0"/>
              <w:kinsoku/>
              <w:wordWrap/>
              <w:topLinePunct w:val="0"/>
              <w:bidi w:val="0"/>
              <w:adjustRightInd w:val="0"/>
              <w:snapToGrid w:val="0"/>
              <w:spacing w:line="360" w:lineRule="auto"/>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jc w:val="left"/>
        <w:rPr>
          <w:rFonts w:hint="eastAsia" w:asciiTheme="minorEastAsia" w:hAnsiTheme="minorEastAsia" w:eastAsiaTheme="minorEastAsia" w:cstheme="minorEastAsia"/>
          <w:color w:val="FF0000"/>
          <w:sz w:val="24"/>
          <w:szCs w:val="24"/>
        </w:rPr>
      </w:pPr>
    </w:p>
    <w:p>
      <w:pPr>
        <w:pStyle w:val="14"/>
        <w:rPr>
          <w:rFonts w:hint="eastAsia" w:asciiTheme="minorEastAsia" w:hAnsiTheme="minorEastAsia" w:eastAsiaTheme="minorEastAsia" w:cstheme="minorEastAsia"/>
          <w:color w:val="FF0000"/>
          <w:sz w:val="24"/>
          <w:szCs w:val="24"/>
        </w:rPr>
      </w:pPr>
    </w:p>
    <w:p>
      <w:pPr>
        <w:rPr>
          <w:rFonts w:hint="eastAsia"/>
        </w:rPr>
      </w:pPr>
    </w:p>
    <w:p>
      <w:pPr>
        <w:keepNext w:val="0"/>
        <w:keepLines w:val="0"/>
        <w:pageBreakBefore w:val="0"/>
        <w:widowControl/>
        <w:kinsoku/>
        <w:wordWrap/>
        <w:topLinePunct w:val="0"/>
        <w:bidi w:val="0"/>
        <w:snapToGrid w:val="0"/>
        <w:spacing w:line="360" w:lineRule="auto"/>
        <w:jc w:val="left"/>
        <w:rPr>
          <w:rFonts w:hint="eastAsia" w:asciiTheme="minorEastAsia" w:hAnsiTheme="minorEastAsia" w:eastAsiaTheme="minorEastAsia" w:cstheme="minorEastAsia"/>
          <w:color w:val="FF0000"/>
          <w:sz w:val="24"/>
          <w:szCs w:val="24"/>
        </w:rPr>
      </w:pPr>
    </w:p>
    <w:p>
      <w:pPr>
        <w:rPr>
          <w:rFonts w:ascii="宋体" w:hAnsi="宋体" w:cs="Calibri"/>
          <w:b/>
          <w:bCs/>
          <w:kern w:val="0"/>
          <w:sz w:val="22"/>
        </w:rPr>
      </w:pPr>
      <w:r>
        <w:rPr>
          <w:rFonts w:ascii="宋体" w:hAnsi="宋体" w:cs="Calibri"/>
          <w:b/>
          <w:bCs/>
          <w:kern w:val="0"/>
          <w:sz w:val="22"/>
        </w:rPr>
        <w:br w:type="page"/>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r>
        <w:rPr>
          <w:rFonts w:ascii="宋体" w:hAnsi="宋体" w:cs="Calibri"/>
          <w:b/>
          <w:bCs/>
          <w:kern w:val="0"/>
          <w:sz w:val="22"/>
        </w:rPr>
        <w:t>1.1 项目概况</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1"/>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2"/>
      <w:r>
        <w:rPr>
          <w:rFonts w:hint="eastAsia" w:ascii="宋体" w:hAnsi="宋体" w:cs="Calibri"/>
          <w:b/>
          <w:bCs/>
          <w:kern w:val="0"/>
          <w:sz w:val="22"/>
        </w:rPr>
        <w:t>内容</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3"/>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5"/>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r>
        <w:rPr>
          <w:rFonts w:hint="eastAsia" w:ascii="宋体" w:hAnsi="宋体" w:cs="Calibri"/>
          <w:b/>
          <w:bCs/>
          <w:kern w:val="0"/>
          <w:sz w:val="22"/>
        </w:rPr>
        <w:t>1.</w:t>
      </w:r>
      <w:r>
        <w:rPr>
          <w:rFonts w:hint="eastAsia" w:ascii="宋体" w:hAnsi="宋体" w:cs="Calibri"/>
          <w:b/>
          <w:bCs/>
          <w:kern w:val="0"/>
          <w:sz w:val="22"/>
          <w:lang w:val="en-US" w:eastAsia="zh-CN"/>
        </w:rPr>
        <w:t xml:space="preserve">7 </w:t>
      </w:r>
      <w:r>
        <w:rPr>
          <w:rFonts w:hint="eastAsia" w:ascii="宋体" w:hAnsi="宋体" w:cs="Calibri"/>
          <w:b/>
          <w:bCs/>
          <w:kern w:val="0"/>
          <w:sz w:val="22"/>
        </w:rPr>
        <w:t>质量要求</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bookmarkStart w:id="6" w:name="_Toc13907"/>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6"/>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keepNext w:val="0"/>
        <w:keepLines w:val="0"/>
        <w:pageBreakBefore w:val="0"/>
        <w:kinsoku/>
        <w:wordWrap/>
        <w:topLinePunct w:val="0"/>
        <w:bidi w:val="0"/>
        <w:adjustRightInd w:val="0"/>
        <w:snapToGrid w:val="0"/>
        <w:spacing w:line="360" w:lineRule="auto"/>
        <w:ind w:firstLine="440"/>
        <w:rPr>
          <w:rFonts w:hint="eastAsia" w:asciiTheme="minorEastAsia" w:hAnsiTheme="minorEastAsia" w:eastAsiaTheme="minorEastAsia" w:cstheme="minorEastAsia"/>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w:t>
      </w:r>
      <w:r>
        <w:rPr>
          <w:rFonts w:hint="eastAsia" w:asciiTheme="minorEastAsia" w:hAnsiTheme="minorEastAsia" w:eastAsiaTheme="minorEastAsia" w:cstheme="minorEastAsia"/>
          <w:color w:val="000000"/>
          <w:sz w:val="22"/>
        </w:rPr>
        <w:t>向投标人提供的有关现场的数据和资料，仅供投标人在编制投标文件时参考，招标人不对投标人据此作出的判断和决策负责。</w:t>
      </w:r>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rPr>
      </w:pPr>
      <w:bookmarkStart w:id="7" w:name="_Toc4199"/>
      <w:r>
        <w:rPr>
          <w:rFonts w:hint="eastAsia" w:asciiTheme="minorEastAsia" w:hAnsiTheme="minorEastAsia" w:eastAsiaTheme="minorEastAsia" w:cstheme="minorEastAsia"/>
          <w:b/>
          <w:bCs/>
          <w:kern w:val="0"/>
          <w:sz w:val="22"/>
        </w:rPr>
        <w:t>1.10 投标预备会</w:t>
      </w:r>
      <w:bookmarkEnd w:id="7"/>
    </w:p>
    <w:p>
      <w:pPr>
        <w:keepNext w:val="0"/>
        <w:keepLines w:val="0"/>
        <w:pageBreakBefore w:val="0"/>
        <w:kinsoku/>
        <w:wordWrap/>
        <w:topLinePunct w:val="0"/>
        <w:bidi w:val="0"/>
        <w:adjustRightInd w:val="0"/>
        <w:snapToGrid w:val="0"/>
        <w:spacing w:line="360" w:lineRule="auto"/>
        <w:ind w:firstLine="440"/>
        <w:rPr>
          <w:rFonts w:hint="eastAsia"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rPr>
      </w:pPr>
      <w:bookmarkStart w:id="8" w:name="_Toc4584"/>
      <w:r>
        <w:rPr>
          <w:rFonts w:hint="eastAsia" w:asciiTheme="minorEastAsia" w:hAnsiTheme="minorEastAsia" w:eastAsiaTheme="minorEastAsia" w:cstheme="minorEastAsia"/>
          <w:b/>
          <w:bCs/>
          <w:kern w:val="0"/>
          <w:sz w:val="22"/>
        </w:rPr>
        <w:t>1.11 分包</w:t>
      </w:r>
      <w:bookmarkEnd w:id="8"/>
    </w:p>
    <w:p>
      <w:pPr>
        <w:keepNext w:val="0"/>
        <w:keepLines w:val="0"/>
        <w:pageBreakBefore w:val="0"/>
        <w:kinsoku/>
        <w:wordWrap/>
        <w:topLinePunct w:val="0"/>
        <w:bidi w:val="0"/>
        <w:adjustRightInd w:val="0"/>
        <w:snapToGrid w:val="0"/>
        <w:spacing w:line="360" w:lineRule="auto"/>
        <w:ind w:firstLine="440"/>
        <w:rPr>
          <w:rFonts w:hint="eastAsia" w:asciiTheme="minorEastAsia" w:hAnsiTheme="minorEastAsia" w:eastAsiaTheme="minorEastAsia" w:cstheme="minorEastAsia"/>
          <w:color w:val="000000"/>
          <w:sz w:val="22"/>
        </w:rPr>
      </w:pPr>
      <w:bookmarkStart w:id="9" w:name="_Toc3996"/>
      <w:r>
        <w:rPr>
          <w:rFonts w:hint="eastAsia" w:asciiTheme="minorEastAsia" w:hAnsiTheme="minorEastAsia" w:eastAsiaTheme="minorEastAsia" w:cstheme="minorEastAsia"/>
          <w:color w:val="000000"/>
          <w:sz w:val="22"/>
        </w:rPr>
        <w:t>本项目涉及到其它专业的部分分项工作允许分包。</w:t>
      </w:r>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rPr>
        <w:t>1.12 投标费用</w:t>
      </w:r>
      <w:bookmarkEnd w:id="9"/>
    </w:p>
    <w:p>
      <w:pPr>
        <w:keepNext w:val="0"/>
        <w:keepLines w:val="0"/>
        <w:pageBreakBefore w:val="0"/>
        <w:kinsoku/>
        <w:wordWrap/>
        <w:topLinePunct w:val="0"/>
        <w:bidi w:val="0"/>
        <w:adjustRightInd w:val="0"/>
        <w:snapToGrid w:val="0"/>
        <w:spacing w:line="360" w:lineRule="auto"/>
        <w:ind w:firstLine="440"/>
        <w:rPr>
          <w:rFonts w:hint="eastAsia"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投标人在投标过程中的一切费用，不论中标与否，均由投标人自理。</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0" w:name="_Toc15241"/>
      <w:bookmarkStart w:id="11" w:name="_Toc143421657"/>
      <w:r>
        <w:rPr>
          <w:rFonts w:hint="eastAsia" w:ascii="宋体" w:hAnsi="宋体" w:cs="Calibri"/>
          <w:b/>
          <w:bCs/>
          <w:kern w:val="0"/>
          <w:sz w:val="22"/>
        </w:rPr>
        <w:t>2</w:t>
      </w:r>
      <w:r>
        <w:rPr>
          <w:rFonts w:hint="eastAsia" w:ascii="宋体" w:hAnsi="宋体" w:cs="Calibri"/>
          <w:b/>
          <w:kern w:val="0"/>
          <w:sz w:val="22"/>
        </w:rPr>
        <w:t>．</w:t>
      </w:r>
      <w:r>
        <w:rPr>
          <w:rFonts w:hint="eastAsia" w:ascii="宋体" w:hAnsi="宋体" w:cs="Calibri"/>
          <w:b/>
          <w:bCs/>
          <w:kern w:val="0"/>
          <w:sz w:val="22"/>
        </w:rPr>
        <w:t>招标文件</w:t>
      </w:r>
      <w:bookmarkEnd w:id="10"/>
      <w:bookmarkEnd w:id="11"/>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2" w:name="_Toc1426"/>
      <w:r>
        <w:rPr>
          <w:rFonts w:hint="eastAsia" w:ascii="宋体" w:hAnsi="宋体" w:cs="Calibri"/>
          <w:b/>
          <w:bCs/>
          <w:kern w:val="0"/>
          <w:sz w:val="22"/>
        </w:rPr>
        <w:t>2.1 招标文件的组成</w:t>
      </w:r>
      <w:bookmarkEnd w:id="12"/>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bookmarkStart w:id="13" w:name="_Toc18230"/>
      <w:r>
        <w:rPr>
          <w:rFonts w:ascii="宋体" w:hAnsi="宋体" w:cs="Calibri"/>
          <w:kern w:val="0"/>
          <w:sz w:val="22"/>
        </w:rPr>
        <w:t>本招标文件包括：</w:t>
      </w:r>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r>
        <w:rPr>
          <w:rFonts w:ascii="宋体" w:hAnsi="宋体" w:cs="Calibri"/>
          <w:kern w:val="0"/>
          <w:sz w:val="22"/>
        </w:rPr>
        <w:t>（1）招标公告</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ascii="宋体" w:hAnsi="宋体" w:cs="Calibri"/>
          <w:kern w:val="0"/>
          <w:sz w:val="22"/>
        </w:rPr>
      </w:pPr>
      <w:r>
        <w:rPr>
          <w:rFonts w:ascii="宋体" w:hAnsi="宋体" w:cs="Calibri"/>
          <w:kern w:val="0"/>
          <w:sz w:val="22"/>
        </w:rPr>
        <w:t>（2）投标人须知</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w:t>
      </w:r>
      <w:r>
        <w:rPr>
          <w:rFonts w:hint="eastAsia" w:ascii="宋体" w:hAnsi="宋体" w:cs="Calibri"/>
          <w:kern w:val="0"/>
          <w:sz w:val="22"/>
        </w:rPr>
        <w:t>评标办法</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ascii="宋体" w:hAnsi="宋体" w:cs="Calibri"/>
          <w:kern w:val="0"/>
          <w:sz w:val="22"/>
        </w:rPr>
      </w:pPr>
      <w:r>
        <w:rPr>
          <w:rFonts w:hint="eastAsia" w:ascii="宋体" w:hAnsi="宋体" w:cs="Calibri"/>
          <w:kern w:val="0"/>
          <w:sz w:val="22"/>
        </w:rPr>
        <w:t>（</w:t>
      </w:r>
      <w:r>
        <w:rPr>
          <w:rFonts w:hint="eastAsia" w:ascii="宋体" w:hAnsi="宋体" w:cs="Calibri"/>
          <w:kern w:val="0"/>
          <w:sz w:val="22"/>
          <w:lang w:val="en-US" w:eastAsia="zh-CN"/>
        </w:rPr>
        <w:t>4</w:t>
      </w:r>
      <w:r>
        <w:rPr>
          <w:rFonts w:hint="eastAsia" w:ascii="宋体" w:hAnsi="宋体" w:cs="Calibri"/>
          <w:kern w:val="0"/>
          <w:sz w:val="22"/>
        </w:rPr>
        <w:t>）</w:t>
      </w:r>
      <w:r>
        <w:rPr>
          <w:rFonts w:ascii="宋体" w:hAnsi="宋体" w:cs="Calibri"/>
          <w:kern w:val="0"/>
          <w:sz w:val="22"/>
        </w:rPr>
        <w:t>合同条款</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宋体" w:hAnsi="宋体" w:cs="Calibri" w:eastAsiaTheme="minorEastAsia"/>
          <w:kern w:val="0"/>
          <w:sz w:val="22"/>
          <w:lang w:eastAsia="zh-CN"/>
        </w:rPr>
      </w:pPr>
      <w:r>
        <w:rPr>
          <w:rFonts w:ascii="宋体" w:hAnsi="宋体" w:cs="Calibri"/>
          <w:kern w:val="0"/>
          <w:sz w:val="22"/>
        </w:rPr>
        <w:t>（</w:t>
      </w:r>
      <w:r>
        <w:rPr>
          <w:rFonts w:hint="eastAsia" w:ascii="宋体" w:hAnsi="宋体" w:cs="Calibri"/>
          <w:kern w:val="0"/>
          <w:sz w:val="22"/>
          <w:lang w:val="en-US" w:eastAsia="zh-CN"/>
        </w:rPr>
        <w:t>5</w:t>
      </w:r>
      <w:r>
        <w:rPr>
          <w:rFonts w:ascii="宋体" w:hAnsi="宋体" w:cs="Calibri"/>
          <w:kern w:val="0"/>
          <w:sz w:val="22"/>
        </w:rPr>
        <w:t>）</w:t>
      </w:r>
      <w:r>
        <w:rPr>
          <w:rFonts w:hint="eastAsia" w:ascii="宋体" w:hAnsi="宋体" w:cs="Calibri"/>
          <w:kern w:val="0"/>
          <w:sz w:val="22"/>
          <w:lang w:eastAsia="zh-CN"/>
        </w:rPr>
        <w:t>项目概况和要求</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ascii="宋体" w:hAnsi="宋体" w:cs="Calibri"/>
          <w:kern w:val="0"/>
          <w:sz w:val="22"/>
        </w:rPr>
      </w:pPr>
      <w:r>
        <w:rPr>
          <w:rFonts w:hint="eastAsia" w:ascii="宋体" w:hAnsi="宋体" w:cs="Calibri"/>
          <w:kern w:val="0"/>
          <w:sz w:val="22"/>
          <w:lang w:eastAsia="zh-CN"/>
        </w:rPr>
        <w:t>（</w:t>
      </w:r>
      <w:r>
        <w:rPr>
          <w:rFonts w:hint="eastAsia" w:ascii="宋体" w:hAnsi="宋体" w:cs="Calibri"/>
          <w:kern w:val="0"/>
          <w:sz w:val="22"/>
          <w:lang w:val="en-US" w:eastAsia="zh-CN"/>
        </w:rPr>
        <w:t>6</w:t>
      </w:r>
      <w:r>
        <w:rPr>
          <w:rFonts w:hint="eastAsia" w:ascii="宋体" w:hAnsi="宋体" w:cs="Calibri"/>
          <w:kern w:val="0"/>
          <w:sz w:val="22"/>
          <w:lang w:eastAsia="zh-CN"/>
        </w:rPr>
        <w:t>）</w:t>
      </w:r>
      <w:r>
        <w:rPr>
          <w:rFonts w:ascii="宋体" w:hAnsi="宋体" w:cs="Calibri"/>
          <w:kern w:val="0"/>
          <w:sz w:val="22"/>
        </w:rPr>
        <w:t>投标文件格式</w:t>
      </w:r>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r>
        <w:rPr>
          <w:rFonts w:hint="eastAsia" w:ascii="宋体" w:hAnsi="宋体" w:cs="Calibri"/>
          <w:b/>
          <w:bCs/>
          <w:kern w:val="0"/>
          <w:sz w:val="22"/>
        </w:rPr>
        <w:t>2.2 招标文件的澄清</w:t>
      </w:r>
      <w:bookmarkEnd w:id="13"/>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hint="eastAsia"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hint="eastAsia" w:ascii="宋体" w:hAnsi="宋体" w:cs="Calibri"/>
          <w:color w:val="000000"/>
          <w:sz w:val="22"/>
        </w:rPr>
        <w:t>2.2.2</w:t>
      </w:r>
      <w:r>
        <w:rPr>
          <w:rFonts w:hint="eastAsia" w:cs="Calibri"/>
          <w:color w:val="000000"/>
          <w:szCs w:val="21"/>
        </w:rPr>
        <w:t>招标人将视情况采用补充公告的方式予以澄清。</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4" w:name="_Toc18303"/>
      <w:r>
        <w:rPr>
          <w:rFonts w:hint="eastAsia" w:ascii="宋体" w:hAnsi="宋体" w:cs="Calibri"/>
          <w:b/>
          <w:bCs/>
          <w:kern w:val="0"/>
          <w:sz w:val="22"/>
        </w:rPr>
        <w:t>2.3 招标文件的修改</w:t>
      </w:r>
      <w:bookmarkEnd w:id="14"/>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hint="eastAsia"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kinsoku/>
        <w:wordWrap/>
        <w:topLinePunct w:val="0"/>
        <w:bidi w:val="0"/>
        <w:adjustRightInd w:val="0"/>
        <w:snapToGrid w:val="0"/>
        <w:spacing w:line="360" w:lineRule="auto"/>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5" w:name="_Toc18870"/>
      <w:bookmarkStart w:id="16" w:name="_Toc143421658"/>
      <w:r>
        <w:rPr>
          <w:rFonts w:ascii="宋体" w:hAnsi="宋体" w:cs="Calibri"/>
          <w:b/>
          <w:bCs/>
          <w:kern w:val="0"/>
          <w:sz w:val="22"/>
        </w:rPr>
        <w:t>3</w:t>
      </w:r>
      <w:r>
        <w:rPr>
          <w:rFonts w:hint="eastAsia" w:ascii="宋体" w:hAnsi="宋体" w:cs="Calibri"/>
          <w:b/>
          <w:kern w:val="0"/>
          <w:sz w:val="22"/>
        </w:rPr>
        <w:t>．</w:t>
      </w:r>
      <w:r>
        <w:rPr>
          <w:rFonts w:ascii="宋体" w:hAnsi="宋体" w:cs="Calibri"/>
          <w:b/>
          <w:bCs/>
          <w:kern w:val="0"/>
          <w:sz w:val="22"/>
        </w:rPr>
        <w:t>投标文件</w:t>
      </w:r>
      <w:bookmarkEnd w:id="15"/>
      <w:bookmarkEnd w:id="16"/>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7" w:name="_Toc461"/>
      <w:r>
        <w:rPr>
          <w:rFonts w:ascii="宋体" w:hAnsi="宋体" w:cs="Calibri"/>
          <w:b/>
          <w:bCs/>
          <w:kern w:val="0"/>
          <w:sz w:val="22"/>
        </w:rPr>
        <w:t>3.1 投标文件的语言和计量单位</w:t>
      </w:r>
      <w:bookmarkEnd w:id="17"/>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r>
        <w:rPr>
          <w:rFonts w:ascii="宋体" w:hAnsi="宋体" w:cs="Calibri"/>
          <w:sz w:val="22"/>
        </w:rPr>
        <w:t>3.1.1投标文件与投标有关的所有文件均应使用中文。</w:t>
      </w:r>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r>
        <w:rPr>
          <w:rFonts w:ascii="宋体" w:hAnsi="宋体" w:cs="Calibri"/>
          <w:kern w:val="0"/>
          <w:sz w:val="22"/>
        </w:rPr>
        <w:t>3.1.3招标文件中的“天”除特别说明外，均为日历天。</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3.1.4招标文件中所指的“合同”除特别说明外，指 “</w:t>
      </w:r>
      <w:r>
        <w:rPr>
          <w:rFonts w:hint="eastAsia" w:ascii="宋体" w:hAnsi="宋体" w:cs="Calibri"/>
          <w:color w:val="000000" w:themeColor="text1"/>
          <w:kern w:val="0"/>
          <w:sz w:val="22"/>
          <w14:textFill>
            <w14:solidFill>
              <w14:schemeClr w14:val="tx1"/>
            </w14:solidFill>
          </w14:textFill>
        </w:rPr>
        <w:t>施工</w:t>
      </w:r>
      <w:r>
        <w:rPr>
          <w:rFonts w:ascii="宋体" w:hAnsi="宋体" w:cs="Calibri"/>
          <w:color w:val="000000" w:themeColor="text1"/>
          <w:kern w:val="0"/>
          <w:sz w:val="22"/>
          <w14:textFill>
            <w14:solidFill>
              <w14:schemeClr w14:val="tx1"/>
            </w14:solidFill>
          </w14:textFill>
        </w:rPr>
        <w:t>合同”。</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color w:val="000000" w:themeColor="text1"/>
          <w:kern w:val="0"/>
          <w:sz w:val="22"/>
          <w14:textFill>
            <w14:solidFill>
              <w14:schemeClr w14:val="tx1"/>
            </w14:solidFill>
          </w14:textFill>
        </w:rPr>
      </w:pPr>
      <w:bookmarkStart w:id="18" w:name="_Toc1411"/>
      <w:r>
        <w:rPr>
          <w:rFonts w:ascii="宋体" w:hAnsi="宋体" w:cs="Calibri"/>
          <w:b/>
          <w:bCs/>
          <w:color w:val="000000" w:themeColor="text1"/>
          <w:kern w:val="0"/>
          <w:sz w:val="22"/>
          <w14:textFill>
            <w14:solidFill>
              <w14:schemeClr w14:val="tx1"/>
            </w14:solidFill>
          </w14:textFill>
        </w:rPr>
        <w:t>3.2 投标文件的组成</w:t>
      </w:r>
      <w:bookmarkEnd w:id="18"/>
    </w:p>
    <w:p>
      <w:pPr>
        <w:keepNext w:val="0"/>
        <w:keepLines w:val="0"/>
        <w:pageBreakBefore w:val="0"/>
        <w:kinsoku/>
        <w:wordWrap/>
        <w:topLinePunct w:val="0"/>
        <w:bidi w:val="0"/>
        <w:adjustRightInd w:val="0"/>
        <w:snapToGrid w:val="0"/>
        <w:spacing w:line="360" w:lineRule="auto"/>
        <w:ind w:firstLine="440"/>
        <w:rPr>
          <w:rFonts w:ascii="宋体" w:hAnsi="宋体" w:cs="Calibri"/>
          <w:color w:val="000000" w:themeColor="text1"/>
          <w:sz w:val="22"/>
          <w14:textFill>
            <w14:solidFill>
              <w14:schemeClr w14:val="tx1"/>
            </w14:solidFill>
          </w14:textFill>
        </w:rPr>
      </w:pPr>
      <w:bookmarkStart w:id="19" w:name="_Toc32225"/>
      <w:r>
        <w:rPr>
          <w:rFonts w:ascii="宋体" w:hAnsi="宋体" w:cs="Calibri"/>
          <w:color w:val="000000" w:themeColor="text1"/>
          <w:sz w:val="22"/>
          <w14:textFill>
            <w14:solidFill>
              <w14:schemeClr w14:val="tx1"/>
            </w14:solidFill>
          </w14:textFill>
        </w:rPr>
        <w:t>3.2.1投标函；</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w:t>
      </w:r>
      <w:r>
        <w:rPr>
          <w:rFonts w:hint="eastAsia" w:ascii="宋体" w:hAnsi="宋体" w:cs="Calibri"/>
          <w:color w:val="000000" w:themeColor="text1"/>
          <w:sz w:val="22"/>
          <w14:textFill>
            <w14:solidFill>
              <w14:schemeClr w14:val="tx1"/>
            </w14:solidFill>
          </w14:textFill>
        </w:rPr>
        <w:t>2</w:t>
      </w:r>
      <w:r>
        <w:rPr>
          <w:rFonts w:ascii="宋体" w:hAnsi="宋体" w:cs="Calibri"/>
          <w:color w:val="000000" w:themeColor="text1"/>
          <w:sz w:val="22"/>
          <w14:textFill>
            <w14:solidFill>
              <w14:schemeClr w14:val="tx1"/>
            </w14:solidFill>
          </w14:textFill>
        </w:rPr>
        <w:t>法定代表人资格证明书；</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w:t>
      </w:r>
      <w:r>
        <w:rPr>
          <w:rFonts w:hint="eastAsia" w:ascii="宋体" w:hAnsi="宋体" w:cs="Calibri"/>
          <w:color w:val="000000" w:themeColor="text1"/>
          <w:sz w:val="22"/>
          <w14:textFill>
            <w14:solidFill>
              <w14:schemeClr w14:val="tx1"/>
            </w14:solidFill>
          </w14:textFill>
        </w:rPr>
        <w:t>3</w:t>
      </w:r>
      <w:r>
        <w:rPr>
          <w:rFonts w:ascii="宋体" w:hAnsi="宋体" w:cs="Calibri"/>
          <w:color w:val="000000" w:themeColor="text1"/>
          <w:sz w:val="22"/>
          <w14:textFill>
            <w14:solidFill>
              <w14:schemeClr w14:val="tx1"/>
            </w14:solidFill>
          </w14:textFill>
        </w:rPr>
        <w:t>授权委托书；</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宋体" w:hAnsi="宋体" w:cs="Calibri" w:eastAsiaTheme="minorEastAsia"/>
          <w:color w:val="000000" w:themeColor="text1"/>
          <w:sz w:val="22"/>
          <w:lang w:eastAsia="zh-CN"/>
          <w14:textFill>
            <w14:solidFill>
              <w14:schemeClr w14:val="tx1"/>
            </w14:solidFill>
          </w14:textFill>
        </w:rPr>
      </w:pPr>
      <w:r>
        <w:rPr>
          <w:rFonts w:ascii="宋体" w:hAnsi="宋体" w:cs="Calibri"/>
          <w:color w:val="000000" w:themeColor="text1"/>
          <w:sz w:val="22"/>
          <w14:textFill>
            <w14:solidFill>
              <w14:schemeClr w14:val="tx1"/>
            </w14:solidFill>
          </w14:textFill>
        </w:rPr>
        <w:t>3.2.</w:t>
      </w:r>
      <w:r>
        <w:rPr>
          <w:rFonts w:hint="eastAsia" w:ascii="宋体" w:hAnsi="宋体" w:cs="Calibri"/>
          <w:color w:val="000000" w:themeColor="text1"/>
          <w:sz w:val="22"/>
          <w14:textFill>
            <w14:solidFill>
              <w14:schemeClr w14:val="tx1"/>
            </w14:solidFill>
          </w14:textFill>
        </w:rPr>
        <w:t>4</w:t>
      </w:r>
      <w:r>
        <w:rPr>
          <w:rFonts w:hint="eastAsia" w:ascii="宋体" w:hAnsi="宋体" w:cs="Calibri"/>
          <w:color w:val="000000" w:themeColor="text1"/>
          <w:sz w:val="22"/>
          <w:lang w:eastAsia="zh-CN"/>
          <w14:textFill>
            <w14:solidFill>
              <w14:schemeClr w14:val="tx1"/>
            </w14:solidFill>
          </w14:textFill>
        </w:rPr>
        <w:t>投标报价表；</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cstheme="minorEastAsia"/>
          <w:color w:val="000000" w:themeColor="text1"/>
          <w:sz w:val="22"/>
          <w:szCs w:val="22"/>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3.2.</w:t>
      </w:r>
      <w:r>
        <w:rPr>
          <w:rFonts w:hint="eastAsia" w:asciiTheme="minorEastAsia" w:hAnsiTheme="minorEastAsia" w:cstheme="minorEastAsia"/>
          <w:color w:val="000000" w:themeColor="text1"/>
          <w:sz w:val="22"/>
          <w:szCs w:val="22"/>
          <w:lang w:val="en-US" w:eastAsia="zh-CN"/>
          <w14:textFill>
            <w14:solidFill>
              <w14:schemeClr w14:val="tx1"/>
            </w14:solidFill>
          </w14:textFill>
        </w:rPr>
        <w:t>5技术文件</w:t>
      </w:r>
      <w:r>
        <w:rPr>
          <w:rFonts w:hint="eastAsia" w:asciiTheme="minorEastAsia" w:hAnsiTheme="minorEastAsia" w:cstheme="minorEastAsia"/>
          <w:color w:val="000000" w:themeColor="text1"/>
          <w:sz w:val="22"/>
          <w:szCs w:val="22"/>
          <w:lang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3.2.</w:t>
      </w:r>
      <w:r>
        <w:rPr>
          <w:rFonts w:hint="eastAsia" w:asciiTheme="minorEastAsia" w:hAnsiTheme="minorEastAsia" w:cstheme="minorEastAsia"/>
          <w:color w:val="000000" w:themeColor="text1"/>
          <w:sz w:val="22"/>
          <w:szCs w:val="22"/>
          <w:lang w:val="en-US" w:eastAsia="zh-CN"/>
          <w14:textFill>
            <w14:solidFill>
              <w14:schemeClr w14:val="tx1"/>
            </w14:solidFill>
          </w14:textFill>
        </w:rPr>
        <w:t>6项目管理机构；</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3.2.</w:t>
      </w:r>
      <w:r>
        <w:rPr>
          <w:rFonts w:hint="eastAsia" w:asciiTheme="minorEastAsia" w:hAnsiTheme="minorEastAsia" w:cstheme="minorEastAsia"/>
          <w:color w:val="000000" w:themeColor="text1"/>
          <w:sz w:val="22"/>
          <w:szCs w:val="22"/>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2"/>
          <w:szCs w:val="22"/>
          <w14:textFill>
            <w14:solidFill>
              <w14:schemeClr w14:val="tx1"/>
            </w14:solidFill>
          </w14:textFill>
        </w:rPr>
        <w:t>资格审查资料</w:t>
      </w:r>
      <w:r>
        <w:rPr>
          <w:rFonts w:hint="eastAsia" w:asciiTheme="minorEastAsia" w:hAnsiTheme="minorEastAsia" w:cstheme="minorEastAsia"/>
          <w:color w:val="000000" w:themeColor="text1"/>
          <w:sz w:val="22"/>
          <w:szCs w:val="22"/>
          <w:lang w:val="en-US"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3.2.</w:t>
      </w:r>
      <w:r>
        <w:rPr>
          <w:rFonts w:hint="eastAsia" w:asciiTheme="minorEastAsia" w:hAnsiTheme="minorEastAsia" w:cstheme="minorEastAsia"/>
          <w:color w:val="000000" w:themeColor="text1"/>
          <w:sz w:val="22"/>
          <w:szCs w:val="22"/>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2"/>
          <w:szCs w:val="22"/>
          <w14:textFill>
            <w14:solidFill>
              <w14:schemeClr w14:val="tx1"/>
            </w14:solidFill>
          </w14:textFill>
        </w:rPr>
        <w:t>投标人认为应该提供的其他材料。</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3.3 投标报价</w:t>
      </w:r>
      <w:bookmarkEnd w:id="19"/>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3.3.1投标人递交的投标函及投标报价表中的投标总价必须一致。投标人对该项目只允许有一个总报价，招标人不接受任何有选择的报价及修正报价；</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sz w:val="22"/>
          <w:szCs w:val="22"/>
        </w:rPr>
        <w:t>3.3.2投标人所报投标总价应为投标人为完成本项目所发生的一切费用（包含并不限于</w:t>
      </w:r>
      <w:r>
        <w:rPr>
          <w:rFonts w:hint="eastAsia" w:asciiTheme="minorEastAsia" w:hAnsiTheme="minorEastAsia" w:cstheme="minorEastAsia"/>
          <w:sz w:val="22"/>
          <w:szCs w:val="22"/>
          <w:lang w:eastAsia="zh-CN"/>
        </w:rPr>
        <w:t>材料</w:t>
      </w:r>
      <w:r>
        <w:rPr>
          <w:rFonts w:hint="eastAsia" w:asciiTheme="minorEastAsia" w:hAnsiTheme="minorEastAsia" w:eastAsiaTheme="minorEastAsia" w:cstheme="minorEastAsia"/>
          <w:sz w:val="22"/>
          <w:szCs w:val="22"/>
        </w:rPr>
        <w:t>的供货、运输（包括送至招标人指定地点卸车）、保险费、税费、验收及售后服务等），包括</w:t>
      </w:r>
      <w:r>
        <w:rPr>
          <w:rFonts w:hint="eastAsia" w:asciiTheme="minorEastAsia" w:hAnsiTheme="minorEastAsia" w:cstheme="minorEastAsia"/>
          <w:sz w:val="22"/>
          <w:szCs w:val="22"/>
          <w:lang w:eastAsia="zh-CN"/>
        </w:rPr>
        <w:t>材料</w:t>
      </w:r>
      <w:r>
        <w:rPr>
          <w:rFonts w:hint="eastAsia" w:asciiTheme="minorEastAsia" w:hAnsiTheme="minorEastAsia" w:eastAsiaTheme="minorEastAsia" w:cstheme="minorEastAsia"/>
          <w:sz w:val="22"/>
          <w:szCs w:val="22"/>
        </w:rPr>
        <w:t>供货及相关服务等全过程产生的所有成本和费用以及一切税费；</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3.3.3投标人应按“投标报价表”的要求报价，在投标报价表上写明拟提供</w:t>
      </w:r>
      <w:r>
        <w:rPr>
          <w:rFonts w:hint="eastAsia" w:asciiTheme="minorEastAsia" w:hAnsiTheme="minorEastAsia" w:cstheme="minorEastAsia"/>
          <w:color w:val="000000" w:themeColor="text1"/>
          <w:sz w:val="22"/>
          <w:szCs w:val="22"/>
          <w:lang w:eastAsia="zh-CN"/>
          <w14:textFill>
            <w14:solidFill>
              <w14:schemeClr w14:val="tx1"/>
            </w14:solidFill>
          </w14:textFill>
        </w:rPr>
        <w:t>材料</w:t>
      </w:r>
      <w:r>
        <w:rPr>
          <w:rFonts w:hint="eastAsia" w:asciiTheme="minorEastAsia" w:hAnsiTheme="minorEastAsia" w:eastAsiaTheme="minorEastAsia" w:cstheme="minorEastAsia"/>
          <w:color w:val="000000" w:themeColor="text1"/>
          <w:sz w:val="22"/>
          <w:szCs w:val="22"/>
          <w14:textFill>
            <w14:solidFill>
              <w14:schemeClr w14:val="tx1"/>
            </w14:solidFill>
          </w14:textFill>
        </w:rPr>
        <w:t>的单价和总价；</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3.3.4如果投标人认为为圆满完成本项目还有其他需要单独计价的配合工作，则应列明具体的细目和金额。所有与本项目有关的未列入“投标报价表”的工作内容，均被认为已经包含在其他细目及投标总价中。</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3.3.5投标人(如中标)在投标文件中提供的</w:t>
      </w:r>
      <w:r>
        <w:rPr>
          <w:rFonts w:hint="eastAsia" w:asciiTheme="minorEastAsia" w:hAnsiTheme="minorEastAsia" w:cstheme="minorEastAsia"/>
          <w:sz w:val="22"/>
          <w:szCs w:val="22"/>
          <w:lang w:eastAsia="zh-CN"/>
        </w:rPr>
        <w:t>材料</w:t>
      </w:r>
      <w:r>
        <w:rPr>
          <w:rFonts w:hint="eastAsia" w:asciiTheme="minorEastAsia" w:hAnsiTheme="minorEastAsia" w:eastAsiaTheme="minorEastAsia" w:cstheme="minorEastAsia"/>
          <w:sz w:val="22"/>
          <w:szCs w:val="22"/>
        </w:rPr>
        <w:t>清单和报价将是签订合同的唯一依据，其报价在本次投标有效期内不能发生改变（招标人变更除外）。如有改变，招标人将拒绝与其签订合同。</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3.3.6投标人对每种</w:t>
      </w:r>
      <w:r>
        <w:rPr>
          <w:rFonts w:hint="eastAsia" w:asciiTheme="minorEastAsia" w:hAnsiTheme="minorEastAsia" w:cstheme="minorEastAsia"/>
          <w:sz w:val="22"/>
          <w:szCs w:val="22"/>
          <w:lang w:eastAsia="zh-CN"/>
        </w:rPr>
        <w:t>材料</w:t>
      </w:r>
      <w:r>
        <w:rPr>
          <w:rFonts w:hint="eastAsia" w:asciiTheme="minorEastAsia" w:hAnsiTheme="minorEastAsia" w:eastAsiaTheme="minorEastAsia" w:cstheme="minorEastAsia"/>
          <w:sz w:val="22"/>
          <w:szCs w:val="22"/>
        </w:rPr>
        <w:t>只允许有一个报价。</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3.3.7招标人不接受任何折扣优惠报价，不接受任何赠送和选择性报价。</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3.3.8所有根据合同或其它原因应由投标人支付的税款和其它应交纳的费用都要包括在投标人提交的投标价格中。</w:t>
      </w:r>
    </w:p>
    <w:p>
      <w:pPr>
        <w:keepNext w:val="0"/>
        <w:keepLines w:val="0"/>
        <w:pageBreakBefore w:val="0"/>
        <w:widowControl/>
        <w:kinsoku/>
        <w:wordWrap/>
        <w:overflowPunct/>
        <w:topLinePunct w:val="0"/>
        <w:bidi w:val="0"/>
        <w:snapToGrid w:val="0"/>
        <w:spacing w:line="360" w:lineRule="auto"/>
        <w:ind w:firstLine="440" w:firstLineChars="20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w:t>
      </w: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rPr>
        <w:t>本次报价均应以人民币元为单位，最终以人民币办理结算。</w:t>
      </w:r>
    </w:p>
    <w:p>
      <w:pPr>
        <w:keepNext w:val="0"/>
        <w:keepLines w:val="0"/>
        <w:pageBreakBefore w:val="0"/>
        <w:widowControl/>
        <w:kinsoku/>
        <w:wordWrap/>
        <w:overflowPunct/>
        <w:topLinePunct w:val="0"/>
        <w:bidi w:val="0"/>
        <w:snapToGrid w:val="0"/>
        <w:spacing w:line="360" w:lineRule="auto"/>
        <w:ind w:firstLine="440" w:firstLineChars="20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w:t>
      </w: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sz w:val="22"/>
          <w:szCs w:val="22"/>
        </w:rPr>
        <w:t>其它须在报价中考虑的因素：</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（1）本项目在安装期间，应注意保护好招标人现有成品，如有损坏，须无条件修复至招标人满意，各投标人须自行考虑相关费用并计入投标总价且一次性包干。</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（2）交付验收前产品的保护费由投标人自行考虑并计入总价。</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（3）投标人安装过程中需自行负责现场人员生命、财产安全，自行解决与现场人员的劳务关系纠纷，可能产生的费用计入投标总价。</w:t>
      </w:r>
    </w:p>
    <w:p>
      <w:pPr>
        <w:keepNext w:val="0"/>
        <w:keepLines w:val="0"/>
        <w:pageBreakBefore w:val="0"/>
        <w:kinsoku/>
        <w:wordWrap/>
        <w:overflowPunct/>
        <w:topLinePunct w:val="0"/>
        <w:bidi w:val="0"/>
        <w:adjustRightInd w:val="0"/>
        <w:snapToGrid w:val="0"/>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3.3.1</w:t>
      </w: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b/>
          <w:color w:val="000000"/>
          <w:kern w:val="0"/>
          <w:sz w:val="22"/>
          <w:szCs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Theme="minorEastAsia" w:hAnsiTheme="minorEastAsia" w:eastAsiaTheme="minorEastAsia" w:cstheme="minorEastAsia"/>
          <w:b/>
          <w:color w:val="000000"/>
          <w:kern w:val="0"/>
          <w:sz w:val="22"/>
          <w:szCs w:val="22"/>
        </w:rPr>
        <w:t>。</w:t>
      </w:r>
    </w:p>
    <w:p>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3.4 投标有效期</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3.4.1在投标人须知前附表规定的投标有效期内，投标人不得要求撤销和修改其投标文件。</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0" w:name="_Toc30464"/>
      <w:r>
        <w:rPr>
          <w:rFonts w:hint="eastAsia" w:asciiTheme="minorEastAsia" w:hAnsiTheme="minorEastAsia" w:eastAsiaTheme="minorEastAsia" w:cstheme="minorEastAsia"/>
          <w:b/>
          <w:bCs/>
          <w:kern w:val="0"/>
          <w:sz w:val="22"/>
          <w:szCs w:val="22"/>
        </w:rPr>
        <w:t>3.5 投标保证金</w:t>
      </w:r>
      <w:bookmarkEnd w:id="20"/>
      <w:r>
        <w:rPr>
          <w:rFonts w:hint="eastAsia" w:asciiTheme="minorEastAsia" w:hAnsiTheme="minorEastAsia" w:eastAsiaTheme="minorEastAsia" w:cstheme="minorEastAsia"/>
          <w:b/>
          <w:bCs/>
          <w:kern w:val="0"/>
          <w:sz w:val="22"/>
          <w:szCs w:val="22"/>
        </w:rPr>
        <w:t>（如有）</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bookmarkStart w:id="21" w:name="_Toc29989"/>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3.5.1投标人在递交投标文件的同时，应按投标人须知前附表规定的金额、担保形式和第六章</w:t>
      </w:r>
      <w:r>
        <w:rPr>
          <w:rFonts w:hint="eastAsia" w:asciiTheme="minorEastAsia" w:hAnsiTheme="minorEastAsia" w:eastAsiaTheme="minorEastAsia" w:cstheme="minorEastAsia"/>
          <w:color w:val="000000" w:themeColor="text1"/>
          <w:sz w:val="22"/>
          <w:szCs w:val="22"/>
          <w14:textFill>
            <w14:solidFill>
              <w14:schemeClr w14:val="tx1"/>
            </w14:solidFill>
          </w14:textFill>
        </w:rPr>
        <w:t>“投标文件格式”</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规定的投标保证金格式递交投标保证金，并作为其投标文件的组成部分。否则，视为投标人自动放弃投标资格。</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3.5.2招标人与中标人签订合同书后5个工作日内，应当向未中标的投标人和中标人退还投标保证金。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3.5.3投标人如有下列情形之一的，投标保证金将不予退还：</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（1）投标人在规定的投标有效期内撤销或修改其投标文件；</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w:t>
      </w:r>
      <w:r>
        <w:rPr>
          <w:rFonts w:hint="eastAsia" w:asciiTheme="minorEastAsia" w:hAnsiTheme="minorEastAsia" w:eastAsiaTheme="minorEastAsia" w:cstheme="minorEastAsia"/>
          <w:color w:val="000000"/>
          <w:kern w:val="0"/>
          <w:sz w:val="22"/>
          <w:szCs w:val="22"/>
        </w:rPr>
        <w:t>中标人在收到中标通知书后，</w:t>
      </w:r>
      <w:r>
        <w:rPr>
          <w:rFonts w:hint="eastAsia" w:asciiTheme="minorEastAsia" w:hAnsiTheme="minorEastAsia" w:eastAsiaTheme="minorEastAsia" w:cstheme="minorEastAsia"/>
          <w:color w:val="000000"/>
          <w:sz w:val="22"/>
          <w:szCs w:val="22"/>
        </w:rPr>
        <w:t>无正当理由拒签合同协议书或未按招标文件规定提交履约担保，或因投标人在投标文件中未如实填报或隐瞒不报投标人的行贿犯罪记录导致取消中标资格的</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3.6 投标文件的编制</w:t>
      </w:r>
      <w:bookmarkEnd w:id="21"/>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bookmarkStart w:id="22" w:name="_Toc32652"/>
      <w:r>
        <w:rPr>
          <w:rFonts w:hint="eastAsia" w:asciiTheme="minorEastAsia" w:hAnsiTheme="minorEastAsia" w:eastAsiaTheme="minorEastAsia" w:cstheme="minorEastAsia"/>
          <w:color w:val="000000" w:themeColor="text1"/>
          <w:sz w:val="22"/>
          <w:szCs w:val="22"/>
          <w14:textFill>
            <w14:solidFill>
              <w14:schemeClr w14:val="tx1"/>
            </w14:solidFill>
          </w14:textFill>
        </w:rPr>
        <w:t>3.6.1 投标文件应按本须知第3.2款规定的内容和第六章“投标文件格式”进行编写，如有必要，可以增加附页，作为投标文件的组成部分，“投标文件格式”中没有规定的可自行编制格式。</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 xml:space="preserve">3.6.2 </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投标文件应对招标文</w:t>
      </w:r>
      <w:r>
        <w:rPr>
          <w:rFonts w:hint="eastAsia" w:asciiTheme="minorEastAsia" w:hAnsiTheme="minorEastAsia" w:eastAsiaTheme="minorEastAsia" w:cstheme="minorEastAsia"/>
          <w:color w:val="auto"/>
          <w:kern w:val="0"/>
          <w:sz w:val="22"/>
          <w:szCs w:val="22"/>
        </w:rPr>
        <w:t>件有关</w:t>
      </w:r>
      <w:r>
        <w:rPr>
          <w:rFonts w:hint="eastAsia" w:asciiTheme="minorEastAsia" w:hAnsiTheme="minorEastAsia" w:cstheme="minorEastAsia"/>
          <w:color w:val="auto"/>
          <w:kern w:val="0"/>
          <w:sz w:val="22"/>
          <w:szCs w:val="22"/>
          <w:lang w:eastAsia="zh-CN"/>
        </w:rPr>
        <w:t>工期、</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投标有效期、招标内容等实质性内容作出响应。</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Theme="minorEastAsia" w:hAnsiTheme="minorEastAsia" w:eastAsiaTheme="minorEastAsia" w:cstheme="minorEastAsia"/>
          <w:kern w:val="0"/>
          <w:sz w:val="22"/>
          <w:szCs w:val="22"/>
        </w:rPr>
        <w:t>签字或盖章的具体要求见投标人须知前附表。</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3.6.4投标文件正本一份，副本份数见投标人须知前附表。正本、副本的封面上应清楚地标记</w:t>
      </w:r>
      <w:r>
        <w:rPr>
          <w:rFonts w:hint="eastAsia" w:asciiTheme="minorEastAsia" w:hAnsiTheme="minorEastAsia" w:eastAsiaTheme="minorEastAsia" w:cstheme="minorEastAsia"/>
          <w:b/>
          <w:bCs/>
          <w:sz w:val="22"/>
          <w:szCs w:val="22"/>
        </w:rPr>
        <w:t>“正本</w:t>
      </w:r>
      <w:r>
        <w:rPr>
          <w:rFonts w:hint="eastAsia" w:asciiTheme="minorEastAsia" w:hAnsiTheme="minorEastAsia" w:eastAsiaTheme="minorEastAsia" w:cstheme="minorEastAsia"/>
          <w:sz w:val="22"/>
          <w:szCs w:val="22"/>
        </w:rPr>
        <w:t>”或“</w:t>
      </w:r>
      <w:r>
        <w:rPr>
          <w:rFonts w:hint="eastAsia" w:asciiTheme="minorEastAsia" w:hAnsiTheme="minorEastAsia" w:eastAsiaTheme="minorEastAsia" w:cstheme="minorEastAsia"/>
          <w:b/>
          <w:bCs/>
          <w:sz w:val="22"/>
          <w:szCs w:val="22"/>
        </w:rPr>
        <w:t>副本</w:t>
      </w:r>
      <w:r>
        <w:rPr>
          <w:rFonts w:hint="eastAsia" w:asciiTheme="minorEastAsia" w:hAnsiTheme="minorEastAsia" w:eastAsiaTheme="minorEastAsia" w:cstheme="minorEastAsia"/>
          <w:sz w:val="22"/>
          <w:szCs w:val="22"/>
        </w:rPr>
        <w:t>”的字样。当副本和正本不一致时，以正本为准。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3.6.5投标文件的正本与副本应分别按A4规格装订成册，具体装订要求见投标人须知前附表规定。</w:t>
      </w:r>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4</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投标</w:t>
      </w:r>
      <w:bookmarkEnd w:id="22"/>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szCs w:val="22"/>
        </w:rPr>
      </w:pPr>
      <w:bookmarkStart w:id="23" w:name="_Toc649"/>
      <w:r>
        <w:rPr>
          <w:rFonts w:hint="eastAsia" w:asciiTheme="minorEastAsia" w:hAnsiTheme="minorEastAsia" w:eastAsiaTheme="minorEastAsia" w:cstheme="minorEastAsia"/>
          <w:b/>
          <w:bCs/>
          <w:kern w:val="0"/>
          <w:sz w:val="22"/>
          <w:szCs w:val="22"/>
        </w:rPr>
        <w:t>4.1 投标文件的密封和标识</w:t>
      </w:r>
      <w:bookmarkEnd w:id="23"/>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sz w:val="22"/>
          <w:szCs w:val="22"/>
        </w:rPr>
        <w:t>4.1.1</w:t>
      </w:r>
      <w:r>
        <w:rPr>
          <w:rFonts w:hint="eastAsia" w:asciiTheme="minorEastAsia" w:hAnsiTheme="minorEastAsia" w:eastAsiaTheme="minorEastAsia" w:cstheme="minorEastAsia"/>
          <w:kern w:val="0"/>
          <w:sz w:val="22"/>
          <w:szCs w:val="22"/>
        </w:rPr>
        <w:t>投标文件的正本、副本及电子文档可一同密封包装，并在封口处加盖投标人单位公章或法定代表人盖章（或签字）或委托代理人盖章（或签字）。</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4.1.2 投标文件的封套上应清楚地标记“投标文件”字样，封套上应写明的其他内容见投标人须知前附表。</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4.1.3 未按本章第4.1.1项或第4.1.2项要求密封和加写标记的投标文件，招标人不予受理。</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4.1.4</w:t>
      </w:r>
      <w:r>
        <w:rPr>
          <w:rFonts w:hint="eastAsia" w:asciiTheme="minorEastAsia" w:hAnsiTheme="minorEastAsia" w:eastAsiaTheme="minorEastAsia" w:cstheme="minorEastAsia"/>
          <w:sz w:val="22"/>
          <w:szCs w:val="22"/>
        </w:rPr>
        <w:t>如果包封上没有按上述规定密封并加以标记，招标人将不承担投标文件错放或提前开封的责任。</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4" w:name="_Toc16616"/>
      <w:r>
        <w:rPr>
          <w:rFonts w:hint="eastAsia" w:asciiTheme="minorEastAsia" w:hAnsiTheme="minorEastAsia" w:eastAsiaTheme="minorEastAsia" w:cstheme="minorEastAsia"/>
          <w:b/>
          <w:bCs/>
          <w:kern w:val="0"/>
          <w:sz w:val="22"/>
          <w:szCs w:val="22"/>
        </w:rPr>
        <w:t xml:space="preserve">4.2 投标文件的递交 </w:t>
      </w:r>
      <w:bookmarkEnd w:id="24"/>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6"/>
        <w:textAlignment w:val="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4.2.1投标人应在本须知前附表规定的投标截止时间前递交投标文件。</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4.2.2投标人送达投标文件的地点：见投标人须知前附表。</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4.2.3除投标人须知前附表另有规定外，投标人所递交的投标文件不予退还。</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4.2.4逾期送达的或者未送达指定地点的投标文件，招标人不予受理。</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5" w:name="_Toc26099"/>
      <w:r>
        <w:rPr>
          <w:rFonts w:hint="eastAsia" w:asciiTheme="minorEastAsia" w:hAnsiTheme="minorEastAsia" w:eastAsiaTheme="minorEastAsia" w:cstheme="minorEastAsia"/>
          <w:b/>
          <w:bCs/>
          <w:kern w:val="0"/>
          <w:sz w:val="22"/>
          <w:szCs w:val="22"/>
        </w:rPr>
        <w:t>4.3 投标文件的修改和撤回</w:t>
      </w:r>
      <w:bookmarkEnd w:id="25"/>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4.3.1在规定的投标截止时间前，投标人可以修改或撤回已递交的投标文件，但应以书面形式通知招标人。</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4.3.2投标人修改或撤回已递交投标文件的书面通知应按照规定的要求签字。招标人收到书面通知后，向投标人出具签收凭证。</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4.3.3修改的内容为投标文件的组成部分。修改的投标文件应按照本须知3、4规定进行编制、密封、标识和递交，并标明“修改”字样。</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6" w:name="_Toc29641"/>
      <w:r>
        <w:rPr>
          <w:rFonts w:hint="eastAsia" w:asciiTheme="minorEastAsia" w:hAnsiTheme="minorEastAsia" w:eastAsiaTheme="minorEastAsia" w:cstheme="minorEastAsia"/>
          <w:b/>
          <w:bCs/>
          <w:kern w:val="0"/>
          <w:sz w:val="22"/>
          <w:szCs w:val="22"/>
        </w:rPr>
        <w:t>5</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开标</w:t>
      </w:r>
      <w:bookmarkEnd w:id="26"/>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7" w:name="_Toc15123"/>
      <w:r>
        <w:rPr>
          <w:rFonts w:hint="eastAsia" w:asciiTheme="minorEastAsia" w:hAnsiTheme="minorEastAsia" w:eastAsiaTheme="minorEastAsia" w:cstheme="minorEastAsia"/>
          <w:b/>
          <w:bCs/>
          <w:kern w:val="0"/>
          <w:sz w:val="22"/>
          <w:szCs w:val="22"/>
        </w:rPr>
        <w:t>5.1 开标时间和地点</w:t>
      </w:r>
      <w:bookmarkEnd w:id="27"/>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5.1.2投标人在投标时应随身携带下列资料提交招标人</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（1）委托代理人的身份证、法定代表人授权委托书（装订在投标文件内亦可）；</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（2）投标保证金收执证明或汇款凭证或银行回单（装订在投标文件内亦可）。</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8" w:name="_Toc7101"/>
      <w:r>
        <w:rPr>
          <w:rFonts w:hint="eastAsia" w:asciiTheme="minorEastAsia" w:hAnsiTheme="minorEastAsia" w:eastAsiaTheme="minorEastAsia" w:cstheme="minorEastAsia"/>
          <w:b/>
          <w:bCs/>
          <w:kern w:val="0"/>
          <w:sz w:val="22"/>
          <w:szCs w:val="22"/>
        </w:rPr>
        <w:t>5.2 开标程序</w:t>
      </w:r>
      <w:bookmarkEnd w:id="28"/>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主持人按下列程序进行开标：</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（1）宣布开标纪律；</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（2）公布在投标截止时间前递交投标文件的投标人名称，并点名确认投标人是否派人到场；</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（3）宣布开标人、唱标人、记录人、监标人等有关人员姓名；</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（4）按照投标人须知前附表规定检查投标文件的密封情况；</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（5）按照投标人须知前附表的规定确定并宣布投标文件开标顺序；</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（6）</w:t>
      </w:r>
      <w:r>
        <w:rPr>
          <w:rFonts w:hint="eastAsia" w:asciiTheme="minorEastAsia" w:hAnsiTheme="minorEastAsia" w:eastAsiaTheme="minorEastAsia" w:cstheme="minorEastAsia"/>
          <w:sz w:val="22"/>
          <w:szCs w:val="22"/>
        </w:rPr>
        <w:t>按照宣布的开标顺序当众开标，公布投标人名称、投标保证金的递交情况、投标报价、供货期及其他内容，并记录在案；</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（7）投标人代表、招标人代表、监标人、记录人等有关人员在开标记录上签字确认；</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（8）开标结束。</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9" w:name="_Toc31578"/>
      <w:r>
        <w:rPr>
          <w:rFonts w:hint="eastAsia" w:asciiTheme="minorEastAsia" w:hAnsiTheme="minorEastAsia" w:eastAsiaTheme="minorEastAsia" w:cstheme="minorEastAsia"/>
          <w:b/>
          <w:bCs/>
          <w:kern w:val="0"/>
          <w:sz w:val="22"/>
          <w:szCs w:val="22"/>
        </w:rPr>
        <w:t>6</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评标</w:t>
      </w:r>
      <w:bookmarkEnd w:id="29"/>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0" w:name="_Toc10279"/>
      <w:r>
        <w:rPr>
          <w:rFonts w:hint="eastAsia" w:asciiTheme="minorEastAsia" w:hAnsiTheme="minorEastAsia" w:eastAsiaTheme="minorEastAsia" w:cstheme="minorEastAsia"/>
          <w:b/>
          <w:bCs/>
          <w:kern w:val="0"/>
          <w:sz w:val="22"/>
          <w:szCs w:val="22"/>
        </w:rPr>
        <w:t>6.1 评标委员会</w:t>
      </w:r>
      <w:bookmarkEnd w:id="30"/>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6.1.1评标由招标人依法组建的评标委员会负责。评标委员会成员人数以及技术、经济等方面专家的确定方式见投标人须知前附表。</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6.1.2评标委员会成员有下列情形之一的，应当回避：</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（1）招标人或投标人的主要负责人的近亲属；</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（2）项目主管部门或者行政监督部门的人员；</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（3）与投标人有经济利益关系，可能影响对投标公正评审的；</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（4）曾因在招标、评标以及其他与招标投标有关活动中从事违法行为而受过行政处罚或刑事处罚的。</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1" w:name="_Toc3460"/>
      <w:r>
        <w:rPr>
          <w:rFonts w:hint="eastAsia" w:asciiTheme="minorEastAsia" w:hAnsiTheme="minorEastAsia" w:eastAsiaTheme="minorEastAsia" w:cstheme="minorEastAsia"/>
          <w:b/>
          <w:bCs/>
          <w:kern w:val="0"/>
          <w:sz w:val="22"/>
          <w:szCs w:val="22"/>
        </w:rPr>
        <w:t>6.2 评标原则</w:t>
      </w:r>
      <w:bookmarkEnd w:id="31"/>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评标活动遵循公平、公正、科学和择优的原则。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color w:val="FF0000"/>
          <w:kern w:val="0"/>
          <w:sz w:val="22"/>
          <w:szCs w:val="22"/>
        </w:rPr>
      </w:pPr>
      <w:bookmarkStart w:id="32" w:name="_Toc28178"/>
      <w:r>
        <w:rPr>
          <w:rFonts w:hint="eastAsia" w:asciiTheme="minorEastAsia" w:hAnsiTheme="minorEastAsia" w:eastAsiaTheme="minorEastAsia" w:cstheme="minorEastAsia"/>
          <w:b/>
          <w:bCs/>
          <w:kern w:val="0"/>
          <w:sz w:val="22"/>
          <w:szCs w:val="22"/>
        </w:rPr>
        <w:t>6.3 评标</w:t>
      </w:r>
      <w:bookmarkEnd w:id="32"/>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评标委员会按照第</w:t>
      </w:r>
      <w:r>
        <w:rPr>
          <w:rFonts w:hint="eastAsia" w:asciiTheme="minorEastAsia" w:hAnsiTheme="minorEastAsia" w:cstheme="minorEastAsia"/>
          <w:color w:val="000000" w:themeColor="text1"/>
          <w:kern w:val="0"/>
          <w:sz w:val="22"/>
          <w:szCs w:val="22"/>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章“评标方法”对投标文件进行评审。第</w:t>
      </w:r>
      <w:r>
        <w:rPr>
          <w:rFonts w:hint="eastAsia" w:asciiTheme="minorEastAsia" w:hAnsiTheme="minorEastAsia" w:cstheme="minorEastAsia"/>
          <w:color w:val="000000" w:themeColor="text1"/>
          <w:kern w:val="0"/>
          <w:sz w:val="22"/>
          <w:szCs w:val="22"/>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章“评标方法”没有规定的方法、评审因素和标准，不作为评标依据。</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3" w:name="_Toc24237"/>
      <w:r>
        <w:rPr>
          <w:rFonts w:hint="eastAsia" w:asciiTheme="minorEastAsia" w:hAnsiTheme="minorEastAsia" w:eastAsiaTheme="minorEastAsia" w:cstheme="minorEastAsia"/>
          <w:b/>
          <w:bCs/>
          <w:kern w:val="0"/>
          <w:sz w:val="22"/>
          <w:szCs w:val="22"/>
        </w:rPr>
        <w:t>7</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合同授予</w:t>
      </w:r>
      <w:bookmarkEnd w:id="33"/>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4" w:name="_Toc18809"/>
      <w:r>
        <w:rPr>
          <w:rFonts w:hint="eastAsia" w:asciiTheme="minorEastAsia" w:hAnsiTheme="minorEastAsia" w:eastAsiaTheme="minorEastAsia" w:cstheme="minorEastAsia"/>
          <w:b/>
          <w:bCs/>
          <w:kern w:val="0"/>
          <w:sz w:val="22"/>
          <w:szCs w:val="22"/>
        </w:rPr>
        <w:t>7.1 定标方式</w:t>
      </w:r>
      <w:bookmarkEnd w:id="34"/>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除投标人须知前附表规定评标委员会直接确定中标人外，招标人依据评标委员会推荐的中标候选人确定中标人，评标委员会推荐中标候选人的人数见投标人须知前附表。</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5" w:name="_Toc14573"/>
      <w:r>
        <w:rPr>
          <w:rFonts w:hint="eastAsia" w:asciiTheme="minorEastAsia" w:hAnsiTheme="minorEastAsia" w:eastAsiaTheme="minorEastAsia" w:cstheme="minorEastAsia"/>
          <w:b/>
          <w:bCs/>
          <w:kern w:val="0"/>
          <w:sz w:val="22"/>
          <w:szCs w:val="22"/>
        </w:rPr>
        <w:t>7.2 中标通知</w:t>
      </w:r>
      <w:bookmarkEnd w:id="35"/>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在投标人须知第3.4款规定的投标有效期内，招标人以书面形式向中标人发出中标通知书。</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6" w:name="_Toc27132"/>
      <w:r>
        <w:rPr>
          <w:rFonts w:hint="eastAsia" w:asciiTheme="minorEastAsia" w:hAnsiTheme="minorEastAsia" w:eastAsiaTheme="minorEastAsia" w:cstheme="minorEastAsia"/>
          <w:b/>
          <w:bCs/>
          <w:kern w:val="0"/>
          <w:sz w:val="22"/>
          <w:szCs w:val="22"/>
        </w:rPr>
        <w:t>7.3 履约保证金</w:t>
      </w:r>
      <w:bookmarkEnd w:id="36"/>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7.3.1在签订合同前，中标人应按投标人须知前附表规定的金额和担保形式向招标人提交履约保证金。</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7.3.2 中标人不能按本章第7.3.1项要求提交履约保证金的，视为放弃中标，其投标保证金不予退还，给招标人造成的损失超过投标保证金数额的，中标人还应当对超过部分予以赔偿。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7" w:name="_Toc27581"/>
      <w:r>
        <w:rPr>
          <w:rFonts w:hint="eastAsia" w:asciiTheme="minorEastAsia" w:hAnsiTheme="minorEastAsia" w:eastAsiaTheme="minorEastAsia" w:cstheme="minorEastAsia"/>
          <w:b/>
          <w:bCs/>
          <w:kern w:val="0"/>
          <w:sz w:val="22"/>
          <w:szCs w:val="22"/>
        </w:rPr>
        <w:t>7.4 签订合同</w:t>
      </w:r>
      <w:bookmarkEnd w:id="37"/>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sz w:val="22"/>
          <w:szCs w:val="22"/>
        </w:rPr>
        <w:t>7</w:t>
      </w:r>
      <w:bookmarkStart w:id="38" w:name="_Toc220123241"/>
      <w:bookmarkStart w:id="39" w:name="_Toc219809801"/>
      <w:bookmarkStart w:id="40" w:name="_Toc11806"/>
      <w:r>
        <w:rPr>
          <w:rFonts w:hint="eastAsia" w:asciiTheme="minorEastAsia" w:hAnsiTheme="minorEastAsia" w:eastAsiaTheme="minorEastAsia" w:cstheme="minorEastAsia"/>
          <w:kern w:val="0"/>
          <w:sz w:val="22"/>
          <w:szCs w:val="22"/>
        </w:rPr>
        <w:t>.4.1招标人和中标人应当自中标通知书发出之日起30个工作日内订立书面合同（合同条款按第</w:t>
      </w:r>
      <w:r>
        <w:rPr>
          <w:rFonts w:hint="eastAsia" w:asciiTheme="minorEastAsia" w:hAnsiTheme="minorEastAsia" w:cstheme="minorEastAsia"/>
          <w:kern w:val="0"/>
          <w:sz w:val="22"/>
          <w:szCs w:val="22"/>
          <w:lang w:eastAsia="zh-CN"/>
        </w:rPr>
        <w:t>四</w:t>
      </w:r>
      <w:r>
        <w:rPr>
          <w:rFonts w:hint="eastAsia" w:asciiTheme="minorEastAsia" w:hAnsiTheme="minorEastAsia" w:eastAsiaTheme="minorEastAsia" w:cstheme="minorEastAsia"/>
          <w:kern w:val="0"/>
          <w:sz w:val="22"/>
          <w:szCs w:val="22"/>
        </w:rPr>
        <w:t>章“合同条款及格式”）。中标人无正当理由拒签合同的，招标人取消其中标资格，其投标保证金不予退还；给招标人造成的损失超过投标保证金数额的，中标人还应当对超过部分予以赔偿。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7.4.2 发出中标通知书后，招标人无正当理由拒签合同的，招标人向中标人退还投标保证金；给中标人造成损失的，还应当赔偿损失。</w:t>
      </w:r>
    </w:p>
    <w:p>
      <w:pPr>
        <w:keepNext w:val="0"/>
        <w:keepLines w:val="0"/>
        <w:pageBreakBefore w:val="0"/>
        <w:widowControl w:val="0"/>
        <w:kinsoku/>
        <w:wordWrap/>
        <w:overflowPunct/>
        <w:topLinePunct w:val="0"/>
        <w:bidi w:val="0"/>
        <w:adjustRightInd w:val="0"/>
        <w:snapToGrid w:val="0"/>
        <w:spacing w:line="360" w:lineRule="auto"/>
        <w:ind w:firstLine="440" w:firstLineChars="200"/>
        <w:textAlignment w:val="auto"/>
        <w:rPr>
          <w:rFonts w:hint="eastAsia" w:asciiTheme="minorEastAsia" w:hAnsiTheme="minorEastAsia" w:eastAsiaTheme="minorEastAsia" w:cstheme="minorEastAsia"/>
          <w:b/>
          <w:color w:val="000000"/>
          <w:kern w:val="0"/>
          <w:sz w:val="22"/>
          <w:szCs w:val="22"/>
        </w:rPr>
      </w:pPr>
      <w:r>
        <w:rPr>
          <w:rFonts w:hint="eastAsia" w:asciiTheme="minorEastAsia" w:hAnsiTheme="minorEastAsia" w:eastAsiaTheme="minorEastAsia" w:cstheme="minorEastAsia"/>
          <w:color w:val="000000"/>
          <w:kern w:val="0"/>
          <w:sz w:val="22"/>
          <w:szCs w:val="22"/>
        </w:rPr>
        <w:t xml:space="preserve">7.4.3 </w:t>
      </w:r>
      <w:r>
        <w:rPr>
          <w:rFonts w:hint="eastAsia" w:asciiTheme="minorEastAsia" w:hAnsiTheme="minorEastAsia" w:eastAsiaTheme="minorEastAsia" w:cstheme="minorEastAsia"/>
          <w:b/>
          <w:color w:val="000000"/>
          <w:kern w:val="0"/>
          <w:sz w:val="22"/>
          <w:szCs w:val="22"/>
        </w:rPr>
        <w:t>招标人在授予合同有权对本项目的内容等予以增加或者减少，中标人不得提出异议，否则招标人有权取消其中标资格。</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rPr>
        <w:t xml:space="preserve">7.4.4 </w:t>
      </w:r>
      <w:r>
        <w:rPr>
          <w:rFonts w:hint="eastAsia" w:asciiTheme="minorEastAsia" w:hAnsiTheme="minorEastAsia" w:eastAsiaTheme="minorEastAsia" w:cstheme="minorEastAsia"/>
          <w:b/>
          <w:color w:val="000000"/>
          <w:kern w:val="0"/>
          <w:sz w:val="22"/>
          <w:szCs w:val="22"/>
        </w:rPr>
        <w:t>招标人在授予合同前的任何时候，仍保留接受或者拒绝任何投标和拒绝所有投标的权利。</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8</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重新招标和不再招标</w:t>
      </w:r>
      <w:bookmarkEnd w:id="38"/>
      <w:bookmarkEnd w:id="39"/>
      <w:bookmarkEnd w:id="40"/>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41" w:name="_Toc15553"/>
      <w:bookmarkStart w:id="42" w:name="_Toc220123242"/>
      <w:bookmarkStart w:id="43" w:name="_Toc219809802"/>
      <w:r>
        <w:rPr>
          <w:rFonts w:hint="eastAsia" w:asciiTheme="minorEastAsia" w:hAnsiTheme="minorEastAsia" w:eastAsiaTheme="minorEastAsia" w:cstheme="minorEastAsia"/>
          <w:b/>
          <w:bCs/>
          <w:kern w:val="0"/>
          <w:sz w:val="22"/>
          <w:szCs w:val="22"/>
        </w:rPr>
        <w:t>8.1 重新招标</w:t>
      </w:r>
      <w:bookmarkEnd w:id="41"/>
      <w:bookmarkEnd w:id="42"/>
      <w:bookmarkEnd w:id="43"/>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有下列情形之一的，招标人将重新招标；</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（1）投标截止时间止，投标人少于3个的；</w:t>
      </w:r>
    </w:p>
    <w:p>
      <w:pPr>
        <w:keepNext w:val="0"/>
        <w:keepLines w:val="0"/>
        <w:pageBreakBefore w:val="0"/>
        <w:widowControl w:val="0"/>
        <w:kinsoku/>
        <w:wordWrap/>
        <w:overflowPunct/>
        <w:topLinePunct w:val="0"/>
        <w:bidi w:val="0"/>
        <w:adjustRightInd w:val="0"/>
        <w:snapToGrid w:val="0"/>
        <w:spacing w:line="360" w:lineRule="auto"/>
        <w:ind w:firstLine="476"/>
        <w:textAlignment w:val="auto"/>
        <w:rPr>
          <w:rFonts w:hint="eastAsia" w:asciiTheme="minorEastAsia" w:hAnsiTheme="minorEastAsia" w:eastAsiaTheme="minorEastAsia" w:cstheme="minorEastAsia"/>
          <w:b/>
          <w:kern w:val="0"/>
          <w:sz w:val="22"/>
          <w:szCs w:val="22"/>
        </w:rPr>
      </w:pPr>
      <w:r>
        <w:rPr>
          <w:rFonts w:hint="eastAsia" w:asciiTheme="minorEastAsia" w:hAnsiTheme="minorEastAsia" w:eastAsiaTheme="minorEastAsia" w:cstheme="minorEastAsia"/>
          <w:b/>
          <w:kern w:val="0"/>
          <w:sz w:val="22"/>
          <w:szCs w:val="22"/>
        </w:rPr>
        <w:t>（2）所有投标人的报价均偏高，招标人无法接受的；</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（3）经评标委员会评审后否决所有投标的。</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44" w:name="_Toc220123243"/>
      <w:bookmarkStart w:id="45" w:name="_Toc219809803"/>
      <w:bookmarkStart w:id="46" w:name="_Toc18806"/>
      <w:r>
        <w:rPr>
          <w:rFonts w:hint="eastAsia" w:asciiTheme="minorEastAsia" w:hAnsiTheme="minorEastAsia" w:eastAsiaTheme="minorEastAsia" w:cstheme="minorEastAsia"/>
          <w:b/>
          <w:bCs/>
          <w:kern w:val="0"/>
          <w:sz w:val="22"/>
          <w:szCs w:val="22"/>
        </w:rPr>
        <w:t>8.2 不再招标</w:t>
      </w:r>
      <w:bookmarkEnd w:id="44"/>
      <w:bookmarkEnd w:id="45"/>
      <w:bookmarkEnd w:id="46"/>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重新招标后投标人仍少于3个或者所有投标被否决的，经批准后不再进行招标。</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47" w:name="_Toc220123244"/>
      <w:bookmarkStart w:id="48" w:name="_Toc2986"/>
      <w:bookmarkStart w:id="49" w:name="_Toc219809804"/>
      <w:bookmarkStart w:id="50" w:name="_Toc215941254"/>
      <w:r>
        <w:rPr>
          <w:rFonts w:hint="eastAsia" w:asciiTheme="minorEastAsia" w:hAnsiTheme="minorEastAsia" w:eastAsiaTheme="minorEastAsia" w:cstheme="minorEastAsia"/>
          <w:b/>
          <w:bCs/>
          <w:kern w:val="0"/>
          <w:sz w:val="22"/>
          <w:szCs w:val="22"/>
        </w:rPr>
        <w:t>9</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纪律和监督</w:t>
      </w:r>
      <w:bookmarkEnd w:id="47"/>
      <w:bookmarkEnd w:id="48"/>
      <w:bookmarkEnd w:id="49"/>
      <w:bookmarkEnd w:id="50"/>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51" w:name="_Toc220123245"/>
      <w:bookmarkStart w:id="52" w:name="_Toc5509"/>
      <w:bookmarkStart w:id="53" w:name="_Toc219809805"/>
      <w:r>
        <w:rPr>
          <w:rFonts w:hint="eastAsia" w:asciiTheme="minorEastAsia" w:hAnsiTheme="minorEastAsia" w:eastAsiaTheme="minorEastAsia" w:cstheme="minorEastAsia"/>
          <w:b/>
          <w:bCs/>
          <w:kern w:val="0"/>
          <w:sz w:val="22"/>
          <w:szCs w:val="22"/>
        </w:rPr>
        <w:t>9.1 对招标人的纪律要求</w:t>
      </w:r>
      <w:bookmarkEnd w:id="51"/>
      <w:bookmarkEnd w:id="52"/>
      <w:bookmarkEnd w:id="53"/>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招标人不得泄漏招标投标活动中应当保密的情况和资料，不得与投标人串通损害国家利益、社会公共利益或者他人合法权益。</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54" w:name="_Toc220123246"/>
      <w:bookmarkStart w:id="55" w:name="_Toc219809806"/>
      <w:bookmarkStart w:id="56" w:name="_Toc10820"/>
      <w:r>
        <w:rPr>
          <w:rFonts w:hint="eastAsia" w:asciiTheme="minorEastAsia" w:hAnsiTheme="minorEastAsia" w:eastAsiaTheme="minorEastAsia" w:cstheme="minorEastAsia"/>
          <w:b/>
          <w:bCs/>
          <w:kern w:val="0"/>
          <w:sz w:val="22"/>
          <w:szCs w:val="22"/>
        </w:rPr>
        <w:t>9.2 对投标人的纪律要求</w:t>
      </w:r>
      <w:bookmarkEnd w:id="54"/>
      <w:bookmarkEnd w:id="55"/>
      <w:bookmarkEnd w:id="56"/>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sz w:val="22"/>
          <w:szCs w:val="22"/>
        </w:rPr>
        <w:t>若投标人存在串通投标或弄虚作假或有其他违法行为的，招标人有权没收投标人的投标保证金，2年内禁止参与招标人所有招标项目的投标，给招标人造成损失的，还需承担赔偿责任。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57" w:name="_Toc220123247"/>
      <w:bookmarkStart w:id="58" w:name="_Toc219809807"/>
      <w:bookmarkStart w:id="59" w:name="_Toc10756"/>
      <w:r>
        <w:rPr>
          <w:rFonts w:hint="eastAsia" w:asciiTheme="minorEastAsia" w:hAnsiTheme="minorEastAsia" w:eastAsiaTheme="minorEastAsia" w:cstheme="minorEastAsia"/>
          <w:b/>
          <w:bCs/>
          <w:kern w:val="0"/>
          <w:sz w:val="22"/>
          <w:szCs w:val="22"/>
        </w:rPr>
        <w:t>9.3</w:t>
      </w:r>
      <w:bookmarkEnd w:id="57"/>
      <w:bookmarkEnd w:id="58"/>
      <w:bookmarkEnd w:id="59"/>
      <w:r>
        <w:rPr>
          <w:rFonts w:hint="eastAsia" w:asciiTheme="minorEastAsia" w:hAnsiTheme="minorEastAsia" w:eastAsiaTheme="minorEastAsia" w:cstheme="minorEastAsia"/>
          <w:b/>
          <w:bCs/>
          <w:kern w:val="0"/>
          <w:sz w:val="22"/>
          <w:szCs w:val="22"/>
        </w:rPr>
        <w:t>对评标委员会成员的纪律要求</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Theme="minorEastAsia" w:hAnsiTheme="minorEastAsia" w:cstheme="minorEastAsia"/>
          <w:color w:val="000000" w:themeColor="text1"/>
          <w:sz w:val="22"/>
          <w:szCs w:val="22"/>
          <w:lang w:eastAsia="zh-CN"/>
          <w14:textFill>
            <w14:solidFill>
              <w14:schemeClr w14:val="tx1"/>
            </w14:solidFill>
          </w14:textFill>
        </w:rPr>
        <w:t>三</w:t>
      </w:r>
      <w:r>
        <w:rPr>
          <w:rFonts w:hint="eastAsia" w:asciiTheme="minorEastAsia" w:hAnsiTheme="minorEastAsia" w:eastAsiaTheme="minorEastAsia" w:cstheme="minorEastAsia"/>
          <w:color w:val="000000" w:themeColor="text1"/>
          <w:sz w:val="22"/>
          <w:szCs w:val="22"/>
          <w14:textFill>
            <w14:solidFill>
              <w14:schemeClr w14:val="tx1"/>
            </w14:solidFill>
          </w14:textFill>
        </w:rPr>
        <w:t>章“评标办法”没有规定的评审因素和标准进行评标。</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60" w:name="_Toc12792"/>
      <w:bookmarkStart w:id="61" w:name="_Toc220123248"/>
      <w:bookmarkStart w:id="62" w:name="_Toc219809808"/>
      <w:r>
        <w:rPr>
          <w:rFonts w:hint="eastAsia" w:asciiTheme="minorEastAsia" w:hAnsiTheme="minorEastAsia" w:eastAsiaTheme="minorEastAsia" w:cstheme="minorEastAsia"/>
          <w:b/>
          <w:bCs/>
          <w:kern w:val="0"/>
          <w:sz w:val="22"/>
          <w:szCs w:val="22"/>
        </w:rPr>
        <w:t>9.4 对评标活动有关的工作人员的纪律要求</w:t>
      </w:r>
      <w:bookmarkEnd w:id="60"/>
      <w:bookmarkEnd w:id="61"/>
      <w:bookmarkEnd w:id="62"/>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63" w:name="_Toc220123249"/>
      <w:bookmarkStart w:id="64" w:name="_Toc219809809"/>
      <w:bookmarkStart w:id="65" w:name="_Toc239"/>
      <w:r>
        <w:rPr>
          <w:rFonts w:hint="eastAsia" w:asciiTheme="minorEastAsia" w:hAnsiTheme="minorEastAsia" w:eastAsiaTheme="minorEastAsia" w:cstheme="minorEastAsia"/>
          <w:b/>
          <w:bCs/>
          <w:kern w:val="0"/>
          <w:sz w:val="22"/>
          <w:szCs w:val="22"/>
        </w:rPr>
        <w:t>9.5 投诉</w:t>
      </w:r>
      <w:bookmarkEnd w:id="63"/>
      <w:bookmarkEnd w:id="64"/>
      <w:bookmarkEnd w:id="65"/>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投标人和其他利害关系人认为本次招标活动违反法律、法规和规章规定的，有权向有关行政监督部门投诉。</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66" w:name="_Toc10817"/>
      <w:r>
        <w:rPr>
          <w:rFonts w:hint="eastAsia" w:asciiTheme="minorEastAsia" w:hAnsiTheme="minorEastAsia" w:eastAsiaTheme="minorEastAsia" w:cstheme="minorEastAsia"/>
          <w:b/>
          <w:bCs/>
          <w:kern w:val="0"/>
          <w:sz w:val="22"/>
          <w:szCs w:val="22"/>
        </w:rPr>
        <w:t>10. 需要补充的其他内容</w:t>
      </w:r>
      <w:bookmarkEnd w:id="66"/>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40"/>
        <w:jc w:val="left"/>
        <w:textAlignment w:val="auto"/>
        <w:rPr>
          <w:rFonts w:hint="eastAsia" w:asciiTheme="minorEastAsia" w:hAnsiTheme="minorEastAsia" w:eastAsiaTheme="minorEastAsia" w:cstheme="minorEastAsia"/>
          <w:color w:val="FF0000"/>
          <w:sz w:val="22"/>
          <w:szCs w:val="22"/>
        </w:rPr>
      </w:pPr>
      <w:r>
        <w:rPr>
          <w:rFonts w:hint="eastAsia" w:asciiTheme="minorEastAsia" w:hAnsiTheme="minorEastAsia" w:eastAsiaTheme="minorEastAsia" w:cstheme="minorEastAsia"/>
          <w:color w:val="000000"/>
          <w:sz w:val="22"/>
          <w:szCs w:val="22"/>
        </w:rPr>
        <w:t>需要补充的其他内容：见投标人须知前附表。</w:t>
      </w:r>
    </w:p>
    <w:p>
      <w:pPr>
        <w:pStyle w:val="14"/>
        <w:jc w:val="both"/>
        <w:rPr>
          <w:rFonts w:hint="eastAsia"/>
        </w:rPr>
      </w:pPr>
      <w:bookmarkStart w:id="67" w:name="_Toc321925453"/>
    </w:p>
    <w:p>
      <w:pPr>
        <w:pStyle w:val="14"/>
        <w:keepLines w:val="0"/>
        <w:pageBreakBefore w:val="0"/>
        <w:kinsoku/>
        <w:wordWrap/>
        <w:topLinePunct w:val="0"/>
        <w:bidi w:val="0"/>
        <w:spacing w:line="360" w:lineRule="auto"/>
      </w:pPr>
      <w:r>
        <w:rPr>
          <w:rFonts w:hint="eastAsia"/>
        </w:rPr>
        <w:t>第三章</w:t>
      </w:r>
      <w:bookmarkEnd w:id="67"/>
      <w:r>
        <w:rPr>
          <w:rFonts w:hint="eastAsia"/>
        </w:rPr>
        <w:t>评标办法</w:t>
      </w:r>
    </w:p>
    <w:p>
      <w:pPr>
        <w:keepLines w:val="0"/>
        <w:pageBreakBefore w:val="0"/>
        <w:kinsoku/>
        <w:wordWrap/>
        <w:topLinePunct w:val="0"/>
        <w:bidi w:val="0"/>
        <w:adjustRightInd w:val="0"/>
        <w:snapToGrid w:val="0"/>
        <w:spacing w:line="360" w:lineRule="auto"/>
        <w:ind w:firstLine="440" w:firstLineChars="200"/>
        <w:rPr>
          <w:rFonts w:hint="eastAsia" w:ascii="宋体" w:hAnsi="宋体" w:cs="Calibri"/>
          <w:kern w:val="0"/>
          <w:sz w:val="22"/>
        </w:rPr>
      </w:pP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根据《中华人民共和国招标投标法》、《评标委员会和评标方法暂行规定》和浙江省的有关招投标规定，结合本工程的实际，按照公平、公正、科学、择优的原则选择中标单位，特制定本评标办法。</w:t>
      </w:r>
      <w:bookmarkStart w:id="68" w:name="_Toc400804785"/>
      <w:bookmarkStart w:id="69" w:name="_Toc498694912"/>
      <w:bookmarkStart w:id="70" w:name="_Toc448220020"/>
      <w:r>
        <w:rPr>
          <w:rFonts w:hint="eastAsia" w:ascii="宋体" w:hAnsi="宋体" w:cs="Calibri"/>
          <w:b/>
          <w:bCs/>
          <w:sz w:val="22"/>
        </w:rPr>
        <w:t>1、评标原则</w:t>
      </w:r>
      <w:bookmarkEnd w:id="68"/>
      <w:bookmarkEnd w:id="69"/>
      <w:bookmarkEnd w:id="70"/>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评标工作必须遵循公平、公正</w:t>
      </w:r>
      <w:r>
        <w:rPr>
          <w:rFonts w:hint="eastAsia" w:ascii="宋体" w:hAnsi="宋体" w:cs="Calibri"/>
          <w:kern w:val="0"/>
          <w:sz w:val="22"/>
          <w:lang w:eastAsia="zh-CN"/>
        </w:rPr>
        <w:t>、</w:t>
      </w:r>
      <w:r>
        <w:rPr>
          <w:rFonts w:hint="eastAsia" w:ascii="宋体" w:hAnsi="宋体" w:cs="Calibri"/>
          <w:kern w:val="0"/>
          <w:sz w:val="22"/>
          <w:lang w:val="en-US" w:eastAsia="zh-CN"/>
        </w:rPr>
        <w:t>科学、择优的</w:t>
      </w:r>
      <w:r>
        <w:rPr>
          <w:rFonts w:hint="eastAsia" w:ascii="宋体" w:hAnsi="宋体" w:cs="Calibri"/>
          <w:kern w:val="0"/>
          <w:sz w:val="22"/>
        </w:rPr>
        <w:t>原则。</w:t>
      </w:r>
      <w:bookmarkStart w:id="71" w:name="_Toc400804786"/>
      <w:bookmarkStart w:id="72" w:name="_Toc498694913"/>
      <w:bookmarkStart w:id="73" w:name="_Toc448220021"/>
    </w:p>
    <w:p>
      <w:pPr>
        <w:pStyle w:val="19"/>
        <w:keepLines w:val="0"/>
        <w:pageBreakBefore w:val="0"/>
        <w:numPr>
          <w:ilvl w:val="0"/>
          <w:numId w:val="2"/>
        </w:numPr>
        <w:kinsoku/>
        <w:wordWrap/>
        <w:topLinePunct w:val="0"/>
        <w:bidi w:val="0"/>
        <w:adjustRightInd w:val="0"/>
        <w:snapToGrid w:val="0"/>
        <w:spacing w:line="360" w:lineRule="auto"/>
        <w:ind w:firstLineChars="0"/>
        <w:rPr>
          <w:rFonts w:ascii="宋体" w:hAnsi="宋体" w:cs="Calibri"/>
          <w:b/>
          <w:kern w:val="0"/>
          <w:sz w:val="22"/>
        </w:rPr>
      </w:pPr>
      <w:r>
        <w:rPr>
          <w:rFonts w:hint="eastAsia" w:ascii="宋体" w:hAnsi="宋体" w:cs="Calibri"/>
          <w:b/>
          <w:bCs/>
          <w:sz w:val="22"/>
        </w:rPr>
        <w:t>评标组织</w:t>
      </w:r>
      <w:bookmarkEnd w:id="71"/>
      <w:bookmarkEnd w:id="72"/>
      <w:bookmarkEnd w:id="73"/>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评标委员会由招标人自行组建。</w:t>
      </w:r>
      <w:bookmarkStart w:id="74" w:name="_Toc448220022"/>
      <w:bookmarkStart w:id="75" w:name="_Toc498694914"/>
      <w:bookmarkStart w:id="76" w:name="_Toc400804787"/>
    </w:p>
    <w:p>
      <w:pPr>
        <w:pStyle w:val="19"/>
        <w:keepLines w:val="0"/>
        <w:pageBreakBefore w:val="0"/>
        <w:numPr>
          <w:ilvl w:val="0"/>
          <w:numId w:val="2"/>
        </w:numPr>
        <w:kinsoku/>
        <w:wordWrap/>
        <w:topLinePunct w:val="0"/>
        <w:bidi w:val="0"/>
        <w:adjustRightInd w:val="0"/>
        <w:snapToGrid w:val="0"/>
        <w:spacing w:line="360" w:lineRule="auto"/>
        <w:ind w:firstLineChars="0"/>
        <w:rPr>
          <w:rFonts w:ascii="宋体" w:hAnsi="宋体" w:cs="Calibri"/>
          <w:b/>
          <w:kern w:val="0"/>
          <w:sz w:val="22"/>
        </w:rPr>
      </w:pPr>
      <w:r>
        <w:rPr>
          <w:rFonts w:hint="eastAsia" w:ascii="宋体" w:hAnsi="宋体" w:cs="Calibri"/>
          <w:b/>
          <w:bCs/>
          <w:sz w:val="22"/>
        </w:rPr>
        <w:t>评标程序和内容</w:t>
      </w:r>
      <w:bookmarkEnd w:id="74"/>
      <w:bookmarkEnd w:id="75"/>
      <w:bookmarkEnd w:id="76"/>
    </w:p>
    <w:p>
      <w:pPr>
        <w:keepLines w:val="0"/>
        <w:pageBreakBefore w:val="0"/>
        <w:kinsoku/>
        <w:wordWrap/>
        <w:topLinePunct w:val="0"/>
        <w:bidi w:val="0"/>
        <w:adjustRightInd w:val="0"/>
        <w:snapToGrid w:val="0"/>
        <w:spacing w:line="360" w:lineRule="auto"/>
        <w:ind w:firstLine="440" w:firstLineChars="200"/>
        <w:rPr>
          <w:szCs w:val="21"/>
        </w:rPr>
      </w:pPr>
      <w:bookmarkStart w:id="77" w:name="_Toc448220023"/>
      <w:bookmarkStart w:id="78" w:name="_Toc498694915"/>
      <w:r>
        <w:rPr>
          <w:rFonts w:hint="eastAsia" w:ascii="宋体" w:hAnsi="宋体" w:cs="Calibri"/>
          <w:kern w:val="0"/>
          <w:sz w:val="22"/>
        </w:rPr>
        <w:t>本项目采用</w:t>
      </w:r>
      <w:r>
        <w:rPr>
          <w:rFonts w:hint="eastAsia" w:ascii="宋体" w:hAnsi="宋体" w:cs="Calibri"/>
          <w:b/>
          <w:bCs/>
          <w:kern w:val="0"/>
          <w:sz w:val="22"/>
        </w:rPr>
        <w:t>综合评估法</w:t>
      </w:r>
      <w:r>
        <w:rPr>
          <w:rFonts w:hint="eastAsia" w:ascii="宋体" w:hAnsi="宋体" w:cs="Calibri"/>
          <w:kern w:val="0"/>
          <w:sz w:val="22"/>
        </w:rPr>
        <w:t>。各投标人的总得分为资信</w:t>
      </w:r>
      <w:r>
        <w:rPr>
          <w:rFonts w:hint="eastAsia" w:ascii="宋体" w:hAnsi="宋体" w:cs="Calibri"/>
          <w:kern w:val="0"/>
          <w:sz w:val="22"/>
          <w:lang w:eastAsia="zh-CN"/>
        </w:rPr>
        <w:t>、</w:t>
      </w:r>
      <w:r>
        <w:rPr>
          <w:rFonts w:hint="eastAsia" w:ascii="宋体" w:hAnsi="宋体" w:cs="Calibri"/>
          <w:kern w:val="0"/>
          <w:sz w:val="22"/>
        </w:rPr>
        <w:t>技术与商务报价</w:t>
      </w:r>
      <w:r>
        <w:rPr>
          <w:rFonts w:hint="eastAsia" w:ascii="宋体" w:hAnsi="宋体" w:cs="Calibri"/>
          <w:kern w:val="0"/>
          <w:sz w:val="22"/>
          <w:lang w:eastAsia="zh-CN"/>
        </w:rPr>
        <w:t>三</w:t>
      </w:r>
      <w:r>
        <w:rPr>
          <w:rFonts w:hint="eastAsia" w:ascii="宋体" w:hAnsi="宋体" w:cs="Calibri"/>
          <w:kern w:val="0"/>
          <w:sz w:val="22"/>
        </w:rPr>
        <w:t>部分之和。评标委员会将总得分最高者推荐至招标人成为中标候选人。综合得分相等时，以投标报价低的优先；投标报价也相等的，技术标得分高的优先；技术标得分也相等的，由评委少数服从多数决定</w:t>
      </w:r>
      <w:r>
        <w:rPr>
          <w:rFonts w:hint="eastAsia"/>
          <w:szCs w:val="21"/>
        </w:rPr>
        <w:t>。</w:t>
      </w:r>
    </w:p>
    <w:p>
      <w:pPr>
        <w:keepLines w:val="0"/>
        <w:pageBreakBefore w:val="0"/>
        <w:kinsoku/>
        <w:wordWrap/>
        <w:topLinePunct w:val="0"/>
        <w:bidi w:val="0"/>
        <w:adjustRightInd w:val="0"/>
        <w:snapToGrid w:val="0"/>
        <w:spacing w:line="360" w:lineRule="auto"/>
        <w:rPr>
          <w:b/>
          <w:szCs w:val="21"/>
        </w:rPr>
      </w:pPr>
      <w:r>
        <w:rPr>
          <w:rFonts w:hint="eastAsia" w:ascii="宋体" w:hAnsi="宋体" w:cs="Calibri"/>
          <w:b/>
          <w:bCs/>
          <w:sz w:val="22"/>
        </w:rPr>
        <w:t>3.1评标的一般程序</w:t>
      </w:r>
      <w:bookmarkEnd w:id="77"/>
      <w:bookmarkEnd w:id="78"/>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评标委员会熟悉招标文件和评标办法；</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投标文件的符合性审查；</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投标文件的资信评审；</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投标文件的技术评审；</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投标文件的商务评审；</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由投标人书面澄清投标文件的疑问（必要时）；</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根据评标办法对投标人进行综合评审</w:t>
      </w:r>
      <w:r>
        <w:rPr>
          <w:rFonts w:hint="eastAsia" w:ascii="宋体" w:hAnsi="宋体" w:cs="Calibri"/>
          <w:kern w:val="0"/>
          <w:sz w:val="22"/>
          <w:lang w:eastAsia="zh-CN"/>
        </w:rPr>
        <w:t>；</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完成评标报告，推荐中标候选人。评标报告由评标委员会起草，按少数服从多数的原则通过。评标委员会全体成员须在评标报告上签字认可，评标专家如有保留意见可以在评标报告中阐明。</w:t>
      </w:r>
      <w:bookmarkStart w:id="79" w:name="_Toc498694916"/>
      <w:bookmarkStart w:id="80" w:name="_Toc448220024"/>
    </w:p>
    <w:p>
      <w:pPr>
        <w:keepLines w:val="0"/>
        <w:pageBreakBefore w:val="0"/>
        <w:tabs>
          <w:tab w:val="left" w:pos="420"/>
        </w:tabs>
        <w:kinsoku/>
        <w:wordWrap/>
        <w:topLinePunct w:val="0"/>
        <w:bidi w:val="0"/>
        <w:adjustRightInd w:val="0"/>
        <w:snapToGrid w:val="0"/>
        <w:spacing w:line="360" w:lineRule="auto"/>
        <w:ind w:left="6"/>
        <w:rPr>
          <w:rFonts w:ascii="宋体" w:hAnsi="宋体" w:cs="Calibri"/>
          <w:b/>
          <w:kern w:val="0"/>
          <w:sz w:val="22"/>
        </w:rPr>
      </w:pPr>
      <w:r>
        <w:rPr>
          <w:rFonts w:hint="eastAsia" w:ascii="宋体" w:hAnsi="宋体" w:cs="Calibri"/>
          <w:b/>
          <w:bCs/>
          <w:sz w:val="22"/>
        </w:rPr>
        <w:t>3.2投标文件的符合性审查内容</w:t>
      </w:r>
      <w:bookmarkEnd w:id="79"/>
      <w:bookmarkEnd w:id="80"/>
    </w:p>
    <w:p>
      <w:pPr>
        <w:keepLines w:val="0"/>
        <w:pageBreakBefore w:val="0"/>
        <w:tabs>
          <w:tab w:val="left" w:pos="420"/>
        </w:tabs>
        <w:kinsoku/>
        <w:wordWrap/>
        <w:topLinePunct w:val="0"/>
        <w:bidi w:val="0"/>
        <w:adjustRightInd w:val="0"/>
        <w:snapToGrid w:val="0"/>
        <w:spacing w:line="360" w:lineRule="auto"/>
        <w:ind w:left="0" w:leftChars="0" w:firstLine="440" w:firstLineChars="200"/>
        <w:rPr>
          <w:rFonts w:ascii="宋体" w:hAnsi="宋体" w:cs="Calibri"/>
          <w:kern w:val="0"/>
          <w:sz w:val="22"/>
        </w:rPr>
      </w:pPr>
      <w:r>
        <w:rPr>
          <w:rFonts w:hint="eastAsia" w:ascii="宋体" w:hAnsi="宋体" w:cs="Calibri"/>
          <w:kern w:val="0"/>
          <w:sz w:val="22"/>
        </w:rPr>
        <w:t>评标委员会应依照招标文件的要求和规定，首先对投标人的投标资格和投标文件进行符合性审查。</w:t>
      </w:r>
    </w:p>
    <w:p>
      <w:pPr>
        <w:keepLines w:val="0"/>
        <w:pageBreakBefore w:val="0"/>
        <w:tabs>
          <w:tab w:val="left" w:pos="420"/>
        </w:tabs>
        <w:kinsoku/>
        <w:wordWrap/>
        <w:topLinePunct w:val="0"/>
        <w:bidi w:val="0"/>
        <w:adjustRightInd w:val="0"/>
        <w:snapToGrid w:val="0"/>
        <w:spacing w:line="360" w:lineRule="auto"/>
        <w:ind w:left="0" w:leftChars="0" w:firstLine="440" w:firstLineChars="200"/>
        <w:rPr>
          <w:rFonts w:ascii="宋体" w:hAnsi="宋体" w:cs="Calibri"/>
          <w:kern w:val="0"/>
          <w:sz w:val="22"/>
        </w:rPr>
      </w:pPr>
      <w:r>
        <w:rPr>
          <w:rFonts w:hint="eastAsia" w:ascii="宋体" w:hAnsi="宋体" w:cs="Calibri"/>
          <w:kern w:val="0"/>
          <w:sz w:val="22"/>
        </w:rPr>
        <w:t>投标人不得通过补充、修改或撤消投标文件中的内容使其成为实质性响应的投标。投标人在投标截止以后不得提交任何资料作为评标依据。</w:t>
      </w:r>
    </w:p>
    <w:p>
      <w:pPr>
        <w:keepLines w:val="0"/>
        <w:pageBreakBefore w:val="0"/>
        <w:tabs>
          <w:tab w:val="left" w:pos="420"/>
        </w:tabs>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投标文件如存在以下情况之一的，经评标委员会审核认定，作为符合性审查未通过予以废除</w:t>
      </w:r>
      <w:r>
        <w:rPr>
          <w:rFonts w:hint="eastAsia" w:ascii="宋体" w:hAnsi="宋体" w:cs="Calibri"/>
          <w:kern w:val="0"/>
          <w:sz w:val="22"/>
          <w:lang w:val="en-US" w:eastAsia="zh-CN"/>
        </w:rPr>
        <w:t xml:space="preserve"> </w:t>
      </w:r>
      <w:r>
        <w:rPr>
          <w:rFonts w:hint="eastAsia" w:ascii="宋体" w:hAnsi="宋体" w:cs="Calibri"/>
          <w:kern w:val="0"/>
          <w:sz w:val="22"/>
        </w:rPr>
        <w:t>：</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投标人的投标资格不满足国家有关规定或招标文件载明的资格条件要求的；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投标文件未按招标文件要求加盖单位印章或投标人的法定代表人（或其委托代理人）未按招标文件要求签字或盖章的；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left="0" w:firstLine="540"/>
        <w:jc w:val="left"/>
        <w:rPr>
          <w:rFonts w:ascii="宋体" w:hAnsi="宋体" w:cs="Calibri"/>
          <w:b/>
          <w:kern w:val="0"/>
          <w:sz w:val="22"/>
        </w:rPr>
      </w:pPr>
      <w:r>
        <w:rPr>
          <w:rFonts w:hint="eastAsia" w:ascii="宋体" w:hAnsi="宋体" w:cs="Calibri"/>
          <w:b/>
          <w:kern w:val="0"/>
          <w:sz w:val="22"/>
        </w:rPr>
        <w:t>投标人提交两份或多份内容不同的投标文件，或在一份投标文件中对同一招标货物报有两个或多个报价，且未声明哪一个为最终报价的，按招标文件规定的提交备选投标方案的除外；</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投标人未按招标文件要求提供投标保证金的或投标保证金有瑕疵的；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投标文件载明的</w:t>
      </w:r>
      <w:r>
        <w:rPr>
          <w:rFonts w:hint="eastAsia" w:ascii="宋体" w:hAnsi="宋体" w:cs="Calibri"/>
          <w:b/>
          <w:kern w:val="0"/>
          <w:sz w:val="22"/>
          <w:lang w:eastAsia="zh-CN"/>
        </w:rPr>
        <w:t>施工</w:t>
      </w:r>
      <w:r>
        <w:rPr>
          <w:rFonts w:hint="eastAsia" w:ascii="宋体" w:hAnsi="宋体" w:cs="Calibri"/>
          <w:b/>
          <w:kern w:val="0"/>
          <w:sz w:val="22"/>
        </w:rPr>
        <w:t>期超过招标文件规定的期限的；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投标有效期不满足招标文件要求的；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不响应招标文件规定的实质性要求（包括具体条文前用“★”标示的）；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left="0" w:firstLine="540"/>
        <w:jc w:val="left"/>
        <w:rPr>
          <w:rFonts w:ascii="宋体" w:hAnsi="宋体" w:cs="Calibri"/>
          <w:b/>
          <w:kern w:val="0"/>
          <w:sz w:val="22"/>
        </w:rPr>
      </w:pPr>
      <w:r>
        <w:rPr>
          <w:rFonts w:hint="eastAsia" w:ascii="宋体" w:hAnsi="宋体" w:cs="Calibri"/>
          <w:b/>
          <w:kern w:val="0"/>
          <w:sz w:val="22"/>
        </w:rPr>
        <w:t>是否有明显不符合技术规格、技术标准的要求或不满足招标文件技术规格书中的主要参数或提出的偏离招标人不予接受的投标文件；</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left="0" w:firstLine="540"/>
        <w:jc w:val="left"/>
        <w:rPr>
          <w:rFonts w:ascii="宋体" w:hAnsi="宋体" w:cs="Calibri"/>
          <w:b/>
          <w:kern w:val="0"/>
          <w:sz w:val="22"/>
        </w:rPr>
      </w:pPr>
      <w:r>
        <w:rPr>
          <w:rFonts w:hint="eastAsia" w:ascii="宋体" w:hAnsi="宋体" w:cs="Calibri"/>
          <w:b/>
          <w:kern w:val="0"/>
          <w:sz w:val="22"/>
        </w:rPr>
        <w:t>投标文件附有招标人不能接受的条款；</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法律、法规规定的其它废标情况。</w:t>
      </w:r>
      <w:bookmarkStart w:id="81" w:name="_Toc448220025"/>
      <w:bookmarkStart w:id="82" w:name="_Toc498694917"/>
    </w:p>
    <w:p>
      <w:pPr>
        <w:keepLines w:val="0"/>
        <w:pageBreakBefore w:val="0"/>
        <w:tabs>
          <w:tab w:val="left" w:pos="420"/>
          <w:tab w:val="left" w:pos="600"/>
          <w:tab w:val="left" w:pos="945"/>
        </w:tabs>
        <w:kinsoku/>
        <w:wordWrap/>
        <w:topLinePunct w:val="0"/>
        <w:bidi w:val="0"/>
        <w:adjustRightInd w:val="0"/>
        <w:snapToGrid w:val="0"/>
        <w:spacing w:line="360" w:lineRule="auto"/>
        <w:jc w:val="left"/>
        <w:rPr>
          <w:rFonts w:ascii="宋体" w:hAnsi="宋体" w:cs="Calibri"/>
          <w:b/>
          <w:bCs/>
          <w:sz w:val="22"/>
        </w:rPr>
      </w:pPr>
      <w:r>
        <w:rPr>
          <w:rFonts w:hint="eastAsia" w:ascii="宋体" w:hAnsi="宋体" w:cs="Calibri"/>
          <w:b/>
          <w:bCs/>
          <w:sz w:val="22"/>
        </w:rPr>
        <w:t>3.3投标文件的详细评审</w:t>
      </w:r>
      <w:bookmarkEnd w:id="81"/>
      <w:bookmarkEnd w:id="82"/>
    </w:p>
    <w:p>
      <w:pPr>
        <w:keepLines w:val="0"/>
        <w:pageBreakBefore w:val="0"/>
        <w:tabs>
          <w:tab w:val="left" w:pos="420"/>
          <w:tab w:val="left" w:pos="600"/>
          <w:tab w:val="left" w:pos="945"/>
        </w:tabs>
        <w:kinsoku/>
        <w:wordWrap/>
        <w:topLinePunct w:val="0"/>
        <w:bidi w:val="0"/>
        <w:adjustRightInd w:val="0"/>
        <w:snapToGrid w:val="0"/>
        <w:spacing w:line="360" w:lineRule="auto"/>
        <w:ind w:firstLine="440" w:firstLineChars="200"/>
        <w:jc w:val="left"/>
        <w:rPr>
          <w:rFonts w:ascii="宋体" w:hAnsi="宋体" w:cs="Calibri"/>
          <w:b/>
          <w:bCs/>
          <w:sz w:val="22"/>
        </w:rPr>
      </w:pPr>
      <w:r>
        <w:rPr>
          <w:rFonts w:hint="eastAsia" w:ascii="宋体" w:hAnsi="宋体" w:cs="Calibri"/>
          <w:kern w:val="0"/>
          <w:sz w:val="22"/>
          <w:lang w:val="en-US" w:eastAsia="zh-CN"/>
        </w:rPr>
        <w:t>1</w:t>
      </w:r>
      <w:r>
        <w:rPr>
          <w:rFonts w:hint="eastAsia" w:ascii="宋体" w:hAnsi="宋体" w:cs="Calibri"/>
          <w:b/>
          <w:kern w:val="0"/>
          <w:sz w:val="22"/>
        </w:rPr>
        <w:t>．</w:t>
      </w:r>
      <w:r>
        <w:rPr>
          <w:rFonts w:hint="eastAsia" w:ascii="宋体" w:hAnsi="宋体" w:cs="Calibri"/>
          <w:kern w:val="0"/>
          <w:sz w:val="22"/>
        </w:rPr>
        <w:t>评标委员会对通过符合性审查的投标文件就以下</w:t>
      </w:r>
      <w:r>
        <w:rPr>
          <w:rFonts w:hint="eastAsia" w:ascii="宋体" w:hAnsi="宋体" w:cs="Calibri"/>
          <w:kern w:val="0"/>
          <w:sz w:val="22"/>
          <w:lang w:eastAsia="zh-CN"/>
        </w:rPr>
        <w:t>三</w:t>
      </w:r>
      <w:r>
        <w:rPr>
          <w:rFonts w:hint="eastAsia" w:ascii="宋体" w:hAnsi="宋体" w:cs="Calibri"/>
          <w:kern w:val="0"/>
          <w:sz w:val="22"/>
        </w:rPr>
        <w:t>部分内容，按评标细则的规定和要求进行评审</w:t>
      </w:r>
      <w:r>
        <w:rPr>
          <w:rFonts w:hint="eastAsia"/>
          <w:szCs w:val="21"/>
        </w:rPr>
        <w:t>：</w:t>
      </w:r>
    </w:p>
    <w:p>
      <w:pPr>
        <w:keepLines w:val="0"/>
        <w:pageBreakBefore w:val="0"/>
        <w:kinsoku/>
        <w:wordWrap/>
        <w:topLinePunct w:val="0"/>
        <w:bidi w:val="0"/>
        <w:adjustRightInd w:val="0"/>
        <w:snapToGrid w:val="0"/>
        <w:spacing w:line="360" w:lineRule="auto"/>
        <w:ind w:firstLine="442" w:firstLineChars="200"/>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0"/>
          <w:sz w:val="22"/>
          <w:szCs w:val="22"/>
          <w14:textFill>
            <w14:solidFill>
              <w14:schemeClr w14:val="tx1"/>
            </w14:solidFill>
          </w14:textFill>
        </w:rPr>
        <w:t>1</w:t>
      </w: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0"/>
          <w:sz w:val="22"/>
          <w:szCs w:val="22"/>
          <w14:textFill>
            <w14:solidFill>
              <w14:schemeClr w14:val="tx1"/>
            </w14:solidFill>
          </w14:textFill>
        </w:rPr>
        <w:t>资信部分评审</w:t>
      </w:r>
      <w:r>
        <w:rPr>
          <w:rFonts w:hint="eastAsia" w:asciiTheme="minorEastAsia" w:hAnsiTheme="minorEastAsia" w:eastAsiaTheme="minorEastAsia" w:cstheme="minorEastAsia"/>
          <w:b/>
          <w:color w:val="000000" w:themeColor="text1"/>
          <w:sz w:val="22"/>
          <w:szCs w:val="22"/>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由评标委员会成员负责对投标文件的资信部分采用记名方式各自评分。如发现某个单项的评分超出了评分细则所规定的分值范围的，则该张评分表无效。</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此项得分为：评标委员会成员的有效评分的算术平均值（保留小数</w:t>
      </w: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位）。</w:t>
      </w:r>
    </w:p>
    <w:p>
      <w:pPr>
        <w:keepLines w:val="0"/>
        <w:pageBreakBefore w:val="0"/>
        <w:kinsoku/>
        <w:wordWrap/>
        <w:topLinePunct w:val="0"/>
        <w:bidi w:val="0"/>
        <w:adjustRightInd w:val="0"/>
        <w:snapToGrid w:val="0"/>
        <w:spacing w:line="360" w:lineRule="auto"/>
        <w:ind w:firstLine="442" w:firstLineChars="200"/>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Theme="minorEastAsia" w:hAnsiTheme="minorEastAsia" w:cstheme="minorEastAsia"/>
          <w:b/>
          <w:color w:val="000000" w:themeColor="text1"/>
          <w:kern w:val="0"/>
          <w:sz w:val="22"/>
          <w:szCs w:val="22"/>
          <w:lang w:val="en-US" w:eastAsia="zh-CN"/>
          <w14:textFill>
            <w14:solidFill>
              <w14:schemeClr w14:val="tx1"/>
            </w14:solidFill>
          </w14:textFill>
        </w:rPr>
        <w:t>2</w:t>
      </w: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0"/>
          <w:sz w:val="22"/>
          <w:szCs w:val="22"/>
          <w14:textFill>
            <w14:solidFill>
              <w14:schemeClr w14:val="tx1"/>
            </w14:solidFill>
          </w14:textFill>
        </w:rPr>
        <w:t>技术部分评审</w:t>
      </w:r>
      <w:r>
        <w:rPr>
          <w:rFonts w:hint="eastAsia" w:asciiTheme="minorEastAsia" w:hAnsiTheme="minorEastAsia" w:eastAsiaTheme="minorEastAsia" w:cstheme="minorEastAsia"/>
          <w:b/>
          <w:color w:val="000000" w:themeColor="text1"/>
          <w:sz w:val="22"/>
          <w:szCs w:val="22"/>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由评标委员会成员负责对投标文件的技术部分采用记名方式各自评分。如发现某个单项的评分超出了评分细则所规定的分值范围的，则该张评分表无效。</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此项得分为：评标委员会成员的有效评分的算术平均值（保留小数</w:t>
      </w: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位）。</w:t>
      </w:r>
    </w:p>
    <w:p>
      <w:pPr>
        <w:keepLines w:val="0"/>
        <w:pageBreakBefore w:val="0"/>
        <w:kinsoku/>
        <w:wordWrap/>
        <w:topLinePunct w:val="0"/>
        <w:bidi w:val="0"/>
        <w:adjustRightInd w:val="0"/>
        <w:snapToGrid w:val="0"/>
        <w:spacing w:line="360" w:lineRule="auto"/>
        <w:ind w:firstLine="442" w:firstLineChars="200"/>
        <w:rPr>
          <w:rFonts w:ascii="宋体" w:hAnsi="宋体" w:cs="Calibri"/>
          <w:kern w:val="0"/>
          <w:sz w:val="22"/>
        </w:rPr>
      </w:pP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Theme="minorEastAsia" w:hAnsiTheme="minorEastAsia" w:cstheme="minorEastAsia"/>
          <w:b/>
          <w:color w:val="000000" w:themeColor="text1"/>
          <w:kern w:val="0"/>
          <w:sz w:val="22"/>
          <w:szCs w:val="22"/>
          <w:lang w:val="en-US" w:eastAsia="zh-CN"/>
          <w14:textFill>
            <w14:solidFill>
              <w14:schemeClr w14:val="tx1"/>
            </w14:solidFill>
          </w14:textFill>
        </w:rPr>
        <w:t>3</w:t>
      </w: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宋体" w:hAnsi="宋体" w:cs="Calibri"/>
          <w:b/>
          <w:color w:val="000000" w:themeColor="text1"/>
          <w:kern w:val="0"/>
          <w:sz w:val="22"/>
          <w14:textFill>
            <w14:solidFill>
              <w14:schemeClr w14:val="tx1"/>
            </w14:solidFill>
          </w14:textFill>
        </w:rPr>
        <w:t>商</w:t>
      </w:r>
      <w:r>
        <w:rPr>
          <w:rFonts w:hint="eastAsia" w:ascii="宋体" w:hAnsi="宋体" w:cs="Calibri"/>
          <w:b/>
          <w:kern w:val="0"/>
          <w:sz w:val="22"/>
        </w:rPr>
        <w:t>务报价评审。</w:t>
      </w:r>
      <w:r>
        <w:rPr>
          <w:rFonts w:hint="eastAsia" w:ascii="宋体" w:hAnsi="宋体" w:cs="Calibri"/>
          <w:kern w:val="0"/>
          <w:sz w:val="22"/>
        </w:rPr>
        <w:t>由评标委员会成员对投标文件进行商务评审。评标专家应对商务报价的范围、数量、单价、费用组成和总价等进行全面审阅和对比分析，找出报价差异的原因及存在的问题。</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商务报价评审应以报价口径范围一致的评标价为依据。评标价应在最终报价的基础上，按照招标文件约定的因素和方法进行计算。凡属招标文件的原因造成报价口径范围不一致的，应调整投标人报价，但因投标人自身失误造成多算、少算、漏算的，不得调整。</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投标人的综合得分为以上</w:t>
      </w:r>
      <w:r>
        <w:rPr>
          <w:rFonts w:hint="eastAsia" w:ascii="宋体" w:hAnsi="宋体" w:cs="Calibri"/>
          <w:kern w:val="0"/>
          <w:sz w:val="22"/>
          <w:lang w:eastAsia="zh-CN"/>
        </w:rPr>
        <w:t>三</w:t>
      </w:r>
      <w:r>
        <w:rPr>
          <w:rFonts w:hint="eastAsia" w:ascii="宋体" w:hAnsi="宋体" w:cs="Calibri"/>
          <w:kern w:val="0"/>
          <w:sz w:val="22"/>
        </w:rPr>
        <w:t>部分评分的总和。当有效标少于三家时，经评标委员会认定仍具有充分竞争性的，并经现场招标人认可后，可以按原招标方式继续评审。</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lang w:val="en-US" w:eastAsia="zh-CN"/>
        </w:rPr>
        <w:t>2</w:t>
      </w:r>
      <w:r>
        <w:rPr>
          <w:rFonts w:hint="eastAsia" w:ascii="宋体" w:hAnsi="宋体" w:cs="Calibri"/>
          <w:b/>
          <w:kern w:val="0"/>
          <w:sz w:val="22"/>
        </w:rPr>
        <w:t>．</w:t>
      </w:r>
      <w:r>
        <w:rPr>
          <w:rFonts w:hint="eastAsia" w:ascii="宋体" w:hAnsi="宋体" w:cs="Calibri"/>
          <w:kern w:val="0"/>
          <w:sz w:val="22"/>
        </w:rPr>
        <w:t>投标文件的澄清和补正</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（1）在评标过程中，评标委员会可以书面形式要求投标人对所提交投标文件中不明确的内容进行书面澄清或说明，或者对细微偏差进行补正。评标委员会不接受投标人主动提出的澄清、说明或补正。</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（2）澄清、说明和补正不得改变投标文件的实质性内容（算术性错误修正的除外）。投标人的书面澄清、说明和补正属于投标文件的组成部分。</w:t>
      </w:r>
    </w:p>
    <w:p>
      <w:pPr>
        <w:pStyle w:val="19"/>
        <w:keepLines w:val="0"/>
        <w:pageBreakBefore w:val="0"/>
        <w:numPr>
          <w:ilvl w:val="0"/>
          <w:numId w:val="0"/>
        </w:numPr>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lang w:eastAsia="zh-CN"/>
        </w:rPr>
        <w:t>（</w:t>
      </w:r>
      <w:r>
        <w:rPr>
          <w:rFonts w:hint="eastAsia" w:ascii="宋体" w:hAnsi="宋体" w:cs="Calibri"/>
          <w:kern w:val="0"/>
          <w:sz w:val="22"/>
          <w:lang w:val="en-US" w:eastAsia="zh-CN"/>
        </w:rPr>
        <w:t>3</w:t>
      </w:r>
      <w:r>
        <w:rPr>
          <w:rFonts w:hint="eastAsia" w:ascii="宋体" w:hAnsi="宋体" w:cs="Calibri"/>
          <w:kern w:val="0"/>
          <w:sz w:val="22"/>
          <w:lang w:eastAsia="zh-CN"/>
        </w:rPr>
        <w:t>）</w:t>
      </w:r>
      <w:r>
        <w:rPr>
          <w:rFonts w:hint="eastAsia" w:ascii="宋体" w:hAnsi="宋体" w:cs="Calibri"/>
          <w:kern w:val="0"/>
          <w:sz w:val="22"/>
        </w:rPr>
        <w:t>评标委员会对投标人提交的澄清、说明或补正有疑问的，可以要求投标人进一步澄清、说明或补正，直至满足评标委员会的要求。</w:t>
      </w:r>
      <w:bookmarkStart w:id="83" w:name="_Toc498694918"/>
      <w:bookmarkStart w:id="84" w:name="_Toc448220026"/>
    </w:p>
    <w:p>
      <w:pPr>
        <w:keepLines w:val="0"/>
        <w:pageBreakBefore w:val="0"/>
        <w:kinsoku/>
        <w:wordWrap/>
        <w:topLinePunct w:val="0"/>
        <w:bidi w:val="0"/>
        <w:adjustRightInd w:val="0"/>
        <w:snapToGrid w:val="0"/>
        <w:spacing w:line="360" w:lineRule="auto"/>
        <w:rPr>
          <w:rFonts w:ascii="宋体" w:hAnsi="宋体" w:cs="Calibri"/>
          <w:b/>
          <w:kern w:val="0"/>
          <w:sz w:val="22"/>
        </w:rPr>
      </w:pPr>
      <w:r>
        <w:rPr>
          <w:rFonts w:hint="eastAsia" w:ascii="宋体" w:hAnsi="宋体" w:cs="Calibri"/>
          <w:b/>
          <w:bCs/>
          <w:sz w:val="22"/>
        </w:rPr>
        <w:t>3.4评标报告</w:t>
      </w:r>
      <w:bookmarkEnd w:id="83"/>
      <w:bookmarkEnd w:id="84"/>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委员会应根据评标情况和结果，向招标人提交评标报告。评标报告由评标委员会起草，按少数服从多数的原则通过。评标委员会全体成员应在评标报告上签字认可，评标专家如有保留意见可以在评标报告中阐明。</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评标委员会应在评标报告中推荐得分排序第一名为中标候选人。总得分相同的，报价低者优先。评分相同且报价相同时，由评委少数服从多数决定。</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评标报告应包括以下内容：</w:t>
      </w:r>
    </w:p>
    <w:p>
      <w:pPr>
        <w:keepLines w:val="0"/>
        <w:pageBreakBefore w:val="0"/>
        <w:kinsoku/>
        <w:wordWrap/>
        <w:topLinePunct w:val="0"/>
        <w:bidi w:val="0"/>
        <w:adjustRightInd w:val="0"/>
        <w:snapToGrid w:val="0"/>
        <w:spacing w:line="360" w:lineRule="auto"/>
        <w:ind w:firstLine="440" w:firstLineChars="200"/>
        <w:rPr>
          <w:rFonts w:hint="eastAsia" w:ascii="宋体" w:hAnsi="宋体" w:cs="Calibri" w:eastAsiaTheme="minorEastAsia"/>
          <w:kern w:val="0"/>
          <w:sz w:val="22"/>
          <w:lang w:eastAsia="zh-CN"/>
        </w:rPr>
      </w:pPr>
      <w:r>
        <w:rPr>
          <w:rFonts w:hint="eastAsia" w:ascii="宋体" w:hAnsi="宋体" w:cs="Calibri"/>
          <w:kern w:val="0"/>
          <w:sz w:val="22"/>
        </w:rPr>
        <w:t>（1）开标记录</w:t>
      </w:r>
      <w:r>
        <w:rPr>
          <w:rFonts w:hint="eastAsia" w:ascii="宋体" w:hAnsi="宋体" w:cs="Calibri"/>
          <w:kern w:val="0"/>
          <w:sz w:val="22"/>
          <w:lang w:eastAsia="zh-CN"/>
        </w:rPr>
        <w:t>；</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（2）评标内容、过程和结果；</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（3）废标情况说明及相关依据；</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（4）询标澄清纪要；</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（5）中标候选人的优劣对比和存在问题；</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kern w:val="0"/>
          <w:sz w:val="22"/>
          <w:lang w:eastAsia="zh-CN"/>
        </w:rPr>
      </w:pPr>
      <w:r>
        <w:rPr>
          <w:rFonts w:hint="eastAsia" w:asciiTheme="minorEastAsia" w:hAnsiTheme="minorEastAsia" w:eastAsiaTheme="minorEastAsia" w:cstheme="minorEastAsia"/>
          <w:kern w:val="0"/>
          <w:sz w:val="22"/>
          <w:lang w:eastAsia="zh-CN"/>
        </w:rPr>
        <w:t>（</w:t>
      </w:r>
      <w:r>
        <w:rPr>
          <w:rFonts w:hint="eastAsia" w:asciiTheme="minorEastAsia" w:hAnsiTheme="minorEastAsia" w:eastAsiaTheme="minorEastAsia" w:cstheme="minorEastAsia"/>
          <w:kern w:val="0"/>
          <w:sz w:val="22"/>
          <w:lang w:val="en-US" w:eastAsia="zh-CN"/>
        </w:rPr>
        <w:t>6</w:t>
      </w:r>
      <w:r>
        <w:rPr>
          <w:rFonts w:hint="eastAsia" w:asciiTheme="minorEastAsia" w:hAnsiTheme="minorEastAsia" w:eastAsiaTheme="minorEastAsia" w:cstheme="minorEastAsia"/>
          <w:kern w:val="0"/>
          <w:sz w:val="22"/>
          <w:lang w:eastAsia="zh-CN"/>
        </w:rPr>
        <w:t>）其他建议</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招标人将在发布招标公告的网站上公示中标结果，公示期为3个工作日。投标人有权在公示期内对中标结果提出质疑，但需对质疑内容的真实性承担责任。</w:t>
      </w:r>
      <w:bookmarkStart w:id="85" w:name="_Toc498694919"/>
      <w:bookmarkStart w:id="86" w:name="_Toc448220027"/>
    </w:p>
    <w:p>
      <w:pPr>
        <w:pStyle w:val="19"/>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Chars="0"/>
        <w:textAlignment w:val="auto"/>
        <w:rPr>
          <w:rFonts w:hint="eastAsia" w:asciiTheme="minorEastAsia" w:hAnsiTheme="minorEastAsia" w:eastAsiaTheme="minorEastAsia" w:cstheme="minorEastAsia"/>
          <w:b/>
          <w:kern w:val="0"/>
          <w:sz w:val="22"/>
        </w:rPr>
      </w:pPr>
      <w:r>
        <w:rPr>
          <w:rFonts w:hint="eastAsia" w:asciiTheme="minorEastAsia" w:hAnsiTheme="minorEastAsia" w:eastAsiaTheme="minorEastAsia" w:cstheme="minorEastAsia"/>
          <w:b/>
          <w:bCs/>
          <w:sz w:val="22"/>
        </w:rPr>
        <w:t>评标细则</w:t>
      </w:r>
      <w:bookmarkEnd w:id="85"/>
      <w:bookmarkEnd w:id="86"/>
      <w:bookmarkStart w:id="87" w:name="_Toc498694920"/>
      <w:bookmarkStart w:id="88" w:name="_Toc448220028"/>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4.1技术资信部分（满分</w:t>
      </w:r>
      <w:r>
        <w:rPr>
          <w:rFonts w:hint="eastAsia" w:asciiTheme="minorEastAsia" w:hAnsiTheme="minorEastAsia" w:eastAsiaTheme="minorEastAsia" w:cstheme="minorEastAsia"/>
          <w:b/>
          <w:bCs/>
          <w:sz w:val="22"/>
          <w:lang w:val="en-US" w:eastAsia="zh-CN"/>
        </w:rPr>
        <w:t>4</w:t>
      </w:r>
      <w:r>
        <w:rPr>
          <w:rFonts w:hint="eastAsia" w:asciiTheme="minorEastAsia" w:hAnsiTheme="minorEastAsia" w:eastAsiaTheme="minorEastAsia" w:cstheme="minorEastAsia"/>
          <w:b/>
          <w:bCs/>
          <w:sz w:val="22"/>
        </w:rPr>
        <w:t>0分）</w:t>
      </w:r>
      <w:bookmarkEnd w:id="87"/>
      <w:bookmarkEnd w:id="88"/>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本次评标采用</w:t>
      </w:r>
      <w:r>
        <w:rPr>
          <w:rFonts w:hint="eastAsia" w:asciiTheme="minorEastAsia" w:hAnsiTheme="minorEastAsia" w:eastAsiaTheme="minorEastAsia" w:cstheme="minorEastAsia"/>
          <w:b/>
          <w:sz w:val="22"/>
        </w:rPr>
        <w:t>综合评估法</w:t>
      </w:r>
      <w:r>
        <w:rPr>
          <w:rFonts w:hint="eastAsia" w:asciiTheme="minorEastAsia" w:hAnsiTheme="minorEastAsia" w:eastAsiaTheme="minorEastAsia" w:cstheme="minorEastAsia"/>
          <w:sz w:val="22"/>
        </w:rPr>
        <w:t>，评标委员会根据评审情况，对资信、技术、商务等方面进行评审。评标委员会根据评审情况，对各投标人的投标文件进行打分。若评标委员会的评分表中计分不在分值范围内的，则该评分表无效。</w:t>
      </w:r>
    </w:p>
    <w:p>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ascii="宋体" w:hAnsi="宋体" w:cs="宋体"/>
          <w:b/>
          <w:sz w:val="22"/>
        </w:rPr>
      </w:pPr>
      <w:r>
        <w:rPr>
          <w:rFonts w:ascii="宋体" w:hAnsi="宋体" w:cs="宋体"/>
          <w:b/>
          <w:sz w:val="22"/>
        </w:rPr>
        <w:t>1</w:t>
      </w:r>
      <w:r>
        <w:rPr>
          <w:rFonts w:hint="eastAsia" w:ascii="宋体" w:hAnsi="宋体" w:cs="Calibri"/>
          <w:b/>
          <w:kern w:val="0"/>
          <w:sz w:val="22"/>
        </w:rPr>
        <w:t>．</w:t>
      </w:r>
      <w:r>
        <w:rPr>
          <w:rFonts w:ascii="宋体" w:hAnsi="宋体" w:cs="宋体"/>
          <w:b/>
          <w:sz w:val="22"/>
        </w:rPr>
        <w:t>投标文件的资信评审（</w:t>
      </w:r>
      <w:r>
        <w:rPr>
          <w:rFonts w:hint="eastAsia" w:ascii="宋体" w:hAnsi="宋体" w:cs="宋体"/>
          <w:b/>
          <w:sz w:val="22"/>
        </w:rPr>
        <w:t>10</w:t>
      </w:r>
      <w:r>
        <w:rPr>
          <w:rFonts w:ascii="宋体" w:hAnsi="宋体" w:cs="宋体"/>
          <w:b/>
          <w:sz w:val="22"/>
        </w:rPr>
        <w:t>分）</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该评分分值由评标委员会成员统一打分（具体分值设定详见下表）。</w:t>
      </w:r>
    </w:p>
    <w:tbl>
      <w:tblPr>
        <w:tblStyle w:val="1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609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111"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评分内容</w:t>
            </w:r>
          </w:p>
        </w:tc>
        <w:tc>
          <w:tcPr>
            <w:tcW w:w="6095"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评分标准</w:t>
            </w:r>
          </w:p>
        </w:tc>
        <w:tc>
          <w:tcPr>
            <w:tcW w:w="1400"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111"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投标人综合实力</w:t>
            </w:r>
          </w:p>
        </w:tc>
        <w:tc>
          <w:tcPr>
            <w:tcW w:w="6095"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根据投标人资质、技术力量、企业规模、所获荣誉等情况横向比较。</w:t>
            </w:r>
          </w:p>
        </w:tc>
        <w:tc>
          <w:tcPr>
            <w:tcW w:w="1400"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111"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投标人业绩情况</w:t>
            </w:r>
          </w:p>
        </w:tc>
        <w:tc>
          <w:tcPr>
            <w:tcW w:w="6095" w:type="dxa"/>
            <w:vAlign w:val="center"/>
          </w:tcPr>
          <w:p>
            <w:pPr>
              <w:keepNext w:val="0"/>
              <w:keepLines w:val="0"/>
              <w:pageBreakBefore w:val="0"/>
              <w:widowControl w:val="0"/>
              <w:kinsoku/>
              <w:wordWrap/>
              <w:overflowPunct/>
              <w:topLinePunct w:val="0"/>
              <w:bidi w:val="0"/>
              <w:snapToGrid/>
              <w:spacing w:line="420" w:lineRule="exact"/>
              <w:jc w:val="left"/>
              <w:textAlignment w:val="auto"/>
              <w:rPr>
                <w:rFonts w:hint="eastAsia" w:asciiTheme="minorEastAsia" w:hAnsiTheme="minorEastAsia" w:eastAsiaTheme="minorEastAsia" w:cstheme="minorEastAsia"/>
                <w:color w:val="000000" w:themeColor="text1"/>
                <w:spacing w:val="-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201</w:t>
            </w:r>
            <w:r>
              <w:rPr>
                <w:rFonts w:hint="eastAsia" w:asciiTheme="minorEastAsia" w:hAnsiTheme="minorEastAsia" w:cstheme="minorEastAsia"/>
                <w:color w:val="000000" w:themeColor="text1"/>
                <w:sz w:val="22"/>
                <w:szCs w:val="22"/>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2"/>
                <w:szCs w:val="22"/>
                <w14:textFill>
                  <w14:solidFill>
                    <w14:schemeClr w14:val="tx1"/>
                  </w14:solidFill>
                </w14:textFill>
              </w:rPr>
              <w:t>年1月1日以来（以合同签订时间为准）投标人承接过</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类似项目业绩情况</w:t>
            </w:r>
            <w:r>
              <w:rPr>
                <w:rFonts w:hint="eastAsia" w:asciiTheme="minorEastAsia" w:hAnsiTheme="minorEastAsia" w:eastAsiaTheme="minorEastAsia" w:cstheme="minorEastAsia"/>
                <w:color w:val="000000" w:themeColor="text1"/>
                <w:spacing w:val="-1"/>
                <w:sz w:val="22"/>
                <w:szCs w:val="22"/>
                <w14:textFill>
                  <w14:solidFill>
                    <w14:schemeClr w14:val="tx1"/>
                  </w14:solidFill>
                </w14:textFill>
              </w:rPr>
              <w:t>；本项最高得</w:t>
            </w:r>
            <w:r>
              <w:rPr>
                <w:rFonts w:hint="eastAsia" w:asciiTheme="minorEastAsia" w:hAnsiTheme="minorEastAsia" w:cstheme="minorEastAsia"/>
                <w:color w:val="000000" w:themeColor="text1"/>
                <w:spacing w:val="-1"/>
                <w:sz w:val="22"/>
                <w:szCs w:val="22"/>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1"/>
                <w:sz w:val="22"/>
                <w:szCs w:val="22"/>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提供合同</w:t>
            </w:r>
            <w:r>
              <w:rPr>
                <w:rFonts w:hint="eastAsia" w:asciiTheme="minorEastAsia" w:hAnsiTheme="minorEastAsia" w:cstheme="minorEastAsia"/>
                <w:color w:val="000000" w:themeColor="text1"/>
                <w:sz w:val="22"/>
                <w:szCs w:val="22"/>
                <w:lang w:val="en-US" w:eastAsia="zh-CN"/>
                <w14:textFill>
                  <w14:solidFill>
                    <w14:schemeClr w14:val="tx1"/>
                  </w14:solidFill>
                </w14:textFill>
              </w:rPr>
              <w:t>或中标通知书</w:t>
            </w:r>
            <w:r>
              <w:rPr>
                <w:rFonts w:hint="eastAsia" w:asciiTheme="minorEastAsia" w:hAnsiTheme="minorEastAsia" w:eastAsiaTheme="minorEastAsia" w:cstheme="minorEastAsia"/>
                <w:color w:val="000000" w:themeColor="text1"/>
                <w:sz w:val="22"/>
                <w:szCs w:val="22"/>
                <w14:textFill>
                  <w14:solidFill>
                    <w14:schemeClr w14:val="tx1"/>
                  </w14:solidFill>
                </w14:textFill>
              </w:rPr>
              <w:t>作为证明材料</w:t>
            </w:r>
            <w:r>
              <w:rPr>
                <w:rFonts w:hint="eastAsia" w:asciiTheme="minorEastAsia" w:hAnsiTheme="minorEastAsia" w:eastAsiaTheme="minorEastAsia" w:cstheme="minorEastAsia"/>
                <w:color w:val="000000" w:themeColor="text1"/>
                <w:spacing w:val="-1"/>
                <w:sz w:val="22"/>
                <w:szCs w:val="22"/>
                <w14:textFill>
                  <w14:solidFill>
                    <w14:schemeClr w14:val="tx1"/>
                  </w14:solidFill>
                </w14:textFill>
              </w:rPr>
              <w:t>。</w:t>
            </w:r>
          </w:p>
        </w:tc>
        <w:tc>
          <w:tcPr>
            <w:tcW w:w="1400"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0-6分</w:t>
            </w:r>
          </w:p>
        </w:tc>
      </w:tr>
    </w:tbl>
    <w:p>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2</w:t>
      </w:r>
      <w:r>
        <w:rPr>
          <w:rFonts w:hint="eastAsia" w:ascii="宋体" w:hAnsi="宋体" w:cs="Calibri"/>
          <w:b/>
          <w:kern w:val="0"/>
          <w:sz w:val="22"/>
        </w:rPr>
        <w:t>．</w:t>
      </w:r>
      <w:r>
        <w:rPr>
          <w:rFonts w:hint="eastAsia" w:asciiTheme="minorEastAsia" w:hAnsiTheme="minorEastAsia" w:eastAsiaTheme="minorEastAsia" w:cstheme="minorEastAsia"/>
          <w:b/>
          <w:sz w:val="22"/>
          <w:szCs w:val="22"/>
        </w:rPr>
        <w:t>投标文件的技术评审（30分）</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该评分分值由评标委员会成员独立打分（具体分值设定详见下表），小数点后保留1位小数。</w:t>
      </w:r>
      <w:r>
        <w:rPr>
          <w:rFonts w:hint="eastAsia" w:ascii="宋体" w:hAnsi="宋体" w:cs="Calibri"/>
          <w:kern w:val="0"/>
          <w:sz w:val="22"/>
        </w:rPr>
        <w:t>在统计得分时，如发现某一单项评分超过评分细则规定的分值范围，则该张评分表无效。投标人技术部分的最终得分：按其实际人数评分的算术平均值。</w:t>
      </w:r>
    </w:p>
    <w:tbl>
      <w:tblPr>
        <w:tblStyle w:val="15"/>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530"/>
        <w:gridCol w:w="6133"/>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0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序号</w:t>
            </w:r>
          </w:p>
        </w:tc>
        <w:tc>
          <w:tcPr>
            <w:tcW w:w="153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评标因素</w:t>
            </w:r>
          </w:p>
        </w:tc>
        <w:tc>
          <w:tcPr>
            <w:tcW w:w="613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评分标准</w:t>
            </w:r>
          </w:p>
        </w:tc>
        <w:tc>
          <w:tcPr>
            <w:tcW w:w="95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分值</w:t>
            </w:r>
          </w:p>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0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1530" w:type="dxa"/>
            <w:vAlign w:val="center"/>
          </w:tcPr>
          <w:p>
            <w:pPr>
              <w:pStyle w:val="20"/>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设计方案</w:t>
            </w:r>
          </w:p>
        </w:tc>
        <w:tc>
          <w:tcPr>
            <w:tcW w:w="6133" w:type="dxa"/>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根据</w:t>
            </w:r>
            <w:r>
              <w:rPr>
                <w:rFonts w:hint="eastAsia" w:ascii="宋体" w:hAnsi="宋体" w:cs="Calibri"/>
                <w:color w:val="000000" w:themeColor="text1"/>
                <w:kern w:val="0"/>
                <w:sz w:val="22"/>
                <w:lang w:eastAsia="zh-CN"/>
                <w14:textFill>
                  <w14:solidFill>
                    <w14:schemeClr w14:val="tx1"/>
                  </w14:solidFill>
                </w14:textFill>
              </w:rPr>
              <w:t>提供的设计方案，内容应包括但不限于项目整体效果、色彩搭配、标识标牌、功能性及安全性等方面</w:t>
            </w:r>
            <w:r>
              <w:rPr>
                <w:rFonts w:hint="eastAsia" w:ascii="宋体" w:hAnsi="宋体" w:cs="Calibri"/>
                <w:color w:val="000000" w:themeColor="text1"/>
                <w:kern w:val="0"/>
                <w:sz w:val="22"/>
                <w14:textFill>
                  <w14:solidFill>
                    <w14:schemeClr w14:val="tx1"/>
                  </w14:solidFill>
                </w14:textFill>
              </w:rPr>
              <w:t>横向比较后评分。</w:t>
            </w:r>
          </w:p>
        </w:tc>
        <w:tc>
          <w:tcPr>
            <w:tcW w:w="95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0-</w:t>
            </w:r>
            <w:r>
              <w:rPr>
                <w:rFonts w:hint="eastAsia" w:asciiTheme="minorEastAsia" w:hAnsiTheme="minorEastAsia" w:cstheme="minorEastAsia"/>
                <w:color w:val="000000" w:themeColor="text1"/>
                <w:kern w:val="0"/>
                <w:sz w:val="22"/>
                <w:szCs w:val="22"/>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0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1530" w:type="dxa"/>
            <w:vAlign w:val="center"/>
          </w:tcPr>
          <w:p>
            <w:pPr>
              <w:pStyle w:val="2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宋体" w:hAnsi="宋体" w:eastAsia="宋体" w:cs="Calibri"/>
                <w:color w:val="000000" w:themeColor="text1"/>
                <w:kern w:val="0"/>
                <w:sz w:val="22"/>
                <w:szCs w:val="24"/>
                <w14:textFill>
                  <w14:solidFill>
                    <w14:schemeClr w14:val="tx1"/>
                  </w14:solidFill>
                </w14:textFill>
              </w:rPr>
              <w:t>制作方案</w:t>
            </w:r>
          </w:p>
        </w:tc>
        <w:tc>
          <w:tcPr>
            <w:tcW w:w="6133" w:type="dxa"/>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根据</w:t>
            </w:r>
            <w:r>
              <w:rPr>
                <w:rFonts w:hint="eastAsia" w:ascii="宋体" w:hAnsi="宋体" w:cs="Calibri"/>
                <w:color w:val="000000" w:themeColor="text1"/>
                <w:kern w:val="0"/>
                <w:sz w:val="22"/>
                <w:lang w:eastAsia="zh-CN"/>
                <w14:textFill>
                  <w14:solidFill>
                    <w14:schemeClr w14:val="tx1"/>
                  </w14:solidFill>
                </w14:textFill>
              </w:rPr>
              <w:t>提供的制作方案，内容应包括但不限于项目施工工期、施工安排、品牌环保材料选用、制作工艺</w:t>
            </w:r>
            <w:r>
              <w:rPr>
                <w:rFonts w:hint="eastAsia" w:ascii="宋体" w:hAnsi="宋体" w:cs="Calibri"/>
                <w:color w:val="000000" w:themeColor="text1"/>
                <w:kern w:val="0"/>
                <w:sz w:val="22"/>
                <w14:textFill>
                  <w14:solidFill>
                    <w14:schemeClr w14:val="tx1"/>
                  </w14:solidFill>
                </w14:textFill>
              </w:rPr>
              <w:t>等</w:t>
            </w:r>
            <w:r>
              <w:rPr>
                <w:rFonts w:hint="eastAsia" w:ascii="宋体" w:hAnsi="宋体" w:cs="Calibri"/>
                <w:color w:val="000000" w:themeColor="text1"/>
                <w:kern w:val="0"/>
                <w:sz w:val="22"/>
                <w:lang w:eastAsia="zh-CN"/>
                <w14:textFill>
                  <w14:solidFill>
                    <w14:schemeClr w14:val="tx1"/>
                  </w14:solidFill>
                </w14:textFill>
              </w:rPr>
              <w:t>方面</w:t>
            </w:r>
            <w:r>
              <w:rPr>
                <w:rFonts w:hint="eastAsia" w:ascii="宋体" w:hAnsi="宋体" w:cs="Calibri"/>
                <w:color w:val="000000" w:themeColor="text1"/>
                <w:kern w:val="0"/>
                <w:sz w:val="22"/>
                <w14:textFill>
                  <w14:solidFill>
                    <w14:schemeClr w14:val="tx1"/>
                  </w14:solidFill>
                </w14:textFill>
              </w:rPr>
              <w:t>横向比较后评分。</w:t>
            </w:r>
          </w:p>
        </w:tc>
        <w:tc>
          <w:tcPr>
            <w:tcW w:w="95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bCs/>
                <w:color w:val="000000" w:themeColor="text1"/>
                <w:sz w:val="22"/>
                <w:szCs w:val="22"/>
                <w14:textFill>
                  <w14:solidFill>
                    <w14:schemeClr w14:val="tx1"/>
                  </w14:solidFill>
                </w14:textFill>
              </w:rPr>
              <w:t>0-</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12</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0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1530" w:type="dxa"/>
            <w:vAlign w:val="center"/>
          </w:tcPr>
          <w:p>
            <w:pPr>
              <w:pStyle w:val="2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宋体" w:hAnsi="宋体" w:eastAsia="宋体" w:cs="Calibri"/>
                <w:color w:val="000000" w:themeColor="text1"/>
                <w:kern w:val="0"/>
                <w:sz w:val="22"/>
                <w:szCs w:val="24"/>
                <w14:textFill>
                  <w14:solidFill>
                    <w14:schemeClr w14:val="tx1"/>
                  </w14:solidFill>
                </w14:textFill>
              </w:rPr>
              <w:t>服务承诺</w:t>
            </w:r>
          </w:p>
        </w:tc>
        <w:tc>
          <w:tcPr>
            <w:tcW w:w="6133" w:type="dxa"/>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宋体" w:hAnsi="宋体" w:cs="Calibri"/>
                <w:color w:val="000000" w:themeColor="text1"/>
                <w:kern w:val="0"/>
                <w:sz w:val="22"/>
                <w:lang w:eastAsia="zh-CN"/>
                <w14:textFill>
                  <w14:solidFill>
                    <w14:schemeClr w14:val="tx1"/>
                  </w14:solidFill>
                </w14:textFill>
              </w:rPr>
              <w:t>根据</w:t>
            </w:r>
            <w:r>
              <w:rPr>
                <w:rFonts w:hint="eastAsia" w:ascii="宋体" w:hAnsi="宋体" w:cs="Calibri"/>
                <w:color w:val="000000" w:themeColor="text1"/>
                <w:kern w:val="0"/>
                <w:sz w:val="22"/>
                <w14:textFill>
                  <w14:solidFill>
                    <w14:schemeClr w14:val="tx1"/>
                  </w14:solidFill>
                </w14:textFill>
              </w:rPr>
              <w:t>投标文件所体现的“三包”、免费保修</w:t>
            </w:r>
            <w:r>
              <w:rPr>
                <w:rFonts w:hint="eastAsia" w:ascii="宋体" w:hAnsi="宋体" w:cs="Calibri"/>
                <w:color w:val="000000" w:themeColor="text1"/>
                <w:kern w:val="0"/>
                <w:sz w:val="22"/>
                <w:lang w:eastAsia="zh-CN"/>
                <w14:textFill>
                  <w14:solidFill>
                    <w14:schemeClr w14:val="tx1"/>
                  </w14:solidFill>
                </w14:textFill>
              </w:rPr>
              <w:t>期</w:t>
            </w:r>
            <w:r>
              <w:rPr>
                <w:rFonts w:hint="eastAsia" w:ascii="宋体" w:hAnsi="宋体" w:cs="Calibri"/>
                <w:color w:val="000000" w:themeColor="text1"/>
                <w:kern w:val="0"/>
                <w:sz w:val="22"/>
                <w14:textFill>
                  <w14:solidFill>
                    <w14:schemeClr w14:val="tx1"/>
                  </w14:solidFill>
                </w14:textFill>
              </w:rPr>
              <w:t>及售后服务</w:t>
            </w:r>
            <w:r>
              <w:rPr>
                <w:rFonts w:hint="eastAsia" w:ascii="宋体" w:hAnsi="宋体" w:cs="Calibri"/>
                <w:color w:val="000000" w:themeColor="text1"/>
                <w:kern w:val="0"/>
                <w:sz w:val="22"/>
                <w:lang w:eastAsia="zh-CN"/>
                <w14:textFill>
                  <w14:solidFill>
                    <w14:schemeClr w14:val="tx1"/>
                  </w14:solidFill>
                </w14:textFill>
              </w:rPr>
              <w:t>时效、</w:t>
            </w:r>
            <w:r>
              <w:rPr>
                <w:rFonts w:hint="eastAsia" w:ascii="宋体" w:hAnsi="宋体" w:cs="Calibri"/>
                <w:color w:val="000000" w:themeColor="text1"/>
                <w:kern w:val="0"/>
                <w:sz w:val="22"/>
                <w14:textFill>
                  <w14:solidFill>
                    <w14:schemeClr w14:val="tx1"/>
                  </w14:solidFill>
                </w14:textFill>
              </w:rPr>
              <w:t>措施和方案情况</w:t>
            </w:r>
            <w:r>
              <w:rPr>
                <w:rFonts w:hint="eastAsia" w:ascii="宋体" w:hAnsi="宋体" w:cs="Calibri"/>
                <w:color w:val="000000" w:themeColor="text1"/>
                <w:kern w:val="0"/>
                <w:sz w:val="22"/>
                <w:lang w:eastAsia="zh-CN"/>
                <w14:textFill>
                  <w14:solidFill>
                    <w14:schemeClr w14:val="tx1"/>
                  </w14:solidFill>
                </w14:textFill>
              </w:rPr>
              <w:t>等方面</w:t>
            </w:r>
            <w:r>
              <w:rPr>
                <w:rFonts w:hint="eastAsia" w:ascii="宋体" w:hAnsi="宋体" w:cs="Calibri"/>
                <w:color w:val="000000" w:themeColor="text1"/>
                <w:kern w:val="0"/>
                <w:sz w:val="22"/>
                <w14:textFill>
                  <w14:solidFill>
                    <w14:schemeClr w14:val="tx1"/>
                  </w14:solidFill>
                </w14:textFill>
              </w:rPr>
              <w:t>横向比较后评分。</w:t>
            </w:r>
          </w:p>
        </w:tc>
        <w:tc>
          <w:tcPr>
            <w:tcW w:w="95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bCs/>
                <w:color w:val="000000" w:themeColor="text1"/>
                <w:sz w:val="22"/>
                <w:szCs w:val="22"/>
                <w14:textFill>
                  <w14:solidFill>
                    <w14:schemeClr w14:val="tx1"/>
                  </w14:solidFill>
                </w14:textFill>
              </w:rPr>
              <w:t>0-</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w:t>
            </w:r>
          </w:p>
        </w:tc>
      </w:tr>
    </w:tbl>
    <w:p>
      <w:pPr>
        <w:pStyle w:val="5"/>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Theme="minorEastAsia" w:hAnsiTheme="minorEastAsia" w:eastAsiaTheme="minorEastAsia" w:cstheme="minorEastAsia"/>
          <w:bCs/>
          <w:sz w:val="22"/>
          <w:szCs w:val="22"/>
          <w:lang w:val="en-US"/>
        </w:rPr>
      </w:pPr>
      <w:bookmarkStart w:id="89" w:name="_Toc498694921"/>
      <w:bookmarkStart w:id="90" w:name="_Toc448220029"/>
      <w:r>
        <w:rPr>
          <w:rFonts w:hint="eastAsia" w:asciiTheme="minorEastAsia" w:hAnsiTheme="minorEastAsia" w:eastAsiaTheme="minorEastAsia" w:cstheme="minorEastAsia"/>
          <w:bCs/>
          <w:sz w:val="22"/>
          <w:szCs w:val="22"/>
          <w:lang w:val="en-US"/>
        </w:rPr>
        <w:t>4.2商务报价部分（满分</w:t>
      </w:r>
      <w:r>
        <w:rPr>
          <w:rFonts w:hint="eastAsia" w:asciiTheme="minorEastAsia" w:hAnsiTheme="minorEastAsia" w:eastAsiaTheme="minorEastAsia" w:cstheme="minorEastAsia"/>
          <w:bCs/>
          <w:sz w:val="22"/>
          <w:szCs w:val="22"/>
          <w:lang w:val="en-US" w:eastAsia="zh-CN"/>
        </w:rPr>
        <w:t>6</w:t>
      </w:r>
      <w:r>
        <w:rPr>
          <w:rFonts w:hint="eastAsia" w:asciiTheme="minorEastAsia" w:hAnsiTheme="minorEastAsia" w:eastAsiaTheme="minorEastAsia" w:cstheme="minorEastAsia"/>
          <w:bCs/>
          <w:sz w:val="22"/>
          <w:szCs w:val="22"/>
          <w:lang w:val="en-US"/>
        </w:rPr>
        <w:t>0分）</w:t>
      </w:r>
      <w:bookmarkEnd w:id="89"/>
      <w:bookmarkEnd w:id="90"/>
    </w:p>
    <w:p>
      <w:pPr>
        <w:adjustRightInd w:val="0"/>
        <w:snapToGrid w:val="0"/>
        <w:spacing w:line="360" w:lineRule="exact"/>
        <w:ind w:firstLine="440" w:firstLineChars="200"/>
        <w:rPr>
          <w:rFonts w:hint="eastAsia" w:ascii="宋体" w:hAnsi="宋体" w:cs="宋体"/>
          <w:sz w:val="22"/>
        </w:rPr>
      </w:pPr>
      <w:bookmarkStart w:id="91" w:name="_Toc448220030"/>
      <w:bookmarkStart w:id="92" w:name="_Toc498694922"/>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(2)投标报价</w:t>
      </w:r>
      <w:r>
        <w:rPr>
          <w:rFonts w:hint="eastAsia" w:ascii="宋体" w:hAnsi="宋体" w:cs="宋体"/>
          <w:b w:val="0"/>
          <w:bCs w:val="0"/>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42" w:firstLineChars="200"/>
        <w:jc w:val="left"/>
        <w:rPr>
          <w:rFonts w:hint="eastAsia" w:ascii="宋体" w:hAnsi="宋体" w:cs="宋体"/>
          <w:b/>
          <w:sz w:val="22"/>
        </w:rPr>
      </w:pPr>
      <w:r>
        <w:rPr>
          <w:rFonts w:hint="eastAsia" w:ascii="宋体" w:hAnsi="宋体" w:cs="宋体"/>
          <w:b/>
          <w:sz w:val="22"/>
        </w:rPr>
        <w:t>二次平均法</w:t>
      </w:r>
    </w:p>
    <w:p>
      <w:pPr>
        <w:adjustRightInd w:val="0"/>
        <w:snapToGrid w:val="0"/>
        <w:spacing w:line="360" w:lineRule="exact"/>
        <w:rPr>
          <w:rFonts w:hint="eastAsia" w:ascii="宋体" w:hAnsi="宋体" w:cs="宋体"/>
          <w:sz w:val="22"/>
        </w:rPr>
      </w:pPr>
      <w:r>
        <w:rPr>
          <w:rFonts w:hint="eastAsia" w:ascii="宋体" w:hAnsi="宋体" w:cs="宋体"/>
          <w:sz w:val="22"/>
        </w:rPr>
        <w:t xml:space="preserve">   (5)报价平均值：有效评标价的算术平均值为报价平均值(有效评标价在5个及以上时，去除一个最高价和一个最低价；有效评标价在8个及以上时，去除一个最高价、一个次高价和一个最低价、一个次低价)。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rPr>
          <w:rFonts w:hint="eastAsia" w:ascii="宋体" w:hAnsi="宋体" w:cs="宋体"/>
          <w:sz w:val="22"/>
        </w:rPr>
      </w:pPr>
      <w:r>
        <w:rPr>
          <w:rFonts w:hint="eastAsia" w:ascii="宋体" w:hAnsi="宋体" w:cs="宋体"/>
          <w:sz w:val="22"/>
        </w:rPr>
        <w:t xml:space="preserve">   (6)评标基准价：报价平均值与有效评标价中的次低评标价(不足4个的与最低评标价)的算术平均值为评标基准价。</w:t>
      </w:r>
    </w:p>
    <w:p>
      <w:pPr>
        <w:adjustRightInd w:val="0"/>
        <w:snapToGrid w:val="0"/>
        <w:spacing w:line="360" w:lineRule="exact"/>
        <w:rPr>
          <w:rFonts w:hint="eastAsia" w:ascii="宋体" w:hAnsi="宋体" w:cs="宋体"/>
          <w:sz w:val="22"/>
        </w:rPr>
      </w:pPr>
      <w:r>
        <w:rPr>
          <w:rFonts w:hint="eastAsia" w:ascii="宋体" w:hAnsi="宋体" w:cs="宋体"/>
          <w:sz w:val="22"/>
        </w:rPr>
        <w:t xml:space="preserve">   (7)根据投标文件的有效评标价与评标基准价对比，计算投标人的商务报价的得分值。即：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以上报价得分不足一个百分点时，使用直线插入法计算，保留小数2位。</w:t>
      </w:r>
    </w:p>
    <w:p>
      <w:pPr>
        <w:spacing w:line="360" w:lineRule="exact"/>
        <w:ind w:firstLine="330" w:firstLineChars="150"/>
        <w:rPr>
          <w:rFonts w:hint="eastAsia"/>
          <w:color w:val="000000" w:themeColor="text1"/>
          <w14:textFill>
            <w14:solidFill>
              <w14:schemeClr w14:val="tx1"/>
            </w14:solidFill>
          </w14:textFill>
        </w:rPr>
      </w:pPr>
      <w:r>
        <w:rPr>
          <w:rFonts w:hint="eastAsia" w:ascii="宋体" w:hAnsi="宋体" w:cs="宋体"/>
          <w:sz w:val="22"/>
        </w:rPr>
        <w:t xml:space="preserve"> 投标文件的商务标评分不足30分的，计为30分。</w:t>
      </w:r>
    </w:p>
    <w:p>
      <w:pPr>
        <w:keepLines w:val="0"/>
        <w:pageBreakBefore w:val="0"/>
        <w:kinsoku/>
        <w:wordWrap/>
        <w:topLinePunct w:val="0"/>
        <w:bidi w:val="0"/>
        <w:adjustRightInd w:val="0"/>
        <w:snapToGrid w:val="0"/>
        <w:spacing w:line="360" w:lineRule="auto"/>
        <w:rPr>
          <w:rFonts w:ascii="宋体" w:hAnsi="宋体" w:cs="Calibri"/>
          <w:b/>
          <w:kern w:val="0"/>
          <w:sz w:val="22"/>
        </w:rPr>
      </w:pPr>
      <w:r>
        <w:rPr>
          <w:rFonts w:hint="eastAsia" w:ascii="宋体" w:hAnsi="宋体" w:cs="Calibri"/>
          <w:b/>
          <w:bCs/>
          <w:sz w:val="22"/>
        </w:rPr>
        <w:t>4.3其他</w:t>
      </w:r>
      <w:bookmarkEnd w:id="91"/>
      <w:bookmarkEnd w:id="92"/>
    </w:p>
    <w:p>
      <w:pPr>
        <w:pStyle w:val="19"/>
        <w:keepLines w:val="0"/>
        <w:pageBreakBefore w:val="0"/>
        <w:numPr>
          <w:ilvl w:val="0"/>
          <w:numId w:val="0"/>
        </w:numPr>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lang w:val="en-US" w:eastAsia="zh-CN"/>
        </w:rPr>
        <w:t>1</w:t>
      </w:r>
      <w:r>
        <w:rPr>
          <w:rFonts w:hint="eastAsia" w:ascii="宋体" w:hAnsi="宋体" w:cs="Calibri"/>
          <w:b/>
          <w:kern w:val="0"/>
          <w:sz w:val="22"/>
        </w:rPr>
        <w:t>．</w:t>
      </w:r>
      <w:r>
        <w:rPr>
          <w:rFonts w:hint="eastAsia" w:ascii="宋体" w:hAnsi="宋体" w:cs="Calibri"/>
          <w:kern w:val="0"/>
          <w:sz w:val="22"/>
        </w:rPr>
        <w:t>评分时保留小数l位，计算评分值时保留小数2位。</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lang w:val="en-US" w:eastAsia="zh-CN"/>
        </w:rPr>
        <w:t>2</w:t>
      </w:r>
      <w:r>
        <w:rPr>
          <w:rFonts w:hint="eastAsia" w:ascii="宋体" w:hAnsi="宋体" w:cs="Calibri"/>
          <w:b/>
          <w:kern w:val="0"/>
          <w:sz w:val="22"/>
        </w:rPr>
        <w:t>．</w:t>
      </w:r>
      <w:r>
        <w:rPr>
          <w:rFonts w:hint="eastAsia" w:ascii="宋体" w:hAnsi="宋体" w:cs="Calibri"/>
          <w:kern w:val="0"/>
          <w:sz w:val="22"/>
        </w:rPr>
        <w:t>投标人的综合评分为资信</w:t>
      </w:r>
      <w:r>
        <w:rPr>
          <w:rFonts w:hint="eastAsia" w:ascii="宋体" w:hAnsi="宋体" w:cs="Calibri"/>
          <w:kern w:val="0"/>
          <w:sz w:val="22"/>
          <w:lang w:eastAsia="zh-CN"/>
        </w:rPr>
        <w:t>、</w:t>
      </w:r>
      <w:r>
        <w:rPr>
          <w:rFonts w:hint="eastAsia" w:ascii="宋体" w:hAnsi="宋体" w:cs="Calibri"/>
          <w:kern w:val="0"/>
          <w:sz w:val="22"/>
        </w:rPr>
        <w:t>技术和商务报价</w:t>
      </w:r>
      <w:r>
        <w:rPr>
          <w:rFonts w:hint="eastAsia" w:ascii="宋体" w:hAnsi="宋体" w:cs="Calibri"/>
          <w:kern w:val="0"/>
          <w:sz w:val="22"/>
          <w:lang w:eastAsia="zh-CN"/>
        </w:rPr>
        <w:t>三</w:t>
      </w:r>
      <w:r>
        <w:rPr>
          <w:rFonts w:hint="eastAsia" w:ascii="宋体" w:hAnsi="宋体" w:cs="Calibri"/>
          <w:kern w:val="0"/>
          <w:sz w:val="22"/>
        </w:rPr>
        <w:t>部分得分的总和，由评标委员会指定专人进行计算和复核。</w:t>
      </w:r>
      <w:bookmarkStart w:id="93" w:name="_Toc498694923"/>
      <w:bookmarkStart w:id="94" w:name="_Toc400804789"/>
      <w:bookmarkStart w:id="95" w:name="_Toc305915777"/>
      <w:bookmarkStart w:id="96" w:name="_Toc448220031"/>
    </w:p>
    <w:p>
      <w:pPr>
        <w:keepLines w:val="0"/>
        <w:pageBreakBefore w:val="0"/>
        <w:kinsoku/>
        <w:wordWrap/>
        <w:topLinePunct w:val="0"/>
        <w:bidi w:val="0"/>
        <w:adjustRightInd w:val="0"/>
        <w:snapToGrid w:val="0"/>
        <w:spacing w:line="360" w:lineRule="auto"/>
        <w:rPr>
          <w:rFonts w:ascii="宋体" w:hAnsi="宋体" w:cs="Calibri"/>
          <w:b/>
          <w:kern w:val="0"/>
          <w:sz w:val="22"/>
        </w:rPr>
      </w:pPr>
      <w:r>
        <w:rPr>
          <w:rFonts w:hint="eastAsia" w:ascii="宋体" w:hAnsi="宋体" w:cs="Calibri"/>
          <w:b/>
          <w:bCs/>
          <w:sz w:val="22"/>
        </w:rPr>
        <w:t>5、决标</w:t>
      </w:r>
      <w:bookmarkEnd w:id="93"/>
      <w:bookmarkEnd w:id="94"/>
      <w:bookmarkEnd w:id="95"/>
      <w:bookmarkEnd w:id="96"/>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bookmarkStart w:id="97" w:name="_Toc400804790"/>
      <w:bookmarkStart w:id="98" w:name="_Toc305915778"/>
      <w:bookmarkStart w:id="99" w:name="_Toc272657367"/>
      <w:bookmarkStart w:id="100" w:name="_Toc299912268"/>
      <w:bookmarkStart w:id="101" w:name="_Toc238826226"/>
      <w:bookmarkStart w:id="102" w:name="_Toc448220032"/>
      <w:r>
        <w:rPr>
          <w:rFonts w:hint="eastAsia" w:ascii="宋体" w:hAnsi="宋体" w:cs="Calibri"/>
          <w:kern w:val="0"/>
          <w:sz w:val="22"/>
        </w:rPr>
        <w:t>5.1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5.2中标候选人因不可抗力之外的原因放弃中标权的，必须按文件规定没收其投标保证金，没收的投标保证金不能弥补由于其放弃中标权而给招标人造成报价的差额部分，由放弃中标权的中标候选人承担。</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5.3 如发生投诉争议等情况时，经查实中标候选人存在违法、违规行为，不符合中标条件，且该行为在评标时是无法发现和确认的，招标人可以在其他中标候选人中按照推荐的排序确定中标人或重新招标。</w:t>
      </w:r>
    </w:p>
    <w:p>
      <w:pPr>
        <w:pStyle w:val="19"/>
        <w:keepLines w:val="0"/>
        <w:pageBreakBefore w:val="0"/>
        <w:numPr>
          <w:ilvl w:val="1"/>
          <w:numId w:val="5"/>
        </w:numPr>
        <w:kinsoku/>
        <w:wordWrap/>
        <w:topLinePunct w:val="0"/>
        <w:bidi w:val="0"/>
        <w:adjustRightInd w:val="0"/>
        <w:snapToGrid w:val="0"/>
        <w:spacing w:line="360" w:lineRule="auto"/>
        <w:ind w:firstLineChars="0"/>
        <w:rPr>
          <w:rFonts w:ascii="宋体" w:hAnsi="宋体" w:cs="Calibri"/>
          <w:kern w:val="0"/>
          <w:sz w:val="22"/>
        </w:rPr>
      </w:pPr>
      <w:r>
        <w:rPr>
          <w:rFonts w:hint="eastAsia" w:ascii="宋体" w:hAnsi="宋体" w:cs="Calibri"/>
          <w:kern w:val="0"/>
          <w:sz w:val="22"/>
        </w:rPr>
        <w:t>招标人对评标、定标结果不负责解释。</w:t>
      </w:r>
      <w:bookmarkStart w:id="103" w:name="_Toc498694924"/>
    </w:p>
    <w:p>
      <w:pPr>
        <w:keepLines w:val="0"/>
        <w:pageBreakBefore w:val="0"/>
        <w:kinsoku/>
        <w:wordWrap/>
        <w:topLinePunct w:val="0"/>
        <w:bidi w:val="0"/>
        <w:adjustRightInd w:val="0"/>
        <w:snapToGrid w:val="0"/>
        <w:spacing w:line="360" w:lineRule="auto"/>
        <w:rPr>
          <w:rFonts w:ascii="宋体" w:hAnsi="宋体" w:cs="Calibri"/>
          <w:b/>
          <w:kern w:val="0"/>
          <w:sz w:val="22"/>
        </w:rPr>
      </w:pPr>
      <w:r>
        <w:rPr>
          <w:rFonts w:hint="eastAsia" w:ascii="宋体" w:hAnsi="宋体" w:cs="Calibri"/>
          <w:b/>
          <w:bCs/>
          <w:sz w:val="22"/>
        </w:rPr>
        <w:t>6、其他</w:t>
      </w:r>
      <w:bookmarkEnd w:id="97"/>
      <w:bookmarkEnd w:id="98"/>
      <w:bookmarkEnd w:id="99"/>
      <w:bookmarkEnd w:id="100"/>
      <w:bookmarkEnd w:id="101"/>
      <w:bookmarkEnd w:id="102"/>
      <w:bookmarkEnd w:id="103"/>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为维护工程招标投标交易市场的正常秩序，进一步遏制串标、抬标行为，保护交易各方的合法权益，经研究，凡在同一招标项目的评标中，经评标委员会半数以上成员确认有串通投标行为的，其投标文件按无效标处理，予以废除，不再对其进行评审，也不影响招标工作继续评标。</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即有下列情形之一的，应认定为串通投标行为：</w:t>
      </w:r>
      <w:r>
        <w:rPr>
          <w:rFonts w:hint="eastAsia" w:ascii="宋体" w:hAnsi="宋体" w:cs="Calibri"/>
          <w:kern w:val="0"/>
          <w:sz w:val="22"/>
        </w:rPr>
        <w:br w:type="textWrapping"/>
      </w:r>
      <w:r>
        <w:rPr>
          <w:rFonts w:hint="eastAsia" w:ascii="宋体" w:hAnsi="宋体" w:cs="Calibri"/>
          <w:kern w:val="0"/>
          <w:sz w:val="22"/>
        </w:rPr>
        <w:t>　</w:t>
      </w:r>
      <w:r>
        <w:rPr>
          <w:rFonts w:hint="eastAsia" w:ascii="宋体" w:hAnsi="宋体" w:cs="Calibri"/>
          <w:b w:val="0"/>
          <w:bCs w:val="0"/>
          <w:kern w:val="0"/>
          <w:sz w:val="22"/>
        </w:rPr>
        <w:t>　1．招标人在规定的提交投标文件截止时间后，协助投标人撤换投标文件、更改报价；</w:t>
      </w:r>
      <w:r>
        <w:rPr>
          <w:rFonts w:hint="eastAsia" w:ascii="宋体" w:hAnsi="宋体" w:cs="Calibri"/>
          <w:b w:val="0"/>
          <w:bCs w:val="0"/>
          <w:kern w:val="0"/>
          <w:sz w:val="22"/>
        </w:rPr>
        <w:br w:type="textWrapping"/>
      </w:r>
      <w:r>
        <w:rPr>
          <w:rFonts w:hint="eastAsia" w:ascii="宋体" w:hAnsi="宋体" w:cs="Calibri"/>
          <w:b w:val="0"/>
          <w:bCs w:val="0"/>
          <w:kern w:val="0"/>
          <w:sz w:val="22"/>
        </w:rPr>
        <w:t>　　2．招标人（或招标代理机构）泄露投标人名称、数量或联系方式等应当保密的事项；</w:t>
      </w:r>
      <w:r>
        <w:rPr>
          <w:rFonts w:hint="eastAsia" w:ascii="宋体" w:hAnsi="宋体" w:cs="Calibri"/>
          <w:b w:val="0"/>
          <w:bCs w:val="0"/>
          <w:kern w:val="0"/>
          <w:sz w:val="22"/>
        </w:rPr>
        <w:br w:type="textWrapping"/>
      </w:r>
      <w:r>
        <w:rPr>
          <w:rFonts w:hint="eastAsia" w:ascii="宋体" w:hAnsi="宋体" w:cs="Calibri"/>
          <w:b w:val="0"/>
          <w:bCs w:val="0"/>
          <w:kern w:val="0"/>
          <w:sz w:val="22"/>
        </w:rPr>
        <w:t>　　3．不同投标人的投标文件由同一单位（或个人）编制或提供投标咨询服务；</w:t>
      </w:r>
      <w:r>
        <w:rPr>
          <w:rFonts w:hint="eastAsia" w:ascii="宋体" w:hAnsi="宋体" w:cs="Calibri"/>
          <w:b w:val="0"/>
          <w:bCs w:val="0"/>
          <w:kern w:val="0"/>
          <w:sz w:val="22"/>
        </w:rPr>
        <w:br w:type="textWrapping"/>
      </w:r>
      <w:r>
        <w:rPr>
          <w:rFonts w:hint="eastAsia" w:ascii="宋体" w:hAnsi="宋体" w:cs="Calibri"/>
          <w:b w:val="0"/>
          <w:bCs w:val="0"/>
          <w:kern w:val="0"/>
          <w:sz w:val="22"/>
        </w:rPr>
        <w:t>　　4．不同投标人使用同一人或者同一单位的资金交纳投标保证金；</w:t>
      </w:r>
      <w:r>
        <w:rPr>
          <w:rFonts w:hint="eastAsia" w:ascii="宋体" w:hAnsi="宋体" w:cs="Calibri"/>
          <w:b w:val="0"/>
          <w:bCs w:val="0"/>
          <w:kern w:val="0"/>
          <w:sz w:val="22"/>
        </w:rPr>
        <w:br w:type="textWrapping"/>
      </w:r>
      <w:r>
        <w:rPr>
          <w:rFonts w:hint="eastAsia" w:ascii="宋体" w:hAnsi="宋体" w:cs="Calibri"/>
          <w:b w:val="0"/>
          <w:bCs w:val="0"/>
          <w:kern w:val="0"/>
          <w:sz w:val="22"/>
        </w:rPr>
        <w:t>　　5．不同投标人委托同一人办理投标事宜的或不同投标人与同一投标人联合投标的；</w:t>
      </w:r>
      <w:r>
        <w:rPr>
          <w:rFonts w:hint="eastAsia" w:ascii="宋体" w:hAnsi="宋体" w:cs="Calibri"/>
          <w:b w:val="0"/>
          <w:bCs w:val="0"/>
          <w:kern w:val="0"/>
          <w:sz w:val="22"/>
        </w:rPr>
        <w:br w:type="textWrapping"/>
      </w:r>
      <w:r>
        <w:rPr>
          <w:rFonts w:hint="eastAsia" w:ascii="宋体" w:hAnsi="宋体" w:cs="Calibri"/>
          <w:b w:val="0"/>
          <w:bCs w:val="0"/>
          <w:kern w:val="0"/>
          <w:sz w:val="22"/>
        </w:rPr>
        <w:t>　　6．不同投标人的投标文件内容出现非正常一致，或者报价细目呈明显规律性变化；</w:t>
      </w:r>
      <w:r>
        <w:rPr>
          <w:rFonts w:hint="eastAsia" w:ascii="宋体" w:hAnsi="宋体" w:cs="Calibri"/>
          <w:b w:val="0"/>
          <w:bCs w:val="0"/>
          <w:kern w:val="0"/>
          <w:sz w:val="22"/>
        </w:rPr>
        <w:br w:type="textWrapping"/>
      </w:r>
      <w:r>
        <w:rPr>
          <w:rFonts w:hint="eastAsia" w:ascii="宋体" w:hAnsi="宋体" w:cs="Calibri"/>
          <w:b w:val="0"/>
          <w:bCs w:val="0"/>
          <w:kern w:val="0"/>
          <w:sz w:val="22"/>
        </w:rPr>
        <w:t>　　7．不同投标人的投标文件载明的项目管理人员出现同一人的情况；</w:t>
      </w:r>
      <w:r>
        <w:rPr>
          <w:rFonts w:hint="eastAsia" w:ascii="宋体" w:hAnsi="宋体" w:cs="Calibri"/>
          <w:b w:val="0"/>
          <w:bCs w:val="0"/>
          <w:kern w:val="0"/>
          <w:sz w:val="22"/>
        </w:rPr>
        <w:br w:type="textWrapping"/>
      </w:r>
      <w:r>
        <w:rPr>
          <w:rFonts w:hint="eastAsia" w:ascii="宋体" w:hAnsi="宋体" w:cs="Calibri"/>
          <w:b w:val="0"/>
          <w:bCs w:val="0"/>
          <w:kern w:val="0"/>
          <w:sz w:val="22"/>
        </w:rPr>
        <w:t>　　8．不同投标人的投标文件相互混装；</w:t>
      </w:r>
      <w:r>
        <w:rPr>
          <w:rFonts w:hint="eastAsia" w:ascii="宋体" w:hAnsi="宋体" w:cs="Calibri"/>
          <w:b w:val="0"/>
          <w:bCs w:val="0"/>
          <w:kern w:val="0"/>
          <w:sz w:val="22"/>
        </w:rPr>
        <w:br w:type="textWrapping"/>
      </w:r>
      <w:r>
        <w:rPr>
          <w:rFonts w:hint="eastAsia" w:ascii="宋体" w:hAnsi="宋体" w:cs="Calibri"/>
          <w:b w:val="0"/>
          <w:bCs w:val="0"/>
          <w:kern w:val="0"/>
          <w:sz w:val="22"/>
        </w:rPr>
        <w:t>　　9．法律、法规或规章规定的其他串通投标行为。</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评标结束后，评标专家应将有串通投标嫌疑的投标文件以及相关评标分析材料及时移交相关管理机构作进一步的调查处理，即使最终无法认定串通投标行为成立，也不影响其按无效标处理的结果。</w:t>
      </w:r>
    </w:p>
    <w:p>
      <w:pPr>
        <w:keepLines w:val="0"/>
        <w:pageBreakBefore w:val="0"/>
        <w:widowControl/>
        <w:kinsoku/>
        <w:wordWrap/>
        <w:topLinePunct w:val="0"/>
        <w:bidi w:val="0"/>
        <w:spacing w:beforeAutospacing="1" w:afterAutospacing="1" w:line="360" w:lineRule="auto"/>
        <w:jc w:val="left"/>
        <w:rPr>
          <w:rFonts w:ascii="宋体" w:hAnsi="宋体" w:cs="Calibri"/>
          <w:kern w:val="0"/>
          <w:sz w:val="22"/>
        </w:rPr>
        <w:sectPr>
          <w:pgSz w:w="11906" w:h="16838"/>
          <w:pgMar w:top="1418" w:right="1134" w:bottom="1418" w:left="1134" w:header="851" w:footer="992" w:gutter="0"/>
          <w:pgNumType w:fmt="decimal"/>
          <w:cols w:space="720" w:num="1"/>
          <w:docGrid w:type="lines" w:linePitch="312" w:charSpace="0"/>
        </w:sectPr>
      </w:pPr>
    </w:p>
    <w:p>
      <w:pPr>
        <w:pStyle w:val="14"/>
        <w:keepLines w:val="0"/>
        <w:pageBreakBefore w:val="0"/>
        <w:kinsoku/>
        <w:wordWrap/>
        <w:topLinePunct w:val="0"/>
        <w:bidi w:val="0"/>
        <w:spacing w:line="360" w:lineRule="auto"/>
        <w:rPr>
          <w:rFonts w:hint="eastAsia"/>
          <w:color w:val="auto"/>
          <w:sz w:val="32"/>
          <w:szCs w:val="32"/>
        </w:rPr>
      </w:pPr>
      <w:r>
        <w:rPr>
          <w:rFonts w:hint="eastAsia"/>
          <w:color w:val="auto"/>
          <w:sz w:val="32"/>
          <w:szCs w:val="32"/>
        </w:rPr>
        <w:t>第四章合同条款</w:t>
      </w:r>
    </w:p>
    <w:p>
      <w:pPr>
        <w:rPr>
          <w:rFonts w:hint="eastAsia" w:ascii="黑体" w:hAnsi="黑体" w:eastAsia="黑体"/>
          <w:b/>
          <w:sz w:val="52"/>
          <w:szCs w:val="52"/>
        </w:rPr>
      </w:pPr>
    </w:p>
    <w:p>
      <w:pPr>
        <w:pStyle w:val="2"/>
        <w:rPr>
          <w:rFonts w:hint="eastAsia" w:ascii="黑体" w:hAnsi="黑体" w:eastAsia="黑体"/>
          <w:b/>
          <w:sz w:val="52"/>
          <w:szCs w:val="52"/>
        </w:rPr>
      </w:pPr>
    </w:p>
    <w:p>
      <w:pPr>
        <w:pStyle w:val="3"/>
        <w:rPr>
          <w:rFonts w:hint="eastAsia" w:ascii="黑体" w:hAnsi="黑体" w:eastAsia="黑体"/>
          <w:b/>
          <w:sz w:val="52"/>
          <w:szCs w:val="52"/>
        </w:rPr>
      </w:pPr>
    </w:p>
    <w:p>
      <w:pPr>
        <w:pStyle w:val="3"/>
        <w:rPr>
          <w:rFonts w:hint="eastAsia" w:ascii="黑体" w:hAnsi="黑体" w:eastAsia="黑体"/>
          <w:b/>
          <w:sz w:val="52"/>
          <w:szCs w:val="52"/>
        </w:rPr>
        <w:sectPr>
          <w:pgSz w:w="11906" w:h="16838"/>
          <w:pgMar w:top="1440" w:right="1800" w:bottom="1440" w:left="1800" w:header="851" w:footer="992" w:gutter="0"/>
          <w:pgNumType w:fmt="decimal"/>
          <w:cols w:space="425" w:num="1"/>
          <w:docGrid w:type="lines" w:linePitch="312" w:charSpace="0"/>
        </w:sectPr>
      </w:pPr>
    </w:p>
    <w:p>
      <w:pPr>
        <w:widowControl/>
        <w:spacing w:line="720" w:lineRule="auto"/>
        <w:ind w:firstLine="880"/>
        <w:jc w:val="center"/>
        <w:rPr>
          <w:rFonts w:hint="default" w:ascii="方正小标宋简体" w:hAnsi="方正小标宋简体" w:eastAsia="方正小标宋简体" w:cs="方正小标宋简体"/>
          <w:b w:val="0"/>
          <w:bCs/>
          <w:sz w:val="44"/>
          <w:szCs w:val="44"/>
          <w:lang w:val="en-US"/>
        </w:rPr>
        <w:sectPr>
          <w:type w:val="continuous"/>
          <w:pgSz w:w="11906" w:h="16838"/>
          <w:pgMar w:top="1440" w:right="1800" w:bottom="1440" w:left="1800"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 w:val="0"/>
          <w:bCs/>
          <w:sz w:val="44"/>
          <w:szCs w:val="44"/>
        </w:rPr>
        <w:t>杭州萧山国际机场</w:t>
      </w:r>
      <w:r>
        <w:rPr>
          <w:rFonts w:hint="eastAsia" w:ascii="方正小标宋简体" w:hAnsi="方正小标宋简体" w:eastAsia="方正小标宋简体" w:cs="方正小标宋简体"/>
          <w:b w:val="0"/>
          <w:bCs/>
          <w:sz w:val="44"/>
          <w:szCs w:val="44"/>
          <w:u w:val="none"/>
          <w:lang w:val="en-US" w:eastAsia="zh-CN"/>
        </w:rPr>
        <w:t>车站无障碍柜台改造项目施工合同</w:t>
      </w:r>
    </w:p>
    <w:p>
      <w:pPr>
        <w:keepNext w:val="0"/>
        <w:keepLines w:val="0"/>
        <w:pageBreakBefore w:val="0"/>
        <w:widowControl/>
        <w:kinsoku/>
        <w:wordWrap/>
        <w:overflowPunct/>
        <w:topLinePunct w:val="0"/>
        <w:autoSpaceDE/>
        <w:autoSpaceDN/>
        <w:bidi w:val="0"/>
        <w:spacing w:line="240" w:lineRule="auto"/>
        <w:ind w:firstLine="0" w:firstLineChars="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br w:type="page"/>
      </w:r>
    </w:p>
    <w:p>
      <w:pPr>
        <w:keepNext w:val="0"/>
        <w:keepLines w:val="0"/>
        <w:pageBreakBefore w:val="0"/>
        <w:widowControl w:val="0"/>
        <w:tabs>
          <w:tab w:val="left" w:pos="613"/>
        </w:tabs>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甲方：杭州萧山国际机场有限公司</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住所地：杭州萧山国际机场内</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rPr>
      </w:pPr>
    </w:p>
    <w:p>
      <w:pPr>
        <w:keepNext w:val="0"/>
        <w:keepLines w:val="0"/>
        <w:pageBreakBefore w:val="0"/>
        <w:widowControl w:val="0"/>
        <w:tabs>
          <w:tab w:val="left" w:pos="633"/>
        </w:tabs>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乙方：</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住所地：</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按照《中华人民共和国合同法》和《中华人民共和国建筑法》的规定，结合本工程具体情况，双方达成如下协议。</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工程概况</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1.1工程名称</w:t>
      </w:r>
      <w:r>
        <w:rPr>
          <w:rFonts w:hint="eastAsia" w:asciiTheme="minorEastAsia" w:hAnsiTheme="minorEastAsia" w:eastAsiaTheme="minorEastAsia" w:cstheme="minorEastAsia"/>
          <w:sz w:val="22"/>
          <w:szCs w:val="22"/>
          <w:lang w:eastAsia="zh-CN"/>
        </w:rPr>
        <w:t>：杭州萧山国际机场</w:t>
      </w:r>
      <w:r>
        <w:rPr>
          <w:rFonts w:hint="eastAsia" w:asciiTheme="minorEastAsia" w:hAnsiTheme="minorEastAsia" w:cstheme="minorEastAsia"/>
          <w:sz w:val="22"/>
          <w:szCs w:val="22"/>
          <w:lang w:eastAsia="zh-CN"/>
        </w:rPr>
        <w:t>车站无障碍柜台改造</w:t>
      </w:r>
      <w:r>
        <w:rPr>
          <w:rFonts w:hint="eastAsia" w:asciiTheme="minorEastAsia" w:hAnsiTheme="minorEastAsia" w:eastAsiaTheme="minorEastAsia" w:cstheme="minorEastAsia"/>
          <w:sz w:val="22"/>
          <w:szCs w:val="22"/>
          <w:lang w:eastAsia="zh-CN"/>
        </w:rPr>
        <w:t>项目</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1.2工程地点</w:t>
      </w:r>
      <w:r>
        <w:rPr>
          <w:rFonts w:hint="eastAsia" w:asciiTheme="minorEastAsia" w:hAnsiTheme="minorEastAsia" w:eastAsiaTheme="minorEastAsia" w:cstheme="minorEastAsia"/>
          <w:sz w:val="22"/>
          <w:szCs w:val="22"/>
          <w:lang w:eastAsia="zh-CN"/>
        </w:rPr>
        <w:t>：杭州萧山国际机场内</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auto"/>
          <w:sz w:val="22"/>
          <w:szCs w:val="22"/>
        </w:rPr>
        <w:t>1.3承包范围</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sz w:val="22"/>
          <w:szCs w:val="22"/>
          <w:lang w:eastAsia="zh-CN"/>
        </w:rPr>
        <w:t>在现有</w:t>
      </w:r>
      <w:r>
        <w:rPr>
          <w:rFonts w:hint="eastAsia" w:asciiTheme="minorEastAsia" w:hAnsiTheme="minorEastAsia" w:cstheme="minorEastAsia"/>
          <w:sz w:val="22"/>
          <w:szCs w:val="22"/>
          <w:lang w:val="en-US" w:eastAsia="zh-CN"/>
        </w:rPr>
        <w:t>车站售票台</w:t>
      </w:r>
      <w:r>
        <w:rPr>
          <w:rFonts w:hint="eastAsia" w:asciiTheme="minorEastAsia" w:hAnsiTheme="minorEastAsia" w:eastAsiaTheme="minorEastAsia" w:cstheme="minorEastAsia"/>
          <w:sz w:val="22"/>
          <w:szCs w:val="22"/>
          <w:lang w:eastAsia="zh-CN"/>
        </w:rPr>
        <w:t>基础上进行无障碍设施</w:t>
      </w:r>
      <w:r>
        <w:rPr>
          <w:rFonts w:hint="eastAsia" w:asciiTheme="minorEastAsia" w:hAnsiTheme="minorEastAsia" w:cstheme="minorEastAsia"/>
          <w:sz w:val="22"/>
          <w:szCs w:val="22"/>
          <w:lang w:val="en-US" w:eastAsia="zh-CN"/>
        </w:rPr>
        <w:t>改造，在车站安检处增设无障碍安检通道并配备无障碍人士休息桌椅</w:t>
      </w:r>
      <w:r>
        <w:rPr>
          <w:rFonts w:hint="eastAsia" w:asciiTheme="minorEastAsia" w:hAnsiTheme="minorEastAsia" w:eastAsiaTheme="minorEastAsia" w:cstheme="minorEastAsia"/>
          <w:sz w:val="22"/>
          <w:szCs w:val="22"/>
          <w:lang w:eastAsia="zh-CN"/>
        </w:rPr>
        <w:t>，</w:t>
      </w:r>
      <w:r>
        <w:rPr>
          <w:rFonts w:hint="eastAsia" w:asciiTheme="minorEastAsia" w:hAnsiTheme="minorEastAsia" w:cstheme="minorEastAsia"/>
          <w:sz w:val="22"/>
          <w:szCs w:val="22"/>
          <w:lang w:val="en-US" w:eastAsia="zh-CN"/>
        </w:rPr>
        <w:t>在现有车站综合服务柜台基础上增设无障碍问询台及地面平改坡相关改造，</w:t>
      </w:r>
      <w:r>
        <w:rPr>
          <w:rFonts w:hint="eastAsia" w:asciiTheme="minorEastAsia" w:hAnsiTheme="minorEastAsia" w:eastAsiaTheme="minorEastAsia" w:cstheme="minorEastAsia"/>
          <w:sz w:val="22"/>
          <w:szCs w:val="22"/>
          <w:lang w:eastAsia="zh-CN"/>
        </w:rPr>
        <w:t>负责无障碍</w:t>
      </w:r>
      <w:r>
        <w:rPr>
          <w:rFonts w:hint="eastAsia" w:asciiTheme="minorEastAsia" w:hAnsiTheme="minorEastAsia" w:cstheme="minorEastAsia"/>
          <w:sz w:val="22"/>
          <w:szCs w:val="22"/>
          <w:lang w:val="en-US" w:eastAsia="zh-CN"/>
        </w:rPr>
        <w:t>相关标识标牌制作安装。项目含</w:t>
      </w:r>
      <w:r>
        <w:rPr>
          <w:rFonts w:hint="eastAsia" w:asciiTheme="minorEastAsia" w:hAnsiTheme="minorEastAsia" w:eastAsiaTheme="minorEastAsia" w:cstheme="minorEastAsia"/>
          <w:sz w:val="22"/>
          <w:szCs w:val="22"/>
          <w:lang w:eastAsia="zh-CN"/>
        </w:rPr>
        <w:t>柜台设计、</w:t>
      </w:r>
      <w:r>
        <w:rPr>
          <w:rFonts w:hint="eastAsia" w:asciiTheme="minorEastAsia" w:hAnsiTheme="minorEastAsia" w:cstheme="minorEastAsia"/>
          <w:sz w:val="22"/>
          <w:szCs w:val="22"/>
          <w:lang w:val="en-US" w:eastAsia="zh-CN"/>
        </w:rPr>
        <w:t>设施</w:t>
      </w:r>
      <w:r>
        <w:rPr>
          <w:rFonts w:hint="eastAsia" w:asciiTheme="minorEastAsia" w:hAnsiTheme="minorEastAsia" w:eastAsiaTheme="minorEastAsia" w:cstheme="minorEastAsia"/>
          <w:sz w:val="22"/>
          <w:szCs w:val="22"/>
          <w:lang w:eastAsia="zh-CN"/>
        </w:rPr>
        <w:t>安装、</w:t>
      </w:r>
      <w:r>
        <w:rPr>
          <w:rFonts w:hint="eastAsia" w:asciiTheme="minorEastAsia" w:hAnsiTheme="minorEastAsia" w:cstheme="minorEastAsia"/>
          <w:sz w:val="22"/>
          <w:szCs w:val="22"/>
          <w:lang w:val="en-US" w:eastAsia="zh-CN"/>
        </w:rPr>
        <w:t>线路铺设、</w:t>
      </w:r>
      <w:r>
        <w:rPr>
          <w:rFonts w:hint="eastAsia" w:asciiTheme="minorEastAsia" w:hAnsiTheme="minorEastAsia" w:eastAsiaTheme="minorEastAsia" w:cstheme="minorEastAsia"/>
          <w:sz w:val="22"/>
          <w:szCs w:val="22"/>
          <w:lang w:eastAsia="zh-CN"/>
        </w:rPr>
        <w:t>后续维保等全部内容</w:t>
      </w:r>
      <w:r>
        <w:rPr>
          <w:rFonts w:hint="eastAsia" w:asciiTheme="minorEastAsia" w:hAnsiTheme="minorEastAsia" w:cstheme="minorEastAsia"/>
          <w:sz w:val="22"/>
          <w:szCs w:val="22"/>
          <w:lang w:eastAsia="zh-CN"/>
        </w:rPr>
        <w:t>。</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1.4承包方式</w:t>
      </w:r>
      <w:r>
        <w:rPr>
          <w:rFonts w:hint="eastAsia" w:asciiTheme="minorEastAsia" w:hAnsiTheme="minorEastAsia" w:eastAsiaTheme="minorEastAsia" w:cstheme="minorEastAsia"/>
          <w:sz w:val="22"/>
          <w:szCs w:val="22"/>
          <w:lang w:eastAsia="zh-CN"/>
        </w:rPr>
        <w:t>：</w:t>
      </w:r>
      <w:r>
        <w:rPr>
          <w:rFonts w:hint="eastAsia" w:asciiTheme="minorEastAsia" w:hAnsiTheme="minorEastAsia" w:cstheme="minorEastAsia"/>
          <w:sz w:val="22"/>
          <w:szCs w:val="22"/>
          <w:lang w:eastAsia="zh-CN"/>
        </w:rPr>
        <w:t>包工包料</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cstheme="minorEastAsia"/>
          <w:sz w:val="22"/>
          <w:szCs w:val="22"/>
          <w:lang w:eastAsia="zh-CN"/>
        </w:rPr>
        <w:t>1.5工期：</w:t>
      </w:r>
      <w:r>
        <w:rPr>
          <w:rFonts w:hint="eastAsia" w:asciiTheme="minorEastAsia" w:hAnsiTheme="minorEastAsia" w:eastAsiaTheme="minorEastAsia" w:cstheme="minorEastAsia"/>
          <w:sz w:val="22"/>
          <w:szCs w:val="22"/>
        </w:rPr>
        <w:t xml:space="preserve">计划开工日期为 </w:t>
      </w:r>
      <w:r>
        <w:rPr>
          <w:rFonts w:hint="eastAsia" w:asciiTheme="minorEastAsia" w:hAnsiTheme="minorEastAsia" w:cstheme="minorEastAsia"/>
          <w:sz w:val="22"/>
          <w:szCs w:val="22"/>
          <w:lang w:val="en-US" w:eastAsia="zh-CN"/>
        </w:rPr>
        <w:t>2021</w:t>
      </w:r>
      <w:r>
        <w:rPr>
          <w:rFonts w:hint="eastAsia" w:asciiTheme="minorEastAsia" w:hAnsiTheme="minorEastAsia" w:eastAsiaTheme="minorEastAsia" w:cstheme="minorEastAsia"/>
          <w:sz w:val="22"/>
          <w:szCs w:val="22"/>
        </w:rPr>
        <w:t>年</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日，计划竣工日期为 2021年</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月</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日</w:t>
      </w:r>
      <w:r>
        <w:rPr>
          <w:rFonts w:hint="eastAsia" w:asciiTheme="minorEastAsia" w:hAnsiTheme="minorEastAsia" w:cstheme="minorEastAsia"/>
          <w:sz w:val="22"/>
          <w:szCs w:val="22"/>
          <w:lang w:eastAsia="zh-CN"/>
        </w:rPr>
        <w:t>，工期</w:t>
      </w:r>
      <w:r>
        <w:rPr>
          <w:rFonts w:hint="eastAsia" w:asciiTheme="minorEastAsia" w:hAnsiTheme="minorEastAsia" w:eastAsiaTheme="minorEastAsia" w:cstheme="minorEastAsia"/>
          <w:sz w:val="22"/>
          <w:szCs w:val="22"/>
        </w:rPr>
        <w:t>总共为</w:t>
      </w:r>
      <w:r>
        <w:rPr>
          <w:rFonts w:hint="eastAsia" w:asciiTheme="minorEastAsia" w:hAnsiTheme="minorEastAsia" w:cstheme="minorEastAsia"/>
          <w:sz w:val="22"/>
          <w:szCs w:val="22"/>
          <w:u w:val="single"/>
          <w:lang w:val="en-US" w:eastAsia="zh-CN"/>
        </w:rPr>
        <w:t>3</w:t>
      </w:r>
      <w:r>
        <w:rPr>
          <w:rFonts w:hint="eastAsia" w:asciiTheme="minorEastAsia" w:hAnsiTheme="minorEastAsia" w:eastAsiaTheme="minorEastAsia" w:cstheme="minorEastAsia"/>
          <w:sz w:val="22"/>
          <w:szCs w:val="22"/>
          <w:u w:val="single"/>
          <w:lang w:val="en-US" w:eastAsia="zh-CN"/>
        </w:rPr>
        <w:t>0</w:t>
      </w:r>
      <w:r>
        <w:rPr>
          <w:rFonts w:hint="eastAsia" w:asciiTheme="minorEastAsia" w:hAnsiTheme="minorEastAsia" w:eastAsiaTheme="minorEastAsia" w:cstheme="minorEastAsia"/>
          <w:sz w:val="22"/>
          <w:szCs w:val="22"/>
        </w:rPr>
        <w:t>个公历日。工期总日历天数与根据前述计划开竣工日期计算的工期天数不一致的，以工期总日历天数为准。</w:t>
      </w:r>
      <w:r>
        <w:rPr>
          <w:rFonts w:hint="eastAsia" w:ascii="仿宋_GB2312" w:hAnsi="宋体" w:eastAsia="宋体" w:cs="宋体"/>
          <w:sz w:val="22"/>
          <w:szCs w:val="32"/>
        </w:rPr>
        <w:t>开工日期具体以甲方</w:t>
      </w:r>
      <w:r>
        <w:rPr>
          <w:rFonts w:hint="eastAsia" w:ascii="仿宋_GB2312" w:hAnsi="宋体" w:eastAsia="宋体" w:cs="宋体"/>
          <w:sz w:val="22"/>
          <w:szCs w:val="32"/>
          <w:lang w:val="en-US" w:eastAsia="zh-CN"/>
        </w:rPr>
        <w:t>通知</w:t>
      </w:r>
      <w:r>
        <w:rPr>
          <w:rFonts w:hint="eastAsia" w:ascii="仿宋_GB2312" w:hAnsi="宋体" w:eastAsia="宋体" w:cs="宋体"/>
          <w:sz w:val="22"/>
          <w:szCs w:val="32"/>
        </w:rPr>
        <w:t>为准。</w:t>
      </w:r>
    </w:p>
    <w:p>
      <w:pPr>
        <w:keepNext w:val="0"/>
        <w:keepLines w:val="0"/>
        <w:pageBreakBefore w:val="0"/>
        <w:kinsoku/>
        <w:wordWrap/>
        <w:topLinePunct w:val="0"/>
        <w:bidi w:val="0"/>
        <w:spacing w:line="360" w:lineRule="auto"/>
        <w:ind w:right="0" w:rightChars="0" w:firstLine="440" w:firstLineChars="200"/>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1.6工程质</w:t>
      </w:r>
      <w:r>
        <w:rPr>
          <w:rFonts w:hint="eastAsia" w:asciiTheme="minorEastAsia" w:hAnsiTheme="minorEastAsia" w:eastAsiaTheme="minorEastAsia" w:cstheme="minorEastAsia"/>
          <w:sz w:val="22"/>
          <w:szCs w:val="22"/>
          <w:lang w:eastAsia="zh-CN"/>
        </w:rPr>
        <w:t>量：</w:t>
      </w:r>
      <w:r>
        <w:rPr>
          <w:rFonts w:hint="eastAsia" w:asciiTheme="minorEastAsia" w:hAnsiTheme="minorEastAsia" w:eastAsiaTheme="minorEastAsia" w:cstheme="minorEastAsia"/>
          <w:sz w:val="22"/>
          <w:szCs w:val="22"/>
        </w:rPr>
        <w:t>工程达到符合国家施工验收规范规定的合格标准，确保一次性验收合格。</w:t>
      </w:r>
    </w:p>
    <w:p>
      <w:pPr>
        <w:keepNext w:val="0"/>
        <w:keepLines w:val="0"/>
        <w:pageBreakBefore w:val="0"/>
        <w:widowControl w:val="0"/>
        <w:kinsoku/>
        <w:wordWrap/>
        <w:overflowPunct/>
        <w:topLinePunct w:val="0"/>
        <w:autoSpaceDE/>
        <w:autoSpaceDN/>
        <w:bidi w:val="0"/>
        <w:spacing w:line="360" w:lineRule="auto"/>
        <w:ind w:right="0" w:rightChars="0" w:firstLine="480"/>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1.7合同价：本合同为总价合同，合同总价为：人民币（大写)</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lang w:val="en-US" w:eastAsia="zh-CN"/>
        </w:rPr>
        <w:t>，小写：</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lang w:val="en-US" w:eastAsia="zh-CN"/>
        </w:rPr>
        <w:t>元。</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甲方工作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2.1开工前</w:t>
      </w:r>
      <w:r>
        <w:rPr>
          <w:rFonts w:hint="eastAsia" w:asciiTheme="minorEastAsia" w:hAnsiTheme="minorEastAsia" w:cstheme="minorEastAsia"/>
          <w:color w:val="auto"/>
          <w:sz w:val="22"/>
          <w:szCs w:val="22"/>
          <w:u w:val="single"/>
          <w:lang w:val="en-US" w:eastAsia="zh-CN"/>
        </w:rPr>
        <w:t>10</w:t>
      </w:r>
      <w:r>
        <w:rPr>
          <w:rFonts w:hint="eastAsia" w:asciiTheme="minorEastAsia" w:hAnsiTheme="minorEastAsia" w:eastAsiaTheme="minorEastAsia" w:cstheme="minorEastAsia"/>
          <w:color w:val="auto"/>
          <w:sz w:val="22"/>
          <w:szCs w:val="22"/>
        </w:rPr>
        <w:t>天，向乙方提供经确认的施工图纸或做法说明</w:t>
      </w:r>
      <w:r>
        <w:rPr>
          <w:rFonts w:hint="eastAsia" w:asciiTheme="minorEastAsia" w:hAnsiTheme="minorEastAsia" w:cstheme="minorEastAsia"/>
          <w:color w:val="auto"/>
          <w:sz w:val="22"/>
          <w:szCs w:val="22"/>
          <w:u w:val="single"/>
          <w:lang w:val="en-US" w:eastAsia="zh-CN"/>
        </w:rPr>
        <w:t>1</w:t>
      </w:r>
      <w:r>
        <w:rPr>
          <w:rFonts w:hint="eastAsia" w:asciiTheme="minorEastAsia" w:hAnsiTheme="minorEastAsia" w:eastAsiaTheme="minorEastAsia" w:cstheme="minorEastAsia"/>
          <w:color w:val="auto"/>
          <w:sz w:val="22"/>
          <w:szCs w:val="22"/>
        </w:rPr>
        <w:t>份，并向乙方进行现场交底。</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rPr>
        <w:t>2.2</w:t>
      </w:r>
      <w:r>
        <w:rPr>
          <w:rFonts w:hint="eastAsia" w:asciiTheme="minorEastAsia" w:hAnsiTheme="minorEastAsia" w:eastAsiaTheme="minorEastAsia" w:cstheme="minorEastAsia"/>
          <w:color w:val="auto"/>
          <w:sz w:val="22"/>
          <w:szCs w:val="22"/>
          <w:lang w:val="en-US" w:eastAsia="zh-CN"/>
        </w:rPr>
        <w:t>甲方组织</w:t>
      </w:r>
      <w:r>
        <w:rPr>
          <w:rFonts w:hint="eastAsia" w:asciiTheme="minorEastAsia" w:hAnsiTheme="minorEastAsia" w:eastAsiaTheme="minorEastAsia" w:cstheme="minorEastAsia"/>
          <w:color w:val="auto"/>
          <w:sz w:val="22"/>
          <w:szCs w:val="22"/>
        </w:rPr>
        <w:t>工程预算审核</w:t>
      </w:r>
      <w:r>
        <w:rPr>
          <w:rFonts w:hint="eastAsia" w:asciiTheme="minorEastAsia" w:hAnsiTheme="minorEastAsia" w:eastAsiaTheme="minorEastAsia" w:cstheme="minorEastAsia"/>
          <w:color w:val="auto"/>
          <w:sz w:val="22"/>
          <w:szCs w:val="22"/>
          <w:lang w:eastAsia="zh-CN"/>
        </w:rPr>
        <w:t>以及施工方案和进度计划的审查工作。</w:t>
      </w:r>
    </w:p>
    <w:p>
      <w:pPr>
        <w:keepNext w:val="0"/>
        <w:keepLines w:val="0"/>
        <w:pageBreakBefore w:val="0"/>
        <w:kinsoku/>
        <w:wordWrap/>
        <w:topLinePunct w:val="0"/>
        <w:bidi w:val="0"/>
        <w:spacing w:line="360" w:lineRule="auto"/>
        <w:ind w:right="0" w:rightChars="0"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2.3</w:t>
      </w:r>
      <w:r>
        <w:rPr>
          <w:rFonts w:hint="eastAsia" w:asciiTheme="minorEastAsia" w:hAnsiTheme="minorEastAsia" w:eastAsiaTheme="minorEastAsia" w:cstheme="minorEastAsia"/>
          <w:color w:val="auto"/>
          <w:sz w:val="22"/>
          <w:szCs w:val="22"/>
          <w:lang w:eastAsia="zh-CN"/>
        </w:rPr>
        <w:t>涉及</w:t>
      </w:r>
      <w:r>
        <w:rPr>
          <w:rFonts w:hint="eastAsia" w:asciiTheme="minorEastAsia" w:hAnsiTheme="minorEastAsia" w:eastAsiaTheme="minorEastAsia" w:cstheme="minorEastAsia"/>
          <w:color w:val="auto"/>
          <w:sz w:val="22"/>
          <w:szCs w:val="22"/>
        </w:rPr>
        <w:t>机场隔离区</w:t>
      </w:r>
      <w:r>
        <w:rPr>
          <w:rFonts w:hint="eastAsia" w:asciiTheme="minorEastAsia" w:hAnsiTheme="minorEastAsia" w:eastAsiaTheme="minorEastAsia" w:cstheme="minorEastAsia"/>
          <w:color w:val="auto"/>
          <w:sz w:val="22"/>
          <w:szCs w:val="22"/>
          <w:lang w:eastAsia="zh-CN"/>
        </w:rPr>
        <w:t>的</w:t>
      </w:r>
      <w:r>
        <w:rPr>
          <w:rFonts w:hint="eastAsia" w:asciiTheme="minorEastAsia" w:hAnsiTheme="minorEastAsia" w:eastAsiaTheme="minorEastAsia" w:cstheme="minorEastAsia"/>
          <w:color w:val="auto"/>
          <w:sz w:val="22"/>
          <w:szCs w:val="22"/>
        </w:rPr>
        <w:t>工程项目实施前，由甲方组织对乙方项目实施人员进行相关安全培训教育，并</w:t>
      </w:r>
      <w:r>
        <w:rPr>
          <w:rFonts w:hint="eastAsia" w:asciiTheme="minorEastAsia" w:hAnsiTheme="minorEastAsia" w:eastAsiaTheme="minorEastAsia" w:cstheme="minorEastAsia"/>
          <w:color w:val="auto"/>
          <w:sz w:val="22"/>
          <w:szCs w:val="22"/>
          <w:lang w:eastAsia="zh-CN"/>
        </w:rPr>
        <w:t>与乙方</w:t>
      </w:r>
      <w:r>
        <w:rPr>
          <w:rFonts w:hint="eastAsia" w:asciiTheme="minorEastAsia" w:hAnsiTheme="minorEastAsia" w:eastAsiaTheme="minorEastAsia" w:cstheme="minorEastAsia"/>
          <w:color w:val="auto"/>
          <w:sz w:val="22"/>
          <w:szCs w:val="22"/>
        </w:rPr>
        <w:t>签订施工安全责任书。</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color w:val="auto"/>
        </w:rPr>
      </w:pPr>
      <w:r>
        <w:rPr>
          <w:rFonts w:hint="eastAsia" w:asciiTheme="minorEastAsia" w:hAnsiTheme="minorEastAsia" w:eastAsiaTheme="minorEastAsia" w:cstheme="minorEastAsia"/>
          <w:color w:val="auto"/>
          <w:sz w:val="22"/>
          <w:szCs w:val="22"/>
          <w:lang w:val="en-US" w:eastAsia="zh-CN"/>
        </w:rPr>
        <w:t>2.4甲方配合乙方施工所需水、电接入的工作，并说明使用注意事项。办理施工所涉及的各种申请、批件等手续。</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2.5甲方指派</w:t>
      </w:r>
      <w:r>
        <w:rPr>
          <w:rFonts w:hint="eastAsia" w:asciiTheme="minorEastAsia" w:hAnsiTheme="minorEastAsia" w:eastAsiaTheme="minorEastAsia" w:cstheme="minorEastAsia"/>
          <w:color w:val="auto"/>
          <w:sz w:val="22"/>
          <w:szCs w:val="22"/>
          <w:u w:val="single"/>
          <w:lang w:val="en-US" w:eastAsia="zh-CN"/>
        </w:rPr>
        <w:t xml:space="preserve">        </w:t>
      </w:r>
      <w:r>
        <w:rPr>
          <w:rFonts w:hint="eastAsia" w:asciiTheme="minorEastAsia" w:hAnsiTheme="minorEastAsia" w:eastAsiaTheme="minorEastAsia" w:cstheme="minorEastAsia"/>
          <w:color w:val="auto"/>
          <w:sz w:val="22"/>
          <w:szCs w:val="22"/>
          <w:lang w:val="en-US" w:eastAsia="zh-CN"/>
        </w:rPr>
        <w:t>为甲方驻工地代表，负责合同履行。对工程安全、质量、进度以及造价进行监督检查，办理验收、变更、登记手续和其他事宜。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2.6甲方委托</w:t>
      </w:r>
      <w:r>
        <w:rPr>
          <w:rFonts w:hint="eastAsia" w:asciiTheme="minorEastAsia" w:hAnsiTheme="minorEastAsia" w:eastAsiaTheme="minorEastAsia" w:cstheme="minorEastAsia"/>
          <w:color w:val="auto"/>
          <w:sz w:val="22"/>
          <w:szCs w:val="22"/>
          <w:u w:val="single"/>
          <w:lang w:val="en-US" w:eastAsia="zh-CN"/>
        </w:rPr>
        <w:t xml:space="preserve"> /</w:t>
      </w:r>
      <w:r>
        <w:rPr>
          <w:rFonts w:hint="eastAsia" w:asciiTheme="minorEastAsia" w:hAnsiTheme="minorEastAsia" w:cstheme="minorEastAsia"/>
          <w:color w:val="auto"/>
          <w:sz w:val="22"/>
          <w:szCs w:val="22"/>
          <w:u w:val="single"/>
          <w:lang w:val="en-US" w:eastAsia="zh-CN"/>
        </w:rPr>
        <w:t xml:space="preserve"> </w:t>
      </w:r>
      <w:r>
        <w:rPr>
          <w:rFonts w:hint="eastAsia" w:asciiTheme="minorEastAsia" w:hAnsiTheme="minorEastAsia" w:eastAsiaTheme="minorEastAsia" w:cstheme="minorEastAsia"/>
          <w:color w:val="auto"/>
          <w:sz w:val="22"/>
          <w:szCs w:val="22"/>
          <w:lang w:val="en-US" w:eastAsia="zh-CN"/>
        </w:rPr>
        <w:t>监理公司进行工程监理，监理公司任命 /为总监理工程师，其职责在监理合同中应明确，并将合同副本交乙方</w:t>
      </w:r>
      <w:r>
        <w:rPr>
          <w:rFonts w:hint="eastAsia" w:asciiTheme="minorEastAsia" w:hAnsiTheme="minorEastAsia" w:cstheme="minorEastAsia"/>
          <w:color w:val="auto"/>
          <w:sz w:val="22"/>
          <w:szCs w:val="22"/>
          <w:u w:val="single"/>
          <w:lang w:val="en-US" w:eastAsia="zh-CN"/>
        </w:rPr>
        <w:t xml:space="preserve"> </w:t>
      </w:r>
      <w:r>
        <w:rPr>
          <w:rFonts w:hint="eastAsia" w:asciiTheme="minorEastAsia" w:hAnsiTheme="minorEastAsia" w:eastAsiaTheme="minorEastAsia" w:cstheme="minorEastAsia"/>
          <w:color w:val="auto"/>
          <w:sz w:val="22"/>
          <w:szCs w:val="22"/>
          <w:u w:val="single"/>
          <w:lang w:val="en-US" w:eastAsia="zh-CN"/>
        </w:rPr>
        <w:t>/</w:t>
      </w:r>
      <w:r>
        <w:rPr>
          <w:rFonts w:hint="eastAsia" w:asciiTheme="minorEastAsia" w:hAnsiTheme="minorEastAsia" w:cstheme="minorEastAsia"/>
          <w:color w:val="auto"/>
          <w:sz w:val="22"/>
          <w:szCs w:val="22"/>
          <w:u w:val="single"/>
          <w:lang w:val="en-US" w:eastAsia="zh-CN"/>
        </w:rPr>
        <w:t xml:space="preserve"> </w:t>
      </w:r>
      <w:r>
        <w:rPr>
          <w:rFonts w:hint="eastAsia" w:asciiTheme="minorEastAsia" w:hAnsiTheme="minorEastAsia" w:eastAsiaTheme="minorEastAsia" w:cstheme="minorEastAsia"/>
          <w:color w:val="auto"/>
          <w:sz w:val="22"/>
          <w:szCs w:val="22"/>
          <w:lang w:val="en-US" w:eastAsia="zh-CN"/>
        </w:rPr>
        <w:t>份。</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2.7如确实需要拆改原建筑物结构或设备管线，甲方负责到有关部门办理相应审批手续。</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2.8协调有关部门做好现场保卫、消防、垃圾处理等工作。</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乙方工作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3.1参加甲方组织的施工图纸或作法说明的现场交底，拟定施工方案和进度计划，交甲方审定。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3.2</w:t>
      </w:r>
      <w:r>
        <w:rPr>
          <w:rFonts w:hint="eastAsia" w:asciiTheme="minorEastAsia" w:hAnsiTheme="minorEastAsia" w:cstheme="minorEastAsia"/>
          <w:sz w:val="22"/>
          <w:szCs w:val="22"/>
          <w:lang w:val="en-US" w:eastAsia="zh-CN"/>
        </w:rPr>
        <w:t>乙方</w:t>
      </w:r>
      <w:r>
        <w:rPr>
          <w:rFonts w:hint="eastAsia" w:asciiTheme="minorEastAsia" w:hAnsiTheme="minorEastAsia" w:eastAsiaTheme="minorEastAsia" w:cstheme="minorEastAsia"/>
          <w:sz w:val="22"/>
          <w:szCs w:val="22"/>
        </w:rPr>
        <w:t>指派</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none"/>
          <w:lang w:val="en-US" w:eastAsia="zh-CN"/>
        </w:rPr>
        <w:t>身份证号</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为乙方驻工地代表，负责合同履行。按要求组织施工，保质、保量、按期完成施工任务，解决由乙方负责的各项事宜。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w:t>
      </w:r>
      <w:r>
        <w:rPr>
          <w:rFonts w:hint="eastAsia" w:asciiTheme="minorEastAsia" w:hAnsiTheme="minorEastAsia" w:cstheme="minorEastAsia"/>
          <w:sz w:val="22"/>
          <w:szCs w:val="22"/>
          <w:lang w:eastAsia="zh-CN"/>
        </w:rPr>
        <w:t>乙方应</w:t>
      </w:r>
      <w:r>
        <w:rPr>
          <w:rFonts w:hint="eastAsia" w:asciiTheme="minorEastAsia" w:hAnsiTheme="minorEastAsia" w:eastAsiaTheme="minorEastAsia" w:cstheme="minorEastAsia"/>
          <w:sz w:val="22"/>
          <w:szCs w:val="22"/>
        </w:rPr>
        <w:t>严格执行施工规范、安全操作规程、防火安全规定、环境保护规定。严格按照图纸或作法说明进行施工，做好各项质量检查记录。</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rPr>
      </w:pPr>
      <w:r>
        <w:rPr>
          <w:rFonts w:hint="eastAsia" w:asciiTheme="minorEastAsia" w:hAnsiTheme="minorEastAsia" w:cstheme="minorEastAsia"/>
          <w:sz w:val="22"/>
          <w:szCs w:val="22"/>
          <w:lang w:val="en-US" w:eastAsia="zh-CN"/>
        </w:rPr>
        <w:t>3.5乙方须按相关要求及时报送竣工结算资料，配合甲方完成工程竣工结算审核工作。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r>
        <w:rPr>
          <w:rFonts w:hint="eastAsia" w:asciiTheme="minorEastAsia" w:hAnsiTheme="minorEastAsia" w:cstheme="minorEastAsia"/>
          <w:sz w:val="22"/>
          <w:szCs w:val="22"/>
          <w:lang w:val="en-US" w:eastAsia="zh-CN"/>
        </w:rPr>
        <w:t>6乙方应</w:t>
      </w:r>
      <w:r>
        <w:rPr>
          <w:rFonts w:hint="eastAsia" w:asciiTheme="minorEastAsia" w:hAnsiTheme="minorEastAsia" w:eastAsiaTheme="minorEastAsia" w:cstheme="minorEastAsia"/>
          <w:sz w:val="22"/>
          <w:szCs w:val="22"/>
        </w:rPr>
        <w:t>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r>
        <w:rPr>
          <w:rFonts w:hint="eastAsia" w:asciiTheme="minorEastAsia" w:hAnsiTheme="minorEastAsia" w:cstheme="minorEastAsia"/>
          <w:sz w:val="22"/>
          <w:szCs w:val="22"/>
          <w:lang w:val="en-US" w:eastAsia="zh-CN"/>
        </w:rPr>
        <w:t>7</w:t>
      </w:r>
      <w:r>
        <w:rPr>
          <w:rFonts w:hint="eastAsia" w:asciiTheme="minorEastAsia" w:hAnsiTheme="minorEastAsia" w:eastAsiaTheme="minorEastAsia" w:cstheme="minorEastAsia"/>
          <w:sz w:val="22"/>
          <w:szCs w:val="22"/>
        </w:rPr>
        <w:t>施工中未经甲方同意或有关部门批准，不得随意拆改或损坏原建筑物结构及各种设备管线。</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r>
        <w:rPr>
          <w:rFonts w:hint="eastAsia" w:asciiTheme="minorEastAsia" w:hAnsiTheme="minorEastAsia" w:cstheme="minorEastAsia"/>
          <w:sz w:val="22"/>
          <w:szCs w:val="22"/>
          <w:lang w:val="en-US" w:eastAsia="zh-CN"/>
        </w:rPr>
        <w:t>8</w:t>
      </w:r>
      <w:r>
        <w:rPr>
          <w:rFonts w:hint="eastAsia" w:asciiTheme="minorEastAsia" w:hAnsiTheme="minorEastAsia" w:eastAsiaTheme="minorEastAsia" w:cstheme="minorEastAsia"/>
          <w:sz w:val="22"/>
          <w:szCs w:val="22"/>
        </w:rPr>
        <w:t>工程竣工未移交甲方之前，负责对现场的一切设施和工程成品进行保护，并承担风险和费用。</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关于工期的约定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4.1甲方要求比合同约定的工期提前竣工时，应征得乙方同意，并支付乙方因赶工采取的措施费用。</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4.2因甲方未按约定完成工作，影响工期，则工期相应顺延。</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4.3乙方非因甲方原因不能按期开工或中途无故停工影响工期，或乙方非因甲方原因延误工期的，则工期不顺延，且乙方须向甲方承担工期延误的违约责任。</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4.4因涉及甲方要求的设计或工程量变更或非乙方原因造成的停电、停水、停气及不可抗力因素影响，导致停工</w:t>
      </w:r>
      <w:r>
        <w:rPr>
          <w:rFonts w:hint="eastAsia" w:asciiTheme="minorEastAsia" w:hAnsiTheme="minorEastAsia" w:eastAsiaTheme="minorEastAsia" w:cstheme="minorEastAsia"/>
          <w:color w:val="auto"/>
          <w:sz w:val="22"/>
          <w:szCs w:val="22"/>
          <w:u w:val="single"/>
          <w:lang w:val="en-US" w:eastAsia="zh-CN"/>
        </w:rPr>
        <w:t xml:space="preserve"> </w:t>
      </w:r>
      <w:r>
        <w:rPr>
          <w:rFonts w:hint="eastAsia" w:asciiTheme="minorEastAsia" w:hAnsiTheme="minorEastAsia" w:cstheme="minorEastAsia"/>
          <w:color w:val="auto"/>
          <w:sz w:val="22"/>
          <w:szCs w:val="22"/>
          <w:u w:val="single"/>
          <w:lang w:val="en-US" w:eastAsia="zh-CN"/>
        </w:rPr>
        <w:t>48</w:t>
      </w:r>
      <w:r>
        <w:rPr>
          <w:rFonts w:hint="eastAsia" w:asciiTheme="minorEastAsia" w:hAnsiTheme="minorEastAsia" w:eastAsiaTheme="minorEastAsia" w:cstheme="minorEastAsia"/>
          <w:color w:val="auto"/>
          <w:sz w:val="22"/>
          <w:szCs w:val="22"/>
          <w:u w:val="single"/>
          <w:lang w:val="en-US" w:eastAsia="zh-CN"/>
        </w:rPr>
        <w:t xml:space="preserve"> </w:t>
      </w:r>
      <w:r>
        <w:rPr>
          <w:rFonts w:hint="eastAsia" w:asciiTheme="minorEastAsia" w:hAnsiTheme="minorEastAsia" w:eastAsiaTheme="minorEastAsia" w:cstheme="minorEastAsia"/>
          <w:sz w:val="22"/>
          <w:szCs w:val="22"/>
        </w:rPr>
        <w:t>小时以上（一周内累计计算），工期相应顺延。</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关于工程质量及验收的约定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5.1本工程以施工图纸、作法说明、设计变更等国家制定的施工及验收规范为质量评定验收标准。</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5.2本工程质量应达到国家质量评定合格标准。甲方要求部分或全部工程项目达到优良标准时，应向乙方支付由此增加的费用。</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由于乙方提供的材料、设备质量不合格而影响工程质量，其返工费用由乙方承担，工期不顺延。</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由于乙方原因造成质量事故，其返工费用由乙方承担，工期不顺延。</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工程竣工后，乙方应通知甲方验收</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甲方自接到验收通知</w:t>
      </w:r>
      <w:r>
        <w:rPr>
          <w:rFonts w:hint="eastAsia" w:asciiTheme="minorEastAsia" w:hAnsiTheme="minorEastAsia" w:cstheme="minorEastAsia"/>
          <w:sz w:val="22"/>
          <w:szCs w:val="22"/>
          <w:u w:val="single"/>
          <w:lang w:val="en-US" w:eastAsia="zh-CN"/>
        </w:rPr>
        <w:t>3</w:t>
      </w:r>
      <w:r>
        <w:rPr>
          <w:rFonts w:hint="eastAsia" w:asciiTheme="minorEastAsia" w:hAnsiTheme="minorEastAsia" w:eastAsiaTheme="minorEastAsia" w:cstheme="minorEastAsia"/>
          <w:sz w:val="22"/>
          <w:szCs w:val="22"/>
        </w:rPr>
        <w:t>日内组织验收，并办理验收、移交手续。如甲方在规定时间内未能组织验收，需及时通知乙方，另定验收日期。</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关于工程价款及结算的约定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6.1双方商定本合同价款采用第</w:t>
      </w:r>
      <w:r>
        <w:rPr>
          <w:rFonts w:hint="eastAsia" w:asciiTheme="minorEastAsia" w:hAnsiTheme="minorEastAsia" w:eastAsiaTheme="minorEastAsia" w:cstheme="minorEastAsia"/>
          <w:sz w:val="22"/>
          <w:szCs w:val="22"/>
          <w:u w:val="single"/>
          <w:lang w:val="en-US" w:eastAsia="zh-CN"/>
        </w:rPr>
        <w:t>（1）</w:t>
      </w:r>
      <w:r>
        <w:rPr>
          <w:rFonts w:hint="eastAsia" w:asciiTheme="minorEastAsia" w:hAnsiTheme="minorEastAsia" w:eastAsiaTheme="minorEastAsia" w:cstheme="minorEastAsia"/>
          <w:sz w:val="22"/>
          <w:szCs w:val="22"/>
        </w:rPr>
        <w:t>种：</w:t>
      </w:r>
    </w:p>
    <w:p>
      <w:pPr>
        <w:keepNext w:val="0"/>
        <w:keepLines w:val="0"/>
        <w:pageBreakBefore w:val="0"/>
        <w:widowControl w:val="0"/>
        <w:kinsoku/>
        <w:wordWrap/>
        <w:overflowPunct/>
        <w:topLinePunct w:val="0"/>
        <w:autoSpaceDE/>
        <w:autoSpaceDN/>
        <w:bidi w:val="0"/>
        <w:spacing w:line="360" w:lineRule="auto"/>
        <w:ind w:left="480" w:right="0" w:rightChars="0"/>
        <w:textAlignment w:val="auto"/>
        <w:outlineLvl w:val="9"/>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（1）固定总价</w:t>
      </w:r>
      <w:r>
        <w:rPr>
          <w:rFonts w:hint="eastAsia" w:asciiTheme="minorEastAsia" w:hAnsiTheme="minorEastAsia" w:cstheme="minorEastAsia"/>
          <w:sz w:val="22"/>
          <w:szCs w:val="22"/>
          <w:lang w:val="en-US" w:eastAsia="zh-CN"/>
        </w:rPr>
        <w:t>。</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（2）固定单价。</w:t>
      </w:r>
      <w:r>
        <w:rPr>
          <w:rFonts w:hint="eastAsia" w:asciiTheme="minorEastAsia" w:hAnsiTheme="minorEastAsia" w:eastAsiaTheme="minorEastAsia" w:cstheme="minorEastAsia"/>
          <w:sz w:val="22"/>
          <w:szCs w:val="22"/>
          <w:lang w:eastAsia="zh-CN"/>
        </w:rPr>
        <w:t>可调价格按</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lang w:eastAsia="zh-CN"/>
        </w:rPr>
        <w:t>规则计算。</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6.2工程竣工验收后，乙方提出工程结算申请并将有关资料送交甲方。</w:t>
      </w:r>
      <w:r>
        <w:rPr>
          <w:rFonts w:hint="eastAsia" w:asciiTheme="minorEastAsia" w:hAnsiTheme="minorEastAsia" w:eastAsiaTheme="minorEastAsia" w:cstheme="minorEastAsia"/>
          <w:sz w:val="22"/>
          <w:szCs w:val="22"/>
          <w:lang w:eastAsia="zh-CN"/>
        </w:rPr>
        <w:t>甲方按照以下方式办理款项支付：</w:t>
      </w:r>
    </w:p>
    <w:p>
      <w:pPr>
        <w:pStyle w:val="24"/>
        <w:keepNext w:val="0"/>
        <w:keepLines w:val="0"/>
        <w:pageBreakBefore w:val="0"/>
        <w:widowControl w:val="0"/>
        <w:kinsoku/>
        <w:wordWrap/>
        <w:overflowPunct/>
        <w:topLinePunct w:val="0"/>
        <w:autoSpaceDE/>
        <w:autoSpaceDN/>
        <w:bidi w:val="0"/>
        <w:snapToGrid w:val="0"/>
        <w:spacing w:beforeLines="0" w:afterLines="0" w:line="360" w:lineRule="auto"/>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质量保证金为工程结算价</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w:t>
      </w:r>
      <w:r>
        <w:rPr>
          <w:rFonts w:hint="eastAsia" w:asciiTheme="minorEastAsia" w:hAnsiTheme="minorEastAsia" w:eastAsiaTheme="minorEastAsia" w:cstheme="minorEastAsia"/>
          <w:sz w:val="22"/>
          <w:szCs w:val="22"/>
          <w:lang w:val="en-US" w:eastAsia="zh-CN"/>
        </w:rPr>
        <w:t>，待质量保修责任期满，经甲方确认乙方已经完全履行质量保修责任，不存在任何违约行为后一并无息支付。若甲方发现乙方未完全履行质量保修责任，则甲方有权不向乙方支付该等质量保证金，且甲方不承担逾期支付的违约责任。</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第七条 关于材料供应的约定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7.2凡由乙方采购的材料、设备，如不符合质量要求或规格有差异，应禁止使用。若已使用，对工程造成的损失由乙方负责。</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第八条 有关安全生产和防火的约定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8.1</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提供的施工图纸或作法说明，应符合《中华人民共和国消防法》和有关防火设计规范。</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8.3由于乙方在施工生产过程中违反有关安全操作规程、消防条例，导致发生安全或火灾事故，乙方应承担由此引发的一切经济损失。</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第九条 违约责任</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由于乙方原因，逾期竣工，每逾期一天，乙方支付甲方</w:t>
      </w:r>
      <w:r>
        <w:rPr>
          <w:rFonts w:hint="eastAsia" w:asciiTheme="minorEastAsia" w:hAnsiTheme="minorEastAsia" w:cstheme="minorEastAsia"/>
          <w:sz w:val="22"/>
          <w:szCs w:val="22"/>
          <w:u w:val="single"/>
          <w:lang w:val="en-US" w:eastAsia="zh-CN"/>
        </w:rPr>
        <w:t>5</w:t>
      </w:r>
      <w:r>
        <w:rPr>
          <w:rFonts w:hint="eastAsia" w:asciiTheme="minorEastAsia" w:hAnsiTheme="minorEastAsia" w:eastAsiaTheme="minorEastAsia" w:cstheme="minorEastAsia"/>
          <w:sz w:val="22"/>
          <w:szCs w:val="22"/>
          <w:u w:val="single"/>
          <w:lang w:val="en-US" w:eastAsia="zh-CN"/>
        </w:rPr>
        <w:t>00</w:t>
      </w:r>
      <w:r>
        <w:rPr>
          <w:rFonts w:hint="eastAsia" w:asciiTheme="minorEastAsia" w:hAnsiTheme="minorEastAsia" w:eastAsiaTheme="minorEastAsia" w:cstheme="minorEastAsia"/>
          <w:sz w:val="22"/>
          <w:szCs w:val="22"/>
        </w:rPr>
        <w:t>元违约金；如延误工期达到</w:t>
      </w:r>
      <w:r>
        <w:rPr>
          <w:rFonts w:hint="eastAsia" w:asciiTheme="minorEastAsia" w:hAnsiTheme="minorEastAsia" w:eastAsiaTheme="minorEastAsia" w:cstheme="minorEastAsia"/>
          <w:sz w:val="22"/>
          <w:szCs w:val="22"/>
          <w:u w:val="single"/>
          <w:lang w:val="en-US" w:eastAsia="zh-CN"/>
        </w:rPr>
        <w:t>10</w:t>
      </w:r>
      <w:r>
        <w:rPr>
          <w:rFonts w:hint="eastAsia" w:asciiTheme="minorEastAsia" w:hAnsiTheme="minorEastAsia" w:eastAsiaTheme="minorEastAsia" w:cstheme="minorEastAsia"/>
          <w:sz w:val="22"/>
          <w:szCs w:val="22"/>
        </w:rPr>
        <w:t>日的，甲方有权解除本合同，并要求乙方支付违约金</w:t>
      </w:r>
      <w:r>
        <w:rPr>
          <w:rFonts w:hint="eastAsia" w:asciiTheme="minorEastAsia" w:hAnsiTheme="minorEastAsia" w:eastAsiaTheme="minorEastAsia" w:cstheme="minorEastAsia"/>
          <w:sz w:val="22"/>
          <w:szCs w:val="22"/>
          <w:u w:val="single"/>
          <w:lang w:val="en-US" w:eastAsia="zh-CN"/>
        </w:rPr>
        <w:t>5000</w:t>
      </w:r>
      <w:r>
        <w:rPr>
          <w:rFonts w:hint="eastAsia" w:asciiTheme="minorEastAsia" w:hAnsiTheme="minorEastAsia" w:eastAsiaTheme="minorEastAsia" w:cstheme="minorEastAsia"/>
          <w:sz w:val="22"/>
          <w:szCs w:val="22"/>
        </w:rPr>
        <w:t>元；本条规定的违约金不足以弥补甲方损失的，乙方应当另行向甲方承担赔偿责任。</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乙方应妥善保护甲方提供的设备及现场堆放的家具、陈设和工程成品，如造成损失，应照价赔偿。</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未经甲方同意，乙方擅自拆改原建筑物结构或设备管线，由此发生的损失或事故（包括行政处罚），由乙方负责并承担损失。</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除本合同另有约定外，任何一方违约应当就因此给对方造成的损失承担赔偿责任。</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第十条 争议或纠纷处理</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10.1本合同在履行期间，双方发生争议时，在不影响工作进度的前提下，双方可采取协商解决或请有关部门进行调解。</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10.2当事人不愿通过协商、调解解决或者协商、调解不成时，本合同在执行中发生的争议双方同意由甲方所在地人民法院诉讼管辖解决。</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第</w:t>
      </w:r>
      <w:r>
        <w:rPr>
          <w:rFonts w:hint="eastAsia" w:asciiTheme="minorEastAsia" w:hAnsiTheme="minorEastAsia" w:eastAsiaTheme="minorEastAsia" w:cstheme="minorEastAsia"/>
          <w:sz w:val="22"/>
          <w:szCs w:val="22"/>
        </w:rPr>
        <w:t>十一条 附则</w:t>
      </w:r>
    </w:p>
    <w:p>
      <w:pPr>
        <w:keepNext w:val="0"/>
        <w:keepLines w:val="0"/>
        <w:pageBreakBefore w:val="0"/>
        <w:widowControl w:val="0"/>
        <w:kinsoku/>
        <w:wordWrap/>
        <w:overflowPunct/>
        <w:topLinePunct w:val="0"/>
        <w:autoSpaceDE/>
        <w:autoSpaceDN/>
        <w:bidi w:val="0"/>
        <w:spacing w:line="360" w:lineRule="auto"/>
        <w:ind w:left="480"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11.1本工程保修事宜由双方签订保修协议。</w:t>
      </w:r>
    </w:p>
    <w:p>
      <w:pPr>
        <w:keepNext w:val="0"/>
        <w:keepLines w:val="0"/>
        <w:pageBreakBefore w:val="0"/>
        <w:widowControl w:val="0"/>
        <w:kinsoku/>
        <w:wordWrap/>
        <w:overflowPunct/>
        <w:topLinePunct w:val="0"/>
        <w:autoSpaceDE/>
        <w:autoSpaceDN/>
        <w:bidi w:val="0"/>
        <w:spacing w:line="360" w:lineRule="auto"/>
        <w:ind w:left="480" w:right="0" w:rightChars="0"/>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11.2本合同一共</w:t>
      </w:r>
      <w:r>
        <w:rPr>
          <w:rFonts w:hint="eastAsia" w:asciiTheme="minorEastAsia" w:hAnsiTheme="minorEastAsia" w:cstheme="minorEastAsia"/>
          <w:sz w:val="22"/>
          <w:szCs w:val="22"/>
          <w:lang w:val="en-US" w:eastAsia="zh-CN"/>
        </w:rPr>
        <w:t>伍</w:t>
      </w:r>
      <w:r>
        <w:rPr>
          <w:rFonts w:hint="eastAsia" w:asciiTheme="minorEastAsia" w:hAnsiTheme="minorEastAsia" w:eastAsiaTheme="minorEastAsia" w:cstheme="minorEastAsia"/>
          <w:sz w:val="22"/>
          <w:szCs w:val="22"/>
          <w:lang w:val="en-US" w:eastAsia="zh-CN"/>
        </w:rPr>
        <w:t>份，甲</w:t>
      </w:r>
      <w:r>
        <w:rPr>
          <w:rFonts w:hint="eastAsia" w:asciiTheme="minorEastAsia" w:hAnsiTheme="minorEastAsia" w:cstheme="minorEastAsia"/>
          <w:sz w:val="22"/>
          <w:szCs w:val="22"/>
          <w:lang w:val="en-US" w:eastAsia="zh-CN"/>
        </w:rPr>
        <w:t>方执叁份，</w:t>
      </w:r>
      <w:r>
        <w:rPr>
          <w:rFonts w:hint="eastAsia" w:asciiTheme="minorEastAsia" w:hAnsiTheme="minorEastAsia" w:eastAsiaTheme="minorEastAsia" w:cstheme="minorEastAsia"/>
          <w:sz w:val="22"/>
          <w:szCs w:val="22"/>
          <w:lang w:val="en-US" w:eastAsia="zh-CN"/>
        </w:rPr>
        <w:t>乙方执贰份，具有同等法律效力。</w:t>
      </w:r>
    </w:p>
    <w:p>
      <w:pPr>
        <w:keepNext w:val="0"/>
        <w:keepLines w:val="0"/>
        <w:pageBreakBefore w:val="0"/>
        <w:widowControl w:val="0"/>
        <w:kinsoku/>
        <w:wordWrap/>
        <w:overflowPunct/>
        <w:topLinePunct w:val="0"/>
        <w:autoSpaceDE/>
        <w:autoSpaceDN/>
        <w:bidi w:val="0"/>
        <w:spacing w:line="360" w:lineRule="auto"/>
        <w:ind w:left="480"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11.3本合同履行完成后自动终止。   </w:t>
      </w:r>
    </w:p>
    <w:p>
      <w:pPr>
        <w:keepNext w:val="0"/>
        <w:keepLines w:val="0"/>
        <w:pageBreakBefore w:val="0"/>
        <w:widowControl w:val="0"/>
        <w:kinsoku/>
        <w:wordWrap/>
        <w:overflowPunct/>
        <w:topLinePunct w:val="0"/>
        <w:autoSpaceDE/>
        <w:autoSpaceDN/>
        <w:bidi w:val="0"/>
        <w:spacing w:line="360" w:lineRule="auto"/>
        <w:ind w:left="480" w:right="0" w:rightChars="0"/>
        <w:textAlignment w:val="auto"/>
        <w:outlineLvl w:val="9"/>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sz w:val="22"/>
          <w:szCs w:val="22"/>
        </w:rPr>
        <w:t>11.4本合同包含以下附件，附件与本合同具有同等法律效力。</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（1）工程质量保修书</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（2）安全文明施工协议书</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（3）用户需求书</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ab/>
      </w:r>
    </w:p>
    <w:p>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left="4800" w:right="0" w:rightChars="0" w:hanging="3520" w:hangingChars="16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sz w:val="22"/>
          <w:szCs w:val="22"/>
          <w:lang w:eastAsia="zh-CN"/>
        </w:rPr>
        <w:t>（</w:t>
      </w:r>
      <w:r>
        <w:rPr>
          <w:rFonts w:hint="eastAsia" w:asciiTheme="minorEastAsia" w:hAnsiTheme="minorEastAsia" w:cstheme="minorEastAsia"/>
          <w:sz w:val="22"/>
          <w:szCs w:val="22"/>
          <w:lang w:val="en-US" w:eastAsia="zh-CN"/>
        </w:rPr>
        <w:t>以下为签署页</w:t>
      </w:r>
      <w:r>
        <w:rPr>
          <w:rFonts w:hint="eastAsia" w:asciiTheme="minorEastAsia" w:hAnsiTheme="minorEastAsia" w:cstheme="minorEastAsia"/>
          <w:sz w:val="22"/>
          <w:szCs w:val="2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4800" w:right="0" w:rightChars="0" w:hanging="3520" w:hangingChars="16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甲方：杭州萧山国际机场有限公司  乙方：</w:t>
      </w:r>
    </w:p>
    <w:p>
      <w:pPr>
        <w:keepNext w:val="0"/>
        <w:keepLines w:val="0"/>
        <w:pageBreakBefore w:val="0"/>
        <w:widowControl w:val="0"/>
        <w:kinsoku/>
        <w:wordWrap/>
        <w:overflowPunct/>
        <w:topLinePunct w:val="0"/>
        <w:autoSpaceDE/>
        <w:autoSpaceDN/>
        <w:bidi w:val="0"/>
        <w:adjustRightInd w:val="0"/>
        <w:snapToGrid w:val="0"/>
        <w:spacing w:line="360" w:lineRule="auto"/>
        <w:ind w:left="6750" w:right="0" w:rightChars="0" w:hanging="675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地址：杭州萧山国际机场内        地址：</w:t>
      </w:r>
    </w:p>
    <w:p>
      <w:pPr>
        <w:keepNext w:val="0"/>
        <w:keepLines w:val="0"/>
        <w:pageBreakBefore w:val="0"/>
        <w:widowControl w:val="0"/>
        <w:kinsoku/>
        <w:wordWrap/>
        <w:overflowPunct/>
        <w:topLinePunct w:val="0"/>
        <w:autoSpaceDE/>
        <w:autoSpaceDN/>
        <w:bidi w:val="0"/>
        <w:adjustRightInd w:val="0"/>
        <w:snapToGrid w:val="0"/>
        <w:spacing w:line="360" w:lineRule="auto"/>
        <w:ind w:left="6750" w:right="0" w:rightChars="0" w:hanging="6750"/>
        <w:textAlignment w:val="auto"/>
        <w:outlineLvl w:val="9"/>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法定代表人：                     法定代表人：</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或                               或</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授权代表：                       授权代表：</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 xml:space="preserve">签字日期：                       签字日期：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sz w:val="22"/>
          <w:szCs w:val="2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年  月  日                      年  月  日</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p>
    <w:p>
      <w:pPr>
        <w:pStyle w:val="14"/>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2"/>
          <w:szCs w:val="22"/>
          <w:lang w:eastAsia="zh-CN"/>
        </w:rPr>
      </w:pPr>
    </w:p>
    <w:p>
      <w:pPr>
        <w:pStyle w:val="14"/>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2"/>
          <w:szCs w:val="22"/>
          <w:lang w:eastAsia="zh-CN"/>
        </w:rPr>
      </w:pPr>
    </w:p>
    <w:p>
      <w:pPr>
        <w:pStyle w:val="14"/>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2"/>
          <w:szCs w:val="22"/>
          <w:lang w:eastAsia="zh-CN"/>
        </w:rPr>
      </w:pPr>
    </w:p>
    <w:p>
      <w:pPr>
        <w:pStyle w:val="24"/>
        <w:keepNext w:val="0"/>
        <w:keepLines w:val="0"/>
        <w:pageBreakBefore w:val="0"/>
        <w:widowControl w:val="0"/>
        <w:tabs>
          <w:tab w:val="left" w:pos="540"/>
        </w:tabs>
        <w:kinsoku/>
        <w:wordWrap/>
        <w:overflowPunct/>
        <w:topLinePunct w:val="0"/>
        <w:autoSpaceDE/>
        <w:autoSpaceDN/>
        <w:bidi w:val="0"/>
        <w:snapToGrid w:val="0"/>
        <w:spacing w:beforeLines="0" w:afterLines="0" w:line="360" w:lineRule="auto"/>
        <w:ind w:firstLine="0"/>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tabs>
          <w:tab w:val="left" w:pos="540"/>
        </w:tabs>
        <w:kinsoku/>
        <w:wordWrap/>
        <w:overflowPunct/>
        <w:topLinePunct w:val="0"/>
        <w:autoSpaceDE/>
        <w:autoSpaceDN/>
        <w:bidi w:val="0"/>
        <w:snapToGrid w:val="0"/>
        <w:spacing w:beforeLines="0" w:afterLines="0" w:line="360" w:lineRule="auto"/>
        <w:ind w:firstLine="0"/>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snapToGrid w:val="0"/>
        <w:spacing w:beforeLines="0" w:afterLines="0" w:line="360" w:lineRule="auto"/>
        <w:ind w:firstLine="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br w:type="page"/>
      </w:r>
    </w:p>
    <w:p>
      <w:pPr>
        <w:pStyle w:val="24"/>
        <w:keepNext w:val="0"/>
        <w:keepLines w:val="0"/>
        <w:pageBreakBefore w:val="0"/>
        <w:widowControl w:val="0"/>
        <w:tabs>
          <w:tab w:val="left" w:pos="540"/>
        </w:tabs>
        <w:kinsoku/>
        <w:wordWrap/>
        <w:overflowPunct/>
        <w:topLinePunct w:val="0"/>
        <w:autoSpaceDE/>
        <w:autoSpaceDN/>
        <w:bidi w:val="0"/>
        <w:snapToGrid w:val="0"/>
        <w:spacing w:beforeLines="0" w:afterLines="0" w:line="360" w:lineRule="auto"/>
        <w:ind w:firstLine="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附件</w:t>
      </w:r>
      <w:r>
        <w:rPr>
          <w:rFonts w:hint="eastAsia" w:asciiTheme="minorEastAsia" w:hAnsiTheme="minorEastAsia" w:eastAsiaTheme="minorEastAsia" w:cstheme="minorEastAsia"/>
          <w:sz w:val="22"/>
          <w:szCs w:val="22"/>
          <w:lang w:val="en-US" w:eastAsia="zh-CN"/>
        </w:rPr>
        <w:t>1：</w:t>
      </w:r>
    </w:p>
    <w:p>
      <w:pPr>
        <w:pStyle w:val="24"/>
        <w:keepNext w:val="0"/>
        <w:keepLines w:val="0"/>
        <w:pageBreakBefore w:val="0"/>
        <w:widowControl w:val="0"/>
        <w:tabs>
          <w:tab w:val="left" w:pos="540"/>
        </w:tabs>
        <w:kinsoku/>
        <w:wordWrap/>
        <w:overflowPunct/>
        <w:topLinePunct w:val="0"/>
        <w:autoSpaceDE/>
        <w:autoSpaceDN/>
        <w:bidi w:val="0"/>
        <w:snapToGrid w:val="0"/>
        <w:spacing w:beforeLines="0" w:afterLines="0" w:line="360" w:lineRule="auto"/>
        <w:ind w:firstLine="0"/>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snapToGrid w:val="0"/>
        <w:spacing w:before="120" w:after="120" w:line="360" w:lineRule="auto"/>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工程质量保修书</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 xml:space="preserve">（全称）：杭州萧山国际机场有限公司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 xml:space="preserve">（全称）：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和</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根据《中华人民共和国建筑法》和《建设工程质量管理条例》，经协商一致就[</w:t>
      </w:r>
      <w:r>
        <w:rPr>
          <w:rFonts w:hint="eastAsia" w:asciiTheme="minorEastAsia" w:hAnsiTheme="minorEastAsia" w:eastAsiaTheme="minorEastAsia" w:cstheme="minorEastAsia"/>
          <w:sz w:val="22"/>
          <w:szCs w:val="22"/>
          <w:lang w:eastAsia="zh-CN"/>
        </w:rPr>
        <w:t>杭州萧山国际机场车站无障碍柜台改造项目</w:t>
      </w:r>
      <w:r>
        <w:rPr>
          <w:rFonts w:hint="eastAsia" w:asciiTheme="minorEastAsia" w:hAnsiTheme="minorEastAsia" w:eastAsiaTheme="minorEastAsia" w:cstheme="minorEastAsia"/>
          <w:sz w:val="22"/>
          <w:szCs w:val="22"/>
        </w:rPr>
        <w:t>]（工程全称）签订工程质量保修书。</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一、工程质量保修范围和内容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在质量保修期内，按照有关法律规定和合同约定，承担工程质量保修责任。</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二、质量保修期</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根据《建设工程质量管理条例》及有关规定，工程的质量保修期如下：</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1．地基基础工程和主体结构工程为设计文件规定的工程合理使用年限；</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2．屋面防水工程、有防水要求的卫生间、房间和外墙面的防渗为 5 年；</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3．装修工程为2年；</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4．电气管线、给排水管道、设备安装工程为2年；</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5．供热与供冷系统为2个采暖期、供冷期；</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 xml:space="preserve"> </w:t>
      </w:r>
      <w:r>
        <w:rPr>
          <w:rFonts w:hint="eastAsia" w:asciiTheme="minorEastAsia" w:hAnsiTheme="minorEastAsia" w:eastAsiaTheme="minorEastAsia" w:cstheme="minorEastAsia"/>
          <w:sz w:val="22"/>
          <w:szCs w:val="22"/>
          <w:lang w:val="en-US" w:eastAsia="zh-CN"/>
        </w:rPr>
        <w:t xml:space="preserve">  6</w:t>
      </w:r>
      <w:r>
        <w:rPr>
          <w:rFonts w:hint="eastAsia" w:asciiTheme="minorEastAsia" w:hAnsiTheme="minorEastAsia" w:eastAsiaTheme="minorEastAsia" w:cstheme="minorEastAsia"/>
          <w:sz w:val="22"/>
          <w:szCs w:val="22"/>
        </w:rPr>
        <w:t>．住宅小区内的给排水设施、道路等配套工程为2年；</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7．其他项目保修期限约定如下：</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 xml:space="preserve">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质量保修期自工程竣工验收合格之日起计算。</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三、缺陷责任期</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工程缺陷责任期为</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个月，缺陷责任期自工程竣工验收合格之日起计算。单位工程先于全部工程进行验收，单位工程缺陷责任期自单位工程验收合格之日起算。</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缺陷责任期届满后，缺陷责任期届满后，经</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确认核实，</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不存在违约情形以及质量保修不存在问题后15天内无息返还质保金。</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四、质量保修责任</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1．属于保修范围、内容的项目，</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应当在接到保修通知之日起</w:t>
      </w:r>
      <w:r>
        <w:rPr>
          <w:rFonts w:hint="eastAsia" w:asciiTheme="minorEastAsia" w:hAnsiTheme="minorEastAsia" w:eastAsiaTheme="minorEastAsia" w:cstheme="minorEastAsia"/>
          <w:sz w:val="22"/>
          <w:szCs w:val="22"/>
          <w:lang w:val="en-US" w:eastAsia="zh-CN"/>
        </w:rPr>
        <w:t>二十四小时</w:t>
      </w:r>
      <w:r>
        <w:rPr>
          <w:rFonts w:hint="eastAsia" w:asciiTheme="minorEastAsia" w:hAnsiTheme="minorEastAsia" w:eastAsiaTheme="minorEastAsia" w:cstheme="minorEastAsia"/>
          <w:sz w:val="22"/>
          <w:szCs w:val="22"/>
        </w:rPr>
        <w:t>内派人保修。</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不在约定期限内派人保修的，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可以自行委托他人修理。费用从质量保证金中扣除。修复部分的质保期自修复之日起重新开始计算。</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2．发生紧急事故需抢修的，</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在接到事故通知后，应当立即到达事故现场进行持续抢修直至修复。</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3．对于涉及结构安全的质量问题，应当按照《建设工程质量管理条例》的规定，立即向当地建设行政主管部门和有关部门报告，采取安全防范措施，并由原设计人或者具有相应资质等级的设计人提出保修方案，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实施保修。</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4．质量保修完成后，由</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组织验收。验收不合格的，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有权自行委托第三方修理，全部费用由</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承担，由</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与第三方确认后直接从质保金中扣除。</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五、保修费用</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保修费用由造成质量缺陷的责任方承担；对责任方的确定产生疑问或争议的，依</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委托的鉴定机构所出具的独立报告来确定。</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六、双方约定的其他工程质量保修事项：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 xml:space="preserve"> </w:t>
      </w:r>
      <w:r>
        <w:rPr>
          <w:rFonts w:hint="eastAsia" w:asciiTheme="minorEastAsia" w:hAnsiTheme="minorEastAsia" w:eastAsiaTheme="minorEastAsia" w:cstheme="minorEastAsia"/>
          <w:sz w:val="22"/>
          <w:szCs w:val="22"/>
          <w:lang w:val="en-US" w:eastAsia="zh-CN"/>
        </w:rPr>
        <w:t xml:space="preserve"> 1</w:t>
      </w:r>
      <w:r>
        <w:rPr>
          <w:rFonts w:hint="eastAsia" w:asciiTheme="minorEastAsia" w:hAnsiTheme="minorEastAsia" w:eastAsiaTheme="minorEastAsia" w:cstheme="minorEastAsia"/>
          <w:sz w:val="22"/>
          <w:szCs w:val="22"/>
        </w:rPr>
        <w:t>、在</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人员到达之前，</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可采取适当的应急措施，费用由</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承担。</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2、遇下列特殊情况的，</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同意</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或管理单位可以对一定金额（材料安装类5000元，土建类 10000元）以内的维修项目进行应急处理，先行委托其他单位进行维修，所产生的维修费用由</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承担。</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应于收到通知后7日内支付通知书中确定的金额。</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a．紧急抢修事故时，为避免损失进一步扩大；</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b．直接影响到工程正常运行或危害人身财产及财产安全时；</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或工程管理单位认为需召开维保工作协调会时，</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应当准时参加，会议上提出的问题必须当场确定解决方案，</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对其派出与会人员的签字确认负全部责任，并应当执行会议决定。否则，视作</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未履行维修义务。</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4、因工程质量问题发生工程维修费用或对第三人赔偿损失的，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通知</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应承担的费用或损失金额，</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应于收到通知后7日内支付通知书中确定的金额。</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负责保修的质量，工程保修项目完成后须经</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对同一工程质量问题</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维修两次后，再次发生该质量问题的，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工程管理部门有权安排自行维修、委托其他单位维修，所产生相关费用包括维修费等均由</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承担。</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应于收到通知后7日内支付通知书中确定的金额。</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6、工程质量保修书由</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在工程竣工验收前共同盖章，作为本施工合同附件，其有效期限至质保期届满且</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书面确认</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完成全部保修工作止。</w:t>
      </w:r>
    </w:p>
    <w:p>
      <w:pPr>
        <w:pStyle w:val="24"/>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 xml:space="preserve">(公章)：                     </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 xml:space="preserve">(公章)：           </w:t>
      </w: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附件2：</w:t>
      </w:r>
      <w:r>
        <w:rPr>
          <w:rFonts w:hint="eastAsia" w:asciiTheme="minorEastAsia" w:hAnsiTheme="minorEastAsia" w:eastAsiaTheme="minorEastAsia" w:cstheme="minorEastAsia"/>
          <w:sz w:val="22"/>
          <w:szCs w:val="22"/>
        </w:rPr>
        <w:t xml:space="preserve"> </w:t>
      </w:r>
      <w:bookmarkStart w:id="104" w:name="_Hlk534811958"/>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center"/>
        <w:textAlignment w:val="auto"/>
        <w:outlineLvl w:val="9"/>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杭州萧山国际机场建设项目工程建设</w:t>
      </w: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center"/>
        <w:textAlignment w:val="auto"/>
        <w:outlineLvl w:val="9"/>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安全文明施工协议书</w:t>
      </w:r>
      <w:bookmarkEnd w:id="104"/>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center"/>
        <w:textAlignment w:val="auto"/>
        <w:outlineLvl w:val="9"/>
        <w:rPr>
          <w:rFonts w:hint="eastAsia" w:asciiTheme="minorEastAsia" w:hAnsiTheme="minorEastAsia" w:eastAsiaTheme="minorEastAsia" w:cstheme="minorEastAsia"/>
          <w:b w:val="0"/>
          <w:bCs/>
          <w:color w:val="000000"/>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：杭州萧山国际机场有限公司</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 xml:space="preserve">：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对</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实行安全目标管理，安全目标的具体内容是：</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1、无责任死亡事故和群伤事件。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2、无重大经济责任事故。</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3、无空防安全事故。</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4、无影响机场运行的不安全事件。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5、无七类重大刑事案件（杀人、绑架、强奸、放火、爆炸、劫持、故意伤害致死）及其它严重、恶性案件。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6、无因未足额、及时发放工资发生劳资纠纷。</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7、无集体食物中毒事件。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8、无计划外生育。</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9、无因上述原因引发无序维权事件。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上述情况的认定按国家和行业的有关规定和标准执行。</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二、</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的权利和义务</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有权对</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执行国家和行业法律、法规、规章和技术标准以及履行工程合同和本协议书情况进行监督、检查和考核，有权监督</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消除不安全隐患，</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懈怠或拒绝本协议条款组织安全文明施工的，经</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书面通知未按时限和要求整改的，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有权对违反协议行为追究违约责任或责令</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停工整改直至终止合同。</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联系和协调机场公安机关，督促施工单位按有关规定申报暂住登记和申领《居住证》，并协助</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联系机场公安局商定有关工地安全保卫事宜。</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利用施工例会等定期分析和掌握工程的治安情况，通报当前治安形势，交流工作经验，协助处理相关问题。</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未按要求配备安全设施、设备、器材，未在限定期限内整改的，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有权直接购置并配足，另增加20%的管理费，费用由</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承担。</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14、依据民航行业和标化工地要求，工地及临舍实施封闭管理，进出工地的人员和车辆实行通行证管理制度，</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协助</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及时办理相关人员和车辆的施工通行证件。</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组织</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项目部管理人员、班组长参加专门的安全教育培训和考试（主要是机场运行、空防、不停航施工等方面安全知识），</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应按行业规范对施工人员进行安全教育培训，</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不履行安全教育培训的，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可强制组织有偿培训及其它强制措施。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建立由监理、施工、设计单位为成员的安全管理网络，组织、协调安全管理工作，审核</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及相关管理人员、特种作业人员的资质，督查</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开展安全风险识别和评估，视情审查相应的安全技术措施。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对</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的临时设施（包括临时宿舍）进行统一规划和监管，完成后临时设施场地应按</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要求恢复原状。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17、</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应当向</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提供施工现场及毗邻区域内供水、排水、供电、供热、通信、广播电视等地下管线资料，气象和水文观测资料，相邻建筑物和构筑物、地下工程的有关资料，并保证资料的真实、准确、完整。</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因建设工程需要，向</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查询前款规定的资料时，</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应当及时提供。</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不得对</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提出不符合建设工程安全生产法律、法规和强制性标准的要求，不得要求</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购买、租赁、使用不符合安全施工要求的安全防护用具、机械设备、施工机具及配件、消防设施和器材等，不得随意压缩合同约定的工期。</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19、</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应按合同约定如期支付</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工程款。</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三、</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的安全、文明权利和义务</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 w:firstLineChars="15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（一）安全文明施工管理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20、落实施工安全责任，所涉工程依法实行总分包制的，总包单位应对施工安全负总责，以安全责任书的方式确定各分包单位的安全责任，</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应层层签订安全责任书。</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应开展风险管理，结合风险评估结果有针对性地制定和落实施工安全技术措施。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安全管理规章制度、操作规程、安全技术措施和专项施工方案以及项目经理、专职安全员、特种行业作业人员及其资格资质须向</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备案，并持证上岗。对下列危险性较大的部分分项工程应当制定专项施工方案，按国家法律法规进行专家验证，且须经</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 xml:space="preserve">技术负责人、总监理工程师审核签字后方可实施，并由专职安全生产管理人员进行现场监督：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22.1 基坑与降水工程；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22.2 土方开挖工程；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22.3 模板工程；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22.4 起重吊装工程；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22.5 脚手架工程；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22.6 焊接、切割、爆破、拆除作业工程；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22.7国务院建设行政主管部门或其它有关部门规定的其它危险性较大的工程。</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不得在机场和机场净空保护区范围内施放烟花、爆竹、气球等升空物体；建筑生活垃圾定点集中堆放，及时清运，不得随意焚烧垃圾等物品制造烟雾；不得饲养动物；不得随意丢弃飘浮物。</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24、</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必须按照</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的规划要求搭设临时设施，并经</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验收合格方准使用。但</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的验收并不免除</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对其搭设的临时设施的安全承担全部责任。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26、</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应做好装修施工阶段成品保护工作，按照“谁主管、谁负责；谁使用、谁负责；谁管理、谁负责”的原则，制定成品保护管理办法，层层签订成品保护责任书，真正落实成品保护现场管理的各项措施。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27、为保障民工合法权益，</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还应承担以下义务：</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27.1</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27.2</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应当监管下属劳务单位在招录民工时必须与民工班组签订详细书面合同（无下属劳务单位的，</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直接与下属施工班组签订），就具体的工种、工价、工作量、出勤、签工、质量控制、工期、验收、结算方式、何时支付工资、付款方式等要素进行约定，并且与每位民工签订书面劳动合同。</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27.3</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与下属劳务单位（或施工班组）双方就单价、工程量、造价、质量控制、结算方式、工期、验收、何时付款、付款方式等事项进行约定，临时增加的工程量必须以</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出具的施工联系单作为依据，双方及时签字确认。</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27.4</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要按合同约定如期支付下属劳务单位（或施工班组）工程进度款，优先支付民工工资款，</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与下属劳务单位（或施工班组）双方就民工工资款专设监管账户，未经</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同意下属劳务单位（或施工班组）无法出账，做到专款专用。</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对下属劳务单位（或施工班组）发放民工工资应当派员进行指导、监督，确保及时足额发放。</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27.5</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支付下属劳务单位（或施工班组）进度款之前，有义务查阅下属劳务单位（或施工班组）前期民工工资足额发放的书面材料。</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27.6</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应制定相关约束性制度，落实措施，预防、杜绝下属劳务单位（或施工班组）无序维权事件发生。</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27.7若民工或下属劳务单位（或施工班组）维权，</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应负相应举证义务。</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27.8一旦发生民工无序维权，</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主要领导应当及时到场，督促下属劳务单位（或施工班组）负责人劝离民工，并积极配合</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相关部门协调处置。</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对</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的上述工作有随时监督检查的权利，</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应积极配合</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的检查。</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 w:firstLineChars="15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（二）空防安全管理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提出申请，报</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备案，办证费用由</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自理。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30、进入机场控制区施工的人员和车辆需由</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派员负责引领并主动接受机场管理人员的安全检查，服从机场相关职能部门的监管，无通行证者一律不得进入。</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31、应当加强通行证的管理，建立管理台帐。通行证仅限持证本人、本车使用，严禁转借、涂改和冒用；持证人员发生调离、辞退、开除等情况的，应及时收回通行证交由</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报机场公安机关注销；如发生人员和车辆通行证遗失的，应在第一时间向</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报告；持证车辆重新调配或报废的，应及时将通行证交由</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申报注销。上述环节因</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管理不力发生问题的，</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应承担由此引发的一切后果和责任。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（三）不停航施工安全管理（仅指进入控制区从事不停航施工项目）</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不停航施工是指在机场不关闭并按照航班计划接受和放行航空器的情况下，在飞行区、部分航站区内实施工程作业。不停航施工的项目单位，必须严格遵守《民用机场运行安全管理规定》（191号令），严格按照</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制定的有关《不停航施工组织管理方案》进行施工，主要包括但不限于以下内容：</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33.1、在机场有飞行任务期间，禁止在跑道端之外300米以内、跑道中心线两侧60米以内的区域进行任何施工作业。如</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33.2、实行不停航施工的区域，开挖的明沟和施工材料堆放处，必须根据</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要求用桔黄色小旗标识以示警告；在低能见度的白天和夜间，应当按照</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要求加设红色恒定灯光；材料和临时堆放的施工垃圾应当采取防止被风或飞机尾流吹散的措施。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33.3、施工机具须停放在指定安全区域内。机场开放运行期间，必须严格控制施工机械的活动范围，杜绝出现机具、车辆侵入飞行活动区或超越机场净空限制面等情况。</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（四）社会治安管理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34、遵守国家治安管理法律法规和</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制定的各项社会治安综合治理管理规定，建立社会治安综合治理网络并纳入</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社会治安综合治理网络体系，配备专职（兼职）综治联络员，负责治安、交通、消防、帮教、计生等综合治理工作，建立和健全群防群治力量及各项治安保卫制度，治安联络员名单和有关制度要报</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和机场公安机关治安管理部门备案。</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35、进出口大门应设立门卫，人员和车辆凭</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制发的施工通行证进出，并接受</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安保人员或机场公安管理人员查验。</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36、做好内部的治安防范工作，对重要部位和物资、设备，要落实人防、物防和技防的措施，积极配合公安机关组织的治安联防活动。</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37、加强对施工人员的遵纪守法教育，预防“黄、毒、赌”、斗殴、偷窃等违法违纪行为的发生，主动接受</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和机场公安机关的指导、检查、监督、考核。</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38、认真排查、调处各类矛盾，及时消除不稳定因素，杜绝各类社会矛盾引发的群体性事件的发生。</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39、制定包括重大安全生产事故、重大道路交通事故、重大消防安全事故、重大刑事案件以及群体性事件等突发性事件在内的应急处置预案，一旦发生，及时报告</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和上级主管部门并做好处置工作。</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40、员工宿舍必须定人定位，不得男女混住，不准留宿身份不明的人员，留客住宿必须经项目部负责人同意，并登记备查，保证生产、生活区的安全。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41、加强对施工人员的管理，外来人员拟居住30天以下的，应及时到机场公安机关申报暂住登记；拟居住30天以上的年满16周岁人员， 应在10天内到机场公安机关申领《居住证》。</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42、负责工程建设期间施工队伍中的计划生育工作，做好孕情监测，确保无计划外生育的情况发生。</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 w:firstLineChars="15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（五）消防安全管理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43、遵守国家消防法律法规，建立和健全消防管理规章制度，明确消防安全责任人，健全消防安全网络（配备专职或兼职消防员），建立消防应急队伍，并报</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和机场公安局消防部门备案。</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44、制定用火、用电、使用易燃易爆及危险化学物品等各项消防安全操作规程，设置消防通道、消防水源、配备必须的消防设备和灭火器材，并在重点场所重点部位设置消防警示标志。</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45、施工中使用明火，使用电、气进行焊接和切割作业，须经机场公安消防管理部门审查批准，并在施工现场设置专门的防火监护人、接火盆、配足有效的灭火器材、清理附近的可燃物等。</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46、对施工人员进行消防安全教育，使其熟悉本岗位防火措施、遇险报警、初期扑救及自救逃生的知识和技能。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47、自行搭建临时用房应符合防火设计规范，建立、健全员工宿舍消防安全管理规章制度，加强员工宿舍消防安全、用电安全管理，严禁不按规定用火和私拉乱接电线、严禁使用大功率电器。</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（六）交通安全管理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48、加强对下属员工、驾驶人员、承运单位的道路交通安全法律法规宣传教育，车辆进出机场和施工场地均应服从交警及其他交通管理人员的指挥和管理。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50、确保各类运输车辆技术状况良好，不得使用假牌、假证、无号牌、无行驶证、无保险和带故障、检验不合格的运输车辆。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51、所有运输车辆均应办理施工通行证并按指定路线和限定速度行驶，不得违反车辆装载规定，严禁沿路抛洒装载物。进入控制区施工车辆应安装并开启黄色警示灯。</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52、在施工现场内及进、出口处设置必要的交通标志，预防交通事故的发生。</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53、占用、挖掘道路，跨越道路架设、铺设管线以及大型机械进出机场须提前与</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协商，征得</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和机场公安局交警队同意，并采取防护措施和设置明显警示标志方可实施。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四、违约责任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54、本《安全文明施工协议书》是工程施工合同的重要组成部分，协议双方必须严格遵守和履行，如有违反，</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可以追究</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责任；</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违约情况严重，或是社会影响恶劣，又或是造成</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或第三方重大损失，</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可解除施工合同且不须向</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承担任何补偿、赔偿的责任。</w:t>
      </w:r>
    </w:p>
    <w:p>
      <w:pPr>
        <w:pStyle w:val="24"/>
        <w:keepNext w:val="0"/>
        <w:keepLines w:val="0"/>
        <w:pageBreakBefore w:val="0"/>
        <w:widowControl w:val="0"/>
        <w:kinsoku/>
        <w:wordWrap/>
        <w:overflowPunct/>
        <w:topLinePunct w:val="0"/>
        <w:autoSpaceDE/>
        <w:autoSpaceDN/>
        <w:bidi w:val="0"/>
        <w:snapToGrid w:val="0"/>
        <w:spacing w:line="360" w:lineRule="auto"/>
        <w:ind w:right="0" w:rightChars="0" w:firstLine="44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55、根据工程施工合同规定，</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2"/>
          <w:szCs w:val="22"/>
          <w14:textFill>
            <w14:solidFill>
              <w14:schemeClr w14:val="tx1"/>
            </w14:solidFill>
          </w14:textFill>
        </w:rPr>
        <w:t>的履约保证金中20%为履行本协议的保证金。</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在生产施工中一旦发生责任事故造成</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或第三方损害而未予赔偿的，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有权直接从履约保证金中扣除或支付赔偿费用，如</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的损失超过该部分保证金的，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有权扣除全部履约保证金，并向</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追偿实际损失。</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未实现本协议安全管理目标的，视违反的程度以及实际损失情况扣除本协议部分或全部履约保证金；违反上述安全文明施工管理、空防安全管理、不停航施工安全管理、社会治安管理、消防安全管理或交通安全管理条款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将严格按照本协议约定扣除</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全部履约保证金，并将严格按照本协议附件《基建项目安全文明施工违约金扣除标准》约定扣除违约金，若履约保证金不足以弥补</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的损失，则</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有权继续追偿。若导致</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遭受第三方的索赔，则</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有权要求</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承担该等赔偿责任。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56、</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未尽本协议27条应尽义务，致使民工或下属劳务单位（或施工班组）无序维权事件发生的，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可按争议金额暂扣</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部分工程款，作为该事件的应急使用款。最终根据该争议仲裁、判决或协商结果，从</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工程款中直接扣除。</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未尽本协议27条应尽义务，致使民工采取堵路、封门、冲关、静坐、上访、私贴标语、殴打他人、损毁财物、扰乱秩序、绝食、自焚、自杀等方式维权的，</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应当承担全部经济损失及赔偿责任，给</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造成损失的，除赔偿</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的全部损失外，</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应对</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承担违约责任：每发生事件一次支付违约金人民币一万元，在事件中每受伤一人支付违约金人民币五万元，每死亡一人支付违约金人民币一百万元，该笔款项由</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从工程款中直接扣除。</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构成本项违约的事实，以公安部门的接处警记录或实际损害结果的发生为准。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550" w:firstLineChars="25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57、</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确认本协议约定的违约金、罚款或赔偿金标准合理，</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同意受</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依据本协议书所制定的具体违约金、罚款或赔偿金标准的约束，</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确认其已明白无误的了解该等具体的扣罚标准，</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承担了该等违约金、罚款和/或赔偿金并不免除其应按合同约定予以全面履行的义务和责任。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五、本协议书附于《</w:t>
      </w:r>
      <w:r>
        <w:rPr>
          <w:rFonts w:hint="eastAsia" w:asciiTheme="minorEastAsia" w:hAnsiTheme="minorEastAsia" w:eastAsiaTheme="minorEastAsia" w:cstheme="minorEastAsia"/>
          <w:sz w:val="22"/>
          <w:szCs w:val="22"/>
          <w:u w:val="single"/>
          <w:lang w:eastAsia="zh-CN"/>
        </w:rPr>
        <w:t>杭州萧山国际机场车站无障碍柜台改造项目</w:t>
      </w:r>
      <w:r>
        <w:rPr>
          <w:rFonts w:hint="eastAsia" w:asciiTheme="minorEastAsia" w:hAnsiTheme="minorEastAsia" w:eastAsiaTheme="minorEastAsia" w:cstheme="minorEastAsia"/>
          <w:sz w:val="22"/>
          <w:szCs w:val="22"/>
        </w:rPr>
        <w:t>施工合同》后，本协议书自</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共同盖章后生效。</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Calibri" w:hAnsi="Calibri" w:eastAsia="黑体" w:cs="Calibri"/>
          <w:kern w:val="0"/>
          <w:sz w:val="32"/>
        </w:rPr>
      </w:pP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 xml:space="preserve">（盖章）：                 </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（盖章）：</w:t>
      </w:r>
      <w:bookmarkStart w:id="105" w:name="_Toc321925456"/>
      <w:bookmarkStart w:id="106" w:name="_Toc448002987"/>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both"/>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default" w:ascii="Calibri" w:hAnsi="Calibri" w:eastAsia="黑体" w:cs="Calibri"/>
          <w:color w:val="000000" w:themeColor="text1"/>
          <w:kern w:val="0"/>
          <w:sz w:val="32"/>
          <w:lang w:val="en-US" w:eastAsia="zh-CN"/>
          <w14:textFill>
            <w14:solidFill>
              <w14:schemeClr w14:val="tx1"/>
            </w14:solidFill>
          </w14:textFill>
        </w:rPr>
      </w:pPr>
      <w:r>
        <w:rPr>
          <w:rFonts w:hint="eastAsia" w:ascii="Calibri" w:hAnsi="Calibri" w:eastAsia="黑体" w:cs="Calibri"/>
          <w:color w:val="000000" w:themeColor="text1"/>
          <w:kern w:val="0"/>
          <w:sz w:val="32"/>
          <w14:textFill>
            <w14:solidFill>
              <w14:schemeClr w14:val="tx1"/>
            </w14:solidFill>
          </w14:textFill>
        </w:rPr>
        <w:t>第五章</w:t>
      </w:r>
      <w:bookmarkEnd w:id="105"/>
      <w:bookmarkEnd w:id="106"/>
      <w:r>
        <w:rPr>
          <w:rFonts w:hint="eastAsia" w:ascii="Calibri" w:hAnsi="Calibri" w:eastAsia="黑体" w:cs="Calibri"/>
          <w:color w:val="000000" w:themeColor="text1"/>
          <w:kern w:val="0"/>
          <w:sz w:val="32"/>
          <w:lang w:val="en-US" w:eastAsia="zh-CN"/>
          <w14:textFill>
            <w14:solidFill>
              <w14:schemeClr w14:val="tx1"/>
            </w14:solidFill>
          </w14:textFill>
        </w:rPr>
        <w:t xml:space="preserve"> 用户需求书</w:t>
      </w: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kern w:val="0"/>
          <w:sz w:val="24"/>
          <w:szCs w:val="24"/>
        </w:rPr>
      </w:pPr>
    </w:p>
    <w:p>
      <w:pPr>
        <w:keepLines w:val="0"/>
        <w:pageBreakBefore w:val="0"/>
        <w:kinsoku/>
        <w:wordWrap/>
        <w:topLinePunct w:val="0"/>
        <w:bidi w:val="0"/>
        <w:spacing w:line="360" w:lineRule="auto"/>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一、项目总体目标</w:t>
      </w:r>
    </w:p>
    <w:p>
      <w:pPr>
        <w:keepLines w:val="0"/>
        <w:pageBreakBefore w:val="0"/>
        <w:widowControl/>
        <w:kinsoku/>
        <w:wordWrap/>
        <w:topLinePunct w:val="0"/>
        <w:bidi w:val="0"/>
        <w:spacing w:line="360" w:lineRule="auto"/>
        <w:ind w:firstLine="440"/>
        <w:jc w:val="left"/>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cstheme="minorEastAsia"/>
          <w:color w:val="000000" w:themeColor="text1"/>
          <w:sz w:val="22"/>
          <w:szCs w:val="22"/>
          <w:lang w:val="en-US" w:eastAsia="zh-CN"/>
          <w14:textFill>
            <w14:solidFill>
              <w14:schemeClr w14:val="tx1"/>
            </w14:solidFill>
          </w14:textFill>
        </w:rPr>
        <w:t>负责</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在现有车站售票台基础上进行无障碍设施改造，</w:t>
      </w:r>
      <w:r>
        <w:rPr>
          <w:rFonts w:hint="eastAsia" w:asciiTheme="minorEastAsia" w:hAnsiTheme="minorEastAsia" w:cstheme="minorEastAsia"/>
          <w:color w:val="000000" w:themeColor="text1"/>
          <w:sz w:val="22"/>
          <w:szCs w:val="22"/>
          <w:lang w:val="en-US" w:eastAsia="zh-CN"/>
          <w14:textFill>
            <w14:solidFill>
              <w14:schemeClr w14:val="tx1"/>
            </w14:solidFill>
          </w14:textFill>
        </w:rPr>
        <w:t>负责</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在车站安检处增设无障碍安检通道并配备无障碍人士休息桌椅，</w:t>
      </w:r>
      <w:r>
        <w:rPr>
          <w:rFonts w:hint="eastAsia" w:asciiTheme="minorEastAsia" w:hAnsiTheme="minorEastAsia" w:cstheme="minorEastAsia"/>
          <w:color w:val="000000" w:themeColor="text1"/>
          <w:sz w:val="22"/>
          <w:szCs w:val="22"/>
          <w:lang w:val="en-US" w:eastAsia="zh-CN"/>
          <w14:textFill>
            <w14:solidFill>
              <w14:schemeClr w14:val="tx1"/>
            </w14:solidFill>
          </w14:textFill>
        </w:rPr>
        <w:t>负责</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在现有车站综合服务柜台基础上增设无障碍问询台及地面</w:t>
      </w:r>
      <w:r>
        <w:rPr>
          <w:rFonts w:hint="eastAsia" w:asciiTheme="minorEastAsia" w:hAnsiTheme="minorEastAsia" w:cstheme="minorEastAsia"/>
          <w:color w:val="000000" w:themeColor="text1"/>
          <w:sz w:val="22"/>
          <w:szCs w:val="22"/>
          <w:lang w:val="en-US" w:eastAsia="zh-CN"/>
          <w14:textFill>
            <w14:solidFill>
              <w14:schemeClr w14:val="tx1"/>
            </w14:solidFill>
          </w14:textFill>
        </w:rPr>
        <w:t>台阶</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改坡相关改造，负责无障碍相关标识标牌制作</w:t>
      </w:r>
      <w:r>
        <w:rPr>
          <w:rFonts w:hint="eastAsia" w:asciiTheme="minorEastAsia" w:hAnsiTheme="minorEastAsia" w:cstheme="minorEastAsia"/>
          <w:color w:val="000000" w:themeColor="text1"/>
          <w:sz w:val="22"/>
          <w:szCs w:val="22"/>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安装。项目含柜台设计、设施安装、线路铺设、后续维保等全部内容。。</w:t>
      </w:r>
    </w:p>
    <w:p>
      <w:pPr>
        <w:keepLines w:val="0"/>
        <w:pageBreakBefore w:val="0"/>
        <w:kinsoku/>
        <w:wordWrap/>
        <w:topLinePunct w:val="0"/>
        <w:bidi w:val="0"/>
        <w:spacing w:line="360" w:lineRule="auto"/>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二、</w:t>
      </w:r>
      <w:r>
        <w:rPr>
          <w:rFonts w:hint="eastAsia" w:asciiTheme="minorEastAsia" w:hAnsiTheme="minorEastAsia" w:cstheme="minorEastAsia"/>
          <w:b/>
          <w:sz w:val="22"/>
          <w:szCs w:val="22"/>
          <w:lang w:eastAsia="zh-CN"/>
        </w:rPr>
        <w:t>项目</w:t>
      </w:r>
      <w:r>
        <w:rPr>
          <w:rFonts w:hint="eastAsia" w:asciiTheme="minorEastAsia" w:hAnsiTheme="minorEastAsia" w:eastAsiaTheme="minorEastAsia" w:cstheme="minorEastAsia"/>
          <w:b/>
          <w:sz w:val="22"/>
          <w:szCs w:val="22"/>
        </w:rPr>
        <w:t>内容及要求</w:t>
      </w: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 xml:space="preserve">    1．</w:t>
      </w:r>
      <w:r>
        <w:rPr>
          <w:rFonts w:hint="eastAsia" w:asciiTheme="minorEastAsia" w:hAnsiTheme="minorEastAsia" w:cstheme="minorEastAsia"/>
          <w:b/>
          <w:sz w:val="22"/>
          <w:szCs w:val="22"/>
          <w:lang w:eastAsia="zh-CN"/>
        </w:rPr>
        <w:t>项目施工</w:t>
      </w:r>
      <w:r>
        <w:rPr>
          <w:rFonts w:hint="eastAsia" w:asciiTheme="minorEastAsia" w:hAnsiTheme="minorEastAsia" w:eastAsiaTheme="minorEastAsia" w:cstheme="minorEastAsia"/>
          <w:b/>
          <w:sz w:val="22"/>
          <w:szCs w:val="22"/>
        </w:rPr>
        <w:t>区域：</w:t>
      </w:r>
    </w:p>
    <w:p>
      <w:pPr>
        <w:keepLines w:val="0"/>
        <w:pageBreakBefore w:val="0"/>
        <w:widowControl/>
        <w:kinsoku/>
        <w:wordWrap/>
        <w:topLinePunct w:val="0"/>
        <w:bidi w:val="0"/>
        <w:spacing w:line="360" w:lineRule="auto"/>
        <w:ind w:firstLine="440"/>
        <w:jc w:val="left"/>
        <w:rPr>
          <w:rFonts w:hint="eastAsia" w:asciiTheme="minorEastAsia" w:hAnsiTheme="minorEastAsia" w:eastAsiaTheme="minorEastAsia" w:cstheme="minorEastAsia"/>
          <w:b/>
          <w:sz w:val="22"/>
          <w:szCs w:val="22"/>
          <w:lang w:eastAsia="zh-CN"/>
        </w:rPr>
      </w:pPr>
      <w:r>
        <w:rPr>
          <w:rFonts w:hint="eastAsia" w:asciiTheme="minorEastAsia" w:hAnsiTheme="minorEastAsia" w:cstheme="minorEastAsia"/>
          <w:b/>
          <w:sz w:val="22"/>
          <w:szCs w:val="22"/>
          <w:lang w:val="en-US" w:eastAsia="zh-CN"/>
        </w:rPr>
        <w:t>1</w:t>
      </w:r>
      <w:r>
        <w:rPr>
          <w:rFonts w:hint="eastAsia" w:asciiTheme="minorEastAsia" w:hAnsiTheme="minorEastAsia" w:eastAsiaTheme="minorEastAsia" w:cstheme="minorEastAsia"/>
          <w:b/>
          <w:sz w:val="22"/>
          <w:szCs w:val="22"/>
        </w:rPr>
        <w:t>.1</w:t>
      </w:r>
      <w:r>
        <w:rPr>
          <w:rFonts w:hint="eastAsia" w:asciiTheme="minorEastAsia" w:hAnsiTheme="minorEastAsia" w:cstheme="minorEastAsia"/>
          <w:b/>
          <w:sz w:val="22"/>
          <w:szCs w:val="22"/>
          <w:lang w:val="en-US" w:eastAsia="zh-CN"/>
        </w:rPr>
        <w:t>车站</w:t>
      </w:r>
      <w:r>
        <w:rPr>
          <w:rFonts w:hint="eastAsia" w:asciiTheme="minorEastAsia" w:hAnsiTheme="minorEastAsia" w:cstheme="minorEastAsia"/>
          <w:b/>
          <w:sz w:val="22"/>
          <w:szCs w:val="22"/>
          <w:lang w:eastAsia="zh-CN"/>
        </w:rPr>
        <w:t>无障碍设施改造区域</w:t>
      </w:r>
    </w:p>
    <w:p>
      <w:pPr>
        <w:keepLines w:val="0"/>
        <w:pageBreakBefore w:val="0"/>
        <w:widowControl/>
        <w:kinsoku/>
        <w:wordWrap/>
        <w:topLinePunct w:val="0"/>
        <w:bidi w:val="0"/>
        <w:spacing w:line="360" w:lineRule="auto"/>
        <w:ind w:firstLine="440"/>
        <w:jc w:val="left"/>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color w:val="000000" w:themeColor="text1"/>
          <w:sz w:val="22"/>
          <w:szCs w:val="22"/>
          <w:lang w:val="en-US" w:eastAsia="zh-CN"/>
          <w14:textFill>
            <w14:solidFill>
              <w14:schemeClr w14:val="tx1"/>
            </w14:solidFill>
          </w14:textFill>
        </w:rPr>
        <w:t>T1</w:t>
      </w:r>
      <w:r>
        <w:rPr>
          <w:rFonts w:hint="eastAsia" w:asciiTheme="minorEastAsia" w:hAnsiTheme="minorEastAsia" w:eastAsiaTheme="minorEastAsia" w:cstheme="minorEastAsia"/>
          <w:color w:val="000000" w:themeColor="text1"/>
          <w:sz w:val="22"/>
          <w:szCs w:val="22"/>
          <w14:textFill>
            <w14:solidFill>
              <w14:schemeClr w14:val="tx1"/>
            </w14:solidFill>
          </w14:textFill>
        </w:rPr>
        <w:t>航站楼</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出发厅</w:t>
      </w:r>
      <w:r>
        <w:rPr>
          <w:rFonts w:hint="eastAsia" w:asciiTheme="minorEastAsia" w:hAnsiTheme="minorEastAsia" w:cstheme="minorEastAsia"/>
          <w:color w:val="000000" w:themeColor="text1"/>
          <w:sz w:val="22"/>
          <w:szCs w:val="22"/>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号门</w:t>
      </w:r>
      <w:r>
        <w:rPr>
          <w:rFonts w:hint="eastAsia" w:asciiTheme="minorEastAsia" w:hAnsiTheme="minorEastAsia" w:cstheme="minorEastAsia"/>
          <w:color w:val="000000" w:themeColor="text1"/>
          <w:sz w:val="22"/>
          <w:szCs w:val="22"/>
          <w:lang w:val="en-US" w:eastAsia="zh-CN"/>
          <w14:textFill>
            <w14:solidFill>
              <w14:schemeClr w14:val="tx1"/>
            </w14:solidFill>
          </w14:textFill>
        </w:rPr>
        <w:t>旁售票柜台</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w:t>
      </w:r>
      <w:r>
        <w:rPr>
          <w:rFonts w:hint="eastAsia" w:asciiTheme="minorEastAsia" w:hAnsiTheme="minorEastAsia" w:cstheme="minorEastAsia"/>
          <w:color w:val="000000" w:themeColor="text1"/>
          <w:sz w:val="22"/>
          <w:szCs w:val="22"/>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号门</w:t>
      </w:r>
      <w:r>
        <w:rPr>
          <w:rFonts w:hint="eastAsia" w:asciiTheme="minorEastAsia" w:hAnsiTheme="minorEastAsia" w:cstheme="minorEastAsia"/>
          <w:color w:val="000000" w:themeColor="text1"/>
          <w:sz w:val="22"/>
          <w:szCs w:val="22"/>
          <w:lang w:val="en-US" w:eastAsia="zh-CN"/>
          <w14:textFill>
            <w14:solidFill>
              <w14:schemeClr w14:val="tx1"/>
            </w14:solidFill>
          </w14:textFill>
        </w:rPr>
        <w:t>内安检区域</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w:t>
      </w:r>
      <w:r>
        <w:rPr>
          <w:rFonts w:hint="eastAsia" w:asciiTheme="minorEastAsia" w:hAnsiTheme="minorEastAsia" w:cstheme="minorEastAsia"/>
          <w:color w:val="000000" w:themeColor="text1"/>
          <w:sz w:val="22"/>
          <w:szCs w:val="22"/>
          <w:lang w:val="en-US" w:eastAsia="zh-CN"/>
          <w14:textFill>
            <w14:solidFill>
              <w14:schemeClr w14:val="tx1"/>
            </w14:solidFill>
          </w14:textFill>
        </w:rPr>
        <w:t>车站</w:t>
      </w:r>
      <w:r>
        <w:rPr>
          <w:rFonts w:hint="eastAsia" w:asciiTheme="minorEastAsia" w:hAnsiTheme="minorEastAsia" w:eastAsiaTheme="minorEastAsia" w:cstheme="minorEastAsia"/>
          <w:color w:val="000000" w:themeColor="text1"/>
          <w:sz w:val="22"/>
          <w:szCs w:val="22"/>
          <w14:textFill>
            <w14:solidFill>
              <w14:schemeClr w14:val="tx1"/>
            </w14:solidFill>
          </w14:textFill>
        </w:rPr>
        <w:t>内</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问询台</w:t>
      </w:r>
      <w:r>
        <w:rPr>
          <w:rFonts w:hint="eastAsia" w:asciiTheme="minorEastAsia" w:hAnsiTheme="minorEastAsia" w:eastAsiaTheme="minorEastAsia" w:cstheme="minorEastAsia"/>
          <w:color w:val="000000" w:themeColor="text1"/>
          <w:sz w:val="22"/>
          <w:szCs w:val="22"/>
          <w14:textFill>
            <w14:solidFill>
              <w14:schemeClr w14:val="tx1"/>
            </w14:solidFill>
          </w14:textFill>
        </w:rPr>
        <w:t>。</w:t>
      </w: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 xml:space="preserve">    2．项目对设计、</w:t>
      </w:r>
      <w:r>
        <w:rPr>
          <w:rFonts w:hint="eastAsia" w:asciiTheme="minorEastAsia" w:hAnsiTheme="minorEastAsia" w:cstheme="minorEastAsia"/>
          <w:b/>
          <w:sz w:val="22"/>
          <w:szCs w:val="22"/>
          <w:lang w:val="en-US" w:eastAsia="zh-CN"/>
        </w:rPr>
        <w:t>工程量</w:t>
      </w:r>
      <w:r>
        <w:rPr>
          <w:rFonts w:hint="eastAsia" w:asciiTheme="minorEastAsia" w:hAnsiTheme="minorEastAsia" w:eastAsiaTheme="minorEastAsia" w:cstheme="minorEastAsia"/>
          <w:b/>
          <w:sz w:val="22"/>
          <w:szCs w:val="22"/>
        </w:rPr>
        <w:t>等要求</w:t>
      </w: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 xml:space="preserve">    2.1</w:t>
      </w:r>
      <w:r>
        <w:rPr>
          <w:rFonts w:hint="eastAsia" w:asciiTheme="minorEastAsia" w:hAnsiTheme="minorEastAsia" w:cstheme="minorEastAsia"/>
          <w:b/>
          <w:sz w:val="22"/>
          <w:szCs w:val="22"/>
          <w:lang w:eastAsia="zh-CN"/>
        </w:rPr>
        <w:t>车站无障碍</w:t>
      </w:r>
      <w:r>
        <w:rPr>
          <w:rFonts w:hint="eastAsia" w:asciiTheme="minorEastAsia" w:hAnsiTheme="minorEastAsia" w:cstheme="minorEastAsia"/>
          <w:b/>
          <w:sz w:val="22"/>
          <w:szCs w:val="22"/>
          <w:lang w:val="en-US" w:eastAsia="zh-CN"/>
        </w:rPr>
        <w:t>设施</w:t>
      </w:r>
      <w:r>
        <w:rPr>
          <w:rFonts w:hint="eastAsia" w:asciiTheme="minorEastAsia" w:hAnsiTheme="minorEastAsia" w:cstheme="minorEastAsia"/>
          <w:b/>
          <w:sz w:val="22"/>
          <w:szCs w:val="22"/>
          <w:lang w:eastAsia="zh-CN"/>
        </w:rPr>
        <w:t>改造</w:t>
      </w:r>
      <w:r>
        <w:rPr>
          <w:rFonts w:hint="eastAsia" w:asciiTheme="minorEastAsia" w:hAnsiTheme="minorEastAsia" w:eastAsiaTheme="minorEastAsia" w:cstheme="minorEastAsia"/>
          <w:b/>
          <w:sz w:val="22"/>
          <w:szCs w:val="22"/>
        </w:rPr>
        <w:t>设计方案</w:t>
      </w:r>
    </w:p>
    <w:p>
      <w:pPr>
        <w:keepLines w:val="0"/>
        <w:pageBreakBefore w:val="0"/>
        <w:widowControl/>
        <w:kinsoku/>
        <w:wordWrap/>
        <w:topLinePunct w:val="0"/>
        <w:bidi w:val="0"/>
        <w:spacing w:line="360" w:lineRule="auto"/>
        <w:ind w:firstLine="440" w:firstLineChars="2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投标人应按照招标人的项目需求进行</w:t>
      </w:r>
      <w:r>
        <w:rPr>
          <w:rFonts w:hint="eastAsia" w:asciiTheme="minorEastAsia" w:hAnsiTheme="minorEastAsia" w:cstheme="minorEastAsia"/>
          <w:sz w:val="22"/>
          <w:szCs w:val="22"/>
          <w:lang w:eastAsia="zh-CN"/>
        </w:rPr>
        <w:t>车站无障碍</w:t>
      </w:r>
      <w:r>
        <w:rPr>
          <w:rFonts w:hint="eastAsia" w:asciiTheme="minorEastAsia" w:hAnsiTheme="minorEastAsia" w:cstheme="minorEastAsia"/>
          <w:sz w:val="22"/>
          <w:szCs w:val="22"/>
          <w:lang w:val="en-US" w:eastAsia="zh-CN"/>
        </w:rPr>
        <w:t>设施</w:t>
      </w:r>
      <w:r>
        <w:rPr>
          <w:rFonts w:hint="eastAsia" w:asciiTheme="minorEastAsia" w:hAnsiTheme="minorEastAsia" w:cstheme="minorEastAsia"/>
          <w:sz w:val="22"/>
          <w:szCs w:val="22"/>
          <w:lang w:eastAsia="zh-CN"/>
        </w:rPr>
        <w:t>改造</w:t>
      </w:r>
      <w:r>
        <w:rPr>
          <w:rFonts w:hint="eastAsia" w:asciiTheme="minorEastAsia" w:hAnsiTheme="minorEastAsia" w:eastAsiaTheme="minorEastAsia" w:cstheme="minorEastAsia"/>
          <w:sz w:val="22"/>
          <w:szCs w:val="22"/>
        </w:rPr>
        <w:t>设计，并按照招标人修改需求，进行深化设计，满足招标人的需求。</w:t>
      </w:r>
    </w:p>
    <w:p>
      <w:pPr>
        <w:keepLines w:val="0"/>
        <w:pageBreakBefore w:val="0"/>
        <w:widowControl/>
        <w:kinsoku/>
        <w:wordWrap/>
        <w:topLinePunct w:val="0"/>
        <w:bidi w:val="0"/>
        <w:spacing w:line="360" w:lineRule="auto"/>
        <w:ind w:firstLine="441"/>
        <w:jc w:val="left"/>
        <w:rPr>
          <w:rFonts w:hint="eastAsia" w:asciiTheme="minorEastAsia" w:hAnsiTheme="minorEastAsia" w:cstheme="minorEastAsia"/>
          <w:b/>
          <w:sz w:val="22"/>
          <w:szCs w:val="22"/>
          <w:lang w:val="en-US" w:eastAsia="zh-CN"/>
        </w:rPr>
      </w:pPr>
      <w:r>
        <w:rPr>
          <w:rFonts w:hint="eastAsia" w:asciiTheme="minorEastAsia" w:hAnsiTheme="minorEastAsia" w:eastAsiaTheme="minorEastAsia" w:cstheme="minorEastAsia"/>
          <w:b/>
          <w:sz w:val="22"/>
          <w:szCs w:val="22"/>
        </w:rPr>
        <w:t>2.2</w:t>
      </w:r>
      <w:r>
        <w:rPr>
          <w:rFonts w:hint="eastAsia" w:asciiTheme="minorEastAsia" w:hAnsiTheme="minorEastAsia" w:cstheme="minorEastAsia"/>
          <w:b/>
          <w:sz w:val="22"/>
          <w:szCs w:val="22"/>
          <w:lang w:val="en-US" w:eastAsia="zh-CN"/>
        </w:rPr>
        <w:t>车站</w:t>
      </w:r>
      <w:r>
        <w:rPr>
          <w:rFonts w:hint="eastAsia" w:asciiTheme="minorEastAsia" w:hAnsiTheme="minorEastAsia" w:eastAsiaTheme="minorEastAsia" w:cstheme="minorEastAsia"/>
          <w:b/>
          <w:sz w:val="22"/>
          <w:szCs w:val="22"/>
          <w:lang w:eastAsia="zh-CN"/>
        </w:rPr>
        <w:t>无障碍</w:t>
      </w:r>
      <w:r>
        <w:rPr>
          <w:rFonts w:hint="eastAsia" w:asciiTheme="minorEastAsia" w:hAnsiTheme="minorEastAsia" w:cstheme="minorEastAsia"/>
          <w:b/>
          <w:sz w:val="22"/>
          <w:szCs w:val="22"/>
          <w:lang w:eastAsia="zh-CN"/>
        </w:rPr>
        <w:t>设施</w:t>
      </w:r>
      <w:r>
        <w:rPr>
          <w:rFonts w:hint="eastAsia" w:asciiTheme="minorEastAsia" w:hAnsiTheme="minorEastAsia" w:eastAsiaTheme="minorEastAsia" w:cstheme="minorEastAsia"/>
          <w:b/>
          <w:sz w:val="22"/>
          <w:szCs w:val="22"/>
          <w:lang w:eastAsia="zh-CN"/>
        </w:rPr>
        <w:t>改造</w:t>
      </w:r>
      <w:r>
        <w:rPr>
          <w:rFonts w:hint="eastAsia" w:asciiTheme="minorEastAsia" w:hAnsiTheme="minorEastAsia" w:cstheme="minorEastAsia"/>
          <w:b/>
          <w:sz w:val="22"/>
          <w:szCs w:val="22"/>
          <w:lang w:eastAsia="zh-CN"/>
        </w:rPr>
        <w:t>及</w:t>
      </w:r>
      <w:r>
        <w:rPr>
          <w:rFonts w:hint="eastAsia" w:asciiTheme="minorEastAsia" w:hAnsiTheme="minorEastAsia" w:cstheme="minorEastAsia"/>
          <w:b/>
          <w:sz w:val="22"/>
          <w:szCs w:val="22"/>
          <w:lang w:val="en-US" w:eastAsia="zh-CN"/>
        </w:rPr>
        <w:t>工程量清单</w:t>
      </w:r>
    </w:p>
    <w:p>
      <w:pPr>
        <w:keepLines w:val="0"/>
        <w:pageBreakBefore w:val="0"/>
        <w:widowControl/>
        <w:kinsoku/>
        <w:wordWrap/>
        <w:topLinePunct w:val="0"/>
        <w:bidi w:val="0"/>
        <w:spacing w:line="360" w:lineRule="auto"/>
        <w:ind w:firstLine="440" w:firstLineChars="200"/>
        <w:jc w:val="left"/>
        <w:rPr>
          <w:rFonts w:hint="eastAsia" w:asciiTheme="minorEastAsia" w:hAnsiTheme="minorEastAsia" w:eastAsiaTheme="minorEastAsia" w:cstheme="minorEastAsia"/>
          <w:b w:val="0"/>
          <w:bCs w:val="0"/>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（1）</w:t>
      </w:r>
      <w:r>
        <w:rPr>
          <w:rFonts w:hint="eastAsia" w:asciiTheme="minorEastAsia" w:hAnsiTheme="minorEastAsia" w:cstheme="minorEastAsia"/>
          <w:color w:val="000000" w:themeColor="text1"/>
          <w:sz w:val="22"/>
          <w:szCs w:val="22"/>
          <w:lang w:val="en-US" w:eastAsia="zh-CN"/>
          <w14:textFill>
            <w14:solidFill>
              <w14:schemeClr w14:val="tx1"/>
            </w14:solidFill>
          </w14:textFill>
        </w:rPr>
        <w:t>车站售票台无障碍设施需在现有售票台基础上改造，</w:t>
      </w:r>
      <w:r>
        <w:rPr>
          <w:rFonts w:hint="eastAsia" w:asciiTheme="minorEastAsia" w:hAnsiTheme="minorEastAsia" w:cstheme="minorEastAsia"/>
          <w:b w:val="0"/>
          <w:bCs w:val="0"/>
          <w:color w:val="000000" w:themeColor="text1"/>
          <w:sz w:val="22"/>
          <w:szCs w:val="22"/>
          <w:lang w:val="en-US" w:eastAsia="zh-CN"/>
          <w14:textFill>
            <w14:solidFill>
              <w14:schemeClr w14:val="tx1"/>
            </w14:solidFill>
          </w14:textFill>
        </w:rPr>
        <w:t>改造完成后的</w:t>
      </w:r>
      <w:r>
        <w:rPr>
          <w:rFonts w:hint="eastAsia" w:asciiTheme="minorEastAsia" w:hAnsiTheme="minorEastAsia" w:eastAsiaTheme="minorEastAsia" w:cstheme="minorEastAsia"/>
          <w:b w:val="0"/>
          <w:bCs w:val="0"/>
          <w:color w:val="000000" w:themeColor="text1"/>
          <w:sz w:val="22"/>
          <w:szCs w:val="22"/>
          <w14:textFill>
            <w14:solidFill>
              <w14:schemeClr w14:val="tx1"/>
            </w14:solidFill>
          </w14:textFill>
        </w:rPr>
        <w:t>柜台整体效果需与</w:t>
      </w:r>
      <w:r>
        <w:rPr>
          <w:rFonts w:hint="eastAsia" w:asciiTheme="minorEastAsia" w:hAnsiTheme="minorEastAsia" w:eastAsiaTheme="minorEastAsia" w:cstheme="minorEastAsia"/>
          <w:b w:val="0"/>
          <w:bCs w:val="0"/>
          <w:color w:val="000000" w:themeColor="text1"/>
          <w:sz w:val="22"/>
          <w:szCs w:val="22"/>
          <w:lang w:eastAsia="zh-CN"/>
          <w14:textFill>
            <w14:solidFill>
              <w14:schemeClr w14:val="tx1"/>
            </w14:solidFill>
          </w14:textFill>
        </w:rPr>
        <w:t>原</w:t>
      </w:r>
      <w:r>
        <w:rPr>
          <w:rFonts w:hint="eastAsia" w:asciiTheme="minorEastAsia" w:hAnsiTheme="minorEastAsia" w:cstheme="minorEastAsia"/>
          <w:b w:val="0"/>
          <w:bCs w:val="0"/>
          <w:color w:val="000000" w:themeColor="text1"/>
          <w:sz w:val="22"/>
          <w:szCs w:val="22"/>
          <w:lang w:val="en-US" w:eastAsia="zh-CN"/>
          <w14:textFill>
            <w14:solidFill>
              <w14:schemeClr w14:val="tx1"/>
            </w14:solidFill>
          </w14:textFill>
        </w:rPr>
        <w:t>售票</w:t>
      </w:r>
      <w:r>
        <w:rPr>
          <w:rFonts w:hint="eastAsia" w:asciiTheme="minorEastAsia" w:hAnsiTheme="minorEastAsia" w:eastAsiaTheme="minorEastAsia" w:cstheme="minorEastAsia"/>
          <w:b w:val="0"/>
          <w:bCs w:val="0"/>
          <w:color w:val="000000" w:themeColor="text1"/>
          <w:sz w:val="22"/>
          <w:szCs w:val="22"/>
          <w14:textFill>
            <w14:solidFill>
              <w14:schemeClr w14:val="tx1"/>
            </w14:solidFill>
          </w14:textFill>
        </w:rPr>
        <w:t>台风格统一，外观整洁、大方。</w:t>
      </w:r>
    </w:p>
    <w:p>
      <w:pPr>
        <w:keepLines w:val="0"/>
        <w:pageBreakBefore w:val="0"/>
        <w:widowControl/>
        <w:kinsoku/>
        <w:wordWrap/>
        <w:topLinePunct w:val="0"/>
        <w:bidi w:val="0"/>
        <w:spacing w:line="360" w:lineRule="auto"/>
        <w:ind w:firstLine="440" w:firstLineChars="2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2</w:t>
      </w:r>
      <w:r>
        <w:rPr>
          <w:rFonts w:hint="eastAsia" w:asciiTheme="minorEastAsia" w:hAnsiTheme="minorEastAsia" w:eastAsiaTheme="minorEastAsia" w:cstheme="minorEastAsia"/>
          <w:sz w:val="22"/>
          <w:szCs w:val="22"/>
        </w:rPr>
        <w:t>）</w:t>
      </w:r>
      <w:r>
        <w:rPr>
          <w:rFonts w:hint="eastAsia" w:asciiTheme="minorEastAsia" w:hAnsiTheme="minorEastAsia" w:cstheme="minorEastAsia"/>
          <w:color w:val="000000" w:themeColor="text1"/>
          <w:sz w:val="22"/>
          <w:szCs w:val="22"/>
          <w:lang w:val="en-US" w:eastAsia="zh-CN"/>
          <w14:textFill>
            <w14:solidFill>
              <w14:schemeClr w14:val="tx1"/>
            </w14:solidFill>
          </w14:textFill>
        </w:rPr>
        <w:t>车站售票</w:t>
      </w:r>
      <w:r>
        <w:rPr>
          <w:rFonts w:hint="eastAsia" w:asciiTheme="minorEastAsia" w:hAnsiTheme="minorEastAsia" w:cstheme="minorEastAsia"/>
          <w:color w:val="000000" w:themeColor="text1"/>
          <w:sz w:val="22"/>
          <w:szCs w:val="22"/>
          <w:lang w:eastAsia="zh-CN"/>
          <w14:textFill>
            <w14:solidFill>
              <w14:schemeClr w14:val="tx1"/>
            </w14:solidFill>
          </w14:textFill>
        </w:rPr>
        <w:t>台</w:t>
      </w:r>
      <w:r>
        <w:rPr>
          <w:rFonts w:hint="eastAsia" w:asciiTheme="minorEastAsia" w:hAnsiTheme="minorEastAsia" w:eastAsiaTheme="minorEastAsia" w:cstheme="minorEastAsia"/>
          <w:sz w:val="22"/>
          <w:szCs w:val="22"/>
          <w:lang w:eastAsia="zh-CN"/>
        </w:rPr>
        <w:t>无障碍</w:t>
      </w:r>
      <w:r>
        <w:rPr>
          <w:rFonts w:hint="eastAsia" w:asciiTheme="minorEastAsia" w:hAnsiTheme="minorEastAsia" w:cstheme="minorEastAsia"/>
          <w:sz w:val="22"/>
          <w:szCs w:val="22"/>
          <w:lang w:eastAsia="zh-CN"/>
        </w:rPr>
        <w:t>设施台面</w:t>
      </w:r>
      <w:r>
        <w:rPr>
          <w:rFonts w:hint="eastAsia" w:asciiTheme="minorEastAsia" w:hAnsiTheme="minorEastAsia" w:eastAsiaTheme="minorEastAsia" w:cstheme="minorEastAsia"/>
          <w:sz w:val="22"/>
          <w:szCs w:val="22"/>
        </w:rPr>
        <w:t>宽度需人性化设计，使柜台内员工与旅客沟通时，保持合理的交流距离。</w:t>
      </w:r>
    </w:p>
    <w:p>
      <w:pPr>
        <w:keepLines w:val="0"/>
        <w:pageBreakBefore w:val="0"/>
        <w:widowControl/>
        <w:kinsoku/>
        <w:wordWrap/>
        <w:topLinePunct w:val="0"/>
        <w:bidi w:val="0"/>
        <w:spacing w:line="360" w:lineRule="auto"/>
        <w:ind w:firstLine="440"/>
        <w:jc w:val="left"/>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3</w:t>
      </w:r>
      <w:r>
        <w:rPr>
          <w:rFonts w:hint="eastAsia" w:asciiTheme="minorEastAsia" w:hAnsiTheme="minorEastAsia" w:eastAsiaTheme="minorEastAsia" w:cstheme="minorEastAsia"/>
          <w:sz w:val="22"/>
          <w:szCs w:val="22"/>
        </w:rPr>
        <w:t>）</w:t>
      </w:r>
      <w:r>
        <w:rPr>
          <w:rFonts w:hint="eastAsia" w:asciiTheme="minorEastAsia" w:hAnsiTheme="minorEastAsia" w:cstheme="minorEastAsia"/>
          <w:color w:val="000000" w:themeColor="text1"/>
          <w:sz w:val="22"/>
          <w:szCs w:val="22"/>
          <w:lang w:val="en-US" w:eastAsia="zh-CN"/>
          <w14:textFill>
            <w14:solidFill>
              <w14:schemeClr w14:val="tx1"/>
            </w14:solidFill>
          </w14:textFill>
        </w:rPr>
        <w:t>车站无障碍安检配套</w:t>
      </w:r>
      <w:r>
        <w:rPr>
          <w:rFonts w:hint="eastAsia" w:asciiTheme="minorEastAsia" w:hAnsiTheme="minorEastAsia" w:cstheme="minorEastAsia"/>
          <w:sz w:val="22"/>
          <w:szCs w:val="22"/>
          <w:lang w:eastAsia="zh-CN"/>
        </w:rPr>
        <w:t>设施改造</w:t>
      </w:r>
      <w:r>
        <w:rPr>
          <w:rFonts w:hint="eastAsia" w:asciiTheme="minorEastAsia" w:hAnsiTheme="minorEastAsia" w:eastAsiaTheme="minorEastAsia" w:cstheme="minorEastAsia"/>
          <w:sz w:val="22"/>
          <w:szCs w:val="22"/>
        </w:rPr>
        <w:t>应在不影响</w:t>
      </w:r>
      <w:r>
        <w:rPr>
          <w:rFonts w:hint="eastAsia" w:asciiTheme="minorEastAsia" w:hAnsiTheme="minorEastAsia" w:cstheme="minorEastAsia"/>
          <w:sz w:val="22"/>
          <w:szCs w:val="22"/>
          <w:lang w:val="en-US" w:eastAsia="zh-CN"/>
        </w:rPr>
        <w:t>车站安检</w:t>
      </w:r>
      <w:r>
        <w:rPr>
          <w:rFonts w:hint="eastAsia" w:asciiTheme="minorEastAsia" w:hAnsiTheme="minorEastAsia" w:eastAsiaTheme="minorEastAsia" w:cstheme="minorEastAsia"/>
          <w:sz w:val="22"/>
          <w:szCs w:val="22"/>
        </w:rPr>
        <w:t>正常运行秩序的前</w:t>
      </w:r>
      <w:r>
        <w:rPr>
          <w:rFonts w:hint="eastAsia" w:asciiTheme="minorEastAsia" w:hAnsiTheme="minorEastAsia" w:eastAsiaTheme="minorEastAsia" w:cstheme="minorEastAsia"/>
          <w:color w:val="000000" w:themeColor="text1"/>
          <w:sz w:val="22"/>
          <w:szCs w:val="22"/>
          <w14:textFill>
            <w14:solidFill>
              <w14:schemeClr w14:val="tx1"/>
            </w14:solidFill>
          </w14:textFill>
        </w:rPr>
        <w:t>提下进行，中标方应提前对</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改造</w:t>
      </w:r>
      <w:r>
        <w:rPr>
          <w:rFonts w:hint="eastAsia" w:asciiTheme="minorEastAsia" w:hAnsiTheme="minorEastAsia" w:eastAsiaTheme="minorEastAsia" w:cstheme="minorEastAsia"/>
          <w:color w:val="000000" w:themeColor="text1"/>
          <w:sz w:val="22"/>
          <w:szCs w:val="22"/>
          <w14:textFill>
            <w14:solidFill>
              <w14:schemeClr w14:val="tx1"/>
            </w14:solidFill>
          </w14:textFill>
        </w:rPr>
        <w:t>区域进行包围，并悬挂相应提醒标志。</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4</w:t>
      </w:r>
      <w:r>
        <w:rPr>
          <w:rFonts w:hint="eastAsia" w:asciiTheme="minorEastAsia" w:hAnsiTheme="minorEastAsia" w:eastAsiaTheme="minorEastAsia" w:cstheme="minorEastAsia"/>
          <w:sz w:val="22"/>
          <w:szCs w:val="22"/>
        </w:rPr>
        <w:t>）</w:t>
      </w:r>
      <w:r>
        <w:rPr>
          <w:rFonts w:hint="eastAsia" w:asciiTheme="minorEastAsia" w:hAnsiTheme="minorEastAsia" w:cstheme="minorEastAsia"/>
          <w:color w:val="000000" w:themeColor="text1"/>
          <w:sz w:val="22"/>
          <w:szCs w:val="22"/>
          <w:lang w:val="en-US" w:eastAsia="zh-CN"/>
          <w14:textFill>
            <w14:solidFill>
              <w14:schemeClr w14:val="tx1"/>
            </w14:solidFill>
          </w14:textFill>
        </w:rPr>
        <w:t>车站</w:t>
      </w:r>
      <w:r>
        <w:rPr>
          <w:rFonts w:hint="eastAsia" w:asciiTheme="minorEastAsia" w:hAnsiTheme="minorEastAsia" w:eastAsiaTheme="minorEastAsia" w:cstheme="minorEastAsia"/>
          <w:b w:val="0"/>
          <w:bCs/>
          <w:sz w:val="22"/>
          <w:szCs w:val="22"/>
          <w:lang w:eastAsia="zh-CN"/>
        </w:rPr>
        <w:t>无障碍</w:t>
      </w:r>
      <w:r>
        <w:rPr>
          <w:rFonts w:hint="eastAsia" w:asciiTheme="minorEastAsia" w:hAnsiTheme="minorEastAsia" w:cstheme="minorEastAsia"/>
          <w:sz w:val="22"/>
          <w:szCs w:val="22"/>
          <w:lang w:eastAsia="zh-CN"/>
        </w:rPr>
        <w:t>设施改造</w:t>
      </w:r>
      <w:r>
        <w:rPr>
          <w:rFonts w:hint="eastAsia" w:asciiTheme="minorEastAsia" w:hAnsiTheme="minorEastAsia" w:eastAsiaTheme="minorEastAsia" w:cstheme="minorEastAsia"/>
          <w:sz w:val="22"/>
          <w:szCs w:val="22"/>
        </w:rPr>
        <w:t>完成后，</w:t>
      </w:r>
      <w:r>
        <w:rPr>
          <w:rFonts w:hint="eastAsia" w:asciiTheme="minorEastAsia" w:hAnsiTheme="minorEastAsia" w:cstheme="minorEastAsia"/>
          <w:sz w:val="22"/>
          <w:szCs w:val="22"/>
          <w:lang w:eastAsia="zh-CN"/>
        </w:rPr>
        <w:t>应</w:t>
      </w:r>
      <w:r>
        <w:rPr>
          <w:rFonts w:hint="eastAsia" w:asciiTheme="minorEastAsia" w:hAnsiTheme="minorEastAsia" w:eastAsiaTheme="minorEastAsia" w:cstheme="minorEastAsia"/>
          <w:sz w:val="22"/>
          <w:szCs w:val="22"/>
        </w:rPr>
        <w:t>对该区域进行整体复原，不得出现线路裸露、地板不平整、破损等情况。</w:t>
      </w:r>
    </w:p>
    <w:p>
      <w:pPr>
        <w:keepLines w:val="0"/>
        <w:pageBreakBefore w:val="0"/>
        <w:widowControl/>
        <w:kinsoku/>
        <w:wordWrap/>
        <w:topLinePunct w:val="0"/>
        <w:bidi w:val="0"/>
        <w:spacing w:line="360" w:lineRule="auto"/>
        <w:ind w:left="0" w:leftChars="0" w:firstLine="440" w:firstLineChars="2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5</w:t>
      </w:r>
      <w:r>
        <w:rPr>
          <w:rFonts w:hint="eastAsia" w:asciiTheme="minorEastAsia" w:hAnsiTheme="minorEastAsia" w:eastAsiaTheme="minorEastAsia" w:cstheme="minorEastAsia"/>
          <w:sz w:val="22"/>
          <w:szCs w:val="22"/>
        </w:rPr>
        <w:t>）中标方按规定路线将废料及时清运出</w:t>
      </w:r>
      <w:r>
        <w:rPr>
          <w:rFonts w:hint="eastAsia" w:asciiTheme="minorEastAsia" w:hAnsiTheme="minorEastAsia" w:cstheme="minorEastAsia"/>
          <w:sz w:val="22"/>
          <w:szCs w:val="22"/>
          <w:lang w:val="en-US" w:eastAsia="zh-CN"/>
        </w:rPr>
        <w:t>车站</w:t>
      </w:r>
      <w:r>
        <w:rPr>
          <w:rFonts w:hint="eastAsia" w:asciiTheme="minorEastAsia" w:hAnsiTheme="minorEastAsia" w:eastAsiaTheme="minorEastAsia" w:cstheme="minorEastAsia"/>
          <w:sz w:val="22"/>
          <w:szCs w:val="22"/>
        </w:rPr>
        <w:t>，并负责废料的倾倒及其相应费用。</w:t>
      </w:r>
    </w:p>
    <w:p>
      <w:pPr>
        <w:pStyle w:val="2"/>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6</w:t>
      </w:r>
      <w:r>
        <w:rPr>
          <w:rFonts w:hint="eastAsia" w:asciiTheme="minorEastAsia" w:hAnsiTheme="minorEastAsia" w:eastAsiaTheme="minorEastAsia" w:cstheme="minorEastAsia"/>
          <w:sz w:val="22"/>
          <w:szCs w:val="22"/>
        </w:rPr>
        <w:t>）杜绝因建设造成航站楼设施设备损坏、停水停电等人为事故，如造成机场损失的将承担赔偿直至追究法律责任。</w:t>
      </w:r>
    </w:p>
    <w:p>
      <w:pPr>
        <w:keepLines w:val="0"/>
        <w:pageBreakBefore w:val="0"/>
        <w:widowControl/>
        <w:kinsoku/>
        <w:wordWrap/>
        <w:topLinePunct w:val="0"/>
        <w:bidi w:val="0"/>
        <w:spacing w:line="360" w:lineRule="auto"/>
        <w:ind w:firstLine="442" w:firstLineChars="200"/>
        <w:jc w:val="left"/>
        <w:rPr>
          <w:rFonts w:hint="eastAsia"/>
          <w:lang w:val="en-US" w:eastAsia="zh-CN"/>
        </w:rPr>
      </w:pPr>
      <w:r>
        <w:rPr>
          <w:rFonts w:hint="eastAsia" w:asciiTheme="minorEastAsia" w:hAnsiTheme="minorEastAsia" w:cstheme="minorEastAsia"/>
          <w:b/>
          <w:bCs/>
          <w:sz w:val="22"/>
          <w:szCs w:val="22"/>
          <w:lang w:val="en-US" w:eastAsia="zh-CN"/>
        </w:rPr>
        <w:t>（7）工程量清单（包含但不限于以下内容）</w:t>
      </w:r>
    </w:p>
    <w:tbl>
      <w:tblPr>
        <w:tblStyle w:val="15"/>
        <w:tblW w:w="8155" w:type="dxa"/>
        <w:tblInd w:w="0" w:type="dxa"/>
        <w:tblLayout w:type="fixed"/>
        <w:tblCellMar>
          <w:top w:w="0" w:type="dxa"/>
          <w:left w:w="0" w:type="dxa"/>
          <w:bottom w:w="0" w:type="dxa"/>
          <w:right w:w="0" w:type="dxa"/>
        </w:tblCellMar>
      </w:tblPr>
      <w:tblGrid>
        <w:gridCol w:w="585"/>
        <w:gridCol w:w="1750"/>
        <w:gridCol w:w="5820"/>
      </w:tblGrid>
      <w:tr>
        <w:tblPrEx>
          <w:tblCellMar>
            <w:top w:w="0" w:type="dxa"/>
            <w:left w:w="0" w:type="dxa"/>
            <w:bottom w:w="0" w:type="dxa"/>
            <w:right w:w="0" w:type="dxa"/>
          </w:tblCellMar>
        </w:tblPrEx>
        <w:trPr>
          <w:trHeight w:val="435" w:hRule="atLeast"/>
        </w:trPr>
        <w:tc>
          <w:tcPr>
            <w:tcW w:w="585" w:type="dxa"/>
            <w:tcBorders>
              <w:top w:val="single" w:color="auto" w:sz="4" w:space="0"/>
              <w:left w:val="single" w:color="auto"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序号</w:t>
            </w:r>
          </w:p>
        </w:tc>
        <w:tc>
          <w:tcPr>
            <w:tcW w:w="1750" w:type="dxa"/>
            <w:tcBorders>
              <w:top w:val="single" w:color="auto"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项目名称</w:t>
            </w:r>
          </w:p>
        </w:tc>
        <w:tc>
          <w:tcPr>
            <w:tcW w:w="5820" w:type="dxa"/>
            <w:tcBorders>
              <w:top w:val="single" w:color="auto" w:sz="4" w:space="0"/>
              <w:left w:val="single" w:color="auto" w:sz="4" w:space="0"/>
              <w:bottom w:val="nil"/>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项目特征描述</w:t>
            </w:r>
          </w:p>
        </w:tc>
      </w:tr>
      <w:tr>
        <w:tblPrEx>
          <w:tblCellMar>
            <w:top w:w="0" w:type="dxa"/>
            <w:left w:w="0" w:type="dxa"/>
            <w:bottom w:w="0" w:type="dxa"/>
            <w:right w:w="0" w:type="dxa"/>
          </w:tblCellMar>
        </w:tblPrEx>
        <w:trPr>
          <w:trHeight w:val="435" w:hRule="atLeast"/>
        </w:trPr>
        <w:tc>
          <w:tcPr>
            <w:tcW w:w="585"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T1售票柜台改造</w:t>
            </w:r>
          </w:p>
        </w:tc>
        <w:tc>
          <w:tcPr>
            <w:tcW w:w="5820" w:type="dxa"/>
            <w:tcBorders>
              <w:top w:val="single" w:color="000000" w:sz="4" w:space="0"/>
              <w:left w:val="single" w:color="auto" w:sz="4" w:space="0"/>
              <w:bottom w:val="nil"/>
              <w:right w:val="single" w:color="auto" w:sz="4" w:space="0"/>
            </w:tcBorders>
            <w:shd w:val="clear" w:color="auto" w:fill="FFFFFF"/>
            <w:tcMar>
              <w:top w:w="15" w:type="dxa"/>
              <w:left w:w="15" w:type="dxa"/>
              <w:right w:w="15" w:type="dxa"/>
            </w:tcMar>
            <w:vAlign w:val="center"/>
          </w:tcPr>
          <w:p>
            <w:pPr>
              <w:widowControl/>
              <w:numPr>
                <w:ilvl w:val="0"/>
                <w:numId w:val="0"/>
              </w:numPr>
              <w:ind w:leftChars="0"/>
              <w:jc w:val="left"/>
              <w:textAlignment w:val="center"/>
              <w:rPr>
                <w:rFonts w:hint="eastAsia"/>
                <w:lang w:val="en-US" w:eastAsia="zh-CN"/>
              </w:rPr>
            </w:pPr>
            <w:r>
              <w:rPr>
                <w:rFonts w:hint="eastAsia"/>
                <w:lang w:val="en-US" w:eastAsia="zh-CN"/>
              </w:rPr>
              <w:t>1.柜台高度不超过0.80m，地面以上0.45m范围内应无障碍物</w:t>
            </w:r>
          </w:p>
          <w:p>
            <w:pPr>
              <w:widowControl/>
              <w:numPr>
                <w:ilvl w:val="0"/>
                <w:numId w:val="0"/>
              </w:numPr>
              <w:ind w:leftChars="0"/>
              <w:jc w:val="both"/>
              <w:textAlignment w:val="center"/>
              <w:rPr>
                <w:rFonts w:hint="eastAsia"/>
              </w:rPr>
            </w:pPr>
            <w:r>
              <w:rPr>
                <w:rFonts w:hint="eastAsia"/>
                <w:lang w:val="en-US" w:eastAsia="zh-CN"/>
              </w:rPr>
              <w:t>2.地面距台面底部高度0.7m-0.75m，内部进深0.3-0.4m</w:t>
            </w:r>
          </w:p>
          <w:p>
            <w:pPr>
              <w:widowControl/>
              <w:numPr>
                <w:ilvl w:val="0"/>
                <w:numId w:val="0"/>
              </w:numPr>
              <w:ind w:leftChars="0"/>
              <w:jc w:val="left"/>
              <w:textAlignment w:val="center"/>
              <w:rPr>
                <w:rFonts w:hint="eastAsia"/>
                <w:lang w:val="en-US" w:eastAsia="zh-CN"/>
              </w:rPr>
            </w:pPr>
            <w:r>
              <w:rPr>
                <w:rFonts w:hint="eastAsia"/>
                <w:lang w:val="en-US" w:eastAsia="zh-CN"/>
              </w:rPr>
              <w:t>3.</w:t>
            </w:r>
            <w:r>
              <w:rPr>
                <w:rFonts w:hint="eastAsia"/>
              </w:rPr>
              <w:t>拆除原</w:t>
            </w:r>
            <w:r>
              <w:rPr>
                <w:rFonts w:hint="eastAsia"/>
                <w:lang w:val="en-US" w:eastAsia="zh-CN"/>
              </w:rPr>
              <w:t>进出柜台移动门</w:t>
            </w:r>
          </w:p>
          <w:p>
            <w:pPr>
              <w:widowControl/>
              <w:numPr>
                <w:ilvl w:val="0"/>
                <w:numId w:val="0"/>
              </w:numPr>
              <w:ind w:leftChars="0"/>
              <w:jc w:val="left"/>
              <w:textAlignment w:val="center"/>
              <w:rPr>
                <w:rFonts w:hint="default"/>
                <w:lang w:val="en-US" w:eastAsia="zh-CN"/>
              </w:rPr>
            </w:pPr>
            <w:r>
              <w:rPr>
                <w:rFonts w:hint="eastAsia"/>
                <w:lang w:val="en-US" w:eastAsia="zh-CN"/>
              </w:rPr>
              <w:t>4.安装防火免漆板2400×1200一块</w:t>
            </w:r>
          </w:p>
          <w:p>
            <w:pPr>
              <w:widowControl/>
              <w:numPr>
                <w:ilvl w:val="0"/>
                <w:numId w:val="0"/>
              </w:numPr>
              <w:ind w:leftChars="0"/>
              <w:jc w:val="left"/>
              <w:textAlignment w:val="center"/>
              <w:rPr>
                <w:rFonts w:hint="default"/>
                <w:lang w:val="en-US" w:eastAsia="zh-CN"/>
              </w:rPr>
            </w:pPr>
            <w:r>
              <w:rPr>
                <w:rFonts w:hint="eastAsia"/>
                <w:lang w:val="en-US" w:eastAsia="zh-CN"/>
              </w:rPr>
              <w:t>5.安装花岗岩770×120一块</w:t>
            </w:r>
          </w:p>
          <w:p>
            <w:pPr>
              <w:widowControl/>
              <w:numPr>
                <w:ilvl w:val="0"/>
                <w:numId w:val="0"/>
              </w:numPr>
              <w:ind w:leftChars="0"/>
              <w:jc w:val="left"/>
              <w:textAlignment w:val="center"/>
              <w:rPr>
                <w:rFonts w:hint="default"/>
                <w:lang w:val="en-US" w:eastAsia="zh-CN"/>
              </w:rPr>
            </w:pPr>
            <w:r>
              <w:rPr>
                <w:rFonts w:hint="eastAsia"/>
                <w:lang w:val="en-US" w:eastAsia="zh-CN"/>
              </w:rPr>
              <w:t>6.柜台装饰条安装（含玻璃胶、美纹纸等）</w:t>
            </w:r>
          </w:p>
          <w:p>
            <w:pPr>
              <w:widowControl/>
              <w:numPr>
                <w:ilvl w:val="0"/>
                <w:numId w:val="0"/>
              </w:numPr>
              <w:ind w:leftChars="0"/>
              <w:jc w:val="left"/>
              <w:textAlignment w:val="center"/>
              <w:rPr>
                <w:rFonts w:hint="default"/>
                <w:lang w:val="en-US" w:eastAsia="zh-CN"/>
              </w:rPr>
            </w:pPr>
            <w:r>
              <w:rPr>
                <w:rFonts w:hint="eastAsia"/>
                <w:lang w:val="en-US" w:eastAsia="zh-CN"/>
              </w:rPr>
              <w:t>7.铝塑饰面板五张</w:t>
            </w:r>
          </w:p>
          <w:p>
            <w:pPr>
              <w:widowControl/>
              <w:numPr>
                <w:ilvl w:val="0"/>
                <w:numId w:val="0"/>
              </w:numPr>
              <w:ind w:leftChars="0"/>
              <w:jc w:val="left"/>
              <w:textAlignment w:val="center"/>
              <w:rPr>
                <w:rFonts w:hint="eastAsia"/>
                <w:lang w:val="en-US" w:eastAsia="zh-CN"/>
              </w:rPr>
            </w:pPr>
            <w:r>
              <w:rPr>
                <w:rFonts w:hint="eastAsia"/>
                <w:lang w:val="en-US" w:eastAsia="zh-CN"/>
              </w:rPr>
              <w:t>8.拆除旧板，安装新板（含胶水等）</w:t>
            </w:r>
          </w:p>
          <w:p>
            <w:pPr>
              <w:pStyle w:val="2"/>
              <w:rPr>
                <w:rFonts w:hint="default"/>
                <w:lang w:val="en-US" w:eastAsia="zh-CN"/>
              </w:rPr>
            </w:pPr>
            <w:r>
              <w:rPr>
                <w:rFonts w:hint="eastAsia"/>
                <w:lang w:val="en-US" w:eastAsia="zh-CN"/>
              </w:rPr>
              <w:t>9.带靠背旋转售票椅2张</w:t>
            </w:r>
          </w:p>
        </w:tc>
      </w:tr>
      <w:tr>
        <w:tblPrEx>
          <w:tblCellMar>
            <w:top w:w="0" w:type="dxa"/>
            <w:left w:w="0" w:type="dxa"/>
            <w:bottom w:w="0" w:type="dxa"/>
            <w:right w:w="0" w:type="dxa"/>
          </w:tblCellMar>
        </w:tblPrEx>
        <w:trPr>
          <w:trHeight w:val="2612" w:hRule="atLeast"/>
        </w:trPr>
        <w:tc>
          <w:tcPr>
            <w:tcW w:w="585"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车站无障碍安检配套设施</w:t>
            </w:r>
          </w:p>
        </w:tc>
        <w:tc>
          <w:tcPr>
            <w:tcW w:w="5820" w:type="dxa"/>
            <w:tcBorders>
              <w:top w:val="single" w:color="000000" w:sz="4" w:space="0"/>
              <w:left w:val="single" w:color="auto" w:sz="4" w:space="0"/>
              <w:bottom w:val="nil"/>
              <w:right w:val="single" w:color="auto" w:sz="4" w:space="0"/>
            </w:tcBorders>
            <w:shd w:val="clear" w:color="auto" w:fill="FFFFFF"/>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1.防火免漆板2400×1200九块</w:t>
            </w:r>
          </w:p>
          <w:p>
            <w:pPr>
              <w:widowControl/>
              <w:numPr>
                <w:ilvl w:val="0"/>
                <w:numId w:val="0"/>
              </w:numPr>
              <w:ind w:left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2.不锈钢方管五根</w:t>
            </w:r>
          </w:p>
          <w:p>
            <w:pPr>
              <w:widowControl/>
              <w:numPr>
                <w:ilvl w:val="0"/>
                <w:numId w:val="0"/>
              </w:numPr>
              <w:ind w:left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3.喷绘一块</w:t>
            </w:r>
          </w:p>
          <w:p>
            <w:pPr>
              <w:widowControl/>
              <w:numPr>
                <w:ilvl w:val="0"/>
                <w:numId w:val="0"/>
              </w:numPr>
              <w:ind w:left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4.旧件拆除，新件安装（含辅料）</w:t>
            </w:r>
          </w:p>
          <w:p>
            <w:pPr>
              <w:widowControl/>
              <w:numPr>
                <w:ilvl w:val="0"/>
                <w:numId w:val="0"/>
              </w:numPr>
              <w:ind w:left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5.防爆灯三盏</w:t>
            </w:r>
          </w:p>
          <w:p>
            <w:pPr>
              <w:widowControl/>
              <w:numPr>
                <w:ilvl w:val="0"/>
                <w:numId w:val="0"/>
              </w:numPr>
              <w:ind w:left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6.开关面板、五孔插座面板各三块</w:t>
            </w:r>
          </w:p>
          <w:p>
            <w:pPr>
              <w:widowControl/>
              <w:numPr>
                <w:ilvl w:val="0"/>
                <w:numId w:val="0"/>
              </w:numPr>
              <w:ind w:left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7.3芯2.5平方电源线一百米</w:t>
            </w:r>
          </w:p>
          <w:p>
            <w:pPr>
              <w:widowControl/>
              <w:numPr>
                <w:ilvl w:val="0"/>
                <w:numId w:val="0"/>
              </w:numPr>
              <w:ind w:leftChars="0"/>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8.PVC线管90米</w:t>
            </w: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车站综合服务台改造</w:t>
            </w:r>
          </w:p>
        </w:tc>
        <w:tc>
          <w:tcPr>
            <w:tcW w:w="5820" w:type="dxa"/>
            <w:tcBorders>
              <w:top w:val="single" w:color="000000" w:sz="4" w:space="0"/>
              <w:left w:val="single" w:color="auto" w:sz="4" w:space="0"/>
              <w:bottom w:val="nil"/>
              <w:right w:val="single" w:color="auto" w:sz="4" w:space="0"/>
            </w:tcBorders>
            <w:shd w:val="clear" w:color="auto" w:fill="FFFFFF"/>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1.安装可翻叠防火免漆板2400×1200一块</w:t>
            </w:r>
          </w:p>
          <w:p>
            <w:pPr>
              <w:widowControl/>
              <w:numPr>
                <w:ilvl w:val="0"/>
                <w:numId w:val="0"/>
              </w:numPr>
              <w:ind w:left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2.地面台阶改坡道（防滑火烧板、黄沙、水泥、石子等）</w:t>
            </w:r>
          </w:p>
          <w:p>
            <w:pPr>
              <w:widowControl/>
              <w:numPr>
                <w:ilvl w:val="0"/>
                <w:numId w:val="0"/>
              </w:numPr>
              <w:ind w:leftChars="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3.旧板拆除、安装新板（含辅料等）</w:t>
            </w: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无障碍制度标识标牌</w:t>
            </w:r>
          </w:p>
        </w:tc>
        <w:tc>
          <w:tcPr>
            <w:tcW w:w="5820" w:type="dxa"/>
            <w:tcBorders>
              <w:top w:val="single" w:color="000000" w:sz="4" w:space="0"/>
              <w:left w:val="single" w:color="auto" w:sz="4" w:space="0"/>
              <w:bottom w:val="nil"/>
              <w:right w:val="single" w:color="auto" w:sz="4" w:space="0"/>
            </w:tcBorders>
            <w:shd w:val="clear" w:color="auto" w:fill="FFFFFF"/>
            <w:tcMar>
              <w:top w:w="15" w:type="dxa"/>
              <w:left w:w="15" w:type="dxa"/>
              <w:right w:w="15" w:type="dxa"/>
            </w:tcMar>
            <w:vAlign w:val="center"/>
          </w:tcPr>
          <w:p>
            <w:pPr>
              <w:widowControl/>
              <w:numPr>
                <w:ilvl w:val="0"/>
                <w:numId w:val="0"/>
              </w:numPr>
              <w:ind w:leftChars="0"/>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1.无障碍制度KT版二十块</w:t>
            </w:r>
          </w:p>
          <w:p>
            <w:pPr>
              <w:widowControl/>
              <w:numPr>
                <w:ilvl w:val="0"/>
                <w:numId w:val="0"/>
              </w:numPr>
              <w:ind w:leftChars="0"/>
              <w:jc w:val="left"/>
              <w:textAlignment w:val="center"/>
              <w:rPr>
                <w:rFonts w:hint="eastAsia" w:ascii="宋体" w:hAnsi="宋体" w:eastAsia="宋体" w:cs="宋体"/>
                <w:color w:val="000000"/>
                <w:kern w:val="0"/>
                <w:sz w:val="21"/>
                <w:szCs w:val="21"/>
                <w:lang w:val="en-US" w:eastAsia="zh-CN"/>
              </w:rPr>
            </w:pPr>
            <w:r>
              <w:rPr>
                <w:rFonts w:hint="eastAsia"/>
                <w:lang w:val="en-US" w:eastAsia="zh-CN"/>
              </w:rPr>
              <w:t>2.其他与无障碍相关配套标识标牌</w:t>
            </w: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numPr>
                <w:ilvl w:val="0"/>
                <w:numId w:val="0"/>
              </w:numPr>
              <w:ind w:leftChars="0"/>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其他</w:t>
            </w:r>
          </w:p>
        </w:tc>
        <w:tc>
          <w:tcPr>
            <w:tcW w:w="5820" w:type="dxa"/>
            <w:tcBorders>
              <w:top w:val="single" w:color="000000" w:sz="4" w:space="0"/>
              <w:left w:val="single" w:color="auto" w:sz="4" w:space="0"/>
              <w:bottom w:val="nil"/>
              <w:right w:val="single" w:color="auto" w:sz="4" w:space="0"/>
            </w:tcBorders>
            <w:shd w:val="clear" w:color="auto" w:fill="FFFFFF"/>
            <w:tcMar>
              <w:top w:w="15" w:type="dxa"/>
              <w:left w:w="15" w:type="dxa"/>
              <w:right w:w="15" w:type="dxa"/>
            </w:tcMar>
            <w:vAlign w:val="center"/>
          </w:tcPr>
          <w:p>
            <w:pPr>
              <w:widowControl/>
              <w:numPr>
                <w:ilvl w:val="0"/>
                <w:numId w:val="0"/>
              </w:numPr>
              <w:ind w:leftChars="0"/>
              <w:jc w:val="left"/>
              <w:textAlignment w:val="center"/>
              <w:rPr>
                <w:rFonts w:hint="default"/>
                <w:lang w:val="en-US" w:eastAsia="zh-CN"/>
              </w:rPr>
            </w:pPr>
            <w:r>
              <w:rPr>
                <w:rFonts w:hint="eastAsia"/>
                <w:lang w:val="en-US" w:eastAsia="zh-CN"/>
              </w:rPr>
              <w:t>1.无障碍旅客休息一桌十椅</w:t>
            </w:r>
          </w:p>
        </w:tc>
      </w:tr>
      <w:tr>
        <w:tblPrEx>
          <w:tblCellMar>
            <w:top w:w="0" w:type="dxa"/>
            <w:left w:w="0" w:type="dxa"/>
            <w:bottom w:w="0" w:type="dxa"/>
            <w:right w:w="0" w:type="dxa"/>
          </w:tblCellMar>
        </w:tblPrEx>
        <w:trPr>
          <w:trHeight w:val="440" w:hRule="atLeast"/>
        </w:trPr>
        <w:tc>
          <w:tcPr>
            <w:tcW w:w="5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w:t>
            </w:r>
          </w:p>
        </w:tc>
        <w:tc>
          <w:tcPr>
            <w:tcW w:w="17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建筑垃圾外运</w:t>
            </w:r>
          </w:p>
        </w:tc>
        <w:tc>
          <w:tcPr>
            <w:tcW w:w="58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垃圾清运</w:t>
            </w:r>
          </w:p>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费用暂估，最终以结算审核为准</w:t>
            </w:r>
          </w:p>
        </w:tc>
      </w:tr>
    </w:tbl>
    <w:p>
      <w:pPr>
        <w:keepNext w:val="0"/>
        <w:keepLines w:val="0"/>
        <w:pageBreakBefore w:val="0"/>
        <w:kinsoku/>
        <w:wordWrap/>
        <w:overflowPunct/>
        <w:topLinePunct w:val="0"/>
        <w:autoSpaceDE/>
        <w:autoSpaceDN/>
        <w:bidi w:val="0"/>
        <w:adjustRightInd/>
        <w:spacing w:line="360" w:lineRule="auto"/>
        <w:ind w:firstLine="221" w:firstLineChars="100"/>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 xml:space="preserve">  3．其他要求</w:t>
      </w:r>
    </w:p>
    <w:p>
      <w:pPr>
        <w:keepNext w:val="0"/>
        <w:keepLines w:val="0"/>
        <w:pageBreakBefore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b/>
          <w:color w:val="FF0000"/>
          <w:sz w:val="22"/>
          <w:szCs w:val="22"/>
        </w:rPr>
      </w:pPr>
      <w:r>
        <w:rPr>
          <w:rFonts w:hint="eastAsia" w:asciiTheme="minorEastAsia" w:hAnsiTheme="minorEastAsia" w:eastAsiaTheme="minorEastAsia" w:cstheme="minorEastAsia"/>
          <w:sz w:val="22"/>
          <w:szCs w:val="22"/>
        </w:rPr>
        <w:t>投标人应提</w:t>
      </w:r>
      <w:r>
        <w:rPr>
          <w:rFonts w:hint="eastAsia" w:asciiTheme="minorEastAsia" w:hAnsiTheme="minorEastAsia" w:eastAsiaTheme="minorEastAsia" w:cstheme="minorEastAsia"/>
          <w:color w:val="000000" w:themeColor="text1"/>
          <w:sz w:val="22"/>
          <w:szCs w:val="22"/>
          <w14:textFill>
            <w14:solidFill>
              <w14:schemeClr w14:val="tx1"/>
            </w14:solidFill>
          </w14:textFill>
        </w:rPr>
        <w:t>出</w:t>
      </w:r>
      <w:r>
        <w:rPr>
          <w:rFonts w:hint="eastAsia" w:asciiTheme="minorEastAsia" w:hAnsiTheme="minorEastAsia" w:cstheme="minorEastAsia"/>
          <w:color w:val="000000" w:themeColor="text1"/>
          <w:sz w:val="22"/>
          <w:szCs w:val="22"/>
          <w:lang w:eastAsia="zh-CN"/>
          <w14:textFill>
            <w14:solidFill>
              <w14:schemeClr w14:val="tx1"/>
            </w14:solidFill>
          </w14:textFill>
        </w:rPr>
        <w:t>车站无障碍柜台改造</w:t>
      </w:r>
      <w:r>
        <w:rPr>
          <w:rFonts w:hint="eastAsia" w:asciiTheme="minorEastAsia" w:hAnsiTheme="minorEastAsia" w:eastAsiaTheme="minorEastAsia" w:cstheme="minorEastAsia"/>
          <w:color w:val="000000" w:themeColor="text1"/>
          <w:sz w:val="22"/>
          <w:szCs w:val="22"/>
          <w14:textFill>
            <w14:solidFill>
              <w14:schemeClr w14:val="tx1"/>
            </w14:solidFill>
          </w14:textFill>
        </w:rPr>
        <w:t>的总体设计方案和施工方案，</w:t>
      </w:r>
      <w:r>
        <w:rPr>
          <w:rFonts w:hint="eastAsia" w:asciiTheme="minorEastAsia" w:hAnsiTheme="minorEastAsia" w:cstheme="minorEastAsia"/>
          <w:color w:val="000000" w:themeColor="text1"/>
          <w:sz w:val="22"/>
          <w:szCs w:val="22"/>
          <w:lang w:eastAsia="zh-CN"/>
          <w14:textFill>
            <w14:solidFill>
              <w14:schemeClr w14:val="tx1"/>
            </w14:solidFill>
          </w14:textFill>
        </w:rPr>
        <w:t>航站楼问询台</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无障碍</w:t>
      </w:r>
      <w:r>
        <w:rPr>
          <w:rFonts w:hint="eastAsia" w:asciiTheme="minorEastAsia" w:hAnsiTheme="minorEastAsia" w:cstheme="minorEastAsia"/>
          <w:color w:val="000000" w:themeColor="text1"/>
          <w:sz w:val="22"/>
          <w:szCs w:val="22"/>
          <w:lang w:eastAsia="zh-CN"/>
          <w14:textFill>
            <w14:solidFill>
              <w14:schemeClr w14:val="tx1"/>
            </w14:solidFill>
          </w14:textFill>
        </w:rPr>
        <w:t>设施</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改造</w:t>
      </w:r>
      <w:r>
        <w:rPr>
          <w:rFonts w:hint="eastAsia" w:asciiTheme="minorEastAsia" w:hAnsiTheme="minorEastAsia" w:cstheme="minorEastAsia"/>
          <w:color w:val="000000" w:themeColor="text1"/>
          <w:sz w:val="22"/>
          <w:szCs w:val="22"/>
          <w:lang w:eastAsia="zh-CN"/>
          <w14:textFill>
            <w14:solidFill>
              <w14:schemeClr w14:val="tx1"/>
            </w14:solidFill>
          </w14:textFill>
        </w:rPr>
        <w:t>还需</w:t>
      </w:r>
      <w:r>
        <w:rPr>
          <w:rFonts w:hint="eastAsia" w:asciiTheme="minorEastAsia" w:hAnsiTheme="minorEastAsia" w:eastAsiaTheme="minorEastAsia" w:cstheme="minorEastAsia"/>
          <w:color w:val="000000" w:themeColor="text1"/>
          <w:sz w:val="22"/>
          <w:szCs w:val="22"/>
          <w14:textFill>
            <w14:solidFill>
              <w14:schemeClr w14:val="tx1"/>
            </w14:solidFill>
          </w14:textFill>
        </w:rPr>
        <w:t>提供外观结构样式、装饰装修、选材用材、强弱电安装、区域功能设计、标识标牌等详细说明并附至少</w:t>
      </w:r>
      <w:r>
        <w:rPr>
          <w:rFonts w:hint="eastAsia" w:asciiTheme="minorEastAsia" w:hAnsiTheme="minorEastAsia" w:cstheme="minorEastAsia"/>
          <w:color w:val="000000" w:themeColor="text1"/>
          <w:sz w:val="22"/>
          <w:szCs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14:textFill>
            <w14:solidFill>
              <w14:schemeClr w14:val="tx1"/>
            </w14:solidFill>
          </w14:textFill>
        </w:rPr>
        <w:t>张设计效果图和</w:t>
      </w:r>
      <w:r>
        <w:rPr>
          <w:rFonts w:hint="eastAsia" w:asciiTheme="minorEastAsia" w:hAnsiTheme="minorEastAsia" w:cstheme="minorEastAsia"/>
          <w:color w:val="000000" w:themeColor="text1"/>
          <w:sz w:val="22"/>
          <w:szCs w:val="22"/>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14:textFill>
            <w14:solidFill>
              <w14:schemeClr w14:val="tx1"/>
            </w14:solidFill>
          </w14:textFill>
        </w:rPr>
        <w:t>张不同角度的现场效果图。</w:t>
      </w:r>
    </w:p>
    <w:p>
      <w:pPr>
        <w:keepNext w:val="0"/>
        <w:keepLines w:val="0"/>
        <w:pageBreakBefore w:val="0"/>
        <w:kinsoku/>
        <w:wordWrap/>
        <w:overflowPunct/>
        <w:topLinePunct w:val="0"/>
        <w:autoSpaceDE/>
        <w:autoSpaceDN/>
        <w:bidi w:val="0"/>
        <w:adjustRightInd/>
        <w:spacing w:line="360" w:lineRule="auto"/>
        <w:ind w:firstLine="442" w:firstLineChars="200"/>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三、付款方式</w:t>
      </w:r>
    </w:p>
    <w:p>
      <w:pPr>
        <w:pStyle w:val="12"/>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auto"/>
        <w:rPr>
          <w:rFonts w:hint="eastAsia" w:asciiTheme="minorEastAsia" w:hAnsiTheme="minorEastAsia" w:eastAsiaTheme="minorEastAsia" w:cstheme="minorEastAsia"/>
          <w:b w:val="0"/>
          <w:bCs w:val="0"/>
          <w:color w:val="auto"/>
          <w:kern w:val="2"/>
          <w:sz w:val="22"/>
          <w:szCs w:val="22"/>
        </w:rPr>
      </w:pPr>
      <w:r>
        <w:rPr>
          <w:rFonts w:hint="eastAsia" w:asciiTheme="minorEastAsia" w:hAnsiTheme="minorEastAsia" w:eastAsiaTheme="minorEastAsia" w:cstheme="minorEastAsia"/>
          <w:b w:val="0"/>
          <w:bCs w:val="0"/>
          <w:color w:val="auto"/>
          <w:kern w:val="2"/>
          <w:sz w:val="22"/>
          <w:szCs w:val="22"/>
        </w:rPr>
        <w:t>1</w:t>
      </w:r>
      <w:r>
        <w:rPr>
          <w:rFonts w:hint="eastAsia" w:asciiTheme="minorEastAsia" w:hAnsiTheme="minorEastAsia" w:eastAsiaTheme="minorEastAsia" w:cstheme="minorEastAsia"/>
          <w:b w:val="0"/>
          <w:bCs w:val="0"/>
          <w:sz w:val="22"/>
          <w:szCs w:val="22"/>
        </w:rPr>
        <w:t>．</w:t>
      </w:r>
      <w:r>
        <w:rPr>
          <w:rFonts w:hint="eastAsia" w:asciiTheme="minorEastAsia" w:hAnsiTheme="minorEastAsia" w:eastAsiaTheme="minorEastAsia" w:cstheme="minorEastAsia"/>
          <w:b w:val="0"/>
          <w:bCs w:val="0"/>
          <w:color w:val="auto"/>
          <w:kern w:val="2"/>
          <w:sz w:val="22"/>
          <w:szCs w:val="22"/>
        </w:rPr>
        <w:t>经甲方验收合格后【15】个工作日内，支付至合同总金额的95%.</w:t>
      </w:r>
    </w:p>
    <w:p>
      <w:pPr>
        <w:pStyle w:val="12"/>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auto"/>
        <w:rPr>
          <w:rFonts w:hint="eastAsia" w:asciiTheme="minorEastAsia" w:hAnsiTheme="minorEastAsia" w:eastAsiaTheme="minorEastAsia" w:cstheme="minorEastAsia"/>
          <w:b w:val="0"/>
          <w:bCs w:val="0"/>
          <w:color w:val="auto"/>
          <w:kern w:val="2"/>
          <w:sz w:val="22"/>
          <w:szCs w:val="22"/>
        </w:rPr>
      </w:pPr>
      <w:r>
        <w:rPr>
          <w:rFonts w:hint="eastAsia" w:asciiTheme="minorEastAsia" w:hAnsiTheme="minorEastAsia" w:eastAsiaTheme="minorEastAsia" w:cstheme="minorEastAsia"/>
          <w:b w:val="0"/>
          <w:bCs w:val="0"/>
          <w:color w:val="auto"/>
          <w:kern w:val="2"/>
          <w:sz w:val="22"/>
          <w:szCs w:val="22"/>
        </w:rPr>
        <w:t>2</w:t>
      </w:r>
      <w:r>
        <w:rPr>
          <w:rFonts w:hint="eastAsia" w:asciiTheme="minorEastAsia" w:hAnsiTheme="minorEastAsia" w:eastAsiaTheme="minorEastAsia" w:cstheme="minorEastAsia"/>
          <w:b w:val="0"/>
          <w:bCs w:val="0"/>
          <w:color w:val="auto"/>
          <w:sz w:val="22"/>
          <w:szCs w:val="22"/>
        </w:rPr>
        <w:t>．</w:t>
      </w:r>
      <w:r>
        <w:rPr>
          <w:rFonts w:hint="eastAsia" w:asciiTheme="minorEastAsia" w:hAnsiTheme="minorEastAsia" w:eastAsiaTheme="minorEastAsia" w:cstheme="minorEastAsia"/>
          <w:b w:val="0"/>
          <w:bCs w:val="0"/>
          <w:color w:val="auto"/>
          <w:kern w:val="2"/>
          <w:sz w:val="22"/>
          <w:szCs w:val="22"/>
        </w:rPr>
        <w:t>质量保证金为合同总价5%，质保期</w:t>
      </w:r>
      <w:r>
        <w:rPr>
          <w:rFonts w:hint="eastAsia" w:asciiTheme="minorEastAsia" w:hAnsiTheme="minorEastAsia" w:eastAsiaTheme="minorEastAsia" w:cstheme="minorEastAsia"/>
          <w:b w:val="0"/>
          <w:bCs w:val="0"/>
          <w:color w:val="auto"/>
          <w:kern w:val="2"/>
          <w:sz w:val="22"/>
          <w:szCs w:val="22"/>
          <w:lang w:val="en-US" w:eastAsia="zh-CN"/>
        </w:rPr>
        <w:t>一</w:t>
      </w:r>
      <w:r>
        <w:rPr>
          <w:rFonts w:hint="eastAsia" w:asciiTheme="minorEastAsia" w:hAnsiTheme="minorEastAsia" w:eastAsiaTheme="minorEastAsia" w:cstheme="minorEastAsia"/>
          <w:b w:val="0"/>
          <w:bCs w:val="0"/>
          <w:color w:val="auto"/>
          <w:kern w:val="2"/>
          <w:sz w:val="22"/>
          <w:szCs w:val="22"/>
        </w:rPr>
        <w:t>年，于质量保证期满后【十五】工作日内一并无息支付。</w:t>
      </w:r>
    </w:p>
    <w:p>
      <w:pPr>
        <w:pStyle w:val="12"/>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auto"/>
        <w:rPr>
          <w:rFonts w:hint="eastAsia" w:asciiTheme="minorEastAsia" w:hAnsiTheme="minorEastAsia" w:eastAsiaTheme="minorEastAsia" w:cstheme="minorEastAsia"/>
          <w:b w:val="0"/>
          <w:bCs w:val="0"/>
          <w:color w:val="auto"/>
          <w:kern w:val="2"/>
          <w:sz w:val="22"/>
          <w:szCs w:val="22"/>
        </w:rPr>
      </w:pPr>
      <w:r>
        <w:rPr>
          <w:rFonts w:hint="eastAsia" w:asciiTheme="minorEastAsia" w:hAnsiTheme="minorEastAsia" w:eastAsiaTheme="minorEastAsia" w:cstheme="minorEastAsia"/>
          <w:b w:val="0"/>
          <w:bCs w:val="0"/>
          <w:color w:val="auto"/>
          <w:kern w:val="2"/>
          <w:sz w:val="22"/>
          <w:szCs w:val="22"/>
        </w:rPr>
        <w:t>3</w:t>
      </w:r>
      <w:r>
        <w:rPr>
          <w:rFonts w:hint="eastAsia" w:asciiTheme="minorEastAsia" w:hAnsiTheme="minorEastAsia" w:eastAsiaTheme="minorEastAsia" w:cstheme="minorEastAsia"/>
          <w:b w:val="0"/>
          <w:bCs w:val="0"/>
          <w:sz w:val="22"/>
          <w:szCs w:val="22"/>
        </w:rPr>
        <w:t>．</w:t>
      </w:r>
      <w:r>
        <w:rPr>
          <w:rFonts w:hint="eastAsia" w:asciiTheme="minorEastAsia" w:hAnsiTheme="minorEastAsia" w:eastAsiaTheme="minorEastAsia" w:cstheme="minorEastAsia"/>
          <w:b w:val="0"/>
          <w:bCs w:val="0"/>
          <w:color w:val="auto"/>
          <w:kern w:val="2"/>
          <w:sz w:val="22"/>
          <w:szCs w:val="22"/>
        </w:rPr>
        <w:t>乙方在甲方每次付款前开具正式增值税发票。</w:t>
      </w:r>
    </w:p>
    <w:p>
      <w:pPr>
        <w:keepNext w:val="0"/>
        <w:keepLines w:val="0"/>
        <w:pageBreakBefore w:val="0"/>
        <w:kinsoku/>
        <w:wordWrap/>
        <w:overflowPunct/>
        <w:topLinePunct w:val="0"/>
        <w:autoSpaceDE/>
        <w:autoSpaceDN/>
        <w:bidi w:val="0"/>
        <w:adjustRightInd/>
        <w:spacing w:line="360" w:lineRule="auto"/>
        <w:ind w:firstLine="442" w:firstLineChars="200"/>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四、</w:t>
      </w:r>
      <w:r>
        <w:rPr>
          <w:rFonts w:hint="eastAsia" w:asciiTheme="minorEastAsia" w:hAnsiTheme="minorEastAsia" w:cstheme="minorEastAsia"/>
          <w:b/>
          <w:sz w:val="22"/>
          <w:szCs w:val="22"/>
          <w:lang w:eastAsia="zh-CN"/>
        </w:rPr>
        <w:t>施工</w:t>
      </w:r>
      <w:r>
        <w:rPr>
          <w:rFonts w:hint="eastAsia" w:asciiTheme="minorEastAsia" w:hAnsiTheme="minorEastAsia" w:eastAsiaTheme="minorEastAsia" w:cstheme="minorEastAsia"/>
          <w:b/>
          <w:sz w:val="22"/>
          <w:szCs w:val="22"/>
        </w:rPr>
        <w:t>期</w:t>
      </w:r>
    </w:p>
    <w:p>
      <w:pPr>
        <w:keepLines w:val="0"/>
        <w:pageBreakBefore w:val="0"/>
        <w:kinsoku/>
        <w:wordWrap/>
        <w:topLinePunct w:val="0"/>
        <w:bidi w:val="0"/>
        <w:spacing w:line="360" w:lineRule="auto"/>
        <w:ind w:firstLine="440" w:firstLineChars="200"/>
        <w:rPr>
          <w:rFonts w:hint="eastAsia"/>
        </w:rPr>
      </w:pPr>
      <w:r>
        <w:rPr>
          <w:rFonts w:hint="eastAsia" w:asciiTheme="minorEastAsia" w:hAnsiTheme="minorEastAsia" w:eastAsiaTheme="minorEastAsia" w:cstheme="minorEastAsia"/>
          <w:sz w:val="22"/>
          <w:szCs w:val="22"/>
        </w:rPr>
        <w:t>合同签订后30日历天内（含</w:t>
      </w:r>
      <w:r>
        <w:rPr>
          <w:rFonts w:hint="eastAsia" w:asciiTheme="minorEastAsia" w:hAnsiTheme="minorEastAsia" w:eastAsiaTheme="minorEastAsia" w:cstheme="minorEastAsia"/>
          <w:sz w:val="22"/>
          <w:szCs w:val="22"/>
          <w:lang w:eastAsia="zh-CN"/>
        </w:rPr>
        <w:t>方案设计</w:t>
      </w:r>
      <w:r>
        <w:rPr>
          <w:rFonts w:hint="eastAsia" w:asciiTheme="minorEastAsia" w:hAnsiTheme="minorEastAsia" w:eastAsiaTheme="minorEastAsia" w:cstheme="minorEastAsia"/>
          <w:sz w:val="22"/>
          <w:szCs w:val="22"/>
        </w:rPr>
        <w:t>、柜台</w:t>
      </w:r>
      <w:r>
        <w:rPr>
          <w:rFonts w:hint="eastAsia" w:asciiTheme="minorEastAsia" w:hAnsiTheme="minorEastAsia" w:cstheme="minorEastAsia"/>
          <w:sz w:val="22"/>
          <w:szCs w:val="22"/>
          <w:lang w:eastAsia="zh-CN"/>
        </w:rPr>
        <w:t>改造、</w:t>
      </w:r>
      <w:r>
        <w:rPr>
          <w:rFonts w:hint="eastAsia" w:asciiTheme="minorEastAsia" w:hAnsiTheme="minorEastAsia" w:cstheme="minorEastAsia"/>
          <w:sz w:val="22"/>
          <w:szCs w:val="22"/>
          <w:lang w:val="en-US" w:eastAsia="zh-CN"/>
        </w:rPr>
        <w:t>坡道改造</w:t>
      </w:r>
      <w:r>
        <w:rPr>
          <w:rFonts w:hint="eastAsia" w:asciiTheme="minorEastAsia" w:hAnsiTheme="minorEastAsia" w:eastAsiaTheme="minorEastAsia" w:cstheme="minorEastAsia"/>
          <w:sz w:val="22"/>
          <w:szCs w:val="22"/>
        </w:rPr>
        <w:t>等）。</w:t>
      </w:r>
    </w:p>
    <w:p>
      <w:pPr>
        <w:rPr>
          <w:rFonts w:hint="eastAsia"/>
        </w:rPr>
      </w:pPr>
      <w:bookmarkStart w:id="107" w:name="_Toc321925457"/>
    </w:p>
    <w:p>
      <w:pPr>
        <w:keepLines w:val="0"/>
        <w:pageBreakBefore w:val="0"/>
        <w:kinsoku/>
        <w:wordWrap/>
        <w:topLinePunct w:val="0"/>
        <w:bidi w:val="0"/>
        <w:spacing w:line="360" w:lineRule="auto"/>
        <w:rPr>
          <w:rFonts w:hint="eastAsia"/>
        </w:rPr>
      </w:pPr>
      <w:r>
        <w:rPr>
          <w:rFonts w:hint="eastAsia"/>
        </w:rPr>
        <w:br w:type="page"/>
      </w:r>
    </w:p>
    <w:p>
      <w:pPr>
        <w:pStyle w:val="14"/>
        <w:keepLines w:val="0"/>
        <w:pageBreakBefore w:val="0"/>
        <w:kinsoku/>
        <w:wordWrap/>
        <w:topLinePunct w:val="0"/>
        <w:bidi w:val="0"/>
        <w:spacing w:line="360" w:lineRule="auto"/>
      </w:pPr>
      <w:r>
        <w:rPr>
          <w:rFonts w:hint="eastAsia"/>
        </w:rPr>
        <w:t>第六章投标文件格式</w:t>
      </w:r>
      <w:bookmarkEnd w:id="107"/>
    </w:p>
    <w:p>
      <w:pPr>
        <w:keepLines w:val="0"/>
        <w:pageBreakBefore w:val="0"/>
        <w:kinsoku/>
        <w:wordWrap/>
        <w:topLinePunct w:val="0"/>
        <w:bidi w:val="0"/>
        <w:spacing w:line="360" w:lineRule="auto"/>
        <w:jc w:val="center"/>
        <w:rPr>
          <w:rFonts w:cs="Calibri"/>
          <w:b/>
          <w:color w:val="000000" w:themeColor="text1"/>
          <w:sz w:val="28"/>
          <w:szCs w:val="28"/>
          <w14:textFill>
            <w14:solidFill>
              <w14:schemeClr w14:val="tx1"/>
            </w14:solidFill>
          </w14:textFill>
        </w:rPr>
      </w:pPr>
      <w:r>
        <w:rPr>
          <w:rFonts w:hint="eastAsia" w:cs="Calibri"/>
          <w:b/>
          <w:color w:val="000000" w:themeColor="text1"/>
          <w:sz w:val="28"/>
          <w:szCs w:val="28"/>
          <w14:textFill>
            <w14:solidFill>
              <w14:schemeClr w14:val="tx1"/>
            </w14:solidFill>
          </w14:textFill>
        </w:rPr>
        <w:t>目录</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封面</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一、投标函；</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二、法定代表人资格证明书；</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三、授权委托书；</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四、投标报价表；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cstheme="minorEastAsia"/>
          <w:sz w:val="22"/>
          <w:szCs w:val="22"/>
          <w:lang w:eastAsia="zh-CN"/>
        </w:rPr>
      </w:pPr>
      <w:r>
        <w:rPr>
          <w:rFonts w:hint="eastAsia" w:asciiTheme="minorEastAsia" w:hAnsiTheme="minorEastAsia" w:cstheme="minorEastAsia"/>
          <w:sz w:val="22"/>
          <w:szCs w:val="22"/>
          <w:lang w:eastAsia="zh-CN"/>
        </w:rPr>
        <w:t>五</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技术</w:t>
      </w:r>
      <w:r>
        <w:rPr>
          <w:rFonts w:hint="eastAsia" w:asciiTheme="minorEastAsia" w:hAnsiTheme="minorEastAsia" w:cstheme="minorEastAsia"/>
          <w:sz w:val="22"/>
          <w:szCs w:val="22"/>
          <w:lang w:eastAsia="zh-CN"/>
        </w:rPr>
        <w:t>文件；</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eastAsiaTheme="minorEastAsia"/>
          <w:sz w:val="22"/>
          <w:szCs w:val="22"/>
          <w:lang w:val="en-US" w:eastAsia="zh-CN"/>
        </w:rPr>
      </w:pPr>
      <w:r>
        <w:rPr>
          <w:rFonts w:hint="eastAsia"/>
          <w:sz w:val="22"/>
          <w:szCs w:val="22"/>
          <w:lang w:val="en-US" w:eastAsia="zh-CN"/>
        </w:rPr>
        <w:t>六、项目管理机构；</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sz w:val="22"/>
          <w:szCs w:val="22"/>
          <w:lang w:eastAsia="zh-CN"/>
        </w:rPr>
        <w:t>七</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color w:val="000000"/>
          <w:sz w:val="22"/>
          <w:szCs w:val="22"/>
        </w:rPr>
        <w:t>资格审查资料</w:t>
      </w:r>
      <w:r>
        <w:rPr>
          <w:rFonts w:hint="eastAsia" w:asciiTheme="minorEastAsia" w:hAnsiTheme="minorEastAsia" w:cstheme="minorEastAsia"/>
          <w:color w:val="000000"/>
          <w:sz w:val="22"/>
          <w:szCs w:val="2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color w:val="auto"/>
          <w:sz w:val="22"/>
          <w:szCs w:val="22"/>
          <w:lang w:eastAsia="zh-CN"/>
        </w:rPr>
        <w:t>八</w:t>
      </w:r>
      <w:r>
        <w:rPr>
          <w:rFonts w:hint="eastAsia" w:asciiTheme="minorEastAsia" w:hAnsiTheme="minorEastAsia" w:eastAsiaTheme="minorEastAsia" w:cstheme="minorEastAsia"/>
          <w:color w:val="auto"/>
          <w:sz w:val="22"/>
          <w:szCs w:val="22"/>
        </w:rPr>
        <w:t>、</w:t>
      </w:r>
      <w:r>
        <w:rPr>
          <w:rFonts w:hint="eastAsia" w:asciiTheme="minorEastAsia" w:hAnsiTheme="minorEastAsia" w:cstheme="minorEastAsia"/>
          <w:sz w:val="22"/>
          <w:szCs w:val="22"/>
          <w:lang w:eastAsia="zh-CN"/>
        </w:rPr>
        <w:t>投标人认为应该提供的其他材料。</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sz w:val="22"/>
          <w:szCs w:val="22"/>
        </w:rPr>
      </w:pPr>
    </w:p>
    <w:p>
      <w:pPr>
        <w:pStyle w:val="14"/>
        <w:rPr>
          <w:rFonts w:hint="eastAsia" w:asciiTheme="minorEastAsia" w:hAnsiTheme="minorEastAsia" w:eastAsiaTheme="minorEastAsia" w:cstheme="minorEastAsia"/>
          <w:sz w:val="22"/>
          <w:szCs w:val="22"/>
        </w:rPr>
      </w:pP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注：未提供格式的由投标人自行拟定格式。</w:t>
      </w:r>
    </w:p>
    <w:p>
      <w:pPr>
        <w:pStyle w:val="14"/>
        <w:jc w:val="both"/>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jc w:val="both"/>
        <w:rPr>
          <w:rFonts w:hint="eastAsia"/>
        </w:rPr>
      </w:pPr>
    </w:p>
    <w:p>
      <w:pPr>
        <w:keepLines w:val="0"/>
        <w:pageBreakBefore w:val="0"/>
        <w:kinsoku/>
        <w:wordWrap/>
        <w:topLinePunct w:val="0"/>
        <w:bidi w:val="0"/>
        <w:spacing w:line="360" w:lineRule="auto"/>
        <w:ind w:right="420"/>
        <w:jc w:val="right"/>
        <w:rPr>
          <w:rFonts w:cs="Calibri"/>
          <w:color w:val="000000"/>
        </w:rPr>
      </w:pPr>
      <w:r>
        <w:rPr>
          <w:rFonts w:hint="eastAsia" w:cs="Calibri"/>
          <w:color w:val="000000"/>
        </w:rPr>
        <w:t>正本（或副本）</w:t>
      </w:r>
    </w:p>
    <w:p>
      <w:pPr>
        <w:keepLines w:val="0"/>
        <w:pageBreakBefore w:val="0"/>
        <w:kinsoku/>
        <w:wordWrap/>
        <w:topLinePunct w:val="0"/>
        <w:bidi w:val="0"/>
        <w:spacing w:line="360" w:lineRule="auto"/>
        <w:rPr>
          <w:rFonts w:cs="Calibri"/>
          <w:color w:val="000000"/>
          <w:u w:val="single"/>
        </w:rPr>
      </w:pPr>
      <w:bookmarkStart w:id="108" w:name="_Toc171421958"/>
      <w:r>
        <w:rPr>
          <w:rFonts w:hint="eastAsia" w:cs="Calibri"/>
          <w:color w:val="000000"/>
        </w:rPr>
        <w:t>封面</w:t>
      </w:r>
      <w:bookmarkEnd w:id="108"/>
    </w:p>
    <w:p>
      <w:pPr>
        <w:keepLines w:val="0"/>
        <w:pageBreakBefore w:val="0"/>
        <w:kinsoku/>
        <w:wordWrap/>
        <w:topLinePunct w:val="0"/>
        <w:autoSpaceDE w:val="0"/>
        <w:autoSpaceDN w:val="0"/>
        <w:bidi w:val="0"/>
        <w:adjustRightInd w:val="0"/>
        <w:spacing w:line="360" w:lineRule="auto"/>
        <w:jc w:val="center"/>
        <w:rPr>
          <w:rFonts w:cs="Calibri"/>
          <w:b/>
          <w:spacing w:val="20"/>
          <w:kern w:val="0"/>
          <w:sz w:val="48"/>
          <w:szCs w:val="48"/>
        </w:rPr>
      </w:pPr>
    </w:p>
    <w:p>
      <w:pPr>
        <w:keepLines w:val="0"/>
        <w:pageBreakBefore w:val="0"/>
        <w:kinsoku/>
        <w:wordWrap/>
        <w:topLinePunct w:val="0"/>
        <w:autoSpaceDE w:val="0"/>
        <w:autoSpaceDN w:val="0"/>
        <w:bidi w:val="0"/>
        <w:adjustRightInd w:val="0"/>
        <w:spacing w:line="360" w:lineRule="auto"/>
        <w:jc w:val="center"/>
        <w:rPr>
          <w:rFonts w:hint="eastAsia" w:eastAsia="黑体" w:cs="Calibri"/>
          <w:b/>
          <w:sz w:val="44"/>
          <w:szCs w:val="44"/>
        </w:rPr>
      </w:pPr>
      <w:r>
        <w:rPr>
          <w:rFonts w:hint="eastAsia" w:eastAsia="黑体" w:cs="Calibri"/>
          <w:b/>
          <w:sz w:val="44"/>
          <w:szCs w:val="44"/>
        </w:rPr>
        <w:t>杭州萧山国际机场</w:t>
      </w:r>
    </w:p>
    <w:p>
      <w:pPr>
        <w:keepLines w:val="0"/>
        <w:pageBreakBefore w:val="0"/>
        <w:kinsoku/>
        <w:wordWrap/>
        <w:topLinePunct w:val="0"/>
        <w:autoSpaceDE w:val="0"/>
        <w:autoSpaceDN w:val="0"/>
        <w:bidi w:val="0"/>
        <w:adjustRightInd w:val="0"/>
        <w:spacing w:line="360" w:lineRule="auto"/>
        <w:jc w:val="both"/>
        <w:rPr>
          <w:rFonts w:hint="default" w:eastAsia="黑体" w:cs="Calibri"/>
          <w:b/>
          <w:sz w:val="44"/>
          <w:szCs w:val="44"/>
          <w:u w:val="single"/>
          <w:lang w:val="en-US" w:eastAsia="zh-CN"/>
        </w:rPr>
      </w:pPr>
      <w:r>
        <w:rPr>
          <w:rFonts w:hint="eastAsia" w:eastAsia="黑体" w:cs="Calibri"/>
          <w:b/>
          <w:sz w:val="44"/>
          <w:szCs w:val="44"/>
          <w:u w:val="none"/>
          <w:lang w:val="en-US" w:eastAsia="zh-CN"/>
        </w:rPr>
        <w:t xml:space="preserve">       </w:t>
      </w:r>
      <w:r>
        <w:rPr>
          <w:rFonts w:hint="eastAsia" w:eastAsia="黑体" w:cs="Calibri"/>
          <w:b/>
          <w:sz w:val="44"/>
          <w:szCs w:val="44"/>
          <w:u w:val="single"/>
          <w:lang w:val="en-US" w:eastAsia="zh-CN"/>
        </w:rPr>
        <w:t xml:space="preserve">                        </w:t>
      </w:r>
    </w:p>
    <w:p>
      <w:pPr>
        <w:keepLines w:val="0"/>
        <w:pageBreakBefore w:val="0"/>
        <w:kinsoku/>
        <w:wordWrap/>
        <w:topLinePunct w:val="0"/>
        <w:autoSpaceDE w:val="0"/>
        <w:autoSpaceDN w:val="0"/>
        <w:bidi w:val="0"/>
        <w:adjustRightInd w:val="0"/>
        <w:spacing w:line="360" w:lineRule="auto"/>
        <w:jc w:val="center"/>
        <w:rPr>
          <w:rFonts w:hint="eastAsia" w:eastAsia="黑体" w:cs="Calibri"/>
          <w:b/>
          <w:sz w:val="44"/>
          <w:szCs w:val="44"/>
        </w:rPr>
      </w:pPr>
    </w:p>
    <w:p>
      <w:pPr>
        <w:keepLines w:val="0"/>
        <w:pageBreakBefore w:val="0"/>
        <w:kinsoku/>
        <w:wordWrap/>
        <w:topLinePunct w:val="0"/>
        <w:autoSpaceDE w:val="0"/>
        <w:autoSpaceDN w:val="0"/>
        <w:bidi w:val="0"/>
        <w:adjustRightInd w:val="0"/>
        <w:spacing w:line="360" w:lineRule="auto"/>
        <w:jc w:val="center"/>
        <w:rPr>
          <w:rFonts w:hint="eastAsia" w:eastAsia="黑体" w:cs="Calibri"/>
          <w:b/>
          <w:sz w:val="44"/>
          <w:szCs w:val="44"/>
        </w:rPr>
      </w:pPr>
    </w:p>
    <w:p>
      <w:pPr>
        <w:keepLines w:val="0"/>
        <w:pageBreakBefore w:val="0"/>
        <w:kinsoku/>
        <w:wordWrap/>
        <w:topLinePunct w:val="0"/>
        <w:bidi w:val="0"/>
        <w:spacing w:line="360" w:lineRule="auto"/>
        <w:jc w:val="both"/>
        <w:rPr>
          <w:rFonts w:cs="Calibri"/>
          <w:color w:val="000000"/>
        </w:rPr>
      </w:pPr>
    </w:p>
    <w:p>
      <w:pPr>
        <w:keepLines w:val="0"/>
        <w:pageBreakBefore w:val="0"/>
        <w:kinsoku/>
        <w:wordWrap/>
        <w:topLinePunct w:val="0"/>
        <w:bidi w:val="0"/>
        <w:spacing w:line="360" w:lineRule="auto"/>
        <w:rPr>
          <w:rFonts w:cs="Calibri"/>
          <w:color w:val="000000"/>
          <w:sz w:val="44"/>
          <w:szCs w:val="44"/>
        </w:rPr>
      </w:pPr>
    </w:p>
    <w:p>
      <w:pPr>
        <w:keepLines w:val="0"/>
        <w:pageBreakBefore w:val="0"/>
        <w:kinsoku/>
        <w:wordWrap/>
        <w:topLinePunct w:val="0"/>
        <w:bidi w:val="0"/>
        <w:spacing w:beforeLines="200" w:afterLines="200" w:line="360" w:lineRule="auto"/>
        <w:jc w:val="center"/>
        <w:rPr>
          <w:rFonts w:cs="Calibri"/>
          <w:b/>
          <w:bCs/>
          <w:color w:val="000000"/>
          <w:sz w:val="84"/>
          <w:szCs w:val="84"/>
        </w:rPr>
      </w:pPr>
      <w:r>
        <w:rPr>
          <w:rFonts w:hint="eastAsia" w:cs="Calibri"/>
          <w:b/>
          <w:bCs/>
          <w:color w:val="000000"/>
          <w:sz w:val="84"/>
          <w:szCs w:val="84"/>
        </w:rPr>
        <w:t>投标文件</w:t>
      </w:r>
    </w:p>
    <w:p>
      <w:pPr>
        <w:keepLines w:val="0"/>
        <w:pageBreakBefore w:val="0"/>
        <w:kinsoku/>
        <w:wordWrap/>
        <w:topLinePunct w:val="0"/>
        <w:bidi w:val="0"/>
        <w:spacing w:line="360" w:lineRule="auto"/>
        <w:ind w:firstLine="420" w:firstLineChars="200"/>
        <w:jc w:val="center"/>
        <w:rPr>
          <w:rFonts w:cs="Calibri"/>
          <w:color w:val="000000"/>
        </w:rPr>
      </w:pPr>
    </w:p>
    <w:p>
      <w:pPr>
        <w:keepLines w:val="0"/>
        <w:pageBreakBefore w:val="0"/>
        <w:kinsoku/>
        <w:wordWrap/>
        <w:topLinePunct w:val="0"/>
        <w:bidi w:val="0"/>
        <w:spacing w:line="360" w:lineRule="auto"/>
        <w:ind w:firstLine="420" w:firstLineChars="200"/>
        <w:rPr>
          <w:rFonts w:cs="Calibri"/>
          <w:color w:val="000000"/>
        </w:rPr>
      </w:pPr>
    </w:p>
    <w:p>
      <w:pPr>
        <w:keepLines w:val="0"/>
        <w:pageBreakBefore w:val="0"/>
        <w:kinsoku/>
        <w:wordWrap/>
        <w:topLinePunct w:val="0"/>
        <w:bidi w:val="0"/>
        <w:spacing w:line="360" w:lineRule="auto"/>
        <w:ind w:firstLine="420" w:firstLineChars="200"/>
        <w:jc w:val="center"/>
        <w:rPr>
          <w:rFonts w:cs="Calibri"/>
          <w:color w:val="000000"/>
        </w:rPr>
      </w:pPr>
    </w:p>
    <w:p>
      <w:pPr>
        <w:keepLines w:val="0"/>
        <w:pageBreakBefore w:val="0"/>
        <w:kinsoku/>
        <w:wordWrap/>
        <w:topLinePunct w:val="0"/>
        <w:bidi w:val="0"/>
        <w:spacing w:line="360" w:lineRule="auto"/>
        <w:jc w:val="both"/>
        <w:rPr>
          <w:rFonts w:cs="Calibri"/>
          <w:color w:val="000000"/>
        </w:rPr>
      </w:pPr>
    </w:p>
    <w:p>
      <w:pPr>
        <w:keepLines w:val="0"/>
        <w:pageBreakBefore w:val="0"/>
        <w:kinsoku/>
        <w:wordWrap/>
        <w:topLinePunct w:val="0"/>
        <w:bidi w:val="0"/>
        <w:spacing w:line="360" w:lineRule="auto"/>
        <w:ind w:firstLine="420" w:firstLineChars="200"/>
        <w:jc w:val="center"/>
        <w:rPr>
          <w:rFonts w:cs="Calibri"/>
          <w:color w:val="000000"/>
        </w:rPr>
      </w:pPr>
    </w:p>
    <w:p>
      <w:pPr>
        <w:keepLines w:val="0"/>
        <w:pageBreakBefore w:val="0"/>
        <w:kinsoku/>
        <w:wordWrap/>
        <w:topLinePunct w:val="0"/>
        <w:bidi w:val="0"/>
        <w:spacing w:line="360" w:lineRule="auto"/>
        <w:ind w:firstLine="420" w:firstLineChars="200"/>
        <w:jc w:val="center"/>
        <w:rPr>
          <w:rFonts w:cs="Calibri"/>
          <w:color w:val="000000"/>
        </w:rPr>
      </w:pPr>
    </w:p>
    <w:p>
      <w:pPr>
        <w:keepLines w:val="0"/>
        <w:pageBreakBefore w:val="0"/>
        <w:kinsoku/>
        <w:wordWrap/>
        <w:topLinePunct w:val="0"/>
        <w:bidi w:val="0"/>
        <w:spacing w:line="360" w:lineRule="auto"/>
        <w:ind w:firstLine="420" w:firstLineChars="200"/>
        <w:jc w:val="center"/>
        <w:rPr>
          <w:rFonts w:cs="Calibri"/>
          <w:color w:val="000000"/>
        </w:rPr>
      </w:pPr>
    </w:p>
    <w:p>
      <w:pPr>
        <w:keepLines w:val="0"/>
        <w:pageBreakBefore w:val="0"/>
        <w:kinsoku/>
        <w:wordWrap/>
        <w:topLinePunct w:val="0"/>
        <w:bidi w:val="0"/>
        <w:spacing w:line="360" w:lineRule="auto"/>
        <w:jc w:val="both"/>
        <w:rPr>
          <w:rFonts w:cs="Calibri"/>
          <w:color w:val="000000"/>
        </w:rPr>
      </w:pPr>
    </w:p>
    <w:p>
      <w:pPr>
        <w:keepLines w:val="0"/>
        <w:pageBreakBefore w:val="0"/>
        <w:kinsoku/>
        <w:wordWrap/>
        <w:topLinePunct w:val="0"/>
        <w:bidi w:val="0"/>
        <w:spacing w:line="360" w:lineRule="auto"/>
        <w:ind w:firstLine="1400" w:firstLineChars="500"/>
        <w:rPr>
          <w:rFonts w:cs="Calibri"/>
          <w:color w:val="000000"/>
          <w:sz w:val="28"/>
          <w:szCs w:val="28"/>
          <w:u w:val="single"/>
        </w:rPr>
      </w:pPr>
      <w:r>
        <w:rPr>
          <w:rFonts w:hint="eastAsia" w:cs="Calibri"/>
          <w:color w:val="000000"/>
          <w:sz w:val="28"/>
          <w:szCs w:val="28"/>
        </w:rPr>
        <w:t>投标人：</w:t>
      </w:r>
      <w:r>
        <w:rPr>
          <w:rFonts w:hint="eastAsia" w:cs="Calibri"/>
          <w:color w:val="000000"/>
          <w:sz w:val="28"/>
          <w:szCs w:val="28"/>
          <w:u w:val="single"/>
        </w:rPr>
        <w:t>（盖单位章）</w:t>
      </w:r>
    </w:p>
    <w:p>
      <w:pPr>
        <w:keepLines w:val="0"/>
        <w:pageBreakBefore w:val="0"/>
        <w:kinsoku/>
        <w:wordWrap/>
        <w:topLinePunct w:val="0"/>
        <w:bidi w:val="0"/>
        <w:spacing w:line="360" w:lineRule="auto"/>
        <w:ind w:firstLine="1400" w:firstLineChars="500"/>
        <w:rPr>
          <w:rFonts w:cs="Calibri"/>
          <w:color w:val="000000"/>
          <w:sz w:val="28"/>
          <w:szCs w:val="28"/>
        </w:rPr>
      </w:pPr>
      <w:r>
        <w:rPr>
          <w:rFonts w:hint="eastAsia" w:cs="Calibri"/>
          <w:color w:val="000000"/>
          <w:sz w:val="28"/>
          <w:szCs w:val="28"/>
        </w:rPr>
        <w:t>法定代表人或其委托代理人：</w:t>
      </w:r>
      <w:r>
        <w:rPr>
          <w:rFonts w:hint="eastAsia" w:cs="Calibri"/>
          <w:color w:val="000000"/>
          <w:sz w:val="28"/>
          <w:szCs w:val="28"/>
          <w:u w:val="single"/>
        </w:rPr>
        <w:t>（签字或盖章）</w:t>
      </w:r>
    </w:p>
    <w:p>
      <w:pPr>
        <w:keepLines w:val="0"/>
        <w:pageBreakBefore w:val="0"/>
        <w:kinsoku/>
        <w:wordWrap/>
        <w:topLinePunct w:val="0"/>
        <w:bidi w:val="0"/>
        <w:spacing w:line="360" w:lineRule="auto"/>
        <w:ind w:firstLine="1400" w:firstLineChars="500"/>
        <w:rPr>
          <w:rFonts w:hint="eastAsia" w:cs="Calibri"/>
          <w:color w:val="000000"/>
          <w:sz w:val="28"/>
          <w:szCs w:val="28"/>
        </w:rPr>
      </w:pPr>
      <w:r>
        <w:rPr>
          <w:rFonts w:hint="eastAsia" w:cs="Calibri"/>
          <w:color w:val="000000"/>
          <w:sz w:val="28"/>
          <w:szCs w:val="28"/>
        </w:rPr>
        <w:t>日期：</w:t>
      </w:r>
      <w:r>
        <w:rPr>
          <w:rFonts w:hint="eastAsia" w:cs="Calibri"/>
          <w:color w:val="000000"/>
          <w:sz w:val="28"/>
          <w:szCs w:val="28"/>
          <w:lang w:val="en-US" w:eastAsia="zh-CN"/>
        </w:rPr>
        <w:t xml:space="preserve">     </w:t>
      </w:r>
      <w:r>
        <w:rPr>
          <w:rFonts w:hint="eastAsia" w:cs="Calibri"/>
          <w:color w:val="000000"/>
          <w:sz w:val="28"/>
          <w:szCs w:val="28"/>
        </w:rPr>
        <w:t>年</w:t>
      </w:r>
      <w:r>
        <w:rPr>
          <w:rFonts w:hint="eastAsia" w:cs="Calibri"/>
          <w:color w:val="000000"/>
          <w:sz w:val="28"/>
          <w:szCs w:val="28"/>
          <w:lang w:val="en-US" w:eastAsia="zh-CN"/>
        </w:rPr>
        <w:t xml:space="preserve">    </w:t>
      </w:r>
      <w:r>
        <w:rPr>
          <w:rFonts w:hint="eastAsia" w:cs="Calibri"/>
          <w:color w:val="000000"/>
          <w:sz w:val="28"/>
          <w:szCs w:val="28"/>
        </w:rPr>
        <w:t>月</w:t>
      </w:r>
      <w:r>
        <w:rPr>
          <w:rFonts w:hint="eastAsia" w:cs="Calibri"/>
          <w:color w:val="000000"/>
          <w:sz w:val="28"/>
          <w:szCs w:val="28"/>
          <w:lang w:val="en-US" w:eastAsia="zh-CN"/>
        </w:rPr>
        <w:t xml:space="preserve">     </w:t>
      </w:r>
      <w:r>
        <w:rPr>
          <w:rFonts w:hint="eastAsia" w:cs="Calibri"/>
          <w:color w:val="000000"/>
          <w:sz w:val="28"/>
          <w:szCs w:val="28"/>
        </w:rPr>
        <w:t>日</w:t>
      </w:r>
    </w:p>
    <w:p>
      <w:pPr>
        <w:keepLines w:val="0"/>
        <w:pageBreakBefore w:val="0"/>
        <w:kinsoku/>
        <w:wordWrap/>
        <w:topLinePunct w:val="0"/>
        <w:bidi w:val="0"/>
        <w:spacing w:line="360" w:lineRule="auto"/>
        <w:jc w:val="both"/>
        <w:rPr>
          <w:rFonts w:hint="eastAsia" w:ascii="宋体" w:hAnsi="宋体" w:cs="宋体"/>
          <w:b/>
          <w:sz w:val="32"/>
          <w:szCs w:val="32"/>
        </w:rPr>
      </w:pPr>
    </w:p>
    <w:p>
      <w:pPr>
        <w:spacing w:line="360" w:lineRule="auto"/>
        <w:jc w:val="center"/>
      </w:pPr>
      <w:r>
        <w:rPr>
          <w:rFonts w:hint="eastAsia" w:ascii="宋体" w:hAnsi="宋体" w:cs="宋体"/>
          <w:b/>
          <w:sz w:val="32"/>
          <w:szCs w:val="32"/>
        </w:rPr>
        <w:t>一、投标函</w:t>
      </w:r>
    </w:p>
    <w:p>
      <w:pPr>
        <w:keepLines w:val="0"/>
        <w:pageBreakBefore w:val="0"/>
        <w:kinsoku/>
        <w:wordWrap/>
        <w:topLinePunct w:val="0"/>
        <w:bidi w:val="0"/>
        <w:spacing w:line="360" w:lineRule="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致：杭州萧山国际机场有限公司</w:t>
      </w:r>
    </w:p>
    <w:p>
      <w:pPr>
        <w:keepLines w:val="0"/>
        <w:pageBreakBefore w:val="0"/>
        <w:kinsoku/>
        <w:wordWrap/>
        <w:overflowPunct w:val="0"/>
        <w:topLinePunct w:val="0"/>
        <w:autoSpaceDE w:val="0"/>
        <w:autoSpaceDN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根据贵方杭州萧山国际机场项目的招标文件，授权代表(全名、职务)经正式授权，代表投标人(投标人名称、地址)递交下述文件正本一份、副本二份。</w:t>
      </w:r>
    </w:p>
    <w:p>
      <w:pPr>
        <w:keepLines w:val="0"/>
        <w:pageBreakBefore w:val="0"/>
        <w:kinsoku/>
        <w:wordWrap/>
        <w:overflowPunct w:val="0"/>
        <w:topLinePunct w:val="0"/>
        <w:autoSpaceDE w:val="0"/>
        <w:autoSpaceDN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据此函，本授权代表宣布同意如下：</w:t>
      </w:r>
    </w:p>
    <w:p>
      <w:pPr>
        <w:keepLines w:val="0"/>
        <w:pageBreakBefore w:val="0"/>
        <w:numPr>
          <w:ilvl w:val="0"/>
          <w:numId w:val="7"/>
        </w:numPr>
        <w:tabs>
          <w:tab w:val="left" w:pos="840"/>
        </w:tabs>
        <w:kinsoku/>
        <w:wordWrap/>
        <w:overflowPunct w:val="0"/>
        <w:topLinePunct w:val="0"/>
        <w:autoSpaceDE w:val="0"/>
        <w:autoSpaceDN w:val="0"/>
        <w:bidi w:val="0"/>
        <w:spacing w:line="360" w:lineRule="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所投标报价汇总表中规定的应提供的货物和服务，投标总价为人民币：</w:t>
      </w:r>
    </w:p>
    <w:p>
      <w:pPr>
        <w:keepLines w:val="0"/>
        <w:pageBreakBefore w:val="0"/>
        <w:kinsoku/>
        <w:wordWrap/>
        <w:overflowPunct w:val="0"/>
        <w:topLinePunct w:val="0"/>
        <w:autoSpaceDE w:val="0"/>
        <w:autoSpaceDN w:val="0"/>
        <w:bidi w:val="0"/>
        <w:spacing w:line="360" w:lineRule="auto"/>
        <w:ind w:left="416" w:leftChars="198"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(大写)(小写)。</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投标人将按投标文件的规定履行合同责任和义务。</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投标人已详细审查全部招标文件包括澄清函和修改文件(如果有)、所有已提供的资料以及有关附件，投标人已完全理解上述文件的全部内容，并放弃提出任何误解或不明作为抗辩的权利。</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本投标的投标有效期为自投标截止之日起120日内。</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投标人完全清楚并理解在投标有效期期满之前撤回投标，招标人有权不予退还投标人的投标保证金及银行同期存款利息。</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投标人同意按照贵方可能提出的要求提供与其投标有关的任何其它数字或资料，并对贵方可能不接受最低价投标及任何投标表示理解。</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如果我方中标，我方将提供</w:t>
      </w:r>
      <w:r>
        <w:rPr>
          <w:rFonts w:hint="eastAsia" w:asciiTheme="minorEastAsia" w:hAnsiTheme="minorEastAsia" w:eastAsiaTheme="minorEastAsia" w:cstheme="minorEastAsia"/>
          <w:sz w:val="22"/>
          <w:lang w:val="en-US" w:eastAsia="zh-CN"/>
        </w:rPr>
        <w:t>1</w:t>
      </w:r>
      <w:r>
        <w:rPr>
          <w:rFonts w:hint="eastAsia" w:asciiTheme="minorEastAsia" w:hAnsiTheme="minorEastAsia" w:cstheme="minorEastAsia"/>
          <w:sz w:val="22"/>
          <w:lang w:val="en-US" w:eastAsia="zh-CN"/>
        </w:rPr>
        <w:t>3</w:t>
      </w:r>
      <w:r>
        <w:rPr>
          <w:rFonts w:hint="eastAsia" w:asciiTheme="minorEastAsia" w:hAnsiTheme="minorEastAsia" w:eastAsiaTheme="minorEastAsia" w:cstheme="minorEastAsia"/>
          <w:sz w:val="22"/>
          <w:lang w:val="en-US" w:eastAsia="zh-CN"/>
        </w:rPr>
        <w:t>000元</w:t>
      </w:r>
      <w:r>
        <w:rPr>
          <w:rFonts w:hint="eastAsia" w:asciiTheme="minorEastAsia" w:hAnsiTheme="minorEastAsia" w:eastAsiaTheme="minorEastAsia" w:cstheme="minorEastAsia"/>
          <w:sz w:val="22"/>
        </w:rPr>
        <w:t>履约保证金，作为履行合同的担保。</w:t>
      </w:r>
    </w:p>
    <w:p>
      <w:pPr>
        <w:keepLines w:val="0"/>
        <w:pageBreakBefore w:val="0"/>
        <w:kinsoku/>
        <w:wordWrap/>
        <w:topLinePunct w:val="0"/>
        <w:bidi w:val="0"/>
        <w:snapToGrid w:val="0"/>
        <w:spacing w:line="360" w:lineRule="auto"/>
        <w:ind w:firstLine="3300" w:firstLineChars="1500"/>
        <w:rPr>
          <w:rFonts w:ascii="宋体" w:hAnsi="宋体"/>
          <w:sz w:val="22"/>
        </w:rPr>
      </w:pPr>
    </w:p>
    <w:p>
      <w:pPr>
        <w:keepLines w:val="0"/>
        <w:pageBreakBefore w:val="0"/>
        <w:kinsoku/>
        <w:wordWrap/>
        <w:topLinePunct w:val="0"/>
        <w:bidi w:val="0"/>
        <w:snapToGrid w:val="0"/>
        <w:spacing w:line="360" w:lineRule="auto"/>
        <w:ind w:firstLine="3300" w:firstLineChars="1500"/>
        <w:rPr>
          <w:rFonts w:ascii="宋体" w:hAnsi="宋体"/>
          <w:sz w:val="22"/>
        </w:rPr>
      </w:pP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投标人：（盖单位章）</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法定代表人或其委托代理人：（签字或盖章）</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地址：</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邮政编码：</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电话：</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传真：</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开户银行：</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账号：</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日期：</w:t>
      </w:r>
      <w:r>
        <w:rPr>
          <w:rFonts w:hint="eastAsia" w:ascii="宋体" w:hAnsi="宋体" w:cs="Calibri"/>
          <w:color w:val="000000"/>
          <w:sz w:val="22"/>
          <w:lang w:val="en-US" w:eastAsia="zh-CN"/>
        </w:rPr>
        <w:t xml:space="preserve">      </w:t>
      </w:r>
      <w:r>
        <w:rPr>
          <w:rFonts w:hint="eastAsia" w:ascii="宋体" w:hAnsi="宋体" w:cs="Calibri"/>
          <w:color w:val="000000"/>
          <w:sz w:val="22"/>
        </w:rPr>
        <w:t>年</w:t>
      </w:r>
      <w:r>
        <w:rPr>
          <w:rFonts w:hint="eastAsia" w:ascii="宋体" w:hAnsi="宋体" w:cs="Calibri"/>
          <w:color w:val="000000"/>
          <w:sz w:val="22"/>
          <w:lang w:val="en-US" w:eastAsia="zh-CN"/>
        </w:rPr>
        <w:t xml:space="preserve">    </w:t>
      </w:r>
      <w:r>
        <w:rPr>
          <w:rFonts w:hint="eastAsia" w:ascii="宋体" w:hAnsi="宋体" w:cs="Calibri"/>
          <w:color w:val="000000"/>
          <w:sz w:val="22"/>
        </w:rPr>
        <w:t>月</w:t>
      </w:r>
      <w:r>
        <w:rPr>
          <w:rFonts w:hint="eastAsia" w:ascii="宋体" w:hAnsi="宋体" w:cs="Calibri"/>
          <w:color w:val="000000"/>
          <w:sz w:val="22"/>
          <w:lang w:val="en-US" w:eastAsia="zh-CN"/>
        </w:rPr>
        <w:t xml:space="preserve">     </w:t>
      </w:r>
      <w:r>
        <w:rPr>
          <w:rFonts w:hint="eastAsia" w:ascii="宋体" w:hAnsi="宋体" w:cs="Calibri"/>
          <w:color w:val="000000"/>
          <w:sz w:val="22"/>
        </w:rPr>
        <w:t>日</w:t>
      </w:r>
    </w:p>
    <w:p>
      <w:pPr>
        <w:keepLines w:val="0"/>
        <w:pageBreakBefore w:val="0"/>
        <w:kinsoku/>
        <w:wordWrap/>
        <w:topLinePunct w:val="0"/>
        <w:bidi w:val="0"/>
        <w:adjustRightInd w:val="0"/>
        <w:snapToGrid w:val="0"/>
        <w:spacing w:line="360" w:lineRule="auto"/>
        <w:jc w:val="center"/>
        <w:rPr>
          <w:rFonts w:eastAsia="黑体" w:cs="Calibri"/>
          <w:color w:val="000000"/>
          <w:sz w:val="32"/>
          <w:szCs w:val="32"/>
        </w:rPr>
      </w:pPr>
      <w:r>
        <w:rPr>
          <w:rFonts w:hint="eastAsia" w:ascii="宋体" w:hAnsi="宋体" w:cs="Arial"/>
          <w:sz w:val="22"/>
        </w:rPr>
        <w:br w:type="page"/>
      </w:r>
      <w:r>
        <w:rPr>
          <w:rFonts w:hint="eastAsia" w:eastAsia="黑体" w:cs="Calibri"/>
          <w:color w:val="000000"/>
          <w:sz w:val="32"/>
          <w:szCs w:val="32"/>
        </w:rPr>
        <w:t>二、法定代表人身份证明</w:t>
      </w:r>
    </w:p>
    <w:p>
      <w:pPr>
        <w:keepLines w:val="0"/>
        <w:pageBreakBefore w:val="0"/>
        <w:kinsoku/>
        <w:wordWrap/>
        <w:topLinePunct w:val="0"/>
        <w:bidi w:val="0"/>
        <w:spacing w:afterLines="50" w:line="360" w:lineRule="auto"/>
        <w:rPr>
          <w:rFonts w:cs="Calibri"/>
          <w:color w:val="000000"/>
          <w:sz w:val="24"/>
          <w:szCs w:val="24"/>
        </w:rPr>
      </w:pP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投标人名称：</w:t>
      </w:r>
      <w:r>
        <w:rPr>
          <w:rFonts w:hint="eastAsia" w:cs="Calibri"/>
          <w:color w:val="000000"/>
          <w:sz w:val="22"/>
          <w:szCs w:val="22"/>
          <w:u w:val="single"/>
          <w:lang w:val="en-US" w:eastAsia="zh-CN"/>
        </w:rPr>
        <w:t xml:space="preserve">                                      </w:t>
      </w: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单位性质：</w:t>
      </w:r>
      <w:r>
        <w:rPr>
          <w:rFonts w:hint="eastAsia" w:cs="Calibri"/>
          <w:color w:val="000000"/>
          <w:sz w:val="22"/>
          <w:szCs w:val="22"/>
          <w:u w:val="single"/>
          <w:lang w:val="en-US" w:eastAsia="zh-CN"/>
        </w:rPr>
        <w:t xml:space="preserve">                                        </w:t>
      </w: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地址：</w:t>
      </w:r>
      <w:r>
        <w:rPr>
          <w:rFonts w:hint="eastAsia" w:cs="Calibri"/>
          <w:color w:val="000000"/>
          <w:sz w:val="22"/>
          <w:szCs w:val="22"/>
          <w:u w:val="single"/>
          <w:lang w:val="en-US" w:eastAsia="zh-CN"/>
        </w:rPr>
        <w:t xml:space="preserve">                                            </w:t>
      </w:r>
    </w:p>
    <w:p>
      <w:pPr>
        <w:keepLines w:val="0"/>
        <w:pageBreakBefore w:val="0"/>
        <w:kinsoku/>
        <w:wordWrap/>
        <w:topLinePunct w:val="0"/>
        <w:bidi w:val="0"/>
        <w:spacing w:afterLines="50" w:line="360" w:lineRule="auto"/>
        <w:rPr>
          <w:rFonts w:cs="Calibri"/>
          <w:color w:val="000000"/>
          <w:sz w:val="22"/>
          <w:szCs w:val="22"/>
          <w:u w:val="single"/>
        </w:rPr>
      </w:pPr>
      <w:r>
        <w:rPr>
          <w:rFonts w:hint="eastAsia" w:cs="Calibri"/>
          <w:color w:val="000000"/>
          <w:sz w:val="22"/>
          <w:szCs w:val="22"/>
        </w:rPr>
        <w:t>成立时间：</w:t>
      </w:r>
      <w:r>
        <w:rPr>
          <w:rFonts w:hint="eastAsia" w:cs="Calibri"/>
          <w:color w:val="000000"/>
          <w:sz w:val="22"/>
          <w:szCs w:val="22"/>
          <w:u w:val="single"/>
          <w:lang w:val="en-US" w:eastAsia="zh-CN"/>
        </w:rPr>
        <w:t xml:space="preserve">        </w:t>
      </w:r>
      <w:r>
        <w:rPr>
          <w:rFonts w:hint="eastAsia" w:cs="Calibri"/>
          <w:color w:val="000000"/>
          <w:sz w:val="22"/>
          <w:szCs w:val="22"/>
        </w:rPr>
        <w:t>年</w:t>
      </w:r>
      <w:r>
        <w:rPr>
          <w:rFonts w:hint="eastAsia" w:cs="Calibri"/>
          <w:color w:val="000000"/>
          <w:sz w:val="22"/>
          <w:szCs w:val="22"/>
          <w:u w:val="single"/>
          <w:lang w:val="en-US" w:eastAsia="zh-CN"/>
        </w:rPr>
        <w:t xml:space="preserve">        </w:t>
      </w:r>
      <w:r>
        <w:rPr>
          <w:rFonts w:hint="eastAsia" w:cs="Calibri"/>
          <w:color w:val="000000"/>
          <w:sz w:val="22"/>
          <w:szCs w:val="22"/>
        </w:rPr>
        <w:t>月</w:t>
      </w:r>
      <w:r>
        <w:rPr>
          <w:rFonts w:hint="eastAsia" w:cs="Calibri"/>
          <w:color w:val="000000"/>
          <w:sz w:val="22"/>
          <w:szCs w:val="22"/>
          <w:u w:val="single"/>
          <w:lang w:val="en-US" w:eastAsia="zh-CN"/>
        </w:rPr>
        <w:t xml:space="preserve">        </w:t>
      </w:r>
      <w:r>
        <w:rPr>
          <w:rFonts w:hint="eastAsia" w:cs="Calibri"/>
          <w:color w:val="000000"/>
          <w:sz w:val="22"/>
          <w:szCs w:val="22"/>
        </w:rPr>
        <w:t>日</w:t>
      </w: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经营期限：</w:t>
      </w:r>
      <w:r>
        <w:rPr>
          <w:rFonts w:hint="eastAsia" w:cs="Calibri"/>
          <w:color w:val="000000"/>
          <w:sz w:val="22"/>
          <w:szCs w:val="22"/>
          <w:u w:val="single"/>
          <w:lang w:val="en-US" w:eastAsia="zh-CN"/>
        </w:rPr>
        <w:t xml:space="preserve">                                        </w:t>
      </w: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姓名：</w:t>
      </w:r>
      <w:r>
        <w:rPr>
          <w:rFonts w:hint="eastAsia" w:cs="Calibri"/>
          <w:color w:val="000000"/>
          <w:sz w:val="22"/>
          <w:szCs w:val="22"/>
          <w:u w:val="single"/>
          <w:lang w:val="en-US" w:eastAsia="zh-CN"/>
        </w:rPr>
        <w:t xml:space="preserve">        </w:t>
      </w:r>
      <w:r>
        <w:rPr>
          <w:rFonts w:hint="eastAsia" w:cs="Calibri"/>
          <w:color w:val="000000"/>
          <w:sz w:val="22"/>
          <w:szCs w:val="22"/>
        </w:rPr>
        <w:t>性别：</w:t>
      </w:r>
      <w:r>
        <w:rPr>
          <w:rFonts w:hint="eastAsia" w:cs="Calibri"/>
          <w:color w:val="000000"/>
          <w:sz w:val="22"/>
          <w:szCs w:val="22"/>
          <w:u w:val="single"/>
          <w:lang w:val="en-US" w:eastAsia="zh-CN"/>
        </w:rPr>
        <w:t xml:space="preserve">         </w:t>
      </w:r>
      <w:r>
        <w:rPr>
          <w:rFonts w:hint="eastAsia" w:cs="Calibri"/>
          <w:color w:val="000000"/>
          <w:sz w:val="22"/>
          <w:szCs w:val="22"/>
        </w:rPr>
        <w:t>年龄：</w:t>
      </w:r>
      <w:r>
        <w:rPr>
          <w:rFonts w:hint="eastAsia" w:cs="Calibri"/>
          <w:color w:val="000000"/>
          <w:sz w:val="22"/>
          <w:szCs w:val="22"/>
          <w:u w:val="single"/>
          <w:lang w:val="en-US" w:eastAsia="zh-CN"/>
        </w:rPr>
        <w:t xml:space="preserve">         </w:t>
      </w:r>
      <w:r>
        <w:rPr>
          <w:rFonts w:hint="eastAsia" w:cs="Calibri"/>
          <w:color w:val="000000"/>
          <w:sz w:val="22"/>
          <w:szCs w:val="22"/>
        </w:rPr>
        <w:t>职务：</w:t>
      </w:r>
      <w:r>
        <w:rPr>
          <w:rFonts w:hint="eastAsia" w:cs="Calibri"/>
          <w:color w:val="000000"/>
          <w:sz w:val="22"/>
          <w:szCs w:val="22"/>
          <w:u w:val="single"/>
          <w:lang w:val="en-US" w:eastAsia="zh-CN"/>
        </w:rPr>
        <w:t xml:space="preserve">          </w:t>
      </w: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身份证号码：</w:t>
      </w:r>
      <w:r>
        <w:rPr>
          <w:rFonts w:hint="eastAsia" w:cs="Calibri"/>
          <w:color w:val="000000"/>
          <w:sz w:val="22"/>
          <w:szCs w:val="22"/>
          <w:lang w:val="en-US" w:eastAsia="zh-CN"/>
        </w:rPr>
        <w:t xml:space="preserve"> </w:t>
      </w:r>
      <w:r>
        <w:rPr>
          <w:rFonts w:hint="eastAsia" w:cs="Calibri"/>
          <w:color w:val="000000"/>
          <w:sz w:val="22"/>
          <w:szCs w:val="22"/>
          <w:u w:val="single"/>
          <w:lang w:val="en-US" w:eastAsia="zh-CN"/>
        </w:rPr>
        <w:t xml:space="preserve">                                     </w:t>
      </w:r>
    </w:p>
    <w:p>
      <w:pPr>
        <w:keepLines w:val="0"/>
        <w:pageBreakBefore w:val="0"/>
        <w:kinsoku/>
        <w:wordWrap/>
        <w:topLinePunct w:val="0"/>
        <w:bidi w:val="0"/>
        <w:spacing w:line="360" w:lineRule="auto"/>
        <w:ind w:firstLine="560"/>
        <w:rPr>
          <w:rFonts w:cs="Calibri"/>
          <w:color w:val="000000"/>
          <w:sz w:val="22"/>
          <w:szCs w:val="22"/>
        </w:rPr>
      </w:pPr>
    </w:p>
    <w:p>
      <w:pPr>
        <w:keepLines w:val="0"/>
        <w:pageBreakBefore w:val="0"/>
        <w:kinsoku/>
        <w:wordWrap/>
        <w:topLinePunct w:val="0"/>
        <w:bidi w:val="0"/>
        <w:spacing w:line="360" w:lineRule="auto"/>
        <w:rPr>
          <w:rFonts w:cs="Calibri"/>
          <w:color w:val="000000"/>
          <w:sz w:val="22"/>
          <w:szCs w:val="22"/>
        </w:rPr>
      </w:pPr>
      <w:r>
        <w:rPr>
          <w:rFonts w:hint="eastAsia" w:cs="Calibri"/>
          <w:color w:val="000000"/>
          <w:sz w:val="22"/>
          <w:szCs w:val="22"/>
        </w:rPr>
        <w:t>系</w:t>
      </w:r>
      <w:r>
        <w:rPr>
          <w:rFonts w:hint="eastAsia" w:cs="Calibri"/>
          <w:color w:val="000000"/>
          <w:sz w:val="22"/>
          <w:szCs w:val="22"/>
          <w:u w:val="single"/>
          <w:lang w:val="en-US" w:eastAsia="zh-CN"/>
        </w:rPr>
        <w:t xml:space="preserve">                        </w:t>
      </w:r>
      <w:r>
        <w:rPr>
          <w:rFonts w:hint="eastAsia" w:cs="Calibri"/>
          <w:color w:val="000000"/>
          <w:sz w:val="22"/>
          <w:szCs w:val="22"/>
        </w:rPr>
        <w:t>（投标人名称）的法定代表人。</w:t>
      </w:r>
    </w:p>
    <w:p>
      <w:pPr>
        <w:keepLines w:val="0"/>
        <w:pageBreakBefore w:val="0"/>
        <w:kinsoku/>
        <w:wordWrap/>
        <w:topLinePunct w:val="0"/>
        <w:bidi w:val="0"/>
        <w:spacing w:line="360" w:lineRule="auto"/>
        <w:ind w:firstLine="560"/>
        <w:rPr>
          <w:rFonts w:cs="Calibri"/>
          <w:color w:val="000000"/>
          <w:sz w:val="22"/>
          <w:szCs w:val="22"/>
        </w:rPr>
      </w:pPr>
    </w:p>
    <w:p>
      <w:pPr>
        <w:keepLines w:val="0"/>
        <w:pageBreakBefore w:val="0"/>
        <w:kinsoku/>
        <w:wordWrap/>
        <w:topLinePunct w:val="0"/>
        <w:bidi w:val="0"/>
        <w:spacing w:line="360" w:lineRule="auto"/>
        <w:rPr>
          <w:rFonts w:cs="Calibri"/>
          <w:color w:val="000000"/>
          <w:sz w:val="22"/>
          <w:szCs w:val="22"/>
        </w:rPr>
      </w:pPr>
      <w:r>
        <w:rPr>
          <w:rFonts w:hint="eastAsia" w:cs="Calibri"/>
          <w:color w:val="000000"/>
          <w:sz w:val="22"/>
          <w:szCs w:val="22"/>
        </w:rPr>
        <w:t>特此证明。</w:t>
      </w:r>
    </w:p>
    <w:p>
      <w:pPr>
        <w:keepLines w:val="0"/>
        <w:pageBreakBefore w:val="0"/>
        <w:kinsoku/>
        <w:wordWrap/>
        <w:topLinePunct w:val="0"/>
        <w:bidi w:val="0"/>
        <w:spacing w:line="360" w:lineRule="auto"/>
        <w:rPr>
          <w:rFonts w:cs="Calibri"/>
          <w:color w:val="000000"/>
          <w:sz w:val="22"/>
          <w:szCs w:val="22"/>
        </w:rPr>
      </w:pPr>
      <w:r>
        <w:rPr>
          <w:rFonts w:hint="eastAsia" w:cs="Calibri"/>
          <w:color w:val="000000"/>
          <w:sz w:val="22"/>
          <w:szCs w:val="22"/>
        </w:rPr>
        <w:t>附：法定代表人身份证复印件</w:t>
      </w:r>
    </w:p>
    <w:p>
      <w:pPr>
        <w:keepLines w:val="0"/>
        <w:pageBreakBefore w:val="0"/>
        <w:kinsoku/>
        <w:wordWrap/>
        <w:topLinePunct w:val="0"/>
        <w:bidi w:val="0"/>
        <w:spacing w:line="360" w:lineRule="auto"/>
        <w:rPr>
          <w:rFonts w:cs="Calibri"/>
          <w:color w:val="000000"/>
          <w:sz w:val="22"/>
          <w:szCs w:val="22"/>
        </w:rPr>
      </w:pPr>
      <w:r>
        <w:rPr>
          <w:rFonts w:hint="eastAsia" w:cs="Calibri"/>
          <w:color w:val="000000"/>
          <w:sz w:val="22"/>
          <w:szCs w:val="22"/>
        </w:rPr>
        <w:t>投标人：（盖单位章）</w:t>
      </w:r>
    </w:p>
    <w:p>
      <w:pPr>
        <w:keepLines w:val="0"/>
        <w:pageBreakBefore w:val="0"/>
        <w:kinsoku/>
        <w:wordWrap/>
        <w:topLinePunct w:val="0"/>
        <w:bidi w:val="0"/>
        <w:spacing w:line="360" w:lineRule="auto"/>
        <w:ind w:firstLine="4917" w:firstLineChars="2235"/>
        <w:rPr>
          <w:rFonts w:cs="Calibri"/>
          <w:b/>
          <w:color w:val="000000"/>
          <w:sz w:val="22"/>
          <w:szCs w:val="22"/>
        </w:rPr>
      </w:pPr>
      <w:r>
        <w:rPr>
          <w:rFonts w:cs="Times New Roman"/>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wps:txbx>
                      <wps:bodyPr upright="1"/>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CZ2Oq48gEAAOkDAAAOAAAAZHJzL2Uyb0RvYy54bWytU0uO&#10;EzEQ3SNxB8t70p0ehWFa6YwEIWwQIA0coOJPtyX/ZHvSnQvADVixYc+5co4pOyEzAywQohfusuv5&#10;VdWr8vJ6MprsRIjK2Y7OZzUlwjLHle07+unj5tkLSmICy0E7Kzq6F5Fer54+WY6+FY0bnOYiECSx&#10;sR19R4eUfFtVkQ3CQJw5Lyw6pQsGEm5DX/EAI7IbXTV1/bwaXeA+OCZixNP10UlXhV9KwdJ7KaNI&#10;RHcUc0tlDWXd5rVaLaHtA/hBsVMa8A9ZGFAWg56p1pCA3Ab1G5VRLLjoZJoxZyonpWKi1IDVzOtf&#10;qrkZwItSC4oT/Vmm+P9o2bvdh0AUx95RYsFgiw5fvxy+/Th8/0zmWZ7RxxZRNx5xaXrppgw9nUc8&#10;zFVPMpj8x3oI+lHo/VlcMSXC8HBxcdnMa3Qx9DXzy6uLpshf3V/3IaY3whmSjY4G7F4RFXZvY8KQ&#10;CP0JydGi04pvlNZlE/rtKx3IDrDTm/LlLPHKI5i2ZOzo1aJZYCKAAyc1JDSNRwmi7Uu8RzfiQ+K6&#10;fH8izomtIQ7HBApDhkFrVBKhWIMA/tpykvYeZbb4HmhOxghOiRb4fLJVkAmU/hskVqctFpl7dOxF&#10;ttK0nZAmm1vH99i3Wx9UP6CkpXMFjvNU1DnNfh7Yh/tCev9CV3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zC8j1wAAAAgBAAAPAAAAAAAAAAEAIAAAACIAAABkcnMvZG93bnJldi54bWxQSwECFAAU&#10;AAAACACHTuJAmdjquPIBAADpAwAADgAAAAAAAAABACAAAAAmAQAAZHJzL2Uyb0RvYy54bWxQSwUG&#10;AAAAAAYABgBZAQAAigU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mc:Fallback>
        </mc:AlternateContent>
      </w:r>
      <w:bookmarkStart w:id="109" w:name="_top"/>
      <w:bookmarkEnd w:id="109"/>
      <w:r>
        <w:rPr>
          <w:rFonts w:hint="eastAsia" w:cs="Calibri"/>
          <w:color w:val="000000"/>
          <w:sz w:val="22"/>
          <w:szCs w:val="22"/>
        </w:rPr>
        <w:t>日期：</w:t>
      </w:r>
      <w:r>
        <w:rPr>
          <w:rFonts w:hint="eastAsia" w:cs="Calibri"/>
          <w:color w:val="000000"/>
          <w:sz w:val="22"/>
          <w:szCs w:val="22"/>
          <w:lang w:val="en-US" w:eastAsia="zh-CN"/>
        </w:rPr>
        <w:t xml:space="preserve">     </w:t>
      </w:r>
      <w:r>
        <w:rPr>
          <w:rFonts w:hint="eastAsia" w:cs="Calibri"/>
          <w:color w:val="000000"/>
          <w:sz w:val="22"/>
          <w:szCs w:val="22"/>
        </w:rPr>
        <w:t>年</w:t>
      </w:r>
      <w:r>
        <w:rPr>
          <w:rFonts w:hint="eastAsia" w:cs="Calibri"/>
          <w:color w:val="000000"/>
          <w:sz w:val="22"/>
          <w:szCs w:val="22"/>
          <w:lang w:val="en-US" w:eastAsia="zh-CN"/>
        </w:rPr>
        <w:t xml:space="preserve">     </w:t>
      </w:r>
      <w:r>
        <w:rPr>
          <w:rFonts w:hint="eastAsia" w:cs="Calibri"/>
          <w:color w:val="000000"/>
          <w:sz w:val="22"/>
          <w:szCs w:val="22"/>
        </w:rPr>
        <w:t>月</w:t>
      </w:r>
      <w:r>
        <w:rPr>
          <w:rFonts w:hint="eastAsia" w:cs="Calibri"/>
          <w:color w:val="000000"/>
          <w:sz w:val="22"/>
          <w:szCs w:val="22"/>
          <w:lang w:val="en-US" w:eastAsia="zh-CN"/>
        </w:rPr>
        <w:t xml:space="preserve">      </w:t>
      </w:r>
      <w:r>
        <w:rPr>
          <w:rFonts w:hint="eastAsia" w:cs="Calibri"/>
          <w:color w:val="000000"/>
          <w:sz w:val="22"/>
          <w:szCs w:val="22"/>
        </w:rPr>
        <w:t>日</w:t>
      </w:r>
    </w:p>
    <w:p>
      <w:pPr>
        <w:keepLines w:val="0"/>
        <w:pageBreakBefore w:val="0"/>
        <w:kinsoku/>
        <w:wordWrap/>
        <w:topLinePunct w:val="0"/>
        <w:bidi w:val="0"/>
        <w:spacing w:line="360" w:lineRule="auto"/>
        <w:jc w:val="center"/>
        <w:rPr>
          <w:rFonts w:eastAsia="黑体" w:cs="Calibri"/>
          <w:color w:val="000000"/>
          <w:sz w:val="28"/>
          <w:szCs w:val="28"/>
        </w:rPr>
      </w:pPr>
      <w:r>
        <w:rPr>
          <w:rFonts w:cs="Calibri"/>
          <w:color w:val="000000"/>
          <w:sz w:val="22"/>
          <w:szCs w:val="22"/>
        </w:rPr>
        <w:br w:type="page"/>
      </w:r>
      <w:r>
        <w:rPr>
          <w:rFonts w:hint="eastAsia" w:eastAsia="黑体" w:cs="Calibri"/>
          <w:color w:val="000000"/>
          <w:sz w:val="32"/>
          <w:szCs w:val="32"/>
        </w:rPr>
        <w:t>三、授权委托书</w:t>
      </w:r>
    </w:p>
    <w:p>
      <w:pPr>
        <w:keepLines w:val="0"/>
        <w:pageBreakBefore w:val="0"/>
        <w:kinsoku/>
        <w:wordWrap/>
        <w:topLinePunct w:val="0"/>
        <w:bidi w:val="0"/>
        <w:spacing w:line="360" w:lineRule="auto"/>
        <w:ind w:firstLine="420" w:firstLineChars="200"/>
        <w:rPr>
          <w:rFonts w:cs="Calibri"/>
          <w:color w:val="000000"/>
          <w:szCs w:val="21"/>
        </w:rPr>
      </w:pPr>
    </w:p>
    <w:p>
      <w:pPr>
        <w:keepLines w:val="0"/>
        <w:pageBreakBefore w:val="0"/>
        <w:kinsoku/>
        <w:wordWrap/>
        <w:topLinePunct w:val="0"/>
        <w:bidi w:val="0"/>
        <w:spacing w:line="360" w:lineRule="auto"/>
        <w:ind w:left="0" w:leftChars="0" w:firstLine="440" w:firstLineChars="200"/>
        <w:rPr>
          <w:rFonts w:cs="Calibri"/>
          <w:color w:val="000000"/>
          <w:sz w:val="22"/>
        </w:rPr>
      </w:pPr>
      <w:r>
        <w:rPr>
          <w:rFonts w:hint="eastAsia" w:cs="Calibri"/>
          <w:color w:val="000000"/>
          <w:sz w:val="22"/>
        </w:rPr>
        <w:t>本人</w:t>
      </w:r>
      <w:r>
        <w:rPr>
          <w:rFonts w:hint="eastAsia" w:cs="Calibri"/>
          <w:color w:val="000000"/>
          <w:sz w:val="22"/>
          <w:u w:val="single"/>
          <w:lang w:val="en-US" w:eastAsia="zh-CN"/>
        </w:rPr>
        <w:t xml:space="preserve">       </w:t>
      </w:r>
      <w:r>
        <w:rPr>
          <w:rFonts w:hint="eastAsia" w:cs="Calibri"/>
          <w:color w:val="000000"/>
          <w:sz w:val="22"/>
        </w:rPr>
        <w:t>（姓名）系</w:t>
      </w:r>
      <w:r>
        <w:rPr>
          <w:rFonts w:hint="eastAsia" w:cs="Calibri"/>
          <w:color w:val="000000"/>
          <w:sz w:val="22"/>
          <w:u w:val="single"/>
          <w:lang w:val="en-US" w:eastAsia="zh-CN"/>
        </w:rPr>
        <w:t xml:space="preserve">                    </w:t>
      </w:r>
      <w:r>
        <w:rPr>
          <w:rFonts w:hint="eastAsia" w:cs="Calibri"/>
          <w:color w:val="000000"/>
          <w:sz w:val="22"/>
        </w:rPr>
        <w:t>（投标人名称）的法定代表人，现委托</w:t>
      </w:r>
      <w:r>
        <w:rPr>
          <w:rFonts w:hint="eastAsia" w:cs="Calibri"/>
          <w:color w:val="000000"/>
          <w:sz w:val="22"/>
          <w:u w:val="single"/>
          <w:lang w:val="en-US" w:eastAsia="zh-CN"/>
        </w:rPr>
        <w:t xml:space="preserve">        </w:t>
      </w:r>
      <w:r>
        <w:rPr>
          <w:rFonts w:hint="eastAsia" w:cs="Calibri"/>
          <w:color w:val="000000"/>
          <w:sz w:val="22"/>
        </w:rPr>
        <w:t>（姓名）为我方代理人。代理人根据授权，以我方名义签署、澄清、说明、补正、递交、撤回、修改（项目名称）投标文件、签订合同和处理有关事宜，其法律后果由我方承担。</w:t>
      </w:r>
    </w:p>
    <w:p>
      <w:pPr>
        <w:keepLines w:val="0"/>
        <w:pageBreakBefore w:val="0"/>
        <w:kinsoku/>
        <w:wordWrap/>
        <w:topLinePunct w:val="0"/>
        <w:bidi w:val="0"/>
        <w:spacing w:line="360" w:lineRule="auto"/>
        <w:ind w:firstLine="440" w:firstLineChars="200"/>
        <w:rPr>
          <w:rFonts w:cs="Calibri"/>
          <w:color w:val="000000"/>
          <w:sz w:val="22"/>
        </w:rPr>
      </w:pPr>
      <w:r>
        <w:rPr>
          <w:rFonts w:hint="eastAsia" w:cs="Calibri"/>
          <w:color w:val="000000"/>
          <w:sz w:val="22"/>
        </w:rPr>
        <w:t>代理人无转委托权。</w:t>
      </w:r>
    </w:p>
    <w:p>
      <w:pPr>
        <w:keepLines w:val="0"/>
        <w:pageBreakBefore w:val="0"/>
        <w:kinsoku/>
        <w:wordWrap/>
        <w:topLinePunct w:val="0"/>
        <w:bidi w:val="0"/>
        <w:spacing w:line="360" w:lineRule="auto"/>
        <w:ind w:firstLine="440" w:firstLineChars="200"/>
        <w:rPr>
          <w:rFonts w:cs="Calibri"/>
          <w:color w:val="000000"/>
          <w:sz w:val="22"/>
        </w:rPr>
      </w:pPr>
      <w:r>
        <w:rPr>
          <w:rFonts w:hint="eastAsia" w:cs="Calibri"/>
          <w:color w:val="000000"/>
          <w:sz w:val="22"/>
        </w:rPr>
        <w:t>附：委托代理人身份证复印件</w:t>
      </w:r>
    </w:p>
    <w:p>
      <w:pPr>
        <w:keepLines w:val="0"/>
        <w:pageBreakBefore w:val="0"/>
        <w:kinsoku/>
        <w:wordWrap/>
        <w:topLinePunct w:val="0"/>
        <w:bidi w:val="0"/>
        <w:spacing w:line="360" w:lineRule="auto"/>
        <w:rPr>
          <w:rFonts w:cs="Calibri"/>
          <w:color w:val="000000"/>
          <w:sz w:val="22"/>
        </w:rPr>
      </w:pPr>
    </w:p>
    <w:p>
      <w:pPr>
        <w:keepLines w:val="0"/>
        <w:pageBreakBefore w:val="0"/>
        <w:kinsoku/>
        <w:wordWrap/>
        <w:topLinePunct w:val="0"/>
        <w:bidi w:val="0"/>
        <w:spacing w:line="360" w:lineRule="auto"/>
        <w:rPr>
          <w:rFonts w:cs="Calibri"/>
          <w:color w:val="000000"/>
          <w:sz w:val="32"/>
          <w:szCs w:val="32"/>
        </w:rPr>
      </w:pPr>
      <w:r>
        <w:rPr>
          <w:rFonts w:hint="eastAsia" w:cs="Calibri"/>
          <w:color w:val="000000"/>
          <w:sz w:val="22"/>
        </w:rPr>
        <w:t>投标人：（盖单位章）</w:t>
      </w:r>
    </w:p>
    <w:p>
      <w:pPr>
        <w:keepLines w:val="0"/>
        <w:pageBreakBefore w:val="0"/>
        <w:kinsoku/>
        <w:wordWrap/>
        <w:topLinePunct w:val="0"/>
        <w:bidi w:val="0"/>
        <w:spacing w:line="360" w:lineRule="auto"/>
        <w:rPr>
          <w:rFonts w:cs="Calibri"/>
          <w:color w:val="000000"/>
          <w:sz w:val="22"/>
        </w:rPr>
      </w:pPr>
      <w:r>
        <w:rPr>
          <w:rFonts w:hint="eastAsia" w:cs="Calibri"/>
          <w:color w:val="000000"/>
          <w:sz w:val="22"/>
        </w:rPr>
        <w:t>法定代表人：（签字或盖章）</w:t>
      </w:r>
    </w:p>
    <w:p>
      <w:pPr>
        <w:keepLines w:val="0"/>
        <w:pageBreakBefore w:val="0"/>
        <w:kinsoku/>
        <w:wordWrap/>
        <w:topLinePunct w:val="0"/>
        <w:bidi w:val="0"/>
        <w:spacing w:line="360" w:lineRule="auto"/>
        <w:rPr>
          <w:rFonts w:cs="Calibri"/>
          <w:color w:val="000000"/>
          <w:sz w:val="22"/>
        </w:rPr>
      </w:pPr>
      <w:r>
        <w:rPr>
          <w:rFonts w:hint="eastAsia" w:cs="Calibri"/>
          <w:color w:val="000000"/>
          <w:sz w:val="22"/>
        </w:rPr>
        <w:t>身份证号码：</w:t>
      </w:r>
    </w:p>
    <w:p>
      <w:pPr>
        <w:keepLines w:val="0"/>
        <w:pageBreakBefore w:val="0"/>
        <w:kinsoku/>
        <w:wordWrap/>
        <w:topLinePunct w:val="0"/>
        <w:bidi w:val="0"/>
        <w:spacing w:line="360" w:lineRule="auto"/>
        <w:rPr>
          <w:rFonts w:cs="Calibri"/>
          <w:color w:val="000000"/>
          <w:sz w:val="22"/>
        </w:rPr>
      </w:pPr>
    </w:p>
    <w:p>
      <w:pPr>
        <w:keepLines w:val="0"/>
        <w:pageBreakBefore w:val="0"/>
        <w:kinsoku/>
        <w:wordWrap/>
        <w:topLinePunct w:val="0"/>
        <w:bidi w:val="0"/>
        <w:spacing w:line="360" w:lineRule="auto"/>
        <w:rPr>
          <w:rFonts w:cs="Calibri"/>
          <w:color w:val="000000"/>
          <w:sz w:val="22"/>
        </w:rPr>
      </w:pPr>
      <w:r>
        <w:rPr>
          <w:rFonts w:hint="eastAsia" w:cs="Calibri"/>
          <w:color w:val="000000"/>
          <w:sz w:val="22"/>
        </w:rPr>
        <w:t>委托的代理人：（签字或盖章）</w:t>
      </w:r>
    </w:p>
    <w:p>
      <w:pPr>
        <w:keepLines w:val="0"/>
        <w:pageBreakBefore w:val="0"/>
        <w:kinsoku/>
        <w:wordWrap/>
        <w:topLinePunct w:val="0"/>
        <w:bidi w:val="0"/>
        <w:spacing w:line="360" w:lineRule="auto"/>
        <w:rPr>
          <w:rFonts w:cs="Calibri"/>
          <w:color w:val="000000"/>
          <w:sz w:val="22"/>
        </w:rPr>
      </w:pPr>
      <w:r>
        <w:rPr>
          <w:rFonts w:hint="eastAsia" w:cs="Calibri"/>
          <w:color w:val="000000"/>
          <w:sz w:val="22"/>
        </w:rPr>
        <w:t>身份证号码：</w:t>
      </w:r>
    </w:p>
    <w:p>
      <w:pPr>
        <w:keepLines w:val="0"/>
        <w:pageBreakBefore w:val="0"/>
        <w:kinsoku/>
        <w:wordWrap/>
        <w:topLinePunct w:val="0"/>
        <w:bidi w:val="0"/>
        <w:spacing w:line="360" w:lineRule="auto"/>
        <w:ind w:firstLine="4730" w:firstLineChars="2150"/>
        <w:rPr>
          <w:rFonts w:cs="Calibri"/>
          <w:color w:val="000000"/>
          <w:sz w:val="22"/>
        </w:rPr>
      </w:pPr>
      <w:r>
        <w:rPr>
          <w:rFonts w:hint="eastAsia" w:cs="Calibri"/>
          <w:color w:val="000000"/>
          <w:sz w:val="22"/>
        </w:rPr>
        <w:t>日期：</w:t>
      </w:r>
      <w:r>
        <w:rPr>
          <w:rFonts w:hint="eastAsia" w:cs="Calibri"/>
          <w:color w:val="000000"/>
          <w:sz w:val="22"/>
          <w:lang w:val="en-US" w:eastAsia="zh-CN"/>
        </w:rPr>
        <w:t xml:space="preserve">  </w:t>
      </w:r>
      <w:r>
        <w:rPr>
          <w:rFonts w:hint="eastAsia" w:cs="Calibri"/>
          <w:color w:val="000000"/>
          <w:sz w:val="22"/>
        </w:rPr>
        <w:t>年</w:t>
      </w:r>
      <w:r>
        <w:rPr>
          <w:rFonts w:hint="eastAsia" w:cs="Calibri"/>
          <w:color w:val="000000"/>
          <w:sz w:val="22"/>
          <w:lang w:val="en-US" w:eastAsia="zh-CN"/>
        </w:rPr>
        <w:t xml:space="preserve">   </w:t>
      </w:r>
      <w:r>
        <w:rPr>
          <w:rFonts w:hint="eastAsia" w:cs="Calibri"/>
          <w:color w:val="000000"/>
          <w:sz w:val="22"/>
        </w:rPr>
        <w:t>月</w:t>
      </w:r>
      <w:r>
        <w:rPr>
          <w:rFonts w:hint="eastAsia" w:cs="Calibri"/>
          <w:color w:val="000000"/>
          <w:sz w:val="22"/>
          <w:lang w:val="en-US" w:eastAsia="zh-CN"/>
        </w:rPr>
        <w:t xml:space="preserve">   </w:t>
      </w:r>
      <w:r>
        <w:rPr>
          <w:rFonts w:hint="eastAsia" w:cs="Calibri"/>
          <w:color w:val="000000"/>
          <w:sz w:val="22"/>
        </w:rPr>
        <w:t>日</w:t>
      </w:r>
    </w:p>
    <w:p>
      <w:pPr>
        <w:keepLines w:val="0"/>
        <w:pageBreakBefore w:val="0"/>
        <w:kinsoku/>
        <w:wordWrap/>
        <w:topLinePunct w:val="0"/>
        <w:bidi w:val="0"/>
        <w:snapToGrid w:val="0"/>
        <w:spacing w:line="360" w:lineRule="auto"/>
        <w:rPr>
          <w:rFonts w:cs="Calibri"/>
          <w:color w:val="000000"/>
          <w:szCs w:val="21"/>
        </w:rPr>
      </w:pPr>
      <w:r>
        <w:rPr>
          <w:rFonts w:cs="Times New Roman"/>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cOXlf8wEAAOkDAAAOAAAAZHJzL2Uyb0RvYy54bWytU8tu&#10;EzEU3SPxD5b3ZCZThdJRJpUghA0CpMIH3PgxY8kv2W5m8gPwB6zYsOe78h1cO23a0i4QYhaea9/j&#10;43PPtZeXk9FkJ0JUznZ0PqspEZY5rmzf0S+fNy9eURITWA7aWdHRvYj0cvX82XL0rWjc4DQXgSCJ&#10;je3oOzqk5NuqimwQBuLMeWExKV0wkHAa+ooHGJHd6Kqp65fV6AL3wTERI66uj0m6KvxSCpY+ShlF&#10;IrqjqC2VMZRxm8dqtYS2D+AHxW5kwD+oMKAsHnqiWkMCch3UIyqjWHDRyTRjzlROSsVEqQGrmdd/&#10;VHM1gBelFjQn+pNN8f/Rsg+7T4Eo3tGGEgsGW3T4/u3w49fh51fSZHtGH1tEXXnEpem1m7DNt+sR&#10;F3PVkwwm/7Eegnk0en8yV0yJMFxcnJ038xpTDHPN/PzirCn2V3fbfYjpnXCG5KCjAbtXTIXd+5hQ&#10;CkJvIfm06LTiG6V1mYR++0YHsgPs9KZ8WSVueQDTlowdvVg0CxQCeOGkhoSh8WhBtH0578GOeJ+4&#10;Lt9TxFnYGuJwFFAYMgxao5IIJRoE8LeWk7T3aLPF90CzGCM4JVrg88lRQSZQ+m+QWJ22WGTu0bEX&#10;OUrTdkKaHG4d32Pfrn1Q/YCWls4VON6n4s7N3c8X9v68kN690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k96wdcAAAAJAQAADwAAAAAAAAABACAAAAAiAAAAZHJzL2Rvd25yZXYueG1sUEsBAhQA&#10;FAAAAAgAh07iQBw5eV/zAQAA6QMAAA4AAAAAAAAAAQAgAAAAJgEAAGRycy9lMm9Eb2MueG1sUEsF&#10;BgAAAAAGAAYAWQEAAIs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keepLines w:val="0"/>
        <w:pageBreakBefore w:val="0"/>
        <w:kinsoku/>
        <w:wordWrap/>
        <w:topLinePunct w:val="0"/>
        <w:bidi w:val="0"/>
        <w:spacing w:line="360" w:lineRule="auto"/>
        <w:rPr>
          <w:rFonts w:cs="Calibri"/>
          <w:b/>
          <w:bCs/>
          <w:color w:val="000000"/>
          <w:sz w:val="22"/>
        </w:rPr>
      </w:pPr>
      <w:r>
        <w:rPr>
          <w:rFonts w:hint="eastAsia" w:cs="Calibri"/>
          <w:color w:val="000000"/>
          <w:sz w:val="22"/>
        </w:rPr>
        <w:t>注：如投标文件由委托代理人签字或盖章的，投标文件必须附此授权委托书。</w:t>
      </w:r>
    </w:p>
    <w:p>
      <w:pPr>
        <w:keepLines w:val="0"/>
        <w:pageBreakBefore w:val="0"/>
        <w:kinsoku/>
        <w:wordWrap/>
        <w:topLinePunct w:val="0"/>
        <w:bidi w:val="0"/>
        <w:spacing w:line="360" w:lineRule="auto"/>
        <w:jc w:val="left"/>
        <w:rPr>
          <w:rFonts w:ascii="宋体" w:hAnsi="宋体" w:cs="宋体"/>
          <w:sz w:val="22"/>
        </w:rPr>
      </w:pPr>
    </w:p>
    <w:p>
      <w:pPr>
        <w:keepLines w:val="0"/>
        <w:pageBreakBefore w:val="0"/>
        <w:kinsoku/>
        <w:wordWrap/>
        <w:topLinePunct w:val="0"/>
        <w:bidi w:val="0"/>
        <w:spacing w:afterLines="50" w:line="360" w:lineRule="auto"/>
        <w:jc w:val="left"/>
        <w:rPr>
          <w:rFonts w:ascii="宋体" w:hAnsi="宋体" w:cs="宋体"/>
          <w:kern w:val="0"/>
          <w:sz w:val="22"/>
        </w:rPr>
      </w:pPr>
      <w:r>
        <w:rPr>
          <w:rFonts w:hint="eastAsia" w:ascii="宋体" w:hAnsi="宋体" w:cs="宋体"/>
          <w:b/>
          <w:kern w:val="0"/>
          <w:sz w:val="20"/>
          <w:szCs w:val="21"/>
        </w:rPr>
        <w:br w:type="page"/>
      </w:r>
      <w:bookmarkStart w:id="110" w:name="_Toc133214102"/>
      <w:bookmarkStart w:id="111" w:name="_Toc133470542"/>
      <w:bookmarkStart w:id="112" w:name="_Toc137373398"/>
      <w:bookmarkStart w:id="113" w:name="_Toc144265958"/>
      <w:bookmarkStart w:id="114" w:name="_Toc133214309"/>
    </w:p>
    <w:p>
      <w:pPr>
        <w:keepLines w:val="0"/>
        <w:pageBreakBefore w:val="0"/>
        <w:kinsoku/>
        <w:wordWrap/>
        <w:topLinePunct w:val="0"/>
        <w:bidi w:val="0"/>
        <w:spacing w:line="360" w:lineRule="auto"/>
        <w:jc w:val="center"/>
        <w:rPr>
          <w:rFonts w:eastAsia="黑体" w:cs="Calibri"/>
          <w:color w:val="000000"/>
          <w:sz w:val="32"/>
          <w:szCs w:val="32"/>
        </w:rPr>
      </w:pPr>
      <w:r>
        <w:rPr>
          <w:rFonts w:hint="eastAsia" w:eastAsia="黑体" w:cs="Calibri"/>
          <w:color w:val="000000"/>
          <w:sz w:val="32"/>
          <w:szCs w:val="32"/>
        </w:rPr>
        <w:t>四、投标报价表</w:t>
      </w:r>
    </w:p>
    <w:p>
      <w:pPr>
        <w:keepLines w:val="0"/>
        <w:pageBreakBefore w:val="0"/>
        <w:kinsoku/>
        <w:wordWrap/>
        <w:topLinePunct w:val="0"/>
        <w:bidi w:val="0"/>
        <w:spacing w:afterLines="50" w:line="360" w:lineRule="auto"/>
        <w:jc w:val="center"/>
        <w:rPr>
          <w:rFonts w:ascii="宋体" w:hAnsi="宋体" w:cs="宋体"/>
          <w:kern w:val="0"/>
          <w:sz w:val="20"/>
          <w:szCs w:val="21"/>
        </w:rPr>
      </w:pPr>
    </w:p>
    <w:p>
      <w:pPr>
        <w:keepNext w:val="0"/>
        <w:keepLines w:val="0"/>
        <w:pageBreakBefore w:val="0"/>
        <w:widowControl w:val="0"/>
        <w:numPr>
          <w:ilvl w:val="0"/>
          <w:numId w:val="0"/>
        </w:numPr>
        <w:tabs>
          <w:tab w:val="left" w:pos="1086"/>
        </w:tabs>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b/>
          <w:kern w:val="0"/>
          <w:sz w:val="22"/>
        </w:rPr>
      </w:pPr>
      <w:r>
        <w:rPr>
          <w:rFonts w:hint="eastAsia" w:asciiTheme="minorEastAsia" w:hAnsiTheme="minorEastAsia" w:eastAsiaTheme="minorEastAsia" w:cstheme="minorEastAsia"/>
          <w:b/>
          <w:kern w:val="0"/>
          <w:sz w:val="22"/>
          <w:lang w:val="en-US" w:eastAsia="zh-CN"/>
        </w:rPr>
        <w:t>1、</w:t>
      </w:r>
      <w:r>
        <w:rPr>
          <w:rFonts w:hint="eastAsia" w:asciiTheme="minorEastAsia" w:hAnsiTheme="minorEastAsia" w:eastAsiaTheme="minorEastAsia" w:cstheme="minorEastAsia"/>
          <w:b/>
          <w:kern w:val="0"/>
          <w:sz w:val="22"/>
        </w:rPr>
        <w:t>总则</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lang w:val="en-US" w:eastAsia="zh-CN"/>
        </w:rPr>
        <w:t>1.1</w:t>
      </w:r>
      <w:r>
        <w:rPr>
          <w:rFonts w:hint="eastAsia" w:asciiTheme="minorEastAsia" w:hAnsiTheme="minorEastAsia" w:eastAsiaTheme="minorEastAsia" w:cstheme="minorEastAsia"/>
          <w:kern w:val="0"/>
          <w:sz w:val="22"/>
        </w:rPr>
        <w:t>一旦投标人对本投标报价表作出报价并为招标人所接纳后，本投标报价表就成为一份具有约束力的合同文件的一部分，用来作为合同付款的依据。</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lang w:val="en-US" w:eastAsia="zh-CN"/>
        </w:rPr>
        <w:t>1.2</w:t>
      </w:r>
      <w:r>
        <w:rPr>
          <w:rFonts w:hint="eastAsia" w:asciiTheme="minorEastAsia" w:hAnsiTheme="minorEastAsia" w:eastAsiaTheme="minorEastAsia" w:cstheme="minorEastAsia"/>
          <w:kern w:val="0"/>
          <w:sz w:val="22"/>
        </w:rPr>
        <w:t>报价应包含本项目所有税项。</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lang w:val="en-US" w:eastAsia="zh-CN"/>
        </w:rPr>
        <w:t>1.3</w:t>
      </w:r>
      <w:r>
        <w:rPr>
          <w:rFonts w:hint="eastAsia" w:asciiTheme="minorEastAsia" w:hAnsiTheme="minorEastAsia" w:eastAsiaTheme="minorEastAsia" w:cstheme="minorEastAsia"/>
          <w:kern w:val="0"/>
          <w:sz w:val="22"/>
        </w:rPr>
        <w:t>投标人应仔细阅读所有招标文件，填报自己理解并认为正确的报价。除合同规定的调整外，投标人对实际工作及工作量的差异的索赔将不获考虑。</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lang w:val="en-US" w:eastAsia="zh-CN"/>
        </w:rPr>
        <w:t>1.4</w:t>
      </w:r>
      <w:r>
        <w:rPr>
          <w:rFonts w:hint="eastAsia" w:asciiTheme="minorEastAsia" w:hAnsiTheme="minorEastAsia" w:eastAsiaTheme="minorEastAsia" w:cstheme="minorEastAsia"/>
          <w:kern w:val="0"/>
          <w:sz w:val="22"/>
        </w:rPr>
        <w:t>本投标报价表中所有金额和单价以人民币结算。</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lang w:val="en-US" w:eastAsia="zh-CN"/>
        </w:rPr>
        <w:t>1.5</w:t>
      </w:r>
      <w:r>
        <w:rPr>
          <w:rFonts w:hint="eastAsia" w:asciiTheme="minorEastAsia" w:hAnsiTheme="minorEastAsia" w:eastAsiaTheme="minorEastAsia" w:cstheme="minorEastAsia"/>
          <w:kern w:val="0"/>
          <w:sz w:val="22"/>
        </w:rPr>
        <w:t>本投标报价表中的金额应包括在项目整个实施过程中，根据合同所需要的所有成本和费用。</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lang w:val="en-US" w:eastAsia="zh-CN"/>
        </w:rPr>
        <w:t>2、</w:t>
      </w:r>
      <w:r>
        <w:rPr>
          <w:rFonts w:hint="eastAsia" w:asciiTheme="minorEastAsia" w:hAnsiTheme="minorEastAsia" w:eastAsiaTheme="minorEastAsia" w:cstheme="minorEastAsia"/>
          <w:b/>
          <w:bCs/>
          <w:kern w:val="0"/>
          <w:sz w:val="22"/>
        </w:rPr>
        <w:t>投标报价表包含以下各表</w:t>
      </w:r>
    </w:p>
    <w:bookmarkEnd w:id="110"/>
    <w:bookmarkEnd w:id="111"/>
    <w:bookmarkEnd w:id="112"/>
    <w:bookmarkEnd w:id="113"/>
    <w:bookmarkEnd w:id="114"/>
    <w:p>
      <w:pPr>
        <w:keepNext w:val="0"/>
        <w:keepLines w:val="0"/>
        <w:pageBreakBefore w:val="0"/>
        <w:widowControl w:val="0"/>
        <w:kinsoku/>
        <w:wordWrap/>
        <w:overflowPunct/>
        <w:topLinePunct w:val="0"/>
        <w:autoSpaceDE/>
        <w:autoSpaceDN/>
        <w:bidi w:val="0"/>
        <w:adjustRightInd/>
        <w:snapToGrid w:val="0"/>
        <w:spacing w:beforeLines="50" w:line="360" w:lineRule="auto"/>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(1)投标报价汇总表</w:t>
      </w:r>
    </w:p>
    <w:p>
      <w:pPr>
        <w:keepNext w:val="0"/>
        <w:keepLines w:val="0"/>
        <w:pageBreakBefore w:val="0"/>
        <w:widowControl w:val="0"/>
        <w:kinsoku/>
        <w:wordWrap/>
        <w:overflowPunct/>
        <w:topLinePunct w:val="0"/>
        <w:autoSpaceDE/>
        <w:autoSpaceDN/>
        <w:bidi w:val="0"/>
        <w:adjustRightInd/>
        <w:snapToGrid w:val="0"/>
        <w:spacing w:beforeLines="50" w:line="360" w:lineRule="auto"/>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w:t>
      </w:r>
      <w:r>
        <w:rPr>
          <w:rFonts w:hint="eastAsia" w:asciiTheme="minorEastAsia" w:hAnsiTheme="minorEastAsia" w:eastAsiaTheme="minorEastAsia" w:cstheme="minorEastAsia"/>
          <w:sz w:val="22"/>
          <w:lang w:eastAsia="zh-CN"/>
        </w:rPr>
        <w:t>材料</w:t>
      </w:r>
      <w:r>
        <w:rPr>
          <w:rFonts w:hint="eastAsia" w:asciiTheme="minorEastAsia" w:hAnsiTheme="minorEastAsia" w:eastAsiaTheme="minorEastAsia" w:cstheme="minorEastAsia"/>
          <w:sz w:val="22"/>
        </w:rPr>
        <w:t>费分项报价表</w:t>
      </w:r>
    </w:p>
    <w:p>
      <w:pPr>
        <w:keepLines w:val="0"/>
        <w:pageBreakBefore w:val="0"/>
        <w:kinsoku/>
        <w:wordWrap/>
        <w:topLinePunct w:val="0"/>
        <w:bidi w:val="0"/>
        <w:snapToGrid w:val="0"/>
        <w:spacing w:beforeLines="50" w:line="360" w:lineRule="auto"/>
        <w:ind w:left="1134"/>
        <w:rPr>
          <w:rFonts w:ascii="宋体" w:hAnsi="宋体" w:cs="宋体"/>
          <w:sz w:val="22"/>
        </w:rPr>
      </w:pPr>
    </w:p>
    <w:p>
      <w:pPr>
        <w:keepLines w:val="0"/>
        <w:pageBreakBefore w:val="0"/>
        <w:kinsoku/>
        <w:wordWrap/>
        <w:topLinePunct w:val="0"/>
        <w:bidi w:val="0"/>
        <w:spacing w:line="360" w:lineRule="auto"/>
        <w:jc w:val="center"/>
        <w:rPr>
          <w:rFonts w:ascii="宋体" w:hAnsi="宋体" w:cs="宋体"/>
          <w:b/>
          <w:sz w:val="32"/>
          <w:szCs w:val="32"/>
        </w:rPr>
      </w:pPr>
      <w:r>
        <w:rPr>
          <w:rFonts w:hint="eastAsia" w:ascii="宋体" w:hAnsi="宋体" w:cs="宋体"/>
          <w:sz w:val="22"/>
        </w:rPr>
        <w:br w:type="page"/>
      </w:r>
      <w:r>
        <w:rPr>
          <w:rFonts w:hint="eastAsia" w:asciiTheme="majorEastAsia" w:hAnsiTheme="majorEastAsia" w:eastAsiaTheme="majorEastAsia" w:cstheme="majorEastAsia"/>
          <w:b/>
          <w:sz w:val="28"/>
          <w:szCs w:val="28"/>
        </w:rPr>
        <w:t>4.1 投标报价汇总表</w:t>
      </w:r>
    </w:p>
    <w:p>
      <w:pPr>
        <w:keepLines w:val="0"/>
        <w:pageBreakBefore w:val="0"/>
        <w:kinsoku/>
        <w:wordWrap/>
        <w:topLinePunct w:val="0"/>
        <w:bidi w:val="0"/>
        <w:spacing w:line="360" w:lineRule="auto"/>
        <w:rPr>
          <w:rFonts w:ascii="宋体" w:hAnsi="宋体" w:cs="宋体"/>
        </w:rPr>
      </w:pPr>
    </w:p>
    <w:p>
      <w:pPr>
        <w:keepLines w:val="0"/>
        <w:pageBreakBefore w:val="0"/>
        <w:kinsoku/>
        <w:wordWrap/>
        <w:topLinePunct w:val="0"/>
        <w:bidi w:val="0"/>
        <w:spacing w:line="360" w:lineRule="auto"/>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[货币单位：人民币元]</w:t>
      </w:r>
    </w:p>
    <w:tbl>
      <w:tblPr>
        <w:tblStyle w:val="15"/>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序号</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内容</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投标报价</w:t>
            </w: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设计费</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材料</w:t>
            </w:r>
            <w:r>
              <w:rPr>
                <w:rFonts w:hint="eastAsia" w:asciiTheme="minorEastAsia" w:hAnsiTheme="minorEastAsia" w:eastAsiaTheme="minorEastAsia" w:cstheme="minorEastAsia"/>
                <w:sz w:val="22"/>
                <w:szCs w:val="22"/>
              </w:rPr>
              <w:t>费(表4.2)</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拆除费及废料运输费</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总计</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bl>
    <w:p>
      <w:pPr>
        <w:keepLines w:val="0"/>
        <w:pageBreakBefore w:val="0"/>
        <w:kinsoku/>
        <w:wordWrap/>
        <w:topLinePunct w:val="0"/>
        <w:bidi w:val="0"/>
        <w:spacing w:line="360" w:lineRule="auto"/>
        <w:jc w:val="right"/>
        <w:rPr>
          <w:rFonts w:ascii="宋体" w:hAnsi="宋体" w:cs="宋体"/>
          <w:sz w:val="22"/>
        </w:rPr>
      </w:pPr>
    </w:p>
    <w:p>
      <w:pPr>
        <w:keepLines w:val="0"/>
        <w:pageBreakBefore w:val="0"/>
        <w:kinsoku/>
        <w:wordWrap/>
        <w:topLinePunct w:val="0"/>
        <w:bidi w:val="0"/>
        <w:spacing w:line="360" w:lineRule="auto"/>
        <w:rPr>
          <w:rFonts w:ascii="宋体" w:hAnsi="宋体" w:cs="宋体"/>
          <w:sz w:val="22"/>
        </w:rPr>
      </w:pPr>
    </w:p>
    <w:p>
      <w:pPr>
        <w:keepLines w:val="0"/>
        <w:pageBreakBefore w:val="0"/>
        <w:kinsoku/>
        <w:wordWrap/>
        <w:topLinePunct w:val="0"/>
        <w:bidi w:val="0"/>
        <w:spacing w:line="360" w:lineRule="auto"/>
        <w:rPr>
          <w:rFonts w:ascii="宋体" w:hAnsi="宋体" w:cs="宋体"/>
          <w:sz w:val="22"/>
        </w:rPr>
      </w:pPr>
      <w:r>
        <w:rPr>
          <w:rFonts w:hint="eastAsia" w:ascii="宋体" w:hAnsi="宋体" w:cs="宋体"/>
          <w:sz w:val="22"/>
        </w:rPr>
        <w:t>注：</w:t>
      </w:r>
    </w:p>
    <w:p>
      <w:pPr>
        <w:keepLines w:val="0"/>
        <w:pageBreakBefore w:val="0"/>
        <w:numPr>
          <w:ilvl w:val="2"/>
          <w:numId w:val="8"/>
        </w:numPr>
        <w:kinsoku/>
        <w:wordWrap/>
        <w:topLinePunct w:val="0"/>
        <w:bidi w:val="0"/>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keepLines w:val="0"/>
        <w:pageBreakBefore w:val="0"/>
        <w:kinsoku/>
        <w:wordWrap/>
        <w:topLinePunct w:val="0"/>
        <w:bidi w:val="0"/>
        <w:snapToGrid w:val="0"/>
        <w:spacing w:line="360" w:lineRule="auto"/>
        <w:rPr>
          <w:rFonts w:ascii="宋体" w:hAnsi="宋体" w:cs="宋体"/>
          <w:sz w:val="22"/>
        </w:rPr>
      </w:pPr>
    </w:p>
    <w:p>
      <w:pPr>
        <w:keepLines w:val="0"/>
        <w:pageBreakBefore w:val="0"/>
        <w:kinsoku/>
        <w:wordWrap/>
        <w:topLinePunct w:val="0"/>
        <w:bidi w:val="0"/>
        <w:spacing w:beforeLines="50" w:line="360" w:lineRule="auto"/>
        <w:ind w:firstLine="3960"/>
        <w:rPr>
          <w:rFonts w:ascii="宋体" w:hAnsi="宋体" w:cs="宋体"/>
        </w:rPr>
      </w:pPr>
      <w:bookmarkStart w:id="115" w:name="_Toc133470544"/>
      <w:bookmarkStart w:id="116" w:name="_Toc133214103"/>
      <w:bookmarkStart w:id="117" w:name="_Toc133214310"/>
      <w:bookmarkStart w:id="118" w:name="_Toc137373399"/>
    </w:p>
    <w:p>
      <w:pPr>
        <w:keepLines w:val="0"/>
        <w:pageBreakBefore w:val="0"/>
        <w:kinsoku/>
        <w:wordWrap/>
        <w:topLinePunct w:val="0"/>
        <w:bidi w:val="0"/>
        <w:spacing w:line="360" w:lineRule="auto"/>
        <w:jc w:val="center"/>
        <w:rPr>
          <w:rFonts w:ascii="宋体" w:hAnsi="宋体" w:cs="宋体"/>
          <w:b/>
          <w:sz w:val="32"/>
          <w:szCs w:val="32"/>
        </w:rPr>
      </w:pPr>
      <w:r>
        <w:rPr>
          <w:rFonts w:hint="eastAsia" w:ascii="宋体" w:hAnsi="宋体" w:cs="宋体"/>
          <w:b/>
          <w:sz w:val="32"/>
          <w:szCs w:val="32"/>
        </w:rPr>
        <w:br w:type="page"/>
      </w:r>
      <w:bookmarkStart w:id="119" w:name="_Toc144265959"/>
    </w:p>
    <w:bookmarkEnd w:id="115"/>
    <w:bookmarkEnd w:id="116"/>
    <w:bookmarkEnd w:id="117"/>
    <w:bookmarkEnd w:id="118"/>
    <w:bookmarkEnd w:id="119"/>
    <w:p>
      <w:pPr>
        <w:keepLines w:val="0"/>
        <w:pageBreakBefore w:val="0"/>
        <w:kinsoku/>
        <w:wordWrap/>
        <w:topLinePunct w:val="0"/>
        <w:bidi w:val="0"/>
        <w:snapToGrid w:val="0"/>
        <w:spacing w:line="360" w:lineRule="auto"/>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4.2</w:t>
      </w:r>
      <w:r>
        <w:rPr>
          <w:rFonts w:hint="eastAsia" w:asciiTheme="majorEastAsia" w:hAnsiTheme="majorEastAsia" w:eastAsiaTheme="majorEastAsia" w:cstheme="majorEastAsia"/>
          <w:b/>
          <w:sz w:val="28"/>
          <w:szCs w:val="28"/>
          <w:lang w:eastAsia="zh-CN"/>
        </w:rPr>
        <w:t>材料</w:t>
      </w:r>
      <w:r>
        <w:rPr>
          <w:rFonts w:hint="eastAsia" w:asciiTheme="majorEastAsia" w:hAnsiTheme="majorEastAsia" w:eastAsiaTheme="majorEastAsia" w:cstheme="majorEastAsia"/>
          <w:b/>
          <w:sz w:val="28"/>
          <w:szCs w:val="28"/>
        </w:rPr>
        <w:t>费分项报价表</w:t>
      </w:r>
    </w:p>
    <w:tbl>
      <w:tblPr>
        <w:tblStyle w:val="15"/>
        <w:tblpPr w:leftFromText="180" w:rightFromText="180" w:vertAnchor="text" w:horzAnchor="page" w:tblpX="1305" w:tblpY="281"/>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761"/>
        <w:gridCol w:w="825"/>
        <w:gridCol w:w="139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序号</w:t>
            </w:r>
          </w:p>
        </w:tc>
        <w:tc>
          <w:tcPr>
            <w:tcW w:w="152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lang w:eastAsia="zh-CN"/>
              </w:rPr>
              <w:t>材料</w:t>
            </w:r>
            <w:r>
              <w:rPr>
                <w:rFonts w:hint="eastAsia" w:ascii="宋体" w:hAnsi="宋体" w:eastAsia="宋体" w:cs="宋体"/>
                <w:b/>
                <w:bCs/>
                <w:kern w:val="0"/>
                <w:sz w:val="22"/>
                <w:szCs w:val="22"/>
              </w:rPr>
              <w:t>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规格型号</w:t>
            </w:r>
          </w:p>
        </w:tc>
        <w:tc>
          <w:tcPr>
            <w:tcW w:w="103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品牌</w:t>
            </w:r>
          </w:p>
        </w:tc>
        <w:tc>
          <w:tcPr>
            <w:tcW w:w="75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产地</w:t>
            </w:r>
          </w:p>
        </w:tc>
        <w:tc>
          <w:tcPr>
            <w:tcW w:w="76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单位</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数量</w:t>
            </w: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单价</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1523"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761"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单位(元)</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1</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2</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3</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4</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合计</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bl>
    <w:p>
      <w:pPr>
        <w:keepLines w:val="0"/>
        <w:pageBreakBefore w:val="0"/>
        <w:kinsoku/>
        <w:wordWrap/>
        <w:topLinePunct w:val="0"/>
        <w:bidi w:val="0"/>
        <w:spacing w:line="360" w:lineRule="auto"/>
        <w:rPr>
          <w:rFonts w:ascii="宋体" w:hAnsi="宋体" w:cs="宋体"/>
          <w:bCs/>
          <w:sz w:val="22"/>
        </w:rPr>
      </w:pPr>
    </w:p>
    <w:p>
      <w:pPr>
        <w:keepLines w:val="0"/>
        <w:pageBreakBefore w:val="0"/>
        <w:widowControl/>
        <w:kinsoku/>
        <w:wordWrap/>
        <w:topLinePunct w:val="0"/>
        <w:bidi w:val="0"/>
        <w:spacing w:line="360" w:lineRule="auto"/>
        <w:rPr>
          <w:rFonts w:ascii="宋体" w:hAnsi="宋体" w:cs="宋体"/>
          <w:sz w:val="22"/>
        </w:rPr>
      </w:pPr>
    </w:p>
    <w:p>
      <w:pPr>
        <w:keepLines w:val="0"/>
        <w:pageBreakBefore w:val="0"/>
        <w:widowControl/>
        <w:kinsoku/>
        <w:wordWrap/>
        <w:topLinePunct w:val="0"/>
        <w:bidi w:val="0"/>
        <w:spacing w:line="360" w:lineRule="auto"/>
        <w:rPr>
          <w:rFonts w:ascii="宋体" w:hAnsi="宋体" w:cs="宋体"/>
          <w:sz w:val="22"/>
        </w:rPr>
      </w:pPr>
      <w:r>
        <w:rPr>
          <w:rFonts w:hint="eastAsia" w:ascii="宋体" w:hAnsi="宋体" w:cs="宋体"/>
          <w:sz w:val="22"/>
        </w:rPr>
        <w:t>注：</w:t>
      </w:r>
    </w:p>
    <w:p>
      <w:pPr>
        <w:keepLines w:val="0"/>
        <w:pageBreakBefore w:val="0"/>
        <w:widowControl/>
        <w:numPr>
          <w:ilvl w:val="0"/>
          <w:numId w:val="9"/>
        </w:numPr>
        <w:tabs>
          <w:tab w:val="left" w:pos="284"/>
        </w:tabs>
        <w:kinsoku/>
        <w:wordWrap/>
        <w:topLinePunct w:val="0"/>
        <w:bidi w:val="0"/>
        <w:spacing w:line="360" w:lineRule="auto"/>
        <w:ind w:left="284" w:hanging="28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综合单价包括但不限于产品生产、包装、运至指定地点的运输、装卸、保险、安装及各种税费。</w:t>
      </w:r>
    </w:p>
    <w:p>
      <w:pPr>
        <w:keepLines w:val="0"/>
        <w:pageBreakBefore w:val="0"/>
        <w:kinsoku/>
        <w:wordWrap/>
        <w:topLinePunct w:val="0"/>
        <w:bidi w:val="0"/>
        <w:spacing w:line="360" w:lineRule="auto"/>
        <w:jc w:val="center"/>
        <w:rPr>
          <w:rFonts w:ascii="宋体" w:hAnsi="宋体" w:cs="Arial"/>
          <w:b/>
          <w:sz w:val="22"/>
        </w:rPr>
      </w:pPr>
      <w:r>
        <w:rPr>
          <w:rFonts w:hint="eastAsia" w:ascii="宋体" w:hAnsi="宋体" w:cs="宋体"/>
          <w:sz w:val="22"/>
        </w:rPr>
        <w:br w:type="page"/>
      </w:r>
    </w:p>
    <w:p>
      <w:pPr>
        <w:keepLines w:val="0"/>
        <w:pageBreakBefore w:val="0"/>
        <w:kinsoku/>
        <w:wordWrap/>
        <w:topLinePunct w:val="0"/>
        <w:bidi w:val="0"/>
        <w:spacing w:line="360" w:lineRule="auto"/>
        <w:jc w:val="center"/>
        <w:rPr>
          <w:rFonts w:hint="eastAsia" w:ascii="黑体" w:hAnsi="黑体" w:eastAsia="黑体" w:cs="黑体"/>
          <w:b/>
          <w:color w:val="000000"/>
          <w:sz w:val="32"/>
          <w:szCs w:val="32"/>
        </w:rPr>
      </w:pPr>
      <w:bookmarkStart w:id="120" w:name="_Toc411356149"/>
      <w:r>
        <w:rPr>
          <w:rFonts w:hint="eastAsia" w:ascii="黑体" w:hAnsi="黑体" w:eastAsia="黑体" w:cs="黑体"/>
          <w:b/>
          <w:color w:val="000000"/>
          <w:sz w:val="32"/>
          <w:szCs w:val="32"/>
          <w:lang w:eastAsia="zh-CN"/>
        </w:rPr>
        <w:t>五</w:t>
      </w:r>
      <w:r>
        <w:rPr>
          <w:rFonts w:hint="eastAsia" w:ascii="黑体" w:hAnsi="黑体" w:eastAsia="黑体" w:cs="黑体"/>
          <w:b/>
          <w:color w:val="000000"/>
          <w:sz w:val="32"/>
          <w:szCs w:val="32"/>
        </w:rPr>
        <w:t>、技术文件</w:t>
      </w:r>
      <w:bookmarkEnd w:id="120"/>
    </w:p>
    <w:p>
      <w:pPr>
        <w:pStyle w:val="14"/>
        <w:rPr>
          <w:rFonts w:hint="eastAsia"/>
          <w:sz w:val="24"/>
          <w:szCs w:val="24"/>
        </w:rPr>
      </w:pPr>
    </w:p>
    <w:p>
      <w:pPr>
        <w:keepLines w:val="0"/>
        <w:pageBreakBefore w:val="0"/>
        <w:kinsoku/>
        <w:wordWrap/>
        <w:topLinePunct w:val="0"/>
        <w:bidi w:val="0"/>
        <w:spacing w:line="360" w:lineRule="auto"/>
        <w:jc w:val="center"/>
        <w:rPr>
          <w:rFonts w:hint="eastAsia" w:asciiTheme="minorEastAsia" w:hAnsiTheme="minorEastAsia" w:eastAsiaTheme="minorEastAsia" w:cstheme="minorEastAsia"/>
          <w:color w:val="000000"/>
          <w:sz w:val="24"/>
        </w:rPr>
      </w:pPr>
      <w:r>
        <w:rPr>
          <w:rFonts w:hint="eastAsia" w:ascii="宋体" w:hAnsi="宋体" w:eastAsia="宋体" w:cs="宋体"/>
          <w:b/>
          <w:color w:val="000000"/>
          <w:sz w:val="28"/>
          <w:szCs w:val="28"/>
        </w:rPr>
        <w:t>1、项目设计与施工方案</w:t>
      </w:r>
    </w:p>
    <w:p>
      <w:pPr>
        <w:keepLines w:val="0"/>
        <w:pageBreakBefore w:val="0"/>
        <w:kinsoku/>
        <w:wordWrap/>
        <w:topLinePunct w:val="0"/>
        <w:bidi w:val="0"/>
        <w:spacing w:line="360" w:lineRule="auto"/>
        <w:rPr>
          <w:rFonts w:ascii="宋体" w:hAnsi="宋体"/>
          <w:sz w:val="22"/>
        </w:rPr>
      </w:pPr>
      <w:r>
        <w:rPr>
          <w:rFonts w:hint="eastAsia" w:ascii="宋体" w:hAnsi="宋体"/>
          <w:sz w:val="22"/>
        </w:rPr>
        <w:t>投标人应提出</w:t>
      </w:r>
      <w:r>
        <w:rPr>
          <w:rFonts w:hint="eastAsia" w:ascii="宋体" w:hAnsi="宋体"/>
          <w:sz w:val="22"/>
          <w:lang w:eastAsia="zh-CN"/>
        </w:rPr>
        <w:t>车站无障碍柜台改造</w:t>
      </w:r>
      <w:r>
        <w:rPr>
          <w:rFonts w:hint="eastAsia" w:ascii="宋体" w:hAnsi="宋体"/>
          <w:sz w:val="22"/>
        </w:rPr>
        <w:t>的总体方案，并在投标文件中至少应提供如下文件：</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w:t>
      </w:r>
      <w:r>
        <w:rPr>
          <w:rFonts w:hint="eastAsia" w:asciiTheme="minorEastAsia" w:hAnsiTheme="minorEastAsia" w:cstheme="minorEastAsia"/>
          <w:sz w:val="22"/>
          <w:lang w:eastAsia="zh-CN"/>
        </w:rPr>
        <w:t>车站无障碍柜台改造</w:t>
      </w:r>
      <w:r>
        <w:rPr>
          <w:rFonts w:hint="eastAsia" w:asciiTheme="minorEastAsia" w:hAnsiTheme="minorEastAsia" w:eastAsiaTheme="minorEastAsia" w:cstheme="minorEastAsia"/>
          <w:sz w:val="22"/>
        </w:rPr>
        <w:t>设计方案、施工图纸设计、费用概算；</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*（2）</w:t>
      </w:r>
      <w:r>
        <w:rPr>
          <w:rFonts w:hint="eastAsia" w:asciiTheme="minorEastAsia" w:hAnsiTheme="minorEastAsia" w:cstheme="minorEastAsia"/>
          <w:sz w:val="22"/>
          <w:lang w:eastAsia="zh-CN"/>
        </w:rPr>
        <w:t>航站楼问询台</w:t>
      </w:r>
      <w:r>
        <w:rPr>
          <w:rFonts w:hint="eastAsia" w:asciiTheme="minorEastAsia" w:hAnsiTheme="minorEastAsia" w:cstheme="minorEastAsia"/>
          <w:color w:val="000000" w:themeColor="text1"/>
          <w:sz w:val="22"/>
          <w:lang w:eastAsia="zh-CN"/>
          <w14:textFill>
            <w14:solidFill>
              <w14:schemeClr w14:val="tx1"/>
            </w14:solidFill>
          </w14:textFill>
        </w:rPr>
        <w:t>无障碍设施</w:t>
      </w:r>
      <w:r>
        <w:rPr>
          <w:rFonts w:hint="eastAsia" w:asciiTheme="minorEastAsia" w:hAnsiTheme="minorEastAsia" w:eastAsiaTheme="minorEastAsia" w:cstheme="minorEastAsia"/>
          <w:color w:val="000000" w:themeColor="text1"/>
          <w:sz w:val="22"/>
          <w:lang w:eastAsia="zh-CN"/>
          <w14:textFill>
            <w14:solidFill>
              <w14:schemeClr w14:val="tx1"/>
            </w14:solidFill>
          </w14:textFill>
        </w:rPr>
        <w:t>改造</w:t>
      </w:r>
      <w:r>
        <w:rPr>
          <w:rFonts w:hint="eastAsia" w:asciiTheme="minorEastAsia" w:hAnsiTheme="minorEastAsia" w:eastAsiaTheme="minorEastAsia" w:cstheme="minorEastAsia"/>
          <w:color w:val="000000" w:themeColor="text1"/>
          <w:sz w:val="22"/>
          <w14:textFill>
            <w14:solidFill>
              <w14:schemeClr w14:val="tx1"/>
            </w14:solidFill>
          </w14:textFill>
        </w:rPr>
        <w:t>结构样式、装饰装修、选材用材、强弱电安装、区域功能设计、标识标牌等详细说明</w:t>
      </w:r>
      <w:r>
        <w:rPr>
          <w:rFonts w:hint="eastAsia" w:asciiTheme="minorEastAsia" w:hAnsiTheme="minorEastAsia" w:cstheme="minorEastAsia"/>
          <w:color w:val="000000" w:themeColor="text1"/>
          <w:sz w:val="2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14:textFill>
            <w14:solidFill>
              <w14:schemeClr w14:val="tx1"/>
            </w14:solidFill>
          </w14:textFill>
        </w:rPr>
        <w:t>并附至少</w:t>
      </w:r>
      <w:r>
        <w:rPr>
          <w:rFonts w:hint="eastAsia" w:asciiTheme="minorEastAsia" w:hAnsiTheme="minorEastAsia" w:eastAsiaTheme="minorEastAsia" w:cstheme="minorEastAsia"/>
          <w:color w:val="000000" w:themeColor="text1"/>
          <w:sz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14:textFill>
            <w14:solidFill>
              <w14:schemeClr w14:val="tx1"/>
            </w14:solidFill>
          </w14:textFill>
        </w:rPr>
        <w:t>张设计效果图和</w:t>
      </w:r>
      <w:r>
        <w:rPr>
          <w:rFonts w:hint="eastAsia" w:asciiTheme="minorEastAsia" w:hAnsiTheme="minorEastAsia" w:eastAsiaTheme="minorEastAsia" w:cstheme="minorEastAsia"/>
          <w:color w:val="000000" w:themeColor="text1"/>
          <w:sz w:val="22"/>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14:textFill>
            <w14:solidFill>
              <w14:schemeClr w14:val="tx1"/>
            </w14:solidFill>
          </w14:textFill>
        </w:rPr>
        <w:t>张不同角度的现场效果图；</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w:t>
      </w:r>
      <w:r>
        <w:rPr>
          <w:rFonts w:hint="eastAsia" w:asciiTheme="minorEastAsia" w:hAnsiTheme="minorEastAsia" w:cstheme="minorEastAsia"/>
          <w:sz w:val="22"/>
          <w:lang w:eastAsia="zh-CN"/>
        </w:rPr>
        <w:t>车站无障碍柜台改造</w:t>
      </w:r>
      <w:r>
        <w:rPr>
          <w:rFonts w:hint="eastAsia" w:asciiTheme="minorEastAsia" w:hAnsiTheme="minorEastAsia" w:eastAsiaTheme="minorEastAsia" w:cstheme="minorEastAsia"/>
          <w:sz w:val="22"/>
        </w:rPr>
        <w:t>施工工艺</w:t>
      </w:r>
      <w:r>
        <w:rPr>
          <w:rFonts w:hint="eastAsia" w:asciiTheme="minorEastAsia" w:hAnsiTheme="minorEastAsia" w:eastAsiaTheme="minorEastAsia" w:cstheme="minorEastAsia"/>
          <w:sz w:val="22"/>
          <w:lang w:eastAsia="zh-CN"/>
        </w:rPr>
        <w:t>、</w:t>
      </w:r>
      <w:r>
        <w:rPr>
          <w:rFonts w:hint="eastAsia" w:asciiTheme="minorEastAsia" w:hAnsiTheme="minorEastAsia" w:eastAsiaTheme="minorEastAsia" w:cstheme="minorEastAsia"/>
          <w:sz w:val="22"/>
        </w:rPr>
        <w:t>说明、工程量清单、主要材料</w:t>
      </w:r>
      <w:r>
        <w:rPr>
          <w:rFonts w:hint="eastAsia" w:asciiTheme="minorEastAsia" w:hAnsiTheme="minorEastAsia" w:eastAsiaTheme="minorEastAsia" w:cstheme="minorEastAsia"/>
          <w:sz w:val="22"/>
          <w:lang w:eastAsia="zh-CN"/>
        </w:rPr>
        <w:t>物</w:t>
      </w:r>
      <w:r>
        <w:rPr>
          <w:rFonts w:hint="eastAsia" w:asciiTheme="minorEastAsia" w:hAnsiTheme="minorEastAsia" w:eastAsiaTheme="minorEastAsia" w:cstheme="minorEastAsia"/>
          <w:sz w:val="22"/>
        </w:rPr>
        <w:t>品清单等；</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w:t>
      </w:r>
      <w:r>
        <w:rPr>
          <w:rFonts w:hint="eastAsia" w:asciiTheme="minorEastAsia" w:hAnsiTheme="minorEastAsia" w:cstheme="minorEastAsia"/>
          <w:sz w:val="22"/>
          <w:lang w:eastAsia="zh-CN"/>
        </w:rPr>
        <w:t>项目</w:t>
      </w:r>
      <w:r>
        <w:rPr>
          <w:rFonts w:hint="eastAsia" w:asciiTheme="minorEastAsia" w:hAnsiTheme="minorEastAsia" w:eastAsiaTheme="minorEastAsia" w:cstheme="minorEastAsia"/>
          <w:sz w:val="22"/>
        </w:rPr>
        <w:t>设计与施工工作安排进度表；</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（5）服务质量承诺及保证措施；</w:t>
      </w:r>
    </w:p>
    <w:p>
      <w:pPr>
        <w:keepLines w:val="0"/>
        <w:pageBreakBefore w:val="0"/>
        <w:kinsoku/>
        <w:wordWrap/>
        <w:topLinePunct w:val="0"/>
        <w:bidi w:val="0"/>
        <w:spacing w:line="360" w:lineRule="auto"/>
        <w:ind w:firstLine="440" w:firstLineChars="200"/>
        <w:rPr>
          <w:rFonts w:hint="eastAsia" w:ascii="宋体" w:hAnsi="宋体" w:eastAsiaTheme="minorEastAsia"/>
          <w:sz w:val="22"/>
          <w:lang w:eastAsia="zh-CN"/>
        </w:rPr>
      </w:pPr>
      <w:r>
        <w:rPr>
          <w:rFonts w:hint="eastAsia" w:ascii="宋体" w:hAnsi="宋体"/>
          <w:sz w:val="22"/>
        </w:rPr>
        <w:t>（6）后续服务的安排及保证措施</w:t>
      </w:r>
      <w:r>
        <w:rPr>
          <w:rFonts w:hint="eastAsia" w:ascii="宋体" w:hAnsi="宋体"/>
          <w:sz w:val="22"/>
          <w:lang w:eastAsia="zh-CN"/>
        </w:rPr>
        <w:t>。</w:t>
      </w:r>
    </w:p>
    <w:p>
      <w:pPr>
        <w:keepLines w:val="0"/>
        <w:pageBreakBefore w:val="0"/>
        <w:kinsoku/>
        <w:wordWrap/>
        <w:topLinePunct w:val="0"/>
        <w:bidi w:val="0"/>
        <w:spacing w:line="360" w:lineRule="auto"/>
        <w:ind w:firstLine="640" w:firstLineChars="200"/>
        <w:jc w:val="center"/>
        <w:rPr>
          <w:rFonts w:ascii="宋体" w:hAnsi="宋体"/>
          <w:b/>
          <w:color w:val="000000"/>
          <w:sz w:val="24"/>
        </w:rPr>
      </w:pPr>
      <w:r>
        <w:rPr>
          <w:rFonts w:eastAsia="黑体" w:cs="Calibri"/>
          <w:color w:val="000000"/>
          <w:sz w:val="32"/>
          <w:szCs w:val="32"/>
        </w:rPr>
        <w:br w:type="page"/>
      </w:r>
      <w:r>
        <w:rPr>
          <w:rFonts w:hint="eastAsia" w:ascii="宋体" w:hAnsi="宋体" w:eastAsia="宋体" w:cs="宋体"/>
          <w:b/>
          <w:color w:val="000000"/>
          <w:sz w:val="28"/>
          <w:szCs w:val="28"/>
        </w:rPr>
        <w:t>2、工作进度计划表</w:t>
      </w:r>
    </w:p>
    <w:p>
      <w:pPr>
        <w:keepLines w:val="0"/>
        <w:pageBreakBefore w:val="0"/>
        <w:kinsoku/>
        <w:wordWrap/>
        <w:topLinePunct w:val="0"/>
        <w:bidi w:val="0"/>
        <w:adjustRightInd w:val="0"/>
        <w:snapToGrid w:val="0"/>
        <w:spacing w:line="360" w:lineRule="auto"/>
        <w:rPr>
          <w:rFonts w:hint="eastAsia" w:ascii="Calibri" w:hAnsi="Calibri" w:eastAsia="黑体" w:cs="Calibri"/>
          <w:color w:val="000000"/>
          <w:sz w:val="32"/>
          <w:szCs w:val="32"/>
        </w:rPr>
      </w:pPr>
      <w:r>
        <w:rPr>
          <w:rFonts w:eastAsia="黑体" w:cs="Calibri"/>
          <w:color w:val="000000"/>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25"/>
        <w:rPr>
          <w:rFonts w:hint="eastAsia" w:asciiTheme="minorEastAsia" w:hAnsiTheme="minorEastAsia" w:eastAsiaTheme="minorEastAsia" w:cstheme="minorEastAsia"/>
          <w:b w:val="0"/>
          <w:kern w:val="0"/>
          <w:sz w:val="22"/>
          <w:szCs w:val="22"/>
          <w:lang w:val="en-US" w:eastAsia="zh-CN" w:bidi="ar-SA"/>
        </w:rPr>
      </w:pPr>
      <w:bookmarkStart w:id="121" w:name="_Toc152045804"/>
      <w:bookmarkStart w:id="122" w:name="_Toc246392161"/>
      <w:bookmarkStart w:id="123" w:name="_Toc152042593"/>
      <w:bookmarkStart w:id="124" w:name="_Toc29304"/>
      <w:bookmarkStart w:id="125" w:name="_Toc144974872"/>
      <w:bookmarkStart w:id="126" w:name="_Toc179632824"/>
      <w:r>
        <w:rPr>
          <w:rFonts w:hint="eastAsia" w:asciiTheme="minorEastAsia" w:hAnsiTheme="minorEastAsia" w:eastAsiaTheme="minorEastAsia" w:cstheme="minorEastAsia"/>
          <w:b w:val="0"/>
          <w:kern w:val="0"/>
          <w:sz w:val="22"/>
          <w:szCs w:val="22"/>
          <w:lang w:val="en-US" w:eastAsia="zh-CN" w:bidi="ar-SA"/>
        </w:rPr>
        <w:t>（一）项目管理机构组成表</w:t>
      </w:r>
      <w:bookmarkEnd w:id="121"/>
      <w:bookmarkEnd w:id="122"/>
      <w:bookmarkEnd w:id="123"/>
      <w:bookmarkEnd w:id="124"/>
      <w:bookmarkEnd w:id="125"/>
      <w:bookmarkEnd w:id="126"/>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restart"/>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职务</w:t>
            </w:r>
          </w:p>
        </w:tc>
        <w:tc>
          <w:tcPr>
            <w:tcW w:w="864" w:type="dxa"/>
            <w:vMerge w:val="restart"/>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姓名</w:t>
            </w:r>
          </w:p>
        </w:tc>
        <w:tc>
          <w:tcPr>
            <w:tcW w:w="862" w:type="dxa"/>
            <w:vMerge w:val="restart"/>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职称</w:t>
            </w:r>
          </w:p>
        </w:tc>
        <w:tc>
          <w:tcPr>
            <w:tcW w:w="5548" w:type="dxa"/>
            <w:gridSpan w:val="5"/>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执业或职业资格证明</w:t>
            </w:r>
          </w:p>
        </w:tc>
        <w:tc>
          <w:tcPr>
            <w:tcW w:w="80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continue"/>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vMerge w:val="continue"/>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vMerge w:val="continue"/>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证书名称</w:t>
            </w:r>
          </w:p>
        </w:tc>
        <w:tc>
          <w:tcPr>
            <w:tcW w:w="863"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级别</w:t>
            </w:r>
          </w:p>
        </w:tc>
        <w:tc>
          <w:tcPr>
            <w:tcW w:w="865"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证号</w:t>
            </w:r>
          </w:p>
        </w:tc>
        <w:tc>
          <w:tcPr>
            <w:tcW w:w="863"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专业</w:t>
            </w:r>
          </w:p>
        </w:tc>
        <w:tc>
          <w:tcPr>
            <w:tcW w:w="1661"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养老保险</w:t>
            </w:r>
          </w:p>
        </w:tc>
        <w:tc>
          <w:tcPr>
            <w:tcW w:w="80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bl>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br w:type="page"/>
      </w:r>
    </w:p>
    <w:p>
      <w:pPr>
        <w:pStyle w:val="25"/>
        <w:rPr>
          <w:rFonts w:hint="eastAsia" w:asciiTheme="minorEastAsia" w:hAnsiTheme="minorEastAsia" w:eastAsiaTheme="minorEastAsia" w:cstheme="minorEastAsia"/>
          <w:b w:val="0"/>
          <w:kern w:val="0"/>
          <w:sz w:val="22"/>
          <w:szCs w:val="22"/>
          <w:lang w:val="en-US" w:eastAsia="zh-CN" w:bidi="ar-SA"/>
        </w:rPr>
      </w:pPr>
      <w:bookmarkStart w:id="127" w:name="_Toc152045805"/>
      <w:bookmarkStart w:id="128" w:name="_Toc246392162"/>
      <w:bookmarkStart w:id="129" w:name="_Toc179632825"/>
      <w:bookmarkStart w:id="130" w:name="_Toc152042594"/>
      <w:bookmarkStart w:id="131" w:name="_Toc144974873"/>
      <w:bookmarkStart w:id="132" w:name="_Toc25718"/>
      <w:r>
        <w:rPr>
          <w:rFonts w:hint="eastAsia" w:asciiTheme="minorEastAsia" w:hAnsiTheme="minorEastAsia" w:eastAsiaTheme="minorEastAsia" w:cstheme="minorEastAsia"/>
          <w:b w:val="0"/>
          <w:kern w:val="0"/>
          <w:sz w:val="22"/>
          <w:szCs w:val="22"/>
          <w:lang w:val="en-US" w:eastAsia="zh-CN" w:bidi="ar-SA"/>
        </w:rPr>
        <w:t>（二）主要人员简历表</w:t>
      </w:r>
      <w:bookmarkEnd w:id="127"/>
      <w:bookmarkEnd w:id="128"/>
      <w:bookmarkEnd w:id="129"/>
      <w:bookmarkEnd w:id="130"/>
      <w:bookmarkEnd w:id="131"/>
      <w:bookmarkEnd w:id="132"/>
    </w:p>
    <w:p>
      <w:pPr>
        <w:spacing w:line="400" w:lineRule="exact"/>
        <w:ind w:firstLine="440" w:firstLineChars="200"/>
        <w:rPr>
          <w:rFonts w:hint="eastAsia" w:asciiTheme="minorEastAsia" w:hAnsiTheme="minorEastAsia" w:eastAsiaTheme="minorEastAsia" w:cstheme="minorEastAsia"/>
          <w:b w:val="0"/>
          <w:kern w:val="0"/>
          <w:sz w:val="22"/>
          <w:szCs w:val="22"/>
          <w:lang w:val="en-US" w:eastAsia="zh-CN" w:bidi="ar-SA"/>
        </w:rPr>
      </w:pPr>
    </w:p>
    <w:p>
      <w:pPr>
        <w:spacing w:line="400" w:lineRule="exact"/>
        <w:ind w:firstLine="440" w:firstLineChars="200"/>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bl>
      <w:tblPr>
        <w:tblStyle w:val="15"/>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姓  名</w:t>
            </w:r>
          </w:p>
        </w:tc>
        <w:tc>
          <w:tcPr>
            <w:tcW w:w="1079"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927"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年 龄</w:t>
            </w:r>
          </w:p>
        </w:tc>
        <w:tc>
          <w:tcPr>
            <w:tcW w:w="1065"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784" w:type="dxa"/>
            <w:gridSpan w:val="3"/>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学历</w:t>
            </w:r>
          </w:p>
        </w:tc>
        <w:tc>
          <w:tcPr>
            <w:tcW w:w="2135"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职  称</w:t>
            </w:r>
          </w:p>
        </w:tc>
        <w:tc>
          <w:tcPr>
            <w:tcW w:w="1079"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927"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职 务</w:t>
            </w:r>
          </w:p>
        </w:tc>
        <w:tc>
          <w:tcPr>
            <w:tcW w:w="1065"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784" w:type="dxa"/>
            <w:gridSpan w:val="3"/>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拟在本合同任职</w:t>
            </w:r>
          </w:p>
        </w:tc>
        <w:tc>
          <w:tcPr>
            <w:tcW w:w="2135"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毕业学校</w:t>
            </w:r>
          </w:p>
        </w:tc>
        <w:tc>
          <w:tcPr>
            <w:tcW w:w="6990" w:type="dxa"/>
            <w:gridSpan w:val="8"/>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6" w:type="dxa"/>
            <w:gridSpan w:val="9"/>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时  间</w:t>
            </w: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参加过的类似项目</w:t>
            </w: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担任职务</w:t>
            </w: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cstheme="minorEastAsia"/>
                <w:b w:val="0"/>
                <w:kern w:val="0"/>
                <w:sz w:val="22"/>
                <w:szCs w:val="22"/>
                <w:lang w:val="en-US" w:eastAsia="zh-CN" w:bidi="ar-SA"/>
              </w:rPr>
              <w:t>甲方</w:t>
            </w:r>
            <w:r>
              <w:rPr>
                <w:rFonts w:hint="eastAsia" w:asciiTheme="minorEastAsia" w:hAnsiTheme="minorEastAsia" w:eastAsiaTheme="minorEastAsia" w:cstheme="minorEastAsia"/>
                <w:b w:val="0"/>
                <w:kern w:val="0"/>
                <w:sz w:val="22"/>
                <w:szCs w:val="22"/>
                <w:lang w:val="en-US" w:eastAsia="zh-CN" w:bidi="ar-SA"/>
              </w:rPr>
              <w:t>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bl>
    <w:p>
      <w:pPr>
        <w:keepLines w:val="0"/>
        <w:pageBreakBefore w:val="0"/>
        <w:kinsoku/>
        <w:wordWrap/>
        <w:topLinePunct w:val="0"/>
        <w:bidi w:val="0"/>
        <w:spacing w:line="360" w:lineRule="auto"/>
        <w:jc w:val="center"/>
        <w:rPr>
          <w:rFonts w:hint="eastAsia" w:eastAsia="黑体" w:cs="Calibri"/>
          <w:color w:val="000000"/>
          <w:sz w:val="32"/>
          <w:szCs w:val="32"/>
        </w:rPr>
      </w:pPr>
    </w:p>
    <w:p>
      <w:pPr>
        <w:keepLines w:val="0"/>
        <w:pageBreakBefore w:val="0"/>
        <w:kinsoku/>
        <w:wordWrap/>
        <w:topLinePunct w:val="0"/>
        <w:bidi w:val="0"/>
        <w:spacing w:line="360" w:lineRule="auto"/>
        <w:jc w:val="center"/>
        <w:rPr>
          <w:rFonts w:hint="eastAsia" w:eastAsia="黑体" w:cs="Calibri"/>
          <w:color w:val="000000"/>
          <w:sz w:val="32"/>
          <w:szCs w:val="32"/>
        </w:rPr>
      </w:pPr>
    </w:p>
    <w:p>
      <w:pPr>
        <w:keepLines w:val="0"/>
        <w:pageBreakBefore w:val="0"/>
        <w:kinsoku/>
        <w:wordWrap/>
        <w:topLinePunct w:val="0"/>
        <w:bidi w:val="0"/>
        <w:spacing w:line="360" w:lineRule="auto"/>
        <w:jc w:val="center"/>
        <w:rPr>
          <w:rFonts w:eastAsia="黑体" w:cs="Calibri"/>
          <w:color w:val="000000"/>
          <w:sz w:val="32"/>
          <w:szCs w:val="32"/>
        </w:rPr>
      </w:pPr>
      <w:r>
        <w:rPr>
          <w:rFonts w:hint="eastAsia" w:eastAsia="黑体" w:cs="Calibri"/>
          <w:color w:val="000000"/>
          <w:sz w:val="32"/>
          <w:szCs w:val="32"/>
          <w:lang w:eastAsia="zh-CN"/>
        </w:rPr>
        <w:t>七</w:t>
      </w:r>
      <w:r>
        <w:rPr>
          <w:rFonts w:hint="eastAsia" w:eastAsia="黑体" w:cs="Calibri"/>
          <w:color w:val="000000"/>
          <w:sz w:val="32"/>
          <w:szCs w:val="32"/>
        </w:rPr>
        <w:t>、</w:t>
      </w:r>
      <w:r>
        <w:rPr>
          <w:rFonts w:hint="eastAsia" w:ascii="Calibri" w:hAnsi="Calibri" w:eastAsia="黑体" w:cs="Calibri"/>
          <w:color w:val="000000"/>
          <w:sz w:val="32"/>
          <w:szCs w:val="32"/>
        </w:rPr>
        <w:t>资格审查资料</w:t>
      </w:r>
    </w:p>
    <w:p>
      <w:pPr>
        <w:keepLines w:val="0"/>
        <w:pageBreakBefore w:val="0"/>
        <w:kinsoku/>
        <w:wordWrap/>
        <w:overflowPunct w:val="0"/>
        <w:topLinePunct w:val="0"/>
        <w:autoSpaceDE w:val="0"/>
        <w:autoSpaceDN w:val="0"/>
        <w:bidi w:val="0"/>
        <w:spacing w:line="360" w:lineRule="auto"/>
        <w:ind w:left="839" w:hanging="839"/>
        <w:jc w:val="center"/>
        <w:rPr>
          <w:rFonts w:ascii="宋体" w:hAnsi="宋体" w:cs="宋体"/>
          <w:b/>
          <w:sz w:val="24"/>
          <w:szCs w:val="24"/>
        </w:rPr>
      </w:pPr>
    </w:p>
    <w:p>
      <w:pPr>
        <w:pStyle w:val="25"/>
        <w:rPr>
          <w:rFonts w:hint="eastAsia" w:asciiTheme="minorEastAsia" w:hAnsiTheme="minorEastAsia" w:eastAsiaTheme="minorEastAsia" w:cstheme="minorEastAsia"/>
          <w:b w:val="0"/>
          <w:kern w:val="0"/>
          <w:sz w:val="22"/>
          <w:szCs w:val="22"/>
          <w:lang w:val="en-US" w:eastAsia="zh-CN" w:bidi="ar-SA"/>
        </w:rPr>
      </w:pPr>
      <w:bookmarkStart w:id="133" w:name="_Toc152045808"/>
      <w:bookmarkStart w:id="134" w:name="_Toc245036712"/>
      <w:bookmarkStart w:id="135" w:name="_Toc17487"/>
      <w:bookmarkStart w:id="136" w:name="_Toc152042597"/>
      <w:bookmarkStart w:id="137" w:name="_Toc144974876"/>
      <w:r>
        <w:rPr>
          <w:rFonts w:hint="eastAsia" w:asciiTheme="minorEastAsia" w:hAnsiTheme="minorEastAsia" w:eastAsiaTheme="minorEastAsia" w:cstheme="minorEastAsia"/>
          <w:b w:val="0"/>
          <w:kern w:val="0"/>
          <w:sz w:val="22"/>
          <w:szCs w:val="22"/>
          <w:lang w:val="en-US" w:eastAsia="zh-CN" w:bidi="ar-SA"/>
        </w:rPr>
        <w:t>（一）投标人基本情况表</w:t>
      </w:r>
      <w:bookmarkEnd w:id="133"/>
      <w:bookmarkEnd w:id="134"/>
      <w:bookmarkEnd w:id="135"/>
      <w:bookmarkEnd w:id="136"/>
      <w:bookmarkEnd w:id="137"/>
    </w:p>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bl>
      <w:tblPr>
        <w:tblStyle w:val="15"/>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251"/>
        <w:gridCol w:w="317"/>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邮政编码</w:t>
            </w:r>
          </w:p>
        </w:tc>
        <w:tc>
          <w:tcPr>
            <w:tcW w:w="21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电 话</w:t>
            </w:r>
          </w:p>
        </w:tc>
        <w:tc>
          <w:tcPr>
            <w:tcW w:w="21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网 址</w:t>
            </w:r>
          </w:p>
        </w:tc>
        <w:tc>
          <w:tcPr>
            <w:tcW w:w="21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11"/>
              <w:ind w:left="-23" w:firstLine="440" w:firstLineChars="200"/>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bl>
    <w:p>
      <w:pPr>
        <w:spacing w:line="400" w:lineRule="exact"/>
        <w:ind w:firstLine="440" w:firstLineChars="200"/>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附：投标人有效的营业执照、资质证书、安全生产许可证及三类人员证书（和任命文件）、业绩证明材料等复印件。</w:t>
      </w:r>
    </w:p>
    <w:p>
      <w:pPr>
        <w:pStyle w:val="25"/>
        <w:rPr>
          <w:rFonts w:hint="eastAsia" w:asciiTheme="minorEastAsia" w:hAnsiTheme="minorEastAsia" w:eastAsiaTheme="minorEastAsia" w:cstheme="minorEastAsia"/>
          <w:b w:val="0"/>
          <w:kern w:val="0"/>
          <w:sz w:val="22"/>
          <w:szCs w:val="22"/>
          <w:lang w:val="en-US" w:eastAsia="zh-CN" w:bidi="ar-SA"/>
        </w:rPr>
      </w:pPr>
      <w:bookmarkStart w:id="138" w:name="_Toc16950"/>
      <w:bookmarkStart w:id="139" w:name="_Toc152045809"/>
      <w:bookmarkStart w:id="140" w:name="_Toc152042598"/>
      <w:bookmarkStart w:id="141" w:name="_Toc144974877"/>
      <w:bookmarkStart w:id="142" w:name="_Toc245036713"/>
      <w:r>
        <w:rPr>
          <w:rFonts w:hint="eastAsia" w:asciiTheme="minorEastAsia" w:hAnsiTheme="minorEastAsia" w:eastAsiaTheme="minorEastAsia" w:cstheme="minorEastAsia"/>
          <w:b w:val="0"/>
          <w:kern w:val="0"/>
          <w:sz w:val="22"/>
          <w:szCs w:val="22"/>
          <w:lang w:val="en-US" w:eastAsia="zh-CN" w:bidi="ar-SA"/>
        </w:rPr>
        <w:br w:type="page"/>
      </w:r>
      <w:r>
        <w:rPr>
          <w:rFonts w:hint="eastAsia" w:asciiTheme="minorEastAsia" w:hAnsiTheme="minorEastAsia" w:eastAsiaTheme="minorEastAsia" w:cstheme="minorEastAsia"/>
          <w:b w:val="0"/>
          <w:kern w:val="0"/>
          <w:sz w:val="22"/>
          <w:szCs w:val="22"/>
          <w:lang w:val="en-US" w:eastAsia="zh-CN" w:bidi="ar-SA"/>
        </w:rPr>
        <w:t>（二）近年财务状况表</w:t>
      </w:r>
      <w:bookmarkEnd w:id="138"/>
      <w:bookmarkEnd w:id="139"/>
      <w:bookmarkEnd w:id="140"/>
      <w:bookmarkEnd w:id="141"/>
      <w:bookmarkEnd w:id="142"/>
    </w:p>
    <w:p>
      <w:pPr>
        <w:spacing w:line="440" w:lineRule="exact"/>
        <w:rPr>
          <w:rFonts w:hint="eastAsia" w:asciiTheme="minorEastAsia" w:hAnsiTheme="minorEastAsia" w:eastAsiaTheme="minorEastAsia" w:cstheme="minorEastAsia"/>
          <w:b w:val="0"/>
          <w:kern w:val="0"/>
          <w:sz w:val="22"/>
          <w:szCs w:val="22"/>
          <w:lang w:val="en-US" w:eastAsia="zh-CN" w:bidi="ar-SA"/>
        </w:rPr>
      </w:pPr>
    </w:p>
    <w:p>
      <w:pPr>
        <w:pStyle w:val="25"/>
        <w:rPr>
          <w:rFonts w:hint="eastAsia" w:asciiTheme="minorEastAsia" w:hAnsiTheme="minorEastAsia" w:eastAsiaTheme="minorEastAsia" w:cstheme="minorEastAsia"/>
          <w:b w:val="0"/>
          <w:kern w:val="0"/>
          <w:sz w:val="22"/>
          <w:szCs w:val="22"/>
          <w:lang w:val="en-US" w:eastAsia="zh-CN" w:bidi="ar-SA"/>
        </w:rPr>
      </w:pPr>
      <w:bookmarkStart w:id="143" w:name="_Toc152045810"/>
      <w:bookmarkStart w:id="144" w:name="_Toc31021"/>
      <w:bookmarkStart w:id="145" w:name="_Toc245036714"/>
      <w:bookmarkStart w:id="146" w:name="_Toc152042599"/>
      <w:bookmarkStart w:id="147" w:name="_Toc144974878"/>
      <w:r>
        <w:rPr>
          <w:rFonts w:hint="eastAsia" w:asciiTheme="minorEastAsia" w:hAnsiTheme="minorEastAsia" w:eastAsiaTheme="minorEastAsia" w:cstheme="minorEastAsia"/>
          <w:b w:val="0"/>
          <w:kern w:val="0"/>
          <w:sz w:val="22"/>
          <w:szCs w:val="22"/>
          <w:lang w:val="en-US" w:eastAsia="zh-CN" w:bidi="ar-SA"/>
        </w:rPr>
        <w:t>（三）近年完成的类似项目情况表</w:t>
      </w:r>
      <w:bookmarkEnd w:id="143"/>
      <w:bookmarkEnd w:id="144"/>
      <w:bookmarkEnd w:id="145"/>
      <w:bookmarkEnd w:id="146"/>
      <w:bookmarkEnd w:id="147"/>
    </w:p>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bl>
      <w:tblPr>
        <w:tblStyle w:val="15"/>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项目名称</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bookmarkStart w:id="148" w:name="_Toc13233"/>
            <w:r>
              <w:rPr>
                <w:rFonts w:hint="eastAsia" w:asciiTheme="minorEastAsia" w:hAnsiTheme="minorEastAsia" w:eastAsiaTheme="minorEastAsia" w:cstheme="minorEastAsia"/>
                <w:b w:val="0"/>
                <w:kern w:val="0"/>
                <w:sz w:val="22"/>
                <w:szCs w:val="22"/>
                <w:lang w:val="en-US" w:eastAsia="zh-CN" w:bidi="ar-SA"/>
              </w:rPr>
              <w:t>项目所在地</w:t>
            </w:r>
            <w:bookmarkEnd w:id="148"/>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cstheme="minorEastAsia"/>
                <w:b w:val="0"/>
                <w:kern w:val="0"/>
                <w:sz w:val="22"/>
                <w:szCs w:val="22"/>
                <w:lang w:val="en-US" w:eastAsia="zh-CN" w:bidi="ar-SA"/>
              </w:rPr>
              <w:t>甲方</w:t>
            </w:r>
            <w:r>
              <w:rPr>
                <w:rFonts w:hint="eastAsia" w:asciiTheme="minorEastAsia" w:hAnsiTheme="minorEastAsia" w:eastAsiaTheme="minorEastAsia" w:cstheme="minorEastAsia"/>
                <w:b w:val="0"/>
                <w:kern w:val="0"/>
                <w:sz w:val="22"/>
                <w:szCs w:val="22"/>
                <w:lang w:val="en-US" w:eastAsia="zh-CN" w:bidi="ar-SA"/>
              </w:rPr>
              <w:t>名称</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bookmarkStart w:id="149" w:name="_Toc20896"/>
            <w:r>
              <w:rPr>
                <w:rFonts w:hint="eastAsia" w:asciiTheme="minorEastAsia" w:hAnsiTheme="minorEastAsia" w:cstheme="minorEastAsia"/>
                <w:b w:val="0"/>
                <w:kern w:val="0"/>
                <w:sz w:val="22"/>
                <w:szCs w:val="22"/>
                <w:lang w:val="en-US" w:eastAsia="zh-CN" w:bidi="ar-SA"/>
              </w:rPr>
              <w:t>甲方</w:t>
            </w:r>
            <w:r>
              <w:rPr>
                <w:rFonts w:hint="eastAsia" w:asciiTheme="minorEastAsia" w:hAnsiTheme="minorEastAsia" w:eastAsiaTheme="minorEastAsia" w:cstheme="minorEastAsia"/>
                <w:b w:val="0"/>
                <w:kern w:val="0"/>
                <w:sz w:val="22"/>
                <w:szCs w:val="22"/>
                <w:lang w:val="en-US" w:eastAsia="zh-CN" w:bidi="ar-SA"/>
              </w:rPr>
              <w:t>地址</w:t>
            </w:r>
            <w:bookmarkEnd w:id="149"/>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cstheme="minorEastAsia"/>
                <w:b w:val="0"/>
                <w:kern w:val="0"/>
                <w:sz w:val="22"/>
                <w:szCs w:val="22"/>
                <w:lang w:val="en-US" w:eastAsia="zh-CN" w:bidi="ar-SA"/>
              </w:rPr>
              <w:t>甲方</w:t>
            </w:r>
            <w:r>
              <w:rPr>
                <w:rFonts w:hint="eastAsia" w:asciiTheme="minorEastAsia" w:hAnsiTheme="minorEastAsia" w:eastAsiaTheme="minorEastAsia" w:cstheme="minorEastAsia"/>
                <w:b w:val="0"/>
                <w:kern w:val="0"/>
                <w:sz w:val="22"/>
                <w:szCs w:val="22"/>
                <w:lang w:val="en-US" w:eastAsia="zh-CN" w:bidi="ar-SA"/>
              </w:rPr>
              <w:t>电话</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合同价格</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开工日期</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竣工日期</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bookmarkStart w:id="150" w:name="_Toc3155"/>
            <w:r>
              <w:rPr>
                <w:rFonts w:hint="eastAsia" w:asciiTheme="minorEastAsia" w:hAnsiTheme="minorEastAsia" w:eastAsiaTheme="minorEastAsia" w:cstheme="minorEastAsia"/>
                <w:b w:val="0"/>
                <w:kern w:val="0"/>
                <w:sz w:val="22"/>
                <w:szCs w:val="22"/>
                <w:lang w:val="en-US" w:eastAsia="zh-CN" w:bidi="ar-SA"/>
              </w:rPr>
              <w:t>承担的工作</w:t>
            </w:r>
            <w:bookmarkEnd w:id="150"/>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工程质量</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项目经理</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技术负责人</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总监理工程师及电话</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项目描述</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备注</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bl>
    <w:p>
      <w:pPr>
        <w:pStyle w:val="25"/>
        <w:rPr>
          <w:rFonts w:hint="eastAsia" w:asciiTheme="minorEastAsia" w:hAnsiTheme="minorEastAsia" w:eastAsiaTheme="minorEastAsia" w:cstheme="minorEastAsia"/>
          <w:b w:val="0"/>
          <w:kern w:val="0"/>
          <w:sz w:val="22"/>
          <w:szCs w:val="22"/>
          <w:lang w:val="en-US" w:eastAsia="zh-CN" w:bidi="ar-SA"/>
        </w:rPr>
      </w:pPr>
      <w:bookmarkStart w:id="151" w:name="_Toc144974879"/>
      <w:bookmarkStart w:id="152" w:name="_Toc245036715"/>
      <w:bookmarkStart w:id="153" w:name="_Toc152045811"/>
      <w:bookmarkStart w:id="154" w:name="_Toc26600"/>
      <w:bookmarkStart w:id="155" w:name="_Toc152042600"/>
      <w:r>
        <w:rPr>
          <w:rFonts w:hint="eastAsia" w:asciiTheme="minorEastAsia" w:hAnsiTheme="minorEastAsia" w:eastAsiaTheme="minorEastAsia" w:cstheme="minorEastAsia"/>
          <w:b w:val="0"/>
          <w:kern w:val="0"/>
          <w:sz w:val="22"/>
          <w:szCs w:val="22"/>
          <w:lang w:val="en-US" w:eastAsia="zh-CN" w:bidi="ar-SA"/>
        </w:rPr>
        <w:br w:type="page"/>
      </w:r>
      <w:r>
        <w:rPr>
          <w:rFonts w:hint="eastAsia" w:asciiTheme="minorEastAsia" w:hAnsiTheme="minorEastAsia" w:eastAsiaTheme="minorEastAsia" w:cstheme="minorEastAsia"/>
          <w:b w:val="0"/>
          <w:kern w:val="0"/>
          <w:sz w:val="22"/>
          <w:szCs w:val="22"/>
          <w:lang w:val="en-US" w:eastAsia="zh-CN" w:bidi="ar-SA"/>
        </w:rPr>
        <w:t>（四）正在施工的和新承接的项目情况表</w:t>
      </w:r>
      <w:bookmarkEnd w:id="151"/>
      <w:bookmarkEnd w:id="152"/>
      <w:bookmarkEnd w:id="153"/>
      <w:bookmarkEnd w:id="154"/>
      <w:bookmarkEnd w:id="155"/>
    </w:p>
    <w:p>
      <w:pPr>
        <w:pStyle w:val="25"/>
        <w:rPr>
          <w:rFonts w:hint="eastAsia" w:asciiTheme="minorEastAsia" w:hAnsiTheme="minorEastAsia" w:eastAsiaTheme="minorEastAsia" w:cstheme="minorEastAsia"/>
          <w:b w:val="0"/>
          <w:kern w:val="0"/>
          <w:sz w:val="22"/>
          <w:szCs w:val="22"/>
          <w:lang w:val="en-US" w:eastAsia="zh-CN" w:bidi="ar-SA"/>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4"/>
        <w:gridCol w:w="6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bookmarkStart w:id="156" w:name="_Toc5773"/>
            <w:bookmarkStart w:id="157" w:name="_Toc245036716"/>
            <w:bookmarkStart w:id="158" w:name="_Toc152045812"/>
            <w:bookmarkStart w:id="159" w:name="_Toc152042601"/>
            <w:bookmarkStart w:id="160" w:name="_Toc144974880"/>
            <w:r>
              <w:rPr>
                <w:rFonts w:hint="eastAsia" w:asciiTheme="minorEastAsia" w:hAnsiTheme="minorEastAsia" w:eastAsiaTheme="minorEastAsia" w:cstheme="minorEastAsia"/>
                <w:b w:val="0"/>
                <w:kern w:val="0"/>
                <w:sz w:val="22"/>
                <w:szCs w:val="22"/>
                <w:lang w:val="en-US" w:eastAsia="zh-CN" w:bidi="ar-SA"/>
              </w:rPr>
              <w:t>项目名称</w:t>
            </w:r>
            <w:bookmarkEnd w:id="156"/>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项目所在地</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cstheme="minorEastAsia"/>
                <w:b w:val="0"/>
                <w:kern w:val="0"/>
                <w:sz w:val="22"/>
                <w:szCs w:val="22"/>
                <w:lang w:val="en-US" w:eastAsia="zh-CN" w:bidi="ar-SA"/>
              </w:rPr>
              <w:t>甲方</w:t>
            </w:r>
            <w:r>
              <w:rPr>
                <w:rFonts w:hint="eastAsia" w:asciiTheme="minorEastAsia" w:hAnsiTheme="minorEastAsia" w:eastAsiaTheme="minorEastAsia" w:cstheme="minorEastAsia"/>
                <w:b w:val="0"/>
                <w:kern w:val="0"/>
                <w:sz w:val="22"/>
                <w:szCs w:val="22"/>
                <w:lang w:val="en-US" w:eastAsia="zh-CN" w:bidi="ar-SA"/>
              </w:rPr>
              <w:t>名称</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cstheme="minorEastAsia"/>
                <w:b w:val="0"/>
                <w:kern w:val="0"/>
                <w:sz w:val="22"/>
                <w:szCs w:val="22"/>
                <w:lang w:val="en-US" w:eastAsia="zh-CN" w:bidi="ar-SA"/>
              </w:rPr>
              <w:t>甲方</w:t>
            </w:r>
            <w:r>
              <w:rPr>
                <w:rFonts w:hint="eastAsia" w:asciiTheme="minorEastAsia" w:hAnsiTheme="minorEastAsia" w:eastAsiaTheme="minorEastAsia" w:cstheme="minorEastAsia"/>
                <w:b w:val="0"/>
                <w:kern w:val="0"/>
                <w:sz w:val="22"/>
                <w:szCs w:val="22"/>
                <w:lang w:val="en-US" w:eastAsia="zh-CN" w:bidi="ar-SA"/>
              </w:rPr>
              <w:t>地址</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cstheme="minorEastAsia"/>
                <w:b w:val="0"/>
                <w:kern w:val="0"/>
                <w:sz w:val="22"/>
                <w:szCs w:val="22"/>
                <w:lang w:val="en-US" w:eastAsia="zh-CN" w:bidi="ar-SA"/>
              </w:rPr>
              <w:t>甲方</w:t>
            </w:r>
            <w:r>
              <w:rPr>
                <w:rFonts w:hint="eastAsia" w:asciiTheme="minorEastAsia" w:hAnsiTheme="minorEastAsia" w:eastAsiaTheme="minorEastAsia" w:cstheme="minorEastAsia"/>
                <w:b w:val="0"/>
                <w:kern w:val="0"/>
                <w:sz w:val="22"/>
                <w:szCs w:val="22"/>
                <w:lang w:val="en-US" w:eastAsia="zh-CN" w:bidi="ar-SA"/>
              </w:rPr>
              <w:t>电话</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签约合同价</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开工日期</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计划竣工日期</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承担的工作</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工程质量</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项目经理</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技术负责人</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总监理工程师及电话</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项目描述</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备注</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bookmarkEnd w:id="157"/>
      <w:bookmarkEnd w:id="158"/>
      <w:bookmarkEnd w:id="159"/>
      <w:bookmarkEnd w:id="160"/>
    </w:tbl>
    <w:p>
      <w:pPr>
        <w:keepLines w:val="0"/>
        <w:pageBreakBefore w:val="0"/>
        <w:kinsoku/>
        <w:wordWrap/>
        <w:topLinePunct w:val="0"/>
        <w:bidi w:val="0"/>
        <w:spacing w:line="360" w:lineRule="auto"/>
        <w:jc w:val="left"/>
        <w:rPr>
          <w:rFonts w:hint="eastAsia" w:asciiTheme="minorEastAsia" w:hAnsiTheme="minorEastAsia" w:eastAsiaTheme="minorEastAsia" w:cstheme="minorEastAsia"/>
          <w:b w:val="0"/>
          <w:kern w:val="0"/>
          <w:sz w:val="22"/>
          <w:szCs w:val="22"/>
          <w:lang w:val="en-US" w:eastAsia="zh-CN" w:bidi="ar-SA"/>
        </w:rPr>
      </w:pPr>
    </w:p>
    <w:p>
      <w:pPr>
        <w:keepLines w:val="0"/>
        <w:pageBreakBefore w:val="0"/>
        <w:kinsoku/>
        <w:wordWrap/>
        <w:topLinePunct w:val="0"/>
        <w:bidi w:val="0"/>
        <w:spacing w:line="360" w:lineRule="auto"/>
        <w:jc w:val="center"/>
        <w:rPr>
          <w:rFonts w:ascii="宋体" w:hAnsi="宋体" w:cs="宋体"/>
          <w:b/>
          <w:sz w:val="32"/>
          <w:szCs w:val="32"/>
        </w:rPr>
      </w:pPr>
    </w:p>
    <w:p>
      <w:pPr>
        <w:keepLines w:val="0"/>
        <w:pageBreakBefore w:val="0"/>
        <w:kinsoku/>
        <w:wordWrap/>
        <w:topLinePunct w:val="0"/>
        <w:bidi w:val="0"/>
        <w:adjustRightInd w:val="0"/>
        <w:snapToGrid w:val="0"/>
        <w:spacing w:line="360" w:lineRule="auto"/>
        <w:rPr>
          <w:rFonts w:ascii="宋体" w:hAnsi="宋体"/>
          <w:bCs/>
          <w:kern w:val="0"/>
        </w:rPr>
      </w:pPr>
      <w:r>
        <w:rPr>
          <w:rFonts w:hint="eastAsia" w:ascii="宋体" w:hAnsi="宋体" w:cs="宋体"/>
          <w:b/>
          <w:kern w:val="0"/>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Theme="minorEastAsia" w:hAnsiTheme="minorEastAsia" w:eastAsiaTheme="minorEastAsia" w:cstheme="minorEastAsia"/>
          <w:sz w:val="24"/>
          <w:szCs w:val="24"/>
        </w:rPr>
      </w:pPr>
      <w:r>
        <w:rPr>
          <w:rFonts w:hint="eastAsia" w:ascii="Calibri" w:hAnsi="Calibri" w:eastAsia="黑体" w:cs="Calibri"/>
          <w:color w:val="000000"/>
          <w:sz w:val="32"/>
          <w:szCs w:val="32"/>
          <w:lang w:eastAsia="zh-CN"/>
        </w:rPr>
        <w:t>八</w:t>
      </w:r>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0000008"/>
    <w:multiLevelType w:val="multilevel"/>
    <w:tmpl w:val="00000008"/>
    <w:lvl w:ilvl="0" w:tentative="0">
      <w:start w:val="1"/>
      <w:numFmt w:val="decimal"/>
      <w:lvlText w:val="%1."/>
      <w:lvlJc w:val="left"/>
      <w:pPr>
        <w:tabs>
          <w:tab w:val="left" w:pos="900"/>
        </w:tabs>
        <w:ind w:left="480" w:firstLine="420"/>
      </w:pPr>
      <w:rPr>
        <w:b w:val="0"/>
        <w:color w:val="000000"/>
        <w:sz w:val="21"/>
        <w:szCs w:val="24"/>
      </w:rPr>
    </w:lvl>
    <w:lvl w:ilvl="1" w:tentative="0">
      <w:start w:val="1"/>
      <w:numFmt w:val="decimal"/>
      <w:lvlText w:val="%2."/>
      <w:lvlJc w:val="left"/>
      <w:pPr>
        <w:tabs>
          <w:tab w:val="left" w:pos="426"/>
        </w:tabs>
        <w:ind w:left="6" w:firstLine="420"/>
      </w:pPr>
      <w:rPr>
        <w:b w:val="0"/>
        <w:color w:val="000000"/>
        <w:sz w:val="21"/>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ascii="Times New Roman" w:hAnsi="Times New Roman" w:eastAsia="黑体"/>
      </w:rPr>
    </w:lvl>
    <w:lvl w:ilvl="1" w:tentative="0">
      <w:start w:val="1"/>
      <w:numFmt w:val="decimal"/>
      <w:isLgl/>
      <w:lvlText w:val="%1.%2"/>
      <w:lvlJc w:val="left"/>
      <w:pPr>
        <w:tabs>
          <w:tab w:val="left" w:pos="360"/>
        </w:tabs>
        <w:ind w:left="360" w:hanging="36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720"/>
        </w:tabs>
        <w:ind w:left="720" w:hanging="72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080"/>
        </w:tabs>
        <w:ind w:left="1080" w:hanging="1080"/>
      </w:pPr>
    </w:lvl>
    <w:lvl w:ilvl="6" w:tentative="0">
      <w:start w:val="1"/>
      <w:numFmt w:val="decimal"/>
      <w:isLgl/>
      <w:lvlText w:val="%1.%2.%3.%4.%5.%6.%7"/>
      <w:lvlJc w:val="left"/>
      <w:pPr>
        <w:tabs>
          <w:tab w:val="left" w:pos="1080"/>
        </w:tabs>
        <w:ind w:left="1080" w:hanging="1080"/>
      </w:pPr>
    </w:lvl>
    <w:lvl w:ilvl="7" w:tentative="0">
      <w:start w:val="1"/>
      <w:numFmt w:val="decimal"/>
      <w:isLgl/>
      <w:lvlText w:val="%1.%2.%3.%4.%5.%6.%7.%8"/>
      <w:lvlJc w:val="left"/>
      <w:pPr>
        <w:tabs>
          <w:tab w:val="left" w:pos="1440"/>
        </w:tabs>
        <w:ind w:left="1440" w:hanging="1440"/>
      </w:pPr>
    </w:lvl>
    <w:lvl w:ilvl="8" w:tentative="0">
      <w:start w:val="1"/>
      <w:numFmt w:val="decimal"/>
      <w:isLgl/>
      <w:lvlText w:val="%1.%2.%3.%4.%5.%6.%7.%8.%9"/>
      <w:lvlJc w:val="left"/>
      <w:pPr>
        <w:tabs>
          <w:tab w:val="left" w:pos="1440"/>
        </w:tabs>
        <w:ind w:left="1440" w:hanging="1440"/>
      </w:pPr>
    </w:lvl>
  </w:abstractNum>
  <w:abstractNum w:abstractNumId="3">
    <w:nsid w:val="000000B6"/>
    <w:multiLevelType w:val="multilevel"/>
    <w:tmpl w:val="000000B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9E12D2E"/>
    <w:multiLevelType w:val="multilevel"/>
    <w:tmpl w:val="09E12D2E"/>
    <w:lvl w:ilvl="0" w:tentative="0">
      <w:start w:val="2"/>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063A6D"/>
    <w:multiLevelType w:val="singleLevel"/>
    <w:tmpl w:val="19063A6D"/>
    <w:lvl w:ilvl="0" w:tentative="0">
      <w:start w:val="1"/>
      <w:numFmt w:val="decimal"/>
      <w:lvlText w:val="(%1)"/>
      <w:lvlJc w:val="left"/>
      <w:pPr>
        <w:tabs>
          <w:tab w:val="left" w:pos="907"/>
        </w:tabs>
        <w:ind w:left="907" w:hanging="482"/>
      </w:pPr>
      <w:rPr>
        <w:b w:val="0"/>
        <w:i w:val="0"/>
        <w:strike w:val="0"/>
        <w:dstrike w:val="0"/>
        <w:u w:val="none"/>
      </w:rPr>
    </w:lvl>
  </w:abstractNum>
  <w:abstractNum w:abstractNumId="6">
    <w:nsid w:val="466C6E1F"/>
    <w:multiLevelType w:val="multilevel"/>
    <w:tmpl w:val="466C6E1F"/>
    <w:lvl w:ilvl="0" w:tentative="0">
      <w:start w:val="1"/>
      <w:numFmt w:val="upperLetter"/>
      <w:pStyle w:val="5"/>
      <w:lvlText w:val="%1、"/>
      <w:lvlJc w:val="left"/>
      <w:pPr>
        <w:tabs>
          <w:tab w:val="left" w:pos="1275"/>
        </w:tabs>
        <w:ind w:left="1275" w:hanging="720"/>
      </w:pPr>
      <w:rPr>
        <w:rFonts w:hAnsi="宋体"/>
      </w:rPr>
    </w:lvl>
    <w:lvl w:ilvl="1" w:tentative="0">
      <w:start w:val="1"/>
      <w:numFmt w:val="decimalEnclosedCircle"/>
      <w:lvlText w:val="%2"/>
      <w:lvlJc w:val="left"/>
      <w:pPr>
        <w:tabs>
          <w:tab w:val="left" w:pos="1335"/>
        </w:tabs>
        <w:ind w:left="1335" w:hanging="360"/>
      </w:pPr>
      <w:rPr>
        <w:rFonts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7">
    <w:nsid w:val="58F61B24"/>
    <w:multiLevelType w:val="multilevel"/>
    <w:tmpl w:val="58F61B24"/>
    <w:lvl w:ilvl="0" w:tentative="0">
      <w:start w:val="5"/>
      <w:numFmt w:val="decimal"/>
      <w:lvlText w:val="%1"/>
      <w:lvlJc w:val="left"/>
      <w:pPr>
        <w:ind w:left="360" w:hanging="360"/>
      </w:pPr>
    </w:lvl>
    <w:lvl w:ilvl="1" w:tentative="0">
      <w:start w:val="4"/>
      <w:numFmt w:val="decimal"/>
      <w:lvlText w:val="%1.%2"/>
      <w:lvlJc w:val="left"/>
      <w:pPr>
        <w:ind w:left="800" w:hanging="360"/>
      </w:pPr>
    </w:lvl>
    <w:lvl w:ilvl="2" w:tentative="0">
      <w:start w:val="1"/>
      <w:numFmt w:val="decimal"/>
      <w:lvlText w:val="%1.%2.%3"/>
      <w:lvlJc w:val="left"/>
      <w:pPr>
        <w:ind w:left="1600" w:hanging="720"/>
      </w:pPr>
    </w:lvl>
    <w:lvl w:ilvl="3" w:tentative="0">
      <w:start w:val="1"/>
      <w:numFmt w:val="decimal"/>
      <w:lvlText w:val="%1.%2.%3.%4"/>
      <w:lvlJc w:val="left"/>
      <w:pPr>
        <w:ind w:left="2400" w:hanging="1080"/>
      </w:pPr>
    </w:lvl>
    <w:lvl w:ilvl="4" w:tentative="0">
      <w:start w:val="1"/>
      <w:numFmt w:val="decimal"/>
      <w:lvlText w:val="%1.%2.%3.%4.%5"/>
      <w:lvlJc w:val="left"/>
      <w:pPr>
        <w:ind w:left="2840" w:hanging="1080"/>
      </w:pPr>
    </w:lvl>
    <w:lvl w:ilvl="5" w:tentative="0">
      <w:start w:val="1"/>
      <w:numFmt w:val="decimal"/>
      <w:lvlText w:val="%1.%2.%3.%4.%5.%6"/>
      <w:lvlJc w:val="left"/>
      <w:pPr>
        <w:ind w:left="3640" w:hanging="1440"/>
      </w:pPr>
    </w:lvl>
    <w:lvl w:ilvl="6" w:tentative="0">
      <w:start w:val="1"/>
      <w:numFmt w:val="decimal"/>
      <w:lvlText w:val="%1.%2.%3.%4.%5.%6.%7"/>
      <w:lvlJc w:val="left"/>
      <w:pPr>
        <w:ind w:left="4080" w:hanging="1440"/>
      </w:pPr>
    </w:lvl>
    <w:lvl w:ilvl="7" w:tentative="0">
      <w:start w:val="1"/>
      <w:numFmt w:val="decimal"/>
      <w:lvlText w:val="%1.%2.%3.%4.%5.%6.%7.%8"/>
      <w:lvlJc w:val="left"/>
      <w:pPr>
        <w:ind w:left="4880" w:hanging="1800"/>
      </w:pPr>
    </w:lvl>
    <w:lvl w:ilvl="8" w:tentative="0">
      <w:start w:val="1"/>
      <w:numFmt w:val="decimal"/>
      <w:lvlText w:val="%1.%2.%3.%4.%5.%6.%7.%8.%9"/>
      <w:lvlJc w:val="left"/>
      <w:pPr>
        <w:ind w:left="5680" w:hanging="2160"/>
      </w:pPr>
    </w:lvl>
  </w:abstractNum>
  <w:abstractNum w:abstractNumId="8">
    <w:nsid w:val="7D8E0138"/>
    <w:multiLevelType w:val="multilevel"/>
    <w:tmpl w:val="7D8E013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lvlOverride w:ilvl="0">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5FE3"/>
    <w:rsid w:val="007363B9"/>
    <w:rsid w:val="015004CE"/>
    <w:rsid w:val="03AB32A9"/>
    <w:rsid w:val="06F07C0E"/>
    <w:rsid w:val="07210532"/>
    <w:rsid w:val="09A905C7"/>
    <w:rsid w:val="0A3D3BC4"/>
    <w:rsid w:val="0A5B5020"/>
    <w:rsid w:val="0B21686F"/>
    <w:rsid w:val="0BDB783C"/>
    <w:rsid w:val="0BED716A"/>
    <w:rsid w:val="0E117AE9"/>
    <w:rsid w:val="0E2B2A93"/>
    <w:rsid w:val="0EE73C4E"/>
    <w:rsid w:val="113601BC"/>
    <w:rsid w:val="14506548"/>
    <w:rsid w:val="167A0C95"/>
    <w:rsid w:val="191C16F5"/>
    <w:rsid w:val="1B8A13BC"/>
    <w:rsid w:val="1C2C2308"/>
    <w:rsid w:val="1C9A1B47"/>
    <w:rsid w:val="1D52723D"/>
    <w:rsid w:val="1DF217DD"/>
    <w:rsid w:val="1FE76899"/>
    <w:rsid w:val="20DA1EA6"/>
    <w:rsid w:val="227B6076"/>
    <w:rsid w:val="239B0B7A"/>
    <w:rsid w:val="23B22010"/>
    <w:rsid w:val="23B90FE9"/>
    <w:rsid w:val="29316500"/>
    <w:rsid w:val="2AE474CD"/>
    <w:rsid w:val="2EE91C43"/>
    <w:rsid w:val="2F821554"/>
    <w:rsid w:val="31C42A82"/>
    <w:rsid w:val="35624785"/>
    <w:rsid w:val="36E837CD"/>
    <w:rsid w:val="3BD44E75"/>
    <w:rsid w:val="3CC37F44"/>
    <w:rsid w:val="3D835A06"/>
    <w:rsid w:val="3DE3371B"/>
    <w:rsid w:val="3E366495"/>
    <w:rsid w:val="3E7E50E6"/>
    <w:rsid w:val="3F7D1AC3"/>
    <w:rsid w:val="422254DC"/>
    <w:rsid w:val="429C7912"/>
    <w:rsid w:val="45880A9D"/>
    <w:rsid w:val="45B807EF"/>
    <w:rsid w:val="47431570"/>
    <w:rsid w:val="48D6396B"/>
    <w:rsid w:val="49CF6BB2"/>
    <w:rsid w:val="4AD93305"/>
    <w:rsid w:val="4B067644"/>
    <w:rsid w:val="4B26242D"/>
    <w:rsid w:val="4CA153AC"/>
    <w:rsid w:val="4D193CB8"/>
    <w:rsid w:val="4DD36000"/>
    <w:rsid w:val="54DF528D"/>
    <w:rsid w:val="55FC2AFA"/>
    <w:rsid w:val="593A22A6"/>
    <w:rsid w:val="5B401CE6"/>
    <w:rsid w:val="5BE40DB8"/>
    <w:rsid w:val="5BE71FD9"/>
    <w:rsid w:val="60C342C4"/>
    <w:rsid w:val="612D3B49"/>
    <w:rsid w:val="613E01F0"/>
    <w:rsid w:val="61846BC2"/>
    <w:rsid w:val="625650FD"/>
    <w:rsid w:val="66B30BA6"/>
    <w:rsid w:val="66ED3221"/>
    <w:rsid w:val="680B1CBA"/>
    <w:rsid w:val="694D6491"/>
    <w:rsid w:val="6978142A"/>
    <w:rsid w:val="6BB81E8A"/>
    <w:rsid w:val="6D7138BE"/>
    <w:rsid w:val="6E0723EA"/>
    <w:rsid w:val="6E406B10"/>
    <w:rsid w:val="6FEF472E"/>
    <w:rsid w:val="705D053B"/>
    <w:rsid w:val="70A54505"/>
    <w:rsid w:val="721D1586"/>
    <w:rsid w:val="73B517A0"/>
    <w:rsid w:val="745029E7"/>
    <w:rsid w:val="778F1701"/>
    <w:rsid w:val="77F875BB"/>
    <w:rsid w:val="78221C0F"/>
    <w:rsid w:val="78387950"/>
    <w:rsid w:val="78547F52"/>
    <w:rsid w:val="78B00B95"/>
    <w:rsid w:val="796B7BA3"/>
    <w:rsid w:val="7BA5534E"/>
    <w:rsid w:val="7DAF4F6A"/>
    <w:rsid w:val="7EF003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lang w:val="zh-CN"/>
    </w:rPr>
  </w:style>
  <w:style w:type="paragraph" w:styleId="5">
    <w:name w:val="heading 3"/>
    <w:basedOn w:val="1"/>
    <w:next w:val="1"/>
    <w:unhideWhenUsed/>
    <w:qFormat/>
    <w:uiPriority w:val="0"/>
    <w:pPr>
      <w:keepNext/>
      <w:numPr>
        <w:ilvl w:val="0"/>
        <w:numId w:val="1"/>
      </w:numPr>
      <w:spacing w:line="216" w:lineRule="auto"/>
      <w:outlineLvl w:val="2"/>
    </w:pPr>
    <w:rPr>
      <w:rFonts w:ascii="宋体" w:hAnsi="Times New Roman" w:eastAsia="宋体" w:cs="Times New Roman"/>
      <w:b/>
      <w:kern w:val="0"/>
      <w:sz w:val="28"/>
      <w:szCs w:val="20"/>
      <w:lang w:val="zh-CN"/>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Body Text First Indent"/>
    <w:basedOn w:val="2"/>
    <w:qFormat/>
    <w:uiPriority w:val="0"/>
    <w:pPr>
      <w:ind w:firstLine="420" w:firstLineChars="100"/>
    </w:pPr>
    <w:rPr>
      <w:rFonts w:ascii="Times New Roman" w:hAnsi="Times New Roman"/>
    </w:rPr>
  </w:style>
  <w:style w:type="paragraph" w:styleId="6">
    <w:name w:val="Normal Indent"/>
    <w:basedOn w:val="1"/>
    <w:unhideWhenUsed/>
    <w:qFormat/>
    <w:uiPriority w:val="0"/>
    <w:pPr>
      <w:ind w:firstLine="420"/>
    </w:pPr>
    <w:rPr>
      <w:rFonts w:ascii="Times New Roman" w:hAnsi="Times New Roman" w:cs="Times New Roman"/>
    </w:rPr>
  </w:style>
  <w:style w:type="paragraph" w:styleId="7">
    <w:name w:val="Plain Text"/>
    <w:basedOn w:val="1"/>
    <w:unhideWhenUsed/>
    <w:qFormat/>
    <w:uiPriority w:val="99"/>
    <w:rPr>
      <w:rFonts w:ascii="宋体" w:hAnsi="Courier New" w:eastAsia="宋体" w:cs="Times New Roman"/>
      <w:kern w:val="0"/>
      <w:sz w:val="20"/>
      <w:szCs w:val="21"/>
    </w:rPr>
  </w:style>
  <w:style w:type="paragraph" w:styleId="8">
    <w:name w:val="Body Text Indent 2"/>
    <w:basedOn w:val="1"/>
    <w:unhideWhenUsed/>
    <w:qFormat/>
    <w:uiPriority w:val="99"/>
    <w:pPr>
      <w:spacing w:after="120" w:line="480" w:lineRule="auto"/>
      <w:ind w:left="420" w:leftChars="200"/>
    </w:pPr>
    <w:rPr>
      <w:rFonts w:ascii="Times New Roman" w:hAnsi="Times New Roman" w:eastAsia="宋体" w:cs="Times New Roman"/>
      <w:kern w:val="0"/>
      <w:sz w:val="20"/>
      <w:szCs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pPr>
      <w:adjustRightInd w:val="0"/>
      <w:snapToGrid w:val="0"/>
    </w:pPr>
    <w:rPr>
      <w:rFonts w:ascii="Times New Roman" w:hAnsi="Times New Roman" w:eastAsia="仿宋" w:cs="Times New Roman"/>
      <w:szCs w:val="24"/>
    </w:rPr>
  </w:style>
  <w:style w:type="paragraph" w:styleId="12">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3">
    <w:name w:val="index 1"/>
    <w:basedOn w:val="1"/>
    <w:next w:val="1"/>
    <w:unhideWhenUsed/>
    <w:qFormat/>
    <w:uiPriority w:val="99"/>
    <w:pPr>
      <w:adjustRightInd w:val="0"/>
      <w:snapToGrid w:val="0"/>
      <w:jc w:val="center"/>
    </w:pPr>
    <w:rPr>
      <w:rFonts w:ascii="Times New Roman" w:hAnsi="Times New Roman" w:eastAsia="宋体" w:cs="Times New Roman"/>
      <w:szCs w:val="20"/>
    </w:rPr>
  </w:style>
  <w:style w:type="paragraph" w:styleId="14">
    <w:name w:val="Title"/>
    <w:basedOn w:val="1"/>
    <w:next w:val="1"/>
    <w:qFormat/>
    <w:uiPriority w:val="99"/>
    <w:pPr>
      <w:spacing w:before="60" w:after="60"/>
      <w:jc w:val="center"/>
      <w:outlineLvl w:val="0"/>
    </w:pPr>
    <w:rPr>
      <w:rFonts w:ascii="Cambria" w:hAnsi="Cambria" w:eastAsia="黑体" w:cs="Times New Roman"/>
      <w:b/>
      <w:bCs/>
      <w:kern w:val="0"/>
      <w:sz w:val="32"/>
      <w:szCs w:val="32"/>
    </w:rPr>
  </w:style>
  <w:style w:type="character" w:styleId="17">
    <w:name w:val="Hyperlink"/>
    <w:unhideWhenUsed/>
    <w:qFormat/>
    <w:uiPriority w:val="99"/>
    <w:rPr>
      <w:color w:val="0000FF"/>
      <w:u w:val="single"/>
    </w:rPr>
  </w:style>
  <w:style w:type="character" w:customStyle="1" w:styleId="18">
    <w:name w:val="zbggmain style9"/>
    <w:basedOn w:val="16"/>
    <w:qFormat/>
    <w:uiPriority w:val="0"/>
  </w:style>
  <w:style w:type="paragraph" w:customStyle="1" w:styleId="19">
    <w:name w:val="列出段落2"/>
    <w:basedOn w:val="1"/>
    <w:qFormat/>
    <w:uiPriority w:val="34"/>
    <w:pPr>
      <w:ind w:firstLine="420" w:firstLineChars="200"/>
    </w:pPr>
    <w:rPr>
      <w:rFonts w:ascii="Cambria" w:hAnsi="Cambria" w:eastAsia="宋体" w:cs="Times New Roman"/>
      <w:sz w:val="24"/>
      <w:szCs w:val="24"/>
    </w:rPr>
  </w:style>
  <w:style w:type="paragraph" w:customStyle="1" w:styleId="20">
    <w:name w:val="正文 New"/>
    <w:qFormat/>
    <w:uiPriority w:val="99"/>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21">
    <w:name w:val="标准有序列表（L1）"/>
    <w:basedOn w:val="6"/>
    <w:qFormat/>
    <w:uiPriority w:val="99"/>
  </w:style>
  <w:style w:type="paragraph" w:customStyle="1" w:styleId="22">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
    <w:name w:val="样式 正文文本"/>
    <w:basedOn w:val="1"/>
    <w:qFormat/>
    <w:uiPriority w:val="99"/>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24">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25">
    <w:name w:val="样式 标题 3 + (中文) 黑体 小四 非加粗 段前: 7.8 磅 段后: 0 磅 行距: 固定值 20 磅"/>
    <w:basedOn w:val="5"/>
    <w:qFormat/>
    <w:uiPriority w:val="0"/>
    <w:pPr>
      <w:keepLines/>
      <w:numPr>
        <w:numId w:val="0"/>
      </w:numPr>
      <w:spacing w:line="400" w:lineRule="exact"/>
    </w:pPr>
    <w:rPr>
      <w:rFonts w:ascii="Times New Roman" w:eastAsia="黑体" w:cs="宋体"/>
      <w:b w:val="0"/>
      <w:kern w:val="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帝国广阔</cp:lastModifiedBy>
  <cp:lastPrinted>2021-05-24T00:49:00Z</cp:lastPrinted>
  <dcterms:modified xsi:type="dcterms:W3CDTF">2021-07-13T02:39:00Z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FB48CDBD5D5949BEA757E12F25D486E7</vt:lpwstr>
  </property>
</Properties>
</file>