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4" w:name="_GoBack"/>
      <w:bookmarkEnd w:id="44"/>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eastAsia"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杭州萧山国际机场航站楼无障碍饮水设备采购项目</w:t>
      </w:r>
      <w:r>
        <w:rPr>
          <w:rFonts w:hint="eastAsia" w:ascii="黑体" w:hAnsi="黑体" w:eastAsia="黑体"/>
          <w:b/>
          <w:bCs/>
          <w:sz w:val="52"/>
          <w:szCs w:val="52"/>
          <w:lang w:eastAsia="zh-CN"/>
        </w:rPr>
        <w:t>（重新招标）</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Ο年</w:t>
      </w:r>
      <w:r>
        <w:rPr>
          <w:rFonts w:hint="eastAsia" w:ascii="宋体" w:hAnsi="宋体"/>
          <w:b/>
          <w:sz w:val="44"/>
          <w:szCs w:val="44"/>
          <w:lang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202077"/>
      <w:bookmarkStart w:id="2" w:name="_Toc525132432"/>
      <w:bookmarkStart w:id="3" w:name="_Toc19698493"/>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hint="eastAsia" w:ascii="宋体" w:hAnsi="宋体"/>
          <w:sz w:val="22"/>
          <w:lang w:val="en-US" w:eastAsia="zh-CN"/>
        </w:rPr>
        <w:t>1</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hint="eastAsia" w:ascii="宋体" w:hAnsi="宋体"/>
          <w:sz w:val="22"/>
          <w:lang w:val="en-US" w:eastAsia="zh-CN"/>
        </w:rPr>
        <w:t>2</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hint="eastAsia" w:ascii="宋体" w:hAnsi="宋体"/>
          <w:sz w:val="22"/>
          <w:lang w:val="en-US" w:eastAsia="zh-CN"/>
        </w:rPr>
        <w:t>4</w:t>
      </w:r>
      <w:r>
        <w:rPr>
          <w:rFonts w:ascii="宋体" w:hAnsi="宋体"/>
          <w:sz w:val="22"/>
        </w:rP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hint="eastAsia" w:ascii="宋体" w:hAnsi="宋体"/>
          <w:sz w:val="22"/>
          <w:lang w:val="en-US" w:eastAsia="zh-CN"/>
        </w:rPr>
        <w:t>3</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"_Toc19698502" </w:instrText>
      </w:r>
      <w:r>
        <w:fldChar w:fldCharType="separate"/>
      </w:r>
      <w: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8</w:t>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w:t>
      </w:r>
      <w:r>
        <w:rPr>
          <w:rFonts w:hint="eastAsia" w:ascii="Times New Roman" w:hAnsi="Times New Roman"/>
          <w:sz w:val="21"/>
          <w:u w:val="single" w:color="000000"/>
          <w:lang w:eastAsia="zh-CN"/>
        </w:rPr>
        <w:t>无障碍饮水设备采购</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1134"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559"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49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sz w:val="22"/>
                <w:szCs w:val="21"/>
                <w:lang w:eastAsia="zh-CN"/>
              </w:rPr>
            </w:pPr>
            <w:r>
              <w:rPr>
                <w:rFonts w:hint="eastAsia" w:ascii="宋体" w:hAnsi="宋体"/>
                <w:sz w:val="22"/>
                <w:szCs w:val="21"/>
                <w:lang w:eastAsia="zh-CN"/>
              </w:rPr>
              <w:t>无障碍饮水柜台</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3个</w:t>
            </w:r>
          </w:p>
        </w:tc>
        <w:tc>
          <w:tcPr>
            <w:tcW w:w="1559" w:type="dxa"/>
            <w:vMerge w:val="restart"/>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49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w:t>
            </w:r>
            <w:r>
              <w:rPr>
                <w:rFonts w:hint="eastAsia" w:ascii="宋体" w:hAnsi="宋体" w:cs="宋体"/>
                <w:sz w:val="22"/>
                <w:lang w:val="en-US" w:eastAsia="zh-CN"/>
              </w:rPr>
              <w:t>25</w:t>
            </w:r>
            <w:r>
              <w:rPr>
                <w:rFonts w:hint="eastAsia" w:ascii="宋体" w:hAnsi="宋体" w:cs="宋体"/>
                <w:sz w:val="22"/>
              </w:rPr>
              <w:t>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桌面式饮水机</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3台</w:t>
            </w:r>
          </w:p>
        </w:tc>
        <w:tc>
          <w:tcPr>
            <w:tcW w:w="1559" w:type="dxa"/>
            <w:vMerge w:val="continue"/>
            <w:vAlign w:val="center"/>
          </w:tcPr>
          <w:p>
            <w:pPr>
              <w:pStyle w:val="25"/>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灯箱膜</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3张</w:t>
            </w:r>
          </w:p>
        </w:tc>
        <w:tc>
          <w:tcPr>
            <w:tcW w:w="1559" w:type="dxa"/>
            <w:vMerge w:val="continue"/>
            <w:vAlign w:val="center"/>
          </w:tcPr>
          <w:p>
            <w:pPr>
              <w:pStyle w:val="25"/>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2018年1月1日起至投标截止日止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30"/>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w:t>
      </w:r>
      <w:r>
        <w:rPr>
          <w:rFonts w:hint="eastAsia" w:ascii="Times New Roman" w:hAnsi="Times New Roman" w:eastAsia="Times New Roman"/>
          <w:sz w:val="21"/>
          <w:lang w:val="en-US" w:eastAsia="zh-CN"/>
        </w:rPr>
        <w:t>1</w:t>
      </w:r>
      <w:r>
        <w:rPr>
          <w:rFonts w:hint="eastAsia" w:ascii="Times New Roman" w:hAnsi="Times New Roman" w:eastAsia="Times New Roman"/>
          <w:sz w:val="21"/>
        </w:rPr>
        <w:t>年</w:t>
      </w:r>
      <w:r>
        <w:rPr>
          <w:rFonts w:hint="eastAsia" w:ascii="Times New Roman" w:hAnsi="Times New Roman" w:eastAsia="Times New Roman"/>
          <w:sz w:val="21"/>
          <w:lang w:val="en-US" w:eastAsia="zh-CN"/>
        </w:rPr>
        <w:t>9月22日</w:t>
      </w:r>
      <w:r>
        <w:rPr>
          <w:rFonts w:ascii="Times New Roman" w:hAnsi="Times New Roman" w:eastAsia="Times New Roman"/>
          <w:sz w:val="21"/>
        </w:rPr>
        <w:t>9</w:t>
      </w:r>
      <w:r>
        <w:rPr>
          <w:rFonts w:hint="eastAsia" w:ascii="Times New Roman" w:hAnsi="Times New Roman" w:eastAsia="Times New Roman"/>
          <w:sz w:val="21"/>
        </w:rPr>
        <w:t>时</w:t>
      </w:r>
      <w:r>
        <w:rPr>
          <w:rFonts w:hint="eastAsia" w:ascii="Times New Roman" w:hAnsi="Times New Roman" w:eastAsia="Times New Roman"/>
          <w:sz w:val="21"/>
          <w:lang w:val="en-US" w:eastAsia="zh-CN"/>
        </w:rPr>
        <w:t>30</w:t>
      </w:r>
      <w:r>
        <w:rPr>
          <w:rFonts w:hint="eastAsia" w:ascii="Times New Roman" w:hAnsi="Times New Roman" w:eastAsia="Times New Roman"/>
          <w:sz w:val="21"/>
        </w:rPr>
        <w:t>分（</w:t>
      </w:r>
      <w:r>
        <w:rPr>
          <w:rFonts w:hint="eastAsia" w:cs="宋体"/>
          <w:sz w:val="21"/>
        </w:rPr>
        <w:t>北京时间），投标文件在封口处加盖公章，派专人于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9月22日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9月22日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分（北京时间）前投递至杭州萧山国际机场</w:t>
      </w:r>
      <w:r>
        <w:rPr>
          <w:rFonts w:hint="eastAsia" w:cs="宋体"/>
          <w:sz w:val="21"/>
          <w:lang w:eastAsia="zh-CN"/>
        </w:rPr>
        <w:t>国内航站楼地下层</w:t>
      </w:r>
      <w:r>
        <w:rPr>
          <w:rFonts w:hint="eastAsia" w:cs="宋体"/>
          <w:sz w:val="21"/>
          <w:lang w:val="en-US" w:eastAsia="zh-CN"/>
        </w:rPr>
        <w:t>0080办公室</w:t>
      </w:r>
      <w:r>
        <w:rPr>
          <w:rFonts w:hint="eastAsia" w:cs="宋体"/>
          <w:sz w:val="21"/>
        </w:rPr>
        <w:t>，逾期无效。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3" w:name="_bookmark7"/>
      <w:bookmarkEnd w:id="13"/>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pStyle w:val="30"/>
        <w:tabs>
          <w:tab w:val="left" w:pos="4394"/>
          <w:tab w:val="left" w:pos="5990"/>
        </w:tabs>
        <w:spacing w:line="331" w:lineRule="auto"/>
        <w:ind w:right="157" w:firstLine="420" w:firstLineChars="200"/>
        <w:rPr>
          <w:rFonts w:ascii="Times New Roman" w:hAnsi="Times New Roman" w:eastAsia="Times New Roman"/>
          <w:sz w:val="21"/>
        </w:rPr>
      </w:pP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4" w:name="_bookmark8"/>
      <w:bookmarkEnd w:id="14"/>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w:t>
      </w:r>
      <w:r>
        <w:rPr>
          <w:rFonts w:hint="eastAsia" w:cs="宋体"/>
          <w:sz w:val="21"/>
          <w:lang w:eastAsia="zh-CN"/>
        </w:rPr>
        <w:t>工</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rPr>
          <w:rFonts w:hint="default" w:eastAsia="宋体"/>
          <w:lang w:val="en-US" w:eastAsia="zh-CN"/>
        </w:rPr>
        <w:sectPr>
          <w:footerReference r:id="rId3" w:type="default"/>
          <w:pgSz w:w="12240" w:h="15840"/>
          <w:pgMar w:top="1400" w:right="1640" w:bottom="1120" w:left="1700" w:header="0" w:footer="901" w:gutter="0"/>
          <w:pgBorders>
            <w:top w:val="none" w:sz="0" w:space="0"/>
            <w:left w:val="none" w:sz="0" w:space="0"/>
            <w:bottom w:val="none" w:sz="0" w:space="0"/>
            <w:right w:val="none" w:sz="0" w:space="0"/>
          </w:pgBorders>
          <w:pgNumType w:fmt="decimal" w:start="1"/>
          <w:cols w:space="720" w:num="1"/>
        </w:sectPr>
      </w:pPr>
      <w:r>
        <w:rPr>
          <w:rFonts w:hint="eastAsia" w:cs="宋体"/>
          <w:sz w:val="21"/>
        </w:rPr>
        <w:t>招标监督人：</w:t>
      </w:r>
      <w:r>
        <w:rPr>
          <w:rFonts w:hint="eastAsia" w:cs="宋体"/>
          <w:sz w:val="21"/>
          <w:lang w:eastAsia="zh-CN"/>
        </w:rPr>
        <w:t>李工</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sz w:val="21"/>
          <w:lang w:val="en-US" w:eastAsia="zh-CN"/>
        </w:rPr>
        <w:t xml:space="preserve">  </w:t>
      </w:r>
      <w:r>
        <w:rPr>
          <w:rFonts w:ascii="Times New Roman" w:hAnsi="Times New Roman" w:eastAsia="Times New Roman"/>
          <w:sz w:val="21"/>
        </w:rPr>
        <w:t xml:space="preserve">  </w:t>
      </w:r>
      <w:r>
        <w:rPr>
          <w:rFonts w:hint="eastAsia" w:cs="宋体"/>
          <w:sz w:val="21"/>
        </w:rPr>
        <w:t>联系电话：</w:t>
      </w:r>
      <w:bookmarkStart w:id="15" w:name="_bookmark9"/>
      <w:bookmarkEnd w:id="15"/>
      <w:r>
        <w:rPr>
          <w:rFonts w:hint="eastAsia" w:ascii="Times New Roman" w:hAnsi="Times New Roman" w:eastAsia="Times New Roman"/>
          <w:sz w:val="21"/>
        </w:rPr>
        <w:t>0571-</w:t>
      </w:r>
      <w:r>
        <w:rPr>
          <w:rFonts w:ascii="Times New Roman" w:hAnsi="Times New Roman" w:eastAsia="Times New Roman"/>
          <w:sz w:val="21"/>
        </w:rPr>
        <w:t>8</w:t>
      </w:r>
      <w:r>
        <w:rPr>
          <w:rFonts w:hint="eastAsia" w:ascii="Times New Roman" w:hAnsi="Times New Roman" w:eastAsia="Times New Roman"/>
          <w:sz w:val="21"/>
        </w:rPr>
        <w:t>3837</w:t>
      </w:r>
      <w:r>
        <w:rPr>
          <w:rFonts w:hint="eastAsia" w:ascii="Times New Roman" w:hAnsi="Times New Roman" w:eastAsia="Times New Roman"/>
          <w:sz w:val="21"/>
          <w:lang w:val="en-US" w:eastAsia="zh-CN"/>
        </w:rPr>
        <w:t>073</w:t>
      </w:r>
    </w:p>
    <w:p>
      <w:pPr>
        <w:spacing w:before="7"/>
        <w:rPr>
          <w:rFonts w:ascii="宋体" w:hAnsi="宋体" w:cs="宋体"/>
          <w:sz w:val="18"/>
          <w:szCs w:val="18"/>
        </w:rPr>
      </w:pPr>
    </w:p>
    <w:p>
      <w:pPr>
        <w:pStyle w:val="3"/>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cs="宋体" w:eastAsiaTheme="minorEastAsia"/>
                <w:lang w:eastAsia="zh-CN"/>
              </w:rPr>
            </w:pPr>
            <w:r>
              <w:rPr>
                <w:rFonts w:hint="eastAsia" w:ascii="宋体" w:hAnsi="宋体" w:cs="宋体"/>
              </w:rPr>
              <w:t>杭州萧山国际机场</w:t>
            </w:r>
            <w:r>
              <w:rPr>
                <w:rFonts w:hint="eastAsia" w:ascii="宋体" w:hAnsi="宋体" w:cs="宋体"/>
                <w:u w:val="single"/>
              </w:rPr>
              <w:t>航站楼</w:t>
            </w:r>
            <w:r>
              <w:rPr>
                <w:rFonts w:hint="eastAsia" w:ascii="宋体" w:hAnsi="宋体" w:cs="宋体"/>
                <w:u w:val="single"/>
                <w:lang w:eastAsia="zh-CN"/>
              </w:rPr>
              <w:t>无障碍饮水设备采购</w:t>
            </w:r>
            <w:r>
              <w:rPr>
                <w:rFonts w:hint="eastAsia" w:ascii="宋体" w:hAnsi="宋体" w:cs="宋体"/>
              </w:rPr>
              <w:t>项目</w:t>
            </w:r>
            <w:r>
              <w:rPr>
                <w:rFonts w:hint="eastAsia" w:ascii="宋体" w:hAnsi="宋体" w:cs="宋体"/>
                <w:lang w:eastAsia="zh-CN"/>
              </w:rPr>
              <w:t>（重新招标）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w:t>
            </w:r>
            <w:r>
              <w:rPr>
                <w:rFonts w:hint="eastAsia" w:ascii="宋体" w:hAnsi="宋体" w:cs="宋体"/>
                <w:lang w:val="en-US" w:eastAsia="zh-CN"/>
              </w:rPr>
              <w:t>25</w:t>
            </w:r>
            <w:r>
              <w:rPr>
                <w:rFonts w:hint="eastAsia" w:ascii="宋体" w:hAnsi="宋体" w:cs="宋体"/>
              </w:rPr>
              <w:t>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9</w:t>
            </w:r>
            <w:r>
              <w:rPr>
                <w:rFonts w:hint="eastAsia" w:ascii="宋体" w:hAnsi="宋体" w:cs="宋体"/>
                <w:bCs/>
              </w:rPr>
              <w:t>月</w:t>
            </w:r>
            <w:r>
              <w:rPr>
                <w:rFonts w:hint="eastAsia" w:ascii="宋体" w:hAnsi="宋体" w:cs="宋体"/>
                <w:bCs/>
                <w:u w:val="single"/>
                <w:lang w:val="en-US" w:eastAsia="zh-CN"/>
              </w:rPr>
              <w:t>17</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hint="eastAsia" w:ascii="宋体" w:hAnsi="宋体" w:cs="宋体"/>
                <w:lang w:val="en-US" w:eastAsia="zh-CN"/>
              </w:rPr>
              <w:t xml:space="preserve">  </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w:t>
            </w:r>
            <w:r>
              <w:rPr>
                <w:rFonts w:hint="eastAsia" w:ascii="宋体" w:hAnsi="宋体" w:cs="宋体"/>
                <w:u w:val="single"/>
                <w:lang w:eastAsia="zh-CN"/>
              </w:rPr>
              <w:t>无障碍饮水设备采购</w:t>
            </w:r>
            <w:r>
              <w:rPr>
                <w:rFonts w:hint="eastAsia" w:ascii="宋体" w:hAnsi="宋体" w:cs="宋体"/>
                <w:u w:val="single"/>
              </w:rPr>
              <w:t>项目</w:t>
            </w:r>
            <w:r>
              <w:rPr>
                <w:rFonts w:hint="eastAsia" w:ascii="宋体" w:hAnsi="宋体" w:cs="宋体"/>
                <w:u w:val="single"/>
                <w:lang w:eastAsia="zh-CN"/>
              </w:rPr>
              <w:t>（重新招标）</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9月22日</w:t>
            </w:r>
            <w:r>
              <w:rPr>
                <w:rFonts w:ascii="宋体" w:hAnsi="宋体" w:cs="宋体"/>
                <w:u w:val="single"/>
              </w:rPr>
              <w:t>9</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w:t>
            </w:r>
            <w:r>
              <w:rPr>
                <w:rFonts w:hint="eastAsia" w:ascii="宋体" w:hAnsi="宋体" w:cs="宋体"/>
                <w:b/>
                <w:u w:val="single"/>
                <w:lang w:val="en-US" w:eastAsia="zh-CN"/>
              </w:rPr>
              <w:t>1</w:t>
            </w:r>
            <w:r>
              <w:rPr>
                <w:rFonts w:ascii="宋体" w:hAnsi="宋体" w:cs="宋体"/>
                <w:b/>
                <w:u w:val="single"/>
              </w:rPr>
              <w:t>年</w:t>
            </w:r>
            <w:r>
              <w:rPr>
                <w:rFonts w:hint="eastAsia" w:ascii="宋体" w:hAnsi="宋体" w:cs="宋体"/>
                <w:b/>
                <w:u w:val="single"/>
                <w:lang w:val="en-US" w:eastAsia="zh-CN"/>
              </w:rPr>
              <w:t>9月22日</w:t>
            </w:r>
            <w:r>
              <w:rPr>
                <w:rFonts w:ascii="宋体" w:hAnsi="宋体" w:cs="宋体"/>
                <w:b/>
                <w:u w:val="single"/>
              </w:rPr>
              <w:t>9时</w:t>
            </w:r>
            <w:r>
              <w:rPr>
                <w:rFonts w:hint="eastAsia" w:ascii="宋体" w:hAnsi="宋体" w:cs="宋体"/>
                <w:b/>
                <w:u w:val="single"/>
                <w:lang w:val="en-US" w:eastAsia="zh-CN"/>
              </w:rPr>
              <w:t>3</w:t>
            </w:r>
            <w:r>
              <w:rPr>
                <w:rFonts w:hint="eastAsia" w:ascii="宋体" w:hAnsi="宋体" w:cs="宋体"/>
                <w:b/>
                <w:u w:val="single"/>
              </w:rPr>
              <w:t>0</w:t>
            </w:r>
            <w:r>
              <w:rPr>
                <w:rFonts w:ascii="宋体" w:hAnsi="宋体" w:cs="宋体"/>
                <w:b/>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u w:val="single"/>
              </w:rPr>
              <w:t xml:space="preserve">     </w:t>
            </w:r>
            <w:r>
              <w:rPr>
                <w:rFonts w:hint="eastAsia" w:ascii="宋体" w:hAnsi="宋体" w:cs="宋体"/>
              </w:rPr>
              <w:t>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kern w:val="0"/>
          <w:sz w:val="22"/>
          <w:lang w:eastAsia="zh-CN"/>
        </w:rPr>
        <w:t>2018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6" w:name="_Toc220123243"/>
      <w:bookmarkStart w:id="27" w:name="_Toc18806"/>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cs="宋体" w:eastAsiaTheme="minorEastAsia"/>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1" w:type="default"/>
          <w:footerReference r:id="rId12"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Times New Roman" w:cs="宋体"/>
                <w:color w:val="000000"/>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1.4-2</w:t>
            </w:r>
            <w:r>
              <w:rPr>
                <w:rFonts w:hint="eastAsia" w:ascii="宋体" w:hAnsi="宋体" w:cs="宋体"/>
                <w:bCs/>
                <w:szCs w:val="21"/>
              </w:rPr>
              <w:t>分，良好得</w:t>
            </w:r>
            <w:r>
              <w:rPr>
                <w:rFonts w:ascii="宋体" w:hAnsi="宋体" w:cs="宋体"/>
                <w:bCs/>
                <w:szCs w:val="21"/>
              </w:rPr>
              <w:t>0.7-1.3</w:t>
            </w:r>
            <w:r>
              <w:rPr>
                <w:rFonts w:hint="eastAsia" w:ascii="宋体" w:hAnsi="宋体" w:cs="宋体"/>
                <w:bCs/>
                <w:szCs w:val="21"/>
              </w:rPr>
              <w:t>分，一般得0-</w:t>
            </w:r>
            <w:r>
              <w:rPr>
                <w:rFonts w:ascii="宋体" w:hAnsi="宋体" w:cs="宋体"/>
                <w:bCs/>
                <w:szCs w:val="21"/>
              </w:rPr>
              <w:t>0.6</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lang w:val="en-US" w:eastAsia="zh-CN"/>
              </w:rPr>
              <w:t>0-3</w:t>
            </w:r>
            <w:r>
              <w:rPr>
                <w:rFonts w:hint="eastAsia"/>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rPr>
            </w:pPr>
            <w:r>
              <w:rPr>
                <w:rFonts w:hint="eastAsia" w:ascii="宋体" w:hAnsi="Times New Roman" w:cs="宋体"/>
                <w:color w:val="000000"/>
                <w:kern w:val="0"/>
                <w:sz w:val="22"/>
              </w:rPr>
              <w:t>根据投标产品业绩，用户满意度情况横向比较，</w:t>
            </w:r>
            <w:r>
              <w:rPr>
                <w:rFonts w:hint="eastAsia" w:ascii="宋体" w:hAnsi="宋体" w:cs="宋体"/>
                <w:bCs/>
                <w:szCs w:val="21"/>
              </w:rPr>
              <w:t>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19</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lang w:val="en-US" w:eastAsia="zh-CN"/>
              </w:rPr>
              <w:t>0-8</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color w:val="000000"/>
                <w:kern w:val="0"/>
                <w:sz w:val="22"/>
              </w:rPr>
              <w:t>根据</w:t>
            </w:r>
            <w:r>
              <w:rPr>
                <w:rFonts w:hint="eastAsia" w:ascii="宋体" w:hAnsi="Times New Roman" w:cs="宋体"/>
                <w:color w:val="000000"/>
                <w:kern w:val="0"/>
                <w:sz w:val="22"/>
              </w:rPr>
              <w:t>投标产品技术指标的符合性、优越性等情况横向比较，</w:t>
            </w:r>
            <w:r>
              <w:rPr>
                <w:rFonts w:hint="eastAsia" w:ascii="宋体" w:hAnsi="宋体" w:cs="宋体"/>
                <w:bCs/>
                <w:szCs w:val="21"/>
              </w:rPr>
              <w:t>优秀得</w:t>
            </w:r>
            <w:r>
              <w:rPr>
                <w:rFonts w:hint="eastAsia" w:ascii="宋体" w:hAnsi="宋体" w:cs="宋体"/>
                <w:bCs/>
                <w:szCs w:val="21"/>
                <w:lang w:val="en-US" w:eastAsia="zh-CN"/>
              </w:rPr>
              <w:t>5.4</w:t>
            </w:r>
            <w:r>
              <w:rPr>
                <w:rFonts w:ascii="宋体" w:hAnsi="宋体" w:cs="宋体"/>
                <w:bCs/>
                <w:szCs w:val="21"/>
              </w:rPr>
              <w:t>-</w:t>
            </w:r>
            <w:r>
              <w:rPr>
                <w:rFonts w:hint="eastAsia" w:ascii="宋体" w:hAnsi="宋体" w:cs="宋体"/>
                <w:bCs/>
                <w:szCs w:val="21"/>
                <w:lang w:val="en-US" w:eastAsia="zh-CN"/>
              </w:rPr>
              <w:t>8</w:t>
            </w:r>
            <w:r>
              <w:rPr>
                <w:rFonts w:hint="eastAsia" w:ascii="宋体" w:hAnsi="宋体" w:cs="宋体"/>
                <w:bCs/>
                <w:szCs w:val="21"/>
              </w:rPr>
              <w:t>分，良好得</w:t>
            </w:r>
            <w:r>
              <w:rPr>
                <w:rFonts w:hint="eastAsia" w:ascii="宋体" w:hAnsi="宋体" w:cs="宋体"/>
                <w:bCs/>
                <w:szCs w:val="21"/>
                <w:lang w:val="en-US" w:eastAsia="zh-CN"/>
              </w:rPr>
              <w:t>2.7</w:t>
            </w:r>
            <w:r>
              <w:rPr>
                <w:rFonts w:ascii="宋体" w:hAnsi="宋体" w:cs="宋体"/>
                <w:bCs/>
                <w:szCs w:val="21"/>
              </w:rPr>
              <w:t>-</w:t>
            </w:r>
            <w:r>
              <w:rPr>
                <w:rFonts w:hint="eastAsia" w:ascii="宋体" w:hAnsi="宋体" w:cs="宋体"/>
                <w:bCs/>
                <w:szCs w:val="21"/>
                <w:lang w:val="en-US" w:eastAsia="zh-CN"/>
              </w:rPr>
              <w:t>5.3</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ascii="宋体" w:hAnsi="宋体" w:cs="宋体"/>
                <w:bCs/>
                <w:szCs w:val="21"/>
              </w:rPr>
              <w:t>2.</w:t>
            </w:r>
            <w:r>
              <w:rPr>
                <w:rFonts w:hint="eastAsia" w:ascii="宋体" w:hAnsi="宋体" w:cs="宋体"/>
                <w:bCs/>
                <w:szCs w:val="21"/>
                <w:lang w:val="en-US" w:eastAsia="zh-CN"/>
              </w:rPr>
              <w:t>6</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7</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w:t>
            </w:r>
            <w:r>
              <w:rPr>
                <w:rFonts w:hint="eastAsia" w:ascii="宋体" w:hAnsi="Times New Roman" w:cs="宋体"/>
                <w:color w:val="000000"/>
                <w:kern w:val="0"/>
                <w:sz w:val="22"/>
              </w:rPr>
              <w:t>投标产品主要原材料及零配件选用情况横向比较</w:t>
            </w:r>
            <w:r>
              <w:rPr>
                <w:rFonts w:hint="eastAsia" w:ascii="宋体" w:hAnsi="宋体" w:cs="宋体"/>
                <w:bCs/>
                <w:szCs w:val="21"/>
              </w:rPr>
              <w:t>，优秀得</w:t>
            </w:r>
            <w:r>
              <w:rPr>
                <w:rFonts w:ascii="宋体" w:hAnsi="宋体" w:cs="宋体"/>
                <w:bCs/>
                <w:szCs w:val="21"/>
              </w:rPr>
              <w:t>4.8-7</w:t>
            </w:r>
            <w:r>
              <w:rPr>
                <w:rFonts w:hint="eastAsia" w:ascii="宋体" w:hAnsi="宋体" w:cs="宋体"/>
                <w:bCs/>
                <w:szCs w:val="21"/>
              </w:rPr>
              <w:t>分，良好得</w:t>
            </w:r>
            <w:r>
              <w:rPr>
                <w:rFonts w:ascii="宋体" w:hAnsi="宋体" w:cs="宋体"/>
                <w:bCs/>
                <w:szCs w:val="21"/>
              </w:rPr>
              <w:t>2.4-4.7</w:t>
            </w:r>
            <w:r>
              <w:rPr>
                <w:rFonts w:hint="eastAsia" w:ascii="宋体" w:hAnsi="宋体" w:cs="宋体"/>
                <w:bCs/>
                <w:szCs w:val="21"/>
              </w:rPr>
              <w:t>分，一般得0-</w:t>
            </w:r>
            <w:r>
              <w:rPr>
                <w:rFonts w:ascii="宋体" w:hAnsi="宋体" w:cs="宋体"/>
                <w:bCs/>
                <w:szCs w:val="21"/>
              </w:rPr>
              <w:t>2.3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rPr>
                <w:rFonts w:hint="default" w:eastAsia="宋体"/>
                <w:lang w:val="en-US" w:eastAsia="zh-CN"/>
              </w:rPr>
            </w:pPr>
            <w:r>
              <w:rPr>
                <w:rFonts w:hint="eastAsia"/>
                <w:lang w:val="en-US" w:eastAsia="zh-CN"/>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rPr>
            </w:pPr>
            <w:r>
              <w:rPr>
                <w:rFonts w:hint="eastAsia" w:ascii="宋体" w:hAnsi="宋体" w:cs="宋体"/>
                <w:bCs/>
                <w:szCs w:val="21"/>
              </w:rPr>
              <w:t>根据</w:t>
            </w:r>
            <w:r>
              <w:rPr>
                <w:rFonts w:hint="eastAsia" w:ascii="宋体" w:hAnsi="Times New Roman" w:cs="宋体"/>
                <w:color w:val="000000"/>
                <w:kern w:val="0"/>
                <w:sz w:val="22"/>
              </w:rPr>
              <w:t>投标产品到货、安装、调试、验收</w:t>
            </w:r>
            <w:r>
              <w:rPr>
                <w:rFonts w:hint="eastAsia" w:ascii="宋体" w:hAnsi="宋体" w:cs="宋体"/>
                <w:bCs/>
                <w:szCs w:val="21"/>
              </w:rPr>
              <w:t>等方案及质量保证措施</w:t>
            </w:r>
            <w:r>
              <w:rPr>
                <w:rFonts w:hint="eastAsia" w:ascii="宋体" w:hAnsi="Times New Roman" w:cs="宋体"/>
                <w:color w:val="000000"/>
                <w:kern w:val="0"/>
                <w:sz w:val="22"/>
              </w:rPr>
              <w:t>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w:t>
            </w:r>
            <w:r>
              <w:rPr>
                <w:rFonts w:hint="eastAsia" w:ascii="宋体" w:hAnsi="宋体" w:cs="宋体"/>
                <w:bCs/>
                <w:szCs w:val="21"/>
                <w:lang w:val="en-US" w:eastAsia="zh-CN"/>
              </w:rPr>
              <w:t>1.4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根据投标人提供的样品投标样品工艺、材质及细节处理水平、与采购需求的符合程度等情况</w:t>
            </w:r>
            <w:r>
              <w:rPr>
                <w:rFonts w:hint="eastAsia" w:ascii="宋体" w:hAnsi="Times New Roman" w:cs="宋体"/>
                <w:color w:val="000000"/>
                <w:kern w:val="0"/>
                <w:sz w:val="22"/>
              </w:rPr>
              <w:t>横向比较</w:t>
            </w:r>
            <w:r>
              <w:rPr>
                <w:rFonts w:hint="eastAsia" w:ascii="宋体" w:hAnsi="宋体" w:cs="宋体"/>
                <w:bCs/>
                <w:szCs w:val="21"/>
              </w:rPr>
              <w:t>，优秀得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hint="eastAsia" w:ascii="宋体" w:hAnsi="宋体" w:cs="宋体"/>
                <w:bCs/>
                <w:szCs w:val="21"/>
                <w:lang w:val="en-US" w:eastAsia="zh-CN"/>
              </w:rPr>
              <w:t>1</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rPr>
                <w:rFonts w:hint="eastAsia" w:eastAsia="宋体"/>
                <w:lang w:eastAsia="zh-CN"/>
              </w:rPr>
            </w:pPr>
            <w:r>
              <w:rPr>
                <w:rFonts w:hint="eastAsia"/>
                <w:lang w:val="en-US" w:eastAsia="zh-CN"/>
              </w:rPr>
              <w:t>4</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服务承诺</w:t>
            </w:r>
          </w:p>
          <w:p>
            <w:pPr>
              <w:pStyle w:val="1740"/>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sz w:val="22"/>
              </w:rPr>
              <w:t>根据产品</w:t>
            </w:r>
            <w:r>
              <w:rPr>
                <w:rFonts w:hint="eastAsia" w:ascii="宋体" w:hAnsi="宋体" w:cs="宋体"/>
                <w:bCs/>
                <w:szCs w:val="21"/>
              </w:rPr>
              <w:t>本地化服务能力、售后服务承诺、提供的售后服务方案的可行性、完整性以及服务承诺落实的保障措施等情况横向比较，优秀得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pPr>
      <w:bookmarkStart w:id="33"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bookmarkEnd w:id="33"/>
    <w:p>
      <w:pPr>
        <w:widowControl/>
        <w:adjustRightInd w:val="0"/>
        <w:snapToGrid w:val="0"/>
        <w:spacing w:line="360" w:lineRule="exact"/>
        <w:rPr>
          <w:rFonts w:ascii="宋体" w:hAnsi="宋体" w:cs="黑体"/>
          <w:b/>
          <w:kern w:val="0"/>
          <w:sz w:val="22"/>
          <w:lang w:bidi="en-US"/>
        </w:rPr>
      </w:pPr>
      <w:bookmarkStart w:id="34" w:name="_Toc19698501"/>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79"/>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3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232" w:type="dxa"/>
            <w:noWrap w:val="0"/>
            <w:vAlign w:val="center"/>
          </w:tcPr>
          <w:p>
            <w:pPr>
              <w:pStyle w:val="569"/>
              <w:spacing w:line="560" w:lineRule="exact"/>
              <w:jc w:val="center"/>
              <w:rPr>
                <w:rFonts w:hint="eastAsia" w:ascii="仿宋" w:hAnsi="仿宋" w:eastAsia="仿宋" w:cs="仿宋"/>
                <w:sz w:val="28"/>
                <w:szCs w:val="28"/>
              </w:rPr>
            </w:pPr>
          </w:p>
        </w:tc>
        <w:tc>
          <w:tcPr>
            <w:tcW w:w="1439" w:type="dxa"/>
            <w:noWrap w:val="0"/>
            <w:vAlign w:val="center"/>
          </w:tcPr>
          <w:p>
            <w:pPr>
              <w:pStyle w:val="569"/>
              <w:spacing w:line="560" w:lineRule="exact"/>
              <w:jc w:val="center"/>
              <w:rPr>
                <w:rFonts w:hint="eastAsia" w:ascii="仿宋" w:hAnsi="仿宋" w:eastAsia="仿宋" w:cs="仿宋"/>
                <w:sz w:val="28"/>
                <w:szCs w:val="28"/>
              </w:rPr>
            </w:pPr>
          </w:p>
        </w:tc>
        <w:tc>
          <w:tcPr>
            <w:tcW w:w="1292" w:type="dxa"/>
            <w:noWrap w:val="0"/>
            <w:vAlign w:val="center"/>
          </w:tcPr>
          <w:p>
            <w:pPr>
              <w:pStyle w:val="569"/>
              <w:spacing w:line="560" w:lineRule="exact"/>
              <w:jc w:val="center"/>
              <w:rPr>
                <w:rFonts w:hint="eastAsia" w:ascii="仿宋" w:hAnsi="仿宋" w:eastAsia="仿宋" w:cs="仿宋"/>
                <w:sz w:val="28"/>
                <w:szCs w:val="28"/>
              </w:rPr>
            </w:pPr>
          </w:p>
        </w:tc>
        <w:tc>
          <w:tcPr>
            <w:tcW w:w="1055" w:type="dxa"/>
            <w:noWrap w:val="0"/>
            <w:vAlign w:val="center"/>
          </w:tcPr>
          <w:p>
            <w:pPr>
              <w:pStyle w:val="569"/>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569"/>
              <w:spacing w:line="560" w:lineRule="exact"/>
              <w:jc w:val="center"/>
              <w:rPr>
                <w:rFonts w:hint="eastAsia" w:ascii="仿宋" w:hAnsi="仿宋" w:eastAsia="仿宋" w:cs="仿宋"/>
                <w:sz w:val="28"/>
                <w:szCs w:val="28"/>
              </w:rPr>
            </w:pPr>
          </w:p>
        </w:tc>
        <w:tc>
          <w:tcPr>
            <w:tcW w:w="1167" w:type="dxa"/>
            <w:noWrap w:val="0"/>
            <w:vAlign w:val="center"/>
          </w:tcPr>
          <w:p>
            <w:pPr>
              <w:pStyle w:val="569"/>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0"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w:t>
      </w:r>
      <w:r>
        <w:rPr>
          <w:rFonts w:hint="eastAsia" w:ascii="宋体" w:hAnsi="宋体" w:cs="仿宋"/>
          <w:kern w:val="0"/>
          <w:sz w:val="22"/>
          <w:lang w:eastAsia="zh-CN" w:bidi="en-US"/>
        </w:rPr>
        <w:t>安装费、</w:t>
      </w:r>
      <w:r>
        <w:rPr>
          <w:rFonts w:hint="eastAsia" w:ascii="宋体" w:hAnsi="宋体" w:cs="仿宋"/>
          <w:kern w:val="0"/>
          <w:sz w:val="22"/>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25</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九、安装与验收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日内以书面或电话形式向乙方提出异议。乙方在甲方初步验收完毕后，负责在</w:t>
      </w:r>
      <w:r>
        <w:rPr>
          <w:rFonts w:ascii="宋体" w:hAnsi="宋体" w:cs="仿宋"/>
          <w:kern w:val="0"/>
          <w:sz w:val="22"/>
          <w:u w:val="single"/>
          <w:lang w:bidi="en-US"/>
        </w:rPr>
        <w:t xml:space="preserve"> </w:t>
      </w:r>
      <w:r>
        <w:rPr>
          <w:rFonts w:hint="eastAsia" w:ascii="宋体" w:hAnsi="宋体" w:cs="仿宋"/>
          <w:kern w:val="0"/>
          <w:sz w:val="22"/>
          <w:u w:val="single"/>
          <w:lang w:bidi="en-US"/>
        </w:rPr>
        <w:t>7</w:t>
      </w:r>
      <w:r>
        <w:rPr>
          <w:rFonts w:hint="eastAsia" w:ascii="宋体" w:hAnsi="宋体" w:cs="仿宋"/>
          <w:kern w:val="0"/>
          <w:sz w:val="22"/>
          <w:lang w:bidi="en-US"/>
        </w:rPr>
        <w:t>日内完成现场安装、调试，确保</w:t>
      </w:r>
      <w:r>
        <w:rPr>
          <w:rFonts w:hint="eastAsia" w:ascii="宋体" w:hAnsi="宋体" w:cs="仿宋"/>
          <w:kern w:val="0"/>
          <w:sz w:val="22"/>
          <w:lang w:eastAsia="zh-CN" w:bidi="en-US"/>
        </w:rPr>
        <w:t>货物</w:t>
      </w:r>
      <w:r>
        <w:rPr>
          <w:rFonts w:hint="eastAsia" w:ascii="宋体" w:hAnsi="宋体" w:cs="仿宋"/>
          <w:kern w:val="0"/>
          <w:sz w:val="22"/>
          <w:lang w:bidi="en-US"/>
        </w:rPr>
        <w:t>正常</w:t>
      </w:r>
      <w:r>
        <w:rPr>
          <w:rFonts w:hint="eastAsia" w:ascii="宋体" w:hAnsi="宋体" w:cs="仿宋"/>
          <w:kern w:val="0"/>
          <w:sz w:val="22"/>
          <w:lang w:eastAsia="zh-CN" w:bidi="en-US"/>
        </w:rPr>
        <w:t>使用</w:t>
      </w:r>
      <w:r>
        <w:rPr>
          <w:rFonts w:hint="eastAsia" w:ascii="宋体" w:hAnsi="宋体" w:cs="仿宋"/>
          <w:kern w:val="0"/>
          <w:sz w:val="22"/>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经调试、试运行合格之日起，由甲方按验收项目进行终验收。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.试运行时，各项性能指标满足技术标书要求；</w:t>
      </w:r>
    </w:p>
    <w:p>
      <w:pPr>
        <w:widowControl/>
        <w:adjustRightInd w:val="0"/>
        <w:snapToGrid w:val="0"/>
        <w:spacing w:line="360" w:lineRule="exact"/>
        <w:ind w:firstLine="443"/>
        <w:rPr>
          <w:rFonts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2</w:t>
      </w:r>
      <w:r>
        <w:rPr>
          <w:rFonts w:ascii="宋体" w:hAnsi="宋体" w:cs="仿宋"/>
          <w:kern w:val="0"/>
          <w:sz w:val="22"/>
          <w:lang w:bidi="en-US"/>
        </w:rPr>
        <w:t>)</w:t>
      </w:r>
      <w:r>
        <w:rPr>
          <w:rFonts w:hint="eastAsia" w:ascii="宋体" w:hAnsi="宋体" w:cs="仿宋"/>
          <w:kern w:val="0"/>
          <w:sz w:val="22"/>
          <w:lang w:bidi="en-US"/>
        </w:rPr>
        <w:t>.调试和试运行时出现的问题已被解决，并得到甲方认可；</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3</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ascii="宋体" w:hAnsi="宋体" w:cs="仿宋"/>
          <w:kern w:val="0"/>
          <w:sz w:val="22"/>
          <w:u w:val="single"/>
          <w:lang w:bidi="en-US"/>
        </w:rPr>
        <w:t xml:space="preserve">      </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24</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0" w:firstLineChars="200"/>
        <w:rPr>
          <w:rFonts w:cs="仿宋_GB2312"/>
          <w:b/>
          <w:szCs w:val="21"/>
        </w:rPr>
      </w:pPr>
    </w:p>
    <w:p>
      <w:pPr>
        <w:adjustRightInd w:val="0"/>
        <w:snapToGrid w:val="0"/>
        <w:spacing w:line="360" w:lineRule="exact"/>
        <w:ind w:firstLine="440" w:firstLineChars="200"/>
        <w:rPr>
          <w:rFonts w:ascii="宋体" w:hAnsi="宋体" w:cs="黑体"/>
          <w:b/>
          <w:sz w:val="22"/>
        </w:rPr>
      </w:pPr>
    </w:p>
    <w:p>
      <w:pPr>
        <w:widowControl/>
        <w:jc w:val="left"/>
        <w:rPr>
          <w:rFonts w:cs="Courier New"/>
          <w:b/>
          <w:bCs/>
          <w:sz w:val="24"/>
          <w:szCs w:val="24"/>
        </w:rPr>
      </w:pPr>
    </w:p>
    <w:p>
      <w:pPr>
        <w:widowControl/>
        <w:jc w:val="left"/>
        <w:rPr>
          <w:rFonts w:ascii="宋体" w:hAnsi="宋体" w:cs="Courier New"/>
          <w:b/>
          <w:bCs/>
          <w:sz w:val="24"/>
          <w:szCs w:val="24"/>
        </w:rPr>
      </w:pPr>
      <w:r>
        <w:rPr>
          <w:rFonts w:cs="Courier New"/>
          <w:b/>
          <w:bCs/>
          <w:sz w:val="24"/>
          <w:szCs w:val="24"/>
        </w:rPr>
        <w:br w:type="page"/>
      </w:r>
      <w:r>
        <w:rPr>
          <w:rFonts w:ascii="宋体" w:hAnsi="宋体" w:cs="Courier New"/>
          <w:b/>
          <w:bCs/>
          <w:sz w:val="24"/>
          <w:szCs w:val="24"/>
        </w:rPr>
        <w:t>附件1：</w:t>
      </w: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黑体"/>
          <w:bCs/>
          <w:kern w:val="0"/>
          <w:sz w:val="22"/>
          <w:lang w:bidi="en-US"/>
        </w:rPr>
        <w:t>杭州萧山国际机场有限公司</w:t>
      </w:r>
      <w:r>
        <w:rPr>
          <w:rFonts w:ascii="宋体" w:hAnsi="宋体" w:cs="宋体"/>
          <w:kern w:val="0"/>
          <w:sz w:val="22"/>
        </w:rPr>
        <w:t>：</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                           年     月     日</w:t>
      </w:r>
      <w:r>
        <w:rPr>
          <w:rFonts w:ascii="宋体" w:hAnsi="宋体" w:cs="宋体"/>
          <w:b/>
          <w:szCs w:val="21"/>
        </w:rPr>
        <w:br w:type="page"/>
      </w:r>
      <w:r>
        <w:rPr>
          <w:rFonts w:ascii="宋体" w:hAnsi="宋体" w:cs="Courier New"/>
          <w:b/>
          <w:bCs/>
          <w:sz w:val="24"/>
          <w:szCs w:val="24"/>
        </w:rPr>
        <w:t>附件2：</w:t>
      </w:r>
    </w:p>
    <w:p>
      <w:pPr>
        <w:snapToGrid w:val="0"/>
        <w:spacing w:after="120" w:afterLines="50" w:line="360" w:lineRule="auto"/>
        <w:ind w:firstLine="321"/>
        <w:jc w:val="center"/>
        <w:rPr>
          <w:rFonts w:ascii="宋体" w:hAnsi="宋体"/>
          <w:b/>
          <w:sz w:val="32"/>
          <w:szCs w:val="32"/>
        </w:rPr>
      </w:pPr>
      <w:r>
        <w:rPr>
          <w:rFonts w:ascii="宋体" w:hAnsi="宋体"/>
          <w:b/>
          <w:sz w:val="32"/>
          <w:szCs w:val="32"/>
        </w:rPr>
        <w:t>保密承诺书</w:t>
      </w:r>
    </w:p>
    <w:p>
      <w:pPr>
        <w:adjustRightInd w:val="0"/>
        <w:snapToGrid w:val="0"/>
        <w:spacing w:line="360" w:lineRule="exact"/>
        <w:ind w:firstLine="440" w:firstLineChars="200"/>
        <w:rPr>
          <w:rFonts w:ascii="宋体" w:hAnsi="宋体" w:cs="宋体"/>
          <w:sz w:val="22"/>
        </w:rPr>
      </w:pPr>
      <w:r>
        <w:rPr>
          <w:rFonts w:ascii="宋体" w:hAnsi="宋体" w:cs="宋体"/>
          <w:sz w:val="22"/>
        </w:rPr>
        <w:t>鉴于我方愿成为</w:t>
      </w:r>
      <w:r>
        <w:rPr>
          <w:rFonts w:hint="eastAsia" w:ascii="宋体" w:hAnsi="宋体" w:cs="宋体"/>
          <w:sz w:val="22"/>
          <w:u w:val="single"/>
        </w:rPr>
        <w:t>杭州萧山国际机场有限公司</w:t>
      </w:r>
      <w:r>
        <w:rPr>
          <w:rFonts w:ascii="宋体" w:hAnsi="宋体" w:cs="宋体"/>
          <w:sz w:val="22"/>
        </w:rPr>
        <w:t>(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hint="eastAsia"/>
        </w:rPr>
      </w:pPr>
      <w:r>
        <w:rPr>
          <w:rFonts w:ascii="宋体" w:hAnsi="宋体" w:cs="宋体"/>
          <w:sz w:val="22"/>
        </w:rPr>
        <w:t>日期：     年   月   日</w:t>
      </w:r>
    </w:p>
    <w:p>
      <w:pPr>
        <w:pStyle w:val="3"/>
        <w:spacing w:line="564" w:lineRule="exact"/>
        <w:ind w:right="57"/>
        <w:jc w:val="center"/>
        <w:rPr>
          <w:rFonts w:hint="eastAsia"/>
        </w:rPr>
      </w:pPr>
    </w:p>
    <w:p>
      <w:pPr>
        <w:pStyle w:val="3"/>
        <w:spacing w:line="564" w:lineRule="exact"/>
        <w:ind w:right="57"/>
        <w:jc w:val="both"/>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4"/>
    </w:p>
    <w:p>
      <w:pPr>
        <w:pStyle w:val="3"/>
        <w:spacing w:line="564" w:lineRule="exact"/>
        <w:ind w:right="57"/>
        <w:jc w:val="center"/>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spacing w:before="1"/>
        <w:jc w:val="center"/>
        <w:rPr>
          <w:rStyle w:val="109"/>
          <w:sz w:val="40"/>
          <w:szCs w:val="40"/>
        </w:rPr>
      </w:pPr>
      <w:bookmarkStart w:id="35" w:name="_Toc19698502"/>
      <w:r>
        <w:rPr>
          <w:rStyle w:val="109"/>
          <w:rFonts w:hint="eastAsia"/>
          <w:sz w:val="40"/>
          <w:szCs w:val="40"/>
        </w:rPr>
        <w:t>用户需求书</w:t>
      </w:r>
      <w:bookmarkEnd w:id="35"/>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line="360" w:lineRule="auto"/>
        <w:ind w:firstLine="550" w:firstLineChars="250"/>
        <w:rPr>
          <w:rFonts w:ascii="宋体" w:hAnsi="宋体"/>
          <w:sz w:val="22"/>
        </w:rPr>
      </w:pPr>
      <w:bookmarkStart w:id="37" w:name="_bookmark149"/>
      <w:bookmarkEnd w:id="37"/>
      <w:r>
        <w:rPr>
          <w:rFonts w:hint="eastAsia" w:ascii="宋体" w:hAnsi="宋体"/>
          <w:sz w:val="22"/>
        </w:rPr>
        <w:t>杭州萧山国际机场</w:t>
      </w:r>
      <w:r>
        <w:rPr>
          <w:rFonts w:hint="eastAsia" w:ascii="宋体" w:hAnsi="宋体" w:cs="Arial"/>
          <w:kern w:val="0"/>
          <w:sz w:val="22"/>
        </w:rPr>
        <w:t>航站楼</w:t>
      </w:r>
      <w:r>
        <w:rPr>
          <w:rFonts w:hint="eastAsia" w:ascii="宋体" w:hAnsi="宋体" w:cs="Arial"/>
          <w:kern w:val="0"/>
          <w:sz w:val="22"/>
          <w:lang w:eastAsia="zh-CN"/>
        </w:rPr>
        <w:t>无障碍饮水设备采购</w:t>
      </w:r>
      <w:r>
        <w:rPr>
          <w:rFonts w:hint="eastAsia" w:ascii="宋体" w:hAnsi="宋体"/>
          <w:sz w:val="22"/>
        </w:rPr>
        <w:t>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9236" w:type="dxa"/>
        <w:tblInd w:w="107" w:type="dxa"/>
        <w:tblLayout w:type="fixed"/>
        <w:tblCellMar>
          <w:top w:w="0" w:type="dxa"/>
          <w:left w:w="0" w:type="dxa"/>
          <w:bottom w:w="0" w:type="dxa"/>
          <w:right w:w="0" w:type="dxa"/>
        </w:tblCellMar>
      </w:tblPr>
      <w:tblGrid>
        <w:gridCol w:w="823"/>
        <w:gridCol w:w="1543"/>
        <w:gridCol w:w="1590"/>
        <w:gridCol w:w="1080"/>
        <w:gridCol w:w="1440"/>
        <w:gridCol w:w="1380"/>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hint="eastAsia" w:ascii="宋体" w:hAnsi="宋体" w:eastAsia="宋体" w:cs="宋体"/>
                <w:szCs w:val="21"/>
                <w:lang w:eastAsia="zh-CN"/>
              </w:rPr>
            </w:pPr>
            <w:r>
              <w:rPr>
                <w:rFonts w:hint="eastAsia" w:ascii="宋体" w:hAnsi="宋体" w:cs="宋体"/>
                <w:szCs w:val="21"/>
                <w:lang w:eastAsia="zh-CN"/>
              </w:rPr>
              <w:t>数量</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单位</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无障碍饮水柜台</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个</w:t>
            </w:r>
          </w:p>
        </w:tc>
        <w:tc>
          <w:tcPr>
            <w:tcW w:w="1440" w:type="dxa"/>
            <w:vMerge w:val="restart"/>
            <w:tcBorders>
              <w:top w:val="single" w:color="000000" w:sz="4" w:space="0"/>
              <w:left w:val="single" w:color="000000" w:sz="4" w:space="0"/>
              <w:right w:val="single" w:color="000000" w:sz="4" w:space="0"/>
            </w:tcBorders>
            <w:vAlign w:val="center"/>
          </w:tcPr>
          <w:p>
            <w:pPr>
              <w:jc w:val="center"/>
            </w:pPr>
            <w:r>
              <w:rPr>
                <w:rFonts w:hint="eastAsia" w:ascii="宋体" w:hAnsi="宋体" w:cs="宋体"/>
              </w:rPr>
              <w:t>接到招标人发出的采购通知单之日起</w:t>
            </w:r>
            <w:r>
              <w:rPr>
                <w:rFonts w:hint="eastAsia" w:ascii="宋体" w:hAnsi="宋体" w:cs="宋体"/>
                <w:lang w:val="en-US" w:eastAsia="zh-CN"/>
              </w:rPr>
              <w:t>25</w:t>
            </w:r>
            <w:r>
              <w:rPr>
                <w:rFonts w:hint="eastAsia" w:ascii="宋体" w:hAnsi="宋体" w:cs="宋体"/>
              </w:rPr>
              <w:t>日历天内</w:t>
            </w:r>
          </w:p>
        </w:tc>
        <w:tc>
          <w:tcPr>
            <w:tcW w:w="1380" w:type="dxa"/>
            <w:vMerge w:val="restart"/>
            <w:tcBorders>
              <w:top w:val="single" w:color="000000" w:sz="4" w:space="0"/>
              <w:left w:val="single" w:color="000000" w:sz="4" w:space="0"/>
              <w:right w:val="single" w:color="000000" w:sz="4" w:space="0"/>
            </w:tcBorders>
            <w:vAlign w:val="center"/>
          </w:tcPr>
          <w:p>
            <w:pPr>
              <w:jc w:val="center"/>
            </w:pPr>
            <w:r>
              <w:rPr>
                <w:rFonts w:hint="eastAsia"/>
              </w:rPr>
              <w:t>杭州萧山国际机场内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lang w:eastAsia="zh-CN"/>
              </w:rPr>
            </w:pP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2</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桌面式饮水机</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台</w:t>
            </w:r>
          </w:p>
        </w:tc>
        <w:tc>
          <w:tcPr>
            <w:tcW w:w="1440" w:type="dxa"/>
            <w:vMerge w:val="continue"/>
            <w:tcBorders>
              <w:left w:val="single" w:color="000000" w:sz="4" w:space="0"/>
              <w:right w:val="single" w:color="000000" w:sz="4" w:space="0"/>
            </w:tcBorders>
            <w:vAlign w:val="center"/>
          </w:tcPr>
          <w:p>
            <w:pPr>
              <w:jc w:val="center"/>
            </w:pPr>
          </w:p>
        </w:tc>
        <w:tc>
          <w:tcPr>
            <w:tcW w:w="1380" w:type="dxa"/>
            <w:vMerge w:val="continue"/>
            <w:tcBorders>
              <w:left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hint="eastAsia" w:ascii="Times New Roman" w:eastAsia="宋体"/>
                <w:lang w:val="en-US" w:eastAsia="zh-CN"/>
              </w:rPr>
            </w:pPr>
            <w:r>
              <w:rPr>
                <w:rFonts w:hint="eastAsia" w:ascii="Times New Roman"/>
                <w:lang w:val="en-US" w:eastAsia="zh-CN"/>
              </w:rPr>
              <w:t>3</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灯箱膜</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2"/>
                <w:szCs w:val="21"/>
                <w:lang w:val="en-US" w:eastAsia="zh-CN"/>
              </w:rPr>
            </w:pPr>
            <w:r>
              <w:rPr>
                <w:rFonts w:hint="eastAsia" w:ascii="宋体" w:hAnsi="宋体"/>
                <w:sz w:val="22"/>
                <w:szCs w:val="21"/>
                <w:lang w:val="en-US" w:eastAsia="zh-CN"/>
              </w:rPr>
              <w:t>张</w:t>
            </w:r>
          </w:p>
        </w:tc>
        <w:tc>
          <w:tcPr>
            <w:tcW w:w="1440" w:type="dxa"/>
            <w:vMerge w:val="continue"/>
            <w:tcBorders>
              <w:left w:val="single" w:color="000000" w:sz="4" w:space="0"/>
              <w:bottom w:val="single" w:color="000000" w:sz="4" w:space="0"/>
              <w:right w:val="single" w:color="000000" w:sz="4" w:space="0"/>
            </w:tcBorders>
            <w:vAlign w:val="center"/>
          </w:tcPr>
          <w:p>
            <w:pPr>
              <w:jc w:val="center"/>
            </w:pPr>
          </w:p>
        </w:tc>
        <w:tc>
          <w:tcPr>
            <w:tcW w:w="1380" w:type="dxa"/>
            <w:vMerge w:val="continue"/>
            <w:tcBorders>
              <w:left w:val="single" w:color="000000" w:sz="4" w:space="0"/>
              <w:bottom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napToGrid w:val="0"/>
        <w:jc w:val="left"/>
        <w:rPr>
          <w:rFonts w:ascii="宋体" w:hAnsi="宋体"/>
          <w:szCs w:val="21"/>
        </w:rPr>
      </w:pPr>
      <w:bookmarkStart w:id="38" w:name="_bookmark150"/>
      <w:bookmarkEnd w:id="38"/>
    </w:p>
    <w:p>
      <w:pPr>
        <w:pStyle w:val="6"/>
        <w:spacing w:before="160" w:after="160" w:line="360" w:lineRule="exact"/>
        <w:ind w:firstLine="281" w:firstLineChars="100"/>
        <w:jc w:val="left"/>
      </w:pPr>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hint="eastAsia" w:asciiTheme="minorEastAsia" w:hAnsiTheme="minorEastAsia" w:eastAsiaTheme="minorEastAsia"/>
          <w:b/>
          <w:bCs/>
          <w:color w:val="000000"/>
          <w:sz w:val="22"/>
          <w:lang w:val="en-US" w:eastAsia="zh-CN"/>
        </w:rPr>
      </w:pPr>
      <w:bookmarkStart w:id="39" w:name="_Toc19698503"/>
      <w:r>
        <w:rPr>
          <w:rFonts w:hint="eastAsia" w:asciiTheme="minorEastAsia" w:hAnsiTheme="minorEastAsia" w:eastAsiaTheme="minorEastAsia"/>
          <w:b/>
          <w:bCs/>
          <w:color w:val="000000"/>
          <w:sz w:val="22"/>
          <w:lang w:val="en-US" w:eastAsia="zh-CN"/>
        </w:rPr>
        <w:t>1、无障碍饮水柜台</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1.1柜台</w:t>
      </w:r>
      <w:r>
        <w:rPr>
          <w:rFonts w:hint="default" w:asciiTheme="minorEastAsia" w:hAnsiTheme="minorEastAsia" w:eastAsiaTheme="minorEastAsia"/>
          <w:color w:val="000000"/>
          <w:sz w:val="22"/>
          <w:lang w:val="en-US" w:eastAsia="zh-CN"/>
        </w:rPr>
        <w:t>外观尺寸为1100*550*710mm（宽*深*高）</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1.2柜台容膝空间</w:t>
      </w:r>
      <w:r>
        <w:rPr>
          <w:rFonts w:hint="default" w:asciiTheme="minorEastAsia" w:hAnsiTheme="minorEastAsia" w:eastAsiaTheme="minorEastAsia"/>
          <w:color w:val="000000"/>
          <w:sz w:val="22"/>
          <w:lang w:val="en-US" w:eastAsia="zh-CN"/>
        </w:rPr>
        <w:t>净宽850mm，净深550mm，净高650mm</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1.3柜台</w:t>
      </w:r>
      <w:r>
        <w:rPr>
          <w:rFonts w:hint="default" w:asciiTheme="minorEastAsia" w:hAnsiTheme="minorEastAsia" w:eastAsiaTheme="minorEastAsia"/>
          <w:color w:val="000000"/>
          <w:sz w:val="22"/>
          <w:lang w:val="en-US" w:eastAsia="zh-CN"/>
        </w:rPr>
        <w:t>整体外观为304拉丝不锈钢</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1.4台面</w:t>
      </w:r>
      <w:r>
        <w:rPr>
          <w:rFonts w:hint="default" w:asciiTheme="minorEastAsia" w:hAnsiTheme="minorEastAsia" w:eastAsiaTheme="minorEastAsia"/>
          <w:color w:val="000000"/>
          <w:sz w:val="22"/>
          <w:lang w:val="en-US" w:eastAsia="zh-CN"/>
        </w:rPr>
        <w:t>四周设置挡水条，避免液体溢出流至地面</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1.5柜台</w:t>
      </w:r>
      <w:r>
        <w:rPr>
          <w:rFonts w:hint="default" w:asciiTheme="minorEastAsia" w:hAnsiTheme="minorEastAsia" w:eastAsiaTheme="minorEastAsia"/>
          <w:color w:val="000000"/>
          <w:sz w:val="22"/>
          <w:lang w:val="en-US" w:eastAsia="zh-CN"/>
        </w:rPr>
        <w:t>四周倒角设计，避免磕碰旅客</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1.6柜台</w:t>
      </w:r>
      <w:r>
        <w:rPr>
          <w:rFonts w:hint="default" w:asciiTheme="minorEastAsia" w:hAnsiTheme="minorEastAsia" w:eastAsiaTheme="minorEastAsia"/>
          <w:color w:val="000000"/>
          <w:sz w:val="22"/>
          <w:lang w:val="en-US" w:eastAsia="zh-CN"/>
        </w:rPr>
        <w:t>设置可拆卸背板，背板顶部</w:t>
      </w:r>
      <w:r>
        <w:rPr>
          <w:rFonts w:hint="eastAsia" w:asciiTheme="minorEastAsia" w:hAnsiTheme="minorEastAsia" w:eastAsiaTheme="minorEastAsia"/>
          <w:color w:val="000000"/>
          <w:sz w:val="22"/>
          <w:lang w:val="en-US" w:eastAsia="zh-CN"/>
        </w:rPr>
        <w:t>根据</w:t>
      </w:r>
      <w:r>
        <w:rPr>
          <w:rFonts w:hint="default" w:asciiTheme="minorEastAsia" w:hAnsiTheme="minorEastAsia" w:eastAsiaTheme="minorEastAsia"/>
          <w:color w:val="000000"/>
          <w:sz w:val="22"/>
          <w:lang w:val="en-US" w:eastAsia="zh-CN"/>
        </w:rPr>
        <w:t>要求印刷标识</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1.7</w:t>
      </w:r>
      <w:r>
        <w:rPr>
          <w:rFonts w:hint="default" w:asciiTheme="minorEastAsia" w:hAnsiTheme="minorEastAsia" w:eastAsiaTheme="minorEastAsia"/>
          <w:color w:val="000000"/>
          <w:sz w:val="22"/>
          <w:lang w:val="en-US" w:eastAsia="zh-CN"/>
        </w:rPr>
        <w:t>桌面配备液体过滤功能，可将液体通过水管直接导流至地漏</w:t>
      </w:r>
      <w:r>
        <w:rPr>
          <w:rFonts w:hint="eastAsia" w:asciiTheme="minorEastAsia" w:hAnsiTheme="minorEastAsia" w:eastAsiaTheme="minorEastAsia"/>
          <w:color w:val="000000"/>
          <w:sz w:val="22"/>
          <w:lang w:val="en-US" w:eastAsia="zh-CN"/>
        </w:rPr>
        <w:t>；</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1.8</w:t>
      </w:r>
      <w:r>
        <w:rPr>
          <w:rFonts w:hint="default" w:asciiTheme="minorEastAsia" w:hAnsiTheme="minorEastAsia" w:eastAsiaTheme="minorEastAsia"/>
          <w:color w:val="000000"/>
          <w:sz w:val="22"/>
          <w:lang w:val="en-US" w:eastAsia="zh-CN"/>
        </w:rPr>
        <w:t>桌子结构为304不锈钢封板，内衬钢架</w:t>
      </w:r>
      <w:r>
        <w:rPr>
          <w:rFonts w:hint="eastAsia" w:asciiTheme="minorEastAsia" w:hAnsiTheme="minorEastAsia" w:eastAsiaTheme="minorEastAsia"/>
          <w:color w:val="000000"/>
          <w:sz w:val="22"/>
          <w:lang w:val="en-US" w:eastAsia="zh-CN"/>
        </w:rPr>
        <w:t>、</w:t>
      </w:r>
      <w:r>
        <w:rPr>
          <w:rFonts w:hint="default" w:asciiTheme="minorEastAsia" w:hAnsiTheme="minorEastAsia" w:eastAsiaTheme="minorEastAsia"/>
          <w:color w:val="000000"/>
          <w:sz w:val="22"/>
          <w:lang w:val="en-US" w:eastAsia="zh-CN"/>
        </w:rPr>
        <w:t>木板</w:t>
      </w:r>
      <w:r>
        <w:rPr>
          <w:rFonts w:hint="eastAsia" w:asciiTheme="minorEastAsia" w:hAnsiTheme="minorEastAsia" w:eastAsiaTheme="minorEastAsia"/>
          <w:color w:val="000000"/>
          <w:sz w:val="22"/>
          <w:lang w:val="en-US" w:eastAsia="zh-CN"/>
        </w:rPr>
        <w:t>结构。</w:t>
      </w:r>
    </w:p>
    <w:p>
      <w:pPr>
        <w:pStyle w:val="534"/>
        <w:numPr>
          <w:ilvl w:val="0"/>
          <w:numId w:val="30"/>
        </w:numPr>
        <w:spacing w:line="520" w:lineRule="exact"/>
        <w:ind w:firstLine="440"/>
        <w:rPr>
          <w:rFonts w:hint="eastAsia" w:asciiTheme="minorEastAsia" w:hAnsiTheme="minorEastAsia" w:eastAsiaTheme="minorEastAsia"/>
          <w:b/>
          <w:bCs/>
          <w:color w:val="000000"/>
          <w:sz w:val="22"/>
          <w:lang w:val="en-US" w:eastAsia="zh-CN"/>
        </w:rPr>
      </w:pPr>
      <w:r>
        <w:rPr>
          <w:rFonts w:hint="eastAsia" w:asciiTheme="minorEastAsia" w:hAnsiTheme="minorEastAsia" w:eastAsiaTheme="minorEastAsia"/>
          <w:b/>
          <w:bCs/>
          <w:color w:val="000000"/>
          <w:sz w:val="22"/>
          <w:lang w:val="en-US" w:eastAsia="zh-CN"/>
        </w:rPr>
        <w:t>桌面式饮水机</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2.1饮水机过滤系统式为RO逆渗透过滤；</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2.2饮水机热水储水容积≥3.2升；</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2.3热水出水量≥8升/小时；</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2.4饮水机可提供温水、热水；</w:t>
      </w:r>
    </w:p>
    <w:p>
      <w:pPr>
        <w:pStyle w:val="534"/>
        <w:numPr>
          <w:ilvl w:val="0"/>
          <w:numId w:val="0"/>
        </w:numPr>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2.5具备热水安全锁功能；</w:t>
      </w:r>
    </w:p>
    <w:p>
      <w:pPr>
        <w:pStyle w:val="534"/>
        <w:numPr>
          <w:ilvl w:val="0"/>
          <w:numId w:val="0"/>
        </w:numPr>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2.6饮水机尺寸不得大于无障碍饮水柜台台面尺寸，须将饮水机设备整体平稳放置于柜台面之上。</w:t>
      </w:r>
    </w:p>
    <w:p>
      <w:pPr>
        <w:pStyle w:val="534"/>
        <w:numPr>
          <w:ilvl w:val="0"/>
          <w:numId w:val="30"/>
        </w:numPr>
        <w:spacing w:line="520" w:lineRule="exact"/>
        <w:ind w:left="0" w:leftChars="0" w:firstLine="440" w:firstLine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灯箱贴膜</w:t>
      </w:r>
    </w:p>
    <w:p>
      <w:pPr>
        <w:pStyle w:val="534"/>
        <w:numPr>
          <w:ilvl w:val="0"/>
          <w:numId w:val="0"/>
        </w:numPr>
        <w:spacing w:line="520" w:lineRule="exact"/>
        <w:ind w:left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3.1灯箱膜材质要求为3M黑膜（不透光）；</w:t>
      </w:r>
    </w:p>
    <w:p>
      <w:pPr>
        <w:pStyle w:val="534"/>
        <w:numPr>
          <w:ilvl w:val="0"/>
          <w:numId w:val="0"/>
        </w:numPr>
        <w:spacing w:line="520" w:lineRule="exact"/>
        <w:ind w:left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3.2灯箱膜尺寸为1880*580mm；</w:t>
      </w:r>
    </w:p>
    <w:p>
      <w:pPr>
        <w:pStyle w:val="534"/>
        <w:numPr>
          <w:ilvl w:val="0"/>
          <w:numId w:val="0"/>
        </w:numPr>
        <w:spacing w:line="520" w:lineRule="exact"/>
        <w:ind w:leftChars="20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3.3灯箱膜根据图样要求进行镂空雕刻并完成安装。</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4.投标样品要求</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4.1投标人须递交以下样品：</w:t>
      </w:r>
    </w:p>
    <w:tbl>
      <w:tblPr>
        <w:tblStyle w:val="79"/>
        <w:tblW w:w="6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序号</w:t>
            </w:r>
          </w:p>
        </w:tc>
        <w:tc>
          <w:tcPr>
            <w:tcW w:w="414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样品名称</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w:t>
            </w:r>
          </w:p>
        </w:tc>
        <w:tc>
          <w:tcPr>
            <w:tcW w:w="414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200*200mm拉丝不锈钢板</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w:t>
            </w:r>
          </w:p>
        </w:tc>
        <w:tc>
          <w:tcPr>
            <w:tcW w:w="414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100*100mm3M黑膜</w:t>
            </w:r>
          </w:p>
        </w:tc>
        <w:tc>
          <w:tcPr>
            <w:tcW w:w="1448"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1张</w:t>
            </w:r>
          </w:p>
        </w:tc>
      </w:tr>
    </w:tbl>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4.2投标样品应密封外包装上注明投标人名称、项目名称及编号。</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4.3样品及包装须与投标人响应的投标产品型号和技术参数完全一致，并承诺被确定为中标人后，所供货物与提交的样品完全一致。</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4.4样品提交截止时间和地点与招标公告规定的投标文件的递交截止时间和地点相同。</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4.5若投标人提供样品与投标文件响应不一致，或未能按照招标文件要求提交样品的，其样品评分项将按评分标准的最低分值评审。</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4.6中标人的样品作为交货时的验收标准之一。未中标人在中标候选人公示结束后7日内自行取回；若未按要求取回，招标人有权自行处理。</w:t>
      </w:r>
    </w:p>
    <w:p>
      <w:pPr>
        <w:pStyle w:val="534"/>
        <w:numPr>
          <w:ilvl w:val="0"/>
          <w:numId w:val="0"/>
        </w:numPr>
        <w:spacing w:line="520" w:lineRule="exact"/>
        <w:ind w:leftChars="20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5、参考示意图</w:t>
      </w:r>
    </w:p>
    <w:p>
      <w:pPr>
        <w:pStyle w:val="534"/>
        <w:numPr>
          <w:ilvl w:val="0"/>
          <w:numId w:val="0"/>
        </w:numPr>
        <w:spacing w:line="240" w:lineRule="auto"/>
        <w:rPr>
          <w:rFonts w:hint="default" w:asciiTheme="minorEastAsia" w:hAnsiTheme="minorEastAsia" w:eastAsiaTheme="minorEastAsia"/>
          <w:color w:val="000000"/>
          <w:sz w:val="22"/>
          <w:lang w:val="en-US" w:eastAsia="zh-CN"/>
        </w:rPr>
      </w:pPr>
      <w:r>
        <w:rPr>
          <w:rFonts w:hint="default" w:asciiTheme="minorEastAsia" w:hAnsiTheme="minorEastAsia" w:eastAsiaTheme="minorEastAsia"/>
          <w:color w:val="000000"/>
          <w:sz w:val="22"/>
          <w:lang w:val="en-US" w:eastAsia="zh-CN"/>
        </w:rPr>
        <w:drawing>
          <wp:inline distT="0" distB="0" distL="114300" distR="114300">
            <wp:extent cx="5882005" cy="3917315"/>
            <wp:effectExtent l="0" t="0" r="4445" b="6985"/>
            <wp:docPr id="3" name="图片 3" descr="webwxgetmsg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1"/>
                    <pic:cNvPicPr>
                      <a:picLocks noChangeAspect="1"/>
                    </pic:cNvPicPr>
                  </pic:nvPicPr>
                  <pic:blipFill>
                    <a:blip r:embed="rId20"/>
                    <a:stretch>
                      <a:fillRect/>
                    </a:stretch>
                  </pic:blipFill>
                  <pic:spPr>
                    <a:xfrm>
                      <a:off x="0" y="0"/>
                      <a:ext cx="5882005" cy="3917315"/>
                    </a:xfrm>
                    <a:prstGeom prst="rect">
                      <a:avLst/>
                    </a:prstGeom>
                  </pic:spPr>
                </pic:pic>
              </a:graphicData>
            </a:graphic>
          </wp:inline>
        </w:drawing>
      </w:r>
    </w:p>
    <w:p>
      <w:pPr>
        <w:pStyle w:val="534"/>
        <w:spacing w:line="520" w:lineRule="exact"/>
        <w:ind w:firstLine="440"/>
        <w:rPr>
          <w:rFonts w:hint="default" w:asciiTheme="minorEastAsia" w:hAnsiTheme="minorEastAsia" w:eastAsiaTheme="minorEastAsia"/>
          <w:color w:val="000000"/>
          <w:sz w:val="22"/>
          <w:lang w:val="en-US" w:eastAsia="zh-CN"/>
        </w:rPr>
      </w:pPr>
    </w:p>
    <w:p>
      <w:pPr>
        <w:rPr>
          <w:rFonts w:hint="eastAsia"/>
        </w:rPr>
      </w:pPr>
    </w:p>
    <w:p>
      <w:pPr>
        <w:rPr>
          <w:rFonts w:hint="eastAsia"/>
        </w:rPr>
      </w:pPr>
      <w:r>
        <w:rPr>
          <w:rFonts w:hint="default" w:asciiTheme="minorEastAsia" w:hAnsiTheme="minorEastAsia" w:eastAsiaTheme="minorEastAsia"/>
          <w:color w:val="000000"/>
          <w:sz w:val="22"/>
          <w:lang w:val="en-US" w:eastAsia="zh-CN"/>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222250</wp:posOffset>
            </wp:positionV>
            <wp:extent cx="5882005" cy="3917315"/>
            <wp:effectExtent l="0" t="0" r="4445" b="6985"/>
            <wp:wrapTopAndBottom/>
            <wp:docPr id="1" name="图片 1" descr="webwxgetmsg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2"/>
                    <pic:cNvPicPr>
                      <a:picLocks noChangeAspect="1"/>
                    </pic:cNvPicPr>
                  </pic:nvPicPr>
                  <pic:blipFill>
                    <a:blip r:embed="rId21"/>
                    <a:stretch>
                      <a:fillRect/>
                    </a:stretch>
                  </pic:blipFill>
                  <pic:spPr>
                    <a:xfrm>
                      <a:off x="0" y="0"/>
                      <a:ext cx="5882005" cy="3917315"/>
                    </a:xfrm>
                    <a:prstGeom prst="rect">
                      <a:avLst/>
                    </a:prstGeom>
                  </pic:spPr>
                </pic:pic>
              </a:graphicData>
            </a:graphic>
          </wp:anchor>
        </w:drawing>
      </w:r>
    </w:p>
    <w:p>
      <w:pPr>
        <w:rPr>
          <w:rFonts w:hint="eastAsia" w:eastAsiaTheme="minorEastAsia"/>
          <w:lang w:eastAsia="zh-CN"/>
        </w:rPr>
      </w:pPr>
      <w:r>
        <w:rPr>
          <w:rFonts w:hint="eastAsia" w:eastAsiaTheme="minorEastAsia"/>
          <w:lang w:eastAsia="zh-CN"/>
        </w:rPr>
        <w:drawing>
          <wp:inline distT="0" distB="0" distL="114300" distR="114300">
            <wp:extent cx="5892800" cy="6879590"/>
            <wp:effectExtent l="0" t="0" r="12700" b="16510"/>
            <wp:docPr id="4" name="图片 4" descr="无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无标题1"/>
                    <pic:cNvPicPr>
                      <a:picLocks noChangeAspect="1"/>
                    </pic:cNvPicPr>
                  </pic:nvPicPr>
                  <pic:blipFill>
                    <a:blip r:embed="rId22"/>
                    <a:stretch>
                      <a:fillRect/>
                    </a:stretch>
                  </pic:blipFill>
                  <pic:spPr>
                    <a:xfrm>
                      <a:off x="0" y="0"/>
                      <a:ext cx="5892800" cy="6879590"/>
                    </a:xfrm>
                    <a:prstGeom prst="rect">
                      <a:avLst/>
                    </a:prstGeom>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0" w:name="_Toc133470544"/>
      <w:bookmarkStart w:id="41" w:name="_Toc133214103"/>
      <w:bookmarkStart w:id="42" w:name="_Toc133214310"/>
      <w:bookmarkStart w:id="43" w:name="_Toc137373399"/>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widowControl/>
        <w:jc w:val="left"/>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5" w:type="default"/>
          <w:pgSz w:w="12240" w:h="15840"/>
          <w:pgMar w:top="1500" w:right="1580" w:bottom="1120" w:left="1700" w:header="0" w:footer="921" w:gutter="0"/>
          <w:pgBorders>
            <w:top w:val="none" w:sz="0" w:space="0"/>
            <w:left w:val="none" w:sz="0" w:space="0"/>
            <w:bottom w:val="none" w:sz="0" w:space="0"/>
            <w:right w:val="none" w:sz="0" w:space="0"/>
          </w:pgBorders>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8</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jc w:val="both"/>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both"/>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hint="eastAsia" w:ascii="宋体" w:hAnsi="宋体" w:cs="微软雅黑" w:eastAsiaTheme="minorEastAsia"/>
          <w:kern w:val="0"/>
          <w:sz w:val="22"/>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spacing w:val="-2"/>
          <w:kern w:val="0"/>
          <w:sz w:val="22"/>
          <w:lang w:eastAsia="zh-CN"/>
        </w:rPr>
        <w:t>。</w:t>
      </w:r>
    </w:p>
    <w:p>
      <w:pPr>
        <w:autoSpaceDE w:val="0"/>
        <w:autoSpaceDN w:val="0"/>
        <w:adjustRightInd w:val="0"/>
        <w:spacing w:line="360" w:lineRule="auto"/>
        <w:ind w:right="-20"/>
        <w:jc w:val="both"/>
        <w:rPr>
          <w:rFonts w:ascii="宋体" w:hAnsi="宋体" w:cs="微软雅黑"/>
          <w:kern w:val="0"/>
          <w:sz w:val="2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both"/>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nVYHbXAAAA&#10;CQEAAA8AAAAAAAAAAQAgAAAAIgAAAGRycy9kb3ducmV2LnhtbFBLAQIUABQAAAAIAIdO4kDfLgY8&#10;5QEAAMMDAAAOAAAAAAAAAAEAIAAAACYBAABkcnMvZTJvRG9jLnhtbFBLBQYAAAAABgAGAFkBAAB9&#10;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B3F657"/>
    <w:multiLevelType w:val="singleLevel"/>
    <w:tmpl w:val="59B3F657"/>
    <w:lvl w:ilvl="0" w:tentative="0">
      <w:start w:val="2"/>
      <w:numFmt w:val="decimal"/>
      <w:suff w:val="nothing"/>
      <w:lvlText w:val="%1、"/>
      <w:lvlJc w:val="left"/>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2"/>
  </w:num>
  <w:num w:numId="30">
    <w:abstractNumId w:val="31"/>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13C145FC"/>
    <w:rsid w:val="1B64012A"/>
    <w:rsid w:val="1C1D3787"/>
    <w:rsid w:val="2B08746B"/>
    <w:rsid w:val="3FE949C0"/>
    <w:rsid w:val="406D58E4"/>
    <w:rsid w:val="47EE4AC8"/>
    <w:rsid w:val="68EB6538"/>
    <w:rsid w:val="7251707C"/>
    <w:rsid w:val="7383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14:textFill>
        <w14:solidFill>
          <w14:schemeClr w14:val="folHlink"/>
        </w14:solidFill>
      </w14:textFill>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qFormat/>
    <w:uiPriority w:val="0"/>
    <w:rPr>
      <w:b/>
      <w:bCs/>
      <w:sz w:val="24"/>
      <w:szCs w:val="24"/>
    </w:rPr>
  </w:style>
  <w:style w:type="character" w:customStyle="1" w:styleId="98">
    <w:name w:val="标题 8 字符"/>
    <w:basedOn w:val="80"/>
    <w:qFormat/>
    <w:uiPriority w:val="0"/>
    <w:rPr>
      <w:rFonts w:asciiTheme="majorHAnsi" w:hAnsiTheme="majorHAnsi" w:eastAsiaTheme="majorEastAsia" w:cstheme="majorBidi"/>
      <w:sz w:val="24"/>
      <w:szCs w:val="24"/>
    </w:rPr>
  </w:style>
  <w:style w:type="character" w:customStyle="1" w:styleId="99">
    <w:name w:val="标题 9 字符"/>
    <w:basedOn w:val="80"/>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qFormat/>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qFormat/>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qFormat/>
    <w:uiPriority w:val="0"/>
    <w:rPr>
      <w:rFonts w:ascii="Courier New" w:hAnsi="Courier New" w:eastAsia="宋体" w:cs="Times New Roman"/>
      <w:kern w:val="0"/>
      <w:sz w:val="24"/>
      <w:szCs w:val="24"/>
    </w:rPr>
  </w:style>
  <w:style w:type="character" w:customStyle="1" w:styleId="132">
    <w:name w:val="注释标题 字符"/>
    <w:basedOn w:val="80"/>
    <w:semiHidden/>
    <w:qFormat/>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qFormat/>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qFormat/>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qFormat/>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qFormat/>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qFormat/>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qFormat/>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qFormat/>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qFormat/>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qFormat/>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qFormat/>
    <w:uiPriority w:val="0"/>
    <w:rPr>
      <w:rFonts w:ascii="Calibri" w:hAnsi="Calibri" w:eastAsia="宋体" w:cs="Times New Roman"/>
      <w:kern w:val="0"/>
      <w:sz w:val="20"/>
      <w:szCs w:val="20"/>
    </w:rPr>
  </w:style>
  <w:style w:type="character" w:customStyle="1" w:styleId="174">
    <w:name w:val="副标题 字符"/>
    <w:basedOn w:val="80"/>
    <w:qFormat/>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qFormat/>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qFormat/>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qFormat/>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qFormat/>
    <w:uiPriority w:val="0"/>
    <w:rPr>
      <w:rFonts w:hint="eastAsia" w:ascii="宋体" w:hAnsi="宋体" w:eastAsia="宋体"/>
      <w:color w:val="000000"/>
      <w:sz w:val="20"/>
      <w:szCs w:val="20"/>
    </w:rPr>
  </w:style>
  <w:style w:type="character" w:customStyle="1" w:styleId="197">
    <w:name w:val="ca-71"/>
    <w:qFormat/>
    <w:uiPriority w:val="0"/>
    <w:rPr>
      <w:rFonts w:hint="default" w:ascii="Times New Roman" w:hAnsi="Times New Roman" w:cs="Times New Roman"/>
      <w:color w:val="000000"/>
      <w:sz w:val="28"/>
      <w:szCs w:val="28"/>
    </w:rPr>
  </w:style>
  <w:style w:type="character" w:customStyle="1" w:styleId="198">
    <w:name w:val="ca-61"/>
    <w:qFormat/>
    <w:uiPriority w:val="0"/>
    <w:rPr>
      <w:rFonts w:hint="eastAsia" w:ascii="宋体" w:hAnsi="宋体" w:eastAsia="宋体"/>
      <w:color w:val="000000"/>
      <w:sz w:val="30"/>
      <w:szCs w:val="30"/>
    </w:rPr>
  </w:style>
  <w:style w:type="character" w:customStyle="1" w:styleId="199">
    <w:name w:val="ca-221"/>
    <w:qFormat/>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qFormat/>
    <w:uiPriority w:val="0"/>
    <w:rPr>
      <w:rFonts w:hint="eastAsia" w:ascii="宋体" w:hAnsi="宋体" w:eastAsia="宋体"/>
      <w:color w:val="002060"/>
      <w:sz w:val="21"/>
      <w:szCs w:val="21"/>
    </w:rPr>
  </w:style>
  <w:style w:type="character" w:customStyle="1" w:styleId="202">
    <w:name w:val="ca-91"/>
    <w:qFormat/>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qFormat/>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qFormat/>
    <w:uiPriority w:val="0"/>
    <w:rPr>
      <w:rFonts w:hint="eastAsia" w:ascii="宋体" w:hAnsi="宋体" w:eastAsia="宋体"/>
      <w:color w:val="000000"/>
      <w:sz w:val="21"/>
      <w:szCs w:val="21"/>
    </w:rPr>
  </w:style>
  <w:style w:type="character" w:customStyle="1" w:styleId="209">
    <w:name w:val="ca-451"/>
    <w:qFormat/>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qFormat/>
    <w:uiPriority w:val="0"/>
    <w:rPr>
      <w:rFonts w:ascii="宋体" w:hAnsi="Courier New" w:eastAsia="宋体" w:cs="Courier New"/>
      <w:kern w:val="2"/>
      <w:sz w:val="21"/>
      <w:szCs w:val="21"/>
      <w:lang w:val="en-US" w:eastAsia="zh-CN" w:bidi="ar-SA"/>
    </w:rPr>
  </w:style>
  <w:style w:type="character" w:customStyle="1" w:styleId="214">
    <w:name w:val="Char Char"/>
    <w:qFormat/>
    <w:uiPriority w:val="0"/>
    <w:rPr>
      <w:rFonts w:ascii="Arial" w:hAnsi="Arial" w:eastAsia="黑体"/>
      <w:b/>
      <w:bCs/>
      <w:kern w:val="2"/>
      <w:sz w:val="32"/>
      <w:szCs w:val="32"/>
      <w:lang w:val="en-US" w:eastAsia="zh-CN" w:bidi="ar-SA"/>
    </w:rPr>
  </w:style>
  <w:style w:type="character" w:customStyle="1" w:styleId="215">
    <w:name w:val="ca-54"/>
    <w:qFormat/>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qFormat/>
    <w:uiPriority w:val="0"/>
    <w:rPr>
      <w:rFonts w:hint="default" w:ascii="Times New Roman" w:hAnsi="Times New Roman" w:cs="Times New Roman"/>
      <w:b/>
      <w:bCs/>
      <w:spacing w:val="-20"/>
      <w:sz w:val="24"/>
      <w:szCs w:val="24"/>
    </w:rPr>
  </w:style>
  <w:style w:type="character" w:customStyle="1" w:styleId="220">
    <w:name w:val="ca-301"/>
    <w:qFormat/>
    <w:uiPriority w:val="0"/>
    <w:rPr>
      <w:rFonts w:hint="default" w:ascii="??" w:hAnsi="??"/>
      <w:color w:val="002060"/>
      <w:sz w:val="21"/>
      <w:szCs w:val="21"/>
    </w:rPr>
  </w:style>
  <w:style w:type="character" w:customStyle="1" w:styleId="221">
    <w:name w:val="ca-271"/>
    <w:qFormat/>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qFormat/>
    <w:uiPriority w:val="0"/>
    <w:rPr>
      <w:rFonts w:hint="default" w:ascii="Times New Roman" w:hAnsi="Times New Roman" w:cs="Times New Roman"/>
      <w:color w:val="000000"/>
      <w:sz w:val="32"/>
      <w:szCs w:val="32"/>
    </w:rPr>
  </w:style>
  <w:style w:type="character" w:customStyle="1" w:styleId="226">
    <w:name w:val="font161"/>
    <w:qFormat/>
    <w:uiPriority w:val="0"/>
    <w:rPr>
      <w:b/>
      <w:bCs/>
      <w:sz w:val="32"/>
      <w:szCs w:val="32"/>
    </w:rPr>
  </w:style>
  <w:style w:type="character" w:customStyle="1" w:styleId="227">
    <w:name w:val="ca-131"/>
    <w:qFormat/>
    <w:uiPriority w:val="0"/>
    <w:rPr>
      <w:rFonts w:hint="eastAsia" w:ascii="宋体" w:hAnsi="宋体" w:eastAsia="宋体"/>
      <w:color w:val="000000"/>
      <w:sz w:val="32"/>
      <w:szCs w:val="32"/>
    </w:rPr>
  </w:style>
  <w:style w:type="character" w:customStyle="1" w:styleId="228">
    <w:name w:val="ca-181"/>
    <w:qFormat/>
    <w:uiPriority w:val="0"/>
    <w:rPr>
      <w:rFonts w:hint="eastAsia" w:ascii="宋体" w:hAnsi="宋体" w:eastAsia="宋体"/>
      <w:color w:val="000000"/>
      <w:sz w:val="18"/>
      <w:szCs w:val="18"/>
    </w:rPr>
  </w:style>
  <w:style w:type="character" w:customStyle="1" w:styleId="229">
    <w:name w:val="style11"/>
    <w:qFormat/>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qFormat/>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qFormat/>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qFormat/>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qFormat/>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qFormat/>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TotalTime>18</TotalTime>
  <ScaleCrop>false</ScaleCrop>
  <LinksUpToDate>false</LinksUpToDate>
  <CharactersWithSpaces>53070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2021-09-14T02:56:29Z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