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bookmarkStart w:id="213" w:name="_GoBack"/>
      <w:bookmarkEnd w:id="213"/>
    </w:p>
    <w:p>
      <w:pPr>
        <w:widowControl/>
        <w:autoSpaceDE w:val="0"/>
        <w:autoSpaceDN w:val="0"/>
        <w:jc w:val="center"/>
        <w:textAlignment w:val="bottom"/>
        <w:rPr>
          <w:rFonts w:ascii="黑体" w:hAnsi="黑体" w:eastAsia="黑体"/>
          <w:b/>
          <w:sz w:val="52"/>
          <w:szCs w:val="52"/>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rPr>
        <w:t>杭州萧山国际机场部分防汛防台设备物资采购项目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rPr>
          <w:rFonts w:eastAsia="黑体" w:cs="Calibri"/>
          <w:sz w:val="32"/>
          <w:szCs w:val="32"/>
        </w:rPr>
      </w:pPr>
      <w:r>
        <w:rPr>
          <w:rFonts w:hint="eastAsia" w:eastAsia="黑体" w:cs="Calibri"/>
          <w:sz w:val="32"/>
          <w:szCs w:val="32"/>
        </w:rPr>
        <w:t xml:space="preserve">                杭州萧山国际机场有限公司</w:t>
      </w:r>
    </w:p>
    <w:p>
      <w:pPr>
        <w:pStyle w:val="3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二一年</w:t>
      </w:r>
      <w:r>
        <w:rPr>
          <w:rFonts w:hint="eastAsia" w:ascii="Calibri" w:hAnsi="Calibri" w:eastAsia="黑体" w:cs="Calibri"/>
          <w:sz w:val="32"/>
          <w:szCs w:val="32"/>
          <w:u w:val="single"/>
        </w:rPr>
        <w:t xml:space="preserve"> 九 </w:t>
      </w:r>
      <w:r>
        <w:rPr>
          <w:rFonts w:ascii="Calibri" w:hAnsi="Calibri" w:eastAsia="黑体" w:cs="Calibri"/>
          <w:sz w:val="32"/>
          <w:szCs w:val="32"/>
        </w:rPr>
        <w:t>月</w:t>
      </w:r>
    </w:p>
    <w:p>
      <w:pPr>
        <w:pStyle w:val="2"/>
        <w:jc w:val="both"/>
      </w:pPr>
    </w:p>
    <w:p>
      <w:pPr>
        <w:snapToGrid w:val="0"/>
        <w:jc w:val="center"/>
        <w:rPr>
          <w:rStyle w:val="132"/>
        </w:rPr>
      </w:pPr>
      <w:bookmarkStart w:id="0" w:name="_Toc29043"/>
      <w:bookmarkStart w:id="1" w:name="_Toc6901"/>
      <w:bookmarkStart w:id="2" w:name="_Toc452"/>
    </w:p>
    <w:p>
      <w:pPr>
        <w:snapToGrid w:val="0"/>
        <w:jc w:val="center"/>
        <w:rPr>
          <w:rStyle w:val="132"/>
        </w:rPr>
        <w:sectPr>
          <w:headerReference r:id="rId3" w:type="default"/>
          <w:footerReference r:id="rId4" w:type="default"/>
          <w:pgSz w:w="12240" w:h="15840"/>
          <w:pgMar w:top="1400" w:right="1680" w:bottom="1120" w:left="1580" w:header="0" w:footer="921" w:gutter="0"/>
          <w:pgNumType w:start="1"/>
          <w:cols w:space="720" w:num="1"/>
        </w:sectPr>
      </w:pPr>
    </w:p>
    <w:bookmarkEnd w:id="0"/>
    <w:bookmarkEnd w:id="1"/>
    <w:bookmarkEnd w:id="2"/>
    <w:sdt>
      <w:sdtPr>
        <w:rPr>
          <w:rFonts w:ascii="宋体" w:hAnsi="宋体" w:eastAsia="宋体"/>
          <w:b/>
          <w:bCs/>
        </w:rPr>
        <w:id w:val="1889985494"/>
      </w:sdtPr>
      <w:sdtEndPr>
        <w:rPr>
          <w:rFonts w:ascii="宋体" w:hAnsi="宋体" w:eastAsia="宋体"/>
          <w:b w:val="0"/>
          <w:bCs w:val="0"/>
          <w:sz w:val="20"/>
          <w:szCs w:val="20"/>
        </w:rPr>
      </w:sdtEndPr>
      <w:sdtContent>
        <w:p>
          <w:pPr>
            <w:jc w:val="center"/>
            <w:rPr>
              <w:rFonts w:ascii="宋体" w:hAnsi="宋体" w:eastAsia="宋体" w:cs="宋体"/>
              <w:sz w:val="44"/>
              <w:szCs w:val="44"/>
            </w:rPr>
          </w:pPr>
          <w:bookmarkStart w:id="3" w:name="_Toc5786_WPSOffice_Type1"/>
          <w:r>
            <w:rPr>
              <w:rFonts w:hint="eastAsia" w:ascii="宋体" w:hAnsi="宋体" w:eastAsia="宋体" w:cs="宋体"/>
              <w:sz w:val="44"/>
              <w:szCs w:val="44"/>
            </w:rPr>
            <w:t>目录</w:t>
          </w:r>
        </w:p>
        <w:bookmarkEnd w:id="3"/>
        <w:p>
          <w:pPr>
            <w:pStyle w:val="37"/>
            <w:tabs>
              <w:tab w:val="right" w:leader="dot" w:pos="8980"/>
            </w:tabs>
            <w:rPr>
              <w:rFonts w:asciiTheme="minorHAnsi" w:hAnsiTheme="minorHAnsi" w:eastAsiaTheme="minorEastAsia" w:cstheme="minorBidi"/>
              <w:kern w:val="2"/>
              <w:szCs w:val="22"/>
              <w:lang w:val="en-US" w:eastAsia="zh-CN" w:bidi="ar-SA"/>
            </w:rPr>
          </w:pPr>
          <w:r>
            <w:rPr>
              <w:rFonts w:ascii="宋体" w:hAnsi="宋体" w:eastAsia="宋体"/>
              <w:b w:val="0"/>
              <w:bCs w:val="0"/>
              <w:sz w:val="20"/>
              <w:szCs w:val="20"/>
            </w:rPr>
            <w:fldChar w:fldCharType="begin"/>
          </w:r>
          <w:r>
            <w:rPr>
              <w:rFonts w:ascii="宋体" w:hAnsi="宋体" w:eastAsia="宋体"/>
              <w:b w:val="0"/>
              <w:bCs w:val="0"/>
              <w:sz w:val="20"/>
              <w:szCs w:val="20"/>
            </w:rPr>
            <w:instrText xml:space="preserve">TOC \o "1-1" \h \u </w:instrText>
          </w:r>
          <w:r>
            <w:rPr>
              <w:rFonts w:ascii="宋体" w:hAnsi="宋体" w:eastAsia="宋体"/>
              <w:b w:val="0"/>
              <w:bCs w:val="0"/>
              <w:sz w:val="20"/>
              <w:szCs w:val="20"/>
            </w:rPr>
            <w:fldChar w:fldCharType="separate"/>
          </w:r>
          <w:r>
            <w:rPr>
              <w:rFonts w:ascii="宋体" w:hAnsi="宋体" w:eastAsia="宋体" w:cstheme="minorBidi"/>
              <w:bCs w:val="0"/>
              <w:kern w:val="2"/>
              <w:szCs w:val="20"/>
              <w:lang w:val="en-US" w:eastAsia="zh-CN" w:bidi="ar-SA"/>
            </w:rPr>
            <w:fldChar w:fldCharType="begin"/>
          </w:r>
          <w:r>
            <w:rPr>
              <w:rFonts w:ascii="宋体" w:hAnsi="宋体" w:eastAsia="宋体" w:cstheme="minorBidi"/>
              <w:bCs w:val="0"/>
              <w:kern w:val="2"/>
              <w:szCs w:val="20"/>
              <w:lang w:val="en-US" w:eastAsia="zh-CN" w:bidi="ar-SA"/>
            </w:rPr>
            <w:instrText xml:space="preserve"> HYPERLINK \l _Toc17216 </w:instrText>
          </w:r>
          <w:r>
            <w:rPr>
              <w:rFonts w:ascii="宋体" w:hAnsi="宋体" w:eastAsia="宋体" w:cstheme="minorBidi"/>
              <w:bCs w:val="0"/>
              <w:kern w:val="2"/>
              <w:szCs w:val="20"/>
              <w:lang w:val="en-US"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Cambria" w:hAnsi="Cambria" w:eastAsia="黑体" w:cs="Times New Roman"/>
              <w:bCs/>
              <w:kern w:val="0"/>
              <w:szCs w:val="32"/>
              <w:lang w:val="en-US" w:eastAsia="zh-CN" w:bidi="ar-SA"/>
            </w:rPr>
            <w:t xml:space="preserve">一章 </w:t>
          </w:r>
          <w:r>
            <w:rPr>
              <w:rFonts w:hint="eastAsia" w:asciiTheme="minorHAnsi" w:hAnsiTheme="minorHAnsi" w:eastAsiaTheme="minorEastAsia" w:cstheme="minorBidi"/>
              <w:kern w:val="2"/>
              <w:szCs w:val="22"/>
              <w:lang w:val="en-US" w:eastAsia="zh-CN" w:bidi="ar-SA"/>
            </w:rPr>
            <w:t>招标公告</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_Toc17216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3</w:t>
          </w:r>
          <w:r>
            <w:rPr>
              <w:rFonts w:asciiTheme="minorHAnsi" w:hAnsiTheme="minorHAnsi" w:eastAsiaTheme="minorEastAsia" w:cstheme="minorBidi"/>
              <w:kern w:val="2"/>
              <w:szCs w:val="22"/>
              <w:lang w:val="en-US" w:eastAsia="zh-CN" w:bidi="ar-SA"/>
            </w:rPr>
            <w:fldChar w:fldCharType="end"/>
          </w:r>
          <w:r>
            <w:rPr>
              <w:rFonts w:hint="eastAsia" w:ascii="Cambria" w:hAnsi="Cambria" w:eastAsia="黑体" w:cs="Times New Roman"/>
              <w:bCs/>
              <w:kern w:val="0"/>
              <w:szCs w:val="32"/>
              <w:lang w:val="en-US" w:eastAsia="zh-CN" w:bidi="ar-SA"/>
            </w:rPr>
            <w:fldChar w:fldCharType="end"/>
          </w:r>
        </w:p>
        <w:p>
          <w:pPr>
            <w:pStyle w:val="37"/>
            <w:tabs>
              <w:tab w:val="right" w:leader="dot" w:pos="8980"/>
            </w:tabs>
            <w:rPr>
              <w:rFonts w:asciiTheme="minorHAnsi" w:hAnsiTheme="minorHAnsi" w:eastAsiaTheme="minorEastAsia" w:cstheme="minorBidi"/>
              <w:kern w:val="2"/>
              <w:szCs w:val="22"/>
              <w:lang w:val="en-US" w:eastAsia="zh-CN" w:bidi="ar-SA"/>
            </w:rPr>
          </w:pPr>
          <w:r>
            <w:rPr>
              <w:rFonts w:ascii="宋体" w:hAnsi="宋体" w:eastAsia="宋体" w:cstheme="minorBidi"/>
              <w:bCs w:val="0"/>
              <w:kern w:val="2"/>
              <w:szCs w:val="20"/>
              <w:lang w:val="en-US" w:eastAsia="zh-CN" w:bidi="ar-SA"/>
            </w:rPr>
            <w:fldChar w:fldCharType="begin"/>
          </w:r>
          <w:r>
            <w:rPr>
              <w:rFonts w:ascii="宋体" w:hAnsi="宋体" w:eastAsia="宋体" w:cstheme="minorBidi"/>
              <w:bCs w:val="0"/>
              <w:kern w:val="2"/>
              <w:szCs w:val="20"/>
              <w:lang w:val="en-US" w:eastAsia="zh-CN" w:bidi="ar-SA"/>
            </w:rPr>
            <w:instrText xml:space="preserve"> HYPERLINK \l _Toc18989 </w:instrText>
          </w:r>
          <w:r>
            <w:rPr>
              <w:rFonts w:ascii="宋体" w:hAnsi="宋体" w:eastAsia="宋体" w:cstheme="minorBidi"/>
              <w:bCs w:val="0"/>
              <w:kern w:val="2"/>
              <w:szCs w:val="20"/>
              <w:lang w:val="en-US"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Theme="minorHAnsi" w:hAnsiTheme="minorHAnsi" w:eastAsiaTheme="minorEastAsia" w:cstheme="minorBidi"/>
              <w:kern w:val="2"/>
              <w:szCs w:val="22"/>
              <w:lang w:val="en-US" w:eastAsia="zh-CN" w:bidi="ar-SA"/>
            </w:rPr>
            <w:t>二</w:t>
          </w:r>
          <w:r>
            <w:rPr>
              <w:rFonts w:asciiTheme="minorHAnsi" w:hAnsiTheme="minorHAnsi" w:eastAsiaTheme="minorEastAsia" w:cstheme="minorBidi"/>
              <w:kern w:val="2"/>
              <w:szCs w:val="22"/>
              <w:lang w:val="en-US" w:eastAsia="zh-CN" w:bidi="ar-SA"/>
            </w:rPr>
            <w:t xml:space="preserve">章  </w:t>
          </w:r>
          <w:r>
            <w:rPr>
              <w:rFonts w:hint="eastAsia" w:asciiTheme="minorHAnsi" w:hAnsiTheme="minorHAnsi" w:eastAsiaTheme="minorEastAsia" w:cstheme="minorBidi"/>
              <w:kern w:val="2"/>
              <w:szCs w:val="22"/>
              <w:lang w:val="en-US" w:eastAsia="zh-CN" w:bidi="ar-SA"/>
            </w:rPr>
            <w:t>评标办法</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_Toc18989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6</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val="0"/>
              <w:kern w:val="2"/>
              <w:szCs w:val="20"/>
              <w:lang w:val="en-US" w:eastAsia="zh-CN" w:bidi="ar-SA"/>
            </w:rPr>
            <w:fldChar w:fldCharType="end"/>
          </w:r>
        </w:p>
        <w:p>
          <w:pPr>
            <w:pStyle w:val="37"/>
            <w:tabs>
              <w:tab w:val="right" w:leader="dot" w:pos="8980"/>
            </w:tabs>
            <w:rPr>
              <w:rFonts w:asciiTheme="minorHAnsi" w:hAnsiTheme="minorHAnsi" w:eastAsiaTheme="minorEastAsia" w:cstheme="minorBidi"/>
              <w:kern w:val="2"/>
              <w:szCs w:val="22"/>
              <w:lang w:val="en-US" w:eastAsia="zh-CN" w:bidi="ar-SA"/>
            </w:rPr>
          </w:pPr>
          <w:r>
            <w:rPr>
              <w:rFonts w:ascii="宋体" w:hAnsi="宋体" w:eastAsia="宋体" w:cstheme="minorBidi"/>
              <w:bCs w:val="0"/>
              <w:kern w:val="2"/>
              <w:szCs w:val="20"/>
              <w:lang w:val="en-US" w:eastAsia="zh-CN" w:bidi="ar-SA"/>
            </w:rPr>
            <w:fldChar w:fldCharType="begin"/>
          </w:r>
          <w:r>
            <w:rPr>
              <w:rFonts w:ascii="宋体" w:hAnsi="宋体" w:eastAsia="宋体" w:cstheme="minorBidi"/>
              <w:bCs w:val="0"/>
              <w:kern w:val="2"/>
              <w:szCs w:val="20"/>
              <w:lang w:val="en-US" w:eastAsia="zh-CN" w:bidi="ar-SA"/>
            </w:rPr>
            <w:instrText xml:space="preserve"> HYPERLINK \l _Toc25601 </w:instrText>
          </w:r>
          <w:r>
            <w:rPr>
              <w:rFonts w:ascii="宋体" w:hAnsi="宋体" w:eastAsia="宋体" w:cstheme="minorBidi"/>
              <w:bCs w:val="0"/>
              <w:kern w:val="2"/>
              <w:szCs w:val="20"/>
              <w:lang w:val="en-US" w:eastAsia="zh-CN" w:bidi="ar-SA"/>
            </w:rPr>
            <w:fldChar w:fldCharType="separate"/>
          </w:r>
          <w:r>
            <w:rPr>
              <w:rFonts w:hint="eastAsia" w:asciiTheme="minorHAnsi" w:hAnsiTheme="minorHAnsi" w:eastAsiaTheme="minorEastAsia" w:cstheme="minorBidi"/>
              <w:kern w:val="2"/>
              <w:szCs w:val="22"/>
              <w:lang w:val="en-US" w:eastAsia="zh-CN" w:bidi="ar-SA"/>
            </w:rPr>
            <w:t>第三章</w:t>
          </w:r>
          <w:r>
            <w:rPr>
              <w:rFonts w:asciiTheme="minorHAnsi" w:hAnsiTheme="minorHAnsi" w:eastAsiaTheme="minorEastAsia" w:cstheme="minorBidi"/>
              <w:kern w:val="2"/>
              <w:szCs w:val="22"/>
              <w:lang w:val="en-US" w:eastAsia="zh-CN" w:bidi="ar-SA"/>
            </w:rPr>
            <w:t xml:space="preserve">  </w:t>
          </w:r>
          <w:r>
            <w:rPr>
              <w:rFonts w:hint="eastAsia" w:asciiTheme="minorHAnsi" w:hAnsiTheme="minorHAnsi" w:eastAsiaTheme="minorEastAsia" w:cstheme="minorBidi"/>
              <w:kern w:val="2"/>
              <w:szCs w:val="22"/>
              <w:lang w:val="en-US" w:eastAsia="zh-CN" w:bidi="ar-SA"/>
            </w:rPr>
            <w:t>合同条款及格式</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_Toc25601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8</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val="0"/>
              <w:kern w:val="2"/>
              <w:szCs w:val="20"/>
              <w:lang w:val="en-US" w:eastAsia="zh-CN" w:bidi="ar-SA"/>
            </w:rPr>
            <w:fldChar w:fldCharType="end"/>
          </w:r>
        </w:p>
        <w:p>
          <w:pPr>
            <w:pStyle w:val="37"/>
            <w:tabs>
              <w:tab w:val="right" w:leader="dot" w:pos="8980"/>
            </w:tabs>
            <w:rPr>
              <w:rFonts w:asciiTheme="minorHAnsi" w:hAnsiTheme="minorHAnsi" w:eastAsiaTheme="minorEastAsia" w:cstheme="minorBidi"/>
              <w:kern w:val="2"/>
              <w:szCs w:val="22"/>
              <w:lang w:val="en-US" w:eastAsia="zh-CN" w:bidi="ar-SA"/>
            </w:rPr>
          </w:pPr>
          <w:r>
            <w:rPr>
              <w:rFonts w:ascii="宋体" w:hAnsi="宋体" w:eastAsia="宋体" w:cstheme="minorBidi"/>
              <w:bCs w:val="0"/>
              <w:kern w:val="2"/>
              <w:szCs w:val="20"/>
              <w:lang w:val="en-US" w:eastAsia="zh-CN" w:bidi="ar-SA"/>
            </w:rPr>
            <w:fldChar w:fldCharType="begin"/>
          </w:r>
          <w:r>
            <w:rPr>
              <w:rFonts w:ascii="宋体" w:hAnsi="宋体" w:eastAsia="宋体" w:cstheme="minorBidi"/>
              <w:bCs w:val="0"/>
              <w:kern w:val="2"/>
              <w:szCs w:val="20"/>
              <w:lang w:val="en-US" w:eastAsia="zh-CN" w:bidi="ar-SA"/>
            </w:rPr>
            <w:instrText xml:space="preserve"> HYPERLINK \l _Toc19528 </w:instrText>
          </w:r>
          <w:r>
            <w:rPr>
              <w:rFonts w:ascii="宋体" w:hAnsi="宋体" w:eastAsia="宋体" w:cstheme="minorBidi"/>
              <w:bCs w:val="0"/>
              <w:kern w:val="2"/>
              <w:szCs w:val="20"/>
              <w:lang w:val="en-US"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Cambria" w:hAnsi="Cambria" w:eastAsia="黑体" w:cs="Times New Roman"/>
              <w:bCs/>
              <w:kern w:val="0"/>
              <w:szCs w:val="32"/>
              <w:lang w:val="en-US" w:eastAsia="zh-CN" w:bidi="ar-SA"/>
            </w:rPr>
            <w:t xml:space="preserve">四章 </w:t>
          </w:r>
          <w:r>
            <w:rPr>
              <w:rFonts w:hint="eastAsia" w:asciiTheme="minorHAnsi" w:hAnsiTheme="minorHAnsi" w:eastAsiaTheme="minorEastAsia" w:cstheme="minorBidi"/>
              <w:kern w:val="2"/>
              <w:szCs w:val="22"/>
              <w:lang w:val="en-US" w:eastAsia="zh-CN" w:bidi="ar-SA"/>
            </w:rPr>
            <w:t>用户需求书</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_Toc19528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16</w:t>
          </w:r>
          <w:r>
            <w:rPr>
              <w:rFonts w:asciiTheme="minorHAnsi" w:hAnsiTheme="minorHAnsi" w:eastAsiaTheme="minorEastAsia" w:cstheme="minorBidi"/>
              <w:kern w:val="2"/>
              <w:szCs w:val="22"/>
              <w:lang w:val="en-US" w:eastAsia="zh-CN" w:bidi="ar-SA"/>
            </w:rPr>
            <w:fldChar w:fldCharType="end"/>
          </w:r>
          <w:r>
            <w:rPr>
              <w:rFonts w:hint="eastAsia" w:ascii="Cambria" w:hAnsi="Cambria" w:eastAsia="黑体" w:cs="Times New Roman"/>
              <w:bCs/>
              <w:kern w:val="0"/>
              <w:szCs w:val="32"/>
              <w:lang w:val="en-US" w:eastAsia="zh-CN" w:bidi="ar-SA"/>
            </w:rPr>
            <w:fldChar w:fldCharType="end"/>
          </w:r>
        </w:p>
        <w:p>
          <w:pPr>
            <w:pStyle w:val="37"/>
            <w:tabs>
              <w:tab w:val="right" w:leader="dot" w:pos="8980"/>
            </w:tabs>
            <w:rPr>
              <w:rFonts w:asciiTheme="minorHAnsi" w:hAnsiTheme="minorHAnsi" w:eastAsiaTheme="minorEastAsia" w:cstheme="minorBidi"/>
              <w:kern w:val="2"/>
              <w:szCs w:val="22"/>
              <w:lang w:val="en-US" w:eastAsia="zh-CN" w:bidi="ar-SA"/>
            </w:rPr>
          </w:pPr>
          <w:r>
            <w:rPr>
              <w:rFonts w:ascii="宋体" w:hAnsi="宋体" w:eastAsia="宋体" w:cstheme="minorBidi"/>
              <w:bCs w:val="0"/>
              <w:kern w:val="2"/>
              <w:szCs w:val="20"/>
              <w:lang w:val="en-US" w:eastAsia="zh-CN" w:bidi="ar-SA"/>
            </w:rPr>
            <w:fldChar w:fldCharType="begin"/>
          </w:r>
          <w:r>
            <w:rPr>
              <w:rFonts w:ascii="宋体" w:hAnsi="宋体" w:eastAsia="宋体" w:cstheme="minorBidi"/>
              <w:bCs w:val="0"/>
              <w:kern w:val="2"/>
              <w:szCs w:val="20"/>
              <w:lang w:val="en-US" w:eastAsia="zh-CN" w:bidi="ar-SA"/>
            </w:rPr>
            <w:instrText xml:space="preserve"> HYPERLINK \l _Toc18981 </w:instrText>
          </w:r>
          <w:r>
            <w:rPr>
              <w:rFonts w:ascii="宋体" w:hAnsi="宋体" w:eastAsia="宋体" w:cstheme="minorBidi"/>
              <w:bCs w:val="0"/>
              <w:kern w:val="2"/>
              <w:szCs w:val="20"/>
              <w:lang w:val="en-US" w:eastAsia="zh-CN" w:bidi="ar-SA"/>
            </w:rPr>
            <w:fldChar w:fldCharType="separate"/>
          </w:r>
          <w:r>
            <w:rPr>
              <w:rFonts w:asciiTheme="minorHAnsi" w:hAnsiTheme="minorHAnsi" w:eastAsiaTheme="minorEastAsia" w:cstheme="minorBidi"/>
              <w:kern w:val="2"/>
              <w:szCs w:val="22"/>
              <w:lang w:val="en-US" w:eastAsia="zh-CN" w:bidi="ar-SA"/>
            </w:rPr>
            <w:t>第</w:t>
          </w:r>
          <w:r>
            <w:rPr>
              <w:rFonts w:ascii="Times New Roman" w:hAnsi="Times New Roman" w:eastAsia="宋体" w:cs="Times New Roman"/>
              <w:bCs/>
              <w:kern w:val="44"/>
              <w:szCs w:val="32"/>
              <w:lang w:val="en-US" w:eastAsia="zh-CN" w:bidi="ar-SA"/>
            </w:rPr>
            <w:t xml:space="preserve">五章 </w:t>
          </w:r>
          <w:r>
            <w:rPr>
              <w:rFonts w:asciiTheme="minorHAnsi" w:hAnsiTheme="minorHAnsi" w:eastAsiaTheme="minorEastAsia" w:cstheme="minorBidi"/>
              <w:kern w:val="2"/>
              <w:szCs w:val="32"/>
              <w:lang w:val="en-US" w:eastAsia="zh-CN" w:bidi="ar-SA"/>
            </w:rPr>
            <w:t>投标文件格式</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_Toc18981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18</w:t>
          </w:r>
          <w:r>
            <w:rPr>
              <w:rFonts w:asciiTheme="minorHAnsi" w:hAnsiTheme="minorHAnsi" w:eastAsiaTheme="minorEastAsia" w:cstheme="minorBidi"/>
              <w:kern w:val="2"/>
              <w:szCs w:val="22"/>
              <w:lang w:val="en-US" w:eastAsia="zh-CN" w:bidi="ar-SA"/>
            </w:rPr>
            <w:fldChar w:fldCharType="end"/>
          </w:r>
          <w:r>
            <w:rPr>
              <w:rFonts w:ascii="Times New Roman" w:hAnsi="Times New Roman" w:eastAsia="宋体" w:cs="Times New Roman"/>
              <w:bCs/>
              <w:kern w:val="44"/>
              <w:szCs w:val="32"/>
              <w:lang w:val="en-US" w:eastAsia="zh-CN" w:bidi="ar-SA"/>
            </w:rPr>
            <w:fldChar w:fldCharType="end"/>
          </w:r>
        </w:p>
        <w:p>
          <w:pPr>
            <w:spacing w:line="560" w:lineRule="exact"/>
            <w:jc w:val="center"/>
            <w:rPr>
              <w:rFonts w:ascii="宋体" w:hAnsi="宋体" w:eastAsia="宋体"/>
              <w:b w:val="0"/>
              <w:bCs w:val="0"/>
              <w:sz w:val="20"/>
              <w:szCs w:val="20"/>
            </w:rPr>
          </w:pPr>
          <w:r>
            <w:rPr>
              <w:rFonts w:ascii="宋体" w:hAnsi="宋体" w:eastAsia="宋体" w:cstheme="minorBidi"/>
              <w:bCs w:val="0"/>
              <w:kern w:val="2"/>
              <w:szCs w:val="20"/>
              <w:lang w:val="en-US" w:eastAsia="zh-CN" w:bidi="ar-SA"/>
            </w:rPr>
            <w:fldChar w:fldCharType="end"/>
          </w:r>
        </w:p>
        <w:p>
          <w:pPr>
            <w:spacing w:line="560" w:lineRule="exact"/>
            <w:jc w:val="center"/>
            <w:rPr>
              <w:b/>
              <w:bCs/>
              <w:sz w:val="44"/>
              <w:szCs w:val="44"/>
            </w:rPr>
          </w:pP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2"/>
        <w:rPr>
          <w:sz w:val="44"/>
          <w:szCs w:val="44"/>
        </w:rPr>
      </w:pPr>
    </w:p>
    <w:p/>
    <w:p/>
    <w:p>
      <w:pPr>
        <w:pStyle w:val="2"/>
        <w:pageBreakBefore/>
        <w:numPr>
          <w:ilvl w:val="0"/>
          <w:numId w:val="4"/>
        </w:numPr>
      </w:pPr>
      <w:bookmarkStart w:id="4" w:name="_Toc17216"/>
      <w:bookmarkStart w:id="5" w:name="_Toc7894"/>
      <w:bookmarkStart w:id="6" w:name="_Toc25748"/>
      <w:bookmarkStart w:id="7" w:name="_Toc26825_WPSOffice_Level1"/>
      <w:bookmarkStart w:id="8" w:name="_Toc17532"/>
      <w:bookmarkStart w:id="9" w:name="_Toc19086"/>
      <w:bookmarkStart w:id="10" w:name="_Toc448097401"/>
      <w:r>
        <w:rPr>
          <w:rFonts w:hint="eastAsia"/>
        </w:rPr>
        <w:t>招标公告</w:t>
      </w:r>
      <w:bookmarkEnd w:id="4"/>
      <w:bookmarkEnd w:id="5"/>
      <w:bookmarkEnd w:id="6"/>
      <w:bookmarkEnd w:id="7"/>
      <w:bookmarkEnd w:id="8"/>
      <w:bookmarkEnd w:id="9"/>
      <w:bookmarkEnd w:id="10"/>
    </w:p>
    <w:p>
      <w:pPr>
        <w:pStyle w:val="5"/>
        <w:numPr>
          <w:ilvl w:val="0"/>
          <w:numId w:val="0"/>
        </w:numPr>
        <w:tabs>
          <w:tab w:val="clear" w:pos="1275"/>
        </w:tabs>
        <w:snapToGrid w:val="0"/>
        <w:spacing w:line="360" w:lineRule="exact"/>
        <w:rPr>
          <w:rFonts w:hAnsi="宋体"/>
          <w:sz w:val="22"/>
          <w:szCs w:val="22"/>
        </w:rPr>
      </w:pPr>
      <w:bookmarkStart w:id="11" w:name="_bookmark2"/>
      <w:bookmarkEnd w:id="11"/>
      <w:bookmarkStart w:id="12" w:name="_Toc30260"/>
      <w:bookmarkStart w:id="13" w:name="_Toc31582"/>
      <w:r>
        <w:rPr>
          <w:rFonts w:hAnsi="宋体"/>
          <w:sz w:val="22"/>
          <w:szCs w:val="22"/>
        </w:rPr>
        <w:t>1.招标条件</w:t>
      </w:r>
      <w:bookmarkEnd w:id="12"/>
      <w:bookmarkEnd w:id="13"/>
    </w:p>
    <w:p>
      <w:pPr>
        <w:pStyle w:val="22"/>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rPr>
      </w:pPr>
      <w:r>
        <w:rPr>
          <w:rFonts w:hint="eastAsia" w:ascii="宋体" w:hAnsi="宋体"/>
          <w:sz w:val="22"/>
          <w:u w:val="single" w:color="000000"/>
        </w:rPr>
        <w:t>杭州萧山国际机场部分防汛防台设备物资采购项目</w:t>
      </w:r>
      <w:r>
        <w:rPr>
          <w:rFonts w:ascii="宋体" w:hAnsi="宋体"/>
          <w:spacing w:val="-1"/>
          <w:sz w:val="22"/>
        </w:rPr>
        <w:t>(项目名称)招标人为</w:t>
      </w:r>
      <w:r>
        <w:rPr>
          <w:rFonts w:hint="eastAsia" w:ascii="宋体" w:hAnsi="宋体"/>
          <w:spacing w:val="-1"/>
          <w:sz w:val="22"/>
          <w:u w:val="single"/>
        </w:rPr>
        <w:t>杭州萧山国际机场有限公司</w:t>
      </w:r>
      <w:r>
        <w:rPr>
          <w:rFonts w:ascii="宋体" w:hAnsi="宋体"/>
          <w:spacing w:val="-1"/>
          <w:sz w:val="22"/>
        </w:rPr>
        <w:t>，招标项目资金</w:t>
      </w:r>
      <w:r>
        <w:rPr>
          <w:rFonts w:hint="eastAsia" w:ascii="宋体" w:hAnsi="宋体"/>
          <w:spacing w:val="-13"/>
          <w:sz w:val="22"/>
          <w:u w:val="single"/>
        </w:rPr>
        <w:t>自筹</w:t>
      </w:r>
      <w:r>
        <w:rPr>
          <w:rFonts w:ascii="宋体" w:hAnsi="宋体"/>
          <w:spacing w:val="-13"/>
          <w:sz w:val="22"/>
        </w:rPr>
        <w:t>，出资比例为</w:t>
      </w:r>
      <w:r>
        <w:rPr>
          <w:rFonts w:hint="eastAsia" w:ascii="宋体" w:hAnsi="宋体"/>
          <w:spacing w:val="-13"/>
          <w:sz w:val="22"/>
          <w:u w:val="single" w:color="000000"/>
        </w:rPr>
        <w:t>100</w:t>
      </w:r>
      <w:r>
        <w:rPr>
          <w:rFonts w:ascii="宋体" w:hAnsi="宋体"/>
          <w:spacing w:val="-13"/>
          <w:sz w:val="22"/>
        </w:rPr>
        <w:t>%</w:t>
      </w:r>
      <w:r>
        <w:rPr>
          <w:rFonts w:ascii="宋体" w:hAnsi="宋体"/>
          <w:spacing w:val="-4"/>
          <w:sz w:val="22"/>
        </w:rPr>
        <w:t>。该项目已具备招标条</w:t>
      </w:r>
      <w:r>
        <w:rPr>
          <w:rFonts w:ascii="宋体" w:hAnsi="宋体"/>
          <w:spacing w:val="-92"/>
          <w:sz w:val="22"/>
        </w:rPr>
        <w:t xml:space="preserve"> </w:t>
      </w:r>
      <w:r>
        <w:rPr>
          <w:rFonts w:ascii="宋体" w:hAnsi="宋体"/>
          <w:spacing w:val="-1"/>
          <w:sz w:val="22"/>
        </w:rPr>
        <w:t>件，现对本项目</w:t>
      </w:r>
      <w:r>
        <w:rPr>
          <w:rFonts w:ascii="宋体" w:hAnsi="宋体"/>
          <w:spacing w:val="-2"/>
          <w:sz w:val="22"/>
        </w:rPr>
        <w:t>进行公开招标。</w:t>
      </w:r>
    </w:p>
    <w:p>
      <w:pPr>
        <w:pStyle w:val="5"/>
        <w:numPr>
          <w:ilvl w:val="0"/>
          <w:numId w:val="0"/>
        </w:numPr>
        <w:tabs>
          <w:tab w:val="clear" w:pos="1275"/>
        </w:tabs>
        <w:snapToGrid w:val="0"/>
        <w:spacing w:line="360" w:lineRule="exact"/>
        <w:rPr>
          <w:rFonts w:hAnsi="宋体"/>
          <w:sz w:val="22"/>
          <w:szCs w:val="22"/>
        </w:rPr>
      </w:pPr>
      <w:bookmarkStart w:id="14" w:name="_bookmark3"/>
      <w:bookmarkEnd w:id="14"/>
      <w:bookmarkStart w:id="15" w:name="_Toc27576"/>
      <w:bookmarkStart w:id="16" w:name="_Toc17236"/>
      <w:r>
        <w:rPr>
          <w:rFonts w:hAnsi="宋体"/>
          <w:sz w:val="22"/>
          <w:szCs w:val="22"/>
        </w:rPr>
        <w:t>2.项目概况与招标范围</w:t>
      </w:r>
      <w:bookmarkEnd w:id="15"/>
      <w:bookmarkEnd w:id="16"/>
    </w:p>
    <w:p>
      <w:pPr>
        <w:pStyle w:val="2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rPr>
      </w:pPr>
      <w:bookmarkStart w:id="17" w:name="_bookmark4"/>
      <w:bookmarkEnd w:id="17"/>
      <w:r>
        <w:rPr>
          <w:rFonts w:hint="eastAsia" w:ascii="宋体" w:hAnsi="宋体"/>
          <w:sz w:val="22"/>
        </w:rPr>
        <w:t>招标货物名称、数量及主要品牌型号：</w:t>
      </w:r>
    </w:p>
    <w:tbl>
      <w:tblPr>
        <w:tblStyle w:val="52"/>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w:t>
            </w:r>
            <w:r>
              <w:rPr>
                <w:rFonts w:hint="eastAsia" w:ascii="宋体" w:hAnsi="宋体"/>
                <w:szCs w:val="21"/>
              </w:rPr>
              <w:t>品牌型号</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rPr>
                <w:rFonts w:ascii="宋体" w:hAnsi="宋体"/>
                <w:szCs w:val="21"/>
              </w:rPr>
            </w:pPr>
            <w:r>
              <w:rPr>
                <w:rFonts w:hint="eastAsia" w:ascii="宋体" w:hAnsi="宋体"/>
                <w:szCs w:val="21"/>
              </w:rPr>
              <w:t>汽油抽水泵</w:t>
            </w:r>
          </w:p>
        </w:tc>
        <w:tc>
          <w:tcPr>
            <w:tcW w:w="1078" w:type="dxa"/>
            <w:vAlign w:val="center"/>
          </w:tcPr>
          <w:p>
            <w:pPr>
              <w:snapToGrid w:val="0"/>
              <w:ind w:firstLine="240"/>
              <w:jc w:val="center"/>
              <w:rPr>
                <w:rFonts w:ascii="宋体" w:hAnsi="宋体"/>
                <w:szCs w:val="21"/>
              </w:rPr>
            </w:pPr>
            <w:r>
              <w:rPr>
                <w:rFonts w:hint="eastAsia" w:ascii="宋体" w:hAnsi="宋体"/>
                <w:szCs w:val="21"/>
              </w:rPr>
              <w:t>1台</w:t>
            </w:r>
          </w:p>
        </w:tc>
        <w:tc>
          <w:tcPr>
            <w:tcW w:w="1701" w:type="dxa"/>
            <w:vMerge w:val="restart"/>
            <w:vAlign w:val="center"/>
          </w:tcPr>
          <w:p>
            <w:pPr>
              <w:snapToGrid w:val="0"/>
              <w:jc w:val="center"/>
              <w:rPr>
                <w:rFonts w:ascii="宋体" w:hAnsi="宋体"/>
                <w:kern w:val="0"/>
                <w:szCs w:val="21"/>
              </w:rPr>
            </w:pPr>
            <w:r>
              <w:rPr>
                <w:rFonts w:hint="eastAsia" w:ascii="宋体" w:hAnsi="宋体"/>
                <w:kern w:val="0"/>
                <w:szCs w:val="21"/>
              </w:rPr>
              <w:t>详见第四章</w:t>
            </w:r>
          </w:p>
        </w:tc>
        <w:tc>
          <w:tcPr>
            <w:tcW w:w="2835" w:type="dxa"/>
            <w:vMerge w:val="restart"/>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rPr>
              <w:t>30</w:t>
            </w:r>
            <w:r>
              <w:rPr>
                <w:rFonts w:hint="eastAsia" w:ascii="宋体" w:hAnsi="宋体"/>
                <w:szCs w:val="21"/>
              </w:rPr>
              <w:t>日历天内</w:t>
            </w:r>
          </w:p>
        </w:tc>
        <w:tc>
          <w:tcPr>
            <w:tcW w:w="1908" w:type="dxa"/>
            <w:vMerge w:val="restart"/>
            <w:vAlign w:val="center"/>
          </w:tcPr>
          <w:p>
            <w:pPr>
              <w:adjustRightInd w:val="0"/>
              <w:snapToGrid w:val="0"/>
              <w:jc w:val="center"/>
              <w:rPr>
                <w:rFonts w:ascii="宋体" w:hAnsi="宋体"/>
                <w:szCs w:val="21"/>
              </w:rPr>
            </w:pPr>
            <w:r>
              <w:rPr>
                <w:rFonts w:hint="eastAsia" w:ascii="宋体" w:hAnsi="宋体"/>
                <w:szCs w:val="21"/>
              </w:rPr>
              <w:t>杭州萧山国际机场动力部维修室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rPr>
                <w:rFonts w:ascii="宋体" w:hAnsi="宋体"/>
                <w:szCs w:val="21"/>
              </w:rPr>
            </w:pPr>
            <w:r>
              <w:rPr>
                <w:rFonts w:hint="eastAsia" w:ascii="宋体" w:hAnsi="宋体"/>
                <w:szCs w:val="21"/>
              </w:rPr>
              <w:t>大功率潜水泵</w:t>
            </w:r>
          </w:p>
        </w:tc>
        <w:tc>
          <w:tcPr>
            <w:tcW w:w="1078" w:type="dxa"/>
            <w:vAlign w:val="center"/>
          </w:tcPr>
          <w:p>
            <w:pPr>
              <w:snapToGrid w:val="0"/>
              <w:ind w:firstLine="240"/>
              <w:jc w:val="center"/>
              <w:rPr>
                <w:rFonts w:ascii="宋体" w:hAnsi="宋体"/>
                <w:szCs w:val="21"/>
              </w:rPr>
            </w:pPr>
            <w:r>
              <w:rPr>
                <w:rFonts w:hint="eastAsia" w:ascii="宋体" w:hAnsi="宋体"/>
                <w:szCs w:val="21"/>
              </w:rPr>
              <w:t>2台</w:t>
            </w:r>
          </w:p>
        </w:tc>
        <w:tc>
          <w:tcPr>
            <w:tcW w:w="1701" w:type="dxa"/>
            <w:vMerge w:val="continue"/>
            <w:vAlign w:val="center"/>
          </w:tcPr>
          <w:p>
            <w:pPr>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rPr>
                <w:rFonts w:ascii="宋体" w:hAnsi="宋体"/>
                <w:szCs w:val="21"/>
              </w:rPr>
            </w:pPr>
            <w:r>
              <w:rPr>
                <w:rFonts w:hint="eastAsia" w:ascii="宋体" w:hAnsi="宋体"/>
                <w:szCs w:val="21"/>
              </w:rPr>
              <w:t>汽油发电机</w:t>
            </w:r>
          </w:p>
        </w:tc>
        <w:tc>
          <w:tcPr>
            <w:tcW w:w="1078" w:type="dxa"/>
            <w:vAlign w:val="center"/>
          </w:tcPr>
          <w:p>
            <w:pPr>
              <w:snapToGrid w:val="0"/>
              <w:ind w:firstLine="240"/>
              <w:jc w:val="center"/>
              <w:rPr>
                <w:rFonts w:ascii="宋体" w:hAnsi="宋体"/>
                <w:szCs w:val="21"/>
              </w:rPr>
            </w:pPr>
            <w:r>
              <w:rPr>
                <w:rFonts w:hint="eastAsia" w:ascii="宋体" w:hAnsi="宋体"/>
                <w:szCs w:val="21"/>
              </w:rPr>
              <w:t>1台</w:t>
            </w:r>
          </w:p>
        </w:tc>
        <w:tc>
          <w:tcPr>
            <w:tcW w:w="1701" w:type="dxa"/>
            <w:vMerge w:val="continue"/>
            <w:vAlign w:val="center"/>
          </w:tcPr>
          <w:p>
            <w:pPr>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rPr>
                <w:rFonts w:ascii="宋体" w:hAnsi="宋体"/>
                <w:szCs w:val="21"/>
              </w:rPr>
            </w:pPr>
            <w:r>
              <w:rPr>
                <w:rFonts w:hint="eastAsia" w:ascii="宋体" w:hAnsi="宋体"/>
                <w:szCs w:val="21"/>
              </w:rPr>
              <w:t xml:space="preserve">内径 80mmPVC 透明钢丝水管 </w:t>
            </w:r>
          </w:p>
        </w:tc>
        <w:tc>
          <w:tcPr>
            <w:tcW w:w="1078" w:type="dxa"/>
            <w:vAlign w:val="center"/>
          </w:tcPr>
          <w:p>
            <w:pPr>
              <w:snapToGrid w:val="0"/>
              <w:ind w:firstLine="240"/>
              <w:jc w:val="center"/>
              <w:rPr>
                <w:rFonts w:ascii="宋体" w:hAnsi="宋体"/>
                <w:szCs w:val="21"/>
              </w:rPr>
            </w:pPr>
            <w:r>
              <w:rPr>
                <w:rFonts w:hint="eastAsia" w:ascii="宋体" w:hAnsi="宋体"/>
                <w:szCs w:val="21"/>
              </w:rPr>
              <w:t>20米</w:t>
            </w:r>
          </w:p>
        </w:tc>
        <w:tc>
          <w:tcPr>
            <w:tcW w:w="1701" w:type="dxa"/>
            <w:vMerge w:val="continue"/>
            <w:vAlign w:val="center"/>
          </w:tcPr>
          <w:p>
            <w:pPr>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rPr>
                <w:rFonts w:ascii="宋体" w:hAnsi="宋体"/>
                <w:szCs w:val="21"/>
              </w:rPr>
            </w:pPr>
            <w:r>
              <w:rPr>
                <w:rFonts w:hint="eastAsia" w:ascii="宋体" w:hAnsi="宋体"/>
                <w:szCs w:val="21"/>
              </w:rPr>
              <w:t xml:space="preserve">50mm 塑料软管水带 </w:t>
            </w:r>
          </w:p>
        </w:tc>
        <w:tc>
          <w:tcPr>
            <w:tcW w:w="1078" w:type="dxa"/>
            <w:vAlign w:val="center"/>
          </w:tcPr>
          <w:p>
            <w:pPr>
              <w:snapToGrid w:val="0"/>
              <w:ind w:firstLine="240"/>
              <w:jc w:val="center"/>
              <w:rPr>
                <w:rFonts w:ascii="宋体" w:hAnsi="宋体"/>
                <w:szCs w:val="21"/>
              </w:rPr>
            </w:pPr>
            <w:r>
              <w:rPr>
                <w:rFonts w:hint="eastAsia" w:ascii="宋体" w:hAnsi="宋体"/>
                <w:szCs w:val="21"/>
              </w:rPr>
              <w:t>50米</w:t>
            </w:r>
          </w:p>
        </w:tc>
        <w:tc>
          <w:tcPr>
            <w:tcW w:w="1701" w:type="dxa"/>
            <w:vMerge w:val="continue"/>
            <w:vAlign w:val="center"/>
          </w:tcPr>
          <w:p>
            <w:pPr>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rPr>
                <w:rFonts w:ascii="宋体" w:hAnsi="宋体"/>
                <w:szCs w:val="21"/>
              </w:rPr>
            </w:pPr>
            <w:r>
              <w:rPr>
                <w:rFonts w:hint="eastAsia" w:ascii="宋体" w:hAnsi="宋体"/>
                <w:szCs w:val="21"/>
              </w:rPr>
              <w:t xml:space="preserve">80mm 塑料软管水带 </w:t>
            </w:r>
          </w:p>
        </w:tc>
        <w:tc>
          <w:tcPr>
            <w:tcW w:w="1078" w:type="dxa"/>
            <w:vAlign w:val="center"/>
          </w:tcPr>
          <w:p>
            <w:pPr>
              <w:snapToGrid w:val="0"/>
              <w:ind w:firstLine="240"/>
              <w:jc w:val="center"/>
              <w:rPr>
                <w:rFonts w:ascii="宋体" w:hAnsi="宋体"/>
                <w:szCs w:val="21"/>
              </w:rPr>
            </w:pPr>
            <w:r>
              <w:rPr>
                <w:rFonts w:hint="eastAsia" w:ascii="宋体" w:hAnsi="宋体"/>
                <w:szCs w:val="21"/>
              </w:rPr>
              <w:t>100米</w:t>
            </w:r>
          </w:p>
        </w:tc>
        <w:tc>
          <w:tcPr>
            <w:tcW w:w="1701" w:type="dxa"/>
            <w:vMerge w:val="continue"/>
            <w:vAlign w:val="center"/>
          </w:tcPr>
          <w:p>
            <w:pPr>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rPr>
                <w:rFonts w:ascii="宋体" w:hAnsi="宋体"/>
                <w:szCs w:val="21"/>
              </w:rPr>
            </w:pPr>
            <w:r>
              <w:rPr>
                <w:rFonts w:hint="eastAsia" w:ascii="宋体" w:hAnsi="宋体"/>
                <w:szCs w:val="21"/>
              </w:rPr>
              <w:t xml:space="preserve">4*4 帆布防汛沙袋 30cm*70cm（沙袋上定制杭州萧山国际机场及 LOGO）标志 </w:t>
            </w:r>
          </w:p>
        </w:tc>
        <w:tc>
          <w:tcPr>
            <w:tcW w:w="1078" w:type="dxa"/>
            <w:vAlign w:val="center"/>
          </w:tcPr>
          <w:p>
            <w:pPr>
              <w:snapToGrid w:val="0"/>
              <w:ind w:firstLine="240"/>
              <w:jc w:val="center"/>
              <w:rPr>
                <w:rFonts w:ascii="宋体" w:hAnsi="宋体"/>
                <w:szCs w:val="21"/>
              </w:rPr>
            </w:pPr>
            <w:r>
              <w:rPr>
                <w:rFonts w:hint="eastAsia" w:ascii="宋体" w:hAnsi="宋体"/>
                <w:szCs w:val="21"/>
              </w:rPr>
              <w:t>3000只</w:t>
            </w:r>
          </w:p>
        </w:tc>
        <w:tc>
          <w:tcPr>
            <w:tcW w:w="1701" w:type="dxa"/>
            <w:vMerge w:val="continue"/>
            <w:vAlign w:val="center"/>
          </w:tcPr>
          <w:p>
            <w:pPr>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bl>
    <w:p>
      <w:pPr>
        <w:pStyle w:val="5"/>
        <w:numPr>
          <w:ilvl w:val="0"/>
          <w:numId w:val="0"/>
        </w:numPr>
        <w:tabs>
          <w:tab w:val="clear" w:pos="1275"/>
        </w:tabs>
        <w:snapToGrid w:val="0"/>
        <w:spacing w:line="360" w:lineRule="exact"/>
        <w:rPr>
          <w:rFonts w:hAnsi="宋体"/>
          <w:sz w:val="22"/>
          <w:szCs w:val="22"/>
        </w:rPr>
      </w:pPr>
      <w:bookmarkStart w:id="18" w:name="_Toc2482"/>
      <w:bookmarkStart w:id="19" w:name="_Toc10355"/>
      <w:r>
        <w:rPr>
          <w:rFonts w:hAnsi="宋体"/>
          <w:sz w:val="22"/>
          <w:szCs w:val="22"/>
        </w:rPr>
        <w:t>3.投标人资格要求</w:t>
      </w:r>
      <w:bookmarkEnd w:id="18"/>
      <w:bookmarkEnd w:id="19"/>
    </w:p>
    <w:p>
      <w:pPr>
        <w:pStyle w:val="2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rPr>
      </w:pPr>
      <w:r>
        <w:rPr>
          <w:rFonts w:ascii="宋体" w:hAnsi="宋体"/>
          <w:spacing w:val="-1"/>
          <w:sz w:val="22"/>
        </w:rPr>
        <w:t>3.1</w:t>
      </w:r>
      <w:r>
        <w:rPr>
          <w:rFonts w:ascii="宋体" w:hAnsi="宋体"/>
          <w:sz w:val="22"/>
        </w:rPr>
        <w:t>本次招标要求投标人须：</w:t>
      </w:r>
    </w:p>
    <w:p>
      <w:pPr>
        <w:pStyle w:val="2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rPr>
      </w:pPr>
      <w:r>
        <w:rPr>
          <w:rFonts w:hint="eastAsia" w:ascii="宋体" w:hAnsi="宋体"/>
          <w:spacing w:val="-1"/>
          <w:sz w:val="22"/>
        </w:rPr>
        <w:t>①在中华人民共和国境内注册，具有独立法人资格。</w:t>
      </w:r>
    </w:p>
    <w:p>
      <w:pPr>
        <w:pStyle w:val="22"/>
        <w:tabs>
          <w:tab w:val="left" w:pos="4394"/>
          <w:tab w:val="left" w:pos="5990"/>
        </w:tabs>
        <w:adjustRightInd w:val="0"/>
        <w:snapToGrid w:val="0"/>
        <w:spacing w:after="0" w:line="360" w:lineRule="exact"/>
        <w:ind w:firstLine="440" w:firstLineChars="200"/>
        <w:rPr>
          <w:rFonts w:ascii="宋体" w:hAnsi="宋体" w:cs="宋体"/>
          <w:sz w:val="22"/>
        </w:rPr>
      </w:pPr>
      <w:r>
        <w:rPr>
          <w:rFonts w:hint="eastAsia" w:ascii="宋体" w:hAnsi="宋体" w:cs="宋体"/>
          <w:sz w:val="22"/>
        </w:rPr>
        <w:t>②</w:t>
      </w:r>
      <w:bookmarkStart w:id="20" w:name="_Hlk48136463"/>
      <w:r>
        <w:rPr>
          <w:rFonts w:hint="eastAsia" w:ascii="宋体" w:hAnsi="宋体" w:cs="宋体"/>
          <w:sz w:val="22"/>
        </w:rPr>
        <w:t>未</w:t>
      </w:r>
      <w:r>
        <w:rPr>
          <w:rFonts w:ascii="宋体" w:hAnsi="宋体" w:cs="宋体"/>
          <w:sz w:val="22"/>
        </w:rPr>
        <w:t>被列入失信被执行人名单(以</w:t>
      </w:r>
      <w:r>
        <w:rPr>
          <w:rFonts w:hint="eastAsia" w:ascii="宋体" w:hAnsi="宋体" w:cs="宋体"/>
          <w:sz w:val="22"/>
        </w:rPr>
        <w:t>投标截止日</w:t>
      </w:r>
      <w:r>
        <w:rPr>
          <w:rFonts w:ascii="宋体" w:hAnsi="宋体" w:cs="宋体"/>
          <w:sz w:val="22"/>
        </w:rPr>
        <w:t>“信用中国”网站查询结果为准)</w:t>
      </w:r>
      <w:bookmarkEnd w:id="20"/>
      <w:r>
        <w:rPr>
          <w:rFonts w:hint="eastAsia" w:ascii="宋体" w:hAnsi="宋体" w:cs="宋体"/>
          <w:sz w:val="22"/>
        </w:rPr>
        <w:t>，须提供证明材料；</w:t>
      </w:r>
    </w:p>
    <w:p>
      <w:pPr>
        <w:pStyle w:val="22"/>
        <w:tabs>
          <w:tab w:val="left" w:pos="4394"/>
          <w:tab w:val="left" w:pos="5990"/>
        </w:tabs>
        <w:adjustRightInd w:val="0"/>
        <w:snapToGrid w:val="0"/>
        <w:spacing w:after="0" w:line="360" w:lineRule="exact"/>
        <w:ind w:firstLine="440" w:firstLineChars="200"/>
        <w:rPr>
          <w:rFonts w:ascii="宋体" w:hAnsi="宋体" w:cs="宋体"/>
          <w:sz w:val="22"/>
        </w:rPr>
      </w:pPr>
      <w:r>
        <w:rPr>
          <w:rFonts w:hint="eastAsia" w:ascii="宋体" w:hAnsi="宋体" w:cs="宋体"/>
          <w:sz w:val="22"/>
        </w:rPr>
        <w:t>③</w:t>
      </w:r>
      <w:bookmarkStart w:id="21" w:name="_Hlk48136548"/>
      <w:r>
        <w:rPr>
          <w:rFonts w:ascii="宋体" w:hAnsi="宋体" w:cs="宋体"/>
          <w:sz w:val="22"/>
        </w:rPr>
        <w:t>201</w:t>
      </w:r>
      <w:r>
        <w:rPr>
          <w:rFonts w:hint="eastAsia" w:ascii="宋体" w:hAnsi="宋体" w:cs="宋体"/>
          <w:sz w:val="22"/>
          <w:u w:val="single"/>
        </w:rPr>
        <w:t>8</w:t>
      </w:r>
      <w:r>
        <w:rPr>
          <w:rFonts w:ascii="宋体" w:hAnsi="宋体" w:cs="宋体"/>
          <w:sz w:val="22"/>
        </w:rPr>
        <w:t>年1月1日起至投标截止日止</w:t>
      </w:r>
      <w:r>
        <w:rPr>
          <w:rFonts w:hint="eastAsia" w:ascii="宋体" w:hAnsi="宋体" w:cs="宋体"/>
          <w:sz w:val="22"/>
        </w:rPr>
        <w:t>，</w:t>
      </w:r>
      <w:r>
        <w:rPr>
          <w:rFonts w:ascii="宋体" w:hAnsi="宋体" w:cs="宋体"/>
          <w:sz w:val="22"/>
        </w:rPr>
        <w:t>投标人</w:t>
      </w:r>
      <w:r>
        <w:rPr>
          <w:rFonts w:hint="eastAsia" w:ascii="宋体" w:hAnsi="宋体" w:cs="宋体"/>
          <w:sz w:val="22"/>
        </w:rPr>
        <w:t>、拟派项目负责人无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bookmarkEnd w:id="21"/>
      <w:r>
        <w:rPr>
          <w:rFonts w:hint="eastAsia" w:ascii="宋体" w:hAnsi="宋体" w:cs="宋体"/>
          <w:sz w:val="22"/>
        </w:rPr>
        <w:t>，需提供证明材料；</w:t>
      </w:r>
    </w:p>
    <w:p>
      <w:pPr>
        <w:pStyle w:val="2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highlight w:val="yellow"/>
        </w:rPr>
      </w:pPr>
      <w:r>
        <w:rPr>
          <w:rFonts w:hint="eastAsia" w:ascii="宋体" w:hAnsi="宋体" w:cs="宋体"/>
          <w:sz w:val="22"/>
        </w:rPr>
        <w:t>④具有一般纳税人资格，可提供增值税专用发票(需提供下列三项证明材料中任意一项：</w:t>
      </w:r>
      <w:r>
        <w:rPr>
          <w:rFonts w:hint="eastAsia" w:ascii="宋体" w:hAnsi="宋体" w:cs="宋体"/>
          <w:b/>
          <w:sz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cs="宋体"/>
          <w:kern w:val="0"/>
          <w:position w:val="-2"/>
          <w:sz w:val="22"/>
        </w:rPr>
      </w:pPr>
      <w:r>
        <w:rPr>
          <w:rFonts w:ascii="宋体" w:hAnsi="宋体"/>
          <w:spacing w:val="-1"/>
          <w:sz w:val="22"/>
        </w:rPr>
        <w:t>3.</w:t>
      </w:r>
      <w:r>
        <w:rPr>
          <w:rFonts w:hint="eastAsia" w:ascii="宋体" w:hAnsi="宋体"/>
          <w:spacing w:val="-1"/>
          <w:sz w:val="22"/>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3</w:t>
      </w:r>
      <w:r>
        <w:rPr>
          <w:rFonts w:ascii="宋体" w:hAnsi="宋体"/>
          <w:spacing w:val="7"/>
          <w:sz w:val="22"/>
        </w:rPr>
        <w:t>本次招标</w:t>
      </w:r>
      <w:r>
        <w:rPr>
          <w:rFonts w:hint="eastAsia" w:ascii="宋体" w:hAnsi="宋体" w:cs="宋体"/>
          <w:spacing w:val="7"/>
          <w:sz w:val="22"/>
          <w:u w:val="single" w:color="000000"/>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numPr>
          <w:ilvl w:val="0"/>
          <w:numId w:val="0"/>
        </w:numPr>
        <w:tabs>
          <w:tab w:val="clear" w:pos="1275"/>
        </w:tabs>
        <w:snapToGrid w:val="0"/>
        <w:spacing w:line="360" w:lineRule="exact"/>
        <w:rPr>
          <w:rFonts w:hAnsi="宋体"/>
          <w:sz w:val="22"/>
          <w:szCs w:val="22"/>
        </w:rPr>
      </w:pPr>
      <w:bookmarkStart w:id="22" w:name="_bookmark5"/>
      <w:bookmarkEnd w:id="22"/>
      <w:r>
        <w:rPr>
          <w:rFonts w:hint="eastAsia" w:hAnsi="宋体"/>
          <w:sz w:val="22"/>
          <w:szCs w:val="22"/>
        </w:rPr>
        <w:t xml:space="preserve">    </w:t>
      </w:r>
      <w:bookmarkStart w:id="23" w:name="_Toc31524"/>
      <w:bookmarkStart w:id="24" w:name="_Toc7557"/>
      <w:r>
        <w:rPr>
          <w:rFonts w:hAnsi="宋体"/>
          <w:sz w:val="22"/>
          <w:szCs w:val="22"/>
        </w:rPr>
        <w:t>4.招标文件的获取</w:t>
      </w:r>
      <w:bookmarkEnd w:id="23"/>
      <w:bookmarkEnd w:id="24"/>
    </w:p>
    <w:p>
      <w:pPr>
        <w:pStyle w:val="5"/>
        <w:numPr>
          <w:ilvl w:val="0"/>
          <w:numId w:val="0"/>
        </w:numPr>
        <w:tabs>
          <w:tab w:val="clear" w:pos="1275"/>
        </w:tabs>
        <w:snapToGrid w:val="0"/>
        <w:spacing w:line="360" w:lineRule="exact"/>
        <w:ind w:firstLine="441"/>
        <w:rPr>
          <w:rFonts w:hAnsi="宋体" w:cs="宋体"/>
          <w:b w:val="0"/>
          <w:bCs/>
          <w:position w:val="-2"/>
          <w:sz w:val="22"/>
        </w:rPr>
      </w:pPr>
      <w:bookmarkStart w:id="25" w:name="_bookmark6"/>
      <w:bookmarkEnd w:id="25"/>
      <w:bookmarkStart w:id="26" w:name="_Toc32431"/>
      <w:bookmarkStart w:id="27" w:name="_Toc12252"/>
      <w:r>
        <w:rPr>
          <w:rFonts w:hint="eastAsia" w:hAnsi="宋体" w:cs="宋体"/>
          <w:b w:val="0"/>
          <w:bCs/>
          <w:position w:val="-2"/>
          <w:sz w:val="22"/>
        </w:rPr>
        <w:t>凡符合资格条件并有投标意向的潜在投标人，请通过杭州萧山机场有限公司主页http://www.hzairport.com/zbxx.aspx自行下载招标文件。</w:t>
      </w:r>
      <w:bookmarkEnd w:id="26"/>
      <w:bookmarkEnd w:id="27"/>
    </w:p>
    <w:p>
      <w:pPr>
        <w:rPr>
          <w:rFonts w:ascii="宋体" w:hAnsi="宋体" w:eastAsia="宋体" w:cs="Times New Roman"/>
          <w:b/>
          <w:bCs/>
          <w:kern w:val="0"/>
          <w:sz w:val="22"/>
        </w:rPr>
      </w:pPr>
      <w:r>
        <w:rPr>
          <w:rFonts w:hint="eastAsia" w:ascii="宋体" w:hAnsi="宋体" w:cs="宋体"/>
          <w:kern w:val="0"/>
          <w:position w:val="-2"/>
          <w:sz w:val="22"/>
        </w:rPr>
        <w:t xml:space="preserve"> </w:t>
      </w:r>
      <w:r>
        <w:rPr>
          <w:rFonts w:hint="eastAsia" w:ascii="宋体" w:hAnsi="宋体" w:cs="宋体"/>
          <w:b/>
          <w:bCs/>
          <w:kern w:val="0"/>
          <w:position w:val="-2"/>
          <w:sz w:val="22"/>
        </w:rPr>
        <w:t xml:space="preserve">   </w:t>
      </w:r>
      <w:bookmarkStart w:id="28" w:name="_Toc20734"/>
      <w:bookmarkStart w:id="29" w:name="_Toc7828"/>
      <w:bookmarkStart w:id="30" w:name="_Toc29950"/>
      <w:r>
        <w:rPr>
          <w:rFonts w:hint="eastAsia" w:ascii="宋体" w:hAnsi="宋体" w:cs="宋体"/>
          <w:b/>
          <w:bCs/>
          <w:kern w:val="0"/>
          <w:position w:val="-2"/>
          <w:sz w:val="22"/>
        </w:rPr>
        <w:t>5</w:t>
      </w:r>
      <w:r>
        <w:rPr>
          <w:rFonts w:hint="eastAsia" w:ascii="宋体" w:hAnsi="宋体" w:eastAsia="宋体" w:cs="Times New Roman"/>
          <w:b/>
          <w:bCs/>
          <w:kern w:val="0"/>
          <w:sz w:val="22"/>
        </w:rPr>
        <w:t>.招标答疑</w:t>
      </w:r>
      <w:bookmarkEnd w:id="28"/>
      <w:bookmarkEnd w:id="29"/>
      <w:bookmarkEnd w:id="30"/>
    </w:p>
    <w:p>
      <w:pPr>
        <w:pStyle w:val="2"/>
        <w:ind w:firstLine="440" w:firstLineChars="200"/>
        <w:jc w:val="both"/>
        <w:rPr>
          <w:rFonts w:asciiTheme="minorEastAsia" w:hAnsiTheme="minorEastAsia" w:eastAsiaTheme="minorEastAsia" w:cstheme="minorEastAsia"/>
          <w:b w:val="0"/>
          <w:bCs w:val="0"/>
          <w:position w:val="-2"/>
          <w:sz w:val="22"/>
          <w:szCs w:val="22"/>
        </w:rPr>
      </w:pPr>
      <w:bookmarkStart w:id="31" w:name="_Toc16490"/>
      <w:bookmarkStart w:id="32" w:name="_Toc2843"/>
      <w:bookmarkStart w:id="33" w:name="_Toc486"/>
      <w:bookmarkStart w:id="34" w:name="_Toc31400"/>
      <w:bookmarkStart w:id="35" w:name="_Toc5083"/>
      <w:r>
        <w:rPr>
          <w:rFonts w:hint="eastAsia" w:asciiTheme="minorEastAsia" w:hAnsiTheme="minorEastAsia" w:eastAsiaTheme="minorEastAsia" w:cstheme="minorEastAsia"/>
          <w:b w:val="0"/>
          <w:bCs w:val="0"/>
          <w:position w:val="-2"/>
          <w:sz w:val="22"/>
          <w:szCs w:val="22"/>
          <w:u w:val="single"/>
          <w:lang w:val="en-US" w:eastAsia="zh-CN"/>
        </w:rPr>
        <w:t>2021</w:t>
      </w:r>
      <w:r>
        <w:rPr>
          <w:rFonts w:hint="eastAsia" w:asciiTheme="minorEastAsia" w:hAnsiTheme="minorEastAsia" w:eastAsiaTheme="minorEastAsia" w:cstheme="minorEastAsia"/>
          <w:b w:val="0"/>
          <w:bCs w:val="0"/>
          <w:position w:val="-2"/>
          <w:sz w:val="22"/>
          <w:szCs w:val="22"/>
        </w:rPr>
        <w:t>年</w:t>
      </w:r>
      <w:r>
        <w:rPr>
          <w:rFonts w:hint="eastAsia" w:asciiTheme="minorEastAsia" w:hAnsiTheme="minorEastAsia" w:eastAsiaTheme="minorEastAsia" w:cstheme="minorEastAsia"/>
          <w:b w:val="0"/>
          <w:bCs w:val="0"/>
          <w:position w:val="-2"/>
          <w:sz w:val="22"/>
          <w:szCs w:val="22"/>
          <w:u w:val="single"/>
        </w:rPr>
        <w:t xml:space="preserve"> </w:t>
      </w:r>
      <w:r>
        <w:rPr>
          <w:rFonts w:hint="eastAsia" w:asciiTheme="minorEastAsia" w:hAnsiTheme="minorEastAsia" w:eastAsiaTheme="minorEastAsia" w:cstheme="minorEastAsia"/>
          <w:b w:val="0"/>
          <w:bCs w:val="0"/>
          <w:position w:val="-2"/>
          <w:sz w:val="22"/>
          <w:szCs w:val="22"/>
          <w:u w:val="single"/>
          <w:lang w:val="en-US" w:eastAsia="zh-CN"/>
        </w:rPr>
        <w:t>9</w:t>
      </w:r>
      <w:r>
        <w:rPr>
          <w:rFonts w:hint="eastAsia" w:asciiTheme="minorEastAsia" w:hAnsiTheme="minorEastAsia" w:eastAsiaTheme="minorEastAsia" w:cstheme="minorEastAsia"/>
          <w:b w:val="0"/>
          <w:bCs w:val="0"/>
          <w:position w:val="-2"/>
          <w:sz w:val="22"/>
          <w:szCs w:val="22"/>
        </w:rPr>
        <w:t>月</w:t>
      </w:r>
      <w:r>
        <w:rPr>
          <w:rFonts w:hint="eastAsia" w:asciiTheme="minorEastAsia" w:hAnsiTheme="minorEastAsia" w:eastAsiaTheme="minorEastAsia" w:cstheme="minorEastAsia"/>
          <w:b w:val="0"/>
          <w:bCs w:val="0"/>
          <w:position w:val="-2"/>
          <w:sz w:val="22"/>
          <w:szCs w:val="22"/>
          <w:u w:val="single"/>
          <w:lang w:val="en-US" w:eastAsia="zh-CN"/>
        </w:rPr>
        <w:t>22</w:t>
      </w:r>
      <w:r>
        <w:rPr>
          <w:rFonts w:hint="eastAsia" w:asciiTheme="minorEastAsia" w:hAnsiTheme="minorEastAsia" w:eastAsiaTheme="minorEastAsia" w:cstheme="minorEastAsia"/>
          <w:b w:val="0"/>
          <w:bCs w:val="0"/>
          <w:position w:val="-2"/>
          <w:sz w:val="22"/>
          <w:szCs w:val="22"/>
        </w:rPr>
        <w:t>日</w:t>
      </w:r>
      <w:r>
        <w:rPr>
          <w:rFonts w:hint="eastAsia" w:asciiTheme="minorEastAsia" w:hAnsiTheme="minorEastAsia" w:eastAsiaTheme="minorEastAsia" w:cstheme="minorEastAsia"/>
          <w:b w:val="0"/>
          <w:bCs w:val="0"/>
          <w:position w:val="-2"/>
          <w:sz w:val="22"/>
          <w:szCs w:val="22"/>
          <w:u w:val="single"/>
        </w:rPr>
        <w:t xml:space="preserve"> </w:t>
      </w:r>
      <w:r>
        <w:rPr>
          <w:rFonts w:hint="eastAsia" w:asciiTheme="minorEastAsia" w:hAnsiTheme="minorEastAsia" w:eastAsiaTheme="minorEastAsia" w:cstheme="minorEastAsia"/>
          <w:b w:val="0"/>
          <w:bCs w:val="0"/>
          <w:position w:val="-2"/>
          <w:sz w:val="22"/>
          <w:szCs w:val="22"/>
          <w:u w:val="single"/>
          <w:lang w:val="en-US" w:eastAsia="zh-CN"/>
        </w:rPr>
        <w:t>16</w:t>
      </w:r>
      <w:r>
        <w:rPr>
          <w:rFonts w:hint="eastAsia" w:asciiTheme="minorEastAsia" w:hAnsiTheme="minorEastAsia" w:eastAsiaTheme="minorEastAsia" w:cstheme="minorEastAsia"/>
          <w:b w:val="0"/>
          <w:bCs w:val="0"/>
          <w:position w:val="-2"/>
          <w:sz w:val="22"/>
          <w:szCs w:val="22"/>
          <w:u w:val="single"/>
        </w:rPr>
        <w:t xml:space="preserve"> </w:t>
      </w:r>
      <w:r>
        <w:rPr>
          <w:rFonts w:hint="eastAsia" w:asciiTheme="minorEastAsia" w:hAnsiTheme="minorEastAsia" w:eastAsiaTheme="minorEastAsia" w:cstheme="minorEastAsia"/>
          <w:b w:val="0"/>
          <w:bCs w:val="0"/>
          <w:position w:val="-2"/>
          <w:sz w:val="22"/>
          <w:szCs w:val="22"/>
        </w:rPr>
        <w:t>时</w:t>
      </w:r>
      <w:r>
        <w:rPr>
          <w:rFonts w:hint="eastAsia" w:asciiTheme="minorEastAsia" w:hAnsiTheme="minorEastAsia" w:eastAsiaTheme="minorEastAsia" w:cstheme="minorEastAsia"/>
          <w:b w:val="0"/>
          <w:bCs w:val="0"/>
          <w:position w:val="-2"/>
          <w:sz w:val="22"/>
          <w:szCs w:val="22"/>
          <w:u w:val="single"/>
        </w:rPr>
        <w:t xml:space="preserve"> </w:t>
      </w:r>
      <w:r>
        <w:rPr>
          <w:rFonts w:hint="eastAsia" w:asciiTheme="minorEastAsia" w:hAnsiTheme="minorEastAsia" w:eastAsiaTheme="minorEastAsia" w:cstheme="minorEastAsia"/>
          <w:b w:val="0"/>
          <w:bCs w:val="0"/>
          <w:position w:val="-2"/>
          <w:sz w:val="22"/>
          <w:szCs w:val="22"/>
          <w:u w:val="single"/>
          <w:lang w:val="en-US" w:eastAsia="zh-CN"/>
        </w:rPr>
        <w:t>00</w:t>
      </w:r>
      <w:r>
        <w:rPr>
          <w:rFonts w:hint="eastAsia" w:asciiTheme="minorEastAsia" w:hAnsiTheme="minorEastAsia" w:eastAsiaTheme="minorEastAsia" w:cstheme="minorEastAsia"/>
          <w:b w:val="0"/>
          <w:bCs w:val="0"/>
          <w:position w:val="-2"/>
          <w:sz w:val="22"/>
          <w:szCs w:val="22"/>
          <w:u w:val="single"/>
        </w:rPr>
        <w:t xml:space="preserve"> </w:t>
      </w:r>
      <w:r>
        <w:rPr>
          <w:rFonts w:hint="eastAsia" w:asciiTheme="minorEastAsia" w:hAnsiTheme="minorEastAsia" w:eastAsiaTheme="minorEastAsia" w:cstheme="minorEastAsia"/>
          <w:b w:val="0"/>
          <w:bCs w:val="0"/>
          <w:position w:val="-2"/>
          <w:sz w:val="22"/>
          <w:szCs w:val="22"/>
        </w:rPr>
        <w:t>分前，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bookmarkEnd w:id="31"/>
      <w:bookmarkEnd w:id="32"/>
      <w:bookmarkEnd w:id="33"/>
      <w:bookmarkEnd w:id="34"/>
      <w:bookmarkEnd w:id="35"/>
    </w:p>
    <w:p>
      <w:pPr>
        <w:widowControl/>
        <w:snapToGrid w:val="0"/>
        <w:spacing w:line="320" w:lineRule="exact"/>
        <w:jc w:val="left"/>
        <w:rPr>
          <w:rFonts w:ascii="宋体" w:hAnsi="宋体" w:eastAsia="宋体" w:cs="Times New Roman"/>
          <w:b/>
          <w:kern w:val="0"/>
          <w:sz w:val="22"/>
        </w:rPr>
      </w:pPr>
      <w:r>
        <w:rPr>
          <w:rFonts w:hint="eastAsia" w:asciiTheme="minorEastAsia" w:hAnsiTheme="minorEastAsia" w:cstheme="minorEastAsia"/>
          <w:kern w:val="0"/>
          <w:position w:val="-2"/>
          <w:sz w:val="22"/>
        </w:rPr>
        <w:t xml:space="preserve">   </w:t>
      </w:r>
      <w:r>
        <w:rPr>
          <w:rFonts w:hint="eastAsia" w:ascii="宋体" w:hAnsi="宋体" w:eastAsia="宋体" w:cs="Times New Roman"/>
          <w:b/>
          <w:kern w:val="0"/>
          <w:sz w:val="22"/>
        </w:rPr>
        <w:t xml:space="preserve"> 6.投标文件的递交</w:t>
      </w:r>
    </w:p>
    <w:p>
      <w:pPr>
        <w:widowControl/>
        <w:adjustRightInd w:val="0"/>
        <w:snapToGrid w:val="0"/>
        <w:spacing w:line="320" w:lineRule="exact"/>
        <w:ind w:firstLine="440" w:firstLineChars="200"/>
        <w:rPr>
          <w:rFonts w:asciiTheme="minorEastAsia" w:hAnsiTheme="minorEastAsia" w:cstheme="minorEastAsia"/>
          <w:kern w:val="0"/>
          <w:sz w:val="22"/>
        </w:rPr>
      </w:pPr>
      <w:r>
        <w:rPr>
          <w:rFonts w:hint="eastAsia" w:asciiTheme="minorEastAsia" w:hAnsiTheme="minorEastAsia" w:cstheme="minorEastAsia"/>
          <w:kern w:val="0"/>
          <w:sz w:val="22"/>
        </w:rPr>
        <w:t>（1）投标文件递交截止时间：</w:t>
      </w:r>
      <w:r>
        <w:rPr>
          <w:rFonts w:hint="eastAsia" w:asciiTheme="minorEastAsia" w:hAnsiTheme="minorEastAsia" w:cstheme="minorEastAsia"/>
          <w:kern w:val="0"/>
          <w:sz w:val="22"/>
          <w:u w:val="single"/>
          <w:lang w:val="en-US" w:eastAsia="zh-CN"/>
        </w:rPr>
        <w:t>2021</w:t>
      </w:r>
      <w:r>
        <w:rPr>
          <w:rFonts w:hint="eastAsia" w:asciiTheme="minorEastAsia" w:hAnsiTheme="minorEastAsia" w:cstheme="minorEastAsia"/>
          <w:kern w:val="0"/>
          <w:sz w:val="22"/>
        </w:rPr>
        <w:t>年</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u w:val="single"/>
          <w:lang w:val="en-US" w:eastAsia="zh-CN"/>
        </w:rPr>
        <w:t>9</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月</w:t>
      </w:r>
      <w:r>
        <w:rPr>
          <w:rFonts w:hint="eastAsia" w:asciiTheme="minorEastAsia" w:hAnsiTheme="minorEastAsia" w:cstheme="minorEastAsia"/>
          <w:kern w:val="0"/>
          <w:sz w:val="22"/>
          <w:u w:val="single"/>
          <w:lang w:val="en-US" w:eastAsia="zh-CN"/>
        </w:rPr>
        <w:t>27</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 xml:space="preserve"> 日</w:t>
      </w:r>
      <w:r>
        <w:rPr>
          <w:rFonts w:hint="eastAsia" w:asciiTheme="minorEastAsia" w:hAnsiTheme="minorEastAsia" w:cstheme="minorEastAsia"/>
          <w:kern w:val="0"/>
          <w:sz w:val="22"/>
          <w:u w:val="single"/>
          <w:lang w:val="en-US" w:eastAsia="zh-CN"/>
        </w:rPr>
        <w:t>14</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时</w:t>
      </w:r>
      <w:r>
        <w:rPr>
          <w:rFonts w:hint="eastAsia" w:asciiTheme="minorEastAsia" w:hAnsiTheme="minorEastAsia" w:cstheme="minorEastAsia"/>
          <w:kern w:val="0"/>
          <w:sz w:val="22"/>
          <w:u w:val="single"/>
          <w:lang w:val="en-US" w:eastAsia="zh-CN"/>
        </w:rPr>
        <w:t>00</w:t>
      </w:r>
      <w:r>
        <w:rPr>
          <w:rFonts w:hint="eastAsia" w:asciiTheme="minorEastAsia" w:hAnsiTheme="minorEastAsia" w:cstheme="minorEastAsia"/>
          <w:kern w:val="0"/>
          <w:sz w:val="22"/>
        </w:rPr>
        <w:t xml:space="preserve"> 分（北京时间）。投标文件在封口处加盖公章并注明是：</w:t>
      </w:r>
      <w:r>
        <w:rPr>
          <w:rFonts w:hint="eastAsia" w:asciiTheme="minorEastAsia" w:hAnsiTheme="minorEastAsia" w:cstheme="minorEastAsia"/>
          <w:sz w:val="22"/>
        </w:rPr>
        <w:t>杭州萧山国际机场部分防汛防台设备物资采购项目</w:t>
      </w:r>
      <w:r>
        <w:rPr>
          <w:rFonts w:hint="eastAsia" w:asciiTheme="minorEastAsia" w:hAnsiTheme="minorEastAsia" w:cstheme="minorEastAsia"/>
          <w:kern w:val="0"/>
          <w:sz w:val="22"/>
        </w:rPr>
        <w:t>投标文件，并派专人于</w:t>
      </w:r>
      <w:r>
        <w:rPr>
          <w:rFonts w:hint="eastAsia" w:asciiTheme="minorEastAsia" w:hAnsiTheme="minorEastAsia" w:cstheme="minorEastAsia"/>
          <w:kern w:val="0"/>
          <w:sz w:val="22"/>
          <w:u w:val="single"/>
          <w:lang w:val="en-US" w:eastAsia="zh-CN"/>
        </w:rPr>
        <w:t>2021</w:t>
      </w:r>
      <w:r>
        <w:rPr>
          <w:rFonts w:hint="eastAsia" w:asciiTheme="minorEastAsia" w:hAnsiTheme="minorEastAsia" w:cstheme="minorEastAsia"/>
          <w:kern w:val="0"/>
          <w:sz w:val="22"/>
        </w:rPr>
        <w:t>年</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u w:val="single"/>
          <w:lang w:val="en-US" w:eastAsia="zh-CN"/>
        </w:rPr>
        <w:t>9</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月</w:t>
      </w:r>
      <w:r>
        <w:rPr>
          <w:rFonts w:hint="eastAsia" w:asciiTheme="minorEastAsia" w:hAnsiTheme="minorEastAsia" w:cstheme="minorEastAsia"/>
          <w:kern w:val="0"/>
          <w:sz w:val="22"/>
          <w:u w:val="single"/>
          <w:lang w:val="en-US" w:eastAsia="zh-CN"/>
        </w:rPr>
        <w:t>27</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 xml:space="preserve"> 日</w:t>
      </w:r>
      <w:r>
        <w:rPr>
          <w:rFonts w:hint="eastAsia" w:asciiTheme="minorEastAsia" w:hAnsiTheme="minorEastAsia" w:cstheme="minorEastAsia"/>
          <w:kern w:val="0"/>
          <w:sz w:val="22"/>
          <w:u w:val="single"/>
          <w:lang w:val="en-US" w:eastAsia="zh-CN"/>
        </w:rPr>
        <w:t>14</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时</w:t>
      </w:r>
      <w:r>
        <w:rPr>
          <w:rFonts w:hint="eastAsia" w:asciiTheme="minorEastAsia" w:hAnsiTheme="minorEastAsia" w:cstheme="minorEastAsia"/>
          <w:kern w:val="0"/>
          <w:sz w:val="22"/>
          <w:u w:val="single"/>
          <w:lang w:val="en-US" w:eastAsia="zh-CN"/>
        </w:rPr>
        <w:t>00</w:t>
      </w:r>
      <w:r>
        <w:rPr>
          <w:rFonts w:hint="eastAsia" w:asciiTheme="minorEastAsia" w:hAnsiTheme="minorEastAsia" w:cstheme="minorEastAsia"/>
          <w:kern w:val="0"/>
          <w:sz w:val="22"/>
        </w:rPr>
        <w:t xml:space="preserve"> 分（北京时间）前送至州萧山国际机场翔越路综合服务楼园区招标中心，逾期无效；若采用投递方式的，请于</w:t>
      </w:r>
      <w:r>
        <w:rPr>
          <w:rFonts w:hint="eastAsia" w:asciiTheme="minorEastAsia" w:hAnsiTheme="minorEastAsia" w:cstheme="minorEastAsia"/>
          <w:kern w:val="0"/>
          <w:sz w:val="22"/>
          <w:u w:val="single"/>
          <w:lang w:val="en-US" w:eastAsia="zh-CN"/>
        </w:rPr>
        <w:t>2021</w:t>
      </w:r>
      <w:r>
        <w:rPr>
          <w:rFonts w:hint="eastAsia" w:asciiTheme="minorEastAsia" w:hAnsiTheme="minorEastAsia" w:cstheme="minorEastAsia"/>
          <w:kern w:val="0"/>
          <w:sz w:val="22"/>
        </w:rPr>
        <w:t>年</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u w:val="single"/>
          <w:lang w:val="en-US" w:eastAsia="zh-CN"/>
        </w:rPr>
        <w:t>9</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月</w:t>
      </w:r>
      <w:r>
        <w:rPr>
          <w:rFonts w:hint="eastAsia" w:asciiTheme="minorEastAsia" w:hAnsiTheme="minorEastAsia" w:cstheme="minorEastAsia"/>
          <w:kern w:val="0"/>
          <w:sz w:val="22"/>
          <w:u w:val="single"/>
          <w:lang w:val="en-US" w:eastAsia="zh-CN"/>
        </w:rPr>
        <w:t>27</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 xml:space="preserve"> 日</w:t>
      </w:r>
      <w:r>
        <w:rPr>
          <w:rFonts w:hint="eastAsia" w:asciiTheme="minorEastAsia" w:hAnsiTheme="minorEastAsia" w:cstheme="minorEastAsia"/>
          <w:kern w:val="0"/>
          <w:sz w:val="22"/>
          <w:u w:val="single"/>
          <w:lang w:val="en-US" w:eastAsia="zh-CN"/>
        </w:rPr>
        <w:t>14</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时</w:t>
      </w:r>
      <w:r>
        <w:rPr>
          <w:rFonts w:hint="eastAsia" w:asciiTheme="minorEastAsia" w:hAnsiTheme="minorEastAsia" w:cstheme="minorEastAsia"/>
          <w:kern w:val="0"/>
          <w:sz w:val="22"/>
          <w:u w:val="single"/>
          <w:lang w:val="en-US" w:eastAsia="zh-CN"/>
        </w:rPr>
        <w:t>00</w:t>
      </w:r>
      <w:r>
        <w:rPr>
          <w:rFonts w:hint="eastAsia" w:asciiTheme="minorEastAsia" w:hAnsiTheme="minorEastAsia" w:cstheme="minorEastAsia"/>
          <w:kern w:val="0"/>
          <w:sz w:val="22"/>
        </w:rPr>
        <w:t xml:space="preserve"> 分（北京时间）前投递至杭州萧山国际机场物业维修中心，快递面单上注明是：</w:t>
      </w:r>
      <w:r>
        <w:rPr>
          <w:rFonts w:hint="eastAsia" w:asciiTheme="minorEastAsia" w:hAnsiTheme="minorEastAsia" w:cstheme="minorEastAsia"/>
          <w:sz w:val="22"/>
        </w:rPr>
        <w:t>杭州萧山国际机场部分防汛防台设备物资采购项目投标文件</w:t>
      </w:r>
      <w:r>
        <w:rPr>
          <w:rFonts w:hint="eastAsia" w:asciiTheme="minorEastAsia" w:hAnsiTheme="minorEastAsia" w:cstheme="minorEastAsia"/>
          <w:kern w:val="0"/>
          <w:sz w:val="22"/>
        </w:rPr>
        <w:t>。</w:t>
      </w:r>
    </w:p>
    <w:p>
      <w:pPr>
        <w:widowControl/>
        <w:adjustRightInd w:val="0"/>
        <w:snapToGrid w:val="0"/>
        <w:spacing w:line="320" w:lineRule="exact"/>
        <w:ind w:firstLine="440" w:firstLineChars="200"/>
        <w:rPr>
          <w:rFonts w:asciiTheme="minorEastAsia" w:hAnsiTheme="minorEastAsia" w:cstheme="minorEastAsia"/>
          <w:sz w:val="22"/>
        </w:rPr>
      </w:pPr>
      <w:r>
        <w:rPr>
          <w:rFonts w:hint="eastAsia" w:asciiTheme="minorEastAsia" w:hAnsiTheme="minorEastAsia" w:cstheme="minorEastAsia"/>
          <w:kern w:val="0"/>
          <w:sz w:val="22"/>
        </w:rPr>
        <w:t>（2）</w:t>
      </w:r>
      <w:r>
        <w:rPr>
          <w:rFonts w:hint="eastAsia" w:asciiTheme="minorEastAsia" w:hAnsiTheme="minorEastAsia" w:cstheme="minorEastAsia"/>
          <w:sz w:val="22"/>
        </w:rPr>
        <w:t>逾期送达或者未送达指定地点的投标文件，招标人不予受理。</w:t>
      </w:r>
    </w:p>
    <w:p>
      <w:pPr>
        <w:widowControl/>
        <w:adjustRightInd w:val="0"/>
        <w:snapToGrid w:val="0"/>
        <w:spacing w:line="320" w:lineRule="exact"/>
        <w:ind w:firstLine="440" w:firstLineChars="200"/>
        <w:rPr>
          <w:rFonts w:asciiTheme="minorEastAsia" w:hAnsiTheme="minorEastAsia" w:cstheme="minorEastAsia"/>
          <w:sz w:val="22"/>
        </w:rPr>
      </w:pPr>
      <w:r>
        <w:rPr>
          <w:rFonts w:hint="eastAsia" w:asciiTheme="minorEastAsia" w:hAnsiTheme="minorEastAsia" w:cstheme="minorEastAsia"/>
          <w:sz w:val="22"/>
        </w:rPr>
        <w:t>（3）投标文件正本一份，副本二份。</w:t>
      </w:r>
    </w:p>
    <w:p>
      <w:pPr>
        <w:widowControl/>
        <w:adjustRightInd w:val="0"/>
        <w:snapToGrid w:val="0"/>
        <w:spacing w:line="320" w:lineRule="exact"/>
        <w:ind w:firstLine="440" w:firstLineChars="200"/>
        <w:rPr>
          <w:rFonts w:asciiTheme="minorEastAsia" w:hAnsiTheme="minorEastAsia" w:cstheme="minorEastAsia"/>
          <w:sz w:val="22"/>
        </w:rPr>
      </w:pPr>
      <w:r>
        <w:rPr>
          <w:rFonts w:hint="eastAsia" w:asciiTheme="minorEastAsia" w:hAnsiTheme="minorEastAsia" w:cstheme="minorEastAsia"/>
          <w:sz w:val="22"/>
        </w:rPr>
        <w:t>（4）投标文件封面（或扉页）、投标函以及各类报价表均须加盖投标人单位章，并经法定代表人（或其委托代理人）签字或盖章。</w:t>
      </w:r>
    </w:p>
    <w:p>
      <w:pPr>
        <w:widowControl/>
        <w:adjustRightInd w:val="0"/>
        <w:snapToGrid w:val="0"/>
        <w:spacing w:line="320" w:lineRule="exact"/>
        <w:ind w:firstLine="440" w:firstLineChars="200"/>
        <w:rPr>
          <w:rFonts w:asciiTheme="minorEastAsia" w:hAnsiTheme="minorEastAsia" w:cstheme="minorEastAsia"/>
          <w:sz w:val="22"/>
        </w:rPr>
      </w:pPr>
      <w:r>
        <w:rPr>
          <w:rFonts w:hint="eastAsia" w:asciiTheme="minorEastAsia" w:hAnsiTheme="minorEastAsia" w:cstheme="minorEastAsia"/>
          <w:sz w:val="22"/>
        </w:rPr>
        <w:t>（5）装订要求为不分册装订，每册采用 胶装等方式装订，装订应牢固、不易拆散和换页，不得采用活页装订。</w:t>
      </w:r>
    </w:p>
    <w:p>
      <w:pPr>
        <w:widowControl/>
        <w:adjustRightInd w:val="0"/>
        <w:snapToGrid w:val="0"/>
        <w:spacing w:line="320" w:lineRule="exact"/>
        <w:ind w:firstLine="440" w:firstLineChars="200"/>
        <w:rPr>
          <w:rFonts w:asciiTheme="minorEastAsia" w:hAnsiTheme="minorEastAsia" w:cstheme="minorEastAsia"/>
          <w:kern w:val="0"/>
          <w:sz w:val="22"/>
        </w:rPr>
      </w:pPr>
      <w:r>
        <w:rPr>
          <w:rFonts w:hint="eastAsia" w:asciiTheme="minorEastAsia" w:hAnsiTheme="minorEastAsia" w:cstheme="minorEastAsia"/>
          <w:sz w:val="22"/>
        </w:rPr>
        <w:t>（6）</w:t>
      </w:r>
      <w:r>
        <w:rPr>
          <w:rFonts w:hint="eastAsia" w:asciiTheme="minorEastAsia" w:hAnsiTheme="minorEastAsia" w:cstheme="minorEastAsia"/>
          <w:kern w:val="0"/>
          <w:sz w:val="22"/>
        </w:rPr>
        <w:t>封套上写明：</w:t>
      </w:r>
    </w:p>
    <w:p>
      <w:pPr>
        <w:autoSpaceDE w:val="0"/>
        <w:autoSpaceDN w:val="0"/>
        <w:adjustRightInd w:val="0"/>
        <w:snapToGrid w:val="0"/>
        <w:rPr>
          <w:rFonts w:asciiTheme="minorEastAsia" w:hAnsiTheme="minorEastAsia" w:cstheme="minorEastAsia"/>
          <w:kern w:val="0"/>
          <w:sz w:val="22"/>
        </w:rPr>
      </w:pPr>
      <w:r>
        <w:rPr>
          <w:rFonts w:hint="eastAsia" w:asciiTheme="minorEastAsia" w:hAnsiTheme="minorEastAsia" w:cstheme="minorEastAsia"/>
          <w:kern w:val="0"/>
          <w:sz w:val="22"/>
        </w:rPr>
        <w:t>招标人的地址：</w:t>
      </w:r>
      <w:r>
        <w:rPr>
          <w:rFonts w:hint="eastAsia" w:asciiTheme="minorEastAsia" w:hAnsiTheme="minorEastAsia" w:cstheme="minorEastAsia"/>
          <w:sz w:val="22"/>
          <w:u w:val="single"/>
        </w:rPr>
        <w:t>杭州萧山国际机场内</w:t>
      </w:r>
    </w:p>
    <w:p>
      <w:pPr>
        <w:autoSpaceDE w:val="0"/>
        <w:autoSpaceDN w:val="0"/>
        <w:adjustRightInd w:val="0"/>
        <w:snapToGrid w:val="0"/>
        <w:rPr>
          <w:rFonts w:asciiTheme="minorEastAsia" w:hAnsiTheme="minorEastAsia" w:cstheme="minorEastAsia"/>
          <w:kern w:val="0"/>
          <w:sz w:val="22"/>
        </w:rPr>
      </w:pPr>
      <w:r>
        <w:rPr>
          <w:rFonts w:hint="eastAsia" w:asciiTheme="minorEastAsia" w:hAnsiTheme="minorEastAsia" w:cstheme="minorEastAsia"/>
          <w:kern w:val="0"/>
          <w:sz w:val="22"/>
        </w:rPr>
        <w:t>招标人名称：</w:t>
      </w:r>
      <w:r>
        <w:rPr>
          <w:rFonts w:hint="eastAsia" w:asciiTheme="minorEastAsia" w:hAnsiTheme="minorEastAsia" w:cstheme="minorEastAsia"/>
          <w:kern w:val="0"/>
          <w:sz w:val="22"/>
          <w:u w:val="single"/>
        </w:rPr>
        <w:t>杭州萧山国际机场有限公司</w:t>
      </w:r>
    </w:p>
    <w:p>
      <w:pPr>
        <w:autoSpaceDE w:val="0"/>
        <w:autoSpaceDN w:val="0"/>
        <w:adjustRightInd w:val="0"/>
        <w:snapToGrid w:val="0"/>
        <w:rPr>
          <w:rFonts w:asciiTheme="minorEastAsia" w:hAnsiTheme="minorEastAsia" w:cstheme="minorEastAsia"/>
          <w:kern w:val="0"/>
          <w:sz w:val="22"/>
        </w:rPr>
      </w:pPr>
      <w:r>
        <w:rPr>
          <w:rFonts w:hint="eastAsia" w:asciiTheme="minorEastAsia" w:hAnsiTheme="minorEastAsia" w:cstheme="minorEastAsia"/>
          <w:sz w:val="22"/>
        </w:rPr>
        <w:t xml:space="preserve">项目名称： </w:t>
      </w:r>
      <w:r>
        <w:rPr>
          <w:rFonts w:hint="eastAsia" w:asciiTheme="minorEastAsia" w:hAnsiTheme="minorEastAsia" w:cstheme="minorEastAsia"/>
          <w:sz w:val="22"/>
          <w:u w:val="single"/>
        </w:rPr>
        <w:t>杭州萧山国际机场部分防汛防台设备物资采购项目</w:t>
      </w:r>
      <w:r>
        <w:rPr>
          <w:rFonts w:hint="eastAsia" w:asciiTheme="minorEastAsia" w:hAnsiTheme="minorEastAsia" w:cstheme="minorEastAsia"/>
          <w:sz w:val="22"/>
        </w:rPr>
        <w:t>投标文件</w:t>
      </w:r>
    </w:p>
    <w:p>
      <w:pPr>
        <w:widowControl/>
        <w:adjustRightInd w:val="0"/>
        <w:snapToGrid w:val="0"/>
        <w:spacing w:line="320" w:lineRule="exact"/>
        <w:ind w:firstLine="440" w:firstLineChars="200"/>
        <w:rPr>
          <w:rFonts w:asciiTheme="minorEastAsia" w:hAnsiTheme="minorEastAsia" w:cstheme="minorEastAsia"/>
          <w:kern w:val="0"/>
          <w:sz w:val="22"/>
        </w:rPr>
      </w:pPr>
      <w:r>
        <w:rPr>
          <w:rFonts w:hint="eastAsia" w:asciiTheme="minorEastAsia" w:hAnsiTheme="minorEastAsia" w:cstheme="minorEastAsia"/>
          <w:kern w:val="0"/>
          <w:sz w:val="22"/>
        </w:rPr>
        <w:t>在</w:t>
      </w:r>
      <w:r>
        <w:rPr>
          <w:rFonts w:hint="eastAsia" w:asciiTheme="minorEastAsia" w:hAnsiTheme="minorEastAsia" w:cstheme="minorEastAsia"/>
          <w:kern w:val="0"/>
          <w:sz w:val="22"/>
          <w:u w:val="single"/>
          <w:lang w:val="en-US" w:eastAsia="zh-CN"/>
        </w:rPr>
        <w:t>2021</w:t>
      </w:r>
      <w:r>
        <w:rPr>
          <w:rFonts w:hint="eastAsia" w:asciiTheme="minorEastAsia" w:hAnsiTheme="minorEastAsia" w:cstheme="minorEastAsia"/>
          <w:kern w:val="0"/>
          <w:sz w:val="22"/>
        </w:rPr>
        <w:t>年</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u w:val="single"/>
          <w:lang w:val="en-US" w:eastAsia="zh-CN"/>
        </w:rPr>
        <w:t>9</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月</w:t>
      </w:r>
      <w:r>
        <w:rPr>
          <w:rFonts w:hint="eastAsia" w:asciiTheme="minorEastAsia" w:hAnsiTheme="minorEastAsia" w:cstheme="minorEastAsia"/>
          <w:kern w:val="0"/>
          <w:sz w:val="22"/>
          <w:u w:val="single"/>
          <w:lang w:val="en-US" w:eastAsia="zh-CN"/>
        </w:rPr>
        <w:t>27</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 xml:space="preserve"> 日</w:t>
      </w:r>
      <w:r>
        <w:rPr>
          <w:rFonts w:hint="eastAsia" w:asciiTheme="minorEastAsia" w:hAnsiTheme="minorEastAsia" w:cstheme="minorEastAsia"/>
          <w:kern w:val="0"/>
          <w:sz w:val="22"/>
          <w:u w:val="single"/>
          <w:lang w:val="en-US" w:eastAsia="zh-CN"/>
        </w:rPr>
        <w:t>14</w:t>
      </w:r>
      <w:r>
        <w:rPr>
          <w:rFonts w:hint="eastAsia" w:asciiTheme="minorEastAsia" w:hAnsiTheme="minorEastAsia" w:cstheme="minorEastAsia"/>
          <w:kern w:val="0"/>
          <w:sz w:val="22"/>
          <w:u w:val="single"/>
        </w:rPr>
        <w:t xml:space="preserve"> </w:t>
      </w:r>
      <w:r>
        <w:rPr>
          <w:rFonts w:hint="eastAsia" w:asciiTheme="minorEastAsia" w:hAnsiTheme="minorEastAsia" w:cstheme="minorEastAsia"/>
          <w:kern w:val="0"/>
          <w:sz w:val="22"/>
        </w:rPr>
        <w:t>时</w:t>
      </w:r>
      <w:r>
        <w:rPr>
          <w:rFonts w:hint="eastAsia" w:asciiTheme="minorEastAsia" w:hAnsiTheme="minorEastAsia" w:cstheme="minorEastAsia"/>
          <w:kern w:val="0"/>
          <w:sz w:val="22"/>
          <w:u w:val="single"/>
          <w:lang w:val="en-US" w:eastAsia="zh-CN"/>
        </w:rPr>
        <w:t>00</w:t>
      </w:r>
      <w:r>
        <w:rPr>
          <w:rFonts w:hint="eastAsia" w:asciiTheme="minorEastAsia" w:hAnsiTheme="minorEastAsia" w:cstheme="minorEastAsia"/>
          <w:kern w:val="0"/>
          <w:sz w:val="22"/>
        </w:rPr>
        <w:t xml:space="preserve"> 分（即开标时间）前不得开启</w:t>
      </w:r>
    </w:p>
    <w:p>
      <w:pPr>
        <w:widowControl/>
        <w:adjustRightInd w:val="0"/>
        <w:snapToGrid w:val="0"/>
        <w:spacing w:line="320" w:lineRule="exact"/>
        <w:rPr>
          <w:rFonts w:ascii="宋体" w:hAnsi="宋体" w:eastAsia="宋体" w:cs="Times New Roman"/>
          <w:b/>
          <w:kern w:val="0"/>
          <w:sz w:val="22"/>
        </w:rPr>
      </w:pPr>
      <w:r>
        <w:rPr>
          <w:rFonts w:hint="eastAsia" w:asciiTheme="minorEastAsia" w:hAnsiTheme="minorEastAsia" w:cstheme="minorEastAsia"/>
          <w:kern w:val="0"/>
          <w:sz w:val="22"/>
        </w:rPr>
        <w:t xml:space="preserve">   </w:t>
      </w:r>
      <w:r>
        <w:rPr>
          <w:rFonts w:hint="eastAsia" w:ascii="宋体" w:hAnsi="宋体" w:eastAsia="宋体" w:cs="Times New Roman"/>
          <w:b/>
          <w:kern w:val="0"/>
          <w:sz w:val="22"/>
        </w:rPr>
        <w:t xml:space="preserve"> 7.开标</w:t>
      </w:r>
    </w:p>
    <w:p>
      <w:pPr>
        <w:autoSpaceDE w:val="0"/>
        <w:autoSpaceDN w:val="0"/>
        <w:adjustRightInd w:val="0"/>
        <w:snapToGrid w:val="0"/>
        <w:rPr>
          <w:rFonts w:asciiTheme="minorEastAsia" w:hAnsiTheme="minorEastAsia" w:cstheme="minorEastAsia"/>
          <w:kern w:val="0"/>
          <w:sz w:val="22"/>
        </w:rPr>
      </w:pPr>
      <w:r>
        <w:rPr>
          <w:rFonts w:hint="eastAsia" w:asciiTheme="minorEastAsia" w:hAnsiTheme="minorEastAsia" w:cstheme="minorEastAsia"/>
          <w:kern w:val="0"/>
          <w:sz w:val="22"/>
        </w:rPr>
        <w:t xml:space="preserve">   （1）开标时间同投标截止时间，开标地点为</w:t>
      </w:r>
      <w:r>
        <w:rPr>
          <w:rFonts w:hint="eastAsia" w:asciiTheme="minorEastAsia" w:hAnsiTheme="minorEastAsia" w:cstheme="minorEastAsia"/>
          <w:b/>
          <w:sz w:val="22"/>
        </w:rPr>
        <w:t>杭州萧山国际机场翔越路综合服务楼园区招标中心。</w:t>
      </w:r>
    </w:p>
    <w:p>
      <w:pPr>
        <w:widowControl/>
        <w:adjustRightInd w:val="0"/>
        <w:snapToGrid w:val="0"/>
        <w:spacing w:line="320" w:lineRule="exact"/>
        <w:rPr>
          <w:rFonts w:asciiTheme="minorEastAsia" w:hAnsiTheme="minorEastAsia" w:cstheme="minorEastAsia"/>
          <w:kern w:val="0"/>
          <w:sz w:val="22"/>
        </w:rPr>
      </w:pPr>
      <w:r>
        <w:rPr>
          <w:rFonts w:hint="eastAsia" w:asciiTheme="minorEastAsia" w:hAnsiTheme="minorEastAsia" w:cstheme="minorEastAsia"/>
          <w:kern w:val="0"/>
          <w:sz w:val="22"/>
        </w:rPr>
        <w:t xml:space="preserve">   （2）由投标人或者其集体推选的代表检查投标文件的密封情况，开标顺序按照后送达先开的顺序。</w:t>
      </w:r>
    </w:p>
    <w:p>
      <w:pPr>
        <w:widowControl/>
        <w:adjustRightInd w:val="0"/>
        <w:snapToGrid w:val="0"/>
        <w:spacing w:line="320" w:lineRule="exact"/>
        <w:rPr>
          <w:rFonts w:asciiTheme="minorEastAsia" w:hAnsiTheme="minorEastAsia" w:cstheme="minorEastAsia"/>
          <w:b/>
          <w:bCs/>
          <w:kern w:val="0"/>
          <w:sz w:val="22"/>
        </w:rPr>
      </w:pPr>
      <w:r>
        <w:rPr>
          <w:rFonts w:hint="eastAsia" w:asciiTheme="minorEastAsia" w:hAnsiTheme="minorEastAsia" w:cstheme="minorEastAsia"/>
          <w:b/>
          <w:bCs/>
          <w:kern w:val="0"/>
          <w:sz w:val="22"/>
        </w:rPr>
        <w:t xml:space="preserve">    8.其他说明</w:t>
      </w:r>
    </w:p>
    <w:p>
      <w:pPr>
        <w:widowControl/>
        <w:adjustRightInd w:val="0"/>
        <w:snapToGrid w:val="0"/>
        <w:spacing w:line="320" w:lineRule="exact"/>
        <w:rPr>
          <w:rFonts w:asciiTheme="minorEastAsia" w:hAnsiTheme="minorEastAsia" w:cstheme="minorEastAsia"/>
          <w:b/>
          <w:bCs/>
          <w:kern w:val="0"/>
          <w:sz w:val="22"/>
        </w:rPr>
      </w:pPr>
      <w:r>
        <w:rPr>
          <w:rFonts w:hint="eastAsia" w:asciiTheme="minorEastAsia" w:hAnsiTheme="minorEastAsia" w:cstheme="minorEastAsia"/>
          <w:b/>
          <w:bCs/>
          <w:kern w:val="0"/>
          <w:sz w:val="22"/>
        </w:rPr>
        <w:t xml:space="preserve">    </w:t>
      </w:r>
      <w:r>
        <w:rPr>
          <w:rFonts w:hint="eastAsia" w:asciiTheme="minorEastAsia" w:hAnsiTheme="minorEastAsia" w:cstheme="minorEastAsia"/>
          <w:kern w:val="0"/>
          <w:sz w:val="22"/>
        </w:rPr>
        <w:t>（1）采取公开招标和资格后审。</w:t>
      </w:r>
    </w:p>
    <w:p>
      <w:pPr>
        <w:widowControl/>
        <w:adjustRightInd w:val="0"/>
        <w:snapToGrid w:val="0"/>
        <w:spacing w:line="320" w:lineRule="exact"/>
        <w:rPr>
          <w:rFonts w:asciiTheme="minorEastAsia" w:hAnsiTheme="minorEastAsia" w:cstheme="minorEastAsia"/>
          <w:kern w:val="0"/>
          <w:sz w:val="22"/>
        </w:rPr>
      </w:pPr>
      <w:r>
        <w:rPr>
          <w:rFonts w:hint="eastAsia" w:asciiTheme="minorEastAsia" w:hAnsiTheme="minorEastAsia" w:cstheme="minorEastAsia"/>
          <w:b/>
          <w:bCs/>
          <w:kern w:val="0"/>
          <w:sz w:val="22"/>
        </w:rPr>
        <w:t xml:space="preserve">    </w:t>
      </w:r>
      <w:r>
        <w:rPr>
          <w:rFonts w:hint="eastAsia" w:asciiTheme="minorEastAsia" w:hAnsiTheme="minorEastAsia" w:cstheme="minorEastAsia"/>
          <w:kern w:val="0"/>
          <w:sz w:val="22"/>
        </w:rPr>
        <w:t>（1）评标委员会由3人及以上单数构成；</w:t>
      </w:r>
    </w:p>
    <w:p>
      <w:pPr>
        <w:widowControl/>
        <w:adjustRightInd w:val="0"/>
        <w:snapToGrid w:val="0"/>
        <w:spacing w:line="320" w:lineRule="exact"/>
        <w:rPr>
          <w:rFonts w:asciiTheme="minorEastAsia" w:hAnsiTheme="minorEastAsia" w:cstheme="minorEastAsia"/>
          <w:kern w:val="0"/>
          <w:sz w:val="22"/>
        </w:rPr>
      </w:pPr>
      <w:r>
        <w:rPr>
          <w:rFonts w:hint="eastAsia" w:asciiTheme="minorEastAsia" w:hAnsiTheme="minorEastAsia" w:cstheme="minorEastAsia"/>
          <w:kern w:val="0"/>
          <w:sz w:val="22"/>
        </w:rPr>
        <w:t xml:space="preserve">    （2）评标委员会成员招标人自行组建。</w:t>
      </w:r>
    </w:p>
    <w:p>
      <w:pPr>
        <w:widowControl/>
        <w:numPr>
          <w:ilvl w:val="0"/>
          <w:numId w:val="5"/>
        </w:numPr>
        <w:adjustRightInd w:val="0"/>
        <w:snapToGrid w:val="0"/>
        <w:spacing w:line="320" w:lineRule="exact"/>
        <w:ind w:firstLine="480"/>
        <w:rPr>
          <w:rFonts w:asciiTheme="minorEastAsia" w:hAnsiTheme="minorEastAsia" w:cstheme="minorEastAsia"/>
          <w:sz w:val="22"/>
        </w:rPr>
      </w:pPr>
      <w:r>
        <w:rPr>
          <w:rFonts w:hint="eastAsia" w:asciiTheme="minorEastAsia" w:hAnsiTheme="minorEastAsia" w:cstheme="minorEastAsia"/>
          <w:kern w:val="0"/>
          <w:sz w:val="22"/>
        </w:rPr>
        <w:t>评标委员会推荐的中标候选人数：1人。</w:t>
      </w:r>
    </w:p>
    <w:p>
      <w:pPr>
        <w:pStyle w:val="2"/>
        <w:jc w:val="both"/>
        <w:rPr>
          <w:rFonts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 xml:space="preserve">    </w:t>
      </w:r>
      <w:bookmarkStart w:id="36" w:name="_Toc7219"/>
      <w:bookmarkStart w:id="37" w:name="_Toc32668"/>
      <w:bookmarkStart w:id="38" w:name="_Toc3162"/>
      <w:bookmarkStart w:id="39" w:name="_Toc27915"/>
      <w:bookmarkStart w:id="40" w:name="_Toc25974"/>
      <w:r>
        <w:rPr>
          <w:rFonts w:hint="eastAsia" w:asciiTheme="minorEastAsia" w:hAnsiTheme="minorEastAsia" w:eastAsiaTheme="minorEastAsia" w:cstheme="minorEastAsia"/>
          <w:b w:val="0"/>
          <w:bCs w:val="0"/>
          <w:sz w:val="22"/>
          <w:szCs w:val="22"/>
        </w:rPr>
        <w:t>（4）</w:t>
      </w:r>
      <w:bookmarkEnd w:id="36"/>
      <w:bookmarkEnd w:id="37"/>
      <w:bookmarkEnd w:id="38"/>
      <w:r>
        <w:rPr>
          <w:rFonts w:hint="eastAsia" w:asciiTheme="minorEastAsia" w:hAnsiTheme="minorEastAsia" w:eastAsiaTheme="minorEastAsia" w:cstheme="minorEastAsia"/>
          <w:b w:val="0"/>
          <w:bCs w:val="0"/>
          <w:sz w:val="22"/>
          <w:szCs w:val="22"/>
        </w:rPr>
        <w:t>本次评标通过经评审的最低投标价法推荐中标候选人。</w:t>
      </w:r>
      <w:bookmarkEnd w:id="39"/>
      <w:bookmarkEnd w:id="40"/>
    </w:p>
    <w:p>
      <w:pPr>
        <w:widowControl/>
        <w:snapToGrid w:val="0"/>
        <w:spacing w:line="320" w:lineRule="exact"/>
        <w:jc w:val="left"/>
        <w:rPr>
          <w:rFonts w:asciiTheme="minorEastAsia" w:hAnsiTheme="minorEastAsia" w:cstheme="minorEastAsia"/>
          <w:b/>
          <w:bCs/>
          <w:kern w:val="0"/>
          <w:sz w:val="22"/>
        </w:rPr>
      </w:pPr>
      <w:r>
        <w:rPr>
          <w:rFonts w:hint="eastAsia" w:asciiTheme="minorEastAsia" w:hAnsiTheme="minorEastAsia" w:cstheme="minorEastAsia"/>
          <w:b/>
          <w:bCs/>
          <w:kern w:val="0"/>
          <w:sz w:val="22"/>
        </w:rPr>
        <w:t xml:space="preserve">    10.发布公告的媒介</w:t>
      </w:r>
    </w:p>
    <w:p>
      <w:pPr>
        <w:snapToGrid w:val="0"/>
        <w:spacing w:line="320" w:lineRule="exact"/>
        <w:ind w:firstLine="440" w:firstLineChars="200"/>
        <w:rPr>
          <w:rFonts w:asciiTheme="minorEastAsia" w:hAnsiTheme="minorEastAsia" w:cstheme="minorEastAsia"/>
          <w:sz w:val="22"/>
        </w:rPr>
      </w:pPr>
      <w:r>
        <w:rPr>
          <w:rFonts w:hint="eastAsia" w:asciiTheme="minorEastAsia" w:hAnsiTheme="minorEastAsia" w:cstheme="minorEastAsia"/>
          <w:sz w:val="22"/>
        </w:rPr>
        <w:t>本次招标公告在杭州萧山机场有限公司主页http://www.hzairport.com上进行发布。</w:t>
      </w:r>
    </w:p>
    <w:p>
      <w:pPr>
        <w:widowControl/>
        <w:snapToGrid w:val="0"/>
        <w:spacing w:line="320" w:lineRule="exact"/>
        <w:jc w:val="left"/>
        <w:rPr>
          <w:rFonts w:asciiTheme="minorEastAsia" w:hAnsiTheme="minorEastAsia" w:cstheme="minorEastAsia"/>
          <w:b/>
          <w:bCs/>
          <w:kern w:val="0"/>
          <w:sz w:val="22"/>
        </w:rPr>
      </w:pPr>
      <w:r>
        <w:rPr>
          <w:rFonts w:hint="eastAsia" w:asciiTheme="minorEastAsia" w:hAnsiTheme="minorEastAsia" w:cstheme="minorEastAsia"/>
          <w:b/>
          <w:bCs/>
          <w:kern w:val="0"/>
          <w:sz w:val="22"/>
        </w:rPr>
        <w:t xml:space="preserve">    11.联系方式</w:t>
      </w:r>
    </w:p>
    <w:p>
      <w:pPr>
        <w:widowControl/>
        <w:snapToGrid w:val="0"/>
        <w:spacing w:line="360" w:lineRule="exact"/>
        <w:ind w:firstLine="440" w:firstLineChars="200"/>
        <w:jc w:val="left"/>
        <w:rPr>
          <w:rFonts w:asciiTheme="minorEastAsia" w:hAnsiTheme="minorEastAsia" w:cstheme="minorEastAsia"/>
          <w:sz w:val="22"/>
        </w:rPr>
      </w:pPr>
      <w:r>
        <w:rPr>
          <w:rFonts w:hint="eastAsia" w:asciiTheme="minorEastAsia" w:hAnsiTheme="minorEastAsia" w:cstheme="minorEastAsia"/>
          <w:sz w:val="22"/>
        </w:rPr>
        <w:t xml:space="preserve">投标联系人：叶宇超        联系电话：0571-86662348 </w:t>
      </w:r>
    </w:p>
    <w:p>
      <w:pPr>
        <w:widowControl/>
        <w:snapToGrid w:val="0"/>
        <w:spacing w:line="360" w:lineRule="exact"/>
        <w:ind w:firstLine="440" w:firstLineChars="200"/>
        <w:jc w:val="left"/>
      </w:pPr>
      <w:r>
        <w:rPr>
          <w:rFonts w:hint="eastAsia" w:asciiTheme="minorEastAsia" w:hAnsiTheme="minorEastAsia" w:cstheme="minorEastAsia"/>
          <w:color w:val="000000" w:themeColor="text1"/>
          <w:sz w:val="22"/>
          <w14:textFill>
            <w14:solidFill>
              <w14:schemeClr w14:val="tx1"/>
            </w14:solidFill>
          </w14:textFill>
        </w:rPr>
        <w:t>监督联系人：闻晓丽        联系电话：0571-86662361</w:t>
      </w:r>
      <w:bookmarkStart w:id="41" w:name="_Toc448097402"/>
      <w:bookmarkStart w:id="42" w:name="_Toc448097403"/>
    </w:p>
    <w:bookmarkEnd w:id="41"/>
    <w:bookmarkEnd w:id="42"/>
    <w:p>
      <w:pPr>
        <w:pStyle w:val="2"/>
        <w:pageBreakBefore/>
      </w:pPr>
      <w:bookmarkStart w:id="43" w:name="_Toc11271"/>
      <w:bookmarkStart w:id="44" w:name="_Toc5786_WPSOffice_Level1"/>
      <w:bookmarkStart w:id="45" w:name="_Toc22995"/>
      <w:bookmarkStart w:id="46" w:name="_Toc18989"/>
      <w:bookmarkStart w:id="47" w:name="_Toc13238"/>
      <w:bookmarkStart w:id="48" w:name="_Toc448097404"/>
      <w:bookmarkStart w:id="49" w:name="_Toc24237"/>
      <w:r>
        <w:t>第</w:t>
      </w:r>
      <w:r>
        <w:rPr>
          <w:rFonts w:hint="eastAsia"/>
        </w:rPr>
        <w:t>二</w:t>
      </w:r>
      <w:r>
        <w:t xml:space="preserve">章  </w:t>
      </w:r>
      <w:r>
        <w:rPr>
          <w:rFonts w:hint="eastAsia"/>
        </w:rPr>
        <w:t>评标办法</w:t>
      </w:r>
      <w:bookmarkEnd w:id="43"/>
      <w:bookmarkEnd w:id="44"/>
      <w:bookmarkEnd w:id="45"/>
      <w:bookmarkEnd w:id="46"/>
      <w:bookmarkEnd w:id="47"/>
    </w:p>
    <w:p>
      <w:pPr>
        <w:autoSpaceDE w:val="0"/>
        <w:autoSpaceDN w:val="0"/>
        <w:adjustRightInd w:val="0"/>
        <w:spacing w:before="3" w:line="100" w:lineRule="exact"/>
        <w:jc w:val="left"/>
        <w:rPr>
          <w:rFonts w:ascii="微软雅黑" w:hAnsi="Times New Roman" w:cs="微软雅黑"/>
          <w:kern w:val="0"/>
          <w:sz w:val="10"/>
          <w:szCs w:val="10"/>
        </w:rPr>
      </w:pPr>
      <w:bookmarkStart w:id="50" w:name="_Toc31578"/>
    </w:p>
    <w:bookmarkEnd w:id="50"/>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(4)评标委员会负责推荐中标候选人。</w:t>
      </w:r>
    </w:p>
    <w:p>
      <w:pPr>
        <w:autoSpaceDE w:val="0"/>
        <w:autoSpaceDN w:val="0"/>
        <w:adjustRightInd w:val="0"/>
        <w:snapToGrid w:val="0"/>
        <w:spacing w:line="360" w:lineRule="exact"/>
        <w:ind w:firstLine="442" w:firstLineChars="200"/>
        <w:rPr>
          <w:rFonts w:cs="Calibri" w:asciiTheme="minorEastAsia" w:hAnsiTheme="minorEastAsia"/>
          <w:b/>
          <w:bCs/>
          <w:kern w:val="0"/>
          <w:sz w:val="22"/>
        </w:rPr>
      </w:pPr>
      <w:r>
        <w:rPr>
          <w:rFonts w:hint="eastAsia" w:ascii="宋体" w:hAnsi="宋体" w:cs="宋体"/>
          <w:b/>
          <w:sz w:val="22"/>
        </w:rPr>
        <w:t>(五)</w:t>
      </w:r>
      <w:r>
        <w:rPr>
          <w:rFonts w:cs="Calibri" w:asciiTheme="minorEastAsia" w:hAnsiTheme="minorEastAsia"/>
          <w:b/>
          <w:bCs/>
          <w:kern w:val="0"/>
          <w:sz w:val="22"/>
        </w:rPr>
        <w:t>重新招标和不再招标</w:t>
      </w:r>
    </w:p>
    <w:p>
      <w:pPr>
        <w:adjustRightInd w:val="0"/>
        <w:snapToGrid w:val="0"/>
        <w:spacing w:line="360" w:lineRule="exact"/>
        <w:ind w:firstLine="660" w:firstLineChars="300"/>
        <w:rPr>
          <w:rFonts w:cs="Calibri" w:asciiTheme="minorEastAsia" w:hAnsiTheme="minorEastAsia"/>
          <w:color w:val="000000"/>
          <w:sz w:val="22"/>
        </w:rPr>
      </w:pPr>
      <w:r>
        <w:rPr>
          <w:rFonts w:hint="eastAsia" w:cs="Calibri" w:asciiTheme="minorEastAsia" w:hAnsiTheme="minorEastAsia"/>
          <w:color w:val="000000"/>
          <w:sz w:val="22"/>
        </w:rPr>
        <w:t>1、</w:t>
      </w:r>
      <w:r>
        <w:rPr>
          <w:rFonts w:cs="Calibri" w:asciiTheme="minorEastAsia" w:hAnsiTheme="minorEastAsia"/>
          <w:color w:val="000000"/>
          <w:sz w:val="22"/>
        </w:rPr>
        <w:t>有下列情形之一的，招标人将重新招标；</w:t>
      </w:r>
    </w:p>
    <w:p>
      <w:pPr>
        <w:adjustRightInd w:val="0"/>
        <w:snapToGrid w:val="0"/>
        <w:spacing w:line="360" w:lineRule="exact"/>
        <w:ind w:firstLine="660" w:firstLineChars="300"/>
        <w:rPr>
          <w:rFonts w:cs="Calibri" w:asciiTheme="minorEastAsia" w:hAnsiTheme="minorEastAsia"/>
          <w:color w:val="000000"/>
          <w:kern w:val="0"/>
          <w:sz w:val="22"/>
        </w:rPr>
      </w:pPr>
      <w:r>
        <w:rPr>
          <w:rFonts w:cs="Calibri" w:asciiTheme="minorEastAsia" w:hAnsiTheme="minorEastAsia"/>
          <w:color w:val="000000"/>
          <w:kern w:val="0"/>
          <w:sz w:val="22"/>
        </w:rPr>
        <w:t>（1）投标截止时间止，投标人少于3个的；</w:t>
      </w:r>
    </w:p>
    <w:p>
      <w:pPr>
        <w:adjustRightInd w:val="0"/>
        <w:snapToGrid w:val="0"/>
        <w:spacing w:line="360" w:lineRule="exact"/>
        <w:ind w:firstLine="660" w:firstLineChars="300"/>
        <w:rPr>
          <w:rFonts w:cs="Calibri" w:asciiTheme="minorEastAsia" w:hAnsiTheme="minorEastAsia"/>
          <w:color w:val="000000"/>
          <w:kern w:val="0"/>
          <w:sz w:val="22"/>
        </w:rPr>
      </w:pPr>
      <w:r>
        <w:rPr>
          <w:rFonts w:hint="eastAsia" w:cs="Calibri" w:asciiTheme="minorEastAsia" w:hAnsiTheme="minorEastAsia"/>
          <w:color w:val="000000"/>
          <w:kern w:val="0"/>
          <w:sz w:val="22"/>
        </w:rPr>
        <w:t>（2）</w:t>
      </w:r>
      <w:r>
        <w:rPr>
          <w:rFonts w:hint="eastAsia" w:asciiTheme="minorEastAsia" w:hAnsiTheme="minorEastAsia"/>
          <w:b/>
          <w:bCs/>
          <w:sz w:val="22"/>
        </w:rPr>
        <w:t>所有投标人的报价均偏高，招标人无法接受的；</w:t>
      </w:r>
    </w:p>
    <w:p>
      <w:pPr>
        <w:adjustRightInd w:val="0"/>
        <w:snapToGrid w:val="0"/>
        <w:spacing w:line="360" w:lineRule="exact"/>
        <w:ind w:firstLine="660" w:firstLineChars="300"/>
        <w:rPr>
          <w:rFonts w:cs="Calibri" w:asciiTheme="minorEastAsia" w:hAnsiTheme="minorEastAsia"/>
          <w:color w:val="00000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3</w:t>
      </w:r>
      <w:r>
        <w:rPr>
          <w:rFonts w:cs="Calibri" w:asciiTheme="minorEastAsia" w:hAnsiTheme="minorEastAsia"/>
          <w:color w:val="000000"/>
          <w:kern w:val="0"/>
          <w:sz w:val="22"/>
        </w:rPr>
        <w:t>）经评标委员会评审后否决所有投标的。</w:t>
      </w:r>
    </w:p>
    <w:p>
      <w:pPr>
        <w:adjustRightInd w:val="0"/>
        <w:snapToGrid w:val="0"/>
        <w:spacing w:line="360" w:lineRule="exact"/>
        <w:ind w:firstLine="660" w:firstLineChars="300"/>
        <w:rPr>
          <w:rFonts w:ascii="宋体" w:hAnsi="宋体" w:cs="宋体"/>
          <w:sz w:val="22"/>
        </w:rPr>
      </w:pPr>
      <w:bookmarkStart w:id="51" w:name="_Toc219809803"/>
      <w:bookmarkStart w:id="52" w:name="_Toc18806"/>
      <w:bookmarkStart w:id="53" w:name="_Toc220123243"/>
      <w:r>
        <w:rPr>
          <w:rFonts w:hint="eastAsia" w:ascii="宋体" w:hAnsi="宋体" w:cs="宋体"/>
          <w:sz w:val="22"/>
        </w:rPr>
        <w:t>2、 不再招标</w:t>
      </w:r>
      <w:bookmarkEnd w:id="51"/>
      <w:bookmarkEnd w:id="52"/>
      <w:bookmarkEnd w:id="53"/>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重新招标后投标人仍少于3个或者所有投标被否决的，经批准后不再进行招标。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pPr>
      <w:r>
        <w:rPr>
          <w:rFonts w:ascii="宋体" w:hAnsi="宋体" w:cs="宋体"/>
          <w:sz w:val="22"/>
        </w:rPr>
        <w:br w:type="page"/>
      </w:r>
    </w:p>
    <w:p>
      <w:pPr>
        <w:pStyle w:val="2"/>
        <w:rPr>
          <w:rFonts w:ascii="宋体" w:hAnsi="宋体" w:cs="宋体"/>
          <w:sz w:val="28"/>
          <w:szCs w:val="20"/>
        </w:rPr>
      </w:pPr>
      <w:bookmarkStart w:id="54" w:name="_Toc18970"/>
      <w:bookmarkStart w:id="55" w:name="_Toc15969_WPSOffice_Level1"/>
      <w:bookmarkStart w:id="56" w:name="_Toc1162"/>
      <w:bookmarkStart w:id="57" w:name="_Toc24356"/>
      <w:bookmarkStart w:id="58" w:name="_Toc25601"/>
      <w:bookmarkStart w:id="59" w:name="_Toc28189"/>
      <w:r>
        <w:rPr>
          <w:rFonts w:hint="eastAsia"/>
        </w:rPr>
        <w:t>第三章</w:t>
      </w:r>
      <w:r>
        <w:t xml:space="preserve">  </w:t>
      </w:r>
      <w:r>
        <w:rPr>
          <w:rFonts w:hint="eastAsia"/>
        </w:rPr>
        <w:t>合同条款及格式</w:t>
      </w:r>
      <w:bookmarkEnd w:id="48"/>
      <w:bookmarkEnd w:id="54"/>
      <w:bookmarkEnd w:id="55"/>
      <w:bookmarkEnd w:id="56"/>
      <w:bookmarkEnd w:id="57"/>
      <w:bookmarkEnd w:id="58"/>
      <w:bookmarkEnd w:id="59"/>
      <w:bookmarkStart w:id="60" w:name="_Toc448097405"/>
    </w:p>
    <w:bookmarkEnd w:id="60"/>
    <w:p>
      <w:pPr>
        <w:spacing w:line="360" w:lineRule="exact"/>
        <w:jc w:val="center"/>
        <w:rPr>
          <w:rFonts w:asciiTheme="majorEastAsia" w:hAnsiTheme="majorEastAsia" w:eastAsiaTheme="majorEastAsia" w:cstheme="majorEastAsia"/>
          <w:b/>
          <w:bCs/>
          <w:sz w:val="32"/>
          <w:szCs w:val="32"/>
        </w:rPr>
      </w:pPr>
      <w:bookmarkStart w:id="61" w:name="_Toc448097407"/>
      <w:r>
        <w:rPr>
          <w:rFonts w:hint="eastAsia" w:asciiTheme="majorEastAsia" w:hAnsiTheme="majorEastAsia" w:eastAsiaTheme="majorEastAsia" w:cstheme="majorEastAsia"/>
          <w:b/>
          <w:bCs/>
          <w:sz w:val="32"/>
          <w:szCs w:val="32"/>
        </w:rPr>
        <w:t>杭州萧山国际机场部分防汛防台设备物资采购项目采购合同</w:t>
      </w:r>
    </w:p>
    <w:p>
      <w:pPr>
        <w:spacing w:line="276" w:lineRule="auto"/>
        <w:rPr>
          <w:rFonts w:ascii="宋体" w:hAnsi="宋体" w:cs="宋体"/>
          <w:b/>
          <w:kern w:val="1"/>
          <w:szCs w:val="21"/>
        </w:rPr>
      </w:pPr>
    </w:p>
    <w:p>
      <w:pPr>
        <w:spacing w:line="276" w:lineRule="auto"/>
        <w:rPr>
          <w:rFonts w:asciiTheme="minorEastAsia" w:hAnsiTheme="minorEastAsia" w:cstheme="minorEastAsia"/>
          <w:b/>
          <w:kern w:val="1"/>
          <w:sz w:val="22"/>
        </w:rPr>
      </w:pPr>
      <w:r>
        <w:rPr>
          <w:rFonts w:ascii="宋体" w:hAnsi="宋体" w:cs="宋体"/>
          <w:b/>
          <w:kern w:val="1"/>
          <w:szCs w:val="21"/>
        </w:rPr>
        <w:t>甲方</w:t>
      </w:r>
      <w:r>
        <w:rPr>
          <w:rFonts w:hint="eastAsia" w:asciiTheme="minorEastAsia" w:hAnsiTheme="minorEastAsia" w:cstheme="minorEastAsia"/>
          <w:b/>
          <w:kern w:val="1"/>
          <w:sz w:val="22"/>
        </w:rPr>
        <w:t>：杭州萧山国际机场有限公司</w:t>
      </w:r>
    </w:p>
    <w:p>
      <w:pPr>
        <w:spacing w:line="276" w:lineRule="auto"/>
        <w:rPr>
          <w:rFonts w:asciiTheme="minorEastAsia" w:hAnsiTheme="minorEastAsia" w:cstheme="minorEastAsia"/>
          <w:b/>
          <w:kern w:val="1"/>
          <w:sz w:val="22"/>
        </w:rPr>
      </w:pPr>
      <w:r>
        <w:rPr>
          <w:rFonts w:hint="eastAsia" w:asciiTheme="minorEastAsia" w:hAnsiTheme="minorEastAsia" w:cstheme="minorEastAsia"/>
          <w:b/>
          <w:kern w:val="1"/>
          <w:sz w:val="22"/>
        </w:rPr>
        <w:t>住所地：杭州萧山国际机场内</w:t>
      </w:r>
    </w:p>
    <w:p>
      <w:pPr>
        <w:spacing w:line="276" w:lineRule="auto"/>
        <w:rPr>
          <w:rFonts w:asciiTheme="minorEastAsia" w:hAnsiTheme="minorEastAsia" w:cstheme="minorEastAsia"/>
          <w:b/>
          <w:kern w:val="1"/>
          <w:sz w:val="22"/>
        </w:rPr>
      </w:pPr>
      <w:r>
        <w:rPr>
          <w:rFonts w:hint="eastAsia" w:asciiTheme="minorEastAsia" w:hAnsiTheme="minorEastAsia" w:cstheme="minorEastAsia"/>
          <w:b/>
          <w:kern w:val="1"/>
          <w:sz w:val="22"/>
        </w:rPr>
        <w:t>乙方:</w:t>
      </w:r>
    </w:p>
    <w:p>
      <w:pPr>
        <w:spacing w:line="276" w:lineRule="auto"/>
        <w:rPr>
          <w:rFonts w:asciiTheme="minorEastAsia" w:hAnsiTheme="minorEastAsia" w:cstheme="minorEastAsia"/>
          <w:kern w:val="1"/>
          <w:sz w:val="22"/>
        </w:rPr>
      </w:pPr>
      <w:r>
        <w:rPr>
          <w:rFonts w:hint="eastAsia" w:asciiTheme="minorEastAsia" w:hAnsiTheme="minorEastAsia" w:cstheme="minorEastAsia"/>
          <w:b/>
          <w:kern w:val="1"/>
          <w:sz w:val="22"/>
        </w:rPr>
        <w:t>住所地:</w:t>
      </w:r>
    </w:p>
    <w:p>
      <w:pPr>
        <w:adjustRightInd w:val="0"/>
        <w:snapToGrid w:val="0"/>
        <w:spacing w:line="360" w:lineRule="exact"/>
        <w:jc w:val="left"/>
        <w:rPr>
          <w:rFonts w:ascii="宋体" w:hAnsi="宋体"/>
          <w:sz w:val="22"/>
        </w:rPr>
      </w:pPr>
      <w:r>
        <w:rPr>
          <w:rFonts w:hint="eastAsia" w:ascii="宋体" w:hAnsi="宋体"/>
          <w:sz w:val="22"/>
        </w:rPr>
        <w:t xml:space="preserve">    甲、乙双方根据《中华人民共和国民法典》等相关法律法规，就相关产品采购事宜，在互利、平等的原则基础上，经协商一致，特签订本合同，以共同遵守。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一、采购清单</w:t>
      </w:r>
    </w:p>
    <w:tbl>
      <w:tblPr>
        <w:tblStyle w:val="5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260"/>
        <w:gridCol w:w="821"/>
        <w:gridCol w:w="810"/>
        <w:gridCol w:w="147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07" w:type="dxa"/>
            <w:vAlign w:val="center"/>
          </w:tcPr>
          <w:p>
            <w:pPr>
              <w:pStyle w:val="133"/>
              <w:snapToGrid w:val="0"/>
              <w:jc w:val="left"/>
              <w:rPr>
                <w:rFonts w:ascii="宋体" w:hAnsi="宋体"/>
                <w:b/>
                <w:sz w:val="22"/>
              </w:rPr>
            </w:pPr>
            <w:r>
              <w:rPr>
                <w:rFonts w:hint="eastAsia" w:ascii="宋体" w:hAnsi="宋体"/>
                <w:b/>
                <w:sz w:val="22"/>
              </w:rPr>
              <w:t>序号</w:t>
            </w:r>
          </w:p>
        </w:tc>
        <w:tc>
          <w:tcPr>
            <w:tcW w:w="1530" w:type="dxa"/>
            <w:vAlign w:val="center"/>
          </w:tcPr>
          <w:p>
            <w:pPr>
              <w:pStyle w:val="133"/>
              <w:snapToGrid w:val="0"/>
              <w:jc w:val="left"/>
              <w:rPr>
                <w:rFonts w:ascii="宋体" w:hAnsi="宋体"/>
                <w:b/>
                <w:sz w:val="22"/>
              </w:rPr>
            </w:pPr>
            <w:r>
              <w:rPr>
                <w:rFonts w:hint="eastAsia" w:ascii="宋体" w:hAnsi="宋体"/>
                <w:b/>
                <w:sz w:val="22"/>
              </w:rPr>
              <w:t xml:space="preserve"> 项目名称</w:t>
            </w:r>
          </w:p>
        </w:tc>
        <w:tc>
          <w:tcPr>
            <w:tcW w:w="1260" w:type="dxa"/>
            <w:vAlign w:val="center"/>
          </w:tcPr>
          <w:p>
            <w:pPr>
              <w:pStyle w:val="133"/>
              <w:snapToGrid w:val="0"/>
              <w:jc w:val="left"/>
              <w:rPr>
                <w:rFonts w:ascii="宋体" w:hAnsi="宋体"/>
                <w:b/>
                <w:sz w:val="22"/>
              </w:rPr>
            </w:pPr>
            <w:r>
              <w:rPr>
                <w:rFonts w:hint="eastAsia" w:ascii="宋体" w:hAnsi="宋体"/>
                <w:b/>
                <w:sz w:val="22"/>
              </w:rPr>
              <w:t>参数规格</w:t>
            </w:r>
          </w:p>
        </w:tc>
        <w:tc>
          <w:tcPr>
            <w:tcW w:w="821" w:type="dxa"/>
            <w:vAlign w:val="center"/>
          </w:tcPr>
          <w:p>
            <w:pPr>
              <w:pStyle w:val="133"/>
              <w:snapToGrid w:val="0"/>
              <w:jc w:val="center"/>
              <w:rPr>
                <w:rFonts w:ascii="宋体" w:hAnsi="宋体"/>
                <w:b/>
                <w:sz w:val="22"/>
              </w:rPr>
            </w:pPr>
            <w:r>
              <w:rPr>
                <w:rFonts w:hint="eastAsia" w:ascii="宋体" w:hAnsi="宋体"/>
                <w:b/>
                <w:sz w:val="22"/>
              </w:rPr>
              <w:t>单位</w:t>
            </w:r>
          </w:p>
        </w:tc>
        <w:tc>
          <w:tcPr>
            <w:tcW w:w="810" w:type="dxa"/>
            <w:vAlign w:val="center"/>
          </w:tcPr>
          <w:p>
            <w:pPr>
              <w:pStyle w:val="133"/>
              <w:snapToGrid w:val="0"/>
              <w:jc w:val="left"/>
              <w:rPr>
                <w:rFonts w:ascii="宋体" w:hAnsi="宋体"/>
                <w:b/>
                <w:sz w:val="22"/>
              </w:rPr>
            </w:pPr>
            <w:r>
              <w:rPr>
                <w:rFonts w:hint="eastAsia" w:ascii="宋体" w:hAnsi="宋体"/>
                <w:b/>
                <w:sz w:val="22"/>
              </w:rPr>
              <w:t>数量</w:t>
            </w:r>
          </w:p>
        </w:tc>
        <w:tc>
          <w:tcPr>
            <w:tcW w:w="1470" w:type="dxa"/>
            <w:vAlign w:val="center"/>
          </w:tcPr>
          <w:p>
            <w:pPr>
              <w:pStyle w:val="133"/>
              <w:snapToGrid w:val="0"/>
              <w:jc w:val="center"/>
              <w:rPr>
                <w:rFonts w:ascii="宋体" w:hAnsi="宋体"/>
                <w:b/>
                <w:sz w:val="22"/>
              </w:rPr>
            </w:pPr>
            <w:r>
              <w:rPr>
                <w:rFonts w:ascii="宋体" w:hAnsi="宋体" w:cs="宋体"/>
                <w:b/>
                <w:sz w:val="20"/>
              </w:rPr>
              <w:t xml:space="preserve">单  价 </w:t>
            </w:r>
            <w:r>
              <w:rPr>
                <w:rFonts w:hint="eastAsia" w:ascii="宋体" w:hAnsi="宋体" w:cs="宋体"/>
                <w:b/>
                <w:sz w:val="20"/>
              </w:rPr>
              <w:t xml:space="preserve">       </w:t>
            </w:r>
            <w:r>
              <w:rPr>
                <w:rFonts w:ascii="宋体" w:hAnsi="宋体" w:cs="宋体"/>
                <w:b/>
                <w:sz w:val="20"/>
              </w:rPr>
              <w:t>(元，不含税)</w:t>
            </w:r>
          </w:p>
        </w:tc>
        <w:tc>
          <w:tcPr>
            <w:tcW w:w="1606" w:type="dxa"/>
            <w:vAlign w:val="center"/>
          </w:tcPr>
          <w:p>
            <w:pPr>
              <w:pStyle w:val="133"/>
              <w:snapToGrid w:val="0"/>
              <w:jc w:val="left"/>
              <w:rPr>
                <w:rFonts w:ascii="宋体" w:hAnsi="宋体"/>
                <w:b/>
                <w:sz w:val="22"/>
              </w:rPr>
            </w:pPr>
            <w:r>
              <w:rPr>
                <w:rFonts w:hint="eastAsia" w:ascii="宋体" w:hAnsi="宋体" w:cs="宋体"/>
                <w:b/>
                <w:sz w:val="20"/>
              </w:rPr>
              <w:t xml:space="preserve">   合 </w:t>
            </w:r>
            <w:r>
              <w:rPr>
                <w:rFonts w:ascii="宋体" w:hAnsi="宋体" w:cs="宋体"/>
                <w:b/>
                <w:sz w:val="20"/>
              </w:rPr>
              <w:t xml:space="preserve">价 </w:t>
            </w:r>
            <w:r>
              <w:rPr>
                <w:rFonts w:hint="eastAsia" w:ascii="宋体" w:hAnsi="宋体" w:cs="宋体"/>
                <w:b/>
                <w:sz w:val="20"/>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不含税价格合计（元）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hint="eastAsia" w:ascii="宋体" w:hAnsi="宋体" w:cs="宋体"/>
                <w:b/>
                <w:kern w:val="1"/>
                <w:sz w:val="20"/>
              </w:rPr>
              <w:t>增值税税金</w:t>
            </w:r>
            <w:r>
              <w:rPr>
                <w:rFonts w:ascii="宋体" w:hAnsi="宋体" w:cs="宋体"/>
                <w:b/>
                <w:kern w:val="1"/>
                <w:sz w:val="20"/>
              </w:rPr>
              <w:t>（元）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价税合计（元）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人民币大写     元，¥   .00</w:t>
            </w: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pacing w:line="276" w:lineRule="auto"/>
        <w:ind w:firstLine="403"/>
        <w:rPr>
          <w:rFonts w:ascii="宋体" w:hAnsi="宋体" w:cs="宋体"/>
          <w:kern w:val="1"/>
          <w:szCs w:val="21"/>
        </w:rPr>
      </w:pPr>
      <w:r>
        <w:rPr>
          <w:rFonts w:ascii="宋体" w:hAnsi="宋体" w:cs="宋体"/>
          <w:kern w:val="1"/>
          <w:szCs w:val="21"/>
        </w:rPr>
        <w:t>本合同金额为</w:t>
      </w:r>
      <w:r>
        <w:rPr>
          <w:rFonts w:ascii="宋体" w:hAnsi="宋体" w:cs="宋体"/>
          <w:b/>
          <w:bCs/>
          <w:kern w:val="1"/>
          <w:szCs w:val="21"/>
        </w:rPr>
        <w:t>固定总价合同</w:t>
      </w:r>
      <w:r>
        <w:rPr>
          <w:rFonts w:ascii="宋体" w:hAnsi="宋体" w:cs="宋体"/>
          <w:kern w:val="1"/>
          <w:szCs w:val="21"/>
        </w:rPr>
        <w:t>，合同金额为（大写）：人民币    ，（小写）¥       。本合同价为杭州萧山国际机场内交货价，含产品价格</w:t>
      </w:r>
      <w:r>
        <w:rPr>
          <w:rFonts w:hint="eastAsia" w:ascii="宋体" w:hAnsi="宋体" w:cs="宋体"/>
          <w:kern w:val="1"/>
          <w:szCs w:val="21"/>
        </w:rPr>
        <w:t>（包含辅料费用）</w:t>
      </w:r>
      <w:r>
        <w:rPr>
          <w:rFonts w:ascii="宋体" w:hAnsi="宋体" w:cs="宋体"/>
          <w:kern w:val="1"/>
          <w:szCs w:val="21"/>
        </w:rPr>
        <w:t>、运输费、安装、包装费、保险费、税费等所有费用。甲方不再承担其他任何费用。</w:t>
      </w:r>
    </w:p>
    <w:p>
      <w:pPr>
        <w:spacing w:line="276" w:lineRule="auto"/>
        <w:ind w:firstLine="403"/>
        <w:rPr>
          <w:rFonts w:ascii="宋体" w:hAnsi="宋体" w:cs="宋体"/>
          <w:b/>
          <w:kern w:val="1"/>
          <w:szCs w:val="21"/>
          <w:u w:val="single"/>
        </w:rPr>
      </w:pPr>
      <w:r>
        <w:rPr>
          <w:rFonts w:ascii="宋体" w:hAnsi="宋体" w:cs="宋体"/>
          <w:b/>
          <w:kern w:val="1"/>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62" w:name="_Toc422638512"/>
      <w:bookmarkStart w:id="63" w:name="_Toc25196"/>
      <w:bookmarkStart w:id="64" w:name="_Toc19905"/>
      <w:bookmarkStart w:id="65" w:name="_Toc7180"/>
      <w:bookmarkStart w:id="66" w:name="_Toc12973"/>
      <w:bookmarkStart w:id="67" w:name="_Toc25604"/>
      <w:bookmarkStart w:id="68" w:name="_Toc6649"/>
      <w:bookmarkStart w:id="69" w:name="_Toc1271"/>
      <w:bookmarkStart w:id="70" w:name="_Toc30327"/>
      <w:bookmarkStart w:id="71" w:name="_Toc32320"/>
      <w:bookmarkStart w:id="72" w:name="_Toc6650"/>
      <w:r>
        <w:rPr>
          <w:rFonts w:hint="eastAsia" w:ascii="宋体" w:hAnsi="宋体"/>
          <w:b/>
          <w:sz w:val="22"/>
        </w:rPr>
        <w:t>六、转包或分包</w:t>
      </w:r>
      <w:bookmarkEnd w:id="62"/>
      <w:bookmarkEnd w:id="63"/>
      <w:bookmarkEnd w:id="64"/>
      <w:bookmarkEnd w:id="65"/>
      <w:bookmarkEnd w:id="66"/>
      <w:bookmarkEnd w:id="67"/>
      <w:bookmarkEnd w:id="68"/>
      <w:bookmarkEnd w:id="69"/>
      <w:bookmarkEnd w:id="70"/>
      <w:bookmarkEnd w:id="71"/>
      <w:bookmarkEnd w:id="7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73" w:name="_Toc28346"/>
      <w:bookmarkStart w:id="74" w:name="_Toc2823"/>
      <w:bookmarkStart w:id="75" w:name="_Toc23859"/>
      <w:bookmarkStart w:id="76" w:name="_Toc19919"/>
      <w:bookmarkStart w:id="77" w:name="_Toc21035"/>
      <w:bookmarkStart w:id="78" w:name="_Toc422638513"/>
      <w:bookmarkStart w:id="79" w:name="_Toc9133"/>
      <w:bookmarkStart w:id="80" w:name="_Toc6119"/>
      <w:bookmarkStart w:id="81" w:name="_Toc7980"/>
      <w:bookmarkStart w:id="82" w:name="_Toc2018"/>
      <w:bookmarkStart w:id="83" w:name="_Toc15610"/>
      <w:r>
        <w:rPr>
          <w:rFonts w:hint="eastAsia" w:ascii="宋体" w:hAnsi="宋体"/>
          <w:b/>
          <w:sz w:val="22"/>
        </w:rPr>
        <w:t>七、货物包装、发运及运输</w:t>
      </w:r>
      <w:bookmarkEnd w:id="73"/>
      <w:bookmarkEnd w:id="74"/>
      <w:bookmarkEnd w:id="75"/>
      <w:bookmarkEnd w:id="76"/>
      <w:bookmarkEnd w:id="77"/>
      <w:bookmarkEnd w:id="78"/>
      <w:bookmarkEnd w:id="79"/>
      <w:bookmarkEnd w:id="80"/>
      <w:bookmarkEnd w:id="81"/>
      <w:bookmarkEnd w:id="82"/>
      <w:bookmarkEnd w:id="8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84" w:name="_Toc422638514"/>
      <w:bookmarkStart w:id="85" w:name="_Toc16829"/>
      <w:bookmarkStart w:id="86" w:name="_Toc11708"/>
      <w:bookmarkStart w:id="87" w:name="_Toc12199"/>
      <w:bookmarkStart w:id="88" w:name="_Toc845"/>
      <w:bookmarkStart w:id="89" w:name="_Toc11452"/>
      <w:bookmarkStart w:id="90" w:name="_Toc16816"/>
      <w:bookmarkStart w:id="91" w:name="_Toc8483"/>
      <w:bookmarkStart w:id="92" w:name="_Toc4242"/>
      <w:bookmarkStart w:id="93" w:name="_Toc4419"/>
      <w:bookmarkStart w:id="94" w:name="_Toc5977"/>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84"/>
      <w:bookmarkEnd w:id="85"/>
      <w:bookmarkEnd w:id="86"/>
      <w:bookmarkEnd w:id="87"/>
      <w:bookmarkEnd w:id="88"/>
      <w:bookmarkEnd w:id="89"/>
      <w:bookmarkEnd w:id="90"/>
      <w:bookmarkEnd w:id="91"/>
      <w:bookmarkEnd w:id="92"/>
      <w:bookmarkEnd w:id="93"/>
      <w:bookmarkEnd w:id="9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w:t>
      </w:r>
      <w:r>
        <w:rPr>
          <w:rFonts w:ascii="宋体" w:hAnsi="宋体"/>
          <w:sz w:val="22"/>
          <w:u w:val="single"/>
        </w:rPr>
        <w:t>30</w:t>
      </w:r>
      <w:r>
        <w:rPr>
          <w:rFonts w:hint="eastAsia" w:ascii="宋体" w:hAnsi="宋体"/>
          <w:sz w:val="22"/>
          <w:u w:val="single"/>
        </w:rPr>
        <w:t xml:space="preserve"> </w:t>
      </w:r>
      <w:r>
        <w:rPr>
          <w:rFonts w:hint="eastAsia" w:ascii="宋体" w:hAnsi="宋体"/>
          <w:sz w:val="22"/>
        </w:rPr>
        <w:t>个日历天内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95" w:name="_Toc13998"/>
      <w:bookmarkStart w:id="96" w:name="_Toc24483"/>
      <w:bookmarkStart w:id="97" w:name="_Toc6746"/>
      <w:bookmarkStart w:id="98" w:name="_Toc31116"/>
      <w:bookmarkStart w:id="99" w:name="_Toc5958"/>
      <w:bookmarkStart w:id="100" w:name="_Toc30914"/>
      <w:bookmarkStart w:id="101" w:name="_Toc25959"/>
      <w:bookmarkStart w:id="102" w:name="_Toc30749"/>
      <w:bookmarkStart w:id="103" w:name="_Toc422638515"/>
      <w:bookmarkStart w:id="104" w:name="_Toc20864"/>
      <w:bookmarkStart w:id="105" w:name="_Toc29141"/>
      <w:r>
        <w:rPr>
          <w:rFonts w:hint="eastAsia" w:ascii="宋体" w:hAnsi="宋体"/>
          <w:b/>
          <w:sz w:val="22"/>
        </w:rPr>
        <w:t>九、安装、调试及验收</w:t>
      </w:r>
      <w:bookmarkEnd w:id="95"/>
      <w:bookmarkEnd w:id="96"/>
      <w:bookmarkEnd w:id="97"/>
      <w:bookmarkEnd w:id="98"/>
      <w:bookmarkEnd w:id="99"/>
      <w:bookmarkEnd w:id="100"/>
      <w:bookmarkEnd w:id="101"/>
      <w:bookmarkEnd w:id="102"/>
      <w:bookmarkEnd w:id="103"/>
      <w:bookmarkEnd w:id="104"/>
      <w:bookmarkEnd w:id="10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106" w:name="_Toc19474"/>
      <w:bookmarkStart w:id="107" w:name="_Toc22026"/>
      <w:bookmarkStart w:id="108" w:name="_Toc25694"/>
      <w:bookmarkStart w:id="109" w:name="_Toc19750"/>
      <w:bookmarkStart w:id="110" w:name="_Toc19714"/>
      <w:bookmarkStart w:id="111" w:name="_Toc147"/>
      <w:bookmarkStart w:id="112" w:name="_Toc12302"/>
      <w:bookmarkStart w:id="113" w:name="_Toc3023"/>
      <w:bookmarkStart w:id="114" w:name="_Toc26208"/>
      <w:bookmarkStart w:id="115" w:name="_Toc422638516"/>
      <w:bookmarkStart w:id="116" w:name="_Toc6551"/>
      <w:r>
        <w:rPr>
          <w:rFonts w:hint="eastAsia" w:ascii="宋体" w:hAnsi="宋体"/>
          <w:b/>
          <w:sz w:val="22"/>
        </w:rPr>
        <w:t>十、货款支付</w:t>
      </w:r>
      <w:bookmarkEnd w:id="106"/>
      <w:bookmarkEnd w:id="107"/>
      <w:bookmarkEnd w:id="108"/>
      <w:bookmarkEnd w:id="109"/>
      <w:bookmarkEnd w:id="110"/>
      <w:bookmarkEnd w:id="111"/>
      <w:bookmarkEnd w:id="112"/>
      <w:bookmarkEnd w:id="113"/>
      <w:bookmarkEnd w:id="114"/>
      <w:bookmarkEnd w:id="115"/>
      <w:bookmarkEnd w:id="116"/>
    </w:p>
    <w:p>
      <w:pPr>
        <w:pStyle w:val="47"/>
        <w:snapToGrid w:val="0"/>
        <w:spacing w:before="0" w:beforeAutospacing="0" w:after="0" w:afterAutospacing="0" w:line="360" w:lineRule="exact"/>
        <w:ind w:firstLine="442" w:firstLineChars="200"/>
        <w:jc w:val="both"/>
        <w:rPr>
          <w:rFonts w:ascii="宋体" w:hAnsi="宋体"/>
          <w:sz w:val="22"/>
        </w:rPr>
      </w:pPr>
      <w:r>
        <w:rPr>
          <w:rFonts w:hint="eastAsia" w:ascii="宋体" w:hAnsi="宋体"/>
          <w:b/>
          <w:sz w:val="22"/>
        </w:rPr>
        <w:t>1</w:t>
      </w:r>
      <w:r>
        <w:rPr>
          <w:rFonts w:hint="eastAsia" w:ascii="宋体" w:hAnsi="宋体"/>
          <w:sz w:val="22"/>
        </w:rPr>
        <w:t>.设备安装调试完成并经甲方验收合格后【15】个工作日内，支付至合同总金额的95%。</w:t>
      </w:r>
    </w:p>
    <w:p>
      <w:pPr>
        <w:pStyle w:val="47"/>
        <w:snapToGrid w:val="0"/>
        <w:spacing w:before="0" w:beforeAutospacing="0" w:after="0" w:afterAutospacing="0" w:line="360" w:lineRule="exact"/>
        <w:ind w:left="420" w:leftChars="200"/>
        <w:jc w:val="both"/>
        <w:rPr>
          <w:rFonts w:ascii="宋体" w:hAnsi="宋体"/>
          <w:sz w:val="22"/>
        </w:rPr>
      </w:pPr>
      <w:r>
        <w:rPr>
          <w:rFonts w:hint="eastAsia" w:ascii="宋体" w:hAnsi="宋体"/>
          <w:b/>
          <w:sz w:val="22"/>
        </w:rPr>
        <w:t>2.</w:t>
      </w:r>
      <w:r>
        <w:rPr>
          <w:rFonts w:hint="eastAsia" w:ascii="仿宋" w:hAnsi="仿宋" w:eastAsia="仿宋"/>
        </w:rPr>
        <w:t xml:space="preserve"> </w:t>
      </w:r>
      <w:r>
        <w:rPr>
          <w:rFonts w:hint="eastAsia" w:ascii="宋体" w:hAnsi="宋体"/>
          <w:sz w:val="22"/>
        </w:rPr>
        <w:t>质量保证金为合同总价5</w:t>
      </w:r>
      <w:r>
        <w:rPr>
          <w:rFonts w:ascii="宋体" w:hAnsi="宋体"/>
          <w:sz w:val="22"/>
        </w:rPr>
        <w:t>%，</w:t>
      </w:r>
      <w:r>
        <w:rPr>
          <w:rFonts w:hint="eastAsia" w:ascii="宋体" w:hAnsi="宋体"/>
          <w:sz w:val="22"/>
        </w:rPr>
        <w:t>质量保证金于质量保证期满后【十五】</w:t>
      </w:r>
      <w:r>
        <w:rPr>
          <w:rFonts w:ascii="宋体" w:hAnsi="宋体"/>
          <w:sz w:val="22"/>
        </w:rPr>
        <w:t>工作日内</w:t>
      </w:r>
      <w:r>
        <w:rPr>
          <w:rFonts w:hint="eastAsia" w:ascii="宋体" w:hAnsi="宋体"/>
          <w:sz w:val="22"/>
        </w:rPr>
        <w:t>一并无息</w:t>
      </w:r>
      <w:r>
        <w:rPr>
          <w:rFonts w:ascii="宋体" w:hAnsi="宋体"/>
          <w:sz w:val="22"/>
        </w:rPr>
        <w:t>支付。</w:t>
      </w:r>
    </w:p>
    <w:p>
      <w:pPr>
        <w:pStyle w:val="47"/>
        <w:snapToGrid w:val="0"/>
        <w:spacing w:before="0" w:beforeAutospacing="0" w:after="0" w:afterAutospacing="0" w:line="360" w:lineRule="exact"/>
        <w:ind w:left="420" w:leftChars="200"/>
        <w:jc w:val="both"/>
        <w:rPr>
          <w:rFonts w:ascii="宋体" w:hAnsi="宋体"/>
          <w:sz w:val="22"/>
        </w:rPr>
      </w:pPr>
      <w:r>
        <w:rPr>
          <w:rFonts w:hint="eastAsia" w:ascii="宋体" w:hAnsi="宋体"/>
          <w:b/>
          <w:sz w:val="22"/>
        </w:rPr>
        <w:t>3.</w:t>
      </w:r>
      <w:r>
        <w:rPr>
          <w:rFonts w:hint="eastAsia" w:ascii="宋体" w:hAnsi="宋体"/>
          <w:sz w:val="22"/>
        </w:rPr>
        <w:t>乙方在甲方每次付款前开具税率为</w:t>
      </w:r>
      <w:r>
        <w:rPr>
          <w:rFonts w:hint="eastAsia" w:ascii="宋体" w:hAnsi="宋体" w:eastAsia="宋体"/>
          <w:sz w:val="22"/>
          <w:u w:val="single"/>
        </w:rPr>
        <w:t xml:space="preserve">   </w:t>
      </w:r>
      <w:r>
        <w:rPr>
          <w:rFonts w:hint="eastAsia" w:ascii="宋体" w:hAnsi="宋体"/>
          <w:sz w:val="22"/>
        </w:rPr>
        <w:t>%增值税专用发票。</w:t>
      </w:r>
    </w:p>
    <w:p>
      <w:pPr>
        <w:adjustRightInd w:val="0"/>
        <w:snapToGrid w:val="0"/>
        <w:spacing w:line="360" w:lineRule="exact"/>
        <w:ind w:firstLine="442" w:firstLineChars="200"/>
        <w:outlineLvl w:val="0"/>
        <w:rPr>
          <w:rFonts w:ascii="宋体" w:hAnsi="宋体"/>
          <w:b/>
          <w:sz w:val="22"/>
        </w:rPr>
      </w:pPr>
      <w:bookmarkStart w:id="117" w:name="_Toc8781"/>
      <w:bookmarkStart w:id="118" w:name="_Toc18263"/>
      <w:bookmarkStart w:id="119" w:name="_Toc2347"/>
      <w:bookmarkStart w:id="120" w:name="_Toc26037"/>
      <w:bookmarkStart w:id="121" w:name="_Toc422638517"/>
      <w:bookmarkStart w:id="122" w:name="_Toc29569"/>
      <w:bookmarkStart w:id="123" w:name="_Toc12451"/>
      <w:bookmarkStart w:id="124" w:name="_Toc912"/>
      <w:bookmarkStart w:id="125" w:name="_Toc5391"/>
      <w:bookmarkStart w:id="126" w:name="_Toc26814"/>
      <w:bookmarkStart w:id="127" w:name="_Toc4773"/>
      <w:r>
        <w:rPr>
          <w:rFonts w:hint="eastAsia" w:ascii="宋体" w:hAnsi="宋体"/>
          <w:b/>
          <w:sz w:val="22"/>
        </w:rPr>
        <w:t>十一、税费</w:t>
      </w:r>
      <w:bookmarkEnd w:id="117"/>
      <w:bookmarkEnd w:id="118"/>
      <w:bookmarkEnd w:id="119"/>
      <w:bookmarkEnd w:id="120"/>
      <w:bookmarkEnd w:id="121"/>
      <w:bookmarkEnd w:id="122"/>
      <w:bookmarkEnd w:id="123"/>
      <w:bookmarkEnd w:id="124"/>
      <w:bookmarkEnd w:id="125"/>
      <w:bookmarkEnd w:id="126"/>
      <w:bookmarkEnd w:id="127"/>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128" w:name="_Toc9234"/>
      <w:bookmarkStart w:id="129" w:name="_Toc15244"/>
      <w:bookmarkStart w:id="130" w:name="_Toc29328"/>
      <w:bookmarkStart w:id="131" w:name="_Toc422638518"/>
      <w:bookmarkStart w:id="132" w:name="_Toc18646"/>
      <w:bookmarkStart w:id="133" w:name="_Toc14830"/>
      <w:bookmarkStart w:id="134" w:name="_Toc24640"/>
      <w:bookmarkStart w:id="135" w:name="_Toc18782"/>
      <w:bookmarkStart w:id="136" w:name="_Toc21906"/>
      <w:bookmarkStart w:id="137" w:name="_Toc855"/>
      <w:bookmarkStart w:id="138" w:name="_Toc26146"/>
      <w:r>
        <w:rPr>
          <w:rFonts w:hint="eastAsia" w:ascii="宋体" w:hAnsi="宋体"/>
          <w:b/>
          <w:sz w:val="22"/>
        </w:rPr>
        <w:t>十二、质量保证及售后服务</w:t>
      </w:r>
      <w:bookmarkEnd w:id="128"/>
      <w:bookmarkEnd w:id="129"/>
      <w:bookmarkEnd w:id="130"/>
      <w:bookmarkEnd w:id="131"/>
      <w:bookmarkEnd w:id="132"/>
      <w:bookmarkEnd w:id="133"/>
      <w:bookmarkEnd w:id="134"/>
      <w:bookmarkEnd w:id="135"/>
      <w:bookmarkEnd w:id="136"/>
      <w:bookmarkEnd w:id="137"/>
      <w:bookmarkEnd w:id="138"/>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乙方应为设备提供【一】年的免费保修期，时间自甲方验收并接受货物之日起计算。</w:t>
      </w:r>
    </w:p>
    <w:p>
      <w:pPr>
        <w:snapToGrid w:val="0"/>
        <w:spacing w:line="360" w:lineRule="exact"/>
        <w:ind w:firstLine="442" w:firstLineChars="200"/>
        <w:rPr>
          <w:rFonts w:ascii="宋体" w:hAnsi="宋体"/>
          <w:color w:val="C00000"/>
          <w:sz w:val="22"/>
        </w:rPr>
      </w:pPr>
      <w:r>
        <w:rPr>
          <w:rFonts w:hint="eastAsia" w:ascii="宋体" w:hAnsi="宋体"/>
          <w:b/>
          <w:sz w:val="22"/>
        </w:rPr>
        <w:t>3．</w:t>
      </w:r>
      <w:r>
        <w:rPr>
          <w:rFonts w:hint="eastAsia" w:ascii="宋体" w:hAnsi="宋体"/>
          <w:bCs/>
          <w:sz w:val="22"/>
        </w:rPr>
        <w:t>免费</w:t>
      </w:r>
      <w:r>
        <w:rPr>
          <w:rFonts w:hint="eastAsia" w:ascii="宋体" w:hAnsi="宋体"/>
          <w:sz w:val="22"/>
        </w:rPr>
        <w:t>保修期内由于非甲方原因发生的的故障或损坏，乙方免费提供维修和备件直至设备性能、状态等达到正常标准，可以正常安全使用为止</w:t>
      </w:r>
      <w:r>
        <w:rPr>
          <w:rFonts w:hint="eastAsia" w:ascii="宋体" w:hAnsi="宋体"/>
          <w:color w:val="C00000"/>
          <w:sz w:val="22"/>
        </w:rPr>
        <w:t>。</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bCs/>
          <w:sz w:val="22"/>
        </w:rPr>
        <w:t>免费</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2" w:firstLineChars="200"/>
        <w:outlineLvl w:val="0"/>
        <w:rPr>
          <w:rFonts w:ascii="宋体" w:hAnsi="宋体"/>
          <w:b/>
          <w:sz w:val="22"/>
        </w:rPr>
      </w:pPr>
      <w:bookmarkStart w:id="139" w:name="_Toc6236"/>
      <w:bookmarkStart w:id="140" w:name="_Toc422638519"/>
      <w:bookmarkStart w:id="141" w:name="_Toc17558"/>
      <w:bookmarkStart w:id="142" w:name="_Toc7548"/>
      <w:bookmarkStart w:id="143" w:name="_Toc9243"/>
      <w:bookmarkStart w:id="144" w:name="_Toc1322"/>
      <w:bookmarkStart w:id="145" w:name="_Toc30266"/>
      <w:bookmarkStart w:id="146" w:name="_Toc13785"/>
      <w:bookmarkStart w:id="147" w:name="_Toc15972"/>
      <w:bookmarkStart w:id="148" w:name="_Toc8112"/>
      <w:bookmarkStart w:id="149" w:name="_Toc21775"/>
      <w:r>
        <w:rPr>
          <w:rFonts w:hint="eastAsia" w:ascii="宋体" w:hAnsi="宋体"/>
          <w:b/>
          <w:sz w:val="22"/>
        </w:rPr>
        <w:t>十三、违约责任</w:t>
      </w:r>
      <w:bookmarkEnd w:id="139"/>
      <w:bookmarkEnd w:id="140"/>
      <w:bookmarkEnd w:id="141"/>
      <w:bookmarkEnd w:id="142"/>
      <w:bookmarkEnd w:id="143"/>
      <w:bookmarkEnd w:id="144"/>
      <w:bookmarkEnd w:id="145"/>
      <w:bookmarkEnd w:id="146"/>
      <w:bookmarkEnd w:id="147"/>
      <w:bookmarkEnd w:id="148"/>
      <w:bookmarkEnd w:id="14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color w:val="C00000"/>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2" w:firstLineChars="200"/>
        <w:outlineLvl w:val="0"/>
        <w:rPr>
          <w:rFonts w:ascii="宋体" w:hAnsi="宋体"/>
          <w:b/>
          <w:sz w:val="22"/>
        </w:rPr>
      </w:pPr>
      <w:bookmarkStart w:id="150" w:name="_Toc11073"/>
      <w:bookmarkStart w:id="151" w:name="_Toc32385"/>
      <w:bookmarkStart w:id="152" w:name="_Toc20791"/>
      <w:bookmarkStart w:id="153" w:name="_Toc13046"/>
      <w:bookmarkStart w:id="154" w:name="_Toc12658"/>
      <w:bookmarkStart w:id="155" w:name="_Toc20199"/>
      <w:bookmarkStart w:id="156" w:name="_Toc14299"/>
      <w:bookmarkStart w:id="157" w:name="_Toc30178"/>
      <w:bookmarkStart w:id="158" w:name="_Toc422638520"/>
      <w:bookmarkStart w:id="159" w:name="_Toc30225"/>
      <w:bookmarkStart w:id="160" w:name="_Toc4514"/>
      <w:r>
        <w:rPr>
          <w:rFonts w:hint="eastAsia" w:ascii="宋体" w:hAnsi="宋体"/>
          <w:b/>
          <w:sz w:val="22"/>
        </w:rPr>
        <w:t>十四、不可抗力事件处理</w:t>
      </w:r>
      <w:bookmarkEnd w:id="150"/>
      <w:bookmarkEnd w:id="151"/>
      <w:bookmarkEnd w:id="152"/>
      <w:bookmarkEnd w:id="153"/>
      <w:bookmarkEnd w:id="154"/>
      <w:bookmarkEnd w:id="155"/>
      <w:bookmarkEnd w:id="156"/>
      <w:bookmarkEnd w:id="157"/>
      <w:bookmarkEnd w:id="158"/>
      <w:bookmarkEnd w:id="159"/>
      <w:bookmarkEnd w:id="160"/>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161" w:name="_Toc11390"/>
      <w:bookmarkStart w:id="162" w:name="_Toc2809"/>
      <w:bookmarkStart w:id="163" w:name="_Toc3298"/>
      <w:bookmarkStart w:id="164" w:name="_Toc422638521"/>
      <w:bookmarkStart w:id="165" w:name="_Toc14729"/>
      <w:bookmarkStart w:id="166" w:name="_Toc32611"/>
      <w:bookmarkStart w:id="167" w:name="_Toc19002"/>
      <w:bookmarkStart w:id="168" w:name="_Toc20561"/>
      <w:bookmarkStart w:id="169" w:name="_Toc8300"/>
      <w:bookmarkStart w:id="170" w:name="_Toc19949"/>
      <w:bookmarkStart w:id="171" w:name="_Toc27033"/>
      <w:r>
        <w:rPr>
          <w:rFonts w:hint="eastAsia" w:ascii="宋体" w:hAnsi="宋体"/>
          <w:b/>
          <w:sz w:val="22"/>
        </w:rPr>
        <w:t>十七、合同生效及其它</w:t>
      </w:r>
      <w:bookmarkEnd w:id="161"/>
      <w:bookmarkEnd w:id="162"/>
      <w:bookmarkEnd w:id="163"/>
      <w:bookmarkEnd w:id="164"/>
      <w:bookmarkEnd w:id="165"/>
      <w:bookmarkEnd w:id="166"/>
      <w:bookmarkEnd w:id="167"/>
      <w:bookmarkEnd w:id="168"/>
      <w:bookmarkEnd w:id="169"/>
      <w:bookmarkEnd w:id="170"/>
      <w:bookmarkEnd w:id="17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本合同未尽事宜，双方可签订补充协议予以执行；未达成补充协议的，遵照《中华人民共和国民法典》及有关法律法规执行。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w:t>
      </w:r>
      <w:r>
        <w:rPr>
          <w:rFonts w:hint="eastAsia" w:ascii="宋体" w:hAnsi="宋体"/>
          <w:sz w:val="22"/>
          <w:u w:val="single"/>
        </w:rPr>
        <w:t>陆</w:t>
      </w:r>
      <w:r>
        <w:rPr>
          <w:rFonts w:hint="eastAsia" w:ascii="宋体" w:hAnsi="宋体"/>
          <w:sz w:val="22"/>
        </w:rPr>
        <w:t>份，甲执</w:t>
      </w:r>
      <w:r>
        <w:rPr>
          <w:rFonts w:hint="eastAsia" w:ascii="宋体" w:hAnsi="宋体"/>
          <w:sz w:val="22"/>
          <w:u w:val="single"/>
        </w:rPr>
        <w:t>肆</w:t>
      </w:r>
      <w:r>
        <w:rPr>
          <w:rFonts w:hint="eastAsia" w:ascii="宋体" w:hAnsi="宋体"/>
          <w:sz w:val="22"/>
        </w:rPr>
        <w:t>份，乙方持</w:t>
      </w:r>
      <w:r>
        <w:rPr>
          <w:rFonts w:hint="eastAsia" w:ascii="宋体" w:hAnsi="宋体"/>
          <w:sz w:val="22"/>
          <w:u w:val="single"/>
        </w:rPr>
        <w:t>贰</w:t>
      </w:r>
      <w:r>
        <w:rPr>
          <w:rFonts w:hint="eastAsia" w:ascii="宋体" w:hAnsi="宋体"/>
          <w:sz w:val="22"/>
        </w:rPr>
        <w:t>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adjustRightInd w:val="0"/>
        <w:snapToGrid w:val="0"/>
        <w:spacing w:line="360" w:lineRule="exact"/>
        <w:rPr>
          <w:rFonts w:ascii="宋体" w:hAnsi="宋体" w:cs="宋体"/>
          <w:b/>
          <w:sz w:val="22"/>
        </w:rPr>
        <w:sectPr>
          <w:footerReference r:id="rId5" w:type="default"/>
          <w:pgSz w:w="12240" w:h="15840"/>
          <w:pgMar w:top="1400" w:right="1680" w:bottom="1120" w:left="1580" w:header="0" w:footer="921" w:gutter="0"/>
          <w:pgNumType w:start="1"/>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44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部分防汛防台设备物资采购项目】项目的服务。在上述业务来往过程中，机场公司可能向我方提供经营、业务、服务等有关的文件、资料、软件等信息，为维护机场公司的利益，我方就保密事宜做出如下承诺：</w:t>
      </w:r>
    </w:p>
    <w:p>
      <w:pPr>
        <w:spacing w:line="440" w:lineRule="exact"/>
        <w:ind w:firstLine="280"/>
        <w:rPr>
          <w:rFonts w:ascii="宋体" w:hAnsi="宋体" w:cs="宋体"/>
          <w:sz w:val="22"/>
        </w:rPr>
      </w:pPr>
      <w:r>
        <w:rPr>
          <w:rFonts w:hint="eastAsia" w:ascii="宋体" w:hAnsi="宋体" w:cs="宋体"/>
          <w:sz w:val="22"/>
        </w:rPr>
        <w:t>1.商业秘密</w:t>
      </w:r>
    </w:p>
    <w:p>
      <w:pPr>
        <w:adjustRightInd w:val="0"/>
        <w:snapToGrid w:val="0"/>
        <w:spacing w:line="44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44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44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44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44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44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44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44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44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440" w:lineRule="exact"/>
        <w:ind w:firstLine="280"/>
        <w:rPr>
          <w:rFonts w:ascii="宋体" w:hAnsi="宋体" w:cs="宋体"/>
          <w:sz w:val="22"/>
        </w:rPr>
      </w:pPr>
      <w:r>
        <w:rPr>
          <w:rFonts w:hint="eastAsia" w:ascii="宋体" w:hAnsi="宋体" w:cs="宋体"/>
          <w:sz w:val="22"/>
        </w:rPr>
        <w:t>1.4、以下资料不属于本承诺所指的商业秘密：</w:t>
      </w:r>
    </w:p>
    <w:p>
      <w:pPr>
        <w:spacing w:line="44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44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440" w:lineRule="exact"/>
        <w:ind w:firstLine="280"/>
        <w:rPr>
          <w:rFonts w:ascii="宋体" w:hAnsi="宋体" w:cs="宋体"/>
          <w:sz w:val="22"/>
        </w:rPr>
      </w:pPr>
    </w:p>
    <w:p>
      <w:pPr>
        <w:spacing w:line="44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440" w:lineRule="exact"/>
        <w:ind w:firstLine="280"/>
        <w:rPr>
          <w:rFonts w:ascii="宋体" w:hAnsi="宋体" w:cs="宋体"/>
          <w:sz w:val="22"/>
        </w:rPr>
      </w:pPr>
    </w:p>
    <w:p>
      <w:pPr>
        <w:spacing w:line="44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440" w:lineRule="exact"/>
        <w:ind w:firstLine="280"/>
        <w:rPr>
          <w:rFonts w:ascii="宋体" w:hAnsi="宋体" w:cs="宋体"/>
          <w:sz w:val="22"/>
        </w:rPr>
      </w:pPr>
    </w:p>
    <w:p>
      <w:pPr>
        <w:adjustRightInd w:val="0"/>
        <w:snapToGrid w:val="0"/>
        <w:spacing w:line="44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44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44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44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44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44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44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44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440" w:lineRule="exact"/>
        <w:ind w:firstLine="280"/>
        <w:rPr>
          <w:rFonts w:ascii="宋体" w:hAnsi="宋体" w:cs="宋体"/>
          <w:sz w:val="22"/>
        </w:rPr>
      </w:pPr>
    </w:p>
    <w:p>
      <w:pPr>
        <w:spacing w:line="44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440" w:lineRule="exact"/>
        <w:ind w:firstLine="280"/>
        <w:rPr>
          <w:rFonts w:ascii="宋体" w:hAnsi="宋体" w:cs="宋体"/>
          <w:sz w:val="22"/>
        </w:rPr>
      </w:pPr>
    </w:p>
    <w:p>
      <w:pPr>
        <w:spacing w:line="44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440" w:lineRule="exact"/>
        <w:ind w:firstLine="280"/>
        <w:rPr>
          <w:rFonts w:ascii="宋体" w:hAnsi="宋体" w:cs="宋体"/>
          <w:sz w:val="22"/>
        </w:rPr>
      </w:pPr>
    </w:p>
    <w:p>
      <w:pPr>
        <w:spacing w:line="44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440" w:lineRule="exact"/>
        <w:ind w:firstLine="280"/>
        <w:rPr>
          <w:rFonts w:ascii="宋体" w:hAnsi="宋体" w:cs="宋体"/>
          <w:sz w:val="22"/>
        </w:rPr>
      </w:pPr>
    </w:p>
    <w:p>
      <w:pPr>
        <w:spacing w:line="440" w:lineRule="exact"/>
        <w:ind w:firstLine="280"/>
        <w:rPr>
          <w:rFonts w:ascii="宋体" w:hAnsi="宋体" w:cs="宋体"/>
          <w:sz w:val="22"/>
        </w:rPr>
      </w:pPr>
      <w:r>
        <w:rPr>
          <w:rFonts w:hint="eastAsia" w:ascii="宋体" w:hAnsi="宋体" w:cs="宋体"/>
          <w:sz w:val="22"/>
        </w:rPr>
        <w:t>8、违约责任</w:t>
      </w:r>
    </w:p>
    <w:p>
      <w:pPr>
        <w:adjustRightInd w:val="0"/>
        <w:snapToGrid w:val="0"/>
        <w:spacing w:line="44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44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44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440" w:lineRule="exact"/>
        <w:ind w:firstLine="280"/>
        <w:rPr>
          <w:rFonts w:ascii="宋体" w:hAnsi="宋体" w:cs="宋体"/>
          <w:sz w:val="22"/>
        </w:rPr>
      </w:pPr>
    </w:p>
    <w:p>
      <w:pPr>
        <w:spacing w:line="440" w:lineRule="exact"/>
        <w:ind w:firstLine="280"/>
        <w:rPr>
          <w:rFonts w:ascii="宋体" w:hAnsi="宋体" w:cs="宋体"/>
          <w:sz w:val="22"/>
        </w:rPr>
      </w:pPr>
    </w:p>
    <w:p>
      <w:pPr>
        <w:spacing w:line="440" w:lineRule="exact"/>
        <w:ind w:firstLine="280"/>
        <w:rPr>
          <w:rFonts w:ascii="宋体" w:hAnsi="宋体" w:cs="宋体"/>
          <w:sz w:val="22"/>
        </w:rPr>
      </w:pPr>
    </w:p>
    <w:p>
      <w:pPr>
        <w:spacing w:line="440" w:lineRule="exact"/>
        <w:ind w:firstLine="280"/>
        <w:rPr>
          <w:rFonts w:ascii="宋体" w:hAnsi="宋体" w:cs="宋体"/>
          <w:sz w:val="22"/>
        </w:rPr>
      </w:pPr>
    </w:p>
    <w:p>
      <w:pPr>
        <w:spacing w:line="440" w:lineRule="exact"/>
        <w:ind w:firstLine="280"/>
        <w:rPr>
          <w:rFonts w:ascii="宋体" w:hAnsi="宋体" w:cs="宋体"/>
          <w:sz w:val="22"/>
        </w:rPr>
      </w:pPr>
      <w:r>
        <w:rPr>
          <w:rFonts w:hint="eastAsia" w:ascii="宋体" w:hAnsi="宋体" w:cs="宋体"/>
          <w:sz w:val="22"/>
        </w:rPr>
        <w:t xml:space="preserve">                        供应商(盖章):</w:t>
      </w:r>
    </w:p>
    <w:p>
      <w:pPr>
        <w:spacing w:line="440" w:lineRule="exact"/>
        <w:ind w:firstLine="280"/>
        <w:jc w:val="center"/>
        <w:rPr>
          <w:rFonts w:ascii="宋体" w:hAnsi="宋体" w:cs="宋体"/>
          <w:sz w:val="22"/>
        </w:rPr>
      </w:pPr>
    </w:p>
    <w:p>
      <w:pPr>
        <w:spacing w:line="440" w:lineRule="exact"/>
        <w:ind w:firstLine="280"/>
        <w:jc w:val="center"/>
        <w:rPr>
          <w:rFonts w:ascii="宋体" w:hAnsi="宋体" w:cs="宋体"/>
          <w:sz w:val="22"/>
        </w:rPr>
      </w:pPr>
    </w:p>
    <w:p>
      <w:pPr>
        <w:spacing w:line="440" w:lineRule="exact"/>
        <w:ind w:firstLine="280"/>
        <w:jc w:val="center"/>
        <w:rPr>
          <w:rFonts w:ascii="宋体" w:hAnsi="宋体" w:cs="宋体"/>
          <w:sz w:val="22"/>
        </w:rPr>
      </w:pPr>
    </w:p>
    <w:p>
      <w:pPr>
        <w:spacing w:line="440" w:lineRule="exact"/>
        <w:ind w:firstLine="280"/>
        <w:rPr>
          <w:rFonts w:ascii="宋体" w:hAnsi="宋体" w:cs="宋体"/>
          <w:sz w:val="22"/>
        </w:rPr>
      </w:pPr>
      <w:r>
        <w:rPr>
          <w:rFonts w:hint="eastAsia" w:ascii="宋体" w:hAnsi="宋体" w:cs="宋体"/>
          <w:sz w:val="22"/>
        </w:rPr>
        <w:t xml:space="preserve">                    </w:t>
      </w:r>
    </w:p>
    <w:p>
      <w:pPr>
        <w:spacing w:line="440" w:lineRule="exact"/>
        <w:ind w:firstLine="280"/>
        <w:rPr>
          <w:rFonts w:ascii="宋体" w:hAnsi="宋体" w:cs="宋体"/>
          <w:sz w:val="22"/>
        </w:rPr>
      </w:pPr>
    </w:p>
    <w:p>
      <w:pPr>
        <w:spacing w:line="440" w:lineRule="exact"/>
        <w:ind w:firstLine="280"/>
        <w:rPr>
          <w:rFonts w:ascii="宋体" w:hAnsi="宋体" w:cs="宋体"/>
          <w:sz w:val="22"/>
        </w:rPr>
      </w:pPr>
    </w:p>
    <w:p>
      <w:pPr>
        <w:snapToGrid w:val="0"/>
        <w:spacing w:line="440" w:lineRule="exact"/>
        <w:ind w:firstLine="280"/>
        <w:jc w:val="center"/>
        <w:rPr>
          <w:rFonts w:ascii="宋体" w:hAnsi="宋体" w:cs="宋体"/>
          <w:sz w:val="22"/>
        </w:rPr>
      </w:pPr>
      <w:r>
        <w:rPr>
          <w:rFonts w:hint="eastAsia" w:ascii="宋体" w:hAnsi="宋体" w:cs="宋体"/>
          <w:sz w:val="22"/>
        </w:rPr>
        <w:t>日期：     年   月   日</w:t>
      </w:r>
    </w:p>
    <w:p>
      <w:pPr>
        <w:pStyle w:val="30"/>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adjustRightInd w:val="0"/>
        <w:snapToGrid w:val="0"/>
        <w:spacing w:line="360" w:lineRule="exact"/>
        <w:rPr>
          <w:rFonts w:asciiTheme="minorEastAsia" w:hAnsiTheme="minorEastAsia" w:cstheme="minorEastAsia"/>
          <w:bCs/>
          <w:sz w:val="24"/>
          <w:szCs w:val="24"/>
        </w:rPr>
      </w:pPr>
      <w:r>
        <w:rPr>
          <w:rFonts w:ascii="宋体" w:hAnsi="宋体" w:cs="宋体"/>
          <w:szCs w:val="21"/>
        </w:rPr>
        <w:br w:type="page"/>
      </w:r>
    </w:p>
    <w:bookmarkEnd w:id="61"/>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numPr>
          <w:ilvl w:val="0"/>
          <w:numId w:val="6"/>
        </w:numPr>
      </w:pPr>
      <w:r>
        <w:rPr>
          <w:rFonts w:hint="eastAsia"/>
        </w:rPr>
        <w:t xml:space="preserve"> </w:t>
      </w:r>
      <w:bookmarkStart w:id="172" w:name="_Toc19528"/>
      <w:bookmarkStart w:id="173" w:name="_Toc30149_WPSOffice_Level1"/>
      <w:bookmarkStart w:id="174" w:name="_Toc30612"/>
      <w:bookmarkStart w:id="175" w:name="_Toc5921"/>
      <w:bookmarkStart w:id="176" w:name="_Toc8642"/>
      <w:bookmarkStart w:id="177" w:name="_Toc21424"/>
      <w:r>
        <w:rPr>
          <w:rFonts w:hint="eastAsia"/>
        </w:rPr>
        <w:t>用户需求书</w:t>
      </w:r>
      <w:bookmarkEnd w:id="172"/>
      <w:bookmarkEnd w:id="173"/>
      <w:bookmarkEnd w:id="174"/>
      <w:bookmarkEnd w:id="175"/>
      <w:bookmarkEnd w:id="176"/>
      <w:bookmarkEnd w:id="177"/>
    </w:p>
    <w:p>
      <w:pPr>
        <w:shd w:val="clear" w:color="auto" w:fill="FFFFFF"/>
        <w:rPr>
          <w:rFonts w:ascii="宋体" w:hAnsi="宋体" w:cs="宋体"/>
          <w:b/>
          <w:sz w:val="22"/>
          <w:shd w:val="clear" w:color="auto" w:fill="FFFFFF"/>
        </w:rPr>
      </w:pPr>
      <w:r>
        <w:rPr>
          <w:rFonts w:ascii="宋体" w:hAnsi="宋体" w:cs="宋体"/>
          <w:b/>
          <w:sz w:val="22"/>
          <w:shd w:val="clear" w:color="auto" w:fill="FFFFFF"/>
        </w:rPr>
        <w:t>一、采购清单及要求</w:t>
      </w:r>
    </w:p>
    <w:tbl>
      <w:tblPr>
        <w:tblStyle w:val="52"/>
        <w:tblW w:w="7903" w:type="dxa"/>
        <w:tblInd w:w="0" w:type="dxa"/>
        <w:tblLayout w:type="fixed"/>
        <w:tblCellMar>
          <w:top w:w="15" w:type="dxa"/>
          <w:left w:w="15" w:type="dxa"/>
          <w:bottom w:w="0" w:type="dxa"/>
          <w:right w:w="15" w:type="dxa"/>
        </w:tblCellMar>
      </w:tblPr>
      <w:tblGrid>
        <w:gridCol w:w="274"/>
        <w:gridCol w:w="2093"/>
        <w:gridCol w:w="3191"/>
        <w:gridCol w:w="777"/>
        <w:gridCol w:w="750"/>
        <w:gridCol w:w="818"/>
      </w:tblGrid>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宋体" w:hAnsi="宋体" w:cs="宋体"/>
                <w:sz w:val="20"/>
                <w:szCs w:val="20"/>
                <w:shd w:val="clear" w:color="auto" w:fill="FFFFFF"/>
                <w:lang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宋体" w:hAnsi="宋体" w:cs="宋体"/>
                <w:sz w:val="20"/>
                <w:szCs w:val="20"/>
                <w:shd w:val="clear" w:color="auto" w:fill="FFFFFF"/>
                <w:lang w:bidi="ar"/>
              </w:rPr>
              <w:t>项目名称</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hint="eastAsia" w:ascii="宋体" w:hAnsi="宋体" w:cs="宋体"/>
                <w:sz w:val="20"/>
                <w:szCs w:val="20"/>
                <w:shd w:val="clear" w:color="auto" w:fill="FFFFFF"/>
                <w:lang w:bidi="ar"/>
              </w:rPr>
              <w:t>品牌型号</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ascii="宋体" w:hAnsi="宋体" w:cs="宋体"/>
                <w:sz w:val="20"/>
                <w:szCs w:val="20"/>
                <w:shd w:val="clear" w:color="auto" w:fill="FFFFFF"/>
                <w:lang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备注</w:t>
            </w: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ascii="宋体" w:hAnsi="宋体" w:cs="宋体"/>
                <w:sz w:val="20"/>
                <w:szCs w:val="20"/>
                <w:shd w:val="clear" w:color="auto" w:fill="FFFFFF"/>
                <w:lang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ascii="宋体" w:hAnsi="宋体" w:cs="宋体"/>
                <w:sz w:val="20"/>
                <w:szCs w:val="20"/>
                <w:shd w:val="clear" w:color="auto" w:fill="FFFFFF"/>
                <w:lang w:bidi="ar"/>
              </w:rPr>
            </w:pPr>
            <w:r>
              <w:rPr>
                <w:rFonts w:hint="eastAsia" w:ascii="宋体" w:hAnsi="宋体"/>
                <w:szCs w:val="21"/>
              </w:rPr>
              <w:t>汽油抽水泵</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rPr>
                <w:rFonts w:ascii="宋体" w:hAnsi="宋体" w:eastAsia="宋体" w:cs="宋体"/>
                <w:sz w:val="20"/>
                <w:szCs w:val="20"/>
                <w:shd w:val="clear" w:color="auto" w:fill="FFFFFF"/>
                <w:lang w:bidi="ar"/>
              </w:rPr>
            </w:pPr>
            <w:r>
              <w:rPr>
                <w:rFonts w:hint="eastAsia" w:ascii="宋体" w:hAnsi="宋体"/>
                <w:color w:val="000000"/>
                <w:kern w:val="0"/>
              </w:rPr>
              <w:t>品牌：KOSIKA 型号：WP30HX</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cs="宋体"/>
                <w:caps/>
                <w:sz w:val="20"/>
                <w:szCs w:val="20"/>
                <w:shd w:val="clear" w:color="auto" w:fill="FFFFFF"/>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cs="宋体"/>
                <w:caps/>
                <w:sz w:val="20"/>
                <w:szCs w:val="20"/>
                <w:shd w:val="clear" w:color="auto" w:fill="FFFFFF"/>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r>
        <w:tblPrEx>
          <w:tblCellMar>
            <w:top w:w="15" w:type="dxa"/>
            <w:left w:w="15" w:type="dxa"/>
            <w:bottom w:w="0" w:type="dxa"/>
            <w:right w:w="15" w:type="dxa"/>
          </w:tblCellMar>
        </w:tblPrEx>
        <w:trPr>
          <w:trHeight w:val="2252"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ascii="宋体" w:hAnsi="宋体" w:cs="宋体"/>
                <w:sz w:val="20"/>
                <w:szCs w:val="20"/>
                <w:shd w:val="clear" w:color="auto" w:fill="FFFFFF"/>
                <w:lang w:bidi="ar"/>
              </w:rPr>
              <w:t>2</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ascii="宋体" w:hAnsi="宋体" w:eastAsia="宋体" w:cs="宋体"/>
                <w:caps/>
                <w:sz w:val="20"/>
                <w:szCs w:val="20"/>
                <w:shd w:val="clear" w:color="auto" w:fill="FFFFFF"/>
              </w:rPr>
            </w:pPr>
            <w:r>
              <w:rPr>
                <w:rFonts w:hint="eastAsia" w:ascii="宋体" w:hAnsi="宋体"/>
                <w:szCs w:val="21"/>
              </w:rPr>
              <w:t>大功率潜水泵</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hint="eastAsia" w:ascii="宋体" w:hAnsi="宋体"/>
                <w:color w:val="000000"/>
                <w:kern w:val="0"/>
              </w:rPr>
              <w:t>品牌：新界 型号：WQ100-10-7.5A</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eastAsia="宋体" w:cs="宋体"/>
                <w:caps/>
                <w:sz w:val="20"/>
                <w:szCs w:val="20"/>
                <w:shd w:val="clear" w:color="auto" w:fill="FFFFFF"/>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eastAsia="宋体" w:cs="宋体"/>
                <w:caps/>
                <w:sz w:val="20"/>
                <w:szCs w:val="20"/>
                <w:shd w:val="clear" w:color="auto" w:fill="FFFFFF"/>
              </w:rPr>
              <w:t>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r>
        <w:tblPrEx>
          <w:tblCellMar>
            <w:top w:w="15" w:type="dxa"/>
            <w:left w:w="15" w:type="dxa"/>
            <w:bottom w:w="0" w:type="dxa"/>
            <w:right w:w="15" w:type="dxa"/>
          </w:tblCellMar>
        </w:tblPrEx>
        <w:trPr>
          <w:trHeight w:val="1862"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eastAsia="宋体" w:cs="宋体"/>
                <w:sz w:val="20"/>
                <w:szCs w:val="20"/>
                <w:shd w:val="clear" w:color="auto" w:fill="FFFFFF"/>
                <w:lang w:bidi="ar"/>
              </w:rPr>
            </w:pPr>
            <w:r>
              <w:rPr>
                <w:rFonts w:hint="eastAsia" w:ascii="宋体" w:hAnsi="宋体" w:cs="宋体"/>
                <w:sz w:val="20"/>
                <w:szCs w:val="20"/>
                <w:shd w:val="clear" w:color="auto" w:fill="FFFFFF"/>
                <w:lang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ascii="宋体" w:hAnsi="宋体" w:eastAsia="宋体" w:cs="宋体"/>
                <w:caps/>
                <w:sz w:val="20"/>
                <w:szCs w:val="20"/>
                <w:shd w:val="clear" w:color="auto" w:fill="FFFFFF"/>
              </w:rPr>
            </w:pPr>
            <w:r>
              <w:rPr>
                <w:rFonts w:hint="eastAsia" w:ascii="宋体" w:hAnsi="宋体"/>
                <w:szCs w:val="21"/>
              </w:rPr>
              <w:t>汽油发电机</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both"/>
              <w:rPr>
                <w:rFonts w:asciiTheme="minorEastAsia" w:hAnsiTheme="minorEastAsia" w:eastAsiaTheme="minorEastAsia" w:cstheme="minorEastAsia"/>
                <w:b w:val="0"/>
                <w:bCs w:val="0"/>
                <w:sz w:val="22"/>
                <w:szCs w:val="22"/>
              </w:rPr>
            </w:pPr>
            <w:bookmarkStart w:id="178" w:name="_Toc4340"/>
            <w:bookmarkStart w:id="179" w:name="_Toc11747"/>
            <w:r>
              <w:rPr>
                <w:rFonts w:hint="eastAsia" w:asciiTheme="minorEastAsia" w:hAnsiTheme="minorEastAsia" w:eastAsiaTheme="minorEastAsia" w:cstheme="minorEastAsia"/>
                <w:b w:val="0"/>
                <w:bCs w:val="0"/>
                <w:sz w:val="21"/>
                <w:szCs w:val="21"/>
              </w:rPr>
              <w:t>品牌：SAWAFUJI泽藤 型号：SH6500EX</w:t>
            </w:r>
            <w:bookmarkEnd w:id="178"/>
            <w:bookmarkEnd w:id="179"/>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r>
              <w:rPr>
                <w:rFonts w:hint="eastAsia" w:ascii="宋体" w:hAnsi="宋体" w:eastAsia="宋体" w:cs="宋体"/>
                <w:caps/>
                <w:sz w:val="20"/>
                <w:szCs w:val="20"/>
                <w:shd w:val="clear" w:color="auto" w:fill="FFFFFF"/>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r>
              <w:rPr>
                <w:rFonts w:hint="eastAsia" w:ascii="宋体" w:hAnsi="宋体" w:cs="宋体"/>
                <w:caps/>
                <w:sz w:val="20"/>
                <w:szCs w:val="20"/>
                <w:shd w:val="clear" w:color="auto" w:fill="FFFFFF"/>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ascii="宋体" w:hAnsi="宋体" w:eastAsia="宋体" w:cs="宋体"/>
                <w:caps/>
                <w:sz w:val="20"/>
                <w:szCs w:val="20"/>
                <w:shd w:val="clear" w:color="auto" w:fill="FFFFFF"/>
              </w:rPr>
            </w:pPr>
            <w:r>
              <w:rPr>
                <w:rFonts w:hint="eastAsia" w:ascii="宋体" w:hAnsi="宋体"/>
                <w:szCs w:val="21"/>
              </w:rPr>
              <w:t xml:space="preserve">内径 80mmPVC 透明钢丝水管 </w:t>
            </w:r>
          </w:p>
        </w:tc>
        <w:tc>
          <w:tcPr>
            <w:tcW w:w="3191" w:type="dxa"/>
            <w:tcBorders>
              <w:top w:val="single" w:color="000000" w:sz="4" w:space="0"/>
              <w:left w:val="single" w:color="000000" w:sz="4" w:space="0"/>
              <w:bottom w:val="single" w:color="000000" w:sz="4" w:space="0"/>
              <w:right w:val="single" w:color="000000" w:sz="4" w:space="0"/>
            </w:tcBorders>
            <w:shd w:val="clear" w:color="auto" w:fill="FFFFFF"/>
          </w:tcPr>
          <w:p>
            <w:pPr>
              <w:widowControl/>
              <w:shd w:val="clear" w:color="auto" w:fill="FFFFFF"/>
              <w:rPr>
                <w:rFonts w:ascii="宋体" w:hAnsi="宋体" w:cs="宋体"/>
                <w:sz w:val="20"/>
                <w:szCs w:val="20"/>
                <w:shd w:val="clear" w:color="auto" w:fill="FFFFFF"/>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eastAsia="宋体" w:cs="宋体"/>
                <w:caps/>
                <w:sz w:val="20"/>
                <w:szCs w:val="20"/>
                <w:shd w:val="clear" w:color="auto" w:fill="FFFFFF"/>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r>
              <w:rPr>
                <w:rFonts w:hint="eastAsia" w:ascii="宋体" w:hAnsi="宋体" w:cs="宋体"/>
                <w:caps/>
                <w:sz w:val="20"/>
                <w:szCs w:val="20"/>
                <w:shd w:val="clear" w:color="auto" w:fill="FFFFFF"/>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ascii="宋体" w:hAnsi="宋体" w:eastAsia="宋体" w:cs="宋体"/>
                <w:caps/>
                <w:sz w:val="20"/>
                <w:szCs w:val="20"/>
                <w:shd w:val="clear" w:color="auto" w:fill="FFFFFF"/>
              </w:rPr>
            </w:pPr>
            <w:r>
              <w:rPr>
                <w:rFonts w:hint="eastAsia" w:ascii="宋体" w:hAnsi="宋体"/>
                <w:szCs w:val="21"/>
              </w:rPr>
              <w:t xml:space="preserve">50mm 塑料软管水带 </w:t>
            </w:r>
          </w:p>
        </w:tc>
        <w:tc>
          <w:tcPr>
            <w:tcW w:w="3191" w:type="dxa"/>
            <w:tcBorders>
              <w:top w:val="single" w:color="000000" w:sz="4" w:space="0"/>
              <w:left w:val="single" w:color="000000" w:sz="4" w:space="0"/>
              <w:bottom w:val="single" w:color="000000" w:sz="4" w:space="0"/>
              <w:right w:val="single" w:color="000000" w:sz="4" w:space="0"/>
            </w:tcBorders>
            <w:shd w:val="clear" w:color="auto" w:fill="FFFFFF"/>
          </w:tcPr>
          <w:p>
            <w:pPr>
              <w:widowControl/>
              <w:shd w:val="clear" w:color="auto" w:fill="FFFFFF"/>
              <w:rPr>
                <w:rFonts w:ascii="宋体" w:hAnsi="宋体" w:cs="宋体"/>
                <w:sz w:val="20"/>
                <w:szCs w:val="20"/>
                <w:shd w:val="clear" w:color="auto" w:fill="FFFFFF"/>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eastAsia="宋体" w:cs="宋体"/>
                <w:caps/>
                <w:sz w:val="20"/>
                <w:szCs w:val="20"/>
                <w:shd w:val="clear" w:color="auto" w:fill="FFFFFF"/>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r>
              <w:rPr>
                <w:rFonts w:hint="eastAsia" w:ascii="宋体" w:hAnsi="宋体" w:cs="宋体"/>
                <w:caps/>
                <w:sz w:val="20"/>
                <w:szCs w:val="20"/>
                <w:shd w:val="clear" w:color="auto" w:fill="FFFFFF"/>
              </w:rPr>
              <w:t>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6</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ascii="宋体" w:hAnsi="宋体" w:cs="宋体"/>
                <w:caps/>
                <w:sz w:val="20"/>
                <w:szCs w:val="20"/>
                <w:shd w:val="clear" w:color="auto" w:fill="FFFFFF"/>
              </w:rPr>
            </w:pPr>
            <w:r>
              <w:rPr>
                <w:rFonts w:hint="eastAsia" w:ascii="宋体" w:hAnsi="宋体"/>
                <w:szCs w:val="21"/>
              </w:rPr>
              <w:t xml:space="preserve">80mm 塑料软管水带 </w:t>
            </w:r>
          </w:p>
        </w:tc>
        <w:tc>
          <w:tcPr>
            <w:tcW w:w="3191" w:type="dxa"/>
            <w:tcBorders>
              <w:top w:val="single" w:color="000000" w:sz="4" w:space="0"/>
              <w:left w:val="single" w:color="000000" w:sz="4" w:space="0"/>
              <w:bottom w:val="single" w:color="000000" w:sz="4" w:space="0"/>
              <w:right w:val="single" w:color="000000" w:sz="4" w:space="0"/>
            </w:tcBorders>
            <w:shd w:val="clear" w:color="auto" w:fill="FFFFFF"/>
          </w:tcPr>
          <w:p>
            <w:pPr>
              <w:widowControl/>
              <w:shd w:val="clear" w:color="auto" w:fill="FFFFFF"/>
              <w:rPr>
                <w:rFonts w:ascii="宋体" w:hAnsi="宋体" w:cs="宋体"/>
                <w:sz w:val="20"/>
                <w:szCs w:val="20"/>
                <w:shd w:val="clear" w:color="auto" w:fill="FFFFFF"/>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r>
              <w:rPr>
                <w:rFonts w:hint="eastAsia" w:ascii="宋体" w:hAnsi="宋体" w:cs="宋体"/>
                <w:caps/>
                <w:sz w:val="20"/>
                <w:szCs w:val="20"/>
                <w:shd w:val="clear" w:color="auto" w:fill="FFFFFF"/>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r>
              <w:rPr>
                <w:rFonts w:hint="eastAsia" w:ascii="宋体" w:hAnsi="宋体" w:cs="宋体"/>
                <w:caps/>
                <w:sz w:val="20"/>
                <w:szCs w:val="20"/>
                <w:shd w:val="clear" w:color="auto" w:fill="FFFFFF"/>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7</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ascii="宋体" w:hAnsi="宋体" w:cs="宋体"/>
                <w:caps/>
                <w:sz w:val="20"/>
                <w:szCs w:val="20"/>
                <w:shd w:val="clear" w:color="auto" w:fill="FFFFFF"/>
              </w:rPr>
            </w:pPr>
            <w:r>
              <w:rPr>
                <w:rFonts w:hint="eastAsia" w:ascii="宋体" w:hAnsi="宋体"/>
                <w:szCs w:val="21"/>
              </w:rPr>
              <w:t>4*4 帆布防汛沙袋 30cm*70cm</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沙袋上定制（杭州萧山国际机场应急物资字样 LOGO）标志</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eastAsia="宋体" w:cs="宋体"/>
                <w:caps/>
                <w:sz w:val="20"/>
                <w:szCs w:val="20"/>
                <w:shd w:val="clear" w:color="auto" w:fill="FFFFFF"/>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r>
              <w:rPr>
                <w:rFonts w:hint="eastAsia" w:ascii="宋体" w:hAnsi="宋体" w:cs="宋体"/>
                <w:caps/>
                <w:sz w:val="20"/>
                <w:szCs w:val="20"/>
                <w:shd w:val="clear" w:color="auto" w:fill="FFFFFF"/>
              </w:rPr>
              <w:t>3000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bl>
    <w:p>
      <w:pPr>
        <w:rPr>
          <w:rFonts w:ascii="宋体" w:hAnsi="宋体" w:cs="宋体"/>
          <w:sz w:val="22"/>
          <w:shd w:val="clear" w:color="auto" w:fill="FFFF00"/>
        </w:rPr>
      </w:pPr>
    </w:p>
    <w:p>
      <w:pPr>
        <w:pStyle w:val="33"/>
        <w:spacing w:after="0" w:line="240" w:lineRule="auto"/>
        <w:ind w:left="0" w:leftChars="0"/>
        <w:jc w:val="left"/>
        <w:rPr>
          <w:rFonts w:ascii="宋体" w:hAnsi="宋体" w:cs="宋体"/>
          <w:b/>
          <w:sz w:val="22"/>
        </w:rPr>
      </w:pPr>
      <w:r>
        <w:rPr>
          <w:rFonts w:ascii="宋体" w:hAnsi="宋体" w:cs="宋体"/>
          <w:sz w:val="22"/>
        </w:rPr>
        <w:t>★</w:t>
      </w:r>
      <w:r>
        <w:rPr>
          <w:rFonts w:ascii="宋体" w:hAnsi="宋体" w:cs="宋体"/>
          <w:b/>
          <w:sz w:val="22"/>
        </w:rPr>
        <w:t>注：投标人应根据</w:t>
      </w:r>
      <w:r>
        <w:rPr>
          <w:rFonts w:hint="eastAsia" w:ascii="宋体" w:hAnsi="宋体" w:cs="宋体"/>
          <w:b/>
          <w:sz w:val="22"/>
        </w:rPr>
        <w:t>采购</w:t>
      </w:r>
      <w:r>
        <w:rPr>
          <w:rFonts w:ascii="宋体" w:hAnsi="宋体" w:cs="宋体"/>
          <w:b/>
          <w:sz w:val="22"/>
        </w:rPr>
        <w:t>清单自行编制投标报</w:t>
      </w:r>
      <w:r>
        <w:rPr>
          <w:rFonts w:hint="eastAsia" w:ascii="宋体" w:hAnsi="宋体" w:cs="宋体"/>
          <w:b/>
          <w:sz w:val="22"/>
        </w:rPr>
        <w:t>价</w:t>
      </w:r>
      <w:r>
        <w:rPr>
          <w:rFonts w:ascii="宋体" w:hAnsi="宋体" w:cs="宋体"/>
          <w:b/>
          <w:sz w:val="22"/>
        </w:rPr>
        <w:t>，投标人须负责完成清单中所有项目的工作内容</w:t>
      </w:r>
      <w:r>
        <w:rPr>
          <w:rFonts w:hint="eastAsia" w:ascii="宋体" w:hAnsi="宋体" w:cs="宋体"/>
          <w:b/>
          <w:sz w:val="22"/>
        </w:rPr>
        <w:t>（包括但不限于相关设备材料的生产、包装、运至指定地点的运输、装卸、保险、安装、调试及各种税费及所有本章要求的伴随服务等招标文件规定的全部相关费用，招标人不再承担其他任何费用）</w:t>
      </w:r>
      <w:r>
        <w:rPr>
          <w:rFonts w:ascii="宋体" w:hAnsi="宋体" w:cs="宋体"/>
          <w:b/>
          <w:sz w:val="22"/>
        </w:rPr>
        <w:t>，并满足招标人的使用需求。</w:t>
      </w:r>
    </w:p>
    <w:p>
      <w:pPr>
        <w:pStyle w:val="6"/>
        <w:spacing w:before="160" w:after="160" w:line="36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二、技术服务和质保期服务要求</w:t>
      </w:r>
    </w:p>
    <w:p>
      <w:pPr>
        <w:rPr>
          <w:rFonts w:ascii="宋体" w:hAnsi="宋体" w:cs="宋体"/>
          <w:sz w:val="22"/>
        </w:rPr>
      </w:pPr>
      <w:r>
        <w:rPr>
          <w:rFonts w:ascii="宋体" w:hAnsi="宋体" w:cs="宋体"/>
          <w:sz w:val="22"/>
        </w:rPr>
        <w:t>1.本项目产品的质量保修期默认为自验收通过之日起</w:t>
      </w:r>
      <w:r>
        <w:rPr>
          <w:rFonts w:hint="eastAsia" w:ascii="宋体" w:hAnsi="宋体" w:cs="宋体"/>
          <w:sz w:val="22"/>
          <w:u w:val="single"/>
        </w:rPr>
        <w:t>12</w:t>
      </w:r>
      <w:r>
        <w:rPr>
          <w:rFonts w:ascii="宋体" w:hAnsi="宋体" w:cs="宋体"/>
          <w:sz w:val="22"/>
          <w:u w:val="single"/>
        </w:rPr>
        <w:t>个月</w:t>
      </w:r>
      <w:r>
        <w:rPr>
          <w:rFonts w:ascii="宋体" w:hAnsi="宋体" w:cs="宋体"/>
          <w:sz w:val="22"/>
        </w:rPr>
        <w:t>。</w:t>
      </w:r>
    </w:p>
    <w:p>
      <w:pPr>
        <w:rPr>
          <w:rFonts w:ascii="宋体" w:hAnsi="宋体" w:cs="宋体"/>
          <w:sz w:val="22"/>
        </w:rPr>
      </w:pPr>
      <w:r>
        <w:rPr>
          <w:rFonts w:ascii="宋体" w:hAnsi="宋体" w:cs="宋体"/>
          <w:sz w:val="22"/>
        </w:rPr>
        <w:t>2.若</w:t>
      </w:r>
      <w:r>
        <w:rPr>
          <w:rFonts w:hint="eastAsia" w:ascii="宋体" w:hAnsi="宋体" w:cs="宋体"/>
          <w:sz w:val="22"/>
        </w:rPr>
        <w:t>承包人</w:t>
      </w:r>
      <w:r>
        <w:rPr>
          <w:rFonts w:ascii="宋体" w:hAnsi="宋体" w:cs="宋体"/>
          <w:sz w:val="22"/>
        </w:rPr>
        <w:t>所供产品被查出全部或者部分是次品、旧品、水货、侵犯知识产权的产品的，则</w:t>
      </w:r>
      <w:r>
        <w:rPr>
          <w:rFonts w:hint="eastAsia" w:ascii="宋体" w:hAnsi="宋体" w:cs="宋体"/>
          <w:sz w:val="22"/>
        </w:rPr>
        <w:t>承包人</w:t>
      </w:r>
      <w:r>
        <w:rPr>
          <w:rFonts w:ascii="宋体" w:hAnsi="宋体" w:cs="宋体"/>
          <w:sz w:val="22"/>
        </w:rPr>
        <w:t xml:space="preserve">应自发现之日起（或者故障报修之日起满三个月后）三个工作日内对产品进行更换，且更换的产品应为不低于原产品型号、质量、配置、性能和售后服务的产品。 </w:t>
      </w:r>
    </w:p>
    <w:p>
      <w:pPr>
        <w:rPr>
          <w:rFonts w:ascii="宋体" w:hAnsi="宋体" w:cs="宋体"/>
          <w:sz w:val="22"/>
        </w:rPr>
      </w:pPr>
      <w:r>
        <w:rPr>
          <w:rFonts w:ascii="宋体" w:hAnsi="宋体" w:cs="宋体"/>
          <w:sz w:val="22"/>
        </w:rPr>
        <w:t>3.</w:t>
      </w:r>
      <w:r>
        <w:rPr>
          <w:rFonts w:hint="eastAsia" w:ascii="宋体" w:hAnsi="宋体" w:cs="宋体"/>
          <w:sz w:val="22"/>
        </w:rPr>
        <w:t>承包人</w:t>
      </w:r>
      <w:r>
        <w:rPr>
          <w:rFonts w:ascii="宋体" w:hAnsi="宋体" w:cs="宋体"/>
          <w:sz w:val="22"/>
        </w:rPr>
        <w:t>提供的货物在质保期内因货物本身的质量问题发生故障，</w:t>
      </w:r>
      <w:r>
        <w:rPr>
          <w:rFonts w:hint="eastAsia" w:ascii="宋体" w:hAnsi="宋体" w:cs="宋体"/>
          <w:sz w:val="22"/>
        </w:rPr>
        <w:t>承包人</w:t>
      </w:r>
      <w:r>
        <w:rPr>
          <w:rFonts w:ascii="宋体" w:hAnsi="宋体" w:cs="宋体"/>
          <w:sz w:val="22"/>
        </w:rPr>
        <w:t>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rPr>
          <w:rFonts w:ascii="宋体" w:hAnsi="宋体" w:cs="宋体"/>
          <w:sz w:val="22"/>
        </w:rPr>
      </w:pPr>
      <w:r>
        <w:rPr>
          <w:rFonts w:ascii="宋体" w:hAnsi="宋体" w:cs="宋体"/>
          <w:sz w:val="22"/>
        </w:rPr>
        <w:t>4.在质保期内，投标人应对货物出现的质量及安全问题负责处理解决并承担一切费用。</w:t>
      </w:r>
    </w:p>
    <w:p>
      <w:pPr>
        <w:rPr>
          <w:rFonts w:ascii="宋体" w:hAnsi="宋体" w:cs="宋体"/>
          <w:sz w:val="22"/>
        </w:rPr>
      </w:pPr>
      <w:r>
        <w:rPr>
          <w:rFonts w:ascii="宋体" w:hAnsi="宋体" w:cs="宋体"/>
          <w:sz w:val="22"/>
        </w:rPr>
        <w:t>5.产品故障报修的响应时间：应在接到产品故障报修后</w:t>
      </w:r>
      <w:r>
        <w:rPr>
          <w:rFonts w:hint="eastAsia" w:ascii="宋体" w:hAnsi="宋体" w:cs="宋体"/>
          <w:sz w:val="22"/>
          <w:u w:val="single"/>
        </w:rPr>
        <w:t>24</w:t>
      </w:r>
      <w:r>
        <w:rPr>
          <w:rFonts w:ascii="宋体" w:hAnsi="宋体" w:cs="宋体"/>
          <w:sz w:val="22"/>
          <w:u w:val="single"/>
        </w:rPr>
        <w:t>小时</w:t>
      </w:r>
      <w:r>
        <w:rPr>
          <w:rFonts w:ascii="宋体" w:hAnsi="宋体" w:cs="宋体"/>
          <w:sz w:val="22"/>
        </w:rPr>
        <w:t>内响应，</w:t>
      </w:r>
      <w:r>
        <w:rPr>
          <w:rFonts w:hint="eastAsia" w:ascii="宋体" w:hAnsi="宋体" w:cs="宋体"/>
          <w:sz w:val="22"/>
        </w:rPr>
        <w:t>2</w:t>
      </w:r>
      <w:r>
        <w:rPr>
          <w:rFonts w:ascii="宋体" w:hAnsi="宋体" w:cs="宋体"/>
          <w:sz w:val="22"/>
        </w:rPr>
        <w:t>个工作日内到达现场，</w:t>
      </w:r>
      <w:r>
        <w:rPr>
          <w:rFonts w:hint="eastAsia" w:ascii="宋体" w:hAnsi="宋体" w:cs="宋体"/>
          <w:sz w:val="22"/>
        </w:rPr>
        <w:t>2</w:t>
      </w:r>
      <w:r>
        <w:rPr>
          <w:rFonts w:ascii="宋体" w:hAnsi="宋体" w:cs="宋体"/>
          <w:sz w:val="22"/>
        </w:rPr>
        <w:t>个工作日内处理完毕。若故障检修</w:t>
      </w:r>
      <w:r>
        <w:rPr>
          <w:rFonts w:hint="eastAsia" w:ascii="宋体" w:hAnsi="宋体" w:cs="宋体"/>
          <w:sz w:val="22"/>
        </w:rPr>
        <w:t>2</w:t>
      </w:r>
      <w:r>
        <w:rPr>
          <w:rFonts w:ascii="宋体" w:hAnsi="宋体" w:cs="宋体"/>
          <w:sz w:val="22"/>
        </w:rPr>
        <w:t>个工作日后仍无法排除的，</w:t>
      </w:r>
      <w:r>
        <w:rPr>
          <w:rFonts w:hint="eastAsia" w:ascii="宋体" w:hAnsi="宋体" w:cs="宋体"/>
          <w:sz w:val="22"/>
        </w:rPr>
        <w:t>承包人</w:t>
      </w:r>
      <w:r>
        <w:rPr>
          <w:rFonts w:ascii="宋体" w:hAnsi="宋体" w:cs="宋体"/>
          <w:sz w:val="22"/>
        </w:rPr>
        <w:t>应在故障报修</w:t>
      </w:r>
      <w:r>
        <w:rPr>
          <w:rFonts w:hint="eastAsia" w:ascii="宋体" w:hAnsi="宋体" w:cs="宋体"/>
          <w:sz w:val="22"/>
        </w:rPr>
        <w:t>3</w:t>
      </w:r>
      <w:r>
        <w:rPr>
          <w:rFonts w:ascii="宋体" w:hAnsi="宋体" w:cs="宋体"/>
          <w:sz w:val="22"/>
        </w:rPr>
        <w:t>个工作日后的一个工作日内提供不低于故障规格型号档次的替代产品供招标人使用。如对货物出现的质量及安全问题经处理仍不能解决的，则招标人有权退货或要求投标人更换货物。</w:t>
      </w:r>
    </w:p>
    <w:p>
      <w:pPr>
        <w:pStyle w:val="6"/>
        <w:spacing w:before="160" w:after="160" w:line="360" w:lineRule="exact"/>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三、其他要求</w:t>
      </w:r>
    </w:p>
    <w:p>
      <w:pPr>
        <w:rPr>
          <w:rFonts w:asciiTheme="minorEastAsia" w:hAnsiTheme="minorEastAsia" w:cstheme="minorEastAsia"/>
          <w:b/>
          <w:bCs/>
          <w:sz w:val="22"/>
        </w:rPr>
      </w:pPr>
      <w:r>
        <w:rPr>
          <w:rFonts w:hint="eastAsia" w:asciiTheme="minorEastAsia" w:hAnsiTheme="minorEastAsia" w:cstheme="minorEastAsia"/>
          <w:b/>
          <w:bCs/>
          <w:sz w:val="22"/>
        </w:rPr>
        <w:t>1、投标人所用各类设备材料（含辅材）都应符合设计和国家规定的相关技术规范标准要求。 所用各类设备材料均须有质量合格证书。 </w:t>
      </w:r>
    </w:p>
    <w:p>
      <w:pPr>
        <w:rPr>
          <w:rFonts w:asciiTheme="minorEastAsia" w:hAnsiTheme="minorEastAsia" w:cstheme="minorEastAsia"/>
          <w:b/>
          <w:bCs/>
          <w:sz w:val="22"/>
        </w:rPr>
      </w:pPr>
      <w:r>
        <w:rPr>
          <w:rFonts w:hint="eastAsia" w:asciiTheme="minorEastAsia" w:hAnsiTheme="minorEastAsia" w:cstheme="minorEastAsia"/>
          <w:b/>
          <w:bCs/>
          <w:sz w:val="22"/>
        </w:rPr>
        <w:t>2、乙方为本项目实施的安全责任主体，供货期间如因乙方原因给乙方人员自身或他人造成人身安全事故和造成甲方相关财产损失的，均由乙方承担一切责任以及赔偿义务。</w:t>
      </w:r>
    </w:p>
    <w:p>
      <w:pPr>
        <w:rPr>
          <w:rFonts w:asciiTheme="minorEastAsia" w:hAnsiTheme="minorEastAsia" w:cstheme="minorEastAsia"/>
          <w:sz w:val="22"/>
        </w:rPr>
      </w:pPr>
      <w:r>
        <w:rPr>
          <w:rFonts w:hint="eastAsia" w:asciiTheme="minorEastAsia" w:hAnsiTheme="minorEastAsia" w:cstheme="minorEastAsia"/>
          <w:sz w:val="22"/>
        </w:rPr>
        <w:t xml:space="preserve"> </w:t>
      </w:r>
    </w:p>
    <w:p/>
    <w:p>
      <w:pPr>
        <w:pStyle w:val="2"/>
        <w:jc w:val="both"/>
      </w:pPr>
    </w:p>
    <w:p>
      <w:pPr>
        <w:pStyle w:val="33"/>
        <w:spacing w:after="0" w:line="240" w:lineRule="auto"/>
        <w:ind w:left="0" w:leftChars="0"/>
        <w:jc w:val="left"/>
        <w:rPr>
          <w:rFonts w:ascii="宋体" w:hAnsi="宋体" w:cs="宋体"/>
          <w:b/>
          <w:sz w:val="22"/>
        </w:rPr>
      </w:pPr>
    </w:p>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bookmarkStart w:id="180" w:name="_Toc448097409"/>
      <w:bookmarkStart w:id="181" w:name="_Toc275274581"/>
    </w:p>
    <w:p/>
    <w:bookmarkEnd w:id="49"/>
    <w:bookmarkEnd w:id="180"/>
    <w:bookmarkEnd w:id="181"/>
    <w:p>
      <w:pPr>
        <w:pStyle w:val="3"/>
        <w:keepNext w:val="0"/>
        <w:keepLines w:val="0"/>
        <w:pageBreakBefore/>
        <w:numPr>
          <w:ilvl w:val="0"/>
          <w:numId w:val="6"/>
        </w:numPr>
        <w:spacing w:before="0" w:after="0" w:line="564" w:lineRule="exact"/>
        <w:ind w:right="57"/>
        <w:rPr>
          <w:sz w:val="32"/>
          <w:szCs w:val="32"/>
        </w:rPr>
      </w:pPr>
      <w:bookmarkStart w:id="182" w:name="_Toc52907682"/>
      <w:r>
        <w:rPr>
          <w:rFonts w:hint="eastAsia"/>
          <w:sz w:val="32"/>
          <w:szCs w:val="32"/>
        </w:rPr>
        <w:t xml:space="preserve">   </w:t>
      </w:r>
      <w:bookmarkStart w:id="183" w:name="_Toc3041_WPSOffice_Level1"/>
      <w:bookmarkStart w:id="184" w:name="_Toc25767"/>
      <w:bookmarkStart w:id="185" w:name="_Toc7090"/>
      <w:bookmarkStart w:id="186" w:name="_Toc21141"/>
      <w:bookmarkStart w:id="187" w:name="_Toc9245"/>
      <w:bookmarkStart w:id="188" w:name="_Toc18981"/>
      <w:r>
        <w:rPr>
          <w:sz w:val="32"/>
          <w:szCs w:val="32"/>
        </w:rPr>
        <w:t>投标文件格式</w:t>
      </w:r>
      <w:bookmarkEnd w:id="182"/>
      <w:bookmarkEnd w:id="183"/>
      <w:bookmarkEnd w:id="184"/>
      <w:bookmarkEnd w:id="185"/>
      <w:bookmarkEnd w:id="186"/>
      <w:bookmarkEnd w:id="187"/>
      <w:bookmarkEnd w:id="188"/>
    </w:p>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189" w:name="_Toc31585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189"/>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190" w:name="_Toc9051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190"/>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191" w:name="_Toc25649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191"/>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192" w:name="_Toc25297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192"/>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6" w:type="default"/>
          <w:footerReference r:id="rId7"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193" w:name="_Hlk47126466"/>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(5)投标人认为需要提供的其他资料（格式自拟）；</w:t>
      </w:r>
    </w:p>
    <w:p>
      <w:pPr>
        <w:autoSpaceDE w:val="0"/>
        <w:autoSpaceDN w:val="0"/>
        <w:adjustRightInd w:val="0"/>
        <w:snapToGrid w:val="0"/>
        <w:spacing w:line="360" w:lineRule="exact"/>
        <w:ind w:firstLine="440" w:firstLineChars="200"/>
        <w:rPr>
          <w:rFonts w:ascii="宋体" w:hAnsi="宋体" w:cs="宋体"/>
          <w:kern w:val="0"/>
          <w:sz w:val="22"/>
        </w:rPr>
      </w:pPr>
    </w:p>
    <w:bookmarkEnd w:id="193"/>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194"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供</w:t>
      </w:r>
      <w:r>
        <w:rPr>
          <w:rFonts w:cs="宋体"/>
          <w:sz w:val="22"/>
        </w:rPr>
        <w:t>货期</w:t>
      </w:r>
      <w:r>
        <w:rPr>
          <w:rFonts w:hint="eastAsia" w:cs="宋体"/>
          <w:sz w:val="22"/>
        </w:rPr>
        <w:t>为</w:t>
      </w:r>
      <w:r>
        <w:rPr>
          <w:rFonts w:hint="eastAsia" w:ascii="宋体" w:hAnsi="宋体"/>
          <w:szCs w:val="21"/>
        </w:rPr>
        <w:t>合同签订之日起</w:t>
      </w:r>
      <w:r>
        <w:rPr>
          <w:rFonts w:hint="eastAsia" w:ascii="宋体" w:hAnsi="宋体"/>
          <w:szCs w:val="21"/>
          <w:u w:val="single"/>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3)我方</w:t>
      </w:r>
      <w:bookmarkStart w:id="195" w:name="_Hlk47708015"/>
      <w:r>
        <w:rPr>
          <w:rFonts w:hint="eastAsia" w:ascii="宋体" w:hAnsi="宋体"/>
          <w:sz w:val="22"/>
        </w:rPr>
        <w:t>未</w:t>
      </w:r>
      <w:r>
        <w:rPr>
          <w:rFonts w:ascii="宋体" w:hAnsi="宋体"/>
          <w:sz w:val="22"/>
        </w:rPr>
        <w:t>被列入失信被执行人名单</w:t>
      </w:r>
      <w:bookmarkEnd w:id="195"/>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(4)</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(5)</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(6)</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194"/>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196"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196"/>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197" w:name="_Hlk54028417"/>
      <w:r>
        <w:rPr>
          <w:rFonts w:cs="微软雅黑"/>
          <w:b/>
          <w:kern w:val="0"/>
          <w:sz w:val="36"/>
          <w:szCs w:val="36"/>
        </w:rPr>
        <w:t>法定代表人授权委托书</w:t>
      </w:r>
      <w:bookmarkEnd w:id="197"/>
    </w:p>
    <w:p>
      <w:pPr>
        <w:spacing w:line="440" w:lineRule="exact"/>
        <w:ind w:firstLine="420" w:firstLineChars="200"/>
        <w:rPr>
          <w:rFonts w:cs="Calibri"/>
          <w:szCs w:val="21"/>
        </w:rPr>
      </w:pPr>
      <w:bookmarkStart w:id="198"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705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7052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198"/>
      <w:bookmarkStart w:id="199" w:name="_Toc8503_WPSOffice_Level1"/>
      <w:r>
        <w:rPr>
          <w:rFonts w:hint="eastAsia" w:cs="微软雅黑"/>
          <w:b/>
          <w:kern w:val="0"/>
          <w:sz w:val="36"/>
          <w:szCs w:val="36"/>
        </w:rPr>
        <w:t>三</w:t>
      </w:r>
      <w:r>
        <w:rPr>
          <w:rFonts w:cs="微软雅黑"/>
          <w:b/>
          <w:kern w:val="0"/>
          <w:sz w:val="36"/>
          <w:szCs w:val="36"/>
        </w:rPr>
        <w:t>、投标报价表</w:t>
      </w:r>
      <w:bookmarkEnd w:id="199"/>
    </w:p>
    <w:p>
      <w:pPr>
        <w:numPr>
          <w:ilvl w:val="1"/>
          <w:numId w:val="7"/>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7"/>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3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52"/>
        <w:tblpPr w:leftFromText="180" w:rightFromText="180" w:vertAnchor="text" w:horzAnchor="page" w:tblpX="1382" w:tblpY="137"/>
        <w:tblOverlap w:val="never"/>
        <w:tblW w:w="10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61"/>
        <w:gridCol w:w="3482"/>
        <w:gridCol w:w="705"/>
        <w:gridCol w:w="855"/>
        <w:gridCol w:w="153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6"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61"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项目名称</w:t>
            </w:r>
          </w:p>
        </w:tc>
        <w:tc>
          <w:tcPr>
            <w:tcW w:w="3482"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品牌型号</w:t>
            </w:r>
          </w:p>
        </w:tc>
        <w:tc>
          <w:tcPr>
            <w:tcW w:w="70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8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1530"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rPr>
              <w:t xml:space="preserve">    </w:t>
            </w:r>
            <w:r>
              <w:rPr>
                <w:rFonts w:ascii="宋体" w:hAnsi="宋体" w:cs="宋体"/>
                <w:b/>
                <w:sz w:val="20"/>
              </w:rPr>
              <w:t>(元，不含税)</w:t>
            </w:r>
          </w:p>
        </w:tc>
        <w:tc>
          <w:tcPr>
            <w:tcW w:w="1515"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6" w:type="dxa"/>
            <w:shd w:val="clear" w:color="000000" w:fill="FFFFFF"/>
          </w:tcPr>
          <w:p>
            <w:pPr>
              <w:adjustRightInd w:val="0"/>
              <w:snapToGrid w:val="0"/>
              <w:jc w:val="center"/>
              <w:rPr>
                <w:rFonts w:ascii="宋体" w:hAnsi="宋体"/>
                <w:sz w:val="22"/>
              </w:rPr>
            </w:pPr>
            <w:r>
              <w:rPr>
                <w:rFonts w:hint="eastAsia" w:ascii="宋体" w:hAnsi="宋体"/>
                <w:sz w:val="22"/>
              </w:rPr>
              <w:t>1</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center"/>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6" w:type="dxa"/>
            <w:shd w:val="clear" w:color="000000" w:fill="FFFFFF"/>
          </w:tcPr>
          <w:p>
            <w:pPr>
              <w:adjustRightInd w:val="0"/>
              <w:snapToGrid w:val="0"/>
              <w:jc w:val="center"/>
              <w:rPr>
                <w:rFonts w:ascii="宋体" w:hAnsi="宋体"/>
                <w:sz w:val="22"/>
              </w:rPr>
            </w:pPr>
            <w:r>
              <w:rPr>
                <w:rFonts w:hint="eastAsia" w:ascii="宋体" w:hAnsi="宋体"/>
                <w:sz w:val="22"/>
              </w:rPr>
              <w:t>2</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6" w:type="dxa"/>
            <w:shd w:val="clear" w:color="000000" w:fill="FFFFFF"/>
          </w:tcPr>
          <w:p>
            <w:pPr>
              <w:adjustRightInd w:val="0"/>
              <w:snapToGrid w:val="0"/>
              <w:jc w:val="center"/>
              <w:rPr>
                <w:rFonts w:ascii="宋体" w:hAnsi="宋体"/>
                <w:sz w:val="22"/>
              </w:rPr>
            </w:pPr>
            <w:r>
              <w:rPr>
                <w:rFonts w:hint="eastAsia" w:ascii="宋体" w:hAnsi="宋体"/>
                <w:sz w:val="22"/>
              </w:rPr>
              <w:t>3</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6" w:type="dxa"/>
            <w:shd w:val="clear" w:color="000000" w:fill="FFFFFF"/>
          </w:tcPr>
          <w:p>
            <w:pPr>
              <w:adjustRightInd w:val="0"/>
              <w:snapToGrid w:val="0"/>
              <w:jc w:val="center"/>
              <w:rPr>
                <w:rFonts w:ascii="宋体" w:hAnsi="宋体"/>
                <w:sz w:val="22"/>
              </w:rPr>
            </w:pPr>
            <w:r>
              <w:rPr>
                <w:rFonts w:hint="eastAsia" w:ascii="宋体" w:hAnsi="宋体"/>
                <w:sz w:val="22"/>
              </w:rPr>
              <w:t>4</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6" w:type="dxa"/>
            <w:shd w:val="clear" w:color="000000" w:fill="FFFFFF"/>
          </w:tcPr>
          <w:p>
            <w:pPr>
              <w:adjustRightInd w:val="0"/>
              <w:snapToGrid w:val="0"/>
              <w:jc w:val="center"/>
              <w:rPr>
                <w:rFonts w:ascii="宋体" w:hAnsi="宋体"/>
                <w:sz w:val="22"/>
              </w:rPr>
            </w:pPr>
            <w:r>
              <w:rPr>
                <w:rFonts w:hint="eastAsia" w:ascii="宋体" w:hAnsi="宋体"/>
                <w:sz w:val="22"/>
              </w:rPr>
              <w:t>5</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6" w:type="dxa"/>
            <w:shd w:val="clear" w:color="000000" w:fill="FFFFFF"/>
          </w:tcPr>
          <w:p>
            <w:pPr>
              <w:adjustRightInd w:val="0"/>
              <w:snapToGrid w:val="0"/>
              <w:jc w:val="center"/>
              <w:rPr>
                <w:rFonts w:ascii="宋体" w:hAnsi="宋体"/>
                <w:sz w:val="22"/>
              </w:rPr>
            </w:pPr>
            <w:r>
              <w:rPr>
                <w:rFonts w:hint="eastAsia" w:ascii="宋体" w:hAnsi="宋体"/>
                <w:sz w:val="22"/>
              </w:rPr>
              <w:t>6</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6" w:type="dxa"/>
            <w:shd w:val="clear" w:color="000000" w:fill="FFFFFF"/>
          </w:tcPr>
          <w:p>
            <w:pPr>
              <w:adjustRightInd w:val="0"/>
              <w:snapToGrid w:val="0"/>
              <w:jc w:val="center"/>
              <w:rPr>
                <w:rFonts w:ascii="宋体" w:hAnsi="宋体"/>
                <w:sz w:val="22"/>
              </w:rPr>
            </w:pPr>
            <w:r>
              <w:rPr>
                <w:rFonts w:hint="eastAsia" w:ascii="宋体" w:hAnsi="宋体"/>
                <w:sz w:val="22"/>
              </w:rPr>
              <w:t>7</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rPr>
              <w:t>税金（元）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rPr>
              <w:t>价税合计（元）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注：综合单价包括但不限于投标报价汇总表各单项的人工费、设备材料费、机械费以及所有第四章要求的伴随服务等招标文件规定的全部相关费用。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34"/>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200" w:name="_Toc32293_WPSOffice_Level1"/>
      <w:r>
        <w:rPr>
          <w:rFonts w:hint="eastAsia" w:cs="微软雅黑"/>
          <w:b/>
          <w:kern w:val="0"/>
          <w:sz w:val="36"/>
          <w:szCs w:val="36"/>
        </w:rPr>
        <w:t>四</w:t>
      </w:r>
      <w:r>
        <w:rPr>
          <w:rFonts w:cs="微软雅黑"/>
          <w:b/>
          <w:kern w:val="0"/>
          <w:sz w:val="36"/>
          <w:szCs w:val="36"/>
        </w:rPr>
        <w:t>、资格审查资料</w:t>
      </w:r>
      <w:bookmarkEnd w:id="200"/>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52"/>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rPr>
          <w:rFonts w:cs="宋体"/>
          <w:b/>
          <w:sz w:val="22"/>
        </w:rPr>
      </w:pPr>
      <w:r>
        <w:rPr>
          <w:rFonts w:hint="eastAsia" w:cs="宋体"/>
          <w:b/>
          <w:sz w:val="22"/>
        </w:rPr>
        <w:t xml:space="preserve">      </w:t>
      </w:r>
    </w:p>
    <w:p>
      <w:pPr>
        <w:widowControl/>
        <w:jc w:val="center"/>
        <w:rPr>
          <w:rFonts w:cs="宋体"/>
          <w:b/>
          <w:sz w:val="32"/>
          <w:szCs w:val="32"/>
        </w:rPr>
      </w:pPr>
      <w:r>
        <w:rPr>
          <w:rFonts w:cs="宋体"/>
          <w:b/>
          <w:sz w:val="24"/>
        </w:rPr>
        <w:br w:type="page"/>
      </w:r>
      <w:bookmarkStart w:id="201" w:name="_Toc26957539"/>
      <w:bookmarkStart w:id="202" w:name="_Toc28249088"/>
      <w:bookmarkStart w:id="203" w:name="_Toc26957693"/>
      <w:r>
        <w:rPr>
          <w:rFonts w:cs="宋体"/>
          <w:b/>
          <w:sz w:val="32"/>
          <w:szCs w:val="32"/>
        </w:rPr>
        <w:t xml:space="preserve"> </w:t>
      </w:r>
      <w:bookmarkEnd w:id="201"/>
      <w:bookmarkEnd w:id="202"/>
      <w:bookmarkEnd w:id="203"/>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52"/>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204" w:name="_Toc20627"/>
            <w:bookmarkStart w:id="205" w:name="_Toc5265"/>
            <w:bookmarkStart w:id="206" w:name="_Toc16635"/>
            <w:bookmarkStart w:id="207" w:name="_Toc25639"/>
            <w:bookmarkStart w:id="208" w:name="_Toc30120"/>
            <w:r>
              <w:rPr>
                <w:rFonts w:hint="eastAsia" w:ascii="宋体" w:hAnsi="宋体" w:cs="宋体"/>
                <w:sz w:val="22"/>
              </w:rPr>
              <w:t>…</w:t>
            </w:r>
            <w:bookmarkEnd w:id="204"/>
            <w:bookmarkEnd w:id="205"/>
            <w:bookmarkEnd w:id="206"/>
            <w:bookmarkEnd w:id="207"/>
            <w:bookmarkEnd w:id="208"/>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rPr>
          <w:rFonts w:cs="宋体"/>
          <w:b/>
          <w:sz w:val="22"/>
        </w:rPr>
      </w:pPr>
      <w:bookmarkStart w:id="209" w:name="_Hlk54028616"/>
      <w:r>
        <w:rPr>
          <w:rFonts w:hint="eastAsia" w:cs="宋体"/>
          <w:b/>
          <w:sz w:val="22"/>
        </w:rPr>
        <w:t xml:space="preserve">    </w:t>
      </w:r>
      <w:r>
        <w:rPr>
          <w:rFonts w:cs="宋体"/>
          <w:b/>
          <w:sz w:val="22"/>
        </w:rPr>
        <w:t>注：投标人应根在本表后附相关证明材料。</w:t>
      </w:r>
      <w:bookmarkEnd w:id="209"/>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52"/>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bookmarkStart w:id="210" w:name="_Toc2602_WPSOffice_Level1"/>
      <w:r>
        <w:rPr>
          <w:sz w:val="24"/>
        </w:rPr>
        <w:t>投标人：</w:t>
      </w:r>
      <w:r>
        <w:rPr>
          <w:sz w:val="24"/>
          <w:u w:val="single"/>
        </w:rPr>
        <w:t xml:space="preserve">      (盖单位章)       </w:t>
      </w:r>
      <w:r>
        <w:rPr>
          <w:sz w:val="24"/>
        </w:rPr>
        <w:t xml:space="preserve">  </w:t>
      </w:r>
      <w:bookmarkEnd w:id="210"/>
      <w:r>
        <w:rPr>
          <w:sz w:val="24"/>
          <w:u w:val="single"/>
        </w:rPr>
        <w:t xml:space="preserve">   </w:t>
      </w:r>
    </w:p>
    <w:p>
      <w:pPr>
        <w:tabs>
          <w:tab w:val="left" w:pos="7480"/>
        </w:tabs>
        <w:spacing w:line="800" w:lineRule="exact"/>
        <w:rPr>
          <w:sz w:val="24"/>
        </w:rPr>
      </w:pPr>
      <w:bookmarkStart w:id="211" w:name="_Toc31780_WPSOffice_Level1"/>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End w:id="211"/>
    </w:p>
    <w:p>
      <w:pPr>
        <w:widowControl/>
        <w:jc w:val="left"/>
        <w:rPr>
          <w:rFonts w:cs="宋体"/>
          <w:b/>
          <w:sz w:val="32"/>
          <w:szCs w:val="32"/>
        </w:rPr>
      </w:pPr>
      <w:r>
        <w:rPr>
          <w:rFonts w:cs="宋体"/>
          <w:b/>
          <w:sz w:val="32"/>
          <w:szCs w:val="32"/>
        </w:rPr>
        <w:br w:type="page"/>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jc w:val="center"/>
        <w:rPr>
          <w:rFonts w:ascii="宋体" w:hAnsi="宋体" w:cs="宋体"/>
          <w:b/>
          <w:sz w:val="32"/>
          <w:szCs w:val="32"/>
        </w:rPr>
      </w:pPr>
    </w:p>
    <w:p>
      <w:pPr>
        <w:jc w:val="center"/>
        <w:rPr>
          <w:rFonts w:ascii="宋体" w:hAnsi="宋体" w:cs="宋体"/>
          <w:b/>
          <w:sz w:val="32"/>
          <w:szCs w:val="32"/>
        </w:rPr>
      </w:pPr>
    </w:p>
    <w:p>
      <w:pPr>
        <w:autoSpaceDE w:val="0"/>
        <w:autoSpaceDN w:val="0"/>
        <w:adjustRightInd w:val="0"/>
        <w:jc w:val="center"/>
        <w:rPr>
          <w:rFonts w:cs="微软雅黑"/>
          <w:kern w:val="0"/>
          <w:sz w:val="13"/>
          <w:szCs w:val="13"/>
        </w:rPr>
      </w:pPr>
      <w:bookmarkStart w:id="212" w:name="_Toc3339_WPSOffice_Level1"/>
      <w:r>
        <w:rPr>
          <w:rFonts w:hint="eastAsia" w:ascii="宋体" w:hAnsi="宋体" w:cs="宋体"/>
          <w:b/>
          <w:sz w:val="32"/>
          <w:szCs w:val="32"/>
        </w:rPr>
        <w:t>五、投标人认为需要提供的其他资料（格式自拟）</w:t>
      </w:r>
      <w:bookmarkEnd w:id="212"/>
    </w:p>
    <w:p>
      <w:pPr>
        <w:pStyle w:val="2"/>
        <w:spacing w:before="0" w:after="0"/>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sectPr>
      <w:footerReference r:id="rId10" w:type="first"/>
      <w:headerReference r:id="rId8" w:type="default"/>
      <w:footerReference r:id="rId9"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jc w:val="center"/>
                          </w:pPr>
                          <w:r>
                            <w:fldChar w:fldCharType="begin"/>
                          </w:r>
                          <w:r>
                            <w:instrText xml:space="preserve">PAGE   \* MERGEFORMAT</w:instrText>
                          </w:r>
                          <w:r>
                            <w:fldChar w:fldCharType="separate"/>
                          </w:r>
                          <w:r>
                            <w:rPr>
                              <w:lang w:val="zh-CN"/>
                            </w:rPr>
                            <w:t>18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35"/>
                      <w:jc w:val="center"/>
                    </w:pPr>
                    <w:r>
                      <w:fldChar w:fldCharType="begin"/>
                    </w:r>
                    <w:r>
                      <w:instrText xml:space="preserve">PAGE   \* MERGEFORMAT</w:instrText>
                    </w:r>
                    <w:r>
                      <w:fldChar w:fldCharType="separate"/>
                    </w:r>
                    <w:r>
                      <w:rPr>
                        <w:lang w:val="zh-CN"/>
                      </w:rPr>
                      <w:t>18</w:t>
                    </w:r>
                    <w:r>
                      <w:rPr>
                        <w:lang w:val="zh-CN"/>
                      </w:rPr>
                      <w:fldChar w:fldCharType="end"/>
                    </w:r>
                  </w:p>
                </w:txbxContent>
              </v:textbox>
            </v:shape>
          </w:pict>
        </mc:Fallback>
      </mc:AlternateContent>
    </w:r>
  </w:p>
  <w:p>
    <w:pPr>
      <w:pStyle w:val="35"/>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2">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609CDCBB"/>
    <w:multiLevelType w:val="singleLevel"/>
    <w:tmpl w:val="609CDCBB"/>
    <w:lvl w:ilvl="0" w:tentative="0">
      <w:start w:val="3"/>
      <w:numFmt w:val="decimal"/>
      <w:suff w:val="nothing"/>
      <w:lvlText w:val="（%1）"/>
      <w:lvlJc w:val="left"/>
    </w:lvl>
  </w:abstractNum>
  <w:abstractNum w:abstractNumId="4">
    <w:nsid w:val="60BD74A1"/>
    <w:multiLevelType w:val="singleLevel"/>
    <w:tmpl w:val="60BD74A1"/>
    <w:lvl w:ilvl="0" w:tentative="0">
      <w:start w:val="1"/>
      <w:numFmt w:val="chineseCounting"/>
      <w:suff w:val="space"/>
      <w:lvlText w:val="第%1章"/>
      <w:lvlJc w:val="left"/>
    </w:lvl>
  </w:abstractNum>
  <w:abstractNum w:abstractNumId="5">
    <w:nsid w:val="60BD816E"/>
    <w:multiLevelType w:val="singleLevel"/>
    <w:tmpl w:val="60BD816E"/>
    <w:lvl w:ilvl="0" w:tentative="0">
      <w:start w:val="4"/>
      <w:numFmt w:val="chineseCounting"/>
      <w:suff w:val="space"/>
      <w:lvlText w:val="第%1章"/>
      <w:lvlJc w:val="left"/>
    </w:lvl>
  </w:abstractNum>
  <w:abstractNum w:abstractNumId="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7E17C6"/>
    <w:rsid w:val="0084531B"/>
    <w:rsid w:val="00B279BA"/>
    <w:rsid w:val="00E10267"/>
    <w:rsid w:val="00E640B6"/>
    <w:rsid w:val="00F24DBD"/>
    <w:rsid w:val="012C23D7"/>
    <w:rsid w:val="02020D6D"/>
    <w:rsid w:val="03452A7C"/>
    <w:rsid w:val="04A62CB6"/>
    <w:rsid w:val="04C749D8"/>
    <w:rsid w:val="067219E3"/>
    <w:rsid w:val="06F807C5"/>
    <w:rsid w:val="09DD2801"/>
    <w:rsid w:val="0AE409E7"/>
    <w:rsid w:val="0DD676DE"/>
    <w:rsid w:val="0F912C70"/>
    <w:rsid w:val="0FF61F21"/>
    <w:rsid w:val="12ED020A"/>
    <w:rsid w:val="13466AA4"/>
    <w:rsid w:val="13F20B84"/>
    <w:rsid w:val="145B4CAD"/>
    <w:rsid w:val="15142C91"/>
    <w:rsid w:val="16731A3C"/>
    <w:rsid w:val="18037573"/>
    <w:rsid w:val="1830240A"/>
    <w:rsid w:val="18E40E26"/>
    <w:rsid w:val="1D720DE7"/>
    <w:rsid w:val="1E795720"/>
    <w:rsid w:val="1E9D040B"/>
    <w:rsid w:val="1EF40D61"/>
    <w:rsid w:val="217F5243"/>
    <w:rsid w:val="22E53172"/>
    <w:rsid w:val="2350657B"/>
    <w:rsid w:val="238B4C29"/>
    <w:rsid w:val="247E4919"/>
    <w:rsid w:val="24875848"/>
    <w:rsid w:val="24B45001"/>
    <w:rsid w:val="24E8024A"/>
    <w:rsid w:val="2538379E"/>
    <w:rsid w:val="27352ADE"/>
    <w:rsid w:val="283E1A09"/>
    <w:rsid w:val="28F852FA"/>
    <w:rsid w:val="29BD513E"/>
    <w:rsid w:val="2A1A56A0"/>
    <w:rsid w:val="2B09029A"/>
    <w:rsid w:val="2D535AD8"/>
    <w:rsid w:val="2E7904ED"/>
    <w:rsid w:val="30A750C6"/>
    <w:rsid w:val="30EF0575"/>
    <w:rsid w:val="329A41C0"/>
    <w:rsid w:val="32BC5FD6"/>
    <w:rsid w:val="34977F5E"/>
    <w:rsid w:val="356B7909"/>
    <w:rsid w:val="359666B2"/>
    <w:rsid w:val="35D52A5B"/>
    <w:rsid w:val="362D1F00"/>
    <w:rsid w:val="381A07F0"/>
    <w:rsid w:val="39230717"/>
    <w:rsid w:val="3AE54940"/>
    <w:rsid w:val="3B7B6994"/>
    <w:rsid w:val="3BFD3EA0"/>
    <w:rsid w:val="3C5B42D6"/>
    <w:rsid w:val="3CBE550C"/>
    <w:rsid w:val="3D533A68"/>
    <w:rsid w:val="3D6D416E"/>
    <w:rsid w:val="3E8C09D8"/>
    <w:rsid w:val="40A4284E"/>
    <w:rsid w:val="41602AF6"/>
    <w:rsid w:val="42742616"/>
    <w:rsid w:val="45CC02EE"/>
    <w:rsid w:val="46287834"/>
    <w:rsid w:val="470E2570"/>
    <w:rsid w:val="47D70846"/>
    <w:rsid w:val="48734ABD"/>
    <w:rsid w:val="4A8609D4"/>
    <w:rsid w:val="4C3D7D1F"/>
    <w:rsid w:val="4C85295E"/>
    <w:rsid w:val="4D183AF8"/>
    <w:rsid w:val="4DE21316"/>
    <w:rsid w:val="4DED03D6"/>
    <w:rsid w:val="500B6C1A"/>
    <w:rsid w:val="510C2D33"/>
    <w:rsid w:val="5112258C"/>
    <w:rsid w:val="51D9191A"/>
    <w:rsid w:val="52672CF6"/>
    <w:rsid w:val="532F678C"/>
    <w:rsid w:val="538F2EEC"/>
    <w:rsid w:val="549A320A"/>
    <w:rsid w:val="55A12CB5"/>
    <w:rsid w:val="55BF2D14"/>
    <w:rsid w:val="55FA7E79"/>
    <w:rsid w:val="560738C5"/>
    <w:rsid w:val="56354F5B"/>
    <w:rsid w:val="5689662B"/>
    <w:rsid w:val="571028BB"/>
    <w:rsid w:val="57541178"/>
    <w:rsid w:val="57700EF5"/>
    <w:rsid w:val="587362D2"/>
    <w:rsid w:val="5A21013C"/>
    <w:rsid w:val="5B10052B"/>
    <w:rsid w:val="5B2A3347"/>
    <w:rsid w:val="5B802ECE"/>
    <w:rsid w:val="5C1E09C5"/>
    <w:rsid w:val="5E6441A7"/>
    <w:rsid w:val="5EA27FAB"/>
    <w:rsid w:val="5EDF78F4"/>
    <w:rsid w:val="5F992902"/>
    <w:rsid w:val="5FF82E55"/>
    <w:rsid w:val="6184176E"/>
    <w:rsid w:val="63A07E46"/>
    <w:rsid w:val="656E4A4C"/>
    <w:rsid w:val="65EC6B08"/>
    <w:rsid w:val="6635639E"/>
    <w:rsid w:val="66BE5796"/>
    <w:rsid w:val="689524E6"/>
    <w:rsid w:val="69814770"/>
    <w:rsid w:val="69B951D7"/>
    <w:rsid w:val="6B4B40E8"/>
    <w:rsid w:val="6BCA71E6"/>
    <w:rsid w:val="6CC149F9"/>
    <w:rsid w:val="6F8613D7"/>
    <w:rsid w:val="70491489"/>
    <w:rsid w:val="713C0039"/>
    <w:rsid w:val="72E90B5E"/>
    <w:rsid w:val="7403509A"/>
    <w:rsid w:val="74593728"/>
    <w:rsid w:val="745B5430"/>
    <w:rsid w:val="74650C09"/>
    <w:rsid w:val="76C82D6E"/>
    <w:rsid w:val="776901AE"/>
    <w:rsid w:val="7A35219D"/>
    <w:rsid w:val="7CB638EC"/>
    <w:rsid w:val="7D56698F"/>
    <w:rsid w:val="7DFA1DCC"/>
    <w:rsid w:val="7E4878F4"/>
    <w:rsid w:val="7FBD656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0"/>
    <w:pPr>
      <w:ind w:left="2520" w:leftChars="1200"/>
    </w:pPr>
  </w:style>
  <w:style w:type="paragraph" w:styleId="14">
    <w:name w:val="table of authorities"/>
    <w:basedOn w:val="1"/>
    <w:next w:val="1"/>
    <w:qFormat/>
    <w:uiPriority w:val="0"/>
    <w:pPr>
      <w:ind w:left="420" w:leftChars="200"/>
    </w:pPr>
    <w:rPr>
      <w:rFonts w:ascii="Times New Roman" w:hAnsi="Times New Roman" w:eastAsia="宋体" w:cs="Times New Roman"/>
      <w:szCs w:val="24"/>
    </w:rPr>
  </w:style>
  <w:style w:type="paragraph" w:styleId="15">
    <w:name w:val="Normal Indent"/>
    <w:basedOn w:val="1"/>
    <w:qFormat/>
    <w:uiPriority w:val="0"/>
    <w:pPr>
      <w:ind w:firstLine="420"/>
    </w:pPr>
    <w:rPr>
      <w:rFonts w:ascii="Times New Roman" w:hAnsi="Times New Roman" w:eastAsia="宋体" w:cs="Times New Roman"/>
      <w:szCs w:val="20"/>
    </w:rPr>
  </w:style>
  <w:style w:type="paragraph" w:styleId="16">
    <w:name w:val="caption"/>
    <w:basedOn w:val="1"/>
    <w:next w:val="1"/>
    <w:qFormat/>
    <w:uiPriority w:val="0"/>
    <w:rPr>
      <w:rFonts w:ascii="Arial" w:hAnsi="Arial" w:eastAsia="黑体" w:cs="Arial"/>
      <w:sz w:val="20"/>
      <w:szCs w:val="20"/>
    </w:rPr>
  </w:style>
  <w:style w:type="paragraph" w:styleId="17">
    <w:name w:val="index 5"/>
    <w:basedOn w:val="1"/>
    <w:next w:val="1"/>
    <w:qFormat/>
    <w:uiPriority w:val="0"/>
    <w:pPr>
      <w:ind w:left="800" w:leftChars="800"/>
    </w:pPr>
    <w:rPr>
      <w:rFonts w:ascii="Times New Roman" w:hAnsi="Times New Roman" w:eastAsia="宋体" w:cs="Times New Roman"/>
      <w:szCs w:val="24"/>
    </w:rPr>
  </w:style>
  <w:style w:type="paragraph" w:styleId="18">
    <w:name w:val="List Bullet"/>
    <w:basedOn w:val="1"/>
    <w:qFormat/>
    <w:uiPriority w:val="0"/>
    <w:pPr>
      <w:numPr>
        <w:ilvl w:val="0"/>
        <w:numId w:val="2"/>
      </w:numPr>
    </w:pPr>
    <w:rPr>
      <w:rFonts w:ascii="Times New Roman" w:hAnsi="Times New Roman" w:eastAsia="宋体" w:cs="Times New Roman"/>
      <w:szCs w:val="24"/>
    </w:rPr>
  </w:style>
  <w:style w:type="paragraph" w:styleId="19">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0">
    <w:name w:val="annotation text"/>
    <w:basedOn w:val="1"/>
    <w:link w:val="68"/>
    <w:unhideWhenUsed/>
    <w:qFormat/>
    <w:uiPriority w:val="0"/>
    <w:pPr>
      <w:jc w:val="left"/>
    </w:pPr>
  </w:style>
  <w:style w:type="paragraph" w:styleId="21">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2">
    <w:name w:val="Body Text"/>
    <w:basedOn w:val="1"/>
    <w:link w:val="71"/>
    <w:unhideWhenUsed/>
    <w:qFormat/>
    <w:uiPriority w:val="0"/>
    <w:pPr>
      <w:spacing w:after="120"/>
    </w:pPr>
  </w:style>
  <w:style w:type="paragraph" w:styleId="23">
    <w:name w:val="Body Text Indent"/>
    <w:basedOn w:val="1"/>
    <w:link w:val="75"/>
    <w:unhideWhenUsed/>
    <w:qFormat/>
    <w:uiPriority w:val="0"/>
    <w:pPr>
      <w:spacing w:after="120"/>
      <w:ind w:left="420" w:leftChars="200"/>
    </w:pPr>
    <w:rPr>
      <w:sz w:val="24"/>
      <w:szCs w:val="24"/>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spacing w:after="120"/>
      <w:ind w:left="420" w:leftChars="200"/>
    </w:pPr>
    <w:rPr>
      <w:rFonts w:ascii="Times New Roman" w:hAnsi="Times New Roman" w:eastAsia="宋体" w:cs="Times New Roman"/>
      <w:szCs w:val="24"/>
    </w:rPr>
  </w:style>
  <w:style w:type="paragraph" w:styleId="26">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qFormat/>
    <w:uiPriority w:val="0"/>
    <w:pPr>
      <w:numPr>
        <w:ilvl w:val="0"/>
        <w:numId w:val="3"/>
      </w:numPr>
    </w:pPr>
    <w:rPr>
      <w:rFonts w:ascii="Times New Roman" w:hAnsi="Times New Roman" w:eastAsia="宋体" w:cs="Times New Roman"/>
      <w:szCs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76"/>
    <w:qFormat/>
    <w:uiPriority w:val="0"/>
    <w:rPr>
      <w:rFonts w:ascii="宋体" w:hAnsi="Courier New" w:eastAsia="宋体" w:cs="Times New Roman"/>
      <w:kern w:val="0"/>
      <w:sz w:val="20"/>
      <w:szCs w:val="21"/>
    </w:rPr>
  </w:style>
  <w:style w:type="paragraph" w:styleId="31">
    <w:name w:val="toc 8"/>
    <w:basedOn w:val="1"/>
    <w:next w:val="1"/>
    <w:qFormat/>
    <w:uiPriority w:val="0"/>
    <w:pPr>
      <w:ind w:left="2940" w:leftChars="1400"/>
    </w:pPr>
  </w:style>
  <w:style w:type="paragraph" w:styleId="32">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3">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4">
    <w:name w:val="Balloon Text"/>
    <w:basedOn w:val="1"/>
    <w:link w:val="79"/>
    <w:semiHidden/>
    <w:qFormat/>
    <w:uiPriority w:val="0"/>
    <w:rPr>
      <w:rFonts w:ascii="Times New Roman" w:hAnsi="Times New Roman" w:eastAsia="宋体" w:cs="Times New Roman"/>
      <w:kern w:val="0"/>
      <w:sz w:val="18"/>
      <w:szCs w:val="18"/>
    </w:rPr>
  </w:style>
  <w:style w:type="paragraph" w:styleId="35">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6">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7">
    <w:name w:val="toc 1"/>
    <w:basedOn w:val="1"/>
    <w:next w:val="1"/>
    <w:qFormat/>
    <w:uiPriority w:val="39"/>
  </w:style>
  <w:style w:type="paragraph" w:styleId="38">
    <w:name w:val="toc 4"/>
    <w:basedOn w:val="1"/>
    <w:next w:val="1"/>
    <w:qFormat/>
    <w:uiPriority w:val="0"/>
    <w:pPr>
      <w:ind w:left="1260" w:leftChars="600"/>
    </w:pPr>
  </w:style>
  <w:style w:type="paragraph" w:styleId="39">
    <w:name w:val="List"/>
    <w:basedOn w:val="1"/>
    <w:qFormat/>
    <w:uiPriority w:val="0"/>
    <w:pPr>
      <w:ind w:left="200" w:hanging="200" w:hangingChars="200"/>
    </w:pPr>
    <w:rPr>
      <w:rFonts w:ascii="Times New Roman" w:hAnsi="Times New Roman" w:eastAsia="宋体" w:cs="Times New Roman"/>
      <w:szCs w:val="24"/>
    </w:rPr>
  </w:style>
  <w:style w:type="paragraph" w:styleId="40">
    <w:name w:val="toc 6"/>
    <w:basedOn w:val="1"/>
    <w:next w:val="1"/>
    <w:qFormat/>
    <w:uiPriority w:val="0"/>
    <w:pPr>
      <w:ind w:left="2100" w:leftChars="1000"/>
    </w:pPr>
  </w:style>
  <w:style w:type="paragraph" w:styleId="41">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2">
    <w:name w:val="toc 2"/>
    <w:basedOn w:val="1"/>
    <w:next w:val="1"/>
    <w:qFormat/>
    <w:uiPriority w:val="0"/>
    <w:pPr>
      <w:ind w:left="420" w:leftChars="200"/>
    </w:pPr>
  </w:style>
  <w:style w:type="paragraph" w:styleId="43">
    <w:name w:val="toc 9"/>
    <w:basedOn w:val="1"/>
    <w:next w:val="1"/>
    <w:qFormat/>
    <w:uiPriority w:val="0"/>
    <w:pPr>
      <w:ind w:left="3360" w:leftChars="1600"/>
    </w:pPr>
  </w:style>
  <w:style w:type="paragraph" w:styleId="44">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5">
    <w:name w:val="List 4"/>
    <w:basedOn w:val="1"/>
    <w:qFormat/>
    <w:uiPriority w:val="0"/>
    <w:pPr>
      <w:ind w:left="100" w:leftChars="600" w:hanging="200" w:hangingChars="200"/>
    </w:pPr>
    <w:rPr>
      <w:rFonts w:ascii="Times New Roman" w:hAnsi="Times New Roman" w:eastAsia="宋体" w:cs="Times New Roman"/>
      <w:szCs w:val="24"/>
    </w:rPr>
  </w:style>
  <w:style w:type="paragraph" w:styleId="46">
    <w:name w:val="List Continue 2"/>
    <w:basedOn w:val="1"/>
    <w:qFormat/>
    <w:uiPriority w:val="0"/>
    <w:pPr>
      <w:spacing w:after="120"/>
      <w:ind w:left="840" w:leftChars="400"/>
    </w:pPr>
    <w:rPr>
      <w:rFonts w:ascii="Times New Roman" w:hAnsi="Times New Roman" w:eastAsia="宋体" w:cs="Times New Roman"/>
      <w:szCs w:val="24"/>
    </w:rPr>
  </w:style>
  <w:style w:type="paragraph" w:styleId="47">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8">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9">
    <w:name w:val="annotation subject"/>
    <w:basedOn w:val="20"/>
    <w:next w:val="20"/>
    <w:link w:val="69"/>
    <w:semiHidden/>
    <w:qFormat/>
    <w:uiPriority w:val="0"/>
    <w:rPr>
      <w:rFonts w:ascii="Times New Roman" w:hAnsi="Times New Roman" w:eastAsia="宋体" w:cs="Times New Roman"/>
      <w:b/>
      <w:bCs/>
      <w:kern w:val="0"/>
      <w:sz w:val="20"/>
    </w:rPr>
  </w:style>
  <w:style w:type="paragraph" w:styleId="50">
    <w:name w:val="Body Text First Indent"/>
    <w:basedOn w:val="22"/>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3"/>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qFormat/>
    <w:uiPriority w:val="0"/>
    <w:rPr>
      <w:rFonts w:ascii="Times New Roman" w:hAnsi="Times New Roman" w:eastAsia="宋体" w:cs="Times New Roman"/>
      <w:b/>
      <w:bCs/>
      <w:kern w:val="44"/>
      <w:sz w:val="30"/>
      <w:szCs w:val="44"/>
    </w:rPr>
  </w:style>
  <w:style w:type="character" w:customStyle="1" w:styleId="60">
    <w:name w:val="标题 2 Char"/>
    <w:basedOn w:val="54"/>
    <w:link w:val="4"/>
    <w:qFormat/>
    <w:uiPriority w:val="0"/>
    <w:rPr>
      <w:rFonts w:ascii="Arial" w:hAnsi="Arial" w:eastAsia="宋体" w:cs="Times New Roman"/>
      <w:b/>
      <w:bCs/>
      <w:kern w:val="0"/>
      <w:sz w:val="28"/>
      <w:szCs w:val="32"/>
    </w:rPr>
  </w:style>
  <w:style w:type="character" w:customStyle="1" w:styleId="61">
    <w:name w:val="标题 3 Char"/>
    <w:basedOn w:val="54"/>
    <w:link w:val="5"/>
    <w:qFormat/>
    <w:uiPriority w:val="0"/>
    <w:rPr>
      <w:rFonts w:ascii="宋体" w:hAnsi="Times New Roman" w:eastAsia="宋体" w:cs="Times New Roman"/>
      <w:b/>
      <w:kern w:val="0"/>
      <w:sz w:val="28"/>
      <w:szCs w:val="20"/>
    </w:rPr>
  </w:style>
  <w:style w:type="character" w:customStyle="1" w:styleId="62">
    <w:name w:val="标题 4 Char"/>
    <w:basedOn w:val="54"/>
    <w:link w:val="6"/>
    <w:qFormat/>
    <w:uiPriority w:val="0"/>
    <w:rPr>
      <w:rFonts w:ascii="Arial" w:hAnsi="Arial" w:eastAsia="黑体" w:cs="Times New Roman"/>
      <w:b/>
      <w:bCs/>
      <w:kern w:val="0"/>
      <w:sz w:val="28"/>
      <w:szCs w:val="28"/>
    </w:rPr>
  </w:style>
  <w:style w:type="character" w:customStyle="1" w:styleId="63">
    <w:name w:val="标题 5 Char"/>
    <w:basedOn w:val="54"/>
    <w:link w:val="7"/>
    <w:qFormat/>
    <w:uiPriority w:val="0"/>
    <w:rPr>
      <w:rFonts w:ascii="Times New Roman" w:hAnsi="Times New Roman" w:eastAsia="宋体" w:cs="Times New Roman"/>
      <w:b/>
      <w:bCs/>
      <w:kern w:val="0"/>
      <w:sz w:val="28"/>
      <w:szCs w:val="28"/>
    </w:rPr>
  </w:style>
  <w:style w:type="character" w:customStyle="1" w:styleId="64">
    <w:name w:val="标题 6 Char"/>
    <w:basedOn w:val="54"/>
    <w:link w:val="8"/>
    <w:qFormat/>
    <w:uiPriority w:val="0"/>
    <w:rPr>
      <w:rFonts w:ascii="Arial" w:hAnsi="Arial" w:eastAsia="黑体" w:cs="Times New Roman"/>
      <w:b/>
      <w:bCs/>
      <w:kern w:val="0"/>
      <w:sz w:val="24"/>
      <w:szCs w:val="24"/>
    </w:rPr>
  </w:style>
  <w:style w:type="character" w:customStyle="1" w:styleId="65">
    <w:name w:val="标题 7 Char"/>
    <w:basedOn w:val="54"/>
    <w:link w:val="9"/>
    <w:qFormat/>
    <w:uiPriority w:val="0"/>
    <w:rPr>
      <w:rFonts w:ascii="Times New Roman" w:hAnsi="Times New Roman" w:eastAsia="宋体" w:cs="Times New Roman"/>
      <w:b/>
      <w:bCs/>
      <w:kern w:val="0"/>
      <w:sz w:val="24"/>
      <w:szCs w:val="24"/>
    </w:rPr>
  </w:style>
  <w:style w:type="character" w:customStyle="1" w:styleId="66">
    <w:name w:val="标题 8 Char"/>
    <w:basedOn w:val="54"/>
    <w:link w:val="10"/>
    <w:qFormat/>
    <w:uiPriority w:val="0"/>
    <w:rPr>
      <w:rFonts w:ascii="Arial" w:hAnsi="Arial" w:eastAsia="黑体" w:cs="Times New Roman"/>
      <w:kern w:val="0"/>
      <w:sz w:val="24"/>
      <w:szCs w:val="24"/>
    </w:rPr>
  </w:style>
  <w:style w:type="character" w:customStyle="1" w:styleId="67">
    <w:name w:val="标题 9 Char"/>
    <w:basedOn w:val="54"/>
    <w:link w:val="11"/>
    <w:qFormat/>
    <w:uiPriority w:val="0"/>
    <w:rPr>
      <w:rFonts w:ascii="Arial" w:hAnsi="Arial" w:eastAsia="黑体" w:cs="Times New Roman"/>
      <w:kern w:val="0"/>
      <w:sz w:val="20"/>
      <w:szCs w:val="21"/>
    </w:rPr>
  </w:style>
  <w:style w:type="character" w:customStyle="1" w:styleId="68">
    <w:name w:val="批注文字 Char"/>
    <w:basedOn w:val="54"/>
    <w:link w:val="20"/>
    <w:semiHidden/>
    <w:qFormat/>
    <w:uiPriority w:val="0"/>
  </w:style>
  <w:style w:type="character" w:customStyle="1" w:styleId="69">
    <w:name w:val="批注主题 Char"/>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Char"/>
    <w:basedOn w:val="54"/>
    <w:link w:val="22"/>
    <w:qFormat/>
    <w:uiPriority w:val="0"/>
  </w:style>
  <w:style w:type="character" w:customStyle="1" w:styleId="72">
    <w:name w:val="正文首行缩进 Char"/>
    <w:basedOn w:val="71"/>
    <w:link w:val="50"/>
    <w:qFormat/>
    <w:uiPriority w:val="0"/>
    <w:rPr>
      <w:rFonts w:ascii="Times New Roman" w:hAnsi="Times New Roman" w:eastAsia="宋体" w:cs="Times New Roman"/>
      <w:kern w:val="0"/>
      <w:sz w:val="20"/>
      <w:szCs w:val="24"/>
    </w:rPr>
  </w:style>
  <w:style w:type="character" w:customStyle="1" w:styleId="73">
    <w:name w:val="文档结构图 Char"/>
    <w:basedOn w:val="54"/>
    <w:link w:val="19"/>
    <w:qFormat/>
    <w:uiPriority w:val="0"/>
    <w:rPr>
      <w:rFonts w:ascii="Times New Roman" w:hAnsi="Times New Roman" w:eastAsia="宋体" w:cs="Times New Roman"/>
      <w:kern w:val="0"/>
      <w:sz w:val="20"/>
      <w:shd w:val="clear" w:color="auto" w:fill="000080"/>
    </w:rPr>
  </w:style>
  <w:style w:type="character" w:customStyle="1" w:styleId="74">
    <w:name w:val="正文文本 3 Char"/>
    <w:basedOn w:val="54"/>
    <w:link w:val="21"/>
    <w:qFormat/>
    <w:uiPriority w:val="0"/>
    <w:rPr>
      <w:rFonts w:ascii="Times New Roman" w:hAnsi="Times New Roman" w:eastAsia="宋体" w:cs="Times New Roman"/>
      <w:kern w:val="0"/>
      <w:sz w:val="16"/>
      <w:szCs w:val="16"/>
    </w:rPr>
  </w:style>
  <w:style w:type="character" w:customStyle="1" w:styleId="75">
    <w:name w:val="正文文本缩进 Char"/>
    <w:basedOn w:val="54"/>
    <w:link w:val="23"/>
    <w:qFormat/>
    <w:uiPriority w:val="0"/>
    <w:rPr>
      <w:sz w:val="24"/>
      <w:szCs w:val="24"/>
    </w:rPr>
  </w:style>
  <w:style w:type="character" w:customStyle="1" w:styleId="76">
    <w:name w:val="纯文本 Char"/>
    <w:basedOn w:val="54"/>
    <w:link w:val="30"/>
    <w:qFormat/>
    <w:uiPriority w:val="0"/>
    <w:rPr>
      <w:rFonts w:ascii="宋体" w:hAnsi="Courier New" w:eastAsia="宋体" w:cs="Times New Roman"/>
      <w:kern w:val="0"/>
      <w:sz w:val="20"/>
      <w:szCs w:val="21"/>
    </w:rPr>
  </w:style>
  <w:style w:type="character" w:customStyle="1" w:styleId="77">
    <w:name w:val="日期 Char"/>
    <w:basedOn w:val="54"/>
    <w:link w:val="32"/>
    <w:qFormat/>
    <w:uiPriority w:val="0"/>
    <w:rPr>
      <w:rFonts w:ascii="Times New Roman" w:hAnsi="Times New Roman" w:eastAsia="宋体" w:cs="Times New Roman"/>
      <w:kern w:val="0"/>
      <w:sz w:val="20"/>
    </w:rPr>
  </w:style>
  <w:style w:type="character" w:customStyle="1" w:styleId="78">
    <w:name w:val="正文文本缩进 2 Char"/>
    <w:basedOn w:val="54"/>
    <w:link w:val="33"/>
    <w:qFormat/>
    <w:uiPriority w:val="0"/>
    <w:rPr>
      <w:rFonts w:ascii="Times New Roman" w:hAnsi="Times New Roman" w:eastAsia="宋体" w:cs="Times New Roman"/>
      <w:kern w:val="0"/>
      <w:sz w:val="20"/>
    </w:rPr>
  </w:style>
  <w:style w:type="character" w:customStyle="1" w:styleId="79">
    <w:name w:val="批注框文本 Char"/>
    <w:basedOn w:val="54"/>
    <w:link w:val="34"/>
    <w:semiHidden/>
    <w:qFormat/>
    <w:uiPriority w:val="0"/>
    <w:rPr>
      <w:rFonts w:ascii="Times New Roman" w:hAnsi="Times New Roman" w:eastAsia="宋体" w:cs="Times New Roman"/>
      <w:kern w:val="0"/>
      <w:sz w:val="18"/>
      <w:szCs w:val="18"/>
    </w:rPr>
  </w:style>
  <w:style w:type="character" w:customStyle="1" w:styleId="80">
    <w:name w:val="页脚 Char"/>
    <w:basedOn w:val="54"/>
    <w:link w:val="35"/>
    <w:qFormat/>
    <w:uiPriority w:val="99"/>
    <w:rPr>
      <w:rFonts w:ascii="Times New Roman" w:hAnsi="Times New Roman" w:eastAsia="宋体" w:cs="Times New Roman"/>
      <w:kern w:val="0"/>
      <w:sz w:val="18"/>
      <w:szCs w:val="20"/>
    </w:rPr>
  </w:style>
  <w:style w:type="character" w:customStyle="1" w:styleId="81">
    <w:name w:val="正文首行缩进 2 Char"/>
    <w:basedOn w:val="75"/>
    <w:link w:val="51"/>
    <w:qFormat/>
    <w:uiPriority w:val="0"/>
    <w:rPr>
      <w:rFonts w:ascii="宋体" w:hAnsi="宋体" w:eastAsia="宋体" w:cs="Times New Roman"/>
      <w:kern w:val="0"/>
      <w:sz w:val="28"/>
      <w:szCs w:val="24"/>
    </w:rPr>
  </w:style>
  <w:style w:type="character" w:customStyle="1" w:styleId="82">
    <w:name w:val="页眉 Char"/>
    <w:basedOn w:val="54"/>
    <w:link w:val="36"/>
    <w:qFormat/>
    <w:uiPriority w:val="0"/>
    <w:rPr>
      <w:rFonts w:ascii="Times New Roman" w:hAnsi="Times New Roman" w:eastAsia="宋体" w:cs="Times New Roman"/>
      <w:kern w:val="0"/>
      <w:sz w:val="18"/>
      <w:szCs w:val="20"/>
    </w:rPr>
  </w:style>
  <w:style w:type="character" w:customStyle="1" w:styleId="83">
    <w:name w:val="正文文本缩进 3 Char"/>
    <w:basedOn w:val="54"/>
    <w:link w:val="41"/>
    <w:qFormat/>
    <w:uiPriority w:val="0"/>
    <w:rPr>
      <w:rFonts w:ascii="Times New Roman" w:hAnsi="Times New Roman" w:eastAsia="宋体" w:cs="Times New Roman"/>
      <w:kern w:val="0"/>
      <w:sz w:val="16"/>
      <w:szCs w:val="16"/>
    </w:rPr>
  </w:style>
  <w:style w:type="character" w:customStyle="1" w:styleId="84">
    <w:name w:val="正文文本 2 Char"/>
    <w:basedOn w:val="54"/>
    <w:link w:val="44"/>
    <w:qFormat/>
    <w:uiPriority w:val="0"/>
    <w:rPr>
      <w:rFonts w:ascii="Times New Roman" w:hAnsi="Times New Roman" w:eastAsia="宋体" w:cs="Times New Roman"/>
      <w:kern w:val="0"/>
      <w:sz w:val="20"/>
    </w:rPr>
  </w:style>
  <w:style w:type="character" w:customStyle="1" w:styleId="85">
    <w:name w:val="标题 Char"/>
    <w:basedOn w:val="54"/>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2"/>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9"/>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2"/>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列出段落2"/>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 w:type="character" w:customStyle="1" w:styleId="132">
    <w:name w:val="标题 1 Char"/>
    <w:link w:val="3"/>
    <w:qFormat/>
    <w:uiPriority w:val="0"/>
    <w:rPr>
      <w:b/>
      <w:bCs/>
      <w:kern w:val="44"/>
      <w:sz w:val="44"/>
      <w:szCs w:val="44"/>
    </w:rPr>
  </w:style>
  <w:style w:type="paragraph" w:customStyle="1" w:styleId="133">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Table Paragraph"/>
    <w:basedOn w:val="1"/>
    <w:qFormat/>
    <w:uiPriority w:val="1"/>
  </w:style>
  <w:style w:type="paragraph" w:customStyle="1" w:styleId="136">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12508</Words>
  <Characters>2959</Characters>
  <Lines>24</Lines>
  <Paragraphs>30</Paragraphs>
  <TotalTime>0</TotalTime>
  <ScaleCrop>false</ScaleCrop>
  <LinksUpToDate>false</LinksUpToDate>
  <CharactersWithSpaces>15437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2021-04-26T06:35:00Z</cp:lastPrinted>
  <dcterms:modified xsi:type="dcterms:W3CDTF">2021-09-16T07:35:10Z</dcterms:modified>
  <dc:title>杭州萧山国际机场航空物流有限公司充电场所整改项目招标公告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