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b/>
          <w:sz w:val="52"/>
          <w:szCs w:val="52"/>
          <w:lang w:eastAsia="zh-CN"/>
        </w:rPr>
        <w:t>杭州萧山国际机场动力部维修材料给排水类采购项目（2021年11月）</w:t>
      </w:r>
      <w:r>
        <w:rPr>
          <w:rFonts w:ascii="黑体" w:hAnsi="黑体" w:eastAsia="黑体"/>
          <w:b/>
          <w:sz w:val="52"/>
          <w:szCs w:val="52"/>
        </w:rPr>
        <w:t>招标文件</w:t>
      </w:r>
    </w:p>
    <w:p>
      <w:pPr>
        <w:pStyle w:val="2"/>
        <w:rPr>
          <w:rFonts w:hint="eastAsia" w:ascii="黑体" w:hAnsi="黑体" w:eastAsia="黑体" w:cstheme="minorBidi"/>
          <w:b/>
          <w:bCs w:val="0"/>
          <w:kern w:val="2"/>
          <w:sz w:val="52"/>
          <w:szCs w:val="52"/>
          <w:lang w:val="en-US" w:eastAsia="zh-CN" w:bidi="ar-SA"/>
        </w:rPr>
      </w:pPr>
      <w:r>
        <w:rPr>
          <w:rFonts w:hint="eastAsia" w:ascii="黑体" w:hAnsi="黑体" w:eastAsia="黑体" w:cstheme="minorBidi"/>
          <w:b/>
          <w:bCs w:val="0"/>
          <w:kern w:val="2"/>
          <w:sz w:val="52"/>
          <w:szCs w:val="52"/>
          <w:lang w:val="en-US" w:eastAsia="zh-CN" w:bidi="ar-SA"/>
        </w:rPr>
        <w:t>（重新招标）</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jc w:val="both"/>
        <w:rPr>
          <w:rStyle w:val="132"/>
        </w:rPr>
        <w:sectPr>
          <w:headerReference r:id="rId3" w:type="default"/>
          <w:footerReference r:id="rId4" w:type="default"/>
          <w:pgSz w:w="12240" w:h="15840"/>
          <w:pgMar w:top="1400" w:right="1680" w:bottom="1120" w:left="1580" w:header="0" w:footer="921" w:gutter="0"/>
          <w:pgNumType w:fmt="decimal" w:start="1"/>
          <w:cols w:space="720" w:num="1"/>
        </w:sectPr>
      </w:pPr>
      <w:bookmarkStart w:id="0" w:name="_Toc6901"/>
      <w:bookmarkStart w:id="1" w:name="_Toc452"/>
      <w:bookmarkStart w:id="2" w:name="_Toc29043"/>
    </w:p>
    <w:bookmarkEnd w:id="0"/>
    <w:bookmarkEnd w:id="1"/>
    <w:bookmarkEnd w:id="2"/>
    <w:sdt>
      <w:sdtPr>
        <w:rPr>
          <w:rFonts w:ascii="宋体" w:hAnsi="宋体" w:eastAsia="宋体" w:cstheme="minorBidi"/>
          <w:kern w:val="2"/>
          <w:sz w:val="21"/>
          <w:szCs w:val="22"/>
          <w:lang w:val="en-US" w:eastAsia="zh-CN" w:bidi="ar-SA"/>
        </w:rPr>
        <w:id w:val="147451212"/>
      </w:sdtPr>
      <w:sdtEndPr>
        <w:rPr>
          <w:rFonts w:ascii="宋体" w:hAnsi="宋体" w:eastAsia="宋体" w:cstheme="minorBidi"/>
          <w:b w:val="0"/>
          <w:bCs w:val="0"/>
          <w:kern w:val="2"/>
          <w:sz w:val="20"/>
          <w:szCs w:val="20"/>
          <w:lang w:val="en-US" w:eastAsia="zh-CN" w:bidi="ar-SA"/>
        </w:rPr>
      </w:sdtEndPr>
      <w:sdtContent>
        <w:sdt>
          <w:sdtPr>
            <w:rPr>
              <w:rFonts w:ascii="宋体" w:hAnsi="宋体" w:eastAsia="宋体" w:cstheme="minorBidi"/>
              <w:kern w:val="2"/>
              <w:sz w:val="21"/>
              <w:szCs w:val="22"/>
              <w:lang w:val="en-US" w:eastAsia="zh-CN" w:bidi="ar-SA"/>
            </w:rPr>
            <w:id w:val="147451038"/>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bookmarkStart w:id="3" w:name="_Toc9278_WPSOffice_Type1"/>
              <w:r>
                <w:rPr>
                  <w:rFonts w:hint="eastAsia" w:ascii="宋体" w:hAnsi="宋体" w:eastAsia="宋体" w:cs="宋体"/>
                  <w:b/>
                  <w:bCs/>
                  <w:sz w:val="32"/>
                  <w:szCs w:val="32"/>
                </w:rPr>
                <w:t>目录</w:t>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_Toc9762_WPSOffice_Level1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06d73850-5dd8-427f-a036-5af6a3aca0d2}"/>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第一章 招标公告</w:t>
                  </w:r>
                </w:sdtContent>
              </w:sdt>
              <w:r>
                <w:rPr>
                  <w:rFonts w:hint="eastAsia" w:ascii="宋体" w:hAnsi="宋体" w:eastAsia="宋体" w:cs="宋体"/>
                  <w:sz w:val="32"/>
                  <w:szCs w:val="32"/>
                </w:rPr>
                <w:tab/>
              </w:r>
              <w:bookmarkStart w:id="4" w:name="_Toc9762_WPSOffice_Level1Page"/>
              <w:r>
                <w:rPr>
                  <w:rFonts w:hint="eastAsia" w:ascii="宋体" w:hAnsi="宋体" w:eastAsia="宋体" w:cs="宋体"/>
                  <w:sz w:val="32"/>
                  <w:szCs w:val="32"/>
                </w:rPr>
                <w:t>2</w:t>
              </w:r>
              <w:bookmarkEnd w:id="4"/>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_Toc9278_WPSOffice_Level1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818bc7d4-1c16-4e55-92c9-36fbfdd0fb83}"/>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第二章 评标办法</w:t>
                  </w:r>
                </w:sdtContent>
              </w:sdt>
              <w:r>
                <w:rPr>
                  <w:rFonts w:hint="eastAsia" w:ascii="宋体" w:hAnsi="宋体" w:eastAsia="宋体" w:cs="宋体"/>
                  <w:sz w:val="32"/>
                  <w:szCs w:val="32"/>
                </w:rPr>
                <w:tab/>
              </w:r>
              <w:bookmarkStart w:id="5" w:name="_Toc9278_WPSOffice_Level1Page"/>
              <w:r>
                <w:rPr>
                  <w:rFonts w:hint="eastAsia" w:ascii="宋体" w:hAnsi="宋体" w:eastAsia="宋体" w:cs="宋体"/>
                  <w:sz w:val="32"/>
                  <w:szCs w:val="32"/>
                </w:rPr>
                <w:t>4</w:t>
              </w:r>
              <w:bookmarkEnd w:id="5"/>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_Toc9804_WPSOffice_Level1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5f5821ca-e872-407c-9fcf-fa6fedbf18da}"/>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第三章 合同条款及格式</w:t>
                  </w:r>
                </w:sdtContent>
              </w:sdt>
              <w:r>
                <w:rPr>
                  <w:rFonts w:hint="eastAsia" w:ascii="宋体" w:hAnsi="宋体" w:eastAsia="宋体" w:cs="宋体"/>
                  <w:sz w:val="32"/>
                  <w:szCs w:val="32"/>
                </w:rPr>
                <w:tab/>
              </w:r>
              <w:bookmarkStart w:id="6" w:name="_Toc9804_WPSOffice_Level1Page"/>
              <w:r>
                <w:rPr>
                  <w:rFonts w:hint="eastAsia" w:ascii="宋体" w:hAnsi="宋体" w:eastAsia="宋体" w:cs="宋体"/>
                  <w:sz w:val="32"/>
                  <w:szCs w:val="32"/>
                </w:rPr>
                <w:t>6</w:t>
              </w:r>
              <w:bookmarkEnd w:id="6"/>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_Toc19431_WPSOffice_Level1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e3ab24d8-3b95-4dad-a142-4f1fef74535e}"/>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第四章 用户需求书</w:t>
                  </w:r>
                </w:sdtContent>
              </w:sdt>
              <w:r>
                <w:rPr>
                  <w:rFonts w:hint="eastAsia" w:ascii="宋体" w:hAnsi="宋体" w:eastAsia="宋体" w:cs="宋体"/>
                  <w:sz w:val="32"/>
                  <w:szCs w:val="32"/>
                </w:rPr>
                <w:tab/>
              </w:r>
              <w:bookmarkStart w:id="7" w:name="_Toc19431_WPSOffice_Level1Page"/>
              <w:r>
                <w:rPr>
                  <w:rFonts w:hint="eastAsia" w:ascii="宋体" w:hAnsi="宋体" w:eastAsia="宋体" w:cs="宋体"/>
                  <w:sz w:val="32"/>
                  <w:szCs w:val="32"/>
                </w:rPr>
                <w:t>13</w:t>
              </w:r>
              <w:bookmarkEnd w:id="7"/>
              <w:r>
                <w:rPr>
                  <w:rFonts w:hint="eastAsia" w:ascii="宋体" w:hAnsi="宋体" w:eastAsia="宋体" w:cs="宋体"/>
                  <w:sz w:val="32"/>
                  <w:szCs w:val="32"/>
                </w:rPr>
                <w:fldChar w:fldCharType="end"/>
              </w:r>
            </w:p>
            <w:p>
              <w:pPr>
                <w:pStyle w:val="136"/>
                <w:tabs>
                  <w:tab w:val="right" w:leader="dot" w:pos="963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_Toc7862_WPSOffice_Level1 </w:instrText>
              </w:r>
              <w:r>
                <w:rPr>
                  <w:rFonts w:hint="eastAsia" w:ascii="宋体" w:hAnsi="宋体" w:eastAsia="宋体" w:cs="宋体"/>
                  <w:sz w:val="32"/>
                  <w:szCs w:val="32"/>
                </w:rPr>
                <w:fldChar w:fldCharType="separate"/>
              </w:r>
              <w:sdt>
                <w:sdtPr>
                  <w:rPr>
                    <w:rFonts w:hint="eastAsia" w:ascii="宋体" w:hAnsi="宋体" w:eastAsia="宋体" w:cs="宋体"/>
                    <w:kern w:val="2"/>
                    <w:sz w:val="32"/>
                    <w:szCs w:val="32"/>
                    <w:lang w:val="en-US" w:eastAsia="zh-CN" w:bidi="ar-SA"/>
                  </w:rPr>
                  <w:id w:val="147451038"/>
                  <w:placeholder>
                    <w:docPart w:val="{9f966a88-2976-4879-bd7f-79d733a8d9bd}"/>
                  </w:placeholder>
                </w:sdtPr>
                <w:sdtEndPr>
                  <w:rPr>
                    <w:rFonts w:hint="eastAsia" w:ascii="宋体" w:hAnsi="宋体" w:eastAsia="宋体" w:cs="宋体"/>
                    <w:kern w:val="2"/>
                    <w:sz w:val="32"/>
                    <w:szCs w:val="32"/>
                    <w:lang w:val="en-US" w:eastAsia="zh-CN" w:bidi="ar-SA"/>
                  </w:rPr>
                </w:sdtEndPr>
                <w:sdtContent>
                  <w:r>
                    <w:rPr>
                      <w:rFonts w:hint="eastAsia" w:ascii="宋体" w:hAnsi="宋体" w:eastAsia="宋体" w:cs="宋体"/>
                      <w:sz w:val="32"/>
                      <w:szCs w:val="32"/>
                    </w:rPr>
                    <w:t>第五章 投标文件格式</w:t>
                  </w:r>
                </w:sdtContent>
              </w:sdt>
              <w:r>
                <w:rPr>
                  <w:rFonts w:hint="eastAsia" w:ascii="宋体" w:hAnsi="宋体" w:eastAsia="宋体" w:cs="宋体"/>
                  <w:sz w:val="32"/>
                  <w:szCs w:val="32"/>
                </w:rPr>
                <w:tab/>
              </w:r>
              <w:bookmarkStart w:id="8" w:name="_Toc7862_WPSOffice_Level1Page"/>
              <w:r>
                <w:rPr>
                  <w:rFonts w:hint="eastAsia" w:ascii="宋体" w:hAnsi="宋体" w:eastAsia="宋体" w:cs="宋体"/>
                  <w:sz w:val="32"/>
                  <w:szCs w:val="32"/>
                </w:rPr>
                <w:t>15</w:t>
              </w:r>
              <w:bookmarkEnd w:id="8"/>
              <w:r>
                <w:rPr>
                  <w:rFonts w:hint="eastAsia" w:ascii="宋体" w:hAnsi="宋体" w:eastAsia="宋体" w:cs="宋体"/>
                  <w:sz w:val="32"/>
                  <w:szCs w:val="32"/>
                </w:rPr>
                <w:fldChar w:fldCharType="end"/>
              </w:r>
            </w:p>
            <w:bookmarkEnd w:id="3"/>
            <w:p>
              <w:pPr>
                <w:pStyle w:val="136"/>
                <w:tabs>
                  <w:tab w:val="right" w:leader="dot" w:pos="9639"/>
                </w:tabs>
                <w:rPr>
                  <w:rFonts w:hint="eastAsia" w:ascii="宋体" w:hAnsi="宋体" w:eastAsia="宋体" w:cs="宋体"/>
                  <w:sz w:val="32"/>
                  <w:szCs w:val="32"/>
                </w:rPr>
              </w:pPr>
            </w:p>
          </w:sdtContent>
        </w:sdt>
        <w:p>
          <w:pPr>
            <w:spacing w:line="560" w:lineRule="exact"/>
            <w:jc w:val="center"/>
            <w:rPr>
              <w:rFonts w:hint="eastAsia" w:asciiTheme="majorEastAsia" w:hAnsiTheme="majorEastAsia" w:eastAsiaTheme="majorEastAsia" w:cstheme="majorEastAsia"/>
              <w:b/>
              <w:bCs/>
              <w:sz w:val="28"/>
              <w:szCs w:val="28"/>
            </w:rPr>
          </w:pP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4"/>
        </w:numPr>
        <w:kinsoku/>
        <w:wordWrap/>
        <w:overflowPunct/>
        <w:topLinePunct w:val="0"/>
        <w:autoSpaceDE/>
        <w:autoSpaceDN/>
        <w:bidi w:val="0"/>
        <w:adjustRightInd/>
        <w:snapToGrid/>
        <w:textAlignment w:val="auto"/>
        <w:rPr>
          <w:rFonts w:hint="eastAsia"/>
        </w:rPr>
      </w:pPr>
      <w:bookmarkStart w:id="9" w:name="_Toc7894"/>
      <w:bookmarkStart w:id="10" w:name="_Toc448097401"/>
      <w:bookmarkStart w:id="11" w:name="_Toc9762_WPSOffice_Level1"/>
      <w:bookmarkStart w:id="12" w:name="_Toc25748"/>
      <w:bookmarkStart w:id="13" w:name="_Toc19086"/>
      <w:r>
        <w:rPr>
          <w:rFonts w:hint="eastAsia"/>
        </w:rPr>
        <w:t>招标公告</w:t>
      </w:r>
      <w:bookmarkEnd w:id="9"/>
      <w:bookmarkEnd w:id="10"/>
      <w:bookmarkEnd w:id="11"/>
      <w:bookmarkEnd w:id="12"/>
      <w:bookmarkEnd w:id="13"/>
    </w:p>
    <w:p>
      <w:pPr>
        <w:pStyle w:val="5"/>
        <w:numPr>
          <w:ilvl w:val="0"/>
          <w:numId w:val="0"/>
        </w:numPr>
        <w:tabs>
          <w:tab w:val="clear" w:pos="1275"/>
        </w:tabs>
        <w:snapToGrid w:val="0"/>
        <w:spacing w:line="360" w:lineRule="exact"/>
        <w:rPr>
          <w:rFonts w:ascii="宋体" w:hAnsi="宋体"/>
          <w:sz w:val="22"/>
          <w:szCs w:val="22"/>
        </w:rPr>
      </w:pPr>
      <w:bookmarkStart w:id="14" w:name="_bookmark2"/>
      <w:bookmarkEnd w:id="14"/>
      <w:bookmarkStart w:id="15" w:name="_Toc31582"/>
      <w:bookmarkStart w:id="16" w:name="_Toc30260"/>
      <w:r>
        <w:rPr>
          <w:rFonts w:ascii="宋体" w:hAnsi="宋体"/>
          <w:sz w:val="22"/>
          <w:szCs w:val="22"/>
        </w:rPr>
        <w:t>1.招标条件</w:t>
      </w:r>
      <w:bookmarkEnd w:id="15"/>
      <w:bookmarkEnd w:id="16"/>
    </w:p>
    <w:p>
      <w:pPr>
        <w:pStyle w:val="17"/>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杭州萧山国际机场动力部维修材料给排水类采购项目（2021年11月）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numPr>
          <w:ilvl w:val="0"/>
          <w:numId w:val="0"/>
        </w:numPr>
        <w:tabs>
          <w:tab w:val="clear" w:pos="1275"/>
        </w:tabs>
        <w:snapToGrid w:val="0"/>
        <w:spacing w:line="360" w:lineRule="exact"/>
        <w:rPr>
          <w:rFonts w:ascii="宋体" w:hAnsi="宋体"/>
          <w:sz w:val="22"/>
          <w:szCs w:val="22"/>
        </w:rPr>
      </w:pPr>
      <w:bookmarkStart w:id="17" w:name="_bookmark3"/>
      <w:bookmarkEnd w:id="17"/>
      <w:bookmarkStart w:id="18" w:name="_Toc17236"/>
      <w:bookmarkStart w:id="19" w:name="_Toc27576"/>
      <w:r>
        <w:rPr>
          <w:rFonts w:ascii="宋体" w:hAnsi="宋体"/>
          <w:sz w:val="22"/>
          <w:szCs w:val="22"/>
        </w:rPr>
        <w:t>2.项目概况与招标范围</w:t>
      </w:r>
      <w:bookmarkEnd w:id="18"/>
      <w:bookmarkEnd w:id="19"/>
    </w:p>
    <w:p>
      <w:pPr>
        <w:pStyle w:val="5"/>
        <w:numPr>
          <w:ilvl w:val="0"/>
          <w:numId w:val="0"/>
        </w:numPr>
        <w:tabs>
          <w:tab w:val="clear" w:pos="1275"/>
        </w:tabs>
        <w:snapToGrid w:val="0"/>
        <w:spacing w:line="360" w:lineRule="exact"/>
        <w:ind w:firstLine="442" w:firstLineChars="200"/>
        <w:rPr>
          <w:rFonts w:hint="default" w:ascii="宋体" w:hAnsi="宋体" w:eastAsia="宋体"/>
          <w:sz w:val="22"/>
          <w:szCs w:val="22"/>
          <w:lang w:val="en-US" w:eastAsia="zh-CN"/>
        </w:rPr>
      </w:pPr>
      <w:bookmarkStart w:id="20" w:name="_bookmark4"/>
      <w:bookmarkEnd w:id="20"/>
      <w:bookmarkStart w:id="21" w:name="_Toc2482"/>
      <w:bookmarkStart w:id="22" w:name="_Toc10355"/>
      <w:r>
        <w:rPr>
          <w:rFonts w:hint="eastAsia" w:hAnsi="宋体"/>
          <w:sz w:val="22"/>
          <w:szCs w:val="22"/>
          <w:lang w:val="en-US" w:eastAsia="zh-CN"/>
        </w:rPr>
        <w:t>见第四章 用户需求书。</w:t>
      </w:r>
    </w:p>
    <w:p>
      <w:pPr>
        <w:pStyle w:val="5"/>
        <w:numPr>
          <w:ilvl w:val="0"/>
          <w:numId w:val="0"/>
        </w:numPr>
        <w:tabs>
          <w:tab w:val="clear" w:pos="1275"/>
        </w:tabs>
        <w:snapToGrid w:val="0"/>
        <w:spacing w:line="360" w:lineRule="exact"/>
        <w:rPr>
          <w:rFonts w:ascii="宋体" w:hAnsi="宋体"/>
          <w:sz w:val="22"/>
          <w:szCs w:val="22"/>
        </w:rPr>
      </w:pPr>
      <w:r>
        <w:rPr>
          <w:rFonts w:ascii="宋体" w:hAnsi="宋体"/>
          <w:sz w:val="22"/>
          <w:szCs w:val="22"/>
        </w:rPr>
        <w:t>3.投标人资格要求</w:t>
      </w:r>
      <w:bookmarkEnd w:id="21"/>
      <w:bookmarkEnd w:id="22"/>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1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3"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3"/>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1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4"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4"/>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ascii="宋体" w:hAnsi="宋体"/>
          <w:sz w:val="22"/>
          <w:szCs w:val="22"/>
        </w:rPr>
      </w:pPr>
      <w:bookmarkStart w:id="25" w:name="_bookmark5"/>
      <w:bookmarkEnd w:id="25"/>
      <w:r>
        <w:rPr>
          <w:rFonts w:hint="eastAsia" w:hAnsi="宋体"/>
          <w:sz w:val="22"/>
          <w:szCs w:val="22"/>
          <w:lang w:val="en-US" w:eastAsia="zh-CN"/>
        </w:rPr>
        <w:t xml:space="preserve">    </w:t>
      </w:r>
      <w:bookmarkStart w:id="26" w:name="_Toc7557"/>
      <w:bookmarkStart w:id="27" w:name="_Toc31524"/>
      <w:r>
        <w:rPr>
          <w:rFonts w:ascii="宋体" w:hAnsi="宋体"/>
          <w:sz w:val="22"/>
          <w:szCs w:val="22"/>
        </w:rPr>
        <w:t>4.招标文件的获取</w:t>
      </w:r>
      <w:bookmarkEnd w:id="26"/>
      <w:bookmarkEnd w:id="27"/>
    </w:p>
    <w:p>
      <w:pPr>
        <w:pStyle w:val="5"/>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8" w:name="_bookmark6"/>
      <w:bookmarkEnd w:id="28"/>
      <w:bookmarkStart w:id="29" w:name="_Toc12252"/>
      <w:bookmarkStart w:id="30" w:name="_Toc32431"/>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9"/>
      <w:bookmarkEnd w:id="30"/>
    </w:p>
    <w:p>
      <w:pPr>
        <w:ind w:left="0" w:leftChars="0" w:firstLine="330" w:firstLineChars="150"/>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bCs/>
          <w:kern w:val="0"/>
          <w:position w:val="-2"/>
          <w:sz w:val="22"/>
          <w:u w:val="single"/>
          <w:lang w:val="en-US" w:eastAsia="zh-CN"/>
        </w:rPr>
        <w:t xml:space="preserve"> 2021  </w:t>
      </w:r>
      <w:r>
        <w:rPr>
          <w:rFonts w:hint="eastAsia" w:ascii="宋体" w:hAnsi="宋体" w:cs="宋体"/>
          <w:b/>
          <w:bCs/>
          <w:kern w:val="0"/>
          <w:position w:val="-2"/>
          <w:sz w:val="22"/>
          <w:lang w:val="en-US" w:eastAsia="zh-CN"/>
        </w:rPr>
        <w:t>年</w:t>
      </w:r>
      <w:r>
        <w:rPr>
          <w:rFonts w:hint="eastAsia" w:ascii="宋体" w:hAnsi="宋体" w:cs="宋体"/>
          <w:b/>
          <w:bCs/>
          <w:kern w:val="0"/>
          <w:position w:val="-2"/>
          <w:sz w:val="22"/>
          <w:u w:val="single"/>
          <w:lang w:val="en-US" w:eastAsia="zh-CN"/>
        </w:rPr>
        <w:t xml:space="preserve">  11  </w:t>
      </w:r>
      <w:r>
        <w:rPr>
          <w:rFonts w:hint="eastAsia" w:ascii="宋体" w:hAnsi="宋体" w:cs="宋体"/>
          <w:b/>
          <w:bCs/>
          <w:kern w:val="0"/>
          <w:position w:val="-2"/>
          <w:sz w:val="22"/>
          <w:lang w:val="en-US" w:eastAsia="zh-CN"/>
        </w:rPr>
        <w:t>月</w:t>
      </w:r>
      <w:r>
        <w:rPr>
          <w:rFonts w:hint="eastAsia" w:ascii="宋体" w:hAnsi="宋体" w:cs="宋体"/>
          <w:b/>
          <w:bCs/>
          <w:kern w:val="0"/>
          <w:position w:val="-2"/>
          <w:sz w:val="22"/>
          <w:u w:val="single"/>
          <w:lang w:val="en-US" w:eastAsia="zh-CN"/>
        </w:rPr>
        <w:t xml:space="preserve">  30  </w:t>
      </w:r>
      <w:r>
        <w:rPr>
          <w:rFonts w:hint="eastAsia" w:ascii="宋体" w:hAnsi="宋体" w:cs="宋体"/>
          <w:b/>
          <w:bCs/>
          <w:kern w:val="0"/>
          <w:position w:val="-2"/>
          <w:sz w:val="22"/>
          <w:lang w:val="en-US" w:eastAsia="zh-CN"/>
        </w:rPr>
        <w:t>日</w:t>
      </w:r>
      <w:r>
        <w:rPr>
          <w:rFonts w:hint="eastAsia" w:ascii="宋体" w:hAnsi="宋体" w:cs="宋体"/>
          <w:b/>
          <w:bCs/>
          <w:kern w:val="0"/>
          <w:position w:val="-2"/>
          <w:sz w:val="22"/>
          <w:u w:val="single"/>
          <w:lang w:val="en-US" w:eastAsia="zh-CN"/>
        </w:rPr>
        <w:t xml:space="preserve">  9  </w:t>
      </w:r>
      <w:r>
        <w:rPr>
          <w:rFonts w:hint="eastAsia" w:ascii="宋体" w:hAnsi="宋体" w:cs="宋体"/>
          <w:b/>
          <w:bCs/>
          <w:kern w:val="0"/>
          <w:position w:val="-2"/>
          <w:sz w:val="22"/>
          <w:lang w:val="en-US" w:eastAsia="zh-CN"/>
        </w:rPr>
        <w:t>时</w:t>
      </w:r>
      <w:r>
        <w:rPr>
          <w:rFonts w:hint="eastAsia" w:ascii="宋体" w:hAnsi="宋体" w:cs="宋体"/>
          <w:b/>
          <w:bCs/>
          <w:kern w:val="0"/>
          <w:position w:val="-2"/>
          <w:sz w:val="22"/>
          <w:u w:val="single"/>
          <w:lang w:val="en-US" w:eastAsia="zh-CN"/>
        </w:rPr>
        <w:t xml:space="preserve">  30 </w:t>
      </w:r>
      <w:r>
        <w:rPr>
          <w:rFonts w:hint="eastAsia" w:ascii="宋体" w:hAnsi="宋体" w:cs="宋体"/>
          <w:b/>
          <w:bCs/>
          <w:kern w:val="0"/>
          <w:position w:val="-2"/>
          <w:sz w:val="22"/>
          <w:lang w:val="en-US" w:eastAsia="zh-CN"/>
        </w:rPr>
        <w:t>分</w:t>
      </w:r>
      <w:r>
        <w:rPr>
          <w:rFonts w:hint="eastAsia" w:ascii="宋体" w:hAnsi="宋体" w:cs="宋体"/>
          <w:b w:val="0"/>
          <w:bCs w:val="0"/>
          <w:kern w:val="0"/>
          <w:position w:val="-2"/>
          <w:sz w:val="22"/>
          <w:lang w:val="en-US" w:eastAsia="zh-CN"/>
        </w:rPr>
        <w:t>（北京时间）。踏勘集中地点为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31" w:name="_Toc7828"/>
      <w:bookmarkStart w:id="32" w:name="_Toc20734"/>
      <w:bookmarkStart w:id="33" w:name="_Toc29950"/>
      <w:r>
        <w:rPr>
          <w:rFonts w:hint="eastAsia" w:ascii="宋体" w:hAnsi="宋体" w:cs="宋体"/>
          <w:b/>
          <w:bCs/>
          <w:kern w:val="0"/>
          <w:position w:val="-2"/>
          <w:sz w:val="22"/>
          <w:lang w:val="en-US" w:eastAsia="zh-CN"/>
        </w:rPr>
        <w:t>6</w:t>
      </w:r>
      <w:r>
        <w:rPr>
          <w:rFonts w:hint="eastAsia" w:ascii="宋体" w:hAnsi="宋体" w:eastAsia="宋体" w:cs="Times New Roman"/>
          <w:b/>
          <w:bCs/>
          <w:kern w:val="0"/>
          <w:sz w:val="22"/>
          <w:szCs w:val="22"/>
          <w:lang w:val="en-US" w:eastAsia="zh-CN" w:bidi="ar-SA"/>
        </w:rPr>
        <w:t>.招标答疑</w:t>
      </w:r>
      <w:bookmarkEnd w:id="31"/>
      <w:bookmarkEnd w:id="32"/>
      <w:bookmarkEnd w:id="33"/>
    </w:p>
    <w:p>
      <w:pPr>
        <w:pStyle w:val="2"/>
        <w:ind w:firstLine="442" w:firstLineChars="200"/>
        <w:jc w:val="both"/>
        <w:rPr>
          <w:rFonts w:hint="eastAsia" w:asciiTheme="minorEastAsia" w:hAnsiTheme="minorEastAsia" w:eastAsiaTheme="minorEastAsia" w:cstheme="minorEastAsia"/>
          <w:b w:val="0"/>
          <w:bCs w:val="0"/>
          <w:kern w:val="0"/>
          <w:position w:val="-2"/>
          <w:sz w:val="22"/>
          <w:szCs w:val="22"/>
          <w:lang w:val="en-US" w:eastAsia="zh-CN"/>
        </w:rPr>
      </w:pPr>
      <w:bookmarkStart w:id="34" w:name="_Toc5083"/>
      <w:bookmarkStart w:id="35" w:name="_Toc16490"/>
      <w:bookmarkStart w:id="36" w:name="_Toc31400"/>
      <w:r>
        <w:rPr>
          <w:rFonts w:hint="eastAsia" w:asciiTheme="minorEastAsia" w:hAnsiTheme="minorEastAsia" w:eastAsiaTheme="minorEastAsia" w:cstheme="minorEastAsia"/>
          <w:b/>
          <w:bCs/>
          <w:kern w:val="0"/>
          <w:position w:val="-2"/>
          <w:sz w:val="22"/>
          <w:szCs w:val="22"/>
          <w:u w:val="single"/>
          <w:lang w:val="en-US" w:eastAsia="zh-CN"/>
        </w:rPr>
        <w:t xml:space="preserve"> 2021  </w:t>
      </w:r>
      <w:r>
        <w:rPr>
          <w:rFonts w:hint="eastAsia" w:asciiTheme="minorEastAsia" w:hAnsiTheme="minorEastAsia" w:eastAsiaTheme="minorEastAsia" w:cstheme="minorEastAsia"/>
          <w:b/>
          <w:bCs/>
          <w:kern w:val="0"/>
          <w:position w:val="-2"/>
          <w:sz w:val="22"/>
          <w:szCs w:val="22"/>
          <w:lang w:val="en-US" w:eastAsia="zh-CN"/>
        </w:rPr>
        <w:t>年</w:t>
      </w:r>
      <w:r>
        <w:rPr>
          <w:rFonts w:hint="eastAsia" w:asciiTheme="minorEastAsia" w:hAnsiTheme="minorEastAsia" w:eastAsiaTheme="minorEastAsia" w:cstheme="minorEastAsia"/>
          <w:b/>
          <w:bCs/>
          <w:kern w:val="0"/>
          <w:position w:val="-2"/>
          <w:sz w:val="22"/>
          <w:szCs w:val="22"/>
          <w:u w:val="single"/>
          <w:lang w:val="en-US" w:eastAsia="zh-CN"/>
        </w:rPr>
        <w:t xml:space="preserve"> 11 </w:t>
      </w:r>
      <w:r>
        <w:rPr>
          <w:rFonts w:hint="eastAsia" w:asciiTheme="minorEastAsia" w:hAnsiTheme="minorEastAsia" w:eastAsiaTheme="minorEastAsia" w:cstheme="minorEastAsia"/>
          <w:b/>
          <w:bCs/>
          <w:kern w:val="0"/>
          <w:position w:val="-2"/>
          <w:sz w:val="22"/>
          <w:szCs w:val="22"/>
          <w:lang w:val="en-US" w:eastAsia="zh-CN"/>
        </w:rPr>
        <w:t>月</w:t>
      </w:r>
      <w:r>
        <w:rPr>
          <w:rFonts w:hint="eastAsia" w:asciiTheme="minorEastAsia" w:hAnsiTheme="minorEastAsia" w:eastAsiaTheme="minorEastAsia" w:cstheme="minorEastAsia"/>
          <w:b/>
          <w:bCs/>
          <w:kern w:val="0"/>
          <w:position w:val="-2"/>
          <w:sz w:val="22"/>
          <w:szCs w:val="22"/>
          <w:u w:val="single"/>
          <w:lang w:val="en-US" w:eastAsia="zh-CN"/>
        </w:rPr>
        <w:t xml:space="preserve"> 30 </w:t>
      </w:r>
      <w:r>
        <w:rPr>
          <w:rFonts w:hint="eastAsia" w:asciiTheme="minorEastAsia" w:hAnsiTheme="minorEastAsia" w:eastAsiaTheme="minorEastAsia" w:cstheme="minorEastAsia"/>
          <w:b/>
          <w:bCs/>
          <w:kern w:val="0"/>
          <w:position w:val="-2"/>
          <w:sz w:val="22"/>
          <w:szCs w:val="22"/>
          <w:lang w:val="en-US" w:eastAsia="zh-CN"/>
        </w:rPr>
        <w:t>日</w:t>
      </w:r>
      <w:r>
        <w:rPr>
          <w:rFonts w:hint="eastAsia" w:asciiTheme="minorEastAsia" w:hAnsiTheme="minorEastAsia" w:eastAsiaTheme="minorEastAsia" w:cstheme="minorEastAsia"/>
          <w:b/>
          <w:bCs/>
          <w:kern w:val="0"/>
          <w:position w:val="-2"/>
          <w:sz w:val="22"/>
          <w:szCs w:val="22"/>
          <w:u w:val="single"/>
          <w:lang w:val="en-US" w:eastAsia="zh-CN"/>
        </w:rPr>
        <w:t xml:space="preserve">  15 </w:t>
      </w:r>
      <w:r>
        <w:rPr>
          <w:rFonts w:hint="eastAsia" w:asciiTheme="minorEastAsia" w:hAnsiTheme="minorEastAsia" w:eastAsiaTheme="minorEastAsia" w:cstheme="minorEastAsia"/>
          <w:b/>
          <w:bCs/>
          <w:kern w:val="0"/>
          <w:position w:val="-2"/>
          <w:sz w:val="22"/>
          <w:szCs w:val="22"/>
          <w:lang w:val="en-US" w:eastAsia="zh-CN"/>
        </w:rPr>
        <w:t>时</w:t>
      </w:r>
      <w:r>
        <w:rPr>
          <w:rFonts w:hint="eastAsia" w:asciiTheme="minorEastAsia" w:hAnsiTheme="minorEastAsia" w:eastAsiaTheme="minorEastAsia" w:cstheme="minorEastAsia"/>
          <w:b/>
          <w:bCs/>
          <w:kern w:val="0"/>
          <w:position w:val="-2"/>
          <w:sz w:val="22"/>
          <w:szCs w:val="22"/>
          <w:u w:val="single"/>
          <w:lang w:val="en-US" w:eastAsia="zh-CN"/>
        </w:rPr>
        <w:t xml:space="preserve"> 00 </w:t>
      </w:r>
      <w:r>
        <w:rPr>
          <w:rFonts w:hint="eastAsia" w:asciiTheme="minorEastAsia" w:hAnsiTheme="minorEastAsia" w:eastAsiaTheme="minorEastAsia" w:cstheme="minorEastAsia"/>
          <w:b/>
          <w:bCs/>
          <w:kern w:val="0"/>
          <w:position w:val="-2"/>
          <w:sz w:val="22"/>
          <w:szCs w:val="22"/>
          <w:lang w:val="en-US" w:eastAsia="zh-CN"/>
        </w:rPr>
        <w:t>分</w:t>
      </w:r>
      <w:r>
        <w:rPr>
          <w:rFonts w:hint="eastAsia" w:asciiTheme="minorEastAsia" w:hAnsiTheme="minorEastAsia" w:eastAsiaTheme="minorEastAsia" w:cstheme="minorEastAsia"/>
          <w:b w:val="0"/>
          <w:bCs w:val="0"/>
          <w:kern w:val="0"/>
          <w:position w:val="-2"/>
          <w:sz w:val="22"/>
          <w:szCs w:val="22"/>
          <w:lang w:val="en-US" w:eastAsia="zh-CN"/>
        </w:rPr>
        <w:t>前，以E-mail及书面形式提交给招标人（邮箱：381581591@qq.com，联系人：叶宇超）投标人必须在规定时间前提出对招标文件的疑问，否则招标人有权拒绝接收和拒绝回答未在截止时间前</w:t>
      </w:r>
      <w:bookmarkStart w:id="90" w:name="_GoBack"/>
      <w:bookmarkEnd w:id="90"/>
      <w:r>
        <w:rPr>
          <w:rFonts w:hint="eastAsia" w:asciiTheme="minorEastAsia" w:hAnsiTheme="minorEastAsia" w:eastAsiaTheme="minorEastAsia" w:cstheme="minorEastAsia"/>
          <w:b w:val="0"/>
          <w:bCs w:val="0"/>
          <w:kern w:val="0"/>
          <w:position w:val="-2"/>
          <w:sz w:val="22"/>
          <w:szCs w:val="22"/>
          <w:lang w:val="en-US" w:eastAsia="zh-CN"/>
        </w:rPr>
        <w:t>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34"/>
      <w:bookmarkEnd w:id="35"/>
      <w:bookmarkEnd w:id="36"/>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12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3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杭州萧山国际机场动力部维修材料给排水类采购项目（2021年11月）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12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3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12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3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杭州萧山国际机场动力部维修材料给排水类采购项目（2021年11月）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杭州萧山国际机场动力部维修材料给排水类采购项目（2021年11月）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bCs/>
          <w:color w:val="auto"/>
          <w:kern w:val="0"/>
          <w:sz w:val="22"/>
          <w:szCs w:val="22"/>
          <w:u w:val="single"/>
          <w:lang w:val="en-US" w:eastAsia="zh-CN"/>
        </w:rPr>
        <w:t xml:space="preserve">2021 </w:t>
      </w:r>
      <w:r>
        <w:rPr>
          <w:rFonts w:hint="eastAsia" w:asciiTheme="minorEastAsia" w:hAnsiTheme="minorEastAsia" w:eastAsiaTheme="minorEastAsia" w:cstheme="minorEastAsia"/>
          <w:b/>
          <w:bCs/>
          <w:color w:val="auto"/>
          <w:kern w:val="0"/>
          <w:sz w:val="22"/>
          <w:szCs w:val="22"/>
        </w:rPr>
        <w:t>年</w:t>
      </w:r>
      <w:r>
        <w:rPr>
          <w:rFonts w:hint="eastAsia" w:asciiTheme="minorEastAsia" w:hAnsiTheme="minorEastAsia" w:cstheme="minorEastAsia"/>
          <w:b/>
          <w:bCs/>
          <w:color w:val="auto"/>
          <w:kern w:val="0"/>
          <w:sz w:val="22"/>
          <w:szCs w:val="22"/>
          <w:u w:val="single"/>
          <w:lang w:val="en-US" w:eastAsia="zh-CN"/>
        </w:rPr>
        <w:t xml:space="preserve"> 12  </w:t>
      </w:r>
      <w:r>
        <w:rPr>
          <w:rFonts w:hint="eastAsia" w:asciiTheme="minorEastAsia" w:hAnsiTheme="minorEastAsia" w:eastAsiaTheme="minorEastAsia" w:cstheme="minorEastAsia"/>
          <w:b/>
          <w:bCs/>
          <w:color w:val="auto"/>
          <w:kern w:val="0"/>
          <w:sz w:val="22"/>
          <w:szCs w:val="22"/>
        </w:rPr>
        <w:t>月</w:t>
      </w:r>
      <w:r>
        <w:rPr>
          <w:rFonts w:hint="eastAsia" w:asciiTheme="minorEastAsia" w:hAnsiTheme="minorEastAsia" w:cstheme="minorEastAsia"/>
          <w:b/>
          <w:bCs/>
          <w:color w:val="auto"/>
          <w:kern w:val="0"/>
          <w:sz w:val="22"/>
          <w:szCs w:val="22"/>
          <w:u w:val="single"/>
          <w:lang w:val="en-US" w:eastAsia="zh-CN"/>
        </w:rPr>
        <w:t xml:space="preserve"> 3 </w:t>
      </w:r>
      <w:r>
        <w:rPr>
          <w:rFonts w:hint="eastAsia" w:asciiTheme="minorEastAsia" w:hAnsiTheme="minorEastAsia" w:eastAsiaTheme="minorEastAsia" w:cstheme="minorEastAsia"/>
          <w:b/>
          <w:bCs/>
          <w:color w:val="auto"/>
          <w:kern w:val="0"/>
          <w:sz w:val="22"/>
          <w:szCs w:val="22"/>
        </w:rPr>
        <w:t xml:space="preserve"> 日</w:t>
      </w:r>
      <w:r>
        <w:rPr>
          <w:rFonts w:hint="eastAsia" w:asciiTheme="minorEastAsia" w:hAnsiTheme="minorEastAsia" w:cstheme="minorEastAsia"/>
          <w:b/>
          <w:bCs/>
          <w:color w:val="auto"/>
          <w:kern w:val="0"/>
          <w:sz w:val="22"/>
          <w:szCs w:val="22"/>
          <w:u w:val="single"/>
          <w:lang w:val="en-US" w:eastAsia="zh-CN"/>
        </w:rPr>
        <w:t xml:space="preserve"> 9 </w:t>
      </w:r>
      <w:r>
        <w:rPr>
          <w:rFonts w:hint="eastAsia" w:asciiTheme="minorEastAsia" w:hAnsiTheme="minorEastAsia" w:eastAsiaTheme="minorEastAsia" w:cstheme="minorEastAsia"/>
          <w:b/>
          <w:bCs/>
          <w:color w:val="auto"/>
          <w:kern w:val="0"/>
          <w:sz w:val="22"/>
          <w:szCs w:val="22"/>
        </w:rPr>
        <w:t>时</w:t>
      </w:r>
      <w:r>
        <w:rPr>
          <w:rFonts w:hint="eastAsia" w:asciiTheme="minorEastAsia" w:hAnsiTheme="minorEastAsia" w:cstheme="minorEastAsia"/>
          <w:b/>
          <w:bCs/>
          <w:color w:val="auto"/>
          <w:kern w:val="0"/>
          <w:sz w:val="22"/>
          <w:szCs w:val="22"/>
          <w:u w:val="single"/>
          <w:lang w:val="en-US" w:eastAsia="zh-CN"/>
        </w:rPr>
        <w:t xml:space="preserve"> 30</w:t>
      </w:r>
      <w:r>
        <w:rPr>
          <w:rFonts w:hint="eastAsia" w:asciiTheme="minorEastAsia" w:hAnsiTheme="minorEastAsia" w:eastAsiaTheme="minorEastAsia" w:cstheme="minorEastAsia"/>
          <w:b/>
          <w:bCs/>
          <w:color w:val="auto"/>
          <w:kern w:val="0"/>
          <w:sz w:val="22"/>
          <w:szCs w:val="22"/>
          <w:lang w:val="en-US" w:eastAsia="zh-CN"/>
        </w:rPr>
        <w:t xml:space="preserve"> </w:t>
      </w:r>
      <w:r>
        <w:rPr>
          <w:rFonts w:hint="eastAsia" w:asciiTheme="minorEastAsia" w:hAnsiTheme="minorEastAsia" w:eastAsiaTheme="minorEastAsia" w:cstheme="minorEastAsia"/>
          <w:b/>
          <w:bCs/>
          <w:color w:val="auto"/>
          <w:kern w:val="0"/>
          <w:sz w:val="22"/>
          <w:szCs w:val="22"/>
        </w:rPr>
        <w:t>分</w:t>
      </w:r>
      <w:r>
        <w:rPr>
          <w:rFonts w:hint="eastAsia" w:asciiTheme="minorEastAsia" w:hAnsiTheme="minorEastAsia" w:eastAsiaTheme="minorEastAsia" w:cstheme="minorEastAsia"/>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5"/>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7" w:name="_Toc3162"/>
      <w:bookmarkStart w:id="38" w:name="_Toc7219"/>
      <w:bookmarkStart w:id="39" w:name="_Toc32668"/>
      <w:r>
        <w:rPr>
          <w:rFonts w:hint="eastAsia" w:asciiTheme="minorEastAsia" w:hAnsiTheme="minorEastAsia" w:eastAsiaTheme="minorEastAsia" w:cstheme="minorEastAsia"/>
          <w:b w:val="0"/>
          <w:bCs w:val="0"/>
          <w:kern w:val="0"/>
          <w:sz w:val="22"/>
          <w:szCs w:val="22"/>
          <w:lang w:val="en-US" w:eastAsia="zh-CN"/>
        </w:rPr>
        <w:t>（4）</w:t>
      </w:r>
      <w:bookmarkEnd w:id="37"/>
      <w:bookmarkEnd w:id="38"/>
      <w:bookmarkEnd w:id="39"/>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cstheme="minorEastAsia"/>
          <w:sz w:val="22"/>
          <w:szCs w:val="22"/>
          <w:lang w:val="en-US" w:eastAsia="zh-CN"/>
        </w:rPr>
        <w:t>13588107774</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40" w:name="_Toc448097403"/>
      <w:bookmarkStart w:id="41" w:name="_Toc448097402"/>
    </w:p>
    <w:bookmarkEnd w:id="40"/>
    <w:bookmarkEnd w:id="41"/>
    <w:p>
      <w:pPr>
        <w:pStyle w:val="2"/>
        <w:keepNext w:val="0"/>
        <w:keepLines w:val="0"/>
        <w:pageBreakBefore/>
        <w:widowControl w:val="0"/>
        <w:kinsoku/>
        <w:wordWrap/>
        <w:overflowPunct/>
        <w:topLinePunct w:val="0"/>
        <w:autoSpaceDE/>
        <w:autoSpaceDN/>
        <w:bidi w:val="0"/>
        <w:adjustRightInd/>
        <w:snapToGrid/>
        <w:jc w:val="center"/>
        <w:textAlignment w:val="auto"/>
      </w:pPr>
      <w:bookmarkStart w:id="42" w:name="_Toc22995"/>
      <w:bookmarkStart w:id="43" w:name="_Toc9278_WPSOffice_Level1"/>
      <w:bookmarkStart w:id="44" w:name="_Toc13238"/>
      <w:bookmarkStart w:id="45" w:name="_Toc448097404"/>
      <w:bookmarkStart w:id="46" w:name="_Toc24237"/>
      <w:r>
        <w:t>第</w:t>
      </w:r>
      <w:r>
        <w:rPr>
          <w:rFonts w:hint="eastAsia"/>
        </w:rPr>
        <w:t>二</w:t>
      </w:r>
      <w:r>
        <w:t xml:space="preserve">章  </w:t>
      </w:r>
      <w:r>
        <w:rPr>
          <w:rFonts w:hint="eastAsia"/>
        </w:rPr>
        <w:t>评标办法</w:t>
      </w:r>
      <w:bookmarkEnd w:id="42"/>
      <w:bookmarkEnd w:id="43"/>
      <w:bookmarkEnd w:id="44"/>
    </w:p>
    <w:p>
      <w:pPr>
        <w:autoSpaceDE w:val="0"/>
        <w:autoSpaceDN w:val="0"/>
        <w:adjustRightInd w:val="0"/>
        <w:spacing w:before="3" w:line="100" w:lineRule="exact"/>
        <w:jc w:val="left"/>
        <w:rPr>
          <w:rFonts w:ascii="微软雅黑" w:hAnsi="Times New Roman" w:cs="微软雅黑"/>
          <w:kern w:val="0"/>
          <w:sz w:val="10"/>
          <w:szCs w:val="10"/>
        </w:rPr>
      </w:pPr>
      <w:bookmarkStart w:id="47" w:name="_Toc31578"/>
    </w:p>
    <w:bookmarkEnd w:id="4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48" w:name="_Toc18806"/>
      <w:bookmarkStart w:id="49" w:name="_Toc219809803"/>
      <w:bookmarkStart w:id="50" w:name="_Toc220123243"/>
      <w:r>
        <w:rPr>
          <w:rFonts w:hint="eastAsia" w:ascii="宋体" w:hAnsi="宋体" w:cs="宋体"/>
          <w:sz w:val="22"/>
          <w:lang w:val="en-US" w:eastAsia="zh-CN"/>
        </w:rPr>
        <w:t>2、</w:t>
      </w:r>
      <w:r>
        <w:rPr>
          <w:rFonts w:hint="eastAsia" w:ascii="宋体" w:hAnsi="宋体" w:cs="宋体"/>
          <w:sz w:val="22"/>
          <w:lang w:eastAsia="zh-CN"/>
        </w:rPr>
        <w:t xml:space="preserve"> 不再招标</w:t>
      </w:r>
      <w:bookmarkEnd w:id="48"/>
      <w:bookmarkEnd w:id="49"/>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5"/>
    <w:p>
      <w:pPr>
        <w:pStyle w:val="2"/>
        <w:keepNext w:val="0"/>
        <w:keepLines w:val="0"/>
        <w:pageBreakBefore/>
        <w:widowControl w:val="0"/>
        <w:kinsoku/>
        <w:wordWrap/>
        <w:overflowPunct/>
        <w:topLinePunct w:val="0"/>
        <w:autoSpaceDE/>
        <w:autoSpaceDN/>
        <w:bidi w:val="0"/>
        <w:adjustRightInd/>
        <w:snapToGrid/>
        <w:jc w:val="center"/>
        <w:textAlignment w:val="auto"/>
      </w:pPr>
      <w:bookmarkStart w:id="51" w:name="_Toc9804_WPSOffice_Level1"/>
      <w:bookmarkStart w:id="52" w:name="_Toc448097407"/>
      <w:r>
        <w:t>第</w:t>
      </w:r>
      <w:r>
        <w:rPr>
          <w:rFonts w:hint="eastAsia"/>
          <w:lang w:val="en-US" w:eastAsia="zh-CN"/>
        </w:rPr>
        <w:t>三</w:t>
      </w:r>
      <w:r>
        <w:t xml:space="preserve">章  </w:t>
      </w:r>
      <w:r>
        <w:rPr>
          <w:sz w:val="32"/>
          <w:szCs w:val="32"/>
        </w:rPr>
        <w:t>合同条款及格式</w:t>
      </w:r>
      <w:bookmarkEnd w:id="51"/>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杭州萧山国际机场动力部维修材料给排水类采购项目（2021年11月）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11月</w:t>
      </w:r>
      <w:r>
        <w:rPr>
          <w:rFonts w:hint="eastAsia" w:ascii="宋体" w:hAnsi="宋体" w:eastAsia="宋体" w:cs="宋体"/>
          <w:sz w:val="22"/>
        </w:rPr>
        <w:t>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57"/>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shd w:val="clear" w:color="auto" w:fill="auto"/>
          <w:tblLayout w:type="fixed"/>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6"/>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4.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杭州萧山国际机场动力部维修材料给排水类采购项目（2021年11月）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32"/>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6"/>
    <w:bookmarkEnd w:id="52"/>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53" w:name="_Toc52907682"/>
      <w:r>
        <w:rPr>
          <w:rFonts w:hint="eastAsia"/>
          <w:sz w:val="32"/>
          <w:szCs w:val="32"/>
          <w:lang w:val="en-US" w:eastAsia="zh-CN"/>
        </w:rPr>
        <w:t xml:space="preserve">   </w:t>
      </w:r>
      <w:bookmarkStart w:id="54" w:name="_Toc19431_WPSOffice_Level1"/>
      <w:r>
        <w:rPr>
          <w:rFonts w:hint="eastAsia"/>
          <w:sz w:val="32"/>
          <w:szCs w:val="32"/>
          <w:lang w:val="en-US" w:eastAsia="zh-CN"/>
        </w:rPr>
        <w:t>用户需求书</w:t>
      </w:r>
      <w:bookmarkEnd w:id="54"/>
    </w:p>
    <w:p>
      <w:pPr>
        <w:pStyle w:val="1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57"/>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感应龙头</w:t>
            </w:r>
          </w:p>
        </w:tc>
        <w:tc>
          <w:tcPr>
            <w:tcW w:w="2741" w:type="dxa"/>
            <w:vAlign w:val="center"/>
          </w:tcPr>
          <w:p>
            <w:pPr>
              <w:keepNext w:val="0"/>
              <w:keepLines w:val="0"/>
              <w:widowControl/>
              <w:suppressLineNumbers w:val="0"/>
              <w:jc w:val="center"/>
              <w:textAlignment w:val="center"/>
              <w:rPr>
                <w:rFonts w:hint="default"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211668-01-LS</w:t>
            </w:r>
          </w:p>
        </w:tc>
        <w:tc>
          <w:tcPr>
            <w:tcW w:w="955" w:type="dxa"/>
            <w:vAlign w:val="center"/>
          </w:tcPr>
          <w:p>
            <w:pPr>
              <w:keepNext w:val="0"/>
              <w:keepLines w:val="0"/>
              <w:widowControl/>
              <w:suppressLineNumbers w:val="0"/>
              <w:jc w:val="center"/>
              <w:textAlignment w:val="center"/>
              <w:rPr>
                <w:rFonts w:ascii="宋体" w:hAnsi="宋体"/>
                <w:kern w:val="0"/>
                <w:szCs w:val="21"/>
              </w:rPr>
            </w:pPr>
            <w:r>
              <w:rPr>
                <w:rFonts w:hint="eastAsia" w:ascii="宋体" w:hAnsi="宋体" w:eastAsia="宋体" w:cs="宋体"/>
                <w:i w:val="0"/>
                <w:color w:val="000000"/>
                <w:kern w:val="0"/>
                <w:sz w:val="20"/>
                <w:szCs w:val="20"/>
                <w:u w:val="none"/>
                <w:lang w:val="en-US" w:eastAsia="zh-CN" w:bidi="ar"/>
              </w:rPr>
              <w:t>苏泊尔</w:t>
            </w:r>
          </w:p>
        </w:tc>
        <w:tc>
          <w:tcPr>
            <w:tcW w:w="914"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马桶水箱配件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1118952浮球</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蹲坑配件</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1056053电池盒</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冲水按板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DEU603  蹲坑感应器（带按钮、带感应窗）</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小便池感应面板(W3054和W3056见样品）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感应面板</w:t>
            </w:r>
          </w:p>
        </w:tc>
        <w:tc>
          <w:tcPr>
            <w:tcW w:w="2741" w:type="dxa"/>
            <w:vAlign w:val="center"/>
          </w:tcPr>
          <w:p>
            <w:pPr>
              <w:keepNext w:val="0"/>
              <w:keepLines w:val="0"/>
              <w:widowControl/>
              <w:suppressLineNumbers w:val="0"/>
              <w:jc w:val="left"/>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TOTO小便池感应面板(W1155,见样品）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马桶盖</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TOTO TC394CVK V型马桶通用缓冲盖板</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TOTO</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感应器</w:t>
            </w:r>
          </w:p>
        </w:tc>
        <w:tc>
          <w:tcPr>
            <w:tcW w:w="2741" w:type="dxa"/>
            <w:vAlign w:val="center"/>
          </w:tcPr>
          <w:p>
            <w:pPr>
              <w:keepNext w:val="0"/>
              <w:keepLines w:val="0"/>
              <w:widowControl/>
              <w:suppressLineNumbers w:val="0"/>
              <w:jc w:val="left"/>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科勒小便斗感应器组件1066277-sp</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电磁阀</w:t>
            </w:r>
          </w:p>
        </w:tc>
        <w:tc>
          <w:tcPr>
            <w:tcW w:w="2741" w:type="dxa"/>
            <w:vAlign w:val="center"/>
          </w:tcPr>
          <w:p>
            <w:pPr>
              <w:keepNext w:val="0"/>
              <w:keepLines w:val="0"/>
              <w:widowControl/>
              <w:suppressLineNumbers w:val="0"/>
              <w:jc w:val="left"/>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科勒小便斗阀体组件1066278-sp</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马桶盖</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8798T-0</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科勒</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橡塑保温管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内径32ｍｍ</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一体化感应小便斗冲水器</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型号6001 6002 6003 （进水中径：G1/2")</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1寸（DN25）</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1.2寸（DN32）</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1.5寸（DN40）</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镀锌堵头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2寸（DN50）</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4分洗衣机龙头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箭牌4分洗衣机水咀（A47101C-B）</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4分洗衣机龙头</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箭牌4分洗衣机水咀（A47127C-B）</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D20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PPR给水管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 4m/根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DN25（4米/根）</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DN40*DN32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DN25*DN20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DN25*1/2（内螺4分）PVC-U给水管内丝直接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DN25*3/4（内螺6分）PVC-U给水管内丝弯头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 PVC-U给水管内丝直接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PVC-U给水管配件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DN32*DN25 PVC-U给水管异径直接</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PVC-U球阀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DN32 PVC-U球阀</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三角阀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4分</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手按式大便延时冲洗阀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A04型（带弯头）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箭牌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手压式大便延时冲洗阀</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美标手压式大便池冲洗阀（CF-9805.005.50）</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美标</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马桶浮球</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美标马桶浮球进水阀</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美标</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马桶皮碗</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通用型</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DN20镀锌管道快速接头（两头螺纹）</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DN40镀锌管道抱箍抢修器（长&gt;10cm）</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8"/>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DN50镀锌管道抱箍抢修器（长&gt;10cm）</w:t>
            </w:r>
          </w:p>
        </w:tc>
        <w:tc>
          <w:tcPr>
            <w:tcW w:w="955" w:type="dxa"/>
            <w:vAlign w:val="bottom"/>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DN65镀锌管道抱箍抢修器（加长型，长&gt;20cm）</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50PPR抢修节</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抢修节</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63PPR抢修节</w:t>
            </w:r>
            <w:r>
              <w:rPr>
                <w:rFonts w:hint="eastAsia" w:ascii="宋体" w:hAnsi="宋体" w:eastAsia="宋体" w:cs="宋体"/>
                <w:b/>
                <w:bCs/>
                <w:i w:val="0"/>
                <w:color w:val="000000"/>
                <w:kern w:val="0"/>
                <w:sz w:val="20"/>
                <w:szCs w:val="20"/>
                <w:u w:val="none"/>
                <w:lang w:val="en-US" w:eastAsia="zh-CN" w:bidi="ar"/>
              </w:rPr>
              <w:t>（见样品）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水表</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DN15旋翼湿式水表LXS-15E含铜接螺</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宁波牌</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水表</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DN20旋翼湿式水表LXS-20E含铜接螺</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宁波牌</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聚四氯乙烯生料带</w:t>
            </w:r>
          </w:p>
        </w:tc>
        <w:tc>
          <w:tcPr>
            <w:tcW w:w="274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WXSW-1305/宽13mm*厚0.1mm*长15m*密度0.50g/cm³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伟星</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8"/>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皮搋子</w:t>
            </w:r>
          </w:p>
        </w:tc>
        <w:tc>
          <w:tcPr>
            <w:tcW w:w="2741" w:type="dxa"/>
            <w:vAlign w:val="center"/>
          </w:tcPr>
          <w:p>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见样品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万畅</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bl>
    <w:p>
      <w:pPr>
        <w:pStyle w:val="5"/>
        <w:numPr>
          <w:ilvl w:val="0"/>
          <w:numId w:val="0"/>
        </w:numPr>
        <w:tabs>
          <w:tab w:val="clear" w:pos="1275"/>
        </w:tabs>
        <w:snapToGrid w:val="0"/>
        <w:spacing w:line="360" w:lineRule="exact"/>
        <w:rPr>
          <w:rFonts w:hint="default" w:hAnsi="宋体" w:eastAsia="宋体"/>
          <w:sz w:val="22"/>
          <w:szCs w:val="22"/>
          <w:lang w:val="en-US" w:eastAsia="zh-CN"/>
        </w:rPr>
      </w:pPr>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时间提出，经甲方核实予以变更。部分材料由于材质或尺寸特殊，请投标单位</w:t>
      </w:r>
      <w:r>
        <w:rPr>
          <w:rFonts w:hint="eastAsia" w:hAnsi="宋体"/>
          <w:sz w:val="22"/>
          <w:szCs w:val="22"/>
          <w:lang w:val="en-US" w:eastAsia="zh-CN"/>
        </w:rPr>
        <w:t>参加现场踏勘。</w:t>
      </w:r>
    </w:p>
    <w:p/>
    <w:p>
      <w:pPr>
        <w:pStyle w:val="3"/>
        <w:keepNext w:val="0"/>
        <w:keepLines w:val="0"/>
        <w:pageBreakBefore/>
        <w:widowControl w:val="0"/>
        <w:numPr>
          <w:ilvl w:val="0"/>
          <w:numId w:val="7"/>
        </w:numPr>
        <w:kinsoku/>
        <w:wordWrap/>
        <w:overflowPunct/>
        <w:topLinePunct w:val="0"/>
        <w:autoSpaceDE/>
        <w:autoSpaceDN/>
        <w:bidi w:val="0"/>
        <w:adjustRightInd/>
        <w:snapToGrid/>
        <w:spacing w:before="0" w:after="0" w:line="564" w:lineRule="exact"/>
        <w:ind w:right="57"/>
        <w:jc w:val="center"/>
        <w:textAlignment w:val="auto"/>
        <w:rPr>
          <w:sz w:val="32"/>
          <w:szCs w:val="32"/>
        </w:rPr>
      </w:pPr>
      <w:r>
        <w:rPr>
          <w:rFonts w:hint="eastAsia"/>
          <w:sz w:val="32"/>
          <w:szCs w:val="32"/>
        </w:rPr>
        <w:t xml:space="preserve">   </w:t>
      </w:r>
      <w:bookmarkStart w:id="55" w:name="_Toc25767"/>
      <w:bookmarkStart w:id="56" w:name="_Toc9245"/>
      <w:bookmarkStart w:id="57" w:name="_Toc7090"/>
      <w:bookmarkStart w:id="58" w:name="_Toc7862_WPSOffice_Level1"/>
      <w:r>
        <w:rPr>
          <w:sz w:val="32"/>
          <w:szCs w:val="32"/>
        </w:rPr>
        <w:t>投标文件格式</w:t>
      </w:r>
      <w:bookmarkEnd w:id="53"/>
      <w:bookmarkEnd w:id="55"/>
      <w:bookmarkEnd w:id="56"/>
      <w:bookmarkEnd w:id="57"/>
      <w:bookmarkEnd w:id="58"/>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59" w:name="_Toc18071_WPSOffice_Level1"/>
      <w:bookmarkStart w:id="60"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59"/>
      <w:bookmarkEnd w:id="60"/>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61" w:name="_Toc27773_WPSOffice_Level1"/>
      <w:bookmarkStart w:id="62"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61"/>
      <w:bookmarkEnd w:id="62"/>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63" w:name="_Toc25649_WPSOffice_Level1"/>
      <w:bookmarkStart w:id="64" w:name="_Toc26334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63"/>
      <w:bookmarkEnd w:id="64"/>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65" w:name="_Toc25297_WPSOffice_Level1"/>
      <w:bookmarkStart w:id="66" w:name="_Toc9583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65"/>
      <w:bookmarkEnd w:id="66"/>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67"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67"/>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68"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9" w:name="_Hlk47708015"/>
      <w:r>
        <w:rPr>
          <w:rFonts w:hint="eastAsia" w:ascii="宋体" w:hAnsi="宋体"/>
          <w:sz w:val="22"/>
        </w:rPr>
        <w:t>未</w:t>
      </w:r>
      <w:r>
        <w:rPr>
          <w:rFonts w:ascii="宋体" w:hAnsi="宋体"/>
          <w:sz w:val="22"/>
        </w:rPr>
        <w:t>被列入失信被执行人名单</w:t>
      </w:r>
      <w:bookmarkEnd w:id="69"/>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6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70"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70"/>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71" w:name="_Hlk54028417"/>
      <w:r>
        <w:rPr>
          <w:rFonts w:cs="微软雅黑"/>
          <w:b/>
          <w:kern w:val="0"/>
          <w:sz w:val="36"/>
          <w:szCs w:val="36"/>
        </w:rPr>
        <w:t>法定代表人授权委托书</w:t>
      </w:r>
      <w:bookmarkEnd w:id="71"/>
    </w:p>
    <w:p>
      <w:pPr>
        <w:spacing w:line="440" w:lineRule="exact"/>
        <w:ind w:firstLine="420" w:firstLineChars="200"/>
        <w:rPr>
          <w:rFonts w:cs="Calibri"/>
          <w:szCs w:val="21"/>
        </w:rPr>
      </w:pPr>
      <w:bookmarkStart w:id="72"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72"/>
      <w:bookmarkStart w:id="73" w:name="_Toc8503_WPSOffice_Level1"/>
      <w:bookmarkStart w:id="74" w:name="_Toc19151_WPSOffice_Level1"/>
      <w:r>
        <w:rPr>
          <w:rFonts w:hint="eastAsia" w:cs="微软雅黑"/>
          <w:b/>
          <w:kern w:val="0"/>
          <w:sz w:val="36"/>
          <w:szCs w:val="36"/>
          <w:lang w:val="en-US" w:eastAsia="zh-CN"/>
        </w:rPr>
        <w:t>三</w:t>
      </w:r>
      <w:r>
        <w:rPr>
          <w:rFonts w:cs="微软雅黑"/>
          <w:b/>
          <w:kern w:val="0"/>
          <w:sz w:val="36"/>
          <w:szCs w:val="36"/>
        </w:rPr>
        <w:t>、投标报价表</w:t>
      </w:r>
      <w:bookmarkEnd w:id="73"/>
      <w:bookmarkEnd w:id="74"/>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7"/>
        <w:tblpPr w:leftFromText="180" w:rightFromText="180" w:vertAnchor="text" w:horzAnchor="page" w:tblpX="1382" w:tblpY="137"/>
        <w:tblOverlap w:val="never"/>
        <w:tblW w:w="10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554"/>
        <w:gridCol w:w="1009"/>
        <w:gridCol w:w="1009"/>
        <w:gridCol w:w="1477"/>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557"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100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品牌</w:t>
            </w:r>
          </w:p>
        </w:tc>
        <w:tc>
          <w:tcPr>
            <w:tcW w:w="100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47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center"/>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009" w:type="dxa"/>
            <w:tcBorders>
              <w:bottom w:val="single" w:color="auto" w:sz="4" w:space="0"/>
            </w:tcBorders>
            <w:shd w:val="clear" w:color="000000" w:fill="FFFFFF"/>
            <w:vAlign w:val="top"/>
          </w:tcPr>
          <w:p>
            <w:pPr>
              <w:adjustRightInd w:val="0"/>
              <w:snapToGrid w:val="0"/>
              <w:rPr>
                <w:rFonts w:ascii="宋体" w:hAnsi="宋体"/>
                <w:sz w:val="22"/>
              </w:rPr>
            </w:pPr>
          </w:p>
        </w:tc>
        <w:tc>
          <w:tcPr>
            <w:tcW w:w="147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7913" w:type="dxa"/>
            <w:gridSpan w:val="6"/>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75" w:name="_Toc14570_WPSOffice_Level1"/>
      <w:bookmarkStart w:id="76" w:name="_Toc32293_WPSOffice_Level1"/>
      <w:r>
        <w:rPr>
          <w:rFonts w:hint="eastAsia" w:cs="微软雅黑"/>
          <w:b/>
          <w:kern w:val="0"/>
          <w:sz w:val="36"/>
          <w:szCs w:val="36"/>
          <w:lang w:val="en-US" w:eastAsia="zh-CN"/>
        </w:rPr>
        <w:t>四</w:t>
      </w:r>
      <w:r>
        <w:rPr>
          <w:rFonts w:cs="微软雅黑"/>
          <w:b/>
          <w:kern w:val="0"/>
          <w:sz w:val="36"/>
          <w:szCs w:val="36"/>
        </w:rPr>
        <w:t>、资格审查资料</w:t>
      </w:r>
      <w:bookmarkEnd w:id="75"/>
      <w:bookmarkEnd w:id="76"/>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77" w:name="_Toc26957539"/>
      <w:bookmarkStart w:id="78" w:name="_Toc26957693"/>
      <w:bookmarkStart w:id="79" w:name="_Toc28249088"/>
      <w:r>
        <w:rPr>
          <w:rFonts w:cs="宋体"/>
          <w:b/>
          <w:sz w:val="32"/>
          <w:szCs w:val="32"/>
        </w:rPr>
        <w:t xml:space="preserve"> </w:t>
      </w:r>
      <w:bookmarkEnd w:id="77"/>
      <w:bookmarkEnd w:id="78"/>
      <w:bookmarkEnd w:id="7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7"/>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80" w:name="_Toc16635"/>
            <w:bookmarkStart w:id="81" w:name="_Toc25639"/>
            <w:bookmarkStart w:id="82" w:name="_Toc20627"/>
            <w:r>
              <w:rPr>
                <w:rFonts w:hint="eastAsia" w:ascii="宋体" w:hAnsi="宋体" w:cs="宋体"/>
                <w:sz w:val="22"/>
              </w:rPr>
              <w:t>…</w:t>
            </w:r>
            <w:bookmarkEnd w:id="80"/>
            <w:bookmarkEnd w:id="81"/>
            <w:bookmarkEnd w:id="82"/>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83" w:name="_Hlk54028616"/>
      <w:r>
        <w:rPr>
          <w:rFonts w:hint="eastAsia" w:cs="宋体"/>
          <w:b/>
          <w:sz w:val="22"/>
          <w:lang w:val="en-US" w:eastAsia="zh-CN"/>
        </w:rPr>
        <w:t xml:space="preserve">    </w:t>
      </w:r>
      <w:r>
        <w:rPr>
          <w:rFonts w:cs="宋体"/>
          <w:b/>
          <w:sz w:val="22"/>
        </w:rPr>
        <w:t>注：投标人应根在本表后附相关证明材料。</w:t>
      </w:r>
      <w:bookmarkEnd w:id="83"/>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7"/>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84" w:name="_Toc3992_WPSOffice_Level1"/>
      <w:bookmarkStart w:id="85" w:name="_Toc2602_WPSOffice_Level1"/>
      <w:r>
        <w:rPr>
          <w:sz w:val="24"/>
        </w:rPr>
        <w:t>投标人：</w:t>
      </w:r>
      <w:r>
        <w:rPr>
          <w:sz w:val="24"/>
          <w:u w:val="single"/>
        </w:rPr>
        <w:t xml:space="preserve">      (盖单位章)</w:t>
      </w:r>
      <w:bookmarkEnd w:id="84"/>
      <w:r>
        <w:rPr>
          <w:sz w:val="24"/>
          <w:u w:val="single"/>
        </w:rPr>
        <w:t xml:space="preserve">       </w:t>
      </w:r>
      <w:r>
        <w:rPr>
          <w:sz w:val="24"/>
        </w:rPr>
        <w:t xml:space="preserve">  </w:t>
      </w:r>
      <w:bookmarkEnd w:id="85"/>
      <w:r>
        <w:rPr>
          <w:sz w:val="24"/>
          <w:u w:val="single"/>
        </w:rPr>
        <w:t xml:space="preserve">   </w:t>
      </w:r>
    </w:p>
    <w:p>
      <w:pPr>
        <w:tabs>
          <w:tab w:val="left" w:pos="7480"/>
        </w:tabs>
        <w:spacing w:line="800" w:lineRule="exact"/>
        <w:rPr>
          <w:sz w:val="24"/>
        </w:rPr>
      </w:pPr>
      <w:bookmarkStart w:id="86" w:name="_Toc13698_WPSOffice_Level1"/>
      <w:bookmarkStart w:id="87"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86"/>
      <w:bookmarkEnd w:id="87"/>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88" w:name="_Toc24341_WPSOffice_Level1"/>
      <w:bookmarkStart w:id="89" w:name="_Toc3339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88"/>
      <w:bookmarkEnd w:id="89"/>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609CDCBB"/>
    <w:multiLevelType w:val="singleLevel"/>
    <w:tmpl w:val="609CDCBB"/>
    <w:lvl w:ilvl="0" w:tentative="0">
      <w:start w:val="3"/>
      <w:numFmt w:val="decimal"/>
      <w:suff w:val="nothing"/>
      <w:lvlText w:val="（%1）"/>
      <w:lvlJc w:val="left"/>
    </w:lvl>
  </w:abstractNum>
  <w:abstractNum w:abstractNumId="6">
    <w:nsid w:val="60BD74A1"/>
    <w:multiLevelType w:val="singleLevel"/>
    <w:tmpl w:val="60BD74A1"/>
    <w:lvl w:ilvl="0" w:tentative="0">
      <w:start w:val="1"/>
      <w:numFmt w:val="chineseCounting"/>
      <w:suff w:val="space"/>
      <w:lvlText w:val="第%1章"/>
      <w:lvlJc w:val="left"/>
    </w:lvl>
  </w:abstractNum>
  <w:abstractNum w:abstractNumId="7">
    <w:nsid w:val="60BD816E"/>
    <w:multiLevelType w:val="singleLevel"/>
    <w:tmpl w:val="60BD816E"/>
    <w:lvl w:ilvl="0" w:tentative="0">
      <w:start w:val="4"/>
      <w:numFmt w:val="chineseCounting"/>
      <w:suff w:val="space"/>
      <w:lvlText w:val="第%1章"/>
      <w:lvlJc w:val="left"/>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2C23D7"/>
    <w:rsid w:val="02020D6D"/>
    <w:rsid w:val="03452A7C"/>
    <w:rsid w:val="04A62CB6"/>
    <w:rsid w:val="04C749D8"/>
    <w:rsid w:val="067219E3"/>
    <w:rsid w:val="06F807C5"/>
    <w:rsid w:val="09DD2801"/>
    <w:rsid w:val="0AE409E7"/>
    <w:rsid w:val="0BFB12A7"/>
    <w:rsid w:val="0DD676DE"/>
    <w:rsid w:val="0F912C70"/>
    <w:rsid w:val="0FF61F21"/>
    <w:rsid w:val="110D06C9"/>
    <w:rsid w:val="12ED020A"/>
    <w:rsid w:val="13466AA4"/>
    <w:rsid w:val="13736AC6"/>
    <w:rsid w:val="13F20B84"/>
    <w:rsid w:val="14564340"/>
    <w:rsid w:val="145B4CAD"/>
    <w:rsid w:val="15142C91"/>
    <w:rsid w:val="16731A3C"/>
    <w:rsid w:val="18037573"/>
    <w:rsid w:val="1830240A"/>
    <w:rsid w:val="1D720DE7"/>
    <w:rsid w:val="1E795720"/>
    <w:rsid w:val="1E9D040B"/>
    <w:rsid w:val="1EF40D61"/>
    <w:rsid w:val="1F7E7855"/>
    <w:rsid w:val="216E0825"/>
    <w:rsid w:val="217F5243"/>
    <w:rsid w:val="22937CB6"/>
    <w:rsid w:val="2350657B"/>
    <w:rsid w:val="238B4C29"/>
    <w:rsid w:val="23D443EB"/>
    <w:rsid w:val="24856B43"/>
    <w:rsid w:val="24875848"/>
    <w:rsid w:val="24E8024A"/>
    <w:rsid w:val="24F9629A"/>
    <w:rsid w:val="2538379E"/>
    <w:rsid w:val="283E1A09"/>
    <w:rsid w:val="29BD513E"/>
    <w:rsid w:val="2A100837"/>
    <w:rsid w:val="2B09029A"/>
    <w:rsid w:val="2E7904ED"/>
    <w:rsid w:val="2EE57A65"/>
    <w:rsid w:val="30A750C6"/>
    <w:rsid w:val="30EF0575"/>
    <w:rsid w:val="329A41C0"/>
    <w:rsid w:val="32BC5FD6"/>
    <w:rsid w:val="34977F5E"/>
    <w:rsid w:val="356B7909"/>
    <w:rsid w:val="359666B2"/>
    <w:rsid w:val="35D52A5B"/>
    <w:rsid w:val="35F14CC7"/>
    <w:rsid w:val="36067C1C"/>
    <w:rsid w:val="362D1F00"/>
    <w:rsid w:val="37D70E06"/>
    <w:rsid w:val="381A07F0"/>
    <w:rsid w:val="38E308B4"/>
    <w:rsid w:val="39230717"/>
    <w:rsid w:val="3AE54940"/>
    <w:rsid w:val="3B2D0F8A"/>
    <w:rsid w:val="3B7B6994"/>
    <w:rsid w:val="3BFD3EA0"/>
    <w:rsid w:val="3C5B42D6"/>
    <w:rsid w:val="3CBD276C"/>
    <w:rsid w:val="3CBE550C"/>
    <w:rsid w:val="3D014E54"/>
    <w:rsid w:val="3D533A68"/>
    <w:rsid w:val="3D6D416E"/>
    <w:rsid w:val="3D724998"/>
    <w:rsid w:val="40A4284E"/>
    <w:rsid w:val="41602AF6"/>
    <w:rsid w:val="42742616"/>
    <w:rsid w:val="45CC02EE"/>
    <w:rsid w:val="46287834"/>
    <w:rsid w:val="470E2570"/>
    <w:rsid w:val="47C81EC0"/>
    <w:rsid w:val="47D70846"/>
    <w:rsid w:val="48734ABD"/>
    <w:rsid w:val="4A8609D4"/>
    <w:rsid w:val="4C3D7D1F"/>
    <w:rsid w:val="4C85295E"/>
    <w:rsid w:val="4D183AF8"/>
    <w:rsid w:val="4DE21316"/>
    <w:rsid w:val="4DED03D6"/>
    <w:rsid w:val="4F286700"/>
    <w:rsid w:val="500B6C1A"/>
    <w:rsid w:val="510C2D33"/>
    <w:rsid w:val="5112258C"/>
    <w:rsid w:val="51D9191A"/>
    <w:rsid w:val="52672CF6"/>
    <w:rsid w:val="5324324B"/>
    <w:rsid w:val="532F678C"/>
    <w:rsid w:val="538F2EEC"/>
    <w:rsid w:val="53AD26F8"/>
    <w:rsid w:val="549A320A"/>
    <w:rsid w:val="550B290C"/>
    <w:rsid w:val="55BF2D14"/>
    <w:rsid w:val="55FA7E79"/>
    <w:rsid w:val="560738C5"/>
    <w:rsid w:val="5689662B"/>
    <w:rsid w:val="571028BB"/>
    <w:rsid w:val="57541178"/>
    <w:rsid w:val="57700EF5"/>
    <w:rsid w:val="587362D2"/>
    <w:rsid w:val="5A21013C"/>
    <w:rsid w:val="5B10052B"/>
    <w:rsid w:val="5B2A3347"/>
    <w:rsid w:val="5C1E09C5"/>
    <w:rsid w:val="5E6441A7"/>
    <w:rsid w:val="5EDF78F4"/>
    <w:rsid w:val="5F992902"/>
    <w:rsid w:val="5FF82E55"/>
    <w:rsid w:val="6184176E"/>
    <w:rsid w:val="61C66001"/>
    <w:rsid w:val="656E4A4C"/>
    <w:rsid w:val="65EC6B08"/>
    <w:rsid w:val="6635639E"/>
    <w:rsid w:val="66BE5796"/>
    <w:rsid w:val="66E53D5B"/>
    <w:rsid w:val="689524E6"/>
    <w:rsid w:val="69814770"/>
    <w:rsid w:val="69B951D7"/>
    <w:rsid w:val="6B4B40E8"/>
    <w:rsid w:val="6BAB7609"/>
    <w:rsid w:val="6BCA71E6"/>
    <w:rsid w:val="6CC149F9"/>
    <w:rsid w:val="6F8613D7"/>
    <w:rsid w:val="70491489"/>
    <w:rsid w:val="713C0039"/>
    <w:rsid w:val="72730955"/>
    <w:rsid w:val="72E90B5E"/>
    <w:rsid w:val="7403509A"/>
    <w:rsid w:val="74593728"/>
    <w:rsid w:val="745B5430"/>
    <w:rsid w:val="74650C09"/>
    <w:rsid w:val="761544FE"/>
    <w:rsid w:val="76C82D6E"/>
    <w:rsid w:val="776901AE"/>
    <w:rsid w:val="7A35219D"/>
    <w:rsid w:val="7CB638EC"/>
    <w:rsid w:val="7D56698F"/>
    <w:rsid w:val="7DFA1DCC"/>
    <w:rsid w:val="7E4878F4"/>
    <w:rsid w:val="7FBD6564"/>
    <w:rsid w:val="7FC012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basedOn w:val="52"/>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 w:type="paragraph" w:customStyle="1" w:styleId="13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d73850-5dd8-427f-a036-5af6a3aca0d2}"/>
        <w:style w:val=""/>
        <w:category>
          <w:name w:val="常规"/>
          <w:gallery w:val="placeholder"/>
        </w:category>
        <w:types>
          <w:type w:val="bbPlcHdr"/>
        </w:types>
        <w:behaviors>
          <w:behavior w:val="content"/>
        </w:behaviors>
        <w:description w:val=""/>
        <w:guid w:val="{06d73850-5dd8-427f-a036-5af6a3aca0d2}"/>
      </w:docPartPr>
      <w:docPartBody>
        <w:p>
          <w:r>
            <w:rPr>
              <w:color w:val="808080"/>
            </w:rPr>
            <w:t>单击此处输入文字。</w:t>
          </w:r>
        </w:p>
      </w:docPartBody>
    </w:docPart>
    <w:docPart>
      <w:docPartPr>
        <w:name w:val="{818bc7d4-1c16-4e55-92c9-36fbfdd0fb83}"/>
        <w:style w:val=""/>
        <w:category>
          <w:name w:val="常规"/>
          <w:gallery w:val="placeholder"/>
        </w:category>
        <w:types>
          <w:type w:val="bbPlcHdr"/>
        </w:types>
        <w:behaviors>
          <w:behavior w:val="content"/>
        </w:behaviors>
        <w:description w:val=""/>
        <w:guid w:val="{818bc7d4-1c16-4e55-92c9-36fbfdd0fb83}"/>
      </w:docPartPr>
      <w:docPartBody>
        <w:p>
          <w:r>
            <w:rPr>
              <w:color w:val="808080"/>
            </w:rPr>
            <w:t>单击此处输入文字。</w:t>
          </w:r>
        </w:p>
      </w:docPartBody>
    </w:docPart>
    <w:docPart>
      <w:docPartPr>
        <w:name w:val="{5f5821ca-e872-407c-9fcf-fa6fedbf18da}"/>
        <w:style w:val=""/>
        <w:category>
          <w:name w:val="常规"/>
          <w:gallery w:val="placeholder"/>
        </w:category>
        <w:types>
          <w:type w:val="bbPlcHdr"/>
        </w:types>
        <w:behaviors>
          <w:behavior w:val="content"/>
        </w:behaviors>
        <w:description w:val=""/>
        <w:guid w:val="{5f5821ca-e872-407c-9fcf-fa6fedbf18da}"/>
      </w:docPartPr>
      <w:docPartBody>
        <w:p>
          <w:r>
            <w:rPr>
              <w:color w:val="808080"/>
            </w:rPr>
            <w:t>单击此处输入文字。</w:t>
          </w:r>
        </w:p>
      </w:docPartBody>
    </w:docPart>
    <w:docPart>
      <w:docPartPr>
        <w:name w:val="{e3ab24d8-3b95-4dad-a142-4f1fef74535e}"/>
        <w:style w:val=""/>
        <w:category>
          <w:name w:val="常规"/>
          <w:gallery w:val="placeholder"/>
        </w:category>
        <w:types>
          <w:type w:val="bbPlcHdr"/>
        </w:types>
        <w:behaviors>
          <w:behavior w:val="content"/>
        </w:behaviors>
        <w:description w:val=""/>
        <w:guid w:val="{e3ab24d8-3b95-4dad-a142-4f1fef74535e}"/>
      </w:docPartPr>
      <w:docPartBody>
        <w:p>
          <w:r>
            <w:rPr>
              <w:color w:val="808080"/>
            </w:rPr>
            <w:t>单击此处输入文字。</w:t>
          </w:r>
        </w:p>
      </w:docPartBody>
    </w:docPart>
    <w:docPart>
      <w:docPartPr>
        <w:name w:val="{9f966a88-2976-4879-bd7f-79d733a8d9bd}"/>
        <w:style w:val=""/>
        <w:category>
          <w:name w:val="常规"/>
          <w:gallery w:val="placeholder"/>
        </w:category>
        <w:types>
          <w:type w:val="bbPlcHdr"/>
        </w:types>
        <w:behaviors>
          <w:behavior w:val="content"/>
        </w:behaviors>
        <w:description w:val=""/>
        <w:guid w:val="{9f966a88-2976-4879-bd7f-79d733a8d9b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张乾波</cp:lastModifiedBy>
  <cp:lastPrinted>2021-04-26T06:35:00Z</cp:lastPrinted>
  <dcterms:modified xsi:type="dcterms:W3CDTF">2021-11-25T04:59:56Z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