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line="560" w:lineRule="exact"/>
        <w:rPr>
          <w:rFonts w:hint="eastAsia" w:ascii="仿宋_GB2312" w:eastAsia="仿宋_GB2312" w:cs="仿宋_GB2312"/>
          <w:sz w:val="36"/>
        </w:rPr>
      </w:pPr>
      <w:r>
        <w:rPr>
          <w:rFonts w:hint="eastAsia" w:ascii="仿宋_GB2312" w:eastAsia="仿宋_GB2312" w:cs="仿宋_GB2312"/>
          <w:sz w:val="36"/>
        </w:rPr>
        <w:t>杭州萧山国际机场汉莎航空食品有限公司</w:t>
      </w:r>
    </w:p>
    <w:p>
      <w:pPr>
        <w:pStyle w:val="13"/>
        <w:widowControl/>
        <w:spacing w:line="560" w:lineRule="exact"/>
        <w:rPr>
          <w:rFonts w:ascii="仿宋_GB2312" w:eastAsia="仿宋_GB2312" w:cs="仿宋_GB2312"/>
          <w:sz w:val="36"/>
        </w:rPr>
      </w:pPr>
      <w:r>
        <w:rPr>
          <w:rFonts w:hint="eastAsia" w:ascii="仿宋_GB2312" w:hAnsi="仿宋_GB2312" w:eastAsia="仿宋_GB2312" w:cs="仿宋_GB2312"/>
          <w:kern w:val="44"/>
          <w:sz w:val="36"/>
          <w:szCs w:val="36"/>
        </w:rPr>
        <w:t>食品检测用快速测试片</w:t>
      </w:r>
      <w:r>
        <w:rPr>
          <w:rFonts w:hint="eastAsia" w:ascii="仿宋_GB2312" w:eastAsia="仿宋_GB2312" w:cs="仿宋_GB2312"/>
          <w:sz w:val="36"/>
        </w:rPr>
        <w:t>询价公告</w:t>
      </w:r>
    </w:p>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ascii="仿宋_GB2312" w:eastAsia="仿宋_GB2312" w:cs="仿宋_GB2312"/>
          <w:color w:val="000000" w:themeColor="text1"/>
          <w:sz w:val="32"/>
          <w:szCs w:val="32"/>
          <w14:textFill>
            <w14:solidFill>
              <w14:schemeClr w14:val="tx1"/>
            </w14:solidFill>
          </w14:textFill>
        </w:rPr>
      </w:pPr>
      <w:r>
        <w:rPr>
          <w:rFonts w:ascii="仿宋_GB2312" w:hAnsi="宋体" w:eastAsia="仿宋_GB2312" w:cs="仿宋_GB2312"/>
          <w:color w:val="000000" w:themeColor="text1"/>
          <w:sz w:val="31"/>
          <w:szCs w:val="31"/>
          <w14:textFill>
            <w14:solidFill>
              <w14:schemeClr w14:val="tx1"/>
            </w14:solidFill>
          </w14:textFill>
        </w:rPr>
        <w:t>杭州萧山国际机场汉莎航空食品有限公司现就</w:t>
      </w:r>
      <w:r>
        <w:rPr>
          <w:rFonts w:hint="eastAsia" w:ascii="仿宋_GB2312" w:hAnsi="微软雅黑" w:eastAsia="仿宋_GB2312" w:cs="仿宋_GB2312"/>
          <w:color w:val="000000" w:themeColor="text1"/>
          <w:sz w:val="31"/>
          <w:szCs w:val="31"/>
          <w:u w:val="single"/>
          <w14:textFill>
            <w14:solidFill>
              <w14:schemeClr w14:val="tx1"/>
            </w14:solidFill>
          </w14:textFill>
        </w:rPr>
        <w:t>食品检测用快速测试片</w:t>
      </w:r>
      <w:r>
        <w:rPr>
          <w:rFonts w:hint="eastAsia" w:ascii="仿宋_GB2312" w:hAnsi="宋体" w:eastAsia="仿宋_GB2312" w:cs="仿宋_GB2312"/>
          <w:color w:val="000000" w:themeColor="text1"/>
          <w:sz w:val="31"/>
          <w:szCs w:val="31"/>
          <w14:textFill>
            <w14:solidFill>
              <w14:schemeClr w14:val="tx1"/>
            </w14:solidFill>
          </w14:textFill>
        </w:rPr>
        <w:t>进行询价采购，欢迎具有相关资格和能力的供应商前来参加。</w:t>
      </w:r>
    </w:p>
    <w:p>
      <w:pPr>
        <w:spacing w:line="560" w:lineRule="exact"/>
        <w:ind w:firstLine="640" w:firstLineChars="200"/>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一、采购货物名称、数量及主要技术规格</w:t>
      </w:r>
    </w:p>
    <w:tbl>
      <w:tblPr>
        <w:tblStyle w:val="1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2"/>
        <w:gridCol w:w="2730"/>
        <w:gridCol w:w="1875"/>
        <w:gridCol w:w="1545"/>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tcPr>
          <w:p>
            <w:pPr>
              <w:spacing w:line="560" w:lineRule="exact"/>
              <w:jc w:val="center"/>
              <w:rPr>
                <w:rFonts w:ascii="仿宋_GB2312" w:hAnsi="Calibri" w:eastAsia="仿宋_GB2312" w:cs="仿宋_GB2312"/>
                <w:bCs/>
                <w:szCs w:val="21"/>
                <w:lang w:bidi="ar"/>
              </w:rPr>
            </w:pPr>
            <w:r>
              <w:rPr>
                <w:rFonts w:hint="eastAsia" w:ascii="仿宋_GB2312" w:hAnsi="Calibri" w:eastAsia="仿宋_GB2312" w:cs="仿宋_GB2312"/>
                <w:bCs/>
                <w:szCs w:val="21"/>
                <w:lang w:bidi="ar"/>
              </w:rPr>
              <w:t>货物名称</w:t>
            </w:r>
          </w:p>
        </w:tc>
        <w:tc>
          <w:tcPr>
            <w:tcW w:w="2730" w:type="dxa"/>
          </w:tcPr>
          <w:p>
            <w:pPr>
              <w:spacing w:line="560" w:lineRule="exact"/>
              <w:jc w:val="center"/>
              <w:rPr>
                <w:rFonts w:ascii="仿宋_GB2312" w:hAnsi="Calibri" w:eastAsia="仿宋_GB2312" w:cs="仿宋_GB2312"/>
                <w:bCs/>
                <w:szCs w:val="21"/>
                <w:lang w:bidi="ar"/>
              </w:rPr>
            </w:pPr>
            <w:r>
              <w:rPr>
                <w:rFonts w:hint="eastAsia" w:ascii="仿宋_GB2312" w:hAnsi="Calibri" w:eastAsia="仿宋_GB2312" w:cs="仿宋_GB2312"/>
                <w:bCs/>
                <w:szCs w:val="21"/>
                <w:lang w:bidi="ar"/>
              </w:rPr>
              <w:t>技术规格</w:t>
            </w:r>
          </w:p>
        </w:tc>
        <w:tc>
          <w:tcPr>
            <w:tcW w:w="1875" w:type="dxa"/>
          </w:tcPr>
          <w:p>
            <w:pPr>
              <w:spacing w:line="560" w:lineRule="exact"/>
              <w:jc w:val="center"/>
              <w:rPr>
                <w:rFonts w:ascii="仿宋_GB2312" w:hAnsi="Calibri" w:eastAsia="仿宋_GB2312" w:cs="仿宋_GB2312"/>
                <w:bCs/>
                <w:szCs w:val="21"/>
                <w:lang w:bidi="ar"/>
              </w:rPr>
            </w:pPr>
            <w:r>
              <w:rPr>
                <w:rFonts w:hint="eastAsia" w:ascii="仿宋_GB2312" w:hAnsi="Calibri" w:eastAsia="仿宋_GB2312" w:cs="仿宋_GB2312"/>
                <w:bCs/>
                <w:szCs w:val="21"/>
                <w:lang w:val="en-US" w:eastAsia="zh-CN" w:bidi="ar"/>
              </w:rPr>
              <w:t>年</w:t>
            </w:r>
            <w:r>
              <w:rPr>
                <w:rFonts w:hint="eastAsia" w:ascii="仿宋_GB2312" w:hAnsi="Calibri" w:eastAsia="仿宋_GB2312" w:cs="仿宋_GB2312"/>
                <w:bCs/>
                <w:szCs w:val="21"/>
                <w:lang w:bidi="ar"/>
              </w:rPr>
              <w:t>预估量</w:t>
            </w:r>
          </w:p>
        </w:tc>
        <w:tc>
          <w:tcPr>
            <w:tcW w:w="1545" w:type="dxa"/>
          </w:tcPr>
          <w:p>
            <w:pPr>
              <w:spacing w:line="560" w:lineRule="exact"/>
              <w:jc w:val="center"/>
              <w:rPr>
                <w:rFonts w:ascii="仿宋_GB2312" w:hAnsi="Calibri" w:eastAsia="仿宋_GB2312" w:cs="仿宋_GB2312"/>
                <w:bCs/>
                <w:szCs w:val="21"/>
                <w:lang w:bidi="ar"/>
              </w:rPr>
            </w:pPr>
            <w:r>
              <w:rPr>
                <w:rFonts w:hint="eastAsia" w:ascii="仿宋_GB2312" w:hAnsi="Calibri" w:eastAsia="仿宋_GB2312" w:cs="仿宋_GB2312"/>
                <w:bCs/>
                <w:szCs w:val="21"/>
                <w:lang w:bidi="ar"/>
              </w:rPr>
              <w:t>交货地点</w:t>
            </w:r>
          </w:p>
        </w:tc>
        <w:tc>
          <w:tcPr>
            <w:tcW w:w="1462" w:type="dxa"/>
          </w:tcPr>
          <w:p>
            <w:pPr>
              <w:spacing w:line="560" w:lineRule="exact"/>
              <w:jc w:val="center"/>
              <w:rPr>
                <w:rFonts w:ascii="仿宋_GB2312" w:hAnsi="Calibri" w:eastAsia="仿宋_GB2312" w:cs="仿宋_GB2312"/>
                <w:bCs/>
                <w:szCs w:val="21"/>
                <w:lang w:bidi="ar"/>
              </w:rPr>
            </w:pPr>
            <w:r>
              <w:rPr>
                <w:rFonts w:hint="eastAsia" w:ascii="仿宋_GB2312" w:hAnsi="Calibri" w:eastAsia="仿宋_GB2312" w:cs="仿宋_GB2312"/>
                <w:bCs/>
                <w:szCs w:val="21"/>
                <w:lang w:bidi="ar"/>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vAlign w:val="center"/>
          </w:tcPr>
          <w:p>
            <w:pPr>
              <w:pStyle w:val="12"/>
              <w:widowControl/>
              <w:spacing w:beforeAutospacing="0" w:after="210" w:afterAutospacing="0" w:line="300" w:lineRule="exact"/>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菌落总数快速测试片</w:t>
            </w:r>
          </w:p>
        </w:tc>
        <w:tc>
          <w:tcPr>
            <w:tcW w:w="2730" w:type="dxa"/>
            <w:vAlign w:val="center"/>
          </w:tcPr>
          <w:p>
            <w:pPr>
              <w:spacing w:line="300" w:lineRule="exact"/>
              <w:rPr>
                <w:rFonts w:ascii="仿宋_GB2312" w:hAnsi="仿宋_GB2312" w:eastAsia="仿宋_GB2312" w:cs="仿宋_GB2312"/>
                <w:bCs/>
                <w:color w:val="000000" w:themeColor="text1"/>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1、在35℃±1℃环境下培养48小时±3小时可判读结果。通过A</w:t>
            </w:r>
            <w:r>
              <w:rPr>
                <w:rFonts w:ascii="仿宋_GB2312" w:hAnsi="仿宋_GB2312" w:eastAsia="仿宋_GB2312" w:cs="仿宋_GB2312"/>
                <w:color w:val="000000" w:themeColor="text1"/>
                <w:kern w:val="0"/>
                <w:szCs w:val="21"/>
                <w14:textFill>
                  <w14:solidFill>
                    <w14:schemeClr w14:val="tx1"/>
                  </w14:solidFill>
                </w14:textFill>
              </w:rPr>
              <w:t>OAC OMA</w:t>
            </w:r>
            <w:r>
              <w:rPr>
                <w:rFonts w:hint="eastAsia" w:ascii="仿宋_GB2312" w:hAnsi="仿宋_GB2312" w:eastAsia="仿宋_GB2312" w:cs="仿宋_GB2312"/>
                <w:color w:val="000000" w:themeColor="text1"/>
                <w:kern w:val="0"/>
                <w:szCs w:val="21"/>
                <w14:textFill>
                  <w14:solidFill>
                    <w14:schemeClr w14:val="tx1"/>
                  </w14:solidFill>
                </w14:textFill>
              </w:rPr>
              <w:t>认证。</w:t>
            </w:r>
          </w:p>
        </w:tc>
        <w:tc>
          <w:tcPr>
            <w:tcW w:w="1875" w:type="dxa"/>
            <w:vAlign w:val="center"/>
          </w:tcPr>
          <w:p>
            <w:pPr>
              <w:pStyle w:val="12"/>
              <w:widowControl/>
              <w:spacing w:beforeAutospacing="0" w:after="210" w:afterAutospacing="0" w:line="300" w:lineRule="exact"/>
              <w:jc w:val="center"/>
              <w:rPr>
                <w:rFonts w:hint="eastAsia" w:ascii="仿宋_GB2312" w:hAnsi="仿宋_GB2312" w:eastAsia="仿宋_GB2312" w:cs="仿宋_GB2312"/>
                <w:bCs/>
                <w:sz w:val="21"/>
                <w:szCs w:val="21"/>
                <w:lang w:val="en-US" w:eastAsia="zh-CN"/>
              </w:rPr>
            </w:pPr>
            <w:r>
              <w:rPr>
                <w:rFonts w:hint="eastAsia" w:ascii="仿宋_GB2312" w:hAnsi="仿宋_GB2312" w:eastAsia="仿宋_GB2312" w:cs="仿宋_GB2312"/>
                <w:sz w:val="21"/>
                <w:szCs w:val="21"/>
                <w:lang w:val="en-US" w:eastAsia="zh-CN" w:bidi="ar-SA"/>
              </w:rPr>
              <w:t>1500</w:t>
            </w:r>
            <w:r>
              <w:rPr>
                <w:rFonts w:hint="eastAsia" w:ascii="仿宋_GB2312" w:hAnsi="仿宋_GB2312" w:eastAsia="仿宋_GB2312" w:cs="仿宋_GB2312"/>
                <w:sz w:val="21"/>
                <w:szCs w:val="21"/>
                <w:lang w:bidi="ar-SA"/>
              </w:rPr>
              <w:t>片/</w:t>
            </w:r>
            <w:r>
              <w:rPr>
                <w:rFonts w:hint="eastAsia" w:ascii="仿宋_GB2312" w:hAnsi="仿宋_GB2312" w:eastAsia="仿宋_GB2312" w:cs="仿宋_GB2312"/>
                <w:sz w:val="21"/>
                <w:szCs w:val="21"/>
                <w:lang w:val="en-US" w:eastAsia="zh-CN" w:bidi="ar-SA"/>
              </w:rPr>
              <w:t>年</w:t>
            </w:r>
          </w:p>
        </w:tc>
        <w:tc>
          <w:tcPr>
            <w:tcW w:w="1545" w:type="dxa"/>
            <w:vMerge w:val="restart"/>
            <w:vAlign w:val="center"/>
          </w:tcPr>
          <w:p>
            <w:pPr>
              <w:spacing w:line="300" w:lineRule="exact"/>
              <w:jc w:val="center"/>
              <w:rPr>
                <w:rFonts w:ascii="仿宋_GB2312" w:hAnsi="仿宋_GB2312" w:eastAsia="仿宋_GB2312" w:cs="仿宋_GB2312"/>
                <w:bCs/>
                <w:szCs w:val="21"/>
                <w:lang w:bidi="ar"/>
              </w:rPr>
            </w:pPr>
            <w:r>
              <w:rPr>
                <w:rFonts w:hint="eastAsia" w:ascii="仿宋_GB2312" w:hAnsi="仿宋_GB2312" w:eastAsia="仿宋_GB2312" w:cs="仿宋_GB2312"/>
                <w:szCs w:val="21"/>
                <w:lang w:bidi="ar"/>
              </w:rPr>
              <w:t>杭州萧山国际机场汉莎航空食品有限公司新厂房内</w:t>
            </w:r>
          </w:p>
        </w:tc>
        <w:tc>
          <w:tcPr>
            <w:tcW w:w="1462" w:type="dxa"/>
            <w:vMerge w:val="restart"/>
            <w:vAlign w:val="center"/>
          </w:tcPr>
          <w:p>
            <w:pPr>
              <w:spacing w:line="300" w:lineRule="exact"/>
              <w:jc w:val="center"/>
              <w:rPr>
                <w:rFonts w:ascii="仿宋_GB2312" w:hAnsi="仿宋_GB2312" w:eastAsia="仿宋_GB2312" w:cs="仿宋_GB2312"/>
                <w:bCs/>
                <w:szCs w:val="21"/>
                <w:lang w:bidi="ar"/>
              </w:rPr>
            </w:pPr>
            <w:r>
              <w:rPr>
                <w:rFonts w:hint="eastAsia" w:ascii="仿宋_GB2312" w:hAnsi="仿宋_GB2312" w:eastAsia="仿宋_GB2312" w:cs="仿宋_GB2312"/>
              </w:rPr>
              <w:t>分批交货，在收到招标人通知后48小时内交货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2" w:type="dxa"/>
            <w:vAlign w:val="center"/>
          </w:tcPr>
          <w:p>
            <w:pPr>
              <w:pStyle w:val="12"/>
              <w:widowControl/>
              <w:spacing w:beforeAutospacing="0" w:after="210" w:afterAutospacing="0" w:line="300" w:lineRule="exact"/>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大肠杆菌/大肠菌群快速测试片</w:t>
            </w:r>
          </w:p>
        </w:tc>
        <w:tc>
          <w:tcPr>
            <w:tcW w:w="2730" w:type="dxa"/>
            <w:vAlign w:val="center"/>
          </w:tcPr>
          <w:p>
            <w:pPr>
              <w:spacing w:line="300" w:lineRule="exact"/>
              <w:rPr>
                <w:rFonts w:ascii="仿宋_GB2312" w:hAnsi="仿宋_GB2312" w:eastAsia="仿宋_GB2312" w:cs="仿宋_GB2312"/>
                <w:bCs/>
                <w:color w:val="000000" w:themeColor="text1"/>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大肠菌群：在35℃±1℃环境下培养24小时±2小时可判读结果；大肠杆菌：在35℃±1℃环境下培养48小时±4小时可判读结果。通过A</w:t>
            </w:r>
            <w:r>
              <w:rPr>
                <w:rFonts w:ascii="仿宋_GB2312" w:hAnsi="仿宋_GB2312" w:eastAsia="仿宋_GB2312" w:cs="仿宋_GB2312"/>
                <w:color w:val="000000" w:themeColor="text1"/>
                <w:kern w:val="0"/>
                <w:szCs w:val="21"/>
                <w14:textFill>
                  <w14:solidFill>
                    <w14:schemeClr w14:val="tx1"/>
                  </w14:solidFill>
                </w14:textFill>
              </w:rPr>
              <w:t>OAC OMA</w:t>
            </w:r>
            <w:r>
              <w:rPr>
                <w:rFonts w:hint="eastAsia" w:ascii="仿宋_GB2312" w:hAnsi="仿宋_GB2312" w:eastAsia="仿宋_GB2312" w:cs="仿宋_GB2312"/>
                <w:color w:val="000000" w:themeColor="text1"/>
                <w:kern w:val="0"/>
                <w:szCs w:val="21"/>
                <w14:textFill>
                  <w14:solidFill>
                    <w14:schemeClr w14:val="tx1"/>
                  </w14:solidFill>
                </w14:textFill>
              </w:rPr>
              <w:t>认证。</w:t>
            </w:r>
          </w:p>
        </w:tc>
        <w:tc>
          <w:tcPr>
            <w:tcW w:w="1875" w:type="dxa"/>
            <w:vAlign w:val="center"/>
          </w:tcPr>
          <w:p>
            <w:pPr>
              <w:pStyle w:val="12"/>
              <w:widowControl/>
              <w:spacing w:beforeAutospacing="0" w:after="210" w:afterAutospacing="0" w:line="300" w:lineRule="exact"/>
              <w:jc w:val="center"/>
              <w:rPr>
                <w:rFonts w:ascii="仿宋_GB2312" w:hAnsi="仿宋_GB2312" w:eastAsia="仿宋_GB2312" w:cs="仿宋_GB2312"/>
                <w:bCs/>
                <w:sz w:val="21"/>
                <w:szCs w:val="21"/>
              </w:rPr>
            </w:pPr>
            <w:r>
              <w:rPr>
                <w:rFonts w:hint="eastAsia" w:ascii="仿宋_GB2312" w:hAnsi="仿宋_GB2312" w:eastAsia="仿宋_GB2312" w:cs="仿宋_GB2312"/>
                <w:sz w:val="21"/>
                <w:szCs w:val="21"/>
                <w:lang w:val="en-US" w:eastAsia="zh-CN" w:bidi="ar-SA"/>
              </w:rPr>
              <w:t>1500</w:t>
            </w:r>
            <w:r>
              <w:rPr>
                <w:rFonts w:hint="eastAsia" w:ascii="仿宋_GB2312" w:hAnsi="仿宋_GB2312" w:eastAsia="仿宋_GB2312" w:cs="仿宋_GB2312"/>
                <w:sz w:val="21"/>
                <w:szCs w:val="21"/>
                <w:lang w:bidi="ar-SA"/>
              </w:rPr>
              <w:t>片/</w:t>
            </w:r>
            <w:r>
              <w:rPr>
                <w:rFonts w:hint="eastAsia" w:ascii="仿宋_GB2312" w:hAnsi="仿宋_GB2312" w:eastAsia="仿宋_GB2312" w:cs="仿宋_GB2312"/>
                <w:sz w:val="21"/>
                <w:szCs w:val="21"/>
                <w:lang w:val="en-US" w:eastAsia="zh-CN" w:bidi="ar-SA"/>
              </w:rPr>
              <w:t>年</w:t>
            </w:r>
          </w:p>
        </w:tc>
        <w:tc>
          <w:tcPr>
            <w:tcW w:w="1545" w:type="dxa"/>
            <w:vMerge w:val="continue"/>
          </w:tcPr>
          <w:p>
            <w:pPr>
              <w:spacing w:line="300" w:lineRule="exact"/>
              <w:rPr>
                <w:rFonts w:ascii="仿宋_GB2312" w:hAnsi="Calibri" w:eastAsia="仿宋_GB2312" w:cs="仿宋_GB2312"/>
                <w:bCs/>
                <w:szCs w:val="21"/>
                <w:lang w:bidi="ar"/>
              </w:rPr>
            </w:pPr>
          </w:p>
        </w:tc>
        <w:tc>
          <w:tcPr>
            <w:tcW w:w="1462" w:type="dxa"/>
            <w:vMerge w:val="continue"/>
          </w:tcPr>
          <w:p>
            <w:pPr>
              <w:spacing w:line="300" w:lineRule="exact"/>
              <w:rPr>
                <w:rFonts w:ascii="仿宋_GB2312" w:hAnsi="Calibri" w:eastAsia="仿宋_GB2312" w:cs="仿宋_GB2312"/>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trPr>
        <w:tc>
          <w:tcPr>
            <w:tcW w:w="1902" w:type="dxa"/>
            <w:vAlign w:val="center"/>
          </w:tcPr>
          <w:p>
            <w:pPr>
              <w:pStyle w:val="12"/>
              <w:widowControl/>
              <w:spacing w:beforeAutospacing="0" w:after="210" w:afterAutospacing="0" w:line="300" w:lineRule="exact"/>
              <w:jc w:val="both"/>
              <w:rPr>
                <w:rFonts w:ascii="仿宋_GB2312" w:hAnsi="仿宋_GB2312" w:eastAsia="仿宋_GB2312" w:cs="仿宋_GB2312"/>
                <w:bCs/>
                <w:sz w:val="21"/>
                <w:szCs w:val="21"/>
              </w:rPr>
            </w:pPr>
            <w:r>
              <w:rPr>
                <w:rFonts w:hint="eastAsia" w:ascii="仿宋_GB2312" w:hAnsi="仿宋_GB2312" w:eastAsia="仿宋_GB2312" w:cs="仿宋_GB2312"/>
                <w:bCs/>
                <w:sz w:val="21"/>
                <w:szCs w:val="21"/>
              </w:rPr>
              <w:t>肠杆菌科测试片</w:t>
            </w:r>
          </w:p>
        </w:tc>
        <w:tc>
          <w:tcPr>
            <w:tcW w:w="2730" w:type="dxa"/>
            <w:vAlign w:val="center"/>
          </w:tcPr>
          <w:p>
            <w:pPr>
              <w:spacing w:line="300" w:lineRule="exact"/>
              <w:rPr>
                <w:rFonts w:ascii="仿宋_GB2312" w:hAnsi="仿宋_GB2312" w:eastAsia="仿宋_GB2312" w:cs="仿宋_GB2312"/>
                <w:bCs/>
                <w:color w:val="000000" w:themeColor="text1"/>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在34℃-37℃环境下培养24小时±2小时可判读结果。通过A</w:t>
            </w:r>
            <w:r>
              <w:rPr>
                <w:rFonts w:ascii="仿宋_GB2312" w:hAnsi="仿宋_GB2312" w:eastAsia="仿宋_GB2312" w:cs="仿宋_GB2312"/>
                <w:color w:val="000000" w:themeColor="text1"/>
                <w:kern w:val="0"/>
                <w:szCs w:val="21"/>
                <w14:textFill>
                  <w14:solidFill>
                    <w14:schemeClr w14:val="tx1"/>
                  </w14:solidFill>
                </w14:textFill>
              </w:rPr>
              <w:t>OAC OMA</w:t>
            </w:r>
            <w:r>
              <w:rPr>
                <w:rFonts w:hint="eastAsia" w:ascii="仿宋_GB2312" w:hAnsi="仿宋_GB2312" w:eastAsia="仿宋_GB2312" w:cs="仿宋_GB2312"/>
                <w:color w:val="000000" w:themeColor="text1"/>
                <w:kern w:val="0"/>
                <w:szCs w:val="21"/>
                <w14:textFill>
                  <w14:solidFill>
                    <w14:schemeClr w14:val="tx1"/>
                  </w14:solidFill>
                </w14:textFill>
              </w:rPr>
              <w:t>认证。</w:t>
            </w:r>
          </w:p>
        </w:tc>
        <w:tc>
          <w:tcPr>
            <w:tcW w:w="1875" w:type="dxa"/>
            <w:vAlign w:val="center"/>
          </w:tcPr>
          <w:p>
            <w:pPr>
              <w:pStyle w:val="12"/>
              <w:widowControl/>
              <w:spacing w:beforeAutospacing="0" w:after="210" w:afterAutospacing="0" w:line="300" w:lineRule="exact"/>
              <w:jc w:val="center"/>
              <w:rPr>
                <w:rFonts w:ascii="仿宋_GB2312" w:hAnsi="仿宋_GB2312" w:eastAsia="仿宋_GB2312" w:cs="仿宋_GB2312"/>
                <w:bCs/>
                <w:sz w:val="21"/>
                <w:szCs w:val="21"/>
              </w:rPr>
            </w:pPr>
            <w:r>
              <w:rPr>
                <w:rFonts w:hint="eastAsia" w:ascii="仿宋_GB2312" w:hAnsi="仿宋_GB2312" w:eastAsia="仿宋_GB2312" w:cs="仿宋_GB2312"/>
                <w:sz w:val="21"/>
                <w:szCs w:val="21"/>
                <w:lang w:val="en-US" w:eastAsia="zh-CN" w:bidi="ar-SA"/>
              </w:rPr>
              <w:t>1500</w:t>
            </w:r>
            <w:r>
              <w:rPr>
                <w:rFonts w:hint="eastAsia" w:ascii="仿宋_GB2312" w:hAnsi="仿宋_GB2312" w:eastAsia="仿宋_GB2312" w:cs="仿宋_GB2312"/>
                <w:sz w:val="21"/>
                <w:szCs w:val="21"/>
                <w:lang w:bidi="ar-SA"/>
              </w:rPr>
              <w:t>片/</w:t>
            </w:r>
            <w:r>
              <w:rPr>
                <w:rFonts w:hint="eastAsia" w:ascii="仿宋_GB2312" w:hAnsi="仿宋_GB2312" w:eastAsia="仿宋_GB2312" w:cs="仿宋_GB2312"/>
                <w:sz w:val="21"/>
                <w:szCs w:val="21"/>
                <w:lang w:val="en-US" w:eastAsia="zh-CN" w:bidi="ar-SA"/>
              </w:rPr>
              <w:t>年</w:t>
            </w:r>
          </w:p>
        </w:tc>
        <w:tc>
          <w:tcPr>
            <w:tcW w:w="1545" w:type="dxa"/>
            <w:vMerge w:val="continue"/>
          </w:tcPr>
          <w:p>
            <w:pPr>
              <w:spacing w:line="300" w:lineRule="exact"/>
              <w:rPr>
                <w:rFonts w:ascii="仿宋_GB2312" w:hAnsi="Calibri" w:eastAsia="仿宋_GB2312" w:cs="仿宋_GB2312"/>
                <w:bCs/>
                <w:szCs w:val="21"/>
                <w:lang w:bidi="ar"/>
              </w:rPr>
            </w:pPr>
          </w:p>
        </w:tc>
        <w:tc>
          <w:tcPr>
            <w:tcW w:w="1462" w:type="dxa"/>
            <w:vMerge w:val="continue"/>
          </w:tcPr>
          <w:p>
            <w:pPr>
              <w:spacing w:line="300" w:lineRule="exact"/>
              <w:rPr>
                <w:rFonts w:ascii="仿宋_GB2312" w:hAnsi="Calibri" w:eastAsia="仿宋_GB2312" w:cs="仿宋_GB2312"/>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rPr>
        <w:tc>
          <w:tcPr>
            <w:tcW w:w="1902" w:type="dxa"/>
          </w:tcPr>
          <w:p>
            <w:pPr>
              <w:spacing w:line="300" w:lineRule="exact"/>
              <w:rPr>
                <w:rFonts w:ascii="仿宋_GB2312" w:hAnsi="仿宋_GB2312" w:eastAsia="仿宋_GB2312" w:cs="仿宋_GB2312"/>
                <w:bCs/>
                <w:szCs w:val="21"/>
                <w:lang w:bidi="ar"/>
              </w:rPr>
            </w:pPr>
            <w:r>
              <w:rPr>
                <w:rFonts w:hint="eastAsia" w:ascii="仿宋_GB2312" w:hAnsi="仿宋_GB2312" w:eastAsia="仿宋_GB2312" w:cs="仿宋_GB2312"/>
                <w:color w:val="000000"/>
                <w:kern w:val="0"/>
                <w:szCs w:val="21"/>
              </w:rPr>
              <w:t>金黄色葡萄球菌快速测试片</w:t>
            </w:r>
          </w:p>
        </w:tc>
        <w:tc>
          <w:tcPr>
            <w:tcW w:w="2730" w:type="dxa"/>
            <w:vAlign w:val="center"/>
          </w:tcPr>
          <w:p>
            <w:pPr>
              <w:spacing w:line="300" w:lineRule="exact"/>
              <w:rPr>
                <w:rFonts w:ascii="仿宋_GB2312" w:hAnsi="仿宋_GB2312" w:eastAsia="仿宋_GB2312" w:cs="仿宋_GB2312"/>
                <w:bCs/>
                <w:color w:val="000000" w:themeColor="text1"/>
                <w:szCs w:val="21"/>
                <w:lang w:bidi="ar"/>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1、在37℃±1℃环境下培养24小时±2小时可判读结果。通过A</w:t>
            </w:r>
            <w:r>
              <w:rPr>
                <w:rFonts w:ascii="仿宋_GB2312" w:hAnsi="仿宋_GB2312" w:eastAsia="仿宋_GB2312" w:cs="仿宋_GB2312"/>
                <w:color w:val="000000" w:themeColor="text1"/>
                <w:kern w:val="0"/>
                <w:szCs w:val="21"/>
                <w14:textFill>
                  <w14:solidFill>
                    <w14:schemeClr w14:val="tx1"/>
                  </w14:solidFill>
                </w14:textFill>
              </w:rPr>
              <w:t>OAC OMA</w:t>
            </w:r>
            <w:r>
              <w:rPr>
                <w:rFonts w:hint="eastAsia" w:ascii="仿宋_GB2312" w:hAnsi="仿宋_GB2312" w:eastAsia="仿宋_GB2312" w:cs="仿宋_GB2312"/>
                <w:color w:val="000000" w:themeColor="text1"/>
                <w:kern w:val="0"/>
                <w:szCs w:val="21"/>
                <w14:textFill>
                  <w14:solidFill>
                    <w14:schemeClr w14:val="tx1"/>
                  </w14:solidFill>
                </w14:textFill>
              </w:rPr>
              <w:t>认证。</w:t>
            </w:r>
          </w:p>
        </w:tc>
        <w:tc>
          <w:tcPr>
            <w:tcW w:w="1875" w:type="dxa"/>
            <w:vAlign w:val="center"/>
          </w:tcPr>
          <w:p>
            <w:pPr>
              <w:spacing w:line="300" w:lineRule="exact"/>
              <w:jc w:val="center"/>
              <w:rPr>
                <w:rFonts w:hint="eastAsia" w:ascii="仿宋_GB2312" w:hAnsi="仿宋_GB2312" w:eastAsia="仿宋_GB2312" w:cs="仿宋_GB2312"/>
                <w:bCs/>
                <w:szCs w:val="21"/>
                <w:lang w:eastAsia="zh-CN" w:bidi="ar"/>
              </w:rPr>
            </w:pPr>
            <w:r>
              <w:rPr>
                <w:rFonts w:hint="eastAsia" w:ascii="仿宋_GB2312" w:hAnsi="仿宋_GB2312" w:eastAsia="仿宋_GB2312" w:cs="仿宋_GB2312"/>
                <w:kern w:val="0"/>
                <w:szCs w:val="21"/>
                <w:lang w:val="en-US" w:eastAsia="zh-CN"/>
              </w:rPr>
              <w:t>250</w:t>
            </w:r>
            <w:r>
              <w:rPr>
                <w:rFonts w:hint="eastAsia" w:ascii="仿宋_GB2312" w:hAnsi="仿宋_GB2312" w:eastAsia="仿宋_GB2312" w:cs="仿宋_GB2312"/>
                <w:kern w:val="0"/>
                <w:szCs w:val="21"/>
              </w:rPr>
              <w:t>片/</w:t>
            </w:r>
            <w:r>
              <w:rPr>
                <w:rFonts w:hint="eastAsia" w:ascii="仿宋_GB2312" w:hAnsi="仿宋_GB2312" w:eastAsia="仿宋_GB2312" w:cs="仿宋_GB2312"/>
                <w:kern w:val="0"/>
                <w:szCs w:val="21"/>
                <w:lang w:val="en-US" w:eastAsia="zh-CN"/>
              </w:rPr>
              <w:t>年</w:t>
            </w:r>
          </w:p>
        </w:tc>
        <w:tc>
          <w:tcPr>
            <w:tcW w:w="1545" w:type="dxa"/>
            <w:vMerge w:val="continue"/>
          </w:tcPr>
          <w:p>
            <w:pPr>
              <w:spacing w:line="300" w:lineRule="exact"/>
              <w:rPr>
                <w:rFonts w:ascii="仿宋_GB2312" w:hAnsi="Calibri" w:eastAsia="仿宋_GB2312" w:cs="仿宋_GB2312"/>
                <w:bCs/>
                <w:szCs w:val="21"/>
                <w:lang w:bidi="ar"/>
              </w:rPr>
            </w:pPr>
          </w:p>
        </w:tc>
        <w:tc>
          <w:tcPr>
            <w:tcW w:w="1462" w:type="dxa"/>
            <w:vMerge w:val="continue"/>
          </w:tcPr>
          <w:p>
            <w:pPr>
              <w:spacing w:line="300" w:lineRule="exact"/>
              <w:rPr>
                <w:rFonts w:ascii="仿宋_GB2312" w:hAnsi="Calibri" w:eastAsia="仿宋_GB2312" w:cs="仿宋_GB2312"/>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trPr>
        <w:tc>
          <w:tcPr>
            <w:tcW w:w="1902" w:type="dxa"/>
          </w:tcPr>
          <w:p>
            <w:pPr>
              <w:spacing w:line="300" w:lineRule="exact"/>
              <w:rPr>
                <w:rFonts w:ascii="仿宋_GB2312" w:hAnsi="仿宋_GB2312" w:eastAsia="仿宋_GB2312" w:cs="仿宋_GB2312"/>
                <w:bCs/>
                <w:szCs w:val="21"/>
                <w:lang w:bidi="ar"/>
              </w:rPr>
            </w:pPr>
            <w:r>
              <w:rPr>
                <w:rFonts w:hint="eastAsia" w:ascii="仿宋_GB2312" w:hAnsi="仿宋_GB2312" w:eastAsia="仿宋_GB2312" w:cs="仿宋_GB2312"/>
                <w:color w:val="000000"/>
                <w:kern w:val="0"/>
                <w:szCs w:val="21"/>
              </w:rPr>
              <w:t>环境李斯特菌快速测试片</w:t>
            </w:r>
          </w:p>
        </w:tc>
        <w:tc>
          <w:tcPr>
            <w:tcW w:w="2730" w:type="dxa"/>
            <w:vAlign w:val="center"/>
          </w:tcPr>
          <w:p>
            <w:pPr>
              <w:spacing w:line="300" w:lineRule="exact"/>
              <w:rPr>
                <w:rFonts w:hint="default"/>
                <w:lang w:val="en-US" w:eastAsia="zh-CN"/>
              </w:rPr>
            </w:pPr>
            <w:r>
              <w:rPr>
                <w:rFonts w:hint="eastAsia" w:ascii="仿宋_GB2312" w:hAnsi="仿宋_GB2312" w:eastAsia="仿宋_GB2312" w:cs="仿宋_GB2312"/>
              </w:rPr>
              <w:t>在37℃±1℃环境下培养28小时±2小时可判读结果。</w:t>
            </w:r>
          </w:p>
        </w:tc>
        <w:tc>
          <w:tcPr>
            <w:tcW w:w="1875" w:type="dxa"/>
            <w:vAlign w:val="center"/>
          </w:tcPr>
          <w:p>
            <w:pPr>
              <w:pStyle w:val="12"/>
              <w:widowControl/>
              <w:spacing w:beforeAutospacing="0" w:after="210" w:afterAutospacing="0" w:line="300" w:lineRule="exact"/>
              <w:jc w:val="center"/>
              <w:rPr>
                <w:rFonts w:hint="eastAsia" w:ascii="仿宋_GB2312" w:hAnsi="仿宋_GB2312" w:eastAsia="仿宋_GB2312" w:cs="仿宋_GB2312"/>
                <w:bCs/>
                <w:sz w:val="21"/>
                <w:szCs w:val="21"/>
                <w:lang w:eastAsia="zh-CN"/>
              </w:rPr>
            </w:pPr>
            <w:r>
              <w:rPr>
                <w:rFonts w:hint="eastAsia" w:ascii="仿宋_GB2312" w:hAnsi="仿宋_GB2312" w:eastAsia="仿宋_GB2312" w:cs="仿宋_GB2312"/>
                <w:sz w:val="21"/>
                <w:szCs w:val="21"/>
                <w:lang w:val="en-US" w:eastAsia="zh-CN" w:bidi="ar-SA"/>
              </w:rPr>
              <w:t>300</w:t>
            </w:r>
            <w:r>
              <w:rPr>
                <w:rFonts w:hint="eastAsia" w:ascii="仿宋_GB2312" w:hAnsi="仿宋_GB2312" w:eastAsia="仿宋_GB2312" w:cs="仿宋_GB2312"/>
                <w:sz w:val="21"/>
                <w:szCs w:val="21"/>
                <w:lang w:bidi="ar-SA"/>
              </w:rPr>
              <w:t>片/</w:t>
            </w:r>
            <w:r>
              <w:rPr>
                <w:rFonts w:hint="eastAsia" w:ascii="仿宋_GB2312" w:hAnsi="仿宋_GB2312" w:eastAsia="仿宋_GB2312" w:cs="仿宋_GB2312"/>
                <w:sz w:val="21"/>
                <w:szCs w:val="21"/>
                <w:lang w:val="en-US" w:eastAsia="zh-CN" w:bidi="ar-SA"/>
              </w:rPr>
              <w:t>年</w:t>
            </w:r>
          </w:p>
        </w:tc>
        <w:tc>
          <w:tcPr>
            <w:tcW w:w="1545" w:type="dxa"/>
            <w:vMerge w:val="continue"/>
          </w:tcPr>
          <w:p>
            <w:pPr>
              <w:spacing w:line="300" w:lineRule="exact"/>
              <w:rPr>
                <w:rFonts w:ascii="仿宋_GB2312" w:hAnsi="Calibri" w:eastAsia="仿宋_GB2312" w:cs="仿宋_GB2312"/>
                <w:bCs/>
                <w:szCs w:val="21"/>
                <w:lang w:bidi="ar"/>
              </w:rPr>
            </w:pPr>
          </w:p>
        </w:tc>
        <w:tc>
          <w:tcPr>
            <w:tcW w:w="1462" w:type="dxa"/>
            <w:vMerge w:val="continue"/>
          </w:tcPr>
          <w:p>
            <w:pPr>
              <w:spacing w:line="300" w:lineRule="exact"/>
              <w:rPr>
                <w:rFonts w:ascii="仿宋_GB2312" w:hAnsi="Calibri" w:eastAsia="仿宋_GB2312" w:cs="仿宋_GB2312"/>
                <w:bCs/>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9" w:hRule="atLeast"/>
        </w:trPr>
        <w:tc>
          <w:tcPr>
            <w:tcW w:w="1902"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bCs/>
                <w:sz w:val="21"/>
                <w:szCs w:val="21"/>
                <w:lang w:bidi="ar"/>
              </w:rPr>
            </w:pPr>
            <w:r>
              <w:rPr>
                <w:rFonts w:hint="eastAsia" w:ascii="仿宋_GB2312" w:hAnsi="仿宋_GB2312" w:eastAsia="仿宋_GB2312" w:cs="仿宋_GB2312"/>
                <w:color w:val="000000"/>
                <w:kern w:val="0"/>
                <w:sz w:val="21"/>
                <w:szCs w:val="21"/>
              </w:rPr>
              <w:t>环境李斯特菌采样棒</w:t>
            </w:r>
          </w:p>
        </w:tc>
        <w:tc>
          <w:tcPr>
            <w:tcW w:w="2730" w:type="dxa"/>
            <w:vAlign w:val="center"/>
          </w:tcPr>
          <w:p>
            <w:pPr>
              <w:pStyle w:val="12"/>
              <w:keepNext w:val="0"/>
              <w:keepLines w:val="0"/>
              <w:pageBreakBefore w:val="0"/>
              <w:widowControl w:val="0"/>
              <w:numPr>
                <w:ilvl w:val="0"/>
                <w:numId w:val="1"/>
              </w:numPr>
              <w:kinsoku/>
              <w:wordWrap/>
              <w:overflowPunct/>
              <w:topLinePunct w:val="0"/>
              <w:autoSpaceDE/>
              <w:autoSpaceDN/>
              <w:bidi w:val="0"/>
              <w:adjustRightInd/>
              <w:snapToGrid/>
              <w:spacing w:beforeAutospacing="0" w:after="210" w:afterAutospacing="0"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一次性涂抹棒。</w:t>
            </w:r>
          </w:p>
          <w:p>
            <w:pPr>
              <w:pStyle w:val="12"/>
              <w:keepNext w:val="0"/>
              <w:keepLines w:val="0"/>
              <w:pageBreakBefore w:val="0"/>
              <w:widowControl w:val="0"/>
              <w:kinsoku/>
              <w:wordWrap/>
              <w:overflowPunct/>
              <w:topLinePunct w:val="0"/>
              <w:autoSpaceDE/>
              <w:autoSpaceDN/>
              <w:bidi w:val="0"/>
              <w:adjustRightInd/>
              <w:snapToGrid/>
              <w:spacing w:beforeAutospacing="0" w:after="210" w:afterAutospacing="0" w:line="300" w:lineRule="exact"/>
              <w:jc w:val="both"/>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2、内含蛋白缓冲液（BPW）10ml。</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3、取样后，可直接将样品原液滴入培养基培养。</w:t>
            </w:r>
          </w:p>
        </w:tc>
        <w:tc>
          <w:tcPr>
            <w:tcW w:w="1875" w:type="dxa"/>
            <w:vAlign w:val="center"/>
          </w:tcPr>
          <w:p>
            <w:pPr>
              <w:pStyle w:val="12"/>
              <w:widowControl/>
              <w:spacing w:beforeAutospacing="0" w:after="210" w:afterAutospacing="0" w:line="300" w:lineRule="exact"/>
              <w:jc w:val="center"/>
              <w:rPr>
                <w:rFonts w:hint="eastAsia" w:ascii="仿宋_GB2312" w:hAnsi="仿宋_GB2312" w:eastAsia="仿宋_GB2312" w:cs="仿宋_GB2312"/>
                <w:sz w:val="21"/>
                <w:szCs w:val="21"/>
                <w:lang w:val="en-US" w:eastAsia="zh-CN" w:bidi="ar-SA"/>
              </w:rPr>
            </w:pPr>
            <w:r>
              <w:rPr>
                <w:rFonts w:hint="eastAsia" w:ascii="仿宋_GB2312" w:hAnsi="仿宋_GB2312" w:eastAsia="仿宋_GB2312" w:cs="仿宋_GB2312"/>
                <w:sz w:val="21"/>
                <w:szCs w:val="21"/>
                <w:lang w:val="en-US" w:eastAsia="zh-CN" w:bidi="ar-SA"/>
              </w:rPr>
              <w:t>300</w:t>
            </w:r>
            <w:r>
              <w:rPr>
                <w:rFonts w:hint="eastAsia" w:ascii="仿宋_GB2312" w:hAnsi="仿宋_GB2312" w:eastAsia="仿宋_GB2312" w:cs="仿宋_GB2312"/>
                <w:sz w:val="21"/>
                <w:szCs w:val="21"/>
                <w:lang w:bidi="ar-SA"/>
              </w:rPr>
              <w:t>个/</w:t>
            </w:r>
            <w:r>
              <w:rPr>
                <w:rFonts w:hint="eastAsia" w:ascii="仿宋_GB2312" w:hAnsi="仿宋_GB2312" w:eastAsia="仿宋_GB2312" w:cs="仿宋_GB2312"/>
                <w:sz w:val="21"/>
                <w:szCs w:val="21"/>
                <w:lang w:val="en-US" w:eastAsia="zh-CN" w:bidi="ar-SA"/>
              </w:rPr>
              <w:t>年</w:t>
            </w:r>
          </w:p>
        </w:tc>
        <w:tc>
          <w:tcPr>
            <w:tcW w:w="1545" w:type="dxa"/>
            <w:vMerge w:val="continue"/>
          </w:tcPr>
          <w:p>
            <w:pPr>
              <w:spacing w:line="300" w:lineRule="exact"/>
              <w:rPr>
                <w:rFonts w:ascii="仿宋_GB2312" w:hAnsi="Calibri" w:eastAsia="仿宋_GB2312" w:cs="仿宋_GB2312"/>
                <w:bCs/>
                <w:szCs w:val="21"/>
                <w:lang w:bidi="ar"/>
              </w:rPr>
            </w:pPr>
          </w:p>
        </w:tc>
        <w:tc>
          <w:tcPr>
            <w:tcW w:w="1462" w:type="dxa"/>
            <w:vMerge w:val="continue"/>
          </w:tcPr>
          <w:p>
            <w:pPr>
              <w:spacing w:line="300" w:lineRule="exact"/>
              <w:rPr>
                <w:rFonts w:ascii="仿宋_GB2312" w:hAnsi="Calibri" w:eastAsia="仿宋_GB2312" w:cs="仿宋_GB2312"/>
                <w:bCs/>
                <w:szCs w:val="21"/>
                <w:lang w:bidi="ar"/>
              </w:rPr>
            </w:pPr>
          </w:p>
        </w:tc>
      </w:tr>
    </w:tbl>
    <w:p>
      <w:pPr>
        <w:ind w:firstLine="640" w:firstLineChars="200"/>
        <w:rPr>
          <w:rFonts w:hint="eastAsia" w:ascii="仿宋_GB2312" w:hAnsi="Calibri" w:eastAsia="仿宋_GB2312" w:cs="仿宋_GB2312"/>
          <w:b/>
          <w:sz w:val="32"/>
          <w:szCs w:val="32"/>
          <w:lang w:bidi="ar"/>
        </w:rPr>
      </w:pPr>
    </w:p>
    <w:p>
      <w:pPr>
        <w:ind w:firstLine="640" w:firstLineChars="200"/>
        <w:rPr>
          <w:rFonts w:hint="eastAsia" w:ascii="仿宋_GB2312" w:hAnsi="Calibri" w:eastAsia="仿宋_GB2312" w:cs="仿宋_GB2312"/>
          <w:b/>
          <w:sz w:val="32"/>
          <w:szCs w:val="32"/>
          <w:lang w:bidi="ar"/>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Calibri" w:eastAsia="仿宋_GB2312" w:cs="仿宋_GB2312"/>
          <w:b/>
          <w:sz w:val="32"/>
          <w:szCs w:val="32"/>
          <w:lang w:bidi="ar"/>
        </w:rPr>
      </w:pPr>
      <w:r>
        <w:rPr>
          <w:rFonts w:hint="eastAsia" w:ascii="仿宋_GB2312" w:hAnsi="Calibri" w:eastAsia="仿宋_GB2312" w:cs="仿宋_GB2312"/>
          <w:b/>
          <w:sz w:val="32"/>
          <w:szCs w:val="32"/>
          <w:lang w:bidi="ar"/>
        </w:rPr>
        <w:t>二、资格要求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Cs/>
          <w:sz w:val="32"/>
          <w:szCs w:val="32"/>
        </w:rPr>
      </w:pPr>
      <w:r>
        <w:rPr>
          <w:rFonts w:hint="eastAsia" w:ascii="仿宋_GB2312" w:hAnsi="Calibri" w:eastAsia="仿宋_GB2312" w:cs="仿宋_GB2312"/>
          <w:bCs/>
          <w:sz w:val="32"/>
          <w:szCs w:val="32"/>
          <w:lang w:bidi="ar"/>
        </w:rPr>
        <w:t>1.具有独立法人资格的服务供应商，需提供营业执照复印件并加盖公章作为证明材料，原件备查。如营业执照未登记注册资本的，须另外提供企业在“全国企业信用信息公示系统”中自行公示的出资实缴情况，附相关公示网页复制件，并加盖投标人公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
          <w:color w:val="FF0000"/>
          <w:sz w:val="32"/>
          <w:szCs w:val="32"/>
        </w:rPr>
      </w:pPr>
      <w:r>
        <w:rPr>
          <w:rFonts w:hint="eastAsia" w:ascii="仿宋_GB2312" w:hAnsi="Calibri" w:eastAsia="仿宋_GB2312" w:cs="仿宋_GB2312"/>
          <w:bCs/>
          <w:sz w:val="32"/>
          <w:szCs w:val="32"/>
          <w:lang w:bidi="ar"/>
        </w:rPr>
        <w:t>2.具有一般纳税人或小规模纳税人资格，可提供增值税专用发票（需提供下列三项证明材料中任意一项并加盖公章，1、主管税务部门出具的一般纳税人资格认定《税务事项通知书》；2、《增值税一般纳税人登记表》；3、打印投标人电子税务局一般纳税人资格查询网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
          <w:sz w:val="32"/>
          <w:szCs w:val="32"/>
        </w:rPr>
      </w:pPr>
      <w:r>
        <w:rPr>
          <w:rFonts w:hint="eastAsia" w:ascii="仿宋_GB2312" w:hAnsi="Calibri" w:eastAsia="仿宋_GB2312" w:cs="仿宋_GB2312"/>
          <w:b/>
          <w:sz w:val="32"/>
          <w:szCs w:val="32"/>
          <w:lang w:bidi="ar"/>
        </w:rPr>
        <w:t>三、供应商提供材料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Cs/>
          <w:sz w:val="32"/>
          <w:szCs w:val="32"/>
        </w:rPr>
      </w:pPr>
      <w:r>
        <w:rPr>
          <w:rFonts w:hint="eastAsia" w:ascii="仿宋_GB2312" w:hAnsi="Calibri" w:eastAsia="仿宋_GB2312" w:cs="仿宋_GB2312"/>
          <w:bCs/>
          <w:sz w:val="32"/>
          <w:szCs w:val="32"/>
          <w:lang w:bidi="ar"/>
        </w:rPr>
        <w:t>1.报价单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Calibri" w:eastAsia="仿宋_GB2312" w:cs="仿宋_GB2312"/>
          <w:bCs/>
          <w:sz w:val="32"/>
          <w:szCs w:val="32"/>
          <w:lang w:bidi="ar"/>
        </w:rPr>
      </w:pPr>
      <w:r>
        <w:rPr>
          <w:rFonts w:hint="eastAsia" w:ascii="仿宋_GB2312" w:hAnsi="Calibri" w:eastAsia="仿宋_GB2312" w:cs="仿宋_GB2312"/>
          <w:bCs/>
          <w:sz w:val="32"/>
          <w:szCs w:val="32"/>
          <w:lang w:bidi="ar"/>
        </w:rPr>
        <w:t>2.资格证明文件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Calibri" w:eastAsia="仿宋_GB2312" w:cs="仿宋_GB2312"/>
          <w:bCs/>
          <w:sz w:val="32"/>
          <w:szCs w:val="32"/>
          <w:lang w:bidi="ar"/>
        </w:rPr>
      </w:pPr>
      <w:r>
        <w:rPr>
          <w:rFonts w:hint="eastAsia" w:ascii="仿宋_GB2312" w:hAnsi="Calibri" w:eastAsia="仿宋_GB2312" w:cs="仿宋_GB2312"/>
          <w:bCs/>
          <w:sz w:val="32"/>
          <w:szCs w:val="32"/>
          <w:lang w:bidi="ar"/>
        </w:rPr>
        <w:t>3.</w:t>
      </w:r>
      <w:r>
        <w:rPr>
          <w:rFonts w:ascii="仿宋_GB2312" w:hAnsi="宋体" w:eastAsia="仿宋_GB2312" w:cs="仿宋_GB2312"/>
          <w:color w:val="000000" w:themeColor="text1"/>
          <w:sz w:val="31"/>
          <w:szCs w:val="31"/>
          <w14:textFill>
            <w14:solidFill>
              <w14:schemeClr w14:val="tx1"/>
            </w14:solidFill>
          </w14:textFill>
        </w:rPr>
        <w:t>供应商认为应当提供的其他资料</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_GB2312" w:eastAsia="仿宋_GB2312" w:cs="仿宋_GB2312"/>
          <w:b/>
          <w:sz w:val="32"/>
          <w:szCs w:val="32"/>
        </w:rPr>
      </w:pPr>
      <w:r>
        <w:rPr>
          <w:rFonts w:hint="eastAsia" w:ascii="仿宋_GB2312" w:hAnsi="Calibri" w:eastAsia="仿宋_GB2312" w:cs="仿宋_GB2312"/>
          <w:b/>
          <w:sz w:val="32"/>
          <w:szCs w:val="32"/>
          <w:lang w:bidi="ar"/>
        </w:rPr>
        <w:t xml:space="preserve">    四、比价方式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ascii="仿宋_GB2312" w:hAnsi="宋体" w:eastAsia="仿宋_GB2312" w:cs="仿宋_GB2312"/>
          <w:color w:val="000000" w:themeColor="text1"/>
          <w:sz w:val="31"/>
          <w:szCs w:val="31"/>
          <w14:textFill>
            <w14:solidFill>
              <w14:schemeClr w14:val="tx1"/>
            </w14:solidFill>
          </w14:textFill>
        </w:rPr>
      </w:pPr>
      <w:r>
        <w:rPr>
          <w:rFonts w:ascii="仿宋_GB2312" w:hAnsi="宋体" w:eastAsia="仿宋_GB2312" w:cs="仿宋_GB2312"/>
          <w:color w:val="000000" w:themeColor="text1"/>
          <w:sz w:val="31"/>
          <w:szCs w:val="31"/>
          <w14:textFill>
            <w14:solidFill>
              <w14:schemeClr w14:val="tx1"/>
            </w14:solidFill>
          </w14:textFill>
        </w:rPr>
        <w:t>参加报价的单位需按要求进行报价</w:t>
      </w:r>
      <w:r>
        <w:rPr>
          <w:rFonts w:hint="eastAsia" w:ascii="仿宋_GB2312" w:hAnsi="宋体" w:eastAsia="仿宋_GB2312" w:cs="仿宋_GB2312"/>
          <w:color w:val="000000" w:themeColor="text1"/>
          <w:sz w:val="31"/>
          <w:szCs w:val="31"/>
          <w14:textFill>
            <w14:solidFill>
              <w14:schemeClr w14:val="tx1"/>
            </w14:solidFill>
          </w14:textFill>
        </w:rPr>
        <w:t>，盖上公章密封后寄往我公司。我公司最终将按报价单的总价进行排名比价，按经评审的最低报价法确定中选单位。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
          <w:sz w:val="32"/>
          <w:szCs w:val="32"/>
        </w:rPr>
      </w:pPr>
      <w:r>
        <w:rPr>
          <w:rFonts w:hint="eastAsia" w:ascii="仿宋_GB2312" w:hAnsi="Calibri" w:eastAsia="仿宋_GB2312" w:cs="仿宋_GB2312"/>
          <w:b/>
          <w:sz w:val="32"/>
          <w:szCs w:val="32"/>
          <w:lang w:bidi="ar"/>
        </w:rPr>
        <w:t>六、投递方式</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ascii="微软雅黑" w:hAnsi="微软雅黑" w:eastAsia="微软雅黑" w:cs="微软雅黑"/>
          <w:color w:val="000000" w:themeColor="text1"/>
          <w:sz w:val="22"/>
          <w:szCs w:val="22"/>
          <w14:textFill>
            <w14:solidFill>
              <w14:schemeClr w14:val="tx1"/>
            </w14:solidFill>
          </w14:textFill>
        </w:rPr>
      </w:pPr>
      <w:r>
        <w:rPr>
          <w:rFonts w:ascii="仿宋_GB2312" w:hAnsi="微软雅黑" w:eastAsia="仿宋_GB2312" w:cs="仿宋_GB2312"/>
          <w:color w:val="000000" w:themeColor="text1"/>
          <w:sz w:val="31"/>
          <w:szCs w:val="31"/>
          <w14:textFill>
            <w14:solidFill>
              <w14:schemeClr w14:val="tx1"/>
            </w14:solidFill>
          </w14:textFill>
        </w:rPr>
        <w:t>（一）</w:t>
      </w:r>
      <w:r>
        <w:rPr>
          <w:rFonts w:hint="eastAsia" w:ascii="仿宋_GB2312" w:hAnsi="微软雅黑" w:eastAsia="仿宋_GB2312" w:cs="仿宋_GB2312"/>
          <w:color w:val="000000" w:themeColor="text1"/>
          <w:sz w:val="31"/>
          <w:szCs w:val="31"/>
          <w14:textFill>
            <w14:solidFill>
              <w14:schemeClr w14:val="tx1"/>
            </w14:solidFill>
          </w14:textFill>
        </w:rPr>
        <w:t>以快递或当面递交方式提交密封报价单（封口处加盖公章）。本项目设置报名截止时间为</w:t>
      </w:r>
      <w:r>
        <w:rPr>
          <w:rFonts w:hint="eastAsia" w:ascii="仿宋_GB2312" w:hAnsi="微软雅黑" w:eastAsia="仿宋_GB2312" w:cs="仿宋_GB2312"/>
          <w:color w:val="000000" w:themeColor="text1"/>
          <w:sz w:val="31"/>
          <w:szCs w:val="31"/>
          <w:shd w:val="clear" w:color="auto" w:fill="FFFF00"/>
          <w14:textFill>
            <w14:solidFill>
              <w14:schemeClr w14:val="tx1"/>
            </w14:solidFill>
          </w14:textFill>
        </w:rPr>
        <w:t>2021年12月</w:t>
      </w:r>
      <w:r>
        <w:rPr>
          <w:rFonts w:hint="eastAsia" w:ascii="仿宋_GB2312" w:hAnsi="微软雅黑" w:eastAsia="仿宋_GB2312" w:cs="仿宋_GB2312"/>
          <w:color w:val="000000" w:themeColor="text1"/>
          <w:sz w:val="31"/>
          <w:szCs w:val="31"/>
          <w:shd w:val="clear" w:color="auto" w:fill="FFFF00"/>
          <w:lang w:val="en-US" w:eastAsia="zh-CN"/>
          <w14:textFill>
            <w14:solidFill>
              <w14:schemeClr w14:val="tx1"/>
            </w14:solidFill>
          </w14:textFill>
        </w:rPr>
        <w:t>13</w:t>
      </w:r>
      <w:r>
        <w:rPr>
          <w:rFonts w:hint="eastAsia" w:ascii="仿宋_GB2312" w:hAnsi="微软雅黑" w:eastAsia="仿宋_GB2312" w:cs="仿宋_GB2312"/>
          <w:color w:val="000000" w:themeColor="text1"/>
          <w:sz w:val="31"/>
          <w:szCs w:val="31"/>
          <w14:textFill>
            <w14:solidFill>
              <w14:schemeClr w14:val="tx1"/>
            </w14:solidFill>
          </w14:textFill>
        </w:rPr>
        <w:t>日9:00，报名联系人：</w:t>
      </w:r>
      <w:r>
        <w:rPr>
          <w:rFonts w:hint="eastAsia" w:ascii="仿宋_GB2312" w:hAnsi="微软雅黑" w:eastAsia="仿宋_GB2312" w:cs="仿宋_GB2312"/>
          <w:color w:val="000000" w:themeColor="text1"/>
          <w:sz w:val="31"/>
          <w:szCs w:val="31"/>
          <w:lang w:eastAsia="zh-CN"/>
          <w14:textFill>
            <w14:solidFill>
              <w14:schemeClr w14:val="tx1"/>
            </w14:solidFill>
          </w14:textFill>
        </w:rPr>
        <w:t>沈晓静</w:t>
      </w:r>
      <w:r>
        <w:rPr>
          <w:rFonts w:hint="eastAsia" w:ascii="仿宋_GB2312" w:hAnsi="微软雅黑" w:eastAsia="仿宋_GB2312" w:cs="仿宋_GB2312"/>
          <w:color w:val="000000" w:themeColor="text1"/>
          <w:sz w:val="31"/>
          <w:szCs w:val="31"/>
          <w:lang w:val="en-US" w:eastAsia="zh-CN"/>
          <w14:textFill>
            <w14:solidFill>
              <w14:schemeClr w14:val="tx1"/>
            </w14:solidFill>
          </w14:textFill>
        </w:rPr>
        <w:t xml:space="preserve"> 0571-86662496</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ascii="微软雅黑" w:hAnsi="微软雅黑" w:eastAsia="微软雅黑" w:cs="微软雅黑"/>
          <w:color w:val="000000" w:themeColor="text1"/>
          <w:sz w:val="22"/>
          <w:szCs w:val="22"/>
          <w14:textFill>
            <w14:solidFill>
              <w14:schemeClr w14:val="tx1"/>
            </w14:solidFill>
          </w14:textFill>
        </w:rPr>
      </w:pPr>
      <w:r>
        <w:rPr>
          <w:rFonts w:hint="eastAsia" w:ascii="仿宋_GB2312" w:hAnsi="微软雅黑" w:eastAsia="仿宋_GB2312" w:cs="仿宋_GB2312"/>
          <w:color w:val="000000" w:themeColor="text1"/>
          <w:sz w:val="31"/>
          <w:szCs w:val="31"/>
          <w14:textFill>
            <w14:solidFill>
              <w14:schemeClr w14:val="tx1"/>
            </w14:solidFill>
          </w14:textFill>
        </w:rPr>
        <w:t>（二）投递地址：杭州萧山国际机场汉莎航空食品有限公司（新厂房），</w:t>
      </w:r>
      <w:r>
        <w:rPr>
          <w:rFonts w:hint="eastAsia" w:ascii="仿宋_GB2312" w:hAnsi="微软雅黑" w:eastAsia="仿宋_GB2312" w:cs="仿宋_GB2312"/>
          <w:color w:val="000000" w:themeColor="text1"/>
          <w:sz w:val="31"/>
          <w:szCs w:val="31"/>
          <w:lang w:eastAsia="zh-CN"/>
          <w14:textFill>
            <w14:solidFill>
              <w14:schemeClr w14:val="tx1"/>
            </w14:solidFill>
          </w14:textFill>
        </w:rPr>
        <w:t>沈晓静</w:t>
      </w:r>
      <w:r>
        <w:rPr>
          <w:rFonts w:hint="eastAsia" w:ascii="仿宋_GB2312" w:hAnsi="微软雅黑" w:eastAsia="仿宋_GB2312" w:cs="仿宋_GB2312"/>
          <w:color w:val="000000" w:themeColor="text1"/>
          <w:sz w:val="31"/>
          <w:szCs w:val="31"/>
          <w14:textFill>
            <w14:solidFill>
              <w14:schemeClr w14:val="tx1"/>
            </w14:solidFill>
          </w14:textFill>
        </w:rPr>
        <w:t>收   邮编：311207。</w:t>
      </w:r>
    </w:p>
    <w:p>
      <w:pPr>
        <w:pStyle w:val="12"/>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5"/>
        <w:jc w:val="both"/>
        <w:textAlignment w:val="auto"/>
        <w:outlineLvl w:val="9"/>
        <w:rPr>
          <w:rFonts w:ascii="微软雅黑" w:hAnsi="微软雅黑" w:eastAsia="微软雅黑" w:cs="微软雅黑"/>
          <w:color w:val="000000" w:themeColor="text1"/>
          <w:sz w:val="22"/>
          <w:szCs w:val="22"/>
          <w14:textFill>
            <w14:solidFill>
              <w14:schemeClr w14:val="tx1"/>
            </w14:solidFill>
          </w14:textFill>
        </w:rPr>
      </w:pPr>
      <w:r>
        <w:rPr>
          <w:rFonts w:hint="eastAsia" w:ascii="仿宋_GB2312" w:hAnsi="微软雅黑" w:eastAsia="仿宋_GB2312" w:cs="仿宋_GB2312"/>
          <w:color w:val="000000" w:themeColor="text1"/>
          <w:sz w:val="31"/>
          <w:szCs w:val="31"/>
          <w14:textFill>
            <w14:solidFill>
              <w14:schemeClr w14:val="tx1"/>
            </w14:solidFill>
          </w14:textFill>
        </w:rPr>
        <w:t>（三）截止日期：</w:t>
      </w:r>
      <w:r>
        <w:rPr>
          <w:rFonts w:hint="eastAsia" w:ascii="仿宋_GB2312" w:hAnsi="微软雅黑" w:eastAsia="仿宋_GB2312" w:cs="仿宋_GB2312"/>
          <w:color w:val="000000" w:themeColor="text1"/>
          <w:sz w:val="31"/>
          <w:szCs w:val="31"/>
          <w:shd w:val="clear" w:color="auto" w:fill="FFFF00"/>
          <w14:textFill>
            <w14:solidFill>
              <w14:schemeClr w14:val="tx1"/>
            </w14:solidFill>
          </w14:textFill>
        </w:rPr>
        <w:t> 2021年12月</w:t>
      </w:r>
      <w:r>
        <w:rPr>
          <w:rFonts w:hint="eastAsia" w:ascii="仿宋_GB2312" w:hAnsi="微软雅黑" w:eastAsia="仿宋_GB2312" w:cs="仿宋_GB2312"/>
          <w:color w:val="000000" w:themeColor="text1"/>
          <w:sz w:val="31"/>
          <w:szCs w:val="31"/>
          <w:shd w:val="clear" w:color="auto" w:fill="FFFF00"/>
          <w:lang w:val="en-US" w:eastAsia="zh-CN"/>
          <w14:textFill>
            <w14:solidFill>
              <w14:schemeClr w14:val="tx1"/>
            </w14:solidFill>
          </w14:textFill>
        </w:rPr>
        <w:t>13</w:t>
      </w:r>
      <w:r>
        <w:rPr>
          <w:rFonts w:hint="eastAsia" w:ascii="仿宋_GB2312" w:hAnsi="微软雅黑" w:eastAsia="仿宋_GB2312" w:cs="仿宋_GB2312"/>
          <w:color w:val="000000" w:themeColor="text1"/>
          <w:sz w:val="31"/>
          <w:szCs w:val="31"/>
          <w:shd w:val="clear" w:color="auto" w:fill="FFFF00"/>
          <w14:textFill>
            <w14:solidFill>
              <w14:schemeClr w14:val="tx1"/>
            </w14:solidFill>
          </w14:textFill>
        </w:rPr>
        <w:t>日</w:t>
      </w:r>
      <w:r>
        <w:rPr>
          <w:rFonts w:hint="eastAsia" w:ascii="仿宋_GB2312" w:hAnsi="微软雅黑" w:eastAsia="仿宋_GB2312" w:cs="仿宋_GB2312"/>
          <w:color w:val="000000" w:themeColor="text1"/>
          <w:sz w:val="31"/>
          <w:szCs w:val="31"/>
          <w14:textFill>
            <w14:solidFill>
              <w14:schemeClr w14:val="tx1"/>
            </w14:solidFill>
          </w14:textFill>
        </w:rPr>
        <w:t>9:00</w:t>
      </w: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outlineLvl w:val="9"/>
        <w:rPr>
          <w:rFonts w:ascii="仿宋_GB2312" w:eastAsia="仿宋_GB2312" w:cs="仿宋_GB2312"/>
          <w:b/>
          <w:sz w:val="32"/>
          <w:szCs w:val="32"/>
        </w:rPr>
      </w:pPr>
      <w:r>
        <w:rPr>
          <w:rFonts w:hint="eastAsia" w:ascii="仿宋_GB2312" w:hAnsi="Calibri" w:eastAsia="仿宋_GB2312" w:cs="仿宋_GB2312"/>
          <w:b/>
          <w:sz w:val="32"/>
          <w:szCs w:val="32"/>
          <w:lang w:bidi="ar"/>
        </w:rPr>
        <w:t xml:space="preserve">    七、付款方式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color w:val="000000"/>
          <w:sz w:val="32"/>
          <w:szCs w:val="32"/>
        </w:rPr>
      </w:pPr>
      <w:r>
        <w:rPr>
          <w:rFonts w:hint="eastAsia" w:ascii="仿宋_GB2312" w:hAnsi="仿宋_GB2312" w:eastAsia="仿宋_GB2312" w:cs="仿宋_GB2312"/>
          <w:color w:val="666666"/>
          <w:sz w:val="32"/>
          <w:szCs w:val="32"/>
        </w:rPr>
        <w:t>（一）</w:t>
      </w:r>
      <w:r>
        <w:rPr>
          <w:rFonts w:hint="eastAsia" w:ascii="仿宋_GB2312" w:hAnsi="仿宋_GB2312" w:eastAsia="仿宋_GB2312" w:cs="仿宋_GB2312"/>
          <w:color w:val="000000"/>
          <w:sz w:val="32"/>
          <w:szCs w:val="32"/>
        </w:rPr>
        <w:t>甲方收到货物及有效增值税专用发票后</w:t>
      </w:r>
      <w:r>
        <w:rPr>
          <w:rFonts w:hint="eastAsia" w:ascii="仿宋_GB2312" w:hAnsi="仿宋_GB2312" w:eastAsia="仿宋_GB2312" w:cs="仿宋_GB2312"/>
          <w:color w:val="000000" w:themeColor="text1"/>
          <w:sz w:val="32"/>
          <w:szCs w:val="32"/>
          <w14:textFill>
            <w14:solidFill>
              <w14:schemeClr w14:val="tx1"/>
            </w14:solidFill>
          </w14:textFill>
        </w:rPr>
        <w:t>1个月内付款</w:t>
      </w:r>
      <w:r>
        <w:rPr>
          <w:rFonts w:hint="eastAsia" w:ascii="仿宋_GB2312" w:hAnsi="仿宋_GB2312" w:eastAsia="仿宋_GB2312" w:cs="仿宋_GB2312"/>
          <w:color w:val="000000"/>
          <w:sz w:val="32"/>
          <w:szCs w:val="32"/>
        </w:rPr>
        <w:t>。</w:t>
      </w:r>
    </w:p>
    <w:p>
      <w:pPr>
        <w:keepNext w:val="0"/>
        <w:keepLines w:val="0"/>
        <w:pageBreakBefore w:val="0"/>
        <w:numPr>
          <w:ilvl w:val="0"/>
          <w:numId w:val="2"/>
        </w:numPr>
        <w:kinsoku/>
        <w:wordWrap/>
        <w:overflowPunct/>
        <w:topLinePunct w:val="0"/>
        <w:autoSpaceDE/>
        <w:autoSpaceDN/>
        <w:bidi w:val="0"/>
        <w:adjustRightInd/>
        <w:snapToGrid/>
        <w:spacing w:line="560" w:lineRule="exact"/>
        <w:ind w:left="0" w:leftChars="0" w:right="0" w:rightChars="0" w:firstLine="620" w:firstLineChars="200"/>
        <w:jc w:val="both"/>
        <w:textAlignment w:val="auto"/>
        <w:outlineLvl w:val="9"/>
        <w:rPr>
          <w:rFonts w:ascii="仿宋_GB2312" w:hAnsi="宋体" w:eastAsia="仿宋_GB2312" w:cs="仿宋_GB2312"/>
          <w:color w:val="000000" w:themeColor="text1"/>
          <w:sz w:val="31"/>
          <w:szCs w:val="31"/>
          <w14:textFill>
            <w14:solidFill>
              <w14:schemeClr w14:val="tx1"/>
            </w14:solidFill>
          </w14:textFill>
        </w:rPr>
      </w:pPr>
      <w:r>
        <w:rPr>
          <w:rFonts w:hint="eastAsia" w:ascii="仿宋_GB2312" w:hAnsi="宋体" w:eastAsia="仿宋_GB2312" w:cs="仿宋_GB2312"/>
          <w:color w:val="000000" w:themeColor="text1"/>
          <w:sz w:val="31"/>
          <w:szCs w:val="31"/>
          <w14:textFill>
            <w14:solidFill>
              <w14:schemeClr w14:val="tx1"/>
            </w14:solidFill>
          </w14:textFill>
        </w:rPr>
        <w:t>增值税专用发票中需列明产品单价、数量、金额。若品项多，需提供在开票税控系统中打印的清单明细。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b/>
          <w:sz w:val="32"/>
          <w:szCs w:val="32"/>
        </w:rPr>
      </w:pPr>
      <w:r>
        <w:rPr>
          <w:rFonts w:hint="eastAsia" w:ascii="仿宋_GB2312" w:hAnsi="Calibri" w:eastAsia="仿宋_GB2312" w:cs="仿宋_GB2312"/>
          <w:b/>
          <w:sz w:val="32"/>
          <w:szCs w:val="32"/>
          <w:lang w:bidi="ar"/>
        </w:rPr>
        <w:t>八、联系方式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Calibri" w:eastAsia="仿宋_GB2312" w:cs="仿宋_GB2312"/>
          <w:sz w:val="32"/>
          <w:szCs w:val="32"/>
          <w:lang w:bidi="ar"/>
        </w:rPr>
      </w:pPr>
      <w:r>
        <w:rPr>
          <w:rFonts w:hint="eastAsia" w:ascii="仿宋_GB2312" w:hAnsi="Calibri" w:eastAsia="仿宋_GB2312" w:cs="仿宋_GB2312"/>
          <w:sz w:val="32"/>
          <w:szCs w:val="32"/>
          <w:lang w:bidi="ar"/>
        </w:rPr>
        <w:t>联系人：</w:t>
      </w:r>
      <w:r>
        <w:rPr>
          <w:rFonts w:hint="eastAsia" w:ascii="仿宋_GB2312" w:hAnsi="Calibri" w:eastAsia="仿宋_GB2312" w:cs="仿宋_GB2312"/>
          <w:bCs/>
          <w:sz w:val="32"/>
          <w:szCs w:val="32"/>
          <w:lang w:bidi="ar"/>
        </w:rPr>
        <w:t>沈工</w:t>
      </w:r>
      <w:r>
        <w:rPr>
          <w:rFonts w:hint="eastAsia" w:ascii="仿宋_GB2312" w:hAnsi="Calibri" w:eastAsia="仿宋_GB2312" w:cs="仿宋_GB2312"/>
          <w:bCs/>
          <w:color w:val="FF0000"/>
          <w:sz w:val="32"/>
          <w:szCs w:val="32"/>
          <w:lang w:bidi="ar"/>
        </w:rPr>
        <w:t xml:space="preserve">         </w:t>
      </w:r>
      <w:r>
        <w:rPr>
          <w:rFonts w:hint="eastAsia" w:ascii="仿宋_GB2312" w:hAnsi="Calibri" w:eastAsia="仿宋_GB2312" w:cs="仿宋_GB2312"/>
          <w:sz w:val="32"/>
          <w:szCs w:val="32"/>
          <w:lang w:bidi="ar"/>
        </w:rPr>
        <w:t>联系电话：0571-86662496</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仿宋_GB2312"/>
          <w:sz w:val="32"/>
          <w:szCs w:val="32"/>
        </w:rPr>
      </w:pPr>
      <w:r>
        <w:rPr>
          <w:rFonts w:hint="eastAsia" w:ascii="仿宋_GB2312" w:hAnsi="Calibri" w:eastAsia="仿宋_GB2312" w:cs="仿宋_GB2312"/>
          <w:sz w:val="32"/>
          <w:szCs w:val="32"/>
          <w:lang w:bidi="ar"/>
        </w:rPr>
        <w:t>监督人：顾立峰       联系电话：0571-86662489</w:t>
      </w:r>
    </w:p>
    <w:p>
      <w:pPr>
        <w:adjustRightInd w:val="0"/>
        <w:snapToGrid w:val="0"/>
        <w:spacing w:line="360" w:lineRule="exact"/>
        <w:ind w:firstLine="280"/>
        <w:rPr>
          <w:rFonts w:ascii="宋体" w:hAnsi="宋体" w:eastAsia="宋体" w:cs="宋体"/>
          <w:sz w:val="22"/>
          <w:szCs w:val="22"/>
          <w:lang w:bidi="ar"/>
        </w:rPr>
      </w:pPr>
      <w:r>
        <w:rPr>
          <w:rFonts w:hint="eastAsia" w:ascii="仿宋_GB2312" w:hAnsi="宋体" w:eastAsia="仿宋_GB2312" w:cs="Times New Roman"/>
          <w:sz w:val="32"/>
          <w:szCs w:val="32"/>
          <w:lang w:bidi="ar"/>
        </w:rPr>
        <w:br w:type="page"/>
      </w:r>
    </w:p>
    <w:p>
      <w:pPr>
        <w:spacing w:line="560" w:lineRule="exact"/>
        <w:jc w:val="left"/>
        <w:rPr>
          <w:rFonts w:ascii="仿宋_GB2312" w:hAnsi="宋体" w:eastAsia="仿宋_GB2312" w:cs="仿宋_GB2312"/>
          <w:sz w:val="32"/>
          <w:szCs w:val="32"/>
          <w:lang w:bidi="ar"/>
        </w:rPr>
      </w:pPr>
      <w:r>
        <w:rPr>
          <w:rFonts w:hint="eastAsia" w:ascii="仿宋_GB2312" w:hAnsi="宋体" w:eastAsia="仿宋_GB2312" w:cs="仿宋_GB2312"/>
          <w:sz w:val="32"/>
          <w:szCs w:val="32"/>
          <w:lang w:bidi="ar"/>
        </w:rPr>
        <w:t>附件1：报价单</w:t>
      </w:r>
    </w:p>
    <w:tbl>
      <w:tblPr>
        <w:tblStyle w:val="15"/>
        <w:tblpPr w:leftFromText="180" w:rightFromText="180" w:vertAnchor="text" w:horzAnchor="page" w:tblpXSpec="center" w:tblpY="189"/>
        <w:tblOverlap w:val="never"/>
        <w:tblW w:w="9375" w:type="dxa"/>
        <w:jc w:val="center"/>
        <w:tblInd w:w="0" w:type="dxa"/>
        <w:tblLayout w:type="fixed"/>
        <w:tblCellMar>
          <w:top w:w="15" w:type="dxa"/>
          <w:left w:w="15" w:type="dxa"/>
          <w:bottom w:w="15" w:type="dxa"/>
          <w:right w:w="15" w:type="dxa"/>
        </w:tblCellMar>
      </w:tblPr>
      <w:tblGrid>
        <w:gridCol w:w="2581"/>
        <w:gridCol w:w="885"/>
        <w:gridCol w:w="1320"/>
        <w:gridCol w:w="1425"/>
        <w:gridCol w:w="1470"/>
        <w:gridCol w:w="1694"/>
      </w:tblGrid>
      <w:tr>
        <w:tblPrEx>
          <w:tblLayout w:type="fixed"/>
          <w:tblCellMar>
            <w:top w:w="15" w:type="dxa"/>
            <w:left w:w="15" w:type="dxa"/>
            <w:bottom w:w="15" w:type="dxa"/>
            <w:right w:w="15" w:type="dxa"/>
          </w:tblCellMar>
        </w:tblPrEx>
        <w:trPr>
          <w:trHeight w:val="870" w:hRule="atLeast"/>
          <w:jc w:val="center"/>
        </w:trPr>
        <w:tc>
          <w:tcPr>
            <w:tcW w:w="9375" w:type="dxa"/>
            <w:gridSpan w:val="6"/>
            <w:vAlign w:val="center"/>
          </w:tcPr>
          <w:p>
            <w:pPr>
              <w:widowControl/>
              <w:jc w:val="center"/>
              <w:textAlignment w:val="center"/>
              <w:rPr>
                <w:rFonts w:ascii="宋体" w:hAnsi="宋体" w:eastAsia="宋体" w:cs="宋体"/>
                <w:b/>
                <w:color w:val="000000"/>
                <w:sz w:val="32"/>
                <w:szCs w:val="32"/>
              </w:rPr>
            </w:pPr>
            <w:r>
              <w:rPr>
                <w:rFonts w:hint="eastAsia" w:ascii="宋体" w:hAnsi="宋体" w:eastAsia="宋体" w:cs="宋体"/>
                <w:b/>
                <w:color w:val="000000"/>
                <w:kern w:val="0"/>
                <w:sz w:val="32"/>
                <w:szCs w:val="32"/>
                <w:lang w:bidi="ar"/>
              </w:rPr>
              <w:t>杭州萧山机场汉莎航空食品有限公司</w:t>
            </w:r>
            <w:r>
              <w:rPr>
                <w:rFonts w:hint="eastAsia" w:ascii="仿宋_GB2312" w:hAnsi="仿宋_GB2312" w:eastAsia="仿宋_GB2312" w:cs="仿宋_GB2312"/>
                <w:b/>
                <w:kern w:val="44"/>
                <w:sz w:val="32"/>
                <w:szCs w:val="32"/>
              </w:rPr>
              <w:t>食品检测用快速测试片</w:t>
            </w:r>
            <w:r>
              <w:rPr>
                <w:rFonts w:hint="eastAsia" w:ascii="宋体" w:hAnsi="宋体" w:eastAsia="宋体" w:cs="宋体"/>
                <w:b/>
                <w:color w:val="000000"/>
                <w:kern w:val="0"/>
                <w:sz w:val="32"/>
                <w:szCs w:val="32"/>
                <w:lang w:bidi="ar"/>
              </w:rPr>
              <w:t>报价单</w:t>
            </w:r>
          </w:p>
        </w:tc>
      </w:tr>
      <w:tr>
        <w:tblPrEx>
          <w:tblLayout w:type="fixed"/>
          <w:tblCellMar>
            <w:top w:w="15" w:type="dxa"/>
            <w:left w:w="15" w:type="dxa"/>
            <w:bottom w:w="15" w:type="dxa"/>
            <w:right w:w="15" w:type="dxa"/>
          </w:tblCellMar>
        </w:tblPrEx>
        <w:trPr>
          <w:trHeight w:val="1050"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货物名称</w:t>
            </w:r>
          </w:p>
        </w:tc>
        <w:tc>
          <w:tcPr>
            <w:tcW w:w="1320" w:type="dxa"/>
            <w:tcBorders>
              <w:top w:val="single" w:color="000000" w:sz="4" w:space="0"/>
              <w:left w:val="single" w:color="000000" w:sz="4" w:space="0"/>
              <w:bottom w:val="single" w:color="000000" w:sz="4" w:space="0"/>
              <w:right w:val="single" w:color="000000" w:sz="4" w:space="0"/>
            </w:tcBorders>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规格</w:t>
            </w:r>
          </w:p>
        </w:tc>
        <w:tc>
          <w:tcPr>
            <w:tcW w:w="1425" w:type="dxa"/>
            <w:tcBorders>
              <w:top w:val="single" w:color="000000" w:sz="4" w:space="0"/>
              <w:left w:val="single" w:color="000000" w:sz="4" w:space="0"/>
              <w:bottom w:val="single" w:color="000000" w:sz="4" w:space="0"/>
              <w:right w:val="single" w:color="000000" w:sz="4" w:space="0"/>
            </w:tcBorders>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单价</w:t>
            </w:r>
          </w:p>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（不含税）</w:t>
            </w:r>
          </w:p>
        </w:tc>
        <w:tc>
          <w:tcPr>
            <w:tcW w:w="1470" w:type="dxa"/>
            <w:tcBorders>
              <w:top w:val="single" w:color="000000" w:sz="4" w:space="0"/>
              <w:left w:val="single" w:color="000000" w:sz="4" w:space="0"/>
              <w:bottom w:val="single" w:color="000000" w:sz="4" w:space="0"/>
              <w:right w:val="single" w:color="000000" w:sz="4" w:space="0"/>
            </w:tcBorders>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不含税金额（元）</w:t>
            </w:r>
          </w:p>
        </w:tc>
        <w:tc>
          <w:tcPr>
            <w:tcW w:w="1694" w:type="dxa"/>
            <w:tcBorders>
              <w:top w:val="single" w:color="000000" w:sz="4" w:space="0"/>
              <w:left w:val="single" w:color="000000" w:sz="4" w:space="0"/>
              <w:bottom w:val="single" w:color="000000" w:sz="4" w:space="0"/>
              <w:right w:val="single" w:color="000000" w:sz="4" w:space="0"/>
            </w:tcBorders>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备注</w:t>
            </w:r>
          </w:p>
        </w:tc>
      </w:tr>
      <w:tr>
        <w:tblPrEx>
          <w:tblLayout w:type="fixed"/>
          <w:tblCellMar>
            <w:top w:w="15" w:type="dxa"/>
            <w:left w:w="15" w:type="dxa"/>
            <w:bottom w:w="15" w:type="dxa"/>
            <w:right w:w="15" w:type="dxa"/>
          </w:tblCellMar>
        </w:tblPrEx>
        <w:trPr>
          <w:trHeight w:val="540"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菌落总数快速测试片</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75"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大肠杆菌/大肠菌群快速测试片</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75"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肠杆菌科测试片</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75"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金黄色葡萄球菌快速测试片</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75"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环境李斯特菌快速测试片</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75" w:hRule="atLeast"/>
          <w:jc w:val="center"/>
        </w:trPr>
        <w:tc>
          <w:tcPr>
            <w:tcW w:w="3466"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环境李斯特菌采样棒</w:t>
            </w:r>
          </w:p>
        </w:tc>
        <w:tc>
          <w:tcPr>
            <w:tcW w:w="132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包</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527" w:hRule="atLeast"/>
          <w:jc w:val="center"/>
        </w:trPr>
        <w:tc>
          <w:tcPr>
            <w:tcW w:w="4786" w:type="dxa"/>
            <w:gridSpan w:val="3"/>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小计</w:t>
            </w:r>
          </w:p>
        </w:tc>
        <w:tc>
          <w:tcPr>
            <w:tcW w:w="1425"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470"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630" w:hRule="atLeast"/>
          <w:jc w:val="center"/>
        </w:trPr>
        <w:tc>
          <w:tcPr>
            <w:tcW w:w="2581"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税费</w:t>
            </w:r>
          </w:p>
        </w:tc>
        <w:tc>
          <w:tcPr>
            <w:tcW w:w="220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提供增值税专用发票</w:t>
            </w:r>
          </w:p>
        </w:tc>
        <w:tc>
          <w:tcPr>
            <w:tcW w:w="2895" w:type="dxa"/>
            <w:gridSpan w:val="2"/>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000000"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请备注税率</w:t>
            </w:r>
          </w:p>
        </w:tc>
      </w:tr>
      <w:tr>
        <w:tblPrEx>
          <w:tblLayout w:type="fixed"/>
          <w:tblCellMar>
            <w:top w:w="15" w:type="dxa"/>
            <w:left w:w="15" w:type="dxa"/>
            <w:bottom w:w="15" w:type="dxa"/>
            <w:right w:w="15" w:type="dxa"/>
          </w:tblCellMar>
        </w:tblPrEx>
        <w:trPr>
          <w:trHeight w:val="755" w:hRule="atLeast"/>
          <w:jc w:val="center"/>
        </w:trPr>
        <w:tc>
          <w:tcPr>
            <w:tcW w:w="4786" w:type="dxa"/>
            <w:gridSpan w:val="3"/>
            <w:tcBorders>
              <w:top w:val="single" w:color="000000" w:sz="4" w:space="0"/>
              <w:left w:val="single" w:color="000000"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合计金额（含税）</w:t>
            </w:r>
          </w:p>
        </w:tc>
        <w:tc>
          <w:tcPr>
            <w:tcW w:w="2895" w:type="dxa"/>
            <w:gridSpan w:val="2"/>
            <w:tcBorders>
              <w:top w:val="single" w:color="000000" w:sz="4" w:space="0"/>
              <w:left w:val="single" w:color="000000"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c>
          <w:tcPr>
            <w:tcW w:w="1694" w:type="dxa"/>
            <w:tcBorders>
              <w:top w:val="single" w:color="000000" w:sz="4" w:space="0"/>
              <w:left w:val="single" w:color="000000" w:sz="4" w:space="0"/>
              <w:bottom w:val="single" w:color="auto" w:sz="4" w:space="0"/>
              <w:right w:val="single" w:color="000000"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p>
        </w:tc>
      </w:tr>
      <w:tr>
        <w:tblPrEx>
          <w:tblLayout w:type="fixed"/>
          <w:tblCellMar>
            <w:top w:w="15" w:type="dxa"/>
            <w:left w:w="15" w:type="dxa"/>
            <w:bottom w:w="15" w:type="dxa"/>
            <w:right w:w="15" w:type="dxa"/>
          </w:tblCellMar>
        </w:tblPrEx>
        <w:trPr>
          <w:trHeight w:val="1831" w:hRule="atLeast"/>
          <w:jc w:val="center"/>
        </w:trPr>
        <w:tc>
          <w:tcPr>
            <w:tcW w:w="9375" w:type="dxa"/>
            <w:gridSpan w:val="6"/>
            <w:tcBorders>
              <w:top w:val="single" w:color="auto" w:sz="4" w:space="0"/>
              <w:left w:val="single" w:color="auto" w:sz="4" w:space="0"/>
              <w:bottom w:val="single" w:color="auto" w:sz="4" w:space="0"/>
              <w:right w:val="single" w:color="auto" w:sz="4" w:space="0"/>
            </w:tcBorders>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备注：报价包含完成询价内容所需的全部费用（人工、材料、设备、管理费、利润、各种相关规费、一切税金及合同明示或暗示的所有责任、义务和风险等），如以后已实施而未列入报价的费用将被视为报价人优惠，采购人均不予支付。</w:t>
            </w:r>
          </w:p>
        </w:tc>
      </w:tr>
    </w:tbl>
    <w:p>
      <w:pPr>
        <w:pStyle w:val="2"/>
        <w:rPr>
          <w:rFonts w:ascii="仿宋_GB2312" w:hAnsi="宋体" w:eastAsia="仿宋_GB2312" w:cs="仿宋_GB2312"/>
          <w:sz w:val="32"/>
          <w:szCs w:val="32"/>
          <w:lang w:bidi="ar"/>
        </w:rPr>
      </w:pPr>
    </w:p>
    <w:p>
      <w:pPr>
        <w:pStyle w:val="3"/>
      </w:pPr>
    </w:p>
    <w:p>
      <w:pPr>
        <w:spacing w:line="312" w:lineRule="auto"/>
        <w:ind w:firstLine="403"/>
        <w:rPr>
          <w:szCs w:val="21"/>
        </w:rPr>
      </w:pPr>
    </w:p>
    <w:p>
      <w:pPr>
        <w:autoSpaceDE w:val="0"/>
        <w:autoSpaceDN w:val="0"/>
        <w:adjustRightInd w:val="0"/>
        <w:spacing w:line="360" w:lineRule="auto"/>
        <w:jc w:val="center"/>
        <w:rPr>
          <w:rFonts w:ascii="微软雅黑" w:hAnsi="Times New Roman" w:cs="微软雅黑"/>
          <w:b/>
          <w:kern w:val="0"/>
          <w:sz w:val="36"/>
          <w:szCs w:val="36"/>
        </w:rPr>
      </w:pPr>
    </w:p>
    <w:p>
      <w:pPr>
        <w:autoSpaceDE w:val="0"/>
        <w:autoSpaceDN w:val="0"/>
        <w:adjustRightInd w:val="0"/>
        <w:spacing w:line="360" w:lineRule="auto"/>
        <w:jc w:val="both"/>
        <w:rPr>
          <w:rFonts w:ascii="微软雅黑" w:hAnsi="Times New Roman" w:cs="微软雅黑"/>
          <w:b/>
          <w:kern w:val="0"/>
          <w:sz w:val="36"/>
          <w:szCs w:val="36"/>
        </w:rPr>
      </w:pPr>
    </w:p>
    <w:p>
      <w:pPr>
        <w:spacing w:line="560" w:lineRule="exact"/>
        <w:jc w:val="left"/>
        <w:rPr>
          <w:rFonts w:hint="eastAsia" w:ascii="仿宋_GB2312" w:hAnsi="宋体" w:eastAsia="仿宋_GB2312" w:cs="仿宋_GB2312"/>
          <w:sz w:val="32"/>
          <w:szCs w:val="32"/>
          <w:highlight w:val="none"/>
          <w:lang w:bidi="ar"/>
        </w:rPr>
      </w:pPr>
      <w:r>
        <w:rPr>
          <w:rFonts w:hint="eastAsia" w:ascii="仿宋_GB2312" w:hAnsi="宋体" w:eastAsia="仿宋_GB2312" w:cs="仿宋_GB2312"/>
          <w:sz w:val="32"/>
          <w:szCs w:val="32"/>
          <w:lang w:bidi="ar"/>
        </w:rPr>
        <w:t>附件2：</w:t>
      </w:r>
      <w:r>
        <w:rPr>
          <w:rFonts w:hint="eastAsia" w:ascii="仿宋_GB2312" w:hAnsi="宋体" w:eastAsia="仿宋_GB2312" w:cs="仿宋_GB2312"/>
          <w:sz w:val="32"/>
          <w:szCs w:val="32"/>
          <w:highlight w:val="none"/>
          <w:lang w:bidi="ar"/>
        </w:rPr>
        <w:t>合同主要条款</w:t>
      </w:r>
    </w:p>
    <w:p>
      <w:pPr>
        <w:pStyle w:val="2"/>
      </w:pPr>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杭州萧山机场汉莎航空食品有限公司</w:t>
      </w:r>
    </w:p>
    <w:p>
      <w:pPr>
        <w:adjustRightInd w:val="0"/>
        <w:snapToGrid w:val="0"/>
        <w:spacing w:line="276" w:lineRule="auto"/>
        <w:ind w:firstLine="452"/>
        <w:jc w:val="center"/>
        <w:rPr>
          <w:rFonts w:hint="eastAsia" w:ascii="宋体" w:hAnsi="宋体" w:eastAsia="宋体" w:cs="宋体"/>
          <w:b/>
          <w:bCs w:val="0"/>
          <w:i w:val="0"/>
          <w:color w:val="000000"/>
          <w:kern w:val="0"/>
          <w:sz w:val="32"/>
          <w:szCs w:val="32"/>
          <w:u w:val="none"/>
          <w:lang w:val="en-US" w:eastAsia="zh-CN" w:bidi="ar"/>
        </w:rPr>
      </w:pPr>
      <w:r>
        <w:rPr>
          <w:rFonts w:hint="eastAsia" w:ascii="宋体" w:hAnsi="宋体" w:eastAsia="宋体" w:cs="宋体"/>
          <w:b/>
          <w:bCs w:val="0"/>
          <w:i w:val="0"/>
          <w:color w:val="000000"/>
          <w:kern w:val="0"/>
          <w:sz w:val="32"/>
          <w:szCs w:val="32"/>
          <w:u w:val="none"/>
          <w:lang w:val="en-US" w:eastAsia="zh-CN" w:bidi="ar"/>
        </w:rPr>
        <w:t>食品检测用快速测试片采购合同</w:t>
      </w:r>
    </w:p>
    <w:p>
      <w:pPr>
        <w:wordWrap w:val="0"/>
        <w:ind w:right="360" w:firstLine="5670" w:firstLineChars="3150"/>
        <w:rPr>
          <w:color w:val="000000"/>
          <w:sz w:val="18"/>
          <w:szCs w:val="18"/>
        </w:rPr>
      </w:pPr>
      <w:r>
        <w:rPr>
          <w:rFonts w:hint="eastAsia"/>
          <w:b/>
          <w:color w:val="000000"/>
          <w:sz w:val="36"/>
          <w:szCs w:val="36"/>
        </w:rPr>
        <w:t xml:space="preserve"> </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甲方：杭州萧山国际机场汉莎航空食品有限公司</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乙方：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住所地：</w:t>
      </w: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甲、乙双方根据《中华人民共和国合同法》等相关法律法规，就相关产品采购事宜，在互利、平等的原则基础上，经协商一致，特签订本合同，以共同遵守。</w:t>
      </w:r>
    </w:p>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一、</w:t>
      </w:r>
      <w:r>
        <w:rPr>
          <w:rFonts w:hint="eastAsia" w:ascii="宋体" w:hAnsi="宋体" w:eastAsia="宋体" w:cs="宋体"/>
          <w:sz w:val="22"/>
          <w:szCs w:val="22"/>
          <w:highlight w:val="none"/>
        </w:rPr>
        <w:t>采购货物内容</w:t>
      </w:r>
    </w:p>
    <w:tbl>
      <w:tblPr>
        <w:tblStyle w:val="15"/>
        <w:tblW w:w="9465" w:type="dxa"/>
        <w:tblInd w:w="-647" w:type="dxa"/>
        <w:tblLayout w:type="fixed"/>
        <w:tblCellMar>
          <w:top w:w="0" w:type="dxa"/>
          <w:left w:w="108" w:type="dxa"/>
          <w:bottom w:w="0" w:type="dxa"/>
          <w:right w:w="108" w:type="dxa"/>
        </w:tblCellMar>
      </w:tblPr>
      <w:tblGrid>
        <w:gridCol w:w="3015"/>
        <w:gridCol w:w="1005"/>
        <w:gridCol w:w="1800"/>
        <w:gridCol w:w="1950"/>
        <w:gridCol w:w="1695"/>
      </w:tblGrid>
      <w:tr>
        <w:tblPrEx>
          <w:tblLayout w:type="fixed"/>
          <w:tblCellMar>
            <w:top w:w="0" w:type="dxa"/>
            <w:left w:w="108" w:type="dxa"/>
            <w:bottom w:w="0" w:type="dxa"/>
            <w:right w:w="108" w:type="dxa"/>
          </w:tblCellMar>
        </w:tblPrEx>
        <w:trPr>
          <w:trHeight w:val="718" w:hRule="atLeast"/>
        </w:trPr>
        <w:tc>
          <w:tcPr>
            <w:tcW w:w="301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物料名称</w:t>
            </w:r>
          </w:p>
        </w:tc>
        <w:tc>
          <w:tcPr>
            <w:tcW w:w="1005" w:type="dxa"/>
            <w:tcBorders>
              <w:top w:val="single" w:color="auto" w:sz="4" w:space="0"/>
              <w:left w:val="nil"/>
              <w:bottom w:val="single" w:color="auto" w:sz="4" w:space="0"/>
              <w:right w:val="single" w:color="auto" w:sz="4" w:space="0"/>
            </w:tcBorders>
            <w:shd w:val="clear" w:color="auto" w:fill="auto"/>
            <w:textDirection w:val="lrTb"/>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规格</w:t>
            </w:r>
          </w:p>
        </w:tc>
        <w:tc>
          <w:tcPr>
            <w:tcW w:w="1800" w:type="dxa"/>
            <w:tcBorders>
              <w:top w:val="single" w:color="auto" w:sz="4" w:space="0"/>
              <w:left w:val="nil"/>
              <w:bottom w:val="single" w:color="auto" w:sz="4" w:space="0"/>
              <w:right w:val="single" w:color="auto" w:sz="4" w:space="0"/>
            </w:tcBorders>
            <w:shd w:val="clear" w:color="auto" w:fill="auto"/>
            <w:textDirection w:val="lrTb"/>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单价（不含税）</w:t>
            </w:r>
          </w:p>
        </w:tc>
        <w:tc>
          <w:tcPr>
            <w:tcW w:w="1950" w:type="dxa"/>
            <w:tcBorders>
              <w:top w:val="single" w:color="auto" w:sz="4" w:space="0"/>
              <w:left w:val="nil"/>
              <w:bottom w:val="single" w:color="auto" w:sz="4" w:space="0"/>
              <w:right w:val="single" w:color="auto" w:sz="4" w:space="0"/>
            </w:tcBorders>
            <w:shd w:val="clear" w:color="auto" w:fill="auto"/>
            <w:textDirection w:val="lrTb"/>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rPr>
              <w:t>单价税额（税率 %）</w:t>
            </w:r>
          </w:p>
        </w:tc>
        <w:tc>
          <w:tcPr>
            <w:tcW w:w="1695" w:type="dxa"/>
            <w:tcBorders>
              <w:top w:val="single" w:color="auto" w:sz="4" w:space="0"/>
              <w:left w:val="nil"/>
              <w:bottom w:val="single" w:color="auto" w:sz="4" w:space="0"/>
              <w:right w:val="single" w:color="auto" w:sz="4" w:space="0"/>
            </w:tcBorders>
            <w:shd w:val="clear" w:color="auto" w:fill="auto"/>
            <w:textDirection w:val="lrTb"/>
            <w:vAlign w:val="center"/>
          </w:tcPr>
          <w:p>
            <w:pPr>
              <w:pStyle w:val="23"/>
              <w:spacing w:after="0" w:line="560" w:lineRule="exact"/>
              <w:jc w:val="center"/>
              <w:rPr>
                <w:rFonts w:hint="eastAsia" w:ascii="黑体" w:hAnsi="黑体" w:eastAsia="黑体" w:cs="黑体"/>
                <w:b w:val="0"/>
                <w:bCs/>
                <w:sz w:val="21"/>
                <w:szCs w:val="21"/>
                <w:highlight w:val="none"/>
              </w:rPr>
            </w:pPr>
            <w:r>
              <w:rPr>
                <w:rFonts w:hint="eastAsia" w:ascii="黑体" w:hAnsi="黑体" w:eastAsia="黑体" w:cs="黑体"/>
                <w:b w:val="0"/>
                <w:bCs/>
                <w:sz w:val="21"/>
                <w:szCs w:val="21"/>
                <w:highlight w:val="none"/>
                <w:lang w:eastAsia="zh-CN"/>
              </w:rPr>
              <w:t>单价（含税）</w:t>
            </w:r>
          </w:p>
        </w:tc>
      </w:tr>
      <w:tr>
        <w:tblPrEx>
          <w:tblLayout w:type="fixed"/>
          <w:tblCellMar>
            <w:top w:w="0" w:type="dxa"/>
            <w:left w:w="108" w:type="dxa"/>
            <w:bottom w:w="0" w:type="dxa"/>
            <w:right w:w="108" w:type="dxa"/>
          </w:tblCellMar>
        </w:tblPrEx>
        <w:trPr>
          <w:trHeight w:val="47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金黄色葡萄球菌快速检验计数板</w:t>
            </w:r>
          </w:p>
        </w:tc>
        <w:tc>
          <w:tcPr>
            <w:tcW w:w="1005" w:type="dxa"/>
            <w:tcBorders>
              <w:top w:val="nil"/>
              <w:left w:val="nil"/>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7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菌落总数计数板</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7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大肠杆菌计数板</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7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环境李斯特菌测试片</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71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肠杆菌科计数板</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478" w:hRule="atLeast"/>
        </w:trPr>
        <w:tc>
          <w:tcPr>
            <w:tcW w:w="3015" w:type="dxa"/>
            <w:tcBorders>
              <w:top w:val="nil"/>
              <w:left w:val="single" w:color="auto" w:sz="4" w:space="0"/>
              <w:bottom w:val="single" w:color="auto" w:sz="4" w:space="0"/>
              <w:right w:val="single" w:color="auto" w:sz="4" w:space="0"/>
            </w:tcBorders>
            <w:shd w:val="clear" w:color="auto" w:fill="auto"/>
            <w:vAlign w:val="center"/>
          </w:tcPr>
          <w:p>
            <w:pPr>
              <w:tabs>
                <w:tab w:val="left" w:pos="540"/>
              </w:tabs>
              <w:adjustRightInd w:val="0"/>
              <w:snapToGrid w:val="0"/>
              <w:spacing w:before="96" w:after="96" w:line="360" w:lineRule="auto"/>
              <w:jc w:val="center"/>
              <w:rPr>
                <w:rFonts w:hint="eastAsia" w:ascii="宋体" w:hAnsi="宋体" w:eastAsia="宋体" w:cs="宋体"/>
                <w:sz w:val="19"/>
                <w:szCs w:val="19"/>
                <w:lang w:eastAsia="zh-CN"/>
              </w:rPr>
            </w:pPr>
            <w:r>
              <w:rPr>
                <w:rFonts w:hint="eastAsia" w:ascii="宋体" w:hAnsi="宋体" w:eastAsia="宋体" w:cs="宋体"/>
                <w:sz w:val="19"/>
                <w:szCs w:val="19"/>
                <w:lang w:eastAsia="zh-CN"/>
              </w:rPr>
              <w:t>采样棒</w:t>
            </w:r>
          </w:p>
        </w:tc>
        <w:tc>
          <w:tcPr>
            <w:tcW w:w="100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r>
              <w:rPr>
                <w:rFonts w:hint="eastAsia" w:ascii="宋体" w:hAnsi="宋体" w:eastAsia="宋体" w:cs="宋体"/>
                <w:sz w:val="19"/>
                <w:szCs w:val="19"/>
                <w:lang w:eastAsia="zh-CN"/>
              </w:rPr>
              <w:t>包</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9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c>
          <w:tcPr>
            <w:tcW w:w="1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2"/>
                <w:szCs w:val="22"/>
              </w:rPr>
            </w:pPr>
          </w:p>
        </w:tc>
      </w:tr>
    </w:tbl>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价格承诺</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本着双方诚信、公开原则，同时为避免欺骗、隐瞒性行为发生，乙方郑重承诺,乙方提供标的物的价格为同期同质最低价格,否则乙方自愿补偿甲方因此产生的价格差异及相关损失.</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采购的货物数量属于预估数量，甲方有权根据实际情况单方面予以调整采购的数量，具体以甲方向乙方发出的采购通知单为准，乙方承诺无条件按照甲方要求执行，双方最终结算金额按照甲方实际采购数量结算。</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3.在合同有效期限内，单价（不含税）固定不变，若因国家税收政策调整而引起的增值税税率变化的，支付的合同总金额变更为原合同不含增值税货物或劳务价格与适用税率计算税额的合计金额。</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三</w:t>
      </w:r>
      <w:r>
        <w:rPr>
          <w:rFonts w:hint="eastAsia" w:ascii="宋体" w:hAnsi="宋体" w:eastAsia="宋体" w:cs="宋体"/>
          <w:sz w:val="22"/>
          <w:szCs w:val="22"/>
          <w:highlight w:val="none"/>
        </w:rPr>
        <w:t>、交货</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交货时间及数量：具体交货时间及数量以甲方订单通知为准，乙方收到甲方订单的3个工作日内发货。</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运输方式及费用：运输方式由乙方决定并承担所有费用。</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标的物物流风险及相关费用：标的物在甲方验收合格并开具合格报告单前所有风险均由乙方承担。</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四</w:t>
      </w:r>
      <w:r>
        <w:rPr>
          <w:rFonts w:hint="eastAsia" w:ascii="宋体" w:hAnsi="宋体" w:eastAsia="宋体" w:cs="宋体"/>
          <w:sz w:val="22"/>
          <w:szCs w:val="22"/>
          <w:highlight w:val="none"/>
        </w:rPr>
        <w:t>、质量条款</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乙方交付的产品及其他包装材料必须符合以下质量技术标准： （1）（2）（3）（4）      （可多选，所选择项有标准或约定的请写明）</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（1）按乙方所提供的经甲方确认的样品；</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（2）相应的国家标准；</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（3）甲方企业的质量标准；</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（4）环保标准；</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（5）见附件</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对于甲方在实际使用、生产或销售过程中发现的产品质量问题，如由产品本身质量原因引起的，乙方应无条件根据甲方要求负责退换并赔偿由此产生的损失；如由其它原因引起，由双方协商解决。</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乙方对产品质量保证期限：按照标的物到本合同指定交货地点并经甲方检验合格后起</w:t>
      </w:r>
      <w:r>
        <w:rPr>
          <w:rFonts w:hint="eastAsia" w:ascii="宋体" w:hAnsi="宋体" w:eastAsia="宋体" w:cs="宋体"/>
          <w:sz w:val="22"/>
          <w:szCs w:val="22"/>
          <w:highlight w:val="none"/>
          <w:lang w:eastAsia="zh-CN"/>
        </w:rPr>
        <w:t>壹</w:t>
      </w:r>
      <w:r>
        <w:rPr>
          <w:rFonts w:hint="eastAsia" w:ascii="宋体" w:hAnsi="宋体" w:eastAsia="宋体" w:cs="宋体"/>
          <w:sz w:val="22"/>
          <w:szCs w:val="22"/>
          <w:highlight w:val="none"/>
        </w:rPr>
        <w:t>年。如果法律规定长于保质期的，依照有关法律规定。</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五</w:t>
      </w:r>
      <w:r>
        <w:rPr>
          <w:rFonts w:hint="eastAsia" w:ascii="宋体" w:hAnsi="宋体" w:eastAsia="宋体" w:cs="宋体"/>
          <w:sz w:val="22"/>
          <w:szCs w:val="22"/>
          <w:highlight w:val="none"/>
        </w:rPr>
        <w:t>、产品的验收</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乙方交货时应当随货附带该批标的物的商品检验合格单、双方确认的采购合同、标的物的送货详单。</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甲方应在收到产品后7个工作日内，按第三条约定的质量技术标准验证商品的质量、价格、数量等。</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如果验收不合格，乙方在不影响甲方生产、销售的前提下，在甲方指定的时间内退换产品，由甲方再次按照甲乙双方确定的标准进行验收。如仍不合格，甲方有权据此解除合同，并要求乙方赔偿因此产生的全部损失并同时可以要求乙方支付合同总金额50%以下的违约金（合同总价款难以确定的，按双方上一年度的合作总金额计算；双方第一次合作的，违约金按已发生费用的50%计算）。</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4</w:t>
      </w:r>
      <w:r>
        <w:rPr>
          <w:rFonts w:hint="eastAsia" w:ascii="宋体" w:hAnsi="宋体" w:eastAsia="宋体" w:cs="宋体"/>
          <w:sz w:val="22"/>
          <w:szCs w:val="22"/>
          <w:highlight w:val="none"/>
          <w:lang w:val="en-US" w:eastAsia="zh-CN"/>
        </w:rPr>
        <w:t>.</w:t>
      </w:r>
      <w:r>
        <w:rPr>
          <w:rFonts w:hint="eastAsia" w:ascii="宋体" w:hAnsi="宋体" w:eastAsia="宋体" w:cs="宋体"/>
          <w:sz w:val="22"/>
          <w:szCs w:val="22"/>
          <w:highlight w:val="none"/>
        </w:rPr>
        <w:t>乙方逾期交货，每逾期一天向甲方支付订货总货款0.5%的违约金，并承担因此产生的全部损失。</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5.</w:t>
      </w:r>
      <w:r>
        <w:rPr>
          <w:rFonts w:hint="eastAsia" w:ascii="宋体" w:hAnsi="宋体" w:eastAsia="宋体" w:cs="宋体"/>
          <w:sz w:val="22"/>
          <w:szCs w:val="22"/>
          <w:highlight w:val="none"/>
        </w:rPr>
        <w:t>乙方在交货期内不能交货，及时向甲方通报的，甲乙双方协商后可变更交货期。但乙方在经协商确定的延长期限内仍不能交货时，乙方应按4.4条承担逾期违约责任。</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6.</w:t>
      </w:r>
      <w:r>
        <w:rPr>
          <w:rFonts w:hint="eastAsia" w:ascii="宋体" w:hAnsi="宋体" w:eastAsia="宋体" w:cs="宋体"/>
          <w:sz w:val="22"/>
          <w:szCs w:val="22"/>
          <w:highlight w:val="none"/>
        </w:rPr>
        <w:t>从验收合格之日起计</w:t>
      </w:r>
      <w:r>
        <w:rPr>
          <w:rFonts w:hint="eastAsia" w:ascii="宋体" w:hAnsi="宋体" w:eastAsia="宋体" w:cs="宋体"/>
          <w:sz w:val="22"/>
          <w:szCs w:val="22"/>
          <w:highlight w:val="none"/>
          <w:lang w:eastAsia="zh-CN"/>
        </w:rPr>
        <w:t>壹</w:t>
      </w:r>
      <w:r>
        <w:rPr>
          <w:rFonts w:hint="eastAsia" w:ascii="宋体" w:hAnsi="宋体" w:eastAsia="宋体" w:cs="宋体"/>
          <w:sz w:val="22"/>
          <w:szCs w:val="22"/>
          <w:highlight w:val="none"/>
        </w:rPr>
        <w:t>年内，发现因乙方交付的标的物不合格而造成甲方产品不合格，且责任不在甲方，甲方将通知乙方。乙方有义务在收到通知后3个工作日内为甲方提供无偿的保修或退换服务，对于给甲方造成的损失，将由乙方全部承担。</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六</w:t>
      </w:r>
      <w:r>
        <w:rPr>
          <w:rFonts w:hint="eastAsia" w:ascii="宋体" w:hAnsi="宋体" w:eastAsia="宋体" w:cs="宋体"/>
          <w:sz w:val="22"/>
          <w:szCs w:val="22"/>
          <w:highlight w:val="none"/>
        </w:rPr>
        <w:t>、货款支付</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乙方应将其实际银行帐号资料以本合同附件形式提供给甲方。由于乙方货款结算账号变更未及时书面通知所造成的一切责任和损失由乙方承担。</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结账支付方式：银行转账</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付款方式：</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甲方收到货物及有效增值税专用发票后1个月内付款。</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除非由于不可抗拒的原因，甲方逾期支付货款达一个月以上的，每逾期一周向乙方支付应付部分总额0.5%的违约金，延期超过三十日的，乙方有权解除本合同。乙方不解除合同的，违约金参考前述。</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七</w:t>
      </w:r>
      <w:r>
        <w:rPr>
          <w:rFonts w:hint="eastAsia" w:ascii="宋体" w:hAnsi="宋体" w:eastAsia="宋体" w:cs="宋体"/>
          <w:sz w:val="22"/>
          <w:szCs w:val="22"/>
          <w:highlight w:val="none"/>
        </w:rPr>
        <w:t>、商业秘密及知识产权</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乙方保证向甲方交付的产品，不侵犯任何第三人的注册商标权、专利技术等专有权利。</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由乙方交付的产品如引起任何版权、商标权等知识产权争议，全部责任由乙方承担。且甲方有权解除本合同，给甲方造成损失的，乙方应赔偿甲方全部损失。</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3.</w:t>
      </w:r>
      <w:r>
        <w:rPr>
          <w:rFonts w:hint="eastAsia" w:ascii="宋体" w:hAnsi="宋体" w:eastAsia="宋体" w:cs="宋体"/>
          <w:sz w:val="22"/>
          <w:szCs w:val="22"/>
          <w:highlight w:val="none"/>
        </w:rPr>
        <w:t>甲、乙双方同意对履行协议中的一切相关资料仅限于甲、乙双方为履行本协议所使用，乙方及其雇员应对其所知悉的双方商业机密承担保密义务，并承诺无论本协议因任何原因而解除，本保密义务继续有效。</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eastAsia="zh-CN"/>
        </w:rPr>
        <w:t>八</w:t>
      </w:r>
      <w:r>
        <w:rPr>
          <w:rFonts w:hint="eastAsia" w:ascii="宋体" w:hAnsi="宋体" w:eastAsia="宋体" w:cs="宋体"/>
          <w:sz w:val="22"/>
          <w:szCs w:val="22"/>
          <w:highlight w:val="none"/>
        </w:rPr>
        <w:t>、争议的解决</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由本合同引起的任何争议，甲乙双方应本着诚意原则进行充分协商。协商不成的提起诉讼的，由甲方住所地人民法院管辖。</w:t>
      </w:r>
    </w:p>
    <w:p>
      <w:pPr>
        <w:adjustRightInd w:val="0"/>
        <w:snapToGrid w:val="0"/>
        <w:spacing w:line="360" w:lineRule="exact"/>
        <w:ind w:firstLine="446" w:firstLineChars="200"/>
        <w:rPr>
          <w:rFonts w:hint="eastAsia" w:ascii="宋体" w:hAnsi="宋体" w:eastAsia="宋体" w:cs="宋体"/>
          <w:sz w:val="22"/>
          <w:szCs w:val="22"/>
          <w:highlight w:val="none"/>
          <w:lang w:val="zh-CN"/>
        </w:rPr>
      </w:pPr>
      <w:r>
        <w:rPr>
          <w:rFonts w:hint="eastAsia" w:ascii="宋体" w:hAnsi="宋体" w:eastAsia="宋体" w:cs="宋体"/>
          <w:sz w:val="22"/>
          <w:szCs w:val="22"/>
          <w:highlight w:val="none"/>
          <w:lang w:eastAsia="zh-CN"/>
        </w:rPr>
        <w:t>九</w:t>
      </w:r>
      <w:r>
        <w:rPr>
          <w:rFonts w:hint="eastAsia" w:ascii="宋体" w:hAnsi="宋体" w:eastAsia="宋体" w:cs="宋体"/>
          <w:sz w:val="22"/>
          <w:szCs w:val="22"/>
          <w:highlight w:val="none"/>
        </w:rPr>
        <w:t>、</w:t>
      </w:r>
      <w:r>
        <w:rPr>
          <w:rFonts w:hint="eastAsia" w:ascii="宋体" w:hAnsi="宋体" w:eastAsia="宋体" w:cs="宋体"/>
          <w:sz w:val="22"/>
          <w:szCs w:val="22"/>
          <w:highlight w:val="none"/>
          <w:lang w:val="zh-CN"/>
        </w:rPr>
        <w:t>履约保证金</w:t>
      </w:r>
    </w:p>
    <w:p>
      <w:pPr>
        <w:adjustRightInd w:val="0"/>
        <w:snapToGrid w:val="0"/>
        <w:spacing w:line="360" w:lineRule="exact"/>
        <w:ind w:firstLine="446" w:firstLineChars="200"/>
        <w:rPr>
          <w:rFonts w:hint="eastAsia" w:ascii="宋体" w:hAnsi="宋体" w:eastAsia="宋体" w:cs="宋体"/>
          <w:color w:val="000000"/>
          <w:sz w:val="22"/>
          <w:szCs w:val="22"/>
          <w:highlight w:val="none"/>
          <w:lang w:eastAsia="zh-CN"/>
        </w:rPr>
      </w:pPr>
      <w:r>
        <w:rPr>
          <w:rFonts w:hint="eastAsia" w:ascii="宋体" w:hAnsi="宋体" w:eastAsia="宋体" w:cs="宋体"/>
          <w:color w:val="000000"/>
          <w:sz w:val="22"/>
          <w:szCs w:val="22"/>
          <w:highlight w:val="none"/>
          <w:lang w:eastAsia="zh-CN"/>
        </w:rPr>
        <w:t>本合同不设履约保证金</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十、税费</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本合同执行中相关的一切税费均由乙方负担。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cs="宋体"/>
          <w:sz w:val="22"/>
          <w:szCs w:val="22"/>
          <w:highlight w:val="none"/>
          <w:lang w:val="en-US" w:eastAsia="zh-CN"/>
        </w:rPr>
        <w:t>十一</w:t>
      </w:r>
      <w:r>
        <w:rPr>
          <w:rFonts w:hint="eastAsia" w:ascii="宋体" w:hAnsi="宋体" w:eastAsia="宋体" w:cs="宋体"/>
          <w:sz w:val="22"/>
          <w:szCs w:val="22"/>
          <w:highlight w:val="none"/>
        </w:rPr>
        <w:t>、违约责任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甲方无故逾期支付货款的,甲方应按逾期付款总额每日【0.05】%向乙方支付违约金。</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 xml:space="preserve">2. 乙方逾期交付货物和本合同规定的文件资料的，乙方应按合同暂定总额每日【0.3】%向甲方支付违约金，由甲方从货款中扣除。逾期超过约定日期【30 】个工作日的，甲方可解除本合同。乙方因逾期交货或因其他违约行为导致甲方解除合同的，乙方应向甲方支付合同暂定总额【30】%的违约金，且全额没收乙方的履约保证金，如造成甲方损失超过违约金的，超出部分由乙方继续承担赔偿责任。 </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履约保证金不予以返还。</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5. 乙方不在约定期限内派人维修或维修质量验收不合格的，甲方可以委托他人修理，费用由乙方承担，甲方与第三方确认后可直接从履约保证金中扣除；履约保证金不足以抵扣的，继续向乙方追偿。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7．对于本合同项下乙方应支付的赔偿款或违约金，甲方有权从应付乙方的货款及履约保证金中直接扣除，仍不足的部分，继续向乙方追偿。</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w:t>
      </w:r>
      <w:r>
        <w:rPr>
          <w:rFonts w:hint="eastAsia" w:ascii="宋体" w:hAnsi="宋体" w:eastAsia="宋体" w:cs="宋体"/>
          <w:sz w:val="22"/>
          <w:szCs w:val="22"/>
          <w:highlight w:val="none"/>
          <w:lang w:eastAsia="zh-CN"/>
        </w:rPr>
        <w:t>二</w:t>
      </w:r>
      <w:r>
        <w:rPr>
          <w:rFonts w:hint="eastAsia" w:ascii="宋体" w:hAnsi="宋体" w:eastAsia="宋体" w:cs="宋体"/>
          <w:sz w:val="22"/>
          <w:szCs w:val="22"/>
          <w:highlight w:val="none"/>
        </w:rPr>
        <w:t>、不可抗力事件处理</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在合同有效期内，任何一方因不可抗力事件导致不能履行合同，则合同履行期可延长，其延长期与不可抗力影响期相同。</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 不可抗力事件发生后，遭遇不可抗力的一方应立即通知对方，并寄送有关官方权威机构出具的证明。</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3. 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w:t>
      </w:r>
      <w:r>
        <w:rPr>
          <w:rFonts w:hint="eastAsia" w:ascii="宋体" w:hAnsi="宋体" w:eastAsia="宋体" w:cs="宋体"/>
          <w:sz w:val="22"/>
          <w:szCs w:val="22"/>
          <w:highlight w:val="none"/>
          <w:lang w:eastAsia="zh-CN"/>
        </w:rPr>
        <w:t>三</w:t>
      </w:r>
      <w:r>
        <w:rPr>
          <w:rFonts w:hint="eastAsia" w:ascii="宋体" w:hAnsi="宋体" w:eastAsia="宋体" w:cs="宋体"/>
          <w:sz w:val="22"/>
          <w:szCs w:val="22"/>
          <w:highlight w:val="none"/>
        </w:rPr>
        <w:t>、合同组成文件包含下列内容，且解释顺序如下：</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1.本合同协议书</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2.标准、规范及有关技术文件</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十</w:t>
      </w:r>
      <w:r>
        <w:rPr>
          <w:rFonts w:hint="eastAsia" w:ascii="宋体" w:hAnsi="宋体" w:eastAsia="宋体" w:cs="宋体"/>
          <w:sz w:val="22"/>
          <w:szCs w:val="22"/>
          <w:highlight w:val="none"/>
          <w:lang w:eastAsia="zh-CN"/>
        </w:rPr>
        <w:t>四</w:t>
      </w:r>
      <w:r>
        <w:rPr>
          <w:rFonts w:hint="eastAsia" w:ascii="宋体" w:hAnsi="宋体" w:eastAsia="宋体" w:cs="宋体"/>
          <w:sz w:val="22"/>
          <w:szCs w:val="22"/>
          <w:highlight w:val="none"/>
        </w:rPr>
        <w:t>、合同生效及其它</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1. 合同经双方法定代表人或授权代表签字并加盖单位公章或者合同章之日起成立，且乙方缴纳履约保证金之日起生效。</w:t>
      </w:r>
    </w:p>
    <w:p>
      <w:pPr>
        <w:adjustRightInd w:val="0"/>
        <w:snapToGrid w:val="0"/>
        <w:spacing w:line="360" w:lineRule="exact"/>
        <w:ind w:firstLine="446" w:firstLineChars="200"/>
        <w:rPr>
          <w:rFonts w:hint="eastAsia" w:ascii="宋体" w:hAnsi="宋体" w:eastAsia="宋体" w:cs="宋体"/>
          <w:sz w:val="22"/>
          <w:szCs w:val="22"/>
          <w:highlight w:val="none"/>
        </w:rPr>
      </w:pPr>
      <w:r>
        <w:rPr>
          <w:rFonts w:hint="eastAsia" w:ascii="宋体" w:hAnsi="宋体" w:eastAsia="宋体" w:cs="宋体"/>
          <w:sz w:val="22"/>
          <w:szCs w:val="22"/>
          <w:highlight w:val="none"/>
        </w:rPr>
        <w:t>2.本合同有效期限为自合同签订之日</w:t>
      </w:r>
      <w:r>
        <w:rPr>
          <w:rFonts w:hint="eastAsia" w:ascii="宋体" w:hAnsi="宋体" w:cs="宋体"/>
          <w:sz w:val="22"/>
          <w:szCs w:val="22"/>
          <w:highlight w:val="none"/>
          <w:lang w:eastAsia="zh-CN"/>
        </w:rPr>
        <w:t>至甲方完成同类项目招标止</w:t>
      </w:r>
      <w:r>
        <w:rPr>
          <w:rFonts w:hint="eastAsia" w:ascii="宋体" w:hAnsi="宋体" w:eastAsia="宋体" w:cs="宋体"/>
          <w:sz w:val="22"/>
          <w:szCs w:val="22"/>
          <w:highlight w:val="none"/>
        </w:rPr>
        <w:t>。</w:t>
      </w:r>
    </w:p>
    <w:p>
      <w:pPr>
        <w:adjustRightInd w:val="0"/>
        <w:snapToGrid w:val="0"/>
        <w:spacing w:line="360" w:lineRule="exact"/>
        <w:ind w:firstLine="446" w:firstLineChars="200"/>
        <w:rPr>
          <w:rFonts w:ascii="宋体" w:hAnsi="宋体" w:eastAsia="宋体" w:cs="宋体"/>
          <w:sz w:val="22"/>
          <w:szCs w:val="22"/>
          <w:highlight w:val="none"/>
        </w:rPr>
      </w:pPr>
      <w:r>
        <w:rPr>
          <w:rFonts w:hint="eastAsia" w:ascii="宋体" w:hAnsi="宋体" w:eastAsia="宋体" w:cs="宋体"/>
          <w:sz w:val="22"/>
          <w:szCs w:val="22"/>
          <w:highlight w:val="none"/>
        </w:rPr>
        <w:t>2.本合同未尽事宜，双方可签订补充协议予以执行；未达成补充协议的，遵照《合同法》及有关法律法规执行。</w:t>
      </w:r>
    </w:p>
    <w:p>
      <w:pPr>
        <w:adjustRightInd w:val="0"/>
        <w:snapToGrid w:val="0"/>
        <w:spacing w:line="360" w:lineRule="exact"/>
        <w:ind w:firstLine="446" w:firstLineChars="200"/>
        <w:rPr>
          <w:rFonts w:ascii="宋体" w:hAnsi="宋体" w:cs="宋体"/>
          <w:color w:val="515967"/>
          <w:kern w:val="0"/>
          <w:szCs w:val="21"/>
        </w:rPr>
      </w:pPr>
      <w:r>
        <w:rPr>
          <w:rFonts w:hint="eastAsia" w:ascii="宋体" w:hAnsi="宋体" w:eastAsia="宋体" w:cs="宋体"/>
          <w:sz w:val="22"/>
          <w:szCs w:val="22"/>
          <w:highlight w:val="none"/>
        </w:rPr>
        <w:t>3.本合同一式四份，甲方执二份，乙方持二份，具有同等法律效力</w:t>
      </w:r>
    </w:p>
    <w:tbl>
      <w:tblPr>
        <w:tblStyle w:val="15"/>
        <w:tblpPr w:leftFromText="180" w:rightFromText="180" w:vertAnchor="text" w:horzAnchor="page" w:tblpX="1958" w:tblpY="409"/>
        <w:tblOverlap w:val="never"/>
        <w:tblW w:w="8530" w:type="dxa"/>
        <w:tblInd w:w="0" w:type="dxa"/>
        <w:shd w:val="clear" w:color="auto" w:fill="FFFFFF"/>
        <w:tblLayout w:type="fixed"/>
        <w:tblCellMar>
          <w:top w:w="0" w:type="dxa"/>
          <w:left w:w="0" w:type="dxa"/>
          <w:bottom w:w="0" w:type="dxa"/>
          <w:right w:w="0" w:type="dxa"/>
        </w:tblCellMar>
      </w:tblPr>
      <w:tblGrid>
        <w:gridCol w:w="4200"/>
        <w:gridCol w:w="240"/>
        <w:gridCol w:w="3320"/>
        <w:gridCol w:w="770"/>
      </w:tblGrid>
      <w:tr>
        <w:tblPrEx>
          <w:tblLayout w:type="fixed"/>
          <w:tblCellMar>
            <w:top w:w="0" w:type="dxa"/>
            <w:left w:w="0" w:type="dxa"/>
            <w:bottom w:w="0" w:type="dxa"/>
            <w:right w:w="0" w:type="dxa"/>
          </w:tblCellMar>
        </w:tblPrEx>
        <w:trPr>
          <w:trHeight w:val="1058" w:hRule="atLeast"/>
        </w:trPr>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甲方（公章）：</w:t>
            </w:r>
          </w:p>
          <w:p>
            <w:pPr>
              <w:widowControl/>
              <w:spacing w:after="150"/>
              <w:jc w:val="left"/>
              <w:rPr>
                <w:rFonts w:ascii="宋体" w:hAnsi="宋体" w:cs="宋体"/>
                <w:color w:val="515967"/>
                <w:kern w:val="0"/>
                <w:szCs w:val="21"/>
              </w:rPr>
            </w:pPr>
            <w:r>
              <w:rPr>
                <w:rFonts w:hint="eastAsia" w:ascii="宋体" w:hAnsi="宋体" w:cs="宋体"/>
                <w:color w:val="515967"/>
                <w:kern w:val="0"/>
                <w:szCs w:val="21"/>
              </w:rPr>
              <w:t>杭州萧山国际机场汉莎航空食品有限公司</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乙方（公章）：</w:t>
            </w:r>
          </w:p>
          <w:p>
            <w:pPr>
              <w:widowControl/>
              <w:spacing w:after="150"/>
              <w:jc w:val="left"/>
              <w:rPr>
                <w:rFonts w:ascii="宋体" w:hAnsi="宋体" w:cs="宋体"/>
                <w:color w:val="515967"/>
                <w:kern w:val="0"/>
                <w:szCs w:val="21"/>
              </w:rPr>
            </w:pP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r>
        <w:tblPrEx>
          <w:tblLayout w:type="fixed"/>
          <w:tblCellMar>
            <w:top w:w="0" w:type="dxa"/>
            <w:left w:w="0" w:type="dxa"/>
            <w:bottom w:w="0" w:type="dxa"/>
            <w:right w:w="0" w:type="dxa"/>
          </w:tblCellMar>
        </w:tblPrEx>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地址：</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地址：</w:t>
            </w: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r>
        <w:tblPrEx>
          <w:tblLayout w:type="fixed"/>
          <w:tblCellMar>
            <w:top w:w="0" w:type="dxa"/>
            <w:left w:w="0" w:type="dxa"/>
            <w:bottom w:w="0" w:type="dxa"/>
            <w:right w:w="0" w:type="dxa"/>
          </w:tblCellMar>
        </w:tblPrEx>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法定代表人（或授权代表）：</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法定代表人（或授权代表）：</w:t>
            </w: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r>
        <w:tblPrEx>
          <w:tblLayout w:type="fixed"/>
          <w:tblCellMar>
            <w:top w:w="0" w:type="dxa"/>
            <w:left w:w="0" w:type="dxa"/>
            <w:bottom w:w="0" w:type="dxa"/>
            <w:right w:w="0" w:type="dxa"/>
          </w:tblCellMar>
        </w:tblPrEx>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电话：</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电话：</w:t>
            </w: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r>
        <w:tblPrEx>
          <w:tblLayout w:type="fixed"/>
          <w:tblCellMar>
            <w:top w:w="0" w:type="dxa"/>
            <w:left w:w="0" w:type="dxa"/>
            <w:bottom w:w="0" w:type="dxa"/>
            <w:right w:w="0" w:type="dxa"/>
          </w:tblCellMar>
        </w:tblPrEx>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传真：</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传真：</w:t>
            </w: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r>
        <w:tblPrEx>
          <w:tblLayout w:type="fixed"/>
          <w:tblCellMar>
            <w:top w:w="0" w:type="dxa"/>
            <w:left w:w="0" w:type="dxa"/>
            <w:bottom w:w="0" w:type="dxa"/>
            <w:right w:w="0" w:type="dxa"/>
          </w:tblCellMar>
        </w:tblPrEx>
        <w:tc>
          <w:tcPr>
            <w:tcW w:w="420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日期：</w:t>
            </w:r>
          </w:p>
        </w:tc>
        <w:tc>
          <w:tcPr>
            <w:tcW w:w="24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c>
          <w:tcPr>
            <w:tcW w:w="332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r>
              <w:rPr>
                <w:rFonts w:hint="eastAsia" w:ascii="宋体" w:hAnsi="宋体" w:cs="宋体"/>
                <w:color w:val="515967"/>
                <w:kern w:val="0"/>
                <w:szCs w:val="21"/>
              </w:rPr>
              <w:t>日期：</w:t>
            </w:r>
          </w:p>
        </w:tc>
        <w:tc>
          <w:tcPr>
            <w:tcW w:w="770" w:type="dxa"/>
            <w:tcBorders>
              <w:top w:val="nil"/>
              <w:left w:val="nil"/>
              <w:bottom w:val="nil"/>
              <w:right w:val="nil"/>
            </w:tcBorders>
            <w:shd w:val="clear" w:color="auto" w:fill="FFFFFF"/>
            <w:tcMar>
              <w:top w:w="0" w:type="dxa"/>
              <w:left w:w="105" w:type="dxa"/>
              <w:bottom w:w="0" w:type="dxa"/>
              <w:right w:w="105" w:type="dxa"/>
            </w:tcMar>
          </w:tcPr>
          <w:p>
            <w:pPr>
              <w:widowControl/>
              <w:spacing w:after="150"/>
              <w:jc w:val="left"/>
              <w:rPr>
                <w:rFonts w:ascii="宋体" w:hAnsi="宋体" w:cs="宋体"/>
                <w:color w:val="515967"/>
                <w:kern w:val="0"/>
                <w:szCs w:val="21"/>
              </w:rPr>
            </w:pPr>
          </w:p>
        </w:tc>
      </w:tr>
    </w:tbl>
    <w:p>
      <w:pPr>
        <w:widowControl/>
        <w:shd w:val="clear" w:color="auto" w:fill="FFFFFF"/>
        <w:spacing w:after="150" w:line="315" w:lineRule="atLeast"/>
        <w:jc w:val="center"/>
        <w:rPr>
          <w:rFonts w:ascii="宋体" w:hAnsi="宋体" w:cs="宋体"/>
          <w:color w:val="515967"/>
          <w:kern w:val="0"/>
          <w:szCs w:val="21"/>
        </w:rPr>
      </w:pPr>
    </w:p>
    <w:p>
      <w:pPr>
        <w:widowControl/>
        <w:shd w:val="clear" w:color="auto" w:fill="FFFFFF"/>
        <w:spacing w:after="150" w:line="315" w:lineRule="atLeast"/>
        <w:jc w:val="center"/>
        <w:rPr>
          <w:rFonts w:ascii="宋体" w:hAnsi="宋体" w:cs="宋体"/>
          <w:color w:val="515967"/>
          <w:kern w:val="0"/>
          <w:szCs w:val="21"/>
        </w:rPr>
      </w:pPr>
    </w:p>
    <w:p>
      <w:pPr>
        <w:pStyle w:val="25"/>
        <w:spacing w:line="560" w:lineRule="exact"/>
        <w:ind w:left="0" w:leftChars="0" w:firstLine="0" w:firstLineChars="0"/>
        <w:jc w:val="center"/>
        <w:rPr>
          <w:rFonts w:ascii="黑体" w:hAnsi="黑体" w:eastAsia="黑体" w:cs="黑体"/>
          <w:b/>
          <w:color w:val="auto"/>
          <w:sz w:val="22"/>
          <w:szCs w:val="22"/>
        </w:rPr>
      </w:pPr>
      <w:r>
        <w:rPr>
          <w:rFonts w:hint="eastAsia" w:ascii="宋体" w:hAnsi="宋体" w:eastAsia="宋体" w:cs="宋体"/>
          <w:b/>
          <w:color w:val="auto"/>
          <w:sz w:val="36"/>
          <w:szCs w:val="36"/>
        </w:rPr>
        <w:t>廉洁自律承诺书</w:t>
      </w:r>
    </w:p>
    <w:p>
      <w:pPr>
        <w:pStyle w:val="26"/>
        <w:adjustRightInd w:val="0"/>
        <w:snapToGrid w:val="0"/>
        <w:ind w:firstLine="442"/>
        <w:jc w:val="left"/>
        <w:rPr>
          <w:rFonts w:ascii="宋体" w:hAnsi="宋体"/>
          <w:b/>
          <w:sz w:val="22"/>
          <w:szCs w:val="22"/>
        </w:rPr>
      </w:pPr>
    </w:p>
    <w:p>
      <w:pPr>
        <w:pStyle w:val="26"/>
        <w:adjustRightInd w:val="0"/>
        <w:snapToGrid w:val="0"/>
        <w:spacing w:line="360" w:lineRule="auto"/>
        <w:ind w:firstLine="0" w:firstLineChars="0"/>
        <w:jc w:val="left"/>
        <w:rPr>
          <w:rFonts w:ascii="宋体" w:hAnsi="宋体" w:eastAsia="宋体" w:cs="宋体"/>
          <w:b/>
          <w:sz w:val="22"/>
          <w:szCs w:val="22"/>
        </w:rPr>
      </w:pPr>
      <w:r>
        <w:rPr>
          <w:rFonts w:hint="eastAsia" w:ascii="宋体" w:hAnsi="宋体" w:eastAsia="宋体" w:cs="宋体"/>
          <w:b/>
          <w:sz w:val="22"/>
          <w:szCs w:val="22"/>
        </w:rPr>
        <w:t>杭州萧山国际机场汉莎航空食品有限公司：</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我单位响应贵公司项目招标要求，参</w:t>
      </w:r>
      <w:bookmarkStart w:id="0" w:name="_GoBack"/>
      <w:bookmarkEnd w:id="0"/>
      <w:r>
        <w:rPr>
          <w:rFonts w:hint="eastAsia" w:ascii="宋体" w:hAnsi="宋体" w:eastAsia="宋体" w:cs="宋体"/>
          <w:sz w:val="22"/>
          <w:szCs w:val="22"/>
        </w:rPr>
        <w:t>加项目投标。在投标过程中及中标后，我们将严格遵守国家法律法规和贵司招标文件要求，并郑重作出如下承诺和保证：</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二、不以任何名义为贵公司有关人员或项目第三方人员报销应由贵公司或个人支付的费用；</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三、不向贵公司有关人员或项目第三方人员提供宴请、旅游、和健身娱乐等活动；</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四、不为贵公司有关人员或项目第三方人员出国（境）、旅游等提供方便；</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五、不为贵公司有关人员或项目第三方人员个人装修住房、婚丧嫁娶、配偶子女工作安排等提供好处或便利条件；</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六、严格遵守国家招标投标法、合同法等法律规定，诚实守信，合法经营，坚决杜绝各种违法违纪行为。</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八、如违反上述廉洁自律承诺，贵公司有权：</w:t>
      </w:r>
    </w:p>
    <w:p>
      <w:pPr>
        <w:pStyle w:val="26"/>
        <w:numPr>
          <w:ilvl w:val="0"/>
          <w:numId w:val="3"/>
        </w:numPr>
        <w:adjustRightInd w:val="0"/>
        <w:snapToGrid w:val="0"/>
        <w:spacing w:line="360" w:lineRule="auto"/>
        <w:ind w:firstLineChars="0"/>
        <w:jc w:val="left"/>
        <w:rPr>
          <w:rFonts w:ascii="宋体" w:hAnsi="宋体" w:eastAsia="宋体" w:cs="宋体"/>
          <w:sz w:val="22"/>
          <w:szCs w:val="22"/>
        </w:rPr>
      </w:pPr>
      <w:r>
        <w:rPr>
          <w:rFonts w:hint="eastAsia" w:ascii="宋体" w:hAnsi="宋体" w:eastAsia="宋体" w:cs="宋体"/>
          <w:sz w:val="22"/>
          <w:szCs w:val="22"/>
        </w:rPr>
        <w:t>立即取消我单位投标、中标或在建项目的实施资格；</w:t>
      </w:r>
    </w:p>
    <w:p>
      <w:pPr>
        <w:pStyle w:val="26"/>
        <w:numPr>
          <w:ilvl w:val="0"/>
          <w:numId w:val="3"/>
        </w:numPr>
        <w:adjustRightInd w:val="0"/>
        <w:snapToGrid w:val="0"/>
        <w:spacing w:line="360" w:lineRule="auto"/>
        <w:ind w:firstLineChars="0"/>
        <w:jc w:val="left"/>
        <w:rPr>
          <w:rFonts w:ascii="宋体" w:hAnsi="宋体" w:eastAsia="宋体" w:cs="宋体"/>
          <w:sz w:val="22"/>
          <w:szCs w:val="22"/>
        </w:rPr>
      </w:pPr>
      <w:r>
        <w:rPr>
          <w:rFonts w:hint="eastAsia" w:ascii="宋体" w:hAnsi="宋体" w:eastAsia="宋体" w:cs="宋体"/>
          <w:sz w:val="22"/>
          <w:szCs w:val="22"/>
        </w:rPr>
        <w:t>拒绝我单位在一定时期内进入贵公司进行项目建设或其它经营活动；</w:t>
      </w:r>
    </w:p>
    <w:p>
      <w:pPr>
        <w:pStyle w:val="26"/>
        <w:numPr>
          <w:ilvl w:val="0"/>
          <w:numId w:val="3"/>
        </w:numPr>
        <w:adjustRightInd w:val="0"/>
        <w:snapToGrid w:val="0"/>
        <w:spacing w:line="360" w:lineRule="auto"/>
        <w:ind w:firstLineChars="0"/>
        <w:jc w:val="left"/>
        <w:rPr>
          <w:rFonts w:ascii="仿宋_GB2312" w:hAnsi="仿宋_GB2312" w:eastAsia="仿宋_GB2312" w:cs="仿宋_GB2312"/>
          <w:sz w:val="22"/>
          <w:szCs w:val="22"/>
        </w:rPr>
      </w:pPr>
      <w:r>
        <w:rPr>
          <w:rFonts w:hint="eastAsia" w:ascii="宋体" w:hAnsi="宋体" w:eastAsia="宋体" w:cs="宋体"/>
          <w:sz w:val="22"/>
          <w:szCs w:val="22"/>
        </w:rPr>
        <w:t>由此引起的相应损失均由我单位承担。</w:t>
      </w:r>
    </w:p>
    <w:p>
      <w:pPr>
        <w:pStyle w:val="26"/>
        <w:adjustRightInd w:val="0"/>
        <w:snapToGrid w:val="0"/>
        <w:spacing w:line="360" w:lineRule="auto"/>
        <w:ind w:firstLine="0" w:firstLineChars="0"/>
        <w:jc w:val="left"/>
        <w:rPr>
          <w:rFonts w:ascii="仿宋_GB2312" w:hAnsi="仿宋_GB2312" w:eastAsia="仿宋_GB2312" w:cs="仿宋_GB2312"/>
          <w:sz w:val="22"/>
          <w:szCs w:val="22"/>
        </w:rPr>
      </w:pPr>
    </w:p>
    <w:p>
      <w:pPr>
        <w:pStyle w:val="26"/>
        <w:adjustRightInd w:val="0"/>
        <w:snapToGrid w:val="0"/>
        <w:spacing w:line="360" w:lineRule="auto"/>
        <w:ind w:firstLine="440"/>
        <w:jc w:val="left"/>
        <w:rPr>
          <w:rFonts w:ascii="宋体" w:hAnsi="宋体" w:eastAsia="宋体" w:cs="宋体"/>
          <w:sz w:val="22"/>
          <w:szCs w:val="22"/>
        </w:rPr>
      </w:pPr>
      <w:r>
        <w:rPr>
          <w:rFonts w:hint="eastAsia" w:ascii="仿宋_GB2312" w:hAnsi="仿宋_GB2312" w:eastAsia="仿宋_GB2312" w:cs="仿宋_GB2312"/>
          <w:sz w:val="22"/>
          <w:szCs w:val="22"/>
        </w:rPr>
        <w:t xml:space="preserve">           </w:t>
      </w:r>
      <w:r>
        <w:rPr>
          <w:rFonts w:hint="eastAsia" w:ascii="宋体" w:hAnsi="宋体" w:eastAsia="宋体" w:cs="宋体"/>
          <w:sz w:val="22"/>
          <w:szCs w:val="22"/>
        </w:rPr>
        <w:t xml:space="preserve">承诺人单位名称（盖章）：            </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 xml:space="preserve">           法定代表人 ：                   </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 xml:space="preserve">           或                            </w:t>
      </w:r>
    </w:p>
    <w:p>
      <w:pPr>
        <w:pStyle w:val="26"/>
        <w:adjustRightInd w:val="0"/>
        <w:snapToGrid w:val="0"/>
        <w:spacing w:line="360" w:lineRule="auto"/>
        <w:ind w:firstLine="440"/>
        <w:jc w:val="left"/>
        <w:rPr>
          <w:rFonts w:ascii="宋体" w:hAnsi="宋体" w:eastAsia="宋体" w:cs="宋体"/>
          <w:sz w:val="22"/>
          <w:szCs w:val="22"/>
        </w:rPr>
      </w:pPr>
      <w:r>
        <w:rPr>
          <w:rFonts w:hint="eastAsia" w:ascii="宋体" w:hAnsi="宋体" w:eastAsia="宋体" w:cs="宋体"/>
          <w:sz w:val="22"/>
          <w:szCs w:val="22"/>
        </w:rPr>
        <w:t xml:space="preserve">           委托代理人：                   </w:t>
      </w:r>
    </w:p>
    <w:p>
      <w:pPr>
        <w:pStyle w:val="26"/>
        <w:adjustRightInd w:val="0"/>
        <w:snapToGrid w:val="0"/>
        <w:spacing w:line="360" w:lineRule="auto"/>
        <w:ind w:firstLine="442"/>
        <w:jc w:val="left"/>
        <w:rPr>
          <w:rFonts w:ascii="宋体" w:hAnsi="宋体" w:eastAsia="宋体" w:cs="宋体"/>
          <w:b/>
          <w:sz w:val="22"/>
          <w:szCs w:val="22"/>
        </w:rPr>
      </w:pPr>
    </w:p>
    <w:p>
      <w:pPr>
        <w:pStyle w:val="13"/>
        <w:spacing w:before="0" w:after="0" w:line="360" w:lineRule="auto"/>
        <w:rPr>
          <w:rFonts w:ascii="宋体" w:hAnsi="宋体" w:cs="宋体"/>
          <w:b w:val="0"/>
          <w:sz w:val="22"/>
          <w:szCs w:val="22"/>
        </w:rPr>
      </w:pPr>
      <w:r>
        <w:rPr>
          <w:rFonts w:hint="eastAsia" w:ascii="宋体" w:hAnsi="宋体" w:cs="宋体"/>
          <w:b w:val="0"/>
          <w:sz w:val="22"/>
          <w:szCs w:val="22"/>
        </w:rPr>
        <w:t xml:space="preserve">                           年     月     日</w:t>
      </w:r>
    </w:p>
    <w:p>
      <w:pPr>
        <w:spacing w:line="360" w:lineRule="auto"/>
        <w:jc w:val="center"/>
        <w:outlineLvl w:val="0"/>
        <w:rPr>
          <w:rFonts w:hint="eastAsia" w:ascii="宋体" w:hAnsi="宋体" w:cs="宋体"/>
          <w:b/>
          <w:color w:val="000000"/>
          <w:sz w:val="36"/>
          <w:szCs w:val="36"/>
        </w:rPr>
      </w:pPr>
    </w:p>
    <w:p>
      <w:pPr>
        <w:spacing w:line="360" w:lineRule="auto"/>
        <w:jc w:val="center"/>
        <w:outlineLvl w:val="0"/>
        <w:rPr>
          <w:rFonts w:ascii="宋体" w:hAnsi="宋体" w:cs="宋体"/>
          <w:b/>
          <w:color w:val="000000"/>
          <w:sz w:val="22"/>
        </w:rPr>
      </w:pPr>
      <w:r>
        <w:rPr>
          <w:rFonts w:hint="eastAsia" w:ascii="宋体" w:hAnsi="宋体" w:cs="宋体"/>
          <w:b/>
          <w:color w:val="000000"/>
          <w:sz w:val="36"/>
          <w:szCs w:val="36"/>
        </w:rPr>
        <w:t>安全保卫协议</w:t>
      </w:r>
    </w:p>
    <w:p>
      <w:pPr>
        <w:spacing w:line="360" w:lineRule="auto"/>
        <w:jc w:val="center"/>
        <w:outlineLvl w:val="0"/>
        <w:rPr>
          <w:rFonts w:ascii="宋体" w:hAnsi="宋体" w:cs="宋体"/>
          <w:b/>
          <w:color w:val="000000"/>
          <w:sz w:val="22"/>
        </w:rPr>
      </w:pPr>
    </w:p>
    <w:p>
      <w:pPr>
        <w:snapToGrid w:val="0"/>
        <w:spacing w:line="384" w:lineRule="auto"/>
        <w:rPr>
          <w:rFonts w:ascii="宋体" w:hAnsi="宋体" w:cs="宋体"/>
          <w:sz w:val="22"/>
        </w:rPr>
      </w:pPr>
      <w:r>
        <w:rPr>
          <w:rFonts w:hint="eastAsia" w:ascii="宋体" w:hAnsi="宋体" w:cs="宋体"/>
          <w:sz w:val="22"/>
        </w:rPr>
        <w:t>甲方：杭州萧山国际机场汉莎航空食品有限公司</w:t>
      </w:r>
    </w:p>
    <w:p>
      <w:pPr>
        <w:snapToGrid w:val="0"/>
        <w:spacing w:line="384" w:lineRule="auto"/>
        <w:rPr>
          <w:rFonts w:ascii="宋体" w:hAnsi="宋体" w:cs="宋体"/>
          <w:sz w:val="22"/>
        </w:rPr>
      </w:pPr>
      <w:r>
        <w:rPr>
          <w:rFonts w:hint="eastAsia" w:ascii="宋体" w:hAnsi="宋体" w:cs="宋体"/>
          <w:sz w:val="22"/>
        </w:rPr>
        <w:t xml:space="preserve">乙方：                                          </w:t>
      </w:r>
    </w:p>
    <w:p>
      <w:pPr>
        <w:snapToGrid w:val="0"/>
        <w:spacing w:line="384" w:lineRule="auto"/>
        <w:rPr>
          <w:rFonts w:ascii="宋体" w:hAnsi="宋体" w:cs="宋体"/>
          <w:sz w:val="22"/>
        </w:rPr>
      </w:pPr>
    </w:p>
    <w:p>
      <w:pPr>
        <w:snapToGrid w:val="0"/>
        <w:spacing w:line="384" w:lineRule="auto"/>
        <w:ind w:firstLine="440" w:firstLineChars="200"/>
        <w:rPr>
          <w:rFonts w:ascii="宋体" w:hAnsi="宋体" w:cs="宋体"/>
          <w:sz w:val="22"/>
        </w:rPr>
      </w:pPr>
      <w:r>
        <w:rPr>
          <w:rFonts w:hint="eastAsia" w:ascii="宋体" w:hAnsi="宋体" w:cs="宋体"/>
          <w:sz w:val="22"/>
        </w:rPr>
        <w:t>为切实做好安全管理工作，避免出现人为的安全事件，保证空防安全，双方签定安全保卫协议如下：</w:t>
      </w:r>
    </w:p>
    <w:p>
      <w:pPr>
        <w:snapToGrid w:val="0"/>
        <w:spacing w:line="384" w:lineRule="auto"/>
        <w:ind w:firstLine="440" w:firstLineChars="200"/>
        <w:rPr>
          <w:rFonts w:ascii="宋体" w:hAnsi="宋体" w:cs="宋体"/>
          <w:sz w:val="22"/>
        </w:rPr>
      </w:pPr>
      <w:r>
        <w:rPr>
          <w:rFonts w:hint="eastAsia" w:ascii="宋体" w:hAnsi="宋体" w:cs="宋体"/>
          <w:sz w:val="22"/>
        </w:rPr>
        <w:t>一、乙方必须加强对员工的安全管理教育，密切掌握员工思想动态，在实际工作中及时发现并纠正存在的安全隐患。</w:t>
      </w:r>
    </w:p>
    <w:p>
      <w:pPr>
        <w:snapToGrid w:val="0"/>
        <w:spacing w:line="384" w:lineRule="auto"/>
        <w:ind w:firstLine="440" w:firstLineChars="200"/>
        <w:rPr>
          <w:rFonts w:ascii="宋体" w:hAnsi="宋体" w:cs="宋体"/>
          <w:sz w:val="22"/>
        </w:rPr>
      </w:pPr>
      <w:r>
        <w:rPr>
          <w:rFonts w:hint="eastAsia" w:ascii="宋体" w:hAnsi="宋体" w:cs="宋体"/>
          <w:sz w:val="22"/>
        </w:rPr>
        <w:t>二、乙方必须确保其生产场地、制作工艺、仓储环境、条件设施均符合国家《</w:t>
      </w:r>
      <w:r>
        <w:rPr>
          <w:rFonts w:hint="eastAsia" w:ascii="宋体" w:hAnsi="宋体" w:cs="宋体"/>
          <w:sz w:val="22"/>
          <w:lang w:eastAsia="zh-CN"/>
        </w:rPr>
        <w:t>国家民用航空安全保卫方案</w:t>
      </w:r>
      <w:r>
        <w:rPr>
          <w:rFonts w:hint="eastAsia" w:ascii="宋体" w:hAnsi="宋体" w:cs="宋体"/>
          <w:sz w:val="22"/>
        </w:rPr>
        <w:t>》、相关行政法规以及当地政府有关卫生管理的办法、规定。</w:t>
      </w:r>
    </w:p>
    <w:p>
      <w:pPr>
        <w:snapToGrid w:val="0"/>
        <w:spacing w:line="384" w:lineRule="auto"/>
        <w:ind w:firstLine="440" w:firstLineChars="200"/>
        <w:rPr>
          <w:rFonts w:ascii="宋体" w:hAnsi="宋体" w:cs="宋体"/>
          <w:sz w:val="22"/>
        </w:rPr>
      </w:pPr>
      <w:r>
        <w:rPr>
          <w:rFonts w:hint="eastAsia" w:ascii="宋体" w:hAnsi="宋体" w:cs="宋体"/>
          <w:sz w:val="22"/>
        </w:rPr>
        <w:t>三、乙方的物品在送到甲方前必须进行安全检查，物品内不得夹带外来物，包括危险品、金属、易燃易爆、武器、药物等。</w:t>
      </w:r>
    </w:p>
    <w:p>
      <w:pPr>
        <w:snapToGrid w:val="0"/>
        <w:spacing w:line="384" w:lineRule="auto"/>
        <w:ind w:firstLine="440" w:firstLineChars="200"/>
        <w:rPr>
          <w:rFonts w:ascii="宋体" w:hAnsi="宋体" w:cs="宋体"/>
          <w:sz w:val="22"/>
        </w:rPr>
      </w:pPr>
      <w:r>
        <w:rPr>
          <w:rFonts w:hint="eastAsia" w:ascii="宋体" w:hAnsi="宋体" w:cs="宋体"/>
          <w:sz w:val="22"/>
        </w:rPr>
        <w:t>四、乙方的车辆及送货人员必须经甲方的安全审核、送货人员登记和按规定佩带通行证后，按甲方的安全保卫要求进入甲方指定地点或部门，不得进入其他部门或区域，并服从门卫及各级航空安全责任人的管理。</w:t>
      </w:r>
    </w:p>
    <w:p>
      <w:pPr>
        <w:snapToGrid w:val="0"/>
        <w:spacing w:line="384" w:lineRule="auto"/>
        <w:ind w:firstLine="440" w:firstLineChars="200"/>
        <w:rPr>
          <w:rFonts w:ascii="宋体" w:hAnsi="宋体" w:cs="宋体"/>
          <w:sz w:val="22"/>
        </w:rPr>
      </w:pPr>
      <w:r>
        <w:rPr>
          <w:rFonts w:hint="eastAsia" w:ascii="宋体" w:hAnsi="宋体" w:cs="宋体"/>
          <w:sz w:val="22"/>
        </w:rPr>
        <w:t>五、乙方在为甲方供货时，若甲方发现乙方违反上述条例，全部责任由乙方承担，并要求乙方立即整改，视情况要求乙方支付500-2000元的违约金，同时甲方有权对乙方的供货资格进行重新审定。</w:t>
      </w:r>
    </w:p>
    <w:p>
      <w:pPr>
        <w:snapToGrid w:val="0"/>
        <w:spacing w:line="384" w:lineRule="auto"/>
        <w:ind w:firstLine="440" w:firstLineChars="200"/>
        <w:rPr>
          <w:rFonts w:ascii="宋体" w:hAnsi="宋体" w:cs="宋体"/>
          <w:sz w:val="22"/>
        </w:rPr>
      </w:pPr>
      <w:r>
        <w:rPr>
          <w:rFonts w:hint="eastAsia" w:ascii="宋体" w:hAnsi="宋体" w:cs="宋体"/>
          <w:sz w:val="22"/>
        </w:rPr>
        <w:t>六、本协议自甲乙双方最终签字盖章之日起生效至主合同终止后失效。</w:t>
      </w:r>
    </w:p>
    <w:p>
      <w:pPr>
        <w:snapToGrid w:val="0"/>
        <w:spacing w:line="384" w:lineRule="auto"/>
        <w:rPr>
          <w:rFonts w:ascii="宋体" w:hAnsi="宋体" w:cs="宋体"/>
          <w:sz w:val="22"/>
        </w:rPr>
      </w:pPr>
    </w:p>
    <w:p>
      <w:pPr>
        <w:snapToGrid w:val="0"/>
        <w:spacing w:line="384" w:lineRule="auto"/>
        <w:rPr>
          <w:rFonts w:ascii="宋体" w:hAnsi="宋体" w:cs="宋体"/>
          <w:sz w:val="22"/>
        </w:rPr>
      </w:pPr>
      <w:r>
        <w:rPr>
          <w:rFonts w:hint="eastAsia" w:ascii="宋体" w:hAnsi="宋体" w:cs="宋体"/>
          <w:sz w:val="22"/>
        </w:rPr>
        <w:t xml:space="preserve"> 甲方：                               乙方：  </w:t>
      </w:r>
    </w:p>
    <w:p>
      <w:pPr>
        <w:snapToGrid w:val="0"/>
        <w:spacing w:line="384" w:lineRule="auto"/>
        <w:jc w:val="left"/>
        <w:rPr>
          <w:rFonts w:ascii="宋体" w:hAnsi="宋体" w:cs="宋体"/>
          <w:sz w:val="22"/>
        </w:rPr>
      </w:pPr>
      <w:r>
        <w:rPr>
          <w:rFonts w:hint="eastAsia" w:ascii="宋体" w:hAnsi="宋体" w:cs="宋体"/>
          <w:sz w:val="22"/>
        </w:rPr>
        <w:t xml:space="preserve">                   </w:t>
      </w:r>
    </w:p>
    <w:p>
      <w:pPr>
        <w:snapToGrid w:val="0"/>
        <w:spacing w:line="384" w:lineRule="auto"/>
        <w:jc w:val="left"/>
        <w:rPr>
          <w:rFonts w:ascii="宋体" w:hAnsi="宋体" w:cs="宋体"/>
          <w:sz w:val="22"/>
        </w:rPr>
      </w:pPr>
      <w:r>
        <w:rPr>
          <w:rFonts w:hint="eastAsia" w:ascii="宋体" w:hAnsi="宋体" w:cs="宋体"/>
          <w:sz w:val="22"/>
        </w:rPr>
        <w:t xml:space="preserve">单位盖章：                           单位盖章：                           </w:t>
      </w:r>
    </w:p>
    <w:p>
      <w:pPr>
        <w:snapToGrid w:val="0"/>
        <w:spacing w:line="384" w:lineRule="auto"/>
        <w:rPr>
          <w:rFonts w:ascii="宋体" w:hAnsi="宋体" w:cs="宋体"/>
          <w:sz w:val="22"/>
        </w:rPr>
      </w:pPr>
      <w:r>
        <w:rPr>
          <w:rFonts w:hint="eastAsia" w:ascii="宋体" w:hAnsi="宋体" w:cs="宋体"/>
          <w:sz w:val="22"/>
        </w:rPr>
        <w:t>法定代表人签字：                     法定代表人签字：</w:t>
      </w:r>
    </w:p>
    <w:p>
      <w:pPr>
        <w:snapToGrid w:val="0"/>
        <w:spacing w:line="384" w:lineRule="auto"/>
        <w:rPr>
          <w:rFonts w:ascii="宋体" w:hAnsi="宋体" w:cs="宋体"/>
          <w:sz w:val="22"/>
        </w:rPr>
      </w:pPr>
      <w:r>
        <w:rPr>
          <w:rFonts w:hint="eastAsia" w:ascii="宋体" w:hAnsi="宋体" w:cs="宋体"/>
          <w:sz w:val="22"/>
        </w:rPr>
        <w:t>或授权代表签字：                     或授权代表签字：</w:t>
      </w:r>
    </w:p>
    <w:p>
      <w:pPr>
        <w:snapToGrid w:val="0"/>
        <w:spacing w:line="384" w:lineRule="auto"/>
        <w:rPr>
          <w:rFonts w:ascii="宋体" w:hAnsi="宋体" w:cs="宋体"/>
          <w:sz w:val="22"/>
        </w:rPr>
      </w:pPr>
      <w:r>
        <w:rPr>
          <w:rFonts w:hint="eastAsia" w:ascii="宋体" w:hAnsi="宋体" w:cs="宋体"/>
          <w:sz w:val="22"/>
        </w:rPr>
        <w:t>日期： 年 月  日                     日期：  年  月  日</w:t>
      </w:r>
    </w:p>
    <w:p>
      <w:pPr>
        <w:snapToGrid w:val="0"/>
        <w:spacing w:line="384" w:lineRule="auto"/>
        <w:jc w:val="left"/>
        <w:rPr>
          <w:rFonts w:ascii="宋体" w:hAnsi="宋体" w:cs="宋体"/>
          <w:sz w:val="22"/>
        </w:rPr>
      </w:pPr>
    </w:p>
    <w:p>
      <w:pPr>
        <w:pStyle w:val="2"/>
        <w:rPr>
          <w:rFonts w:hint="eastAsia" w:ascii="黑体" w:hAnsi="黑体" w:eastAsia="黑体"/>
          <w:sz w:val="22"/>
          <w:szCs w:val="22"/>
        </w:rPr>
      </w:pPr>
    </w:p>
    <w:p>
      <w:pPr>
        <w:pStyle w:val="3"/>
      </w:pPr>
    </w:p>
    <w:p>
      <w:pPr>
        <w:spacing w:line="360" w:lineRule="exact"/>
        <w:jc w:val="center"/>
        <w:rPr>
          <w:rFonts w:ascii="宋体" w:hAnsi="宋体" w:eastAsia="宋体" w:cs="宋体"/>
          <w:b/>
          <w:sz w:val="36"/>
          <w:szCs w:val="36"/>
        </w:rPr>
      </w:pPr>
      <w:r>
        <w:rPr>
          <w:rFonts w:hint="eastAsia" w:ascii="宋体" w:hAnsi="宋体" w:eastAsia="宋体" w:cs="宋体"/>
          <w:b/>
          <w:sz w:val="36"/>
          <w:szCs w:val="36"/>
        </w:rPr>
        <w:t>相关方职业健康及环境安全管理告知书</w:t>
      </w:r>
    </w:p>
    <w:p>
      <w:pPr>
        <w:spacing w:line="360" w:lineRule="exact"/>
        <w:rPr>
          <w:rFonts w:ascii="宋体" w:hAnsi="宋体" w:cs="宋体"/>
          <w:sz w:val="22"/>
        </w:rPr>
      </w:pPr>
    </w:p>
    <w:p>
      <w:pPr>
        <w:adjustRightInd w:val="0"/>
        <w:snapToGrid w:val="0"/>
        <w:spacing w:line="360" w:lineRule="auto"/>
        <w:rPr>
          <w:rFonts w:ascii="宋体" w:hAnsi="宋体" w:cs="宋体"/>
          <w:sz w:val="22"/>
        </w:rPr>
      </w:pPr>
      <w:r>
        <w:rPr>
          <w:rFonts w:hint="eastAsia" w:ascii="宋体" w:hAnsi="宋体" w:cs="宋体"/>
          <w:sz w:val="22"/>
        </w:rPr>
        <w:t xml:space="preserve">公司名称：                                                          </w:t>
      </w:r>
    </w:p>
    <w:p>
      <w:pPr>
        <w:adjustRightInd w:val="0"/>
        <w:snapToGrid w:val="0"/>
        <w:spacing w:line="360" w:lineRule="auto"/>
        <w:rPr>
          <w:rFonts w:ascii="宋体" w:hAnsi="宋体" w:cs="宋体"/>
          <w:sz w:val="22"/>
        </w:rPr>
      </w:pPr>
      <w:r>
        <w:rPr>
          <w:rFonts w:hint="eastAsia" w:ascii="宋体" w:hAnsi="宋体" w:cs="宋体"/>
          <w:sz w:val="22"/>
        </w:rPr>
        <w:tab/>
      </w:r>
      <w:r>
        <w:rPr>
          <w:rFonts w:hint="eastAsia" w:ascii="宋体" w:hAnsi="宋体" w:cs="宋体"/>
          <w:sz w:val="22"/>
        </w:rPr>
        <w:t xml:space="preserve"> 为加强</w:t>
      </w:r>
      <w:r>
        <w:rPr>
          <w:rFonts w:hint="eastAsia" w:ascii="宋体" w:hAnsi="宋体" w:cs="宋体"/>
          <w:sz w:val="22"/>
          <w:u w:val="single"/>
        </w:rPr>
        <w:t>杭州萧山国际机场汉莎航空食品有限公司</w:t>
      </w:r>
      <w:r>
        <w:rPr>
          <w:rFonts w:hint="eastAsia" w:ascii="宋体" w:hAnsi="宋体" w:cs="宋体"/>
          <w:sz w:val="22"/>
        </w:rPr>
        <w:t>的整体环境安全管理，提升公司形象，实现公司与各相关方的共同可持续发展，共同保护我们美好的家园。</w:t>
      </w:r>
      <w:r>
        <w:rPr>
          <w:rFonts w:hint="eastAsia" w:ascii="宋体" w:hAnsi="宋体" w:cs="宋体"/>
          <w:sz w:val="22"/>
          <w:u w:val="single"/>
        </w:rPr>
        <w:t>杭州萧山国际机场汉莎航空食品有限公司</w:t>
      </w:r>
      <w:r>
        <w:rPr>
          <w:rFonts w:hint="eastAsia" w:ascii="宋体" w:hAnsi="宋体" w:cs="宋体"/>
          <w:sz w:val="22"/>
        </w:rPr>
        <w:t>建立实施GB/T24001/ GB/T45001环境/职业健康安全管理体系，在此我们希望各供应商/外包服务商遵守我公司的各项职业健康、环境和安全管理要求，各相关方应做到：</w:t>
      </w:r>
    </w:p>
    <w:p>
      <w:pPr>
        <w:adjustRightInd w:val="0"/>
        <w:snapToGrid w:val="0"/>
        <w:spacing w:line="360" w:lineRule="auto"/>
        <w:rPr>
          <w:rFonts w:ascii="宋体" w:hAnsi="宋体" w:cs="宋体"/>
          <w:sz w:val="22"/>
        </w:rPr>
      </w:pPr>
      <w:r>
        <w:rPr>
          <w:rFonts w:hint="eastAsia" w:ascii="宋体" w:hAnsi="宋体" w:cs="宋体"/>
          <w:sz w:val="22"/>
        </w:rPr>
        <w:t>一、严格遵守国家地方的各项环境安全法律法规要求，不违法生产，不野蛮作业。</w:t>
      </w:r>
    </w:p>
    <w:p>
      <w:pPr>
        <w:adjustRightInd w:val="0"/>
        <w:snapToGrid w:val="0"/>
        <w:spacing w:line="360" w:lineRule="auto"/>
        <w:rPr>
          <w:rFonts w:ascii="宋体" w:hAnsi="宋体" w:cs="宋体"/>
          <w:sz w:val="22"/>
        </w:rPr>
      </w:pPr>
      <w:r>
        <w:rPr>
          <w:rFonts w:hint="eastAsia" w:ascii="宋体" w:hAnsi="宋体" w:cs="宋体"/>
          <w:sz w:val="22"/>
        </w:rPr>
        <w:t>二、注重生产和服务过程中的职业健康管理、安全管理和环境管理，建立各项安全和环境管理制度，严格按照操作规程的要求进行作业，不违规操作。加强职工的职业防护，关注员工身体健康。</w:t>
      </w:r>
    </w:p>
    <w:p>
      <w:pPr>
        <w:adjustRightInd w:val="0"/>
        <w:snapToGrid w:val="0"/>
        <w:spacing w:line="360" w:lineRule="auto"/>
        <w:rPr>
          <w:rFonts w:ascii="宋体" w:hAnsi="宋体" w:cs="宋体"/>
          <w:sz w:val="22"/>
        </w:rPr>
      </w:pPr>
      <w:r>
        <w:rPr>
          <w:rFonts w:hint="eastAsia" w:ascii="宋体" w:hAnsi="宋体" w:cs="宋体"/>
          <w:sz w:val="22"/>
        </w:rPr>
        <w:t>三、产生的固体废弃物应分类收集管理，危险废弃物应单独收集并规范合法处置，遵守我公司废弃物管理的有关规定。</w:t>
      </w:r>
    </w:p>
    <w:p>
      <w:pPr>
        <w:adjustRightInd w:val="0"/>
        <w:snapToGrid w:val="0"/>
        <w:spacing w:line="360" w:lineRule="auto"/>
        <w:rPr>
          <w:rFonts w:ascii="宋体" w:hAnsi="宋体" w:cs="宋体"/>
          <w:sz w:val="22"/>
        </w:rPr>
      </w:pPr>
      <w:r>
        <w:rPr>
          <w:rFonts w:hint="eastAsia" w:ascii="宋体" w:hAnsi="宋体" w:cs="宋体"/>
          <w:sz w:val="22"/>
        </w:rPr>
        <w:t>四、产生的污水、噪声、废气、粉尘等应进行合理的管控和处置，应保障三废排放达到相关标准的要求。</w:t>
      </w:r>
    </w:p>
    <w:p>
      <w:pPr>
        <w:adjustRightInd w:val="0"/>
        <w:snapToGrid w:val="0"/>
        <w:spacing w:line="360" w:lineRule="auto"/>
        <w:rPr>
          <w:rFonts w:ascii="宋体" w:hAnsi="宋体" w:cs="宋体"/>
          <w:sz w:val="22"/>
        </w:rPr>
      </w:pPr>
      <w:r>
        <w:rPr>
          <w:rFonts w:hint="eastAsia" w:ascii="宋体" w:hAnsi="宋体" w:cs="宋体"/>
          <w:sz w:val="22"/>
        </w:rPr>
        <w:t>五、尽可能做到节能降耗，减少各种能源和资源的消耗，日常工作中节约用水、节约用电、节约纸张。</w:t>
      </w:r>
    </w:p>
    <w:p>
      <w:pPr>
        <w:adjustRightInd w:val="0"/>
        <w:snapToGrid w:val="0"/>
        <w:spacing w:line="360" w:lineRule="auto"/>
        <w:rPr>
          <w:rFonts w:ascii="宋体" w:hAnsi="宋体" w:cs="宋体"/>
          <w:sz w:val="22"/>
        </w:rPr>
      </w:pPr>
      <w:r>
        <w:rPr>
          <w:rFonts w:hint="eastAsia" w:ascii="宋体" w:hAnsi="宋体" w:cs="宋体"/>
          <w:sz w:val="22"/>
        </w:rPr>
        <w:t>六、合理管控所使用的危险化学品，防止化学品的泄漏及其它紧急状态的出现。危险化学品相关人员应具备专业知识和能力。运输化学品的车辆应具备危险化学品运输许可证。</w:t>
      </w:r>
    </w:p>
    <w:p>
      <w:pPr>
        <w:adjustRightInd w:val="0"/>
        <w:snapToGrid w:val="0"/>
        <w:spacing w:line="360" w:lineRule="auto"/>
        <w:rPr>
          <w:rFonts w:ascii="宋体" w:hAnsi="宋体" w:cs="宋体"/>
          <w:sz w:val="22"/>
        </w:rPr>
      </w:pPr>
      <w:r>
        <w:rPr>
          <w:rFonts w:hint="eastAsia" w:ascii="宋体" w:hAnsi="宋体" w:cs="宋体"/>
          <w:sz w:val="22"/>
        </w:rPr>
        <w:t>七、严格遵守消防管理规定，通过适当的培训了解消防器材的使用及应急预案程序，确保不违反我单位消防管理制度。</w:t>
      </w:r>
    </w:p>
    <w:p>
      <w:pPr>
        <w:adjustRightInd w:val="0"/>
        <w:snapToGrid w:val="0"/>
        <w:spacing w:line="360" w:lineRule="auto"/>
        <w:rPr>
          <w:rFonts w:ascii="宋体" w:hAnsi="宋体" w:cs="宋体"/>
          <w:sz w:val="22"/>
        </w:rPr>
      </w:pPr>
      <w:r>
        <w:rPr>
          <w:rFonts w:hint="eastAsia" w:ascii="宋体" w:hAnsi="宋体" w:cs="宋体"/>
          <w:sz w:val="22"/>
        </w:rPr>
        <w:t>八、加强员工的环境安全管理和培训，不断提高员工的环保安全意识和自觉性。</w:t>
      </w:r>
    </w:p>
    <w:p>
      <w:pPr>
        <w:adjustRightInd w:val="0"/>
        <w:snapToGrid w:val="0"/>
        <w:spacing w:line="360" w:lineRule="auto"/>
        <w:rPr>
          <w:rFonts w:ascii="宋体" w:hAnsi="宋体" w:cs="宋体"/>
          <w:sz w:val="22"/>
        </w:rPr>
      </w:pPr>
      <w:r>
        <w:rPr>
          <w:rFonts w:hint="eastAsia" w:ascii="宋体" w:hAnsi="宋体" w:cs="宋体"/>
          <w:sz w:val="22"/>
        </w:rPr>
        <w:t>九、加强工作场所的环境安全监督检查，发现问题及时采取整改措施，并与我单位及时沟通。</w:t>
      </w:r>
    </w:p>
    <w:p>
      <w:pPr>
        <w:adjustRightInd w:val="0"/>
        <w:snapToGrid w:val="0"/>
        <w:spacing w:line="360" w:lineRule="auto"/>
        <w:rPr>
          <w:rFonts w:ascii="宋体" w:hAnsi="宋体" w:cs="宋体"/>
          <w:sz w:val="22"/>
        </w:rPr>
      </w:pPr>
      <w:r>
        <w:rPr>
          <w:rFonts w:hint="eastAsia" w:ascii="宋体" w:hAnsi="宋体" w:cs="宋体"/>
          <w:sz w:val="22"/>
          <w:u w:val="single"/>
        </w:rPr>
        <w:t>杭州萧山国际机场汉莎航空食品有限公司</w:t>
      </w:r>
      <w:r>
        <w:rPr>
          <w:rFonts w:hint="eastAsia" w:ascii="宋体" w:hAnsi="宋体" w:cs="宋体"/>
          <w:sz w:val="22"/>
        </w:rPr>
        <w:t>环境/安全方针：</w:t>
      </w:r>
    </w:p>
    <w:p>
      <w:pPr>
        <w:adjustRightInd w:val="0"/>
        <w:snapToGrid w:val="0"/>
        <w:spacing w:line="360" w:lineRule="auto"/>
        <w:rPr>
          <w:rFonts w:ascii="宋体" w:hAnsi="宋体" w:cs="宋体"/>
          <w:sz w:val="22"/>
        </w:rPr>
      </w:pPr>
      <w:r>
        <w:rPr>
          <w:rFonts w:hint="eastAsia" w:ascii="宋体" w:hAnsi="宋体" w:cs="宋体"/>
          <w:sz w:val="22"/>
        </w:rPr>
        <w:t>遵规守法、洁净空间、珍惜资源、持续改进</w:t>
      </w:r>
    </w:p>
    <w:p>
      <w:pPr>
        <w:adjustRightInd w:val="0"/>
        <w:snapToGrid w:val="0"/>
        <w:spacing w:line="360" w:lineRule="auto"/>
        <w:rPr>
          <w:rFonts w:ascii="宋体" w:hAnsi="宋体" w:cs="宋体"/>
          <w:sz w:val="22"/>
        </w:rPr>
      </w:pPr>
      <w:r>
        <w:rPr>
          <w:rFonts w:hint="eastAsia" w:ascii="宋体" w:hAnsi="宋体" w:cs="宋体"/>
          <w:sz w:val="22"/>
        </w:rPr>
        <w:t>以人为本、预防为主、健康工作、和谐发展</w:t>
      </w:r>
    </w:p>
    <w:p>
      <w:pPr>
        <w:adjustRightInd w:val="0"/>
        <w:snapToGrid w:val="0"/>
        <w:spacing w:line="360" w:lineRule="auto"/>
        <w:jc w:val="right"/>
        <w:rPr>
          <w:rFonts w:ascii="宋体" w:hAnsi="宋体" w:cs="宋体"/>
          <w:sz w:val="22"/>
        </w:rPr>
      </w:pPr>
    </w:p>
    <w:p>
      <w:pPr>
        <w:pStyle w:val="7"/>
        <w:ind w:firstLine="210"/>
        <w:jc w:val="right"/>
        <w:rPr>
          <w:szCs w:val="21"/>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金山简黑体">
    <w:altName w:val="宋体"/>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S?o｡ﾀ?">
    <w:altName w:val="MS PGothic"/>
    <w:panose1 w:val="00000000000000000000"/>
    <w:charset w:val="80"/>
    <w:family w:val="modern"/>
    <w:pitch w:val="default"/>
    <w:sig w:usb0="00000000" w:usb1="00000000" w:usb2="00000010" w:usb3="00000000" w:csb0="00020000" w:csb1="00000000"/>
  </w:font>
  <w:font w:name="Wingdings 2">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Microsoft JhengHei">
    <w:panose1 w:val="020B0604030504040204"/>
    <w:charset w:val="88"/>
    <w:family w:val="swiss"/>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87927A"/>
    <w:multiLevelType w:val="singleLevel"/>
    <w:tmpl w:val="B487927A"/>
    <w:lvl w:ilvl="0" w:tentative="0">
      <w:start w:val="2"/>
      <w:numFmt w:val="chineseCounting"/>
      <w:suff w:val="nothing"/>
      <w:lvlText w:val="（%1）"/>
      <w:lvlJc w:val="left"/>
      <w:rPr>
        <w:rFonts w:hint="eastAsia"/>
      </w:rPr>
    </w:lvl>
  </w:abstractNum>
  <w:abstractNum w:abstractNumId="1">
    <w:nsid w:val="D93800C5"/>
    <w:multiLevelType w:val="singleLevel"/>
    <w:tmpl w:val="D93800C5"/>
    <w:lvl w:ilvl="0" w:tentative="0">
      <w:start w:val="1"/>
      <w:numFmt w:val="decimal"/>
      <w:suff w:val="nothing"/>
      <w:lvlText w:val="%1、"/>
      <w:lvlJc w:val="left"/>
    </w:lvl>
  </w:abstractNum>
  <w:abstractNum w:abstractNumId="2">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E19C1"/>
    <w:rsid w:val="00022648"/>
    <w:rsid w:val="00025DDE"/>
    <w:rsid w:val="000376ED"/>
    <w:rsid w:val="00054ADE"/>
    <w:rsid w:val="000554B5"/>
    <w:rsid w:val="000C49AB"/>
    <w:rsid w:val="000E12CA"/>
    <w:rsid w:val="000F4C88"/>
    <w:rsid w:val="001329D0"/>
    <w:rsid w:val="001362B3"/>
    <w:rsid w:val="00144684"/>
    <w:rsid w:val="001479EE"/>
    <w:rsid w:val="00160C3B"/>
    <w:rsid w:val="00167EFA"/>
    <w:rsid w:val="00170AD0"/>
    <w:rsid w:val="0018351F"/>
    <w:rsid w:val="00193BB4"/>
    <w:rsid w:val="001B22B2"/>
    <w:rsid w:val="001E7AA3"/>
    <w:rsid w:val="001F0E17"/>
    <w:rsid w:val="00216347"/>
    <w:rsid w:val="00222AED"/>
    <w:rsid w:val="002323A4"/>
    <w:rsid w:val="00233B3F"/>
    <w:rsid w:val="00236E6E"/>
    <w:rsid w:val="0024223F"/>
    <w:rsid w:val="002737B6"/>
    <w:rsid w:val="002752C1"/>
    <w:rsid w:val="00275C94"/>
    <w:rsid w:val="00290F2D"/>
    <w:rsid w:val="002A2894"/>
    <w:rsid w:val="002A6CC8"/>
    <w:rsid w:val="002B58DC"/>
    <w:rsid w:val="002C7A2C"/>
    <w:rsid w:val="002D1F01"/>
    <w:rsid w:val="002D56B1"/>
    <w:rsid w:val="00305747"/>
    <w:rsid w:val="00307D28"/>
    <w:rsid w:val="0031511F"/>
    <w:rsid w:val="00324462"/>
    <w:rsid w:val="003548FE"/>
    <w:rsid w:val="003575A0"/>
    <w:rsid w:val="00394C78"/>
    <w:rsid w:val="003E3A16"/>
    <w:rsid w:val="003F0125"/>
    <w:rsid w:val="003F01A2"/>
    <w:rsid w:val="00415CB5"/>
    <w:rsid w:val="0047087E"/>
    <w:rsid w:val="00475D6A"/>
    <w:rsid w:val="00482C08"/>
    <w:rsid w:val="005000E7"/>
    <w:rsid w:val="005023B6"/>
    <w:rsid w:val="0051425F"/>
    <w:rsid w:val="00554158"/>
    <w:rsid w:val="00571246"/>
    <w:rsid w:val="00581CCA"/>
    <w:rsid w:val="00582C09"/>
    <w:rsid w:val="00595570"/>
    <w:rsid w:val="005A30F2"/>
    <w:rsid w:val="005A78E6"/>
    <w:rsid w:val="005B5D3F"/>
    <w:rsid w:val="005C7448"/>
    <w:rsid w:val="005E75F7"/>
    <w:rsid w:val="005F48C9"/>
    <w:rsid w:val="005F628A"/>
    <w:rsid w:val="006036C8"/>
    <w:rsid w:val="006041EA"/>
    <w:rsid w:val="006108F4"/>
    <w:rsid w:val="00611510"/>
    <w:rsid w:val="00615C26"/>
    <w:rsid w:val="006260F5"/>
    <w:rsid w:val="00633FF9"/>
    <w:rsid w:val="0064406D"/>
    <w:rsid w:val="006530FE"/>
    <w:rsid w:val="006702AF"/>
    <w:rsid w:val="006827AA"/>
    <w:rsid w:val="006A54AC"/>
    <w:rsid w:val="006A5CF5"/>
    <w:rsid w:val="006A6A05"/>
    <w:rsid w:val="006C7558"/>
    <w:rsid w:val="006E6ED5"/>
    <w:rsid w:val="006F4289"/>
    <w:rsid w:val="006F756A"/>
    <w:rsid w:val="00702C8E"/>
    <w:rsid w:val="00716C34"/>
    <w:rsid w:val="00724C94"/>
    <w:rsid w:val="007254D3"/>
    <w:rsid w:val="00727DCB"/>
    <w:rsid w:val="00745DD7"/>
    <w:rsid w:val="007739A4"/>
    <w:rsid w:val="007761F4"/>
    <w:rsid w:val="00792236"/>
    <w:rsid w:val="007A6DA4"/>
    <w:rsid w:val="007C2D83"/>
    <w:rsid w:val="007E705B"/>
    <w:rsid w:val="007F71D4"/>
    <w:rsid w:val="007F7386"/>
    <w:rsid w:val="007F79FD"/>
    <w:rsid w:val="00807A01"/>
    <w:rsid w:val="00812A90"/>
    <w:rsid w:val="0082312B"/>
    <w:rsid w:val="00827A06"/>
    <w:rsid w:val="00830362"/>
    <w:rsid w:val="00882342"/>
    <w:rsid w:val="008A1FF5"/>
    <w:rsid w:val="008A62BC"/>
    <w:rsid w:val="008C55C1"/>
    <w:rsid w:val="008E2F1A"/>
    <w:rsid w:val="009448D9"/>
    <w:rsid w:val="00962E28"/>
    <w:rsid w:val="00965356"/>
    <w:rsid w:val="009A2018"/>
    <w:rsid w:val="009A2475"/>
    <w:rsid w:val="009C3790"/>
    <w:rsid w:val="009C3875"/>
    <w:rsid w:val="009C6EB7"/>
    <w:rsid w:val="009D2C51"/>
    <w:rsid w:val="009E4546"/>
    <w:rsid w:val="009E7B98"/>
    <w:rsid w:val="00A009BF"/>
    <w:rsid w:val="00A00E9F"/>
    <w:rsid w:val="00A55C38"/>
    <w:rsid w:val="00A82AAA"/>
    <w:rsid w:val="00A95148"/>
    <w:rsid w:val="00AB10A1"/>
    <w:rsid w:val="00B0668B"/>
    <w:rsid w:val="00B073A3"/>
    <w:rsid w:val="00B13A0B"/>
    <w:rsid w:val="00B414EF"/>
    <w:rsid w:val="00B4663D"/>
    <w:rsid w:val="00B734EB"/>
    <w:rsid w:val="00B77CB9"/>
    <w:rsid w:val="00B9742C"/>
    <w:rsid w:val="00BC3AEE"/>
    <w:rsid w:val="00C040BC"/>
    <w:rsid w:val="00C20DCE"/>
    <w:rsid w:val="00C22415"/>
    <w:rsid w:val="00C66B94"/>
    <w:rsid w:val="00C959C7"/>
    <w:rsid w:val="00CA142C"/>
    <w:rsid w:val="00CA3768"/>
    <w:rsid w:val="00CE6ABA"/>
    <w:rsid w:val="00D205AD"/>
    <w:rsid w:val="00D24470"/>
    <w:rsid w:val="00D75ECF"/>
    <w:rsid w:val="00D90CC8"/>
    <w:rsid w:val="00D949DC"/>
    <w:rsid w:val="00DA011F"/>
    <w:rsid w:val="00DC5355"/>
    <w:rsid w:val="00DC54E4"/>
    <w:rsid w:val="00DD0A1C"/>
    <w:rsid w:val="00DD44CF"/>
    <w:rsid w:val="00DD52CC"/>
    <w:rsid w:val="00DE4799"/>
    <w:rsid w:val="00E6422C"/>
    <w:rsid w:val="00E90DD3"/>
    <w:rsid w:val="00E9491C"/>
    <w:rsid w:val="00EB2677"/>
    <w:rsid w:val="00ED3B94"/>
    <w:rsid w:val="00ED4328"/>
    <w:rsid w:val="00ED6241"/>
    <w:rsid w:val="00F17996"/>
    <w:rsid w:val="00F34961"/>
    <w:rsid w:val="00F4152F"/>
    <w:rsid w:val="00F4267F"/>
    <w:rsid w:val="00F432F1"/>
    <w:rsid w:val="00F6053E"/>
    <w:rsid w:val="00F71648"/>
    <w:rsid w:val="00F869B8"/>
    <w:rsid w:val="00F93CA7"/>
    <w:rsid w:val="00FA69C7"/>
    <w:rsid w:val="00FD2CA9"/>
    <w:rsid w:val="00FD5111"/>
    <w:rsid w:val="00FD6B40"/>
    <w:rsid w:val="0140127A"/>
    <w:rsid w:val="02686E50"/>
    <w:rsid w:val="03FD106B"/>
    <w:rsid w:val="099A488A"/>
    <w:rsid w:val="0AEE6B37"/>
    <w:rsid w:val="0DF97ABD"/>
    <w:rsid w:val="0E576596"/>
    <w:rsid w:val="0E5A0ED0"/>
    <w:rsid w:val="14F23C2A"/>
    <w:rsid w:val="17F13220"/>
    <w:rsid w:val="18E52C2B"/>
    <w:rsid w:val="1C2D1FDE"/>
    <w:rsid w:val="1DB637DE"/>
    <w:rsid w:val="20B5354D"/>
    <w:rsid w:val="23B702DA"/>
    <w:rsid w:val="25AF51B9"/>
    <w:rsid w:val="2C9D4535"/>
    <w:rsid w:val="317E1D13"/>
    <w:rsid w:val="353A6532"/>
    <w:rsid w:val="354D738E"/>
    <w:rsid w:val="375A314E"/>
    <w:rsid w:val="3DE133C8"/>
    <w:rsid w:val="408E6BA7"/>
    <w:rsid w:val="44C75B55"/>
    <w:rsid w:val="48681424"/>
    <w:rsid w:val="4BAD2F93"/>
    <w:rsid w:val="56977EFE"/>
    <w:rsid w:val="5D145576"/>
    <w:rsid w:val="60DB40E3"/>
    <w:rsid w:val="60ED720D"/>
    <w:rsid w:val="68E74D08"/>
    <w:rsid w:val="6D0E19C1"/>
    <w:rsid w:val="6EAB4FBC"/>
    <w:rsid w:val="74692A5A"/>
    <w:rsid w:val="74A36A8D"/>
    <w:rsid w:val="76A01528"/>
    <w:rsid w:val="7C72547A"/>
    <w:rsid w:val="7EE12AD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paragraph" w:styleId="6">
    <w:name w:val="heading 2"/>
    <w:basedOn w:val="1"/>
    <w:next w:val="1"/>
    <w:link w:val="19"/>
    <w:unhideWhenUsed/>
    <w:qFormat/>
    <w:uiPriority w:val="0"/>
    <w:pPr>
      <w:keepNext/>
      <w:keepLines/>
      <w:spacing w:before="260" w:after="260" w:line="415" w:lineRule="auto"/>
      <w:outlineLvl w:val="1"/>
    </w:pPr>
    <w:rPr>
      <w:rFonts w:ascii="Calibri Light" w:hAnsi="Calibri Light" w:eastAsia="宋体" w:cs="Times New Roman"/>
      <w:b/>
      <w:sz w:val="32"/>
      <w:szCs w:val="32"/>
    </w:rPr>
  </w:style>
  <w:style w:type="character" w:default="1" w:styleId="14">
    <w:name w:val="Default Paragraph Font"/>
    <w:unhideWhenUsed/>
    <w:qFormat/>
    <w:uiPriority w:val="1"/>
  </w:style>
  <w:style w:type="table" w:default="1" w:styleId="15">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rPr>
  </w:style>
  <w:style w:type="paragraph" w:customStyle="1" w:styleId="3">
    <w:name w:val="Default"/>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4">
    <w:name w:val="目录 71"/>
    <w:next w:val="1"/>
    <w:qFormat/>
    <w:uiPriority w:val="0"/>
    <w:pPr>
      <w:wordWrap w:val="0"/>
      <w:ind w:left="2550"/>
      <w:jc w:val="both"/>
    </w:pPr>
    <w:rPr>
      <w:rFonts w:ascii="Calibri" w:hAnsi="Calibri" w:eastAsia="宋体" w:cs="Times New Roman"/>
      <w:sz w:val="21"/>
      <w:szCs w:val="22"/>
      <w:lang w:val="en-US" w:eastAsia="zh-CN" w:bidi="ar-SA"/>
    </w:rPr>
  </w:style>
  <w:style w:type="paragraph" w:styleId="7">
    <w:name w:val="Body Text First Indent"/>
    <w:basedOn w:val="2"/>
    <w:qFormat/>
    <w:uiPriority w:val="0"/>
    <w:pPr>
      <w:ind w:firstLine="420" w:firstLineChars="100"/>
    </w:pPr>
  </w:style>
  <w:style w:type="paragraph" w:styleId="8">
    <w:name w:val="annotation text"/>
    <w:basedOn w:val="1"/>
    <w:link w:val="18"/>
    <w:qFormat/>
    <w:uiPriority w:val="0"/>
    <w:pPr>
      <w:jc w:val="left"/>
    </w:pPr>
    <w:rPr>
      <w:rFonts w:ascii="Calibri" w:hAnsi="Calibri" w:eastAsia="宋体" w:cs="Times New Roman"/>
      <w:szCs w:val="22"/>
    </w:rPr>
  </w:style>
  <w:style w:type="paragraph" w:styleId="9">
    <w:name w:val="Balloon Text"/>
    <w:basedOn w:val="1"/>
    <w:link w:val="24"/>
    <w:qFormat/>
    <w:uiPriority w:val="0"/>
    <w:rPr>
      <w:sz w:val="18"/>
      <w:szCs w:val="18"/>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basedOn w:val="1"/>
    <w:next w:val="1"/>
    <w:link w:val="20"/>
    <w:qFormat/>
    <w:uiPriority w:val="0"/>
    <w:pPr>
      <w:spacing w:before="240" w:after="60"/>
      <w:jc w:val="center"/>
      <w:outlineLvl w:val="0"/>
    </w:pPr>
    <w:rPr>
      <w:rFonts w:ascii="Calibri Light" w:hAnsi="Calibri Light" w:eastAsia="宋体" w:cs="Times New Roman"/>
      <w:b/>
      <w:sz w:val="32"/>
      <w:szCs w:val="3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正文_0"/>
    <w:basedOn w:val="1"/>
    <w:qFormat/>
    <w:uiPriority w:val="0"/>
    <w:rPr>
      <w:rFonts w:ascii="Calibri" w:hAnsi="Calibri" w:eastAsia="宋体" w:cs="Times New Roman"/>
      <w:szCs w:val="22"/>
    </w:rPr>
  </w:style>
  <w:style w:type="character" w:customStyle="1" w:styleId="18">
    <w:name w:val="批注文字 字符"/>
    <w:basedOn w:val="14"/>
    <w:link w:val="8"/>
    <w:qFormat/>
    <w:uiPriority w:val="0"/>
    <w:rPr>
      <w:rFonts w:hint="default" w:ascii="Calibri" w:hAnsi="Calibri" w:eastAsia="宋体" w:cs="Times New Roman"/>
      <w:kern w:val="2"/>
      <w:sz w:val="21"/>
      <w:szCs w:val="22"/>
    </w:rPr>
  </w:style>
  <w:style w:type="character" w:customStyle="1" w:styleId="19">
    <w:name w:val="标题 2 字符"/>
    <w:basedOn w:val="14"/>
    <w:link w:val="6"/>
    <w:qFormat/>
    <w:uiPriority w:val="0"/>
    <w:rPr>
      <w:rFonts w:hint="default" w:ascii="Calibri Light" w:hAnsi="Calibri Light" w:eastAsia="宋体" w:cs="Times New Roman"/>
      <w:b/>
      <w:kern w:val="2"/>
      <w:sz w:val="32"/>
      <w:szCs w:val="32"/>
    </w:rPr>
  </w:style>
  <w:style w:type="character" w:customStyle="1" w:styleId="20">
    <w:name w:val="标题 字符"/>
    <w:basedOn w:val="14"/>
    <w:link w:val="13"/>
    <w:qFormat/>
    <w:uiPriority w:val="0"/>
    <w:rPr>
      <w:rFonts w:hint="default" w:ascii="Calibri Light" w:hAnsi="Calibri Light" w:eastAsia="宋体" w:cs="Times New Roman"/>
      <w:b/>
      <w:kern w:val="2"/>
      <w:sz w:val="32"/>
      <w:szCs w:val="32"/>
    </w:rPr>
  </w:style>
  <w:style w:type="character" w:customStyle="1" w:styleId="21">
    <w:name w:val="页眉 字符"/>
    <w:basedOn w:val="14"/>
    <w:link w:val="11"/>
    <w:qFormat/>
    <w:uiPriority w:val="0"/>
    <w:rPr>
      <w:rFonts w:asciiTheme="minorHAnsi" w:hAnsiTheme="minorHAnsi" w:eastAsiaTheme="minorEastAsia" w:cstheme="minorBidi"/>
      <w:kern w:val="2"/>
      <w:sz w:val="18"/>
      <w:szCs w:val="18"/>
    </w:rPr>
  </w:style>
  <w:style w:type="character" w:customStyle="1" w:styleId="22">
    <w:name w:val="页脚 字符"/>
    <w:basedOn w:val="14"/>
    <w:link w:val="10"/>
    <w:qFormat/>
    <w:uiPriority w:val="0"/>
    <w:rPr>
      <w:rFonts w:asciiTheme="minorHAnsi" w:hAnsiTheme="minorHAnsi" w:eastAsiaTheme="minorEastAsia" w:cstheme="minorBidi"/>
      <w:kern w:val="2"/>
      <w:sz w:val="18"/>
      <w:szCs w:val="18"/>
    </w:rPr>
  </w:style>
  <w:style w:type="paragraph" w:customStyle="1" w:styleId="23">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character" w:customStyle="1" w:styleId="24">
    <w:name w:val="批注框文本 字符"/>
    <w:basedOn w:val="14"/>
    <w:link w:val="9"/>
    <w:qFormat/>
    <w:uiPriority w:val="0"/>
    <w:rPr>
      <w:rFonts w:asciiTheme="minorHAnsi" w:hAnsiTheme="minorHAnsi" w:eastAsiaTheme="minorEastAsia" w:cstheme="minorBidi"/>
      <w:kern w:val="2"/>
      <w:sz w:val="18"/>
      <w:szCs w:val="18"/>
    </w:rPr>
  </w:style>
  <w:style w:type="paragraph" w:customStyle="1" w:styleId="25">
    <w:name w:val="样式 正文文本"/>
    <w:basedOn w:val="1"/>
    <w:qFormat/>
    <w:uiPriority w:val="0"/>
    <w:pPr>
      <w:adjustRightInd w:val="0"/>
      <w:snapToGrid w:val="0"/>
      <w:spacing w:line="400" w:lineRule="exact"/>
      <w:ind w:firstLine="200" w:firstLineChars="200"/>
    </w:pPr>
    <w:rPr>
      <w:rFonts w:ascii="Arial" w:hAnsi="Arial"/>
      <w:color w:val="000000"/>
    </w:rPr>
  </w:style>
  <w:style w:type="paragraph" w:customStyle="1" w:styleId="26">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F7518-478E-4C2A-A478-904DC81174C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971</Words>
  <Characters>5540</Characters>
  <Lines>46</Lines>
  <Paragraphs>12</Paragraphs>
  <TotalTime>0</TotalTime>
  <ScaleCrop>false</ScaleCrop>
  <LinksUpToDate>false</LinksUpToDate>
  <CharactersWithSpaces>6499</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2021-12-01T05:57:00Z</dcterms:created>
  <dc:creator>徐志瑶</dc:creator>
  <cp:lastModifiedBy>陈来</cp:lastModifiedBy>
  <dcterms:modified xsi:type="dcterms:W3CDTF">2021-12-02T06:01:03Z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68657B3AD77341FEB221192CC23F8D4D</vt:lpwstr>
  </property>
</Properties>
</file>