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jc w:val="both"/>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jc w:val="center"/>
        <w:rPr>
          <w:rFonts w:hint="eastAsia" w:ascii="黑体" w:hAnsi="黑体" w:eastAsia="黑体"/>
          <w:b/>
          <w:bCs/>
          <w:sz w:val="52"/>
          <w:szCs w:val="52"/>
          <w:u w:val="single"/>
        </w:rPr>
      </w:pPr>
      <w:r>
        <w:rPr>
          <w:rFonts w:hint="eastAsia" w:ascii="黑体" w:hAnsi="黑体" w:eastAsia="黑体"/>
          <w:b/>
          <w:bCs/>
          <w:sz w:val="52"/>
          <w:szCs w:val="52"/>
          <w:u w:val="single"/>
        </w:rPr>
        <w:t>T4航站楼</w:t>
      </w:r>
      <w:r>
        <w:rPr>
          <w:rFonts w:hint="eastAsia" w:ascii="黑体" w:hAnsi="黑体" w:eastAsia="黑体"/>
          <w:b/>
          <w:bCs/>
          <w:sz w:val="52"/>
          <w:szCs w:val="52"/>
          <w:u w:val="single"/>
          <w:lang w:eastAsia="zh-CN"/>
        </w:rPr>
        <w:t>及</w:t>
      </w:r>
      <w:r>
        <w:rPr>
          <w:rFonts w:hint="eastAsia" w:ascii="黑体" w:hAnsi="黑体" w:eastAsia="黑体"/>
          <w:b/>
          <w:bCs/>
          <w:sz w:val="52"/>
          <w:szCs w:val="52"/>
          <w:u w:val="single"/>
        </w:rPr>
        <w:t>交通中心等区域中央空</w:t>
      </w:r>
      <w:r>
        <w:rPr>
          <w:rFonts w:hint="eastAsia" w:ascii="黑体" w:hAnsi="黑体" w:eastAsia="黑体"/>
          <w:b/>
          <w:bCs/>
          <w:sz w:val="52"/>
          <w:szCs w:val="52"/>
          <w:u w:val="single"/>
          <w:lang w:eastAsia="zh-CN"/>
        </w:rPr>
        <w:t>调等设备巡更</w:t>
      </w:r>
      <w:r>
        <w:rPr>
          <w:rFonts w:hint="eastAsia" w:ascii="黑体" w:hAnsi="黑体" w:eastAsia="黑体"/>
          <w:b/>
          <w:bCs/>
          <w:sz w:val="52"/>
          <w:szCs w:val="52"/>
          <w:u w:val="single"/>
        </w:rPr>
        <w:t>系统</w:t>
      </w:r>
    </w:p>
    <w:p>
      <w:pPr>
        <w:spacing w:before="48" w:beforeLines="20" w:after="48" w:afterLines="20" w:line="360" w:lineRule="auto"/>
        <w:jc w:val="center"/>
        <w:rPr>
          <w:rFonts w:ascii="黑体" w:hAnsi="黑体" w:eastAsia="黑体"/>
          <w:b/>
          <w:bCs/>
          <w:sz w:val="52"/>
          <w:szCs w:val="52"/>
          <w:u w:val="none"/>
        </w:rPr>
      </w:pPr>
      <w:r>
        <w:rPr>
          <w:rFonts w:hint="eastAsia" w:ascii="黑体" w:hAnsi="黑体" w:eastAsia="黑体"/>
          <w:b/>
          <w:bCs/>
          <w:sz w:val="52"/>
          <w:szCs w:val="52"/>
          <w:u w:val="none"/>
        </w:rPr>
        <w:t>采购</w:t>
      </w:r>
      <w:r>
        <w:rPr>
          <w:rFonts w:hint="eastAsia" w:ascii="黑体" w:hAnsi="黑体" w:eastAsia="黑体"/>
          <w:b/>
          <w:bCs/>
          <w:sz w:val="52"/>
          <w:szCs w:val="52"/>
          <w:u w:val="none"/>
          <w:lang w:eastAsia="zh-CN"/>
        </w:rPr>
        <w:t>（含安装）</w:t>
      </w:r>
      <w:r>
        <w:rPr>
          <w:rFonts w:hint="eastAsia" w:ascii="黑体" w:hAnsi="黑体" w:eastAsia="黑体"/>
          <w:b/>
          <w:bCs/>
          <w:sz w:val="52"/>
          <w:szCs w:val="52"/>
          <w:u w:val="none"/>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二</w:t>
      </w:r>
      <w:r>
        <w:rPr>
          <w:rFonts w:hint="eastAsia" w:ascii="宋体" w:hAnsi="宋体"/>
          <w:b/>
          <w:sz w:val="44"/>
          <w:szCs w:val="44"/>
        </w:rPr>
        <w:t>年</w:t>
      </w:r>
      <w:r>
        <w:rPr>
          <w:rFonts w:hint="eastAsia" w:ascii="宋体" w:hAnsi="宋体"/>
          <w:b/>
          <w:sz w:val="44"/>
          <w:szCs w:val="44"/>
          <w:lang w:val="en-US" w:eastAsia="zh-CN"/>
        </w:rPr>
        <w:t>四</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9"/>
        </w:rPr>
      </w:pPr>
    </w:p>
    <w:p>
      <w:pPr>
        <w:autoSpaceDE w:val="0"/>
        <w:autoSpaceDN w:val="0"/>
        <w:adjustRightInd w:val="0"/>
        <w:spacing w:line="587" w:lineRule="exact"/>
        <w:ind w:right="43"/>
        <w:jc w:val="center"/>
        <w:rPr>
          <w:rStyle w:val="19"/>
        </w:rPr>
      </w:pPr>
      <w:bookmarkStart w:id="1" w:name="_Toc525132432"/>
      <w:bookmarkStart w:id="2" w:name="_Toc525202077"/>
      <w:bookmarkStart w:id="3" w:name="_Toc19698493"/>
      <w:r>
        <w:rPr>
          <w:rStyle w:val="19"/>
          <w:rFonts w:hint="eastAsia"/>
        </w:rPr>
        <w:t>目</w:t>
      </w:r>
      <w:r>
        <w:rPr>
          <w:rStyle w:val="19"/>
        </w:rPr>
        <w:t xml:space="preserve"> </w:t>
      </w:r>
      <w:r>
        <w:rPr>
          <w:rStyle w:val="19"/>
          <w:rFonts w:hint="eastAsia"/>
        </w:rPr>
        <w:t>录</w:t>
      </w:r>
      <w:bookmarkEnd w:id="0"/>
      <w:bookmarkEnd w:id="1"/>
      <w:bookmarkEnd w:id="2"/>
      <w:bookmarkEnd w:id="3"/>
    </w:p>
    <w:p>
      <w:pPr>
        <w:pStyle w:val="11"/>
        <w:tabs>
          <w:tab w:val="right" w:leader="dot" w:pos="9457"/>
        </w:tabs>
        <w:rPr>
          <w:rFonts w:ascii="微软雅黑" w:cs="微软雅黑"/>
          <w:b/>
          <w:spacing w:val="2"/>
          <w:w w:val="99"/>
          <w:kern w:val="0"/>
          <w:sz w:val="36"/>
          <w:szCs w:val="36"/>
        </w:rPr>
      </w:pPr>
    </w:p>
    <w:p>
      <w:pPr>
        <w:pStyle w:val="1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6"/>
          <w:rFonts w:ascii="宋体" w:hAnsi="宋体"/>
          <w:sz w:val="22"/>
        </w:rPr>
        <w:t>第一章</w:t>
      </w:r>
      <w:r>
        <w:rPr>
          <w:rStyle w:val="16"/>
          <w:rFonts w:hint="eastAsia" w:ascii="宋体" w:hAnsi="宋体"/>
          <w:sz w:val="22"/>
        </w:rPr>
        <w:t xml:space="preserve">  </w:t>
      </w:r>
      <w:r>
        <w:rPr>
          <w:rStyle w:val="1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6"/>
          <w:rFonts w:ascii="宋体" w:hAnsi="宋体"/>
          <w:sz w:val="22"/>
        </w:rPr>
        <w:t>第二章</w:t>
      </w:r>
      <w:r>
        <w:rPr>
          <w:rStyle w:val="16"/>
          <w:rFonts w:hint="eastAsia" w:ascii="宋体" w:hAnsi="宋体"/>
          <w:sz w:val="22"/>
        </w:rPr>
        <w:t xml:space="preserve">  </w:t>
      </w:r>
      <w:r>
        <w:rPr>
          <w:rStyle w:val="1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7"/>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杭州萧山国际机场T4航站楼及交通中心等区域中央空</w:t>
      </w:r>
      <w:r>
        <w:rPr>
          <w:rFonts w:hint="eastAsia" w:ascii="宋体" w:hAnsi="宋体" w:cs="宋体"/>
          <w:u w:val="single" w:color="000000"/>
          <w:lang w:eastAsia="zh-CN"/>
        </w:rPr>
        <w:t>调等</w:t>
      </w:r>
      <w:r>
        <w:rPr>
          <w:rFonts w:hint="eastAsia" w:ascii="宋体" w:hAnsi="宋体" w:cs="宋体"/>
          <w:u w:val="single" w:color="000000"/>
        </w:rPr>
        <w:t>设备巡更系统采购（含安装）</w:t>
      </w:r>
      <w:r>
        <w:rPr>
          <w:rFonts w:hint="eastAsia" w:ascii="宋体" w:hAnsi="宋体" w:cs="宋体"/>
          <w:u w:val="single" w:color="000000"/>
          <w:lang w:eastAsia="zh-CN"/>
        </w:rPr>
        <w:t>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7"/>
        <w:tabs>
          <w:tab w:val="left" w:pos="2388"/>
          <w:tab w:val="left" w:pos="2832"/>
          <w:tab w:val="left" w:pos="3472"/>
          <w:tab w:val="left" w:pos="6667"/>
          <w:tab w:val="left" w:pos="7270"/>
        </w:tabs>
        <w:spacing w:before="120" w:beforeLines="50" w:line="348" w:lineRule="auto"/>
        <w:ind w:left="102" w:right="153" w:firstLine="420"/>
        <w:rPr>
          <w:color w:val="auto"/>
        </w:rPr>
      </w:pPr>
      <w:r>
        <w:rPr>
          <w:rFonts w:hint="eastAsia"/>
          <w:color w:val="auto"/>
          <w:lang w:val="en-US" w:eastAsia="zh-CN"/>
        </w:rPr>
        <w:t xml:space="preserve">1. </w:t>
      </w:r>
      <w:r>
        <w:rPr>
          <w:rFonts w:hint="eastAsia"/>
          <w:color w:val="auto"/>
        </w:rPr>
        <w:t>招标货物名称、数量及主要技术规格</w:t>
      </w:r>
    </w:p>
    <w:tbl>
      <w:tblPr>
        <w:tblStyle w:val="17"/>
        <w:tblW w:w="101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2670"/>
        <w:gridCol w:w="960"/>
        <w:gridCol w:w="1575"/>
        <w:gridCol w:w="20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7" w:hRule="atLeast"/>
          <w:jc w:val="center"/>
        </w:trPr>
        <w:tc>
          <w:tcPr>
            <w:tcW w:w="1192" w:type="dxa"/>
            <w:vAlign w:val="center"/>
          </w:tcPr>
          <w:p>
            <w:pPr>
              <w:adjustRightInd w:val="0"/>
              <w:snapToGrid w:val="0"/>
              <w:jc w:val="center"/>
              <w:rPr>
                <w:rFonts w:hint="eastAsia" w:ascii="宋体" w:hAnsi="宋体" w:eastAsia="宋体" w:cs="宋体"/>
                <w:spacing w:val="-1"/>
                <w:kern w:val="2"/>
                <w:sz w:val="21"/>
                <w:szCs w:val="24"/>
                <w:lang w:val="en-US" w:eastAsia="zh-CN" w:bidi="ar-SA"/>
              </w:rPr>
            </w:pPr>
            <w:r>
              <w:rPr>
                <w:rFonts w:hint="eastAsia" w:ascii="宋体" w:hAnsi="宋体" w:eastAsia="宋体" w:cs="宋体"/>
                <w:spacing w:val="-1"/>
                <w:kern w:val="2"/>
                <w:sz w:val="21"/>
                <w:szCs w:val="24"/>
                <w:lang w:val="en-US" w:eastAsia="zh-CN" w:bidi="ar-SA"/>
              </w:rPr>
              <w:t>序号</w:t>
            </w:r>
          </w:p>
        </w:tc>
        <w:tc>
          <w:tcPr>
            <w:tcW w:w="2670"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货物名称</w:t>
            </w:r>
          </w:p>
        </w:tc>
        <w:tc>
          <w:tcPr>
            <w:tcW w:w="960"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数 量</w:t>
            </w:r>
          </w:p>
        </w:tc>
        <w:tc>
          <w:tcPr>
            <w:tcW w:w="1575" w:type="dxa"/>
            <w:vAlign w:val="center"/>
          </w:tcPr>
          <w:p>
            <w:pPr>
              <w:adjustRightInd w:val="0"/>
              <w:snapToGrid w:val="0"/>
              <w:jc w:val="center"/>
              <w:rPr>
                <w:rFonts w:ascii="宋体" w:hAnsi="宋体"/>
                <w:color w:val="auto"/>
                <w:szCs w:val="21"/>
              </w:rPr>
            </w:pPr>
            <w:r>
              <w:rPr>
                <w:rFonts w:ascii="宋体" w:hAnsi="宋体"/>
                <w:color w:val="auto"/>
                <w:szCs w:val="21"/>
              </w:rPr>
              <w:t>主要技术规格</w:t>
            </w:r>
          </w:p>
        </w:tc>
        <w:tc>
          <w:tcPr>
            <w:tcW w:w="2000" w:type="dxa"/>
            <w:vAlign w:val="center"/>
          </w:tcPr>
          <w:p>
            <w:pPr>
              <w:adjustRightInd w:val="0"/>
              <w:snapToGrid w:val="0"/>
              <w:jc w:val="center"/>
              <w:rPr>
                <w:rFonts w:ascii="宋体" w:hAnsi="宋体"/>
                <w:color w:val="auto"/>
                <w:szCs w:val="21"/>
              </w:rPr>
            </w:pPr>
            <w:r>
              <w:rPr>
                <w:rFonts w:ascii="宋体" w:hAnsi="宋体"/>
                <w:color w:val="auto"/>
                <w:szCs w:val="21"/>
              </w:rPr>
              <w:t>供货期</w:t>
            </w:r>
          </w:p>
        </w:tc>
        <w:tc>
          <w:tcPr>
            <w:tcW w:w="1800" w:type="dxa"/>
            <w:vAlign w:val="center"/>
          </w:tcPr>
          <w:p>
            <w:pPr>
              <w:adjustRightInd w:val="0"/>
              <w:snapToGrid w:val="0"/>
              <w:jc w:val="center"/>
              <w:rPr>
                <w:rFonts w:ascii="宋体" w:hAnsi="宋体"/>
                <w:color w:val="auto"/>
                <w:szCs w:val="21"/>
              </w:rPr>
            </w:pPr>
            <w:r>
              <w:rPr>
                <w:rFonts w:ascii="宋体" w:hAnsi="宋体"/>
                <w:color w:val="auto"/>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2"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1</w:t>
            </w:r>
          </w:p>
        </w:tc>
        <w:tc>
          <w:tcPr>
            <w:tcW w:w="2670"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巡检器</w:t>
            </w:r>
          </w:p>
        </w:tc>
        <w:tc>
          <w:tcPr>
            <w:tcW w:w="960"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12个</w:t>
            </w:r>
          </w:p>
        </w:tc>
        <w:tc>
          <w:tcPr>
            <w:tcW w:w="1575" w:type="dxa"/>
            <w:vMerge w:val="restart"/>
            <w:vAlign w:val="center"/>
          </w:tcPr>
          <w:p>
            <w:pPr>
              <w:pStyle w:val="6"/>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详</w:t>
            </w:r>
            <w:r>
              <w:rPr>
                <w:rFonts w:hint="eastAsia" w:ascii="宋体" w:hAnsi="宋体" w:eastAsia="宋体" w:cs="宋体"/>
                <w:kern w:val="2"/>
                <w:sz w:val="21"/>
                <w:szCs w:val="21"/>
                <w:lang w:val="en-US" w:eastAsia="zh-CN" w:bidi="ar-SA"/>
              </w:rPr>
              <w:t>见第五章</w:t>
            </w:r>
          </w:p>
        </w:tc>
        <w:tc>
          <w:tcPr>
            <w:tcW w:w="2000"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合同签订后 30 日历天内</w:t>
            </w:r>
          </w:p>
        </w:tc>
        <w:tc>
          <w:tcPr>
            <w:tcW w:w="1800"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2</w:t>
            </w:r>
          </w:p>
        </w:tc>
        <w:tc>
          <w:tcPr>
            <w:tcW w:w="2670"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rPr>
              <w:t>巡更点</w:t>
            </w:r>
          </w:p>
        </w:tc>
        <w:tc>
          <w:tcPr>
            <w:tcW w:w="960"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2500个</w:t>
            </w:r>
          </w:p>
        </w:tc>
        <w:tc>
          <w:tcPr>
            <w:tcW w:w="1575" w:type="dxa"/>
            <w:vMerge w:val="continue"/>
            <w:vAlign w:val="center"/>
          </w:tcPr>
          <w:p>
            <w:pPr>
              <w:pStyle w:val="6"/>
              <w:snapToGrid w:val="0"/>
              <w:jc w:val="center"/>
              <w:rPr>
                <w:rFonts w:hint="eastAsia" w:ascii="Calibri" w:hAnsi="Calibri" w:eastAsia="宋体" w:cs="Times New Roman"/>
                <w:color w:val="auto"/>
                <w:kern w:val="2"/>
                <w:sz w:val="21"/>
                <w:szCs w:val="24"/>
                <w:lang w:val="en-US" w:eastAsia="zh-CN" w:bidi="ar-SA"/>
              </w:rPr>
            </w:pPr>
          </w:p>
        </w:tc>
        <w:tc>
          <w:tcPr>
            <w:tcW w:w="2000"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c>
          <w:tcPr>
            <w:tcW w:w="1800"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eastAsia="宋体" w:cs="宋体"/>
                <w:sz w:val="21"/>
                <w:szCs w:val="21"/>
              </w:rPr>
              <w:t>3</w:t>
            </w:r>
          </w:p>
        </w:tc>
        <w:tc>
          <w:tcPr>
            <w:tcW w:w="2670"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eastAsia="宋体" w:cs="宋体"/>
                <w:sz w:val="21"/>
                <w:szCs w:val="21"/>
              </w:rPr>
              <w:t>巡更管理软件</w:t>
            </w:r>
          </w:p>
        </w:tc>
        <w:tc>
          <w:tcPr>
            <w:tcW w:w="960" w:type="dxa"/>
            <w:vAlign w:val="center"/>
          </w:tcPr>
          <w:p>
            <w:pPr>
              <w:widowControl/>
              <w:spacing w:line="560" w:lineRule="exact"/>
              <w:jc w:val="center"/>
              <w:textAlignment w:val="center"/>
              <w:rPr>
                <w:rFonts w:hint="default" w:ascii="Calibri" w:hAnsi="Calibri" w:eastAsia="宋体" w:cs="Times New Roman"/>
                <w:spacing w:val="-1"/>
                <w:kern w:val="2"/>
                <w:sz w:val="21"/>
                <w:szCs w:val="24"/>
                <w:lang w:val="en-US" w:eastAsia="zh-CN" w:bidi="ar-SA"/>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套</w:t>
            </w:r>
          </w:p>
        </w:tc>
        <w:tc>
          <w:tcPr>
            <w:tcW w:w="1575" w:type="dxa"/>
            <w:vMerge w:val="continue"/>
            <w:vAlign w:val="center"/>
          </w:tcPr>
          <w:p>
            <w:pPr>
              <w:pStyle w:val="6"/>
              <w:snapToGrid w:val="0"/>
              <w:jc w:val="center"/>
              <w:rPr>
                <w:rFonts w:ascii="宋体" w:hAnsi="宋体"/>
                <w:color w:val="auto"/>
                <w:kern w:val="0"/>
                <w:szCs w:val="21"/>
              </w:rPr>
            </w:pPr>
          </w:p>
        </w:tc>
        <w:tc>
          <w:tcPr>
            <w:tcW w:w="2000"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bl>
    <w:p>
      <w:pPr>
        <w:pStyle w:val="7"/>
        <w:numPr>
          <w:ilvl w:val="0"/>
          <w:numId w:val="1"/>
        </w:numPr>
        <w:tabs>
          <w:tab w:val="left" w:pos="2388"/>
          <w:tab w:val="left" w:pos="2832"/>
          <w:tab w:val="left" w:pos="3472"/>
          <w:tab w:val="left" w:pos="6667"/>
          <w:tab w:val="left" w:pos="7270"/>
        </w:tabs>
        <w:spacing w:before="120" w:beforeLines="50" w:line="348" w:lineRule="auto"/>
        <w:ind w:left="102" w:right="153" w:firstLine="420"/>
        <w:rPr>
          <w:rFonts w:hint="eastAsia"/>
          <w:color w:val="auto"/>
        </w:rPr>
      </w:pPr>
      <w:r>
        <w:rPr>
          <w:rFonts w:hint="eastAsia"/>
          <w:color w:val="auto"/>
        </w:rPr>
        <w:t>巡更点设置主要范围：T4航站楼、交通中心、能源中心集中式中央空调系统机房及设备（含综合管廊、共同沟区域）；T4航站楼、交通中心、能源中心等区域楼控、智能照明、冷热源群控等系统设备</w:t>
      </w:r>
      <w:r>
        <w:rPr>
          <w:rFonts w:hint="eastAsia"/>
          <w:color w:val="auto"/>
          <w:lang w:eastAsia="zh-CN"/>
        </w:rPr>
        <w:t>。</w:t>
      </w:r>
    </w:p>
    <w:p>
      <w:pPr>
        <w:pStyle w:val="7"/>
        <w:numPr>
          <w:ilvl w:val="0"/>
          <w:numId w:val="1"/>
        </w:numPr>
        <w:tabs>
          <w:tab w:val="left" w:pos="2388"/>
          <w:tab w:val="left" w:pos="2832"/>
          <w:tab w:val="left" w:pos="3472"/>
          <w:tab w:val="left" w:pos="6667"/>
          <w:tab w:val="left" w:pos="7270"/>
        </w:tabs>
        <w:spacing w:before="120" w:beforeLines="50" w:line="348" w:lineRule="auto"/>
        <w:ind w:left="102" w:leftChars="0" w:right="153" w:firstLine="420" w:firstLineChars="0"/>
        <w:rPr>
          <w:rFonts w:hint="eastAsia"/>
          <w:color w:val="auto"/>
        </w:rPr>
      </w:pPr>
      <w:r>
        <w:rPr>
          <w:rFonts w:hint="eastAsia"/>
          <w:color w:val="auto"/>
        </w:rPr>
        <w:t>巡更数据上传汇总点设置：</w:t>
      </w:r>
    </w:p>
    <w:tbl>
      <w:tblPr>
        <w:tblStyle w:val="18"/>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6"/>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trPr>
        <w:tc>
          <w:tcPr>
            <w:tcW w:w="6126" w:type="dxa"/>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color w:val="auto"/>
                <w:vertAlign w:val="baseline"/>
                <w:lang w:eastAsia="zh-CN"/>
              </w:rPr>
            </w:pPr>
            <w:r>
              <w:rPr>
                <w:rFonts w:hint="eastAsia"/>
                <w:color w:val="auto"/>
              </w:rPr>
              <w:t>巡更</w:t>
            </w:r>
            <w:r>
              <w:rPr>
                <w:rFonts w:hint="eastAsia"/>
                <w:color w:val="auto"/>
                <w:lang w:eastAsia="zh-CN"/>
              </w:rPr>
              <w:t>内容</w:t>
            </w:r>
          </w:p>
        </w:tc>
        <w:tc>
          <w:tcPr>
            <w:tcW w:w="2895" w:type="dxa"/>
          </w:tcPr>
          <w:p>
            <w:pPr>
              <w:pStyle w:val="7"/>
              <w:tabs>
                <w:tab w:val="left" w:pos="2388"/>
                <w:tab w:val="left" w:pos="2832"/>
                <w:tab w:val="left" w:pos="3472"/>
                <w:tab w:val="left" w:pos="6667"/>
                <w:tab w:val="left" w:pos="7270"/>
              </w:tabs>
              <w:spacing w:before="120" w:beforeLines="50" w:line="348" w:lineRule="auto"/>
              <w:ind w:right="153"/>
              <w:jc w:val="center"/>
              <w:rPr>
                <w:rFonts w:hint="eastAsia"/>
                <w:color w:val="auto"/>
              </w:rPr>
            </w:pPr>
            <w:r>
              <w:rPr>
                <w:rFonts w:hint="eastAsia"/>
                <w:color w:val="auto"/>
              </w:rPr>
              <w:t>巡更数据上传</w:t>
            </w:r>
          </w:p>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color w:val="auto"/>
                <w:vertAlign w:val="baseline"/>
                <w:lang w:eastAsia="zh-CN"/>
              </w:rPr>
            </w:pPr>
            <w:r>
              <w:rPr>
                <w:rFonts w:hint="eastAsia"/>
                <w:color w:val="auto"/>
              </w:rPr>
              <w:t>汇总</w:t>
            </w:r>
            <w:r>
              <w:rPr>
                <w:rFonts w:hint="eastAsia"/>
                <w:color w:val="auto"/>
                <w:lang w:eastAsia="zh-CN"/>
              </w:rPr>
              <w:t>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6126" w:type="dxa"/>
          </w:tcPr>
          <w:p>
            <w:pPr>
              <w:pStyle w:val="7"/>
              <w:tabs>
                <w:tab w:val="left" w:pos="2388"/>
                <w:tab w:val="left" w:pos="2832"/>
                <w:tab w:val="left" w:pos="3472"/>
                <w:tab w:val="left" w:pos="6667"/>
                <w:tab w:val="left" w:pos="7270"/>
              </w:tabs>
              <w:spacing w:before="120" w:beforeLines="50" w:line="348" w:lineRule="auto"/>
              <w:ind w:right="153"/>
              <w:jc w:val="center"/>
              <w:rPr>
                <w:rFonts w:hint="eastAsia"/>
                <w:color w:val="auto"/>
                <w:vertAlign w:val="baseline"/>
              </w:rPr>
            </w:pPr>
            <w:r>
              <w:rPr>
                <w:rFonts w:hint="eastAsia"/>
                <w:color w:val="auto"/>
              </w:rPr>
              <w:t>T4航站楼及交通中心集中式中央空调系统机房及设备（含综合管廊、共同沟区域）</w:t>
            </w:r>
          </w:p>
        </w:tc>
        <w:tc>
          <w:tcPr>
            <w:tcW w:w="2895" w:type="dxa"/>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color w:val="auto"/>
                <w:vertAlign w:val="baseline"/>
                <w:lang w:val="en-US" w:eastAsia="zh-CN"/>
              </w:rPr>
            </w:pPr>
            <w:r>
              <w:rPr>
                <w:rFonts w:hint="eastAsia"/>
                <w:color w:val="auto"/>
                <w:vertAlign w:val="baseli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126" w:type="dxa"/>
          </w:tcPr>
          <w:p>
            <w:pPr>
              <w:pStyle w:val="7"/>
              <w:tabs>
                <w:tab w:val="left" w:pos="2388"/>
                <w:tab w:val="left" w:pos="2832"/>
                <w:tab w:val="left" w:pos="3472"/>
                <w:tab w:val="left" w:pos="6667"/>
                <w:tab w:val="left" w:pos="7270"/>
              </w:tabs>
              <w:spacing w:before="120" w:beforeLines="50" w:line="348" w:lineRule="auto"/>
              <w:ind w:right="153"/>
              <w:jc w:val="center"/>
              <w:rPr>
                <w:rFonts w:hint="eastAsia"/>
                <w:color w:val="auto"/>
                <w:vertAlign w:val="baseline"/>
              </w:rPr>
            </w:pPr>
            <w:r>
              <w:rPr>
                <w:rFonts w:hint="eastAsia"/>
                <w:color w:val="auto"/>
                <w:lang w:val="en-US" w:eastAsia="zh-CN"/>
              </w:rPr>
              <w:t>T4</w:t>
            </w:r>
            <w:r>
              <w:rPr>
                <w:rFonts w:hint="eastAsia"/>
                <w:color w:val="auto"/>
              </w:rPr>
              <w:t>航站楼、交通中心、能源中心等区域楼控、智能照明、冷热源群控等系统设备</w:t>
            </w:r>
          </w:p>
        </w:tc>
        <w:tc>
          <w:tcPr>
            <w:tcW w:w="2895" w:type="dxa"/>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color w:val="auto"/>
                <w:vertAlign w:val="baseline"/>
                <w:lang w:val="en-US" w:eastAsia="zh-CN"/>
              </w:rPr>
            </w:pPr>
            <w:r>
              <w:rPr>
                <w:rFonts w:hint="eastAsia"/>
                <w:color w:val="auto"/>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6126" w:type="dxa"/>
          </w:tcPr>
          <w:p>
            <w:pPr>
              <w:pStyle w:val="7"/>
              <w:tabs>
                <w:tab w:val="left" w:pos="2388"/>
                <w:tab w:val="left" w:pos="2832"/>
                <w:tab w:val="left" w:pos="3472"/>
                <w:tab w:val="left" w:pos="6667"/>
                <w:tab w:val="left" w:pos="7270"/>
              </w:tabs>
              <w:spacing w:before="120" w:beforeLines="50" w:line="348" w:lineRule="auto"/>
              <w:ind w:right="153"/>
              <w:jc w:val="center"/>
              <w:rPr>
                <w:rFonts w:hint="eastAsia"/>
                <w:color w:val="auto"/>
                <w:vertAlign w:val="baseline"/>
              </w:rPr>
            </w:pPr>
            <w:r>
              <w:rPr>
                <w:rFonts w:hint="eastAsia"/>
                <w:color w:val="auto"/>
              </w:rPr>
              <w:t>能源中心集中式中央空调系统机房及设备（含综合管廊、共同沟区域）</w:t>
            </w:r>
          </w:p>
        </w:tc>
        <w:tc>
          <w:tcPr>
            <w:tcW w:w="2895" w:type="dxa"/>
          </w:tcPr>
          <w:p>
            <w:pPr>
              <w:pStyle w:val="7"/>
              <w:tabs>
                <w:tab w:val="left" w:pos="2388"/>
                <w:tab w:val="left" w:pos="2832"/>
                <w:tab w:val="left" w:pos="3472"/>
                <w:tab w:val="left" w:pos="6667"/>
                <w:tab w:val="left" w:pos="7270"/>
              </w:tabs>
              <w:spacing w:before="120" w:beforeLines="50" w:line="348" w:lineRule="auto"/>
              <w:ind w:right="153"/>
              <w:jc w:val="center"/>
              <w:rPr>
                <w:rFonts w:hint="eastAsia" w:eastAsia="宋体"/>
                <w:color w:val="auto"/>
                <w:vertAlign w:val="baseline"/>
                <w:lang w:val="en-US" w:eastAsia="zh-CN"/>
              </w:rPr>
            </w:pPr>
            <w:r>
              <w:rPr>
                <w:rFonts w:hint="eastAsia"/>
                <w:color w:val="auto"/>
                <w:vertAlign w:val="baseline"/>
                <w:lang w:val="en-US" w:eastAsia="zh-CN"/>
              </w:rPr>
              <w:t>1个</w:t>
            </w:r>
          </w:p>
        </w:tc>
      </w:tr>
    </w:tbl>
    <w:p>
      <w:pPr>
        <w:pStyle w:val="7"/>
        <w:tabs>
          <w:tab w:val="left" w:pos="2388"/>
          <w:tab w:val="left" w:pos="2832"/>
          <w:tab w:val="left" w:pos="3472"/>
          <w:tab w:val="left" w:pos="6667"/>
          <w:tab w:val="left" w:pos="7270"/>
        </w:tabs>
        <w:spacing w:before="120" w:beforeLines="50" w:line="348" w:lineRule="auto"/>
        <w:ind w:left="102" w:right="153" w:firstLine="420"/>
        <w:rPr>
          <w:rFonts w:hint="eastAsia"/>
          <w:color w:val="auto"/>
        </w:rPr>
      </w:pPr>
    </w:p>
    <w:p>
      <w:pPr>
        <w:pStyle w:val="7"/>
        <w:tabs>
          <w:tab w:val="left" w:pos="2388"/>
          <w:tab w:val="left" w:pos="2832"/>
          <w:tab w:val="left" w:pos="3472"/>
          <w:tab w:val="left" w:pos="6667"/>
          <w:tab w:val="left" w:pos="7270"/>
        </w:tabs>
        <w:spacing w:line="348" w:lineRule="auto"/>
        <w:ind w:right="153" w:firstLine="419"/>
      </w:pPr>
      <w:r>
        <w:rPr>
          <w:rFonts w:hint="eastAsia"/>
        </w:rPr>
        <w:t>注：其他具体招标内容详</w:t>
      </w:r>
      <w:r>
        <w:rPr>
          <w:rFonts w:hint="eastAsia" w:ascii="宋体" w:hAnsi="宋体" w:eastAsia="宋体" w:cs="宋体"/>
          <w:kern w:val="2"/>
          <w:sz w:val="21"/>
          <w:szCs w:val="21"/>
          <w:lang w:val="en-US" w:eastAsia="zh-CN" w:bidi="ar-SA"/>
        </w:rPr>
        <w:t>见第五章</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7"/>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7"/>
        <w:tabs>
          <w:tab w:val="left" w:pos="4394"/>
          <w:tab w:val="left" w:pos="5990"/>
        </w:tabs>
        <w:spacing w:line="331" w:lineRule="auto"/>
        <w:ind w:right="157" w:firstLine="41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lang w:val="en-US" w:eastAsia="zh-C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7"/>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7"/>
        <w:tabs>
          <w:tab w:val="left" w:pos="4394"/>
          <w:tab w:val="left" w:pos="5990"/>
        </w:tabs>
        <w:spacing w:line="331" w:lineRule="auto"/>
        <w:ind w:right="157" w:firstLine="419"/>
        <w:rPr>
          <w:rFonts w:cs="宋体"/>
          <w:color w:val="auto"/>
        </w:rPr>
      </w:pPr>
      <w:r>
        <w:rPr>
          <w:rFonts w:hint="eastAsia" w:cs="宋体"/>
          <w:color w:val="auto"/>
        </w:rPr>
        <w:t>⑤</w:t>
      </w:r>
      <w:r>
        <w:rPr>
          <w:rFonts w:cs="宋体"/>
          <w:color w:val="auto"/>
        </w:rPr>
        <w:t xml:space="preserve"> </w:t>
      </w:r>
      <w:r>
        <w:rPr>
          <w:rFonts w:hint="eastAsia" w:cs="宋体"/>
          <w:color w:val="auto"/>
        </w:rPr>
        <w:t>近年（合同签订时间在</w:t>
      </w:r>
      <w:r>
        <w:rPr>
          <w:rFonts w:ascii="Times New Roman" w:hAnsi="Times New Roman" w:eastAsia="Times New Roman"/>
          <w:color w:val="auto"/>
        </w:rPr>
        <w:t>20</w:t>
      </w:r>
      <w:r>
        <w:rPr>
          <w:rFonts w:ascii="Times New Roman" w:hAnsi="Times New Roman"/>
          <w:color w:val="auto"/>
        </w:rPr>
        <w:t>1</w:t>
      </w:r>
      <w:r>
        <w:rPr>
          <w:rFonts w:hint="eastAsia" w:ascii="Times New Roman" w:hAnsi="Times New Roman"/>
          <w:color w:val="auto"/>
          <w:u w:val="single"/>
          <w:lang w:val="en-US" w:eastAsia="zh-CN"/>
        </w:rPr>
        <w:t>9</w:t>
      </w:r>
      <w:r>
        <w:rPr>
          <w:rFonts w:ascii="Times New Roman" w:hAnsi="Times New Roman" w:eastAsiaTheme="minorEastAsia"/>
          <w:color w:val="auto"/>
          <w:u w:val="single"/>
        </w:rPr>
        <w:t xml:space="preserve"> </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w:t>
      </w:r>
      <w:r>
        <w:rPr>
          <w:rFonts w:hint="eastAsia" w:cs="宋体"/>
          <w:color w:val="auto"/>
          <w:lang w:eastAsia="zh-CN"/>
        </w:rPr>
        <w:t>巡更系统销售、安装或维护业绩</w:t>
      </w:r>
      <w:r>
        <w:rPr>
          <w:rFonts w:hint="eastAsia" w:cs="宋体"/>
          <w:color w:val="auto"/>
        </w:rPr>
        <w:t>，需提供中标通知书或合同复印件并加盖投标人公章作为证明材料，原件备查。</w:t>
      </w:r>
    </w:p>
    <w:p>
      <w:pPr>
        <w:pStyle w:val="7"/>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t xml:space="preserve"> </w:t>
      </w:r>
      <w:r>
        <w:rPr>
          <w:rFonts w:hint="eastAsia" w:cs="宋体"/>
        </w:rPr>
        <w:t>自行下载招标文件。</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bookmarkStart w:id="44" w:name="_GoBack"/>
      <w:bookmarkEnd w:id="44"/>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cs="宋体"/>
          <w:color w:val="0000FF"/>
          <w:lang w:val="en-US" w:eastAsia="zh-CN"/>
        </w:rPr>
        <w:t>2022年5月1日14时00分</w:t>
      </w:r>
      <w:r>
        <w:rPr>
          <w:rFonts w:hint="eastAsia" w:cs="宋体"/>
        </w:rPr>
        <w:t>，投标文件在封口处加盖公章，派专人于</w:t>
      </w:r>
      <w:r>
        <w:rPr>
          <w:rFonts w:hint="eastAsia" w:cs="宋体"/>
          <w:color w:val="0000FF"/>
          <w:lang w:val="en-US" w:eastAsia="zh-CN"/>
        </w:rPr>
        <w:t>2022年5月1日14时00分</w:t>
      </w:r>
      <w:r>
        <w:rPr>
          <w:rFonts w:hint="eastAsia" w:cs="宋体"/>
        </w:rPr>
        <w:t>（北京时间）前送至杭州萧山国际机场</w:t>
      </w:r>
      <w:r>
        <w:rPr>
          <w:rFonts w:hint="eastAsia" w:cs="宋体"/>
          <w:lang w:val="en-US" w:eastAsia="zh-CN"/>
        </w:rPr>
        <w:t>物业安检楼2021办公室</w:t>
      </w:r>
      <w:r>
        <w:rPr>
          <w:rFonts w:hint="eastAsia" w:cs="宋体"/>
        </w:rPr>
        <w:t>，逾期无效；若采用投递（邮寄）方式的，请于</w:t>
      </w:r>
      <w:r>
        <w:rPr>
          <w:rFonts w:hint="eastAsia" w:cs="宋体"/>
          <w:color w:val="0000FF"/>
          <w:lang w:val="en-US" w:eastAsia="zh-CN"/>
        </w:rPr>
        <w:t>2022年5月1日14时00分</w:t>
      </w:r>
      <w:r>
        <w:rPr>
          <w:rFonts w:hint="eastAsia" w:cs="宋体"/>
        </w:rPr>
        <w:t>（北京时间）前投递至杭州萧山国际机场</w:t>
      </w:r>
      <w:r>
        <w:rPr>
          <w:rFonts w:hint="eastAsia" w:cs="宋体"/>
          <w:lang w:val="en-US" w:eastAsia="zh-CN"/>
        </w:rPr>
        <w:t>物业安检楼2021办公室</w:t>
      </w:r>
      <w:r>
        <w:rPr>
          <w:rFonts w:hint="eastAsia" w:cs="宋体"/>
        </w:rPr>
        <w:t>，逾期无效。</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7"/>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中国采购与招标网：http://www.chinabidding.com.cn</w:t>
      </w: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7"/>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7"/>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项工</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3156</w:t>
      </w:r>
    </w:p>
    <w:p>
      <w:pPr>
        <w:pStyle w:val="7"/>
        <w:tabs>
          <w:tab w:val="left" w:pos="4394"/>
          <w:tab w:val="left" w:pos="5990"/>
        </w:tabs>
        <w:spacing w:line="331" w:lineRule="auto"/>
        <w:ind w:right="157" w:firstLine="419"/>
        <w:rPr>
          <w:rFonts w:hint="eastAsia" w:cs="宋体"/>
          <w:lang w:val="en-US" w:eastAsia="zh-CN"/>
        </w:rPr>
      </w:pPr>
      <w:r>
        <w:rPr>
          <w:rFonts w:hint="eastAsia" w:cs="宋体"/>
        </w:rPr>
        <w:t>招标监督人：</w:t>
      </w:r>
      <w:r>
        <w:rPr>
          <w:rFonts w:hint="eastAsia" w:cs="宋体"/>
          <w:lang w:eastAsia="zh-CN"/>
        </w:rPr>
        <w:t>闻工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联系电话：0571-</w:t>
      </w:r>
      <w:r>
        <w:rPr>
          <w:rFonts w:hint="eastAsia" w:cs="宋体"/>
          <w:lang w:val="en-US" w:eastAsia="zh-CN"/>
        </w:rPr>
        <w:t>86662361</w:t>
      </w:r>
    </w:p>
    <w:p>
      <w:pPr>
        <w:pStyle w:val="7"/>
        <w:tabs>
          <w:tab w:val="left" w:pos="4394"/>
          <w:tab w:val="left" w:pos="5990"/>
        </w:tabs>
        <w:spacing w:line="331" w:lineRule="auto"/>
        <w:ind w:right="157" w:firstLine="419"/>
        <w:rPr>
          <w:rFonts w:hint="eastAsia" w:cs="宋体"/>
          <w:lang w:val="en-US" w:eastAsia="zh-CN"/>
        </w:rPr>
        <w:sectPr>
          <w:pgSz w:w="12240" w:h="15840"/>
          <w:pgMar w:top="1400" w:right="1640" w:bottom="1120" w:left="1700" w:header="0" w:footer="901" w:gutter="0"/>
          <w:pgBorders>
            <w:top w:val="none" w:color="auto" w:sz="0" w:space="0"/>
            <w:left w:val="none" w:color="auto" w:sz="0" w:space="0"/>
            <w:bottom w:val="none" w:color="auto" w:sz="0" w:space="0"/>
            <w:right w:val="none" w:color="auto" w:sz="0" w:space="0"/>
          </w:pgBorders>
          <w:cols w:space="720" w:num="1"/>
        </w:sectPr>
      </w:pPr>
      <w:bookmarkStart w:id="13" w:name="_bookmark18"/>
      <w:bookmarkEnd w:id="13"/>
      <w:bookmarkStart w:id="14" w:name="_Toc19698496"/>
      <w:r>
        <w:rPr>
          <w:rFonts w:hint="eastAsia" w:cs="宋体"/>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p>
      <w:pPr>
        <w:pStyle w:val="3"/>
        <w:spacing w:line="564" w:lineRule="exact"/>
        <w:ind w:right="57" w:firstLine="2650" w:firstLineChars="600"/>
        <w:jc w:val="both"/>
      </w:pPr>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17"/>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val="en-US" w:eastAsia="zh-CN"/>
              </w:rPr>
              <w:t>项亮</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color="000000"/>
              </w:rPr>
              <w:t>T4航站楼及交通中心等区域中央空调等设备巡更系统采购（含安装）项目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30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2022</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hint="eastAsia" w:cs="宋体"/>
                <w:lang w:val="en-US" w:eastAsia="zh-CN"/>
              </w:rPr>
            </w:pPr>
            <w:r>
              <w:rPr>
                <w:rFonts w:hint="eastAsia" w:ascii="宋体" w:hAnsi="宋体"/>
                <w:szCs w:val="21"/>
              </w:rPr>
              <w:t>踏勘集中地点：杭州萧山国际机场</w:t>
            </w:r>
            <w:r>
              <w:rPr>
                <w:rFonts w:hint="eastAsia" w:cs="宋体"/>
                <w:lang w:val="en-US" w:eastAsia="zh-CN"/>
              </w:rPr>
              <w:t>物业安检楼</w:t>
            </w:r>
          </w:p>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2022</w:t>
            </w:r>
            <w:r>
              <w:rPr>
                <w:rFonts w:hint="eastAsia" w:ascii="宋体" w:hAnsi="宋体"/>
                <w:szCs w:val="21"/>
              </w:rPr>
              <w:t>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w:t>
            </w:r>
            <w:r>
              <w:rPr>
                <w:rFonts w:hint="eastAsia" w:cs="宋体"/>
                <w:lang w:val="en-US" w:eastAsia="zh-CN"/>
              </w:rPr>
              <w:t>物业安检楼</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宋体" w:hAnsi="宋体" w:cs="Calibri"/>
                <w:kern w:val="0"/>
                <w:sz w:val="22"/>
                <w:lang w:val="en-US" w:eastAsia="zh-CN"/>
              </w:rPr>
              <w:t>136198393</w:t>
            </w:r>
            <w:r>
              <w:rPr>
                <w:rFonts w:hint="eastAsia" w:ascii="宋体" w:hAnsi="宋体" w:cs="Calibri"/>
                <w:kern w:val="0"/>
                <w:sz w:val="22"/>
              </w:rPr>
              <w:t>@qq.com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宋体" w:cs="Times New Roman"/>
                    <w:kern w:val="2"/>
                    <w:sz w:val="24"/>
                    <w:szCs w:val="22"/>
                    <w:lang w:val="en-US" w:eastAsia="zh-CN" w:bidi="ar-SA"/>
                  </w:rPr>
                  <w:t>R</w:t>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hint="eastAsia" w:ascii="宋体" w:hAnsi="宋体" w:cs="Calibri"/>
                <w:kern w:val="0"/>
                <w:sz w:val="22"/>
                <w:lang w:val="en-US" w:eastAsia="zh-CN"/>
              </w:rPr>
              <w:t>136198393</w:t>
            </w:r>
            <w:r>
              <w:rPr>
                <w:rFonts w:hint="eastAsia" w:ascii="宋体" w:hAnsi="宋体" w:cs="Calibri"/>
                <w:kern w:val="0"/>
                <w:sz w:val="22"/>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b/>
                <w:bCs/>
                <w:color w:val="1D41D5"/>
                <w:kern w:val="0"/>
                <w:sz w:val="22"/>
                <w:lang w:val="en-US" w:eastAsia="zh-CN"/>
              </w:rPr>
              <w:t>2022</w:t>
            </w:r>
            <w:r>
              <w:rPr>
                <w:rFonts w:hint="eastAsia" w:ascii="宋体" w:hAnsi="宋体" w:cs="Calibri"/>
                <w:b/>
                <w:bCs/>
                <w:color w:val="1D41D5"/>
                <w:kern w:val="0"/>
                <w:sz w:val="22"/>
              </w:rPr>
              <w:t>年</w:t>
            </w:r>
            <w:r>
              <w:rPr>
                <w:rFonts w:hint="eastAsia" w:ascii="宋体" w:hAnsi="宋体" w:cs="Calibri"/>
                <w:b/>
                <w:bCs/>
                <w:color w:val="1D41D5"/>
                <w:kern w:val="0"/>
                <w:sz w:val="22"/>
                <w:lang w:val="en-US" w:eastAsia="zh-CN"/>
              </w:rPr>
              <w:t>4</w:t>
            </w:r>
            <w:r>
              <w:rPr>
                <w:rFonts w:hint="eastAsia" w:ascii="宋体" w:hAnsi="宋体" w:cs="Calibri"/>
                <w:b/>
                <w:bCs/>
                <w:color w:val="1D41D5"/>
                <w:kern w:val="0"/>
                <w:sz w:val="22"/>
              </w:rPr>
              <w:t>月</w:t>
            </w:r>
            <w:r>
              <w:rPr>
                <w:rFonts w:hint="eastAsia" w:ascii="宋体" w:hAnsi="宋体" w:cs="Calibri"/>
                <w:b/>
                <w:bCs/>
                <w:color w:val="1D41D5"/>
                <w:kern w:val="0"/>
                <w:sz w:val="22"/>
                <w:lang w:val="en-US" w:eastAsia="zh-CN"/>
              </w:rPr>
              <w:t>29</w:t>
            </w:r>
            <w:r>
              <w:rPr>
                <w:rFonts w:hint="eastAsia" w:ascii="宋体" w:hAnsi="宋体" w:cs="Calibri"/>
                <w:b/>
                <w:bCs/>
                <w:color w:val="1D41D5"/>
                <w:kern w:val="0"/>
                <w:sz w:val="22"/>
              </w:rPr>
              <w:t>日11：30前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项亮</w:t>
            </w:r>
            <w:r>
              <w:rPr>
                <w:rFonts w:hint="eastAsia" w:ascii="宋体" w:hAnsi="宋体" w:cs="Calibri"/>
                <w:kern w:val="0"/>
                <w:sz w:val="22"/>
              </w:rPr>
              <w:t>，电话0571-8383</w:t>
            </w:r>
            <w:r>
              <w:rPr>
                <w:rFonts w:hint="eastAsia" w:ascii="宋体" w:hAnsi="宋体" w:cs="Calibri"/>
                <w:kern w:val="0"/>
                <w:sz w:val="22"/>
                <w:lang w:val="en-US" w:eastAsia="zh-CN"/>
              </w:rPr>
              <w:t>156</w:t>
            </w:r>
            <w:r>
              <w:rPr>
                <w:rFonts w:hint="eastAsia" w:ascii="宋体" w:hAnsi="宋体" w:cs="Calibri"/>
                <w:kern w:val="0"/>
                <w:sz w:val="22"/>
              </w:rPr>
              <w:t>；传真：</w:t>
            </w:r>
            <w:r>
              <w:rPr>
                <w:rFonts w:ascii="宋体" w:hAnsi="宋体" w:cs="Calibri"/>
                <w:kern w:val="0"/>
                <w:sz w:val="22"/>
              </w:rPr>
              <w:t>0571-</w:t>
            </w:r>
            <w:r>
              <w:rPr>
                <w:rFonts w:hint="eastAsia" w:ascii="宋体" w:hAnsi="宋体" w:cs="Calibri"/>
                <w:kern w:val="0"/>
                <w:sz w:val="22"/>
              </w:rPr>
              <w:t>86661149；电子邮箱：</w:t>
            </w:r>
            <w:r>
              <w:rPr>
                <w:rFonts w:hint="eastAsia" w:ascii="宋体" w:hAnsi="宋体" w:cs="Calibri"/>
                <w:kern w:val="0"/>
                <w:sz w:val="22"/>
                <w:lang w:val="en-US" w:eastAsia="zh-CN"/>
              </w:rPr>
              <w:t>136198393</w:t>
            </w:r>
            <w:r>
              <w:rPr>
                <w:rFonts w:hint="eastAsia" w:ascii="宋体" w:hAnsi="宋体" w:cs="Calibri"/>
                <w:kern w:val="0"/>
                <w:sz w:val="22"/>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7"/>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7"/>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7"/>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7"/>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8"/>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8"/>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8"/>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8"/>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647087531"/>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年至20</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028294764"/>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65745196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w:t>
            </w:r>
            <w:r>
              <w:rPr>
                <w:rFonts w:hint="eastAsia" w:ascii="宋体" w:hAnsi="宋体" w:cs="宋体"/>
                <w:color w:val="auto"/>
              </w:rPr>
              <w:t>1</w:t>
            </w:r>
            <w:r>
              <w:rPr>
                <w:rFonts w:hint="eastAsia" w:ascii="宋体" w:hAnsi="宋体" w:cs="宋体"/>
                <w:color w:val="auto"/>
                <w:lang w:val="en-US" w:eastAsia="zh-CN"/>
              </w:rPr>
              <w:t>9</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月 </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61824102"/>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84617561"/>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color w:val="1D41D5"/>
              </w:rPr>
            </w:pPr>
            <w:r>
              <w:rPr>
                <w:rFonts w:hint="eastAsia" w:ascii="宋体" w:hAnsi="宋体" w:cs="宋体"/>
                <w:color w:val="1D41D5"/>
              </w:rPr>
              <w:t>在</w:t>
            </w:r>
            <w:r>
              <w:rPr>
                <w:rFonts w:hint="eastAsia" w:cs="宋体"/>
                <w:color w:val="0000FF"/>
                <w:lang w:val="en-US" w:eastAsia="zh-CN"/>
              </w:rPr>
              <w:t>2022年5月1日14时00分</w:t>
            </w:r>
            <w:r>
              <w:rPr>
                <w:rFonts w:hint="eastAsia" w:ascii="宋体" w:hAnsi="宋体" w:cs="宋体"/>
                <w:color w:val="1D41D5"/>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color w:val="0000FF"/>
                <w:lang w:val="en-US" w:eastAsia="zh-CN"/>
              </w:rPr>
              <w:t>2022年5月1日14时00分</w:t>
            </w:r>
            <w:r>
              <w:rPr>
                <w:rFonts w:hint="eastAsia" w:ascii="宋体" w:hAnsi="宋体" w:cs="宋体"/>
                <w:b/>
                <w:color w:val="1D41D5"/>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w:t>
            </w:r>
            <w:r>
              <w:rPr>
                <w:rFonts w:hint="eastAsia" w:cs="宋体"/>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9</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6"/>
        </w:rPr>
        <w:t>http://www.hzairport.com/tender/index.html</w:t>
      </w:r>
      <w:r>
        <w:rPr>
          <w:rStyle w:val="1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120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19809802"/>
      <w:bookmarkStart w:id="22" w:name="_Toc15553"/>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20123243"/>
      <w:bookmarkStart w:id="25" w:name="_Toc219809803"/>
      <w:bookmarkStart w:id="26" w:name="_Toc18806"/>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7"/>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7"/>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投标人代表</w:t>
            </w:r>
          </w:p>
          <w:p>
            <w:pPr>
              <w:pStyle w:val="2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投标人代表</w:t>
            </w:r>
          </w:p>
          <w:p>
            <w:pPr>
              <w:pStyle w:val="20"/>
              <w:spacing w:line="360" w:lineRule="exact"/>
              <w:jc w:val="center"/>
              <w:rPr>
                <w:rFonts w:ascii="宋体" w:hAnsi="宋体" w:cs="宋体"/>
                <w:sz w:val="22"/>
              </w:rPr>
            </w:pPr>
            <w:r>
              <w:rPr>
                <w:rFonts w:hint="eastAsia" w:ascii="宋体" w:hAnsi="宋体" w:cs="宋体"/>
                <w:sz w:val="22"/>
              </w:rPr>
              <w:t>联系电话</w:t>
            </w:r>
          </w:p>
        </w:tc>
      </w:tr>
      <w:tr>
        <w:tblPrEx>
          <w:tblLayout w:type="fixed"/>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7"/>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杭州萧山国际机场</w:t>
      </w:r>
      <w:r>
        <w:rPr>
          <w:rFonts w:hint="eastAsia" w:ascii="宋体" w:hAnsi="宋体" w:cs="宋体"/>
          <w:sz w:val="24"/>
          <w:lang w:val="en-US" w:eastAsia="zh-CN"/>
        </w:rPr>
        <w:t>物业安检楼2021办公室</w:t>
      </w:r>
      <w:r>
        <w:rPr>
          <w:rFonts w:hint="eastAsia" w:ascii="宋体" w:hAnsi="宋体" w:cs="宋体"/>
          <w:sz w:val="24"/>
        </w:rPr>
        <w:t xml:space="preserve">或传真至 </w:t>
      </w:r>
      <w:r>
        <w:rPr>
          <w:rFonts w:ascii="宋体" w:hAnsi="宋体" w:cs="宋体"/>
          <w:sz w:val="24"/>
        </w:rPr>
        <w:t xml:space="preserve"> 0571-8</w:t>
      </w:r>
      <w:r>
        <w:rPr>
          <w:rFonts w:hint="eastAsia" w:ascii="宋体" w:hAnsi="宋体" w:cs="宋体"/>
          <w:sz w:val="24"/>
          <w:lang w:val="en-US" w:eastAsia="zh-CN"/>
        </w:rPr>
        <w:t>6661149</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w:t>
      </w:r>
      <w:r>
        <w:rPr>
          <w:rFonts w:hint="eastAsia" w:ascii="宋体" w:hAnsi="宋体" w:cs="宋体"/>
          <w:sz w:val="24"/>
          <w:lang w:val="en-US" w:eastAsia="zh-CN"/>
        </w:rPr>
        <w:t>物业安检楼2021办公室</w:t>
      </w:r>
      <w:r>
        <w:rPr>
          <w:rFonts w:hint="eastAsia" w:ascii="宋体" w:hAnsi="宋体" w:cs="宋体"/>
          <w:sz w:val="24"/>
        </w:rPr>
        <w:t>。</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7"/>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eastAsia" w:ascii="宋体" w:hAnsi="宋体" w:cs="宋体"/>
          <w:sz w:val="24"/>
        </w:rPr>
      </w:pPr>
      <w:r>
        <w:rPr>
          <w:rFonts w:hint="eastAsia" w:ascii="宋体" w:hAnsi="宋体" w:cs="宋体"/>
          <w:sz w:val="24"/>
        </w:rPr>
        <w:t xml:space="preserve">联系人：     </w:t>
      </w:r>
      <w:r>
        <w:rPr>
          <w:rFonts w:hint="eastAsia" w:ascii="宋体" w:hAnsi="宋体" w:cs="宋体"/>
          <w:sz w:val="24"/>
          <w:lang w:val="en-US" w:eastAsia="zh-CN"/>
        </w:rPr>
        <w:t xml:space="preserve">                         </w:t>
      </w:r>
      <w:r>
        <w:rPr>
          <w:rFonts w:hint="eastAsia" w:ascii="宋体" w:hAnsi="宋体" w:cs="宋体"/>
          <w:sz w:val="24"/>
        </w:rPr>
        <w:t xml:space="preserve">  联系电话：</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9"/>
          <w:sz w:val="40"/>
          <w:szCs w:val="40"/>
        </w:rPr>
      </w:pPr>
    </w:p>
    <w:p>
      <w:pPr>
        <w:autoSpaceDE w:val="0"/>
        <w:autoSpaceDN w:val="0"/>
        <w:adjustRightInd w:val="0"/>
        <w:spacing w:line="587" w:lineRule="exact"/>
        <w:ind w:right="43"/>
        <w:jc w:val="center"/>
        <w:rPr>
          <w:rStyle w:val="19"/>
          <w:sz w:val="40"/>
          <w:szCs w:val="40"/>
        </w:rPr>
      </w:pPr>
    </w:p>
    <w:p>
      <w:pPr>
        <w:autoSpaceDE w:val="0"/>
        <w:autoSpaceDN w:val="0"/>
        <w:adjustRightInd w:val="0"/>
        <w:spacing w:line="587" w:lineRule="exact"/>
        <w:ind w:right="43"/>
        <w:jc w:val="center"/>
        <w:rPr>
          <w:rStyle w:val="19"/>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9"/>
          <w:sz w:val="40"/>
          <w:szCs w:val="40"/>
        </w:rPr>
        <w:sectPr>
          <w:footerReference r:id="rId11" w:type="default"/>
          <w:footerReference r:id="rId12"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0" w:name="_Toc19698498"/>
      <w:r>
        <w:rPr>
          <w:rFonts w:hint="eastAsia"/>
        </w:rPr>
        <w:t>第三章</w:t>
      </w:r>
      <w:r>
        <w:t xml:space="preserve">  </w:t>
      </w:r>
      <w:r>
        <w:rPr>
          <w:rFonts w:hint="eastAsia"/>
        </w:rPr>
        <w:t>评标办法</w:t>
      </w:r>
      <w:bookmarkEnd w:id="30"/>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6"/>
          <w:rFonts w:hint="eastAsia" w:cs="宋体"/>
        </w:rPr>
        <w:t>www.creditchina.gov.cn</w:t>
      </w:r>
      <w:r>
        <w:rPr>
          <w:rStyle w:val="1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6"/>
          <w:rFonts w:hint="eastAsia" w:cs="宋体"/>
        </w:rPr>
        <w:t>http://wenshu.court.gov.cn</w:t>
      </w:r>
      <w:r>
        <w:rPr>
          <w:rStyle w:val="1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w:t>
      </w:r>
      <w:r>
        <w:rPr>
          <w:rFonts w:hint="eastAsia" w:ascii="宋体" w:hAnsi="宋体" w:cs="宋体"/>
          <w:sz w:val="22"/>
          <w:lang w:val="en-US" w:eastAsia="zh-CN"/>
        </w:rPr>
        <w:t>1</w:t>
      </w:r>
      <w:r>
        <w:rPr>
          <w:rFonts w:hint="eastAsia" w:ascii="宋体" w:hAnsi="宋体" w:cs="宋体"/>
          <w:sz w:val="22"/>
        </w:rPr>
        <w:t>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pPr>
      <w:r>
        <w:rPr>
          <w:rStyle w:val="19"/>
          <w:b w:val="0"/>
          <w:bCs w:val="0"/>
          <w:sz w:val="40"/>
          <w:szCs w:val="40"/>
        </w:rPr>
        <w:br w:type="page"/>
      </w:r>
      <w:bookmarkStart w:id="31" w:name="_Toc19698499"/>
      <w:r>
        <w:rPr>
          <w:rFonts w:hint="eastAsia"/>
        </w:rPr>
        <w:t>第四章</w:t>
      </w:r>
      <w:r>
        <w:t xml:space="preserve">  </w:t>
      </w:r>
      <w:r>
        <w:rPr>
          <w:rFonts w:hint="eastAsia"/>
        </w:rPr>
        <w:t>合同条款及格式</w:t>
      </w:r>
      <w:bookmarkEnd w:id="31"/>
    </w:p>
    <w:p>
      <w:pPr>
        <w:spacing w:line="560" w:lineRule="exact"/>
        <w:jc w:val="both"/>
        <w:rPr>
          <w:rFonts w:hint="eastAsia" w:ascii="黑体" w:hAnsi="黑体" w:eastAsia="黑体" w:cs="黑体"/>
          <w:b/>
          <w:sz w:val="32"/>
          <w:szCs w:val="32"/>
          <w:lang w:eastAsia="zh-CN"/>
        </w:rPr>
      </w:pPr>
      <w:bookmarkStart w:id="32" w:name="_Toc19698501"/>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Cs/>
          <w:sz w:val="32"/>
          <w:szCs w:val="32"/>
          <w:lang w:eastAsia="zh-CN"/>
        </w:rPr>
      </w:pP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lang w:eastAsia="zh-CN"/>
        </w:rPr>
        <w:t xml:space="preserve"> </w:t>
      </w:r>
      <w:r>
        <w:rPr>
          <w:rFonts w:hint="eastAsia" w:ascii="黑体" w:hAnsi="黑体" w:eastAsia="黑体" w:cs="黑体"/>
          <w:bCs/>
          <w:sz w:val="32"/>
          <w:szCs w:val="32"/>
          <w:lang w:eastAsia="zh-CN"/>
        </w:rPr>
        <w:t>合同编号：</w:t>
      </w: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jc w:val="both"/>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880" w:firstLineChars="200"/>
        <w:jc w:val="center"/>
        <w:rPr>
          <w:rFonts w:ascii="方正小标宋简体" w:hAnsi="仿宋" w:eastAsia="方正小标宋简体"/>
          <w:bCs/>
          <w:sz w:val="44"/>
          <w:szCs w:val="44"/>
          <w:lang w:eastAsia="zh-CN"/>
        </w:rPr>
      </w:pPr>
      <w:r>
        <w:rPr>
          <w:rFonts w:hint="eastAsia" w:ascii="方正小标宋简体" w:hAnsi="仿宋" w:eastAsia="方正小标宋简体"/>
          <w:bCs/>
          <w:sz w:val="44"/>
          <w:szCs w:val="44"/>
          <w:lang w:eastAsia="zh-CN"/>
        </w:rPr>
        <w:t>杭州萧山国际机场T4航站楼及交通中心等区域中央空调等设备巡更系统采购（含安装）项目合同</w:t>
      </w:r>
    </w:p>
    <w:p>
      <w:pPr>
        <w:spacing w:line="560" w:lineRule="exact"/>
        <w:ind w:firstLine="880" w:firstLineChars="200"/>
        <w:jc w:val="center"/>
        <w:rPr>
          <w:rFonts w:ascii="方正小标宋简体" w:hAnsi="仿宋" w:eastAsia="方正小标宋简体"/>
          <w:bCs/>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jc w:val="both"/>
        <w:rPr>
          <w:rFonts w:ascii="方正小标宋简体" w:hAnsi="仿宋" w:eastAsia="方正小标宋简体"/>
          <w:b/>
          <w:sz w:val="44"/>
          <w:szCs w:val="44"/>
          <w:lang w:eastAsia="zh-CN"/>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甲、乙双方根据《中华人民共和国合同法》等相关法律法规，就相关货物采购事宜，在互利、平等的原则基础上，经协商一致，特签订本合同，以共同遵守。</w:t>
      </w:r>
    </w:p>
    <w:p>
      <w:pPr>
        <w:numPr>
          <w:ilvl w:val="0"/>
          <w:numId w:val="3"/>
        </w:numPr>
        <w:spacing w:line="560" w:lineRule="exact"/>
        <w:ind w:firstLine="59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商品名称、种类、规格、单位、数量、金额</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17"/>
        <w:tblW w:w="11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77"/>
        <w:gridCol w:w="1200"/>
        <w:gridCol w:w="887"/>
        <w:gridCol w:w="863"/>
        <w:gridCol w:w="912"/>
        <w:gridCol w:w="1223"/>
        <w:gridCol w:w="1250"/>
        <w:gridCol w:w="1150"/>
        <w:gridCol w:w="117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631" w:type="dxa"/>
            <w:vAlign w:val="center"/>
          </w:tcPr>
          <w:p>
            <w:pPr>
              <w:pStyle w:val="2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277" w:type="dxa"/>
            <w:vAlign w:val="center"/>
          </w:tcPr>
          <w:p>
            <w:pPr>
              <w:pStyle w:val="2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200" w:type="dxa"/>
            <w:vAlign w:val="center"/>
          </w:tcPr>
          <w:p>
            <w:pPr>
              <w:pStyle w:val="2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887" w:type="dxa"/>
            <w:vAlign w:val="center"/>
          </w:tcPr>
          <w:p>
            <w:pPr>
              <w:pStyle w:val="2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863" w:type="dxa"/>
            <w:vAlign w:val="center"/>
          </w:tcPr>
          <w:p>
            <w:pPr>
              <w:pStyle w:val="21"/>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912" w:type="dxa"/>
            <w:vAlign w:val="center"/>
          </w:tcPr>
          <w:p>
            <w:pPr>
              <w:pStyle w:val="2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223" w:type="dxa"/>
            <w:vAlign w:val="center"/>
          </w:tcPr>
          <w:p>
            <w:pPr>
              <w:pStyle w:val="2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250"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150" w:type="dxa"/>
            <w:vAlign w:val="center"/>
          </w:tcPr>
          <w:p>
            <w:pPr>
              <w:pStyle w:val="22"/>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175"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177"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31" w:type="dxa"/>
            <w:vAlign w:val="center"/>
          </w:tcPr>
          <w:p>
            <w:pPr>
              <w:pStyle w:val="21"/>
              <w:spacing w:line="560" w:lineRule="exact"/>
              <w:jc w:val="center"/>
              <w:rPr>
                <w:rFonts w:ascii="仿宋_GB2312" w:hAnsi="仿宋_GB2312" w:eastAsia="仿宋_GB2312" w:cs="仿宋_GB2312"/>
                <w:b w:val="0"/>
                <w:bCs/>
                <w:sz w:val="28"/>
                <w:szCs w:val="28"/>
              </w:rPr>
            </w:pPr>
          </w:p>
        </w:tc>
        <w:tc>
          <w:tcPr>
            <w:tcW w:w="12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00"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1"/>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175" w:type="dxa"/>
            <w:vAlign w:val="center"/>
          </w:tcPr>
          <w:p>
            <w:pPr>
              <w:spacing w:line="560" w:lineRule="exact"/>
              <w:jc w:val="center"/>
              <w:rPr>
                <w:rFonts w:ascii="仿宋_GB2312" w:hAnsi="仿宋_GB2312" w:eastAsia="仿宋_GB2312" w:cs="仿宋_GB2312"/>
                <w:sz w:val="28"/>
                <w:szCs w:val="28"/>
              </w:rPr>
            </w:pPr>
          </w:p>
        </w:tc>
        <w:tc>
          <w:tcPr>
            <w:tcW w:w="1177"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31" w:type="dxa"/>
            <w:vAlign w:val="center"/>
          </w:tcPr>
          <w:p>
            <w:pPr>
              <w:pStyle w:val="21"/>
              <w:spacing w:line="560" w:lineRule="exact"/>
              <w:jc w:val="center"/>
              <w:rPr>
                <w:rFonts w:ascii="仿宋_GB2312" w:hAnsi="仿宋_GB2312" w:eastAsia="仿宋_GB2312" w:cs="仿宋_GB2312"/>
                <w:b w:val="0"/>
                <w:bCs/>
                <w:sz w:val="28"/>
                <w:szCs w:val="28"/>
              </w:rPr>
            </w:pPr>
          </w:p>
        </w:tc>
        <w:tc>
          <w:tcPr>
            <w:tcW w:w="12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00"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1"/>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175" w:type="dxa"/>
            <w:vAlign w:val="center"/>
          </w:tcPr>
          <w:p>
            <w:pPr>
              <w:spacing w:line="560" w:lineRule="exact"/>
              <w:jc w:val="center"/>
              <w:rPr>
                <w:rFonts w:ascii="仿宋_GB2312" w:hAnsi="仿宋_GB2312" w:eastAsia="仿宋_GB2312" w:cs="仿宋_GB2312"/>
                <w:sz w:val="28"/>
                <w:szCs w:val="28"/>
              </w:rPr>
            </w:pPr>
          </w:p>
        </w:tc>
        <w:tc>
          <w:tcPr>
            <w:tcW w:w="1177"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31" w:type="dxa"/>
            <w:vAlign w:val="center"/>
          </w:tcPr>
          <w:p>
            <w:pPr>
              <w:pStyle w:val="21"/>
              <w:spacing w:line="560" w:lineRule="exact"/>
              <w:jc w:val="center"/>
              <w:rPr>
                <w:rFonts w:ascii="仿宋_GB2312" w:hAnsi="仿宋_GB2312" w:eastAsia="仿宋_GB2312" w:cs="仿宋_GB2312"/>
                <w:b w:val="0"/>
                <w:bCs/>
                <w:sz w:val="28"/>
                <w:szCs w:val="28"/>
              </w:rPr>
            </w:pPr>
          </w:p>
        </w:tc>
        <w:tc>
          <w:tcPr>
            <w:tcW w:w="12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00"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1"/>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175" w:type="dxa"/>
            <w:vAlign w:val="center"/>
          </w:tcPr>
          <w:p>
            <w:pPr>
              <w:spacing w:line="560" w:lineRule="exact"/>
              <w:jc w:val="center"/>
              <w:rPr>
                <w:rFonts w:ascii="仿宋_GB2312" w:hAnsi="仿宋_GB2312" w:eastAsia="仿宋_GB2312" w:cs="仿宋_GB2312"/>
                <w:sz w:val="28"/>
                <w:szCs w:val="28"/>
              </w:rPr>
            </w:pPr>
          </w:p>
        </w:tc>
        <w:tc>
          <w:tcPr>
            <w:tcW w:w="1177"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108"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8637"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108"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8637"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108" w:type="dxa"/>
            <w:gridSpan w:val="3"/>
            <w:vAlign w:val="center"/>
          </w:tcPr>
          <w:p>
            <w:pPr>
              <w:pStyle w:val="22"/>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8637" w:type="dxa"/>
            <w:gridSpan w:val="8"/>
            <w:vAlign w:val="center"/>
          </w:tcPr>
          <w:p>
            <w:pPr>
              <w:pStyle w:val="22"/>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spacing w:line="560" w:lineRule="exact"/>
        <w:jc w:val="right"/>
        <w:rPr>
          <w:rFonts w:ascii="仿宋_GB2312" w:hAnsi="仿宋_GB2312" w:eastAsia="仿宋_GB2312" w:cs="仿宋_GB2312"/>
          <w:b/>
          <w:bCs/>
          <w:sz w:val="28"/>
          <w:szCs w:val="28"/>
        </w:rPr>
      </w:pP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二、合同总金额</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本合同总金额为（大写）：人民币    ，（小写）¥       。</w:t>
      </w:r>
      <w:r>
        <w:rPr>
          <w:rFonts w:hint="eastAsia" w:ascii="仿宋_GB2312" w:hAnsi="仿宋_GB2312" w:eastAsia="仿宋_GB2312" w:cs="仿宋_GB2312"/>
          <w:sz w:val="28"/>
          <w:szCs w:val="28"/>
        </w:rPr>
        <w:t xml:space="preserve">增值税税率为    ，不含税总金额为人民币      ，税额为人民币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。本合同总金额为杭州萧山国际机场内交货价，含货物价格、运输费、包装费、保险费、安装费（含安装所需耗材费用）、调试费、税费等所有费用。甲方不再承担其他任何费用。</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三、技术资料</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乙方应在交付合同货物时同时向甲方提供使用货物的有关技术资料。</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四、知识产权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五、产权担保</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六、转包或转让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2.如有未经甲方书面同意的转让和转包行为，甲方有权解除合同，并要求乙方承担合同总金额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七、货物包装、发运、运输及处理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乙方在货物发运手续办理完毕后</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小时内必须书面通知甲方，以便甲方准备接货。</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计算的违约金支付给甲方。</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八、交货期、交货方式及交货地点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交货期限：合同签订后 30 日历天内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交货方式：乙方送货上门</w:t>
      </w:r>
    </w:p>
    <w:p>
      <w:pPr>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 交货地点：杭州萧山国际机场内</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九、货物验收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货物送达甲方指定地点的当天，甲方对乙方提交的货物依据甲方要求和国家有关质量标准进行现场外观检查，产品外观、说明书、产品合格证、巡更系统检验检测合格报告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3.甲方签收货物后如发现货物的品种、型号、规格、数量或质量不符合合同约定或相关质量要求，甲方应在签收之日起</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日内以书面或电话形式向乙方提出异议；乙方应当在收到甲方异议之日起</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日内作出答复或与甲方协商处理，或在</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w:t>
      </w:r>
      <w:r>
        <w:rPr>
          <w:rFonts w:hint="eastAsia" w:ascii="仿宋_GB2312" w:hAnsi="仿宋_GB2312" w:eastAsia="仿宋_GB2312" w:cs="仿宋_GB2312"/>
          <w:sz w:val="28"/>
          <w:szCs w:val="28"/>
          <w:lang w:eastAsia="zh-CN"/>
        </w:rPr>
        <w:t>（含安装、调试等）</w:t>
      </w:r>
      <w:r>
        <w:rPr>
          <w:rFonts w:hint="eastAsia" w:ascii="仿宋_GB2312" w:hAnsi="仿宋_GB2312" w:eastAsia="仿宋_GB2312" w:cs="仿宋_GB2312"/>
          <w:sz w:val="28"/>
          <w:szCs w:val="28"/>
        </w:rPr>
        <w:t>不符异议，则甲方在前述异议期限届满之日后</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562"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十、货物功能及安装调试要求</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1.巡更点功能及基本要求</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（1）便捷安装、尺寸小巧、坚固耐用、易识别。</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（2）为方便夜间巡逻，要求巡更点在夜间本体发光，不接受外粘标签发光。</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（3）安装后表面不可见螺丝。</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（4）巡更点读取距离在3CM±1cm。</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（5）可根据巡检要求采用不同颜色进行区分，以免混淆。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（6）巡更点无需电源，无需布线。</w:t>
      </w:r>
    </w:p>
    <w:p>
      <w:pPr>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（7）巡更点可提供NFC、二维码等形式</w:t>
      </w:r>
      <w:r>
        <w:rPr>
          <w:rFonts w:hint="eastAsia" w:ascii="仿宋_GB2312" w:hAnsi="仿宋_GB2312" w:eastAsia="仿宋_GB2312" w:cs="仿宋_GB2312"/>
          <w:sz w:val="28"/>
          <w:szCs w:val="28"/>
          <w:lang w:eastAsia="zh-CN"/>
        </w:rPr>
        <w:t>。</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2.巡更器功能及基本要求</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（1）支持蓝牙卡读卡，NFC读卡，二维码读卡。</w:t>
      </w:r>
    </w:p>
    <w:p>
      <w:pPr>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（2）实时显示当前时间、信号强度、电池状态等信息</w:t>
      </w:r>
      <w:r>
        <w:rPr>
          <w:rFonts w:hint="eastAsia" w:ascii="仿宋_GB2312" w:hAnsi="仿宋_GB2312" w:eastAsia="仿宋_GB2312" w:cs="仿宋_GB2312"/>
          <w:sz w:val="28"/>
          <w:szCs w:val="28"/>
          <w:lang w:eastAsia="zh-CN"/>
        </w:rPr>
        <w:t>。</w:t>
      </w:r>
    </w:p>
    <w:p>
      <w:pPr>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（3）具有通话、拍照、发送图片等功能，巡更点巡检数据采集（拍照、录像、文字）、记录等功能</w:t>
      </w:r>
      <w:r>
        <w:rPr>
          <w:rFonts w:hint="eastAsia" w:ascii="仿宋_GB2312" w:hAnsi="仿宋_GB2312" w:eastAsia="仿宋_GB2312" w:cs="仿宋_GB2312"/>
          <w:sz w:val="28"/>
          <w:szCs w:val="28"/>
          <w:lang w:eastAsia="zh-CN"/>
        </w:rPr>
        <w:t>。</w:t>
      </w:r>
    </w:p>
    <w:p>
      <w:pPr>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（4）随时查看点巡检计划，操作简单，使用方便</w:t>
      </w:r>
      <w:r>
        <w:rPr>
          <w:rFonts w:hint="eastAsia" w:ascii="仿宋_GB2312" w:hAnsi="仿宋_GB2312" w:eastAsia="仿宋_GB2312" w:cs="仿宋_GB2312"/>
          <w:sz w:val="28"/>
          <w:szCs w:val="28"/>
          <w:lang w:eastAsia="zh-CN"/>
        </w:rPr>
        <w:t>。</w:t>
      </w:r>
    </w:p>
    <w:p>
      <w:pPr>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（5）随时查看设备设施的检查标准</w:t>
      </w:r>
      <w:r>
        <w:rPr>
          <w:rFonts w:hint="eastAsia" w:ascii="仿宋_GB2312" w:hAnsi="仿宋_GB2312" w:eastAsia="仿宋_GB2312" w:cs="仿宋_GB2312"/>
          <w:sz w:val="28"/>
          <w:szCs w:val="28"/>
          <w:lang w:eastAsia="zh-CN"/>
        </w:rPr>
        <w:t>。</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（6）安卓8.0以上或IOS 8.0以上操作系统。</w:t>
      </w:r>
    </w:p>
    <w:p>
      <w:pPr>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（7）主屏显示不小于4.0英寸，像素不小于前置400万/后1000 万像素</w:t>
      </w:r>
      <w:r>
        <w:rPr>
          <w:rFonts w:hint="eastAsia" w:ascii="仿宋_GB2312" w:hAnsi="仿宋_GB2312" w:eastAsia="仿宋_GB2312" w:cs="仿宋_GB2312"/>
          <w:sz w:val="28"/>
          <w:szCs w:val="28"/>
          <w:lang w:eastAsia="zh-CN"/>
        </w:rPr>
        <w:t>。</w:t>
      </w:r>
    </w:p>
    <w:p>
      <w:pPr>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（8）网络支持4G全网通/WIFI/USB，双卡双待</w:t>
      </w:r>
      <w:r>
        <w:rPr>
          <w:rFonts w:hint="eastAsia" w:ascii="仿宋_GB2312" w:hAnsi="仿宋_GB2312" w:eastAsia="仿宋_GB2312" w:cs="仿宋_GB2312"/>
          <w:sz w:val="28"/>
          <w:szCs w:val="28"/>
          <w:lang w:eastAsia="zh-CN"/>
        </w:rPr>
        <w:t>。</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（10）电池容量不小于4000mAh，配套充电设备，充电方便。</w:t>
      </w:r>
    </w:p>
    <w:p>
      <w:pPr>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（11）可识读13.56MHz</w:t>
      </w:r>
      <w:r>
        <w:rPr>
          <w:rFonts w:hint="eastAsia" w:ascii="仿宋_GB2312" w:hAnsi="仿宋_GB2312" w:eastAsia="仿宋_GB2312" w:cs="仿宋_GB2312"/>
          <w:sz w:val="28"/>
          <w:szCs w:val="28"/>
          <w:lang w:val="en-US" w:eastAsia="zh-CN"/>
        </w:rPr>
        <w:t>等常规</w:t>
      </w:r>
      <w:r>
        <w:rPr>
          <w:rFonts w:hint="eastAsia" w:ascii="仿宋_GB2312" w:hAnsi="仿宋_GB2312" w:eastAsia="仿宋_GB2312" w:cs="仿宋_GB2312"/>
          <w:sz w:val="28"/>
          <w:szCs w:val="28"/>
        </w:rPr>
        <w:t>电子标签</w:t>
      </w:r>
      <w:r>
        <w:rPr>
          <w:rFonts w:hint="eastAsia" w:ascii="仿宋_GB2312" w:hAnsi="仿宋_GB2312" w:eastAsia="仿宋_GB2312" w:cs="仿宋_GB2312"/>
          <w:sz w:val="28"/>
          <w:szCs w:val="28"/>
          <w:lang w:eastAsia="zh-CN"/>
        </w:rPr>
        <w:t>。</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（12）防尘防水等级 IP68，防爆防摔功能。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（13）尺寸、重量适宜，便于携带。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（14）环境温度范围-10℃— 50℃可正常使用。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（15）每个巡检器应配套有线数据传输设备或USB无线网卡等设备，方便数据传输。</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（16）每分钟上传数据不得少于1万条。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3.巡更系统软件功能及基本要求</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（1）服务端可安装服务器操作系统要求：Win7 Win8 Win10 Windows2008 Windows2012 及以上系统。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（2）客户端浏览器要求： IE浏览器需要IE10以上版本（包括IE10）；火狐浏览器；GOOGLE浏览器；和带有极速模式功能的浏览器（例如QQ浏览器，360浏览器和搜狗浏览器）。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（3）智能排班，可实现任何方式的排班计划，排班可修改。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（4）单条件及多条件组合查询，人员、线路、时间、漏检等情况，不同颜色代表不同结果。</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（5）实现巡检轨迹与巡检数据全部上传，提供轨迹回放与数据查询。</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（6）查询功能：各级领导可以根据各自的管理权限查看巡查管理的数据信息。</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（7）计划功能：智能排班，可实现任何方式的排班计划，排班可修改。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（8）统计分析功能：自动分析巡检巡更情况，扇形图表及多种图表显示，更清晰更明了。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（9）电子地图功能：实时定位显示人员信息，轨迹回放。</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（10）实时数据功能：软件实时接收巡检器上传的巡检数据，以报表和地图方式显示。</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（11）多终端登陆功能，软件可采用 B/S 架构实现数据的统一管理维护，巡检数据可以用不同身份将巡更数据上传至服务器，实现管理者对巡更情况的统一管理，巡检情况根据登陆人员权限的不同，自定义允许查看相应数据，使用人员账户数量不得少于60位（管理人员账户不得少于20位，巡查人员不得少于40位）</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（12）一键同步，当巡检器在同一网络下可一键同步更新数据至服务器，实现巡检轨迹与巡检数据全部上传，提供轨迹回放与数据查询。</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（13）巡检信息至少保存5年以上，具有导入、导出及备份等功能，备份数据具备查询功能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（14）一次性收费终身使用。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4.系统安装调试要求</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乙方安装采用手枪钻打膨胀螺丝时，应符合设备水平平整，高度一致；螺丝不露头。</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安装采用不干胶安装时，应符合设备水平平整，高度一致，紧固可靠以防脱离。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（3）安装规范及卫生清洁应符合机场规定要求，</w:t>
      </w:r>
      <w:r>
        <w:rPr>
          <w:rFonts w:hint="eastAsia" w:ascii="仿宋_GB2312" w:hAnsi="仿宋_GB2312" w:eastAsia="仿宋_GB2312" w:cs="仿宋_GB2312"/>
          <w:sz w:val="28"/>
          <w:szCs w:val="28"/>
          <w:lang w:eastAsia="zh-CN"/>
        </w:rPr>
        <w:t>乙方应</w:t>
      </w:r>
      <w:r>
        <w:rPr>
          <w:rFonts w:hint="eastAsia" w:ascii="仿宋_GB2312" w:hAnsi="仿宋_GB2312" w:eastAsia="仿宋_GB2312" w:cs="仿宋_GB2312"/>
          <w:sz w:val="28"/>
          <w:szCs w:val="28"/>
        </w:rPr>
        <w:t>做到及时清理。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安装时应</w:t>
      </w:r>
      <w:r>
        <w:rPr>
          <w:rFonts w:hint="eastAsia" w:ascii="仿宋_GB2312" w:hAnsi="仿宋_GB2312" w:eastAsia="仿宋_GB2312" w:cs="仿宋_GB2312"/>
          <w:sz w:val="28"/>
          <w:szCs w:val="28"/>
          <w:lang w:eastAsia="zh-CN"/>
        </w:rPr>
        <w:t>对</w:t>
      </w:r>
      <w:r>
        <w:rPr>
          <w:rFonts w:hint="eastAsia" w:ascii="仿宋_GB2312" w:hAnsi="仿宋_GB2312" w:eastAsia="仿宋_GB2312" w:cs="仿宋_GB2312"/>
          <w:sz w:val="28"/>
          <w:szCs w:val="28"/>
        </w:rPr>
        <w:t>位置标识、序列号等信息进行登记。</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（5）软件安装调试完毕应进行备份。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应指导</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规划线路及制定巡检路线以及排班等工作。</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按</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需求完成巡更软件、巡更点等软件、硬件的安装，并提供巡更点安装位置编号统计表。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乙方免费提供</w:t>
      </w:r>
      <w:r>
        <w:rPr>
          <w:rFonts w:hint="eastAsia" w:ascii="仿宋_GB2312" w:hAnsi="仿宋_GB2312" w:eastAsia="仿宋_GB2312" w:cs="仿宋_GB2312"/>
          <w:sz w:val="28"/>
          <w:szCs w:val="28"/>
        </w:rPr>
        <w:t>巡更系统操作、应急处置专业培训一次。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（9）安装、调试涉及的耗材及工具由</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免费提供。</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一</w:t>
      </w:r>
      <w:r>
        <w:rPr>
          <w:rFonts w:hint="eastAsia" w:ascii="仿宋_GB2312" w:hAnsi="仿宋_GB2312" w:eastAsia="仿宋_GB2312" w:cs="仿宋_GB2312"/>
          <w:b/>
          <w:sz w:val="28"/>
          <w:szCs w:val="28"/>
        </w:rPr>
        <w:t>、货款支付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1、结算方式：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1.乙方按照合同约定将货物安全运送到甲方指定交货地点,经甲方对所有合同规定货物</w:t>
      </w:r>
      <w:r>
        <w:rPr>
          <w:rFonts w:hint="eastAsia" w:ascii="仿宋_GB2312" w:hAnsi="仿宋_GB2312" w:eastAsia="仿宋_GB2312" w:cs="仿宋_GB2312"/>
          <w:sz w:val="28"/>
          <w:szCs w:val="28"/>
          <w:lang w:eastAsia="zh-CN"/>
        </w:rPr>
        <w:t>（含安装、调试等）</w:t>
      </w:r>
      <w:r>
        <w:rPr>
          <w:rFonts w:hint="eastAsia" w:ascii="仿宋_GB2312" w:hAnsi="仿宋_GB2312" w:eastAsia="仿宋_GB2312" w:cs="仿宋_GB2312"/>
          <w:sz w:val="28"/>
          <w:szCs w:val="28"/>
        </w:rPr>
        <w:t>验收合格并收到乙方开具增值税专用发票后，【30】日内支付合同总额的95%，合同总金额的5%作为质保金，在质保期届满后【15】日内无息支付。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乙方付款前，乙方应提供正规的符合本合同约定的发票，若乙方未按本合同约定提供发票的，甲方有权拒绝付款且不承担任何延期付款的责任。</w:t>
      </w:r>
    </w:p>
    <w:p>
      <w:pPr>
        <w:pStyle w:val="12"/>
        <w:spacing w:before="0" w:beforeAutospacing="0" w:after="0" w:afterAutospacing="0" w:line="560" w:lineRule="exact"/>
        <w:ind w:firstLine="562" w:firstLineChars="200"/>
        <w:rPr>
          <w:rFonts w:ascii="仿宋_GB2312" w:hAnsi="仿宋_GB2312" w:eastAsia="仿宋_GB2312" w:cs="仿宋_GB2312"/>
          <w:b/>
          <w:color w:val="444444"/>
          <w:sz w:val="28"/>
          <w:szCs w:val="28"/>
          <w:lang w:val="zh-CN"/>
        </w:rPr>
      </w:pPr>
      <w:r>
        <w:rPr>
          <w:rFonts w:hint="eastAsia" w:ascii="仿宋_GB2312" w:hAnsi="仿宋_GB2312" w:eastAsia="仿宋_GB2312" w:cs="仿宋_GB2312"/>
          <w:b/>
          <w:color w:val="444444"/>
          <w:sz w:val="28"/>
          <w:szCs w:val="28"/>
        </w:rPr>
        <w:t>十</w:t>
      </w:r>
      <w:r>
        <w:rPr>
          <w:rFonts w:hint="eastAsia" w:ascii="仿宋_GB2312" w:hAnsi="仿宋_GB2312" w:eastAsia="仿宋_GB2312" w:cs="仿宋_GB2312"/>
          <w:b/>
          <w:color w:val="444444"/>
          <w:sz w:val="28"/>
          <w:szCs w:val="28"/>
          <w:lang w:eastAsia="zh-CN"/>
        </w:rPr>
        <w:t>二</w:t>
      </w:r>
      <w:r>
        <w:rPr>
          <w:rFonts w:hint="eastAsia" w:ascii="仿宋_GB2312" w:hAnsi="仿宋_GB2312" w:eastAsia="仿宋_GB2312" w:cs="仿宋_GB2312"/>
          <w:b/>
          <w:color w:val="444444"/>
          <w:sz w:val="28"/>
          <w:szCs w:val="28"/>
        </w:rPr>
        <w:t>、</w:t>
      </w:r>
      <w:r>
        <w:rPr>
          <w:rFonts w:hint="eastAsia" w:ascii="仿宋_GB2312" w:hAnsi="仿宋_GB2312" w:eastAsia="仿宋_GB2312" w:cs="仿宋_GB2312"/>
          <w:b/>
          <w:color w:val="444444"/>
          <w:sz w:val="28"/>
          <w:szCs w:val="28"/>
          <w:lang w:val="zh-CN"/>
        </w:rPr>
        <w:t>履约保证金</w:t>
      </w:r>
    </w:p>
    <w:p>
      <w:pPr>
        <w:adjustRightInd w:val="0"/>
        <w:snapToGrid w:val="0"/>
        <w:spacing w:line="560" w:lineRule="exact"/>
        <w:ind w:firstLine="560" w:firstLineChars="200"/>
        <w:rPr>
          <w:rFonts w:hint="eastAsia" w:ascii="仿宋_GB2312" w:hAnsi="仿宋_GB2312" w:eastAsia="仿宋_GB2312" w:cs="仿宋_GB2312"/>
          <w:color w:val="0000FF"/>
          <w:sz w:val="28"/>
          <w:szCs w:val="28"/>
          <w:lang w:eastAsia="zh-CN"/>
        </w:rPr>
      </w:pPr>
      <w:r>
        <w:rPr>
          <w:rFonts w:hint="eastAsia" w:ascii="仿宋_GB2312" w:hAnsi="仿宋_GB2312" w:eastAsia="仿宋_GB2312" w:cs="仿宋_GB2312"/>
          <w:sz w:val="28"/>
          <w:szCs w:val="28"/>
          <w:lang w:eastAsia="zh-CN"/>
        </w:rPr>
        <w:t>1、乙方应于合同签订之日起15日内，向向甲方提供履约担保，担保方式为：现金、银行保函、保险公司保函或融资担保公司保函，担保额度：合同总价的10％。</w:t>
      </w:r>
    </w:p>
    <w:p>
      <w:pPr>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2、在合同履行期间，如果乙方存在违约情形，甲方有权优先从履约保证金中扣除相应款项，并书面通知乙方。乙方自收到书面通知之日起</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日内补足履约保证金。如果乙方未及时补足履约保证金，视为乙方违约，乙方应向甲方按未补足金额的千分之一每日计付违约金；逾期【60】日仍不补足的，甲方有权解除合同，并要求乙方按前述标准支付违约金。</w:t>
      </w:r>
    </w:p>
    <w:p>
      <w:pPr>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甲方按本合同约定扣除乙方履约保证金或要求乙方补足履约保证金时，甲方有权向出具前述保函的出具机构要求无条件支付相应部分的履约保证金，保函出具机构拒绝支付的，甲方有权直接从后续应付乙方款项中暂扣相应数额作为履约保证金。</w:t>
      </w:r>
    </w:p>
    <w:p>
      <w:pPr>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4、经甲方验收合格并签署验收合格确认书，且经甲方确认乙方不存在任何违约情形后</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日内，甲方无息返还履约保证金。</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三</w:t>
      </w:r>
      <w:r>
        <w:rPr>
          <w:rFonts w:hint="eastAsia" w:ascii="仿宋_GB2312" w:hAnsi="仿宋_GB2312" w:eastAsia="仿宋_GB2312" w:cs="仿宋_GB2312"/>
          <w:b/>
          <w:sz w:val="28"/>
          <w:szCs w:val="28"/>
        </w:rPr>
        <w:t>、免费质保期及服务内容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乙方应为货物提供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24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个月的免费质保期(含工时费和零部件费)，时间自双方签收验收合格确认书之日起计算。</w:t>
      </w:r>
    </w:p>
    <w:p>
      <w:pPr>
        <w:adjustRightInd w:val="0"/>
        <w:snapToGrid w:val="0"/>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3.乙方应为所供应产品的安装、调试及试运行提供免费服务，并对产品保修期内的质量及功能正常负责。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．乙方提供</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小时售后服务，并委派维修人员，在接到报修通知后，维修人员应在</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.免费质保期结束的</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四</w:t>
      </w:r>
      <w:r>
        <w:rPr>
          <w:rFonts w:hint="eastAsia" w:ascii="仿宋_GB2312" w:hAnsi="仿宋_GB2312" w:eastAsia="仿宋_GB2312" w:cs="仿宋_GB2312"/>
          <w:b/>
          <w:sz w:val="28"/>
          <w:szCs w:val="28"/>
        </w:rPr>
        <w:t>、违约责任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甲方无故逾期支付货款的,甲方应按逾期付款总额每日</w:t>
      </w:r>
      <w:r>
        <w:rPr>
          <w:rFonts w:hint="eastAsia" w:ascii="仿宋_GB2312" w:hAnsi="仿宋_GB2312" w:eastAsia="仿宋_GB2312" w:cs="仿宋_GB2312"/>
          <w:sz w:val="28"/>
          <w:szCs w:val="28"/>
          <w:u w:val="single"/>
        </w:rPr>
        <w:t xml:space="preserve">    0.05 </w:t>
      </w:r>
      <w:r>
        <w:rPr>
          <w:rFonts w:hint="eastAsia" w:ascii="仿宋_GB2312" w:hAnsi="仿宋_GB2312" w:eastAsia="仿宋_GB2312" w:cs="仿宋_GB2312"/>
          <w:sz w:val="28"/>
          <w:szCs w:val="28"/>
        </w:rPr>
        <w:t>%向乙方支付违约金。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乙方逾期交付货物和本合同规定的文件资料的，乙方应按合同总金额每日</w:t>
      </w:r>
      <w:r>
        <w:rPr>
          <w:rFonts w:hint="eastAsia" w:ascii="仿宋_GB2312" w:hAnsi="仿宋_GB2312" w:eastAsia="仿宋_GB2312" w:cs="仿宋_GB2312"/>
          <w:sz w:val="28"/>
          <w:szCs w:val="28"/>
          <w:u w:val="single"/>
        </w:rPr>
        <w:t xml:space="preserve">   0.6  </w:t>
      </w:r>
      <w:r>
        <w:rPr>
          <w:rFonts w:hint="eastAsia" w:ascii="仿宋_GB2312" w:hAnsi="仿宋_GB2312" w:eastAsia="仿宋_GB2312" w:cs="仿宋_GB2312"/>
          <w:sz w:val="28"/>
          <w:szCs w:val="28"/>
        </w:rPr>
        <w:t>%向甲方支付违约金，由甲方从货款中扣除。逾期超过约定日期</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日的，甲方可解除本合同。乙方因逾期交货或因其他违约行为导致甲方解除合同的，乙方应向甲方支付合同总金额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_GB2312" w:hAnsi="仿宋_GB2312" w:eastAsia="仿宋_GB2312" w:cs="仿宋_GB2312"/>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要求乙方承担违约金合同总金额</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___</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___</w:t>
      </w:r>
      <w:r>
        <w:rPr>
          <w:rFonts w:hint="eastAsia" w:ascii="仿宋_GB2312" w:hAnsi="仿宋_GB2312" w:eastAsia="仿宋_GB2312" w:cs="仿宋_GB2312"/>
          <w:color w:val="000000" w:themeColor="text1"/>
          <w:sz w:val="28"/>
          <w:szCs w:val="28"/>
          <w:lang w:eastAsia="zh-CN"/>
          <w14:textFill>
            <w14:solidFill>
              <w14:schemeClr w14:val="tx1"/>
            </w14:solidFill>
          </w14:textFill>
        </w:rPr>
        <w:t>的违约金。</w:t>
      </w:r>
    </w:p>
    <w:p>
      <w:pPr>
        <w:adjustRightInd w:val="0"/>
        <w:snapToGrid w:val="0"/>
        <w:spacing w:line="560" w:lineRule="exact"/>
        <w:ind w:firstLine="560" w:firstLineChars="200"/>
        <w:rPr>
          <w:rFonts w:ascii="仿宋_GB2312" w:hAnsi="仿宋_GB2312" w:eastAsia="仿宋_GB2312" w:cs="仿宋_GB2312"/>
          <w:sz w:val="28"/>
          <w:szCs w:val="28"/>
        </w:rPr>
      </w:pP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五</w:t>
      </w:r>
      <w:r>
        <w:rPr>
          <w:rFonts w:hint="eastAsia" w:ascii="仿宋_GB2312" w:hAnsi="仿宋_GB2312" w:eastAsia="仿宋_GB2312" w:cs="仿宋_GB2312"/>
          <w:b/>
          <w:sz w:val="28"/>
          <w:szCs w:val="28"/>
        </w:rPr>
        <w:t>、不可抗力事件处理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40  </w:t>
      </w:r>
      <w:r>
        <w:rPr>
          <w:rFonts w:hint="eastAsia" w:ascii="仿宋_GB2312" w:hAnsi="仿宋_GB2312" w:eastAsia="仿宋_GB2312" w:cs="仿宋_GB2312"/>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六</w:t>
      </w:r>
      <w:r>
        <w:rPr>
          <w:rFonts w:hint="eastAsia" w:ascii="仿宋_GB2312" w:hAnsi="仿宋_GB2312" w:eastAsia="仿宋_GB2312" w:cs="仿宋_GB2312"/>
          <w:b/>
          <w:sz w:val="28"/>
          <w:szCs w:val="28"/>
        </w:rPr>
        <w:t>、争议解决</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七</w:t>
      </w:r>
      <w:r>
        <w:rPr>
          <w:rFonts w:hint="eastAsia" w:ascii="仿宋_GB2312" w:hAnsi="仿宋_GB2312" w:eastAsia="仿宋_GB2312" w:cs="仿宋_GB2312"/>
          <w:b/>
          <w:sz w:val="28"/>
          <w:szCs w:val="28"/>
        </w:rPr>
        <w:t>、合同组成文件包含下列内容，且解释顺序如下：</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1.本合同协议书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4.投标书及其附件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5.标准、规范及有关技术文件</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八</w:t>
      </w:r>
      <w:r>
        <w:rPr>
          <w:rFonts w:hint="eastAsia" w:ascii="仿宋_GB2312" w:hAnsi="仿宋_GB2312" w:eastAsia="仿宋_GB2312" w:cs="仿宋_GB2312"/>
          <w:b/>
          <w:sz w:val="28"/>
          <w:szCs w:val="28"/>
        </w:rPr>
        <w:t>、合同生效及其它</w:t>
      </w:r>
    </w:p>
    <w:p>
      <w:pPr>
        <w:adjustRightInd w:val="0"/>
        <w:snapToGrid w:val="0"/>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 xml:space="preserve">1. </w:t>
      </w:r>
      <w:r>
        <w:rPr>
          <w:rFonts w:hint="eastAsia" w:ascii="仿宋_GB2312" w:hAnsi="仿宋_GB2312" w:eastAsia="仿宋_GB2312" w:cs="仿宋_GB2312"/>
          <w:color w:val="000000" w:themeColor="text1"/>
          <w:sz w:val="28"/>
          <w:szCs w:val="28"/>
          <w14:textFill>
            <w14:solidFill>
              <w14:schemeClr w14:val="tx1"/>
            </w14:solidFill>
          </w14:textFill>
        </w:rPr>
        <w:t>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2.本合同未尽事宜，双方可签订补充协议予以执行；未达成补充协议的，遵照</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eastAsia="zh-Hans"/>
          <w14:textFill>
            <w14:solidFill>
              <w14:schemeClr w14:val="tx1"/>
            </w14:solidFill>
          </w14:textFill>
        </w:rPr>
        <w:t>民法典</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及有关法律法规执行。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3.本合同所订一切条款，任何一方不得擅自变更或者修改。如一方单独变更、修改本合同，对方有权拒绝发货、收货、付款，并</w:t>
      </w:r>
      <w:r>
        <w:rPr>
          <w:rFonts w:hint="eastAsia" w:ascii="仿宋_GB2312" w:hAnsi="仿宋_GB2312" w:eastAsia="仿宋_GB2312" w:cs="仿宋_GB2312"/>
          <w:sz w:val="28"/>
          <w:szCs w:val="28"/>
        </w:rPr>
        <w:t>要求单独变更、修改合同一方赔偿一切损失。</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4.本合同一式肆份，甲执贰份，乙方持贰份，具有同等法律效力。</w:t>
      </w:r>
    </w:p>
    <w:p>
      <w:pPr>
        <w:adjustRightInd w:val="0"/>
        <w:snapToGrid w:val="0"/>
        <w:spacing w:line="560" w:lineRule="exact"/>
        <w:ind w:firstLine="602"/>
        <w:outlineLvl w:val="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b/>
          <w:sz w:val="28"/>
          <w:szCs w:val="28"/>
          <w:lang w:val="en-US" w:eastAsia="zh-CN"/>
        </w:rPr>
        <w:t>第十</w:t>
      </w:r>
      <w:r>
        <w:rPr>
          <w:rFonts w:hint="eastAsia" w:ascii="仿宋_GB2312" w:hAnsi="仿宋_GB2312" w:eastAsia="仿宋_GB2312" w:cs="仿宋_GB2312"/>
          <w:b/>
          <w:sz w:val="28"/>
          <w:szCs w:val="28"/>
          <w:lang w:val="en-US" w:eastAsia="zh-CN"/>
        </w:rPr>
        <w:t>九</w:t>
      </w:r>
      <w:r>
        <w:rPr>
          <w:rFonts w:hint="default" w:ascii="仿宋_GB2312" w:hAnsi="仿宋_GB2312" w:eastAsia="仿宋_GB2312" w:cs="仿宋_GB2312"/>
          <w:b/>
          <w:sz w:val="28"/>
          <w:szCs w:val="28"/>
          <w:lang w:val="en-US" w:eastAsia="zh-CN"/>
        </w:rPr>
        <w:t>条：</w:t>
      </w:r>
      <w:r>
        <w:rPr>
          <w:rFonts w:hint="default" w:ascii="仿宋_GB2312" w:hAnsi="仿宋_GB2312" w:eastAsia="仿宋_GB2312" w:cs="仿宋_GB2312"/>
          <w:sz w:val="28"/>
          <w:szCs w:val="28"/>
          <w:lang w:val="en-US" w:eastAsia="zh-CN"/>
        </w:rPr>
        <w:t>为防控新冠肺炎疫情等传播疾病，乙方应按照疫情防控要求做好防控工作，若因乙方的原因导致新型冠状肺炎疫情等传播疾病扩散，则乙方向甲方承担由此造成的实际损失（包括但不限于防疫措施费、防疫检测费、救助费等）。并且，甲方有权解除本合同，同时全额没收乙方的履约保证金。若履约保证金不足以弥补乙方给甲方造成的实际损失，则甲方有权继续向乙方追偿。</w:t>
      </w: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pPr>
    </w:p>
    <w:p>
      <w:pPr>
        <w:tabs>
          <w:tab w:val="right" w:pos="8306"/>
        </w:tabs>
        <w:adjustRightInd w:val="0"/>
        <w:snapToGrid w:val="0"/>
        <w:spacing w:line="560" w:lineRule="exact"/>
        <w:rPr>
          <w:rFonts w:ascii="仿宋_GB2312" w:hAnsi="仿宋_GB2312" w:eastAsia="仿宋_GB2312" w:cs="仿宋_GB2312"/>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600" w:firstLineChars="200"/>
        <w:rPr>
          <w:rFonts w:ascii="仿宋_GB2312" w:eastAsia="仿宋_GB2312"/>
          <w:sz w:val="30"/>
          <w:szCs w:val="30"/>
        </w:rPr>
      </w:pPr>
    </w:p>
    <w:p>
      <w:pPr>
        <w:spacing w:line="560" w:lineRule="exact"/>
      </w:pPr>
    </w:p>
    <w:p>
      <w:pPr>
        <w:spacing w:line="560" w:lineRule="exact"/>
        <w:rPr>
          <w:rFonts w:ascii="黑体" w:hAnsi="黑体" w:eastAsia="黑体" w:cs="黑体"/>
          <w:sz w:val="30"/>
          <w:szCs w:val="30"/>
        </w:rPr>
      </w:pPr>
      <w:r>
        <w:rPr>
          <w:rFonts w:hint="eastAsia" w:ascii="黑体" w:hAnsi="黑体" w:eastAsia="黑体" w:cs="黑体"/>
          <w:sz w:val="30"/>
          <w:szCs w:val="30"/>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pPr>
    </w:p>
    <w:p>
      <w:pPr>
        <w:adjustRightInd w:val="0"/>
        <w:snapToGrid w:val="0"/>
        <w:spacing w:line="560" w:lineRule="exact"/>
        <w:ind w:firstLine="562" w:firstLineChars="200"/>
        <w:jc w:val="center"/>
        <w:rPr>
          <w:rFonts w:ascii="黑体" w:hAnsi="黑体" w:eastAsia="黑体" w:cs="黑体"/>
          <w:b/>
          <w:sz w:val="28"/>
          <w:szCs w:val="28"/>
        </w:rPr>
      </w:pPr>
      <w:r>
        <w:rPr>
          <w:rFonts w:hint="eastAsia" w:ascii="黑体" w:hAnsi="黑体" w:eastAsia="黑体" w:cs="黑体"/>
          <w:b/>
          <w:sz w:val="28"/>
          <w:szCs w:val="28"/>
        </w:rPr>
        <w:t>杭州萧山国际机场有限公司廉洁自律承诺书</w:t>
      </w:r>
    </w:p>
    <w:p>
      <w:pPr>
        <w:adjustRightInd w:val="0"/>
        <w:snapToGrid w:val="0"/>
        <w:spacing w:line="560" w:lineRule="exact"/>
        <w:ind w:firstLine="442" w:firstLineChars="200"/>
        <w:rPr>
          <w:rFonts w:ascii="宋体" w:hAnsi="宋体"/>
          <w:b/>
          <w:sz w:val="22"/>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我单位响应贵公司项目招标要求，参加项目投标。在投标过程中及中标后，我们将严格遵守国家法律法规和贵司招标文件要求，并郑重作出如下承诺和保证：</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二、不以任何名义为贵公司有关人员或项目第三方人员报销应由贵公司或个人支付的费用；</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三、不向贵公司有关人员或项目第三方人员提供宴请、旅游、和健身娱乐等活动；</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四、不为贵公司有关人员或项目第三方人员出国（境）、旅游等提供方便；</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五、不为贵公司有关人员或项目第三方人员个人装修住房、婚丧嫁娶、配偶子女工作安排等提供好处或便利条件；</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六、严格遵守国家招标投标法、合同法等法律规定，诚实守信，合法经营，坚决杜绝各种违法违纪行为。</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3"/>
        <w:adjustRightInd w:val="0"/>
        <w:snapToGrid w:val="0"/>
        <w:spacing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八、如违反上述廉洁自律承诺，贵公司有权：</w:t>
      </w:r>
    </w:p>
    <w:p>
      <w:pPr>
        <w:pStyle w:val="23"/>
        <w:numPr>
          <w:ilvl w:val="0"/>
          <w:numId w:val="4"/>
        </w:numPr>
        <w:adjustRightInd w:val="0"/>
        <w:snapToGrid w:val="0"/>
        <w:spacing w:line="560" w:lineRule="exact"/>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立即取消我单位投标、中标或在建项目的实施资格；</w:t>
      </w:r>
    </w:p>
    <w:p>
      <w:pPr>
        <w:pStyle w:val="23"/>
        <w:numPr>
          <w:ilvl w:val="0"/>
          <w:numId w:val="4"/>
        </w:numPr>
        <w:adjustRightInd w:val="0"/>
        <w:snapToGrid w:val="0"/>
        <w:spacing w:line="560" w:lineRule="exact"/>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扣除我方向贵公司缴纳的履约保证金的10%作为违反廉洁自律承诺的违约金。如该违约金不足以弥补贵公司损失的，我单位仍将承担实际损失赔偿责任。</w:t>
      </w:r>
    </w:p>
    <w:p>
      <w:pPr>
        <w:pStyle w:val="23"/>
        <w:numPr>
          <w:ilvl w:val="0"/>
          <w:numId w:val="4"/>
        </w:numPr>
        <w:adjustRightInd w:val="0"/>
        <w:snapToGrid w:val="0"/>
        <w:spacing w:line="560" w:lineRule="exact"/>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拒绝我单位在一定时期内进入贵公司进行项目建设或其它经营活动；</w:t>
      </w:r>
    </w:p>
    <w:p>
      <w:pPr>
        <w:pStyle w:val="23"/>
        <w:numPr>
          <w:ilvl w:val="0"/>
          <w:numId w:val="4"/>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b w:val="0"/>
          <w:bCs/>
          <w:sz w:val="28"/>
          <w:szCs w:val="28"/>
        </w:rPr>
        <w:t>由此引起的相应损失均由我单位承担。</w:t>
      </w:r>
    </w:p>
    <w:p>
      <w:pPr>
        <w:pStyle w:val="23"/>
        <w:adjustRightInd w:val="0"/>
        <w:snapToGrid w:val="0"/>
        <w:spacing w:line="560" w:lineRule="exact"/>
        <w:ind w:left="0" w:leftChars="0" w:firstLine="0" w:firstLineChars="0"/>
        <w:jc w:val="left"/>
        <w:rPr>
          <w:rFonts w:ascii="仿宋_GB2312" w:hAnsi="仿宋_GB2312" w:eastAsia="仿宋_GB2312" w:cs="仿宋_GB2312"/>
          <w:sz w:val="28"/>
          <w:szCs w:val="28"/>
        </w:rPr>
      </w:pPr>
    </w:p>
    <w:p>
      <w:pPr>
        <w:pStyle w:val="23"/>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承诺人单位名称（盖章）：            </w:t>
      </w:r>
    </w:p>
    <w:p>
      <w:pPr>
        <w:pStyle w:val="23"/>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23"/>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23"/>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23"/>
        <w:adjustRightInd w:val="0"/>
        <w:snapToGrid w:val="0"/>
        <w:spacing w:line="560" w:lineRule="exact"/>
        <w:ind w:firstLine="562"/>
        <w:jc w:val="left"/>
        <w:rPr>
          <w:rFonts w:ascii="黑体" w:hAnsi="黑体" w:eastAsia="黑体" w:cs="黑体"/>
          <w:b/>
          <w:sz w:val="28"/>
          <w:szCs w:val="28"/>
        </w:rPr>
      </w:pPr>
    </w:p>
    <w:p>
      <w:pPr>
        <w:pStyle w:val="13"/>
        <w:spacing w:before="0" w:after="0" w:line="560" w:lineRule="exact"/>
        <w:rPr>
          <w:rFonts w:ascii="黑体" w:hAnsi="黑体" w:eastAsia="黑体" w:cs="黑体"/>
          <w:b w:val="0"/>
          <w:sz w:val="28"/>
          <w:szCs w:val="28"/>
        </w:rPr>
      </w:pPr>
      <w:r>
        <w:rPr>
          <w:rFonts w:hint="eastAsia" w:ascii="黑体" w:hAnsi="黑体" w:eastAsia="黑体" w:cs="黑体"/>
          <w:b w:val="0"/>
          <w:sz w:val="28"/>
          <w:szCs w:val="28"/>
        </w:rPr>
        <w:t xml:space="preserve">                           年     月     日</w:t>
      </w:r>
    </w:p>
    <w:p>
      <w:pPr>
        <w:rPr>
          <w:sz w:val="30"/>
          <w:szCs w:val="30"/>
        </w:rPr>
      </w:pPr>
    </w:p>
    <w:p>
      <w:pPr>
        <w:spacing w:line="560" w:lineRule="exact"/>
        <w:rPr>
          <w:rFonts w:ascii="黑体" w:hAnsi="黑体" w:eastAsia="黑体"/>
          <w:sz w:val="30"/>
          <w:szCs w:val="30"/>
        </w:rPr>
      </w:pPr>
    </w:p>
    <w:p>
      <w:pPr>
        <w:spacing w:line="560" w:lineRule="exact"/>
        <w:rPr>
          <w:rFonts w:ascii="黑体" w:hAnsi="黑体" w:eastAsia="黑体"/>
          <w:sz w:val="30"/>
          <w:szCs w:val="30"/>
        </w:rPr>
      </w:pPr>
      <w:r>
        <w:rPr>
          <w:rFonts w:hint="eastAsia" w:ascii="黑体" w:hAnsi="黑体" w:eastAsia="黑体"/>
          <w:sz w:val="30"/>
          <w:szCs w:val="30"/>
        </w:rPr>
        <w:br w:type="page"/>
      </w:r>
    </w:p>
    <w:p>
      <w:pPr>
        <w:spacing w:line="560" w:lineRule="exact"/>
        <w:rPr>
          <w:rFonts w:ascii="黑体" w:hAnsi="黑体" w:eastAsia="黑体"/>
          <w:sz w:val="32"/>
          <w:szCs w:val="32"/>
        </w:rPr>
      </w:pPr>
      <w:r>
        <w:rPr>
          <w:rFonts w:hint="eastAsia" w:ascii="黑体" w:hAnsi="黑体" w:eastAsia="黑体"/>
          <w:sz w:val="32"/>
          <w:szCs w:val="32"/>
        </w:rPr>
        <w:t>附件2：保密承诺书</w:t>
      </w:r>
    </w:p>
    <w:p>
      <w:pPr>
        <w:spacing w:line="560" w:lineRule="exact"/>
        <w:rPr>
          <w:rFonts w:ascii="黑体" w:hAnsi="黑体" w:eastAsia="黑体"/>
          <w:sz w:val="30"/>
          <w:szCs w:val="30"/>
        </w:rPr>
      </w:pPr>
    </w:p>
    <w:p>
      <w:pPr>
        <w:pStyle w:val="2"/>
      </w:pPr>
    </w:p>
    <w:p>
      <w:pPr>
        <w:pStyle w:val="2"/>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pStyle w:val="2"/>
        <w:rPr>
          <w:rFonts w:ascii="黑体" w:hAnsi="黑体" w:eastAsia="黑体" w:cs="黑体"/>
          <w:b/>
          <w:bCs/>
          <w:sz w:val="28"/>
          <w:szCs w:val="28"/>
        </w:rPr>
      </w:pPr>
    </w:p>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w:t>
      </w:r>
      <w:r>
        <w:rPr>
          <w:rFonts w:hint="eastAsia" w:ascii="仿宋_GB2312" w:hAnsi="仿宋_GB2312" w:eastAsia="仿宋_GB2312" w:cs="仿宋_GB2312"/>
          <w:sz w:val="28"/>
          <w:szCs w:val="28"/>
          <w:u w:val="single"/>
        </w:rPr>
        <w:t xml:space="preserve"> 杭州萧山国际机场T4航站楼及交通中心等区域中央空调等设备巡更系统采购（含安装）</w:t>
      </w:r>
      <w:r>
        <w:rPr>
          <w:rFonts w:hint="eastAsia" w:ascii="仿宋_GB2312" w:hAnsi="仿宋_GB2312" w:eastAsia="仿宋_GB2312" w:cs="仿宋_GB2312"/>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3"/>
        <w:spacing w:line="564" w:lineRule="exact"/>
        <w:ind w:right="57"/>
        <w:jc w:val="cente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tabs>
          <w:tab w:val="left" w:pos="1890"/>
        </w:tabs>
        <w:spacing w:line="560" w:lineRule="exact"/>
        <w:rPr>
          <w:rFonts w:hint="eastAsia" w:ascii="黑体" w:hAnsi="黑体" w:eastAsia="黑体" w:cs="黑体"/>
          <w:color w:val="auto"/>
          <w:sz w:val="30"/>
          <w:szCs w:val="30"/>
        </w:rPr>
      </w:pPr>
      <w:r>
        <w:rPr>
          <w:rFonts w:hint="eastAsia" w:ascii="黑体" w:hAnsi="黑体" w:eastAsia="黑体" w:cs="黑体"/>
          <w:color w:val="auto"/>
          <w:sz w:val="30"/>
          <w:szCs w:val="30"/>
        </w:rPr>
        <w:t>附件</w:t>
      </w:r>
      <w:r>
        <w:rPr>
          <w:rFonts w:hint="eastAsia" w:ascii="黑体" w:hAnsi="黑体" w:eastAsia="黑体" w:cs="黑体"/>
          <w:color w:val="auto"/>
          <w:sz w:val="30"/>
          <w:szCs w:val="30"/>
          <w:lang w:val="en-US" w:eastAsia="zh-CN"/>
        </w:rPr>
        <w:t>3</w:t>
      </w:r>
      <w:r>
        <w:rPr>
          <w:rFonts w:hint="eastAsia" w:ascii="黑体" w:hAnsi="黑体" w:eastAsia="黑体" w:cs="黑体"/>
          <w:color w:val="auto"/>
          <w:sz w:val="30"/>
          <w:szCs w:val="30"/>
        </w:rPr>
        <w:t>：安全文明施工协议书</w:t>
      </w:r>
    </w:p>
    <w:p>
      <w:pPr>
        <w:pStyle w:val="8"/>
        <w:spacing w:line="360" w:lineRule="exact"/>
        <w:ind w:firstLine="420"/>
        <w:rPr>
          <w:rFonts w:ascii="Calibri" w:hAnsi="Calibri" w:cs="Calibri"/>
          <w:bCs/>
          <w:szCs w:val="32"/>
        </w:rPr>
      </w:pPr>
    </w:p>
    <w:p>
      <w:pPr>
        <w:pStyle w:val="25"/>
        <w:ind w:firstLine="0" w:firstLineChars="0"/>
        <w:jc w:val="center"/>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杭州萧山国际机场项目工程建设</w:t>
      </w:r>
    </w:p>
    <w:p>
      <w:pPr>
        <w:pStyle w:val="25"/>
        <w:ind w:firstLine="0" w:firstLineChars="0"/>
        <w:jc w:val="center"/>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安全文明施工协议书</w:t>
      </w:r>
    </w:p>
    <w:p>
      <w:pPr>
        <w:pStyle w:val="25"/>
        <w:ind w:firstLine="0" w:firstLineChars="0"/>
        <w:jc w:val="center"/>
        <w:rPr>
          <w:rFonts w:ascii="仿宋_GB2312" w:hAnsi="宋体" w:eastAsia="仿宋_GB2312"/>
          <w:b w:val="0"/>
          <w:bCs/>
          <w:color w:val="auto"/>
          <w:sz w:val="24"/>
          <w:szCs w:val="24"/>
        </w:rPr>
      </w:pPr>
    </w:p>
    <w:p>
      <w:pPr>
        <w:pStyle w:val="23"/>
        <w:adjustRightInd w:val="0"/>
        <w:snapToGrid w:val="0"/>
        <w:ind w:firstLine="0" w:firstLineChars="0"/>
        <w:rPr>
          <w:rFonts w:ascii="仿宋_GB2312" w:hAnsi="宋体" w:eastAsia="仿宋_GB2312" w:cs="宋体"/>
          <w:b w:val="0"/>
          <w:bCs/>
          <w:szCs w:val="24"/>
        </w:rPr>
      </w:pPr>
      <w:r>
        <w:rPr>
          <w:rFonts w:hint="eastAsia" w:ascii="仿宋_GB2312" w:hAnsi="宋体" w:eastAsia="仿宋_GB2312" w:cs="宋体"/>
          <w:b w:val="0"/>
          <w:bCs/>
          <w:szCs w:val="24"/>
        </w:rPr>
        <w:t>发包人：杭州萧山国际机场有限公司</w:t>
      </w:r>
    </w:p>
    <w:p>
      <w:pPr>
        <w:rPr>
          <w:rFonts w:eastAsia="仿宋_GB2312"/>
          <w:b w:val="0"/>
          <w:bCs/>
        </w:rPr>
      </w:pPr>
      <w:r>
        <w:rPr>
          <w:rFonts w:hint="eastAsia" w:ascii="仿宋_GB2312" w:hAnsi="宋体" w:eastAsia="仿宋_GB2312" w:cs="宋体"/>
          <w:b w:val="0"/>
          <w:bCs/>
          <w:sz w:val="24"/>
          <w:szCs w:val="24"/>
        </w:rPr>
        <w:t>承包人：</w:t>
      </w:r>
    </w:p>
    <w:p>
      <w:pPr>
        <w:pStyle w:val="23"/>
        <w:adjustRightInd w:val="0"/>
        <w:snapToGrid w:val="0"/>
        <w:ind w:firstLine="0" w:firstLineChars="0"/>
        <w:rPr>
          <w:rFonts w:ascii="仿宋_GB2312" w:hAnsi="宋体" w:eastAsia="仿宋_GB2312" w:cs="宋体"/>
          <w:b w:val="0"/>
          <w:bCs/>
          <w:szCs w:val="24"/>
        </w:rPr>
      </w:pPr>
      <w:r>
        <w:rPr>
          <w:rFonts w:hint="eastAsia" w:ascii="仿宋_GB2312" w:hAnsi="宋体" w:eastAsia="仿宋_GB2312" w:cs="宋体"/>
          <w:b w:val="0"/>
          <w:bCs/>
          <w:szCs w:val="24"/>
        </w:rPr>
        <w:t>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一、发包人对承包人实行安全目标管理，安全目标的具体内容是：</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1、无责任死亡事故和群伤事件。</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2、无重大经济责任事故。</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3、无空防安全事故。</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4、无影响机场运行的不安全事件。</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5、无七类重大刑事案件（杀人、绑架、强奸、放火、爆炸、劫持、故意伤害致死）及其它严重、恶性案件。</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6、无因未足额、及时发放工资发生劳资纠纷。</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7、无集体食物中毒事件。</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8、无计划外生育。</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9、无因上述原因引发无序维权事件。</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上述情况的认定按国家和行业的有关规定和标准执行。</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二、发包人的权利和义务</w:t>
      </w:r>
    </w:p>
    <w:p>
      <w:pPr>
        <w:pStyle w:val="23"/>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1、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进行经济处罚或责令承包人停工整改直至终止合同。</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2、发包人联系和协调机场公安机关，督促施工单位按有关规定申报暂住登记和申领《居住证》，并协助承包人联系机场公安局商定有关工地安全保卫事宜。</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3、发包人利用施工例会等定期分析和掌握工程的治安情况，通报当前治安形势，交流工作经验，协助处理相关问题。</w:t>
      </w:r>
    </w:p>
    <w:p>
      <w:pPr>
        <w:pStyle w:val="23"/>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4、承包人未按要求配备安全设施、设备、器材，未在限定期限内整改的，发包人有权直接购置并配足，另增加20%的管理费，费用由承包人承担。</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23"/>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6、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23"/>
        <w:adjustRightInd w:val="0"/>
        <w:snapToGrid w:val="0"/>
        <w:ind w:firstLineChars="0"/>
        <w:rPr>
          <w:rFonts w:ascii="仿宋_GB2312" w:hAnsi="宋体" w:eastAsia="仿宋_GB2312" w:cs="宋体"/>
          <w:b w:val="0"/>
          <w:bCs/>
          <w:szCs w:val="24"/>
        </w:rPr>
      </w:pPr>
      <w:r>
        <w:rPr>
          <w:rFonts w:hint="eastAsia" w:ascii="仿宋_GB2312" w:hAnsi="宋体" w:eastAsia="仿宋_GB2312" w:cs="宋体"/>
          <w:b w:val="0"/>
          <w:bCs/>
          <w:szCs w:val="24"/>
        </w:rPr>
        <w:t>7、发包人对承包人的临时设施（包括临时宿舍）进行统一规划和监管，完成后临时设施场地应按发包人要求恢复原状。</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8、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9、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10、发包人应按合同约定如期支付承包人工程款。</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三、承包人的安全、文明权利和义务</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遵守《中华人民共和国安全生产法》、《中华人民共和国建筑法》、《建设工程安全管理条例》、《浙江省建筑业管理条例》、《建筑施工安全检查标准》、《浙江省建筑安全文明施工标准化工地管理办法》和《杭州市建设工地职工宿舍安全使用与管理》以及其他安全文明的法律、法规，遵守机场有关安全管理的规章制度。</w:t>
      </w:r>
    </w:p>
    <w:p>
      <w:pPr>
        <w:pStyle w:val="23"/>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（一）安全文明施工管理</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1、落实施工安全责任，所涉工程依法实行总分包制的，总包单位应对施工安全负总责，以安全责任书的方式确定各分包单位的安全责任，承包人应层层签订安全责任书。</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2、承包人应开展风险管理，结合风险评估结果有针对性地制定和落实施工安全技术措施。</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3.1 基坑与降水工程；</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3.2 土方开挖工程；</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3.3 模板工程；</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3.4 起重吊装工程；</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3.5 脚手架工程；</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3.6 焊接、切割、爆破、拆除作业工程；</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3.7国务院建设行政主管部门或其它有关部门规定的其它危险性较大的工程。</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4、承包人不得在机场和机场净空保护区范围内施放烟花、爆竹、气球等升空物体；建筑生活垃圾定点集中堆放，及时清运，不得随意焚烧垃圾等物品制造烟雾；不得饲养动物；不得随意丢弃飘浮物。</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4、承包人必须按照发包人的规划要求搭设临时设施，并经发包人验收合格方准使用。但发包人的验收并不免除承包人对其搭设的临时设施的安全承担全部责任。</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23"/>
        <w:adjustRightInd w:val="0"/>
        <w:snapToGrid w:val="0"/>
        <w:spacing w:line="40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7、承包人应做好装修施工阶段成品保护工作，按照“谁主管、谁负责；谁使用、谁负责；谁管理、谁负责”的原则，制定成品保护管理办法，层层签订成品保护责任书，真正落实成品保护现场管理的各项措施。</w:t>
      </w:r>
    </w:p>
    <w:p>
      <w:pPr>
        <w:pStyle w:val="23"/>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8、为保障民工合法权益，承包人还应承担以下义务：</w:t>
      </w:r>
    </w:p>
    <w:p>
      <w:pPr>
        <w:pStyle w:val="26"/>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6"/>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26"/>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26"/>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26"/>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8.5承包人支付下属劳务单位（或施工班组）进度款之前，有义务查阅下属劳务单位（或施工班组）前期民工工资足额发放的书面材料。</w:t>
      </w:r>
    </w:p>
    <w:p>
      <w:pPr>
        <w:pStyle w:val="26"/>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8.6承包人应制定相关约束性制度，落实措施，预防、杜绝下属劳务单位（或施工班组）无序维权事件发生。</w:t>
      </w:r>
    </w:p>
    <w:p>
      <w:pPr>
        <w:pStyle w:val="26"/>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8.7若民工或下属劳务单位（或施工班组）维权，承包人应负相应举证义务。</w:t>
      </w:r>
    </w:p>
    <w:p>
      <w:pPr>
        <w:pStyle w:val="26"/>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8.8一旦发生民工无序维权，承包人主要领导应当及时到场，督促下属劳务单位（或施工班组）负责人劝离民工，并积极配合发包人相关部门协调处置。</w:t>
      </w:r>
    </w:p>
    <w:p>
      <w:pPr>
        <w:pStyle w:val="26"/>
        <w:snapToGrid w:val="0"/>
        <w:spacing w:line="3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发包人对承包人的上述工作有随时监督检查的权利，承包人应积极配合发包人的检查。</w:t>
      </w:r>
    </w:p>
    <w:p>
      <w:pPr>
        <w:pStyle w:val="23"/>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（二）空防安全管理</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1、必须严格遵守民用航空安全、空防管理的法律、法规和机场安全管理的各项规章制度。属于机场不停航施工项目或需进入机场控制区施工的项目，其人员和车辆实行机场控制区通行证管理制度。</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3、进入机场控制区施工的人员和车辆需由发包人派员负责引领并主动接受机场管理人员的安全检查，服从机场相关职能部门的监管，无通行证者一律不得进入。</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（三）不停航施工安全管理（仅指进入控制区从事不停航施工项目）</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1.3、施工机具须停放在指定安全区域内。机场开放运行期间，必须严格控制施工机械的活动范围，杜绝出现机具、车辆侵入飞行活动区或超越机场净空限制面等情况。</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（四）社会治安管理</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2、进出口大门应设立门卫，人员和车辆凭发包人制发的施工通行证进出，并接受发包人安保人员或机场公安管理人员查验。</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3、做好内部的治安防范工作，对重要部位和物资、设备，要落实人防、物防和技防的措施，积极配合公安机关组织的治安联防活动。</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4、加强对施工人员的遵纪守法教育，预防“黄、毒、赌”、斗殴、偷窃等违法违纪行为的发生，主动接受发包人和机场公安机关的指导、检查、监督、考核。</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5、认真排查、调处各类矛盾，及时消除不稳定因素，杜绝各类社会矛盾引发的群体性事件的发生。</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6、制定包括重大安全生产事故、重大道路交通事故、重大消防安全事故、重大刑事案件以及群体性事件等突发性事件在内的应急处置预案，一旦发生，及时报告发包人和上级主管部门并做好处置工作。</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7、员工宿舍必须定人定位，不得男女混住，不准留宿身份不明的人员，留客住宿必须经项目部负责人同意，并登记备查，保证生产、生活区的安全。</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8、加强对施工人员的管理，外来人员拟居住30天以下的，应及时到机场公安机关申报暂住登记；拟居住30天以上的年满16周岁人员，应在10天内到机场公安机关申领《居住证》。</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9、负责工程建设期间施工队伍中的计划生育工作，做好孕情监测，确保无计划外生育的情况发生。</w:t>
      </w:r>
    </w:p>
    <w:p>
      <w:pPr>
        <w:pStyle w:val="23"/>
        <w:adjustRightInd w:val="0"/>
        <w:snapToGrid w:val="0"/>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（五）消防安全管理</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1、遵守国家消防法律法规，建立和健全消防管理规章制度，明确消防安全责任人，健全消防安全网络（配备专职或兼职消防员），建立消防应急队伍，并报发包人和机场公安局消防部门备案。</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2、制定用火、用电、使用易燃易爆及危险化学物品等各项消防安全操作规程，设置消防通道、消防水源、配备必须的消防设备和灭火器材，并在重点场所重点部位设置消防警示标志。</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3、施工中使用明火，使用电、气进行焊接和切割作业，须经机场公安消防管理部门审查批准，并在施工现场设置专门的防火监护人、接火盆、配足有效的灭火器材、清理附近的可燃物等。</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4、对施工人员进行消防安全教育，使其熟悉本岗位防火措施、遇险报警、初期扑救及自救逃生的知识和技能。</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5、自行搭建临时用房应符合防火设计规范，建立、健全员工宿舍消防安全管理规章制度，加强员工宿舍消防安全、用电安全管理，严禁不按规定用火和私拉乱接电线、严禁使用大功率电器。</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（六）交通安全管理</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1、加强对下属员工、驾驶人员、承运单位的道路交通安全法律法规宣传教育，车辆进出机场和施工场地均应服从交警及其他交通管理人员的指挥和管理。</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2、与承运单位或驾驶员签订《交通安全责任书》，并实行交通安全检查考核制度，配备交通安全联络员，对运输车辆驾驶员和施工人员进行交通安全教育并做好教育台帐，减少或控制交通违法行为的发生。</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3、确保各类运输车辆技术状况良好，不得使用假牌、假证、无号牌、无行驶证、无保险和带故障、检验不合格的运输车辆。</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4、所有运输车辆均应办理施工通行证并按指定路线和限定速度行驶，不得违反车辆装载规定，严禁沿路抛洒装载物。进入控制区施工车辆应安装并开启黄色警示灯。</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5、在施工现场内及进、出口处设置必要的交通标志，预防交通事故的发生。</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6、占用、挖掘道路，跨越道路架设、铺设管线以及大型机械进出机场须提前与发包人协商，征得发包人和机场公安局交警队同意，并采取防护措施和设置明显警示标志方可实施。</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四、违约责任</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1、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23"/>
        <w:spacing w:line="40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2、承包人在生产施工中一旦发生责任事故造成发包人或第三方损害，无正当理由未予赔偿的，发包人有权向承包人追偿实际损失。承包人未实现本协议安全管理目标的，违反上述安全文明施工管理、空防安全管理、不停航施工安全管理、社会治安管理、消防安全管理或交通安全管理条款的，发包人将严格按照相关规定进行扣分和处罚。</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3、承包人未尽本协议第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承包人未尽本协议第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金：每发生事件一次支付违约金人民币一万元，在事件中每受伤一人支付违约金人民币五至十万元，每死亡一人支付违约金人民币一百万元，该笔款项由发包人从工程款中直接扣除。承包人构成本项违约的事实，以公安部门的接处警记录或实际损害结果的发生为准。</w:t>
      </w: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4、本协议所述的扣罚所涉款项属惩罚性违约金性质，承包人确认该等扣罚标准合理，承包人同意受发包人依据本协议书所制定的具体扣罚标准的约束，承包人确认其已明白无误的了解该等具体的扣罚标准，承包人承担了该等违约金并不免除其应按合同约定予以全面履行的义务和责任。</w:t>
      </w:r>
    </w:p>
    <w:p>
      <w:pPr>
        <w:ind w:firstLine="480" w:firstLineChars="200"/>
        <w:rPr>
          <w:b w:val="0"/>
          <w:bCs/>
        </w:rPr>
      </w:pPr>
      <w:r>
        <w:rPr>
          <w:rFonts w:hint="eastAsia" w:ascii="仿宋_GB2312" w:hAnsi="宋体" w:eastAsia="仿宋_GB2312" w:cs="宋体"/>
          <w:b w:val="0"/>
          <w:bCs/>
          <w:sz w:val="24"/>
          <w:szCs w:val="24"/>
        </w:rPr>
        <w:t>五、本协议书附于《</w:t>
      </w:r>
      <w:r>
        <w:rPr>
          <w:rFonts w:hint="eastAsia" w:ascii="仿宋_GB2312" w:hAnsi="宋体" w:eastAsia="仿宋_GB2312" w:cs="宋体"/>
          <w:b w:val="0"/>
          <w:bCs/>
          <w:sz w:val="24"/>
          <w:szCs w:val="24"/>
          <w:u w:val="single"/>
        </w:rPr>
        <w:t xml:space="preserve"> 杭州萧山国际机场T4航站楼及交通中心等区域中央空调等设备巡更系统采购（含安装）</w:t>
      </w:r>
      <w:r>
        <w:rPr>
          <w:rFonts w:hint="eastAsia" w:ascii="仿宋_GB2312" w:hAnsi="宋体" w:eastAsia="仿宋_GB2312" w:cs="宋体"/>
          <w:b w:val="0"/>
          <w:bCs/>
          <w:sz w:val="24"/>
          <w:szCs w:val="24"/>
          <w:u w:val="single"/>
          <w:lang w:val="en-US" w:eastAsia="zh-CN"/>
        </w:rPr>
        <w:t xml:space="preserve"> </w:t>
      </w:r>
      <w:r>
        <w:rPr>
          <w:rFonts w:hint="eastAsia" w:ascii="仿宋_GB2312" w:hAnsi="宋体" w:eastAsia="仿宋_GB2312" w:cs="宋体"/>
          <w:b w:val="0"/>
          <w:bCs/>
          <w:sz w:val="24"/>
          <w:szCs w:val="24"/>
        </w:rPr>
        <w:t>》</w:t>
      </w:r>
      <w:r>
        <w:rPr>
          <w:rFonts w:hint="eastAsia" w:ascii="仿宋_GB2312" w:hAnsi="宋体" w:eastAsia="仿宋_GB2312" w:cs="宋体"/>
          <w:b w:val="0"/>
          <w:bCs/>
          <w:sz w:val="24"/>
          <w:szCs w:val="24"/>
          <w:lang w:eastAsia="zh-CN"/>
        </w:rPr>
        <w:t>合同</w:t>
      </w:r>
      <w:r>
        <w:rPr>
          <w:rFonts w:hint="eastAsia" w:ascii="仿宋_GB2312" w:hAnsi="宋体" w:eastAsia="仿宋_GB2312" w:cs="宋体"/>
          <w:b w:val="0"/>
          <w:bCs/>
          <w:sz w:val="24"/>
          <w:szCs w:val="24"/>
        </w:rPr>
        <w:t>，本协议书自发包人、承包人共同签字或盖章后生效。</w:t>
      </w:r>
    </w:p>
    <w:p>
      <w:pPr>
        <w:pStyle w:val="23"/>
        <w:adjustRightInd w:val="0"/>
        <w:snapToGrid w:val="0"/>
        <w:ind w:firstLine="0" w:firstLineChars="0"/>
        <w:rPr>
          <w:rFonts w:ascii="仿宋_GB2312" w:hAnsi="宋体" w:eastAsia="仿宋_GB2312" w:cs="宋体"/>
          <w:b w:val="0"/>
          <w:bCs/>
          <w:szCs w:val="24"/>
        </w:rPr>
      </w:pPr>
    </w:p>
    <w:p>
      <w:pPr>
        <w:pStyle w:val="23"/>
        <w:adjustRightInd w:val="0"/>
        <w:snapToGrid w:val="0"/>
        <w:ind w:firstLine="0" w:firstLineChars="0"/>
        <w:rPr>
          <w:rFonts w:ascii="仿宋_GB2312" w:hAnsi="宋体" w:eastAsia="仿宋_GB2312" w:cs="宋体"/>
          <w:b w:val="0"/>
          <w:bCs/>
          <w:szCs w:val="24"/>
        </w:rPr>
      </w:pPr>
    </w:p>
    <w:p>
      <w:pPr>
        <w:pStyle w:val="23"/>
        <w:adjustRightInd w:val="0"/>
        <w:snapToGrid w:val="0"/>
        <w:ind w:firstLine="0" w:firstLineChars="0"/>
        <w:rPr>
          <w:rFonts w:ascii="仿宋_GB2312" w:hAnsi="宋体" w:eastAsia="仿宋_GB2312" w:cs="宋体"/>
          <w:b w:val="0"/>
          <w:bCs/>
          <w:szCs w:val="24"/>
        </w:rPr>
      </w:pPr>
    </w:p>
    <w:p>
      <w:pPr>
        <w:pStyle w:val="23"/>
        <w:adjustRightInd w:val="0"/>
        <w:snapToGrid w:val="0"/>
        <w:ind w:firstLine="482"/>
        <w:rPr>
          <w:rFonts w:ascii="仿宋_GB2312" w:hAnsi="宋体" w:eastAsia="仿宋_GB2312" w:cs="宋体"/>
          <w:b w:val="0"/>
          <w:bCs/>
          <w:szCs w:val="24"/>
        </w:rPr>
      </w:pPr>
      <w:r>
        <w:rPr>
          <w:rFonts w:hint="eastAsia" w:ascii="仿宋_GB2312" w:hAnsi="宋体" w:eastAsia="仿宋_GB2312" w:cs="宋体"/>
          <w:b w:val="0"/>
          <w:bCs/>
          <w:szCs w:val="24"/>
        </w:rPr>
        <w:t>发包人：                                     承包人：</w:t>
      </w:r>
    </w:p>
    <w:p>
      <w:pPr>
        <w:pStyle w:val="3"/>
        <w:spacing w:line="564" w:lineRule="exact"/>
        <w:ind w:right="57"/>
        <w:jc w:val="both"/>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3"/>
        <w:spacing w:line="564" w:lineRule="exact"/>
        <w:ind w:right="57"/>
        <w:jc w:val="center"/>
        <w:rPr>
          <w:rFonts w:hint="eastAsia"/>
        </w:rPr>
      </w:pPr>
    </w:p>
    <w:p>
      <w:pPr>
        <w:rPr>
          <w:rFonts w:hint="eastAsia"/>
        </w:rPr>
      </w:pPr>
    </w:p>
    <w:p>
      <w:pPr>
        <w:pStyle w:val="3"/>
        <w:spacing w:line="564" w:lineRule="exact"/>
        <w:ind w:right="57"/>
        <w:jc w:val="center"/>
      </w:pPr>
      <w:r>
        <w:rPr>
          <w:rFonts w:hint="eastAsia"/>
        </w:rPr>
        <w:t>第五章</w:t>
      </w:r>
      <w:r>
        <w:t xml:space="preserve">  </w:t>
      </w:r>
      <w:r>
        <w:rPr>
          <w:rFonts w:hint="eastAsia"/>
        </w:rPr>
        <w:t>用户需求书</w:t>
      </w:r>
      <w:bookmarkEnd w:id="32"/>
    </w:p>
    <w:p>
      <w:pPr>
        <w:pStyle w:val="3"/>
        <w:spacing w:line="564" w:lineRule="exact"/>
        <w:ind w:right="57"/>
        <w:jc w:val="center"/>
        <w:sectPr>
          <w:pgSz w:w="12240" w:h="15840"/>
          <w:pgMar w:top="1400" w:right="1680" w:bottom="1120" w:left="1580" w:header="0" w:footer="921" w:gutter="0"/>
          <w:cols w:space="720" w:num="1"/>
        </w:sectPr>
      </w:pPr>
    </w:p>
    <w:p>
      <w:pPr>
        <w:spacing w:before="1"/>
        <w:jc w:val="center"/>
        <w:rPr>
          <w:rStyle w:val="19"/>
          <w:rFonts w:hint="eastAsia" w:ascii="仿宋" w:hAnsi="仿宋" w:eastAsia="仿宋" w:cs="仿宋"/>
          <w:sz w:val="40"/>
          <w:szCs w:val="40"/>
        </w:rPr>
      </w:pPr>
      <w:bookmarkStart w:id="33" w:name="_Toc19698502"/>
      <w:r>
        <w:rPr>
          <w:rStyle w:val="19"/>
          <w:rFonts w:hint="eastAsia" w:ascii="仿宋" w:hAnsi="仿宋" w:eastAsia="仿宋" w:cs="仿宋"/>
          <w:sz w:val="40"/>
          <w:szCs w:val="40"/>
        </w:rPr>
        <w:t>用户需求书</w:t>
      </w:r>
      <w:bookmarkEnd w:id="33"/>
    </w:p>
    <w:p>
      <w:pPr>
        <w:spacing w:before="1"/>
        <w:jc w:val="center"/>
        <w:rPr>
          <w:rStyle w:val="19"/>
          <w:rFonts w:hint="eastAsia" w:ascii="仿宋" w:hAnsi="仿宋" w:eastAsia="仿宋" w:cs="仿宋"/>
          <w:sz w:val="40"/>
          <w:szCs w:val="40"/>
        </w:rPr>
      </w:pPr>
    </w:p>
    <w:p>
      <w:pPr>
        <w:pStyle w:val="7"/>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招标人应尽可能清晰准确地提出对设备的需求，并对所要求提供的设备名称、规格、数量 </w:t>
      </w:r>
      <w:r>
        <w:rPr>
          <w:rFonts w:hint="eastAsia" w:ascii="仿宋" w:hAnsi="仿宋" w:eastAsia="仿宋" w:cs="仿宋"/>
          <w:spacing w:val="-1"/>
          <w:sz w:val="28"/>
          <w:szCs w:val="28"/>
        </w:rPr>
        <w:t>及单位、交货期、交货地点、技术性能指标、检验考核要求、技术服务和质保期服务要求等作出说明。鉴于供货要求是合同文件的组成文件之一，指代主体名称宜采用甲方和乙方分别表示</w:t>
      </w:r>
      <w:r>
        <w:rPr>
          <w:rFonts w:hint="eastAsia" w:ascii="仿宋" w:hAnsi="仿宋" w:eastAsia="仿宋" w:cs="仿宋"/>
          <w:sz w:val="28"/>
          <w:szCs w:val="28"/>
        </w:rPr>
        <w:t>招标人和投标人或中标人。</w:t>
      </w:r>
    </w:p>
    <w:p>
      <w:pPr>
        <w:pStyle w:val="7"/>
        <w:spacing w:after="0" w:line="560" w:lineRule="exact"/>
        <w:ind w:firstLine="560" w:firstLineChars="200"/>
        <w:rPr>
          <w:rFonts w:hint="eastAsia" w:ascii="仿宋" w:hAnsi="仿宋" w:eastAsia="仿宋" w:cs="仿宋"/>
          <w:sz w:val="28"/>
          <w:szCs w:val="28"/>
        </w:rPr>
      </w:pPr>
    </w:p>
    <w:p>
      <w:pPr>
        <w:pStyle w:val="5"/>
        <w:spacing w:before="0" w:after="0" w:line="560" w:lineRule="exact"/>
        <w:ind w:firstLine="281" w:firstLineChars="100"/>
        <w:jc w:val="left"/>
        <w:rPr>
          <w:rFonts w:hint="eastAsia" w:ascii="仿宋" w:hAnsi="仿宋" w:eastAsia="仿宋" w:cs="仿宋"/>
        </w:rPr>
      </w:pPr>
      <w:bookmarkStart w:id="34" w:name="_bookmark148"/>
      <w:bookmarkEnd w:id="34"/>
      <w:r>
        <w:rPr>
          <w:rFonts w:hint="eastAsia" w:ascii="仿宋" w:hAnsi="仿宋" w:eastAsia="仿宋" w:cs="仿宋"/>
        </w:rPr>
        <w:t>一、项目概况及总体要求</w:t>
      </w:r>
    </w:p>
    <w:p>
      <w:pPr>
        <w:pStyle w:val="7"/>
        <w:spacing w:after="0"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招标人可根据需要对项目的概况进行介绍，以使投标人更清晰地了解供货的总体要求和相关信息。</w:t>
      </w:r>
    </w:p>
    <w:p>
      <w:pPr>
        <w:pStyle w:val="7"/>
        <w:spacing w:after="0"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巡更点设置主要范围：T4航站楼、交通中心、能源中心集中式中央空调系统机房及设备（含综合管廊、共同沟区域）；T4航站楼、交通中心、能源中心等区域楼控、智能照明、冷热源群控等系统设备</w:t>
      </w:r>
      <w:r>
        <w:rPr>
          <w:rFonts w:hint="eastAsia" w:ascii="仿宋" w:hAnsi="仿宋" w:eastAsia="仿宋" w:cs="仿宋"/>
          <w:b w:val="0"/>
          <w:bCs w:val="0"/>
          <w:sz w:val="28"/>
          <w:szCs w:val="28"/>
          <w:lang w:eastAsia="zh-CN"/>
        </w:rPr>
        <w:t>。</w:t>
      </w:r>
    </w:p>
    <w:p>
      <w:pPr>
        <w:pStyle w:val="7"/>
        <w:spacing w:after="0"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巡更数据上传汇总点设置：</w:t>
      </w:r>
    </w:p>
    <w:tbl>
      <w:tblPr>
        <w:tblStyle w:val="18"/>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6"/>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6426" w:type="dxa"/>
          </w:tcPr>
          <w:p>
            <w:pPr>
              <w:pStyle w:val="7"/>
              <w:spacing w:after="0" w:line="560" w:lineRule="exact"/>
              <w:ind w:firstLine="560" w:firstLineChars="200"/>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巡更</w:t>
            </w:r>
            <w:r>
              <w:rPr>
                <w:rFonts w:hint="eastAsia" w:ascii="仿宋" w:hAnsi="仿宋" w:eastAsia="仿宋" w:cs="仿宋"/>
                <w:b w:val="0"/>
                <w:bCs w:val="0"/>
                <w:sz w:val="28"/>
                <w:szCs w:val="28"/>
                <w:lang w:eastAsia="zh-CN"/>
              </w:rPr>
              <w:t>内容</w:t>
            </w:r>
          </w:p>
        </w:tc>
        <w:tc>
          <w:tcPr>
            <w:tcW w:w="2595" w:type="dxa"/>
          </w:tcPr>
          <w:p>
            <w:pPr>
              <w:pStyle w:val="7"/>
              <w:spacing w:after="0" w:line="560" w:lineRule="exact"/>
              <w:ind w:firstLine="560" w:firstLineChars="20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巡更数据上传</w:t>
            </w:r>
          </w:p>
          <w:p>
            <w:pPr>
              <w:pStyle w:val="7"/>
              <w:spacing w:after="0" w:line="560" w:lineRule="exact"/>
              <w:ind w:firstLine="560" w:firstLineChars="200"/>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汇总</w:t>
            </w:r>
            <w:r>
              <w:rPr>
                <w:rFonts w:hint="eastAsia" w:ascii="仿宋" w:hAnsi="仿宋" w:eastAsia="仿宋" w:cs="仿宋"/>
                <w:b w:val="0"/>
                <w:bCs w:val="0"/>
                <w:sz w:val="28"/>
                <w:szCs w:val="28"/>
                <w:lang w:eastAsia="zh-CN"/>
              </w:rPr>
              <w:t>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6426" w:type="dxa"/>
          </w:tcPr>
          <w:p>
            <w:pPr>
              <w:pStyle w:val="7"/>
              <w:spacing w:after="0" w:line="560" w:lineRule="exact"/>
              <w:ind w:firstLine="560" w:firstLineChars="20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T4航站楼及交通中心集中式中央空调系统机房及设备（含综合管廊、共同沟区域）</w:t>
            </w:r>
          </w:p>
        </w:tc>
        <w:tc>
          <w:tcPr>
            <w:tcW w:w="2595" w:type="dxa"/>
          </w:tcPr>
          <w:p>
            <w:pPr>
              <w:pStyle w:val="7"/>
              <w:spacing w:after="0" w:line="560" w:lineRule="exact"/>
              <w:ind w:firstLine="560" w:firstLineChars="20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426" w:type="dxa"/>
          </w:tcPr>
          <w:p>
            <w:pPr>
              <w:pStyle w:val="7"/>
              <w:spacing w:after="0" w:line="560" w:lineRule="exact"/>
              <w:ind w:firstLine="560" w:firstLineChars="200"/>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T4</w:t>
            </w:r>
            <w:r>
              <w:rPr>
                <w:rFonts w:hint="eastAsia" w:ascii="仿宋" w:hAnsi="仿宋" w:eastAsia="仿宋" w:cs="仿宋"/>
                <w:b w:val="0"/>
                <w:bCs w:val="0"/>
                <w:sz w:val="28"/>
                <w:szCs w:val="28"/>
              </w:rPr>
              <w:t>航站楼、交通中心、能源中心等区域楼控、智能照明、冷热源群控等系统设备</w:t>
            </w:r>
          </w:p>
        </w:tc>
        <w:tc>
          <w:tcPr>
            <w:tcW w:w="2595" w:type="dxa"/>
          </w:tcPr>
          <w:p>
            <w:pPr>
              <w:pStyle w:val="7"/>
              <w:spacing w:after="0" w:line="560" w:lineRule="exact"/>
              <w:ind w:firstLine="560" w:firstLineChars="20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6426" w:type="dxa"/>
          </w:tcPr>
          <w:p>
            <w:pPr>
              <w:pStyle w:val="7"/>
              <w:spacing w:after="0" w:line="560" w:lineRule="exact"/>
              <w:ind w:firstLine="560" w:firstLineChars="20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能源中心集中式中央空调系统机房及设备（含综合管廊、共同沟区域）</w:t>
            </w:r>
          </w:p>
        </w:tc>
        <w:tc>
          <w:tcPr>
            <w:tcW w:w="2595" w:type="dxa"/>
          </w:tcPr>
          <w:p>
            <w:pPr>
              <w:pStyle w:val="7"/>
              <w:spacing w:after="0" w:line="560" w:lineRule="exact"/>
              <w:ind w:firstLine="560" w:firstLineChars="20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1个</w:t>
            </w:r>
          </w:p>
        </w:tc>
      </w:tr>
    </w:tbl>
    <w:p>
      <w:pPr>
        <w:pStyle w:val="7"/>
        <w:spacing w:after="0" w:line="560" w:lineRule="exact"/>
        <w:rPr>
          <w:rFonts w:hint="default" w:ascii="仿宋" w:hAnsi="仿宋" w:eastAsia="仿宋" w:cs="仿宋"/>
          <w:sz w:val="28"/>
          <w:szCs w:val="28"/>
          <w:lang w:val="en-US" w:eastAsia="zh-CN"/>
        </w:rPr>
      </w:pPr>
    </w:p>
    <w:p>
      <w:pPr>
        <w:pStyle w:val="5"/>
        <w:numPr>
          <w:ilvl w:val="0"/>
          <w:numId w:val="5"/>
        </w:numPr>
        <w:spacing w:before="0" w:after="0" w:line="560" w:lineRule="exact"/>
        <w:ind w:left="142" w:leftChars="0" w:firstLine="281" w:firstLineChars="0"/>
        <w:jc w:val="left"/>
        <w:rPr>
          <w:rFonts w:hint="eastAsia" w:ascii="仿宋" w:hAnsi="仿宋" w:eastAsia="仿宋" w:cs="仿宋"/>
          <w:sz w:val="28"/>
          <w:szCs w:val="28"/>
        </w:rPr>
      </w:pPr>
      <w:bookmarkStart w:id="35" w:name="_bookmark149"/>
      <w:bookmarkEnd w:id="35"/>
      <w:r>
        <w:rPr>
          <w:rFonts w:hint="eastAsia" w:ascii="仿宋" w:hAnsi="仿宋" w:eastAsia="仿宋" w:cs="仿宋"/>
        </w:rPr>
        <w:t>设备需求一览表</w:t>
      </w:r>
    </w:p>
    <w:p>
      <w:pPr>
        <w:rPr>
          <w:rFonts w:hint="eastAsia" w:ascii="仿宋" w:hAnsi="仿宋" w:eastAsia="仿宋" w:cs="仿宋"/>
        </w:rPr>
      </w:pPr>
    </w:p>
    <w:tbl>
      <w:tblPr>
        <w:tblStyle w:val="17"/>
        <w:tblpPr w:leftFromText="180" w:rightFromText="180" w:vertAnchor="text" w:tblpXSpec="center" w:tblpY="1"/>
        <w:tblOverlap w:val="never"/>
        <w:tblW w:w="10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909"/>
        <w:gridCol w:w="1231"/>
        <w:gridCol w:w="1390"/>
        <w:gridCol w:w="267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92" w:type="dxa"/>
            <w:vAlign w:val="center"/>
          </w:tcPr>
          <w:p>
            <w:pPr>
              <w:adjustRightInd w:val="0"/>
              <w:snapToGrid w:val="0"/>
              <w:jc w:val="center"/>
              <w:rPr>
                <w:rFonts w:hint="eastAsia" w:ascii="仿宋" w:hAnsi="仿宋" w:eastAsia="仿宋" w:cs="仿宋"/>
                <w:spacing w:val="-1"/>
                <w:kern w:val="2"/>
                <w:sz w:val="28"/>
                <w:szCs w:val="36"/>
                <w:lang w:val="en-US" w:eastAsia="zh-CN" w:bidi="ar-SA"/>
              </w:rPr>
            </w:pPr>
            <w:r>
              <w:rPr>
                <w:rFonts w:hint="eastAsia" w:ascii="仿宋" w:hAnsi="仿宋" w:eastAsia="仿宋" w:cs="仿宋"/>
                <w:spacing w:val="-1"/>
                <w:kern w:val="2"/>
                <w:sz w:val="28"/>
                <w:szCs w:val="36"/>
                <w:lang w:val="en-US" w:eastAsia="zh-CN" w:bidi="ar-SA"/>
              </w:rPr>
              <w:t>序号</w:t>
            </w:r>
          </w:p>
        </w:tc>
        <w:tc>
          <w:tcPr>
            <w:tcW w:w="1909" w:type="dxa"/>
            <w:vAlign w:val="center"/>
          </w:tcPr>
          <w:p>
            <w:pPr>
              <w:adjustRightInd w:val="0"/>
              <w:snapToGrid w:val="0"/>
              <w:jc w:val="center"/>
              <w:rPr>
                <w:rFonts w:hint="eastAsia" w:ascii="仿宋" w:hAnsi="仿宋" w:eastAsia="仿宋" w:cs="仿宋"/>
                <w:spacing w:val="-1"/>
                <w:kern w:val="2"/>
                <w:sz w:val="28"/>
                <w:szCs w:val="36"/>
                <w:lang w:val="en-US" w:eastAsia="zh-CN" w:bidi="ar-SA"/>
              </w:rPr>
            </w:pPr>
            <w:r>
              <w:rPr>
                <w:rFonts w:hint="eastAsia" w:ascii="仿宋" w:hAnsi="仿宋" w:eastAsia="仿宋" w:cs="仿宋"/>
                <w:spacing w:val="-1"/>
                <w:kern w:val="2"/>
                <w:sz w:val="28"/>
                <w:szCs w:val="36"/>
                <w:lang w:val="en-US" w:eastAsia="zh-CN" w:bidi="ar-SA"/>
              </w:rPr>
              <w:t>货物名称</w:t>
            </w:r>
          </w:p>
        </w:tc>
        <w:tc>
          <w:tcPr>
            <w:tcW w:w="1231" w:type="dxa"/>
            <w:vAlign w:val="center"/>
          </w:tcPr>
          <w:p>
            <w:pPr>
              <w:adjustRightInd w:val="0"/>
              <w:snapToGrid w:val="0"/>
              <w:jc w:val="center"/>
              <w:rPr>
                <w:rFonts w:hint="eastAsia" w:ascii="仿宋" w:hAnsi="仿宋" w:eastAsia="仿宋" w:cs="仿宋"/>
                <w:spacing w:val="-1"/>
                <w:kern w:val="2"/>
                <w:sz w:val="28"/>
                <w:szCs w:val="36"/>
                <w:lang w:val="en-US" w:eastAsia="zh-CN" w:bidi="ar-SA"/>
              </w:rPr>
            </w:pPr>
            <w:r>
              <w:rPr>
                <w:rFonts w:hint="eastAsia" w:ascii="仿宋" w:hAnsi="仿宋" w:eastAsia="仿宋" w:cs="仿宋"/>
                <w:spacing w:val="-1"/>
                <w:kern w:val="2"/>
                <w:sz w:val="28"/>
                <w:szCs w:val="36"/>
                <w:lang w:val="en-US" w:eastAsia="zh-CN" w:bidi="ar-SA"/>
              </w:rPr>
              <w:t>数 量</w:t>
            </w:r>
          </w:p>
        </w:tc>
        <w:tc>
          <w:tcPr>
            <w:tcW w:w="1390" w:type="dxa"/>
            <w:vAlign w:val="center"/>
          </w:tcPr>
          <w:p>
            <w:pPr>
              <w:adjustRightInd w:val="0"/>
              <w:snapToGrid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主要技术规格</w:t>
            </w:r>
          </w:p>
        </w:tc>
        <w:tc>
          <w:tcPr>
            <w:tcW w:w="2675" w:type="dxa"/>
            <w:vAlign w:val="center"/>
          </w:tcPr>
          <w:p>
            <w:pPr>
              <w:adjustRightInd w:val="0"/>
              <w:snapToGrid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供货期</w:t>
            </w:r>
          </w:p>
        </w:tc>
        <w:tc>
          <w:tcPr>
            <w:tcW w:w="1800" w:type="dxa"/>
            <w:vAlign w:val="center"/>
          </w:tcPr>
          <w:p>
            <w:pPr>
              <w:adjustRightInd w:val="0"/>
              <w:snapToGrid w:val="0"/>
              <w:jc w:val="center"/>
              <w:rPr>
                <w:rFonts w:hint="eastAsia" w:ascii="仿宋" w:hAnsi="仿宋" w:eastAsia="仿宋" w:cs="仿宋"/>
                <w:color w:val="auto"/>
                <w:sz w:val="28"/>
                <w:szCs w:val="28"/>
              </w:rPr>
            </w:pPr>
            <w:r>
              <w:rPr>
                <w:rFonts w:hint="eastAsia" w:ascii="仿宋" w:hAnsi="仿宋" w:eastAsia="仿宋" w:cs="仿宋"/>
                <w:color w:val="auto"/>
                <w:sz w:val="28"/>
                <w:szCs w:val="2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92" w:type="dxa"/>
            <w:vAlign w:val="center"/>
          </w:tcPr>
          <w:p>
            <w:pPr>
              <w:widowControl/>
              <w:spacing w:line="560" w:lineRule="exact"/>
              <w:jc w:val="center"/>
              <w:textAlignment w:val="center"/>
              <w:rPr>
                <w:rFonts w:hint="eastAsia" w:ascii="仿宋" w:hAnsi="仿宋" w:eastAsia="仿宋" w:cs="仿宋"/>
                <w:spacing w:val="-1"/>
                <w:kern w:val="2"/>
                <w:sz w:val="28"/>
                <w:szCs w:val="36"/>
                <w:lang w:val="en-US" w:eastAsia="zh-CN" w:bidi="ar-SA"/>
              </w:rPr>
            </w:pPr>
            <w:r>
              <w:rPr>
                <w:rFonts w:hint="eastAsia" w:ascii="仿宋" w:hAnsi="仿宋" w:eastAsia="仿宋" w:cs="仿宋"/>
                <w:sz w:val="28"/>
                <w:szCs w:val="28"/>
              </w:rPr>
              <w:t>1</w:t>
            </w:r>
          </w:p>
        </w:tc>
        <w:tc>
          <w:tcPr>
            <w:tcW w:w="1909" w:type="dxa"/>
            <w:vAlign w:val="center"/>
          </w:tcPr>
          <w:p>
            <w:pPr>
              <w:widowControl/>
              <w:spacing w:line="560" w:lineRule="exact"/>
              <w:jc w:val="center"/>
              <w:textAlignment w:val="center"/>
              <w:rPr>
                <w:rFonts w:hint="eastAsia" w:ascii="仿宋" w:hAnsi="仿宋" w:eastAsia="仿宋" w:cs="仿宋"/>
                <w:spacing w:val="-1"/>
                <w:kern w:val="2"/>
                <w:sz w:val="28"/>
                <w:szCs w:val="36"/>
                <w:lang w:val="en-US" w:eastAsia="zh-CN" w:bidi="ar-SA"/>
              </w:rPr>
            </w:pPr>
            <w:r>
              <w:rPr>
                <w:rFonts w:hint="eastAsia" w:ascii="仿宋" w:hAnsi="仿宋" w:eastAsia="仿宋" w:cs="仿宋"/>
                <w:sz w:val="28"/>
                <w:szCs w:val="28"/>
              </w:rPr>
              <w:t>巡检器</w:t>
            </w:r>
          </w:p>
        </w:tc>
        <w:tc>
          <w:tcPr>
            <w:tcW w:w="1231" w:type="dxa"/>
            <w:vAlign w:val="center"/>
          </w:tcPr>
          <w:p>
            <w:pPr>
              <w:widowControl/>
              <w:spacing w:line="560" w:lineRule="exact"/>
              <w:jc w:val="center"/>
              <w:textAlignment w:val="center"/>
              <w:rPr>
                <w:rFonts w:hint="eastAsia" w:ascii="仿宋" w:hAnsi="仿宋" w:eastAsia="仿宋" w:cs="仿宋"/>
                <w:spacing w:val="-1"/>
                <w:kern w:val="2"/>
                <w:sz w:val="28"/>
                <w:szCs w:val="36"/>
                <w:lang w:val="en-US" w:eastAsia="zh-CN" w:bidi="ar-SA"/>
              </w:rPr>
            </w:pPr>
            <w:r>
              <w:rPr>
                <w:rFonts w:hint="eastAsia" w:ascii="仿宋" w:hAnsi="仿宋" w:eastAsia="仿宋" w:cs="仿宋"/>
                <w:sz w:val="28"/>
                <w:szCs w:val="28"/>
                <w:lang w:val="en-US" w:eastAsia="zh-CN"/>
              </w:rPr>
              <w:t>12个</w:t>
            </w:r>
          </w:p>
        </w:tc>
        <w:tc>
          <w:tcPr>
            <w:tcW w:w="1390" w:type="dxa"/>
            <w:vMerge w:val="restart"/>
            <w:vAlign w:val="center"/>
          </w:tcPr>
          <w:p>
            <w:pPr>
              <w:pStyle w:val="6"/>
              <w:snapToGrid w:val="0"/>
              <w:jc w:val="center"/>
              <w:rPr>
                <w:rFonts w:hint="eastAsia" w:ascii="仿宋" w:hAnsi="仿宋" w:eastAsia="仿宋" w:cs="仿宋"/>
                <w:color w:val="auto"/>
                <w:kern w:val="2"/>
                <w:sz w:val="28"/>
                <w:szCs w:val="36"/>
                <w:lang w:val="en-US" w:eastAsia="zh-CN" w:bidi="ar-SA"/>
              </w:rPr>
            </w:pPr>
            <w:r>
              <w:rPr>
                <w:rFonts w:hint="eastAsia" w:ascii="仿宋" w:hAnsi="仿宋" w:eastAsia="仿宋" w:cs="仿宋"/>
                <w:kern w:val="2"/>
                <w:sz w:val="28"/>
                <w:szCs w:val="28"/>
                <w:lang w:val="en-US" w:eastAsia="zh-CN" w:bidi="ar-SA"/>
              </w:rPr>
              <w:t>详见技术性能指标</w:t>
            </w:r>
          </w:p>
        </w:tc>
        <w:tc>
          <w:tcPr>
            <w:tcW w:w="2675" w:type="dxa"/>
            <w:vMerge w:val="restart"/>
            <w:vAlign w:val="center"/>
          </w:tcPr>
          <w:p>
            <w:pPr>
              <w:adjustRightInd w:val="0"/>
              <w:snapToGrid w:val="0"/>
              <w:jc w:val="center"/>
              <w:rPr>
                <w:rFonts w:hint="eastAsia" w:ascii="仿宋" w:hAnsi="仿宋" w:eastAsia="仿宋" w:cs="仿宋"/>
                <w:color w:val="auto"/>
                <w:kern w:val="2"/>
                <w:sz w:val="28"/>
                <w:szCs w:val="36"/>
                <w:lang w:val="en-US" w:eastAsia="zh-CN" w:bidi="ar-SA"/>
              </w:rPr>
            </w:pPr>
            <w:r>
              <w:rPr>
                <w:rFonts w:hint="eastAsia" w:ascii="仿宋" w:hAnsi="仿宋" w:eastAsia="仿宋" w:cs="仿宋"/>
                <w:color w:val="auto"/>
                <w:kern w:val="2"/>
                <w:sz w:val="28"/>
                <w:szCs w:val="36"/>
                <w:lang w:val="en-US" w:eastAsia="zh-CN" w:bidi="ar-SA"/>
              </w:rPr>
              <w:t>合同签订后 30 日历天内</w:t>
            </w:r>
          </w:p>
        </w:tc>
        <w:tc>
          <w:tcPr>
            <w:tcW w:w="1800" w:type="dxa"/>
            <w:vMerge w:val="restart"/>
            <w:vAlign w:val="center"/>
          </w:tcPr>
          <w:p>
            <w:pPr>
              <w:adjustRightInd w:val="0"/>
              <w:snapToGrid w:val="0"/>
              <w:jc w:val="center"/>
              <w:rPr>
                <w:rFonts w:hint="eastAsia" w:ascii="仿宋" w:hAnsi="仿宋" w:eastAsia="仿宋" w:cs="仿宋"/>
                <w:color w:val="auto"/>
                <w:kern w:val="2"/>
                <w:sz w:val="28"/>
                <w:szCs w:val="36"/>
                <w:lang w:val="en-US" w:eastAsia="zh-CN" w:bidi="ar-SA"/>
              </w:rPr>
            </w:pPr>
            <w:r>
              <w:rPr>
                <w:rFonts w:hint="eastAsia" w:ascii="仿宋" w:hAnsi="仿宋" w:eastAsia="仿宋" w:cs="仿宋"/>
                <w:color w:val="auto"/>
                <w:kern w:val="2"/>
                <w:sz w:val="28"/>
                <w:szCs w:val="36"/>
                <w:lang w:val="en-US" w:eastAsia="zh-CN" w:bidi="ar-SA"/>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92" w:type="dxa"/>
            <w:vAlign w:val="center"/>
          </w:tcPr>
          <w:p>
            <w:pPr>
              <w:widowControl/>
              <w:spacing w:line="560" w:lineRule="exact"/>
              <w:jc w:val="center"/>
              <w:textAlignment w:val="center"/>
              <w:rPr>
                <w:rFonts w:hint="eastAsia" w:ascii="仿宋" w:hAnsi="仿宋" w:eastAsia="仿宋" w:cs="仿宋"/>
                <w:spacing w:val="-1"/>
                <w:kern w:val="2"/>
                <w:sz w:val="28"/>
                <w:szCs w:val="36"/>
                <w:lang w:val="en-US" w:eastAsia="zh-CN" w:bidi="ar-SA"/>
              </w:rPr>
            </w:pPr>
            <w:r>
              <w:rPr>
                <w:rFonts w:hint="eastAsia" w:ascii="仿宋" w:hAnsi="仿宋" w:eastAsia="仿宋" w:cs="仿宋"/>
                <w:sz w:val="28"/>
                <w:szCs w:val="28"/>
              </w:rPr>
              <w:t>2</w:t>
            </w:r>
          </w:p>
        </w:tc>
        <w:tc>
          <w:tcPr>
            <w:tcW w:w="1909" w:type="dxa"/>
            <w:vAlign w:val="center"/>
          </w:tcPr>
          <w:p>
            <w:pPr>
              <w:widowControl/>
              <w:spacing w:line="560" w:lineRule="exact"/>
              <w:jc w:val="center"/>
              <w:textAlignment w:val="center"/>
              <w:rPr>
                <w:rFonts w:hint="eastAsia" w:ascii="仿宋" w:hAnsi="仿宋" w:eastAsia="仿宋" w:cs="仿宋"/>
                <w:spacing w:val="-1"/>
                <w:kern w:val="2"/>
                <w:sz w:val="28"/>
                <w:szCs w:val="36"/>
                <w:lang w:val="en-US" w:eastAsia="zh-CN" w:bidi="ar-SA"/>
              </w:rPr>
            </w:pPr>
            <w:r>
              <w:rPr>
                <w:rFonts w:hint="eastAsia" w:ascii="仿宋" w:hAnsi="仿宋" w:eastAsia="仿宋" w:cs="仿宋"/>
                <w:sz w:val="28"/>
                <w:szCs w:val="28"/>
              </w:rPr>
              <w:t>巡更点</w:t>
            </w:r>
          </w:p>
        </w:tc>
        <w:tc>
          <w:tcPr>
            <w:tcW w:w="1231" w:type="dxa"/>
            <w:vAlign w:val="center"/>
          </w:tcPr>
          <w:p>
            <w:pPr>
              <w:widowControl/>
              <w:spacing w:line="560" w:lineRule="exact"/>
              <w:jc w:val="center"/>
              <w:textAlignment w:val="center"/>
              <w:rPr>
                <w:rFonts w:hint="eastAsia" w:ascii="仿宋" w:hAnsi="仿宋" w:eastAsia="仿宋" w:cs="仿宋"/>
                <w:spacing w:val="-1"/>
                <w:kern w:val="2"/>
                <w:sz w:val="28"/>
                <w:szCs w:val="36"/>
                <w:lang w:val="en-US" w:eastAsia="zh-CN" w:bidi="ar-SA"/>
              </w:rPr>
            </w:pPr>
            <w:r>
              <w:rPr>
                <w:rFonts w:hint="eastAsia" w:ascii="仿宋" w:hAnsi="仿宋" w:eastAsia="仿宋" w:cs="仿宋"/>
                <w:sz w:val="28"/>
                <w:szCs w:val="28"/>
                <w:lang w:val="en-US" w:eastAsia="zh-CN"/>
              </w:rPr>
              <w:t>2500个</w:t>
            </w:r>
          </w:p>
        </w:tc>
        <w:tc>
          <w:tcPr>
            <w:tcW w:w="1390" w:type="dxa"/>
            <w:vMerge w:val="continue"/>
            <w:vAlign w:val="center"/>
          </w:tcPr>
          <w:p>
            <w:pPr>
              <w:pStyle w:val="6"/>
              <w:snapToGrid w:val="0"/>
              <w:jc w:val="center"/>
              <w:rPr>
                <w:rFonts w:hint="eastAsia" w:ascii="仿宋" w:hAnsi="仿宋" w:eastAsia="仿宋" w:cs="仿宋"/>
                <w:color w:val="auto"/>
                <w:kern w:val="2"/>
                <w:sz w:val="28"/>
                <w:szCs w:val="36"/>
                <w:lang w:val="en-US" w:eastAsia="zh-CN" w:bidi="ar-SA"/>
              </w:rPr>
            </w:pPr>
          </w:p>
        </w:tc>
        <w:tc>
          <w:tcPr>
            <w:tcW w:w="2675" w:type="dxa"/>
            <w:vMerge w:val="continue"/>
            <w:vAlign w:val="center"/>
          </w:tcPr>
          <w:p>
            <w:pPr>
              <w:adjustRightInd w:val="0"/>
              <w:snapToGrid w:val="0"/>
              <w:jc w:val="center"/>
              <w:rPr>
                <w:rFonts w:hint="eastAsia" w:ascii="仿宋" w:hAnsi="仿宋" w:eastAsia="仿宋" w:cs="仿宋"/>
                <w:color w:val="auto"/>
                <w:kern w:val="2"/>
                <w:sz w:val="28"/>
                <w:szCs w:val="36"/>
                <w:lang w:val="en-US" w:eastAsia="zh-CN" w:bidi="ar-SA"/>
              </w:rPr>
            </w:pPr>
          </w:p>
        </w:tc>
        <w:tc>
          <w:tcPr>
            <w:tcW w:w="1800" w:type="dxa"/>
            <w:vMerge w:val="continue"/>
            <w:vAlign w:val="center"/>
          </w:tcPr>
          <w:p>
            <w:pPr>
              <w:adjustRightInd w:val="0"/>
              <w:snapToGrid w:val="0"/>
              <w:jc w:val="center"/>
              <w:rPr>
                <w:rFonts w:hint="eastAsia" w:ascii="仿宋" w:hAnsi="仿宋" w:eastAsia="仿宋" w:cs="仿宋"/>
                <w:color w:val="auto"/>
                <w:kern w:val="2"/>
                <w:sz w:val="28"/>
                <w:szCs w:val="3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192" w:type="dxa"/>
            <w:vAlign w:val="center"/>
          </w:tcPr>
          <w:p>
            <w:pPr>
              <w:widowControl/>
              <w:spacing w:line="560" w:lineRule="exact"/>
              <w:jc w:val="center"/>
              <w:textAlignment w:val="center"/>
              <w:rPr>
                <w:rFonts w:hint="eastAsia" w:ascii="仿宋" w:hAnsi="仿宋" w:eastAsia="仿宋" w:cs="仿宋"/>
                <w:spacing w:val="-1"/>
                <w:kern w:val="2"/>
                <w:sz w:val="28"/>
                <w:szCs w:val="36"/>
                <w:lang w:val="en-US" w:eastAsia="zh-CN" w:bidi="ar-SA"/>
              </w:rPr>
            </w:pPr>
            <w:r>
              <w:rPr>
                <w:rFonts w:hint="eastAsia" w:ascii="仿宋" w:hAnsi="仿宋" w:eastAsia="仿宋" w:cs="仿宋"/>
                <w:sz w:val="28"/>
                <w:szCs w:val="28"/>
              </w:rPr>
              <w:t>3</w:t>
            </w:r>
          </w:p>
        </w:tc>
        <w:tc>
          <w:tcPr>
            <w:tcW w:w="1909" w:type="dxa"/>
            <w:vAlign w:val="center"/>
          </w:tcPr>
          <w:p>
            <w:pPr>
              <w:widowControl/>
              <w:spacing w:line="560" w:lineRule="exact"/>
              <w:jc w:val="center"/>
              <w:textAlignment w:val="center"/>
              <w:rPr>
                <w:rFonts w:hint="eastAsia" w:ascii="仿宋" w:hAnsi="仿宋" w:eastAsia="仿宋" w:cs="仿宋"/>
                <w:spacing w:val="-1"/>
                <w:kern w:val="2"/>
                <w:sz w:val="28"/>
                <w:szCs w:val="36"/>
                <w:lang w:val="en-US" w:eastAsia="zh-CN" w:bidi="ar-SA"/>
              </w:rPr>
            </w:pPr>
            <w:r>
              <w:rPr>
                <w:rFonts w:hint="eastAsia" w:ascii="仿宋" w:hAnsi="仿宋" w:eastAsia="仿宋" w:cs="仿宋"/>
                <w:sz w:val="28"/>
                <w:szCs w:val="28"/>
              </w:rPr>
              <w:t>巡更管理软件</w:t>
            </w:r>
          </w:p>
        </w:tc>
        <w:tc>
          <w:tcPr>
            <w:tcW w:w="1231" w:type="dxa"/>
            <w:vAlign w:val="center"/>
          </w:tcPr>
          <w:p>
            <w:pPr>
              <w:widowControl/>
              <w:spacing w:line="560" w:lineRule="exact"/>
              <w:jc w:val="center"/>
              <w:textAlignment w:val="center"/>
              <w:rPr>
                <w:rFonts w:hint="eastAsia" w:ascii="仿宋" w:hAnsi="仿宋" w:eastAsia="仿宋" w:cs="仿宋"/>
                <w:spacing w:val="-1"/>
                <w:kern w:val="2"/>
                <w:sz w:val="28"/>
                <w:szCs w:val="36"/>
                <w:lang w:val="en-US" w:eastAsia="zh-CN" w:bidi="ar-SA"/>
              </w:rPr>
            </w:pPr>
            <w:r>
              <w:rPr>
                <w:rFonts w:hint="eastAsia" w:ascii="仿宋" w:hAnsi="仿宋" w:eastAsia="仿宋" w:cs="仿宋"/>
                <w:sz w:val="28"/>
                <w:szCs w:val="28"/>
                <w:lang w:val="en-US" w:eastAsia="zh-CN"/>
              </w:rPr>
              <w:t>4套</w:t>
            </w:r>
          </w:p>
        </w:tc>
        <w:tc>
          <w:tcPr>
            <w:tcW w:w="1390" w:type="dxa"/>
            <w:vMerge w:val="continue"/>
            <w:vAlign w:val="center"/>
          </w:tcPr>
          <w:p>
            <w:pPr>
              <w:pStyle w:val="6"/>
              <w:snapToGrid w:val="0"/>
              <w:jc w:val="center"/>
              <w:rPr>
                <w:rFonts w:hint="eastAsia" w:ascii="仿宋" w:hAnsi="仿宋" w:eastAsia="仿宋" w:cs="仿宋"/>
                <w:color w:val="auto"/>
                <w:kern w:val="0"/>
                <w:sz w:val="28"/>
                <w:szCs w:val="28"/>
              </w:rPr>
            </w:pPr>
          </w:p>
        </w:tc>
        <w:tc>
          <w:tcPr>
            <w:tcW w:w="2675" w:type="dxa"/>
            <w:vMerge w:val="continue"/>
            <w:vAlign w:val="center"/>
          </w:tcPr>
          <w:p>
            <w:pPr>
              <w:adjustRightInd w:val="0"/>
              <w:snapToGrid w:val="0"/>
              <w:jc w:val="center"/>
              <w:rPr>
                <w:rFonts w:hint="eastAsia" w:ascii="仿宋" w:hAnsi="仿宋" w:eastAsia="仿宋" w:cs="仿宋"/>
                <w:color w:val="auto"/>
                <w:sz w:val="28"/>
                <w:szCs w:val="28"/>
              </w:rPr>
            </w:pPr>
          </w:p>
        </w:tc>
        <w:tc>
          <w:tcPr>
            <w:tcW w:w="1800" w:type="dxa"/>
            <w:vMerge w:val="continue"/>
            <w:vAlign w:val="center"/>
          </w:tcPr>
          <w:p>
            <w:pPr>
              <w:adjustRightInd w:val="0"/>
              <w:snapToGrid w:val="0"/>
              <w:jc w:val="center"/>
              <w:rPr>
                <w:rFonts w:hint="eastAsia" w:ascii="仿宋" w:hAnsi="仿宋" w:eastAsia="仿宋" w:cs="仿宋"/>
                <w:color w:val="auto"/>
                <w:sz w:val="28"/>
                <w:szCs w:val="28"/>
              </w:rPr>
            </w:pPr>
          </w:p>
        </w:tc>
      </w:tr>
    </w:tbl>
    <w:p>
      <w:pPr>
        <w:spacing w:line="560" w:lineRule="exact"/>
        <w:rPr>
          <w:rFonts w:hint="eastAsia" w:ascii="仿宋" w:hAnsi="仿宋" w:eastAsia="仿宋" w:cs="仿宋"/>
          <w:sz w:val="28"/>
          <w:szCs w:val="28"/>
        </w:rPr>
      </w:pPr>
    </w:p>
    <w:p>
      <w:pPr>
        <w:pStyle w:val="5"/>
        <w:numPr>
          <w:ilvl w:val="0"/>
          <w:numId w:val="5"/>
        </w:numPr>
        <w:spacing w:before="0" w:after="0" w:line="560" w:lineRule="exact"/>
        <w:ind w:left="142" w:leftChars="0" w:firstLine="281" w:firstLineChars="0"/>
        <w:jc w:val="left"/>
        <w:rPr>
          <w:rFonts w:hint="eastAsia" w:ascii="仿宋" w:hAnsi="仿宋" w:eastAsia="仿宋" w:cs="仿宋"/>
        </w:rPr>
      </w:pPr>
      <w:bookmarkStart w:id="36" w:name="_bookmark150"/>
      <w:bookmarkEnd w:id="36"/>
      <w:r>
        <w:rPr>
          <w:rFonts w:hint="eastAsia" w:ascii="仿宋" w:hAnsi="仿宋" w:eastAsia="仿宋" w:cs="仿宋"/>
        </w:rPr>
        <w:t>技术性能指标</w:t>
      </w:r>
    </w:p>
    <w:p>
      <w:pPr>
        <w:pStyle w:val="5"/>
        <w:widowControl/>
        <w:tabs>
          <w:tab w:val="left" w:pos="0"/>
        </w:tabs>
        <w:snapToGrid w:val="0"/>
        <w:spacing w:before="0" w:after="0" w:line="560" w:lineRule="exact"/>
        <w:ind w:firstLine="278" w:firstLineChars="100"/>
        <w:rPr>
          <w:rFonts w:hint="eastAsia" w:ascii="仿宋" w:hAnsi="仿宋" w:eastAsia="仿宋" w:cs="仿宋"/>
          <w:b w:val="0"/>
          <w:bCs w:val="0"/>
          <w:spacing w:val="-1"/>
          <w:lang w:val="en-US" w:eastAsia="zh-CN"/>
        </w:rPr>
      </w:pPr>
      <w:bookmarkStart w:id="37" w:name="_bookmark151"/>
      <w:bookmarkEnd w:id="37"/>
      <w:r>
        <w:rPr>
          <w:rFonts w:hint="eastAsia" w:ascii="仿宋" w:hAnsi="仿宋" w:eastAsia="仿宋" w:cs="仿宋"/>
          <w:b w:val="0"/>
          <w:bCs w:val="0"/>
          <w:spacing w:val="-1"/>
          <w:lang w:val="en-US" w:eastAsia="zh-CN"/>
        </w:rPr>
        <w:t>1.巡更点功能及基本要求</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1</w:t>
      </w:r>
      <w:r>
        <w:rPr>
          <w:rFonts w:hint="eastAsia" w:ascii="仿宋" w:hAnsi="仿宋" w:eastAsia="仿宋" w:cs="仿宋"/>
          <w:b w:val="0"/>
          <w:bCs w:val="0"/>
          <w:spacing w:val="-1"/>
          <w:lang w:eastAsia="zh-CN"/>
        </w:rPr>
        <w:t>）</w:t>
      </w:r>
      <w:r>
        <w:rPr>
          <w:rFonts w:hint="eastAsia" w:ascii="仿宋" w:hAnsi="仿宋" w:eastAsia="仿宋" w:cs="仿宋"/>
          <w:b w:val="0"/>
          <w:bCs w:val="0"/>
          <w:spacing w:val="-1"/>
        </w:rPr>
        <w:t>便捷安装</w:t>
      </w:r>
      <w:r>
        <w:rPr>
          <w:rFonts w:hint="eastAsia" w:ascii="仿宋" w:hAnsi="仿宋" w:eastAsia="仿宋" w:cs="仿宋"/>
          <w:b w:val="0"/>
          <w:bCs w:val="0"/>
          <w:spacing w:val="-1"/>
          <w:lang w:eastAsia="zh-CN"/>
        </w:rPr>
        <w:t>、尺寸小巧、坚固耐用、易识别。</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2</w:t>
      </w:r>
      <w:r>
        <w:rPr>
          <w:rFonts w:hint="eastAsia" w:ascii="仿宋" w:hAnsi="仿宋" w:eastAsia="仿宋" w:cs="仿宋"/>
          <w:b w:val="0"/>
          <w:bCs w:val="0"/>
          <w:spacing w:val="-1"/>
          <w:lang w:eastAsia="zh-CN"/>
        </w:rPr>
        <w:t>）</w:t>
      </w:r>
      <w:r>
        <w:rPr>
          <w:rFonts w:hint="eastAsia" w:ascii="仿宋" w:hAnsi="仿宋" w:eastAsia="仿宋" w:cs="仿宋"/>
          <w:b w:val="0"/>
          <w:bCs w:val="0"/>
          <w:spacing w:val="-1"/>
        </w:rPr>
        <w:t>为方便夜间巡逻，要求巡更点在夜间本体发光，不接受外粘标签发光。</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3</w:t>
      </w:r>
      <w:r>
        <w:rPr>
          <w:rFonts w:hint="eastAsia" w:ascii="仿宋" w:hAnsi="仿宋" w:eastAsia="仿宋" w:cs="仿宋"/>
          <w:b w:val="0"/>
          <w:bCs w:val="0"/>
          <w:spacing w:val="-1"/>
          <w:lang w:eastAsia="zh-CN"/>
        </w:rPr>
        <w:t>）</w:t>
      </w:r>
      <w:r>
        <w:rPr>
          <w:rFonts w:hint="eastAsia" w:ascii="仿宋" w:hAnsi="仿宋" w:eastAsia="仿宋" w:cs="仿宋"/>
          <w:b w:val="0"/>
          <w:bCs w:val="0"/>
          <w:spacing w:val="-1"/>
        </w:rPr>
        <w:t>安装后表面不可见螺丝。</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4</w:t>
      </w:r>
      <w:r>
        <w:rPr>
          <w:rFonts w:hint="eastAsia" w:ascii="仿宋" w:hAnsi="仿宋" w:eastAsia="仿宋" w:cs="仿宋"/>
          <w:b w:val="0"/>
          <w:bCs w:val="0"/>
          <w:spacing w:val="-1"/>
          <w:lang w:eastAsia="zh-CN"/>
        </w:rPr>
        <w:t>）</w:t>
      </w:r>
      <w:r>
        <w:rPr>
          <w:rFonts w:hint="eastAsia" w:ascii="仿宋" w:hAnsi="仿宋" w:eastAsia="仿宋" w:cs="仿宋"/>
          <w:b w:val="0"/>
          <w:bCs w:val="0"/>
          <w:spacing w:val="-1"/>
        </w:rPr>
        <w:t>巡更点读取距离在3CM±1cm。</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5</w:t>
      </w:r>
      <w:r>
        <w:rPr>
          <w:rFonts w:hint="eastAsia" w:ascii="仿宋" w:hAnsi="仿宋" w:eastAsia="仿宋" w:cs="仿宋"/>
          <w:b w:val="0"/>
          <w:bCs w:val="0"/>
          <w:spacing w:val="-1"/>
          <w:lang w:eastAsia="zh-CN"/>
        </w:rPr>
        <w:t>）</w:t>
      </w:r>
      <w:r>
        <w:rPr>
          <w:rFonts w:hint="eastAsia" w:ascii="仿宋" w:hAnsi="仿宋" w:eastAsia="仿宋" w:cs="仿宋"/>
          <w:b w:val="0"/>
          <w:bCs w:val="0"/>
          <w:spacing w:val="-1"/>
        </w:rPr>
        <w:t>可根据</w:t>
      </w:r>
      <w:r>
        <w:rPr>
          <w:rFonts w:hint="eastAsia" w:ascii="仿宋" w:hAnsi="仿宋" w:eastAsia="仿宋" w:cs="仿宋"/>
          <w:b w:val="0"/>
          <w:bCs w:val="0"/>
          <w:spacing w:val="-1"/>
          <w:lang w:eastAsia="zh-CN"/>
        </w:rPr>
        <w:t>巡检要求</w:t>
      </w:r>
      <w:r>
        <w:rPr>
          <w:rFonts w:hint="eastAsia" w:ascii="仿宋" w:hAnsi="仿宋" w:eastAsia="仿宋" w:cs="仿宋"/>
          <w:b w:val="0"/>
          <w:bCs w:val="0"/>
          <w:spacing w:val="-1"/>
        </w:rPr>
        <w:t>采用不同颜色进行区分，以免混淆。</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6</w:t>
      </w:r>
      <w:r>
        <w:rPr>
          <w:rFonts w:hint="eastAsia" w:ascii="仿宋" w:hAnsi="仿宋" w:eastAsia="仿宋" w:cs="仿宋"/>
          <w:b w:val="0"/>
          <w:bCs w:val="0"/>
          <w:spacing w:val="-1"/>
          <w:lang w:eastAsia="zh-CN"/>
        </w:rPr>
        <w:t>）</w:t>
      </w:r>
      <w:r>
        <w:rPr>
          <w:rFonts w:hint="eastAsia" w:ascii="仿宋" w:hAnsi="仿宋" w:eastAsia="仿宋" w:cs="仿宋"/>
          <w:b w:val="0"/>
          <w:bCs w:val="0"/>
          <w:spacing w:val="-1"/>
        </w:rPr>
        <w:t>巡更点无需电源，无需布线</w:t>
      </w:r>
      <w:r>
        <w:rPr>
          <w:rFonts w:hint="eastAsia" w:ascii="仿宋" w:hAnsi="仿宋" w:eastAsia="仿宋" w:cs="仿宋"/>
          <w:b w:val="0"/>
          <w:bCs w:val="0"/>
          <w:spacing w:val="-1"/>
          <w:lang w:eastAsia="zh-CN"/>
        </w:rPr>
        <w:t>。</w:t>
      </w:r>
    </w:p>
    <w:p>
      <w:pPr>
        <w:pStyle w:val="5"/>
        <w:widowControl/>
        <w:tabs>
          <w:tab w:val="left" w:pos="0"/>
        </w:tabs>
        <w:snapToGrid w:val="0"/>
        <w:spacing w:before="0" w:after="0" w:line="560" w:lineRule="exact"/>
        <w:ind w:firstLine="556" w:firstLineChars="200"/>
        <w:rPr>
          <w:rFonts w:hint="default" w:ascii="仿宋" w:hAnsi="仿宋" w:eastAsia="仿宋" w:cs="仿宋"/>
          <w:b w:val="0"/>
          <w:bCs w:val="0"/>
          <w:spacing w:val="-1"/>
          <w:lang w:val="en-US" w:eastAsia="zh-CN"/>
        </w:rPr>
      </w:pPr>
      <w:r>
        <w:rPr>
          <w:rFonts w:hint="eastAsia" w:ascii="仿宋" w:hAnsi="仿宋" w:eastAsia="仿宋" w:cs="仿宋"/>
          <w:b w:val="0"/>
          <w:bCs w:val="0"/>
          <w:spacing w:val="-1"/>
          <w:lang w:val="en-US" w:eastAsia="zh-CN"/>
        </w:rPr>
        <w:t>（7）巡更点可提供NFC、二维码等形式。</w:t>
      </w:r>
    </w:p>
    <w:p>
      <w:pPr>
        <w:pStyle w:val="5"/>
        <w:widowControl/>
        <w:tabs>
          <w:tab w:val="left" w:pos="0"/>
        </w:tabs>
        <w:snapToGrid w:val="0"/>
        <w:spacing w:before="0" w:after="0" w:line="560" w:lineRule="exact"/>
        <w:ind w:firstLine="278" w:firstLineChars="100"/>
        <w:rPr>
          <w:rFonts w:hint="eastAsia" w:ascii="仿宋" w:hAnsi="仿宋" w:eastAsia="仿宋" w:cs="仿宋"/>
          <w:b w:val="0"/>
          <w:bCs w:val="0"/>
          <w:spacing w:val="-1"/>
          <w:lang w:val="en-US" w:eastAsia="zh-CN"/>
        </w:rPr>
      </w:pPr>
      <w:r>
        <w:rPr>
          <w:rFonts w:hint="eastAsia" w:ascii="仿宋" w:hAnsi="仿宋" w:eastAsia="仿宋" w:cs="仿宋"/>
          <w:b w:val="0"/>
          <w:bCs w:val="0"/>
          <w:spacing w:val="-1"/>
          <w:lang w:val="en-US" w:eastAsia="zh-CN"/>
        </w:rPr>
        <w:t>2.巡更器功能及基本要求</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1</w:t>
      </w:r>
      <w:r>
        <w:rPr>
          <w:rFonts w:hint="eastAsia" w:ascii="仿宋" w:hAnsi="仿宋" w:eastAsia="仿宋" w:cs="仿宋"/>
          <w:b w:val="0"/>
          <w:bCs w:val="0"/>
          <w:spacing w:val="-1"/>
          <w:lang w:eastAsia="zh-CN"/>
        </w:rPr>
        <w:t>）</w:t>
      </w:r>
      <w:r>
        <w:rPr>
          <w:rFonts w:hint="eastAsia" w:ascii="仿宋" w:hAnsi="仿宋" w:eastAsia="仿宋" w:cs="仿宋"/>
          <w:b w:val="0"/>
          <w:bCs w:val="0"/>
          <w:spacing w:val="-1"/>
        </w:rPr>
        <w:t>支持蓝牙卡读卡，NFC读卡，二维码读卡</w:t>
      </w:r>
      <w:r>
        <w:rPr>
          <w:rFonts w:hint="eastAsia" w:ascii="仿宋" w:hAnsi="仿宋" w:eastAsia="仿宋" w:cs="仿宋"/>
          <w:b w:val="0"/>
          <w:bCs w:val="0"/>
          <w:spacing w:val="-1"/>
          <w:lang w:eastAsia="zh-CN"/>
        </w:rPr>
        <w:t>。</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2</w:t>
      </w:r>
      <w:r>
        <w:rPr>
          <w:rFonts w:hint="eastAsia" w:ascii="仿宋" w:hAnsi="仿宋" w:eastAsia="仿宋" w:cs="仿宋"/>
          <w:b w:val="0"/>
          <w:bCs w:val="0"/>
          <w:spacing w:val="-1"/>
          <w:lang w:eastAsia="zh-CN"/>
        </w:rPr>
        <w:t>）</w:t>
      </w:r>
      <w:r>
        <w:rPr>
          <w:rFonts w:hint="eastAsia" w:ascii="仿宋" w:hAnsi="仿宋" w:eastAsia="仿宋" w:cs="仿宋"/>
          <w:b w:val="0"/>
          <w:bCs w:val="0"/>
          <w:spacing w:val="-1"/>
        </w:rPr>
        <w:t>实时显示当前时间、信号强度、电池状态</w:t>
      </w:r>
      <w:r>
        <w:rPr>
          <w:rFonts w:hint="eastAsia" w:ascii="仿宋" w:hAnsi="仿宋" w:eastAsia="仿宋" w:cs="仿宋"/>
          <w:b w:val="0"/>
          <w:bCs w:val="0"/>
          <w:spacing w:val="-1"/>
          <w:lang w:eastAsia="zh-CN"/>
        </w:rPr>
        <w:t>等信息。</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3</w:t>
      </w:r>
      <w:r>
        <w:rPr>
          <w:rFonts w:hint="eastAsia" w:ascii="仿宋" w:hAnsi="仿宋" w:eastAsia="仿宋" w:cs="仿宋"/>
          <w:b w:val="0"/>
          <w:bCs w:val="0"/>
          <w:spacing w:val="-1"/>
          <w:lang w:eastAsia="zh-CN"/>
        </w:rPr>
        <w:t>）</w:t>
      </w:r>
      <w:r>
        <w:rPr>
          <w:rFonts w:hint="eastAsia" w:ascii="仿宋" w:hAnsi="仿宋" w:eastAsia="仿宋" w:cs="仿宋"/>
          <w:b w:val="0"/>
          <w:bCs w:val="0"/>
          <w:spacing w:val="-1"/>
        </w:rPr>
        <w:t>具有通话、拍照、发送图片等功能，</w:t>
      </w:r>
      <w:r>
        <w:rPr>
          <w:rFonts w:hint="eastAsia" w:ascii="仿宋" w:hAnsi="仿宋" w:eastAsia="仿宋" w:cs="仿宋"/>
          <w:b w:val="0"/>
          <w:bCs w:val="0"/>
          <w:spacing w:val="-1"/>
          <w:lang w:eastAsia="zh-CN"/>
        </w:rPr>
        <w:t>巡更</w:t>
      </w:r>
      <w:r>
        <w:rPr>
          <w:rFonts w:hint="eastAsia" w:ascii="仿宋" w:hAnsi="仿宋" w:eastAsia="仿宋" w:cs="仿宋"/>
          <w:b w:val="0"/>
          <w:bCs w:val="0"/>
          <w:spacing w:val="-1"/>
        </w:rPr>
        <w:t>点巡检数据采集（拍照、录像、文字）、记录等功能；</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4</w:t>
      </w:r>
      <w:r>
        <w:rPr>
          <w:rFonts w:hint="eastAsia" w:ascii="仿宋" w:hAnsi="仿宋" w:eastAsia="仿宋" w:cs="仿宋"/>
          <w:b w:val="0"/>
          <w:bCs w:val="0"/>
          <w:spacing w:val="-1"/>
          <w:lang w:eastAsia="zh-CN"/>
        </w:rPr>
        <w:t>）</w:t>
      </w:r>
      <w:r>
        <w:rPr>
          <w:rFonts w:hint="eastAsia" w:ascii="仿宋" w:hAnsi="仿宋" w:eastAsia="仿宋" w:cs="仿宋"/>
          <w:b w:val="0"/>
          <w:bCs w:val="0"/>
          <w:spacing w:val="-1"/>
        </w:rPr>
        <w:t>随时查看点巡检计划，操作简单，使用方便。</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5</w:t>
      </w:r>
      <w:r>
        <w:rPr>
          <w:rFonts w:hint="eastAsia" w:ascii="仿宋" w:hAnsi="仿宋" w:eastAsia="仿宋" w:cs="仿宋"/>
          <w:b w:val="0"/>
          <w:bCs w:val="0"/>
          <w:spacing w:val="-1"/>
          <w:lang w:eastAsia="zh-CN"/>
        </w:rPr>
        <w:t>）</w:t>
      </w:r>
      <w:r>
        <w:rPr>
          <w:rFonts w:hint="eastAsia" w:ascii="仿宋" w:hAnsi="仿宋" w:eastAsia="仿宋" w:cs="仿宋"/>
          <w:b w:val="0"/>
          <w:bCs w:val="0"/>
          <w:spacing w:val="-1"/>
        </w:rPr>
        <w:t>随时查看设备设施的检查标准</w:t>
      </w:r>
      <w:r>
        <w:rPr>
          <w:rFonts w:hint="eastAsia" w:ascii="仿宋" w:hAnsi="仿宋" w:eastAsia="仿宋" w:cs="仿宋"/>
          <w:b w:val="0"/>
          <w:bCs w:val="0"/>
          <w:spacing w:val="-1"/>
          <w:lang w:eastAsia="zh-CN"/>
        </w:rPr>
        <w:t>。</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6</w:t>
      </w:r>
      <w:r>
        <w:rPr>
          <w:rFonts w:hint="eastAsia" w:ascii="仿宋" w:hAnsi="仿宋" w:eastAsia="仿宋" w:cs="仿宋"/>
          <w:b w:val="0"/>
          <w:bCs w:val="0"/>
          <w:spacing w:val="-1"/>
          <w:lang w:eastAsia="zh-CN"/>
        </w:rPr>
        <w:t>）</w:t>
      </w:r>
      <w:r>
        <w:rPr>
          <w:rFonts w:hint="eastAsia" w:ascii="仿宋" w:hAnsi="仿宋" w:eastAsia="仿宋" w:cs="仿宋"/>
          <w:b w:val="0"/>
          <w:bCs w:val="0"/>
          <w:spacing w:val="-1"/>
        </w:rPr>
        <w:t>安卓8.0以上或IOS 8.0以上操作系统。</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7</w:t>
      </w:r>
      <w:r>
        <w:rPr>
          <w:rFonts w:hint="eastAsia" w:ascii="仿宋" w:hAnsi="仿宋" w:eastAsia="仿宋" w:cs="仿宋"/>
          <w:b w:val="0"/>
          <w:bCs w:val="0"/>
          <w:spacing w:val="-1"/>
          <w:lang w:eastAsia="zh-CN"/>
        </w:rPr>
        <w:t>）</w:t>
      </w:r>
      <w:r>
        <w:rPr>
          <w:rFonts w:hint="eastAsia" w:ascii="仿宋" w:hAnsi="仿宋" w:eastAsia="仿宋" w:cs="仿宋"/>
          <w:b w:val="0"/>
          <w:bCs w:val="0"/>
          <w:spacing w:val="-1"/>
        </w:rPr>
        <w:t>主屏显示不小于</w:t>
      </w:r>
      <w:r>
        <w:rPr>
          <w:rFonts w:hint="eastAsia" w:ascii="仿宋" w:hAnsi="仿宋" w:eastAsia="仿宋" w:cs="仿宋"/>
          <w:b w:val="0"/>
          <w:bCs w:val="0"/>
          <w:spacing w:val="-1"/>
          <w:lang w:val="en-US" w:eastAsia="zh-CN"/>
        </w:rPr>
        <w:t>4</w:t>
      </w:r>
      <w:r>
        <w:rPr>
          <w:rFonts w:hint="eastAsia" w:ascii="仿宋" w:hAnsi="仿宋" w:eastAsia="仿宋" w:cs="仿宋"/>
          <w:b w:val="0"/>
          <w:bCs w:val="0"/>
          <w:spacing w:val="-1"/>
        </w:rPr>
        <w:t>.0英寸，像素不小于前置</w:t>
      </w:r>
      <w:r>
        <w:rPr>
          <w:rFonts w:hint="eastAsia" w:ascii="仿宋" w:hAnsi="仿宋" w:eastAsia="仿宋" w:cs="仿宋"/>
          <w:b w:val="0"/>
          <w:bCs w:val="0"/>
          <w:spacing w:val="-1"/>
          <w:lang w:val="en-US" w:eastAsia="zh-CN"/>
        </w:rPr>
        <w:t>4</w:t>
      </w:r>
      <w:r>
        <w:rPr>
          <w:rFonts w:hint="eastAsia" w:ascii="仿宋" w:hAnsi="仿宋" w:eastAsia="仿宋" w:cs="仿宋"/>
          <w:b w:val="0"/>
          <w:bCs w:val="0"/>
          <w:spacing w:val="-1"/>
        </w:rPr>
        <w:t>00万/后1</w:t>
      </w:r>
      <w:r>
        <w:rPr>
          <w:rFonts w:hint="eastAsia" w:ascii="仿宋" w:hAnsi="仿宋" w:eastAsia="仿宋" w:cs="仿宋"/>
          <w:b w:val="0"/>
          <w:bCs w:val="0"/>
          <w:spacing w:val="-1"/>
          <w:lang w:val="en-US" w:eastAsia="zh-CN"/>
        </w:rPr>
        <w:t>0</w:t>
      </w:r>
      <w:r>
        <w:rPr>
          <w:rFonts w:hint="eastAsia" w:ascii="仿宋" w:hAnsi="仿宋" w:eastAsia="仿宋" w:cs="仿宋"/>
          <w:b w:val="0"/>
          <w:bCs w:val="0"/>
          <w:spacing w:val="-1"/>
        </w:rPr>
        <w:t>00 万像素</w:t>
      </w:r>
      <w:r>
        <w:rPr>
          <w:rFonts w:hint="eastAsia" w:ascii="仿宋" w:hAnsi="仿宋" w:eastAsia="仿宋" w:cs="仿宋"/>
          <w:b w:val="0"/>
          <w:bCs w:val="0"/>
          <w:spacing w:val="-1"/>
          <w:lang w:eastAsia="zh-CN"/>
        </w:rPr>
        <w:t>。</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8</w:t>
      </w:r>
      <w:r>
        <w:rPr>
          <w:rFonts w:hint="eastAsia" w:ascii="仿宋" w:hAnsi="仿宋" w:eastAsia="仿宋" w:cs="仿宋"/>
          <w:b w:val="0"/>
          <w:bCs w:val="0"/>
          <w:spacing w:val="-1"/>
          <w:lang w:eastAsia="zh-CN"/>
        </w:rPr>
        <w:t>）</w:t>
      </w:r>
      <w:r>
        <w:rPr>
          <w:rFonts w:hint="eastAsia" w:ascii="仿宋" w:hAnsi="仿宋" w:eastAsia="仿宋" w:cs="仿宋"/>
          <w:b w:val="0"/>
          <w:bCs w:val="0"/>
          <w:spacing w:val="-1"/>
        </w:rPr>
        <w:t>网络支持4G全网通/WIFI/USB，双卡双待</w:t>
      </w:r>
      <w:r>
        <w:rPr>
          <w:rFonts w:hint="eastAsia" w:ascii="仿宋" w:hAnsi="仿宋" w:eastAsia="仿宋" w:cs="仿宋"/>
          <w:b w:val="0"/>
          <w:bCs w:val="0"/>
          <w:spacing w:val="-1"/>
          <w:lang w:eastAsia="zh-CN"/>
        </w:rPr>
        <w:t>。</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10</w:t>
      </w:r>
      <w:r>
        <w:rPr>
          <w:rFonts w:hint="eastAsia" w:ascii="仿宋" w:hAnsi="仿宋" w:eastAsia="仿宋" w:cs="仿宋"/>
          <w:b w:val="0"/>
          <w:bCs w:val="0"/>
          <w:spacing w:val="-1"/>
          <w:lang w:eastAsia="zh-CN"/>
        </w:rPr>
        <w:t>）</w:t>
      </w:r>
      <w:r>
        <w:rPr>
          <w:rFonts w:hint="eastAsia" w:ascii="仿宋" w:hAnsi="仿宋" w:eastAsia="仿宋" w:cs="仿宋"/>
          <w:b w:val="0"/>
          <w:bCs w:val="0"/>
          <w:spacing w:val="-1"/>
        </w:rPr>
        <w:t>电池容量不小于</w:t>
      </w:r>
      <w:r>
        <w:rPr>
          <w:rFonts w:hint="eastAsia" w:ascii="仿宋" w:hAnsi="仿宋" w:eastAsia="仿宋" w:cs="仿宋"/>
          <w:b w:val="0"/>
          <w:bCs w:val="0"/>
          <w:spacing w:val="-1"/>
          <w:lang w:val="en-US" w:eastAsia="zh-CN"/>
        </w:rPr>
        <w:t>4000</w:t>
      </w:r>
      <w:r>
        <w:rPr>
          <w:rFonts w:hint="eastAsia" w:ascii="仿宋" w:hAnsi="仿宋" w:eastAsia="仿宋" w:cs="仿宋"/>
          <w:b w:val="0"/>
          <w:bCs w:val="0"/>
          <w:spacing w:val="-1"/>
        </w:rPr>
        <w:t>mAh</w:t>
      </w:r>
      <w:r>
        <w:rPr>
          <w:rFonts w:hint="eastAsia" w:ascii="仿宋" w:hAnsi="仿宋" w:eastAsia="仿宋" w:cs="仿宋"/>
          <w:b w:val="0"/>
          <w:bCs w:val="0"/>
          <w:spacing w:val="-1"/>
          <w:lang w:eastAsia="zh-CN"/>
        </w:rPr>
        <w:t>，配套充电设备，充电方便。</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11</w:t>
      </w:r>
      <w:r>
        <w:rPr>
          <w:rFonts w:hint="eastAsia" w:ascii="仿宋" w:hAnsi="仿宋" w:eastAsia="仿宋" w:cs="仿宋"/>
          <w:b w:val="0"/>
          <w:bCs w:val="0"/>
          <w:spacing w:val="-1"/>
          <w:lang w:eastAsia="zh-CN"/>
        </w:rPr>
        <w:t>）</w:t>
      </w:r>
      <w:r>
        <w:rPr>
          <w:rFonts w:hint="eastAsia" w:ascii="仿宋" w:hAnsi="仿宋" w:eastAsia="仿宋" w:cs="仿宋"/>
          <w:b w:val="0"/>
          <w:bCs w:val="0"/>
          <w:spacing w:val="-1"/>
        </w:rPr>
        <w:t>可识读13.56MHz等常规电子标签</w:t>
      </w:r>
      <w:r>
        <w:rPr>
          <w:rFonts w:hint="eastAsia" w:ascii="仿宋" w:hAnsi="仿宋" w:eastAsia="仿宋" w:cs="仿宋"/>
          <w:b w:val="0"/>
          <w:bCs w:val="0"/>
          <w:spacing w:val="-1"/>
          <w:lang w:eastAsia="zh-CN"/>
        </w:rPr>
        <w:t>。</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12</w:t>
      </w:r>
      <w:r>
        <w:rPr>
          <w:rFonts w:hint="eastAsia" w:ascii="仿宋" w:hAnsi="仿宋" w:eastAsia="仿宋" w:cs="仿宋"/>
          <w:b w:val="0"/>
          <w:bCs w:val="0"/>
          <w:spacing w:val="-1"/>
          <w:lang w:eastAsia="zh-CN"/>
        </w:rPr>
        <w:t>）</w:t>
      </w:r>
      <w:r>
        <w:rPr>
          <w:rFonts w:hint="eastAsia" w:ascii="仿宋" w:hAnsi="仿宋" w:eastAsia="仿宋" w:cs="仿宋"/>
          <w:b w:val="0"/>
          <w:bCs w:val="0"/>
          <w:spacing w:val="-1"/>
        </w:rPr>
        <w:t>防尘防水等级 IP68，防爆防摔功能。</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13</w:t>
      </w:r>
      <w:r>
        <w:rPr>
          <w:rFonts w:hint="eastAsia" w:ascii="仿宋" w:hAnsi="仿宋" w:eastAsia="仿宋" w:cs="仿宋"/>
          <w:b w:val="0"/>
          <w:bCs w:val="0"/>
          <w:spacing w:val="-1"/>
          <w:lang w:eastAsia="zh-CN"/>
        </w:rPr>
        <w:t>）尺寸、重量适宜，便于携带。</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14</w:t>
      </w:r>
      <w:r>
        <w:rPr>
          <w:rFonts w:hint="eastAsia" w:ascii="仿宋" w:hAnsi="仿宋" w:eastAsia="仿宋" w:cs="仿宋"/>
          <w:b w:val="0"/>
          <w:bCs w:val="0"/>
          <w:spacing w:val="-1"/>
          <w:lang w:eastAsia="zh-CN"/>
        </w:rPr>
        <w:t>）环境</w:t>
      </w:r>
      <w:r>
        <w:rPr>
          <w:rFonts w:hint="eastAsia" w:ascii="仿宋" w:hAnsi="仿宋" w:eastAsia="仿宋" w:cs="仿宋"/>
          <w:b w:val="0"/>
          <w:bCs w:val="0"/>
          <w:spacing w:val="-1"/>
        </w:rPr>
        <w:t>温度范围-10℃—</w:t>
      </w:r>
      <w:r>
        <w:rPr>
          <w:rFonts w:hint="eastAsia" w:ascii="仿宋" w:hAnsi="仿宋" w:eastAsia="仿宋" w:cs="仿宋"/>
          <w:b w:val="0"/>
          <w:bCs w:val="0"/>
          <w:spacing w:val="-1"/>
          <w:lang w:val="en-US" w:eastAsia="zh-CN"/>
        </w:rPr>
        <w:t xml:space="preserve"> </w:t>
      </w:r>
      <w:r>
        <w:rPr>
          <w:rFonts w:hint="eastAsia" w:ascii="仿宋" w:hAnsi="仿宋" w:eastAsia="仿宋" w:cs="仿宋"/>
          <w:b w:val="0"/>
          <w:bCs w:val="0"/>
          <w:spacing w:val="-1"/>
        </w:rPr>
        <w:t>50℃</w:t>
      </w:r>
      <w:r>
        <w:rPr>
          <w:rFonts w:hint="eastAsia" w:ascii="仿宋" w:hAnsi="仿宋" w:eastAsia="仿宋" w:cs="仿宋"/>
          <w:b w:val="0"/>
          <w:bCs w:val="0"/>
          <w:spacing w:val="-1"/>
          <w:lang w:eastAsia="zh-CN"/>
        </w:rPr>
        <w:t>可正常使用。</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val="en-US"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15</w:t>
      </w:r>
      <w:r>
        <w:rPr>
          <w:rFonts w:hint="eastAsia" w:ascii="仿宋" w:hAnsi="仿宋" w:eastAsia="仿宋" w:cs="仿宋"/>
          <w:b w:val="0"/>
          <w:bCs w:val="0"/>
          <w:spacing w:val="-1"/>
          <w:lang w:eastAsia="zh-CN"/>
        </w:rPr>
        <w:t>）每个巡检器应</w:t>
      </w:r>
      <w:r>
        <w:rPr>
          <w:rFonts w:hint="eastAsia" w:ascii="仿宋" w:hAnsi="仿宋" w:eastAsia="仿宋" w:cs="仿宋"/>
          <w:b w:val="0"/>
          <w:bCs w:val="0"/>
          <w:spacing w:val="-1"/>
          <w:lang w:val="en-US" w:eastAsia="zh-CN"/>
        </w:rPr>
        <w:t>配套有线数据传输设备或USB无线网卡等设备，方便数据传输。</w:t>
      </w:r>
    </w:p>
    <w:p>
      <w:pPr>
        <w:pStyle w:val="5"/>
        <w:widowControl/>
        <w:tabs>
          <w:tab w:val="left" w:pos="0"/>
        </w:tabs>
        <w:snapToGrid w:val="0"/>
        <w:spacing w:before="0" w:after="0" w:line="560" w:lineRule="exact"/>
        <w:ind w:firstLine="556" w:firstLineChars="200"/>
        <w:rPr>
          <w:rFonts w:hint="eastAsia"/>
        </w:rPr>
      </w:pPr>
      <w:r>
        <w:rPr>
          <w:rFonts w:hint="eastAsia" w:ascii="仿宋" w:hAnsi="仿宋" w:eastAsia="仿宋" w:cs="仿宋"/>
          <w:b w:val="0"/>
          <w:bCs w:val="0"/>
          <w:spacing w:val="-1"/>
          <w:lang w:val="en-US" w:eastAsia="zh-CN"/>
        </w:rPr>
        <w:t>（16）每分钟上传数据不得少于1万条</w:t>
      </w:r>
      <w:r>
        <w:rPr>
          <w:rFonts w:hint="eastAsia" w:ascii="仿宋" w:hAnsi="仿宋" w:eastAsia="仿宋" w:cs="仿宋"/>
          <w:b w:val="0"/>
          <w:bCs w:val="0"/>
          <w:spacing w:val="-1"/>
          <w:lang w:eastAsia="zh-CN"/>
        </w:rPr>
        <w:t>。</w:t>
      </w:r>
    </w:p>
    <w:p>
      <w:pPr>
        <w:pStyle w:val="5"/>
        <w:widowControl/>
        <w:tabs>
          <w:tab w:val="left" w:pos="0"/>
        </w:tabs>
        <w:snapToGrid w:val="0"/>
        <w:spacing w:before="0" w:after="0" w:line="560" w:lineRule="exact"/>
        <w:ind w:firstLine="278" w:firstLineChars="100"/>
        <w:rPr>
          <w:rFonts w:hint="default" w:ascii="仿宋" w:hAnsi="仿宋" w:eastAsia="仿宋" w:cs="仿宋"/>
          <w:b w:val="0"/>
          <w:bCs w:val="0"/>
          <w:spacing w:val="-1"/>
          <w:lang w:val="en-US" w:eastAsia="zh-CN"/>
        </w:rPr>
      </w:pPr>
      <w:r>
        <w:rPr>
          <w:rFonts w:hint="eastAsia" w:ascii="仿宋" w:hAnsi="仿宋" w:eastAsia="仿宋" w:cs="仿宋"/>
          <w:b w:val="0"/>
          <w:bCs w:val="0"/>
          <w:spacing w:val="-1"/>
          <w:lang w:val="en-US" w:eastAsia="zh-CN"/>
        </w:rPr>
        <w:t>3.巡更系统软件功能及基本要求</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val="en-US"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1</w:t>
      </w: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服务端可安装服务器操作系统要求：Win7 Win8 Win10 Windows2008 Windows2012 及以上系统。</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val="en-US"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2</w:t>
      </w: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客户端浏览器要求： IE浏览器需要IE10以上版本（包括IE10）；火狐浏览器；GOOGLE浏览器；和带有极速模式功能的浏览器（例如QQ浏览器，360浏览器和搜狗浏览器）。</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val="en-US"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3</w:t>
      </w: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智能排班，可实现任何方式的排班计划，排班可修改。</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val="en-US"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4</w:t>
      </w: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单条件及多条件组合查询，人员、线路、时间、漏检等情况，不同颜色代表不同结果。</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val="en-US"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5</w:t>
      </w: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实现巡检轨迹与巡检数据全部上传，提供轨迹回放与数据查询。</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val="en-US"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6</w:t>
      </w: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查询功能：各级领导可以根据各自的管理权限查看巡查管理的数据信息。</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val="en-US"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7</w:t>
      </w: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计划功能：智能排班，可实现任何方式的排班计划，排班可修改。</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val="en-US"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8</w:t>
      </w: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统计分析功能：自动分析巡检巡更情况，扇形图表及多种图表显示，更清晰更明了。</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val="en-US"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9</w:t>
      </w: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电子地图功能：实时定位显示人员信息，轨迹回放。</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val="en-US"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10</w:t>
      </w: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实时数据功能：软件实时接收巡检器上传的巡检数据，以报表和地图方式显示。</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val="en-US"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11</w:t>
      </w: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多终端登陆功能，软件可采用 B/S 架构实现数据的统一管理维护，巡检数据可以用不同身份将巡更数据上传至服务器，实现管理者对巡更情况的统一管理，巡检情况根据登陆人员权限的不同，自定义允许查看相应数据，使用人员账户数量不得少于60位（管理人员账户不得少于20位，巡查人员不得少于40位）</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val="en-US"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12</w:t>
      </w: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一键同步，当巡检器在同一网络下可一键同步更新数据至服务器，实现巡检轨迹与巡检数据全部上传，提供轨迹回放与数据查询。</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val="en-US"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13</w:t>
      </w: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巡检信息至少保存5年以上，具有导入、导出及备份等功能，备份数据具备查询功能</w:t>
      </w:r>
    </w:p>
    <w:p>
      <w:pPr>
        <w:pStyle w:val="5"/>
        <w:widowControl/>
        <w:tabs>
          <w:tab w:val="left" w:pos="0"/>
        </w:tabs>
        <w:snapToGrid w:val="0"/>
        <w:spacing w:before="0" w:after="0" w:line="560" w:lineRule="exact"/>
        <w:ind w:firstLine="556" w:firstLineChars="200"/>
        <w:rPr>
          <w:rFonts w:ascii="宋体" w:hAnsi="宋体"/>
          <w:sz w:val="24"/>
          <w:szCs w:val="24"/>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14</w:t>
      </w: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一次性收费终身使用。</w:t>
      </w:r>
    </w:p>
    <w:p>
      <w:pPr>
        <w:pStyle w:val="5"/>
        <w:widowControl/>
        <w:tabs>
          <w:tab w:val="left" w:pos="0"/>
        </w:tabs>
        <w:snapToGrid w:val="0"/>
        <w:spacing w:before="0" w:after="0" w:line="560" w:lineRule="exact"/>
        <w:ind w:firstLine="278" w:firstLineChars="100"/>
        <w:rPr>
          <w:rFonts w:hint="eastAsia" w:ascii="仿宋" w:hAnsi="仿宋" w:eastAsia="仿宋" w:cs="仿宋"/>
          <w:b w:val="0"/>
          <w:bCs w:val="0"/>
          <w:spacing w:val="-1"/>
          <w:lang w:val="en-US" w:eastAsia="zh-CN"/>
        </w:rPr>
      </w:pPr>
      <w:r>
        <w:rPr>
          <w:rFonts w:hint="eastAsia" w:ascii="仿宋" w:hAnsi="仿宋" w:eastAsia="仿宋" w:cs="仿宋"/>
          <w:b w:val="0"/>
          <w:bCs w:val="0"/>
          <w:spacing w:val="-1"/>
          <w:lang w:val="en-US" w:eastAsia="zh-CN"/>
        </w:rPr>
        <w:t>4.系统安装调试要求</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1</w:t>
      </w:r>
      <w:r>
        <w:rPr>
          <w:rFonts w:hint="eastAsia" w:ascii="仿宋" w:hAnsi="仿宋" w:eastAsia="仿宋" w:cs="仿宋"/>
          <w:b w:val="0"/>
          <w:bCs w:val="0"/>
          <w:spacing w:val="-1"/>
          <w:lang w:eastAsia="zh-CN"/>
        </w:rPr>
        <w:t>）安装采用手枪钻打膨胀螺丝时，应符合设备水平平整，高度一致；螺丝不露头。</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2</w:t>
      </w:r>
      <w:r>
        <w:rPr>
          <w:rFonts w:hint="eastAsia" w:ascii="仿宋" w:hAnsi="仿宋" w:eastAsia="仿宋" w:cs="仿宋"/>
          <w:b w:val="0"/>
          <w:bCs w:val="0"/>
          <w:spacing w:val="-1"/>
          <w:lang w:eastAsia="zh-CN"/>
        </w:rPr>
        <w:t>）安装采用不干胶安装时，应符合设备水平平整，高度一致，紧固可靠以防脱离。</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3</w:t>
      </w:r>
      <w:r>
        <w:rPr>
          <w:rFonts w:hint="eastAsia" w:ascii="仿宋" w:hAnsi="仿宋" w:eastAsia="仿宋" w:cs="仿宋"/>
          <w:b w:val="0"/>
          <w:bCs w:val="0"/>
          <w:spacing w:val="-1"/>
          <w:lang w:eastAsia="zh-CN"/>
        </w:rPr>
        <w:t>）安装规范及卫生清洁应符合机场规定要求，做到及时清理。</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4</w:t>
      </w:r>
      <w:r>
        <w:rPr>
          <w:rFonts w:hint="eastAsia" w:ascii="仿宋" w:hAnsi="仿宋" w:eastAsia="仿宋" w:cs="仿宋"/>
          <w:b w:val="0"/>
          <w:bCs w:val="0"/>
          <w:spacing w:val="-1"/>
          <w:lang w:eastAsia="zh-CN"/>
        </w:rPr>
        <w:t>）安装时应对位置标识、序列号等信息进行登记。</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5</w:t>
      </w:r>
      <w:r>
        <w:rPr>
          <w:rFonts w:hint="eastAsia" w:ascii="仿宋" w:hAnsi="仿宋" w:eastAsia="仿宋" w:cs="仿宋"/>
          <w:b w:val="0"/>
          <w:bCs w:val="0"/>
          <w:spacing w:val="-1"/>
          <w:lang w:eastAsia="zh-CN"/>
        </w:rPr>
        <w:t>）软件安装调试完毕应进行备份。</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6</w:t>
      </w:r>
      <w:r>
        <w:rPr>
          <w:rFonts w:hint="eastAsia" w:ascii="仿宋" w:hAnsi="仿宋" w:eastAsia="仿宋" w:cs="仿宋"/>
          <w:b w:val="0"/>
          <w:bCs w:val="0"/>
          <w:spacing w:val="-1"/>
          <w:lang w:eastAsia="zh-CN"/>
        </w:rPr>
        <w:t>）中标单位应指导规划线路及制定巡检路线，以及排班指导等工作。</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7</w:t>
      </w:r>
      <w:r>
        <w:rPr>
          <w:rFonts w:hint="eastAsia" w:ascii="仿宋" w:hAnsi="仿宋" w:eastAsia="仿宋" w:cs="仿宋"/>
          <w:b w:val="0"/>
          <w:bCs w:val="0"/>
          <w:spacing w:val="-1"/>
          <w:lang w:eastAsia="zh-CN"/>
        </w:rPr>
        <w:t>）中标单位按业主需求完成巡更软件、巡更点等软件、硬件的安装，并提供巡更点安装位置编号统计表。</w:t>
      </w:r>
    </w:p>
    <w:p>
      <w:pPr>
        <w:pStyle w:val="5"/>
        <w:widowControl/>
        <w:tabs>
          <w:tab w:val="left" w:pos="0"/>
        </w:tabs>
        <w:snapToGrid w:val="0"/>
        <w:spacing w:before="0" w:after="0" w:line="560" w:lineRule="exact"/>
        <w:ind w:firstLine="556" w:firstLineChars="200"/>
        <w:rPr>
          <w:rFonts w:hint="eastAsia" w:ascii="仿宋" w:hAnsi="仿宋" w:eastAsia="仿宋" w:cs="仿宋"/>
          <w:b w:val="0"/>
          <w:bCs w:val="0"/>
          <w:spacing w:val="-1"/>
          <w:lang w:eastAsia="zh-CN"/>
        </w:rPr>
      </w:pPr>
      <w:r>
        <w:rPr>
          <w:rFonts w:hint="eastAsia" w:ascii="仿宋" w:hAnsi="仿宋" w:eastAsia="仿宋" w:cs="仿宋"/>
          <w:b w:val="0"/>
          <w:bCs w:val="0"/>
          <w:spacing w:val="-1"/>
          <w:lang w:eastAsia="zh-CN"/>
        </w:rPr>
        <w:t>（</w:t>
      </w:r>
      <w:r>
        <w:rPr>
          <w:rFonts w:hint="eastAsia" w:ascii="仿宋" w:hAnsi="仿宋" w:eastAsia="仿宋" w:cs="仿宋"/>
          <w:b w:val="0"/>
          <w:bCs w:val="0"/>
          <w:spacing w:val="-1"/>
          <w:lang w:val="en-US" w:eastAsia="zh-CN"/>
        </w:rPr>
        <w:t>8</w:t>
      </w:r>
      <w:r>
        <w:rPr>
          <w:rFonts w:hint="eastAsia" w:ascii="仿宋" w:hAnsi="仿宋" w:eastAsia="仿宋" w:cs="仿宋"/>
          <w:b w:val="0"/>
          <w:bCs w:val="0"/>
          <w:spacing w:val="-1"/>
          <w:lang w:eastAsia="zh-CN"/>
        </w:rPr>
        <w:t>）提供巡更系统操作、应急处置专业培训一次。</w:t>
      </w:r>
    </w:p>
    <w:p>
      <w:pPr>
        <w:ind w:firstLine="556" w:firstLineChars="200"/>
        <w:rPr>
          <w:rFonts w:hint="eastAsia" w:ascii="仿宋" w:hAnsi="仿宋" w:eastAsia="仿宋" w:cs="仿宋"/>
        </w:rPr>
      </w:pPr>
      <w:r>
        <w:rPr>
          <w:rFonts w:hint="eastAsia" w:ascii="仿宋" w:hAnsi="仿宋" w:eastAsia="仿宋" w:cs="仿宋"/>
          <w:b w:val="0"/>
          <w:bCs w:val="0"/>
          <w:spacing w:val="-1"/>
          <w:kern w:val="2"/>
          <w:sz w:val="28"/>
          <w:szCs w:val="28"/>
          <w:lang w:val="en-US" w:eastAsia="zh-CN" w:bidi="ar-SA"/>
        </w:rPr>
        <w:t>（9）安装、调试涉及的耗材及工具由中标单位免费提供。</w:t>
      </w:r>
    </w:p>
    <w:p>
      <w:pPr>
        <w:pStyle w:val="5"/>
        <w:spacing w:before="0" w:after="0" w:line="560" w:lineRule="exact"/>
        <w:ind w:firstLine="562" w:firstLineChars="200"/>
        <w:jc w:val="left"/>
        <w:rPr>
          <w:rFonts w:hint="eastAsia" w:ascii="仿宋" w:hAnsi="仿宋" w:eastAsia="仿宋" w:cs="仿宋"/>
        </w:rPr>
      </w:pPr>
      <w:r>
        <w:rPr>
          <w:rFonts w:hint="eastAsia" w:ascii="仿宋" w:hAnsi="仿宋" w:eastAsia="仿宋" w:cs="仿宋"/>
        </w:rPr>
        <w:t>四、检验考核要求</w:t>
      </w:r>
    </w:p>
    <w:p>
      <w:pPr>
        <w:pStyle w:val="5"/>
        <w:widowControl/>
        <w:tabs>
          <w:tab w:val="left" w:pos="0"/>
        </w:tabs>
        <w:snapToGrid w:val="0"/>
        <w:spacing w:before="0" w:after="0" w:line="560" w:lineRule="exact"/>
        <w:rPr>
          <w:rFonts w:hint="eastAsia" w:ascii="仿宋" w:hAnsi="仿宋" w:eastAsia="仿宋" w:cs="仿宋"/>
          <w:b w:val="0"/>
          <w:bCs w:val="0"/>
          <w:spacing w:val="-1"/>
        </w:rPr>
      </w:pPr>
      <w:bookmarkStart w:id="38" w:name="_bookmark152"/>
      <w:bookmarkEnd w:id="38"/>
      <w:r>
        <w:rPr>
          <w:rFonts w:hint="eastAsia" w:ascii="仿宋" w:hAnsi="仿宋" w:eastAsia="仿宋" w:cs="仿宋"/>
          <w:b w:val="0"/>
          <w:bCs w:val="0"/>
          <w:spacing w:val="-1"/>
        </w:rPr>
        <w:t>1.中标人需负责对所供货物的保护和清洁工作至项目验收合格，在此期间，货物的损坏或丢失的费用由中标人负责。若因中标人原因损坏其它设备和设施，中标人须负责修理或给予赔偿。</w:t>
      </w:r>
    </w:p>
    <w:p>
      <w:pPr>
        <w:pStyle w:val="5"/>
        <w:widowControl/>
        <w:tabs>
          <w:tab w:val="left" w:pos="362"/>
          <w:tab w:val="left" w:pos="864"/>
        </w:tabs>
        <w:snapToGrid w:val="0"/>
        <w:spacing w:before="0" w:after="0" w:line="560" w:lineRule="exact"/>
        <w:ind w:left="538" w:hanging="536" w:hangingChars="193"/>
        <w:rPr>
          <w:rFonts w:hint="eastAsia" w:ascii="仿宋" w:hAnsi="仿宋" w:eastAsia="仿宋" w:cs="仿宋"/>
          <w:b w:val="0"/>
          <w:bCs w:val="0"/>
          <w:spacing w:val="-1"/>
        </w:rPr>
      </w:pPr>
      <w:r>
        <w:rPr>
          <w:rFonts w:hint="eastAsia" w:ascii="仿宋" w:hAnsi="仿宋" w:eastAsia="仿宋" w:cs="仿宋"/>
          <w:b w:val="0"/>
          <w:bCs w:val="0"/>
          <w:spacing w:val="-1"/>
        </w:rPr>
        <w:t>2.验收合格条件</w:t>
      </w:r>
    </w:p>
    <w:p>
      <w:pPr>
        <w:keepLines/>
        <w:numPr>
          <w:ilvl w:val="0"/>
          <w:numId w:val="6"/>
        </w:numPr>
        <w:tabs>
          <w:tab w:val="left" w:pos="420"/>
          <w:tab w:val="left" w:pos="905"/>
        </w:tabs>
        <w:spacing w:line="560" w:lineRule="exact"/>
        <w:ind w:firstLine="0"/>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已提供合同规定的全部货物、</w:t>
      </w:r>
      <w:r>
        <w:rPr>
          <w:rFonts w:hint="eastAsia" w:ascii="仿宋" w:hAnsi="仿宋" w:eastAsia="仿宋" w:cs="仿宋"/>
          <w:spacing w:val="-1"/>
          <w:sz w:val="28"/>
          <w:szCs w:val="28"/>
          <w:lang w:val="en-US" w:eastAsia="zh-CN"/>
        </w:rPr>
        <w:t>安装调试及试运行等服务</w:t>
      </w:r>
      <w:r>
        <w:rPr>
          <w:rFonts w:hint="eastAsia" w:ascii="仿宋" w:hAnsi="仿宋" w:eastAsia="仿宋" w:cs="仿宋"/>
          <w:spacing w:val="-1"/>
          <w:sz w:val="28"/>
          <w:szCs w:val="28"/>
        </w:rPr>
        <w:t>。</w:t>
      </w:r>
    </w:p>
    <w:p>
      <w:pPr>
        <w:keepLines/>
        <w:numPr>
          <w:ilvl w:val="0"/>
          <w:numId w:val="6"/>
        </w:numPr>
        <w:tabs>
          <w:tab w:val="left" w:pos="420"/>
          <w:tab w:val="left" w:pos="905"/>
        </w:tabs>
        <w:spacing w:line="560" w:lineRule="exact"/>
        <w:ind w:firstLine="0"/>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已提供</w:t>
      </w:r>
      <w:r>
        <w:rPr>
          <w:rFonts w:hint="eastAsia" w:ascii="仿宋" w:hAnsi="仿宋" w:eastAsia="仿宋" w:cs="仿宋"/>
          <w:spacing w:val="-1"/>
          <w:sz w:val="28"/>
          <w:szCs w:val="28"/>
          <w:lang w:eastAsia="zh-CN"/>
        </w:rPr>
        <w:t>巡更系统</w:t>
      </w:r>
      <w:r>
        <w:rPr>
          <w:rFonts w:hint="eastAsia" w:ascii="仿宋" w:hAnsi="仿宋" w:eastAsia="仿宋" w:cs="仿宋"/>
          <w:spacing w:val="-1"/>
          <w:sz w:val="28"/>
          <w:szCs w:val="28"/>
        </w:rPr>
        <w:t>产品合格证</w:t>
      </w:r>
      <w:r>
        <w:rPr>
          <w:rFonts w:hint="eastAsia" w:ascii="仿宋" w:hAnsi="仿宋" w:eastAsia="仿宋" w:cs="仿宋"/>
          <w:spacing w:val="-1"/>
          <w:sz w:val="28"/>
          <w:szCs w:val="28"/>
          <w:lang w:eastAsia="zh-CN"/>
        </w:rPr>
        <w:t>、巡更系统检验</w:t>
      </w:r>
      <w:r>
        <w:rPr>
          <w:rFonts w:hint="eastAsia" w:ascii="仿宋" w:hAnsi="仿宋" w:eastAsia="仿宋" w:cs="仿宋"/>
          <w:spacing w:val="-1"/>
          <w:sz w:val="28"/>
          <w:szCs w:val="28"/>
        </w:rPr>
        <w:t>检测</w:t>
      </w:r>
      <w:r>
        <w:rPr>
          <w:rFonts w:hint="eastAsia" w:ascii="仿宋" w:hAnsi="仿宋" w:eastAsia="仿宋" w:cs="仿宋"/>
          <w:spacing w:val="-1"/>
          <w:sz w:val="28"/>
          <w:szCs w:val="28"/>
          <w:lang w:eastAsia="zh-CN"/>
        </w:rPr>
        <w:t>合格</w:t>
      </w:r>
      <w:r>
        <w:rPr>
          <w:rFonts w:hint="eastAsia" w:ascii="仿宋" w:hAnsi="仿宋" w:eastAsia="仿宋" w:cs="仿宋"/>
          <w:spacing w:val="-1"/>
          <w:sz w:val="28"/>
          <w:szCs w:val="28"/>
        </w:rPr>
        <w:t>报告等</w:t>
      </w:r>
      <w:r>
        <w:rPr>
          <w:rFonts w:hint="eastAsia" w:ascii="仿宋" w:hAnsi="仿宋" w:eastAsia="仿宋" w:cs="仿宋"/>
          <w:spacing w:val="-1"/>
          <w:sz w:val="28"/>
          <w:szCs w:val="28"/>
          <w:lang w:eastAsia="zh-CN"/>
        </w:rPr>
        <w:t>。</w:t>
      </w:r>
    </w:p>
    <w:p>
      <w:pPr>
        <w:keepLines/>
        <w:numPr>
          <w:ilvl w:val="0"/>
          <w:numId w:val="6"/>
        </w:numPr>
        <w:tabs>
          <w:tab w:val="left" w:pos="420"/>
          <w:tab w:val="left" w:pos="905"/>
        </w:tabs>
        <w:spacing w:line="560" w:lineRule="exact"/>
        <w:ind w:firstLine="0"/>
        <w:textAlignment w:val="baseline"/>
        <w:rPr>
          <w:rFonts w:hint="eastAsia" w:ascii="仿宋" w:hAnsi="仿宋" w:eastAsia="仿宋" w:cs="仿宋"/>
          <w:spacing w:val="-1"/>
          <w:sz w:val="28"/>
          <w:szCs w:val="28"/>
        </w:rPr>
      </w:pPr>
      <w:r>
        <w:rPr>
          <w:rFonts w:hint="eastAsia" w:ascii="仿宋" w:hAnsi="仿宋" w:eastAsia="仿宋" w:cs="仿宋"/>
          <w:spacing w:val="-1"/>
          <w:sz w:val="28"/>
          <w:szCs w:val="28"/>
          <w:lang w:val="en-US" w:eastAsia="zh-CN"/>
        </w:rPr>
        <w:t>巡更系统7日试运行正常，并已提供巡更系</w:t>
      </w:r>
      <w:r>
        <w:rPr>
          <w:rFonts w:hint="eastAsia" w:ascii="仿宋" w:hAnsi="仿宋" w:eastAsia="仿宋" w:cs="仿宋"/>
          <w:spacing w:val="-1"/>
          <w:sz w:val="28"/>
          <w:szCs w:val="28"/>
        </w:rPr>
        <w:t>统</w:t>
      </w:r>
      <w:r>
        <w:rPr>
          <w:rFonts w:hint="eastAsia" w:ascii="仿宋" w:hAnsi="仿宋" w:eastAsia="仿宋" w:cs="仿宋"/>
          <w:spacing w:val="-1"/>
          <w:sz w:val="28"/>
          <w:szCs w:val="28"/>
          <w:lang w:eastAsia="zh-CN"/>
        </w:rPr>
        <w:t>试运行</w:t>
      </w:r>
      <w:r>
        <w:rPr>
          <w:rFonts w:hint="eastAsia" w:ascii="仿宋" w:hAnsi="仿宋" w:eastAsia="仿宋" w:cs="仿宋"/>
          <w:spacing w:val="-1"/>
          <w:sz w:val="28"/>
          <w:szCs w:val="28"/>
        </w:rPr>
        <w:t>报告</w:t>
      </w:r>
      <w:r>
        <w:rPr>
          <w:rFonts w:hint="eastAsia" w:ascii="仿宋" w:hAnsi="仿宋" w:eastAsia="仿宋" w:cs="仿宋"/>
          <w:spacing w:val="-1"/>
          <w:sz w:val="28"/>
          <w:szCs w:val="28"/>
          <w:lang w:eastAsia="zh-CN"/>
        </w:rPr>
        <w:t>。</w:t>
      </w:r>
    </w:p>
    <w:p>
      <w:pPr>
        <w:pStyle w:val="5"/>
        <w:spacing w:before="160" w:after="160" w:line="360" w:lineRule="exact"/>
        <w:jc w:val="left"/>
        <w:rPr>
          <w:rFonts w:hint="eastAsia" w:ascii="仿宋" w:hAnsi="仿宋" w:eastAsia="仿宋" w:cs="仿宋"/>
        </w:rPr>
      </w:pPr>
      <w:r>
        <w:rPr>
          <w:rFonts w:hint="eastAsia" w:ascii="仿宋" w:hAnsi="仿宋" w:eastAsia="仿宋" w:cs="仿宋"/>
        </w:rPr>
        <w:t>五、技术服务和质保期服务要求</w:t>
      </w:r>
    </w:p>
    <w:p>
      <w:pPr>
        <w:pStyle w:val="5"/>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1.中标人保证其所供应的产品符合相关产品质量标准，不存在任何质量瑕疵或因质量瑕疵而导致的安全隐患，且为未经使用的全新产品。</w:t>
      </w:r>
    </w:p>
    <w:p>
      <w:pPr>
        <w:pStyle w:val="5"/>
        <w:widowControl/>
        <w:tabs>
          <w:tab w:val="left" w:pos="0"/>
        </w:tabs>
        <w:snapToGrid w:val="0"/>
        <w:spacing w:before="0" w:after="0" w:line="560" w:lineRule="exact"/>
        <w:rPr>
          <w:rFonts w:eastAsia="仿宋_GB2312"/>
        </w:rPr>
      </w:pPr>
      <w:r>
        <w:rPr>
          <w:rFonts w:hint="eastAsia" w:ascii="仿宋_GB2312" w:hAnsi="仿宋_GB2312" w:eastAsia="仿宋_GB2312" w:cs="仿宋_GB2312"/>
          <w:b w:val="0"/>
          <w:bCs w:val="0"/>
          <w:spacing w:val="-1"/>
        </w:rPr>
        <w:t>2. 中标人应为产品提供【</w:t>
      </w:r>
      <w:r>
        <w:rPr>
          <w:rFonts w:hint="eastAsia" w:ascii="仿宋_GB2312" w:hAnsi="仿宋_GB2312" w:eastAsia="仿宋_GB2312" w:cs="仿宋_GB2312"/>
          <w:b w:val="0"/>
          <w:bCs w:val="0"/>
          <w:spacing w:val="-1"/>
          <w:lang w:val="en-US" w:eastAsia="zh-CN"/>
        </w:rPr>
        <w:t>两</w:t>
      </w:r>
      <w:r>
        <w:rPr>
          <w:rFonts w:hint="eastAsia" w:ascii="仿宋_GB2312" w:hAnsi="仿宋_GB2312" w:eastAsia="仿宋_GB2312" w:cs="仿宋_GB2312"/>
          <w:b w:val="0"/>
          <w:bCs w:val="0"/>
          <w:spacing w:val="-1"/>
        </w:rPr>
        <w:t>】年的免费保修期，时间为用户验收并接受货物之日起计算。</w:t>
      </w:r>
    </w:p>
    <w:p>
      <w:pPr>
        <w:pStyle w:val="5"/>
        <w:widowControl/>
        <w:tabs>
          <w:tab w:val="left" w:pos="0"/>
        </w:tabs>
        <w:snapToGrid w:val="0"/>
        <w:spacing w:before="0" w:after="0" w:line="560" w:lineRule="exact"/>
        <w:rPr>
          <w:rFonts w:hint="eastAsia" w:ascii="仿宋_GB2312" w:hAnsi="仿宋_GB2312" w:eastAsia="仿宋_GB2312" w:cs="仿宋_GB2312"/>
          <w:b w:val="0"/>
          <w:bCs w:val="0"/>
          <w:spacing w:val="-1"/>
        </w:rPr>
      </w:pPr>
      <w:r>
        <w:rPr>
          <w:rFonts w:hint="eastAsia" w:ascii="仿宋_GB2312" w:hAnsi="仿宋_GB2312" w:eastAsia="仿宋_GB2312" w:cs="仿宋_GB2312"/>
          <w:b w:val="0"/>
          <w:bCs w:val="0"/>
          <w:spacing w:val="-1"/>
        </w:rPr>
        <w:t>3．中标人应为所供应产品的安装、调试及试运行提供免费服务，并对产品保修期内的质量及功能正常负责。</w:t>
      </w:r>
    </w:p>
    <w:p>
      <w:pPr>
        <w:pStyle w:val="5"/>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4. 保修期内由于非用户原因发生的故障或损坏，中标人免费提供维修和备件直至设备性能、状态等达到正常标准，可以正常安全使用为止。如无法修复，中标人应负责免费更换或由用户退还中标人所供货物，中标人退还用户支付的合同款，同时应承担该货物的直接费用（运输、保险、检验、货款利息及银行手续费等）以及由此给用户造成的损失。</w:t>
      </w:r>
    </w:p>
    <w:p>
      <w:pPr>
        <w:pStyle w:val="5"/>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5．中标人提供24小时售后服务，在接到报修通知后，维修人员应在【</w:t>
      </w:r>
      <w:r>
        <w:rPr>
          <w:rFonts w:hint="eastAsia" w:ascii="仿宋_GB2312" w:hAnsi="仿宋_GB2312" w:eastAsia="仿宋_GB2312" w:cs="仿宋_GB2312"/>
          <w:b w:val="0"/>
          <w:bCs w:val="0"/>
          <w:spacing w:val="-1"/>
          <w:lang w:val="en-US" w:eastAsia="zh-CN"/>
        </w:rPr>
        <w:t>24</w:t>
      </w:r>
      <w:r>
        <w:rPr>
          <w:rFonts w:hint="eastAsia" w:ascii="仿宋_GB2312" w:hAnsi="仿宋_GB2312" w:eastAsia="仿宋_GB2312" w:cs="仿宋_GB2312"/>
          <w:b w:val="0"/>
          <w:bCs w:val="0"/>
          <w:spacing w:val="-1"/>
        </w:rPr>
        <w:t>】小时内赶到杭州萧山国际机场，并连续进行维修，直到设备恢复正常。修复部分的质保期自修复之日起重新开始计算。</w:t>
      </w:r>
    </w:p>
    <w:p>
      <w:pPr>
        <w:pStyle w:val="5"/>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6．保修期结束的【十五】天前，中标人负责对设备进行一次全面的检修和维护，并由用户验收认可。</w:t>
      </w:r>
    </w:p>
    <w:p>
      <w:pPr>
        <w:keepLines/>
        <w:numPr>
          <w:ilvl w:val="0"/>
          <w:numId w:val="0"/>
        </w:numPr>
        <w:tabs>
          <w:tab w:val="left" w:pos="420"/>
          <w:tab w:val="left" w:pos="905"/>
        </w:tabs>
        <w:spacing w:line="560" w:lineRule="exact"/>
        <w:textAlignment w:val="baseline"/>
        <w:rPr>
          <w:rFonts w:ascii="仿宋_GB2312" w:hAnsi="仿宋_GB2312" w:eastAsia="仿宋_GB2312" w:cs="仿宋_GB2312"/>
          <w:spacing w:val="-1"/>
          <w:sz w:val="28"/>
          <w:szCs w:val="28"/>
        </w:rPr>
      </w:pPr>
    </w:p>
    <w:p/>
    <w:p>
      <w:pPr>
        <w:numPr>
          <w:ilvl w:val="0"/>
          <w:numId w:val="0"/>
        </w:numPr>
        <w:rPr>
          <w:rFonts w:hint="eastAsia"/>
        </w:rPr>
      </w:pPr>
    </w:p>
    <w:p/>
    <w:p/>
    <w:p/>
    <w:p>
      <w:pPr>
        <w:rPr>
          <w:b/>
          <w:bCs/>
        </w:rPr>
        <w:sectPr>
          <w:pgSz w:w="12240" w:h="15840"/>
          <w:pgMar w:top="1500" w:right="1680" w:bottom="1120" w:left="1700" w:header="0" w:footer="921" w:gutter="0"/>
          <w:cols w:space="720" w:num="1"/>
        </w:sectPr>
      </w:pPr>
    </w:p>
    <w:p>
      <w:pPr>
        <w:pStyle w:val="3"/>
        <w:spacing w:line="564" w:lineRule="exact"/>
        <w:ind w:right="57"/>
        <w:jc w:val="center"/>
      </w:pPr>
      <w:bookmarkStart w:id="39" w:name="_Toc19698503"/>
      <w:r>
        <w:rPr>
          <w:rFonts w:hint="eastAsia"/>
        </w:rPr>
        <w:t>第六章</w:t>
      </w:r>
      <w:r>
        <w:t xml:space="preserve">  </w:t>
      </w:r>
      <w:r>
        <w:rPr>
          <w:rFonts w:hint="eastAsia"/>
        </w:rPr>
        <w:t>投标文件格式</w:t>
      </w:r>
      <w:bookmarkEnd w:id="39"/>
    </w:p>
    <w:p>
      <w:pPr>
        <w:pStyle w:val="3"/>
        <w:spacing w:line="564" w:lineRule="exact"/>
        <w:ind w:right="57"/>
        <w:jc w:val="center"/>
        <w:sectPr>
          <w:headerReference r:id="rId13" w:type="default"/>
          <w:footerReference r:id="rId14"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7"/>
        <w:adjustRightInd w:val="0"/>
        <w:spacing w:line="360" w:lineRule="auto"/>
        <w:ind w:firstLine="0"/>
        <w:rPr>
          <w:rStyle w:val="28"/>
          <w:sz w:val="22"/>
          <w:szCs w:val="22"/>
        </w:rPr>
      </w:pPr>
      <w:r>
        <w:rPr>
          <w:rStyle w:val="28"/>
          <w:sz w:val="22"/>
          <w:szCs w:val="22"/>
        </w:rPr>
        <w:t>二、法定代表人身份证明</w:t>
      </w:r>
    </w:p>
    <w:p>
      <w:pPr>
        <w:pStyle w:val="27"/>
        <w:adjustRightInd w:val="0"/>
        <w:spacing w:line="360" w:lineRule="auto"/>
        <w:ind w:firstLine="0"/>
        <w:rPr>
          <w:rStyle w:val="28"/>
          <w:sz w:val="22"/>
          <w:szCs w:val="22"/>
        </w:rPr>
      </w:pPr>
      <w:r>
        <w:rPr>
          <w:rStyle w:val="28"/>
          <w:sz w:val="22"/>
          <w:szCs w:val="22"/>
        </w:rPr>
        <w:t xml:space="preserve">三、授权委托书（适用于有委托代理人的情况）。 </w:t>
      </w:r>
      <w:r>
        <w:rPr>
          <w:rStyle w:val="28"/>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8"/>
          <w:b/>
          <w:sz w:val="22"/>
          <w:szCs w:val="22"/>
        </w:rPr>
        <w:t>）在本企业缴纳的时间要求。投标文件中可使用社保证明的复制件但须同时加盖投标人印章</w:t>
      </w:r>
      <w:r>
        <w:rPr>
          <w:rStyle w:val="28"/>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jc w:val="right"/>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9"/>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30"/>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31"/>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32"/>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30"/>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30"/>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33"/>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33"/>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33"/>
        <w:snapToGrid w:val="0"/>
        <w:spacing w:after="0" w:line="360" w:lineRule="auto"/>
        <w:ind w:firstLine="440" w:firstLineChars="200"/>
        <w:rPr>
          <w:rFonts w:hAnsi="宋体"/>
          <w:sz w:val="22"/>
        </w:rPr>
      </w:pPr>
    </w:p>
    <w:p>
      <w:pPr>
        <w:pStyle w:val="33"/>
        <w:snapToGrid w:val="0"/>
        <w:spacing w:after="0" w:line="360" w:lineRule="auto"/>
        <w:ind w:firstLine="440" w:firstLineChars="200"/>
        <w:rPr>
          <w:rFonts w:hAnsi="宋体"/>
          <w:sz w:val="22"/>
        </w:rPr>
      </w:pPr>
    </w:p>
    <w:p>
      <w:pPr>
        <w:pStyle w:val="33"/>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33"/>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9"/>
        <w:snapToGrid w:val="0"/>
        <w:spacing w:line="360" w:lineRule="auto"/>
        <w:rPr>
          <w:rFonts w:hAnsi="宋体"/>
          <w:color w:val="auto"/>
          <w:sz w:val="22"/>
          <w:u w:val="single"/>
        </w:rPr>
      </w:pPr>
    </w:p>
    <w:p>
      <w:pPr>
        <w:pStyle w:val="29"/>
        <w:snapToGrid w:val="0"/>
        <w:spacing w:line="360" w:lineRule="auto"/>
        <w:rPr>
          <w:rFonts w:hAnsi="宋体"/>
          <w:color w:val="auto"/>
          <w:sz w:val="22"/>
          <w:u w:val="single"/>
        </w:rPr>
      </w:pPr>
    </w:p>
    <w:p>
      <w:pPr>
        <w:pStyle w:val="29"/>
        <w:snapToGrid w:val="0"/>
        <w:spacing w:line="360" w:lineRule="auto"/>
        <w:rPr>
          <w:rFonts w:hAnsi="宋体"/>
          <w:color w:val="auto"/>
          <w:sz w:val="22"/>
          <w:u w:val="single"/>
        </w:rPr>
      </w:pPr>
    </w:p>
    <w:p>
      <w:pPr>
        <w:pStyle w:val="29"/>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7"/>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2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2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2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7"/>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3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3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35"/>
        <w:numPr>
          <w:ilvl w:val="1"/>
          <w:numId w:val="7"/>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5"/>
        <w:numPr>
          <w:ilvl w:val="1"/>
          <w:numId w:val="8"/>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5"/>
        <w:numPr>
          <w:ilvl w:val="1"/>
          <w:numId w:val="8"/>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5"/>
        <w:numPr>
          <w:ilvl w:val="1"/>
          <w:numId w:val="8"/>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5"/>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5"/>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5"/>
        <w:numPr>
          <w:ilvl w:val="1"/>
          <w:numId w:val="8"/>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35"/>
        <w:numPr>
          <w:ilvl w:val="1"/>
          <w:numId w:val="7"/>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36"/>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36"/>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34"/>
        <w:spacing w:line="360" w:lineRule="auto"/>
        <w:rPr>
          <w:rFonts w:ascii="宋体" w:hAnsi="宋体" w:cs="宋体"/>
          <w:b/>
          <w:sz w:val="32"/>
          <w:szCs w:val="32"/>
        </w:rPr>
      </w:pPr>
    </w:p>
    <w:p>
      <w:pPr>
        <w:pStyle w:val="3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p>
      <w:pPr>
        <w:pStyle w:val="34"/>
        <w:spacing w:line="360" w:lineRule="auto"/>
        <w:rPr>
          <w:rFonts w:ascii="宋体" w:hAnsi="宋体" w:cs="宋体"/>
        </w:rPr>
      </w:pPr>
    </w:p>
    <w:p>
      <w:pPr>
        <w:pStyle w:val="36"/>
        <w:spacing w:line="360" w:lineRule="auto"/>
        <w:jc w:val="right"/>
        <w:rPr>
          <w:rFonts w:ascii="宋体" w:hAnsi="宋体" w:cs="宋体"/>
          <w:sz w:val="22"/>
        </w:rPr>
      </w:pPr>
      <w:bookmarkStart w:id="40" w:name="_Toc133470544"/>
      <w:bookmarkStart w:id="41" w:name="_Toc137373399"/>
      <w:bookmarkStart w:id="42" w:name="_Toc133214310"/>
      <w:bookmarkStart w:id="43" w:name="_Toc133214103"/>
      <w:r>
        <w:rPr>
          <w:rFonts w:hint="eastAsia" w:ascii="宋体" w:hAnsi="宋体" w:cs="宋体"/>
          <w:sz w:val="22"/>
        </w:rPr>
        <w:t>[货币单位：人民币/元]</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17"/>
        <w:tblW w:w="102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119"/>
        <w:gridCol w:w="1052"/>
        <w:gridCol w:w="777"/>
        <w:gridCol w:w="756"/>
        <w:gridCol w:w="799"/>
        <w:gridCol w:w="1072"/>
        <w:gridCol w:w="1096"/>
        <w:gridCol w:w="1008"/>
        <w:gridCol w:w="103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2" w:hRule="atLeast"/>
          <w:jc w:val="center"/>
        </w:trPr>
        <w:tc>
          <w:tcPr>
            <w:tcW w:w="553" w:type="dxa"/>
            <w:vAlign w:val="center"/>
          </w:tcPr>
          <w:p>
            <w:pPr>
              <w:pStyle w:val="2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119" w:type="dxa"/>
            <w:vAlign w:val="center"/>
          </w:tcPr>
          <w:p>
            <w:pPr>
              <w:pStyle w:val="2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052" w:type="dxa"/>
            <w:vAlign w:val="center"/>
          </w:tcPr>
          <w:p>
            <w:pPr>
              <w:pStyle w:val="2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777" w:type="dxa"/>
            <w:vAlign w:val="center"/>
          </w:tcPr>
          <w:p>
            <w:pPr>
              <w:pStyle w:val="2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756" w:type="dxa"/>
            <w:vAlign w:val="center"/>
          </w:tcPr>
          <w:p>
            <w:pPr>
              <w:pStyle w:val="21"/>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799" w:type="dxa"/>
            <w:vAlign w:val="center"/>
          </w:tcPr>
          <w:p>
            <w:pPr>
              <w:pStyle w:val="2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072" w:type="dxa"/>
            <w:vAlign w:val="center"/>
          </w:tcPr>
          <w:p>
            <w:pPr>
              <w:pStyle w:val="2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096"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008" w:type="dxa"/>
            <w:vAlign w:val="center"/>
          </w:tcPr>
          <w:p>
            <w:pPr>
              <w:pStyle w:val="22"/>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030"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032"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53" w:type="dxa"/>
            <w:vAlign w:val="center"/>
          </w:tcPr>
          <w:p>
            <w:pPr>
              <w:pStyle w:val="21"/>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21"/>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53" w:type="dxa"/>
            <w:vAlign w:val="center"/>
          </w:tcPr>
          <w:p>
            <w:pPr>
              <w:pStyle w:val="21"/>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21"/>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53" w:type="dxa"/>
            <w:vAlign w:val="center"/>
          </w:tcPr>
          <w:p>
            <w:pPr>
              <w:pStyle w:val="21"/>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21"/>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2724"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7570"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2724"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7570"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2724" w:type="dxa"/>
            <w:gridSpan w:val="3"/>
            <w:vAlign w:val="center"/>
          </w:tcPr>
          <w:p>
            <w:pPr>
              <w:pStyle w:val="22"/>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7570" w:type="dxa"/>
            <w:gridSpan w:val="8"/>
            <w:vAlign w:val="center"/>
          </w:tcPr>
          <w:p>
            <w:pPr>
              <w:pStyle w:val="22"/>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pStyle w:val="36"/>
        <w:spacing w:line="360" w:lineRule="auto"/>
        <w:rPr>
          <w:rFonts w:ascii="宋体" w:hAnsi="宋体" w:cs="宋体"/>
          <w:sz w:val="22"/>
        </w:rPr>
      </w:pPr>
    </w:p>
    <w:p>
      <w:pPr>
        <w:pStyle w:val="36"/>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34"/>
        <w:spacing w:line="360" w:lineRule="auto"/>
        <w:rPr>
          <w:rFonts w:ascii="宋体" w:hAnsi="宋体" w:cs="宋体"/>
          <w:sz w:val="22"/>
        </w:rPr>
      </w:pPr>
    </w:p>
    <w:p>
      <w:pPr>
        <w:pStyle w:val="3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3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7"/>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5"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7"/>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9"/>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4"/>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hint="eastAsia" w:ascii="宋体" w:hAnsi="宋体" w:eastAsia="宋体" w:cs="宋体"/>
          <w:sz w:val="22"/>
          <w:u w:val="single"/>
          <w:lang w:eastAsia="zh-CN"/>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7"/>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r>
              <w:rPr>
                <w:rFonts w:hint="eastAsia" w:ascii="宋体" w:hAnsi="宋体" w:cs="宋体"/>
                <w:bCs/>
                <w:kern w:val="0"/>
                <w:szCs w:val="21"/>
              </w:rPr>
              <w:t>项目</w:t>
            </w:r>
          </w:p>
          <w:p>
            <w:pPr>
              <w:pStyle w:val="3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kern w:val="0"/>
                <w:szCs w:val="21"/>
              </w:rPr>
            </w:pPr>
          </w:p>
        </w:tc>
      </w:tr>
    </w:tbl>
    <w:p>
      <w:pPr>
        <w:pStyle w:val="3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37"/>
        <w:spacing w:before="120" w:beforeLines="50" w:line="360" w:lineRule="auto"/>
        <w:rPr>
          <w:rFonts w:ascii="宋体" w:hAnsi="宋体"/>
        </w:rPr>
      </w:pPr>
    </w:p>
    <w:p>
      <w:pPr>
        <w:pStyle w:val="3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7"/>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8"/>
        <w:adjustRightInd w:val="0"/>
        <w:snapToGrid w:val="0"/>
        <w:ind w:firstLine="200"/>
        <w:jc w:val="center"/>
        <w:rPr>
          <w:b/>
          <w:sz w:val="10"/>
          <w:szCs w:val="10"/>
        </w:rPr>
      </w:pPr>
    </w:p>
    <w:tbl>
      <w:tblPr>
        <w:tblStyle w:val="1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3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7"/>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7"/>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ind w:firstLine="440" w:firstLineChars="200"/>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 杭州萧山国际机场T4航站楼及交通中心等区域中央空调等设备巡更系统采购（含安装）项目 </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napToGrid w:val="0"/>
        <w:spacing w:line="360" w:lineRule="exact"/>
        <w:ind w:firstLine="2860" w:firstLineChars="1300"/>
        <w:jc w:val="both"/>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sectPr>
          <w:pgSz w:w="11907" w:h="16840"/>
          <w:pgMar w:top="1191" w:right="1191" w:bottom="1191" w:left="1191" w:header="567" w:footer="720" w:gutter="227"/>
          <w:pgNumType w:fmt="numberInDash"/>
          <w:cols w:space="720" w:num="1"/>
        </w:sectPr>
      </w:pPr>
      <w:r>
        <w:rPr>
          <w:rFonts w:ascii="宋体" w:hAnsi="宋体" w:cs="宋体"/>
          <w:b/>
          <w:sz w:val="32"/>
          <w:szCs w:val="32"/>
        </w:rPr>
        <w:tab/>
      </w:r>
    </w:p>
    <w:p>
      <w:pPr>
        <w:pStyle w:val="34"/>
        <w:spacing w:line="360" w:lineRule="auto"/>
        <w:jc w:val="center"/>
        <w:rPr>
          <w:rFonts w:ascii="宋体" w:hAnsi="宋体" w:cs="宋体"/>
          <w:b/>
          <w:sz w:val="32"/>
          <w:szCs w:val="32"/>
        </w:rPr>
      </w:pPr>
      <w:r>
        <w:rPr>
          <w:rFonts w:hint="eastAsia" w:ascii="宋体" w:hAnsi="宋体" w:cs="宋体"/>
          <w:b/>
          <w:sz w:val="32"/>
          <w:szCs w:val="32"/>
        </w:rPr>
        <w:t>十、技术方案</w:t>
      </w:r>
    </w:p>
    <w:p>
      <w:pPr>
        <w:pStyle w:val="39"/>
        <w:spacing w:line="360" w:lineRule="auto"/>
        <w:ind w:firstLine="440" w:firstLineChars="200"/>
        <w:rPr>
          <w:rFonts w:ascii="宋体" w:hAnsi="宋体" w:cs="宋体"/>
          <w:sz w:val="22"/>
        </w:rPr>
      </w:pPr>
    </w:p>
    <w:p>
      <w:pPr>
        <w:pStyle w:val="39"/>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8"/>
        </w:numPr>
        <w:spacing w:line="360" w:lineRule="auto"/>
        <w:rPr>
          <w:rFonts w:ascii="宋体" w:hAnsi="宋体" w:cs="宋体"/>
          <w:sz w:val="22"/>
        </w:rPr>
      </w:pPr>
      <w:r>
        <w:rPr>
          <w:rFonts w:hint="eastAsia" w:ascii="宋体" w:hAnsi="宋体" w:cs="宋体"/>
          <w:sz w:val="22"/>
        </w:rPr>
        <w:t>货物说明一览表；</w:t>
      </w:r>
    </w:p>
    <w:p>
      <w:pPr>
        <w:numPr>
          <w:ilvl w:val="0"/>
          <w:numId w:val="18"/>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8"/>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8"/>
        </w:numPr>
        <w:spacing w:line="360" w:lineRule="auto"/>
        <w:rPr>
          <w:rFonts w:ascii="宋体" w:hAnsi="宋体" w:cs="宋体"/>
          <w:sz w:val="22"/>
        </w:rPr>
      </w:pPr>
      <w:r>
        <w:rPr>
          <w:rFonts w:hint="eastAsia" w:ascii="宋体" w:hAnsi="宋体" w:cs="宋体"/>
          <w:sz w:val="22"/>
        </w:rPr>
        <w:t>货物主要生产工艺流程；</w:t>
      </w:r>
    </w:p>
    <w:p>
      <w:pPr>
        <w:numPr>
          <w:ilvl w:val="0"/>
          <w:numId w:val="18"/>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8"/>
        </w:numPr>
        <w:spacing w:line="360" w:lineRule="auto"/>
        <w:rPr>
          <w:rFonts w:ascii="宋体" w:hAnsi="宋体" w:cs="宋体"/>
          <w:sz w:val="22"/>
        </w:rPr>
      </w:pPr>
      <w:r>
        <w:rPr>
          <w:rFonts w:hint="eastAsia" w:ascii="宋体" w:hAnsi="宋体" w:cs="宋体"/>
          <w:sz w:val="22"/>
        </w:rPr>
        <w:t>项目实施进度控制计划；</w:t>
      </w:r>
    </w:p>
    <w:p>
      <w:pPr>
        <w:numPr>
          <w:ilvl w:val="0"/>
          <w:numId w:val="18"/>
        </w:numPr>
        <w:spacing w:line="360" w:lineRule="auto"/>
        <w:rPr>
          <w:rFonts w:ascii="宋体" w:hAnsi="宋体" w:cs="宋体"/>
          <w:sz w:val="22"/>
        </w:rPr>
      </w:pPr>
      <w:r>
        <w:rPr>
          <w:rFonts w:hint="eastAsia" w:ascii="宋体" w:hAnsi="宋体" w:cs="宋体"/>
          <w:sz w:val="22"/>
        </w:rPr>
        <w:t>相关服务实施方案；</w:t>
      </w:r>
    </w:p>
    <w:p>
      <w:pPr>
        <w:numPr>
          <w:ilvl w:val="0"/>
          <w:numId w:val="18"/>
        </w:numPr>
        <w:spacing w:line="360" w:lineRule="auto"/>
        <w:rPr>
          <w:rFonts w:ascii="宋体" w:hAnsi="宋体" w:cs="宋体"/>
          <w:sz w:val="22"/>
        </w:rPr>
      </w:pPr>
      <w:r>
        <w:rPr>
          <w:rFonts w:hint="eastAsia" w:ascii="宋体" w:hAnsi="宋体" w:cs="宋体"/>
          <w:sz w:val="22"/>
        </w:rPr>
        <w:t>设备运行维护成本分析；</w:t>
      </w:r>
    </w:p>
    <w:p>
      <w:pPr>
        <w:numPr>
          <w:ilvl w:val="0"/>
          <w:numId w:val="18"/>
        </w:numPr>
        <w:spacing w:line="360" w:lineRule="auto"/>
        <w:rPr>
          <w:rFonts w:ascii="宋体" w:hAnsi="宋体" w:cs="宋体"/>
          <w:sz w:val="22"/>
        </w:rPr>
      </w:pPr>
      <w:r>
        <w:rPr>
          <w:rFonts w:hint="eastAsia" w:ascii="宋体" w:hAnsi="宋体" w:cs="宋体"/>
          <w:sz w:val="22"/>
        </w:rPr>
        <w:t>备品备件的详细配置说明；</w:t>
      </w:r>
    </w:p>
    <w:p>
      <w:pPr>
        <w:numPr>
          <w:ilvl w:val="0"/>
          <w:numId w:val="18"/>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8"/>
        </w:numPr>
        <w:spacing w:line="360" w:lineRule="auto"/>
        <w:rPr>
          <w:rFonts w:ascii="宋体" w:hAnsi="宋体" w:cs="宋体"/>
          <w:sz w:val="22"/>
        </w:rPr>
      </w:pPr>
      <w:r>
        <w:rPr>
          <w:rFonts w:hint="eastAsia" w:ascii="宋体" w:hAnsi="宋体" w:cs="宋体"/>
          <w:sz w:val="22"/>
        </w:rPr>
        <w:t>技术文件清单</w:t>
      </w:r>
    </w:p>
    <w:p>
      <w:pPr>
        <w:numPr>
          <w:ilvl w:val="0"/>
          <w:numId w:val="18"/>
        </w:numPr>
        <w:spacing w:line="360" w:lineRule="auto"/>
        <w:rPr>
          <w:rFonts w:ascii="宋体" w:hAnsi="宋体" w:cs="宋体"/>
          <w:sz w:val="22"/>
        </w:rPr>
      </w:pPr>
      <w:r>
        <w:rPr>
          <w:rFonts w:hint="eastAsia" w:ascii="宋体" w:hAnsi="宋体" w:cs="宋体"/>
          <w:sz w:val="22"/>
        </w:rPr>
        <w:t>技术支持及售后服务方案；</w:t>
      </w:r>
    </w:p>
    <w:p>
      <w:pPr>
        <w:numPr>
          <w:ilvl w:val="0"/>
          <w:numId w:val="18"/>
        </w:numPr>
        <w:spacing w:line="360" w:lineRule="auto"/>
        <w:rPr>
          <w:rFonts w:ascii="宋体" w:hAnsi="宋体" w:cs="宋体"/>
          <w:sz w:val="22"/>
        </w:rPr>
      </w:pPr>
      <w:r>
        <w:rPr>
          <w:rFonts w:hint="eastAsia" w:ascii="宋体" w:hAnsi="宋体" w:cs="宋体"/>
          <w:sz w:val="22"/>
        </w:rPr>
        <w:t>人员培训计划。</w:t>
      </w:r>
    </w:p>
    <w:p>
      <w:pPr>
        <w:pStyle w:val="40"/>
        <w:rPr>
          <w:rFonts w:ascii="宋体" w:hAnsi="宋体" w:cs="宋体"/>
          <w:sz w:val="22"/>
        </w:rPr>
      </w:pPr>
    </w:p>
    <w:p>
      <w:pPr>
        <w:pStyle w:val="34"/>
        <w:spacing w:line="360" w:lineRule="auto"/>
        <w:jc w:val="center"/>
        <w:rPr>
          <w:rFonts w:ascii="宋体" w:hAnsi="宋体" w:cs="宋体"/>
          <w:b/>
          <w:sz w:val="32"/>
          <w:szCs w:val="32"/>
        </w:rPr>
      </w:pPr>
    </w:p>
    <w:p>
      <w:pPr>
        <w:pStyle w:val="3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40"/>
        <w:jc w:val="center"/>
        <w:rPr>
          <w:rFonts w:ascii="宋体" w:hAnsi="宋体" w:cs="宋体"/>
          <w:bCs/>
          <w:sz w:val="32"/>
          <w:szCs w:val="32"/>
        </w:rPr>
      </w:pPr>
      <w:r>
        <w:rPr>
          <w:rFonts w:hint="eastAsia" w:ascii="宋体" w:hAnsi="宋体" w:cs="宋体"/>
          <w:b/>
          <w:sz w:val="30"/>
          <w:szCs w:val="30"/>
        </w:rPr>
        <w:t>项目部主要成员履历表</w:t>
      </w:r>
    </w:p>
    <w:p>
      <w:pPr>
        <w:pStyle w:val="41"/>
        <w:spacing w:before="120" w:beforeLines="50" w:line="360" w:lineRule="auto"/>
        <w:ind w:firstLine="480" w:firstLineChars="200"/>
        <w:rPr>
          <w:rFonts w:ascii="宋体" w:hAnsi="宋体" w:eastAsia="宋体" w:cs="宋体"/>
          <w:sz w:val="24"/>
          <w:szCs w:val="21"/>
        </w:rPr>
      </w:pPr>
    </w:p>
    <w:tbl>
      <w:tblPr>
        <w:tblStyle w:val="17"/>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40"/>
              <w:jc w:val="center"/>
              <w:rPr>
                <w:rFonts w:ascii="宋体" w:hAnsi="宋体" w:cs="宋体"/>
              </w:rPr>
            </w:pPr>
            <w:r>
              <w:rPr>
                <w:rFonts w:hint="eastAsia" w:ascii="宋体" w:hAnsi="宋体" w:cs="宋体"/>
              </w:rPr>
              <w:t>序号</w:t>
            </w:r>
          </w:p>
        </w:tc>
        <w:tc>
          <w:tcPr>
            <w:tcW w:w="665" w:type="dxa"/>
            <w:vAlign w:val="center"/>
          </w:tcPr>
          <w:p>
            <w:pPr>
              <w:pStyle w:val="40"/>
              <w:jc w:val="center"/>
              <w:rPr>
                <w:rFonts w:ascii="宋体" w:hAnsi="宋体" w:cs="宋体"/>
              </w:rPr>
            </w:pPr>
            <w:r>
              <w:rPr>
                <w:rFonts w:hint="eastAsia" w:ascii="宋体" w:hAnsi="宋体" w:cs="宋体"/>
              </w:rPr>
              <w:t>姓名</w:t>
            </w:r>
          </w:p>
        </w:tc>
        <w:tc>
          <w:tcPr>
            <w:tcW w:w="665" w:type="dxa"/>
            <w:vAlign w:val="center"/>
          </w:tcPr>
          <w:p>
            <w:pPr>
              <w:pStyle w:val="40"/>
              <w:jc w:val="center"/>
              <w:rPr>
                <w:rFonts w:ascii="宋体" w:hAnsi="宋体" w:cs="宋体"/>
              </w:rPr>
            </w:pPr>
            <w:r>
              <w:rPr>
                <w:rFonts w:hint="eastAsia" w:ascii="宋体" w:hAnsi="宋体" w:cs="宋体"/>
              </w:rPr>
              <w:t>性别</w:t>
            </w:r>
          </w:p>
        </w:tc>
        <w:tc>
          <w:tcPr>
            <w:tcW w:w="665" w:type="dxa"/>
            <w:vAlign w:val="center"/>
          </w:tcPr>
          <w:p>
            <w:pPr>
              <w:pStyle w:val="40"/>
              <w:jc w:val="center"/>
              <w:rPr>
                <w:rFonts w:ascii="宋体" w:hAnsi="宋体" w:cs="宋体"/>
              </w:rPr>
            </w:pPr>
            <w:r>
              <w:rPr>
                <w:rFonts w:hint="eastAsia" w:ascii="宋体" w:hAnsi="宋体" w:cs="宋体"/>
              </w:rPr>
              <w:t>年龄</w:t>
            </w:r>
          </w:p>
        </w:tc>
        <w:tc>
          <w:tcPr>
            <w:tcW w:w="664" w:type="dxa"/>
            <w:vAlign w:val="center"/>
          </w:tcPr>
          <w:p>
            <w:pPr>
              <w:pStyle w:val="40"/>
              <w:jc w:val="center"/>
              <w:rPr>
                <w:rFonts w:ascii="宋体" w:hAnsi="宋体" w:cs="宋体"/>
              </w:rPr>
            </w:pPr>
            <w:r>
              <w:rPr>
                <w:rFonts w:hint="eastAsia" w:ascii="宋体" w:hAnsi="宋体" w:cs="宋体"/>
              </w:rPr>
              <w:t>学历</w:t>
            </w:r>
          </w:p>
        </w:tc>
        <w:tc>
          <w:tcPr>
            <w:tcW w:w="664" w:type="dxa"/>
            <w:vAlign w:val="center"/>
          </w:tcPr>
          <w:p>
            <w:pPr>
              <w:pStyle w:val="40"/>
              <w:jc w:val="center"/>
              <w:rPr>
                <w:rFonts w:ascii="宋体" w:hAnsi="宋体" w:cs="宋体"/>
              </w:rPr>
            </w:pPr>
            <w:r>
              <w:rPr>
                <w:rFonts w:hint="eastAsia" w:ascii="宋体" w:hAnsi="宋体" w:cs="宋体"/>
              </w:rPr>
              <w:t>专业</w:t>
            </w:r>
          </w:p>
        </w:tc>
        <w:tc>
          <w:tcPr>
            <w:tcW w:w="1673" w:type="dxa"/>
            <w:vAlign w:val="center"/>
          </w:tcPr>
          <w:p>
            <w:pPr>
              <w:pStyle w:val="40"/>
              <w:jc w:val="center"/>
              <w:rPr>
                <w:rFonts w:ascii="宋体" w:hAnsi="宋体" w:cs="宋体"/>
              </w:rPr>
            </w:pPr>
            <w:r>
              <w:rPr>
                <w:rFonts w:hint="eastAsia" w:ascii="宋体" w:hAnsi="宋体" w:cs="宋体"/>
              </w:rPr>
              <w:t>执业资格/职称</w:t>
            </w:r>
          </w:p>
        </w:tc>
        <w:tc>
          <w:tcPr>
            <w:tcW w:w="1157" w:type="dxa"/>
            <w:vAlign w:val="center"/>
          </w:tcPr>
          <w:p>
            <w:pPr>
              <w:pStyle w:val="40"/>
              <w:jc w:val="center"/>
              <w:rPr>
                <w:rFonts w:ascii="宋体" w:hAnsi="宋体" w:cs="宋体"/>
              </w:rPr>
            </w:pPr>
            <w:r>
              <w:rPr>
                <w:rFonts w:hint="eastAsia" w:ascii="宋体" w:hAnsi="宋体" w:cs="宋体"/>
              </w:rPr>
              <w:t>工作年限</w:t>
            </w:r>
          </w:p>
        </w:tc>
        <w:tc>
          <w:tcPr>
            <w:tcW w:w="1673" w:type="dxa"/>
            <w:vAlign w:val="center"/>
          </w:tcPr>
          <w:p>
            <w:pPr>
              <w:pStyle w:val="40"/>
              <w:jc w:val="center"/>
              <w:rPr>
                <w:rFonts w:ascii="宋体" w:hAnsi="宋体" w:cs="宋体"/>
              </w:rPr>
            </w:pPr>
            <w:r>
              <w:rPr>
                <w:rFonts w:hint="eastAsia" w:ascii="宋体" w:hAnsi="宋体" w:cs="宋体"/>
              </w:rPr>
              <w:t>拟在本项目担任的职务</w:t>
            </w:r>
          </w:p>
        </w:tc>
        <w:tc>
          <w:tcPr>
            <w:tcW w:w="1364" w:type="dxa"/>
            <w:vAlign w:val="center"/>
          </w:tcPr>
          <w:p>
            <w:pPr>
              <w:pStyle w:val="4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4" w:type="dxa"/>
            <w:vAlign w:val="center"/>
          </w:tcPr>
          <w:p>
            <w:pPr>
              <w:pStyle w:val="40"/>
              <w:jc w:val="center"/>
              <w:rPr>
                <w:rFonts w:ascii="宋体" w:hAnsi="宋体" w:cs="宋体"/>
              </w:rPr>
            </w:pPr>
          </w:p>
        </w:tc>
        <w:tc>
          <w:tcPr>
            <w:tcW w:w="664" w:type="dxa"/>
            <w:vAlign w:val="center"/>
          </w:tcPr>
          <w:p>
            <w:pPr>
              <w:pStyle w:val="40"/>
              <w:jc w:val="center"/>
              <w:rPr>
                <w:rFonts w:ascii="宋体" w:hAnsi="宋体" w:cs="宋体"/>
              </w:rPr>
            </w:pPr>
          </w:p>
        </w:tc>
        <w:tc>
          <w:tcPr>
            <w:tcW w:w="1673" w:type="dxa"/>
            <w:tcBorders>
              <w:bottom w:val="single" w:color="auto" w:sz="4" w:space="0"/>
            </w:tcBorders>
            <w:vAlign w:val="center"/>
          </w:tcPr>
          <w:p>
            <w:pPr>
              <w:pStyle w:val="40"/>
              <w:jc w:val="center"/>
              <w:rPr>
                <w:rFonts w:ascii="宋体" w:hAnsi="宋体" w:cs="宋体"/>
              </w:rPr>
            </w:pPr>
          </w:p>
        </w:tc>
        <w:tc>
          <w:tcPr>
            <w:tcW w:w="1157" w:type="dxa"/>
            <w:tcBorders>
              <w:bottom w:val="single" w:color="auto" w:sz="4" w:space="0"/>
            </w:tcBorders>
            <w:vAlign w:val="center"/>
          </w:tcPr>
          <w:p>
            <w:pPr>
              <w:pStyle w:val="40"/>
              <w:jc w:val="center"/>
              <w:rPr>
                <w:rFonts w:ascii="宋体" w:hAnsi="宋体" w:cs="宋体"/>
              </w:rPr>
            </w:pPr>
          </w:p>
        </w:tc>
        <w:tc>
          <w:tcPr>
            <w:tcW w:w="1673" w:type="dxa"/>
            <w:tcBorders>
              <w:bottom w:val="single" w:color="auto" w:sz="4" w:space="0"/>
            </w:tcBorders>
            <w:vAlign w:val="center"/>
          </w:tcPr>
          <w:p>
            <w:pPr>
              <w:pStyle w:val="40"/>
              <w:jc w:val="center"/>
              <w:rPr>
                <w:rFonts w:ascii="宋体" w:hAnsi="宋体" w:cs="宋体"/>
              </w:rPr>
            </w:pPr>
          </w:p>
        </w:tc>
        <w:tc>
          <w:tcPr>
            <w:tcW w:w="1364" w:type="dxa"/>
            <w:tcBorders>
              <w:bottom w:val="single" w:color="auto" w:sz="4" w:space="0"/>
            </w:tcBorders>
            <w:vAlign w:val="center"/>
          </w:tcPr>
          <w:p>
            <w:pPr>
              <w:pStyle w:val="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4" w:type="dxa"/>
            <w:vAlign w:val="center"/>
          </w:tcPr>
          <w:p>
            <w:pPr>
              <w:pStyle w:val="40"/>
              <w:jc w:val="center"/>
              <w:rPr>
                <w:rFonts w:ascii="宋体" w:hAnsi="宋体" w:cs="宋体"/>
              </w:rPr>
            </w:pPr>
          </w:p>
        </w:tc>
        <w:tc>
          <w:tcPr>
            <w:tcW w:w="664" w:type="dxa"/>
            <w:vAlign w:val="center"/>
          </w:tcPr>
          <w:p>
            <w:pPr>
              <w:pStyle w:val="40"/>
              <w:jc w:val="center"/>
              <w:rPr>
                <w:rFonts w:ascii="宋体" w:hAnsi="宋体" w:cs="宋体"/>
              </w:rPr>
            </w:pPr>
          </w:p>
        </w:tc>
        <w:tc>
          <w:tcPr>
            <w:tcW w:w="1673" w:type="dxa"/>
            <w:tcBorders>
              <w:bottom w:val="single" w:color="auto" w:sz="4" w:space="0"/>
            </w:tcBorders>
            <w:vAlign w:val="center"/>
          </w:tcPr>
          <w:p>
            <w:pPr>
              <w:pStyle w:val="40"/>
              <w:jc w:val="center"/>
              <w:rPr>
                <w:rFonts w:ascii="宋体" w:hAnsi="宋体" w:cs="宋体"/>
              </w:rPr>
            </w:pPr>
          </w:p>
        </w:tc>
        <w:tc>
          <w:tcPr>
            <w:tcW w:w="1157" w:type="dxa"/>
            <w:tcBorders>
              <w:bottom w:val="single" w:color="auto" w:sz="4" w:space="0"/>
            </w:tcBorders>
            <w:vAlign w:val="center"/>
          </w:tcPr>
          <w:p>
            <w:pPr>
              <w:pStyle w:val="40"/>
              <w:jc w:val="center"/>
              <w:rPr>
                <w:rFonts w:ascii="宋体" w:hAnsi="宋体" w:cs="宋体"/>
              </w:rPr>
            </w:pPr>
          </w:p>
        </w:tc>
        <w:tc>
          <w:tcPr>
            <w:tcW w:w="1673" w:type="dxa"/>
            <w:tcBorders>
              <w:bottom w:val="single" w:color="auto" w:sz="4" w:space="0"/>
            </w:tcBorders>
            <w:vAlign w:val="center"/>
          </w:tcPr>
          <w:p>
            <w:pPr>
              <w:pStyle w:val="40"/>
              <w:jc w:val="center"/>
              <w:rPr>
                <w:rFonts w:ascii="宋体" w:hAnsi="宋体" w:cs="宋体"/>
              </w:rPr>
            </w:pPr>
          </w:p>
        </w:tc>
        <w:tc>
          <w:tcPr>
            <w:tcW w:w="1364" w:type="dxa"/>
            <w:tcBorders>
              <w:bottom w:val="single" w:color="auto" w:sz="4" w:space="0"/>
            </w:tcBorders>
            <w:vAlign w:val="center"/>
          </w:tcPr>
          <w:p>
            <w:pPr>
              <w:pStyle w:val="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4" w:type="dxa"/>
            <w:vAlign w:val="center"/>
          </w:tcPr>
          <w:p>
            <w:pPr>
              <w:pStyle w:val="40"/>
              <w:jc w:val="center"/>
              <w:rPr>
                <w:rFonts w:ascii="宋体" w:hAnsi="宋体" w:cs="宋体"/>
              </w:rPr>
            </w:pPr>
          </w:p>
        </w:tc>
        <w:tc>
          <w:tcPr>
            <w:tcW w:w="664" w:type="dxa"/>
            <w:vAlign w:val="center"/>
          </w:tcPr>
          <w:p>
            <w:pPr>
              <w:pStyle w:val="40"/>
              <w:jc w:val="center"/>
              <w:rPr>
                <w:rFonts w:ascii="宋体" w:hAnsi="宋体" w:cs="宋体"/>
              </w:rPr>
            </w:pPr>
          </w:p>
        </w:tc>
        <w:tc>
          <w:tcPr>
            <w:tcW w:w="1673" w:type="dxa"/>
            <w:tcBorders>
              <w:bottom w:val="single" w:color="auto" w:sz="4" w:space="0"/>
            </w:tcBorders>
            <w:vAlign w:val="center"/>
          </w:tcPr>
          <w:p>
            <w:pPr>
              <w:pStyle w:val="40"/>
              <w:jc w:val="center"/>
              <w:rPr>
                <w:rFonts w:ascii="宋体" w:hAnsi="宋体" w:cs="宋体"/>
              </w:rPr>
            </w:pPr>
          </w:p>
        </w:tc>
        <w:tc>
          <w:tcPr>
            <w:tcW w:w="1157" w:type="dxa"/>
            <w:tcBorders>
              <w:bottom w:val="single" w:color="auto" w:sz="4" w:space="0"/>
            </w:tcBorders>
            <w:vAlign w:val="center"/>
          </w:tcPr>
          <w:p>
            <w:pPr>
              <w:pStyle w:val="40"/>
              <w:jc w:val="center"/>
              <w:rPr>
                <w:rFonts w:ascii="宋体" w:hAnsi="宋体" w:cs="宋体"/>
              </w:rPr>
            </w:pPr>
          </w:p>
        </w:tc>
        <w:tc>
          <w:tcPr>
            <w:tcW w:w="1673" w:type="dxa"/>
            <w:tcBorders>
              <w:bottom w:val="single" w:color="auto" w:sz="4" w:space="0"/>
            </w:tcBorders>
            <w:vAlign w:val="center"/>
          </w:tcPr>
          <w:p>
            <w:pPr>
              <w:pStyle w:val="40"/>
              <w:jc w:val="center"/>
              <w:rPr>
                <w:rFonts w:ascii="宋体" w:hAnsi="宋体" w:cs="宋体"/>
              </w:rPr>
            </w:pPr>
          </w:p>
        </w:tc>
        <w:tc>
          <w:tcPr>
            <w:tcW w:w="1364" w:type="dxa"/>
            <w:tcBorders>
              <w:bottom w:val="single" w:color="auto" w:sz="4" w:space="0"/>
            </w:tcBorders>
            <w:vAlign w:val="center"/>
          </w:tcPr>
          <w:p>
            <w:pPr>
              <w:pStyle w:val="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4" w:type="dxa"/>
            <w:vAlign w:val="center"/>
          </w:tcPr>
          <w:p>
            <w:pPr>
              <w:pStyle w:val="40"/>
              <w:jc w:val="center"/>
              <w:rPr>
                <w:rFonts w:ascii="宋体" w:hAnsi="宋体" w:cs="宋体"/>
              </w:rPr>
            </w:pPr>
          </w:p>
        </w:tc>
        <w:tc>
          <w:tcPr>
            <w:tcW w:w="664" w:type="dxa"/>
            <w:vAlign w:val="center"/>
          </w:tcPr>
          <w:p>
            <w:pPr>
              <w:pStyle w:val="40"/>
              <w:jc w:val="center"/>
              <w:rPr>
                <w:rFonts w:ascii="宋体" w:hAnsi="宋体" w:cs="宋体"/>
              </w:rPr>
            </w:pPr>
          </w:p>
        </w:tc>
        <w:tc>
          <w:tcPr>
            <w:tcW w:w="1673" w:type="dxa"/>
            <w:tcBorders>
              <w:bottom w:val="single" w:color="auto" w:sz="4" w:space="0"/>
            </w:tcBorders>
            <w:vAlign w:val="center"/>
          </w:tcPr>
          <w:p>
            <w:pPr>
              <w:pStyle w:val="40"/>
              <w:jc w:val="center"/>
              <w:rPr>
                <w:rFonts w:ascii="宋体" w:hAnsi="宋体" w:cs="宋体"/>
              </w:rPr>
            </w:pPr>
          </w:p>
        </w:tc>
        <w:tc>
          <w:tcPr>
            <w:tcW w:w="1157" w:type="dxa"/>
            <w:tcBorders>
              <w:bottom w:val="single" w:color="auto" w:sz="4" w:space="0"/>
            </w:tcBorders>
            <w:vAlign w:val="center"/>
          </w:tcPr>
          <w:p>
            <w:pPr>
              <w:pStyle w:val="40"/>
              <w:jc w:val="center"/>
              <w:rPr>
                <w:rFonts w:ascii="宋体" w:hAnsi="宋体" w:cs="宋体"/>
              </w:rPr>
            </w:pPr>
          </w:p>
        </w:tc>
        <w:tc>
          <w:tcPr>
            <w:tcW w:w="1673" w:type="dxa"/>
            <w:tcBorders>
              <w:bottom w:val="single" w:color="auto" w:sz="4" w:space="0"/>
            </w:tcBorders>
            <w:vAlign w:val="center"/>
          </w:tcPr>
          <w:p>
            <w:pPr>
              <w:pStyle w:val="40"/>
              <w:jc w:val="center"/>
              <w:rPr>
                <w:rFonts w:ascii="宋体" w:hAnsi="宋体" w:cs="宋体"/>
              </w:rPr>
            </w:pPr>
          </w:p>
        </w:tc>
        <w:tc>
          <w:tcPr>
            <w:tcW w:w="1364" w:type="dxa"/>
            <w:tcBorders>
              <w:bottom w:val="single" w:color="auto" w:sz="4" w:space="0"/>
            </w:tcBorders>
            <w:vAlign w:val="center"/>
          </w:tcPr>
          <w:p>
            <w:pPr>
              <w:pStyle w:val="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4" w:type="dxa"/>
            <w:vAlign w:val="center"/>
          </w:tcPr>
          <w:p>
            <w:pPr>
              <w:pStyle w:val="40"/>
              <w:jc w:val="center"/>
              <w:rPr>
                <w:rFonts w:ascii="宋体" w:hAnsi="宋体" w:cs="宋体"/>
              </w:rPr>
            </w:pPr>
          </w:p>
        </w:tc>
        <w:tc>
          <w:tcPr>
            <w:tcW w:w="664" w:type="dxa"/>
            <w:vAlign w:val="center"/>
          </w:tcPr>
          <w:p>
            <w:pPr>
              <w:pStyle w:val="40"/>
              <w:jc w:val="center"/>
              <w:rPr>
                <w:rFonts w:ascii="宋体" w:hAnsi="宋体" w:cs="宋体"/>
              </w:rPr>
            </w:pPr>
          </w:p>
        </w:tc>
        <w:tc>
          <w:tcPr>
            <w:tcW w:w="1673" w:type="dxa"/>
            <w:tcBorders>
              <w:bottom w:val="single" w:color="auto" w:sz="4" w:space="0"/>
            </w:tcBorders>
            <w:vAlign w:val="center"/>
          </w:tcPr>
          <w:p>
            <w:pPr>
              <w:pStyle w:val="40"/>
              <w:jc w:val="center"/>
              <w:rPr>
                <w:rFonts w:ascii="宋体" w:hAnsi="宋体" w:cs="宋体"/>
              </w:rPr>
            </w:pPr>
          </w:p>
        </w:tc>
        <w:tc>
          <w:tcPr>
            <w:tcW w:w="1157" w:type="dxa"/>
            <w:tcBorders>
              <w:bottom w:val="single" w:color="auto" w:sz="4" w:space="0"/>
            </w:tcBorders>
            <w:vAlign w:val="center"/>
          </w:tcPr>
          <w:p>
            <w:pPr>
              <w:pStyle w:val="40"/>
              <w:jc w:val="center"/>
              <w:rPr>
                <w:rFonts w:ascii="宋体" w:hAnsi="宋体" w:cs="宋体"/>
              </w:rPr>
            </w:pPr>
          </w:p>
        </w:tc>
        <w:tc>
          <w:tcPr>
            <w:tcW w:w="1673" w:type="dxa"/>
            <w:tcBorders>
              <w:bottom w:val="single" w:color="auto" w:sz="4" w:space="0"/>
            </w:tcBorders>
            <w:vAlign w:val="center"/>
          </w:tcPr>
          <w:p>
            <w:pPr>
              <w:pStyle w:val="40"/>
              <w:jc w:val="center"/>
              <w:rPr>
                <w:rFonts w:ascii="宋体" w:hAnsi="宋体" w:cs="宋体"/>
              </w:rPr>
            </w:pPr>
          </w:p>
        </w:tc>
        <w:tc>
          <w:tcPr>
            <w:tcW w:w="1364" w:type="dxa"/>
            <w:tcBorders>
              <w:bottom w:val="single" w:color="auto" w:sz="4" w:space="0"/>
            </w:tcBorders>
            <w:vAlign w:val="center"/>
          </w:tcPr>
          <w:p>
            <w:pPr>
              <w:pStyle w:val="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5" w:type="dxa"/>
            <w:vAlign w:val="center"/>
          </w:tcPr>
          <w:p>
            <w:pPr>
              <w:pStyle w:val="40"/>
              <w:jc w:val="center"/>
              <w:rPr>
                <w:rFonts w:ascii="宋体" w:hAnsi="宋体" w:cs="宋体"/>
              </w:rPr>
            </w:pPr>
          </w:p>
        </w:tc>
        <w:tc>
          <w:tcPr>
            <w:tcW w:w="664" w:type="dxa"/>
            <w:vAlign w:val="center"/>
          </w:tcPr>
          <w:p>
            <w:pPr>
              <w:pStyle w:val="40"/>
              <w:jc w:val="center"/>
              <w:rPr>
                <w:rFonts w:ascii="宋体" w:hAnsi="宋体" w:cs="宋体"/>
              </w:rPr>
            </w:pPr>
          </w:p>
        </w:tc>
        <w:tc>
          <w:tcPr>
            <w:tcW w:w="664" w:type="dxa"/>
            <w:vAlign w:val="center"/>
          </w:tcPr>
          <w:p>
            <w:pPr>
              <w:pStyle w:val="40"/>
              <w:jc w:val="center"/>
              <w:rPr>
                <w:rFonts w:ascii="宋体" w:hAnsi="宋体" w:cs="宋体"/>
              </w:rPr>
            </w:pPr>
          </w:p>
        </w:tc>
        <w:tc>
          <w:tcPr>
            <w:tcW w:w="1673" w:type="dxa"/>
            <w:tcBorders>
              <w:bottom w:val="single" w:color="auto" w:sz="4" w:space="0"/>
            </w:tcBorders>
            <w:vAlign w:val="center"/>
          </w:tcPr>
          <w:p>
            <w:pPr>
              <w:pStyle w:val="40"/>
              <w:jc w:val="center"/>
              <w:rPr>
                <w:rFonts w:ascii="宋体" w:hAnsi="宋体" w:cs="宋体"/>
              </w:rPr>
            </w:pPr>
          </w:p>
        </w:tc>
        <w:tc>
          <w:tcPr>
            <w:tcW w:w="1157" w:type="dxa"/>
            <w:tcBorders>
              <w:bottom w:val="single" w:color="auto" w:sz="4" w:space="0"/>
            </w:tcBorders>
            <w:vAlign w:val="center"/>
          </w:tcPr>
          <w:p>
            <w:pPr>
              <w:pStyle w:val="40"/>
              <w:jc w:val="center"/>
              <w:rPr>
                <w:rFonts w:ascii="宋体" w:hAnsi="宋体" w:cs="宋体"/>
              </w:rPr>
            </w:pPr>
          </w:p>
        </w:tc>
        <w:tc>
          <w:tcPr>
            <w:tcW w:w="1673" w:type="dxa"/>
            <w:tcBorders>
              <w:bottom w:val="single" w:color="auto" w:sz="4" w:space="0"/>
            </w:tcBorders>
            <w:vAlign w:val="center"/>
          </w:tcPr>
          <w:p>
            <w:pPr>
              <w:pStyle w:val="40"/>
              <w:jc w:val="center"/>
              <w:rPr>
                <w:rFonts w:ascii="宋体" w:hAnsi="宋体" w:cs="宋体"/>
              </w:rPr>
            </w:pPr>
          </w:p>
        </w:tc>
        <w:tc>
          <w:tcPr>
            <w:tcW w:w="1364" w:type="dxa"/>
            <w:tcBorders>
              <w:bottom w:val="single" w:color="auto" w:sz="4" w:space="0"/>
            </w:tcBorders>
            <w:vAlign w:val="center"/>
          </w:tcPr>
          <w:p>
            <w:pPr>
              <w:pStyle w:val="40"/>
              <w:jc w:val="center"/>
              <w:rPr>
                <w:rFonts w:ascii="宋体" w:hAnsi="宋体" w:cs="宋体"/>
              </w:rPr>
            </w:pPr>
          </w:p>
        </w:tc>
      </w:tr>
    </w:tbl>
    <w:p>
      <w:pPr>
        <w:pStyle w:val="42"/>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42"/>
        <w:spacing w:line="400" w:lineRule="exact"/>
        <w:rPr>
          <w:rFonts w:ascii="宋体" w:hAnsi="宋体" w:cs="宋体"/>
          <w:sz w:val="24"/>
          <w:szCs w:val="21"/>
        </w:rPr>
      </w:pPr>
    </w:p>
    <w:p>
      <w:pPr>
        <w:pStyle w:val="40"/>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40"/>
              <w:ind w:left="113"/>
              <w:jc w:val="center"/>
              <w:rPr>
                <w:rFonts w:ascii="宋体" w:hAnsi="宋体" w:cs="宋体"/>
              </w:rPr>
            </w:pPr>
            <w:r>
              <w:rPr>
                <w:rFonts w:hint="eastAsia" w:ascii="宋体" w:hAnsi="宋体" w:cs="宋体"/>
              </w:rPr>
              <w:t>售后服务体系情况</w:t>
            </w:r>
          </w:p>
        </w:tc>
        <w:tc>
          <w:tcPr>
            <w:tcW w:w="3335" w:type="dxa"/>
            <w:vAlign w:val="center"/>
          </w:tcPr>
          <w:p>
            <w:pPr>
              <w:pStyle w:val="40"/>
              <w:jc w:val="center"/>
              <w:rPr>
                <w:rFonts w:ascii="宋体" w:hAnsi="宋体" w:cs="宋体"/>
              </w:rPr>
            </w:pPr>
            <w:r>
              <w:rPr>
                <w:rFonts w:hint="eastAsia" w:ascii="宋体" w:hAnsi="宋体" w:cs="宋体"/>
              </w:rPr>
              <w:t>售后服务人数：</w:t>
            </w:r>
          </w:p>
        </w:tc>
        <w:tc>
          <w:tcPr>
            <w:tcW w:w="5515" w:type="dxa"/>
            <w:vAlign w:val="center"/>
          </w:tcPr>
          <w:p>
            <w:pPr>
              <w:pStyle w:val="4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40"/>
              <w:ind w:left="113"/>
              <w:jc w:val="center"/>
              <w:rPr>
                <w:rFonts w:ascii="宋体" w:hAnsi="宋体" w:cs="宋体"/>
              </w:rPr>
            </w:pPr>
          </w:p>
        </w:tc>
        <w:tc>
          <w:tcPr>
            <w:tcW w:w="3335" w:type="dxa"/>
            <w:vAlign w:val="center"/>
          </w:tcPr>
          <w:p>
            <w:pPr>
              <w:pStyle w:val="40"/>
              <w:jc w:val="center"/>
              <w:rPr>
                <w:rFonts w:ascii="宋体" w:hAnsi="宋体" w:cs="宋体"/>
              </w:rPr>
            </w:pPr>
            <w:r>
              <w:rPr>
                <w:rFonts w:hint="eastAsia" w:ascii="宋体" w:hAnsi="宋体" w:cs="宋体"/>
              </w:rPr>
              <w:t>职称：</w:t>
            </w:r>
          </w:p>
        </w:tc>
        <w:tc>
          <w:tcPr>
            <w:tcW w:w="5515" w:type="dxa"/>
            <w:vAlign w:val="center"/>
          </w:tcPr>
          <w:p>
            <w:pPr>
              <w:pStyle w:val="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40"/>
              <w:ind w:left="113"/>
              <w:jc w:val="center"/>
              <w:rPr>
                <w:rFonts w:ascii="宋体" w:hAnsi="宋体" w:cs="宋体"/>
              </w:rPr>
            </w:pPr>
          </w:p>
        </w:tc>
        <w:tc>
          <w:tcPr>
            <w:tcW w:w="3335" w:type="dxa"/>
            <w:vAlign w:val="center"/>
          </w:tcPr>
          <w:p>
            <w:pPr>
              <w:pStyle w:val="40"/>
              <w:jc w:val="center"/>
              <w:rPr>
                <w:rFonts w:ascii="宋体" w:hAnsi="宋体" w:cs="宋体"/>
              </w:rPr>
            </w:pPr>
            <w:r>
              <w:rPr>
                <w:rFonts w:hint="eastAsia" w:ascii="宋体" w:hAnsi="宋体" w:cs="宋体"/>
              </w:rPr>
              <w:t>固定场所地址：</w:t>
            </w:r>
          </w:p>
        </w:tc>
        <w:tc>
          <w:tcPr>
            <w:tcW w:w="5515" w:type="dxa"/>
            <w:vAlign w:val="center"/>
          </w:tcPr>
          <w:p>
            <w:pPr>
              <w:pStyle w:val="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40"/>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40"/>
              <w:rPr>
                <w:rFonts w:ascii="宋体" w:hAnsi="宋体" w:cs="宋体"/>
              </w:rPr>
            </w:pPr>
            <w:r>
              <w:rPr>
                <w:rFonts w:hint="eastAsia" w:ascii="宋体" w:hAnsi="宋体" w:cs="宋体"/>
              </w:rPr>
              <w:t>1.</w:t>
            </w:r>
          </w:p>
          <w:p>
            <w:pPr>
              <w:pStyle w:val="40"/>
              <w:rPr>
                <w:rFonts w:ascii="宋体" w:hAnsi="宋体" w:cs="宋体"/>
              </w:rPr>
            </w:pPr>
            <w:r>
              <w:rPr>
                <w:rFonts w:hint="eastAsia" w:ascii="宋体" w:hAnsi="宋体" w:cs="宋体"/>
              </w:rPr>
              <w:t>2.</w:t>
            </w:r>
          </w:p>
          <w:p>
            <w:pPr>
              <w:pStyle w:val="4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40"/>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40"/>
              <w:rPr>
                <w:rFonts w:ascii="宋体" w:hAnsi="宋体" w:cs="宋体"/>
              </w:rPr>
            </w:pPr>
            <w:r>
              <w:rPr>
                <w:rFonts w:hint="eastAsia" w:ascii="宋体" w:hAnsi="宋体" w:cs="宋体"/>
              </w:rPr>
              <w:t>1.</w:t>
            </w:r>
          </w:p>
          <w:p>
            <w:pPr>
              <w:pStyle w:val="40"/>
              <w:rPr>
                <w:rFonts w:ascii="宋体" w:hAnsi="宋体" w:cs="宋体"/>
              </w:rPr>
            </w:pPr>
            <w:r>
              <w:rPr>
                <w:rFonts w:hint="eastAsia" w:ascii="宋体" w:hAnsi="宋体" w:cs="宋体"/>
              </w:rPr>
              <w:t>2.</w:t>
            </w:r>
          </w:p>
          <w:p>
            <w:pPr>
              <w:pStyle w:val="4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40"/>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40"/>
              <w:rPr>
                <w:rFonts w:ascii="宋体" w:hAnsi="宋体" w:cs="宋体"/>
              </w:rPr>
            </w:pPr>
            <w:r>
              <w:rPr>
                <w:rFonts w:hint="eastAsia" w:ascii="宋体" w:hAnsi="宋体" w:cs="宋体"/>
              </w:rPr>
              <w:t>1.</w:t>
            </w:r>
          </w:p>
          <w:p>
            <w:pPr>
              <w:pStyle w:val="40"/>
              <w:rPr>
                <w:rFonts w:ascii="宋体" w:hAnsi="宋体" w:cs="宋体"/>
              </w:rPr>
            </w:pPr>
            <w:r>
              <w:rPr>
                <w:rFonts w:hint="eastAsia" w:ascii="宋体" w:hAnsi="宋体" w:cs="宋体"/>
              </w:rPr>
              <w:t>2.</w:t>
            </w:r>
          </w:p>
          <w:p>
            <w:pPr>
              <w:pStyle w:val="4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40"/>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40"/>
              <w:rPr>
                <w:rFonts w:ascii="宋体" w:hAnsi="宋体" w:cs="宋体"/>
              </w:rPr>
            </w:pPr>
            <w:r>
              <w:rPr>
                <w:rFonts w:hint="eastAsia" w:ascii="宋体" w:hAnsi="宋体" w:cs="宋体"/>
              </w:rPr>
              <w:t>1.</w:t>
            </w:r>
          </w:p>
          <w:p>
            <w:pPr>
              <w:pStyle w:val="40"/>
              <w:rPr>
                <w:rFonts w:ascii="宋体" w:hAnsi="宋体" w:cs="宋体"/>
              </w:rPr>
            </w:pPr>
            <w:r>
              <w:rPr>
                <w:rFonts w:hint="eastAsia" w:ascii="宋体" w:hAnsi="宋体" w:cs="宋体"/>
              </w:rPr>
              <w:t>2.</w:t>
            </w:r>
          </w:p>
          <w:p>
            <w:pPr>
              <w:pStyle w:val="4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40"/>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40"/>
              <w:rPr>
                <w:rFonts w:ascii="宋体" w:hAnsi="宋体" w:cs="宋体"/>
              </w:rPr>
            </w:pPr>
            <w:r>
              <w:rPr>
                <w:rFonts w:hint="eastAsia" w:ascii="宋体" w:hAnsi="宋体" w:cs="宋体"/>
              </w:rPr>
              <w:t>1.</w:t>
            </w:r>
          </w:p>
          <w:p>
            <w:pPr>
              <w:pStyle w:val="40"/>
              <w:rPr>
                <w:rFonts w:ascii="宋体" w:hAnsi="宋体" w:cs="宋体"/>
              </w:rPr>
            </w:pPr>
            <w:r>
              <w:rPr>
                <w:rFonts w:hint="eastAsia" w:ascii="宋体" w:hAnsi="宋体" w:cs="宋体"/>
              </w:rPr>
              <w:t>2.</w:t>
            </w:r>
          </w:p>
          <w:p>
            <w:pPr>
              <w:pStyle w:val="40"/>
              <w:rPr>
                <w:rFonts w:ascii="宋体" w:hAnsi="宋体" w:cs="宋体"/>
              </w:rPr>
            </w:pPr>
            <w:r>
              <w:rPr>
                <w:rFonts w:hint="eastAsia" w:ascii="宋体" w:hAnsi="宋体" w:cs="宋体"/>
              </w:rPr>
              <w:t>3.</w:t>
            </w:r>
          </w:p>
        </w:tc>
      </w:tr>
    </w:tbl>
    <w:p>
      <w:pPr>
        <w:pStyle w:val="40"/>
        <w:spacing w:line="360" w:lineRule="auto"/>
        <w:rPr>
          <w:rFonts w:ascii="宋体" w:hAnsi="宋体" w:cs="宋体"/>
          <w:b/>
          <w:szCs w:val="21"/>
        </w:rPr>
      </w:pPr>
    </w:p>
    <w:p>
      <w:pPr>
        <w:pStyle w:val="40"/>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40"/>
        <w:rPr>
          <w:rFonts w:ascii="宋体" w:hAnsi="宋体" w:cs="宋体"/>
        </w:rPr>
      </w:pPr>
    </w:p>
    <w:p>
      <w:pPr>
        <w:pStyle w:val="40"/>
        <w:rPr>
          <w:rFonts w:ascii="宋体" w:hAnsi="宋体" w:cs="宋体"/>
        </w:rPr>
      </w:pPr>
    </w:p>
    <w:p>
      <w:pPr>
        <w:pStyle w:val="40"/>
        <w:rPr>
          <w:rFonts w:ascii="宋体" w:hAnsi="宋体" w:cs="宋体"/>
        </w:rPr>
      </w:pPr>
      <w:r>
        <w:rPr>
          <w:rFonts w:hint="eastAsia" w:ascii="宋体" w:hAnsi="宋体" w:cs="宋体"/>
        </w:rPr>
        <w:t>致：</w:t>
      </w:r>
    </w:p>
    <w:p>
      <w:pPr>
        <w:pStyle w:val="40"/>
        <w:rPr>
          <w:rFonts w:ascii="宋体" w:hAnsi="宋体" w:cs="宋体"/>
        </w:rPr>
      </w:pPr>
    </w:p>
    <w:p>
      <w:pPr>
        <w:pStyle w:val="40"/>
        <w:spacing w:line="360" w:lineRule="auto"/>
        <w:ind w:firstLine="315" w:firstLineChars="150"/>
        <w:rPr>
          <w:rFonts w:ascii="宋体" w:hAnsi="宋体" w:cs="宋体"/>
        </w:rPr>
      </w:pPr>
      <w:r>
        <w:rPr>
          <w:rFonts w:hint="eastAsia" w:ascii="宋体" w:hAnsi="宋体" w:cs="宋体"/>
        </w:rPr>
        <w:t>我方同意：</w:t>
      </w:r>
    </w:p>
    <w:p>
      <w:pPr>
        <w:pStyle w:val="40"/>
        <w:numPr>
          <w:ilvl w:val="0"/>
          <w:numId w:val="19"/>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40"/>
        <w:numPr>
          <w:ilvl w:val="0"/>
          <w:numId w:val="19"/>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40"/>
        <w:spacing w:line="360" w:lineRule="auto"/>
        <w:ind w:left="360"/>
        <w:rPr>
          <w:rFonts w:ascii="宋体" w:hAnsi="宋体" w:cs="宋体"/>
        </w:rPr>
      </w:pPr>
    </w:p>
    <w:p>
      <w:pPr>
        <w:pStyle w:val="40"/>
        <w:spacing w:line="360" w:lineRule="auto"/>
        <w:ind w:left="360"/>
        <w:rPr>
          <w:rFonts w:ascii="宋体" w:hAnsi="宋体" w:cs="宋体"/>
        </w:rPr>
      </w:pPr>
    </w:p>
    <w:p>
      <w:pPr>
        <w:pStyle w:val="40"/>
        <w:spacing w:line="360" w:lineRule="auto"/>
        <w:ind w:left="360"/>
        <w:rPr>
          <w:rFonts w:ascii="宋体" w:hAnsi="宋体" w:cs="宋体"/>
        </w:rPr>
      </w:pPr>
      <w:r>
        <w:rPr>
          <w:rFonts w:hint="eastAsia" w:ascii="宋体" w:hAnsi="宋体" w:cs="宋体"/>
        </w:rPr>
        <w:t>特此承诺！</w:t>
      </w:r>
    </w:p>
    <w:p>
      <w:pPr>
        <w:pStyle w:val="40"/>
        <w:spacing w:line="360" w:lineRule="auto"/>
        <w:ind w:left="360"/>
        <w:rPr>
          <w:rFonts w:ascii="宋体" w:hAnsi="宋体" w:cs="宋体"/>
        </w:rPr>
      </w:pPr>
    </w:p>
    <w:p>
      <w:pPr>
        <w:pStyle w:val="40"/>
        <w:spacing w:line="360" w:lineRule="auto"/>
        <w:ind w:left="360"/>
        <w:rPr>
          <w:rFonts w:ascii="宋体" w:hAnsi="宋体" w:cs="宋体"/>
        </w:rPr>
      </w:pPr>
    </w:p>
    <w:p>
      <w:pPr>
        <w:pStyle w:val="40"/>
        <w:spacing w:line="360" w:lineRule="auto"/>
        <w:ind w:left="360"/>
        <w:rPr>
          <w:rFonts w:ascii="宋体" w:hAnsi="宋体" w:cs="宋体"/>
        </w:rPr>
      </w:pPr>
    </w:p>
    <w:p>
      <w:pPr>
        <w:pStyle w:val="3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3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34"/>
        <w:spacing w:line="360" w:lineRule="auto"/>
        <w:jc w:val="center"/>
        <w:rPr>
          <w:rFonts w:ascii="宋体" w:hAnsi="宋体" w:cs="宋体"/>
          <w:b/>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5020102010206080802"/>
    <w:charset w:val="02"/>
    <w:family w:val="roma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Yu Gothic UI">
    <w:altName w:val="Meiryo UI"/>
    <w:panose1 w:val="020B0500000000000000"/>
    <w:charset w:val="80"/>
    <w:family w:val="auto"/>
    <w:pitch w:val="default"/>
    <w:sig w:usb0="00000000" w:usb1="00000000" w:usb2="00000016" w:usb3="00000000" w:csb0="2002009F" w:csb1="00000000"/>
  </w:font>
  <w:font w:name="PMingLiU-ExtB">
    <w:panose1 w:val="02020500000000000000"/>
    <w:charset w:val="88"/>
    <w:family w:val="auto"/>
    <w:pitch w:val="default"/>
    <w:sig w:usb0="8000002F" w:usb1="02000008" w:usb2="00000000" w:usb3="00000000" w:csb0="00100001" w:csb1="00000000"/>
  </w:font>
  <w:font w:name="Yu Gothic">
    <w:altName w:val="Meiryo UI"/>
    <w:panose1 w:val="020B0400000000000000"/>
    <w:charset w:val="80"/>
    <w:family w:val="auto"/>
    <w:pitch w:val="default"/>
    <w:sig w:usb0="00000000" w:usb1="00000000" w:usb2="00000016" w:usb3="00000000" w:csb0="2002009F"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180"/>
                            <w:rPr>
                              <w:rStyle w:val="15"/>
                            </w:rPr>
                          </w:pPr>
                          <w:r>
                            <w:fldChar w:fldCharType="begin"/>
                          </w:r>
                          <w:r>
                            <w:rPr>
                              <w:rStyle w:val="15"/>
                            </w:rPr>
                            <w:instrText xml:space="preserve">PAGE  </w:instrText>
                          </w:r>
                          <w:r>
                            <w:fldChar w:fldCharType="separate"/>
                          </w:r>
                          <w:r>
                            <w:rPr>
                              <w:rStyle w:val="15"/>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ind w:firstLine="180"/>
                      <w:rPr>
                        <w:rStyle w:val="15"/>
                      </w:rPr>
                    </w:pPr>
                    <w:r>
                      <w:fldChar w:fldCharType="begin"/>
                    </w:r>
                    <w:r>
                      <w:rPr>
                        <w:rStyle w:val="15"/>
                      </w:rPr>
                      <w:instrText xml:space="preserve">PAGE  </w:instrText>
                    </w:r>
                    <w:r>
                      <w:fldChar w:fldCharType="separate"/>
                    </w:r>
                    <w:r>
                      <w:rPr>
                        <w:rStyle w:val="15"/>
                      </w:rP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3</w:t>
    </w:r>
    <w:r>
      <w:fldChar w:fldCharType="end"/>
    </w:r>
  </w:p>
  <w:p>
    <w:pPr>
      <w:pStyle w:val="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18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180"/>
                            <w:rPr>
                              <w:rStyle w:val="15"/>
                            </w:rPr>
                          </w:pPr>
                          <w:r>
                            <w:fldChar w:fldCharType="begin"/>
                          </w:r>
                          <w:r>
                            <w:rPr>
                              <w:rStyle w:val="15"/>
                            </w:rPr>
                            <w:instrText xml:space="preserve">PAGE  </w:instrText>
                          </w:r>
                          <w:r>
                            <w:fldChar w:fldCharType="separate"/>
                          </w:r>
                          <w:r>
                            <w:rPr>
                              <w:rStyle w:val="15"/>
                            </w:rP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9"/>
                      <w:ind w:firstLine="180"/>
                      <w:rPr>
                        <w:rStyle w:val="15"/>
                      </w:rPr>
                    </w:pPr>
                    <w:r>
                      <w:fldChar w:fldCharType="begin"/>
                    </w:r>
                    <w:r>
                      <w:rPr>
                        <w:rStyle w:val="15"/>
                      </w:rPr>
                      <w:instrText xml:space="preserve">PAGE  </w:instrText>
                    </w:r>
                    <w:r>
                      <w:fldChar w:fldCharType="separate"/>
                    </w:r>
                    <w:r>
                      <w:rPr>
                        <w:rStyle w:val="15"/>
                      </w:rPr>
                      <w:t>- 65 -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5"/>
      </w:rPr>
    </w:pPr>
    <w:r>
      <w:fldChar w:fldCharType="begin"/>
    </w:r>
    <w:r>
      <w:rPr>
        <w:rStyle w:val="15"/>
      </w:rPr>
      <w:instrText xml:space="preserve">PAGE  </w:instrText>
    </w:r>
    <w:r>
      <w:fldChar w:fldCharType="separate"/>
    </w:r>
    <w:r>
      <w:rPr>
        <w:rStyle w:val="15"/>
      </w:rPr>
      <w:t>3</w:t>
    </w:r>
    <w:r>
      <w:fldChar w:fldCharType="end"/>
    </w:r>
  </w:p>
  <w:p>
    <w:pPr>
      <w:pStyle w:val="9"/>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sk/aNMAAAADAQAADwAAAAAA&#10;AAABACAAAAAiAAAAZHJzL2Rvd25yZXYueG1sUEsBAhQAFAAAAAgAh07iQMDXwtzfAQAAtQMAAA4A&#10;AAAAAAAAAQAgAAAAIgEAAGRycy9lMm9Eb2MueG1sUEsFBgAAAAAGAAYAWQEAAHM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D1A966"/>
    <w:multiLevelType w:val="singleLevel"/>
    <w:tmpl w:val="CDD1A966"/>
    <w:lvl w:ilvl="0" w:tentative="0">
      <w:start w:val="2"/>
      <w:numFmt w:val="decimal"/>
      <w:suff w:val="space"/>
      <w:lvlText w:val="%1."/>
      <w:lvlJc w:val="left"/>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5">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6">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7">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8">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9">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9C4BD6E"/>
    <w:multiLevelType w:val="singleLevel"/>
    <w:tmpl w:val="59C4BD6E"/>
    <w:lvl w:ilvl="0" w:tentative="0">
      <w:start w:val="1"/>
      <w:numFmt w:val="decimal"/>
      <w:suff w:val="nothing"/>
      <w:lvlText w:val="（%1）"/>
      <w:lvlJc w:val="left"/>
    </w:lvl>
  </w:abstractNum>
  <w:abstractNum w:abstractNumId="1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3">
    <w:nsid w:val="5EFAD39A"/>
    <w:multiLevelType w:val="singleLevel"/>
    <w:tmpl w:val="5EFAD39A"/>
    <w:lvl w:ilvl="0" w:tentative="0">
      <w:start w:val="2"/>
      <w:numFmt w:val="chineseCounting"/>
      <w:suff w:val="nothing"/>
      <w:lvlText w:val="%1、"/>
      <w:lvlJc w:val="left"/>
      <w:pPr>
        <w:ind w:left="142"/>
      </w:pPr>
    </w:lvl>
  </w:abstractNum>
  <w:abstractNum w:abstractNumId="14">
    <w:nsid w:val="5EFC3BFF"/>
    <w:multiLevelType w:val="singleLevel"/>
    <w:tmpl w:val="5EFC3BFF"/>
    <w:lvl w:ilvl="0" w:tentative="0">
      <w:start w:val="1"/>
      <w:numFmt w:val="chineseCounting"/>
      <w:suff w:val="nothing"/>
      <w:lvlText w:val="%1、"/>
      <w:lvlJc w:val="left"/>
    </w:lvl>
  </w:abstractNum>
  <w:abstractNum w:abstractNumId="15">
    <w:nsid w:val="5F0E69EE"/>
    <w:multiLevelType w:val="singleLevel"/>
    <w:tmpl w:val="5F0E69EE"/>
    <w:lvl w:ilvl="0" w:tentative="0">
      <w:start w:val="1"/>
      <w:numFmt w:val="decimal"/>
      <w:lvlText w:val="%1)"/>
      <w:lvlJc w:val="left"/>
      <w:pPr>
        <w:ind w:left="425" w:hanging="425"/>
      </w:pPr>
      <w:rPr>
        <w:rFonts w:hint="default"/>
      </w:rPr>
    </w:lvl>
  </w:abstractNum>
  <w:abstractNum w:abstractNumId="1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8">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0"/>
  </w:num>
  <w:num w:numId="2">
    <w:abstractNumId w:val="11"/>
  </w:num>
  <w:num w:numId="3">
    <w:abstractNumId w:val="14"/>
  </w:num>
  <w:num w:numId="4">
    <w:abstractNumId w:val="12"/>
  </w:num>
  <w:num w:numId="5">
    <w:abstractNumId w:val="13"/>
  </w:num>
  <w:num w:numId="6">
    <w:abstractNumId w:val="15"/>
  </w:num>
  <w:num w:numId="7">
    <w:abstractNumId w:val="16"/>
  </w:num>
  <w:num w:numId="8">
    <w:abstractNumId w:val="17"/>
  </w:num>
  <w:num w:numId="9">
    <w:abstractNumId w:val="4"/>
  </w:num>
  <w:num w:numId="10">
    <w:abstractNumId w:val="6"/>
  </w:num>
  <w:num w:numId="11">
    <w:abstractNumId w:val="3"/>
  </w:num>
  <w:num w:numId="12">
    <w:abstractNumId w:val="1"/>
  </w:num>
  <w:num w:numId="13">
    <w:abstractNumId w:val="9"/>
  </w:num>
  <w:num w:numId="14">
    <w:abstractNumId w:val="2"/>
  </w:num>
  <w:num w:numId="15">
    <w:abstractNumId w:val="8"/>
  </w:num>
  <w:num w:numId="16">
    <w:abstractNumId w:val="5"/>
  </w:num>
  <w:num w:numId="17">
    <w:abstractNumId w:val="7"/>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F51EA"/>
    <w:rsid w:val="19B02DD1"/>
    <w:rsid w:val="239529FF"/>
    <w:rsid w:val="68FD7FB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iPriority w:val="0"/>
  </w:style>
  <w:style w:type="table" w:default="1" w:styleId="17">
    <w:name w:val="Normal Table"/>
    <w:semiHidden/>
    <w:uiPriority w:val="0"/>
    <w:tblPr>
      <w:tblLayout w:type="fixed"/>
      <w:tblCellMar>
        <w:top w:w="0" w:type="dxa"/>
        <w:left w:w="108" w:type="dxa"/>
        <w:bottom w:w="0" w:type="dxa"/>
        <w:right w:w="108" w:type="dxa"/>
      </w:tblCellMar>
    </w:tblPr>
  </w:style>
  <w:style w:type="paragraph" w:styleId="6">
    <w:name w:val="annotation text"/>
    <w:basedOn w:val="1"/>
    <w:uiPriority w:val="0"/>
    <w:pPr>
      <w:jc w:val="left"/>
    </w:pPr>
    <w:rPr>
      <w:szCs w:val="24"/>
    </w:rPr>
  </w:style>
  <w:style w:type="paragraph" w:styleId="7">
    <w:name w:val="Body Text"/>
    <w:basedOn w:val="1"/>
    <w:uiPriority w:val="0"/>
    <w:pPr>
      <w:spacing w:after="120"/>
    </w:pPr>
    <w:rPr>
      <w:szCs w:val="24"/>
    </w:rPr>
  </w:style>
  <w:style w:type="paragraph" w:styleId="8">
    <w:name w:val="Plain Text"/>
    <w:basedOn w:val="1"/>
    <w:uiPriority w:val="0"/>
    <w:rPr>
      <w:rFonts w:ascii="宋体" w:hAnsi="Courier New" w:cs="Courier New"/>
      <w:szCs w:val="21"/>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Normal (Web)"/>
    <w:basedOn w:val="1"/>
    <w:uiPriority w:val="0"/>
    <w:pPr>
      <w:widowControl/>
      <w:spacing w:before="100" w:beforeAutospacing="1" w:after="100" w:afterAutospacing="1"/>
      <w:jc w:val="left"/>
    </w:pPr>
    <w:rPr>
      <w:kern w:val="0"/>
      <w:sz w:val="24"/>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character" w:styleId="15">
    <w:name w:val="page number"/>
    <w:uiPriority w:val="0"/>
    <w:rPr>
      <w:rFonts w:ascii="Calibri" w:hAnsi="Calibri" w:eastAsia="宋体" w:cs="Times New Roman"/>
      <w:lang w:val="en-US" w:eastAsia="zh-CN" w:bidi="ar-SA"/>
    </w:rPr>
  </w:style>
  <w:style w:type="character" w:styleId="16">
    <w:name w:val="Hyperlink"/>
    <w:uiPriority w:val="0"/>
    <w:rPr>
      <w:rFonts w:ascii="Calibri" w:hAnsi="Calibri" w:eastAsia="宋体" w:cs="Times New Roman"/>
      <w:color w:val="0000FF"/>
      <w:u w:val="single"/>
      <w:lang w:val="en-US" w:eastAsia="zh-CN" w:bidi="ar-SA"/>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标题 1 字符1"/>
    <w:link w:val="3"/>
    <w:qFormat/>
    <w:uiPriority w:val="0"/>
    <w:rPr>
      <w:b/>
      <w:bCs/>
      <w:kern w:val="44"/>
      <w:sz w:val="44"/>
      <w:szCs w:val="44"/>
    </w:rPr>
  </w:style>
  <w:style w:type="paragraph" w:customStyle="1" w:styleId="20">
    <w:name w:val="Table Paragraph"/>
    <w:basedOn w:val="1"/>
    <w:qFormat/>
    <w:uiPriority w:val="1"/>
  </w:style>
  <w:style w:type="paragraph" w:customStyle="1" w:styleId="21">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样式 样式1 + 首行缩进:  2 字符"/>
    <w:basedOn w:val="24"/>
    <w:qFormat/>
    <w:uiPriority w:val="0"/>
    <w:pPr>
      <w:spacing w:line="360" w:lineRule="exact"/>
      <w:ind w:firstLine="420" w:firstLineChars="200"/>
    </w:pPr>
    <w:rPr>
      <w:rFonts w:ascii="Arial" w:hAnsi="Arial"/>
      <w:szCs w:val="20"/>
    </w:rPr>
  </w:style>
  <w:style w:type="paragraph" w:customStyle="1" w:styleId="24">
    <w:name w:val="样式1"/>
    <w:basedOn w:val="1"/>
    <w:qFormat/>
    <w:uiPriority w:val="0"/>
    <w:pPr>
      <w:spacing w:before="120" w:after="120" w:line="300" w:lineRule="auto"/>
    </w:pPr>
    <w:rPr>
      <w:rFonts w:ascii="宋体" w:hAnsi="宋体"/>
      <w:b/>
      <w:sz w:val="24"/>
      <w:szCs w:val="20"/>
    </w:rPr>
  </w:style>
  <w:style w:type="paragraph" w:customStyle="1" w:styleId="25">
    <w:name w:val="样式 正文文本"/>
    <w:basedOn w:val="1"/>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26">
    <w:name w:val="Char Char80"/>
    <w:basedOn w:val="1"/>
    <w:qFormat/>
    <w:uiPriority w:val="0"/>
    <w:pPr>
      <w:adjustRightInd w:val="0"/>
      <w:spacing w:line="360" w:lineRule="auto"/>
    </w:pPr>
    <w:rPr>
      <w:rFonts w:ascii="Times New Roman" w:hAnsi="Times New Roman"/>
      <w:szCs w:val="20"/>
    </w:rPr>
  </w:style>
  <w:style w:type="paragraph" w:customStyle="1" w:styleId="27">
    <w:name w:val="【正文】"/>
    <w:basedOn w:val="1"/>
    <w:qFormat/>
    <w:uiPriority w:val="0"/>
    <w:pPr>
      <w:spacing w:line="324" w:lineRule="auto"/>
      <w:ind w:firstLine="482"/>
    </w:pPr>
    <w:rPr>
      <w:rFonts w:ascii="Times New Roman" w:hAnsi="Times New Roman"/>
      <w:sz w:val="24"/>
      <w:szCs w:val="20"/>
    </w:rPr>
  </w:style>
  <w:style w:type="character" w:customStyle="1" w:styleId="28">
    <w:name w:val="(1) Char Char"/>
    <w:qFormat/>
    <w:uiPriority w:val="0"/>
    <w:rPr>
      <w:rFonts w:ascii="宋体" w:hAnsi="宋体" w:eastAsia="宋体" w:cs="Times New Roman"/>
      <w:sz w:val="24"/>
      <w:lang w:val="en-US" w:eastAsia="zh-CN" w:bidi="ar-SA"/>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30">
    <w:name w:val="CM25"/>
    <w:basedOn w:val="29"/>
    <w:next w:val="29"/>
    <w:qFormat/>
    <w:uiPriority w:val="0"/>
    <w:pPr>
      <w:spacing w:line="440" w:lineRule="atLeast"/>
    </w:pPr>
    <w:rPr>
      <w:rFonts w:ascii="Calibri" w:hAnsi="Calibri"/>
      <w:color w:val="auto"/>
    </w:rPr>
  </w:style>
  <w:style w:type="paragraph" w:customStyle="1" w:styleId="31">
    <w:name w:val="CM44"/>
    <w:basedOn w:val="29"/>
    <w:next w:val="29"/>
    <w:qFormat/>
    <w:uiPriority w:val="0"/>
    <w:pPr>
      <w:spacing w:line="440" w:lineRule="atLeast"/>
    </w:pPr>
    <w:rPr>
      <w:rFonts w:ascii="Calibri" w:hAnsi="Calibri"/>
      <w:color w:val="auto"/>
    </w:rPr>
  </w:style>
  <w:style w:type="paragraph" w:customStyle="1" w:styleId="32">
    <w:name w:val="CM24"/>
    <w:basedOn w:val="29"/>
    <w:next w:val="29"/>
    <w:qFormat/>
    <w:uiPriority w:val="0"/>
    <w:pPr>
      <w:spacing w:line="440" w:lineRule="atLeast"/>
    </w:pPr>
    <w:rPr>
      <w:rFonts w:ascii="Calibri" w:hAnsi="Calibri"/>
      <w:color w:val="auto"/>
    </w:rPr>
  </w:style>
  <w:style w:type="paragraph" w:customStyle="1" w:styleId="33">
    <w:name w:val="CM99"/>
    <w:basedOn w:val="29"/>
    <w:next w:val="29"/>
    <w:qFormat/>
    <w:uiPriority w:val="0"/>
    <w:pPr>
      <w:spacing w:after="443"/>
    </w:pPr>
    <w:rPr>
      <w:rFonts w:ascii="Calibri" w:hAnsi="Calibri"/>
      <w:color w:val="auto"/>
    </w:rPr>
  </w:style>
  <w:style w:type="paragraph" w:customStyle="1" w:styleId="3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纯文本_0"/>
    <w:basedOn w:val="34"/>
    <w:qFormat/>
    <w:uiPriority w:val="0"/>
    <w:rPr>
      <w:rFonts w:ascii="宋体" w:hAnsi="Courier New"/>
      <w:szCs w:val="21"/>
    </w:rPr>
  </w:style>
  <w:style w:type="paragraph" w:customStyle="1" w:styleId="36">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日期_0"/>
    <w:basedOn w:val="40"/>
    <w:next w:val="40"/>
    <w:qFormat/>
    <w:uiPriority w:val="0"/>
    <w:rPr>
      <w:rFonts w:eastAsia="仿宋_GB2312"/>
      <w:sz w:val="28"/>
      <w:szCs w:val="20"/>
    </w:rPr>
  </w:style>
  <w:style w:type="paragraph" w:customStyle="1" w:styleId="42">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2022-04-22T08:03:36Z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