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hint="eastAsia" w:ascii="黑体" w:hAnsi="黑体" w:eastAsia="黑体"/>
          <w:b/>
          <w:sz w:val="52"/>
          <w:szCs w:val="52"/>
          <w:lang w:eastAsia="zh-CN"/>
        </w:rPr>
      </w:pPr>
      <w:r>
        <w:rPr>
          <w:rFonts w:hint="eastAsia" w:ascii="黑体" w:hAnsi="黑体" w:eastAsia="黑体"/>
          <w:b/>
          <w:sz w:val="52"/>
          <w:szCs w:val="52"/>
          <w:lang w:eastAsia="zh-CN"/>
        </w:rPr>
        <w:t>浙航路道路临时性修缮项目</w:t>
      </w:r>
    </w:p>
    <w:p>
      <w:pPr>
        <w:widowControl/>
        <w:autoSpaceDE w:val="0"/>
        <w:autoSpaceDN w:val="0"/>
        <w:jc w:val="center"/>
        <w:textAlignment w:val="bottom"/>
        <w:rPr>
          <w:rFonts w:ascii="黑体" w:hAnsi="黑体" w:eastAsia="黑体"/>
          <w:sz w:val="52"/>
          <w:szCs w:val="52"/>
        </w:rPr>
      </w:pP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二</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八</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pacing w:line="560" w:lineRule="exact"/>
        <w:jc w:val="both"/>
        <w:rPr>
          <w:b/>
        </w:rPr>
        <w:sectPr>
          <w:headerReference r:id="rId3" w:type="default"/>
          <w:footerReference r:id="rId4" w:type="default"/>
          <w:pgSz w:w="11907" w:h="16840"/>
          <w:pgMar w:top="1134" w:right="1134" w:bottom="1134" w:left="1134" w:header="567" w:footer="567" w:gutter="0"/>
          <w:pgNumType w:start="1"/>
          <w:cols w:space="720" w:num="1"/>
        </w:sectPr>
      </w:pPr>
    </w:p>
    <w:p>
      <w:pPr>
        <w:pStyle w:val="2"/>
      </w:pPr>
    </w:p>
    <w:p>
      <w:pPr>
        <w:pStyle w:val="9"/>
      </w:pPr>
    </w:p>
    <w:sdt>
      <w:sdtPr>
        <w:rPr>
          <w:rFonts w:ascii="宋体" w:hAnsi="宋体" w:eastAsia="宋体" w:cstheme="minorBidi"/>
          <w:kern w:val="2"/>
          <w:sz w:val="21"/>
          <w:szCs w:val="22"/>
          <w:lang w:val="en-US" w:eastAsia="zh-CN" w:bidi="ar-SA"/>
        </w:rPr>
        <w:id w:val="147480402"/>
        <w15:color w:val="DBDBDB"/>
      </w:sdtPr>
      <w:sdtEndPr>
        <w:rPr>
          <w:rFonts w:asciiTheme="minorHAnsi" w:hAnsiTheme="minorHAnsi" w:eastAsiaTheme="minorEastAsia" w:cstheme="minorBidi"/>
          <w:bCs/>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sz w:val="36"/>
              <w:szCs w:val="40"/>
            </w:rPr>
          </w:pPr>
          <w:r>
            <w:rPr>
              <w:rFonts w:ascii="宋体" w:hAnsi="宋体" w:eastAsia="宋体"/>
              <w:sz w:val="36"/>
              <w:szCs w:val="40"/>
            </w:rPr>
            <w:t>目录</w:t>
          </w:r>
        </w:p>
        <w:p>
          <w:pPr>
            <w:pStyle w:val="8"/>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_Toc8459 </w:instrText>
          </w:r>
          <w:r>
            <w:rPr>
              <w:rFonts w:hint="eastAsia" w:ascii="宋体" w:hAnsi="宋体" w:eastAsia="宋体" w:cs="宋体"/>
              <w:bCs/>
              <w:sz w:val="36"/>
              <w:szCs w:val="56"/>
            </w:rPr>
            <w:fldChar w:fldCharType="separate"/>
          </w:r>
          <w:r>
            <w:rPr>
              <w:rFonts w:hint="eastAsia"/>
              <w:sz w:val="36"/>
              <w:szCs w:val="44"/>
            </w:rPr>
            <w:t>第一章 招标公告</w:t>
          </w:r>
          <w:r>
            <w:rPr>
              <w:sz w:val="36"/>
              <w:szCs w:val="44"/>
            </w:rPr>
            <w:tab/>
          </w:r>
          <w:r>
            <w:rPr>
              <w:sz w:val="36"/>
              <w:szCs w:val="44"/>
            </w:rPr>
            <w:fldChar w:fldCharType="begin"/>
          </w:r>
          <w:r>
            <w:rPr>
              <w:sz w:val="36"/>
              <w:szCs w:val="44"/>
            </w:rPr>
            <w:instrText xml:space="preserve"> PAGEREF _Toc8459 \h </w:instrText>
          </w:r>
          <w:r>
            <w:rPr>
              <w:sz w:val="36"/>
              <w:szCs w:val="44"/>
            </w:rPr>
            <w:fldChar w:fldCharType="separate"/>
          </w:r>
          <w:r>
            <w:rPr>
              <w:sz w:val="36"/>
              <w:szCs w:val="44"/>
            </w:rPr>
            <w:t>2</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_Toc682 </w:instrText>
          </w:r>
          <w:r>
            <w:rPr>
              <w:rFonts w:hint="eastAsia" w:ascii="宋体" w:hAnsi="宋体" w:eastAsia="宋体" w:cs="宋体"/>
              <w:bCs/>
              <w:sz w:val="36"/>
              <w:szCs w:val="56"/>
            </w:rP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sz w:val="36"/>
              <w:szCs w:val="44"/>
            </w:rPr>
            <w:fldChar w:fldCharType="begin"/>
          </w:r>
          <w:r>
            <w:rPr>
              <w:sz w:val="36"/>
              <w:szCs w:val="44"/>
            </w:rPr>
            <w:instrText xml:space="preserve"> PAGEREF _Toc682 \h </w:instrText>
          </w:r>
          <w:r>
            <w:rPr>
              <w:sz w:val="36"/>
              <w:szCs w:val="44"/>
            </w:rPr>
            <w:fldChar w:fldCharType="separate"/>
          </w:r>
          <w:r>
            <w:rPr>
              <w:sz w:val="36"/>
              <w:szCs w:val="44"/>
            </w:rPr>
            <w:t>4</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_Toc17411 </w:instrText>
          </w:r>
          <w:r>
            <w:rPr>
              <w:rFonts w:hint="eastAsia" w:ascii="宋体" w:hAnsi="宋体" w:eastAsia="宋体" w:cs="宋体"/>
              <w:bCs/>
              <w:sz w:val="36"/>
              <w:szCs w:val="56"/>
            </w:rPr>
            <w:fldChar w:fldCharType="separate"/>
          </w:r>
          <w:r>
            <w:rPr>
              <w:rFonts w:hint="eastAsia"/>
              <w:sz w:val="36"/>
              <w:szCs w:val="44"/>
              <w:lang w:val="en-US" w:eastAsia="zh-CN"/>
            </w:rPr>
            <w:t>第三章</w:t>
          </w:r>
          <w:r>
            <w:rPr>
              <w:sz w:val="36"/>
              <w:szCs w:val="44"/>
            </w:rPr>
            <w:t xml:space="preserve"> </w:t>
          </w:r>
          <w:r>
            <w:rPr>
              <w:rFonts w:hint="eastAsia"/>
              <w:sz w:val="36"/>
              <w:szCs w:val="44"/>
            </w:rPr>
            <w:t>合同条款及格式</w:t>
          </w:r>
          <w:r>
            <w:rPr>
              <w:sz w:val="36"/>
              <w:szCs w:val="44"/>
            </w:rPr>
            <w:tab/>
          </w:r>
          <w:r>
            <w:rPr>
              <w:rFonts w:hint="eastAsia"/>
              <w:sz w:val="36"/>
              <w:szCs w:val="44"/>
              <w:lang w:val="en-US" w:eastAsia="zh-CN"/>
            </w:rPr>
            <w:t>7</w:t>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_Toc27673 </w:instrText>
          </w:r>
          <w:r>
            <w:rPr>
              <w:rFonts w:hint="eastAsia" w:ascii="宋体" w:hAnsi="宋体" w:eastAsia="宋体" w:cs="宋体"/>
              <w:bCs/>
              <w:sz w:val="36"/>
              <w:szCs w:val="56"/>
            </w:rPr>
            <w:fldChar w:fldCharType="separate"/>
          </w:r>
          <w:r>
            <w:rPr>
              <w:rFonts w:hint="eastAsia"/>
              <w:sz w:val="36"/>
              <w:szCs w:val="44"/>
            </w:rPr>
            <w:t>第</w:t>
          </w:r>
          <w:r>
            <w:rPr>
              <w:rFonts w:hint="eastAsia"/>
              <w:sz w:val="36"/>
              <w:szCs w:val="44"/>
              <w:lang w:val="en-US" w:eastAsia="zh-CN"/>
            </w:rPr>
            <w:t>四</w:t>
          </w:r>
          <w:r>
            <w:rPr>
              <w:rFonts w:hint="eastAsia"/>
              <w:sz w:val="36"/>
              <w:szCs w:val="44"/>
            </w:rPr>
            <w:t>章 工程量清单</w:t>
          </w:r>
          <w:r>
            <w:rPr>
              <w:sz w:val="36"/>
              <w:szCs w:val="44"/>
            </w:rPr>
            <w:tab/>
          </w:r>
          <w:r>
            <w:rPr>
              <w:sz w:val="36"/>
              <w:szCs w:val="44"/>
            </w:rPr>
            <w:fldChar w:fldCharType="begin"/>
          </w:r>
          <w:r>
            <w:rPr>
              <w:sz w:val="36"/>
              <w:szCs w:val="44"/>
            </w:rPr>
            <w:instrText xml:space="preserve"> PAGEREF _Toc27673 \h </w:instrText>
          </w:r>
          <w:r>
            <w:rPr>
              <w:sz w:val="36"/>
              <w:szCs w:val="44"/>
            </w:rPr>
            <w:fldChar w:fldCharType="separate"/>
          </w:r>
          <w:r>
            <w:rPr>
              <w:sz w:val="36"/>
              <w:szCs w:val="44"/>
            </w:rPr>
            <w:t>1</w:t>
          </w:r>
          <w:r>
            <w:rPr>
              <w:rFonts w:hint="eastAsia"/>
              <w:sz w:val="36"/>
              <w:szCs w:val="44"/>
              <w:lang w:val="en-US" w:eastAsia="zh-CN"/>
            </w:rPr>
            <w:t>8</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_Toc17683 </w:instrText>
          </w:r>
          <w:r>
            <w:rPr>
              <w:rFonts w:hint="eastAsia" w:ascii="宋体" w:hAnsi="宋体" w:eastAsia="宋体" w:cs="宋体"/>
              <w:bCs/>
              <w:sz w:val="36"/>
              <w:szCs w:val="56"/>
            </w:rPr>
            <w:fldChar w:fldCharType="separate"/>
          </w:r>
          <w:r>
            <w:rPr>
              <w:rFonts w:hint="eastAsia"/>
              <w:sz w:val="36"/>
              <w:szCs w:val="44"/>
              <w:lang w:val="en-US" w:eastAsia="zh-CN"/>
            </w:rPr>
            <w:t>第五章</w:t>
          </w:r>
          <w:r>
            <w:rPr>
              <w:sz w:val="36"/>
              <w:szCs w:val="44"/>
            </w:rPr>
            <w:t xml:space="preserve"> </w:t>
          </w:r>
          <w:r>
            <w:rPr>
              <w:rFonts w:hint="eastAsia"/>
              <w:sz w:val="36"/>
              <w:szCs w:val="44"/>
              <w:lang w:val="en-US" w:eastAsia="zh-CN"/>
            </w:rPr>
            <w:t>技术标准及要求</w:t>
          </w:r>
          <w:r>
            <w:rPr>
              <w:sz w:val="36"/>
              <w:szCs w:val="44"/>
            </w:rPr>
            <w:tab/>
          </w:r>
          <w:r>
            <w:rPr>
              <w:sz w:val="36"/>
              <w:szCs w:val="44"/>
            </w:rPr>
            <w:fldChar w:fldCharType="begin"/>
          </w:r>
          <w:r>
            <w:rPr>
              <w:sz w:val="36"/>
              <w:szCs w:val="44"/>
            </w:rPr>
            <w:instrText xml:space="preserve"> PAGEREF _Toc17683 \h </w:instrText>
          </w:r>
          <w:r>
            <w:rPr>
              <w:sz w:val="36"/>
              <w:szCs w:val="44"/>
            </w:rPr>
            <w:fldChar w:fldCharType="separate"/>
          </w:r>
          <w:r>
            <w:rPr>
              <w:sz w:val="36"/>
              <w:szCs w:val="44"/>
            </w:rPr>
            <w:t>19</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_Toc10055 </w:instrText>
          </w:r>
          <w:r>
            <w:rPr>
              <w:rFonts w:hint="eastAsia" w:ascii="宋体" w:hAnsi="宋体" w:eastAsia="宋体" w:cs="宋体"/>
              <w:bCs/>
              <w:sz w:val="36"/>
              <w:szCs w:val="56"/>
            </w:rPr>
            <w:fldChar w:fldCharType="separate"/>
          </w:r>
          <w:r>
            <w:rPr>
              <w:sz w:val="36"/>
              <w:szCs w:val="52"/>
            </w:rPr>
            <w:t>第</w:t>
          </w:r>
          <w:r>
            <w:rPr>
              <w:rFonts w:hint="eastAsia"/>
              <w:sz w:val="36"/>
              <w:szCs w:val="52"/>
              <w:lang w:val="en-US" w:eastAsia="zh-CN"/>
            </w:rPr>
            <w:t>六</w:t>
          </w:r>
          <w:r>
            <w:rPr>
              <w:sz w:val="36"/>
              <w:szCs w:val="52"/>
            </w:rPr>
            <w:t>章</w:t>
          </w:r>
          <w:r>
            <w:rPr>
              <w:rFonts w:hint="eastAsia"/>
              <w:sz w:val="36"/>
              <w:szCs w:val="52"/>
            </w:rPr>
            <w:t xml:space="preserve"> </w:t>
          </w:r>
          <w:r>
            <w:rPr>
              <w:sz w:val="36"/>
              <w:szCs w:val="52"/>
            </w:rPr>
            <w:t>投标文件格式</w:t>
          </w:r>
          <w:r>
            <w:rPr>
              <w:sz w:val="36"/>
              <w:szCs w:val="44"/>
            </w:rPr>
            <w:tab/>
          </w:r>
          <w:r>
            <w:rPr>
              <w:sz w:val="36"/>
              <w:szCs w:val="44"/>
            </w:rPr>
            <w:fldChar w:fldCharType="begin"/>
          </w:r>
          <w:r>
            <w:rPr>
              <w:sz w:val="36"/>
              <w:szCs w:val="44"/>
            </w:rPr>
            <w:instrText xml:space="preserve"> PAGEREF _Toc10055 \h </w:instrText>
          </w:r>
          <w:r>
            <w:rPr>
              <w:sz w:val="36"/>
              <w:szCs w:val="44"/>
            </w:rPr>
            <w:fldChar w:fldCharType="separate"/>
          </w:r>
          <w:r>
            <w:rPr>
              <w:sz w:val="36"/>
              <w:szCs w:val="44"/>
            </w:rPr>
            <w:t>23</w:t>
          </w:r>
          <w:r>
            <w:rPr>
              <w:sz w:val="36"/>
              <w:szCs w:val="44"/>
            </w:rPr>
            <w:fldChar w:fldCharType="end"/>
          </w:r>
          <w:r>
            <w:rPr>
              <w:rFonts w:hint="eastAsia" w:ascii="宋体" w:hAnsi="宋体" w:eastAsia="宋体" w:cs="宋体"/>
              <w:bCs/>
              <w:sz w:val="36"/>
              <w:szCs w:val="56"/>
            </w:rPr>
            <w:fldChar w:fldCharType="end"/>
          </w:r>
        </w:p>
        <w:p>
          <w:pPr>
            <w:spacing w:line="560" w:lineRule="exact"/>
            <w:jc w:val="both"/>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9"/>
        <w:keepNext w:val="0"/>
        <w:keepLines w:val="0"/>
        <w:pageBreakBefore/>
        <w:widowControl w:val="0"/>
        <w:kinsoku/>
        <w:wordWrap/>
        <w:overflowPunct/>
        <w:topLinePunct w:val="0"/>
        <w:autoSpaceDE/>
        <w:autoSpaceDN/>
        <w:bidi w:val="0"/>
        <w:adjustRightInd/>
        <w:snapToGrid/>
        <w:textAlignment w:val="auto"/>
      </w:pPr>
      <w:bookmarkStart w:id="0" w:name="_Toc8459"/>
      <w:bookmarkStart w:id="1" w:name="_Toc448097401"/>
      <w:r>
        <w:rPr>
          <w:rFonts w:hint="eastAsia"/>
        </w:rPr>
        <w:t>第一章 招标公告</w:t>
      </w:r>
      <w:bookmarkEnd w:id="0"/>
      <w:bookmarkEnd w:id="1"/>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1"/>
        </w:numPr>
        <w:kinsoku/>
        <w:wordWrap/>
        <w:bidi w:val="0"/>
        <w:adjustRightInd w:val="0"/>
        <w:snapToGrid w:val="0"/>
        <w:spacing w:line="360" w:lineRule="exact"/>
        <w:ind w:right="0" w:rightChars="0" w:firstLine="482" w:firstLineChars="200"/>
        <w:rPr>
          <w:rFonts w:hint="eastAsia" w:ascii="宋体" w:hAnsi="宋体" w:eastAsia="宋体" w:cs="宋体"/>
          <w:b/>
          <w:bCs/>
          <w:color w:val="auto"/>
          <w:kern w:val="0"/>
          <w:sz w:val="24"/>
          <w:szCs w:val="24"/>
        </w:rPr>
      </w:pPr>
      <w:r>
        <w:rPr>
          <w:rFonts w:hint="eastAsia" w:ascii="宋体" w:hAnsi="宋体" w:eastAsia="宋体" w:cs="宋体"/>
          <w:b/>
          <w:bCs/>
          <w:kern w:val="0"/>
          <w:sz w:val="24"/>
          <w:szCs w:val="24"/>
        </w:rPr>
        <w:t>项目概况：浙航路路面因货车、工程车辆较多，路面全段存在沉降、开裂等破损情</w:t>
      </w:r>
      <w:r>
        <w:rPr>
          <w:rFonts w:hint="eastAsia" w:ascii="宋体" w:hAnsi="宋体" w:eastAsia="宋体" w:cs="宋体"/>
          <w:b/>
          <w:bCs/>
          <w:color w:val="auto"/>
          <w:kern w:val="0"/>
          <w:sz w:val="24"/>
          <w:szCs w:val="24"/>
        </w:rPr>
        <w:t>况</w:t>
      </w:r>
      <w:r>
        <w:rPr>
          <w:rFonts w:hint="eastAsia" w:ascii="宋体" w:hAnsi="宋体" w:eastAsia="宋体" w:cs="宋体"/>
          <w:b/>
          <w:bCs/>
          <w:color w:val="auto"/>
          <w:kern w:val="0"/>
          <w:sz w:val="24"/>
          <w:szCs w:val="24"/>
          <w:lang w:eastAsia="zh-CN"/>
        </w:rPr>
        <w:t>，仅对破损较为严重的坑洞进行临时性修补，避免路面破损造成的不安全事件发生</w:t>
      </w:r>
      <w:r>
        <w:rPr>
          <w:rFonts w:hint="eastAsia" w:ascii="宋体" w:hAnsi="宋体" w:eastAsia="宋体" w:cs="宋体"/>
          <w:b/>
          <w:bCs/>
          <w:color w:val="auto"/>
          <w:kern w:val="0"/>
          <w:sz w:val="24"/>
          <w:szCs w:val="24"/>
          <w:lang w:val="en-US" w:eastAsia="zh-CN"/>
        </w:rPr>
        <w:t>。</w:t>
      </w:r>
    </w:p>
    <w:p>
      <w:pPr>
        <w:keepNext w:val="0"/>
        <w:keepLines w:val="0"/>
        <w:pageBreakBefore w:val="0"/>
        <w:widowControl/>
        <w:numPr>
          <w:ilvl w:val="0"/>
          <w:numId w:val="0"/>
        </w:numPr>
        <w:kinsoku/>
        <w:wordWrap/>
        <w:bidi w:val="0"/>
        <w:adjustRightInd w:val="0"/>
        <w:snapToGrid w:val="0"/>
        <w:spacing w:line="360" w:lineRule="exact"/>
        <w:ind w:right="0" w:rightChars="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实施</w:t>
      </w:r>
      <w:r>
        <w:rPr>
          <w:rFonts w:hint="eastAsia" w:ascii="宋体" w:hAnsi="宋体" w:eastAsia="宋体" w:cs="宋体"/>
          <w:color w:val="auto"/>
          <w:kern w:val="0"/>
          <w:sz w:val="24"/>
          <w:szCs w:val="24"/>
        </w:rPr>
        <w:t>内容</w:t>
      </w:r>
      <w:r>
        <w:rPr>
          <w:rFonts w:hint="eastAsia" w:ascii="宋体" w:hAnsi="宋体" w:eastAsia="宋体" w:cs="宋体"/>
          <w:color w:val="auto"/>
          <w:kern w:val="0"/>
          <w:sz w:val="24"/>
          <w:szCs w:val="24"/>
          <w:lang w:eastAsia="zh-CN"/>
        </w:rPr>
        <w:t>：详见</w:t>
      </w:r>
      <w:r>
        <w:rPr>
          <w:rFonts w:hint="eastAsia" w:ascii="宋体" w:hAnsi="宋体" w:eastAsia="宋体" w:cs="宋体"/>
          <w:color w:val="auto"/>
          <w:kern w:val="0"/>
          <w:sz w:val="24"/>
          <w:szCs w:val="24"/>
          <w:lang w:val="en-US" w:eastAsia="zh-CN"/>
        </w:rPr>
        <w:t>工程量清单及技术标准及要求</w:t>
      </w:r>
      <w:r>
        <w:rPr>
          <w:rFonts w:hint="eastAsia" w:ascii="宋体" w:hAnsi="宋体" w:eastAsia="宋体" w:cs="宋体"/>
          <w:color w:val="auto"/>
          <w:kern w:val="0"/>
          <w:sz w:val="24"/>
          <w:szCs w:val="24"/>
          <w:lang w:eastAsia="zh-CN"/>
        </w:rPr>
        <w:t>。</w:t>
      </w:r>
    </w:p>
    <w:p>
      <w:pPr>
        <w:keepNext w:val="0"/>
        <w:keepLines w:val="0"/>
        <w:pageBreakBefore w:val="0"/>
        <w:widowControl/>
        <w:kinsoku/>
        <w:wordWrap/>
        <w:bidi w:val="0"/>
        <w:adjustRightInd w:val="0"/>
        <w:snapToGrid w:val="0"/>
        <w:spacing w:line="360" w:lineRule="exact"/>
        <w:ind w:right="0" w:rightChars="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（3）本</w:t>
      </w:r>
      <w:r>
        <w:rPr>
          <w:rFonts w:hint="eastAsia" w:ascii="宋体" w:hAnsi="宋体" w:eastAsia="宋体" w:cs="宋体"/>
          <w:color w:val="auto"/>
          <w:kern w:val="0"/>
          <w:sz w:val="24"/>
          <w:szCs w:val="24"/>
          <w:lang w:eastAsia="zh-CN"/>
        </w:rPr>
        <w:t>项目</w:t>
      </w:r>
      <w:r>
        <w:rPr>
          <w:rFonts w:hint="eastAsia" w:ascii="宋体" w:hAnsi="宋体" w:eastAsia="宋体" w:cs="宋体"/>
          <w:color w:val="auto"/>
          <w:kern w:val="0"/>
          <w:sz w:val="24"/>
          <w:szCs w:val="24"/>
        </w:rPr>
        <w:t>设一个标段，要求</w:t>
      </w:r>
      <w:r>
        <w:rPr>
          <w:rFonts w:hint="eastAsia" w:ascii="宋体" w:hAnsi="宋体" w:eastAsia="宋体" w:cs="宋体"/>
          <w:color w:val="auto"/>
          <w:kern w:val="0"/>
          <w:sz w:val="24"/>
          <w:szCs w:val="24"/>
          <w:lang w:eastAsia="zh-CN"/>
        </w:rPr>
        <w:t>甲方通知进场</w:t>
      </w:r>
      <w:r>
        <w:rPr>
          <w:rFonts w:hint="eastAsia" w:ascii="宋体" w:hAnsi="宋体" w:eastAsia="宋体" w:cs="宋体"/>
          <w:color w:val="auto"/>
          <w:kern w:val="0"/>
          <w:sz w:val="24"/>
          <w:szCs w:val="24"/>
        </w:rPr>
        <w:t>后</w:t>
      </w:r>
      <w:r>
        <w:rPr>
          <w:rFonts w:hint="eastAsia" w:ascii="宋体" w:hAnsi="宋体" w:eastAsia="宋体" w:cs="宋体"/>
          <w:color w:val="auto"/>
          <w:kern w:val="0"/>
          <w:sz w:val="24"/>
          <w:szCs w:val="24"/>
          <w:u w:val="single"/>
          <w:lang w:val="en-US" w:eastAsia="zh-CN"/>
        </w:rPr>
        <w:t>7</w:t>
      </w:r>
      <w:r>
        <w:rPr>
          <w:rFonts w:hint="eastAsia" w:ascii="宋体" w:hAnsi="宋体" w:eastAsia="宋体" w:cs="宋体"/>
          <w:color w:val="auto"/>
          <w:kern w:val="0"/>
          <w:sz w:val="24"/>
          <w:szCs w:val="24"/>
        </w:rPr>
        <w:t>日历天内完工。</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市政公用工程施工总承包三级及以上资质</w:t>
      </w:r>
      <w:r>
        <w:rPr>
          <w:rFonts w:hint="eastAsia" w:ascii="宋体" w:hAnsi="宋体" w:eastAsia="宋体" w:cs="宋体"/>
          <w:b/>
          <w:bCs/>
          <w:kern w:val="0"/>
          <w:sz w:val="24"/>
          <w:szCs w:val="24"/>
        </w:rPr>
        <w:t>；</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2）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（3）项目经理资格要求：具有</w:t>
      </w:r>
      <w:r>
        <w:rPr>
          <w:rFonts w:hint="eastAsia" w:ascii="宋体" w:hAnsi="宋体" w:eastAsia="宋体" w:cs="宋体"/>
          <w:b/>
          <w:bCs/>
          <w:kern w:val="0"/>
          <w:sz w:val="24"/>
          <w:szCs w:val="24"/>
          <w:u w:val="single"/>
        </w:rPr>
        <w:t>市政公用工程</w:t>
      </w:r>
      <w:r>
        <w:rPr>
          <w:rFonts w:hint="eastAsia" w:ascii="宋体" w:hAnsi="宋体" w:eastAsia="宋体" w:cs="宋体"/>
          <w:b/>
          <w:bCs/>
          <w:kern w:val="0"/>
          <w:sz w:val="24"/>
          <w:szCs w:val="24"/>
        </w:rPr>
        <w:t>专业</w:t>
      </w:r>
      <w:r>
        <w:rPr>
          <w:rFonts w:hint="eastAsia" w:ascii="宋体" w:hAnsi="宋体" w:eastAsia="宋体" w:cs="宋体"/>
          <w:b/>
          <w:bCs/>
          <w:kern w:val="0"/>
          <w:sz w:val="24"/>
          <w:szCs w:val="24"/>
          <w:u w:val="single"/>
        </w:rPr>
        <w:t>二</w:t>
      </w:r>
      <w:r>
        <w:rPr>
          <w:rFonts w:hint="eastAsia" w:ascii="宋体" w:hAnsi="宋体" w:eastAsia="宋体" w:cs="宋体"/>
          <w:b/>
          <w:bCs/>
          <w:kern w:val="0"/>
          <w:sz w:val="24"/>
          <w:szCs w:val="24"/>
        </w:rPr>
        <w:t>级及以上注册建造师执业证书。</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bookmarkStart w:id="2" w:name="_Toc448097403"/>
      <w:bookmarkStart w:id="3" w:name="_Toc448097402"/>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四、踏勘现场</w:t>
      </w:r>
    </w:p>
    <w:p>
      <w:pPr>
        <w:keepNext w:val="0"/>
        <w:keepLines w:val="0"/>
        <w:pageBreakBefore w:val="0"/>
        <w:numPr>
          <w:ilvl w:val="0"/>
          <w:numId w:val="0"/>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8</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16</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w:t>
      </w:r>
      <w:r>
        <w:rPr>
          <w:rFonts w:hint="eastAsia" w:ascii="宋体" w:hAnsi="宋体" w:eastAsia="宋体" w:cs="宋体"/>
          <w:kern w:val="0"/>
          <w:sz w:val="24"/>
          <w:szCs w:val="24"/>
          <w:lang w:eastAsia="zh-CN"/>
        </w:rPr>
        <w:t>。踏勘集中地</w:t>
      </w:r>
      <w:r>
        <w:rPr>
          <w:rFonts w:hint="eastAsia" w:ascii="宋体" w:hAnsi="宋体" w:eastAsia="宋体" w:cs="宋体"/>
          <w:color w:val="auto"/>
          <w:kern w:val="0"/>
          <w:sz w:val="24"/>
          <w:szCs w:val="24"/>
          <w:lang w:eastAsia="zh-CN"/>
        </w:rPr>
        <w:t>点为杭州萧山国际机场</w:t>
      </w:r>
      <w:r>
        <w:rPr>
          <w:rFonts w:hint="eastAsia" w:ascii="宋体" w:hAnsi="宋体" w:eastAsia="宋体" w:cs="宋体"/>
          <w:color w:val="auto"/>
          <w:kern w:val="0"/>
          <w:sz w:val="24"/>
          <w:szCs w:val="24"/>
          <w:lang w:val="en-US" w:eastAsia="zh-CN"/>
        </w:rPr>
        <w:t>物业维修中心</w:t>
      </w:r>
      <w:r>
        <w:rPr>
          <w:rFonts w:hint="eastAsia" w:ascii="宋体" w:hAnsi="宋体" w:eastAsia="宋体" w:cs="宋体"/>
          <w:color w:val="auto"/>
          <w:kern w:val="0"/>
          <w:sz w:val="24"/>
          <w:szCs w:val="24"/>
          <w:lang w:eastAsia="zh-CN"/>
        </w:rPr>
        <w:t>，</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numPr>
          <w:ilvl w:val="0"/>
          <w:numId w:val="2"/>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2022年8月19</w:t>
      </w:r>
      <w:bookmarkStart w:id="24" w:name="_GoBack"/>
      <w:bookmarkEnd w:id="24"/>
      <w:r>
        <w:rPr>
          <w:rFonts w:hint="eastAsia" w:ascii="宋体" w:hAnsi="宋体" w:eastAsia="宋体" w:cs="宋体"/>
          <w:b w:val="0"/>
          <w:bCs w:val="0"/>
          <w:color w:val="FF0000"/>
          <w:kern w:val="0"/>
          <w:sz w:val="24"/>
          <w:szCs w:val="24"/>
          <w:lang w:val="en-US" w:eastAsia="zh-CN"/>
        </w:rPr>
        <w:t>日9时30分前</w:t>
      </w:r>
      <w:r>
        <w:rPr>
          <w:rFonts w:hint="eastAsia" w:ascii="宋体" w:hAnsi="宋体" w:eastAsia="宋体" w:cs="宋体"/>
          <w:b w:val="0"/>
          <w:bCs w:val="0"/>
          <w:kern w:val="0"/>
          <w:sz w:val="24"/>
          <w:szCs w:val="24"/>
          <w:lang w:val="en-US" w:eastAsia="zh-CN"/>
        </w:rPr>
        <w:t>，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eastAsia="zh-CN"/>
        </w:rPr>
        <w:t>：</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2022年8月25日9时30分</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浙航路道路临时性修缮项目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2022年8月25日9时30分</w:t>
      </w:r>
      <w:r>
        <w:rPr>
          <w:rFonts w:hint="eastAsia" w:ascii="宋体" w:hAnsi="宋体" w:eastAsia="宋体" w:cs="宋体"/>
          <w:kern w:val="0"/>
          <w:sz w:val="24"/>
          <w:szCs w:val="24"/>
        </w:rPr>
        <w:t>（北京时间）</w:t>
      </w:r>
      <w:r>
        <w:rPr>
          <w:rFonts w:hint="eastAsia" w:ascii="宋体" w:hAnsi="宋体" w:eastAsia="宋体" w:cs="宋体"/>
          <w:color w:val="auto"/>
          <w:kern w:val="0"/>
          <w:sz w:val="24"/>
          <w:szCs w:val="24"/>
        </w:rPr>
        <w:t>前送至杭州萧山国际机场</w:t>
      </w:r>
      <w:r>
        <w:rPr>
          <w:rFonts w:hint="eastAsia" w:ascii="宋体" w:hAnsi="宋体" w:eastAsia="宋体" w:cs="宋体"/>
          <w:color w:val="auto"/>
          <w:kern w:val="0"/>
          <w:sz w:val="24"/>
          <w:szCs w:val="24"/>
          <w:lang w:val="en-US" w:eastAsia="zh-CN"/>
        </w:rPr>
        <w:t>物业维修中心，</w:t>
      </w:r>
      <w:r>
        <w:rPr>
          <w:rFonts w:hint="eastAsia" w:ascii="宋体" w:hAnsi="宋体" w:eastAsia="宋体" w:cs="宋体"/>
          <w:kern w:val="0"/>
          <w:sz w:val="24"/>
          <w:szCs w:val="24"/>
        </w:rPr>
        <w:t>逾期无效；若采用投递方式的，请于</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2022年8月25日9时30分</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北京时间）前投</w:t>
      </w:r>
      <w:r>
        <w:rPr>
          <w:rFonts w:hint="eastAsia" w:ascii="宋体" w:hAnsi="宋体" w:eastAsia="宋体" w:cs="宋体"/>
          <w:color w:val="auto"/>
          <w:kern w:val="0"/>
          <w:sz w:val="24"/>
          <w:szCs w:val="24"/>
        </w:rPr>
        <w:t>递至杭州萧山国际机场</w:t>
      </w:r>
      <w:r>
        <w:rPr>
          <w:rFonts w:hint="eastAsia" w:ascii="宋体" w:hAnsi="宋体" w:eastAsia="宋体" w:cs="宋体"/>
          <w:color w:val="auto"/>
          <w:kern w:val="0"/>
          <w:sz w:val="24"/>
          <w:szCs w:val="24"/>
          <w:lang w:val="en-US" w:eastAsia="zh-CN"/>
        </w:rPr>
        <w:t>物业维修中心</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快</w:t>
      </w:r>
      <w:r>
        <w:rPr>
          <w:rFonts w:hint="eastAsia" w:ascii="宋体" w:hAnsi="宋体" w:eastAsia="宋体" w:cs="宋体"/>
          <w:kern w:val="0"/>
          <w:sz w:val="24"/>
          <w:szCs w:val="24"/>
          <w:lang w:val="en-US" w:eastAsia="zh-CN"/>
        </w:rPr>
        <w:t>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浙航路道路临时性修缮项目投标文件</w:t>
      </w:r>
      <w:r>
        <w:rPr>
          <w:rFonts w:hint="eastAsia" w:ascii="宋体" w:hAnsi="宋体" w:eastAsia="宋体" w:cs="宋体"/>
          <w:b/>
          <w:bCs/>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（5）装订要求为不分册装订，每册采用胶装等方式装订，装订应牢固、不易拆散和换页，不得采用活页装订。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（6）封套上写明：</w:t>
      </w:r>
    </w:p>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招标人的地址：</w:t>
      </w:r>
      <w:r>
        <w:rPr>
          <w:rFonts w:hint="eastAsia" w:asciiTheme="minorEastAsia" w:hAnsiTheme="minorEastAsia" w:eastAsiaTheme="minorEastAsia" w:cstheme="minorEastAsia"/>
          <w:sz w:val="21"/>
          <w:szCs w:val="21"/>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招标人名称：</w:t>
      </w:r>
      <w:r>
        <w:rPr>
          <w:rFonts w:hint="eastAsia" w:asciiTheme="minorEastAsia" w:hAnsiTheme="minorEastAsia" w:eastAsiaTheme="minorEastAsia" w:cstheme="minorEastAsia"/>
          <w:kern w:val="0"/>
          <w:sz w:val="21"/>
          <w:szCs w:val="21"/>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 xml:space="preserve">项目名称： </w:t>
      </w:r>
      <w:r>
        <w:rPr>
          <w:rFonts w:hint="eastAsia" w:asciiTheme="minorEastAsia" w:hAnsiTheme="minorEastAsia" w:cstheme="minorEastAsia"/>
          <w:sz w:val="21"/>
          <w:szCs w:val="21"/>
          <w:u w:val="single"/>
          <w:lang w:val="en-US" w:eastAsia="zh-CN"/>
        </w:rPr>
        <w:t>浙航路道路临时性修缮项目</w:t>
      </w:r>
      <w:r>
        <w:rPr>
          <w:rFonts w:hint="eastAsia" w:asciiTheme="minorEastAsia" w:hAnsiTheme="minorEastAsia" w:eastAsiaTheme="minorEastAsia" w:cstheme="minorEastAsia"/>
          <w:sz w:val="21"/>
          <w:szCs w:val="21"/>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在</w:t>
      </w:r>
      <w:r>
        <w:rPr>
          <w:rFonts w:hint="eastAsia" w:asciiTheme="minorEastAsia" w:hAnsiTheme="minorEastAsia" w:eastAsiaTheme="minorEastAsia" w:cstheme="minorEastAsia"/>
          <w:color w:val="FF0000"/>
          <w:kern w:val="0"/>
          <w:sz w:val="21"/>
          <w:szCs w:val="21"/>
          <w:u w:val="single"/>
          <w:lang w:val="en-US" w:eastAsia="zh-CN"/>
        </w:rPr>
        <w:t>202</w:t>
      </w:r>
      <w:r>
        <w:rPr>
          <w:rFonts w:hint="eastAsia" w:asciiTheme="minorEastAsia" w:hAnsiTheme="minorEastAsia" w:cstheme="minorEastAsia"/>
          <w:color w:val="FF0000"/>
          <w:kern w:val="0"/>
          <w:sz w:val="21"/>
          <w:szCs w:val="21"/>
          <w:u w:val="single"/>
          <w:lang w:val="en-US" w:eastAsia="zh-CN"/>
        </w:rPr>
        <w:t>2</w:t>
      </w:r>
      <w:r>
        <w:rPr>
          <w:rFonts w:hint="eastAsia" w:asciiTheme="minorEastAsia" w:hAnsiTheme="minorEastAsia" w:eastAsiaTheme="minorEastAsia" w:cstheme="minorEastAsia"/>
          <w:color w:val="FF0000"/>
          <w:kern w:val="0"/>
          <w:sz w:val="21"/>
          <w:szCs w:val="21"/>
          <w:u w:val="single"/>
        </w:rPr>
        <w:t xml:space="preserve"> </w:t>
      </w:r>
      <w:r>
        <w:rPr>
          <w:rFonts w:hint="eastAsia" w:asciiTheme="minorEastAsia" w:hAnsiTheme="minorEastAsia" w:eastAsiaTheme="minorEastAsia" w:cstheme="minorEastAsia"/>
          <w:color w:val="FF0000"/>
          <w:kern w:val="0"/>
          <w:sz w:val="21"/>
          <w:szCs w:val="21"/>
        </w:rPr>
        <w:t>年</w:t>
      </w:r>
      <w:r>
        <w:rPr>
          <w:rFonts w:hint="eastAsia" w:asciiTheme="minorEastAsia" w:hAnsiTheme="minorEastAsia" w:cstheme="minorEastAsia"/>
          <w:color w:val="FF0000"/>
          <w:kern w:val="0"/>
          <w:sz w:val="21"/>
          <w:szCs w:val="21"/>
          <w:u w:val="single"/>
          <w:lang w:val="en-US" w:eastAsia="zh-CN"/>
        </w:rPr>
        <w:t>8</w:t>
      </w:r>
      <w:r>
        <w:rPr>
          <w:rFonts w:hint="eastAsia" w:asciiTheme="minorEastAsia" w:hAnsiTheme="minorEastAsia" w:eastAsiaTheme="minorEastAsia" w:cstheme="minorEastAsia"/>
          <w:color w:val="FF0000"/>
          <w:kern w:val="0"/>
          <w:sz w:val="21"/>
          <w:szCs w:val="21"/>
        </w:rPr>
        <w:t>月</w:t>
      </w:r>
      <w:r>
        <w:rPr>
          <w:rFonts w:hint="eastAsia" w:asciiTheme="minorEastAsia" w:hAnsiTheme="minorEastAsia" w:eastAsiaTheme="minorEastAsia" w:cstheme="minorEastAsia"/>
          <w:color w:val="FF0000"/>
          <w:kern w:val="0"/>
          <w:sz w:val="21"/>
          <w:szCs w:val="21"/>
          <w:u w:val="single"/>
        </w:rPr>
        <w:t xml:space="preserve"> </w:t>
      </w:r>
      <w:r>
        <w:rPr>
          <w:rFonts w:hint="eastAsia" w:asciiTheme="minorEastAsia" w:hAnsiTheme="minorEastAsia" w:cstheme="minorEastAsia"/>
          <w:color w:val="FF0000"/>
          <w:kern w:val="0"/>
          <w:sz w:val="21"/>
          <w:szCs w:val="21"/>
          <w:u w:val="single"/>
          <w:lang w:val="en-US" w:eastAsia="zh-CN"/>
        </w:rPr>
        <w:t xml:space="preserve"> 25 </w:t>
      </w:r>
      <w:r>
        <w:rPr>
          <w:rFonts w:hint="eastAsia" w:asciiTheme="minorEastAsia" w:hAnsiTheme="minorEastAsia" w:eastAsiaTheme="minorEastAsia" w:cstheme="minorEastAsia"/>
          <w:color w:val="FF0000"/>
          <w:kern w:val="0"/>
          <w:sz w:val="21"/>
          <w:szCs w:val="21"/>
        </w:rPr>
        <w:t>日</w:t>
      </w:r>
      <w:r>
        <w:rPr>
          <w:rFonts w:hint="eastAsia" w:asciiTheme="minorEastAsia" w:hAnsiTheme="minorEastAsia" w:eastAsiaTheme="minorEastAsia" w:cstheme="minorEastAsia"/>
          <w:color w:val="FF0000"/>
          <w:kern w:val="0"/>
          <w:sz w:val="21"/>
          <w:szCs w:val="21"/>
          <w:u w:val="single"/>
        </w:rPr>
        <w:t xml:space="preserve"> </w:t>
      </w:r>
      <w:r>
        <w:rPr>
          <w:rFonts w:hint="eastAsia" w:asciiTheme="minorEastAsia" w:hAnsiTheme="minorEastAsia" w:cstheme="minorEastAsia"/>
          <w:color w:val="FF0000"/>
          <w:kern w:val="0"/>
          <w:sz w:val="21"/>
          <w:szCs w:val="21"/>
          <w:u w:val="single"/>
          <w:lang w:val="en-US" w:eastAsia="zh-CN"/>
        </w:rPr>
        <w:t xml:space="preserve">9  </w:t>
      </w:r>
      <w:r>
        <w:rPr>
          <w:rFonts w:hint="eastAsia" w:asciiTheme="minorEastAsia" w:hAnsiTheme="minorEastAsia" w:eastAsiaTheme="minorEastAsia" w:cstheme="minorEastAsia"/>
          <w:color w:val="FF0000"/>
          <w:kern w:val="0"/>
          <w:sz w:val="21"/>
          <w:szCs w:val="21"/>
        </w:rPr>
        <w:t>时</w:t>
      </w:r>
      <w:r>
        <w:rPr>
          <w:rFonts w:hint="eastAsia" w:asciiTheme="minorEastAsia" w:hAnsiTheme="minorEastAsia" w:cstheme="minorEastAsia"/>
          <w:color w:val="FF0000"/>
          <w:kern w:val="0"/>
          <w:sz w:val="21"/>
          <w:szCs w:val="21"/>
          <w:u w:val="single"/>
          <w:lang w:val="en-US" w:eastAsia="zh-CN"/>
        </w:rPr>
        <w:t xml:space="preserve">  30 </w:t>
      </w:r>
      <w:r>
        <w:rPr>
          <w:rFonts w:hint="eastAsia" w:asciiTheme="minorEastAsia" w:hAnsiTheme="minorEastAsia" w:eastAsiaTheme="minorEastAsia" w:cstheme="minorEastAsia"/>
          <w:color w:val="FF0000"/>
          <w:kern w:val="0"/>
          <w:sz w:val="21"/>
          <w:szCs w:val="21"/>
        </w:rPr>
        <w:t>分</w:t>
      </w:r>
      <w:r>
        <w:rPr>
          <w:rFonts w:hint="eastAsia" w:asciiTheme="minorEastAsia" w:hAnsiTheme="minorEastAsia" w:eastAsiaTheme="minorEastAsia" w:cstheme="minorEastAsia"/>
          <w:kern w:val="0"/>
          <w:sz w:val="21"/>
          <w:szCs w:val="21"/>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cstheme="minorEastAsia"/>
          <w:b/>
          <w:bCs/>
          <w:kern w:val="0"/>
          <w:sz w:val="21"/>
          <w:szCs w:val="21"/>
          <w:lang w:val="en-US" w:eastAsia="zh-CN"/>
        </w:rPr>
        <w:t>七、</w:t>
      </w:r>
      <w:r>
        <w:rPr>
          <w:rFonts w:hint="eastAsia" w:asciiTheme="minorEastAsia" w:hAnsiTheme="minorEastAsia" w:eastAsiaTheme="minorEastAsia" w:cstheme="minorEastAsia"/>
          <w:b/>
          <w:bCs/>
          <w:kern w:val="0"/>
          <w:sz w:val="21"/>
          <w:szCs w:val="21"/>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 xml:space="preserve">   （1）</w:t>
      </w:r>
      <w:r>
        <w:rPr>
          <w:rFonts w:hint="eastAsia" w:asciiTheme="minorEastAsia" w:hAnsiTheme="minorEastAsia" w:eastAsiaTheme="minorEastAsia" w:cstheme="minorEastAsia"/>
          <w:kern w:val="0"/>
          <w:sz w:val="21"/>
          <w:szCs w:val="21"/>
        </w:rPr>
        <w:t>开标时间同投标截止时间</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开标地点</w:t>
      </w:r>
      <w:r>
        <w:rPr>
          <w:rFonts w:hint="eastAsia" w:asciiTheme="minorEastAsia" w:hAnsiTheme="minorEastAsia" w:eastAsiaTheme="minorEastAsia" w:cstheme="minorEastAsia"/>
          <w:kern w:val="0"/>
          <w:sz w:val="21"/>
          <w:szCs w:val="21"/>
          <w:lang w:val="en-US" w:eastAsia="zh-CN"/>
        </w:rPr>
        <w:t>为</w:t>
      </w:r>
      <w:r>
        <w:rPr>
          <w:rFonts w:hint="eastAsia" w:asciiTheme="minorEastAsia" w:hAnsiTheme="minorEastAsia" w:eastAsiaTheme="minorEastAsia" w:cstheme="minorEastAsia"/>
          <w:b/>
          <w:sz w:val="21"/>
          <w:szCs w:val="21"/>
        </w:rPr>
        <w:t>杭州萧山国际机场翔越路综合服务楼园区招标中心</w:t>
      </w:r>
      <w:r>
        <w:rPr>
          <w:rFonts w:hint="eastAsia" w:asciiTheme="minorEastAsia" w:hAnsiTheme="minorEastAsia" w:eastAsiaTheme="minorEastAsia" w:cstheme="minorEastAsia"/>
          <w:b/>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（2）评标委员会成员招标人自行组建。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firstLine="480" w:firstLineChars="200"/>
        <w:textAlignment w:val="auto"/>
        <w:outlineLvl w:val="9"/>
        <w:rPr>
          <w:rFonts w:hint="eastAsia"/>
          <w:lang w:val="en-US" w:eastAsia="zh-CN"/>
        </w:rPr>
      </w:pPr>
      <w:r>
        <w:rPr>
          <w:rFonts w:hint="eastAsia" w:asciiTheme="minorEastAsia" w:hAnsiTheme="minorEastAsia" w:cstheme="minorEastAsia"/>
          <w:b w:val="0"/>
          <w:bCs w:val="0"/>
          <w:kern w:val="0"/>
          <w:sz w:val="24"/>
          <w:szCs w:val="24"/>
          <w:lang w:val="en-US" w:eastAsia="zh-CN"/>
        </w:rPr>
        <w:t>（3）评标委员会推荐的中标候选人数：1人。</w:t>
      </w:r>
    </w:p>
    <w:p>
      <w:pPr>
        <w:pStyle w:val="9"/>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    （4）本次评标采用综合评估法推荐中标候选人。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0571-86662361</w:t>
      </w:r>
    </w:p>
    <w:p>
      <w:pPr>
        <w:keepNext w:val="0"/>
        <w:keepLines w:val="0"/>
        <w:pageBreakBefore w:val="0"/>
        <w:widowControl/>
        <w:kinsoku/>
        <w:wordWrap/>
        <w:overflowPunct/>
        <w:topLinePunct w:val="0"/>
        <w:autoSpaceDE/>
        <w:autoSpaceDN/>
        <w:bidi w:val="0"/>
        <w:snapToGrid w:val="0"/>
        <w:spacing w:line="32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p>
    <w:p>
      <w:pPr>
        <w:pStyle w:val="9"/>
        <w:jc w:val="center"/>
      </w:pPr>
    </w:p>
    <w:p>
      <w:pPr>
        <w:pStyle w:val="9"/>
        <w:jc w:val="center"/>
      </w:pPr>
    </w:p>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bookmarkEnd w:id="2"/>
    <w:bookmarkEnd w:id="3"/>
    <w:p>
      <w:pPr>
        <w:pStyle w:val="9"/>
        <w:keepNext w:val="0"/>
        <w:keepLines w:val="0"/>
        <w:pageBreakBefore/>
        <w:widowControl w:val="0"/>
        <w:kinsoku/>
        <w:wordWrap/>
        <w:overflowPunct/>
        <w:topLinePunct w:val="0"/>
        <w:autoSpaceDE/>
        <w:autoSpaceDN/>
        <w:bidi w:val="0"/>
        <w:adjustRightInd/>
        <w:snapToGrid/>
        <w:jc w:val="center"/>
        <w:textAlignment w:val="auto"/>
      </w:pPr>
      <w:bookmarkStart w:id="4" w:name="_Toc27752"/>
      <w:bookmarkStart w:id="5" w:name="_Toc448097404"/>
      <w:bookmarkStart w:id="6" w:name="_Toc24237"/>
      <w:r>
        <w:t>第</w:t>
      </w:r>
      <w:r>
        <w:rPr>
          <w:rFonts w:hint="eastAsia"/>
        </w:rPr>
        <w:t>二</w:t>
      </w:r>
      <w:r>
        <w:t xml:space="preserve">章  </w:t>
      </w:r>
      <w:r>
        <w:rPr>
          <w:rFonts w:hint="eastAsia"/>
        </w:rPr>
        <w:t>评标办法</w:t>
      </w:r>
      <w:bookmarkEnd w:id="4"/>
    </w:p>
    <w:p>
      <w:pPr>
        <w:autoSpaceDE w:val="0"/>
        <w:autoSpaceDN w:val="0"/>
        <w:adjustRightInd w:val="0"/>
        <w:spacing w:before="3" w:line="100" w:lineRule="exact"/>
        <w:jc w:val="left"/>
        <w:rPr>
          <w:rFonts w:ascii="微软雅黑" w:hAnsi="Times New Roman" w:cs="微软雅黑"/>
          <w:kern w:val="0"/>
          <w:sz w:val="10"/>
          <w:szCs w:val="10"/>
        </w:rPr>
      </w:pPr>
      <w:bookmarkStart w:id="7" w:name="_Toc31578"/>
    </w:p>
    <w:bookmarkEnd w:id="7"/>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8"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8"/>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三</w:t>
      </w:r>
      <w:r>
        <w:rPr>
          <w:rFonts w:hint="eastAsia" w:ascii="宋体" w:hAnsi="宋体" w:cs="宋体"/>
          <w:sz w:val="22"/>
        </w:rPr>
        <w:t>)投标文件的技术评审；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四</w:t>
      </w:r>
      <w:r>
        <w:rPr>
          <w:rFonts w:hint="eastAsia" w:ascii="宋体" w:hAnsi="宋体" w:cs="宋体"/>
          <w:sz w:val="22"/>
        </w:rPr>
        <w:t>)投标文件的商务评审；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五</w:t>
      </w:r>
      <w:r>
        <w:rPr>
          <w:rFonts w:hint="eastAsia" w:ascii="宋体" w:hAnsi="宋体" w:cs="宋体"/>
          <w:sz w:val="22"/>
        </w:rPr>
        <w:t>)必要时对投标文件中的问题进行询标；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六</w:t>
      </w:r>
      <w:r>
        <w:rPr>
          <w:rFonts w:hint="eastAsia" w:ascii="宋体" w:hAnsi="宋体" w:cs="宋体"/>
          <w:sz w:val="22"/>
        </w:rPr>
        <w:t>)根据评标办法和标准计算综合得分；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七</w:t>
      </w:r>
      <w:r>
        <w:rPr>
          <w:rFonts w:hint="eastAsia" w:ascii="宋体" w:hAnsi="宋体" w:cs="宋体"/>
          <w:sz w:val="22"/>
        </w:rPr>
        <w:t>)对投标人进行排序，推荐中标候选人，完成评标报告。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9" w:name="_Hlk47377053"/>
      <w:r>
        <w:rPr>
          <w:rFonts w:hint="eastAsia" w:ascii="宋体" w:hAnsi="宋体" w:cs="宋体"/>
          <w:sz w:val="22"/>
        </w:rPr>
        <w:t>经评标委员会</w:t>
      </w:r>
      <w:bookmarkStart w:id="10" w:name="_Hlk47446073"/>
      <w:r>
        <w:rPr>
          <w:rFonts w:hint="eastAsia" w:ascii="宋体" w:hAnsi="宋体" w:cs="宋体"/>
          <w:sz w:val="22"/>
        </w:rPr>
        <w:t>评审后，符合性审查不予通过，不再进行下一步评审</w:t>
      </w:r>
      <w:bookmarkEnd w:id="10"/>
      <w:r>
        <w:rPr>
          <w:rFonts w:hint="eastAsia" w:ascii="宋体" w:hAnsi="宋体" w:cs="宋体"/>
          <w:sz w:val="22"/>
        </w:rPr>
        <w:t>。</w:t>
      </w:r>
      <w:bookmarkEnd w:id="9"/>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1"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1"/>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w:t>
      </w:r>
      <w:r>
        <w:rPr>
          <w:rFonts w:hint="eastAsia" w:ascii="宋体" w:hAnsi="宋体" w:cs="宋体"/>
          <w:b/>
          <w:sz w:val="22"/>
          <w:u w:val="single"/>
          <w:lang w:val="en-US" w:eastAsia="zh-CN"/>
        </w:rPr>
        <w:t>40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施工方案与技术措施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施工方案与技术措施内容的完整性、针对性和可行性</w:t>
            </w:r>
            <w:r>
              <w:rPr>
                <w:rFonts w:ascii="宋体" w:hAnsi="宋体"/>
                <w:color w:val="auto"/>
                <w:sz w:val="22"/>
              </w:rPr>
              <w:t>，</w:t>
            </w:r>
            <w:r>
              <w:rPr>
                <w:rFonts w:hint="eastAsia" w:ascii="宋体" w:hAnsi="宋体"/>
                <w:color w:val="auto"/>
                <w:sz w:val="22"/>
                <w:lang w:eastAsia="zh-Hans"/>
              </w:rPr>
              <w:t>特别是针对本项目重点难点部位</w:t>
            </w:r>
            <w:r>
              <w:rPr>
                <w:rFonts w:ascii="宋体" w:hAnsi="宋体"/>
                <w:color w:val="auto"/>
                <w:sz w:val="22"/>
              </w:rPr>
              <w:t>；</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4.2</w:t>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分；良好的</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4.2</w:t>
            </w:r>
            <w:r>
              <w:rPr>
                <w:rFonts w:hint="eastAsia" w:ascii="宋体" w:hAnsi="宋体" w:cs="宋体"/>
                <w:color w:val="auto"/>
                <w:szCs w:val="24"/>
              </w:rPr>
              <w:t>分；一般的得0-</w:t>
            </w:r>
            <w:r>
              <w:rPr>
                <w:rFonts w:hint="eastAsia" w:ascii="宋体" w:hAnsi="宋体" w:cs="宋体"/>
                <w:color w:val="auto"/>
                <w:szCs w:val="24"/>
                <w:lang w:val="en-US" w:eastAsia="zh-CN"/>
              </w:rPr>
              <w:t>2.1</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质量管理体系与措施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施工质量的控制和检验手段是否科学、可靠</w:t>
            </w:r>
            <w:r>
              <w:rPr>
                <w:rFonts w:hint="eastAsia" w:ascii="宋体" w:hAnsi="宋体"/>
                <w:color w:val="auto"/>
                <w:sz w:val="22"/>
                <w:lang w:eastAsia="zh-CN"/>
              </w:rPr>
              <w:t>；</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4.2</w:t>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分；良好的</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4.2</w:t>
            </w:r>
            <w:r>
              <w:rPr>
                <w:rFonts w:hint="eastAsia" w:ascii="宋体" w:hAnsi="宋体" w:cs="宋体"/>
                <w:color w:val="auto"/>
                <w:szCs w:val="24"/>
              </w:rPr>
              <w:t>分；一般的得0-</w:t>
            </w:r>
            <w:r>
              <w:rPr>
                <w:rFonts w:hint="eastAsia" w:ascii="宋体" w:hAnsi="宋体" w:cs="宋体"/>
                <w:color w:val="auto"/>
                <w:szCs w:val="24"/>
                <w:lang w:val="en-US" w:eastAsia="zh-CN"/>
              </w:rPr>
              <w:t>2.1</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安全管理体系与措施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安全、文明施工的保证措施是否科学、到位</w:t>
            </w:r>
            <w:r>
              <w:rPr>
                <w:rFonts w:hint="eastAsia" w:ascii="宋体" w:hAnsi="宋体"/>
                <w:color w:val="auto"/>
                <w:sz w:val="22"/>
                <w:lang w:eastAsia="zh-CN"/>
              </w:rPr>
              <w:t>；</w:t>
            </w:r>
            <w:r>
              <w:rPr>
                <w:rFonts w:hint="eastAsia" w:ascii="宋体" w:hAnsi="宋体"/>
                <w:color w:val="auto"/>
                <w:sz w:val="22"/>
              </w:rPr>
              <w:t>各投标文件横向比较，</w:t>
            </w:r>
            <w:r>
              <w:rPr>
                <w:rFonts w:hint="eastAsia" w:ascii="宋体" w:hAnsi="宋体" w:cs="宋体"/>
                <w:color w:val="auto"/>
                <w:szCs w:val="24"/>
              </w:rPr>
              <w:t>优秀的得2.</w:t>
            </w:r>
            <w:r>
              <w:rPr>
                <w:rFonts w:hint="eastAsia" w:ascii="宋体" w:hAnsi="宋体" w:cs="宋体"/>
                <w:color w:val="auto"/>
                <w:szCs w:val="24"/>
                <w:lang w:val="en-US" w:eastAsia="zh-CN"/>
              </w:rPr>
              <w:t>8</w:t>
            </w:r>
            <w:r>
              <w:rPr>
                <w:rFonts w:hint="eastAsia" w:ascii="宋体" w:hAnsi="宋体" w:cs="宋体"/>
                <w:color w:val="auto"/>
                <w:szCs w:val="24"/>
              </w:rPr>
              <w:t>-</w:t>
            </w:r>
            <w:r>
              <w:rPr>
                <w:rFonts w:hint="eastAsia" w:ascii="宋体" w:hAnsi="宋体" w:cs="宋体"/>
                <w:color w:val="auto"/>
                <w:szCs w:val="24"/>
                <w:lang w:val="en-US" w:eastAsia="zh-CN"/>
              </w:rPr>
              <w:t>4</w:t>
            </w:r>
            <w:r>
              <w:rPr>
                <w:rFonts w:hint="eastAsia" w:ascii="宋体" w:hAnsi="宋体" w:cs="宋体"/>
                <w:color w:val="auto"/>
                <w:szCs w:val="24"/>
              </w:rPr>
              <w:t>分；良好的</w:t>
            </w:r>
            <w:r>
              <w:rPr>
                <w:rFonts w:hint="eastAsia" w:ascii="宋体" w:hAnsi="宋体" w:cs="宋体"/>
                <w:color w:val="auto"/>
                <w:szCs w:val="24"/>
                <w:lang w:val="en-US" w:eastAsia="zh-CN"/>
              </w:rPr>
              <w:t>1.4</w:t>
            </w:r>
            <w:r>
              <w:rPr>
                <w:rFonts w:hint="eastAsia" w:ascii="宋体" w:hAnsi="宋体" w:cs="宋体"/>
                <w:color w:val="auto"/>
                <w:szCs w:val="24"/>
              </w:rPr>
              <w:t>-2</w:t>
            </w:r>
            <w:r>
              <w:rPr>
                <w:rFonts w:hint="eastAsia" w:ascii="宋体" w:hAnsi="宋体" w:cs="宋体"/>
                <w:color w:val="auto"/>
                <w:szCs w:val="24"/>
                <w:lang w:val="en-US" w:eastAsia="zh-CN"/>
              </w:rPr>
              <w:t>.8</w:t>
            </w:r>
            <w:r>
              <w:rPr>
                <w:rFonts w:hint="eastAsia" w:ascii="宋体" w:hAnsi="宋体" w:cs="宋体"/>
                <w:color w:val="auto"/>
                <w:szCs w:val="24"/>
              </w:rPr>
              <w:t>分；一般的得0-</w:t>
            </w:r>
            <w:r>
              <w:rPr>
                <w:rFonts w:hint="eastAsia" w:ascii="宋体" w:hAnsi="宋体" w:cs="宋体"/>
                <w:color w:val="auto"/>
                <w:szCs w:val="24"/>
                <w:lang w:val="en-US" w:eastAsia="zh-CN"/>
              </w:rPr>
              <w:t>1.4</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环境保护管理体系与措施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市政、市容、环保、消防等的保证措施是否科学、到位</w:t>
            </w:r>
            <w:r>
              <w:rPr>
                <w:rFonts w:hint="eastAsia" w:ascii="宋体" w:hAnsi="宋体"/>
                <w:color w:val="auto"/>
                <w:sz w:val="22"/>
                <w:lang w:eastAsia="zh-CN"/>
              </w:rPr>
              <w:t>，</w:t>
            </w:r>
            <w:r>
              <w:rPr>
                <w:rFonts w:hint="eastAsia" w:ascii="宋体" w:hAnsi="宋体"/>
                <w:color w:val="auto"/>
                <w:sz w:val="22"/>
                <w:lang w:val="en-US" w:eastAsia="zh-CN"/>
              </w:rPr>
              <w:t>是否符合机场相关道路清洁标准</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2.8</w:t>
            </w:r>
            <w:r>
              <w:rPr>
                <w:rFonts w:hint="eastAsia" w:ascii="宋体" w:hAnsi="宋体" w:cs="宋体"/>
                <w:color w:val="auto"/>
                <w:szCs w:val="24"/>
              </w:rPr>
              <w:t>-</w:t>
            </w:r>
            <w:r>
              <w:rPr>
                <w:rFonts w:hint="eastAsia" w:ascii="宋体" w:hAnsi="宋体" w:cs="宋体"/>
                <w:color w:val="auto"/>
                <w:szCs w:val="24"/>
                <w:lang w:val="en-US" w:eastAsia="zh-CN"/>
              </w:rPr>
              <w:t>4</w:t>
            </w:r>
            <w:r>
              <w:rPr>
                <w:rFonts w:hint="eastAsia" w:ascii="宋体" w:hAnsi="宋体" w:cs="宋体"/>
                <w:color w:val="auto"/>
                <w:szCs w:val="24"/>
              </w:rPr>
              <w:t>分；良好的</w:t>
            </w:r>
            <w:r>
              <w:rPr>
                <w:rFonts w:hint="eastAsia" w:ascii="宋体" w:hAnsi="宋体" w:cs="宋体"/>
                <w:color w:val="auto"/>
                <w:szCs w:val="24"/>
                <w:lang w:val="en-US" w:eastAsia="zh-CN"/>
              </w:rPr>
              <w:t>1.4</w:t>
            </w:r>
            <w:r>
              <w:rPr>
                <w:rFonts w:hint="eastAsia" w:ascii="宋体" w:hAnsi="宋体" w:cs="宋体"/>
                <w:color w:val="auto"/>
                <w:szCs w:val="24"/>
              </w:rPr>
              <w:t>-2</w:t>
            </w:r>
            <w:r>
              <w:rPr>
                <w:rFonts w:hint="eastAsia" w:ascii="宋体" w:hAnsi="宋体" w:cs="宋体"/>
                <w:color w:val="auto"/>
                <w:szCs w:val="24"/>
                <w:lang w:val="en-US" w:eastAsia="zh-CN"/>
              </w:rPr>
              <w:t>.8</w:t>
            </w:r>
            <w:r>
              <w:rPr>
                <w:rFonts w:hint="eastAsia" w:ascii="宋体" w:hAnsi="宋体" w:cs="宋体"/>
                <w:color w:val="auto"/>
                <w:szCs w:val="24"/>
              </w:rPr>
              <w:t>分；一般的得0-1</w:t>
            </w:r>
            <w:r>
              <w:rPr>
                <w:rFonts w:hint="eastAsia" w:ascii="宋体" w:hAnsi="宋体" w:cs="宋体"/>
                <w:color w:val="auto"/>
                <w:szCs w:val="24"/>
                <w:lang w:val="en-US" w:eastAsia="zh-CN"/>
              </w:rPr>
              <w:t>.4</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工期保证体系及保证措施</w:t>
            </w:r>
          </w:p>
        </w:tc>
        <w:tc>
          <w:tcPr>
            <w:tcW w:w="6586" w:type="dxa"/>
            <w:vAlign w:val="center"/>
          </w:tcPr>
          <w:p>
            <w:pPr>
              <w:snapToGrid w:val="0"/>
              <w:jc w:val="left"/>
              <w:rPr>
                <w:rFonts w:ascii="宋体" w:hAnsi="宋体"/>
                <w:sz w:val="22"/>
              </w:rPr>
            </w:pPr>
            <w:r>
              <w:rPr>
                <w:rFonts w:hint="eastAsia" w:ascii="宋体" w:hAnsi="宋体"/>
                <w:color w:val="auto"/>
                <w:sz w:val="22"/>
              </w:rPr>
              <w:t>工期承诺及施工进度网络计划、关键节点和线路的技术保证措施是否具有针对性和可行性；现场施工不利条件和恶劣天气对施工</w:t>
            </w:r>
            <w:r>
              <w:rPr>
                <w:rFonts w:hint="eastAsia" w:ascii="宋体" w:hAnsi="宋体"/>
                <w:color w:val="auto"/>
                <w:sz w:val="22"/>
                <w:lang w:eastAsia="zh-Hans"/>
              </w:rPr>
              <w:t>工期</w:t>
            </w:r>
            <w:r>
              <w:rPr>
                <w:rFonts w:hint="eastAsia" w:ascii="宋体" w:hAnsi="宋体"/>
                <w:color w:val="auto"/>
                <w:sz w:val="22"/>
              </w:rPr>
              <w:t>带来</w:t>
            </w:r>
            <w:r>
              <w:rPr>
                <w:rFonts w:hint="eastAsia" w:ascii="宋体" w:hAnsi="宋体"/>
                <w:color w:val="auto"/>
                <w:sz w:val="22"/>
                <w:lang w:eastAsia="zh-Hans"/>
              </w:rPr>
              <w:t>的</w:t>
            </w:r>
            <w:r>
              <w:rPr>
                <w:rFonts w:hint="eastAsia" w:ascii="宋体" w:hAnsi="宋体"/>
                <w:color w:val="auto"/>
                <w:sz w:val="22"/>
              </w:rPr>
              <w:t>影响</w:t>
            </w:r>
            <w:r>
              <w:rPr>
                <w:rFonts w:hint="eastAsia" w:ascii="宋体" w:hAnsi="宋体"/>
                <w:color w:val="auto"/>
                <w:sz w:val="22"/>
                <w:lang w:eastAsia="zh-Hans"/>
              </w:rPr>
              <w:t>及</w:t>
            </w:r>
            <w:r>
              <w:rPr>
                <w:rFonts w:hint="eastAsia" w:ascii="宋体" w:hAnsi="宋体"/>
                <w:color w:val="auto"/>
                <w:sz w:val="22"/>
              </w:rPr>
              <w:t>解决办法；</w:t>
            </w:r>
            <w:r>
              <w:rPr>
                <w:rFonts w:hint="eastAsia" w:ascii="宋体" w:hAnsi="宋体"/>
                <w:color w:val="auto"/>
                <w:sz w:val="22"/>
                <w:lang w:val="en-US" w:eastAsia="zh-CN"/>
              </w:rPr>
              <w:t>配合建设方提请施工相关报批手续；</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4.2</w:t>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分；良好的</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4.2</w:t>
            </w:r>
            <w:r>
              <w:rPr>
                <w:rFonts w:hint="eastAsia" w:ascii="宋体" w:hAnsi="宋体" w:cs="宋体"/>
                <w:color w:val="auto"/>
                <w:szCs w:val="24"/>
              </w:rPr>
              <w:t>分；一般的得0-</w:t>
            </w:r>
            <w:r>
              <w:rPr>
                <w:rFonts w:hint="eastAsia" w:ascii="宋体" w:hAnsi="宋体" w:cs="宋体"/>
                <w:color w:val="auto"/>
                <w:szCs w:val="24"/>
                <w:lang w:val="en-US" w:eastAsia="zh-CN"/>
              </w:rPr>
              <w:t>2.1</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资源配置计划</w:t>
            </w:r>
          </w:p>
        </w:tc>
        <w:tc>
          <w:tcPr>
            <w:tcW w:w="6586" w:type="dxa"/>
            <w:vAlign w:val="center"/>
          </w:tcPr>
          <w:p>
            <w:pPr>
              <w:snapToGrid w:val="0"/>
              <w:jc w:val="left"/>
              <w:rPr>
                <w:rFonts w:ascii="宋体" w:hAnsi="宋体"/>
                <w:sz w:val="22"/>
              </w:rPr>
            </w:pPr>
            <w:r>
              <w:rPr>
                <w:rFonts w:hint="eastAsia" w:ascii="宋体" w:hAnsi="宋体"/>
                <w:sz w:val="22"/>
              </w:rPr>
              <w:t>各专业工种的配置和劳动力的投入是否能满足工程的需要；施工机具和检验仪器的投入是否能够满足</w:t>
            </w:r>
            <w:r>
              <w:rPr>
                <w:rFonts w:hint="eastAsia" w:ascii="宋体" w:hAnsi="宋体"/>
                <w:sz w:val="22"/>
                <w:lang w:eastAsia="zh-Hans"/>
              </w:rPr>
              <w:t>本项目需要</w:t>
            </w:r>
            <w:r>
              <w:rPr>
                <w:rFonts w:hint="eastAsia" w:ascii="宋体" w:hAnsi="宋体"/>
                <w:sz w:val="22"/>
              </w:rPr>
              <w:t>；各投标文件横向比较，</w:t>
            </w:r>
            <w:r>
              <w:rPr>
                <w:rFonts w:hint="eastAsia" w:ascii="宋体" w:hAnsi="宋体" w:cs="宋体"/>
                <w:szCs w:val="24"/>
              </w:rPr>
              <w:t>优秀的得</w:t>
            </w:r>
            <w:r>
              <w:rPr>
                <w:rFonts w:hint="eastAsia" w:ascii="宋体" w:hAnsi="宋体" w:cs="宋体"/>
                <w:szCs w:val="24"/>
                <w:lang w:val="en-US" w:eastAsia="zh-CN"/>
              </w:rPr>
              <w:t>4.2</w:t>
            </w:r>
            <w:r>
              <w:rPr>
                <w:rFonts w:hint="eastAsia" w:ascii="宋体" w:hAnsi="宋体" w:cs="宋体"/>
                <w:szCs w:val="24"/>
              </w:rPr>
              <w:t>-</w:t>
            </w:r>
            <w:r>
              <w:rPr>
                <w:rFonts w:hint="eastAsia" w:ascii="宋体" w:hAnsi="宋体" w:cs="宋体"/>
                <w:szCs w:val="24"/>
                <w:lang w:val="en-US" w:eastAsia="zh-CN"/>
              </w:rPr>
              <w:t>6</w:t>
            </w:r>
            <w:r>
              <w:rPr>
                <w:rFonts w:hint="eastAsia" w:ascii="宋体" w:hAnsi="宋体" w:cs="宋体"/>
                <w:szCs w:val="24"/>
              </w:rPr>
              <w:t>分；良好的</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4.2</w:t>
            </w:r>
            <w:r>
              <w:rPr>
                <w:rFonts w:hint="eastAsia" w:ascii="宋体" w:hAnsi="宋体" w:cs="宋体"/>
                <w:szCs w:val="24"/>
              </w:rPr>
              <w:t>分；一般的得0-</w:t>
            </w:r>
            <w:r>
              <w:rPr>
                <w:rFonts w:hint="eastAsia" w:ascii="宋体" w:hAnsi="宋体" w:cs="宋体"/>
                <w:szCs w:val="24"/>
                <w:lang w:val="en-US" w:eastAsia="zh-CN"/>
              </w:rPr>
              <w:t>2.1</w:t>
            </w:r>
            <w:r>
              <w:rPr>
                <w:rFonts w:hint="eastAsia" w:ascii="宋体" w:hAnsi="宋体" w:cs="宋体"/>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left"/>
              <w:rPr>
                <w:rFonts w:ascii="宋体" w:hAnsi="宋体" w:cs="宋体"/>
                <w:szCs w:val="24"/>
              </w:rPr>
            </w:pPr>
            <w:r>
              <w:rPr>
                <w:rFonts w:hint="eastAsia" w:ascii="宋体" w:hAnsi="宋体" w:cs="宋体"/>
                <w:szCs w:val="24"/>
              </w:rPr>
              <w:t>设备材料</w:t>
            </w:r>
          </w:p>
        </w:tc>
        <w:tc>
          <w:tcPr>
            <w:tcW w:w="6586" w:type="dxa"/>
            <w:vAlign w:val="center"/>
          </w:tcPr>
          <w:p>
            <w:pPr>
              <w:adjustRightInd w:val="0"/>
              <w:snapToGrid w:val="0"/>
              <w:jc w:val="left"/>
              <w:rPr>
                <w:rFonts w:ascii="宋体" w:hAnsi="宋体" w:cs="宋体"/>
                <w:szCs w:val="24"/>
              </w:rPr>
            </w:pPr>
            <w:r>
              <w:rPr>
                <w:rFonts w:hint="eastAsia" w:ascii="宋体" w:hAnsi="宋体" w:cs="宋体"/>
                <w:szCs w:val="24"/>
              </w:rPr>
              <w:t>投标人所使用的主要设备材料根据投标人提供的证明文件进行综合打分，优秀的得5.4-8分；良好的2.7-5.3分；一般的得0-2.6分。</w:t>
            </w:r>
          </w:p>
        </w:tc>
        <w:tc>
          <w:tcPr>
            <w:tcW w:w="851" w:type="dxa"/>
            <w:vAlign w:val="center"/>
          </w:tcPr>
          <w:p>
            <w:pPr>
              <w:jc w:val="center"/>
              <w:rPr>
                <w:rFonts w:hint="eastAsia" w:ascii="宋体" w:hAnsi="宋体" w:cs="宋体"/>
                <w:szCs w:val="24"/>
              </w:rPr>
            </w:pPr>
            <w:r>
              <w:rPr>
                <w:rFonts w:hint="eastAsia" w:ascii="宋体" w:hAnsi="宋体" w:cs="宋体"/>
                <w:szCs w:val="24"/>
              </w:rPr>
              <w:t>0-8</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hint="eastAsia" w:ascii="宋体" w:hAnsi="宋体" w:cs="宋体"/>
          <w:b/>
          <w:sz w:val="22"/>
          <w:u w:val="single"/>
        </w:rPr>
        <w:t xml:space="preserve"> </w:t>
      </w:r>
      <w:r>
        <w:rPr>
          <w:rFonts w:hint="eastAsia" w:ascii="宋体" w:hAnsi="宋体" w:cs="宋体"/>
          <w:b/>
          <w:sz w:val="22"/>
          <w:u w:val="single"/>
          <w:lang w:val="en-US" w:eastAsia="zh-CN"/>
        </w:rPr>
        <w:t>60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7</w:t>
      </w:r>
      <w:r>
        <w:rPr>
          <w:rFonts w:hint="eastAsia" w:ascii="宋体" w:hAnsi="宋体" w:cs="宋体"/>
          <w:sz w:val="22"/>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w:t>
      </w:r>
      <w:r>
        <w:rPr>
          <w:rFonts w:hint="eastAsia" w:ascii="宋体" w:hAnsi="宋体" w:cs="宋体"/>
          <w:b/>
          <w:sz w:val="22"/>
          <w:lang w:val="en-US" w:eastAsia="zh-CN"/>
        </w:rPr>
        <w:t>技术</w:t>
      </w:r>
      <w:r>
        <w:rPr>
          <w:rFonts w:hint="eastAsia" w:ascii="宋体" w:hAnsi="宋体" w:cs="宋体"/>
          <w:b/>
          <w:sz w:val="22"/>
        </w:rPr>
        <w:t>分+</w:t>
      </w:r>
      <w:r>
        <w:rPr>
          <w:rFonts w:hint="eastAsia" w:ascii="宋体" w:hAnsi="宋体" w:cs="宋体"/>
          <w:b/>
          <w:sz w:val="22"/>
          <w:lang w:val="en-US" w:eastAsia="zh-CN"/>
        </w:rPr>
        <w:t>商务</w:t>
      </w:r>
      <w:r>
        <w:rPr>
          <w:rFonts w:hint="eastAsia" w:ascii="宋体" w:hAnsi="宋体" w:cs="宋体"/>
          <w:b/>
          <w:sz w:val="22"/>
        </w:rPr>
        <w:t>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(2)当有效投标文件只有一名时，则由评标委员会确定是否推荐为中标候选人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9"/>
        <w:rPr>
          <w:rFonts w:hint="eastAsia"/>
          <w:lang w:val="en-US" w:eastAsia="zh-CN"/>
        </w:rPr>
      </w:pPr>
      <w:r>
        <w:rPr>
          <w:rFonts w:ascii="宋体" w:hAnsi="宋体" w:cs="宋体"/>
          <w:sz w:val="22"/>
        </w:rPr>
        <w:br w:type="page"/>
      </w:r>
    </w:p>
    <w:p>
      <w:pPr>
        <w:pStyle w:val="9"/>
        <w:jc w:val="center"/>
        <w:rPr>
          <w:rFonts w:ascii="宋体" w:hAnsi="宋体" w:cs="宋体"/>
          <w:b/>
          <w:sz w:val="28"/>
          <w:szCs w:val="20"/>
        </w:rPr>
      </w:pPr>
      <w:bookmarkStart w:id="12" w:name="_Toc17411"/>
      <w:r>
        <w:rPr>
          <w:rFonts w:hint="eastAsia"/>
          <w:lang w:val="en-US" w:eastAsia="zh-CN"/>
        </w:rPr>
        <w:t>第三章</w:t>
      </w:r>
      <w:r>
        <w:t xml:space="preserve">  </w:t>
      </w:r>
      <w:r>
        <w:rPr>
          <w:rFonts w:hint="eastAsia"/>
        </w:rPr>
        <w:t>合同条款及格式</w:t>
      </w:r>
      <w:bookmarkEnd w:id="5"/>
      <w:bookmarkEnd w:id="12"/>
      <w:bookmarkStart w:id="13" w:name="_Toc448097405"/>
    </w:p>
    <w:bookmarkEnd w:id="13"/>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lang w:val="en-US" w:eastAsia="zh-CN"/>
        </w:rPr>
      </w:pPr>
      <w:bookmarkStart w:id="14" w:name="_Toc448097407"/>
      <w:r>
        <w:rPr>
          <w:rFonts w:hint="eastAsia" w:asciiTheme="minorEastAsia" w:hAnsiTheme="minorEastAsia" w:cstheme="minorEastAsia"/>
          <w:b/>
          <w:bCs/>
          <w:sz w:val="32"/>
          <w:szCs w:val="32"/>
          <w:lang w:val="en-US" w:eastAsia="zh-CN"/>
        </w:rPr>
        <w:t>浙航路道路临时性修缮项目</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施工合同</w:t>
      </w:r>
    </w:p>
    <w:p>
      <w:pPr>
        <w:keepNext w:val="0"/>
        <w:keepLines w:val="0"/>
        <w:pageBreakBefore w:val="0"/>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028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926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w:t>
      </w:r>
      <w:r>
        <w:rPr>
          <w:rFonts w:hint="eastAsia" w:asciiTheme="minorEastAsia" w:hAnsiTheme="minorEastAsia" w:eastAsiaTheme="minorEastAsia" w:cstheme="minorEastAsia"/>
          <w:sz w:val="24"/>
          <w:szCs w:val="24"/>
          <w:lang w:eastAsia="zh-CN"/>
        </w:rPr>
        <w:t>民法典</w:t>
      </w:r>
      <w:r>
        <w:rPr>
          <w:rFonts w:hint="eastAsia" w:asciiTheme="minorEastAsia" w:hAnsiTheme="minorEastAsia" w:eastAsiaTheme="minorEastAsia" w:cstheme="minorEastAsia"/>
          <w:sz w:val="24"/>
          <w:szCs w:val="24"/>
        </w:rPr>
        <w:t>》和《中华人民共和国建筑法》的规定，结合本工程具体情况，双方达成如下协议。</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1.1工程名称：</w:t>
      </w:r>
      <w:r>
        <w:rPr>
          <w:rFonts w:hint="eastAsia" w:asciiTheme="minorEastAsia" w:hAnsiTheme="minorEastAsia" w:cstheme="minorEastAsia"/>
          <w:sz w:val="24"/>
          <w:szCs w:val="24"/>
          <w:lang w:eastAsia="zh-CN"/>
        </w:rPr>
        <w:t>浙航路道路临时性修缮项目</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1.3承包范围：对浙航路路面破损较为严重的坑洞进行临时性修补</w:t>
      </w:r>
      <w:r>
        <w:rPr>
          <w:rFonts w:hint="eastAsia" w:asciiTheme="minorEastAsia" w:hAnsiTheme="minorEastAsia" w:cstheme="minorEastAsia"/>
          <w:sz w:val="24"/>
          <w:szCs w:val="24"/>
          <w:lang w:eastAsia="zh-CN"/>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1.4承包方式：</w:t>
      </w:r>
      <w:r>
        <w:rPr>
          <w:rFonts w:hint="eastAsia" w:asciiTheme="minorEastAsia" w:hAnsiTheme="minorEastAsia" w:eastAsiaTheme="minorEastAsia" w:cstheme="minorEastAsia"/>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1.5工期：工程具体开工日期以发包人书面指示为准，工期</w:t>
      </w:r>
      <w:r>
        <w:rPr>
          <w:rFonts w:hint="eastAsia" w:asciiTheme="minorEastAsia" w:hAnsiTheme="minorEastAsia" w:cstheme="minorEastAsia"/>
          <w:color w:val="auto"/>
          <w:sz w:val="24"/>
          <w:szCs w:val="24"/>
          <w:u w:val="single"/>
          <w:lang w:val="en-US" w:eastAsia="zh-CN"/>
        </w:rPr>
        <w:t>7</w:t>
      </w:r>
      <w:r>
        <w:rPr>
          <w:rFonts w:hint="eastAsia" w:asciiTheme="minorEastAsia" w:hAnsiTheme="minorEastAsia" w:eastAsiaTheme="minorEastAsia" w:cstheme="minorEastAsia"/>
          <w:color w:val="auto"/>
          <w:sz w:val="24"/>
          <w:szCs w:val="24"/>
        </w:rPr>
        <w:t>日历天。</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1.6工程质量：</w:t>
      </w:r>
      <w:r>
        <w:rPr>
          <w:rFonts w:hint="eastAsia" w:asciiTheme="minorEastAsia" w:hAnsiTheme="minorEastAsia" w:eastAsiaTheme="minorEastAsia" w:cstheme="minorEastAsia"/>
          <w:kern w:val="0"/>
          <w:sz w:val="24"/>
          <w:szCs w:val="24"/>
          <w:u w:val="single"/>
        </w:rPr>
        <w:t>工程达到符合国家施工验收规范规定的合格标准，确保一次性验收合格。</w:t>
      </w:r>
    </w:p>
    <w:p>
      <w:pPr>
        <w:pStyle w:val="13"/>
        <w:snapToGrid w:val="0"/>
        <w:spacing w:beforeLines="0" w:afterLines="0" w:line="560" w:lineRule="exact"/>
        <w:ind w:firstLine="594"/>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1.7本合同为总价合同，合同总价为：人民币（大写）：    ；（小写）：    。</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2.1开工前</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rPr>
        <w:t>天，向乙方提供经确认的设计方案图纸或做法说明</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2.2甲方组织</w:t>
      </w:r>
      <w:r>
        <w:rPr>
          <w:rFonts w:hint="eastAsia" w:asciiTheme="minorEastAsia" w:hAnsiTheme="minorEastAsia" w:eastAsiaTheme="minorEastAsia" w:cstheme="minorEastAsia"/>
          <w:sz w:val="24"/>
          <w:szCs w:val="24"/>
          <w:lang w:eastAsia="zh-CN"/>
        </w:rPr>
        <w:t>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eastAsia="zh-CN"/>
        </w:rPr>
        <w:t>涉及</w:t>
      </w:r>
      <w:r>
        <w:rPr>
          <w:rFonts w:hint="eastAsia" w:asciiTheme="minorEastAsia" w:hAnsiTheme="minorEastAsia" w:eastAsiaTheme="minorEastAsia" w:cstheme="minorEastAsia"/>
          <w:sz w:val="24"/>
          <w:szCs w:val="24"/>
        </w:rPr>
        <w:t>机场隔离区</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工程项目实施前，由甲方组织对乙方项目实施人员进行相关安全培训教育，并</w:t>
      </w:r>
      <w:r>
        <w:rPr>
          <w:rFonts w:hint="eastAsia" w:asciiTheme="minorEastAsia" w:hAnsiTheme="minorEastAsia" w:eastAsiaTheme="minorEastAsia" w:cstheme="minorEastAsia"/>
          <w:sz w:val="24"/>
          <w:szCs w:val="24"/>
          <w:lang w:eastAsia="zh-CN"/>
        </w:rPr>
        <w:t>与乙方</w:t>
      </w:r>
      <w:r>
        <w:rPr>
          <w:rFonts w:hint="eastAsia" w:asciiTheme="minorEastAsia" w:hAnsiTheme="minorEastAsia" w:eastAsiaTheme="minorEastAsia" w:cstheme="minorEastAsia"/>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2.5甲方指派</w:t>
      </w:r>
      <w:r>
        <w:rPr>
          <w:rFonts w:hint="eastAsia" w:asciiTheme="minorEastAsia" w:hAnsiTheme="minorEastAsia" w:cstheme="minorEastAsia"/>
          <w:color w:val="auto"/>
          <w:sz w:val="24"/>
          <w:szCs w:val="24"/>
          <w:u w:val="single"/>
          <w:lang w:val="en-US" w:eastAsia="zh-CN"/>
        </w:rPr>
        <w:t>沈可唯</w:t>
      </w:r>
      <w:r>
        <w:rPr>
          <w:rFonts w:hint="eastAsia" w:asciiTheme="minorEastAsia" w:hAnsiTheme="minorEastAsia" w:eastAsiaTheme="minorEastAsia" w:cstheme="minorEastAsia"/>
          <w:color w:val="auto"/>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2.6甲方委托</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监理公司进行工程监理，监理公司任命</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为总监理工程师，其职责在监理合同中应明确，并将合同副本交乙方</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项目所涉及项目工程造价的移交送审工作，由监理单位或甲方代表协助建设单位预决算员办理。</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乙方收到设计方案图纸或做法说明后</w:t>
      </w:r>
      <w:r>
        <w:rPr>
          <w:rFonts w:hint="eastAsia" w:asciiTheme="minorEastAsia" w:hAnsiTheme="minorEastAsia" w:eastAsiaTheme="minorEastAsia" w:cstheme="minorEastAsia"/>
          <w:sz w:val="24"/>
          <w:szCs w:val="24"/>
          <w:lang w:eastAsia="zh-CN"/>
        </w:rPr>
        <w:t>应</w:t>
      </w:r>
      <w:r>
        <w:rPr>
          <w:rFonts w:hint="eastAsia" w:asciiTheme="minorEastAsia" w:hAnsiTheme="minorEastAsia" w:eastAsiaTheme="minorEastAsia" w:cstheme="minorEastAsia"/>
          <w:sz w:val="24"/>
          <w:szCs w:val="24"/>
        </w:rPr>
        <w:t>及时进行现场踏勘，并结合现场实际情况进行复核完善，</w:t>
      </w:r>
      <w:r>
        <w:rPr>
          <w:rFonts w:hint="eastAsia" w:asciiTheme="minorEastAsia" w:hAnsiTheme="minorEastAsia" w:eastAsiaTheme="minorEastAsia" w:cstheme="minorEastAsia"/>
          <w:sz w:val="24"/>
          <w:szCs w:val="24"/>
          <w:lang w:eastAsia="zh-CN"/>
        </w:rPr>
        <w:t>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3.2乙方指派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身份证号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4.4因涉及甲方要求的设计或工程量变更或非乙方原因造成的停电、停水、停气及不可抗力因素影响，导致停工</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5.1本工程以施工图纸、</w:t>
      </w:r>
      <w:r>
        <w:rPr>
          <w:rFonts w:hint="eastAsia" w:asciiTheme="minorEastAsia" w:hAnsiTheme="minorEastAsia" w:cstheme="minorEastAsia"/>
          <w:sz w:val="24"/>
          <w:szCs w:val="24"/>
          <w:lang w:val="en-US" w:eastAsia="zh-CN"/>
        </w:rPr>
        <w:t>做法</w:t>
      </w:r>
      <w:r>
        <w:rPr>
          <w:rFonts w:hint="eastAsia" w:asciiTheme="minorEastAsia" w:hAnsiTheme="minorEastAsia" w:eastAsiaTheme="minorEastAsia" w:cstheme="minorEastAsia"/>
          <w:sz w:val="24"/>
          <w:szCs w:val="24"/>
          <w:lang w:val="en-US" w:eastAsia="zh-CN"/>
        </w:rPr>
        <w:t>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5.5工程竣工后，乙方应通知甲方验收，甲方自接到验收通知</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5"/>
        </w:numPr>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6.1双方商定本合同价款采用第</w:t>
      </w:r>
      <w:r>
        <w:rPr>
          <w:rFonts w:hint="eastAsia" w:asciiTheme="minorEastAsia" w:hAnsiTheme="minorEastAsia" w:cstheme="minorEastAsia"/>
          <w:sz w:val="24"/>
          <w:szCs w:val="24"/>
          <w:u w:val="single"/>
          <w:lang w:val="en-US" w:eastAsia="zh-CN"/>
        </w:rPr>
        <w:t>1</w:t>
      </w:r>
      <w:r>
        <w:rPr>
          <w:rFonts w:hint="eastAsia" w:asciiTheme="minorEastAsia" w:hAnsiTheme="minorEastAsia" w:eastAsiaTheme="minorEastAsia" w:cstheme="minorEastAsia"/>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（2）固定单价。</w:t>
      </w:r>
      <w:r>
        <w:rPr>
          <w:rFonts w:hint="eastAsia" w:asciiTheme="minorEastAsia" w:hAnsiTheme="minorEastAsia" w:eastAsiaTheme="minorEastAsia" w:cstheme="minorEastAsia"/>
          <w:sz w:val="24"/>
          <w:szCs w:val="24"/>
          <w:lang w:eastAsia="zh-CN"/>
        </w:rPr>
        <w:t>可调价格按</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6.2工程竣工验收后，乙方提出工程结算申请并将有关资料送交甲方。甲方按照以下方式办理款项支付：</w:t>
      </w:r>
      <w:bookmarkStart w:id="15" w:name="_Hlk47444557"/>
    </w:p>
    <w:bookmarkEnd w:id="15"/>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工程竣工验收通过</w:t>
      </w:r>
      <w:r>
        <w:rPr>
          <w:rFonts w:hint="eastAsia" w:asciiTheme="minorEastAsia" w:hAnsiTheme="minorEastAsia" w:cstheme="minorEastAsia"/>
          <w:sz w:val="24"/>
          <w:szCs w:val="24"/>
          <w:lang w:val="en-US" w:eastAsia="zh-CN"/>
        </w:rPr>
        <w:t>并</w:t>
      </w:r>
      <w:r>
        <w:rPr>
          <w:rFonts w:hint="eastAsia" w:asciiTheme="minorEastAsia" w:hAnsiTheme="minorEastAsia" w:eastAsiaTheme="minorEastAsia" w:cstheme="minorEastAsia"/>
          <w:sz w:val="24"/>
          <w:szCs w:val="24"/>
        </w:rPr>
        <w:t>完成工程结算，经发包人认可后30天内，发包人向承包人支付至结算价的95%；结算价的5%留作质量保证金，待缺陷责任期满后无利息支付。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甲方提出工程变更和签证的费用，由乙方在施工前提出并补充编制工料单价预算书。变更估价时，工程量清单中有的项目单价；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七</w:t>
      </w:r>
      <w:r>
        <w:rPr>
          <w:rFonts w:hint="eastAsia" w:asciiTheme="minorEastAsia" w:hAnsiTheme="minorEastAsia" w:eastAsiaTheme="minorEastAsia" w:cstheme="minorEastAsia"/>
          <w:sz w:val="24"/>
          <w:szCs w:val="24"/>
        </w:rPr>
        <w:t>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八</w:t>
      </w:r>
      <w:r>
        <w:rPr>
          <w:rFonts w:hint="eastAsia" w:asciiTheme="minorEastAsia" w:hAnsiTheme="minorEastAsia" w:eastAsiaTheme="minorEastAsia" w:cstheme="minorEastAsia"/>
          <w:sz w:val="24"/>
          <w:szCs w:val="24"/>
        </w:rPr>
        <w:t>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九</w:t>
      </w:r>
      <w:r>
        <w:rPr>
          <w:rFonts w:hint="eastAsia" w:asciiTheme="minorEastAsia" w:hAnsiTheme="minorEastAsia" w:eastAsiaTheme="minorEastAsia" w:cstheme="minorEastAsia"/>
          <w:sz w:val="24"/>
          <w:szCs w:val="24"/>
        </w:rPr>
        <w:t>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9.1由于乙方原因，逾期竣工，每逾期一天，乙方支付甲方</w:t>
      </w:r>
      <w:r>
        <w:rPr>
          <w:rFonts w:hint="eastAsia" w:asciiTheme="minorEastAsia" w:hAnsiTheme="minorEastAsia" w:eastAsiaTheme="minorEastAsia" w:cstheme="minorEastAsia"/>
          <w:sz w:val="24"/>
          <w:szCs w:val="24"/>
          <w:lang w:eastAsia="zh-CN"/>
        </w:rPr>
        <w:t>壹万</w:t>
      </w:r>
      <w:r>
        <w:rPr>
          <w:rFonts w:hint="eastAsia" w:asciiTheme="minorEastAsia" w:hAnsiTheme="minorEastAsia" w:eastAsiaTheme="minorEastAsia" w:cstheme="minorEastAsia"/>
          <w:sz w:val="24"/>
          <w:szCs w:val="24"/>
        </w:rPr>
        <w:t>元违约金</w:t>
      </w:r>
      <w:r>
        <w:rPr>
          <w:rFonts w:hint="eastAsia" w:asciiTheme="minorEastAsia" w:hAnsiTheme="minorEastAsia" w:eastAsiaTheme="minorEastAsia" w:cstheme="minorEastAsia"/>
          <w:sz w:val="24"/>
          <w:szCs w:val="24"/>
          <w:lang w:eastAsia="zh-CN"/>
        </w:rPr>
        <w:t>；甲方有权终止合同，并保留对乙方追溯赔偿其他一切损失的权利</w:t>
      </w:r>
      <w:r>
        <w:rPr>
          <w:rFonts w:hint="eastAsia" w:asciiTheme="minorEastAsia" w:hAnsiTheme="minorEastAsia" w:eastAsiaTheme="minorEastAsia" w:cstheme="minorEastAsia"/>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11.2本合同一共</w:t>
      </w:r>
      <w:r>
        <w:rPr>
          <w:rFonts w:hint="eastAsia" w:asciiTheme="minorEastAsia" w:hAnsiTheme="minorEastAsia" w:cstheme="minorEastAsia"/>
          <w:sz w:val="24"/>
          <w:szCs w:val="24"/>
          <w:lang w:val="en-US" w:eastAsia="zh-CN"/>
        </w:rPr>
        <w:t>陆</w:t>
      </w:r>
      <w:r>
        <w:rPr>
          <w:rFonts w:hint="eastAsia" w:asciiTheme="minorEastAsia" w:hAnsiTheme="minorEastAsia" w:eastAsiaTheme="minorEastAsia" w:cstheme="minorEastAsia"/>
          <w:sz w:val="24"/>
          <w:szCs w:val="24"/>
        </w:rPr>
        <w:t>份，甲乙双方各执</w:t>
      </w:r>
      <w:r>
        <w:rPr>
          <w:rFonts w:hint="eastAsia" w:asciiTheme="minorEastAsia" w:hAnsiTheme="minorEastAsia" w:cstheme="minorEastAsia"/>
          <w:sz w:val="24"/>
          <w:szCs w:val="24"/>
          <w:lang w:val="en-US" w:eastAsia="zh-CN"/>
        </w:rPr>
        <w:t>叁</w:t>
      </w:r>
      <w:r>
        <w:rPr>
          <w:rFonts w:hint="eastAsia" w:asciiTheme="minorEastAsia" w:hAnsiTheme="minorEastAsia" w:eastAsiaTheme="minorEastAsia" w:cstheme="minorEastAsia"/>
          <w:sz w:val="24"/>
          <w:szCs w:val="24"/>
        </w:rPr>
        <w:t>份，具有同等法律效力。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（1）工程质量保修书</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（2）安全文明施工协议书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（3）疫情防控责任书</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年  月  日                      年  月  </w:t>
      </w:r>
      <w:r>
        <w:rPr>
          <w:rFonts w:hint="eastAsia" w:asciiTheme="minorEastAsia" w:hAnsiTheme="minorEastAsia" w:cstheme="minorEastAsia"/>
          <w:sz w:val="24"/>
          <w:szCs w:val="24"/>
          <w:lang w:val="en-US" w:eastAsia="zh-CN"/>
        </w:rPr>
        <w:t>日</w:t>
      </w:r>
    </w:p>
    <w:p>
      <w:pPr>
        <w:keepNext w:val="0"/>
        <w:keepLines w:val="0"/>
        <w:pageBreakBefore/>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承包人（全称）：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发包人和承包人根据《中华人民共和国建筑法》和《建设工程质量管理条例》，经协商一致就</w:t>
      </w:r>
      <w:r>
        <w:rPr>
          <w:rFonts w:hint="eastAsia" w:asciiTheme="minorEastAsia" w:hAnsiTheme="minorEastAsia" w:cstheme="minorEastAsia"/>
          <w:sz w:val="24"/>
          <w:szCs w:val="24"/>
          <w:u w:val="single"/>
          <w:lang w:eastAsia="zh-CN"/>
        </w:rPr>
        <w:t>浙航路道路临时性修缮项目</w:t>
      </w:r>
      <w:r>
        <w:rPr>
          <w:rFonts w:hint="eastAsia" w:asciiTheme="minorEastAsia" w:hAnsiTheme="minorEastAsia" w:eastAsiaTheme="minorEastAsia" w:cstheme="minorEastAsia"/>
          <w:sz w:val="24"/>
          <w:szCs w:val="24"/>
        </w:rPr>
        <w:t>（工程全称）签订工程质量保修书。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一、工程质量保修范围和内容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本次工程所涉及的所有内容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二、质量保修期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1．桥梁工程为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2．道路工程为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3．地基处理工程为2年；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4．排水（雨水）工程为2年；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5．绿化工程为2年；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6．其他附属工程为 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7.其他项目保修期限约定如下：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质量保修期自工程竣工验收合格之日起计算。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三、缺陷责任期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工程缺陷责任期为</w:t>
      </w:r>
      <w:r>
        <w:rPr>
          <w:rFonts w:hint="eastAsia" w:asciiTheme="minorEastAsia" w:hAnsiTheme="minorEastAsia" w:cstheme="minorEastAsia"/>
          <w:sz w:val="24"/>
          <w:szCs w:val="24"/>
          <w:u w:val="single"/>
          <w:lang w:val="en-US" w:eastAsia="zh-CN"/>
        </w:rPr>
        <w:t>12</w:t>
      </w:r>
      <w:r>
        <w:rPr>
          <w:rFonts w:hint="eastAsia" w:asciiTheme="minorEastAsia" w:hAnsiTheme="minorEastAsia" w:eastAsiaTheme="minorEastAsia" w:cstheme="minorEastAsia"/>
          <w:sz w:val="24"/>
          <w:szCs w:val="24"/>
        </w:rPr>
        <w:t>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缺陷责任期届满后，缺陷责任期届满后，经发包人确认核实，承包人不存在违约情形以及质量保修不存在问题后</w:t>
      </w:r>
      <w:r>
        <w:rPr>
          <w:rFonts w:hint="eastAsia" w:asciiTheme="minorEastAsia" w:hAnsiTheme="minorEastAsia" w:eastAsiaTheme="minorEastAsia" w:cstheme="minorEastAsia"/>
          <w:sz w:val="24"/>
          <w:szCs w:val="24"/>
          <w:u w:val="single"/>
        </w:rPr>
        <w:t>15</w:t>
      </w:r>
      <w:r>
        <w:rPr>
          <w:rFonts w:hint="eastAsia" w:asciiTheme="minorEastAsia" w:hAnsiTheme="minorEastAsia" w:eastAsiaTheme="minorEastAsia" w:cstheme="minorEastAsia"/>
          <w:sz w:val="24"/>
          <w:szCs w:val="24"/>
        </w:rPr>
        <w:t>天内无息返还质保金。</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五、保修费用</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发包人(公章)：                     承包人(公章)：    </w:t>
      </w:r>
    </w:p>
    <w:p>
      <w:pPr>
        <w:pStyle w:val="13"/>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pStyle w:val="13"/>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安全文明施工协议书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发包人（</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承包人（</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w:t>
      </w:r>
      <w:r>
        <w:rPr>
          <w:rFonts w:hint="eastAsia" w:asciiTheme="minorEastAsia" w:hAnsiTheme="minorEastAsia" w:cstheme="minorEastAsia"/>
          <w:b/>
          <w:sz w:val="24"/>
          <w:szCs w:val="24"/>
          <w:u w:val="single"/>
          <w:lang w:eastAsia="zh-CN"/>
        </w:rPr>
        <w:t>浙航路道路临时性修缮项目</w:t>
      </w:r>
      <w:r>
        <w:rPr>
          <w:rFonts w:hint="eastAsia" w:asciiTheme="minorEastAsia" w:hAnsiTheme="minorEastAsia" w:eastAsia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对</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实行安全目标管理，安全目标的具体内容是</w:t>
      </w:r>
      <w:r>
        <w:rPr>
          <w:rFonts w:hint="eastAsia" w:asciiTheme="minorEastAsia" w:hAnsiTheme="minorEastAsia" w:eastAsiaTheme="minorEastAsia" w:cstheme="minorEastAsia"/>
          <w:sz w:val="24"/>
          <w:szCs w:val="24"/>
        </w:rPr>
        <w:t>：</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5、不得对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6、不得要求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7、由于民航行业的特殊性和空防安全的重要性，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对进出飞行区施工的人员和车辆实行通行证管理制度。为此，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成员必须参加</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组织的专门安全教育培训和考试（主要是机场飞行、空防、不停航施工等安全方面知识）；同时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应协助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对全体施工人员进行安全教育培训和考核，并协助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8、联系和协调机场公安机关，督促施工单位按有关规定申报暂住登记和申领《暂住证》，并协助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拒不按照本协议条款规定组织安全文明施工的，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有权责令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因违反民航总局第191号令《民用机场运行安全管理规定》而发生不安全事件，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有权按照相关处罚条例对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予以处罚，造成严重后果或损失重大的，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18、在施工组织设计中应当制定安全技术措施和施工现场临时用电方案，对危险性较大的部分分项工程应当制定专项施工方案，并附安全验算计算书，经</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20、应根据不同的施工阶段和环境及季节、气候的变化，在施工现场采取相应的安全防护措施；施工现场暂时停止施工的，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要做好现场防护工作，所需费用由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28、通行证的办理遵从《杭州萧山国际机场控制区通行证管理办法》。在申请办理人员通行</w:t>
      </w:r>
      <w:r>
        <w:rPr>
          <w:rFonts w:hint="eastAsia" w:asciiTheme="minorEastAsia" w:hAnsiTheme="minorEastAsia" w:cstheme="minorEastAsia"/>
          <w:sz w:val="24"/>
          <w:szCs w:val="24"/>
          <w:lang w:val="en-US" w:eastAsia="zh-CN"/>
        </w:rPr>
        <w:t>证</w:t>
      </w:r>
      <w:r>
        <w:rPr>
          <w:rFonts w:hint="eastAsia" w:asciiTheme="minorEastAsia" w:hAnsiTheme="minorEastAsia" w:eastAsiaTheme="minorEastAsia" w:cstheme="minorEastAsia"/>
          <w:sz w:val="24"/>
          <w:szCs w:val="24"/>
        </w:rPr>
        <w:t>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提出申请，报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备案，办证费用由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自理。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30、应当加强通行证的管理，建立管理台帐。通行证仅限持证本人、本车使用，严禁转借、涂改和冒用；持证人员发生调离、辞退、开除等情况的，应及时收回通行证交由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报机场公安机关注销；如发生人员和车辆通行证遗失的，应在第一时间向</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报告；持证车辆重新调配或报废的，应及时将通行证交由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申报注销。上述环节因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管理不力发生问题的，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32、在机场有飞行任务期间，禁止在跑道端之外300米以内、跑道中心线两侧75米以内的区域进行任何施工作业。如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33、实行不停航施工的区域，开挖的明沟和施工材料堆放处，必须根据</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要求用桔黄色小旗标识以示警告；在低能见度的白天和夜间，应当按照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37、在施工现场建立清扫制度，落实到人，做到工完料尽场地清，车辆进出场应有防泥带出措施。建筑垃圾及时清运，并堆放到</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40、制定包括重大安全生产事故、重大道路交通事故、重大消防安全事故、重大刑事案件以及群体性事件等突发性事件在内的应急处置预案，一旦发生，及时报告</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41、遵守国家消防法律法规，建立和健全消防管理规章制度，明确消防安全责任人，健全消防安全网络（配备专职或兼职消防员），建立消防应急队伍，并报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49、占用、挖掘道路，跨越道路架设、铺设管线以及大型机械进出机场须提前与</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协商，征得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四、违约责任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50、本《安全文明施工协议书》是工程施工合同的重要组成部分，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必须严格遵守和履行，如有违反，</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可以追究</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责任；</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违约情况严重，或是社会影响恶劣，又或是造成</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或他方重大损失，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可解除施工合同且不须向</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51、严禁因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五、本协议书附于《</w:t>
      </w:r>
      <w:r>
        <w:rPr>
          <w:rFonts w:hint="eastAsia" w:asciiTheme="minorEastAsia" w:hAnsiTheme="minorEastAsia" w:cstheme="minorEastAsia"/>
          <w:sz w:val="24"/>
          <w:szCs w:val="24"/>
          <w:lang w:eastAsia="zh-CN"/>
        </w:rPr>
        <w:t>浙航路道路临时性修缮项目</w:t>
      </w:r>
      <w:r>
        <w:rPr>
          <w:rFonts w:hint="eastAsia" w:asciiTheme="minorEastAsia" w:hAnsiTheme="minorEastAsia" w:eastAsiaTheme="minorEastAsia" w:cstheme="minorEastAsia"/>
          <w:sz w:val="24"/>
          <w:szCs w:val="24"/>
          <w:lang w:val="en-US" w:eastAsia="zh-CN"/>
        </w:rPr>
        <w:t>施工合同</w:t>
      </w:r>
      <w:r>
        <w:rPr>
          <w:rFonts w:hint="eastAsia" w:asciiTheme="minorEastAsia" w:hAnsiTheme="minorEastAsia" w:eastAsiaTheme="minorEastAsia" w:cstheme="minorEastAsia"/>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（一）由于</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行为违反国家法律、法规和杭州萧山国际机场有限公司有关规章制度和责任书规定内容，</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进行处罚。</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（二）本责任书解释权归</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（三）本责任书由甲乙双方共同盖章后生效。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
          <w:sz w:val="24"/>
          <w:szCs w:val="24"/>
        </w:rPr>
        <w:t xml:space="preserve"> </w:t>
      </w:r>
    </w:p>
    <w:p>
      <w:pPr>
        <w:keepNext w:val="0"/>
        <w:keepLines w:val="0"/>
        <w:pageBreakBefore/>
        <w:widowControl w:val="0"/>
        <w:numPr>
          <w:ilvl w:val="0"/>
          <w:numId w:val="0"/>
        </w:numPr>
        <w:kinsoku/>
        <w:wordWrap/>
        <w:overflowPunct/>
        <w:topLinePunct w:val="0"/>
        <w:autoSpaceDE/>
        <w:autoSpaceDN/>
        <w:bidi w:val="0"/>
        <w:adjustRightInd/>
        <w:snapToGrid/>
        <w:jc w:val="left"/>
        <w:textAlignment w:val="auto"/>
        <w:rPr>
          <w:rFonts w:hint="eastAsia" w:ascii="宋体" w:hAnsi="宋体" w:cs="宋体"/>
          <w:sz w:val="22"/>
          <w:highlight w:val="none"/>
        </w:rPr>
      </w:pPr>
      <w:r>
        <w:rPr>
          <w:rFonts w:hint="eastAsia" w:ascii="宋体" w:hAnsi="宋体" w:cs="宋体"/>
          <w:sz w:val="22"/>
          <w:highlight w:val="none"/>
        </w:rPr>
        <w:t>附件</w:t>
      </w:r>
      <w:r>
        <w:rPr>
          <w:rFonts w:hint="eastAsia" w:ascii="宋体" w:hAnsi="宋体" w:cs="宋体"/>
          <w:sz w:val="22"/>
          <w:highlight w:val="none"/>
          <w:lang w:val="en-US" w:eastAsia="zh-CN"/>
        </w:rPr>
        <w:t>三</w:t>
      </w:r>
      <w:r>
        <w:rPr>
          <w:rFonts w:hint="eastAsia" w:ascii="宋体" w:hAnsi="宋体" w:cs="宋体"/>
          <w:sz w:val="22"/>
          <w:highlight w:val="none"/>
        </w:rPr>
        <w:t>：</w:t>
      </w:r>
    </w:p>
    <w:p>
      <w:pPr>
        <w:numPr>
          <w:ilvl w:val="0"/>
          <w:numId w:val="0"/>
        </w:numPr>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疫情防控责任书</w:t>
      </w:r>
    </w:p>
    <w:p>
      <w:pPr>
        <w:numPr>
          <w:ilvl w:val="0"/>
          <w:numId w:val="0"/>
        </w:numPr>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为落实民航疫情防控工作要求，全面落实责任制，提升疫情防控水平，建立健全长效机制，做好疫情防控管控工作，增强对重点场所、重点环节、重点人员防控措施的把控，杭州萧山国际机场有限公司（以下简称“机场公司”）与【】（以下简称“  公司”）于【】签订《   合同》就【】签订疫情防控责任书，具体如下：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【】公司按照以下条款严格管理，【】公司的法定代表人为疫情防控承担者，承担疫情防控责任。机场公司所属【】部门有权对乙方管理情况进行监督。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一、【】公司负责监督员工在岗防护情况，做到防护到位。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二、【】公司要求员工严禁接触涉疫区域内的高危人员或物品，避免因管理不当导致的安全风险。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三、【】公司员工做到适宜接种全员接种疫苗，新进员工需接种疫苗后上岗。并做好员工疫苗接种的管控工作，避免因员工未接种疫苗导致的安全风险。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四、</w:t>
      </w:r>
      <w:r>
        <w:rPr>
          <w:rFonts w:hint="eastAsia" w:ascii="宋体" w:hAnsi="宋体" w:eastAsia="宋体" w:cs="宋体"/>
          <w:sz w:val="22"/>
          <w:szCs w:val="22"/>
          <w:highlight w:val="none"/>
          <w:lang w:val="en-US" w:eastAsia="zh-CN"/>
        </w:rPr>
        <w:t>【】公司需根据机场公司要求，及时安排员工开展核酸检测工作，核酸检测做到“应检尽检”。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五、</w:t>
      </w:r>
      <w:r>
        <w:rPr>
          <w:rFonts w:hint="eastAsia" w:ascii="宋体" w:hAnsi="宋体" w:eastAsia="宋体" w:cs="宋体"/>
          <w:sz w:val="22"/>
          <w:szCs w:val="22"/>
          <w:highlight w:val="none"/>
          <w:lang w:val="en-US" w:eastAsia="zh-CN"/>
        </w:rPr>
        <w:t>【】公司需做到培训到位及防控要求传达到位，定期对员工开展疫情防控培训，培训内容包括但不限于个人防护要求及近期国内疫情情况通报等，及时传达公司防控相关要求。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六、【】公司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七、【】公司需做好员工身体状况动态监控，掌握职工健康状况，制定应急预案，如遇发热、咳嗽等症状者要求主动报告，并做好防护及送医措施。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八、【】公司需做好做好洗手液、口罩、温度计、75%酒精、含氯消毒液等药械物资准备。</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九、若因</w:t>
      </w:r>
      <w:r>
        <w:rPr>
          <w:rFonts w:hint="eastAsia" w:ascii="宋体" w:hAnsi="宋体" w:eastAsia="宋体" w:cs="宋体"/>
          <w:sz w:val="22"/>
          <w:szCs w:val="22"/>
          <w:highlight w:val="none"/>
          <w:lang w:val="en-US" w:eastAsia="zh-CN"/>
        </w:rPr>
        <w:t>【】公司及其员工</w:t>
      </w:r>
      <w:r>
        <w:rPr>
          <w:rFonts w:hint="eastAsia" w:ascii="宋体" w:hAnsi="宋体" w:eastAsia="宋体" w:cs="宋体"/>
          <w:color w:val="000000"/>
          <w:sz w:val="22"/>
          <w:szCs w:val="22"/>
          <w:highlight w:val="none"/>
          <w:lang w:val="en-US" w:eastAsia="zh-CN"/>
        </w:rPr>
        <w:t>原因导致新型冠状肺炎疫情传播，则</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应承担由此产生的疫情防控费用包括但不限于防疫措施费、防疫检测费、救助费等。若因该等事件，对机场公司造成影响，则机场公司有权要求</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承担由此产生的实际损失。而且机场公司有权解除合同，全额没收</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的履约保证金。若履约保证金不足以弥补</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给机场公司造成的实际损失，则机场公司有权继续向</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追偿。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承诺人：</w:t>
      </w: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w:t>
      </w:r>
    </w:p>
    <w:p>
      <w:pPr>
        <w:pStyle w:val="9"/>
        <w:keepNext w:val="0"/>
        <w:keepLines w:val="0"/>
        <w:pageBreakBefore/>
        <w:widowControl w:val="0"/>
        <w:numPr>
          <w:ilvl w:val="0"/>
          <w:numId w:val="6"/>
        </w:numPr>
        <w:kinsoku/>
        <w:wordWrap/>
        <w:overflowPunct/>
        <w:topLinePunct w:val="0"/>
        <w:autoSpaceDE/>
        <w:autoSpaceDN/>
        <w:bidi w:val="0"/>
        <w:adjustRightInd/>
        <w:snapToGrid/>
        <w:jc w:val="center"/>
        <w:textAlignment w:val="auto"/>
        <w:rPr>
          <w:rFonts w:hint="eastAsia"/>
        </w:rPr>
      </w:pPr>
      <w:bookmarkStart w:id="16" w:name="_Toc27673"/>
      <w:r>
        <w:rPr>
          <w:rFonts w:hint="eastAsia"/>
        </w:rPr>
        <w:t xml:space="preserve"> 工程量清单</w:t>
      </w:r>
      <w:bookmarkEnd w:id="14"/>
      <w:bookmarkEnd w:id="16"/>
    </w:p>
    <w:tbl>
      <w:tblPr>
        <w:tblStyle w:val="12"/>
        <w:tblW w:w="101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5"/>
        <w:gridCol w:w="1185"/>
        <w:gridCol w:w="3360"/>
        <w:gridCol w:w="869"/>
        <w:gridCol w:w="1275"/>
        <w:gridCol w:w="132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5" w:hRule="atLeast"/>
        </w:trPr>
        <w:tc>
          <w:tcPr>
            <w:tcW w:w="10139" w:type="dxa"/>
            <w:gridSpan w:val="7"/>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浙航路沥青路面局部修补项目参考工程量清单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8594" w:type="dxa"/>
            <w:gridSpan w:val="6"/>
            <w:shd w:val="clear" w:color="auto" w:fill="FFFFFF"/>
            <w:vAlign w:val="bottom"/>
          </w:tcPr>
          <w:p>
            <w:pPr>
              <w:jc w:val="left"/>
              <w:rPr>
                <w:rFonts w:hint="eastAsia" w:ascii="宋体" w:hAnsi="宋体" w:eastAsia="宋体" w:cs="宋体"/>
                <w:i w:val="0"/>
                <w:color w:val="000000"/>
                <w:sz w:val="18"/>
                <w:szCs w:val="18"/>
                <w:u w:val="none"/>
              </w:rPr>
            </w:pPr>
          </w:p>
        </w:tc>
        <w:tc>
          <w:tcPr>
            <w:tcW w:w="1545" w:type="dxa"/>
            <w:shd w:val="clear" w:color="auto" w:fill="FFFFFF"/>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定额编号</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名称及说明</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工程数量</w:t>
            </w:r>
          </w:p>
        </w:tc>
        <w:tc>
          <w:tcPr>
            <w:tcW w:w="132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综合单价(元)</w:t>
            </w:r>
          </w:p>
        </w:tc>
        <w:tc>
          <w:tcPr>
            <w:tcW w:w="154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铣刨机铣刨路面~厚度4(cm)（含进退场费及安拆）</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FF"/>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铣刨机铣刨路面~厚度4(cm)（含进退场费及安拆）</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FF"/>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粗粒式沥青混凝土路面  机械摊铺~厚度8(cm)</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道路交通指示牌（含三角锥、红蓝爆闪灯、交通指引牌等）</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压路机进退场费</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台次</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黏层水泥混凝土石油沥青0.5L/m2</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材料搬运及垃圾清理外运</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项</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kern w:val="2"/>
                <w:sz w:val="18"/>
                <w:szCs w:val="18"/>
                <w:u w:val="none"/>
                <w:lang w:val="en-US" w:eastAsia="zh-CN" w:bidi="ar-SA"/>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594" w:type="dxa"/>
            <w:gridSpan w:val="6"/>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594" w:type="dxa"/>
            <w:gridSpan w:val="6"/>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bl>
    <w:p>
      <w:pPr>
        <w:numPr>
          <w:ilvl w:val="0"/>
          <w:numId w:val="0"/>
        </w:numPr>
      </w:pPr>
    </w:p>
    <w:p>
      <w:pPr>
        <w:widowControl/>
        <w:jc w:val="left"/>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9"/>
        <w:jc w:val="both"/>
      </w:pPr>
      <w:bookmarkStart w:id="17" w:name="_Toc448097409"/>
      <w:bookmarkStart w:id="18" w:name="_Toc275274581"/>
    </w:p>
    <w:p>
      <w:pPr>
        <w:pStyle w:val="9"/>
        <w:numPr>
          <w:ilvl w:val="0"/>
          <w:numId w:val="0"/>
        </w:numPr>
        <w:jc w:val="center"/>
        <w:rPr>
          <w:rFonts w:hint="eastAsia"/>
          <w:lang w:val="en-US" w:eastAsia="zh-CN"/>
        </w:rPr>
      </w:pPr>
      <w:bookmarkStart w:id="19" w:name="_Toc17683"/>
      <w:r>
        <w:rPr>
          <w:rFonts w:hint="eastAsia"/>
          <w:lang w:val="en-US" w:eastAsia="zh-CN"/>
        </w:rPr>
        <w:t>第五章</w:t>
      </w:r>
      <w:r>
        <w:t xml:space="preserve"> </w:t>
      </w:r>
      <w:r>
        <w:rPr>
          <w:rFonts w:hint="eastAsia"/>
          <w:lang w:val="en-US" w:eastAsia="zh-CN"/>
        </w:rPr>
        <w:t>技术标准及要求</w:t>
      </w:r>
      <w:bookmarkEnd w:id="19"/>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：主要工作内容具体详见图纸及工程量清单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依据设计施工图纸和技术文件要求，本工程项目的施工必须达到以下现行中华人民共和国及省、市、行业的一切有关法规、规范的要求，如下述标准及规范要求有出入则以较严格者为准。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0"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12"/>
        <w:tblW w:w="8560" w:type="dxa"/>
        <w:jc w:val="center"/>
        <w:tblInd w:w="0" w:type="dxa"/>
        <w:tblLayout w:type="fixed"/>
        <w:tblCellMar>
          <w:top w:w="0" w:type="dxa"/>
          <w:left w:w="108" w:type="dxa"/>
          <w:bottom w:w="0" w:type="dxa"/>
          <w:right w:w="108" w:type="dxa"/>
        </w:tblCellMar>
      </w:tblPr>
      <w:tblGrid>
        <w:gridCol w:w="1063"/>
        <w:gridCol w:w="2783"/>
        <w:gridCol w:w="4714"/>
      </w:tblGrid>
      <w:tr>
        <w:tblPrEx>
          <w:tblLayout w:type="fixed"/>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278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714"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2783" w:type="dxa"/>
            <w:tcBorders>
              <w:top w:val="nil"/>
              <w:left w:val="nil"/>
              <w:bottom w:val="single" w:color="auto" w:sz="4" w:space="0"/>
              <w:right w:val="single" w:color="auto" w:sz="4" w:space="0"/>
            </w:tcBorders>
            <w:vAlign w:val="center"/>
          </w:tcPr>
          <w:p>
            <w:pPr>
              <w:snapToGrid w:val="0"/>
              <w:jc w:val="center"/>
              <w:rPr>
                <w:rFonts w:hint="eastAsia" w:ascii="宋体" w:hAnsi="宋体" w:cs="宋体" w:eastAsiaTheme="minorEastAsia"/>
                <w:bCs/>
                <w:sz w:val="22"/>
                <w:lang w:val="en-US" w:eastAsia="zh-CN"/>
              </w:rPr>
            </w:pPr>
            <w:r>
              <w:rPr>
                <w:rFonts w:hint="eastAsia" w:ascii="宋体" w:hAnsi="宋体" w:cs="宋体"/>
                <w:bCs/>
                <w:sz w:val="22"/>
                <w:lang w:val="en-US" w:eastAsia="zh-CN"/>
              </w:rPr>
              <w:t>/</w:t>
            </w:r>
          </w:p>
        </w:tc>
        <w:tc>
          <w:tcPr>
            <w:tcW w:w="4714" w:type="dxa"/>
            <w:tcBorders>
              <w:top w:val="nil"/>
              <w:left w:val="nil"/>
              <w:bottom w:val="single" w:color="auto" w:sz="4" w:space="0"/>
              <w:right w:val="single" w:color="auto" w:sz="4" w:space="0"/>
            </w:tcBorders>
            <w:vAlign w:val="center"/>
          </w:tcPr>
          <w:p>
            <w:pPr>
              <w:snapToGrid w:val="0"/>
              <w:jc w:val="center"/>
              <w:rPr>
                <w:rFonts w:hint="eastAsia" w:ascii="宋体" w:hAnsi="宋体" w:cs="宋体" w:eastAsiaTheme="minorEastAsia"/>
                <w:bCs/>
                <w:sz w:val="22"/>
                <w:lang w:val="en-US" w:eastAsia="zh-CN"/>
              </w:rPr>
            </w:pPr>
            <w:r>
              <w:rPr>
                <w:rFonts w:hint="eastAsia" w:ascii="宋体" w:hAnsi="宋体" w:cs="宋体"/>
                <w:bCs/>
                <w:sz w:val="22"/>
                <w:lang w:val="en-US" w:eastAsia="zh-CN"/>
              </w:rPr>
              <w:t>/</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承包人需就一切有关之材料和整体结构，必须满足相应的技术标准及规范的规定。若产生施工偏差，承包人必须无条件返工，直至达到相应的技术标准及规范的规定，费用由承包人承担。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0"/>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snapToGrid w:val="0"/>
        <w:spacing w:line="360" w:lineRule="exact"/>
        <w:ind w:firstLine="442" w:firstLineChars="200"/>
        <w:rPr>
          <w:rFonts w:ascii="宋体" w:hAnsi="宋体" w:cs="宋体"/>
          <w:b/>
          <w:sz w:val="22"/>
        </w:rPr>
      </w:pPr>
      <w:r>
        <w:rPr>
          <w:rFonts w:hint="eastAsia" w:ascii="宋体" w:hAnsi="宋体" w:cs="宋体"/>
          <w:b/>
          <w:sz w:val="22"/>
        </w:rPr>
        <w:t>5.</w:t>
      </w:r>
      <w:r>
        <w:rPr>
          <w:rFonts w:hint="eastAsia" w:ascii="宋体" w:hAnsi="宋体" w:cs="宋体"/>
          <w:b/>
          <w:sz w:val="22"/>
          <w:lang w:val="en-US" w:eastAsia="zh-CN"/>
        </w:rPr>
        <w:t>1</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5.2本工程为固定总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w:t>
      </w:r>
    </w:p>
    <w:p>
      <w:pPr>
        <w:snapToGrid w:val="0"/>
        <w:spacing w:line="360" w:lineRule="exact"/>
        <w:ind w:firstLine="442" w:firstLineChars="200"/>
        <w:rPr>
          <w:rFonts w:hint="eastAsia" w:ascii="宋体" w:hAnsi="宋体" w:cs="宋体"/>
          <w:b/>
          <w:bCs w:val="0"/>
          <w:sz w:val="22"/>
        </w:rPr>
      </w:pPr>
      <w:r>
        <w:rPr>
          <w:rFonts w:hint="eastAsia" w:ascii="宋体" w:hAnsi="宋体" w:cs="宋体"/>
          <w:b/>
          <w:sz w:val="22"/>
          <w:lang w:val="en-US" w:eastAsia="zh-CN"/>
        </w:rPr>
        <w:t xml:space="preserve">5.3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5.4 中标人项目负责人和所有施工人员须无条件配合甲方防疫工作，中标施工进场人员均须已接种新冠疫苗且提供48小时内核酸检测报告。项目施工期间每日8:00和13:00报送健康码、行程码至项目负责人处。施工单位还需按要求配备相关防疫物资及人员，做好自身防疫工作，投标人在投标时应充分考虑上述相关费用，中标后不予增加费用。如因疫情影响，导致施工过程中存在窝工，人员、机械降效情况，则请投标人在投标时充分考虑相关费用，中标后不予增加费用。</w:t>
      </w:r>
    </w:p>
    <w:p>
      <w:pPr>
        <w:pStyle w:val="9"/>
        <w:jc w:val="both"/>
        <w:rPr>
          <w:rFonts w:hint="default" w:eastAsia="黑体"/>
          <w:lang w:val="en-US" w:eastAsia="zh-CN"/>
        </w:rP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
    <w:p/>
    <w:p/>
    <w:p/>
    <w:p/>
    <w:p/>
    <w:p/>
    <w:p/>
    <w:p/>
    <w:p/>
    <w:bookmarkEnd w:id="6"/>
    <w:bookmarkEnd w:id="17"/>
    <w:bookmarkEnd w:id="18"/>
    <w:p>
      <w:pPr>
        <w:pStyle w:val="3"/>
        <w:keepNext/>
        <w:keepLines/>
        <w:pageBreakBefore/>
        <w:widowControl w:val="0"/>
        <w:kinsoku/>
        <w:wordWrap/>
        <w:overflowPunct/>
        <w:topLinePunct w:val="0"/>
        <w:autoSpaceDE/>
        <w:autoSpaceDN/>
        <w:bidi w:val="0"/>
        <w:adjustRightInd/>
        <w:snapToGrid/>
        <w:spacing w:before="0" w:after="0" w:line="564" w:lineRule="exact"/>
        <w:ind w:left="0" w:leftChars="0" w:right="57" w:rightChars="0" w:firstLine="0" w:firstLineChars="0"/>
        <w:jc w:val="center"/>
        <w:textAlignment w:val="auto"/>
        <w:outlineLvl w:val="0"/>
        <w:rPr>
          <w:sz w:val="32"/>
          <w:szCs w:val="32"/>
        </w:rPr>
      </w:pPr>
      <w:bookmarkStart w:id="21" w:name="_Toc10055"/>
      <w:bookmarkStart w:id="22" w:name="_Toc52907682"/>
      <w:r>
        <w:rPr>
          <w:sz w:val="32"/>
          <w:szCs w:val="32"/>
        </w:rPr>
        <w:t>第</w:t>
      </w:r>
      <w:r>
        <w:rPr>
          <w:rFonts w:hint="eastAsia"/>
          <w:sz w:val="32"/>
          <w:szCs w:val="32"/>
          <w:lang w:val="en-US" w:eastAsia="zh-CN"/>
        </w:rPr>
        <w:t>六</w:t>
      </w:r>
      <w:r>
        <w:rPr>
          <w:sz w:val="32"/>
          <w:szCs w:val="32"/>
        </w:rPr>
        <w:t>章</w:t>
      </w:r>
      <w:r>
        <w:rPr>
          <w:rFonts w:hint="eastAsia"/>
          <w:sz w:val="32"/>
          <w:szCs w:val="32"/>
        </w:rPr>
        <w:t xml:space="preserve">    </w:t>
      </w:r>
      <w:r>
        <w:rPr>
          <w:sz w:val="32"/>
          <w:szCs w:val="32"/>
        </w:rPr>
        <w:t>投标文件格式</w:t>
      </w:r>
      <w:bookmarkEnd w:id="21"/>
      <w:bookmarkEnd w:id="22"/>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5"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4"/>
        <w:numPr>
          <w:ilvl w:val="0"/>
          <w:numId w:val="7"/>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14"/>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认为需要提供的</w:t>
      </w:r>
      <w:r>
        <w:rPr>
          <w:rFonts w:ascii="微软雅黑" w:hAnsi="Times New Roman" w:cs="微软雅黑"/>
          <w:spacing w:val="-2"/>
          <w:kern w:val="0"/>
          <w:sz w:val="22"/>
        </w:rPr>
        <w:t>其他材料。</w:t>
      </w:r>
    </w:p>
    <w:p>
      <w:pPr>
        <w:pStyle w:val="14"/>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hint="eastAsia" w:ascii="宋体" w:hAnsi="宋体" w:cs="Arial"/>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2336;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jc w:val="both"/>
        <w:rPr>
          <w:rFonts w:cs="微软雅黑"/>
          <w:b/>
          <w:kern w:val="0"/>
          <w:sz w:val="36"/>
          <w:szCs w:val="36"/>
        </w:rPr>
      </w:pPr>
      <w:r>
        <w:rPr>
          <w:rFonts w:hint="eastAsia" w:cs="微软雅黑"/>
          <w:b/>
          <w:kern w:val="0"/>
          <w:sz w:val="36"/>
          <w:szCs w:val="36"/>
          <w:lang w:val="en-US" w:eastAsia="zh-CN"/>
        </w:rPr>
        <w:t xml:space="preserve">                三</w:t>
      </w:r>
      <w:r>
        <w:rPr>
          <w:rFonts w:hint="eastAsia" w:cs="微软雅黑"/>
          <w:b/>
          <w:kern w:val="0"/>
          <w:sz w:val="36"/>
          <w:szCs w:val="36"/>
        </w:rPr>
        <w:t>、已标价工程量清单</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spacing w:line="360" w:lineRule="auto"/>
        <w:jc w:val="center"/>
        <w:rPr>
          <w:rFonts w:cs="宋体"/>
          <w:sz w:val="22"/>
        </w:rPr>
      </w:pPr>
      <w:r>
        <w:rPr>
          <w:rFonts w:ascii="宋体" w:hAnsi="宋体" w:cs="Arial"/>
          <w:b/>
          <w:bCs/>
          <w:kern w:val="0"/>
          <w:szCs w:val="21"/>
        </w:rPr>
        <w:br w:type="page"/>
      </w:r>
    </w:p>
    <w:p>
      <w:pPr>
        <w:widowControl/>
        <w:jc w:val="center"/>
        <w:rPr>
          <w:rFonts w:hint="eastAsia" w:cs="微软雅黑"/>
          <w:b/>
          <w:kern w:val="0"/>
          <w:sz w:val="36"/>
          <w:szCs w:val="36"/>
        </w:rPr>
      </w:pPr>
      <w:bookmarkStart w:id="23" w:name="_Hlk54024727"/>
      <w:r>
        <w:rPr>
          <w:rFonts w:hint="eastAsia" w:cs="微软雅黑"/>
          <w:b/>
          <w:kern w:val="0"/>
          <w:sz w:val="36"/>
          <w:szCs w:val="36"/>
          <w:lang w:val="en-US" w:eastAsia="zh-CN"/>
        </w:rPr>
        <w:t>四</w:t>
      </w:r>
      <w:r>
        <w:rPr>
          <w:rFonts w:hint="eastAsia" w:cs="微软雅黑"/>
          <w:b/>
          <w:kern w:val="0"/>
          <w:sz w:val="36"/>
          <w:szCs w:val="36"/>
        </w:rPr>
        <w:t>、投标人认为需要提供的其他材料</w:t>
      </w:r>
    </w:p>
    <w:p>
      <w:pPr>
        <w:autoSpaceDE w:val="0"/>
        <w:autoSpaceDN w:val="0"/>
        <w:adjustRightInd w:val="0"/>
        <w:spacing w:line="360" w:lineRule="auto"/>
        <w:jc w:val="center"/>
        <w:rPr>
          <w:b/>
          <w:sz w:val="24"/>
        </w:rPr>
      </w:pPr>
    </w:p>
    <w:bookmarkEnd w:id="23"/>
    <w:p>
      <w:pPr>
        <w:widowControl/>
        <w:rPr>
          <w:rFonts w:cs="宋体"/>
          <w:b/>
          <w:sz w:val="32"/>
          <w:szCs w:val="32"/>
        </w:rPr>
      </w:pPr>
    </w:p>
    <w:sectPr>
      <w:footerReference r:id="rId8" w:type="first"/>
      <w:headerReference r:id="rId6" w:type="default"/>
      <w:footerReference r:id="rId7"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61</w:t>
    </w:r>
    <w:r>
      <w:rPr>
        <w:lang w:val="zh-CN"/>
      </w:rPr>
      <w:fldChar w:fldCharType="end"/>
    </w:r>
  </w:p>
  <w:p>
    <w:pPr>
      <w:pStyle w:val="6"/>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abstractNum w:abstractNumId="6">
    <w:nsid w:val="62B55EB8"/>
    <w:multiLevelType w:val="singleLevel"/>
    <w:tmpl w:val="62B55EB8"/>
    <w:lvl w:ilvl="0" w:tentative="0">
      <w:start w:val="4"/>
      <w:numFmt w:val="chineseCounting"/>
      <w:suff w:val="space"/>
      <w:lvlText w:val="第%1章"/>
      <w:lvlJc w:val="left"/>
    </w:lvl>
  </w:abstractNum>
  <w:num w:numId="1">
    <w:abstractNumId w:val="2"/>
  </w:num>
  <w:num w:numId="2">
    <w:abstractNumId w:val="4"/>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000000"/>
    <w:rsid w:val="02BF3353"/>
    <w:rsid w:val="045B52FD"/>
    <w:rsid w:val="099E7021"/>
    <w:rsid w:val="0C7A7C22"/>
    <w:rsid w:val="10703E0D"/>
    <w:rsid w:val="13B93ECA"/>
    <w:rsid w:val="16A12B0D"/>
    <w:rsid w:val="22573150"/>
    <w:rsid w:val="2A8B0D53"/>
    <w:rsid w:val="2B0D7FFE"/>
    <w:rsid w:val="2C6861F3"/>
    <w:rsid w:val="2CC35B9E"/>
    <w:rsid w:val="30561360"/>
    <w:rsid w:val="3308314E"/>
    <w:rsid w:val="34DD057E"/>
    <w:rsid w:val="35560E24"/>
    <w:rsid w:val="377C2FB4"/>
    <w:rsid w:val="3AED46B6"/>
    <w:rsid w:val="3FA72BD4"/>
    <w:rsid w:val="3FDE6181"/>
    <w:rsid w:val="46AB2678"/>
    <w:rsid w:val="48511E4D"/>
    <w:rsid w:val="4A370FED"/>
    <w:rsid w:val="4BFB68A7"/>
    <w:rsid w:val="4FA15887"/>
    <w:rsid w:val="523A167B"/>
    <w:rsid w:val="5A9320A5"/>
    <w:rsid w:val="616752E6"/>
    <w:rsid w:val="646B5557"/>
    <w:rsid w:val="65A14F44"/>
    <w:rsid w:val="65BB267B"/>
    <w:rsid w:val="66DF1922"/>
    <w:rsid w:val="67F51E74"/>
    <w:rsid w:val="69DD6BAD"/>
    <w:rsid w:val="6A413A96"/>
    <w:rsid w:val="6BD73B76"/>
    <w:rsid w:val="72A96869"/>
    <w:rsid w:val="738A200A"/>
    <w:rsid w:val="7C7B1677"/>
    <w:rsid w:val="7DF10E34"/>
    <w:rsid w:val="7EB87481"/>
    <w:rsid w:val="7FC87536"/>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next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20174</Words>
  <Characters>20889</Characters>
  <Lines>0</Lines>
  <Paragraphs>0</Paragraphs>
  <ScaleCrop>false</ScaleCrop>
  <LinksUpToDate>false</LinksUpToDate>
  <CharactersWithSpaces>22364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2022-08-05T08:55:41Z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BE8124E95C404D679F4B1048CCB9B094</vt:lpwstr>
  </property>
</Properties>
</file>