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lang w:eastAsia="zh-CN"/>
        </w:rPr>
        <w:t>杭州萧山国际机场新建T4航站楼涉疫垃圾回收点项目</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二</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八</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cols w:space="720" w:num="1"/>
        </w:sectPr>
      </w:pPr>
    </w:p>
    <w:p>
      <w:pPr>
        <w:pStyle w:val="9"/>
      </w:pPr>
    </w:p>
    <w:sdt>
      <w:sdtPr>
        <w:rPr>
          <w:rFonts w:ascii="宋体" w:hAnsi="宋体" w:eastAsia="宋体" w:cstheme="minorBidi"/>
          <w:kern w:val="2"/>
          <w:sz w:val="21"/>
          <w:szCs w:val="22"/>
          <w:lang w:val="en-US" w:eastAsia="zh-CN" w:bidi="ar-SA"/>
        </w:rPr>
        <w:id w:val="147480402"/>
        <w15:color w:val="DBDBDB"/>
      </w:sdtPr>
      <w:sdtEndPr>
        <w:rPr>
          <w:rFonts w:asciiTheme="minorHAnsi" w:hAnsiTheme="minorHAnsi" w:eastAsiaTheme="minorEastAsia" w:cstheme="minorBidi"/>
          <w:bCs/>
          <w:kern w:val="2"/>
          <w:sz w:val="21"/>
          <w:szCs w:val="44"/>
          <w:lang w:val="en-US" w:eastAsia="zh-CN" w:bidi="ar-SA"/>
        </w:rPr>
      </w:sdtEndPr>
      <w:sdtContent>
        <w:p>
          <w:pPr>
            <w:spacing w:before="0" w:beforeLines="0" w:after="0" w:afterLines="0" w:line="240" w:lineRule="auto"/>
            <w:ind w:left="0" w:leftChars="0" w:right="0" w:rightChars="0" w:firstLine="0" w:firstLineChars="0"/>
            <w:jc w:val="center"/>
            <w:rPr>
              <w:sz w:val="36"/>
              <w:szCs w:val="40"/>
            </w:rPr>
          </w:pPr>
          <w:r>
            <w:rPr>
              <w:rFonts w:ascii="宋体" w:hAnsi="宋体" w:eastAsia="宋体"/>
              <w:sz w:val="36"/>
              <w:szCs w:val="40"/>
            </w:rPr>
            <w:t>目录</w:t>
          </w:r>
        </w:p>
        <w:p>
          <w:pPr>
            <w:pStyle w:val="8"/>
            <w:tabs>
              <w:tab w:val="right" w:leader="dot" w:pos="9639"/>
            </w:tabs>
            <w:rPr>
              <w:sz w:val="36"/>
              <w:szCs w:val="44"/>
            </w:rPr>
          </w:pPr>
          <w:r>
            <w:rPr>
              <w:rFonts w:hint="eastAsia" w:ascii="宋体" w:hAnsi="宋体" w:eastAsia="宋体" w:cs="宋体"/>
              <w:b/>
              <w:bCs/>
              <w:sz w:val="56"/>
              <w:szCs w:val="56"/>
            </w:rPr>
            <w:fldChar w:fldCharType="begin"/>
          </w:r>
          <w:r>
            <w:rPr>
              <w:rFonts w:hint="eastAsia" w:ascii="宋体" w:hAnsi="宋体" w:eastAsia="宋体" w:cs="宋体"/>
              <w:b/>
              <w:bCs/>
              <w:sz w:val="56"/>
              <w:szCs w:val="56"/>
            </w:rPr>
            <w:instrText xml:space="preserve">TOC \o "1-3" \h \u </w:instrText>
          </w:r>
          <w:r>
            <w:rPr>
              <w:rFonts w:hint="eastAsia" w:ascii="宋体" w:hAnsi="宋体" w:eastAsia="宋体" w:cs="宋体"/>
              <w:b/>
              <w:bCs/>
              <w:sz w:val="56"/>
              <w:szCs w:val="56"/>
            </w:rPr>
            <w:fldChar w:fldCharType="separate"/>
          </w: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_Toc8459 </w:instrText>
          </w:r>
          <w:r>
            <w:rPr>
              <w:rFonts w:hint="eastAsia" w:ascii="宋体" w:hAnsi="宋体" w:eastAsia="宋体" w:cs="宋体"/>
              <w:bCs/>
              <w:sz w:val="36"/>
              <w:szCs w:val="56"/>
            </w:rPr>
            <w:fldChar w:fldCharType="separate"/>
          </w:r>
          <w:r>
            <w:rPr>
              <w:rFonts w:hint="eastAsia"/>
              <w:sz w:val="36"/>
              <w:szCs w:val="44"/>
            </w:rPr>
            <w:t>第一章 招标公告</w:t>
          </w:r>
          <w:r>
            <w:rPr>
              <w:sz w:val="36"/>
              <w:szCs w:val="44"/>
            </w:rPr>
            <w:tab/>
          </w:r>
          <w:r>
            <w:rPr>
              <w:sz w:val="36"/>
              <w:szCs w:val="44"/>
            </w:rPr>
            <w:fldChar w:fldCharType="begin"/>
          </w:r>
          <w:r>
            <w:rPr>
              <w:sz w:val="36"/>
              <w:szCs w:val="44"/>
            </w:rPr>
            <w:instrText xml:space="preserve"> PAGEREF _Toc8459 \h </w:instrText>
          </w:r>
          <w:r>
            <w:rPr>
              <w:sz w:val="36"/>
              <w:szCs w:val="44"/>
            </w:rPr>
            <w:fldChar w:fldCharType="separate"/>
          </w:r>
          <w:r>
            <w:rPr>
              <w:sz w:val="36"/>
              <w:szCs w:val="44"/>
            </w:rPr>
            <w:t>2</w:t>
          </w:r>
          <w:r>
            <w:rPr>
              <w:sz w:val="36"/>
              <w:szCs w:val="44"/>
            </w:rPr>
            <w:fldChar w:fldCharType="end"/>
          </w:r>
          <w:r>
            <w:rPr>
              <w:rFonts w:hint="eastAsia" w:ascii="宋体" w:hAnsi="宋体" w:eastAsia="宋体" w:cs="宋体"/>
              <w:bCs/>
              <w:sz w:val="36"/>
              <w:szCs w:val="56"/>
            </w:rPr>
            <w:fldChar w:fldCharType="end"/>
          </w:r>
        </w:p>
        <w:p>
          <w:pPr>
            <w:pStyle w:val="8"/>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_Toc682 </w:instrText>
          </w:r>
          <w:r>
            <w:rPr>
              <w:rFonts w:hint="eastAsia" w:ascii="宋体" w:hAnsi="宋体" w:eastAsia="宋体" w:cs="宋体"/>
              <w:bCs/>
              <w:sz w:val="36"/>
              <w:szCs w:val="56"/>
            </w:rPr>
            <w:fldChar w:fldCharType="separate"/>
          </w:r>
          <w:r>
            <w:rPr>
              <w:sz w:val="36"/>
              <w:szCs w:val="44"/>
            </w:rPr>
            <w:t>第</w:t>
          </w:r>
          <w:r>
            <w:rPr>
              <w:rFonts w:hint="eastAsia"/>
              <w:sz w:val="36"/>
              <w:szCs w:val="44"/>
            </w:rPr>
            <w:t>二</w:t>
          </w:r>
          <w:r>
            <w:rPr>
              <w:sz w:val="36"/>
              <w:szCs w:val="44"/>
            </w:rPr>
            <w:t xml:space="preserve">章 </w:t>
          </w:r>
          <w:r>
            <w:rPr>
              <w:rFonts w:hint="eastAsia"/>
              <w:sz w:val="36"/>
              <w:szCs w:val="44"/>
            </w:rPr>
            <w:t>评标办法</w:t>
          </w:r>
          <w:r>
            <w:rPr>
              <w:sz w:val="36"/>
              <w:szCs w:val="44"/>
            </w:rPr>
            <w:tab/>
          </w:r>
          <w:r>
            <w:rPr>
              <w:sz w:val="36"/>
              <w:szCs w:val="44"/>
            </w:rPr>
            <w:fldChar w:fldCharType="begin"/>
          </w:r>
          <w:r>
            <w:rPr>
              <w:sz w:val="36"/>
              <w:szCs w:val="44"/>
            </w:rPr>
            <w:instrText xml:space="preserve"> PAGEREF _Toc682 \h </w:instrText>
          </w:r>
          <w:r>
            <w:rPr>
              <w:sz w:val="36"/>
              <w:szCs w:val="44"/>
            </w:rPr>
            <w:fldChar w:fldCharType="separate"/>
          </w:r>
          <w:r>
            <w:rPr>
              <w:sz w:val="36"/>
              <w:szCs w:val="44"/>
            </w:rPr>
            <w:t>4</w:t>
          </w:r>
          <w:r>
            <w:rPr>
              <w:sz w:val="36"/>
              <w:szCs w:val="44"/>
            </w:rPr>
            <w:fldChar w:fldCharType="end"/>
          </w:r>
          <w:r>
            <w:rPr>
              <w:rFonts w:hint="eastAsia" w:ascii="宋体" w:hAnsi="宋体" w:eastAsia="宋体" w:cs="宋体"/>
              <w:bCs/>
              <w:sz w:val="36"/>
              <w:szCs w:val="56"/>
            </w:rPr>
            <w:fldChar w:fldCharType="end"/>
          </w:r>
        </w:p>
        <w:p>
          <w:pPr>
            <w:pStyle w:val="8"/>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_Toc17411 </w:instrText>
          </w:r>
          <w:r>
            <w:rPr>
              <w:rFonts w:hint="eastAsia" w:ascii="宋体" w:hAnsi="宋体" w:eastAsia="宋体" w:cs="宋体"/>
              <w:bCs/>
              <w:sz w:val="36"/>
              <w:szCs w:val="56"/>
            </w:rPr>
            <w:fldChar w:fldCharType="separate"/>
          </w:r>
          <w:r>
            <w:rPr>
              <w:rFonts w:hint="eastAsia"/>
              <w:sz w:val="36"/>
              <w:szCs w:val="44"/>
              <w:lang w:val="en-US" w:eastAsia="zh-CN"/>
            </w:rPr>
            <w:t>第三章</w:t>
          </w:r>
          <w:r>
            <w:rPr>
              <w:sz w:val="36"/>
              <w:szCs w:val="44"/>
            </w:rPr>
            <w:t xml:space="preserve"> </w:t>
          </w:r>
          <w:r>
            <w:rPr>
              <w:rFonts w:hint="eastAsia"/>
              <w:sz w:val="36"/>
              <w:szCs w:val="44"/>
            </w:rPr>
            <w:t>合同条款及格式</w:t>
          </w:r>
          <w:r>
            <w:rPr>
              <w:sz w:val="36"/>
              <w:szCs w:val="44"/>
            </w:rPr>
            <w:tab/>
          </w:r>
          <w:r>
            <w:rPr>
              <w:rFonts w:hint="eastAsia"/>
              <w:sz w:val="36"/>
              <w:szCs w:val="44"/>
              <w:lang w:val="en-US" w:eastAsia="zh-CN"/>
            </w:rPr>
            <w:t>7</w:t>
          </w:r>
          <w:r>
            <w:rPr>
              <w:rFonts w:hint="eastAsia" w:ascii="宋体" w:hAnsi="宋体" w:eastAsia="宋体" w:cs="宋体"/>
              <w:bCs/>
              <w:sz w:val="36"/>
              <w:szCs w:val="56"/>
            </w:rPr>
            <w:fldChar w:fldCharType="end"/>
          </w:r>
        </w:p>
        <w:p>
          <w:pPr>
            <w:pStyle w:val="8"/>
            <w:tabs>
              <w:tab w:val="right" w:leader="dot" w:pos="9639"/>
            </w:tabs>
            <w:rPr>
              <w:rFonts w:hint="eastAsia" w:eastAsia="宋体"/>
              <w:sz w:val="36"/>
              <w:szCs w:val="44"/>
              <w:lang w:val="en-US" w:eastAsia="zh-CN"/>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_Toc27673 </w:instrText>
          </w:r>
          <w:r>
            <w:rPr>
              <w:rFonts w:hint="eastAsia" w:ascii="宋体" w:hAnsi="宋体" w:eastAsia="宋体" w:cs="宋体"/>
              <w:bCs/>
              <w:sz w:val="36"/>
              <w:szCs w:val="56"/>
            </w:rPr>
            <w:fldChar w:fldCharType="separate"/>
          </w:r>
          <w:r>
            <w:rPr>
              <w:rFonts w:hint="eastAsia"/>
              <w:sz w:val="36"/>
              <w:szCs w:val="44"/>
            </w:rPr>
            <w:t>第</w:t>
          </w:r>
          <w:r>
            <w:rPr>
              <w:rFonts w:hint="eastAsia"/>
              <w:sz w:val="36"/>
              <w:szCs w:val="44"/>
              <w:lang w:val="en-US" w:eastAsia="zh-CN"/>
            </w:rPr>
            <w:t>四</w:t>
          </w:r>
          <w:r>
            <w:rPr>
              <w:rFonts w:hint="eastAsia"/>
              <w:sz w:val="36"/>
              <w:szCs w:val="44"/>
            </w:rPr>
            <w:t>章 工程量清单（详见附件）</w:t>
          </w:r>
          <w:r>
            <w:rPr>
              <w:sz w:val="36"/>
              <w:szCs w:val="44"/>
            </w:rPr>
            <w:tab/>
          </w:r>
          <w:r>
            <w:rPr>
              <w:rFonts w:hint="eastAsia"/>
              <w:sz w:val="36"/>
              <w:szCs w:val="44"/>
              <w:lang w:val="en-US" w:eastAsia="zh-CN"/>
            </w:rPr>
            <w:t>1</w:t>
          </w:r>
          <w:r>
            <w:rPr>
              <w:rFonts w:hint="eastAsia" w:ascii="宋体" w:hAnsi="宋体" w:eastAsia="宋体" w:cs="宋体"/>
              <w:bCs/>
              <w:sz w:val="36"/>
              <w:szCs w:val="56"/>
            </w:rPr>
            <w:fldChar w:fldCharType="end"/>
          </w:r>
          <w:r>
            <w:rPr>
              <w:rFonts w:hint="eastAsia" w:ascii="宋体" w:hAnsi="宋体" w:eastAsia="宋体" w:cs="宋体"/>
              <w:bCs/>
              <w:sz w:val="36"/>
              <w:szCs w:val="56"/>
              <w:lang w:val="en-US" w:eastAsia="zh-CN"/>
            </w:rPr>
            <w:t>8</w:t>
          </w:r>
        </w:p>
        <w:p>
          <w:pPr>
            <w:pStyle w:val="8"/>
            <w:tabs>
              <w:tab w:val="right" w:leader="dot" w:pos="9639"/>
            </w:tabs>
            <w:rPr>
              <w:rFonts w:hint="eastAsia" w:eastAsia="宋体"/>
              <w:sz w:val="36"/>
              <w:szCs w:val="44"/>
              <w:lang w:val="en-US" w:eastAsia="zh-CN"/>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_Toc9507 </w:instrText>
          </w:r>
          <w:r>
            <w:rPr>
              <w:rFonts w:hint="eastAsia" w:ascii="宋体" w:hAnsi="宋体" w:eastAsia="宋体" w:cs="宋体"/>
              <w:bCs/>
              <w:sz w:val="36"/>
              <w:szCs w:val="56"/>
            </w:rPr>
            <w:fldChar w:fldCharType="separate"/>
          </w:r>
          <w:r>
            <w:rPr>
              <w:rFonts w:hint="eastAsia"/>
              <w:sz w:val="36"/>
              <w:szCs w:val="44"/>
            </w:rPr>
            <w:t>第</w:t>
          </w:r>
          <w:r>
            <w:rPr>
              <w:rFonts w:hint="eastAsia"/>
              <w:sz w:val="36"/>
              <w:szCs w:val="44"/>
              <w:lang w:val="en-US" w:eastAsia="zh-CN"/>
            </w:rPr>
            <w:t>五</w:t>
          </w:r>
          <w:r>
            <w:rPr>
              <w:rFonts w:hint="eastAsia"/>
              <w:sz w:val="36"/>
              <w:szCs w:val="44"/>
            </w:rPr>
            <w:t xml:space="preserve">章 </w:t>
          </w:r>
          <w:r>
            <w:rPr>
              <w:rFonts w:hint="eastAsia"/>
              <w:sz w:val="36"/>
              <w:szCs w:val="44"/>
              <w:lang w:val="en-US" w:eastAsia="zh-CN"/>
            </w:rPr>
            <w:t>图纸</w:t>
          </w:r>
          <w:r>
            <w:rPr>
              <w:rFonts w:hint="eastAsia"/>
              <w:sz w:val="36"/>
              <w:szCs w:val="44"/>
            </w:rPr>
            <w:t>（详见附件）</w:t>
          </w:r>
          <w:r>
            <w:rPr>
              <w:sz w:val="36"/>
              <w:szCs w:val="44"/>
            </w:rPr>
            <w:tab/>
          </w:r>
          <w:r>
            <w:rPr>
              <w:rFonts w:hint="eastAsia"/>
              <w:sz w:val="36"/>
              <w:szCs w:val="44"/>
              <w:lang w:val="en-US" w:eastAsia="zh-CN"/>
            </w:rPr>
            <w:t>1</w:t>
          </w:r>
          <w:r>
            <w:rPr>
              <w:rFonts w:hint="eastAsia" w:ascii="宋体" w:hAnsi="宋体" w:eastAsia="宋体" w:cs="宋体"/>
              <w:bCs/>
              <w:sz w:val="36"/>
              <w:szCs w:val="56"/>
            </w:rPr>
            <w:fldChar w:fldCharType="end"/>
          </w:r>
          <w:r>
            <w:rPr>
              <w:rFonts w:hint="eastAsia" w:ascii="宋体" w:hAnsi="宋体" w:eastAsia="宋体" w:cs="宋体"/>
              <w:bCs/>
              <w:sz w:val="36"/>
              <w:szCs w:val="56"/>
              <w:lang w:val="en-US" w:eastAsia="zh-CN"/>
            </w:rPr>
            <w:t>9</w:t>
          </w:r>
        </w:p>
        <w:p>
          <w:pPr>
            <w:pStyle w:val="8"/>
            <w:tabs>
              <w:tab w:val="right" w:leader="dot" w:pos="9639"/>
            </w:tabs>
            <w:rPr>
              <w:rFonts w:hint="eastAsia" w:eastAsia="宋体"/>
              <w:sz w:val="36"/>
              <w:szCs w:val="44"/>
              <w:lang w:val="en-US" w:eastAsia="zh-CN"/>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_Toc17683 </w:instrText>
          </w:r>
          <w:r>
            <w:rPr>
              <w:rFonts w:hint="eastAsia" w:ascii="宋体" w:hAnsi="宋体" w:eastAsia="宋体" w:cs="宋体"/>
              <w:bCs/>
              <w:sz w:val="36"/>
              <w:szCs w:val="56"/>
            </w:rPr>
            <w:fldChar w:fldCharType="separate"/>
          </w:r>
          <w:r>
            <w:rPr>
              <w:rFonts w:hint="eastAsia"/>
              <w:sz w:val="36"/>
              <w:szCs w:val="44"/>
              <w:lang w:val="en-US" w:eastAsia="zh-CN"/>
            </w:rPr>
            <w:t>第六章</w:t>
          </w:r>
          <w:r>
            <w:rPr>
              <w:sz w:val="36"/>
              <w:szCs w:val="44"/>
            </w:rPr>
            <w:t xml:space="preserve"> </w:t>
          </w:r>
          <w:r>
            <w:rPr>
              <w:rFonts w:hint="eastAsia"/>
              <w:sz w:val="36"/>
              <w:szCs w:val="44"/>
              <w:lang w:val="en-US" w:eastAsia="zh-CN"/>
            </w:rPr>
            <w:t>技术标准及要求</w:t>
          </w:r>
          <w:r>
            <w:rPr>
              <w:sz w:val="36"/>
              <w:szCs w:val="44"/>
            </w:rPr>
            <w:tab/>
          </w:r>
          <w:r>
            <w:rPr>
              <w:rFonts w:hint="eastAsia"/>
              <w:sz w:val="36"/>
              <w:szCs w:val="44"/>
              <w:lang w:val="en-US" w:eastAsia="zh-CN"/>
            </w:rPr>
            <w:t>2</w:t>
          </w:r>
          <w:r>
            <w:rPr>
              <w:rFonts w:hint="eastAsia" w:ascii="宋体" w:hAnsi="宋体" w:eastAsia="宋体" w:cs="宋体"/>
              <w:bCs/>
              <w:sz w:val="36"/>
              <w:szCs w:val="56"/>
            </w:rPr>
            <w:fldChar w:fldCharType="end"/>
          </w:r>
          <w:r>
            <w:rPr>
              <w:rFonts w:hint="eastAsia" w:ascii="宋体" w:hAnsi="宋体" w:eastAsia="宋体" w:cs="宋体"/>
              <w:bCs/>
              <w:sz w:val="36"/>
              <w:szCs w:val="56"/>
              <w:lang w:val="en-US" w:eastAsia="zh-CN"/>
            </w:rPr>
            <w:t>0</w:t>
          </w:r>
        </w:p>
        <w:p>
          <w:pPr>
            <w:pStyle w:val="8"/>
            <w:tabs>
              <w:tab w:val="right" w:leader="dot" w:pos="9639"/>
            </w:tabs>
            <w:rPr>
              <w:rFonts w:hint="eastAsia" w:eastAsia="宋体"/>
              <w:sz w:val="36"/>
              <w:szCs w:val="44"/>
              <w:lang w:val="en-US" w:eastAsia="zh-CN"/>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_Toc10055 </w:instrText>
          </w:r>
          <w:r>
            <w:rPr>
              <w:rFonts w:hint="eastAsia" w:ascii="宋体" w:hAnsi="宋体" w:eastAsia="宋体" w:cs="宋体"/>
              <w:bCs/>
              <w:sz w:val="36"/>
              <w:szCs w:val="56"/>
            </w:rPr>
            <w:fldChar w:fldCharType="separate"/>
          </w:r>
          <w:r>
            <w:rPr>
              <w:sz w:val="36"/>
              <w:szCs w:val="52"/>
            </w:rPr>
            <w:t>第</w:t>
          </w:r>
          <w:r>
            <w:rPr>
              <w:rFonts w:hint="eastAsia"/>
              <w:sz w:val="36"/>
              <w:szCs w:val="52"/>
              <w:lang w:eastAsia="zh-CN"/>
            </w:rPr>
            <w:t>七</w:t>
          </w:r>
          <w:r>
            <w:rPr>
              <w:sz w:val="36"/>
              <w:szCs w:val="52"/>
            </w:rPr>
            <w:t>章</w:t>
          </w:r>
          <w:r>
            <w:rPr>
              <w:rFonts w:hint="eastAsia"/>
              <w:sz w:val="36"/>
              <w:szCs w:val="52"/>
            </w:rPr>
            <w:t xml:space="preserve"> </w:t>
          </w:r>
          <w:r>
            <w:rPr>
              <w:sz w:val="36"/>
              <w:szCs w:val="52"/>
            </w:rPr>
            <w:t>投标文件格式</w:t>
          </w:r>
          <w:r>
            <w:rPr>
              <w:sz w:val="36"/>
              <w:szCs w:val="44"/>
            </w:rPr>
            <w:tab/>
          </w:r>
          <w:r>
            <w:rPr>
              <w:rFonts w:hint="eastAsia"/>
              <w:sz w:val="36"/>
              <w:szCs w:val="44"/>
              <w:lang w:val="en-US" w:eastAsia="zh-CN"/>
            </w:rPr>
            <w:t>2</w:t>
          </w:r>
          <w:r>
            <w:rPr>
              <w:rFonts w:hint="eastAsia" w:ascii="宋体" w:hAnsi="宋体" w:eastAsia="宋体" w:cs="宋体"/>
              <w:bCs/>
              <w:sz w:val="36"/>
              <w:szCs w:val="56"/>
            </w:rPr>
            <w:fldChar w:fldCharType="end"/>
          </w:r>
          <w:r>
            <w:rPr>
              <w:rFonts w:hint="eastAsia" w:ascii="宋体" w:hAnsi="宋体" w:eastAsia="宋体" w:cs="宋体"/>
              <w:bCs/>
              <w:sz w:val="36"/>
              <w:szCs w:val="56"/>
              <w:lang w:val="en-US" w:eastAsia="zh-CN"/>
            </w:rPr>
            <w:t>4</w:t>
          </w:r>
        </w:p>
        <w:p>
          <w:pPr>
            <w:pStyle w:val="8"/>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_Toc4370 </w:instrText>
          </w:r>
          <w:r>
            <w:rPr>
              <w:rFonts w:hint="eastAsia" w:ascii="宋体" w:hAnsi="宋体" w:eastAsia="宋体" w:cs="宋体"/>
              <w:bCs/>
              <w:sz w:val="36"/>
              <w:szCs w:val="56"/>
            </w:rPr>
            <w:fldChar w:fldCharType="separate"/>
          </w:r>
          <w:r>
            <w:rPr>
              <w:rFonts w:hint="eastAsia"/>
              <w:sz w:val="36"/>
              <w:szCs w:val="52"/>
              <w:lang w:val="en-US" w:eastAsia="zh-CN"/>
            </w:rPr>
            <w:t>第八章</w:t>
          </w:r>
          <w:r>
            <w:rPr>
              <w:sz w:val="36"/>
              <w:szCs w:val="52"/>
            </w:rPr>
            <w:t xml:space="preserve"> </w:t>
          </w:r>
          <w:r>
            <w:rPr>
              <w:rFonts w:hint="eastAsia"/>
              <w:sz w:val="36"/>
              <w:szCs w:val="52"/>
            </w:rPr>
            <w:t>航站楼施工围挡管理标准</w:t>
          </w:r>
          <w:r>
            <w:rPr>
              <w:sz w:val="36"/>
              <w:szCs w:val="44"/>
            </w:rPr>
            <w:tab/>
          </w:r>
          <w:r>
            <w:rPr>
              <w:sz w:val="36"/>
              <w:szCs w:val="44"/>
            </w:rPr>
            <w:fldChar w:fldCharType="begin"/>
          </w:r>
          <w:r>
            <w:rPr>
              <w:sz w:val="36"/>
              <w:szCs w:val="44"/>
            </w:rPr>
            <w:instrText xml:space="preserve"> PAGEREF _Toc4370 \h </w:instrText>
          </w:r>
          <w:r>
            <w:rPr>
              <w:sz w:val="36"/>
              <w:szCs w:val="44"/>
            </w:rPr>
            <w:fldChar w:fldCharType="separate"/>
          </w:r>
          <w:r>
            <w:rPr>
              <w:sz w:val="36"/>
              <w:szCs w:val="44"/>
            </w:rPr>
            <w:t>3</w:t>
          </w:r>
          <w:r>
            <w:rPr>
              <w:rFonts w:hint="eastAsia"/>
              <w:sz w:val="36"/>
              <w:szCs w:val="44"/>
              <w:lang w:val="en-US" w:eastAsia="zh-CN"/>
            </w:rPr>
            <w:t>2</w:t>
          </w:r>
          <w:r>
            <w:rPr>
              <w:sz w:val="36"/>
              <w:szCs w:val="44"/>
            </w:rPr>
            <w:fldChar w:fldCharType="end"/>
          </w:r>
          <w:r>
            <w:rPr>
              <w:rFonts w:hint="eastAsia" w:ascii="宋体" w:hAnsi="宋体" w:eastAsia="宋体" w:cs="宋体"/>
              <w:bCs/>
              <w:sz w:val="36"/>
              <w:szCs w:val="56"/>
            </w:rPr>
            <w:fldChar w:fldCharType="end"/>
          </w:r>
        </w:p>
        <w:p>
          <w:pPr>
            <w:spacing w:line="560" w:lineRule="exact"/>
            <w:jc w:val="both"/>
            <w:rPr>
              <w:b/>
              <w:bCs/>
              <w:sz w:val="44"/>
              <w:szCs w:val="44"/>
            </w:rPr>
          </w:pPr>
          <w:r>
            <w:rPr>
              <w:rFonts w:hint="eastAsia" w:ascii="宋体" w:hAnsi="宋体" w:eastAsia="宋体" w:cs="宋体"/>
              <w:bCs/>
              <w:sz w:val="36"/>
              <w:szCs w:val="56"/>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bCs/>
          <w:sz w:val="44"/>
          <w:szCs w:val="44"/>
        </w:rPr>
      </w:pPr>
    </w:p>
    <w:p>
      <w:pPr>
        <w:pStyle w:val="9"/>
        <w:keepNext w:val="0"/>
        <w:keepLines w:val="0"/>
        <w:pageBreakBefore/>
        <w:widowControl w:val="0"/>
        <w:kinsoku/>
        <w:wordWrap/>
        <w:overflowPunct/>
        <w:topLinePunct w:val="0"/>
        <w:autoSpaceDE/>
        <w:autoSpaceDN/>
        <w:bidi w:val="0"/>
        <w:adjustRightInd/>
        <w:snapToGrid/>
        <w:textAlignment w:val="auto"/>
      </w:pPr>
      <w:bookmarkStart w:id="0" w:name="_Toc448097401"/>
      <w:bookmarkStart w:id="1" w:name="_Toc8459"/>
      <w:r>
        <w:rPr>
          <w:rFonts w:hint="eastAsia"/>
        </w:rPr>
        <w:t>第一章 招标公告</w:t>
      </w:r>
      <w:bookmarkEnd w:id="0"/>
      <w:bookmarkEnd w:id="1"/>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kern w:val="0"/>
          <w:sz w:val="24"/>
          <w:szCs w:val="24"/>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内容</w:t>
      </w:r>
    </w:p>
    <w:p>
      <w:pPr>
        <w:keepNext w:val="0"/>
        <w:keepLines w:val="0"/>
        <w:pageBreakBefore w:val="0"/>
        <w:widowControl/>
        <w:numPr>
          <w:ilvl w:val="0"/>
          <w:numId w:val="1"/>
        </w:numPr>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项目概况：在T4机坪、T4航站楼0米层西侧23号门与高架连廊下方</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按防疫办需求各新建一个涉疫垃圾回收点</w:t>
      </w:r>
      <w:r>
        <w:rPr>
          <w:rFonts w:hint="eastAsia" w:ascii="宋体" w:hAnsi="宋体" w:eastAsia="宋体" w:cs="宋体"/>
          <w:b/>
          <w:bCs/>
          <w:kern w:val="0"/>
          <w:sz w:val="24"/>
          <w:szCs w:val="24"/>
          <w:lang w:val="en-US" w:eastAsia="zh-CN"/>
        </w:rPr>
        <w:t>。</w:t>
      </w:r>
    </w:p>
    <w:p>
      <w:pPr>
        <w:keepNext w:val="0"/>
        <w:keepLines w:val="0"/>
        <w:pageBreakBefore w:val="0"/>
        <w:widowControl/>
        <w:numPr>
          <w:ilvl w:val="0"/>
          <w:numId w:val="0"/>
        </w:numPr>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实施</w:t>
      </w:r>
      <w:r>
        <w:rPr>
          <w:rFonts w:hint="eastAsia" w:ascii="宋体" w:hAnsi="宋体" w:eastAsia="宋体" w:cs="宋体"/>
          <w:kern w:val="0"/>
          <w:sz w:val="24"/>
          <w:szCs w:val="24"/>
        </w:rPr>
        <w:t>内容</w:t>
      </w:r>
      <w:r>
        <w:rPr>
          <w:rFonts w:hint="eastAsia" w:ascii="宋体" w:hAnsi="宋体" w:eastAsia="宋体" w:cs="宋体"/>
          <w:kern w:val="0"/>
          <w:sz w:val="24"/>
          <w:szCs w:val="24"/>
          <w:lang w:eastAsia="zh-CN"/>
        </w:rPr>
        <w:t>：详见</w:t>
      </w:r>
      <w:r>
        <w:rPr>
          <w:rFonts w:hint="eastAsia" w:ascii="宋体" w:hAnsi="宋体" w:eastAsia="宋体" w:cs="宋体"/>
          <w:kern w:val="0"/>
          <w:sz w:val="24"/>
          <w:szCs w:val="24"/>
          <w:lang w:val="en-US" w:eastAsia="zh-CN"/>
        </w:rPr>
        <w:t>工程量清单和技术标准及要求</w:t>
      </w:r>
      <w:r>
        <w:rPr>
          <w:rFonts w:hint="eastAsia" w:ascii="宋体" w:hAnsi="宋体" w:eastAsia="宋体" w:cs="宋体"/>
          <w:kern w:val="0"/>
          <w:sz w:val="24"/>
          <w:szCs w:val="24"/>
          <w:lang w:eastAsia="zh-CN"/>
        </w:rPr>
        <w:t>。</w:t>
      </w:r>
    </w:p>
    <w:p>
      <w:pPr>
        <w:keepNext w:val="0"/>
        <w:keepLines w:val="0"/>
        <w:pageBreakBefore w:val="0"/>
        <w:widowControl/>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（3）本</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rPr>
        <w:t>设一个标段，要求</w:t>
      </w:r>
      <w:r>
        <w:rPr>
          <w:rFonts w:hint="eastAsia" w:ascii="宋体" w:hAnsi="宋体" w:eastAsia="宋体" w:cs="宋体"/>
          <w:kern w:val="0"/>
          <w:sz w:val="24"/>
          <w:szCs w:val="24"/>
          <w:lang w:eastAsia="zh-CN"/>
        </w:rPr>
        <w:t>甲方通知进场</w:t>
      </w:r>
      <w:r>
        <w:rPr>
          <w:rFonts w:hint="eastAsia" w:ascii="宋体" w:hAnsi="宋体" w:eastAsia="宋体" w:cs="宋体"/>
          <w:kern w:val="0"/>
          <w:sz w:val="24"/>
          <w:szCs w:val="24"/>
        </w:rPr>
        <w:t>后</w:t>
      </w:r>
      <w:r>
        <w:rPr>
          <w:rFonts w:hint="eastAsia" w:ascii="宋体" w:hAnsi="宋体" w:eastAsia="宋体" w:cs="宋体"/>
          <w:kern w:val="0"/>
          <w:sz w:val="24"/>
          <w:szCs w:val="24"/>
          <w:u w:val="single"/>
          <w:lang w:val="en-US" w:eastAsia="zh-CN"/>
        </w:rPr>
        <w:t>1</w:t>
      </w:r>
      <w:r>
        <w:rPr>
          <w:rFonts w:hint="eastAsia" w:ascii="宋体" w:hAnsi="宋体" w:eastAsia="宋体" w:cs="宋体"/>
          <w:kern w:val="0"/>
          <w:sz w:val="24"/>
          <w:szCs w:val="24"/>
          <w:u w:val="single"/>
        </w:rPr>
        <w:t>0</w:t>
      </w:r>
      <w:r>
        <w:rPr>
          <w:rFonts w:hint="eastAsia" w:ascii="宋体" w:hAnsi="宋体" w:eastAsia="宋体" w:cs="宋体"/>
          <w:kern w:val="0"/>
          <w:sz w:val="24"/>
          <w:szCs w:val="24"/>
        </w:rPr>
        <w:t>日历天内完工。</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 资格要求 </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（1）投标人具备</w:t>
      </w:r>
      <w:r>
        <w:rPr>
          <w:rFonts w:hint="eastAsia" w:ascii="宋体" w:hAnsi="宋体" w:eastAsia="宋体" w:cs="宋体"/>
          <w:b/>
          <w:bCs/>
          <w:kern w:val="0"/>
          <w:sz w:val="24"/>
          <w:szCs w:val="24"/>
          <w:u w:val="single"/>
        </w:rPr>
        <w:t>建筑工程施工总承包三级</w:t>
      </w:r>
      <w:r>
        <w:rPr>
          <w:rFonts w:hint="eastAsia" w:ascii="宋体" w:hAnsi="宋体" w:eastAsia="宋体" w:cs="宋体"/>
          <w:b/>
          <w:bCs/>
          <w:kern w:val="0"/>
          <w:sz w:val="24"/>
          <w:szCs w:val="24"/>
        </w:rPr>
        <w:t>或</w:t>
      </w:r>
      <w:r>
        <w:rPr>
          <w:rFonts w:hint="eastAsia" w:ascii="宋体" w:hAnsi="宋体" w:eastAsia="宋体" w:cs="宋体"/>
          <w:b/>
          <w:bCs/>
          <w:kern w:val="0"/>
          <w:sz w:val="24"/>
          <w:szCs w:val="24"/>
          <w:u w:val="single"/>
        </w:rPr>
        <w:t>建筑装修装饰工程专业承包二级</w:t>
      </w:r>
      <w:r>
        <w:rPr>
          <w:rFonts w:hint="eastAsia" w:ascii="宋体" w:hAnsi="宋体" w:eastAsia="宋体" w:cs="宋体"/>
          <w:b/>
          <w:bCs/>
          <w:kern w:val="0"/>
          <w:sz w:val="24"/>
          <w:szCs w:val="24"/>
        </w:rPr>
        <w:t>及以上资质。</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w:t>
      </w:r>
      <w:r>
        <w:rPr>
          <w:rFonts w:hint="eastAsia" w:ascii="宋体" w:hAnsi="宋体" w:eastAsia="宋体" w:cs="宋体"/>
          <w:b/>
          <w:bCs/>
          <w:sz w:val="24"/>
          <w:szCs w:val="24"/>
          <w:u w:val="single"/>
        </w:rPr>
        <w:t>须提供相应任职文件</w:t>
      </w:r>
      <w:r>
        <w:rPr>
          <w:rFonts w:hint="eastAsia" w:ascii="宋体" w:hAnsi="宋体" w:eastAsia="宋体" w:cs="宋体"/>
          <w:b/>
          <w:bCs/>
          <w:sz w:val="24"/>
          <w:szCs w:val="24"/>
        </w:rPr>
        <w:t>。</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bookmarkStart w:id="2" w:name="_Toc448097402"/>
      <w:bookmarkStart w:id="3" w:name="_Toc448097403"/>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文件获取</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"http://www.hzairport.com/zbxx.aspx"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四、踏勘现场</w:t>
      </w:r>
    </w:p>
    <w:p>
      <w:pPr>
        <w:keepNext w:val="0"/>
        <w:keepLines w:val="0"/>
        <w:pageBreakBefore w:val="0"/>
        <w:numPr>
          <w:ilvl w:val="0"/>
          <w:numId w:val="0"/>
        </w:numPr>
        <w:kinsoku/>
        <w:wordWrap/>
        <w:overflowPunct/>
        <w:topLinePunct w:val="0"/>
        <w:autoSpaceDE/>
        <w:autoSpaceDN/>
        <w:bidi w:val="0"/>
        <w:snapToGrid w:val="0"/>
        <w:spacing w:line="360" w:lineRule="exact"/>
        <w:ind w:right="0" w:rightChars="0"/>
        <w:textAlignment w:val="auto"/>
        <w:outlineLvl w:val="9"/>
        <w:rPr>
          <w:rFonts w:hint="eastAsia" w:ascii="宋体" w:hAnsi="宋体" w:eastAsia="宋体" w:cs="宋体"/>
          <w:b/>
          <w:bCs/>
          <w:kern w:val="0"/>
          <w:sz w:val="24"/>
          <w:szCs w:val="24"/>
          <w:lang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招标人组织踏勘现场，集中踏勘时间为</w:t>
      </w: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8</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w:t>
      </w:r>
      <w:r>
        <w:rPr>
          <w:rFonts w:hint="eastAsia" w:ascii="宋体" w:hAnsi="宋体" w:eastAsia="宋体" w:cs="宋体"/>
          <w:kern w:val="0"/>
          <w:sz w:val="24"/>
          <w:szCs w:val="24"/>
          <w:lang w:eastAsia="zh-CN"/>
        </w:rPr>
        <w:t>。踏勘集中地点为</w:t>
      </w:r>
      <w:r>
        <w:rPr>
          <w:rFonts w:hint="eastAsia" w:ascii="宋体" w:hAnsi="宋体" w:eastAsia="宋体" w:cs="宋体"/>
          <w:color w:val="FF0000"/>
          <w:kern w:val="0"/>
          <w:sz w:val="24"/>
          <w:szCs w:val="24"/>
          <w:lang w:eastAsia="zh-CN"/>
        </w:rPr>
        <w:t>杭州萧山国际机场</w:t>
      </w:r>
      <w:r>
        <w:rPr>
          <w:rFonts w:hint="eastAsia" w:ascii="宋体" w:hAnsi="宋体" w:eastAsia="宋体" w:cs="宋体"/>
          <w:color w:val="FF0000"/>
          <w:kern w:val="0"/>
          <w:sz w:val="24"/>
          <w:szCs w:val="24"/>
          <w:lang w:val="en-US" w:eastAsia="zh-CN"/>
        </w:rPr>
        <w:t>物业维修中心</w:t>
      </w:r>
      <w:r>
        <w:rPr>
          <w:rFonts w:hint="eastAsia" w:ascii="宋体" w:hAnsi="宋体" w:eastAsia="宋体" w:cs="宋体"/>
          <w:kern w:val="0"/>
          <w:sz w:val="24"/>
          <w:szCs w:val="24"/>
          <w:lang w:eastAsia="zh-CN"/>
        </w:rPr>
        <w:t>，</w:t>
      </w:r>
      <w:r>
        <w:rPr>
          <w:rFonts w:hint="eastAsia" w:ascii="宋体" w:hAnsi="宋体" w:eastAsia="宋体" w:cs="宋体"/>
          <w:b/>
          <w:bCs/>
          <w:kern w:val="0"/>
          <w:sz w:val="24"/>
          <w:szCs w:val="24"/>
          <w:lang w:eastAsia="zh-CN"/>
        </w:rPr>
        <w:t>由于未参加现场踏勘引起的报价失误等责任由投标人自负。</w:t>
      </w:r>
    </w:p>
    <w:p>
      <w:pPr>
        <w:keepNext w:val="0"/>
        <w:keepLines w:val="0"/>
        <w:pageBreakBefore w:val="0"/>
        <w:numPr>
          <w:ilvl w:val="0"/>
          <w:numId w:val="2"/>
        </w:numPr>
        <w:kinsoku/>
        <w:wordWrap/>
        <w:overflowPunct/>
        <w:topLinePunct w:val="0"/>
        <w:autoSpaceDE/>
        <w:autoSpaceDN/>
        <w:bidi w:val="0"/>
        <w:snapToGrid w:val="0"/>
        <w:spacing w:line="320" w:lineRule="exact"/>
        <w:ind w:left="0" w:leftChars="0" w:right="0" w:rightChars="0"/>
        <w:textAlignment w:val="auto"/>
        <w:outlineLvl w:val="9"/>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招标答疑</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bCs/>
          <w:kern w:val="0"/>
          <w:sz w:val="24"/>
          <w:szCs w:val="24"/>
          <w:lang w:val="en-US" w:eastAsia="zh-CN"/>
        </w:rPr>
        <w:t xml:space="preserve">  </w:t>
      </w:r>
      <w:r>
        <w:rPr>
          <w:rFonts w:hint="eastAsia" w:ascii="宋体" w:hAnsi="宋体" w:eastAsia="宋体" w:cs="宋体"/>
          <w:b/>
          <w:bCs/>
          <w:color w:val="FF0000"/>
          <w:kern w:val="0"/>
          <w:sz w:val="24"/>
          <w:szCs w:val="24"/>
          <w:lang w:val="en-US" w:eastAsia="zh-CN"/>
        </w:rPr>
        <w:t xml:space="preserve"> </w:t>
      </w:r>
      <w:r>
        <w:rPr>
          <w:rFonts w:hint="eastAsia" w:ascii="宋体" w:hAnsi="宋体" w:eastAsia="宋体" w:cs="宋体"/>
          <w:b w:val="0"/>
          <w:bCs w:val="0"/>
          <w:color w:val="FF0000"/>
          <w:kern w:val="0"/>
          <w:sz w:val="24"/>
          <w:szCs w:val="24"/>
          <w:lang w:val="en-US" w:eastAsia="zh-CN"/>
        </w:rPr>
        <w:t>2022年8月31日9时30分前</w:t>
      </w:r>
      <w:r>
        <w:rPr>
          <w:rFonts w:hint="eastAsia" w:ascii="宋体" w:hAnsi="宋体" w:eastAsia="宋体" w:cs="宋体"/>
          <w:b w:val="0"/>
          <w:bCs w:val="0"/>
          <w:kern w:val="0"/>
          <w:sz w:val="24"/>
          <w:szCs w:val="24"/>
          <w:lang w:val="en-US" w:eastAsia="zh-CN"/>
        </w:rPr>
        <w:t>，以E-mail及书面形式提交给招标人（邮箱：373285581@qq.com，联系人：吴淼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kern w:val="0"/>
          <w:sz w:val="24"/>
          <w:szCs w:val="24"/>
          <w:lang w:eastAsia="zh-CN"/>
        </w:rPr>
        <w:t>：</w:t>
      </w:r>
      <w:r>
        <w:rPr>
          <w:rFonts w:hint="eastAsia" w:ascii="宋体" w:hAnsi="宋体" w:eastAsia="宋体" w:cs="宋体"/>
          <w:b w:val="0"/>
          <w:bCs w:val="0"/>
          <w:color w:val="FF0000"/>
          <w:kern w:val="0"/>
          <w:sz w:val="24"/>
          <w:szCs w:val="24"/>
          <w:lang w:val="en-US" w:eastAsia="zh-CN"/>
        </w:rPr>
        <w:t>2022年9月2日9时30分前</w:t>
      </w:r>
      <w:r>
        <w:rPr>
          <w:rFonts w:hint="eastAsia" w:ascii="宋体" w:hAnsi="宋体" w:eastAsia="宋体" w:cs="宋体"/>
          <w:kern w:val="0"/>
          <w:sz w:val="24"/>
          <w:szCs w:val="24"/>
        </w:rPr>
        <w:t>（北京时间）。投标文件在封口处加盖公章</w:t>
      </w:r>
      <w:r>
        <w:rPr>
          <w:rFonts w:hint="eastAsia" w:ascii="宋体" w:hAnsi="宋体" w:eastAsia="宋体" w:cs="宋体"/>
          <w:kern w:val="0"/>
          <w:sz w:val="24"/>
          <w:szCs w:val="24"/>
          <w:lang w:val="en-US" w:eastAsia="zh-CN"/>
        </w:rPr>
        <w:t>并注明是：</w:t>
      </w:r>
      <w:r>
        <w:rPr>
          <w:rFonts w:hint="eastAsia" w:ascii="宋体" w:hAnsi="宋体" w:eastAsia="宋体" w:cs="宋体"/>
          <w:b/>
          <w:bCs/>
          <w:color w:val="000000" w:themeColor="text1"/>
          <w:sz w:val="24"/>
          <w:szCs w:val="24"/>
          <w:lang w:val="en-US" w:eastAsia="zh-CN"/>
          <w14:textFill>
            <w14:solidFill>
              <w14:schemeClr w14:val="tx1"/>
            </w14:solidFill>
          </w14:textFill>
        </w:rPr>
        <w:t>杭州萧山国际机场新建T4航站楼涉疫垃圾回收点项目招标文件</w:t>
      </w:r>
      <w:r>
        <w:rPr>
          <w:rFonts w:hint="eastAsia" w:ascii="宋体" w:hAnsi="宋体" w:eastAsia="宋体" w:cs="宋体"/>
          <w:kern w:val="0"/>
          <w:sz w:val="24"/>
          <w:szCs w:val="24"/>
        </w:rPr>
        <w:t>，并派专人于</w:t>
      </w:r>
      <w:r>
        <w:rPr>
          <w:rFonts w:hint="eastAsia" w:ascii="宋体" w:hAnsi="宋体" w:eastAsia="宋体" w:cs="宋体"/>
          <w:b w:val="0"/>
          <w:bCs w:val="0"/>
          <w:color w:val="FF0000"/>
          <w:kern w:val="0"/>
          <w:sz w:val="24"/>
          <w:szCs w:val="24"/>
          <w:lang w:val="en-US" w:eastAsia="zh-CN"/>
        </w:rPr>
        <w:t>2022年9月2日9时30分前</w:t>
      </w:r>
      <w:r>
        <w:rPr>
          <w:rFonts w:hint="eastAsia" w:ascii="宋体" w:hAnsi="宋体" w:eastAsia="宋体" w:cs="宋体"/>
          <w:kern w:val="0"/>
          <w:sz w:val="24"/>
          <w:szCs w:val="24"/>
        </w:rPr>
        <w:t>（北京时间）前送至</w:t>
      </w:r>
      <w:r>
        <w:rPr>
          <w:rFonts w:hint="eastAsia" w:ascii="宋体" w:hAnsi="宋体" w:eastAsia="宋体" w:cs="宋体"/>
          <w:color w:val="FF0000"/>
          <w:kern w:val="0"/>
          <w:sz w:val="24"/>
          <w:szCs w:val="24"/>
        </w:rPr>
        <w:t>杭州萧山国际机场</w:t>
      </w:r>
      <w:r>
        <w:rPr>
          <w:rFonts w:hint="eastAsia" w:ascii="宋体" w:hAnsi="宋体" w:eastAsia="宋体" w:cs="宋体"/>
          <w:color w:val="FF0000"/>
          <w:kern w:val="0"/>
          <w:sz w:val="24"/>
          <w:szCs w:val="24"/>
          <w:lang w:val="en-US" w:eastAsia="zh-CN"/>
        </w:rPr>
        <w:t>物业维修中心</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逾期无效；若采用投递方式的，请于</w:t>
      </w:r>
      <w:r>
        <w:rPr>
          <w:rFonts w:hint="eastAsia" w:ascii="宋体" w:hAnsi="宋体" w:eastAsia="宋体" w:cs="宋体"/>
          <w:b w:val="0"/>
          <w:bCs w:val="0"/>
          <w:color w:val="FF0000"/>
          <w:kern w:val="0"/>
          <w:sz w:val="24"/>
          <w:szCs w:val="24"/>
          <w:lang w:val="en-US" w:eastAsia="zh-CN"/>
        </w:rPr>
        <w:t xml:space="preserve"> 2022年9月2日9时30分前</w:t>
      </w:r>
      <w:r>
        <w:rPr>
          <w:rFonts w:hint="eastAsia" w:ascii="宋体" w:hAnsi="宋体" w:eastAsia="宋体" w:cs="宋体"/>
          <w:color w:val="FF0000"/>
          <w:kern w:val="0"/>
          <w:sz w:val="24"/>
          <w:szCs w:val="24"/>
        </w:rPr>
        <w:t>（</w:t>
      </w:r>
      <w:r>
        <w:rPr>
          <w:rFonts w:hint="eastAsia" w:ascii="宋体" w:hAnsi="宋体" w:eastAsia="宋体" w:cs="宋体"/>
          <w:kern w:val="0"/>
          <w:sz w:val="24"/>
          <w:szCs w:val="24"/>
        </w:rPr>
        <w:t>北京时间）前投递至</w:t>
      </w:r>
      <w:r>
        <w:rPr>
          <w:rFonts w:hint="eastAsia" w:ascii="宋体" w:hAnsi="宋体" w:eastAsia="宋体" w:cs="宋体"/>
          <w:color w:val="FF0000"/>
          <w:kern w:val="0"/>
          <w:sz w:val="24"/>
          <w:szCs w:val="24"/>
        </w:rPr>
        <w:t>杭州萧山国际机场</w:t>
      </w:r>
      <w:r>
        <w:rPr>
          <w:rFonts w:hint="eastAsia" w:ascii="宋体" w:hAnsi="宋体" w:eastAsia="宋体" w:cs="宋体"/>
          <w:color w:val="FF0000"/>
          <w:kern w:val="0"/>
          <w:sz w:val="24"/>
          <w:szCs w:val="24"/>
          <w:lang w:val="en-US" w:eastAsia="zh-CN"/>
        </w:rPr>
        <w:t>物业维修中心</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快递面单上注明是：</w:t>
      </w:r>
      <w:r>
        <w:rPr>
          <w:rFonts w:hint="eastAsia" w:ascii="宋体" w:hAnsi="宋体" w:eastAsia="宋体" w:cs="宋体"/>
          <w:b/>
          <w:bCs/>
          <w:color w:val="000000" w:themeColor="text1"/>
          <w:sz w:val="24"/>
          <w:szCs w:val="24"/>
          <w:lang w:val="en-US" w:eastAsia="zh-CN"/>
          <w14:textFill>
            <w14:solidFill>
              <w14:schemeClr w14:val="tx1"/>
            </w14:solidFill>
          </w14:textFill>
        </w:rPr>
        <w:t>杭州萧山国际机场新建T4航站楼涉疫垃圾回收点项目招标文件</w:t>
      </w:r>
      <w:r>
        <w:rPr>
          <w:rFonts w:hint="eastAsia" w:ascii="宋体" w:hAnsi="宋体" w:eastAsia="宋体" w:cs="宋体"/>
          <w:b/>
          <w:bCs/>
          <w:color w:val="000000" w:themeColor="text1"/>
          <w:kern w:val="0"/>
          <w:sz w:val="24"/>
          <w:szCs w:val="24"/>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（5）装订要求为不分册装订，每册采用胶装等方式装订，装订应牢固、不易拆散和换页，不得采用活页装订。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（6）封套上写明：</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480" w:firstLineChars="200"/>
        <w:jc w:val="both"/>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招标人的地址：</w:t>
      </w:r>
      <w:r>
        <w:rPr>
          <w:rFonts w:hint="eastAsia" w:asciiTheme="minorEastAsia" w:hAnsiTheme="minorEastAsia" w:eastAsiaTheme="minorEastAsia" w:cstheme="minorEastAsia"/>
          <w:sz w:val="24"/>
          <w:szCs w:val="24"/>
          <w:u w:val="single"/>
        </w:rPr>
        <w:t>杭州萧山国际机场内</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480" w:firstLineChars="200"/>
        <w:jc w:val="both"/>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招标人名称：</w:t>
      </w:r>
      <w:r>
        <w:rPr>
          <w:rFonts w:hint="eastAsia" w:asciiTheme="minorEastAsia" w:hAnsiTheme="minorEastAsia" w:eastAsiaTheme="minorEastAsia" w:cstheme="minorEastAsia"/>
          <w:kern w:val="0"/>
          <w:sz w:val="24"/>
          <w:szCs w:val="24"/>
          <w:u w:val="single"/>
        </w:rPr>
        <w:t>杭州萧山国际机场有限公司</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480" w:firstLineChars="200"/>
        <w:jc w:val="both"/>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 xml:space="preserve">项目名称： </w:t>
      </w:r>
      <w:r>
        <w:rPr>
          <w:rFonts w:hint="eastAsia" w:asciiTheme="minorEastAsia" w:hAnsiTheme="minorEastAsia" w:cstheme="minorEastAsia"/>
          <w:sz w:val="24"/>
          <w:szCs w:val="24"/>
          <w:u w:val="single"/>
          <w:lang w:val="en-US" w:eastAsia="zh-CN"/>
        </w:rPr>
        <w:t>杭州萧山国际机场新建T4航站楼涉疫垃圾回收点项目</w:t>
      </w:r>
      <w:r>
        <w:rPr>
          <w:rFonts w:hint="eastAsia" w:asciiTheme="minorEastAsia" w:hAnsiTheme="minorEastAsia" w:eastAsiaTheme="minorEastAsia" w:cstheme="minorEastAsia"/>
          <w:sz w:val="24"/>
          <w:szCs w:val="24"/>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在</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2022</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年</w:t>
      </w:r>
      <w:r>
        <w:rPr>
          <w:rFonts w:hint="eastAsia" w:asciiTheme="minorEastAsia" w:hAnsiTheme="minorEastAsia" w:cstheme="minorEastAsia"/>
          <w:color w:val="FF0000"/>
          <w:kern w:val="0"/>
          <w:sz w:val="24"/>
          <w:szCs w:val="24"/>
          <w:u w:val="single"/>
          <w:lang w:val="en-US" w:eastAsia="zh-CN"/>
        </w:rPr>
        <w:t xml:space="preserve"> 9 </w:t>
      </w:r>
      <w:r>
        <w:rPr>
          <w:rFonts w:hint="eastAsia" w:asciiTheme="minorEastAsia" w:hAnsiTheme="minorEastAsia" w:eastAsiaTheme="minorEastAsia" w:cstheme="minorEastAsia"/>
          <w:color w:val="FF0000"/>
          <w:kern w:val="0"/>
          <w:sz w:val="24"/>
          <w:szCs w:val="24"/>
        </w:rPr>
        <w:t>月</w:t>
      </w:r>
      <w:r>
        <w:rPr>
          <w:rFonts w:hint="eastAsia" w:asciiTheme="minorEastAsia" w:hAnsiTheme="minorEastAsia" w:cstheme="minorEastAsia"/>
          <w:color w:val="FF0000"/>
          <w:kern w:val="0"/>
          <w:sz w:val="24"/>
          <w:szCs w:val="24"/>
          <w:u w:val="single"/>
          <w:lang w:val="en-US" w:eastAsia="zh-CN"/>
        </w:rPr>
        <w:t xml:space="preserve"> 2 </w:t>
      </w:r>
      <w:r>
        <w:rPr>
          <w:rFonts w:hint="eastAsia" w:asciiTheme="minorEastAsia" w:hAnsiTheme="minorEastAsia" w:eastAsiaTheme="minorEastAsia" w:cstheme="minorEastAsia"/>
          <w:color w:val="FF0000"/>
          <w:kern w:val="0"/>
          <w:sz w:val="24"/>
          <w:szCs w:val="24"/>
        </w:rPr>
        <w:t>日</w:t>
      </w:r>
      <w:r>
        <w:rPr>
          <w:rFonts w:hint="eastAsia" w:asciiTheme="minorEastAsia" w:hAnsiTheme="minorEastAsia" w:cstheme="minorEastAsia"/>
          <w:color w:val="FF0000"/>
          <w:kern w:val="0"/>
          <w:sz w:val="24"/>
          <w:szCs w:val="24"/>
          <w:u w:val="single"/>
          <w:lang w:val="en-US" w:eastAsia="zh-CN"/>
        </w:rPr>
        <w:t xml:space="preserve"> 9 </w:t>
      </w:r>
      <w:r>
        <w:rPr>
          <w:rFonts w:hint="eastAsia" w:asciiTheme="minorEastAsia" w:hAnsiTheme="minorEastAsia" w:eastAsiaTheme="minorEastAsia" w:cstheme="minorEastAsia"/>
          <w:color w:val="FF0000"/>
          <w:kern w:val="0"/>
          <w:sz w:val="24"/>
          <w:szCs w:val="24"/>
        </w:rPr>
        <w:t>时</w:t>
      </w:r>
      <w:r>
        <w:rPr>
          <w:rFonts w:hint="eastAsia" w:asciiTheme="minorEastAsia" w:hAnsiTheme="minorEastAsia" w:cstheme="minorEastAsia"/>
          <w:color w:val="FF0000"/>
          <w:kern w:val="0"/>
          <w:sz w:val="24"/>
          <w:szCs w:val="24"/>
          <w:u w:val="single"/>
          <w:lang w:val="en-US" w:eastAsia="zh-CN"/>
        </w:rPr>
        <w:t xml:space="preserve">  30</w:t>
      </w:r>
      <w:bookmarkStart w:id="28" w:name="_GoBack"/>
      <w:bookmarkEnd w:id="28"/>
      <w:r>
        <w:rPr>
          <w:rFonts w:hint="eastAsia" w:asciiTheme="minorEastAsia" w:hAnsiTheme="minorEastAsia" w:cstheme="minorEastAsia"/>
          <w:color w:val="FF0000"/>
          <w:kern w:val="0"/>
          <w:sz w:val="24"/>
          <w:szCs w:val="24"/>
          <w:u w:val="single"/>
          <w:lang w:val="en-US" w:eastAsia="zh-CN"/>
        </w:rPr>
        <w:t xml:space="preserve"> </w:t>
      </w:r>
      <w:r>
        <w:rPr>
          <w:rFonts w:hint="eastAsia" w:asciiTheme="minorEastAsia" w:hAnsiTheme="minorEastAsia" w:eastAsiaTheme="minorEastAsia" w:cstheme="minorEastAsia"/>
          <w:color w:val="FF0000"/>
          <w:kern w:val="0"/>
          <w:sz w:val="24"/>
          <w:szCs w:val="24"/>
        </w:rPr>
        <w:t>分</w:t>
      </w:r>
      <w:r>
        <w:rPr>
          <w:rFonts w:hint="eastAsia" w:asciiTheme="minorEastAsia" w:hAnsiTheme="minorEastAsia" w:eastAsiaTheme="minorEastAsia" w:cstheme="minorEastAsia"/>
          <w:kern w:val="0"/>
          <w:sz w:val="24"/>
          <w:szCs w:val="24"/>
        </w:rPr>
        <w:t>（即开标时间）前不得开启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七、</w:t>
      </w:r>
      <w:r>
        <w:rPr>
          <w:rFonts w:hint="eastAsia" w:asciiTheme="minorEastAsia" w:hAnsiTheme="minorEastAsia" w:eastAsiaTheme="minorEastAsia" w:cstheme="minorEastAsia"/>
          <w:b/>
          <w:bCs/>
          <w:kern w:val="0"/>
          <w:sz w:val="24"/>
          <w:szCs w:val="24"/>
          <w:lang w:val="en-US" w:eastAsia="zh-CN"/>
        </w:rPr>
        <w:t>开标</w:t>
      </w:r>
    </w:p>
    <w:p>
      <w:pPr>
        <w:autoSpaceDE w:val="0"/>
        <w:autoSpaceDN w:val="0"/>
        <w:adjustRightInd w:val="0"/>
        <w:snapToGrid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（1）</w:t>
      </w:r>
      <w:r>
        <w:rPr>
          <w:rFonts w:hint="eastAsia" w:asciiTheme="minorEastAsia" w:hAnsiTheme="minorEastAsia" w:eastAsiaTheme="minorEastAsia" w:cstheme="minorEastAsia"/>
          <w:kern w:val="0"/>
          <w:sz w:val="24"/>
          <w:szCs w:val="24"/>
        </w:rPr>
        <w:t>开标时间同投标截止时间</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开标地点</w:t>
      </w:r>
      <w:r>
        <w:rPr>
          <w:rFonts w:hint="eastAsia" w:asciiTheme="minorEastAsia" w:hAnsiTheme="minorEastAsia" w:eastAsiaTheme="minorEastAsia" w:cstheme="minorEastAsia"/>
          <w:kern w:val="0"/>
          <w:sz w:val="24"/>
          <w:szCs w:val="24"/>
          <w:lang w:val="en-US" w:eastAsia="zh-CN"/>
        </w:rPr>
        <w:t>为</w:t>
      </w:r>
      <w:r>
        <w:rPr>
          <w:rFonts w:hint="eastAsia" w:asciiTheme="minorEastAsia" w:hAnsiTheme="minorEastAsia" w:eastAsiaTheme="minorEastAsia" w:cstheme="minorEastAsia"/>
          <w:b/>
          <w:sz w:val="24"/>
          <w:szCs w:val="24"/>
        </w:rPr>
        <w:t>杭州萧山国际机场</w:t>
      </w:r>
      <w:r>
        <w:rPr>
          <w:rFonts w:hint="eastAsia" w:asciiTheme="minorEastAsia" w:hAnsiTheme="minorEastAsia" w:cstheme="minorEastAsia"/>
          <w:b/>
          <w:sz w:val="24"/>
          <w:szCs w:val="24"/>
          <w:lang w:val="en-US" w:eastAsia="zh-CN"/>
        </w:rPr>
        <w:t>物业维修</w:t>
      </w:r>
      <w:r>
        <w:rPr>
          <w:rFonts w:hint="eastAsia" w:asciiTheme="minorEastAsia" w:hAnsiTheme="minorEastAsia" w:eastAsiaTheme="minorEastAsia" w:cstheme="minorEastAsia"/>
          <w:b/>
          <w:sz w:val="24"/>
          <w:szCs w:val="24"/>
        </w:rPr>
        <w:t>中心</w:t>
      </w:r>
      <w:r>
        <w:rPr>
          <w:rFonts w:hint="eastAsia" w:asciiTheme="minorEastAsia" w:hAnsiTheme="minorEastAsia" w:eastAsiaTheme="minorEastAsia" w:cstheme="minorEastAsia"/>
          <w:b/>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（2）评标委员会成员招标人自行组建。</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firstLine="480" w:firstLineChars="200"/>
        <w:textAlignment w:val="auto"/>
        <w:outlineLvl w:val="9"/>
        <w:rPr>
          <w:rFonts w:hint="eastAsia"/>
          <w:lang w:val="en-US" w:eastAsia="zh-CN"/>
        </w:rPr>
      </w:pPr>
      <w:r>
        <w:rPr>
          <w:rFonts w:hint="eastAsia" w:asciiTheme="minorEastAsia" w:hAnsiTheme="minorEastAsia" w:cstheme="minorEastAsia"/>
          <w:b w:val="0"/>
          <w:bCs w:val="0"/>
          <w:kern w:val="0"/>
          <w:sz w:val="24"/>
          <w:szCs w:val="24"/>
          <w:lang w:val="en-US" w:eastAsia="zh-CN"/>
        </w:rPr>
        <w:t>（3）评标委员会推荐的中标候选人数：1人。</w:t>
      </w:r>
    </w:p>
    <w:p>
      <w:pPr>
        <w:pStyle w:val="9"/>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 xml:space="preserve">    </w:t>
      </w:r>
      <w:bookmarkStart w:id="4" w:name="_Toc3775"/>
      <w:bookmarkStart w:id="5" w:name="_Toc19218"/>
      <w:r>
        <w:rPr>
          <w:rFonts w:hint="eastAsia" w:asciiTheme="minorEastAsia" w:hAnsiTheme="minorEastAsia" w:eastAsiaTheme="minorEastAsia" w:cstheme="minorEastAsia"/>
          <w:b w:val="0"/>
          <w:bCs w:val="0"/>
          <w:kern w:val="0"/>
          <w:sz w:val="24"/>
          <w:szCs w:val="24"/>
          <w:lang w:val="en-US" w:eastAsia="zh-CN"/>
        </w:rPr>
        <w:t>（4）</w:t>
      </w:r>
      <w:bookmarkEnd w:id="4"/>
      <w:bookmarkEnd w:id="5"/>
      <w:r>
        <w:rPr>
          <w:rFonts w:hint="eastAsia" w:asciiTheme="minorEastAsia" w:hAnsiTheme="minorEastAsia" w:eastAsiaTheme="minorEastAsia" w:cstheme="minorEastAsia"/>
          <w:b w:val="0"/>
          <w:bCs w:val="0"/>
          <w:kern w:val="0"/>
          <w:sz w:val="24"/>
          <w:szCs w:val="24"/>
          <w:lang w:val="en-US" w:eastAsia="zh-CN"/>
        </w:rPr>
        <w:t>本次评标采用综合评估法推荐中标候选人。</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九</w:t>
      </w:r>
      <w:r>
        <w:rPr>
          <w:rFonts w:hint="eastAsia" w:asciiTheme="minorEastAsia" w:hAnsiTheme="minorEastAsia" w:eastAsiaTheme="minorEastAsia" w:cstheme="minorEastAsia"/>
          <w:b/>
          <w:bCs/>
          <w:kern w:val="0"/>
          <w:sz w:val="24"/>
          <w:szCs w:val="24"/>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十</w:t>
      </w:r>
      <w:r>
        <w:rPr>
          <w:rFonts w:hint="eastAsia" w:ascii="宋体" w:hAnsi="宋体" w:eastAsia="宋体" w:cs="宋体"/>
          <w:b/>
          <w:bCs/>
          <w:kern w:val="0"/>
          <w:sz w:val="24"/>
          <w:szCs w:val="24"/>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投标联系人：</w:t>
      </w:r>
      <w:r>
        <w:rPr>
          <w:rFonts w:hint="eastAsia" w:ascii="宋体" w:hAnsi="宋体" w:eastAsia="宋体" w:cs="宋体"/>
          <w:sz w:val="24"/>
          <w:szCs w:val="24"/>
          <w:lang w:val="en-US" w:eastAsia="zh-CN"/>
        </w:rPr>
        <w:t xml:space="preserve">吴淼清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 xml:space="preserve">0571-86662348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闻晓丽        </w:t>
      </w: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lang w:val="en-US" w:eastAsia="zh-CN"/>
          <w14:textFill>
            <w14:solidFill>
              <w14:schemeClr w14:val="tx1"/>
            </w14:solidFill>
          </w14:textFill>
        </w:rPr>
        <w:t>0571-86662361</w:t>
      </w:r>
    </w:p>
    <w:p>
      <w:pPr>
        <w:keepNext w:val="0"/>
        <w:keepLines w:val="0"/>
        <w:pageBreakBefore w:val="0"/>
        <w:widowControl/>
        <w:kinsoku/>
        <w:wordWrap/>
        <w:overflowPunct/>
        <w:topLinePunct w:val="0"/>
        <w:autoSpaceDE/>
        <w:autoSpaceDN/>
        <w:bidi w:val="0"/>
        <w:snapToGrid w:val="0"/>
        <w:spacing w:line="32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p>
    <w:p>
      <w:pPr>
        <w:pStyle w:val="9"/>
        <w:jc w:val="center"/>
      </w:pPr>
    </w:p>
    <w:p>
      <w:pPr>
        <w:pStyle w:val="9"/>
        <w:jc w:val="center"/>
      </w:pPr>
    </w:p>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bookmarkEnd w:id="2"/>
    <w:bookmarkEnd w:id="3"/>
    <w:p>
      <w:pPr>
        <w:pStyle w:val="9"/>
        <w:jc w:val="center"/>
      </w:pPr>
      <w:bookmarkStart w:id="6" w:name="_Toc27752"/>
      <w:bookmarkStart w:id="7" w:name="_Toc448097404"/>
      <w:bookmarkStart w:id="8" w:name="_Toc24237"/>
      <w:r>
        <w:t>第</w:t>
      </w:r>
      <w:r>
        <w:rPr>
          <w:rFonts w:hint="eastAsia"/>
        </w:rPr>
        <w:t>二</w:t>
      </w:r>
      <w:r>
        <w:t xml:space="preserve">章  </w:t>
      </w:r>
      <w:r>
        <w:rPr>
          <w:rFonts w:hint="eastAsia"/>
        </w:rPr>
        <w:t>评标办法</w:t>
      </w:r>
      <w:bookmarkEnd w:id="6"/>
    </w:p>
    <w:p>
      <w:pPr>
        <w:autoSpaceDE w:val="0"/>
        <w:autoSpaceDN w:val="0"/>
        <w:adjustRightInd w:val="0"/>
        <w:spacing w:before="3" w:line="100" w:lineRule="exact"/>
        <w:jc w:val="left"/>
        <w:rPr>
          <w:rFonts w:ascii="微软雅黑" w:hAnsi="Times New Roman" w:cs="微软雅黑"/>
          <w:kern w:val="0"/>
          <w:sz w:val="10"/>
          <w:szCs w:val="10"/>
        </w:rPr>
      </w:pPr>
      <w:bookmarkStart w:id="9" w:name="_Toc31578"/>
    </w:p>
    <w:bookmarkEnd w:id="9"/>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40" w:firstLineChars="200"/>
        <w:jc w:val="both"/>
        <w:textAlignment w:val="auto"/>
        <w:outlineLvl w:val="9"/>
        <w:rPr>
          <w:rFonts w:ascii="宋体" w:hAnsi="宋体" w:cs="宋体"/>
          <w:kern w:val="0"/>
          <w:sz w:val="22"/>
        </w:rPr>
      </w:pPr>
      <w:r>
        <w:rPr>
          <w:rFonts w:hint="eastAsia" w:ascii="宋体" w:hAnsi="宋体" w:cs="宋体"/>
          <w:kern w:val="0"/>
          <w:sz w:val="22"/>
        </w:rPr>
        <w:t>评标应遵循公平、公正、科学、择优的原则。</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42" w:firstLineChars="200"/>
        <w:jc w:val="both"/>
        <w:textAlignment w:val="auto"/>
        <w:outlineLvl w:val="9"/>
        <w:rPr>
          <w:rFonts w:ascii="宋体" w:hAnsi="宋体" w:cs="宋体"/>
          <w:b/>
          <w:kern w:val="0"/>
          <w:sz w:val="22"/>
        </w:rPr>
      </w:pPr>
      <w:r>
        <w:rPr>
          <w:rFonts w:hint="eastAsia" w:ascii="宋体" w:hAnsi="宋体" w:cs="宋体"/>
          <w:b/>
          <w:kern w:val="0"/>
          <w:sz w:val="22"/>
        </w:rPr>
        <w:t>二、评标组织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ascii="宋体" w:hAnsi="宋体" w:cs="宋体"/>
          <w:sz w:val="22"/>
        </w:rPr>
      </w:pPr>
      <w:r>
        <w:rPr>
          <w:rFonts w:hint="eastAsia" w:ascii="宋体" w:hAnsi="宋体" w:cs="宋体"/>
          <w:sz w:val="22"/>
        </w:rPr>
        <w:t>评标工作由招标人依法组建的评标委员会负责。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ascii="宋体" w:hAnsi="宋体" w:cs="宋体"/>
          <w:sz w:val="22"/>
        </w:rPr>
      </w:pPr>
      <w:bookmarkStart w:id="10"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10"/>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42" w:firstLineChars="200"/>
        <w:jc w:val="both"/>
        <w:textAlignment w:val="auto"/>
        <w:outlineLvl w:val="9"/>
        <w:rPr>
          <w:rFonts w:ascii="宋体" w:hAnsi="宋体" w:cs="宋体"/>
          <w:b/>
          <w:kern w:val="0"/>
          <w:sz w:val="22"/>
        </w:rPr>
      </w:pPr>
      <w:r>
        <w:rPr>
          <w:rFonts w:hint="eastAsia" w:ascii="宋体" w:hAnsi="宋体" w:cs="宋体"/>
          <w:b/>
          <w:kern w:val="0"/>
          <w:sz w:val="22"/>
        </w:rPr>
        <w:t>三、评标程序和内容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三</w:t>
      </w:r>
      <w:r>
        <w:rPr>
          <w:rFonts w:hint="eastAsia" w:ascii="宋体" w:hAnsi="宋体" w:cs="宋体"/>
          <w:sz w:val="22"/>
        </w:rPr>
        <w:t>)投标文件的技术评审；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四</w:t>
      </w:r>
      <w:r>
        <w:rPr>
          <w:rFonts w:hint="eastAsia" w:ascii="宋体" w:hAnsi="宋体" w:cs="宋体"/>
          <w:sz w:val="22"/>
        </w:rPr>
        <w:t>)投标文件的商务评审；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五</w:t>
      </w:r>
      <w:r>
        <w:rPr>
          <w:rFonts w:hint="eastAsia" w:ascii="宋体" w:hAnsi="宋体" w:cs="宋体"/>
          <w:sz w:val="22"/>
        </w:rPr>
        <w:t>)必要时对投标文件中的问题进行询标；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六</w:t>
      </w:r>
      <w:r>
        <w:rPr>
          <w:rFonts w:hint="eastAsia" w:ascii="宋体" w:hAnsi="宋体" w:cs="宋体"/>
          <w:sz w:val="22"/>
        </w:rPr>
        <w:t>)根据评标办法和标准计算综合得分；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七</w:t>
      </w:r>
      <w:r>
        <w:rPr>
          <w:rFonts w:hint="eastAsia" w:ascii="宋体" w:hAnsi="宋体" w:cs="宋体"/>
          <w:sz w:val="22"/>
        </w:rPr>
        <w:t>)对投标人进行排序，推荐中标候选人，完成评标报告。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审查过程中评标委员会可以要求投标人提交有关证明和证件的原件，以便核验。</w:t>
      </w:r>
      <w:bookmarkStart w:id="11" w:name="_Hlk47377053"/>
      <w:r>
        <w:rPr>
          <w:rFonts w:hint="eastAsia" w:ascii="宋体" w:hAnsi="宋体" w:cs="宋体"/>
          <w:sz w:val="22"/>
        </w:rPr>
        <w:t>经评标委员会</w:t>
      </w:r>
      <w:bookmarkStart w:id="12" w:name="_Hlk47446073"/>
      <w:r>
        <w:rPr>
          <w:rFonts w:hint="eastAsia" w:ascii="宋体" w:hAnsi="宋体" w:cs="宋体"/>
          <w:sz w:val="22"/>
        </w:rPr>
        <w:t>评审后，符合性审查不予通过，不再进行下一步评审</w:t>
      </w:r>
      <w:bookmarkEnd w:id="12"/>
      <w:r>
        <w:rPr>
          <w:rFonts w:hint="eastAsia" w:ascii="宋体" w:hAnsi="宋体" w:cs="宋体"/>
          <w:sz w:val="22"/>
        </w:rPr>
        <w:t>。</w:t>
      </w:r>
      <w:bookmarkEnd w:id="11"/>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13" w:name="_Hlk47988709"/>
      <w:r>
        <w:rPr>
          <w:rFonts w:hint="eastAsia" w:ascii="宋体" w:hAnsi="宋体" w:cs="宋体"/>
          <w:sz w:val="22"/>
        </w:rPr>
        <w:t>评标委员会根据评审情况，对技术、商务等方面进行评审。评标委员会根据评审情况，对各投标人的投标文件进行打分。若评标委员会的评分表中计分不在分值范围内的，则该评分表无效。</w:t>
      </w:r>
      <w:bookmarkEnd w:id="13"/>
    </w:p>
    <w:p>
      <w:pPr>
        <w:spacing w:line="360" w:lineRule="exact"/>
        <w:ind w:firstLine="442" w:firstLineChars="200"/>
        <w:rPr>
          <w:rFonts w:ascii="宋体" w:hAnsi="宋体" w:cs="宋体"/>
          <w:b/>
          <w:sz w:val="22"/>
        </w:rPr>
      </w:pPr>
      <w:r>
        <w:rPr>
          <w:rFonts w:hint="eastAsia" w:ascii="宋体" w:hAnsi="宋体" w:cs="宋体"/>
          <w:b/>
          <w:sz w:val="22"/>
        </w:rPr>
        <w:t>1</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w:t>
      </w:r>
      <w:r>
        <w:rPr>
          <w:rFonts w:hint="eastAsia" w:ascii="宋体" w:hAnsi="宋体" w:cs="宋体"/>
          <w:b/>
          <w:sz w:val="22"/>
          <w:u w:val="single"/>
          <w:lang w:val="en-US" w:eastAsia="zh-CN"/>
        </w:rPr>
        <w:t>40</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2"/>
        <w:tblW w:w="9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8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ascii="宋体" w:hAnsi="宋体" w:cs="Arial"/>
                <w:b/>
                <w:bCs/>
                <w:sz w:val="22"/>
              </w:rPr>
            </w:pPr>
            <w:r>
              <w:rPr>
                <w:rFonts w:hint="eastAsia" w:ascii="宋体" w:hAnsi="宋体" w:cs="Arial"/>
                <w:b/>
                <w:bCs/>
                <w:sz w:val="22"/>
              </w:rPr>
              <w:t>评分内容</w:t>
            </w:r>
          </w:p>
        </w:tc>
        <w:tc>
          <w:tcPr>
            <w:tcW w:w="6586" w:type="dxa"/>
            <w:vAlign w:val="center"/>
          </w:tcPr>
          <w:p>
            <w:pPr>
              <w:adjustRightInd w:val="0"/>
              <w:snapToGrid w:val="0"/>
              <w:jc w:val="center"/>
              <w:rPr>
                <w:rFonts w:ascii="宋体" w:hAnsi="宋体" w:cs="Arial"/>
                <w:b/>
                <w:bCs/>
                <w:sz w:val="22"/>
              </w:rPr>
            </w:pPr>
            <w:r>
              <w:rPr>
                <w:rFonts w:hint="eastAsia" w:ascii="宋体" w:hAnsi="宋体" w:cs="Arial"/>
                <w:b/>
                <w:bCs/>
                <w:sz w:val="22"/>
              </w:rPr>
              <w:t>评分</w:t>
            </w:r>
            <w:r>
              <w:rPr>
                <w:rFonts w:hint="eastAsia" w:ascii="宋体" w:hAnsi="宋体" w:cs="宋体"/>
                <w:b/>
                <w:bCs/>
                <w:sz w:val="22"/>
              </w:rPr>
              <w:t>标准</w:t>
            </w:r>
          </w:p>
        </w:tc>
        <w:tc>
          <w:tcPr>
            <w:tcW w:w="851" w:type="dxa"/>
            <w:vAlign w:val="center"/>
          </w:tcPr>
          <w:p>
            <w:pPr>
              <w:tabs>
                <w:tab w:val="left" w:pos="1418"/>
              </w:tabs>
              <w:adjustRightInd w:val="0"/>
              <w:snapToGrid w:val="0"/>
              <w:jc w:val="center"/>
              <w:rPr>
                <w:rFonts w:ascii="宋体" w:hAnsi="宋体" w:cs="宋体"/>
                <w:b/>
                <w:bCs/>
                <w:spacing w:val="-6"/>
                <w:kern w:val="0"/>
                <w:sz w:val="22"/>
              </w:rPr>
            </w:pPr>
            <w:r>
              <w:rPr>
                <w:rFonts w:ascii="宋体" w:hAnsi="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施工方案与技术措施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施工方案与技术措施内容的完整性、针对性和可行性</w:t>
            </w:r>
            <w:r>
              <w:rPr>
                <w:rFonts w:ascii="宋体" w:hAnsi="宋体"/>
                <w:color w:val="auto"/>
                <w:sz w:val="22"/>
              </w:rPr>
              <w:t>，</w:t>
            </w:r>
            <w:r>
              <w:rPr>
                <w:rFonts w:hint="eastAsia" w:ascii="宋体" w:hAnsi="宋体"/>
                <w:color w:val="auto"/>
                <w:sz w:val="22"/>
                <w:lang w:eastAsia="zh-Hans"/>
              </w:rPr>
              <w:t>特别是针对本项目重点难点部位</w:t>
            </w:r>
            <w:r>
              <w:rPr>
                <w:rFonts w:ascii="宋体" w:hAnsi="宋体"/>
                <w:color w:val="auto"/>
                <w:sz w:val="22"/>
              </w:rPr>
              <w:t>；</w:t>
            </w:r>
            <w:r>
              <w:rPr>
                <w:rFonts w:hint="eastAsia" w:ascii="宋体" w:hAnsi="宋体"/>
                <w:color w:val="auto"/>
                <w:sz w:val="22"/>
              </w:rPr>
              <w:t>各投标文件横向比较，</w:t>
            </w:r>
            <w:r>
              <w:rPr>
                <w:rFonts w:hint="eastAsia" w:ascii="宋体" w:hAnsi="宋体" w:cs="宋体"/>
                <w:color w:val="auto"/>
                <w:szCs w:val="24"/>
              </w:rPr>
              <w:t>优秀的得</w:t>
            </w:r>
            <w:r>
              <w:rPr>
                <w:rFonts w:hint="eastAsia" w:ascii="宋体" w:hAnsi="宋体" w:cs="宋体"/>
                <w:color w:val="auto"/>
                <w:szCs w:val="24"/>
                <w:lang w:val="en-US" w:eastAsia="zh-CN"/>
              </w:rPr>
              <w:t>4.2</w:t>
            </w:r>
            <w:r>
              <w:rPr>
                <w:rFonts w:hint="eastAsia" w:ascii="宋体" w:hAnsi="宋体" w:cs="宋体"/>
                <w:color w:val="auto"/>
                <w:szCs w:val="24"/>
              </w:rPr>
              <w:t>-</w:t>
            </w:r>
            <w:r>
              <w:rPr>
                <w:rFonts w:hint="eastAsia" w:ascii="宋体" w:hAnsi="宋体" w:cs="宋体"/>
                <w:color w:val="auto"/>
                <w:szCs w:val="24"/>
                <w:lang w:val="en-US" w:eastAsia="zh-CN"/>
              </w:rPr>
              <w:t>6</w:t>
            </w:r>
            <w:r>
              <w:rPr>
                <w:rFonts w:hint="eastAsia" w:ascii="宋体" w:hAnsi="宋体" w:cs="宋体"/>
                <w:color w:val="auto"/>
                <w:szCs w:val="24"/>
              </w:rPr>
              <w:t>分；良好的</w:t>
            </w:r>
            <w:r>
              <w:rPr>
                <w:rFonts w:hint="eastAsia" w:ascii="宋体" w:hAnsi="宋体" w:cs="宋体"/>
                <w:color w:val="auto"/>
                <w:szCs w:val="24"/>
                <w:lang w:val="en-US" w:eastAsia="zh-CN"/>
              </w:rPr>
              <w:t>2.1</w:t>
            </w:r>
            <w:r>
              <w:rPr>
                <w:rFonts w:hint="eastAsia" w:ascii="宋体" w:hAnsi="宋体" w:cs="宋体"/>
                <w:color w:val="auto"/>
                <w:szCs w:val="24"/>
              </w:rPr>
              <w:t>-</w:t>
            </w:r>
            <w:r>
              <w:rPr>
                <w:rFonts w:hint="eastAsia" w:ascii="宋体" w:hAnsi="宋体" w:cs="宋体"/>
                <w:color w:val="auto"/>
                <w:szCs w:val="24"/>
                <w:lang w:val="en-US" w:eastAsia="zh-CN"/>
              </w:rPr>
              <w:t>4.2</w:t>
            </w:r>
            <w:r>
              <w:rPr>
                <w:rFonts w:hint="eastAsia" w:ascii="宋体" w:hAnsi="宋体" w:cs="宋体"/>
                <w:color w:val="auto"/>
                <w:szCs w:val="24"/>
              </w:rPr>
              <w:t>分；一般的得0-</w:t>
            </w:r>
            <w:r>
              <w:rPr>
                <w:rFonts w:hint="eastAsia" w:ascii="宋体" w:hAnsi="宋体" w:cs="宋体"/>
                <w:color w:val="auto"/>
                <w:szCs w:val="24"/>
                <w:lang w:val="en-US" w:eastAsia="zh-CN"/>
              </w:rPr>
              <w:t>2.1</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质量管理体系与措施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施工质量的控制和检验手段是否科学、可靠；各投标文件横向比较，</w:t>
            </w:r>
            <w:r>
              <w:rPr>
                <w:rFonts w:hint="eastAsia" w:ascii="宋体" w:hAnsi="宋体" w:cs="宋体"/>
                <w:color w:val="auto"/>
                <w:szCs w:val="24"/>
              </w:rPr>
              <w:t>优秀的得</w:t>
            </w:r>
            <w:r>
              <w:rPr>
                <w:rFonts w:hint="eastAsia" w:ascii="宋体" w:hAnsi="宋体" w:cs="宋体"/>
                <w:color w:val="auto"/>
                <w:szCs w:val="24"/>
                <w:lang w:val="en-US" w:eastAsia="zh-CN"/>
              </w:rPr>
              <w:t>4.2</w:t>
            </w:r>
            <w:r>
              <w:rPr>
                <w:rFonts w:hint="eastAsia" w:ascii="宋体" w:hAnsi="宋体" w:cs="宋体"/>
                <w:color w:val="auto"/>
                <w:szCs w:val="24"/>
              </w:rPr>
              <w:t>-</w:t>
            </w:r>
            <w:r>
              <w:rPr>
                <w:rFonts w:hint="eastAsia" w:ascii="宋体" w:hAnsi="宋体" w:cs="宋体"/>
                <w:color w:val="auto"/>
                <w:szCs w:val="24"/>
                <w:lang w:val="en-US" w:eastAsia="zh-CN"/>
              </w:rPr>
              <w:t>6</w:t>
            </w:r>
            <w:r>
              <w:rPr>
                <w:rFonts w:hint="eastAsia" w:ascii="宋体" w:hAnsi="宋体" w:cs="宋体"/>
                <w:color w:val="auto"/>
                <w:szCs w:val="24"/>
              </w:rPr>
              <w:t>分；良好的</w:t>
            </w:r>
            <w:r>
              <w:rPr>
                <w:rFonts w:hint="eastAsia" w:ascii="宋体" w:hAnsi="宋体" w:cs="宋体"/>
                <w:color w:val="auto"/>
                <w:szCs w:val="24"/>
                <w:lang w:val="en-US" w:eastAsia="zh-CN"/>
              </w:rPr>
              <w:t>2.1</w:t>
            </w:r>
            <w:r>
              <w:rPr>
                <w:rFonts w:hint="eastAsia" w:ascii="宋体" w:hAnsi="宋体" w:cs="宋体"/>
                <w:color w:val="auto"/>
                <w:szCs w:val="24"/>
              </w:rPr>
              <w:t>-</w:t>
            </w:r>
            <w:r>
              <w:rPr>
                <w:rFonts w:hint="eastAsia" w:ascii="宋体" w:hAnsi="宋体" w:cs="宋体"/>
                <w:color w:val="auto"/>
                <w:szCs w:val="24"/>
                <w:lang w:val="en-US" w:eastAsia="zh-CN"/>
              </w:rPr>
              <w:t>4.2</w:t>
            </w:r>
            <w:r>
              <w:rPr>
                <w:rFonts w:hint="eastAsia" w:ascii="宋体" w:hAnsi="宋体" w:cs="宋体"/>
                <w:color w:val="auto"/>
                <w:szCs w:val="24"/>
              </w:rPr>
              <w:t>分；一般的得0-</w:t>
            </w:r>
            <w:r>
              <w:rPr>
                <w:rFonts w:hint="eastAsia" w:ascii="宋体" w:hAnsi="宋体" w:cs="宋体"/>
                <w:color w:val="auto"/>
                <w:szCs w:val="24"/>
                <w:lang w:val="en-US" w:eastAsia="zh-CN"/>
              </w:rPr>
              <w:t>2.1</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安全管理体系与措施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安全、文明施工的保证措施是否科学、到位</w:t>
            </w:r>
            <w:r>
              <w:rPr>
                <w:rFonts w:hint="eastAsia" w:ascii="宋体" w:hAnsi="宋体"/>
                <w:color w:val="auto"/>
                <w:sz w:val="22"/>
                <w:lang w:eastAsia="zh-CN"/>
              </w:rPr>
              <w:t>，</w:t>
            </w:r>
            <w:r>
              <w:rPr>
                <w:rFonts w:hint="eastAsia" w:ascii="宋体" w:hAnsi="宋体"/>
                <w:color w:val="auto"/>
                <w:sz w:val="22"/>
                <w:lang w:val="en-US" w:eastAsia="zh-CN"/>
              </w:rPr>
              <w:t>由于部分工程施工位置在4号机坪，夜间施工须避免施工灯光污染，影响飞机滑进推出的措施</w:t>
            </w:r>
            <w:r>
              <w:rPr>
                <w:rFonts w:hint="eastAsia" w:ascii="宋体" w:hAnsi="宋体"/>
                <w:color w:val="auto"/>
                <w:sz w:val="22"/>
              </w:rPr>
              <w:t>；各投标文件横向比较，</w:t>
            </w:r>
            <w:r>
              <w:rPr>
                <w:rFonts w:hint="eastAsia" w:ascii="宋体" w:hAnsi="宋体" w:cs="宋体"/>
                <w:color w:val="auto"/>
                <w:szCs w:val="24"/>
              </w:rPr>
              <w:t>优秀的得2.</w:t>
            </w:r>
            <w:r>
              <w:rPr>
                <w:rFonts w:hint="eastAsia" w:ascii="宋体" w:hAnsi="宋体" w:cs="宋体"/>
                <w:color w:val="auto"/>
                <w:szCs w:val="24"/>
                <w:lang w:val="en-US" w:eastAsia="zh-CN"/>
              </w:rPr>
              <w:t>8</w:t>
            </w:r>
            <w:r>
              <w:rPr>
                <w:rFonts w:hint="eastAsia" w:ascii="宋体" w:hAnsi="宋体" w:cs="宋体"/>
                <w:color w:val="auto"/>
                <w:szCs w:val="24"/>
              </w:rPr>
              <w:t>-</w:t>
            </w:r>
            <w:r>
              <w:rPr>
                <w:rFonts w:hint="eastAsia" w:ascii="宋体" w:hAnsi="宋体" w:cs="宋体"/>
                <w:color w:val="auto"/>
                <w:szCs w:val="24"/>
                <w:lang w:val="en-US" w:eastAsia="zh-CN"/>
              </w:rPr>
              <w:t>4</w:t>
            </w:r>
            <w:r>
              <w:rPr>
                <w:rFonts w:hint="eastAsia" w:ascii="宋体" w:hAnsi="宋体" w:cs="宋体"/>
                <w:color w:val="auto"/>
                <w:szCs w:val="24"/>
              </w:rPr>
              <w:t>分；良好的</w:t>
            </w:r>
            <w:r>
              <w:rPr>
                <w:rFonts w:hint="eastAsia" w:ascii="宋体" w:hAnsi="宋体" w:cs="宋体"/>
                <w:color w:val="auto"/>
                <w:szCs w:val="24"/>
                <w:lang w:val="en-US" w:eastAsia="zh-CN"/>
              </w:rPr>
              <w:t>1.4</w:t>
            </w:r>
            <w:r>
              <w:rPr>
                <w:rFonts w:hint="eastAsia" w:ascii="宋体" w:hAnsi="宋体" w:cs="宋体"/>
                <w:color w:val="auto"/>
                <w:szCs w:val="24"/>
              </w:rPr>
              <w:t>-2</w:t>
            </w:r>
            <w:r>
              <w:rPr>
                <w:rFonts w:hint="eastAsia" w:ascii="宋体" w:hAnsi="宋体" w:cs="宋体"/>
                <w:color w:val="auto"/>
                <w:szCs w:val="24"/>
                <w:lang w:val="en-US" w:eastAsia="zh-CN"/>
              </w:rPr>
              <w:t>.8</w:t>
            </w:r>
            <w:r>
              <w:rPr>
                <w:rFonts w:hint="eastAsia" w:ascii="宋体" w:hAnsi="宋体" w:cs="宋体"/>
                <w:color w:val="auto"/>
                <w:szCs w:val="24"/>
              </w:rPr>
              <w:t>分；一般的得0-</w:t>
            </w:r>
            <w:r>
              <w:rPr>
                <w:rFonts w:hint="eastAsia" w:ascii="宋体" w:hAnsi="宋体" w:cs="宋体"/>
                <w:color w:val="auto"/>
                <w:szCs w:val="24"/>
                <w:lang w:val="en-US" w:eastAsia="zh-CN"/>
              </w:rPr>
              <w:t>1.4</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环境保护管理体系与措施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市政、市容、环保、消防等的保证措施是否科学、到位</w:t>
            </w:r>
            <w:r>
              <w:rPr>
                <w:rFonts w:hint="eastAsia" w:ascii="宋体" w:hAnsi="宋体"/>
                <w:color w:val="auto"/>
                <w:sz w:val="22"/>
                <w:lang w:eastAsia="zh-CN"/>
              </w:rPr>
              <w:t>，</w:t>
            </w:r>
            <w:r>
              <w:rPr>
                <w:rFonts w:hint="eastAsia" w:ascii="宋体" w:hAnsi="宋体"/>
                <w:color w:val="auto"/>
                <w:sz w:val="22"/>
                <w:lang w:val="en-US" w:eastAsia="zh-CN"/>
              </w:rPr>
              <w:t>由于部分工程施工位置在4号机坪，施工单位防止FOD入侵的措施</w:t>
            </w:r>
            <w:r>
              <w:rPr>
                <w:rFonts w:hint="eastAsia" w:ascii="宋体" w:hAnsi="宋体"/>
                <w:color w:val="auto"/>
                <w:sz w:val="22"/>
              </w:rPr>
              <w:t>；各投标文件横向比较，</w:t>
            </w:r>
            <w:r>
              <w:rPr>
                <w:rFonts w:hint="eastAsia" w:ascii="宋体" w:hAnsi="宋体" w:cs="宋体"/>
                <w:color w:val="auto"/>
                <w:szCs w:val="24"/>
              </w:rPr>
              <w:t>优秀的得</w:t>
            </w:r>
            <w:r>
              <w:rPr>
                <w:rFonts w:hint="eastAsia" w:ascii="宋体" w:hAnsi="宋体" w:cs="宋体"/>
                <w:color w:val="auto"/>
                <w:szCs w:val="24"/>
                <w:lang w:val="en-US" w:eastAsia="zh-CN"/>
              </w:rPr>
              <w:t>2.8</w:t>
            </w:r>
            <w:r>
              <w:rPr>
                <w:rFonts w:hint="eastAsia" w:ascii="宋体" w:hAnsi="宋体" w:cs="宋体"/>
                <w:color w:val="auto"/>
                <w:szCs w:val="24"/>
              </w:rPr>
              <w:t>-</w:t>
            </w:r>
            <w:r>
              <w:rPr>
                <w:rFonts w:hint="eastAsia" w:ascii="宋体" w:hAnsi="宋体" w:cs="宋体"/>
                <w:color w:val="auto"/>
                <w:szCs w:val="24"/>
                <w:lang w:val="en-US" w:eastAsia="zh-CN"/>
              </w:rPr>
              <w:t>4</w:t>
            </w:r>
            <w:r>
              <w:rPr>
                <w:rFonts w:hint="eastAsia" w:ascii="宋体" w:hAnsi="宋体" w:cs="宋体"/>
                <w:color w:val="auto"/>
                <w:szCs w:val="24"/>
              </w:rPr>
              <w:t>分；良好的</w:t>
            </w:r>
            <w:r>
              <w:rPr>
                <w:rFonts w:hint="eastAsia" w:ascii="宋体" w:hAnsi="宋体" w:cs="宋体"/>
                <w:color w:val="auto"/>
                <w:szCs w:val="24"/>
                <w:lang w:val="en-US" w:eastAsia="zh-CN"/>
              </w:rPr>
              <w:t>1.4</w:t>
            </w:r>
            <w:r>
              <w:rPr>
                <w:rFonts w:hint="eastAsia" w:ascii="宋体" w:hAnsi="宋体" w:cs="宋体"/>
                <w:color w:val="auto"/>
                <w:szCs w:val="24"/>
              </w:rPr>
              <w:t>-2</w:t>
            </w:r>
            <w:r>
              <w:rPr>
                <w:rFonts w:hint="eastAsia" w:ascii="宋体" w:hAnsi="宋体" w:cs="宋体"/>
                <w:color w:val="auto"/>
                <w:szCs w:val="24"/>
                <w:lang w:val="en-US" w:eastAsia="zh-CN"/>
              </w:rPr>
              <w:t>.8</w:t>
            </w:r>
            <w:r>
              <w:rPr>
                <w:rFonts w:hint="eastAsia" w:ascii="宋体" w:hAnsi="宋体" w:cs="宋体"/>
                <w:color w:val="auto"/>
                <w:szCs w:val="24"/>
              </w:rPr>
              <w:t>分；一般的得0-1</w:t>
            </w:r>
            <w:r>
              <w:rPr>
                <w:rFonts w:hint="eastAsia" w:ascii="宋体" w:hAnsi="宋体" w:cs="宋体"/>
                <w:color w:val="auto"/>
                <w:szCs w:val="24"/>
                <w:lang w:val="en-US" w:eastAsia="zh-CN"/>
              </w:rPr>
              <w:t>.4</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工期保证体系及保证措施</w:t>
            </w:r>
          </w:p>
        </w:tc>
        <w:tc>
          <w:tcPr>
            <w:tcW w:w="6586" w:type="dxa"/>
            <w:vAlign w:val="center"/>
          </w:tcPr>
          <w:p>
            <w:pPr>
              <w:snapToGrid w:val="0"/>
              <w:jc w:val="left"/>
              <w:rPr>
                <w:rFonts w:ascii="宋体" w:hAnsi="宋体"/>
                <w:sz w:val="22"/>
              </w:rPr>
            </w:pPr>
            <w:r>
              <w:rPr>
                <w:rFonts w:hint="eastAsia" w:ascii="宋体" w:hAnsi="宋体"/>
                <w:sz w:val="22"/>
              </w:rPr>
              <w:t>工期承诺及施工进度网络计划、关键节点和线路的技术保证措施是否具有针对性和可行性；现场施工不利条件和恶劣天气对施工</w:t>
            </w:r>
            <w:r>
              <w:rPr>
                <w:rFonts w:hint="eastAsia" w:ascii="宋体" w:hAnsi="宋体"/>
                <w:sz w:val="22"/>
                <w:lang w:eastAsia="zh-Hans"/>
              </w:rPr>
              <w:t>工期</w:t>
            </w:r>
            <w:r>
              <w:rPr>
                <w:rFonts w:hint="eastAsia" w:ascii="宋体" w:hAnsi="宋体"/>
                <w:sz w:val="22"/>
              </w:rPr>
              <w:t>带来</w:t>
            </w:r>
            <w:r>
              <w:rPr>
                <w:rFonts w:hint="eastAsia" w:ascii="宋体" w:hAnsi="宋体"/>
                <w:sz w:val="22"/>
                <w:lang w:eastAsia="zh-Hans"/>
              </w:rPr>
              <w:t>的</w:t>
            </w:r>
            <w:r>
              <w:rPr>
                <w:rFonts w:hint="eastAsia" w:ascii="宋体" w:hAnsi="宋体"/>
                <w:sz w:val="22"/>
              </w:rPr>
              <w:t>影响</w:t>
            </w:r>
            <w:r>
              <w:rPr>
                <w:rFonts w:hint="eastAsia" w:ascii="宋体" w:hAnsi="宋体"/>
                <w:sz w:val="22"/>
                <w:lang w:eastAsia="zh-Hans"/>
              </w:rPr>
              <w:t>及</w:t>
            </w:r>
            <w:r>
              <w:rPr>
                <w:rFonts w:hint="eastAsia" w:ascii="宋体" w:hAnsi="宋体"/>
                <w:sz w:val="22"/>
              </w:rPr>
              <w:t>解决办法；</w:t>
            </w:r>
            <w:r>
              <w:rPr>
                <w:rFonts w:hint="eastAsia" w:ascii="宋体" w:hAnsi="宋体"/>
                <w:color w:val="auto"/>
                <w:sz w:val="22"/>
                <w:lang w:val="en-US" w:eastAsia="zh-CN"/>
              </w:rPr>
              <w:t>配合建设方提请施工相关报批手续；</w:t>
            </w:r>
            <w:r>
              <w:rPr>
                <w:rFonts w:hint="eastAsia" w:ascii="宋体" w:hAnsi="宋体"/>
                <w:sz w:val="22"/>
              </w:rPr>
              <w:t>各投标文件横向比较，</w:t>
            </w:r>
            <w:r>
              <w:rPr>
                <w:rFonts w:hint="eastAsia" w:ascii="宋体" w:hAnsi="宋体" w:cs="宋体"/>
                <w:szCs w:val="24"/>
              </w:rPr>
              <w:t>优秀的得</w:t>
            </w:r>
            <w:r>
              <w:rPr>
                <w:rFonts w:hint="eastAsia" w:ascii="宋体" w:hAnsi="宋体" w:cs="宋体"/>
                <w:szCs w:val="24"/>
                <w:lang w:val="en-US" w:eastAsia="zh-CN"/>
              </w:rPr>
              <w:t>4.2</w:t>
            </w:r>
            <w:r>
              <w:rPr>
                <w:rFonts w:hint="eastAsia" w:ascii="宋体" w:hAnsi="宋体" w:cs="宋体"/>
                <w:szCs w:val="24"/>
              </w:rPr>
              <w:t>-</w:t>
            </w:r>
            <w:r>
              <w:rPr>
                <w:rFonts w:hint="eastAsia" w:ascii="宋体" w:hAnsi="宋体" w:cs="宋体"/>
                <w:szCs w:val="24"/>
                <w:lang w:val="en-US" w:eastAsia="zh-CN"/>
              </w:rPr>
              <w:t>6</w:t>
            </w:r>
            <w:r>
              <w:rPr>
                <w:rFonts w:hint="eastAsia" w:ascii="宋体" w:hAnsi="宋体" w:cs="宋体"/>
                <w:szCs w:val="24"/>
              </w:rPr>
              <w:t>分；良好的</w:t>
            </w:r>
            <w:r>
              <w:rPr>
                <w:rFonts w:hint="eastAsia" w:ascii="宋体" w:hAnsi="宋体" w:cs="宋体"/>
                <w:szCs w:val="24"/>
                <w:lang w:val="en-US" w:eastAsia="zh-CN"/>
              </w:rPr>
              <w:t>2.1</w:t>
            </w:r>
            <w:r>
              <w:rPr>
                <w:rFonts w:hint="eastAsia" w:ascii="宋体" w:hAnsi="宋体" w:cs="宋体"/>
                <w:szCs w:val="24"/>
              </w:rPr>
              <w:t>-</w:t>
            </w:r>
            <w:r>
              <w:rPr>
                <w:rFonts w:hint="eastAsia" w:ascii="宋体" w:hAnsi="宋体" w:cs="宋体"/>
                <w:szCs w:val="24"/>
                <w:lang w:val="en-US" w:eastAsia="zh-CN"/>
              </w:rPr>
              <w:t>4.2</w:t>
            </w:r>
            <w:r>
              <w:rPr>
                <w:rFonts w:hint="eastAsia" w:ascii="宋体" w:hAnsi="宋体" w:cs="宋体"/>
                <w:szCs w:val="24"/>
              </w:rPr>
              <w:t>分；一般的得0-</w:t>
            </w:r>
            <w:r>
              <w:rPr>
                <w:rFonts w:hint="eastAsia" w:ascii="宋体" w:hAnsi="宋体" w:cs="宋体"/>
                <w:szCs w:val="24"/>
                <w:lang w:val="en-US" w:eastAsia="zh-CN"/>
              </w:rPr>
              <w:t>2.1</w:t>
            </w:r>
            <w:r>
              <w:rPr>
                <w:rFonts w:hint="eastAsia" w:ascii="宋体" w:hAnsi="宋体" w:cs="宋体"/>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资源配置计划</w:t>
            </w:r>
          </w:p>
        </w:tc>
        <w:tc>
          <w:tcPr>
            <w:tcW w:w="6586" w:type="dxa"/>
            <w:vAlign w:val="center"/>
          </w:tcPr>
          <w:p>
            <w:pPr>
              <w:snapToGrid w:val="0"/>
              <w:jc w:val="left"/>
              <w:rPr>
                <w:rFonts w:ascii="宋体" w:hAnsi="宋体"/>
                <w:sz w:val="22"/>
              </w:rPr>
            </w:pPr>
            <w:r>
              <w:rPr>
                <w:rFonts w:hint="eastAsia" w:ascii="宋体" w:hAnsi="宋体"/>
                <w:sz w:val="22"/>
              </w:rPr>
              <w:t>各专业工种的配置和劳动力的投入是否能满足工程的需要；施工机具和检验仪器的投入是否能够满足</w:t>
            </w:r>
            <w:r>
              <w:rPr>
                <w:rFonts w:hint="eastAsia" w:ascii="宋体" w:hAnsi="宋体"/>
                <w:sz w:val="22"/>
                <w:lang w:eastAsia="zh-Hans"/>
              </w:rPr>
              <w:t>本项目需要</w:t>
            </w:r>
            <w:r>
              <w:rPr>
                <w:rFonts w:hint="eastAsia" w:ascii="宋体" w:hAnsi="宋体"/>
                <w:sz w:val="22"/>
              </w:rPr>
              <w:t>；各投标文件横向比较，</w:t>
            </w:r>
            <w:r>
              <w:rPr>
                <w:rFonts w:hint="eastAsia" w:ascii="宋体" w:hAnsi="宋体" w:cs="宋体"/>
                <w:szCs w:val="24"/>
              </w:rPr>
              <w:t>优秀的得</w:t>
            </w:r>
            <w:r>
              <w:rPr>
                <w:rFonts w:hint="eastAsia" w:ascii="宋体" w:hAnsi="宋体" w:cs="宋体"/>
                <w:szCs w:val="24"/>
                <w:lang w:val="en-US" w:eastAsia="zh-CN"/>
              </w:rPr>
              <w:t>4.2</w:t>
            </w:r>
            <w:r>
              <w:rPr>
                <w:rFonts w:hint="eastAsia" w:ascii="宋体" w:hAnsi="宋体" w:cs="宋体"/>
                <w:szCs w:val="24"/>
              </w:rPr>
              <w:t>-</w:t>
            </w:r>
            <w:r>
              <w:rPr>
                <w:rFonts w:hint="eastAsia" w:ascii="宋体" w:hAnsi="宋体" w:cs="宋体"/>
                <w:szCs w:val="24"/>
                <w:lang w:val="en-US" w:eastAsia="zh-CN"/>
              </w:rPr>
              <w:t>6</w:t>
            </w:r>
            <w:r>
              <w:rPr>
                <w:rFonts w:hint="eastAsia" w:ascii="宋体" w:hAnsi="宋体" w:cs="宋体"/>
                <w:szCs w:val="24"/>
              </w:rPr>
              <w:t>分；良好的</w:t>
            </w:r>
            <w:r>
              <w:rPr>
                <w:rFonts w:hint="eastAsia" w:ascii="宋体" w:hAnsi="宋体" w:cs="宋体"/>
                <w:szCs w:val="24"/>
                <w:lang w:val="en-US" w:eastAsia="zh-CN"/>
              </w:rPr>
              <w:t>2.1</w:t>
            </w:r>
            <w:r>
              <w:rPr>
                <w:rFonts w:hint="eastAsia" w:ascii="宋体" w:hAnsi="宋体" w:cs="宋体"/>
                <w:szCs w:val="24"/>
              </w:rPr>
              <w:t>-</w:t>
            </w:r>
            <w:r>
              <w:rPr>
                <w:rFonts w:hint="eastAsia" w:ascii="宋体" w:hAnsi="宋体" w:cs="宋体"/>
                <w:szCs w:val="24"/>
                <w:lang w:val="en-US" w:eastAsia="zh-CN"/>
              </w:rPr>
              <w:t>4.2</w:t>
            </w:r>
            <w:r>
              <w:rPr>
                <w:rFonts w:hint="eastAsia" w:ascii="宋体" w:hAnsi="宋体" w:cs="宋体"/>
                <w:szCs w:val="24"/>
              </w:rPr>
              <w:t>分；一般的得0-</w:t>
            </w:r>
            <w:r>
              <w:rPr>
                <w:rFonts w:hint="eastAsia" w:ascii="宋体" w:hAnsi="宋体" w:cs="宋体"/>
                <w:szCs w:val="24"/>
                <w:lang w:val="en-US" w:eastAsia="zh-CN"/>
              </w:rPr>
              <w:t>2.1</w:t>
            </w:r>
            <w:r>
              <w:rPr>
                <w:rFonts w:hint="eastAsia" w:ascii="宋体" w:hAnsi="宋体" w:cs="宋体"/>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left"/>
              <w:rPr>
                <w:rFonts w:ascii="宋体" w:hAnsi="宋体" w:cs="宋体"/>
                <w:szCs w:val="24"/>
              </w:rPr>
            </w:pPr>
            <w:r>
              <w:rPr>
                <w:rFonts w:hint="eastAsia" w:ascii="宋体" w:hAnsi="宋体" w:cs="宋体"/>
                <w:szCs w:val="24"/>
              </w:rPr>
              <w:t>设备材料</w:t>
            </w:r>
          </w:p>
        </w:tc>
        <w:tc>
          <w:tcPr>
            <w:tcW w:w="6586" w:type="dxa"/>
            <w:vAlign w:val="center"/>
          </w:tcPr>
          <w:p>
            <w:pPr>
              <w:adjustRightInd w:val="0"/>
              <w:snapToGrid w:val="0"/>
              <w:jc w:val="left"/>
              <w:rPr>
                <w:rFonts w:ascii="宋体" w:hAnsi="宋体" w:cs="宋体"/>
                <w:szCs w:val="24"/>
              </w:rPr>
            </w:pPr>
            <w:r>
              <w:rPr>
                <w:rFonts w:hint="eastAsia" w:ascii="宋体" w:hAnsi="宋体" w:cs="宋体"/>
                <w:szCs w:val="24"/>
              </w:rPr>
              <w:t>投标人所使用的主要设备材料根据投标人提供的证明文件进行综合打分，优秀的得5.4-8分；良好的2.7-5.3分；一般的得0-2.6分。</w:t>
            </w:r>
          </w:p>
        </w:tc>
        <w:tc>
          <w:tcPr>
            <w:tcW w:w="851" w:type="dxa"/>
            <w:vAlign w:val="center"/>
          </w:tcPr>
          <w:p>
            <w:pPr>
              <w:jc w:val="center"/>
              <w:rPr>
                <w:rFonts w:hint="eastAsia" w:ascii="宋体" w:hAnsi="宋体" w:cs="宋体"/>
                <w:szCs w:val="24"/>
              </w:rPr>
            </w:pPr>
            <w:r>
              <w:rPr>
                <w:rFonts w:hint="eastAsia" w:ascii="宋体" w:hAnsi="宋体" w:cs="宋体"/>
                <w:szCs w:val="24"/>
              </w:rPr>
              <w:t>0-8</w:t>
            </w:r>
          </w:p>
        </w:tc>
      </w:tr>
    </w:tbl>
    <w:p>
      <w:pPr>
        <w:adjustRightInd w:val="0"/>
        <w:snapToGrid w:val="0"/>
        <w:spacing w:line="360" w:lineRule="exact"/>
        <w:ind w:firstLine="440" w:firstLineChars="200"/>
        <w:rPr>
          <w:rFonts w:ascii="宋体" w:hAnsi="宋体" w:cs="宋体"/>
          <w:b/>
          <w:sz w:val="22"/>
        </w:rPr>
      </w:pPr>
      <w:r>
        <w:rPr>
          <w:rFonts w:ascii="宋体" w:hAnsi="宋体" w:cs="宋体"/>
          <w:sz w:val="22"/>
        </w:rPr>
        <w:t>3</w:t>
      </w:r>
      <w:r>
        <w:rPr>
          <w:rFonts w:hint="eastAsia" w:ascii="宋体" w:hAnsi="宋体" w:cs="宋体"/>
          <w:sz w:val="22"/>
        </w:rPr>
        <w:t>.</w:t>
      </w:r>
      <w:r>
        <w:rPr>
          <w:rFonts w:hint="eastAsia" w:ascii="宋体" w:hAnsi="宋体" w:cs="宋体"/>
          <w:b/>
          <w:sz w:val="22"/>
        </w:rPr>
        <w:t>投标文件的商务报价评审(</w:t>
      </w:r>
      <w:r>
        <w:rPr>
          <w:rFonts w:hint="eastAsia" w:ascii="宋体" w:hAnsi="宋体" w:cs="宋体"/>
          <w:b/>
          <w:sz w:val="22"/>
          <w:u w:val="single"/>
        </w:rPr>
        <w:t xml:space="preserve"> </w:t>
      </w:r>
      <w:r>
        <w:rPr>
          <w:rFonts w:hint="eastAsia" w:ascii="宋体" w:hAnsi="宋体" w:cs="宋体"/>
          <w:b/>
          <w:sz w:val="22"/>
          <w:u w:val="single"/>
          <w:lang w:val="en-US" w:eastAsia="zh-CN"/>
        </w:rPr>
        <w:t>60</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w:t>
      </w:r>
      <w:r>
        <w:rPr>
          <w:rFonts w:hint="eastAsia" w:ascii="宋体" w:hAnsi="宋体" w:cs="宋体"/>
          <w:b w:val="0"/>
          <w:bCs w:val="0"/>
          <w:sz w:val="22"/>
        </w:rPr>
        <w:t>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numPr>
          <w:ilvl w:val="0"/>
          <w:numId w:val="4"/>
        </w:num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评分范围：通过符合性审查的所有投标文件进入评分范围(下称有效评标价)。</w:t>
      </w:r>
    </w:p>
    <w:p>
      <w:pPr>
        <w:pStyle w:val="5"/>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outlineLvl w:val="9"/>
        <w:rPr>
          <w:rFonts w:hint="eastAsia"/>
        </w:rPr>
      </w:pPr>
      <w:r>
        <w:rPr>
          <w:rFonts w:hint="eastAsia" w:hAnsi="宋体" w:cs="Calibri"/>
          <w:b/>
          <w:bCs/>
          <w:sz w:val="22"/>
          <w:szCs w:val="22"/>
        </w:rPr>
        <w:t>二次平均法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5</w:t>
      </w:r>
      <w:r>
        <w:rPr>
          <w:rFonts w:hint="eastAsia" w:ascii="宋体" w:hAnsi="宋体" w:cs="宋体"/>
          <w:sz w:val="22"/>
        </w:rPr>
        <w:t>)报价平均值：有效评标价的算术平均值为报价平均值(有效评标价在5个及以上时，去除一个最高价和一个最低价；有效评标价在8个及以上时，去除一个最高价、一个次高价和一个最低价、一个次低价)。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6</w:t>
      </w:r>
      <w:r>
        <w:rPr>
          <w:rFonts w:hint="eastAsia" w:ascii="宋体" w:hAnsi="宋体" w:cs="宋体"/>
          <w:sz w:val="22"/>
        </w:rPr>
        <w:t>)评标基准价：报价平均值与有效评标价中的次低评标价(不足4个的与最低评标价)的算术平均值为评标基准价。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7</w:t>
      </w:r>
      <w:r>
        <w:rPr>
          <w:rFonts w:hint="eastAsia" w:ascii="宋体" w:hAnsi="宋体" w:cs="宋体"/>
          <w:sz w:val="22"/>
        </w:rPr>
        <w:t>)根据投标文件的有效评标价与评标基准价对比，计算投标人的商务报价的得分值。即：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3.投标文件的综合得分：每个投标人综合得分=</w:t>
      </w:r>
      <w:r>
        <w:rPr>
          <w:rFonts w:hint="eastAsia" w:ascii="宋体" w:hAnsi="宋体" w:cs="宋体"/>
          <w:b/>
          <w:sz w:val="22"/>
          <w:lang w:val="en-US" w:eastAsia="zh-CN"/>
        </w:rPr>
        <w:t>技术</w:t>
      </w:r>
      <w:r>
        <w:rPr>
          <w:rFonts w:hint="eastAsia" w:ascii="宋体" w:hAnsi="宋体" w:cs="宋体"/>
          <w:b/>
          <w:sz w:val="22"/>
        </w:rPr>
        <w:t>分+</w:t>
      </w:r>
      <w:r>
        <w:rPr>
          <w:rFonts w:hint="eastAsia" w:ascii="宋体" w:hAnsi="宋体" w:cs="宋体"/>
          <w:b/>
          <w:sz w:val="22"/>
          <w:lang w:val="en-US" w:eastAsia="zh-CN"/>
        </w:rPr>
        <w:t>商务</w:t>
      </w:r>
      <w:r>
        <w:rPr>
          <w:rFonts w:hint="eastAsia" w:ascii="宋体" w:hAnsi="宋体" w:cs="宋体"/>
          <w:b/>
          <w:sz w:val="22"/>
        </w:rPr>
        <w:t>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eastAsia" w:ascii="宋体" w:hAnsi="宋体" w:cs="宋体" w:eastAsiaTheme="minorEastAsia"/>
          <w:sz w:val="22"/>
          <w:lang w:eastAsia="zh-CN"/>
        </w:rPr>
      </w:pPr>
      <w:r>
        <w:rPr>
          <w:rFonts w:hint="eastAsia" w:ascii="宋体" w:hAnsi="宋体" w:cs="宋体"/>
          <w:sz w:val="22"/>
        </w:rPr>
        <w:t>(2)当有效投标文件只有一名时，则由评标委员会确定是否推荐为中标候选人</w:t>
      </w:r>
      <w:r>
        <w:rPr>
          <w:rFonts w:hint="eastAsia" w:ascii="宋体" w:hAnsi="宋体" w:cs="宋体"/>
          <w:sz w:val="22"/>
          <w:lang w:eastAsia="zh-CN"/>
        </w:rPr>
        <w:t>。</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outlineLvl w:val="9"/>
        <w:rPr>
          <w:rFonts w:ascii="宋体" w:hAnsi="宋体" w:cs="宋体"/>
          <w:b/>
          <w:sz w:val="22"/>
        </w:rPr>
      </w:pPr>
      <w:r>
        <w:rPr>
          <w:rFonts w:hint="eastAsia" w:ascii="宋体" w:hAnsi="宋体" w:cs="宋体"/>
          <w:b/>
          <w:sz w:val="22"/>
        </w:rPr>
        <w:t>(二)评标报告应包括以下内容：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9"/>
        <w:rPr>
          <w:rFonts w:hint="eastAsia"/>
          <w:lang w:val="en-US" w:eastAsia="zh-CN"/>
        </w:rPr>
      </w:pPr>
      <w:r>
        <w:rPr>
          <w:rFonts w:ascii="宋体" w:hAnsi="宋体" w:cs="宋体"/>
          <w:sz w:val="22"/>
        </w:rPr>
        <w:br w:type="page"/>
      </w:r>
    </w:p>
    <w:p>
      <w:pPr>
        <w:pStyle w:val="9"/>
        <w:jc w:val="center"/>
        <w:rPr>
          <w:rFonts w:ascii="宋体" w:hAnsi="宋体" w:cs="宋体"/>
          <w:b/>
          <w:sz w:val="28"/>
          <w:szCs w:val="20"/>
        </w:rPr>
      </w:pPr>
      <w:bookmarkStart w:id="14" w:name="_Toc17411"/>
      <w:r>
        <w:rPr>
          <w:rFonts w:hint="eastAsia"/>
          <w:lang w:val="en-US" w:eastAsia="zh-CN"/>
        </w:rPr>
        <w:t>第三章</w:t>
      </w:r>
      <w:r>
        <w:t xml:space="preserve">  </w:t>
      </w:r>
      <w:r>
        <w:rPr>
          <w:rFonts w:hint="eastAsia"/>
        </w:rPr>
        <w:t>合同条款及格式</w:t>
      </w:r>
      <w:bookmarkEnd w:id="7"/>
      <w:bookmarkEnd w:id="14"/>
      <w:bookmarkStart w:id="15" w:name="_Toc448097405"/>
    </w:p>
    <w:bookmarkEnd w:id="15"/>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32"/>
          <w:szCs w:val="32"/>
          <w:lang w:val="en-US" w:eastAsia="zh-CN"/>
        </w:rPr>
      </w:pPr>
      <w:bookmarkStart w:id="16" w:name="_Toc448097407"/>
      <w:r>
        <w:rPr>
          <w:rFonts w:hint="eastAsia" w:asciiTheme="minorEastAsia" w:hAnsiTheme="minorEastAsia" w:cstheme="minorEastAsia"/>
          <w:b/>
          <w:bCs/>
          <w:sz w:val="32"/>
          <w:szCs w:val="32"/>
          <w:lang w:val="en-US" w:eastAsia="zh-CN"/>
        </w:rPr>
        <w:t>杭州萧山国际机场新建T4航站楼涉疫垃圾回收点项目</w:t>
      </w:r>
    </w:p>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施工合同</w:t>
      </w:r>
    </w:p>
    <w:p>
      <w:pPr>
        <w:keepNext w:val="0"/>
        <w:keepLines w:val="0"/>
        <w:pageBreakBefore w:val="0"/>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3" name="直接连接符 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60288;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x4jznYAAAACQEAAA8A&#10;AAAAAAAAAQAgAAAAIgAAAGRycy9kb3ducmV2LnhtbFBLAQIUABQAAAAIAIdO4kCPrqjP3gEAAIkD&#10;AAAOAAAAAAAAAAEAIAAAACcBAABkcnMvZTJvRG9jLnhtbFBLBQYAAAAABgAGAFkBAAB3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发包方（甲方）：杭州萧山国际机场有限公司</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59264;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Theme="minorEastAsia" w:hAnsiTheme="minorEastAsia" w:eastAsiaTheme="minorEastAsia" w:cstheme="minorEastAsia"/>
          <w:sz w:val="24"/>
          <w:szCs w:val="24"/>
        </w:rPr>
        <w:t>承包方（乙方）：</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按照《中华人民共和国</w:t>
      </w:r>
      <w:r>
        <w:rPr>
          <w:rFonts w:hint="eastAsia" w:asciiTheme="minorEastAsia" w:hAnsiTheme="minorEastAsia" w:eastAsiaTheme="minorEastAsia" w:cstheme="minorEastAsia"/>
          <w:sz w:val="24"/>
          <w:szCs w:val="24"/>
          <w:lang w:eastAsia="zh-CN"/>
        </w:rPr>
        <w:t>民法典</w:t>
      </w:r>
      <w:r>
        <w:rPr>
          <w:rFonts w:hint="eastAsia" w:asciiTheme="minorEastAsia" w:hAnsiTheme="minorEastAsia" w:eastAsiaTheme="minorEastAsia" w:cstheme="minorEastAsia"/>
          <w:sz w:val="24"/>
          <w:szCs w:val="24"/>
        </w:rPr>
        <w:t>》和《中华人民共和国建筑法》的规定，结合本工程具体情况，双方达成如下协议。</w:t>
      </w:r>
    </w:p>
    <w:p>
      <w:pPr>
        <w:keepNext w:val="0"/>
        <w:keepLines w:val="0"/>
        <w:pageBreakBefore w:val="0"/>
        <w:numPr>
          <w:ilvl w:val="0"/>
          <w:numId w:val="5"/>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工程概况</w:t>
      </w:r>
    </w:p>
    <w:p>
      <w:pPr>
        <w:keepNext w:val="0"/>
        <w:keepLines w:val="0"/>
        <w:pageBreakBefore w:val="0"/>
        <w:kinsoku/>
        <w:wordWrap/>
        <w:topLinePunct w:val="0"/>
        <w:bidi w:val="0"/>
        <w:spacing w:line="400" w:lineRule="exact"/>
        <w:ind w:left="2159" w:leftChars="228" w:right="0" w:rightChars="0" w:hanging="1680" w:hangingChars="7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1.1工程名称：</w:t>
      </w:r>
      <w:r>
        <w:rPr>
          <w:rFonts w:hint="eastAsia" w:asciiTheme="minorEastAsia" w:hAnsiTheme="minorEastAsia" w:cstheme="minorEastAsia"/>
          <w:sz w:val="24"/>
          <w:szCs w:val="24"/>
          <w:lang w:eastAsia="zh-CN"/>
        </w:rPr>
        <w:t>杭州萧山国际机场新建T4航站楼涉疫垃圾回收点项目</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1.2工程地点：杭州萧山国际机场内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1.3承包范围：在T4机坪、T4航站楼0米层西侧23号门与高架连廊下方</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按防疫办需求各新建一个涉疫垃圾回收点</w:t>
      </w:r>
      <w:r>
        <w:rPr>
          <w:rFonts w:hint="eastAsia" w:asciiTheme="minorEastAsia" w:hAnsiTheme="minorEastAsia" w:cstheme="minorEastAsia"/>
          <w:sz w:val="24"/>
          <w:szCs w:val="24"/>
          <w:lang w:eastAsia="zh-CN"/>
        </w:rPr>
        <w:t>。</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1.4承包方式：</w:t>
      </w:r>
      <w:r>
        <w:rPr>
          <w:rFonts w:hint="eastAsia" w:asciiTheme="minorEastAsia" w:hAnsiTheme="minorEastAsia" w:eastAsiaTheme="minorEastAsia" w:cstheme="minorEastAsia"/>
          <w:sz w:val="24"/>
          <w:szCs w:val="24"/>
          <w:lang w:eastAsia="zh-CN"/>
        </w:rPr>
        <w:t>包工包料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1.5工期：工程具体开工日期以发包人书面指示为准，工期</w:t>
      </w:r>
      <w:r>
        <w:rPr>
          <w:rFonts w:hint="eastAsia" w:asciiTheme="minorEastAsia" w:hAnsiTheme="minorEastAsia" w:cstheme="minorEastAsia"/>
          <w:sz w:val="24"/>
          <w:szCs w:val="24"/>
          <w:u w:val="single"/>
          <w:lang w:val="en-US" w:eastAsia="zh-CN"/>
        </w:rPr>
        <w:t>10</w:t>
      </w:r>
      <w:r>
        <w:rPr>
          <w:rFonts w:hint="eastAsia" w:asciiTheme="minorEastAsia" w:hAnsiTheme="minorEastAsia" w:eastAsiaTheme="minorEastAsia" w:cstheme="minorEastAsia"/>
          <w:sz w:val="24"/>
          <w:szCs w:val="24"/>
        </w:rPr>
        <w:t>日历天。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1.6工程质量：</w:t>
      </w:r>
      <w:r>
        <w:rPr>
          <w:rFonts w:hint="eastAsia" w:asciiTheme="minorEastAsia" w:hAnsiTheme="minorEastAsia" w:eastAsiaTheme="minorEastAsia" w:cstheme="minorEastAsia"/>
          <w:kern w:val="0"/>
          <w:sz w:val="24"/>
          <w:szCs w:val="24"/>
          <w:u w:val="single"/>
        </w:rPr>
        <w:t>工程达到符合国家施工验收规范规定的合格标准，确保一次性验收合格。</w:t>
      </w:r>
    </w:p>
    <w:p>
      <w:pPr>
        <w:keepNext w:val="0"/>
        <w:keepLines w:val="0"/>
        <w:pageBreakBefore w:val="0"/>
        <w:kinsoku/>
        <w:wordWrap/>
        <w:topLinePunct w:val="0"/>
        <w:bidi w:val="0"/>
        <w:spacing w:line="400" w:lineRule="exact"/>
        <w:ind w:right="0" w:rightChars="0" w:firstLine="48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4" name="直接连接符 4"/>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1312;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sqprWAAAA&#10;CQEAAA8AAAAAAAAAAQAgAAAAIgAAAGRycy9kb3ducmV2LnhtbFBLAQIUABQAAAAIAIdO4kC10jNZ&#10;5gEAAJE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Theme="minorEastAsia" w:hAnsiTheme="minorEastAsia" w:eastAsiaTheme="minorEastAsia" w:cstheme="minorEastAsia"/>
          <w:sz w:val="24"/>
          <w:szCs w:val="24"/>
        </w:rPr>
        <w:t>1.7合同</w:t>
      </w:r>
      <w:r>
        <w:rPr>
          <w:rFonts w:hint="eastAsia" w:asciiTheme="minorEastAsia" w:hAnsiTheme="minorEastAsia" w:eastAsiaTheme="minorEastAsia" w:cstheme="minorEastAsia"/>
          <w:sz w:val="24"/>
          <w:szCs w:val="24"/>
          <w:lang w:eastAsia="zh-CN"/>
        </w:rPr>
        <w:t>暂定</w:t>
      </w:r>
      <w:r>
        <w:rPr>
          <w:rFonts w:hint="eastAsia" w:asciiTheme="minorEastAsia" w:hAnsiTheme="minorEastAsia" w:eastAsiaTheme="minorEastAsia" w:cstheme="minorEastAsia"/>
          <w:sz w:val="24"/>
          <w:szCs w:val="24"/>
        </w:rPr>
        <w:t>价款（人民币大写）：</w:t>
      </w:r>
    </w:p>
    <w:p>
      <w:pPr>
        <w:keepNext w:val="0"/>
        <w:keepLines w:val="0"/>
        <w:pageBreakBefore w:val="0"/>
        <w:numPr>
          <w:ilvl w:val="0"/>
          <w:numId w:val="5"/>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2.1开工前</w:t>
      </w:r>
      <w:r>
        <w:rPr>
          <w:rFonts w:hint="eastAsia" w:asciiTheme="minorEastAsia" w:hAnsiTheme="minorEastAsia" w:eastAsiaTheme="minorEastAsia" w:cstheme="minorEastAsia"/>
          <w:sz w:val="24"/>
          <w:szCs w:val="24"/>
          <w:u w:val="single"/>
          <w:lang w:val="en-US" w:eastAsia="zh-CN"/>
        </w:rPr>
        <w:t>7</w:t>
      </w:r>
      <w:r>
        <w:rPr>
          <w:rFonts w:hint="eastAsia" w:asciiTheme="minorEastAsia" w:hAnsiTheme="minorEastAsia" w:eastAsiaTheme="minorEastAsia" w:cstheme="minorEastAsia"/>
          <w:sz w:val="24"/>
          <w:szCs w:val="24"/>
        </w:rPr>
        <w:t>天，向乙方提供经确认的设计方案图纸或做法说明</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rPr>
        <w:t>份，并向乙方进行现场交底。</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2.2甲方组织</w:t>
      </w:r>
      <w:r>
        <w:rPr>
          <w:rFonts w:hint="eastAsia" w:asciiTheme="minorEastAsia" w:hAnsiTheme="minorEastAsia" w:eastAsiaTheme="minorEastAsia" w:cstheme="minorEastAsia"/>
          <w:sz w:val="24"/>
          <w:szCs w:val="24"/>
          <w:lang w:eastAsia="zh-CN"/>
        </w:rPr>
        <w:t>施工方案和进度计划的审查工作。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lang w:eastAsia="zh-CN"/>
        </w:rPr>
        <w:t>涉及</w:t>
      </w:r>
      <w:r>
        <w:rPr>
          <w:rFonts w:hint="eastAsia" w:asciiTheme="minorEastAsia" w:hAnsiTheme="minorEastAsia" w:eastAsiaTheme="minorEastAsia" w:cstheme="minorEastAsia"/>
          <w:sz w:val="24"/>
          <w:szCs w:val="24"/>
        </w:rPr>
        <w:t>机场隔离区</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工程项目实施前，由甲方组织对乙方项目实施人员进行相关安全培训教育，并</w:t>
      </w:r>
      <w:r>
        <w:rPr>
          <w:rFonts w:hint="eastAsia" w:asciiTheme="minorEastAsia" w:hAnsiTheme="minorEastAsia" w:eastAsiaTheme="minorEastAsia" w:cstheme="minorEastAsia"/>
          <w:sz w:val="24"/>
          <w:szCs w:val="24"/>
          <w:lang w:eastAsia="zh-CN"/>
        </w:rPr>
        <w:t>与乙方</w:t>
      </w:r>
      <w:r>
        <w:rPr>
          <w:rFonts w:hint="eastAsia" w:asciiTheme="minorEastAsia" w:hAnsiTheme="minorEastAsia" w:eastAsiaTheme="minorEastAsia" w:cstheme="minorEastAsia"/>
          <w:sz w:val="24"/>
          <w:szCs w:val="24"/>
        </w:rPr>
        <w:t>签订施工安全责任书。</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2.4甲方配合乙方施工所需水、电接入的工作，并说明使用注意事项。办理施工所涉及的各种申请、批件等手续。</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2.5甲方指派</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为甲方驻工地代表，负责合同履行。对工程安全、质量、进度以及造价进行监督检查，办理验收、变更、登记手续和其他事宜。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2.6甲方委托</w:t>
      </w:r>
      <w:r>
        <w:rPr>
          <w:rFonts w:hint="eastAsia" w:asciiTheme="minorEastAsia" w:hAnsi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lang w:val="en-US" w:eastAsia="zh-CN"/>
        </w:rPr>
        <w:t>监理公司进行工程监理，监理公司任命</w:t>
      </w:r>
      <w:r>
        <w:rPr>
          <w:rFonts w:hint="eastAsia" w:asciiTheme="minorEastAsia" w:hAnsi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lang w:val="en-US" w:eastAsia="zh-CN"/>
        </w:rPr>
        <w:t>为总监理工程师，其职责在监理合同中应明确，并将合同副本交乙方</w:t>
      </w:r>
      <w:r>
        <w:rPr>
          <w:rFonts w:hint="eastAsia" w:asciiTheme="minorEastAsia" w:hAnsi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lang w:val="en-US" w:eastAsia="zh-CN"/>
        </w:rPr>
        <w:t>份。</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2.7如确实需要拆改原建筑物结构或设备管线，甲方负责到有关部门办理相应审批手续。</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2.8协调有关部门做好现场保卫、消防、垃圾处理等工作。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2.9组织工程竣工验收以及办理工程竣工结算审核工作。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项目所涉及项目工程造价的移交送审工作，由监理单位或甲方代表协助建设单位预决算员办理。</w:t>
      </w:r>
    </w:p>
    <w:p>
      <w:pPr>
        <w:keepNext w:val="0"/>
        <w:keepLines w:val="0"/>
        <w:pageBreakBefore w:val="0"/>
        <w:numPr>
          <w:ilvl w:val="0"/>
          <w:numId w:val="5"/>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乙方收到设计方案图纸或做法说明后</w:t>
      </w:r>
      <w:r>
        <w:rPr>
          <w:rFonts w:hint="eastAsia" w:asciiTheme="minorEastAsia" w:hAnsiTheme="minorEastAsia" w:eastAsiaTheme="minorEastAsia" w:cstheme="minorEastAsia"/>
          <w:sz w:val="24"/>
          <w:szCs w:val="24"/>
          <w:lang w:eastAsia="zh-CN"/>
        </w:rPr>
        <w:t>应</w:t>
      </w:r>
      <w:r>
        <w:rPr>
          <w:rFonts w:hint="eastAsia" w:asciiTheme="minorEastAsia" w:hAnsiTheme="minorEastAsia" w:eastAsiaTheme="minorEastAsia" w:cstheme="minorEastAsia"/>
          <w:sz w:val="24"/>
          <w:szCs w:val="24"/>
        </w:rPr>
        <w:t>及时进行现场踏勘，并结合现场实际情况进行复核完善，</w:t>
      </w:r>
      <w:r>
        <w:rPr>
          <w:rFonts w:hint="eastAsia" w:asciiTheme="minorEastAsia" w:hAnsiTheme="minorEastAsia" w:eastAsiaTheme="minorEastAsia" w:cstheme="minorEastAsia"/>
          <w:sz w:val="24"/>
          <w:szCs w:val="24"/>
          <w:lang w:eastAsia="zh-CN"/>
        </w:rPr>
        <w:t>并拟定施工方案和进度计划，交甲方审定。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3.2乙方指派</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身份证号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为乙方驻工地代表，负责合同履行。按要求组织施工，保质、保量、按期完成施工任务，解决由乙方负责的各项事宜。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3.3乙方应严格执行施工规范、安全操作规程、防火安全规定、环境保护规定。严格按照图纸或作法说明进行施工，做好各项质量检查记录。</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3.5乙方须按相关要求及时报送竣工结算资料，配合甲方完成工程竣工结算审核工作。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3.7施工中未经甲方同意或有关部门批准，乙方不得随意拆改或损坏原建筑物结构及各种设备管线。</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3.8工程竣工未移交甲方之前，负责对现场的一切设施和工程成品进行保护，并承担风险和费用。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第四条 关于工期的约定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4.1甲方要求比合同约定的工期提前竣工时，应征得乙方同意，并支付乙方因赶工采取的措施费用。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4.2因甲方未按约定完成工作，影响工期，则工期相应顺延。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4.3乙方非因甲方原因不能按期开工或中途无故停工影响工期，或乙方非因甲方原因延误工期的，则工期不顺延，且乙方须向甲方承担工期延误的违约责任。</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4.4因涉及甲方要求的设计或工程量变更或非乙方原因造成的停电、停水、停气及不可抗力因素影响，导致停工</w:t>
      </w:r>
      <w:r>
        <w:rPr>
          <w:rFonts w:hint="eastAsia" w:asciiTheme="minorEastAsia" w:hAnsiTheme="minorEastAsia" w:eastAsiaTheme="minorEastAsia" w:cstheme="minorEastAsia"/>
          <w:sz w:val="24"/>
          <w:szCs w:val="24"/>
          <w:u w:val="single"/>
          <w:lang w:val="en-US" w:eastAsia="zh-CN"/>
        </w:rPr>
        <w:t>8</w:t>
      </w:r>
      <w:r>
        <w:rPr>
          <w:rFonts w:hint="eastAsia" w:asciiTheme="minorEastAsia" w:hAnsiTheme="minorEastAsia" w:eastAsiaTheme="minorEastAsia" w:cstheme="minorEastAsia"/>
          <w:sz w:val="24"/>
          <w:szCs w:val="24"/>
          <w:lang w:val="en-US" w:eastAsia="zh-CN"/>
        </w:rPr>
        <w:t>小时以上（一周内累计计算），工期相应顺延。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第五条 关于工程质量及验收的约定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5.1本工程以施工图纸、</w:t>
      </w:r>
      <w:r>
        <w:rPr>
          <w:rFonts w:hint="eastAsia" w:asciiTheme="minorEastAsia" w:hAnsiTheme="minorEastAsia" w:cstheme="minorEastAsia"/>
          <w:sz w:val="24"/>
          <w:szCs w:val="24"/>
          <w:lang w:val="en-US" w:eastAsia="zh-CN"/>
        </w:rPr>
        <w:t>做法</w:t>
      </w:r>
      <w:r>
        <w:rPr>
          <w:rFonts w:hint="eastAsia" w:asciiTheme="minorEastAsia" w:hAnsiTheme="minorEastAsia" w:eastAsiaTheme="minorEastAsia" w:cstheme="minorEastAsia"/>
          <w:sz w:val="24"/>
          <w:szCs w:val="24"/>
          <w:lang w:val="en-US" w:eastAsia="zh-CN"/>
        </w:rPr>
        <w:t>说明、设计变更等国家制定的施工及验收规范为质量评定验收标准。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5.2本工程质量应达到国家质量评定合格标准。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5.3由于乙方提供的材料、设备质量不合格而影响工程质量，其返工费用由乙方承担，工期不顺延。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5.4由于乙方原因造成质量事故，其返工费用由乙方承担，工期不顺延。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5.5工程竣工后，乙方应通知甲方验收，甲方自接到验收通知</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lang w:val="en-US" w:eastAsia="zh-CN"/>
        </w:rPr>
        <w:t>日内组织验收，并办理验收、移交手续。如甲方在规定时间内未能组织验收，需及时通知乙方，另定验收日期。</w:t>
      </w:r>
    </w:p>
    <w:p>
      <w:pPr>
        <w:keepNext w:val="0"/>
        <w:keepLines w:val="0"/>
        <w:pageBreakBefore w:val="0"/>
        <w:numPr>
          <w:ilvl w:val="0"/>
          <w:numId w:val="6"/>
        </w:numPr>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关于工程价款及结算的约定</w:t>
      </w:r>
    </w:p>
    <w:p>
      <w:pPr>
        <w:keepNext w:val="0"/>
        <w:keepLines w:val="0"/>
        <w:pageBreakBefore w:val="0"/>
        <w:numPr>
          <w:ilvl w:val="0"/>
          <w:numId w:val="0"/>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6.1双方商定本合同价款采用第</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lang w:val="en-US" w:eastAsia="zh-CN"/>
        </w:rPr>
        <w:t>种：</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（1）固定总价。</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（2）固定单价。</w:t>
      </w:r>
      <w:r>
        <w:rPr>
          <w:rFonts w:hint="eastAsia" w:asciiTheme="minorEastAsia" w:hAnsiTheme="minorEastAsia" w:eastAsiaTheme="minorEastAsia" w:cstheme="minorEastAsia"/>
          <w:sz w:val="24"/>
          <w:szCs w:val="24"/>
          <w:lang w:eastAsia="zh-CN"/>
        </w:rPr>
        <w:t>可调价格按</w:t>
      </w:r>
      <w:r>
        <w:rPr>
          <w:rFonts w:hint="eastAsia" w:asciiTheme="minorEastAsia" w:hAnsiTheme="minorEastAsia" w:eastAsiaTheme="minorEastAsia" w:cstheme="minorEastAsia"/>
          <w:sz w:val="24"/>
          <w:szCs w:val="24"/>
          <w:u w:val="single"/>
          <w:lang w:val="en-US" w:eastAsia="zh-CN"/>
        </w:rPr>
        <w:t xml:space="preserve">  /  </w:t>
      </w:r>
      <w:r>
        <w:rPr>
          <w:rFonts w:hint="eastAsia" w:asciiTheme="minorEastAsia" w:hAnsiTheme="minorEastAsia" w:eastAsiaTheme="minorEastAsia" w:cstheme="minorEastAsia"/>
          <w:sz w:val="24"/>
          <w:szCs w:val="24"/>
          <w:lang w:eastAsia="zh-CN"/>
        </w:rPr>
        <w:t>规则计算。</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6.2工程竣工验收后，乙方提出工程结算申请并将有关资料送交甲方。甲方按照以下方式办理款项支付：</w:t>
      </w:r>
      <w:bookmarkStart w:id="17" w:name="_Hlk47444557"/>
    </w:p>
    <w:bookmarkEnd w:id="17"/>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 xml:space="preserve">3 </w:t>
      </w:r>
      <w:r>
        <w:rPr>
          <w:rFonts w:hint="eastAsia" w:asciiTheme="minorEastAsia" w:hAnsiTheme="minorEastAsia" w:eastAsiaTheme="minorEastAsia" w:cstheme="minorEastAsia"/>
          <w:sz w:val="24"/>
          <w:szCs w:val="24"/>
        </w:rPr>
        <w:t>工程竣工验收通过</w:t>
      </w:r>
      <w:r>
        <w:rPr>
          <w:rFonts w:hint="eastAsia" w:asciiTheme="minorEastAsia" w:hAnsiTheme="minorEastAsia" w:cstheme="minorEastAsia"/>
          <w:sz w:val="24"/>
          <w:szCs w:val="24"/>
          <w:lang w:val="en-US" w:eastAsia="zh-CN"/>
        </w:rPr>
        <w:t>并</w:t>
      </w:r>
      <w:r>
        <w:rPr>
          <w:rFonts w:hint="eastAsia" w:asciiTheme="minorEastAsia" w:hAnsiTheme="minorEastAsia" w:eastAsiaTheme="minorEastAsia" w:cstheme="minorEastAsia"/>
          <w:sz w:val="24"/>
          <w:szCs w:val="24"/>
        </w:rPr>
        <w:t>完成工程结算，经发包人认可后30天内，发包人向承包人支付至结算价的9</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%；结算价的</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%留作质量保证金，待缺陷责任期满后无利息支付。</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施工安全监管</w:t>
      </w:r>
      <w:r>
        <w:rPr>
          <w:rFonts w:hint="eastAsia" w:asciiTheme="minorEastAsia" w:hAnsiTheme="minorEastAsia" w:eastAsiaTheme="minorEastAsia" w:cstheme="minorEastAsia"/>
          <w:b/>
          <w:bCs/>
          <w:sz w:val="24"/>
          <w:szCs w:val="24"/>
        </w:rPr>
        <w:t>费用为暂列金额，结算时承包人需提供相应票据作为依据按实结算。</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6.4</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甲方提出工程变更和签证的费用，由乙方在施工前提出并补充编制工料单价预算书。变更估价时，工程量清单中有的项目单价，按乙方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七</w:t>
      </w:r>
      <w:r>
        <w:rPr>
          <w:rFonts w:hint="eastAsia" w:asciiTheme="minorEastAsia" w:hAnsiTheme="minorEastAsia" w:eastAsiaTheme="minorEastAsia" w:cstheme="minorEastAsia"/>
          <w:sz w:val="24"/>
          <w:szCs w:val="24"/>
        </w:rPr>
        <w:t>条 关于材料供应的约定</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7.2凡由乙方采购的材料、设备，如不符合质量要求或规格有差异，应禁止使用。若已使用，对工程造成的损失由乙方负责。</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八</w:t>
      </w:r>
      <w:r>
        <w:rPr>
          <w:rFonts w:hint="eastAsia" w:asciiTheme="minorEastAsia" w:hAnsiTheme="minorEastAsia" w:eastAsiaTheme="minorEastAsia" w:cstheme="minorEastAsia"/>
          <w:sz w:val="24"/>
          <w:szCs w:val="24"/>
        </w:rPr>
        <w:t>条 有关安全生产和防火的约定</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8.1甲方提供的施工图纸或作法说明，应符合《中华人民共和国消防法》和有关防火设计规范。</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8.3由于乙方在施工生产过程中违反有关安全操作规程、消防条例，导致发生安全或火灾事故，乙方应承担由此引发的一切经济损失。</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九</w:t>
      </w:r>
      <w:r>
        <w:rPr>
          <w:rFonts w:hint="eastAsia" w:asciiTheme="minorEastAsia" w:hAnsiTheme="minorEastAsia" w:eastAsiaTheme="minorEastAsia" w:cstheme="minorEastAsia"/>
          <w:sz w:val="24"/>
          <w:szCs w:val="24"/>
        </w:rPr>
        <w:t>条 违约责任</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9.1由于乙方原因，逾期竣工，每逾期一天，乙方支付甲方</w:t>
      </w:r>
      <w:r>
        <w:rPr>
          <w:rFonts w:hint="eastAsia" w:asciiTheme="minorEastAsia" w:hAnsiTheme="minorEastAsia" w:eastAsiaTheme="minorEastAsia" w:cstheme="minorEastAsia"/>
          <w:sz w:val="24"/>
          <w:szCs w:val="24"/>
          <w:u w:val="single"/>
          <w:lang w:eastAsia="zh-CN"/>
        </w:rPr>
        <w:t>壹万</w:t>
      </w:r>
      <w:r>
        <w:rPr>
          <w:rFonts w:hint="eastAsia" w:asciiTheme="minorEastAsia" w:hAnsiTheme="minorEastAsia" w:eastAsiaTheme="minorEastAsia" w:cstheme="minorEastAsia"/>
          <w:sz w:val="24"/>
          <w:szCs w:val="24"/>
          <w:u w:val="single"/>
        </w:rPr>
        <w:t>元</w:t>
      </w:r>
      <w:r>
        <w:rPr>
          <w:rFonts w:hint="eastAsia" w:asciiTheme="minorEastAsia" w:hAnsiTheme="minorEastAsia" w:eastAsiaTheme="minorEastAsia" w:cstheme="minorEastAsia"/>
          <w:sz w:val="24"/>
          <w:szCs w:val="24"/>
        </w:rPr>
        <w:t>违约金</w:t>
      </w:r>
      <w:r>
        <w:rPr>
          <w:rFonts w:hint="eastAsia" w:asciiTheme="minorEastAsia" w:hAnsiTheme="minorEastAsia" w:eastAsiaTheme="minorEastAsia" w:cstheme="minorEastAsia"/>
          <w:sz w:val="24"/>
          <w:szCs w:val="24"/>
          <w:lang w:eastAsia="zh-CN"/>
        </w:rPr>
        <w:t>；甲方有权终止合同，并保留对乙方追溯赔偿其他一切损失的权利</w:t>
      </w:r>
      <w:r>
        <w:rPr>
          <w:rFonts w:hint="eastAsia" w:asciiTheme="minorEastAsia" w:hAnsiTheme="minorEastAsia" w:eastAsiaTheme="minorEastAsia" w:cstheme="minorEastAsia"/>
          <w:sz w:val="24"/>
          <w:szCs w:val="24"/>
        </w:rPr>
        <w:t>。</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9.2乙方应妥善保护甲方提供的设备及现场堆放的家具、陈设和工程成品，如造成损失，应照价赔偿。</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9.3未经甲方同意，乙方擅自拆改原建筑物结构或设备管线，由此发生的损失或事故（包括行政处罚），由乙方负责并承担损失。</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9.4除本合同另有约定外，任何一方违约应当就因此给对方造成的损失承担赔偿责任。</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条 争议或纠纷处理</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10.1本合同在履行期间，双方发生争议时，在不影响工作进度的前提下，双方可采取协商解决或请有关部门进行调解。</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10.2当事人不愿通过协商、调解解决或者协商、调解不成时，本合同在执行中发生的争议双方同意由甲方所在地人民法院诉讼管辖解决。</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第十三条 附则</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11.1本工程保修事宜由双方签订保修协议。</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11.2本合同一共</w:t>
      </w:r>
      <w:r>
        <w:rPr>
          <w:rFonts w:hint="eastAsia" w:asciiTheme="minorEastAsia" w:hAnsiTheme="minorEastAsia" w:cstheme="minorEastAsia"/>
          <w:sz w:val="24"/>
          <w:szCs w:val="24"/>
          <w:lang w:val="en-US" w:eastAsia="zh-CN"/>
        </w:rPr>
        <w:t>陆</w:t>
      </w:r>
      <w:r>
        <w:rPr>
          <w:rFonts w:hint="eastAsia" w:asciiTheme="minorEastAsia" w:hAnsiTheme="minorEastAsia" w:eastAsiaTheme="minorEastAsia" w:cstheme="minorEastAsia"/>
          <w:sz w:val="24"/>
          <w:szCs w:val="24"/>
        </w:rPr>
        <w:t>份，甲乙双方各执</w:t>
      </w:r>
      <w:r>
        <w:rPr>
          <w:rFonts w:hint="eastAsia" w:asciiTheme="minorEastAsia" w:hAnsiTheme="minorEastAsia" w:cstheme="minorEastAsia"/>
          <w:sz w:val="24"/>
          <w:szCs w:val="24"/>
          <w:lang w:val="en-US" w:eastAsia="zh-CN"/>
        </w:rPr>
        <w:t>叁</w:t>
      </w:r>
      <w:r>
        <w:rPr>
          <w:rFonts w:hint="eastAsia" w:asciiTheme="minorEastAsia" w:hAnsiTheme="minorEastAsia" w:eastAsiaTheme="minorEastAsia" w:cstheme="minorEastAsia"/>
          <w:sz w:val="24"/>
          <w:szCs w:val="24"/>
        </w:rPr>
        <w:t>份，具有同等法律效力。</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11.3本合同履行完成后自动终止。   </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11.4本合同包含以下附件，附件与本合同具有同等法律效力。</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（1）工程质量保修书</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（2）安全文明施工协议书  </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（3）疫情防控责任书</w:t>
      </w: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甲方：杭州萧山国际机场有限公司  乙方：</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地址：杭州萧山国际机场内        地址：</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                     法定代表人：</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                               或</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                       授权代表：</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签字日期：                       签字日期： </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b/>
          <w:sz w:val="24"/>
          <w:szCs w:val="24"/>
        </w:rPr>
      </w:pP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年  月  日                      年  月  </w:t>
      </w:r>
      <w:r>
        <w:rPr>
          <w:rFonts w:hint="eastAsia" w:asciiTheme="minorEastAsia" w:hAnsiTheme="minorEastAsia" w:cstheme="minorEastAsia"/>
          <w:sz w:val="24"/>
          <w:szCs w:val="24"/>
          <w:lang w:val="en-US" w:eastAsia="zh-CN"/>
        </w:rPr>
        <w:t>日</w:t>
      </w:r>
    </w:p>
    <w:p>
      <w:pPr>
        <w:keepNext w:val="0"/>
        <w:keepLines w:val="0"/>
        <w:pageBreakBefore/>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附件一</w:t>
      </w:r>
      <w:r>
        <w:rPr>
          <w:rFonts w:hint="eastAsia" w:asciiTheme="minorEastAsia" w:hAnsiTheme="minorEastAsia" w:cstheme="minorEastAsia"/>
          <w:sz w:val="24"/>
          <w:szCs w:val="24"/>
          <w:lang w:eastAsia="zh-CN"/>
        </w:rPr>
        <w:t>：</w:t>
      </w:r>
    </w:p>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工程质量保修书</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发包人（全称）：杭州萧山国际机场有限公司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承包人（全称）：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发包人和承包人根据《中华人民共和国建筑法》和《建设工程质量管理条例》，经协商一致就</w:t>
      </w:r>
      <w:r>
        <w:rPr>
          <w:rFonts w:hint="eastAsia" w:asciiTheme="minorEastAsia" w:hAnsiTheme="minorEastAsia" w:cstheme="minorEastAsia"/>
          <w:sz w:val="24"/>
          <w:szCs w:val="24"/>
          <w:u w:val="single"/>
          <w:lang w:eastAsia="zh-CN"/>
        </w:rPr>
        <w:t>杭州萧山国际机场</w:t>
      </w:r>
      <w:r>
        <w:rPr>
          <w:rFonts w:hint="eastAsia" w:asciiTheme="minorEastAsia" w:hAnsiTheme="minorEastAsia" w:cstheme="minorEastAsia"/>
          <w:sz w:val="24"/>
          <w:szCs w:val="24"/>
          <w:u w:val="single"/>
          <w:lang w:val="en-US" w:eastAsia="zh-CN"/>
        </w:rPr>
        <w:t>新建T4航站楼涉疫垃圾回收点</w:t>
      </w:r>
      <w:r>
        <w:rPr>
          <w:rFonts w:hint="eastAsia" w:asciiTheme="minorEastAsia" w:hAnsiTheme="minorEastAsia" w:cstheme="minorEastAsia"/>
          <w:sz w:val="24"/>
          <w:szCs w:val="24"/>
          <w:u w:val="single"/>
          <w:lang w:eastAsia="zh-CN"/>
        </w:rPr>
        <w:t>项目</w:t>
      </w:r>
      <w:r>
        <w:rPr>
          <w:rFonts w:hint="eastAsia" w:asciiTheme="minorEastAsia" w:hAnsiTheme="minorEastAsia" w:eastAsiaTheme="minorEastAsia" w:cstheme="minorEastAsia"/>
          <w:sz w:val="24"/>
          <w:szCs w:val="24"/>
        </w:rPr>
        <w:t>（工程全称）签订工程质量保修书。</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一、工程质量保修范围和内容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承包人在质量保修期内，按照有关法律规定和合同约定，承担工程质量保修责任。</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本次工程所涉及的所有内容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二、质量保修期</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2．屋面防水工程、有防水要求的卫生间、房间和外墙面的防渗为5 年；</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3．装修工程为2 年；</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4．电气管线、给排水管道、设备安装工程为 2 年；</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5．供热与供冷系统为2 个采暖期、供冷期；</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6．住宅小区内的给排水设施、道路等配套工程为2年；</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7．其他项目保修期限约定如下：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三、缺陷责任期</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工程缺陷责任期为</w:t>
      </w:r>
      <w:r>
        <w:rPr>
          <w:rFonts w:hint="eastAsia" w:asciiTheme="minorEastAsia" w:hAnsiTheme="minorEastAsia" w:eastAsiaTheme="minorEastAsia" w:cstheme="minorEastAsia"/>
          <w:sz w:val="24"/>
          <w:szCs w:val="24"/>
          <w:u w:val="single"/>
        </w:rPr>
        <w:t>24</w:t>
      </w:r>
      <w:r>
        <w:rPr>
          <w:rFonts w:hint="eastAsia" w:asciiTheme="minorEastAsia" w:hAnsiTheme="minorEastAsia" w:eastAsiaTheme="minorEastAsia" w:cstheme="minorEastAsia"/>
          <w:sz w:val="24"/>
          <w:szCs w:val="24"/>
        </w:rPr>
        <w:t>个月，缺陷责任期自工程竣工验收合格之日起计算。单位工程先于全部工程进行验收，单位工程缺陷责任期自单位工程验收合格之日起算。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缺陷责任期届满后，缺陷责任期届满后，经发包人确认核实，承包人不存在违约情形以及质量保修不存在问题后</w:t>
      </w:r>
      <w:r>
        <w:rPr>
          <w:rFonts w:hint="eastAsia" w:asciiTheme="minorEastAsia" w:hAnsiTheme="minorEastAsia" w:eastAsiaTheme="minorEastAsia" w:cstheme="minorEastAsia"/>
          <w:sz w:val="24"/>
          <w:szCs w:val="24"/>
          <w:u w:val="single"/>
        </w:rPr>
        <w:t>15</w:t>
      </w:r>
      <w:r>
        <w:rPr>
          <w:rFonts w:hint="eastAsia" w:asciiTheme="minorEastAsia" w:hAnsiTheme="minorEastAsia" w:eastAsiaTheme="minorEastAsia" w:cstheme="minorEastAsia"/>
          <w:sz w:val="24"/>
          <w:szCs w:val="24"/>
        </w:rPr>
        <w:t>天内无息返还质保金。</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四、质量保修责任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1．属于保修范围、内容的项目，承包人应当在接到保修通知之日起</w:t>
      </w:r>
      <w:r>
        <w:rPr>
          <w:rFonts w:hint="eastAsia" w:asciiTheme="minorEastAsia" w:hAnsiTheme="minorEastAsia" w:eastAsiaTheme="minorEastAsia" w:cstheme="minorEastAsia"/>
          <w:sz w:val="24"/>
          <w:szCs w:val="24"/>
          <w:u w:val="single"/>
        </w:rPr>
        <w:t>2</w:t>
      </w:r>
      <w:r>
        <w:rPr>
          <w:rFonts w:hint="eastAsia" w:asciiTheme="minorEastAsia" w:hAnsiTheme="minorEastAsia" w:eastAsiaTheme="minorEastAsia" w:cstheme="minorEastAsia"/>
          <w:sz w:val="24"/>
          <w:szCs w:val="24"/>
        </w:rPr>
        <w:t>天内派人保修。承包人不在约定期限内派人保修的，发包人可以自行委托他人修理。费用从质量保证金中扣除。修复部分的质保期自修复之日起重新开始计算。</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2．发生紧急事故需抢修的，承包人在接到事故通知后，应当立即到达事故现场进行持续抢修直至修复。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4．质量保修完成后，由发包人组织验收。验收不合格的，发包人有权自行委托第三方修理，全部费用由承包人承担，由发包人与第三方确认后直接从质保金中扣除。</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五、保修费用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保修费用由造成质量缺陷的责任方承担；对责任方的确定产生疑问或争议的，依发包人委托的鉴定机构所出具的独立报告来确定。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六、双方约定的其他工程质量保修事项：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1、在承包人人员到达之前，发包人可采取适当的应急措施，费用由承包人承担。</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a．紧急抢修事故时，为避免损失进一步扩大；</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b．直接影响到工程正常运行或危害人身财产及财产安全时；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6、工程质量保修书由发包人、承包人在工程竣工验收前共同盖章，作为本施工合同附件，其有效期限至质保期届满且发包人书面确认承包人完成全部保修工作止。</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发包人(公章)：                     承包人(公章)：    </w:t>
      </w:r>
    </w:p>
    <w:p>
      <w:pPr>
        <w:pStyle w:val="13"/>
        <w:keepNext w:val="0"/>
        <w:keepLines w:val="0"/>
        <w:pageBreakBefore w:val="0"/>
        <w:tabs>
          <w:tab w:val="left" w:pos="426"/>
        </w:tabs>
        <w:kinsoku/>
        <w:wordWrap/>
        <w:bidi w:val="0"/>
        <w:snapToGrid w:val="0"/>
        <w:spacing w:line="360" w:lineRule="exact"/>
        <w:ind w:right="0" w:rightChars="0" w:firstLine="220"/>
        <w:rPr>
          <w:rFonts w:hint="eastAsia" w:asciiTheme="minorEastAsia" w:hAnsiTheme="minorEastAsia" w:eastAsiaTheme="minorEastAsia" w:cstheme="minorEastAsia"/>
          <w:sz w:val="24"/>
          <w:szCs w:val="24"/>
        </w:rPr>
      </w:pPr>
    </w:p>
    <w:p>
      <w:pPr>
        <w:pStyle w:val="13"/>
        <w:keepNext w:val="0"/>
        <w:keepLines w:val="0"/>
        <w:pageBreakBefore w:val="0"/>
        <w:tabs>
          <w:tab w:val="left" w:pos="426"/>
        </w:tabs>
        <w:kinsoku/>
        <w:wordWrap/>
        <w:bidi w:val="0"/>
        <w:snapToGrid w:val="0"/>
        <w:spacing w:line="360" w:lineRule="exact"/>
        <w:ind w:right="0" w:rightChars="0" w:firstLine="22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widowControl w:val="0"/>
        <w:kinsoku/>
        <w:wordWrap/>
        <w:overflowPunct/>
        <w:topLinePunct w:val="0"/>
        <w:autoSpaceDE/>
        <w:autoSpaceDN/>
        <w:bidi w:val="0"/>
        <w:adjustRightInd/>
        <w:snapToGrid/>
        <w:spacing w:line="360" w:lineRule="exact"/>
        <w:ind w:right="0" w:righ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附件二：</w:t>
      </w:r>
    </w:p>
    <w:p>
      <w:pPr>
        <w:keepNext w:val="0"/>
        <w:keepLines w:val="0"/>
        <w:pageBreakBefore w:val="0"/>
        <w:tabs>
          <w:tab w:val="left" w:pos="540"/>
        </w:tabs>
        <w:kinsoku/>
        <w:wordWrap/>
        <w:topLinePunct/>
        <w:bidi w:val="0"/>
        <w:spacing w:line="360" w:lineRule="exact"/>
        <w:ind w:right="0" w:rightChars="0" w:firstLine="723"/>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安全文明施工协议书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发包人（</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杭州萧山国际机场有限公司</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承包人（</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 xml:space="preserve">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w:t>
      </w:r>
      <w:r>
        <w:rPr>
          <w:rFonts w:hint="eastAsia" w:asciiTheme="minorEastAsia" w:hAnsiTheme="minorEastAsia" w:cstheme="minorEastAsia"/>
          <w:b/>
          <w:sz w:val="24"/>
          <w:szCs w:val="24"/>
          <w:u w:val="single"/>
          <w:lang w:eastAsia="zh-CN"/>
        </w:rPr>
        <w:t>杭州萧山国际机场</w:t>
      </w:r>
      <w:r>
        <w:rPr>
          <w:rFonts w:hint="eastAsia" w:asciiTheme="minorEastAsia" w:hAnsiTheme="minorEastAsia" w:cstheme="minorEastAsia"/>
          <w:b/>
          <w:sz w:val="24"/>
          <w:szCs w:val="24"/>
          <w:u w:val="single"/>
          <w:lang w:val="en-US" w:eastAsia="zh-CN"/>
        </w:rPr>
        <w:t>新建T4航站楼涉疫垃圾回收点项目</w:t>
      </w:r>
      <w:r>
        <w:rPr>
          <w:rFonts w:hint="eastAsia" w:asciiTheme="minorEastAsia" w:hAnsiTheme="minorEastAsia" w:eastAsiaTheme="minorEastAsia" w:cstheme="minorEastAsia"/>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一、</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对</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实行安全目标管理，安全目标的具体内容是</w:t>
      </w:r>
      <w:r>
        <w:rPr>
          <w:rFonts w:hint="eastAsia" w:asciiTheme="minorEastAsia" w:hAnsiTheme="minorEastAsia" w:eastAsiaTheme="minorEastAsia" w:cstheme="minorEastAsia"/>
          <w:sz w:val="24"/>
          <w:szCs w:val="24"/>
        </w:rPr>
        <w:t>：</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1、无死亡事故和重大伤害事故(含道路交通事故)。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2、无重大责任事故。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3、无空防安全事故。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4、无七类重大刑事案件(杀人、绑架、强奸、放火、爆炸、劫持、故意伤害致死)及其它严重、恶性案件。</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上述情况的认定按国家和行业的有关规定和标准执行。</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的协助责任和权利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5、不得对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提出违反国家法律、法规和强制性标准规定的要求。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6、不得要求</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购买、租赁、使用不符合安全施工要求的安全防护用具、机械设备、施工机具及配件、消防设施和器材等。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7、由于民航行业的特殊性和空防安全的重要性，</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对进出飞行区施工的人员和车辆实行通行证管理制度。为此，</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成员必须参加</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组织的专门安全教育培训和考试（主要是机场飞行、空防、不停航施工等安全方面知识）；同时</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应协助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对全体施工人员进行安全教育培训和考核，并协助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办理相关人员和车辆的施工通行证。</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8、联系和协调机场公安机关，督促施工单位按有关规定申报暂住登记和申领《暂住证》，并协助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联系机场公安局商定有关飞行区安全保卫事宜。</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9、利用施工例会定期分析和掌握施工单位的治安情况，通报当前治安形势，交流工作经验，协助处理相关问题。</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拒不按照本协议条款规定组织安全文明施工的，</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有权责令</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停工整改直至终止合同。</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各项安全工作进行监督、检查。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因违反民航总局第191号令《民用机场运行安全管理规定》而发生不安全事件，</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有权按照相关处罚条例对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予以处罚，造成严重后果或损失重大的，</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有权将</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清退出场并追偿由此而造成的损失。</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的安全责任和权利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应从事的施工安全管理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16、对安全作业环境建设及安全施工措施制定、实行所需的费用，应当列入建设工程预算，专款专用，不得挪作他用。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18、在施工组织设计中应当制定安全技术措施和施工现场临时用电方案，对危险性较大的部分分项工程应当制定专项施工方案，并附安全验算计算书，经</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技术负责人、总监理工程师阅览签字后实施，由专职安全生产管理人员进行现场监督。</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20、应根据不同的施工阶段和环境及季节、气候的变化，在施工现场采取相应的安全防护措施；施工现场暂时停止施工的，</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要做好现场防护工作，所需费用由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承担（合同有约定的除外）。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21、应当向作业人员提供安全防护用具和安全防护服装，并书面告知危险岗位的操作规程以及违章操作所产生的危害。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22、采购、租赁的安全防护用具、机械设备、施工机具及配件，应当具有生产许可证、产品合格证，并在进入施工现场前进行查验。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24、在采用新技术、新工艺、新设备、新材料时，应当对作业人员进行相应的安全生产教育培训。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应从事的空防安全管理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提出申请，报</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备案，办证费用由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自理。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29、需进入机场控制区施工的人员和车辆需主动接受机场管理人员的检查，并服从机场相关职能部门的监管，无通行证者一律不得进入。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30、应当加强通行证的管理，建立管理台帐。通行证仅限持证本人、本车使用，严禁转借、涂改和冒用；持证人员发生调离、辞退、开除等情况的，应及时收回通行证交由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报机场公安机关注销；如发生人员和车辆通行证遗失的，应在第一时间向</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报告；持证车辆重新调配或报废的，应及时将通行证交由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申报注销。上述环节因</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管理不力发生问题的，</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应承担由此引发的一切后果和责任。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应从事的不停航施工项目安全管理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32、在机场有飞行任务期间，禁止在跑道端之外300米以内、跑道中心线两侧75米以内的区域进行任何施工作业。如</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33、实行不停航施工的区域，开挖的明沟和施工材料堆放处，必须根据</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要求用桔黄色小旗标识以示警告；在低能见度的白天和夜间，应当按照</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要求加设红色恒定灯光；材料和临时堆放的施工垃圾应当采取防止被风或飞机尾流吹散的措施。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的文明施工责任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35、按照《建筑施工安全检查标准》JGJ59—99的标准和浙江省、杭州市有关文明施工检查评分标准做好文明施工，保证施工项目文明施工合格。</w:t>
      </w:r>
    </w:p>
    <w:p>
      <w:pPr>
        <w:keepNext w:val="0"/>
        <w:keepLines w:val="0"/>
        <w:pageBreakBefore w:val="0"/>
        <w:kinsoku/>
        <w:wordWrap/>
        <w:bidi w:val="0"/>
        <w:spacing w:line="360" w:lineRule="exact"/>
        <w:ind w:right="0" w:rightChars="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37、在施工现场建立清扫制度，落实到人，做到工完料尽场地清，车辆进出场应有防泥带出措施。建筑垃圾及时清运，并堆放到</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指定地点。土方外运过程，严格按程序操作，不得在机场内外遗洒，应有避免扬尘的措施。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应从事的社会治安综合治理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38、做好内部的治安防范工作，对重要部位和物资，要落实人防、物防和技防的措施，积极配合公安机关组织的治安联防活动。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39、认真排查、调处各类矛盾，及时消除隐患，杜绝各类社会矛盾引发的群体性事件的发生。</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40、制定包括重大安全生产事故、重大道路交通事故、重大消防安全事故、重大刑事案件以及群体性事件等突发性事件在内的应急处置预案，一旦发生，及时报告</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和上级主管部门并做好处置工作。</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应从事的消防安全管理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41、遵守国家消防法律法规，建立和健全消防管理规章制度，明确消防安全责任人，健全消防安全网络（配备专职或兼职消防员），建立消防应急队伍，并报</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和机场公安局消防部门备案。</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43、施工中使用明火，使用电、气进行焊接和切割作业，须经机场公安消防管理部门审查批准，未经批准一律不得使用。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44、加强对施工人员进行消防安全教育，使其熟悉本岗位防火措施、遇险报警、初期扑救及自救逃生的知识和技能。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应从事的交通安全管理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47、确保各类运输车辆技术状况良好，不得使用无号牌、无行驶证、无保险和带故障、检验不合格的运输车辆，不得使用拖拉机和农用运输车。</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49、占用、挖掘道路，跨越道路架设、铺设管线以及大型机械进出机场须提前与</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协商，征得</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和机场公安局交警队同意，并采取防护措施和设置明显警示标志方可实施。</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四、违约责任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50、本《安全文明施工协议书》是工程施工合同的重要组成部分，</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必须严格遵守和履行，如有违反，</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可以追究</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责任；</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违约情况严重，或是社会影响恶劣，又或是造成</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或他方重大损失，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可解除施工合同且不须向</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承担任何补偿、赔偿的责任。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51、严禁因</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行为导致发生飞行事故征侯，违者扣合同总款的</w:t>
      </w:r>
      <w:r>
        <w:rPr>
          <w:rFonts w:hint="eastAsia" w:asciiTheme="minorEastAsia" w:hAnsiTheme="minorEastAsia" w:eastAsiaTheme="minorEastAsia" w:cstheme="minorEastAsia"/>
          <w:sz w:val="24"/>
          <w:szCs w:val="24"/>
          <w:u w:val="single"/>
        </w:rPr>
        <w:t>20%</w:t>
      </w:r>
      <w:r>
        <w:rPr>
          <w:rFonts w:hint="eastAsia" w:asciiTheme="minorEastAsia" w:hAnsiTheme="minorEastAsia" w:eastAsiaTheme="minorEastAsia" w:cstheme="minorEastAsia"/>
          <w:sz w:val="24"/>
          <w:szCs w:val="24"/>
        </w:rPr>
        <w:t>，如发生飞行事故扣合同总款</w:t>
      </w:r>
      <w:r>
        <w:rPr>
          <w:rFonts w:hint="eastAsia" w:asciiTheme="minorEastAsia" w:hAnsiTheme="minorEastAsia" w:eastAsiaTheme="minorEastAsia" w:cstheme="minorEastAsia"/>
          <w:sz w:val="24"/>
          <w:szCs w:val="24"/>
          <w:u w:val="single"/>
        </w:rPr>
        <w:t>50％</w:t>
      </w:r>
      <w:r>
        <w:rPr>
          <w:rFonts w:hint="eastAsia" w:asciiTheme="minorEastAsia" w:hAnsiTheme="minorEastAsia" w:eastAsiaTheme="minorEastAsia" w:cstheme="minorEastAsia"/>
          <w:sz w:val="24"/>
          <w:szCs w:val="24"/>
        </w:rPr>
        <w:t>，并追究法律责任。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五、本协议书附于</w:t>
      </w:r>
      <w:r>
        <w:rPr>
          <w:rFonts w:hint="eastAsia" w:asciiTheme="minorEastAsia" w:hAnsiTheme="minorEastAsia" w:eastAsiaTheme="minorEastAsia" w:cstheme="minorEastAsia"/>
          <w:sz w:val="24"/>
          <w:szCs w:val="24"/>
          <w:u w:val="single"/>
        </w:rPr>
        <w:t>《</w:t>
      </w:r>
      <w:r>
        <w:rPr>
          <w:rFonts w:hint="eastAsia" w:asciiTheme="minorEastAsia" w:hAnsiTheme="minorEastAsia" w:cstheme="minorEastAsia"/>
          <w:sz w:val="24"/>
          <w:szCs w:val="24"/>
          <w:u w:val="single"/>
          <w:lang w:eastAsia="zh-CN"/>
        </w:rPr>
        <w:t>杭州萧山国际机场</w:t>
      </w:r>
      <w:r>
        <w:rPr>
          <w:rFonts w:hint="eastAsia" w:asciiTheme="minorEastAsia" w:hAnsiTheme="minorEastAsia" w:cstheme="minorEastAsia"/>
          <w:sz w:val="24"/>
          <w:szCs w:val="24"/>
          <w:u w:val="single"/>
          <w:lang w:val="en-US" w:eastAsia="zh-CN"/>
        </w:rPr>
        <w:t>新建T4航站楼涉疫垃圾回收点</w:t>
      </w:r>
      <w:r>
        <w:rPr>
          <w:rFonts w:hint="eastAsia" w:asciiTheme="minorEastAsia" w:hAnsiTheme="minorEastAsia" w:cstheme="minorEastAsia"/>
          <w:sz w:val="24"/>
          <w:szCs w:val="24"/>
          <w:u w:val="single"/>
          <w:lang w:eastAsia="zh-CN"/>
        </w:rPr>
        <w:t>项目</w:t>
      </w:r>
      <w:r>
        <w:rPr>
          <w:rFonts w:hint="eastAsia" w:asciiTheme="minorEastAsia" w:hAnsiTheme="minorEastAsia" w:eastAsiaTheme="minorEastAsia" w:cstheme="minorEastAsia"/>
          <w:sz w:val="24"/>
          <w:szCs w:val="24"/>
          <w:u w:val="single"/>
          <w:lang w:val="en-US" w:eastAsia="zh-CN"/>
        </w:rPr>
        <w:t>施工合同</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rPr>
        <w:t>后，由甲乙双方共同盖章后生效。</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五、附则：</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（一）由于</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行为违反国家法律、法规和杭州萧山国际机场有限公司有关规章制度和责任书规定内容，</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进行处罚。</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触犯法律的，依法追究有关责任人的法律责任。</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（二）本责任书解释权归</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（三）本责任书由甲乙双方共同盖章后生效。</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发包人：                                          承包人： </w:t>
      </w:r>
    </w:p>
    <w:p>
      <w:pPr>
        <w:keepNext w:val="0"/>
        <w:keepLines w:val="0"/>
        <w:pageBreakBefore w:val="0"/>
        <w:kinsoku/>
        <w:wordWrap/>
        <w:topLinePunct w:val="0"/>
        <w:bidi w:val="0"/>
        <w:spacing w:line="360" w:lineRule="exact"/>
        <w:ind w:right="0" w:rightChars="0"/>
        <w:jc w:val="both"/>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b/>
          <w:sz w:val="24"/>
          <w:szCs w:val="24"/>
        </w:rPr>
        <w:t xml:space="preserve"> </w:t>
      </w:r>
    </w:p>
    <w:p>
      <w:pPr>
        <w:keepNext w:val="0"/>
        <w:keepLines w:val="0"/>
        <w:pageBreakBefore/>
        <w:widowControl w:val="0"/>
        <w:numPr>
          <w:ilvl w:val="0"/>
          <w:numId w:val="0"/>
        </w:numPr>
        <w:kinsoku/>
        <w:wordWrap/>
        <w:overflowPunct/>
        <w:topLinePunct w:val="0"/>
        <w:autoSpaceDE/>
        <w:autoSpaceDN/>
        <w:bidi w:val="0"/>
        <w:adjustRightInd/>
        <w:snapToGrid/>
        <w:jc w:val="left"/>
        <w:textAlignment w:val="auto"/>
        <w:rPr>
          <w:rFonts w:hint="eastAsia" w:ascii="宋体" w:hAnsi="宋体" w:cs="宋体"/>
          <w:sz w:val="22"/>
          <w:highlight w:val="none"/>
        </w:rPr>
      </w:pPr>
      <w:r>
        <w:rPr>
          <w:rFonts w:hint="eastAsia" w:ascii="宋体" w:hAnsi="宋体" w:cs="宋体"/>
          <w:sz w:val="22"/>
          <w:highlight w:val="none"/>
        </w:rPr>
        <w:t>附件</w:t>
      </w:r>
      <w:r>
        <w:rPr>
          <w:rFonts w:hint="eastAsia" w:ascii="宋体" w:hAnsi="宋体" w:cs="宋体"/>
          <w:sz w:val="22"/>
          <w:highlight w:val="none"/>
          <w:lang w:val="en-US" w:eastAsia="zh-CN"/>
        </w:rPr>
        <w:t>三</w:t>
      </w:r>
      <w:r>
        <w:rPr>
          <w:rFonts w:hint="eastAsia" w:ascii="宋体" w:hAnsi="宋体" w:cs="宋体"/>
          <w:sz w:val="22"/>
          <w:highlight w:val="none"/>
        </w:rPr>
        <w:t>：</w:t>
      </w:r>
    </w:p>
    <w:p>
      <w:pPr>
        <w:numPr>
          <w:ilvl w:val="0"/>
          <w:numId w:val="0"/>
        </w:numPr>
        <w:jc w:val="center"/>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疫情防控责任书</w:t>
      </w:r>
    </w:p>
    <w:p>
      <w:pPr>
        <w:numPr>
          <w:ilvl w:val="0"/>
          <w:numId w:val="0"/>
        </w:numPr>
        <w:rPr>
          <w:rFonts w:hint="eastAsia" w:ascii="宋体" w:hAnsi="宋体" w:eastAsia="宋体" w:cs="宋体"/>
          <w:sz w:val="22"/>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为落实民航疫情防控工作要求，全面落实责任制，提升疫情防控水平，建立健全长效机制，做好疫情防控管控工作，增强对重点场所、重点环节、重点人员防控措施的把控，杭州萧山国际机场有限公司（以下简称“机场公司”）与【】（以下简称“  公司”）于【】签订《   合同》就【】签订疫情防控责任书，具体如下：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【】公司按照以下条款严格管理，【】公司的法定代表人为疫情防控承担者，承担疫情防控责任。机场公司所属【】部门有权对乙方管理情况进行监督。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一、【】公司负责监督员工在岗防护情况，做到防护到位。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二、【】公司要求员工严禁接触涉疫区域内的高危人员或物品，避免因管理不当导致的安全风险。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三、【】公司员工做到适宜接种全员接种疫苗，新进员工需接种疫苗后上岗。并做好员工疫苗接种的管控工作，避免因员工未接种疫苗导致的安全风险。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2"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四、</w:t>
      </w:r>
      <w:r>
        <w:rPr>
          <w:rFonts w:hint="eastAsia" w:ascii="宋体" w:hAnsi="宋体" w:eastAsia="宋体" w:cs="宋体"/>
          <w:sz w:val="22"/>
          <w:szCs w:val="22"/>
          <w:highlight w:val="none"/>
          <w:lang w:val="en-US" w:eastAsia="zh-CN"/>
        </w:rPr>
        <w:t>【】公司需根据机场公司要求，及时安排员工开展核酸检测工作，核酸检测做到“应检尽检”。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2"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五、</w:t>
      </w:r>
      <w:r>
        <w:rPr>
          <w:rFonts w:hint="eastAsia" w:ascii="宋体" w:hAnsi="宋体" w:eastAsia="宋体" w:cs="宋体"/>
          <w:sz w:val="22"/>
          <w:szCs w:val="22"/>
          <w:highlight w:val="none"/>
          <w:lang w:val="en-US" w:eastAsia="zh-CN"/>
        </w:rPr>
        <w:t>【】公司需做到培训到位及防控要求传达到位，定期对员工开展疫情防控培训，培训内容包括但不限于个人防护要求及近期国内疫情情况通报等，及时传达公司防控相关要求。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六、【】公司需落实上下班体温测量、健康码查验等日常监测机制，建立健康档案。对人员流动（出入省、市、新入职）进行登记管理，对来往疫区职工和密切接触者，采取措施暂停其返岗，做好人员信息登记工作，并配合卫健部门对密切接触者排查进行隔离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七、【】公司需做好员工身体状况动态监控，掌握职工健康状况，制定应急预案，如遇发热、咳嗽等症状者要求主动报告，并做好防护及送医措施。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八、【】公司需做好做好洗手液、口罩、温度计、75%酒精、含氯消毒液等药械物资准备。</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九、若因</w:t>
      </w:r>
      <w:r>
        <w:rPr>
          <w:rFonts w:hint="eastAsia" w:ascii="宋体" w:hAnsi="宋体" w:eastAsia="宋体" w:cs="宋体"/>
          <w:sz w:val="22"/>
          <w:szCs w:val="22"/>
          <w:highlight w:val="none"/>
          <w:lang w:val="en-US" w:eastAsia="zh-CN"/>
        </w:rPr>
        <w:t>【】公司及其员工</w:t>
      </w:r>
      <w:r>
        <w:rPr>
          <w:rFonts w:hint="eastAsia" w:ascii="宋体" w:hAnsi="宋体" w:eastAsia="宋体" w:cs="宋体"/>
          <w:color w:val="000000"/>
          <w:sz w:val="22"/>
          <w:szCs w:val="22"/>
          <w:highlight w:val="none"/>
          <w:lang w:val="en-US" w:eastAsia="zh-CN"/>
        </w:rPr>
        <w:t>原因导致新型冠状肺炎疫情传播，则</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应承担由此产生的疫情防控费用包括但不限于防疫措施费、防疫检测费、救助费等。若因该等事件，对机场公司造成影响，则机场公司有权要求</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承担由此产生的实际损失，且机场公司有权解除合同。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承诺人：</w:t>
      </w: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w:t>
      </w:r>
    </w:p>
    <w:p>
      <w:pPr>
        <w:pStyle w:val="9"/>
        <w:keepNext w:val="0"/>
        <w:keepLines w:val="0"/>
        <w:pageBreakBefore/>
        <w:widowControl w:val="0"/>
        <w:kinsoku/>
        <w:wordWrap/>
        <w:overflowPunct/>
        <w:topLinePunct w:val="0"/>
        <w:autoSpaceDE/>
        <w:autoSpaceDN/>
        <w:bidi w:val="0"/>
        <w:adjustRightInd/>
        <w:snapToGrid/>
        <w:jc w:val="center"/>
        <w:textAlignment w:val="auto"/>
      </w:pPr>
      <w:bookmarkStart w:id="18" w:name="_Toc27673"/>
      <w:r>
        <w:rPr>
          <w:rFonts w:hint="eastAsia"/>
        </w:rPr>
        <w:t>第</w:t>
      </w:r>
      <w:r>
        <w:rPr>
          <w:rFonts w:hint="eastAsia"/>
          <w:lang w:val="en-US" w:eastAsia="zh-CN"/>
        </w:rPr>
        <w:t>四</w:t>
      </w:r>
      <w:r>
        <w:rPr>
          <w:rFonts w:hint="eastAsia"/>
        </w:rPr>
        <w:t>章  工程量清单</w:t>
      </w:r>
      <w:bookmarkEnd w:id="16"/>
      <w:r>
        <w:rPr>
          <w:rFonts w:hint="eastAsia"/>
        </w:rPr>
        <w:t>（详见附件）</w:t>
      </w:r>
      <w:bookmarkEnd w:id="18"/>
    </w:p>
    <w:p>
      <w:pPr>
        <w:widowControl/>
        <w:jc w:val="left"/>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Cambria" w:hAnsi="Cambria" w:eastAsia="黑体" w:cs="Times New Roman"/>
          <w:b/>
          <w:bCs/>
          <w:kern w:val="0"/>
          <w:sz w:val="32"/>
          <w:szCs w:val="32"/>
          <w:lang w:val="en-US" w:eastAsia="zh-CN"/>
        </w:rPr>
      </w:pPr>
      <w:r>
        <w:rPr>
          <w:rFonts w:hint="eastAsia" w:ascii="Cambria" w:hAnsi="Cambria" w:eastAsia="黑体" w:cs="Times New Roman"/>
          <w:b/>
          <w:bCs/>
          <w:kern w:val="0"/>
          <w:sz w:val="32"/>
          <w:szCs w:val="32"/>
          <w:lang w:val="en-US" w:eastAsia="zh-CN"/>
        </w:rPr>
        <w:t>附件一：新建T4航站楼涉疫垃圾回收点项目工程量清单</w:t>
      </w: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9"/>
        <w:jc w:val="center"/>
      </w:pPr>
      <w:bookmarkStart w:id="19" w:name="_Toc9507"/>
      <w:r>
        <w:rPr>
          <w:rFonts w:hint="eastAsia"/>
        </w:rPr>
        <w:t>第</w:t>
      </w:r>
      <w:r>
        <w:rPr>
          <w:rFonts w:hint="eastAsia"/>
          <w:lang w:val="en-US" w:eastAsia="zh-CN"/>
        </w:rPr>
        <w:t>五</w:t>
      </w:r>
      <w:r>
        <w:rPr>
          <w:rFonts w:hint="eastAsia"/>
        </w:rPr>
        <w:t xml:space="preserve">章  </w:t>
      </w:r>
      <w:r>
        <w:rPr>
          <w:rFonts w:hint="eastAsia"/>
          <w:lang w:val="en-US" w:eastAsia="zh-CN"/>
        </w:rPr>
        <w:t>图纸</w:t>
      </w:r>
      <w:r>
        <w:rPr>
          <w:rFonts w:hint="eastAsia"/>
        </w:rPr>
        <w:t>（详见附件）</w:t>
      </w:r>
      <w:bookmarkEnd w:id="19"/>
    </w:p>
    <w:p>
      <w:pPr>
        <w:widowControl/>
        <w:jc w:val="left"/>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Cambria" w:hAnsi="Cambria" w:eastAsia="黑体" w:cs="Times New Roman"/>
          <w:b/>
          <w:bCs/>
          <w:kern w:val="0"/>
          <w:sz w:val="32"/>
          <w:szCs w:val="32"/>
          <w:lang w:val="en-US" w:eastAsia="zh-CN"/>
        </w:rPr>
      </w:pPr>
      <w:r>
        <w:rPr>
          <w:rFonts w:hint="eastAsia" w:ascii="Cambria" w:hAnsi="Cambria" w:eastAsia="黑体" w:cs="Times New Roman"/>
          <w:b/>
          <w:bCs/>
          <w:kern w:val="0"/>
          <w:sz w:val="32"/>
          <w:szCs w:val="32"/>
          <w:lang w:val="en-US" w:eastAsia="zh-CN"/>
        </w:rPr>
        <w:t>附件二：防疫垃圾房示意图</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ascii="Cambria" w:hAnsi="Cambria" w:eastAsia="黑体" w:cs="Times New Roman"/>
          <w:b/>
          <w:bCs/>
          <w:kern w:val="0"/>
          <w:sz w:val="32"/>
          <w:szCs w:val="32"/>
        </w:rPr>
      </w:pPr>
      <w:r>
        <w:rPr>
          <w:rFonts w:hint="eastAsia" w:ascii="Cambria" w:hAnsi="Cambria" w:eastAsia="黑体" w:cs="Times New Roman"/>
          <w:b/>
          <w:bCs/>
          <w:kern w:val="0"/>
          <w:sz w:val="32"/>
          <w:szCs w:val="32"/>
          <w:lang w:val="en-US" w:eastAsia="zh-CN"/>
        </w:rPr>
        <w:t>附件三：</w:t>
      </w:r>
      <w:r>
        <w:rPr>
          <w:rFonts w:hint="eastAsia" w:ascii="Cambria" w:hAnsi="Cambria" w:eastAsia="黑体" w:cs="Times New Roman"/>
          <w:b/>
          <w:bCs/>
          <w:kern w:val="0"/>
          <w:sz w:val="32"/>
          <w:szCs w:val="32"/>
        </w:rPr>
        <w:t>防疫用房外标示牌</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9"/>
        <w:jc w:val="both"/>
      </w:pPr>
      <w:bookmarkStart w:id="20" w:name="_Toc275274581"/>
      <w:bookmarkStart w:id="21" w:name="_Toc448097409"/>
      <w:r>
        <w:rPr>
          <w:rFonts w:hint="eastAsia"/>
        </w:rPr>
        <w:t xml:space="preserve"> </w:t>
      </w:r>
      <w:r>
        <w:t xml:space="preserve">                </w:t>
      </w:r>
    </w:p>
    <w:p>
      <w:pPr>
        <w:pStyle w:val="9"/>
        <w:jc w:val="both"/>
      </w:pPr>
    </w:p>
    <w:p>
      <w:pPr>
        <w:pStyle w:val="9"/>
        <w:jc w:val="both"/>
      </w:pPr>
    </w:p>
    <w:p>
      <w:pPr>
        <w:pStyle w:val="9"/>
        <w:jc w:val="both"/>
      </w:pPr>
    </w:p>
    <w:p/>
    <w:p/>
    <w:p/>
    <w:p/>
    <w:p/>
    <w:p/>
    <w:p/>
    <w:p/>
    <w:p/>
    <w:p/>
    <w:p/>
    <w:p/>
    <w:p/>
    <w:p/>
    <w:p/>
    <w:p/>
    <w:p/>
    <w:p/>
    <w:p/>
    <w:p/>
    <w:p/>
    <w:p/>
    <w:p/>
    <w:p/>
    <w:p/>
    <w:p/>
    <w:p/>
    <w:p/>
    <w:p/>
    <w:p/>
    <w:p/>
    <w:p>
      <w:pPr>
        <w:pStyle w:val="9"/>
        <w:jc w:val="both"/>
      </w:pPr>
    </w:p>
    <w:p>
      <w:pPr>
        <w:pStyle w:val="9"/>
        <w:numPr>
          <w:ilvl w:val="0"/>
          <w:numId w:val="0"/>
        </w:numPr>
        <w:jc w:val="center"/>
        <w:rPr>
          <w:rFonts w:hint="eastAsia"/>
          <w:lang w:val="en-US" w:eastAsia="zh-CN"/>
        </w:rPr>
      </w:pPr>
      <w:bookmarkStart w:id="22" w:name="_Toc17683"/>
      <w:r>
        <w:rPr>
          <w:rFonts w:hint="eastAsia"/>
          <w:lang w:val="en-US" w:eastAsia="zh-CN"/>
        </w:rPr>
        <w:t>第六章</w:t>
      </w:r>
      <w:r>
        <w:t xml:space="preserve"> </w:t>
      </w:r>
      <w:r>
        <w:rPr>
          <w:rFonts w:hint="eastAsia"/>
          <w:lang w:val="en-US" w:eastAsia="zh-CN"/>
        </w:rPr>
        <w:t>技术标准及要求</w:t>
      </w:r>
      <w:bookmarkEnd w:id="22"/>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 ：主要工作内容具体详见图纸及工程量清单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依据设计施工图纸和技术文件要求，本工程项目的施工必须达到以下现行中华人民共和国及省、市、行业的一切有关法规、规范的要求，如下述标准及规范要求有出入则以较严格者为准。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3"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hint="eastAsia"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hint="eastAsia" w:ascii="宋体" w:hAnsi="宋体" w:cs="宋体"/>
          <w:b/>
          <w:sz w:val="22"/>
        </w:rPr>
      </w:pPr>
      <w:r>
        <w:rPr>
          <w:rFonts w:hint="eastAsia" w:ascii="宋体" w:hAnsi="宋体" w:cs="宋体"/>
          <w:b/>
          <w:sz w:val="22"/>
        </w:rPr>
        <w:t>主要材料设备推荐品牌一览表</w:t>
      </w:r>
    </w:p>
    <w:tbl>
      <w:tblPr>
        <w:tblStyle w:val="12"/>
        <w:tblW w:w="85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2783"/>
        <w:gridCol w:w="4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063" w:type="dxa"/>
            <w:vAlign w:val="center"/>
          </w:tcPr>
          <w:p>
            <w:pPr>
              <w:widowControl/>
              <w:tabs>
                <w:tab w:val="left" w:pos="720"/>
              </w:tabs>
              <w:snapToGrid w:val="0"/>
              <w:jc w:val="center"/>
              <w:rPr>
                <w:rFonts w:ascii="宋体" w:hAnsi="宋体" w:cs="宋体"/>
                <w:sz w:val="22"/>
              </w:rPr>
            </w:pPr>
            <w:r>
              <w:rPr>
                <w:rFonts w:hint="eastAsia" w:ascii="宋体" w:hAnsi="宋体" w:cs="宋体"/>
                <w:sz w:val="22"/>
              </w:rPr>
              <w:t>序号</w:t>
            </w:r>
          </w:p>
        </w:tc>
        <w:tc>
          <w:tcPr>
            <w:tcW w:w="2783" w:type="dxa"/>
            <w:vAlign w:val="center"/>
          </w:tcPr>
          <w:p>
            <w:pPr>
              <w:snapToGrid w:val="0"/>
              <w:jc w:val="center"/>
              <w:rPr>
                <w:rFonts w:ascii="宋体" w:hAnsi="宋体" w:cs="宋体"/>
                <w:sz w:val="22"/>
              </w:rPr>
            </w:pPr>
            <w:r>
              <w:rPr>
                <w:rFonts w:hint="eastAsia" w:ascii="宋体" w:hAnsi="宋体" w:cs="宋体"/>
                <w:sz w:val="22"/>
              </w:rPr>
              <w:t>材料</w:t>
            </w:r>
          </w:p>
        </w:tc>
        <w:tc>
          <w:tcPr>
            <w:tcW w:w="4714" w:type="dxa"/>
            <w:vAlign w:val="center"/>
          </w:tcPr>
          <w:p>
            <w:pPr>
              <w:snapToGrid w:val="0"/>
              <w:jc w:val="center"/>
              <w:rPr>
                <w:rFonts w:ascii="宋体" w:hAnsi="宋体" w:cs="宋体"/>
                <w:sz w:val="22"/>
              </w:rPr>
            </w:pPr>
            <w:r>
              <w:rPr>
                <w:rFonts w:hint="eastAsia" w:ascii="宋体" w:hAnsi="宋体" w:cs="宋体"/>
                <w:sz w:val="22"/>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snapToGrid w:val="0"/>
              <w:jc w:val="center"/>
              <w:rPr>
                <w:rFonts w:ascii="宋体" w:hAnsi="宋体" w:cs="宋体"/>
                <w:sz w:val="22"/>
              </w:rPr>
            </w:pPr>
            <w:r>
              <w:rPr>
                <w:rFonts w:hint="eastAsia" w:ascii="宋体" w:hAnsi="宋体" w:cs="宋体"/>
                <w:sz w:val="22"/>
              </w:rPr>
              <w:t>1</w:t>
            </w:r>
          </w:p>
        </w:tc>
        <w:tc>
          <w:tcPr>
            <w:tcW w:w="2783" w:type="dxa"/>
            <w:vAlign w:val="center"/>
          </w:tcPr>
          <w:p>
            <w:pPr>
              <w:snapToGrid w:val="0"/>
              <w:rPr>
                <w:rFonts w:ascii="宋体" w:hAnsi="宋体" w:cs="宋体"/>
                <w:bCs/>
                <w:sz w:val="22"/>
              </w:rPr>
            </w:pPr>
            <w:r>
              <w:rPr>
                <w:rFonts w:hint="eastAsia" w:ascii="宋体" w:hAnsi="宋体" w:cs="宋体"/>
                <w:bCs/>
                <w:sz w:val="22"/>
              </w:rPr>
              <w:t>电力电缆</w:t>
            </w:r>
          </w:p>
        </w:tc>
        <w:tc>
          <w:tcPr>
            <w:tcW w:w="4714" w:type="dxa"/>
            <w:vAlign w:val="center"/>
          </w:tcPr>
          <w:p>
            <w:pPr>
              <w:snapToGrid w:val="0"/>
              <w:rPr>
                <w:rFonts w:ascii="宋体" w:hAnsi="宋体" w:cs="宋体"/>
                <w:bCs/>
                <w:sz w:val="22"/>
              </w:rPr>
            </w:pPr>
            <w:r>
              <w:rPr>
                <w:rFonts w:hint="eastAsia" w:ascii="宋体" w:hAnsi="宋体" w:cs="宋体"/>
                <w:bCs/>
                <w:sz w:val="22"/>
              </w:rPr>
              <w:t>远东</w:t>
            </w:r>
            <w:r>
              <w:rPr>
                <w:rFonts w:hint="eastAsia" w:ascii="宋体" w:hAnsi="宋体" w:cs="宋体"/>
                <w:bCs/>
                <w:sz w:val="22"/>
                <w:lang w:val="en-US" w:eastAsia="zh-CN"/>
              </w:rPr>
              <w:t>电缆</w:t>
            </w:r>
            <w:r>
              <w:rPr>
                <w:rFonts w:hint="eastAsia" w:ascii="宋体" w:hAnsi="宋体" w:cs="宋体"/>
                <w:bCs/>
                <w:sz w:val="22"/>
              </w:rPr>
              <w:t>、</w:t>
            </w:r>
            <w:r>
              <w:rPr>
                <w:rFonts w:hint="eastAsia" w:ascii="宋体" w:hAnsi="宋体" w:cs="宋体"/>
                <w:bCs/>
                <w:sz w:val="22"/>
                <w:lang w:val="en-US" w:eastAsia="zh-CN"/>
              </w:rPr>
              <w:t>熊猫</w:t>
            </w:r>
            <w:r>
              <w:rPr>
                <w:rFonts w:hint="eastAsia" w:ascii="宋体" w:hAnsi="宋体" w:cs="宋体"/>
                <w:bCs/>
                <w:sz w:val="22"/>
              </w:rPr>
              <w:t>、</w:t>
            </w:r>
            <w:r>
              <w:rPr>
                <w:rFonts w:hint="eastAsia" w:ascii="宋体" w:hAnsi="宋体" w:cs="宋体"/>
                <w:bCs/>
                <w:sz w:val="22"/>
                <w:lang w:val="en-US" w:eastAsia="zh-CN"/>
              </w:rPr>
              <w:t>上上</w:t>
            </w:r>
            <w:r>
              <w:rPr>
                <w:rFonts w:hint="eastAsia" w:ascii="宋体" w:hAnsi="宋体" w:cs="宋体"/>
                <w:bCs/>
                <w:sz w:val="22"/>
              </w:rPr>
              <w:t>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snapToGrid w:val="0"/>
              <w:jc w:val="center"/>
              <w:rPr>
                <w:rFonts w:hint="eastAsia" w:ascii="宋体" w:hAnsi="宋体" w:cs="宋体"/>
                <w:sz w:val="22"/>
              </w:rPr>
            </w:pPr>
            <w:r>
              <w:rPr>
                <w:rFonts w:hint="eastAsia" w:ascii="宋体" w:hAnsi="宋体" w:cs="宋体"/>
                <w:sz w:val="22"/>
              </w:rPr>
              <w:t>2</w:t>
            </w:r>
          </w:p>
        </w:tc>
        <w:tc>
          <w:tcPr>
            <w:tcW w:w="2783" w:type="dxa"/>
            <w:vAlign w:val="center"/>
          </w:tcPr>
          <w:p>
            <w:pPr>
              <w:snapToGrid w:val="0"/>
              <w:rPr>
                <w:rFonts w:hint="eastAsia" w:ascii="宋体" w:hAnsi="宋体" w:cs="宋体" w:eastAsiaTheme="minorEastAsia"/>
                <w:bCs/>
                <w:sz w:val="22"/>
                <w:lang w:val="en-US" w:eastAsia="zh-CN"/>
              </w:rPr>
            </w:pPr>
            <w:r>
              <w:rPr>
                <w:rFonts w:hint="eastAsia" w:ascii="宋体" w:hAnsi="宋体" w:cs="宋体"/>
                <w:bCs/>
                <w:sz w:val="22"/>
                <w:lang w:val="en-US" w:eastAsia="zh-CN"/>
              </w:rPr>
              <w:t>PVC线管</w:t>
            </w:r>
          </w:p>
        </w:tc>
        <w:tc>
          <w:tcPr>
            <w:tcW w:w="4714" w:type="dxa"/>
            <w:vAlign w:val="center"/>
          </w:tcPr>
          <w:p>
            <w:pPr>
              <w:snapToGrid w:val="0"/>
              <w:rPr>
                <w:rFonts w:hint="eastAsia" w:ascii="宋体" w:hAnsi="宋体" w:cs="宋体" w:eastAsiaTheme="minorEastAsia"/>
                <w:bCs/>
                <w:sz w:val="22"/>
                <w:lang w:val="en-US" w:eastAsia="zh-CN"/>
              </w:rPr>
            </w:pPr>
            <w:r>
              <w:rPr>
                <w:rFonts w:hint="eastAsia" w:ascii="宋体" w:hAnsi="宋体" w:cs="宋体"/>
                <w:bCs/>
                <w:sz w:val="22"/>
                <w:lang w:val="en-US" w:eastAsia="zh-CN"/>
              </w:rPr>
              <w:t>中材、伟星、公元</w:t>
            </w:r>
            <w:r>
              <w:rPr>
                <w:rFonts w:hint="eastAsia" w:ascii="宋体" w:hAnsi="宋体" w:cs="宋体"/>
                <w:bCs/>
                <w:sz w:val="22"/>
              </w:rPr>
              <w:t>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63" w:type="dxa"/>
            <w:vAlign w:val="center"/>
          </w:tcPr>
          <w:p>
            <w:pPr>
              <w:snapToGrid w:val="0"/>
              <w:jc w:val="center"/>
              <w:rPr>
                <w:rFonts w:ascii="宋体" w:hAnsi="宋体" w:cs="宋体"/>
                <w:sz w:val="22"/>
              </w:rPr>
            </w:pPr>
            <w:r>
              <w:rPr>
                <w:rFonts w:hint="eastAsia" w:ascii="宋体" w:hAnsi="宋体" w:cs="宋体"/>
                <w:sz w:val="22"/>
              </w:rPr>
              <w:t>3</w:t>
            </w:r>
          </w:p>
        </w:tc>
        <w:tc>
          <w:tcPr>
            <w:tcW w:w="2783" w:type="dxa"/>
            <w:vAlign w:val="center"/>
          </w:tcPr>
          <w:p>
            <w:pPr>
              <w:snapToGrid w:val="0"/>
              <w:rPr>
                <w:rFonts w:hint="eastAsia" w:ascii="宋体" w:hAnsi="宋体" w:cs="宋体"/>
                <w:bCs/>
                <w:sz w:val="22"/>
                <w:lang w:val="en-US" w:eastAsia="zh-CN"/>
              </w:rPr>
            </w:pPr>
            <w:r>
              <w:rPr>
                <w:rFonts w:hint="eastAsia" w:ascii="宋体" w:hAnsi="宋体" w:cs="宋体"/>
                <w:bCs/>
                <w:sz w:val="22"/>
                <w:lang w:val="en-US" w:eastAsia="zh-CN"/>
              </w:rPr>
              <w:t>LED平板灯</w:t>
            </w:r>
          </w:p>
        </w:tc>
        <w:tc>
          <w:tcPr>
            <w:tcW w:w="4714" w:type="dxa"/>
            <w:vAlign w:val="center"/>
          </w:tcPr>
          <w:p>
            <w:pPr>
              <w:snapToGrid w:val="0"/>
              <w:rPr>
                <w:rFonts w:hint="eastAsia" w:ascii="宋体" w:hAnsi="宋体" w:cs="宋体"/>
                <w:bCs/>
                <w:sz w:val="22"/>
                <w:lang w:val="en-US" w:eastAsia="zh-CN"/>
              </w:rPr>
            </w:pPr>
            <w:r>
              <w:rPr>
                <w:rFonts w:hint="eastAsia" w:ascii="宋体" w:hAnsi="宋体" w:cs="宋体"/>
                <w:bCs/>
                <w:sz w:val="22"/>
                <w:lang w:val="en-US" w:eastAsia="zh-CN"/>
              </w:rPr>
              <w:t>雷士、欧普、三雄极光</w:t>
            </w:r>
            <w:r>
              <w:rPr>
                <w:rFonts w:hint="eastAsia" w:ascii="宋体" w:hAnsi="宋体" w:cs="宋体"/>
                <w:bCs/>
                <w:sz w:val="22"/>
              </w:rPr>
              <w:t>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snapToGrid w:val="0"/>
              <w:jc w:val="center"/>
              <w:rPr>
                <w:rFonts w:ascii="宋体" w:hAnsi="宋体" w:cs="宋体"/>
                <w:sz w:val="22"/>
              </w:rPr>
            </w:pPr>
            <w:r>
              <w:rPr>
                <w:rFonts w:hint="eastAsia" w:ascii="宋体" w:hAnsi="宋体" w:cs="宋体"/>
                <w:sz w:val="22"/>
              </w:rPr>
              <w:t>4</w:t>
            </w:r>
          </w:p>
        </w:tc>
        <w:tc>
          <w:tcPr>
            <w:tcW w:w="2783" w:type="dxa"/>
            <w:vAlign w:val="center"/>
          </w:tcPr>
          <w:p>
            <w:pPr>
              <w:snapToGrid w:val="0"/>
              <w:rPr>
                <w:rFonts w:hint="eastAsia" w:ascii="宋体" w:hAnsi="宋体" w:cs="宋体" w:eastAsiaTheme="minorEastAsia"/>
                <w:bCs/>
                <w:sz w:val="22"/>
                <w:lang w:val="en-US" w:eastAsia="zh-CN"/>
              </w:rPr>
            </w:pPr>
            <w:r>
              <w:rPr>
                <w:rFonts w:hint="eastAsia" w:ascii="宋体" w:hAnsi="宋体" w:cs="宋体"/>
                <w:bCs/>
                <w:sz w:val="22"/>
                <w:lang w:val="en-US" w:eastAsia="zh-CN"/>
              </w:rPr>
              <w:t>开关</w:t>
            </w:r>
          </w:p>
        </w:tc>
        <w:tc>
          <w:tcPr>
            <w:tcW w:w="4714" w:type="dxa"/>
            <w:vAlign w:val="center"/>
          </w:tcPr>
          <w:p>
            <w:pPr>
              <w:snapToGrid w:val="0"/>
              <w:rPr>
                <w:rFonts w:ascii="宋体" w:hAnsi="宋体" w:cs="宋体"/>
                <w:b/>
                <w:bCs w:val="0"/>
                <w:sz w:val="22"/>
              </w:rPr>
            </w:pPr>
            <w:r>
              <w:rPr>
                <w:rFonts w:hint="eastAsia" w:ascii="宋体" w:hAnsi="宋体" w:cs="宋体"/>
                <w:sz w:val="22"/>
              </w:rPr>
              <w:t>鸿雁、正泰、</w:t>
            </w:r>
            <w:r>
              <w:rPr>
                <w:rFonts w:hint="eastAsia" w:ascii="宋体" w:hAnsi="宋体" w:cs="宋体"/>
                <w:sz w:val="22"/>
                <w:lang w:val="en-US" w:eastAsia="zh-CN"/>
              </w:rPr>
              <w:t>公牛</w:t>
            </w:r>
            <w:r>
              <w:rPr>
                <w:rFonts w:hint="eastAsia" w:ascii="宋体" w:hAnsi="宋体" w:cs="宋体"/>
                <w:bCs/>
                <w:sz w:val="22"/>
              </w:rPr>
              <w:t>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snapToGrid w:val="0"/>
              <w:jc w:val="center"/>
              <w:rPr>
                <w:rFonts w:ascii="宋体" w:hAnsi="宋体" w:cs="宋体"/>
                <w:sz w:val="22"/>
              </w:rPr>
            </w:pPr>
            <w:r>
              <w:rPr>
                <w:rFonts w:hint="eastAsia" w:ascii="宋体" w:hAnsi="宋体" w:cs="宋体"/>
                <w:sz w:val="22"/>
                <w:lang w:val="en-US" w:eastAsia="zh-CN"/>
              </w:rPr>
              <w:t>5</w:t>
            </w:r>
          </w:p>
        </w:tc>
        <w:tc>
          <w:tcPr>
            <w:tcW w:w="2783" w:type="dxa"/>
            <w:vAlign w:val="center"/>
          </w:tcPr>
          <w:p>
            <w:pPr>
              <w:snapToGrid w:val="0"/>
              <w:rPr>
                <w:rFonts w:hint="default" w:ascii="宋体" w:hAnsi="宋体" w:cs="宋体" w:eastAsiaTheme="minorEastAsia"/>
                <w:bCs/>
                <w:sz w:val="22"/>
                <w:lang w:val="en-US" w:eastAsia="zh-CN"/>
              </w:rPr>
            </w:pPr>
            <w:r>
              <w:rPr>
                <w:rFonts w:hint="eastAsia" w:ascii="宋体" w:hAnsi="宋体" w:cs="宋体"/>
                <w:bCs/>
                <w:sz w:val="22"/>
                <w:lang w:val="en-US" w:eastAsia="zh-CN"/>
              </w:rPr>
              <w:t>插座</w:t>
            </w:r>
          </w:p>
        </w:tc>
        <w:tc>
          <w:tcPr>
            <w:tcW w:w="4714" w:type="dxa"/>
            <w:vAlign w:val="center"/>
          </w:tcPr>
          <w:p>
            <w:pPr>
              <w:snapToGrid w:val="0"/>
              <w:rPr>
                <w:rFonts w:ascii="宋体" w:hAnsi="宋体" w:cs="宋体"/>
                <w:bCs/>
                <w:sz w:val="22"/>
              </w:rPr>
            </w:pPr>
            <w:r>
              <w:rPr>
                <w:rFonts w:hint="eastAsia" w:ascii="宋体" w:hAnsi="宋体" w:cs="宋体"/>
                <w:sz w:val="22"/>
              </w:rPr>
              <w:t>鸿雁、正泰、</w:t>
            </w:r>
            <w:r>
              <w:rPr>
                <w:rFonts w:hint="eastAsia" w:ascii="宋体" w:hAnsi="宋体" w:cs="宋体"/>
                <w:sz w:val="22"/>
                <w:lang w:val="en-US" w:eastAsia="zh-CN"/>
              </w:rPr>
              <w:t>公牛</w:t>
            </w:r>
            <w:r>
              <w:rPr>
                <w:rFonts w:hint="eastAsia" w:ascii="宋体" w:hAnsi="宋体" w:cs="宋体"/>
                <w:bCs/>
                <w:sz w:val="22"/>
              </w:rPr>
              <w:t>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snapToGrid w:val="0"/>
              <w:jc w:val="center"/>
              <w:rPr>
                <w:rFonts w:hint="eastAsia" w:ascii="宋体" w:hAnsi="宋体" w:cs="宋体" w:eastAsiaTheme="minorEastAsia"/>
                <w:sz w:val="22"/>
                <w:lang w:val="en-US" w:eastAsia="zh-CN"/>
              </w:rPr>
            </w:pPr>
            <w:r>
              <w:rPr>
                <w:rFonts w:hint="eastAsia" w:ascii="宋体" w:hAnsi="宋体" w:cs="宋体"/>
                <w:sz w:val="22"/>
                <w:lang w:val="en-US" w:eastAsia="zh-CN"/>
              </w:rPr>
              <w:t>6</w:t>
            </w:r>
          </w:p>
        </w:tc>
        <w:tc>
          <w:tcPr>
            <w:tcW w:w="2783" w:type="dxa"/>
            <w:vAlign w:val="center"/>
          </w:tcPr>
          <w:p>
            <w:pPr>
              <w:snapToGrid w:val="0"/>
              <w:rPr>
                <w:rFonts w:hint="eastAsia" w:ascii="宋体" w:hAnsi="宋体" w:cs="宋体" w:eastAsiaTheme="minorEastAsia"/>
                <w:bCs/>
                <w:sz w:val="22"/>
                <w:lang w:val="en-US" w:eastAsia="zh-CN"/>
              </w:rPr>
            </w:pPr>
            <w:r>
              <w:rPr>
                <w:rFonts w:hint="eastAsia" w:ascii="宋体" w:hAnsi="宋体" w:cs="宋体"/>
                <w:bCs/>
                <w:sz w:val="22"/>
                <w:lang w:val="en-US" w:eastAsia="zh-CN"/>
              </w:rPr>
              <w:t>空开</w:t>
            </w:r>
          </w:p>
        </w:tc>
        <w:tc>
          <w:tcPr>
            <w:tcW w:w="4714" w:type="dxa"/>
            <w:vAlign w:val="center"/>
          </w:tcPr>
          <w:p>
            <w:pPr>
              <w:snapToGrid w:val="0"/>
              <w:rPr>
                <w:rFonts w:hint="default" w:ascii="宋体" w:hAnsi="宋体" w:cs="宋体" w:eastAsiaTheme="minorEastAsia"/>
                <w:bCs/>
                <w:sz w:val="22"/>
                <w:lang w:val="en-US" w:eastAsia="zh-CN"/>
              </w:rPr>
            </w:pPr>
            <w:r>
              <w:rPr>
                <w:rFonts w:hint="eastAsia" w:ascii="宋体" w:hAnsi="宋体" w:cs="宋体"/>
                <w:bCs/>
                <w:sz w:val="22"/>
              </w:rPr>
              <w:t>施耐德、ABB、西门子或“相当于”品牌</w:t>
            </w:r>
          </w:p>
        </w:tc>
      </w:tr>
    </w:tbl>
    <w:p>
      <w:pPr>
        <w:widowControl/>
        <w:tabs>
          <w:tab w:val="left" w:pos="720"/>
        </w:tabs>
        <w:snapToGrid w:val="0"/>
        <w:spacing w:line="360" w:lineRule="exact"/>
        <w:ind w:firstLine="444"/>
        <w:rPr>
          <w:rFonts w:hint="eastAsia" w:ascii="宋体" w:hAnsi="宋体" w:cs="宋体"/>
          <w:b/>
          <w:sz w:val="22"/>
          <w:lang w:val="zh-CN"/>
        </w:rPr>
      </w:pPr>
    </w:p>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6）承包人在选定品牌或制造商时应充分综合考虑供货等风险，若承包人选定品牌或制造商在实施时无法供货或无法正常供货，将由发包人在推荐品牌或制造商中予以指定。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承包人必须按照施工图纸及技术规范进行施工，严格按照批准的施工技术方案和施工组织设计进行施工，力争做到“一流的施工管理，一流的工程质量”；同时施工组织实施须遵守机场相关规定要求。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ascii="宋体" w:hAnsi="宋体" w:cs="宋体"/>
          <w:sz w:val="22"/>
        </w:rPr>
      </w:pPr>
      <w:r>
        <w:rPr>
          <w:rFonts w:hint="eastAsia" w:ascii="宋体" w:hAnsi="宋体" w:cs="宋体"/>
          <w:sz w:val="22"/>
        </w:rPr>
        <w:t>1）在指示规定的时间内，将发包人确认不合格的任何材料从现场运走。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承包人需就一切有关之材料和整体结构，必须满足施工图纸</w:t>
      </w:r>
      <w:r>
        <w:rPr>
          <w:rFonts w:hint="eastAsia" w:ascii="宋体" w:hAnsi="宋体" w:cs="宋体"/>
          <w:sz w:val="22"/>
          <w:lang w:val="en-US" w:eastAsia="zh-CN"/>
        </w:rPr>
        <w:t>和</w:t>
      </w:r>
      <w:r>
        <w:rPr>
          <w:rFonts w:hint="eastAsia" w:ascii="宋体" w:hAnsi="宋体" w:cs="宋体"/>
          <w:sz w:val="22"/>
        </w:rPr>
        <w:t>相应的技术标准及规范的规定。若产生施工偏差，承包人必须无条件返工，直至达到施工图纸</w:t>
      </w:r>
      <w:r>
        <w:rPr>
          <w:rFonts w:hint="eastAsia" w:ascii="宋体" w:hAnsi="宋体" w:cs="宋体"/>
          <w:sz w:val="22"/>
          <w:lang w:val="en-US" w:eastAsia="zh-CN"/>
        </w:rPr>
        <w:t>和</w:t>
      </w:r>
      <w:r>
        <w:rPr>
          <w:rFonts w:hint="eastAsia" w:ascii="宋体" w:hAnsi="宋体" w:cs="宋体"/>
          <w:sz w:val="22"/>
        </w:rPr>
        <w:t>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b/>
          <w:bCs/>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w:t>
      </w:r>
      <w:r>
        <w:rPr>
          <w:rFonts w:hint="eastAsia" w:ascii="宋体" w:hAnsi="宋体" w:cs="宋体"/>
          <w:b/>
          <w:bCs/>
          <w:sz w:val="22"/>
        </w:rPr>
        <w:t>承包人应替发包人办理进入现场的手续和亲自陪同。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3.5.3承包人应严格按已确认设计图纸和施工技术方案组织施工，并无条件地接受发包人对施工质量的监督和管理。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(2)本工程开工时间根据甲方提供施工场地时间为准，投标人在投标时须考虑由此造成的工期延长，由此造成的费用不做变更。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(3)本次施工区域可能存在部分障碍物需要拆除、移除，相关费用计入投标报价中，中标后不再调整。</w:t>
      </w:r>
    </w:p>
    <w:bookmarkEnd w:id="23"/>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5.1施工临设在建设单位指定区域自行搭设，采用立式框架式临时围界（详见第</w:t>
      </w:r>
      <w:r>
        <w:rPr>
          <w:rFonts w:hint="eastAsia" w:ascii="宋体" w:hAnsi="宋体" w:cs="宋体"/>
          <w:b/>
          <w:sz w:val="22"/>
          <w:lang w:val="en-US" w:eastAsia="zh-CN"/>
        </w:rPr>
        <w:t>八</w:t>
      </w:r>
      <w:r>
        <w:rPr>
          <w:rFonts w:hint="eastAsia" w:ascii="宋体" w:hAnsi="宋体" w:cs="宋体"/>
          <w:b/>
          <w:sz w:val="22"/>
        </w:rPr>
        <w:t>章）</w:t>
      </w:r>
      <w:r>
        <w:rPr>
          <w:rFonts w:hint="eastAsia" w:ascii="宋体" w:hAnsi="宋体" w:cs="宋体"/>
          <w:b/>
          <w:sz w:val="22"/>
          <w:lang w:eastAsia="zh-CN"/>
        </w:rPr>
        <w:t>，</w:t>
      </w:r>
      <w:r>
        <w:rPr>
          <w:rFonts w:hint="eastAsia" w:ascii="宋体" w:hAnsi="宋体" w:cs="宋体"/>
          <w:b/>
          <w:sz w:val="22"/>
          <w:lang w:val="en-US" w:eastAsia="zh-CN"/>
        </w:rPr>
        <w:t>施工进场前方案</w:t>
      </w:r>
      <w:r>
        <w:rPr>
          <w:rFonts w:hint="eastAsia" w:ascii="宋体" w:hAnsi="宋体" w:cs="宋体"/>
          <w:b/>
          <w:sz w:val="22"/>
        </w:rPr>
        <w:t>报招标人同意后方可搭建</w:t>
      </w:r>
      <w:r>
        <w:rPr>
          <w:rFonts w:hint="eastAsia" w:ascii="宋体" w:hAnsi="宋体" w:cs="宋体"/>
          <w:b/>
          <w:sz w:val="22"/>
          <w:lang w:eastAsia="zh-CN"/>
        </w:rPr>
        <w:t>。</w:t>
      </w:r>
      <w:r>
        <w:rPr>
          <w:rFonts w:hint="eastAsia" w:ascii="宋体" w:hAnsi="宋体" w:cs="宋体"/>
          <w:b/>
          <w:sz w:val="22"/>
        </w:rPr>
        <w:t>施工临设用地、材料堆场等在工程竣工验收通过后10日内自行拆除、彻底清理，并恢复原状。费用由投标人综合考虑，不另行计算。</w:t>
      </w:r>
    </w:p>
    <w:p>
      <w:pPr>
        <w:snapToGrid w:val="0"/>
        <w:spacing w:line="360" w:lineRule="exact"/>
        <w:ind w:firstLine="442" w:firstLineChars="200"/>
        <w:rPr>
          <w:rFonts w:ascii="宋体" w:hAnsi="宋体" w:cs="宋体"/>
          <w:b/>
          <w:sz w:val="22"/>
        </w:rPr>
      </w:pPr>
      <w:r>
        <w:rPr>
          <w:rFonts w:hint="eastAsia" w:ascii="宋体" w:hAnsi="宋体" w:cs="宋体"/>
          <w:b/>
          <w:sz w:val="22"/>
        </w:rPr>
        <w:t>5.</w:t>
      </w:r>
      <w:r>
        <w:rPr>
          <w:rFonts w:hint="eastAsia" w:ascii="宋体" w:hAnsi="宋体" w:cs="宋体"/>
          <w:b/>
          <w:sz w:val="22"/>
          <w:lang w:val="en-US" w:eastAsia="zh-CN"/>
        </w:rPr>
        <w:t>2</w:t>
      </w:r>
      <w:r>
        <w:rPr>
          <w:rFonts w:hint="eastAsia" w:ascii="宋体" w:hAnsi="宋体" w:cs="宋体"/>
          <w:b/>
          <w:sz w:val="22"/>
        </w:rPr>
        <w:t>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5.3本工程为固定单价合同。请投标人依据本项目招标内容、技术标准及要求、工程量清单及图纸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5.4发包范围外招标人提出并签证的费用由承包人在施工前提出并补充编制工料单价预算书。变更估价时，工程量清单中有的项目单价，按承包人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snapToGrid w:val="0"/>
        <w:spacing w:line="360" w:lineRule="exact"/>
        <w:ind w:firstLine="442" w:firstLineChars="200"/>
        <w:rPr>
          <w:rFonts w:hint="eastAsia" w:ascii="宋体" w:hAnsi="宋体" w:cs="宋体"/>
          <w:b/>
          <w:bCs w:val="0"/>
          <w:sz w:val="22"/>
        </w:rPr>
      </w:pPr>
      <w:r>
        <w:rPr>
          <w:rFonts w:hint="eastAsia" w:ascii="宋体" w:hAnsi="宋体" w:cs="宋体"/>
          <w:b/>
          <w:sz w:val="22"/>
          <w:lang w:val="en-US" w:eastAsia="zh-CN"/>
        </w:rPr>
        <w:t>5.5</w:t>
      </w:r>
      <w:r>
        <w:rPr>
          <w:rFonts w:hint="eastAsia" w:ascii="宋体" w:hAnsi="宋体" w:cs="宋体"/>
          <w:b/>
          <w:bCs w:val="0"/>
          <w:sz w:val="22"/>
        </w:rPr>
        <w:t>计日工单价最高限价</w:t>
      </w:r>
      <w:r>
        <w:rPr>
          <w:rFonts w:hint="eastAsia" w:ascii="宋体" w:hAnsi="宋体" w:cs="宋体"/>
          <w:b/>
          <w:bCs w:val="0"/>
          <w:sz w:val="22"/>
          <w:lang w:val="en-US" w:eastAsia="zh-CN"/>
        </w:rPr>
        <w:t>260</w:t>
      </w:r>
      <w:r>
        <w:rPr>
          <w:rFonts w:hint="eastAsia" w:ascii="宋体" w:hAnsi="宋体" w:cs="宋体"/>
          <w:b/>
          <w:bCs w:val="0"/>
          <w:sz w:val="22"/>
        </w:rPr>
        <w:t>元/工日。</w:t>
      </w:r>
    </w:p>
    <w:p>
      <w:pPr>
        <w:snapToGrid w:val="0"/>
        <w:spacing w:line="360" w:lineRule="exact"/>
        <w:ind w:firstLine="442" w:firstLineChars="200"/>
        <w:rPr>
          <w:rFonts w:hint="eastAsia" w:ascii="宋体" w:hAnsi="宋体" w:cs="宋体"/>
          <w:b/>
          <w:bCs w:val="0"/>
          <w:sz w:val="22"/>
        </w:rPr>
      </w:pPr>
      <w:r>
        <w:rPr>
          <w:rFonts w:hint="eastAsia" w:ascii="宋体" w:hAnsi="宋体" w:cs="宋体"/>
          <w:b/>
          <w:bCs w:val="0"/>
          <w:sz w:val="22"/>
          <w:lang w:val="en-US" w:eastAsia="zh-CN"/>
        </w:rPr>
        <w:t>5.6</w:t>
      </w:r>
      <w:r>
        <w:rPr>
          <w:rFonts w:hint="eastAsia" w:ascii="宋体" w:hAnsi="宋体" w:cs="宋体"/>
          <w:b/>
          <w:bCs w:val="0"/>
          <w:sz w:val="22"/>
        </w:rPr>
        <w:t>工程施工期间，承包人须无条件服从机场公司关于工期进度的统一安排。投标人需充分考虑隔离区内施工时间及工期的不确定性，如由于机场运行要求某些时间不得施工等或如遇长时间停工等任何突发情况，请投标人在投标时充分考虑相关费用，中标后不予增加费用。</w:t>
      </w:r>
    </w:p>
    <w:p>
      <w:pPr>
        <w:pStyle w:val="2"/>
        <w:keepNext w:val="0"/>
        <w:keepLines w:val="0"/>
        <w:pageBreakBefore w:val="0"/>
        <w:widowControl w:val="0"/>
        <w:kinsoku/>
        <w:wordWrap/>
        <w:overflowPunct/>
        <w:topLinePunct w:val="0"/>
        <w:autoSpaceDE/>
        <w:autoSpaceDN/>
        <w:bidi w:val="0"/>
        <w:adjustRightInd/>
        <w:snapToGrid/>
        <w:ind w:left="0" w:leftChars="0" w:firstLine="442" w:firstLineChars="200"/>
        <w:textAlignment w:val="auto"/>
        <w:rPr>
          <w:rFonts w:hint="eastAsia" w:ascii="宋体" w:hAnsi="宋体" w:cs="宋体"/>
          <w:b/>
          <w:bCs w:val="0"/>
          <w:sz w:val="22"/>
          <w:lang w:val="en-US" w:eastAsia="zh-CN"/>
        </w:rPr>
      </w:pPr>
      <w:r>
        <w:rPr>
          <w:rFonts w:hint="eastAsia" w:ascii="宋体" w:hAnsi="宋体" w:cs="宋体"/>
          <w:b/>
          <w:bCs w:val="0"/>
          <w:sz w:val="22"/>
          <w:lang w:val="en-US" w:eastAsia="zh-CN"/>
        </w:rPr>
        <w:t>5.7本项目部分工程位于机场隔离区内，承包人必须确保在施工阶段不影响机场正常运行，遵守机场不停航施工管理规定、施工安全条例。</w:t>
      </w:r>
    </w:p>
    <w:p>
      <w:pPr>
        <w:pStyle w:val="2"/>
        <w:keepNext w:val="0"/>
        <w:keepLines w:val="0"/>
        <w:pageBreakBefore w:val="0"/>
        <w:widowControl w:val="0"/>
        <w:kinsoku/>
        <w:wordWrap/>
        <w:overflowPunct/>
        <w:topLinePunct w:val="0"/>
        <w:autoSpaceDE/>
        <w:autoSpaceDN/>
        <w:bidi w:val="0"/>
        <w:adjustRightInd/>
        <w:snapToGrid/>
        <w:ind w:left="0" w:leftChars="0" w:firstLine="442" w:firstLineChars="200"/>
        <w:textAlignment w:val="auto"/>
        <w:rPr>
          <w:rFonts w:hint="eastAsia" w:ascii="宋体" w:hAnsi="宋体" w:cs="宋体"/>
          <w:b/>
          <w:bCs w:val="0"/>
          <w:sz w:val="22"/>
          <w:lang w:val="en-US" w:eastAsia="zh-CN"/>
        </w:rPr>
      </w:pPr>
      <w:r>
        <w:rPr>
          <w:rFonts w:hint="eastAsia" w:ascii="宋体" w:hAnsi="宋体" w:cs="宋体"/>
          <w:b/>
          <w:bCs w:val="0"/>
          <w:sz w:val="22"/>
          <w:lang w:val="en-US" w:eastAsia="zh-CN"/>
        </w:rPr>
        <w:t>5.8承包人施工人员在进出机场隔离区时必须办理相关证件（有效期一个月）。费用由投标人综合考虑，包含在投标报价中。</w:t>
      </w:r>
    </w:p>
    <w:p>
      <w:pPr>
        <w:pStyle w:val="2"/>
        <w:keepNext w:val="0"/>
        <w:keepLines w:val="0"/>
        <w:pageBreakBefore w:val="0"/>
        <w:widowControl w:val="0"/>
        <w:kinsoku/>
        <w:wordWrap/>
        <w:overflowPunct/>
        <w:topLinePunct w:val="0"/>
        <w:autoSpaceDE/>
        <w:autoSpaceDN/>
        <w:bidi w:val="0"/>
        <w:adjustRightInd/>
        <w:snapToGrid/>
        <w:ind w:left="0" w:leftChars="0" w:firstLine="442" w:firstLineChars="200"/>
        <w:textAlignment w:val="auto"/>
        <w:rPr>
          <w:rFonts w:hint="eastAsia" w:ascii="宋体" w:hAnsi="宋体" w:cs="宋体"/>
          <w:b/>
          <w:bCs w:val="0"/>
          <w:color w:val="auto"/>
          <w:sz w:val="22"/>
          <w:lang w:val="en-US" w:eastAsia="zh-CN"/>
        </w:rPr>
      </w:pPr>
      <w:r>
        <w:rPr>
          <w:rFonts w:hint="eastAsia" w:ascii="宋体" w:hAnsi="宋体" w:cs="宋体"/>
          <w:b/>
          <w:bCs w:val="0"/>
          <w:sz w:val="22"/>
          <w:lang w:val="en-US" w:eastAsia="zh-CN"/>
        </w:rPr>
        <w:t>5.9因本项目部分施工地点位于机场隔离区内，隔离区相关施工措施包括施工导致的夜间加班、工效降低、证件办理等需产生的费用，投标人必须充分考虑，费用包含在隔离区施工措施费报价中。投标人需考虑聘请招标人推荐的机场专业保安，负责门卫、巡逻、施工现场看护、隔离区围界看护等工作，人数每个施工区域每班不得少于1人，并配备相应的保卫措施，保安费用按实结算（结算时中标人需提供相应票据作为依据），</w:t>
      </w:r>
      <w:r>
        <w:rPr>
          <w:rFonts w:hint="eastAsia" w:ascii="宋体" w:hAnsi="宋体" w:cs="宋体"/>
          <w:b/>
          <w:bCs w:val="0"/>
          <w:color w:val="auto"/>
          <w:sz w:val="22"/>
          <w:lang w:val="en-US" w:eastAsia="zh-CN"/>
        </w:rPr>
        <w:t>★投标报价中施工安全监管费按2000元暂列金额计入，不得优惠。</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42" w:firstLineChars="200"/>
        <w:jc w:val="left"/>
        <w:textAlignment w:val="auto"/>
        <w:outlineLvl w:val="9"/>
        <w:rPr>
          <w:rFonts w:hint="eastAsia" w:ascii="宋体" w:hAnsi="宋体" w:cs="宋体"/>
          <w:b/>
          <w:bCs w:val="0"/>
          <w:sz w:val="22"/>
          <w:lang w:val="en-US" w:eastAsia="zh-CN"/>
        </w:rPr>
      </w:pPr>
      <w:r>
        <w:rPr>
          <w:rFonts w:hint="eastAsia" w:ascii="宋体" w:hAnsi="宋体" w:cs="宋体"/>
          <w:b/>
          <w:bCs w:val="0"/>
          <w:sz w:val="22"/>
          <w:lang w:val="en-US" w:eastAsia="zh-CN"/>
        </w:rPr>
        <w:t>5.10承包人须无条件配合发包人要求</w:t>
      </w:r>
      <w:r>
        <w:rPr>
          <w:rFonts w:hint="eastAsia" w:ascii="宋体" w:hAnsi="宋体" w:cs="宋体"/>
          <w:b/>
          <w:color w:val="auto"/>
          <w:sz w:val="22"/>
          <w:lang w:val="en-US" w:eastAsia="zh-CN"/>
        </w:rPr>
        <w:t>，施工前应征得发包人同意，不得擅自施工，如擅自施工导致的一切后果由承包人承担</w:t>
      </w:r>
      <w:r>
        <w:rPr>
          <w:rFonts w:hint="eastAsia" w:ascii="宋体" w:hAnsi="宋体" w:cs="宋体"/>
          <w:b/>
          <w:bCs w:val="0"/>
          <w:sz w:val="22"/>
          <w:lang w:val="en-US" w:eastAsia="zh-CN"/>
        </w:rPr>
        <w:t>。</w:t>
      </w:r>
    </w:p>
    <w:p>
      <w:pPr>
        <w:pStyle w:val="2"/>
        <w:rPr>
          <w:rFonts w:hint="eastAsia"/>
          <w:lang w:val="en-US" w:eastAsia="zh-CN"/>
        </w:rPr>
      </w:pPr>
      <w:r>
        <w:rPr>
          <w:rFonts w:hint="eastAsia" w:ascii="宋体" w:hAnsi="宋体" w:cs="宋体"/>
          <w:b/>
          <w:bCs w:val="0"/>
          <w:sz w:val="22"/>
          <w:lang w:val="en-US" w:eastAsia="zh-CN"/>
        </w:rPr>
        <w:t>5.11涉疫垃圾回收点外需按防疫办要求安装相应标识标牌。</w:t>
      </w:r>
    </w:p>
    <w:p>
      <w:pPr>
        <w:pStyle w:val="2"/>
        <w:keepNext w:val="0"/>
        <w:keepLines w:val="0"/>
        <w:pageBreakBefore w:val="0"/>
        <w:widowControl w:val="0"/>
        <w:kinsoku/>
        <w:wordWrap/>
        <w:overflowPunct/>
        <w:topLinePunct w:val="0"/>
        <w:autoSpaceDE/>
        <w:autoSpaceDN/>
        <w:bidi w:val="0"/>
        <w:adjustRightInd/>
        <w:snapToGrid/>
        <w:textAlignment w:val="auto"/>
        <w:rPr>
          <w:rFonts w:hint="default" w:ascii="宋体" w:hAnsi="宋体" w:cs="宋体"/>
          <w:b/>
          <w:bCs w:val="0"/>
          <w:sz w:val="22"/>
          <w:lang w:val="en-US" w:eastAsia="zh-CN"/>
        </w:rPr>
      </w:pPr>
      <w:r>
        <w:rPr>
          <w:rFonts w:hint="eastAsia" w:ascii="宋体" w:hAnsi="宋体" w:cs="宋体"/>
          <w:b/>
          <w:bCs w:val="0"/>
          <w:sz w:val="22"/>
          <w:lang w:val="en-US" w:eastAsia="zh-CN"/>
        </w:rPr>
        <w:t>5.12项目开工前承包人需提供施工进度计划表、施工材料及明细表，待材料、人员、证件全部准备完善并经发包人同意方可进行施工。</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5.13中标人项目负责人和所有施工人员须无条件配合甲方防疫工作，中标施工进场人员均须已接种新冠疫苗且提供48小时内核酸检测报告。项目施工期间每日8:00和13:00报送健康码、行程码至项目负责人处。施工单位还需按要求配备相关防疫物资及人员，做好自身防疫工作，投标人在投标时应充分考虑上述相关费用，中标后不予增加费用。如因疫情影响，导致施工过程中存在窝工，人员、机械降效情况，则请投标人在投标时充分考虑相关费用，中标后不予增加费用。</w:t>
      </w:r>
    </w:p>
    <w:p>
      <w:pPr>
        <w:pStyle w:val="9"/>
        <w:jc w:val="both"/>
        <w:rPr>
          <w:rFonts w:hint="default" w:eastAsia="黑体"/>
          <w:lang w:val="en-US" w:eastAsia="zh-CN"/>
        </w:rPr>
      </w:pPr>
    </w:p>
    <w:p>
      <w:pPr>
        <w:pStyle w:val="9"/>
        <w:jc w:val="center"/>
      </w:pPr>
    </w:p>
    <w:p>
      <w:pPr>
        <w:pStyle w:val="9"/>
        <w:jc w:val="center"/>
      </w:pPr>
    </w:p>
    <w:p>
      <w:pPr>
        <w:pStyle w:val="9"/>
        <w:jc w:val="center"/>
      </w:pPr>
    </w:p>
    <w:p>
      <w:pPr>
        <w:pStyle w:val="9"/>
        <w:jc w:val="center"/>
      </w:pPr>
    </w:p>
    <w:p/>
    <w:bookmarkEnd w:id="8"/>
    <w:bookmarkEnd w:id="20"/>
    <w:bookmarkEnd w:id="21"/>
    <w:p>
      <w:pPr>
        <w:pStyle w:val="3"/>
        <w:spacing w:before="0" w:after="0" w:line="564" w:lineRule="exact"/>
        <w:ind w:right="57"/>
        <w:jc w:val="center"/>
        <w:rPr>
          <w:sz w:val="32"/>
          <w:szCs w:val="32"/>
        </w:rPr>
      </w:pPr>
      <w:bookmarkStart w:id="24" w:name="_Toc52907682"/>
      <w:bookmarkStart w:id="25" w:name="_Toc10055"/>
      <w:r>
        <w:rPr>
          <w:sz w:val="32"/>
          <w:szCs w:val="32"/>
        </w:rPr>
        <w:t>第</w:t>
      </w:r>
      <w:r>
        <w:rPr>
          <w:rFonts w:hint="eastAsia"/>
          <w:sz w:val="32"/>
          <w:szCs w:val="32"/>
          <w:lang w:eastAsia="zh-CN"/>
        </w:rPr>
        <w:t>七</w:t>
      </w:r>
      <w:r>
        <w:rPr>
          <w:sz w:val="32"/>
          <w:szCs w:val="32"/>
        </w:rPr>
        <w:t>章</w:t>
      </w:r>
      <w:r>
        <w:rPr>
          <w:rFonts w:hint="eastAsia"/>
          <w:sz w:val="32"/>
          <w:szCs w:val="32"/>
        </w:rPr>
        <w:t xml:space="preserve">    </w:t>
      </w:r>
      <w:r>
        <w:rPr>
          <w:sz w:val="32"/>
          <w:szCs w:val="32"/>
        </w:rPr>
        <w:t>投标文件格式</w:t>
      </w:r>
      <w:bookmarkEnd w:id="24"/>
      <w:bookmarkEnd w:id="25"/>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6" w:type="default"/>
          <w:pgSz w:w="11907" w:h="16840"/>
          <w:pgMar w:top="1134" w:right="1134" w:bottom="1134" w:left="1134" w:header="567" w:footer="567" w:gutter="0"/>
          <w:pgNumType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4"/>
        <w:numPr>
          <w:ilvl w:val="0"/>
          <w:numId w:val="7"/>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4"/>
        <w:numPr>
          <w:ilvl w:val="0"/>
          <w:numId w:val="0"/>
        </w:numPr>
        <w:tabs>
          <w:tab w:val="left" w:pos="360"/>
        </w:tabs>
        <w:autoSpaceDE w:val="0"/>
        <w:autoSpaceDN w:val="0"/>
        <w:adjustRightInd w:val="0"/>
        <w:spacing w:line="360" w:lineRule="auto"/>
        <w:ind w:leftChars="0"/>
        <w:rPr>
          <w:rFonts w:ascii="微软雅黑" w:hAnsi="Times New Roman" w:cs="微软雅黑"/>
          <w:spacing w:val="-2"/>
          <w:kern w:val="0"/>
          <w:sz w:val="22"/>
        </w:rPr>
      </w:pPr>
      <w:r>
        <w:rPr>
          <w:rFonts w:hint="eastAsia" w:ascii="宋体" w:hAnsi="宋体" w:cs="宋体"/>
          <w:kern w:val="0"/>
          <w:sz w:val="22"/>
          <w:lang w:val="en-US" w:eastAsia="zh-CN"/>
        </w:rPr>
        <w:t>二、</w:t>
      </w:r>
      <w:r>
        <w:rPr>
          <w:rFonts w:hint="eastAsia" w:ascii="宋体" w:hAnsi="宋体" w:cs="宋体"/>
          <w:kern w:val="0"/>
          <w:sz w:val="22"/>
        </w:rPr>
        <w:t>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4"/>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三、</w:t>
      </w:r>
      <w:r>
        <w:rPr>
          <w:rFonts w:ascii="微软雅黑" w:hAnsi="Times New Roman" w:cs="微软雅黑"/>
          <w:spacing w:val="-2"/>
          <w:kern w:val="0"/>
          <w:sz w:val="22"/>
        </w:rPr>
        <w:t>已标价工程量清单；</w:t>
      </w:r>
    </w:p>
    <w:p>
      <w:pPr>
        <w:pStyle w:val="14"/>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四、</w:t>
      </w:r>
      <w:r>
        <w:rPr>
          <w:rFonts w:ascii="微软雅黑" w:hAnsi="Times New Roman" w:cs="微软雅黑"/>
          <w:spacing w:val="-2"/>
          <w:kern w:val="0"/>
          <w:sz w:val="22"/>
        </w:rPr>
        <w:t>投标人</w:t>
      </w:r>
      <w:r>
        <w:rPr>
          <w:rFonts w:hint="eastAsia" w:ascii="微软雅黑" w:hAnsi="Times New Roman" w:cs="微软雅黑"/>
          <w:spacing w:val="-2"/>
          <w:kern w:val="0"/>
          <w:sz w:val="22"/>
          <w:lang w:val="en-US" w:eastAsia="zh-CN"/>
        </w:rPr>
        <w:t>认为需要提供的</w:t>
      </w:r>
      <w:r>
        <w:rPr>
          <w:rFonts w:ascii="微软雅黑" w:hAnsi="Times New Roman" w:cs="微软雅黑"/>
          <w:spacing w:val="-2"/>
          <w:kern w:val="0"/>
          <w:sz w:val="22"/>
        </w:rPr>
        <w:t>其他材料。</w:t>
      </w:r>
    </w:p>
    <w:p>
      <w:pPr>
        <w:pStyle w:val="14"/>
        <w:numPr>
          <w:ilvl w:val="0"/>
          <w:numId w:val="0"/>
        </w:numPr>
        <w:tabs>
          <w:tab w:val="left" w:pos="360"/>
        </w:tabs>
        <w:autoSpaceDE w:val="0"/>
        <w:autoSpaceDN w:val="0"/>
        <w:adjustRightInd w:val="0"/>
        <w:spacing w:line="360" w:lineRule="auto"/>
        <w:ind w:leftChars="0" w:right="4013" w:rightChars="0"/>
        <w:rPr>
          <w:rFonts w:hint="eastAsia" w:ascii="微软雅黑" w:hAnsi="Times New Roman" w:cs="微软雅黑" w:eastAsiaTheme="minorEastAsia"/>
          <w:b/>
          <w:bCs/>
          <w:spacing w:val="-2"/>
          <w:kern w:val="0"/>
          <w:sz w:val="22"/>
          <w:lang w:val="en-US" w:eastAsia="zh-CN"/>
        </w:rPr>
      </w:pPr>
      <w:r>
        <w:rPr>
          <w:rFonts w:hint="eastAsia" w:ascii="微软雅黑" w:hAnsi="Times New Roman" w:cs="微软雅黑"/>
          <w:b/>
          <w:bCs/>
          <w:spacing w:val="-2"/>
          <w:kern w:val="0"/>
          <w:sz w:val="22"/>
          <w:lang w:val="en-US" w:eastAsia="zh-CN"/>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hint="eastAsia" w:ascii="宋体" w:hAnsi="宋体" w:cs="Arial"/>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kern w:val="0"/>
          <w:sz w:val="22"/>
        </w:rPr>
        <w:t>在招投标过程中，廉洁自律并对所获悉的招标人的相关信息予以保密</w:t>
      </w:r>
      <w:r>
        <w:rPr>
          <w:rFonts w:hint="eastAsia"/>
          <w:kern w:val="0"/>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lang w:val="en-US" w:eastAsia="zh-CN"/>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233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336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6336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spacing w:line="360" w:lineRule="auto"/>
        <w:jc w:val="both"/>
        <w:rPr>
          <w:rFonts w:cs="微软雅黑"/>
          <w:b/>
          <w:kern w:val="0"/>
          <w:sz w:val="36"/>
          <w:szCs w:val="36"/>
        </w:rPr>
      </w:pPr>
      <w:r>
        <w:rPr>
          <w:rFonts w:hint="eastAsia" w:cs="微软雅黑"/>
          <w:b/>
          <w:kern w:val="0"/>
          <w:sz w:val="36"/>
          <w:szCs w:val="36"/>
          <w:lang w:val="en-US" w:eastAsia="zh-CN"/>
        </w:rPr>
        <w:t xml:space="preserve">                三</w:t>
      </w:r>
      <w:r>
        <w:rPr>
          <w:rFonts w:hint="eastAsia" w:cs="微软雅黑"/>
          <w:b/>
          <w:kern w:val="0"/>
          <w:sz w:val="36"/>
          <w:szCs w:val="36"/>
        </w:rPr>
        <w:t>、已标价工程量清单</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须包含如下格式：</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w:t>
      </w:r>
      <w:r>
        <w:rPr>
          <w:rFonts w:hint="eastAsia" w:ascii="宋体" w:hAnsi="宋体" w:cs="Arial"/>
          <w:kern w:val="0"/>
          <w:szCs w:val="21"/>
        </w:rPr>
        <w:t>)投标总价封面</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2</w:t>
      </w:r>
      <w:r>
        <w:rPr>
          <w:rFonts w:hint="eastAsia" w:ascii="宋体" w:hAnsi="宋体" w:cs="Arial"/>
          <w:kern w:val="0"/>
          <w:szCs w:val="21"/>
        </w:rPr>
        <w:t>)工程总说明</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3</w:t>
      </w:r>
      <w:r>
        <w:rPr>
          <w:rFonts w:hint="eastAsia" w:ascii="宋体" w:hAnsi="宋体" w:cs="Arial"/>
          <w:kern w:val="0"/>
          <w:szCs w:val="21"/>
        </w:rPr>
        <w:t>)工程项目投标报价汇总表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4</w:t>
      </w:r>
      <w:r>
        <w:rPr>
          <w:rFonts w:hint="eastAsia" w:ascii="宋体" w:hAnsi="宋体" w:cs="Arial"/>
          <w:kern w:val="0"/>
          <w:szCs w:val="21"/>
        </w:rPr>
        <w:t>)单位(专业)工程投标报价计算表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5</w:t>
      </w:r>
      <w:r>
        <w:rPr>
          <w:rFonts w:hint="eastAsia" w:ascii="宋体" w:hAnsi="宋体" w:cs="Arial"/>
          <w:kern w:val="0"/>
          <w:szCs w:val="21"/>
        </w:rPr>
        <w:t>)分部分项工程量清单与计价表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6</w:t>
      </w:r>
      <w:r>
        <w:rPr>
          <w:rFonts w:hint="eastAsia" w:ascii="宋体" w:hAnsi="宋体" w:cs="Arial"/>
          <w:kern w:val="0"/>
          <w:szCs w:val="21"/>
        </w:rPr>
        <w:t>)工程量清单综合单价计算表</w:t>
      </w:r>
    </w:p>
    <w:p>
      <w:pPr>
        <w:autoSpaceDE w:val="0"/>
        <w:autoSpaceDN w:val="0"/>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w:t>
      </w:r>
      <w:r>
        <w:rPr>
          <w:rFonts w:ascii="宋体" w:hAnsi="宋体" w:cs="Arial"/>
          <w:kern w:val="0"/>
          <w:szCs w:val="21"/>
        </w:rPr>
        <w:t>7</w:t>
      </w:r>
      <w:r>
        <w:rPr>
          <w:rFonts w:hint="eastAsia" w:ascii="宋体" w:hAnsi="宋体" w:cs="Arial"/>
          <w:kern w:val="0"/>
          <w:szCs w:val="21"/>
        </w:rPr>
        <w:t>)工程量清单综合单价工料机分析表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8</w:t>
      </w:r>
      <w:r>
        <w:rPr>
          <w:rFonts w:hint="eastAsia" w:ascii="宋体" w:hAnsi="宋体" w:cs="Arial"/>
          <w:kern w:val="0"/>
          <w:szCs w:val="21"/>
        </w:rPr>
        <w:t>)施工技术措施项目清单与计价表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9</w:t>
      </w:r>
      <w:r>
        <w:rPr>
          <w:rFonts w:hint="eastAsia" w:ascii="宋体" w:hAnsi="宋体" w:cs="Arial"/>
          <w:kern w:val="0"/>
          <w:szCs w:val="21"/>
        </w:rPr>
        <w:t>)措施项目清单综合单价计算表</w:t>
      </w:r>
    </w:p>
    <w:p>
      <w:pPr>
        <w:autoSpaceDE w:val="0"/>
        <w:autoSpaceDN w:val="0"/>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w:t>
      </w:r>
      <w:r>
        <w:rPr>
          <w:rFonts w:ascii="宋体" w:hAnsi="宋体" w:cs="Arial"/>
          <w:kern w:val="0"/>
          <w:szCs w:val="21"/>
        </w:rPr>
        <w:t>10</w:t>
      </w:r>
      <w:r>
        <w:rPr>
          <w:rFonts w:hint="eastAsia" w:ascii="宋体" w:hAnsi="宋体" w:cs="Arial"/>
          <w:kern w:val="0"/>
          <w:szCs w:val="21"/>
        </w:rPr>
        <w:t>)措施项目清单综合单价工料机分析表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11</w:t>
      </w:r>
      <w:r>
        <w:rPr>
          <w:rFonts w:hint="eastAsia" w:ascii="宋体" w:hAnsi="宋体" w:cs="Arial"/>
          <w:kern w:val="0"/>
          <w:szCs w:val="21"/>
        </w:rPr>
        <w:t>)施工组织措施项目清单与计价表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12</w:t>
      </w:r>
      <w:r>
        <w:rPr>
          <w:rFonts w:hint="eastAsia" w:ascii="宋体" w:hAnsi="宋体" w:cs="Arial"/>
          <w:kern w:val="0"/>
          <w:szCs w:val="21"/>
        </w:rPr>
        <w:t>)其他项目清单与计价汇总表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13</w:t>
      </w:r>
      <w:r>
        <w:rPr>
          <w:rFonts w:hint="eastAsia" w:ascii="宋体" w:hAnsi="宋体" w:cs="Arial"/>
          <w:kern w:val="0"/>
          <w:szCs w:val="21"/>
        </w:rPr>
        <w:t>)计日工报价表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14</w:t>
      </w:r>
      <w:r>
        <w:rPr>
          <w:rFonts w:hint="eastAsia" w:ascii="宋体" w:hAnsi="宋体" w:cs="Arial"/>
          <w:kern w:val="0"/>
          <w:szCs w:val="21"/>
        </w:rPr>
        <w:t>)总承包服务费报价表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15</w:t>
      </w:r>
      <w:r>
        <w:rPr>
          <w:rFonts w:hint="eastAsia" w:ascii="宋体" w:hAnsi="宋体" w:cs="Arial"/>
          <w:kern w:val="0"/>
          <w:szCs w:val="21"/>
        </w:rPr>
        <w:t>)主要工日价格表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16</w:t>
      </w:r>
      <w:r>
        <w:rPr>
          <w:rFonts w:hint="eastAsia" w:ascii="宋体" w:hAnsi="宋体" w:cs="Arial"/>
          <w:kern w:val="0"/>
          <w:szCs w:val="21"/>
        </w:rPr>
        <w:t>)主要材料价格表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17</w:t>
      </w:r>
      <w:r>
        <w:rPr>
          <w:rFonts w:hint="eastAsia" w:ascii="宋体" w:hAnsi="宋体" w:cs="Arial"/>
          <w:kern w:val="0"/>
          <w:szCs w:val="21"/>
        </w:rPr>
        <w:t>)主要机械台班价格表</w:t>
      </w:r>
    </w:p>
    <w:p>
      <w:pPr>
        <w:autoSpaceDE w:val="0"/>
        <w:autoSpaceDN w:val="0"/>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(18)主要材料选用品牌一览表</w:t>
      </w:r>
    </w:p>
    <w:p>
      <w:pPr>
        <w:pStyle w:val="2"/>
        <w:ind w:firstLine="0" w:firstLineChars="0"/>
        <w:jc w:val="center"/>
        <w:rPr>
          <w:rFonts w:ascii="宋体" w:hAnsi="宋体" w:cs="宋体"/>
          <w:b/>
          <w:kern w:val="0"/>
          <w:sz w:val="32"/>
          <w:szCs w:val="32"/>
          <w:lang w:val="zh-CN"/>
        </w:rPr>
      </w:pPr>
      <w:r>
        <w:rPr>
          <w:rFonts w:ascii="宋体" w:hAnsi="宋体" w:cs="Arial"/>
          <w:b/>
          <w:bCs/>
          <w:kern w:val="0"/>
          <w:szCs w:val="21"/>
        </w:rPr>
        <w:br w:type="page"/>
      </w:r>
      <w:r>
        <w:rPr>
          <w:rFonts w:hint="eastAsia" w:ascii="宋体" w:hAnsi="宋体" w:cs="宋体"/>
          <w:b/>
          <w:kern w:val="0"/>
          <w:sz w:val="32"/>
          <w:szCs w:val="32"/>
          <w:lang w:val="zh-CN"/>
        </w:rPr>
        <w:t>主要材料选用品牌一览表</w:t>
      </w:r>
    </w:p>
    <w:tbl>
      <w:tblPr>
        <w:tblStyle w:val="12"/>
        <w:tblpPr w:leftFromText="180" w:rightFromText="180" w:vertAnchor="text" w:horzAnchor="page" w:tblpX="1689" w:tblpY="299"/>
        <w:tblOverlap w:val="never"/>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75"/>
        <w:gridCol w:w="2046"/>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6" w:hRule="atLeast"/>
          <w:tblHeader/>
        </w:trPr>
        <w:tc>
          <w:tcPr>
            <w:tcW w:w="1090" w:type="dxa"/>
            <w:vAlign w:val="center"/>
          </w:tcPr>
          <w:p>
            <w:pPr>
              <w:widowControl/>
              <w:snapToGrid w:val="0"/>
              <w:jc w:val="center"/>
              <w:rPr>
                <w:rFonts w:ascii="宋体" w:hAnsi="宋体" w:cs="宋体"/>
                <w:bCs/>
                <w:kern w:val="0"/>
                <w:sz w:val="22"/>
              </w:rPr>
            </w:pPr>
            <w:r>
              <w:rPr>
                <w:rFonts w:ascii="宋体" w:hAnsi="宋体" w:cs="宋体"/>
                <w:bCs/>
                <w:kern w:val="0"/>
                <w:sz w:val="22"/>
              </w:rPr>
              <w:t>序号</w:t>
            </w:r>
          </w:p>
        </w:tc>
        <w:tc>
          <w:tcPr>
            <w:tcW w:w="3675" w:type="dxa"/>
            <w:vAlign w:val="center"/>
          </w:tcPr>
          <w:p>
            <w:pPr>
              <w:widowControl/>
              <w:snapToGrid w:val="0"/>
              <w:jc w:val="center"/>
              <w:rPr>
                <w:rFonts w:ascii="宋体" w:hAnsi="宋体" w:cs="宋体"/>
                <w:bCs/>
                <w:kern w:val="0"/>
                <w:sz w:val="22"/>
              </w:rPr>
            </w:pPr>
            <w:r>
              <w:rPr>
                <w:rFonts w:ascii="宋体" w:hAnsi="宋体" w:cs="宋体"/>
                <w:bCs/>
                <w:kern w:val="0"/>
                <w:sz w:val="22"/>
              </w:rPr>
              <w:t>材料名称</w:t>
            </w:r>
          </w:p>
        </w:tc>
        <w:tc>
          <w:tcPr>
            <w:tcW w:w="2046" w:type="dxa"/>
            <w:vAlign w:val="center"/>
          </w:tcPr>
          <w:p>
            <w:pPr>
              <w:widowControl/>
              <w:snapToGrid w:val="0"/>
              <w:jc w:val="center"/>
              <w:rPr>
                <w:rFonts w:ascii="宋体" w:hAnsi="宋体" w:cs="宋体"/>
                <w:bCs/>
                <w:kern w:val="0"/>
                <w:sz w:val="22"/>
              </w:rPr>
            </w:pPr>
            <w:r>
              <w:rPr>
                <w:rFonts w:hint="eastAsia" w:ascii="宋体" w:hAnsi="宋体" w:cs="宋体"/>
                <w:bCs/>
                <w:kern w:val="0"/>
                <w:sz w:val="22"/>
              </w:rPr>
              <w:t>选用</w:t>
            </w:r>
            <w:r>
              <w:rPr>
                <w:rFonts w:ascii="宋体" w:hAnsi="宋体" w:cs="宋体"/>
                <w:bCs/>
                <w:kern w:val="0"/>
                <w:sz w:val="22"/>
              </w:rPr>
              <w:t>品牌</w:t>
            </w:r>
          </w:p>
        </w:tc>
        <w:tc>
          <w:tcPr>
            <w:tcW w:w="2394" w:type="dxa"/>
            <w:vAlign w:val="center"/>
          </w:tcPr>
          <w:p>
            <w:pPr>
              <w:widowControl/>
              <w:snapToGrid w:val="0"/>
              <w:jc w:val="center"/>
              <w:rPr>
                <w:rFonts w:hint="eastAsia" w:ascii="宋体" w:hAnsi="宋体" w:cs="宋体" w:eastAsiaTheme="minorEastAsia"/>
                <w:bCs/>
                <w:kern w:val="0"/>
                <w:sz w:val="22"/>
                <w:lang w:val="en-US" w:eastAsia="zh-CN"/>
              </w:rPr>
            </w:pPr>
            <w:r>
              <w:rPr>
                <w:rFonts w:hint="eastAsia" w:ascii="宋体" w:hAnsi="宋体" w:cs="宋体"/>
                <w:bCs/>
                <w:kern w:val="0"/>
                <w:sz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宋体" w:eastAsiaTheme="minorEastAsia"/>
                <w:bCs/>
                <w:kern w:val="0"/>
                <w:sz w:val="22"/>
                <w:lang w:val="en-US" w:eastAsia="zh-CN"/>
              </w:rPr>
            </w:pPr>
            <w:r>
              <w:rPr>
                <w:rFonts w:hint="eastAsia" w:ascii="宋体" w:hAnsi="宋体" w:cs="宋体"/>
                <w:bCs/>
                <w:kern w:val="0"/>
                <w:sz w:val="22"/>
                <w:lang w:val="en-US" w:eastAsia="zh-CN"/>
              </w:rPr>
              <w:t>1</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2</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3</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4</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5</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bl>
    <w:p>
      <w:pPr>
        <w:widowControl/>
        <w:jc w:val="left"/>
        <w:rPr>
          <w:rFonts w:hint="eastAsia" w:ascii="宋体" w:hAnsi="宋体" w:cs="宋体"/>
          <w:b/>
          <w:szCs w:val="21"/>
        </w:rPr>
      </w:pPr>
    </w:p>
    <w:p>
      <w:pPr>
        <w:widowControl/>
        <w:jc w:val="left"/>
        <w:rPr>
          <w:rFonts w:hint="eastAsia" w:ascii="宋体" w:hAnsi="宋体" w:cs="宋体"/>
          <w:b/>
          <w:szCs w:val="21"/>
        </w:rPr>
      </w:pPr>
    </w:p>
    <w:p>
      <w:pPr>
        <w:widowControl/>
        <w:jc w:val="left"/>
        <w:rPr>
          <w:rFonts w:hint="eastAsia" w:ascii="宋体" w:hAnsi="宋体" w:cs="宋体"/>
          <w:b/>
          <w:szCs w:val="21"/>
        </w:rPr>
      </w:pPr>
    </w:p>
    <w:p>
      <w:pPr>
        <w:widowControl/>
        <w:jc w:val="left"/>
        <w:rPr>
          <w:rFonts w:ascii="宋体" w:hAnsi="宋体" w:cs="宋体"/>
          <w:b/>
          <w:szCs w:val="21"/>
        </w:rPr>
      </w:pPr>
      <w:r>
        <w:rPr>
          <w:rFonts w:hint="eastAsia" w:ascii="宋体" w:hAnsi="宋体" w:cs="宋体"/>
          <w:b/>
          <w:szCs w:val="21"/>
        </w:rPr>
        <w:t>注：根据招标文件第</w:t>
      </w:r>
      <w:r>
        <w:rPr>
          <w:rFonts w:hint="eastAsia" w:ascii="宋体" w:hAnsi="宋体" w:cs="宋体"/>
          <w:b/>
          <w:szCs w:val="21"/>
          <w:lang w:val="en-US" w:eastAsia="zh-CN"/>
        </w:rPr>
        <w:t>六</w:t>
      </w:r>
      <w:r>
        <w:rPr>
          <w:rFonts w:hint="eastAsia" w:ascii="宋体" w:hAnsi="宋体" w:cs="宋体"/>
          <w:b/>
          <w:szCs w:val="21"/>
        </w:rPr>
        <w:t>章要求填写，如在“推荐品牌”之外选择的，请说明选择理由。如未填写品牌的，由</w:t>
      </w:r>
      <w:r>
        <w:rPr>
          <w:rFonts w:ascii="宋体" w:hAnsi="宋体" w:cs="宋体"/>
          <w:b/>
          <w:szCs w:val="21"/>
        </w:rPr>
        <w:t>发包人在发包人推荐的</w:t>
      </w:r>
      <w:r>
        <w:rPr>
          <w:rFonts w:hint="eastAsia" w:ascii="宋体" w:hAnsi="宋体" w:cs="宋体"/>
          <w:b/>
          <w:szCs w:val="21"/>
        </w:rPr>
        <w:t>品牌</w:t>
      </w:r>
      <w:r>
        <w:rPr>
          <w:rFonts w:ascii="宋体" w:hAnsi="宋体" w:cs="宋体"/>
          <w:b/>
          <w:szCs w:val="21"/>
        </w:rPr>
        <w:t>范围内任意选择，且价格不予调整。</w:t>
      </w:r>
    </w:p>
    <w:p>
      <w:pPr>
        <w:autoSpaceDE w:val="0"/>
        <w:autoSpaceDN w:val="0"/>
        <w:adjustRightInd w:val="0"/>
        <w:snapToGrid w:val="0"/>
        <w:spacing w:line="360" w:lineRule="auto"/>
        <w:ind w:firstLine="422" w:firstLineChars="200"/>
        <w:rPr>
          <w:rFonts w:ascii="宋体" w:hAnsi="宋体" w:cs="Arial"/>
          <w:b/>
          <w:bCs/>
          <w:kern w:val="0"/>
          <w:szCs w:val="21"/>
        </w:rPr>
      </w:pPr>
    </w:p>
    <w:p>
      <w:pPr>
        <w:autoSpaceDE w:val="0"/>
        <w:autoSpaceDN w:val="0"/>
        <w:adjustRightInd w:val="0"/>
        <w:spacing w:line="360" w:lineRule="auto"/>
        <w:jc w:val="center"/>
        <w:rPr>
          <w:rFonts w:cs="宋体"/>
          <w:sz w:val="22"/>
        </w:rPr>
      </w:pPr>
    </w:p>
    <w:p>
      <w:pPr>
        <w:widowControl/>
        <w:jc w:val="left"/>
        <w:rPr>
          <w:rFonts w:cs="宋体"/>
          <w:sz w:val="22"/>
        </w:rPr>
      </w:pPr>
      <w:r>
        <w:rPr>
          <w:rFonts w:cs="宋体"/>
          <w:sz w:val="22"/>
        </w:rPr>
        <w:br w:type="page"/>
      </w:r>
    </w:p>
    <w:p>
      <w:pPr>
        <w:widowControl/>
        <w:jc w:val="center"/>
        <w:rPr>
          <w:rFonts w:hint="eastAsia" w:cs="微软雅黑"/>
          <w:b/>
          <w:kern w:val="0"/>
          <w:sz w:val="36"/>
          <w:szCs w:val="36"/>
          <w:lang w:val="en-US" w:eastAsia="zh-CN"/>
        </w:rPr>
      </w:pPr>
      <w:bookmarkStart w:id="26" w:name="_Hlk54024727"/>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rPr>
      </w:pPr>
      <w:r>
        <w:rPr>
          <w:rFonts w:hint="eastAsia" w:cs="微软雅黑"/>
          <w:b/>
          <w:kern w:val="0"/>
          <w:sz w:val="36"/>
          <w:szCs w:val="36"/>
          <w:lang w:val="en-US" w:eastAsia="zh-CN"/>
        </w:rPr>
        <w:t>四</w:t>
      </w:r>
      <w:r>
        <w:rPr>
          <w:rFonts w:hint="eastAsia" w:cs="微软雅黑"/>
          <w:b/>
          <w:kern w:val="0"/>
          <w:sz w:val="36"/>
          <w:szCs w:val="36"/>
        </w:rPr>
        <w:t>、投标人认为需要提供的其他材料</w:t>
      </w:r>
    </w:p>
    <w:p>
      <w:pPr>
        <w:autoSpaceDE w:val="0"/>
        <w:autoSpaceDN w:val="0"/>
        <w:adjustRightInd w:val="0"/>
        <w:spacing w:line="360" w:lineRule="auto"/>
        <w:jc w:val="center"/>
        <w:rPr>
          <w:b/>
          <w:sz w:val="24"/>
        </w:rPr>
      </w:pPr>
    </w:p>
    <w:bookmarkEnd w:id="26"/>
    <w:p>
      <w:pPr>
        <w:pStyle w:val="3"/>
        <w:keepNext w:val="0"/>
        <w:keepLines w:val="0"/>
        <w:pageBreakBefore/>
        <w:widowControl w:val="0"/>
        <w:kinsoku/>
        <w:wordWrap/>
        <w:overflowPunct/>
        <w:topLinePunct w:val="0"/>
        <w:autoSpaceDE/>
        <w:autoSpaceDN/>
        <w:bidi w:val="0"/>
        <w:adjustRightInd/>
        <w:snapToGrid/>
        <w:spacing w:before="0" w:after="0" w:line="564" w:lineRule="exact"/>
        <w:ind w:right="57"/>
        <w:jc w:val="center"/>
        <w:textAlignment w:val="auto"/>
        <w:rPr>
          <w:rFonts w:hint="eastAsia" w:ascii="黑体" w:hAnsi="黑体" w:eastAsia="黑体" w:cs="黑体"/>
          <w:sz w:val="32"/>
          <w:szCs w:val="32"/>
          <w:lang w:val="en-US" w:eastAsia="zh-CN"/>
        </w:rPr>
      </w:pPr>
      <w:bookmarkStart w:id="27" w:name="_Toc4370"/>
      <w:r>
        <w:rPr>
          <w:rFonts w:hint="eastAsia" w:ascii="黑体" w:hAnsi="黑体" w:eastAsia="黑体" w:cs="黑体"/>
          <w:sz w:val="32"/>
          <w:szCs w:val="32"/>
          <w:lang w:val="en-US" w:eastAsia="zh-CN"/>
        </w:rPr>
        <w:t>第八章</w:t>
      </w:r>
      <w:r>
        <w:rPr>
          <w:rFonts w:hint="eastAsia" w:ascii="黑体" w:hAnsi="黑体" w:eastAsia="黑体" w:cs="黑体"/>
          <w:sz w:val="32"/>
          <w:szCs w:val="32"/>
        </w:rPr>
        <w:t xml:space="preserve"> 航站楼施工围挡管理标准</w:t>
      </w:r>
      <w:bookmarkEnd w:id="27"/>
    </w:p>
    <w:p>
      <w:pPr>
        <w:spacing w:line="560" w:lineRule="exact"/>
        <w:ind w:firstLine="800" w:firstLineChars="250"/>
        <w:rPr>
          <w:rFonts w:ascii="仿宋_GB2312" w:eastAsia="仿宋_GB2312"/>
          <w:sz w:val="32"/>
          <w:szCs w:val="32"/>
        </w:rPr>
      </w:pPr>
      <w:r>
        <w:rPr>
          <w:rFonts w:hint="eastAsia" w:ascii="仿宋_GB2312" w:eastAsia="仿宋_GB2312"/>
          <w:sz w:val="32"/>
          <w:szCs w:val="32"/>
        </w:rPr>
        <w:t>1、目的</w:t>
      </w:r>
    </w:p>
    <w:p>
      <w:pPr>
        <w:pStyle w:val="15"/>
        <w:spacing w:line="560" w:lineRule="exact"/>
        <w:ind w:firstLine="640"/>
        <w:rPr>
          <w:rFonts w:ascii="仿宋_GB2312" w:eastAsia="仿宋_GB2312"/>
          <w:sz w:val="32"/>
          <w:szCs w:val="32"/>
        </w:rPr>
      </w:pPr>
      <w:r>
        <w:rPr>
          <w:rFonts w:hint="eastAsia" w:ascii="仿宋_GB2312" w:eastAsia="仿宋_GB2312"/>
          <w:sz w:val="32"/>
          <w:szCs w:val="32"/>
        </w:rPr>
        <w:t>为了维护航站楼正常的运营秩序，规范楼内在施工改造、设施维护、环境保洁等状态下的围界设置行为，确保航站楼内施工的有序进行、候机环境的舒适美观以及旅客的人身安全，特制定本标准。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2、适用范围</w:t>
      </w:r>
    </w:p>
    <w:p>
      <w:pPr>
        <w:pStyle w:val="15"/>
        <w:spacing w:line="560" w:lineRule="exact"/>
        <w:ind w:firstLine="640"/>
        <w:rPr>
          <w:rFonts w:ascii="仿宋_GB2312" w:eastAsia="仿宋_GB2312"/>
          <w:sz w:val="32"/>
          <w:szCs w:val="32"/>
        </w:rPr>
      </w:pPr>
      <w:r>
        <w:rPr>
          <w:rFonts w:hint="eastAsia" w:ascii="仿宋_GB2312" w:eastAsia="仿宋_GB2312"/>
          <w:sz w:val="32"/>
          <w:szCs w:val="32"/>
        </w:rPr>
        <w:t>本标准适用于航站楼</w:t>
      </w:r>
      <w:r>
        <w:rPr>
          <w:rFonts w:hint="eastAsia" w:ascii="仿宋_GB2312" w:eastAsia="仿宋_GB2312"/>
          <w:sz w:val="32"/>
          <w:szCs w:val="32"/>
          <w:lang w:val="en-US" w:eastAsia="zh-CN"/>
        </w:rPr>
        <w:t>内</w:t>
      </w:r>
      <w:r>
        <w:rPr>
          <w:rFonts w:hint="eastAsia" w:ascii="仿宋_GB2312" w:eastAsia="仿宋_GB2312"/>
          <w:sz w:val="32"/>
          <w:szCs w:val="32"/>
        </w:rPr>
        <w:t>（不含地下车库）在施工改造、设施维护、环境保洁等状态下的各类围界设置，具体包括：航站楼功能布局改造；商业装修；新增设施设备安装；设施设备维修、维护；区域保洁；主题活动、庆典等。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3、职责</w:t>
      </w:r>
    </w:p>
    <w:p>
      <w:pPr>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航站区管理中心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3.1.1负责制定和完善航站楼围界管理标准。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3.1.2负责航站楼围界设置的受理、审批。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3.1.3负责航站楼围界设置现场的监管。</w:t>
      </w:r>
    </w:p>
    <w:p>
      <w:pPr>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各施工、活动组织单位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3.2.1根据施工、活动实际情况，按照《航站楼围界管理标准》要求，向航站区管理中心提出围界设置申请。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3.2.2审批通过后，按标准制作并设置围界。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3.2.3负责围界设置现场的实时监管。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3.2.4及时纠正围界设置、使用过程中的违规行为，在施工、活动结束后，及时拆除围界，还原现场。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4、管理标准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4.1围界的分类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4.1.1航站楼内的围界是指为实现楼内施工有序进行及确保旅客人身安全而设置的用于隔离旅客与施工改造区域、维保区块、维护设施设备或临时活动场地之间的介质。按照使用对象的不同，分为大型板材围界、立式框架式临时围界、链式临时围界和隔离护栏式围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4.1.2大型板材围界主要用于施工期（停工期）较长、工程量较大的航站楼功能布局改造和商业装修。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4.1.3立式框架式临时围界主要用于短时、小区域的设施设备维修和维护。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4.1.4链式临时围界主要用于短时、相对大区域的新增设施设备安装和区域保洁。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4.1.5隔离护栏式围界主要用于航站楼内旅客流程引导及临时主题活动、庆典的区域隔离。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4.2围界的申请</w:t>
      </w:r>
    </w:p>
    <w:p>
      <w:pPr>
        <w:spacing w:line="560" w:lineRule="exact"/>
        <w:ind w:firstLine="640" w:firstLineChars="200"/>
        <w:rPr>
          <w:rFonts w:ascii="仿宋_GB2312" w:eastAsia="仿宋_GB2312"/>
          <w:sz w:val="32"/>
          <w:szCs w:val="32"/>
        </w:rPr>
      </w:pPr>
      <w:r>
        <w:rPr>
          <w:rFonts w:ascii="仿宋_GB2312" w:eastAsia="仿宋_GB2312"/>
          <w:sz w:val="32"/>
          <w:szCs w:val="32"/>
        </w:rPr>
        <w:t>4.2.1</w:t>
      </w:r>
      <w:r>
        <w:rPr>
          <w:rFonts w:hint="eastAsia" w:ascii="仿宋_GB2312" w:eastAsia="仿宋_GB2312"/>
          <w:sz w:val="32"/>
          <w:szCs w:val="32"/>
        </w:rPr>
        <w:t>各施工、活动组织单位在航站楼内组织各项施工改造、商业装修、新增设施设备安装、设施设备维护、区域保洁、主题活动、庆典前，向航站区管理中心申请或报备以上活动时，应同时提出相关围界设置申请，填写《航站楼围界使用申请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4.2.2对于周期性的短时维修、维护及区域保洁项目，由申请单位向航站区管理中心监管室报备后，经施工管理员现场确认无误后即可实施。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4.3围界的样式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4.3.1围界的样式由航站区管理中心统一确定发布。施工、活动组织单位在航站楼内的施工、活动申请批复后可向航</w:t>
      </w:r>
      <w:r>
        <w:rPr>
          <w:rFonts w:hint="eastAsia" w:ascii="仿宋_GB2312" w:eastAsia="仿宋_GB2312"/>
          <w:spacing w:val="-8"/>
          <w:sz w:val="32"/>
          <w:szCs w:val="32"/>
        </w:rPr>
        <w:t>站区管理中心领取相关围界样式版本自行制作或申请借用。</w:t>
      </w:r>
    </w:p>
    <w:p>
      <w:pPr>
        <w:spacing w:line="560" w:lineRule="exact"/>
        <w:ind w:firstLine="640" w:firstLineChars="200"/>
        <w:rPr>
          <w:rFonts w:ascii="仿宋_GB2312" w:eastAsia="仿宋_GB2312"/>
          <w:sz w:val="32"/>
          <w:szCs w:val="32"/>
        </w:rPr>
      </w:pPr>
      <w:r>
        <w:rPr>
          <w:rFonts w:ascii="仿宋_GB2312" w:eastAsia="仿宋_GB2312"/>
          <w:sz w:val="32"/>
          <w:szCs w:val="32"/>
        </w:rPr>
        <w:t>4.3.</w:t>
      </w:r>
      <w:r>
        <w:rPr>
          <w:rFonts w:hint="eastAsia" w:ascii="仿宋_GB2312" w:eastAsia="仿宋_GB2312"/>
          <w:sz w:val="32"/>
          <w:szCs w:val="32"/>
        </w:rPr>
        <w:t>2隔离护栏式围界由航站区管理中心统一采购、制作、提供。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4.4围界的设置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4.4.1围界的制作材料需符合消防环保标准，不得使用可燃、易燃、有异味、易断裂的材质。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4.4.2围界的设置不得遮挡标示标牌，不得妨碍旅客流程，如无法避免的，应做好解决替代预案。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4.4.3围界的设置应牢固且不易倒伏，横平竖直。围界应连续设置，确保区域隔离的有效性。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4.4.4围界应保持整洁，围界附近不得堆放物品。围界使用单位或部门应随时查看围界使用情况，发现破损的，应立即维修或更换。围界内相关物品须摆放整齐，井然有序。申请单位应自觉做好施工物品监管工作。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4.4.5大型板材围界的设置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4.4.5.1组织单位应严格按照批准的地点、时间、范围设置围界，不得擅自变动。大型板材围界应符合航站区管理中心提供的样式标准、围布内容须按照航站区管理中心要求进行喷绘，不得擅自增加内容。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4.4.5.2围界应紧紧围绕改造或装修区域，原则上应不得超过建筑红线区域外沿</w:t>
      </w:r>
      <w:r>
        <w:rPr>
          <w:rFonts w:ascii="仿宋_GB2312" w:eastAsia="仿宋_GB2312"/>
          <w:sz w:val="32"/>
          <w:szCs w:val="32"/>
        </w:rPr>
        <w:t>1</w:t>
      </w:r>
      <w:r>
        <w:rPr>
          <w:rFonts w:hint="eastAsia" w:ascii="仿宋_GB2312" w:eastAsia="仿宋_GB2312"/>
          <w:sz w:val="32"/>
          <w:szCs w:val="32"/>
        </w:rPr>
        <w:t>50厘米设置。</w:t>
      </w:r>
    </w:p>
    <w:p>
      <w:pPr>
        <w:spacing w:line="560" w:lineRule="exact"/>
        <w:ind w:firstLine="640" w:firstLineChars="200"/>
        <w:rPr>
          <w:rFonts w:ascii="仿宋_GB2312" w:eastAsia="仿宋_GB2312"/>
          <w:spacing w:val="-10"/>
          <w:sz w:val="32"/>
          <w:szCs w:val="32"/>
        </w:rPr>
      </w:pPr>
      <w:r>
        <w:rPr>
          <w:rFonts w:hint="eastAsia" w:ascii="仿宋_GB2312" w:eastAsia="仿宋_GB2312"/>
          <w:sz w:val="32"/>
          <w:szCs w:val="32"/>
        </w:rPr>
        <w:t>4.4.5.3</w:t>
      </w:r>
      <w:r>
        <w:rPr>
          <w:rFonts w:hint="eastAsia" w:ascii="仿宋_GB2312" w:eastAsia="仿宋_GB2312"/>
          <w:spacing w:val="-10"/>
          <w:sz w:val="32"/>
          <w:szCs w:val="32"/>
        </w:rPr>
        <w:t>围界设置的高度为</w:t>
      </w:r>
      <w:r>
        <w:rPr>
          <w:rFonts w:ascii="仿宋_GB2312" w:eastAsia="仿宋_GB2312"/>
          <w:spacing w:val="-10"/>
          <w:sz w:val="32"/>
          <w:szCs w:val="32"/>
        </w:rPr>
        <w:t>3</w:t>
      </w:r>
      <w:r>
        <w:rPr>
          <w:rFonts w:hint="eastAsia" w:ascii="仿宋_GB2312" w:eastAsia="仿宋_GB2312"/>
          <w:spacing w:val="-10"/>
          <w:sz w:val="32"/>
          <w:szCs w:val="32"/>
        </w:rPr>
        <w:t>.5米，必要时应作顶部封闭。</w:t>
      </w:r>
    </w:p>
    <w:p>
      <w:pPr>
        <w:spacing w:line="560" w:lineRule="exact"/>
        <w:ind w:firstLine="640" w:firstLineChars="200"/>
        <w:rPr>
          <w:rFonts w:ascii="仿宋_GB2312" w:eastAsia="仿宋_GB2312"/>
          <w:spacing w:val="-10"/>
          <w:sz w:val="32"/>
          <w:szCs w:val="32"/>
        </w:rPr>
      </w:pPr>
      <w:r>
        <w:rPr>
          <w:rFonts w:hint="eastAsia" w:ascii="仿宋_GB2312" w:eastAsia="仿宋_GB2312"/>
          <w:sz w:val="32"/>
          <w:szCs w:val="32"/>
        </w:rPr>
        <w:t>4.4.5.4</w:t>
      </w:r>
      <w:r>
        <w:rPr>
          <w:rFonts w:hint="eastAsia" w:ascii="仿宋_GB2312" w:eastAsia="仿宋_GB2312"/>
          <w:spacing w:val="-10"/>
          <w:sz w:val="32"/>
          <w:szCs w:val="32"/>
        </w:rPr>
        <w:t xml:space="preserve">围界内物品的堆放高度不得超过围界顶部水平线。 </w:t>
      </w:r>
    </w:p>
    <w:p>
      <w:pPr>
        <w:spacing w:line="560" w:lineRule="exact"/>
        <w:ind w:firstLine="640" w:firstLineChars="200"/>
        <w:rPr>
          <w:rFonts w:ascii="仿宋_GB2312" w:eastAsia="仿宋_GB2312"/>
          <w:spacing w:val="-10"/>
          <w:sz w:val="32"/>
          <w:szCs w:val="32"/>
        </w:rPr>
      </w:pPr>
      <w:r>
        <w:rPr>
          <w:rFonts w:hint="eastAsia" w:ascii="仿宋_GB2312" w:eastAsia="仿宋_GB2312"/>
          <w:sz w:val="32"/>
          <w:szCs w:val="32"/>
        </w:rPr>
        <w:t>4.4.5.5围界封闭（顶部除外）管理，围界进出口须装配门锁（门锁建议选用铜制4联密码锁，至少每周更换一次密码）。在施工期间由专人负责锁闭。在围界醒目位置应悬挂</w:t>
      </w:r>
      <w:r>
        <w:rPr>
          <w:rFonts w:hint="eastAsia" w:ascii="仿宋_GB2312" w:eastAsia="仿宋_GB2312"/>
          <w:spacing w:val="-10"/>
          <w:sz w:val="32"/>
          <w:szCs w:val="32"/>
        </w:rPr>
        <w:t>宣传告示栏，注明项目名称、工期、责任人联系方式等内容。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4.4.6立式框架式临时围界的设置</w:t>
      </w:r>
    </w:p>
    <w:p>
      <w:pPr>
        <w:spacing w:line="560" w:lineRule="exact"/>
        <w:ind w:firstLine="640" w:firstLineChars="200"/>
        <w:rPr>
          <w:rFonts w:ascii="仿宋_GB2312" w:eastAsia="仿宋_GB2312"/>
          <w:spacing w:val="-10"/>
          <w:sz w:val="32"/>
          <w:szCs w:val="32"/>
        </w:rPr>
      </w:pPr>
      <w:r>
        <w:rPr>
          <w:rFonts w:hint="eastAsia" w:ascii="仿宋_GB2312" w:eastAsia="仿宋_GB2312"/>
          <w:sz w:val="32"/>
          <w:szCs w:val="32"/>
        </w:rPr>
        <w:t>4.4.6.1</w:t>
      </w:r>
      <w:r>
        <w:rPr>
          <w:rFonts w:hint="eastAsia" w:ascii="仿宋_GB2312" w:eastAsia="仿宋_GB2312"/>
          <w:spacing w:val="-10"/>
          <w:sz w:val="32"/>
          <w:szCs w:val="32"/>
        </w:rPr>
        <w:t>围界应紧紧围绕维修区域或维护的设施设备放置。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4.4.6.2围界放置不得遮挡标示标牌、功能性设施，不得阻碍旅客流程，如无法避免应设置醒目标识或派遣专人进行引导。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4.4.7链式临时围界的设置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4.4.7.1围界应根据施工、活动实际需求进行设置，不得阻碍旅客流程，施工、活动结束后，应立即撤除。</w:t>
      </w:r>
    </w:p>
    <w:p>
      <w:pPr>
        <w:spacing w:line="560" w:lineRule="exact"/>
        <w:ind w:firstLine="640" w:firstLineChars="200"/>
        <w:rPr>
          <w:rFonts w:ascii="仿宋_GB2312" w:eastAsia="仿宋_GB2312"/>
          <w:sz w:val="32"/>
          <w:szCs w:val="32"/>
        </w:rPr>
      </w:pPr>
      <w:r>
        <w:rPr>
          <w:rFonts w:ascii="仿宋_GB2312" w:eastAsia="仿宋_GB2312"/>
          <w:sz w:val="32"/>
          <w:szCs w:val="32"/>
        </w:rPr>
        <w:t>4.4.7.2</w:t>
      </w:r>
      <w:r>
        <w:rPr>
          <w:rFonts w:hint="eastAsia" w:ascii="仿宋_GB2312" w:eastAsia="仿宋_GB2312"/>
          <w:sz w:val="32"/>
          <w:szCs w:val="32"/>
        </w:rPr>
        <w:t>链式临时围界设置时，应将固定方锥摆放整齐，四边通过链条连接封闭，链条应保持悬空，多余部分需塞入方锥内侧，同时应在醒目位置放置施工、活动提示标识。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4.4.8隔离护栏式围界的设置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4.4.8.1参照《航站楼隔离护栏管理标准》执行。</w:t>
      </w:r>
    </w:p>
    <w:p>
      <w:pPr>
        <w:spacing w:line="560" w:lineRule="exact"/>
        <w:ind w:firstLine="640" w:firstLineChars="200"/>
        <w:rPr>
          <w:rFonts w:ascii="仿宋_GB2312" w:eastAsia="仿宋_GB2312"/>
          <w:sz w:val="32"/>
          <w:szCs w:val="32"/>
        </w:rPr>
      </w:pPr>
      <w:r>
        <w:rPr>
          <w:rFonts w:ascii="仿宋_GB2312" w:eastAsia="仿宋_GB2312"/>
          <w:sz w:val="32"/>
          <w:szCs w:val="32"/>
        </w:rPr>
        <w:t>4.5</w:t>
      </w:r>
      <w:r>
        <w:rPr>
          <w:rFonts w:hint="eastAsia" w:ascii="仿宋_GB2312" w:eastAsia="仿宋_GB2312"/>
          <w:sz w:val="32"/>
          <w:szCs w:val="32"/>
        </w:rPr>
        <w:t>围界的撤除</w:t>
      </w:r>
    </w:p>
    <w:p>
      <w:pPr>
        <w:spacing w:line="560" w:lineRule="exact"/>
        <w:ind w:firstLine="640" w:firstLineChars="200"/>
        <w:rPr>
          <w:rFonts w:ascii="仿宋_GB2312" w:eastAsia="仿宋_GB2312"/>
          <w:sz w:val="32"/>
          <w:szCs w:val="32"/>
        </w:rPr>
      </w:pPr>
      <w:r>
        <w:rPr>
          <w:rFonts w:ascii="仿宋_GB2312" w:eastAsia="仿宋_GB2312"/>
          <w:sz w:val="32"/>
          <w:szCs w:val="32"/>
        </w:rPr>
        <w:t>4.5.1</w:t>
      </w:r>
      <w:r>
        <w:rPr>
          <w:rFonts w:hint="eastAsia" w:ascii="仿宋_GB2312" w:eastAsia="仿宋_GB2312"/>
          <w:sz w:val="32"/>
          <w:szCs w:val="32"/>
        </w:rPr>
        <w:t>施工、活动组织单位在区域使用结束后，应在施工工具、物料、活动设施全部撤离，清理施工垃圾，恢复区域原状后，撤除围界。</w:t>
      </w:r>
    </w:p>
    <w:p>
      <w:pPr>
        <w:spacing w:line="560" w:lineRule="exact"/>
        <w:ind w:firstLine="640" w:firstLineChars="200"/>
        <w:rPr>
          <w:rFonts w:ascii="仿宋_GB2312" w:eastAsia="仿宋_GB2312"/>
          <w:sz w:val="32"/>
          <w:szCs w:val="32"/>
        </w:rPr>
      </w:pPr>
      <w:r>
        <w:rPr>
          <w:rFonts w:ascii="仿宋_GB2312" w:eastAsia="仿宋_GB2312"/>
          <w:sz w:val="32"/>
          <w:szCs w:val="32"/>
        </w:rPr>
        <w:t>4.5.2</w:t>
      </w:r>
      <w:r>
        <w:rPr>
          <w:rFonts w:hint="eastAsia" w:ascii="仿宋_GB2312" w:eastAsia="仿宋_GB2312"/>
          <w:sz w:val="32"/>
          <w:szCs w:val="32"/>
        </w:rPr>
        <w:t>大型板材围界使用结束后，由建设单位负责拆除，不准随意丢弃在航站楼内。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4.5.3立式框架式临时围界和链式临时围界使用结束后，由施工、活动组织单位带离，自行保存。</w:t>
      </w:r>
    </w:p>
    <w:p>
      <w:pPr>
        <w:spacing w:line="560" w:lineRule="exact"/>
        <w:ind w:firstLine="640" w:firstLineChars="200"/>
        <w:rPr>
          <w:rFonts w:ascii="仿宋_GB2312" w:eastAsia="仿宋_GB2312"/>
          <w:sz w:val="32"/>
          <w:szCs w:val="32"/>
        </w:rPr>
      </w:pPr>
      <w:r>
        <w:rPr>
          <w:rFonts w:ascii="仿宋_GB2312" w:eastAsia="仿宋_GB2312"/>
          <w:sz w:val="32"/>
          <w:szCs w:val="32"/>
        </w:rPr>
        <w:t>4.5.4</w:t>
      </w:r>
      <w:r>
        <w:rPr>
          <w:rFonts w:hint="eastAsia" w:ascii="仿宋_GB2312" w:eastAsia="仿宋_GB2312"/>
          <w:sz w:val="32"/>
          <w:szCs w:val="32"/>
        </w:rPr>
        <w:t>隔离护栏式围界使用结束后，由施工、活动组织单位向航站区管理中心清点交接，确定围界完好状况及数量后，存放至规定场所并做好记录。</w:t>
      </w:r>
    </w:p>
    <w:p>
      <w:pPr>
        <w:spacing w:line="560" w:lineRule="exact"/>
        <w:ind w:firstLine="600" w:firstLineChars="200"/>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w:t>
      </w:r>
      <w:r>
        <w:rPr>
          <w:rFonts w:hint="eastAsia" w:ascii="仿宋_GB2312" w:eastAsia="仿宋_GB2312"/>
          <w:sz w:val="32"/>
          <w:szCs w:val="32"/>
        </w:rPr>
        <w:t>如违反本制度之规定的，按照《杭州萧山国际机场航站楼施工管理规定》有关规定执行。</w:t>
      </w:r>
    </w:p>
    <w:p>
      <w:pPr>
        <w:spacing w:line="560" w:lineRule="exact"/>
        <w:ind w:firstLine="640" w:firstLineChars="200"/>
        <w:rPr>
          <w:rFonts w:ascii="仿宋_GB2312" w:eastAsia="仿宋_GB2312"/>
          <w:sz w:val="30"/>
          <w:szCs w:val="30"/>
        </w:rPr>
      </w:pPr>
      <w:r>
        <w:rPr>
          <w:rFonts w:hint="eastAsia" w:ascii="仿宋_GB2312" w:eastAsia="仿宋_GB2312"/>
          <w:sz w:val="32"/>
          <w:szCs w:val="32"/>
        </w:rPr>
        <w:t>6、围界一般类型样图</w:t>
      </w:r>
    </w:p>
    <w:p>
      <w:pPr>
        <w:spacing w:line="560" w:lineRule="exact"/>
        <w:rPr>
          <w:rFonts w:ascii="仿宋_GB2312" w:eastAsia="仿宋_GB2312"/>
          <w:sz w:val="30"/>
          <w:szCs w:val="30"/>
        </w:rPr>
      </w:pPr>
      <w:r>
        <w:drawing>
          <wp:anchor distT="0" distB="0" distL="114300" distR="114300" simplePos="0" relativeHeight="251664384" behindDoc="0" locked="0" layoutInCell="1" allowOverlap="0">
            <wp:simplePos x="0" y="0"/>
            <wp:positionH relativeFrom="column">
              <wp:posOffset>67310</wp:posOffset>
            </wp:positionH>
            <wp:positionV relativeFrom="paragraph">
              <wp:posOffset>195580</wp:posOffset>
            </wp:positionV>
            <wp:extent cx="5286375" cy="1781810"/>
            <wp:effectExtent l="0" t="0" r="9525" b="8890"/>
            <wp:wrapTopAndBottom/>
            <wp:docPr id="1" name="图片 10" descr="说明: 微信图片_20180730135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说明: 微信图片_20180730135152.jpg"/>
                    <pic:cNvPicPr>
                      <a:picLocks noChangeAspect="1"/>
                    </pic:cNvPicPr>
                  </pic:nvPicPr>
                  <pic:blipFill>
                    <a:blip r:embed="rId11"/>
                    <a:stretch>
                      <a:fillRect/>
                    </a:stretch>
                  </pic:blipFill>
                  <pic:spPr>
                    <a:xfrm>
                      <a:off x="0" y="0"/>
                      <a:ext cx="5286375" cy="1781810"/>
                    </a:xfrm>
                    <a:prstGeom prst="rect">
                      <a:avLst/>
                    </a:prstGeom>
                    <a:noFill/>
                    <a:ln w="9525">
                      <a:noFill/>
                    </a:ln>
                  </pic:spPr>
                </pic:pic>
              </a:graphicData>
            </a:graphic>
          </wp:anchor>
        </w:drawing>
      </w: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widowControl/>
        <w:rPr>
          <w:rFonts w:cs="宋体"/>
          <w:b/>
          <w:sz w:val="32"/>
          <w:szCs w:val="32"/>
        </w:rPr>
      </w:pPr>
    </w:p>
    <w:sectPr>
      <w:footerReference r:id="rId9" w:type="first"/>
      <w:headerReference r:id="rId7" w:type="default"/>
      <w:footerReference r:id="rId8"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6"/>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61</w:t>
    </w:r>
    <w:r>
      <w:rPr>
        <w:lang w:val="zh-CN"/>
      </w:rPr>
      <w:fldChar w:fldCharType="end"/>
    </w:r>
  </w:p>
  <w:p>
    <w:pPr>
      <w:pStyle w:val="6"/>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75C5AD"/>
    <w:multiLevelType w:val="singleLevel"/>
    <w:tmpl w:val="5D75C5AD"/>
    <w:lvl w:ilvl="0" w:tentative="0">
      <w:start w:val="1"/>
      <w:numFmt w:val="decimal"/>
      <w:suff w:val="nothing"/>
      <w:lvlText w:val="（%1）"/>
      <w:lvlJc w:val="left"/>
    </w:lvl>
  </w:abstractNum>
  <w:abstractNum w:abstractNumId="3">
    <w:nsid w:val="5FD1CD8C"/>
    <w:multiLevelType w:val="singleLevel"/>
    <w:tmpl w:val="5FD1CD8C"/>
    <w:lvl w:ilvl="0" w:tentative="0">
      <w:start w:val="6"/>
      <w:numFmt w:val="chineseCounting"/>
      <w:suff w:val="space"/>
      <w:lvlText w:val="第%1条"/>
      <w:lvlJc w:val="left"/>
    </w:lvl>
  </w:abstractNum>
  <w:abstractNum w:abstractNumId="4">
    <w:nsid w:val="5FF401CA"/>
    <w:multiLevelType w:val="singleLevel"/>
    <w:tmpl w:val="5FF401CA"/>
    <w:lvl w:ilvl="0" w:tentative="0">
      <w:start w:val="5"/>
      <w:numFmt w:val="chineseCounting"/>
      <w:suff w:val="nothing"/>
      <w:lvlText w:val="%1、"/>
      <w:lvlJc w:val="left"/>
    </w:lvl>
  </w:abstractNum>
  <w:abstractNum w:abstractNumId="5">
    <w:nsid w:val="609CC20A"/>
    <w:multiLevelType w:val="singleLevel"/>
    <w:tmpl w:val="609CC20A"/>
    <w:lvl w:ilvl="0" w:tentative="0">
      <w:start w:val="8"/>
      <w:numFmt w:val="chineseCounting"/>
      <w:suff w:val="nothing"/>
      <w:lvlText w:val="%1、"/>
      <w:lvlJc w:val="left"/>
    </w:lvl>
  </w:abstractNum>
  <w:abstractNum w:abstractNumId="6">
    <w:nsid w:val="6306DE00"/>
    <w:multiLevelType w:val="singleLevel"/>
    <w:tmpl w:val="6306DE00"/>
    <w:lvl w:ilvl="0" w:tentative="0">
      <w:start w:val="4"/>
      <w:numFmt w:val="decimal"/>
      <w:suff w:val="nothing"/>
      <w:lvlText w:val="(%1)"/>
      <w:lvlJc w:val="left"/>
    </w:lvl>
  </w:abstractNum>
  <w:num w:numId="1">
    <w:abstractNumId w:val="2"/>
  </w:num>
  <w:num w:numId="2">
    <w:abstractNumId w:val="4"/>
  </w:num>
  <w:num w:numId="3">
    <w:abstractNumId w:val="5"/>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YzhjOWRmMWJkMTcwNTJiYTlkNjc1NzNkM2M4NmYifQ=="/>
  </w:docVars>
  <w:rsids>
    <w:rsidRoot w:val="00000000"/>
    <w:rsid w:val="001372A2"/>
    <w:rsid w:val="02B95F5F"/>
    <w:rsid w:val="03F739A7"/>
    <w:rsid w:val="050869C0"/>
    <w:rsid w:val="05BE6E6F"/>
    <w:rsid w:val="073D70B6"/>
    <w:rsid w:val="077E75BF"/>
    <w:rsid w:val="08A037D7"/>
    <w:rsid w:val="09411BF2"/>
    <w:rsid w:val="09E25A5D"/>
    <w:rsid w:val="09E436C7"/>
    <w:rsid w:val="0C2258A4"/>
    <w:rsid w:val="0E836117"/>
    <w:rsid w:val="0EE1797F"/>
    <w:rsid w:val="0F3A6E72"/>
    <w:rsid w:val="10926C44"/>
    <w:rsid w:val="10D201D0"/>
    <w:rsid w:val="13506F32"/>
    <w:rsid w:val="13D363C5"/>
    <w:rsid w:val="15C55E70"/>
    <w:rsid w:val="17A3369A"/>
    <w:rsid w:val="18381158"/>
    <w:rsid w:val="1A5510AA"/>
    <w:rsid w:val="1ACC2D1E"/>
    <w:rsid w:val="1AE634A1"/>
    <w:rsid w:val="1B494BCE"/>
    <w:rsid w:val="1B9E32AC"/>
    <w:rsid w:val="1C23428D"/>
    <w:rsid w:val="1C67300B"/>
    <w:rsid w:val="1C722ABB"/>
    <w:rsid w:val="1DD42994"/>
    <w:rsid w:val="1E017959"/>
    <w:rsid w:val="1ED229A2"/>
    <w:rsid w:val="1FC32413"/>
    <w:rsid w:val="200A02E6"/>
    <w:rsid w:val="21EC1694"/>
    <w:rsid w:val="238E4739"/>
    <w:rsid w:val="265818D7"/>
    <w:rsid w:val="27B369DB"/>
    <w:rsid w:val="28BD1AD1"/>
    <w:rsid w:val="2B400820"/>
    <w:rsid w:val="2CF25F54"/>
    <w:rsid w:val="2DBD794B"/>
    <w:rsid w:val="2E6A0DCD"/>
    <w:rsid w:val="2EA80B40"/>
    <w:rsid w:val="2FE921F7"/>
    <w:rsid w:val="3308314E"/>
    <w:rsid w:val="33496CB7"/>
    <w:rsid w:val="33BA6ECE"/>
    <w:rsid w:val="34547575"/>
    <w:rsid w:val="350663DF"/>
    <w:rsid w:val="3510022D"/>
    <w:rsid w:val="360327D0"/>
    <w:rsid w:val="382607A7"/>
    <w:rsid w:val="3862043E"/>
    <w:rsid w:val="389C7905"/>
    <w:rsid w:val="38B029D5"/>
    <w:rsid w:val="393E67AA"/>
    <w:rsid w:val="39EB6FB8"/>
    <w:rsid w:val="3A1B2A12"/>
    <w:rsid w:val="3A9011B9"/>
    <w:rsid w:val="3A980D91"/>
    <w:rsid w:val="3C4D7A69"/>
    <w:rsid w:val="3EC1656B"/>
    <w:rsid w:val="41443C8D"/>
    <w:rsid w:val="41D14192"/>
    <w:rsid w:val="43FE6D40"/>
    <w:rsid w:val="445A5AE3"/>
    <w:rsid w:val="44B107A9"/>
    <w:rsid w:val="45C34E0C"/>
    <w:rsid w:val="465945C7"/>
    <w:rsid w:val="46F71F0E"/>
    <w:rsid w:val="48FA1F37"/>
    <w:rsid w:val="49133ED6"/>
    <w:rsid w:val="4BB817A8"/>
    <w:rsid w:val="4C301F11"/>
    <w:rsid w:val="4C7E3EFD"/>
    <w:rsid w:val="4D2E1D74"/>
    <w:rsid w:val="4DAA1422"/>
    <w:rsid w:val="4DE82905"/>
    <w:rsid w:val="4E694A6E"/>
    <w:rsid w:val="4F932486"/>
    <w:rsid w:val="4F9B5BD7"/>
    <w:rsid w:val="51E6424E"/>
    <w:rsid w:val="52F62453"/>
    <w:rsid w:val="539C3C14"/>
    <w:rsid w:val="55327461"/>
    <w:rsid w:val="566D702A"/>
    <w:rsid w:val="568E6452"/>
    <w:rsid w:val="579A74BA"/>
    <w:rsid w:val="58144BF6"/>
    <w:rsid w:val="589623CE"/>
    <w:rsid w:val="58D57FA2"/>
    <w:rsid w:val="59825D4A"/>
    <w:rsid w:val="59A95BAF"/>
    <w:rsid w:val="5A652A1E"/>
    <w:rsid w:val="5AC266C0"/>
    <w:rsid w:val="5B2D7584"/>
    <w:rsid w:val="5BD80E88"/>
    <w:rsid w:val="5BF24678"/>
    <w:rsid w:val="5D231F56"/>
    <w:rsid w:val="5DDF6FE6"/>
    <w:rsid w:val="5E09512E"/>
    <w:rsid w:val="5ED63FC2"/>
    <w:rsid w:val="5EE45516"/>
    <w:rsid w:val="60460965"/>
    <w:rsid w:val="617F742F"/>
    <w:rsid w:val="63124DBD"/>
    <w:rsid w:val="635903D4"/>
    <w:rsid w:val="646B5557"/>
    <w:rsid w:val="65B36EF1"/>
    <w:rsid w:val="6604027D"/>
    <w:rsid w:val="66946F47"/>
    <w:rsid w:val="677036EC"/>
    <w:rsid w:val="684510B6"/>
    <w:rsid w:val="6A970962"/>
    <w:rsid w:val="6A9E47C4"/>
    <w:rsid w:val="6ABD6C3B"/>
    <w:rsid w:val="6B5D6B38"/>
    <w:rsid w:val="6BE373CC"/>
    <w:rsid w:val="6C5E5250"/>
    <w:rsid w:val="6CCA0C5F"/>
    <w:rsid w:val="6EA35A1F"/>
    <w:rsid w:val="6EAA3D3E"/>
    <w:rsid w:val="6F74423D"/>
    <w:rsid w:val="72C316BB"/>
    <w:rsid w:val="72F06AFF"/>
    <w:rsid w:val="73D87888"/>
    <w:rsid w:val="741E53F6"/>
    <w:rsid w:val="754B5B39"/>
    <w:rsid w:val="761B655E"/>
    <w:rsid w:val="7CCD2795"/>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4">
    <w:name w:val="Body Text"/>
    <w:basedOn w:val="1"/>
    <w:next w:val="1"/>
    <w:qFormat/>
    <w:uiPriority w:val="0"/>
    <w:pPr>
      <w:spacing w:after="120"/>
    </w:pPr>
    <w:rPr>
      <w:rFonts w:ascii="Times New Roman" w:hAnsi="Times New Roman"/>
      <w:szCs w:val="24"/>
    </w:rPr>
  </w:style>
  <w:style w:type="paragraph" w:styleId="5">
    <w:name w:val="Plain Text"/>
    <w:basedOn w:val="1"/>
    <w:qFormat/>
    <w:uiPriority w:val="0"/>
    <w:rPr>
      <w:rFonts w:ascii="宋体" w:hAnsi="Courier New" w:eastAsia="宋体" w:cs="Times New Roman"/>
      <w:kern w:val="0"/>
      <w:sz w:val="20"/>
      <w:szCs w:val="21"/>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qFormat/>
    <w:uiPriority w:val="0"/>
    <w:pPr>
      <w:adjustRightInd w:val="0"/>
      <w:snapToGrid w:val="0"/>
    </w:pPr>
    <w:rPr>
      <w:rFonts w:ascii="Times New Roman" w:hAnsi="Times New Roman" w:eastAsia="仿宋" w:cs="Times New Roman"/>
      <w:szCs w:val="24"/>
    </w:rPr>
  </w:style>
  <w:style w:type="paragraph" w:styleId="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1">
    <w:name w:val="page number"/>
    <w:basedOn w:val="10"/>
    <w:qFormat/>
    <w:uiPriority w:val="0"/>
  </w:style>
  <w:style w:type="paragraph" w:customStyle="1" w:styleId="13">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4">
    <w:name w:val="_Style 3"/>
    <w:basedOn w:val="1"/>
    <w:qFormat/>
    <w:uiPriority w:val="0"/>
    <w:pPr>
      <w:ind w:firstLine="420" w:firstLineChars="200"/>
    </w:pPr>
    <w:rPr>
      <w:szCs w:val="20"/>
    </w:rPr>
  </w:style>
  <w:style w:type="paragraph" w:customStyle="1" w:styleId="15">
    <w:name w:val="列出段落1"/>
    <w:basedOn w:val="1"/>
    <w:unhideWhenUsed/>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20639</Words>
  <Characters>21314</Characters>
  <Lines>0</Lines>
  <Paragraphs>0</Paragraphs>
  <ScaleCrop>false</ScaleCrop>
  <LinksUpToDate>false</LinksUpToDate>
  <CharactersWithSpaces>22831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2022-08-26T04:24:40Z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9827B782D2C44DD98ED7AB2082A6BD59</vt:lpwstr>
  </property>
</Properties>
</file>