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cs="Calibri"/>
          <w:kern w:val="0"/>
          <w:sz w:val="24"/>
          <w:szCs w:val="52"/>
        </w:rPr>
      </w:pPr>
      <w:bookmarkStart w:id="0" w:name="_Toc143421653"/>
      <w:bookmarkStart w:id="1" w:name="_Toc128451845"/>
      <w:bookmarkStart w:id="2" w:name="_Toc140045840"/>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杭州萧山国际机场航站楼地下车库进出口伸缩缝排水沟清淤项目</w:t>
      </w:r>
    </w:p>
    <w:p>
      <w:pPr>
        <w:autoSpaceDE w:val="0"/>
        <w:autoSpaceDN w:val="0"/>
        <w:adjustRightInd w:val="0"/>
        <w:jc w:val="center"/>
        <w:rPr>
          <w:rFonts w:eastAsia="黑体" w:cs="Calibri"/>
          <w:b/>
          <w:bCs/>
          <w:spacing w:val="60"/>
          <w:sz w:val="82"/>
          <w:szCs w:val="82"/>
        </w:rPr>
      </w:pPr>
    </w:p>
    <w:p>
      <w:pPr>
        <w:autoSpaceDE w:val="0"/>
        <w:autoSpaceDN w:val="0"/>
        <w:adjustRightInd w:val="0"/>
        <w:jc w:val="center"/>
        <w:rPr>
          <w:rFonts w:eastAsia="黑体" w:cs="Calibri"/>
          <w:b/>
          <w:bCs/>
          <w:spacing w:val="60"/>
          <w:sz w:val="82"/>
          <w:szCs w:val="82"/>
        </w:rPr>
      </w:pPr>
      <w:r>
        <w:rPr>
          <w:rFonts w:eastAsia="黑体" w:cs="Calibri"/>
          <w:b/>
          <w:bCs/>
          <w:spacing w:val="60"/>
          <w:sz w:val="82"/>
          <w:szCs w:val="82"/>
        </w:rPr>
        <w:t>招标文件</w:t>
      </w:r>
    </w:p>
    <w:p>
      <w:pPr>
        <w:autoSpaceDE w:val="0"/>
        <w:autoSpaceDN w:val="0"/>
        <w:adjustRightInd w:val="0"/>
        <w:jc w:val="center"/>
        <w:rPr>
          <w:rFonts w:cs="Calibri"/>
          <w:b/>
          <w:kern w:val="0"/>
          <w:sz w:val="44"/>
          <w:szCs w:val="44"/>
        </w:rPr>
      </w:pPr>
    </w:p>
    <w:p>
      <w:pPr>
        <w:autoSpaceDE w:val="0"/>
        <w:autoSpaceDN w:val="0"/>
        <w:adjustRightInd w:val="0"/>
        <w:jc w:val="center"/>
        <w:rPr>
          <w:rFonts w:cs="Calibri"/>
          <w:b/>
          <w:kern w:val="0"/>
          <w:sz w:val="44"/>
          <w:szCs w:val="44"/>
        </w:rPr>
      </w:pPr>
    </w:p>
    <w:p>
      <w:pPr>
        <w:autoSpaceDE w:val="0"/>
        <w:autoSpaceDN w:val="0"/>
        <w:adjustRightInd w:val="0"/>
        <w:jc w:val="center"/>
        <w:rPr>
          <w:rFonts w:cs="Calibri"/>
          <w:kern w:val="0"/>
          <w:sz w:val="32"/>
          <w:szCs w:val="32"/>
        </w:rPr>
      </w:pPr>
    </w:p>
    <w:p>
      <w:pPr>
        <w:pStyle w:val="9"/>
        <w:spacing w:line="480" w:lineRule="auto"/>
        <w:jc w:val="center"/>
        <w:rPr>
          <w:rFonts w:ascii="Calibri" w:hAnsi="Calibri" w:eastAsia="隶书" w:cs="Calibri"/>
          <w:sz w:val="32"/>
        </w:rPr>
      </w:pPr>
    </w:p>
    <w:p>
      <w:pPr>
        <w:pStyle w:val="9"/>
        <w:spacing w:line="480" w:lineRule="auto"/>
        <w:jc w:val="center"/>
        <w:rPr>
          <w:rFonts w:ascii="Calibri" w:hAnsi="Calibri" w:eastAsia="隶书" w:cs="Calibri"/>
          <w:sz w:val="32"/>
        </w:rPr>
      </w:pPr>
    </w:p>
    <w:p>
      <w:pPr>
        <w:pStyle w:val="9"/>
        <w:spacing w:line="480" w:lineRule="auto"/>
        <w:jc w:val="center"/>
        <w:rPr>
          <w:rFonts w:ascii="Calibri" w:hAnsi="Calibri" w:eastAsia="隶书" w:cs="Calibri"/>
          <w:sz w:val="32"/>
        </w:rPr>
      </w:pPr>
    </w:p>
    <w:p>
      <w:pPr>
        <w:pStyle w:val="9"/>
        <w:spacing w:line="480" w:lineRule="auto"/>
        <w:jc w:val="center"/>
        <w:rPr>
          <w:rFonts w:ascii="Calibri" w:hAnsi="Calibri" w:eastAsia="隶书" w:cs="Calibri"/>
          <w:sz w:val="32"/>
        </w:rPr>
      </w:pPr>
    </w:p>
    <w:p>
      <w:pPr>
        <w:pStyle w:val="9"/>
        <w:spacing w:line="480" w:lineRule="auto"/>
        <w:jc w:val="center"/>
        <w:rPr>
          <w:rFonts w:ascii="Calibri" w:hAnsi="Calibri" w:eastAsia="隶书" w:cs="Calibri"/>
          <w:sz w:val="32"/>
        </w:rPr>
      </w:pPr>
    </w:p>
    <w:p>
      <w:pPr>
        <w:pStyle w:val="9"/>
        <w:spacing w:line="480" w:lineRule="auto"/>
        <w:rPr>
          <w:rFonts w:ascii="Calibri" w:hAnsi="Calibri" w:eastAsia="隶书" w:cs="Calibri"/>
          <w:sz w:val="32"/>
        </w:rPr>
      </w:pPr>
    </w:p>
    <w:p>
      <w:pPr>
        <w:pStyle w:val="9"/>
        <w:spacing w:line="480" w:lineRule="auto"/>
        <w:jc w:val="center"/>
        <w:rPr>
          <w:rFonts w:ascii="Calibri" w:hAnsi="Calibri" w:eastAsia="隶书" w:cs="Calibri"/>
          <w:sz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9"/>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二</w:t>
      </w:r>
      <w:r>
        <w:rPr>
          <w:rFonts w:hint="eastAsia" w:ascii="黑体" w:hAnsi="黑体" w:eastAsia="黑体" w:cs="Calibri"/>
          <w:sz w:val="32"/>
          <w:szCs w:val="32"/>
        </w:rPr>
        <w:t>二</w:t>
      </w:r>
      <w:r>
        <w:rPr>
          <w:rFonts w:hint="eastAsia" w:ascii="Calibri" w:hAnsi="Calibri" w:eastAsia="黑体" w:cs="Calibri"/>
          <w:sz w:val="32"/>
          <w:szCs w:val="32"/>
        </w:rPr>
        <w:t>年</w:t>
      </w:r>
      <w:r>
        <w:rPr>
          <w:rFonts w:hint="eastAsia" w:ascii="Calibri" w:hAnsi="Calibri" w:eastAsia="黑体" w:cs="Calibri"/>
          <w:sz w:val="32"/>
          <w:szCs w:val="32"/>
          <w:u w:val="single"/>
        </w:rPr>
        <w:t>八</w:t>
      </w:r>
      <w:r>
        <w:rPr>
          <w:rFonts w:ascii="Calibri" w:hAnsi="Calibri" w:eastAsia="黑体" w:cs="Calibri"/>
          <w:sz w:val="32"/>
          <w:szCs w:val="32"/>
        </w:rPr>
        <w:t>月</w:t>
      </w:r>
    </w:p>
    <w:p>
      <w:pPr>
        <w:snapToGrid w:val="0"/>
        <w:spacing w:line="360" w:lineRule="auto"/>
        <w:jc w:val="center"/>
        <w:rPr>
          <w:rFonts w:cs="Calibri"/>
          <w:color w:val="000000"/>
          <w:sz w:val="32"/>
          <w:szCs w:val="32"/>
        </w:rPr>
      </w:pPr>
    </w:p>
    <w:p>
      <w:pPr>
        <w:pStyle w:val="13"/>
        <w:rPr>
          <w:rFonts w:ascii="Calibri" w:cs="Calibri"/>
          <w:b/>
          <w:color w:val="000000"/>
          <w:sz w:val="44"/>
        </w:rPr>
      </w:pPr>
      <w:bookmarkStart w:id="3" w:name="_Toc349011855"/>
      <w:bookmarkStart w:id="4" w:name="_Toc386359390"/>
      <w:bookmarkStart w:id="5" w:name="_Toc386363314"/>
      <w:bookmarkStart w:id="6" w:name="_Toc349007685"/>
      <w:r>
        <w:rPr>
          <w:rFonts w:hint="eastAsia" w:ascii="Calibri" w:cs="Calibri"/>
          <w:b/>
          <w:color w:val="000000"/>
          <w:sz w:val="44"/>
        </w:rPr>
        <w:t xml:space="preserve"> </w:t>
      </w:r>
    </w:p>
    <w:p>
      <w:pPr>
        <w:pStyle w:val="13"/>
        <w:rPr>
          <w:rFonts w:ascii="Calibri" w:hAnsi="Calibri" w:cs="Calibri"/>
          <w:b/>
          <w:color w:val="000000"/>
          <w:sz w:val="44"/>
        </w:rPr>
      </w:pPr>
      <w:bookmarkStart w:id="7" w:name="_Toc444174976"/>
      <w:bookmarkStart w:id="8" w:name="_Toc400369182"/>
      <w:bookmarkStart w:id="9" w:name="_Toc448002981"/>
      <w:bookmarkStart w:id="10" w:name="_Toc444811406"/>
      <w:bookmarkStart w:id="11" w:name="_Toc444173456"/>
      <w:r>
        <w:rPr>
          <w:rFonts w:ascii="Calibri" w:cs="Calibri"/>
          <w:b/>
          <w:color w:val="000000"/>
          <w:sz w:val="44"/>
        </w:rPr>
        <w:t>目</w:t>
      </w:r>
      <w:r>
        <w:rPr>
          <w:rFonts w:ascii="Calibri" w:hAnsi="Calibri" w:cs="Calibri"/>
          <w:b/>
          <w:color w:val="000000"/>
          <w:sz w:val="44"/>
        </w:rPr>
        <w:t xml:space="preserve">  </w:t>
      </w:r>
      <w:r>
        <w:rPr>
          <w:rFonts w:ascii="Calibri" w:cs="Calibri"/>
          <w:b/>
          <w:color w:val="000000"/>
          <w:sz w:val="44"/>
        </w:rPr>
        <w:t>录</w:t>
      </w:r>
      <w:bookmarkEnd w:id="3"/>
      <w:bookmarkEnd w:id="4"/>
      <w:bookmarkEnd w:id="5"/>
      <w:bookmarkEnd w:id="6"/>
      <w:bookmarkEnd w:id="7"/>
      <w:bookmarkEnd w:id="8"/>
      <w:bookmarkEnd w:id="9"/>
      <w:bookmarkEnd w:id="10"/>
      <w:bookmarkEnd w:id="11"/>
    </w:p>
    <w:p>
      <w:pPr>
        <w:pStyle w:val="13"/>
        <w:spacing w:line="480" w:lineRule="auto"/>
        <w:rPr>
          <w:rFonts w:ascii="黑体" w:hAnsi="黑体" w:eastAsia="黑体" w:cs="宋体"/>
          <w:bCs w:val="0"/>
          <w:kern w:val="2"/>
          <w:sz w:val="22"/>
          <w:szCs w:val="22"/>
        </w:rPr>
      </w:pPr>
      <w:r>
        <w:rPr>
          <w:rFonts w:hint="eastAsia" w:ascii="黑体" w:hAnsi="黑体" w:eastAsia="黑体" w:cs="Calibri"/>
          <w:color w:val="000000"/>
          <w:sz w:val="22"/>
          <w:szCs w:val="22"/>
        </w:rPr>
        <w:fldChar w:fldCharType="begin"/>
      </w:r>
      <w:r>
        <w:rPr>
          <w:rFonts w:hint="eastAsia" w:ascii="黑体" w:hAnsi="黑体" w:eastAsia="黑体" w:cs="Calibri"/>
          <w:color w:val="000000"/>
          <w:sz w:val="22"/>
          <w:szCs w:val="22"/>
        </w:rPr>
        <w:instrText xml:space="preserve"> TOC \o "1-3" \h \z \u </w:instrText>
      </w:r>
      <w:r>
        <w:rPr>
          <w:rFonts w:hint="eastAsia" w:ascii="黑体" w:hAnsi="黑体" w:eastAsia="黑体" w:cs="Calibri"/>
          <w:color w:val="000000"/>
          <w:sz w:val="22"/>
          <w:szCs w:val="22"/>
        </w:rPr>
        <w:fldChar w:fldCharType="separate"/>
      </w:r>
    </w:p>
    <w:p>
      <w:pPr>
        <w:pStyle w:val="13"/>
        <w:spacing w:line="480" w:lineRule="auto"/>
        <w:rPr>
          <w:rFonts w:ascii="黑体" w:hAnsi="黑体" w:eastAsia="黑体" w:cs="宋体"/>
          <w:bCs w:val="0"/>
          <w:kern w:val="2"/>
          <w:sz w:val="22"/>
          <w:szCs w:val="22"/>
        </w:rPr>
      </w:pPr>
      <w:r>
        <w:fldChar w:fldCharType="begin"/>
      </w:r>
      <w:r>
        <w:instrText xml:space="preserve"> HYPERLINK \l "_Toc448002982" </w:instrText>
      </w:r>
      <w:r>
        <w:fldChar w:fldCharType="separate"/>
      </w:r>
      <w:r>
        <w:rPr>
          <w:rStyle w:val="19"/>
          <w:rFonts w:hint="eastAsia" w:ascii="黑体" w:hAnsi="黑体" w:eastAsia="黑体" w:cs="Calibri"/>
          <w:kern w:val="0"/>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_Toc448002982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13"/>
        <w:spacing w:line="480" w:lineRule="auto"/>
        <w:rPr>
          <w:rFonts w:ascii="黑体" w:hAnsi="黑体" w:eastAsia="黑体" w:cs="宋体"/>
          <w:bCs w:val="0"/>
          <w:kern w:val="2"/>
          <w:sz w:val="22"/>
          <w:szCs w:val="22"/>
        </w:rPr>
      </w:pPr>
      <w:r>
        <w:fldChar w:fldCharType="begin"/>
      </w:r>
      <w:r>
        <w:instrText xml:space="preserve"> HYPERLINK \l "_Toc448002983" </w:instrText>
      </w:r>
      <w:r>
        <w:fldChar w:fldCharType="separate"/>
      </w:r>
      <w:r>
        <w:rPr>
          <w:rStyle w:val="19"/>
          <w:rFonts w:hint="eastAsia" w:ascii="黑体" w:hAnsi="黑体" w:eastAsia="黑体" w:cs="Calibri"/>
          <w:kern w:val="0"/>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_Toc448002983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rPr>
        <w:t>4</w:t>
      </w:r>
      <w:r>
        <w:rPr>
          <w:rFonts w:ascii="黑体" w:hAnsi="黑体" w:eastAsia="黑体"/>
          <w:sz w:val="22"/>
          <w:szCs w:val="22"/>
        </w:rPr>
        <w:t xml:space="preserve">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13"/>
        <w:spacing w:line="480" w:lineRule="auto"/>
        <w:rPr>
          <w:rFonts w:ascii="黑体" w:hAnsi="黑体" w:eastAsia="黑体" w:cs="宋体"/>
          <w:bCs w:val="0"/>
          <w:kern w:val="2"/>
          <w:sz w:val="22"/>
          <w:szCs w:val="22"/>
        </w:rPr>
      </w:pPr>
      <w:r>
        <w:fldChar w:fldCharType="begin"/>
      </w:r>
      <w:r>
        <w:instrText xml:space="preserve"> HYPERLINK \l "_Toc448002985" </w:instrText>
      </w:r>
      <w:r>
        <w:fldChar w:fldCharType="separate"/>
      </w:r>
      <w:r>
        <w:rPr>
          <w:rStyle w:val="19"/>
          <w:rFonts w:hint="eastAsia" w:ascii="黑体" w:hAnsi="黑体" w:eastAsia="黑体" w:cs="Calibri"/>
          <w:kern w:val="0"/>
          <w:sz w:val="22"/>
          <w:szCs w:val="22"/>
        </w:rPr>
        <w:t>第三章  服务技术标准及要求</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_Toc448002985 \h </w:instrText>
      </w:r>
      <w:r>
        <w:rPr>
          <w:rFonts w:hint="eastAsia" w:ascii="黑体" w:hAnsi="黑体" w:eastAsia="黑体"/>
          <w:sz w:val="22"/>
          <w:szCs w:val="22"/>
        </w:rPr>
        <w:fldChar w:fldCharType="separate"/>
      </w:r>
      <w:r>
        <w:rPr>
          <w:rFonts w:ascii="黑体" w:hAnsi="黑体" w:eastAsia="黑体"/>
          <w:sz w:val="22"/>
          <w:szCs w:val="22"/>
        </w:rPr>
        <w:t>- 1</w:t>
      </w:r>
      <w:r>
        <w:rPr>
          <w:rFonts w:hint="eastAsia" w:ascii="黑体" w:hAnsi="黑体" w:eastAsia="黑体"/>
          <w:sz w:val="22"/>
          <w:szCs w:val="22"/>
        </w:rPr>
        <w:t>2</w:t>
      </w:r>
      <w:r>
        <w:rPr>
          <w:rFonts w:ascii="黑体" w:hAnsi="黑体" w:eastAsia="黑体"/>
          <w:sz w:val="22"/>
          <w:szCs w:val="22"/>
        </w:rPr>
        <w:t xml:space="preserve">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13"/>
        <w:spacing w:line="480" w:lineRule="auto"/>
        <w:rPr>
          <w:rFonts w:ascii="黑体" w:hAnsi="黑体" w:eastAsia="黑体" w:cs="宋体"/>
          <w:bCs w:val="0"/>
          <w:kern w:val="2"/>
          <w:sz w:val="22"/>
          <w:szCs w:val="22"/>
        </w:rPr>
      </w:pPr>
      <w:r>
        <w:fldChar w:fldCharType="begin"/>
      </w:r>
      <w:r>
        <w:instrText xml:space="preserve"> HYPERLINK \l "_Toc448002986" </w:instrText>
      </w:r>
      <w:r>
        <w:fldChar w:fldCharType="separate"/>
      </w:r>
      <w:r>
        <w:rPr>
          <w:rStyle w:val="19"/>
          <w:rFonts w:hint="eastAsia" w:ascii="黑体" w:hAnsi="黑体" w:eastAsia="黑体" w:cs="Calibri"/>
          <w:kern w:val="0"/>
          <w:sz w:val="22"/>
          <w:szCs w:val="22"/>
        </w:rPr>
        <w:t>第四章  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_Toc448002986 \h </w:instrText>
      </w:r>
      <w:r>
        <w:rPr>
          <w:rFonts w:hint="eastAsia" w:ascii="黑体" w:hAnsi="黑体" w:eastAsia="黑体"/>
          <w:sz w:val="22"/>
          <w:szCs w:val="22"/>
        </w:rPr>
        <w:fldChar w:fldCharType="separate"/>
      </w:r>
      <w:r>
        <w:rPr>
          <w:rFonts w:ascii="黑体" w:hAnsi="黑体" w:eastAsia="黑体"/>
          <w:sz w:val="22"/>
          <w:szCs w:val="22"/>
        </w:rPr>
        <w:t>- 1</w:t>
      </w:r>
      <w:r>
        <w:rPr>
          <w:rFonts w:hint="eastAsia" w:ascii="黑体" w:hAnsi="黑体" w:eastAsia="黑体"/>
          <w:sz w:val="22"/>
          <w:szCs w:val="22"/>
        </w:rPr>
        <w:t>4</w:t>
      </w:r>
      <w:r>
        <w:rPr>
          <w:rFonts w:ascii="黑体" w:hAnsi="黑体" w:eastAsia="黑体"/>
          <w:sz w:val="22"/>
          <w:szCs w:val="22"/>
        </w:rPr>
        <w:t xml:space="preserve">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13"/>
        <w:spacing w:line="480" w:lineRule="auto"/>
        <w:rPr>
          <w:rFonts w:ascii="黑体" w:hAnsi="黑体" w:eastAsia="黑体" w:cs="宋体"/>
          <w:bCs w:val="0"/>
          <w:kern w:val="2"/>
          <w:sz w:val="22"/>
          <w:szCs w:val="22"/>
        </w:rPr>
      </w:pPr>
      <w:r>
        <w:fldChar w:fldCharType="begin"/>
      </w:r>
      <w:r>
        <w:instrText xml:space="preserve"> HYPERLINK \l "_Toc448002987" </w:instrText>
      </w:r>
      <w:r>
        <w:fldChar w:fldCharType="separate"/>
      </w:r>
      <w:r>
        <w:rPr>
          <w:rStyle w:val="19"/>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_Toc448002987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lang w:val="en-US" w:eastAsia="zh-CN"/>
        </w:rPr>
        <w:t>30</w:t>
      </w:r>
      <w:r>
        <w:rPr>
          <w:rFonts w:ascii="黑体" w:hAnsi="黑体" w:eastAsia="黑体"/>
          <w:sz w:val="22"/>
          <w:szCs w:val="22"/>
        </w:rPr>
        <w:t xml:space="preserve">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13"/>
        <w:spacing w:line="480" w:lineRule="auto"/>
        <w:rPr>
          <w:rFonts w:ascii="黑体" w:hAnsi="黑体" w:eastAsia="黑体" w:cs="宋体"/>
          <w:bCs w:val="0"/>
          <w:kern w:val="2"/>
          <w:sz w:val="22"/>
          <w:szCs w:val="22"/>
        </w:rPr>
      </w:pPr>
      <w:r>
        <w:fldChar w:fldCharType="begin"/>
      </w:r>
      <w:r>
        <w:instrText xml:space="preserve"> HYPERLINK \l "_Toc448002988" </w:instrText>
      </w:r>
      <w:r>
        <w:fldChar w:fldCharType="separate"/>
      </w:r>
      <w:r>
        <w:rPr>
          <w:rStyle w:val="19"/>
          <w:rFonts w:hint="eastAsia" w:ascii="黑体" w:hAnsi="黑体" w:eastAsia="黑体" w:cs="Calibri"/>
          <w:kern w:val="0"/>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_Toc448002988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lang w:val="en-US" w:eastAsia="zh-CN"/>
        </w:rPr>
        <w:t>33</w:t>
      </w:r>
      <w:r>
        <w:rPr>
          <w:rFonts w:ascii="黑体" w:hAnsi="黑体" w:eastAsia="黑体"/>
          <w:sz w:val="22"/>
          <w:szCs w:val="22"/>
        </w:rPr>
        <w:t xml:space="preserve"> -</w:t>
      </w:r>
      <w:r>
        <w:rPr>
          <w:rFonts w:hint="eastAsia" w:ascii="黑体" w:hAnsi="黑体" w:eastAsia="黑体"/>
          <w:sz w:val="22"/>
          <w:szCs w:val="22"/>
        </w:rPr>
        <w:fldChar w:fldCharType="end"/>
      </w:r>
      <w:r>
        <w:rPr>
          <w:rFonts w:hint="eastAsia" w:ascii="黑体" w:hAnsi="黑体" w:eastAsia="黑体"/>
          <w:sz w:val="22"/>
          <w:szCs w:val="22"/>
        </w:rPr>
        <w:fldChar w:fldCharType="end"/>
      </w:r>
    </w:p>
    <w:p>
      <w:pPr>
        <w:spacing w:line="480" w:lineRule="auto"/>
        <w:jc w:val="center"/>
        <w:rPr>
          <w:rFonts w:cs="Calibri"/>
          <w:color w:val="000000"/>
          <w:sz w:val="24"/>
        </w:rPr>
      </w:pPr>
      <w:r>
        <w:rPr>
          <w:rFonts w:hint="eastAsia" w:ascii="黑体" w:hAnsi="黑体" w:eastAsia="黑体" w:cs="Calibri"/>
          <w:color w:val="000000"/>
          <w:sz w:val="22"/>
        </w:rPr>
        <w:fldChar w:fldCharType="end"/>
      </w:r>
    </w:p>
    <w:p>
      <w:pPr>
        <w:spacing w:line="440" w:lineRule="exact"/>
        <w:ind w:right="480"/>
        <w:rPr>
          <w:rFonts w:cs="Calibri"/>
          <w:color w:val="000000"/>
          <w:sz w:val="24"/>
        </w:rPr>
      </w:pPr>
    </w:p>
    <w:p>
      <w:pPr>
        <w:pStyle w:val="3"/>
        <w:spacing w:before="0" w:after="0" w:line="360" w:lineRule="auto"/>
        <w:jc w:val="center"/>
        <w:rPr>
          <w:rFonts w:ascii="Calibri" w:eastAsia="黑体" w:cs="Calibri"/>
          <w:kern w:val="0"/>
          <w:sz w:val="32"/>
        </w:rPr>
      </w:pPr>
      <w:r>
        <w:rPr>
          <w:rFonts w:ascii="Calibri" w:hAnsi="Calibri" w:cs="Calibri"/>
          <w:color w:val="000000"/>
        </w:rPr>
        <w:br w:type="page"/>
      </w:r>
      <w:bookmarkStart w:id="12" w:name="_Toc7641"/>
      <w:bookmarkStart w:id="13" w:name="_Toc14628"/>
      <w:bookmarkStart w:id="14" w:name="_Toc24932"/>
      <w:bookmarkStart w:id="15" w:name="_Toc8110"/>
      <w:bookmarkStart w:id="16" w:name="_Toc24784"/>
      <w:bookmarkStart w:id="17" w:name="_Toc18642"/>
      <w:bookmarkStart w:id="18" w:name="_Toc6832"/>
      <w:bookmarkStart w:id="19" w:name="_Toc6581"/>
      <w:bookmarkStart w:id="20" w:name="_Toc22293"/>
      <w:bookmarkStart w:id="21" w:name="_Toc448002982"/>
      <w:bookmarkStart w:id="22" w:name="_Toc248766631"/>
      <w:bookmarkStart w:id="23" w:name="_Toc249322950"/>
      <w:r>
        <w:rPr>
          <w:rFonts w:ascii="Calibri" w:eastAsia="黑体" w:cs="Calibri"/>
          <w:kern w:val="0"/>
          <w:sz w:val="32"/>
        </w:rPr>
        <w:t>第一章</w:t>
      </w:r>
      <w:r>
        <w:rPr>
          <w:rFonts w:ascii="Calibri" w:hAnsi="Calibri" w:eastAsia="黑体" w:cs="Calibri"/>
          <w:kern w:val="0"/>
          <w:sz w:val="32"/>
        </w:rPr>
        <w:t xml:space="preserve"> </w:t>
      </w:r>
      <w:bookmarkEnd w:id="12"/>
      <w:bookmarkEnd w:id="13"/>
      <w:bookmarkEnd w:id="14"/>
      <w:bookmarkEnd w:id="15"/>
      <w:bookmarkEnd w:id="16"/>
      <w:bookmarkEnd w:id="17"/>
      <w:bookmarkEnd w:id="18"/>
      <w:bookmarkEnd w:id="19"/>
      <w:bookmarkEnd w:id="20"/>
      <w:r>
        <w:rPr>
          <w:rFonts w:hint="eastAsia" w:ascii="Calibri" w:eastAsia="黑体" w:cs="Calibri"/>
          <w:kern w:val="0"/>
          <w:sz w:val="32"/>
        </w:rPr>
        <w:t>招标公告</w:t>
      </w:r>
      <w:bookmarkEnd w:id="21"/>
    </w:p>
    <w:p>
      <w:pPr>
        <w:widowControl/>
        <w:numPr>
          <w:ilvl w:val="0"/>
          <w:numId w:val="1"/>
        </w:numPr>
        <w:snapToGrid w:val="0"/>
        <w:spacing w:line="340" w:lineRule="exact"/>
        <w:ind w:firstLine="442" w:firstLineChars="200"/>
        <w:jc w:val="left"/>
        <w:rPr>
          <w:b/>
          <w:bCs/>
          <w:lang w:val="en-US"/>
        </w:rPr>
      </w:pPr>
      <w:r>
        <w:rPr>
          <w:rFonts w:hint="eastAsia" w:ascii="Arial" w:hAnsi="Arial" w:cs="Arial"/>
          <w:b/>
          <w:bCs/>
          <w:kern w:val="0"/>
          <w:sz w:val="22"/>
        </w:rPr>
        <w:t>招标</w:t>
      </w:r>
      <w:r>
        <w:rPr>
          <w:rFonts w:hint="eastAsia" w:ascii="Arial" w:hAnsi="Arial" w:cs="Arial"/>
          <w:b/>
          <w:bCs/>
          <w:kern w:val="0"/>
          <w:sz w:val="22"/>
          <w:lang w:val="en-US" w:eastAsia="zh-CN"/>
        </w:rPr>
        <w:t>条件</w:t>
      </w:r>
    </w:p>
    <w:p>
      <w:pPr>
        <w:keepNext w:val="0"/>
        <w:keepLines w:val="0"/>
        <w:pageBreakBefore w:val="0"/>
        <w:widowControl w:val="0"/>
        <w:kinsoku/>
        <w:wordWrap/>
        <w:overflowPunct/>
        <w:topLinePunct w:val="0"/>
        <w:autoSpaceDE w:val="0"/>
        <w:autoSpaceDN w:val="0"/>
        <w:bidi w:val="0"/>
        <w:adjustRightInd w:val="0"/>
        <w:snapToGrid/>
        <w:spacing w:line="340" w:lineRule="exact"/>
        <w:ind w:left="0" w:leftChars="0" w:right="0" w:rightChars="0" w:firstLine="440" w:firstLineChars="200"/>
        <w:jc w:val="both"/>
        <w:textAlignment w:val="auto"/>
        <w:outlineLvl w:val="9"/>
        <w:rPr>
          <w:rFonts w:hint="eastAsia" w:ascii="宋体" w:hAnsi="宋体" w:cs="Arial"/>
          <w:kern w:val="0"/>
          <w:sz w:val="22"/>
        </w:rPr>
      </w:pPr>
      <w:r>
        <w:rPr>
          <w:rFonts w:hint="eastAsia" w:ascii="宋体" w:hAnsi="宋体" w:cs="Arial"/>
          <w:kern w:val="0"/>
          <w:sz w:val="22"/>
        </w:rPr>
        <w:t>（1）杭州萧山国际机场</w:t>
      </w:r>
      <w:r>
        <w:rPr>
          <w:rFonts w:hint="eastAsia" w:ascii="宋体" w:hAnsi="宋体" w:cs="Arial"/>
          <w:kern w:val="0"/>
          <w:sz w:val="22"/>
          <w:u w:val="single"/>
          <w:lang w:val="en-US" w:eastAsia="zh-CN"/>
        </w:rPr>
        <w:t xml:space="preserve"> </w:t>
      </w:r>
      <w:r>
        <w:rPr>
          <w:rFonts w:hint="eastAsia" w:ascii="宋体" w:hAnsi="宋体" w:cs="Arial"/>
          <w:kern w:val="0"/>
          <w:sz w:val="22"/>
          <w:u w:val="single"/>
        </w:rPr>
        <w:t xml:space="preserve">杭州萧山国际机场航站楼地下车库进出口伸缩缝排水沟清淤项目 </w:t>
      </w:r>
      <w:r>
        <w:rPr>
          <w:rFonts w:hint="eastAsia" w:ascii="宋体" w:hAnsi="宋体" w:cs="Arial"/>
          <w:kern w:val="0"/>
          <w:sz w:val="22"/>
        </w:rPr>
        <w:t>已批准</w:t>
      </w:r>
      <w:r>
        <w:rPr>
          <w:rFonts w:hint="eastAsia" w:ascii="宋体" w:hAnsi="宋体" w:cs="Arial"/>
          <w:kern w:val="0"/>
          <w:sz w:val="22"/>
          <w:lang w:val="en-US" w:eastAsia="zh-CN"/>
        </w:rPr>
        <w:t>实施</w:t>
      </w:r>
      <w:r>
        <w:rPr>
          <w:rFonts w:hint="eastAsia" w:ascii="宋体" w:hAnsi="宋体" w:cs="Arial"/>
          <w:kern w:val="0"/>
          <w:sz w:val="22"/>
        </w:rPr>
        <w:t>，</w:t>
      </w:r>
      <w:r>
        <w:rPr>
          <w:rFonts w:hint="eastAsia" w:ascii="宋体" w:hAnsi="宋体" w:cs="Arial"/>
          <w:kern w:val="0"/>
          <w:sz w:val="22"/>
          <w:lang w:val="en-US" w:eastAsia="zh-CN"/>
        </w:rPr>
        <w:t>招标人</w:t>
      </w:r>
      <w:r>
        <w:rPr>
          <w:rFonts w:hint="eastAsia" w:ascii="宋体" w:hAnsi="宋体" w:cs="Arial"/>
          <w:kern w:val="0"/>
          <w:sz w:val="22"/>
        </w:rPr>
        <w:t>为杭州萧山国际机场有限公司，</w:t>
      </w:r>
      <w:r>
        <w:rPr>
          <w:rFonts w:hint="eastAsia" w:ascii="宋体" w:hAnsi="宋体" w:cs="Arial"/>
          <w:kern w:val="0"/>
          <w:sz w:val="22"/>
          <w:lang w:val="en-US" w:eastAsia="zh-CN"/>
        </w:rPr>
        <w:t>招标项目</w:t>
      </w:r>
      <w:r>
        <w:rPr>
          <w:rFonts w:hint="eastAsia" w:ascii="宋体" w:hAnsi="宋体" w:cs="Arial"/>
          <w:kern w:val="0"/>
          <w:sz w:val="22"/>
        </w:rPr>
        <w:t>资金来源为自筹，出资比例为100%。项目已具备招标条件，现对本项目进行公开招标。</w:t>
      </w:r>
    </w:p>
    <w:p>
      <w:pPr>
        <w:widowControl/>
        <w:numPr>
          <w:ilvl w:val="0"/>
          <w:numId w:val="1"/>
        </w:numPr>
        <w:snapToGrid w:val="0"/>
        <w:spacing w:line="340" w:lineRule="exact"/>
        <w:ind w:firstLine="442" w:firstLineChars="200"/>
        <w:jc w:val="left"/>
        <w:rPr>
          <w:rFonts w:hint="eastAsia"/>
          <w:b/>
          <w:bCs/>
        </w:rPr>
      </w:pPr>
      <w:r>
        <w:rPr>
          <w:rFonts w:hint="eastAsia" w:ascii="宋体" w:hAnsi="宋体" w:cs="宋体"/>
          <w:b/>
          <w:bCs/>
          <w:sz w:val="22"/>
          <w:szCs w:val="22"/>
        </w:rPr>
        <w:t>项目概况与招标范围</w:t>
      </w:r>
    </w:p>
    <w:p>
      <w:pPr>
        <w:keepNext w:val="0"/>
        <w:keepLines w:val="0"/>
        <w:pageBreakBefore w:val="0"/>
        <w:widowControl w:val="0"/>
        <w:kinsoku/>
        <w:wordWrap/>
        <w:overflowPunct/>
        <w:topLinePunct w:val="0"/>
        <w:autoSpaceDE w:val="0"/>
        <w:autoSpaceDN w:val="0"/>
        <w:bidi w:val="0"/>
        <w:adjustRightInd w:val="0"/>
        <w:snapToGrid/>
        <w:spacing w:line="340" w:lineRule="exact"/>
        <w:ind w:left="0" w:leftChars="0" w:right="0" w:rightChars="0" w:firstLine="440" w:firstLineChars="200"/>
        <w:jc w:val="both"/>
        <w:textAlignment w:val="auto"/>
        <w:outlineLvl w:val="9"/>
        <w:rPr>
          <w:rFonts w:hint="eastAsia" w:ascii="宋体" w:hAnsi="宋体" w:cs="Arial"/>
          <w:kern w:val="0"/>
          <w:sz w:val="22"/>
        </w:rPr>
      </w:pPr>
      <w:r>
        <w:rPr>
          <w:rFonts w:hint="eastAsia" w:ascii="宋体" w:hAnsi="宋体" w:cs="Arial"/>
          <w:kern w:val="0"/>
          <w:sz w:val="22"/>
        </w:rPr>
        <w:t>（2）项目概况：本项目位于杭州萧山国际机场内，具体要求详见第三章“服务技术标准及要求”。</w:t>
      </w:r>
    </w:p>
    <w:p>
      <w:pPr>
        <w:keepNext w:val="0"/>
        <w:keepLines w:val="0"/>
        <w:pageBreakBefore w:val="0"/>
        <w:widowControl w:val="0"/>
        <w:kinsoku/>
        <w:wordWrap/>
        <w:overflowPunct/>
        <w:topLinePunct w:val="0"/>
        <w:autoSpaceDE w:val="0"/>
        <w:autoSpaceDN w:val="0"/>
        <w:bidi w:val="0"/>
        <w:adjustRightInd w:val="0"/>
        <w:snapToGrid/>
        <w:spacing w:line="340" w:lineRule="exact"/>
        <w:ind w:left="0" w:leftChars="0" w:right="0" w:rightChars="0" w:firstLine="440" w:firstLineChars="200"/>
        <w:jc w:val="both"/>
        <w:textAlignment w:val="auto"/>
        <w:outlineLvl w:val="9"/>
        <w:rPr>
          <w:rFonts w:hint="eastAsia" w:ascii="宋体" w:hAnsi="宋体" w:cs="Arial"/>
          <w:kern w:val="0"/>
          <w:sz w:val="22"/>
        </w:rPr>
      </w:pPr>
      <w:r>
        <w:rPr>
          <w:rFonts w:hint="eastAsia" w:ascii="宋体" w:hAnsi="宋体" w:cs="Arial"/>
          <w:kern w:val="0"/>
          <w:sz w:val="22"/>
        </w:rPr>
        <w:t>（3）招标内容：杭州萧山国际机场航站楼地下车库进出口伸缩缝排水沟清淤项目。</w:t>
      </w:r>
    </w:p>
    <w:p>
      <w:pPr>
        <w:keepNext w:val="0"/>
        <w:keepLines w:val="0"/>
        <w:pageBreakBefore w:val="0"/>
        <w:widowControl w:val="0"/>
        <w:kinsoku/>
        <w:wordWrap/>
        <w:overflowPunct/>
        <w:topLinePunct w:val="0"/>
        <w:autoSpaceDE w:val="0"/>
        <w:autoSpaceDN w:val="0"/>
        <w:bidi w:val="0"/>
        <w:adjustRightInd w:val="0"/>
        <w:snapToGrid/>
        <w:spacing w:line="340" w:lineRule="exact"/>
        <w:ind w:left="0" w:leftChars="0" w:right="0" w:rightChars="0" w:firstLine="440" w:firstLineChars="200"/>
        <w:jc w:val="both"/>
        <w:textAlignment w:val="auto"/>
        <w:outlineLvl w:val="9"/>
        <w:rPr>
          <w:rFonts w:hint="eastAsia" w:ascii="宋体" w:hAnsi="宋体" w:cs="Arial"/>
          <w:kern w:val="0"/>
          <w:sz w:val="22"/>
        </w:rPr>
      </w:pPr>
      <w:r>
        <w:rPr>
          <w:rFonts w:hint="eastAsia" w:ascii="宋体" w:hAnsi="宋体" w:cs="Arial"/>
          <w:kern w:val="0"/>
          <w:sz w:val="22"/>
        </w:rPr>
        <w:t>（4）服务期：</w:t>
      </w:r>
      <w:r>
        <w:rPr>
          <w:rFonts w:hint="eastAsia" w:ascii="宋体" w:hAnsi="宋体" w:cs="Arial"/>
          <w:color w:val="auto"/>
          <w:kern w:val="0"/>
          <w:sz w:val="22"/>
        </w:rPr>
        <w:t>十八个自然月。</w:t>
      </w:r>
    </w:p>
    <w:p>
      <w:pPr>
        <w:keepNext w:val="0"/>
        <w:keepLines w:val="0"/>
        <w:pageBreakBefore w:val="0"/>
        <w:widowControl w:val="0"/>
        <w:kinsoku/>
        <w:wordWrap/>
        <w:overflowPunct/>
        <w:topLinePunct w:val="0"/>
        <w:autoSpaceDE w:val="0"/>
        <w:autoSpaceDN w:val="0"/>
        <w:bidi w:val="0"/>
        <w:adjustRightInd w:val="0"/>
        <w:snapToGrid/>
        <w:spacing w:line="340" w:lineRule="exact"/>
        <w:ind w:left="0" w:leftChars="0" w:right="0" w:rightChars="0" w:firstLine="440" w:firstLineChars="200"/>
        <w:jc w:val="both"/>
        <w:textAlignment w:val="auto"/>
        <w:outlineLvl w:val="9"/>
        <w:rPr>
          <w:rFonts w:hint="eastAsia" w:ascii="宋体" w:hAnsi="宋体" w:cs="Arial"/>
          <w:kern w:val="0"/>
          <w:sz w:val="22"/>
        </w:rPr>
      </w:pPr>
      <w:r>
        <w:rPr>
          <w:rFonts w:hint="eastAsia" w:ascii="宋体" w:hAnsi="宋体" w:cs="Arial"/>
          <w:kern w:val="0"/>
          <w:sz w:val="22"/>
        </w:rPr>
        <w:t>（5）数量：1家。</w:t>
      </w:r>
    </w:p>
    <w:p>
      <w:pPr>
        <w:widowControl/>
        <w:numPr>
          <w:ilvl w:val="0"/>
          <w:numId w:val="1"/>
        </w:numPr>
        <w:snapToGrid w:val="0"/>
        <w:spacing w:line="340" w:lineRule="exact"/>
        <w:ind w:firstLine="442" w:firstLineChars="200"/>
        <w:jc w:val="left"/>
        <w:rPr>
          <w:rFonts w:ascii="Arial" w:hAnsi="Arial" w:cs="Arial"/>
          <w:b/>
          <w:bCs/>
          <w:kern w:val="0"/>
          <w:sz w:val="22"/>
        </w:rPr>
      </w:pPr>
      <w:r>
        <w:rPr>
          <w:rFonts w:hint="eastAsia" w:ascii="Arial" w:hAnsi="Arial" w:cs="Arial"/>
          <w:b/>
          <w:bCs/>
          <w:kern w:val="0"/>
          <w:sz w:val="22"/>
        </w:rPr>
        <w:t>投标人资格要求</w:t>
      </w:r>
    </w:p>
    <w:p>
      <w:pPr>
        <w:widowControl/>
        <w:snapToGrid w:val="0"/>
        <w:spacing w:line="340" w:lineRule="exact"/>
        <w:ind w:firstLine="440" w:firstLineChars="200"/>
        <w:jc w:val="both"/>
        <w:rPr>
          <w:rFonts w:ascii="Arial" w:hAnsi="Arial" w:cs="Arial"/>
          <w:kern w:val="0"/>
          <w:sz w:val="22"/>
        </w:rPr>
      </w:pPr>
      <w:r>
        <w:rPr>
          <w:rFonts w:hint="eastAsia" w:ascii="Arial" w:hAnsi="Arial" w:cs="Arial"/>
          <w:kern w:val="0"/>
          <w:sz w:val="22"/>
        </w:rPr>
        <w:t>（1）具有独立法人资格，持有有效营业执照</w:t>
      </w:r>
      <w:r>
        <w:rPr>
          <w:rFonts w:hint="eastAsia" w:ascii="Arial" w:hAnsi="Arial" w:cs="Arial"/>
          <w:kern w:val="0"/>
          <w:sz w:val="22"/>
          <w:lang w:eastAsia="zh-CN"/>
        </w:rPr>
        <w:t>（</w:t>
      </w:r>
      <w:r>
        <w:rPr>
          <w:rFonts w:hint="eastAsia" w:ascii="Arial" w:hAnsi="Arial" w:cs="Arial"/>
          <w:kern w:val="0"/>
          <w:sz w:val="22"/>
        </w:rPr>
        <w:t>提供营业执照复印件并加盖投标人公章，原件备查</w:t>
      </w:r>
      <w:r>
        <w:rPr>
          <w:rFonts w:hint="eastAsia" w:ascii="Arial" w:hAnsi="Arial" w:cs="Arial"/>
          <w:kern w:val="0"/>
          <w:sz w:val="22"/>
          <w:lang w:eastAsia="zh-CN"/>
        </w:rPr>
        <w:t>），具有</w:t>
      </w:r>
      <w:r>
        <w:rPr>
          <w:rFonts w:hint="eastAsia" w:ascii="Arial" w:hAnsi="Arial" w:cs="Arial"/>
          <w:kern w:val="0"/>
          <w:sz w:val="22"/>
          <w:lang w:val="en-US" w:eastAsia="zh-CN"/>
        </w:rPr>
        <w:t>市政</w:t>
      </w:r>
      <w:r>
        <w:rPr>
          <w:rFonts w:hint="eastAsia" w:ascii="Arial" w:hAnsi="Arial" w:cs="Arial"/>
          <w:kern w:val="0"/>
          <w:sz w:val="22"/>
          <w:lang w:eastAsia="zh-CN"/>
        </w:rPr>
        <w:t>工程专业承包三级及以上资质</w:t>
      </w:r>
      <w:r>
        <w:rPr>
          <w:rFonts w:hint="eastAsia" w:ascii="Arial" w:hAnsi="Arial" w:cs="Arial"/>
          <w:kern w:val="0"/>
          <w:sz w:val="22"/>
        </w:rPr>
        <w:t>并须有类似清淤项目已完成业绩。</w:t>
      </w:r>
    </w:p>
    <w:p>
      <w:pPr>
        <w:widowControl/>
        <w:snapToGrid w:val="0"/>
        <w:spacing w:line="340" w:lineRule="exact"/>
        <w:ind w:firstLine="440" w:firstLineChars="200"/>
        <w:jc w:val="both"/>
        <w:rPr>
          <w:rFonts w:ascii="Arial" w:hAnsi="Arial" w:cs="Arial"/>
          <w:kern w:val="0"/>
          <w:sz w:val="22"/>
        </w:rPr>
      </w:pPr>
      <w:r>
        <w:rPr>
          <w:rFonts w:hint="eastAsia" w:ascii="Arial" w:hAnsi="Arial" w:cs="Arial"/>
          <w:kern w:val="0"/>
          <w:sz w:val="22"/>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pPr>
        <w:widowControl/>
        <w:snapToGrid w:val="0"/>
        <w:spacing w:line="340" w:lineRule="exact"/>
        <w:ind w:firstLine="440" w:firstLineChars="200"/>
        <w:jc w:val="both"/>
        <w:rPr>
          <w:rFonts w:ascii="Arial" w:hAnsi="Arial" w:cs="Arial"/>
          <w:kern w:val="0"/>
          <w:sz w:val="22"/>
        </w:rPr>
      </w:pPr>
      <w:r>
        <w:rPr>
          <w:rFonts w:hint="eastAsia" w:ascii="Arial" w:hAnsi="Arial" w:cs="Arial"/>
          <w:kern w:val="0"/>
          <w:sz w:val="22"/>
        </w:rPr>
        <w:t>（3）近年（20</w:t>
      </w:r>
      <w:r>
        <w:rPr>
          <w:rFonts w:hint="eastAsia" w:ascii="Arial" w:hAnsi="Arial" w:cs="Arial"/>
          <w:kern w:val="0"/>
          <w:sz w:val="22"/>
          <w:lang w:val="en-US" w:eastAsia="zh-CN"/>
        </w:rPr>
        <w:t>19</w:t>
      </w:r>
      <w:r>
        <w:rPr>
          <w:rFonts w:hint="eastAsia" w:ascii="Arial" w:hAnsi="Arial" w:cs="Arial"/>
          <w:kern w:val="0"/>
          <w:sz w:val="22"/>
        </w:rPr>
        <w:t>年1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w:t>
      </w:r>
    </w:p>
    <w:p>
      <w:pPr>
        <w:pStyle w:val="8"/>
        <w:keepNext w:val="0"/>
        <w:keepLines w:val="0"/>
        <w:pageBreakBefore w:val="0"/>
        <w:widowControl w:val="0"/>
        <w:tabs>
          <w:tab w:val="left" w:pos="4394"/>
          <w:tab w:val="left" w:pos="5990"/>
        </w:tabs>
        <w:kinsoku/>
        <w:wordWrap/>
        <w:overflowPunct/>
        <w:topLinePunct w:val="0"/>
        <w:autoSpaceDE/>
        <w:autoSpaceDN/>
        <w:bidi w:val="0"/>
        <w:adjustRightInd/>
        <w:snapToGrid/>
        <w:spacing w:after="120" w:line="300" w:lineRule="exact"/>
        <w:ind w:left="0" w:leftChars="0" w:right="157" w:rightChars="0" w:firstLine="419" w:firstLineChars="0"/>
        <w:jc w:val="both"/>
        <w:textAlignment w:val="auto"/>
        <w:outlineLvl w:val="9"/>
        <w:rPr>
          <w:rFonts w:ascii="宋体" w:hAnsi="宋体" w:cs="Arial"/>
          <w:kern w:val="0"/>
          <w:sz w:val="22"/>
        </w:rPr>
      </w:pPr>
      <w:r>
        <w:rPr>
          <w:rFonts w:hint="eastAsia" w:ascii="宋体" w:hAnsi="宋体" w:cs="Arial"/>
          <w:kern w:val="0"/>
          <w:sz w:val="22"/>
        </w:rPr>
        <w:t>（4）</w:t>
      </w:r>
      <w:r>
        <w:rPr>
          <w:rFonts w:hint="eastAsia" w:cs="宋体"/>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w:t>
      </w:r>
      <w:r>
        <w:rPr>
          <w:rFonts w:hint="eastAsia" w:cs="宋体"/>
          <w:color w:val="000000" w:themeColor="text1"/>
          <w14:textFill>
            <w14:solidFill>
              <w14:schemeClr w14:val="tx1"/>
            </w14:solidFill>
          </w14:textFill>
        </w:rPr>
        <w:t>选人不具有一般纳税人资格，招标人将依法取消其中标候选人资格，并有权没收其投标保证金。</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w:t>
      </w:r>
      <w:r>
        <w:rPr>
          <w:rFonts w:hint="eastAsia" w:ascii="宋体" w:hAnsi="宋体" w:cs="Arial"/>
          <w:kern w:val="0"/>
          <w:sz w:val="22"/>
          <w:lang w:val="en-US" w:eastAsia="zh-CN"/>
        </w:rPr>
        <w:t>5</w:t>
      </w:r>
      <w:r>
        <w:rPr>
          <w:rFonts w:hint="eastAsia" w:ascii="宋体" w:hAnsi="宋体" w:cs="Arial"/>
          <w:kern w:val="0"/>
          <w:sz w:val="22"/>
        </w:rPr>
        <w:t>）本次招标不接受联合体投标。</w:t>
      </w:r>
    </w:p>
    <w:p>
      <w:pPr>
        <w:widowControl/>
        <w:snapToGrid w:val="0"/>
        <w:spacing w:line="340" w:lineRule="exact"/>
        <w:ind w:firstLine="440" w:firstLineChars="200"/>
        <w:jc w:val="both"/>
        <w:rPr>
          <w:rFonts w:hint="eastAsia" w:ascii="Arial" w:hAnsi="Arial" w:cs="Arial"/>
          <w:kern w:val="0"/>
          <w:sz w:val="22"/>
        </w:rPr>
      </w:pPr>
      <w:r>
        <w:rPr>
          <w:rFonts w:hint="eastAsia" w:ascii="宋体" w:hAnsi="宋体" w:cs="Arial"/>
          <w:kern w:val="0"/>
          <w:sz w:val="22"/>
          <w:lang w:eastAsia="zh-CN"/>
        </w:rPr>
        <w:t>（</w:t>
      </w:r>
      <w:r>
        <w:rPr>
          <w:rFonts w:hint="eastAsia" w:ascii="宋体" w:hAnsi="宋体" w:cs="Arial"/>
          <w:kern w:val="0"/>
          <w:sz w:val="22"/>
          <w:lang w:val="en-US" w:eastAsia="zh-CN"/>
        </w:rPr>
        <w:t>6</w:t>
      </w:r>
      <w:r>
        <w:rPr>
          <w:rFonts w:hint="eastAsia" w:ascii="宋体" w:hAnsi="宋体" w:cs="Arial"/>
          <w:kern w:val="0"/>
          <w:sz w:val="22"/>
          <w:lang w:eastAsia="zh-CN"/>
        </w:rPr>
        <w:t>）</w:t>
      </w:r>
      <w:r>
        <w:rPr>
          <w:rFonts w:hint="eastAsia" w:ascii="宋体" w:hAnsi="宋体" w:cs="Arial"/>
          <w:kern w:val="0"/>
          <w:sz w:val="22"/>
        </w:rPr>
        <w:t>根</w:t>
      </w:r>
      <w:r>
        <w:rPr>
          <w:rFonts w:hint="eastAsia" w:ascii="Arial" w:hAnsi="Arial" w:cs="Arial"/>
          <w:kern w:val="0"/>
          <w:sz w:val="22"/>
        </w:rPr>
        <w:t>据《中华人民共和国招标投标法》、《中华人民共和国招标投标法实施条例》等相关法律法规和浙江省机场集团有限公司、杭州萧山国际机场有限公司有关规定，被浙江省机场集团有限公司、杭州萧山国际机场有限公司列入禁止交易名单或不良信用记录名单的单位和个人不得参与本项目的投标。</w:t>
      </w:r>
    </w:p>
    <w:p>
      <w:pPr>
        <w:widowControl/>
        <w:numPr>
          <w:ilvl w:val="0"/>
          <w:numId w:val="1"/>
        </w:numPr>
        <w:snapToGrid w:val="0"/>
        <w:spacing w:line="340" w:lineRule="exact"/>
        <w:ind w:firstLine="442" w:firstLineChars="200"/>
        <w:jc w:val="left"/>
        <w:rPr>
          <w:rFonts w:hint="eastAsia" w:ascii="Arial" w:hAnsi="Arial" w:cs="Arial"/>
          <w:b/>
          <w:bCs/>
          <w:kern w:val="0"/>
          <w:sz w:val="22"/>
        </w:rPr>
      </w:pPr>
      <w:r>
        <w:rPr>
          <w:rFonts w:hint="eastAsia" w:ascii="Arial" w:hAnsi="Arial" w:cs="Arial"/>
          <w:b/>
          <w:bCs/>
          <w:kern w:val="0"/>
          <w:sz w:val="22"/>
        </w:rPr>
        <w:t>招标文件获取</w:t>
      </w:r>
    </w:p>
    <w:p>
      <w:pPr>
        <w:widowControl/>
        <w:adjustRightInd w:val="0"/>
        <w:snapToGrid w:val="0"/>
        <w:spacing w:line="340" w:lineRule="exact"/>
        <w:ind w:firstLine="440" w:firstLineChars="200"/>
        <w:rPr>
          <w:rFonts w:hint="eastAsia" w:ascii="宋体" w:hAnsi="宋体" w:cs="Arial"/>
          <w:kern w:val="0"/>
          <w:sz w:val="22"/>
          <w:lang w:eastAsia="zh-CN"/>
        </w:rPr>
      </w:pPr>
      <w:r>
        <w:rPr>
          <w:rFonts w:hint="eastAsia" w:ascii="宋体" w:hAnsi="宋体" w:cs="Arial"/>
          <w:kern w:val="0"/>
          <w:sz w:val="22"/>
          <w:lang w:eastAsia="zh-CN"/>
        </w:rPr>
        <w:t>（</w:t>
      </w:r>
      <w:r>
        <w:rPr>
          <w:rFonts w:hint="eastAsia" w:ascii="宋体" w:hAnsi="宋体" w:cs="Arial"/>
          <w:kern w:val="0"/>
          <w:sz w:val="22"/>
          <w:lang w:val="en-US" w:eastAsia="zh-CN"/>
        </w:rPr>
        <w:t>1</w:t>
      </w:r>
      <w:r>
        <w:rPr>
          <w:rFonts w:hint="eastAsia" w:ascii="宋体" w:hAnsi="宋体" w:cs="Arial"/>
          <w:kern w:val="0"/>
          <w:sz w:val="22"/>
          <w:lang w:eastAsia="zh-CN"/>
        </w:rPr>
        <w:t>）本项目招标文件和补充（答疑、澄清）、修改文件通过网络下载方式发放。</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lang w:eastAsia="zh-CN"/>
        </w:rPr>
        <w:t>（</w:t>
      </w:r>
      <w:r>
        <w:rPr>
          <w:rFonts w:hint="eastAsia" w:ascii="宋体" w:hAnsi="宋体" w:cs="Arial"/>
          <w:kern w:val="0"/>
          <w:sz w:val="22"/>
          <w:lang w:val="en-US" w:eastAsia="zh-CN"/>
        </w:rPr>
        <w:t>2</w:t>
      </w:r>
      <w:r>
        <w:rPr>
          <w:rFonts w:hint="eastAsia" w:ascii="宋体" w:hAnsi="宋体" w:cs="Arial"/>
          <w:kern w:val="0"/>
          <w:sz w:val="22"/>
          <w:lang w:eastAsia="zh-CN"/>
        </w:rPr>
        <w:t>）</w:t>
      </w: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招标文件下载</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lang w:eastAsia="zh-CN"/>
        </w:rPr>
        <w:t>（</w:t>
      </w:r>
      <w:r>
        <w:rPr>
          <w:rFonts w:hint="eastAsia" w:ascii="宋体" w:hAnsi="宋体" w:cs="Arial"/>
          <w:kern w:val="0"/>
          <w:sz w:val="22"/>
          <w:lang w:val="en-US" w:eastAsia="zh-CN"/>
        </w:rPr>
        <w:t>3</w:t>
      </w:r>
      <w:r>
        <w:rPr>
          <w:rFonts w:hint="eastAsia" w:ascii="宋体" w:hAnsi="宋体" w:cs="Arial"/>
          <w:kern w:val="0"/>
          <w:sz w:val="22"/>
          <w:lang w:eastAsia="zh-CN"/>
        </w:rPr>
        <w:t>）</w:t>
      </w:r>
      <w:r>
        <w:rPr>
          <w:rFonts w:hint="eastAsia" w:ascii="宋体" w:hAnsi="宋体" w:cs="Arial"/>
          <w:kern w:val="0"/>
          <w:sz w:val="22"/>
        </w:rPr>
        <w:t>补充（答疑、澄清）、修改文件，潜在投标人应自行关注网站公告，招标人不再一一通知。投标人因自身贻误行为导致投标失败的，责任自负。</w:t>
      </w:r>
    </w:p>
    <w:p>
      <w:pPr>
        <w:widowControl/>
        <w:numPr>
          <w:ilvl w:val="0"/>
          <w:numId w:val="1"/>
        </w:numPr>
        <w:snapToGrid w:val="0"/>
        <w:spacing w:line="340" w:lineRule="exact"/>
        <w:ind w:firstLine="442" w:firstLineChars="200"/>
        <w:jc w:val="left"/>
        <w:rPr>
          <w:rFonts w:hint="eastAsia" w:ascii="Arial" w:hAnsi="Arial" w:cs="Arial"/>
          <w:b/>
          <w:bCs/>
          <w:kern w:val="0"/>
          <w:sz w:val="22"/>
        </w:rPr>
      </w:pPr>
      <w:r>
        <w:rPr>
          <w:rFonts w:hint="eastAsia" w:ascii="Arial" w:hAnsi="Arial" w:cs="Arial"/>
          <w:b/>
          <w:bCs/>
          <w:kern w:val="0"/>
          <w:sz w:val="22"/>
        </w:rPr>
        <w:t>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w:t>
      </w:r>
      <w:r>
        <w:rPr>
          <w:rFonts w:hint="eastAsia" w:ascii="宋体" w:hAnsi="宋体" w:cs="Arial"/>
          <w:color w:val="FF0000"/>
          <w:kern w:val="0"/>
          <w:sz w:val="22"/>
          <w:lang w:val="en-US" w:eastAsia="zh-CN"/>
        </w:rPr>
        <w:t>2022</w:t>
      </w:r>
      <w:r>
        <w:rPr>
          <w:rFonts w:hint="eastAsia" w:ascii="宋体" w:hAnsi="宋体" w:cs="Arial"/>
          <w:color w:val="FF0000"/>
          <w:kern w:val="0"/>
          <w:sz w:val="22"/>
        </w:rPr>
        <w:t>年</w:t>
      </w:r>
      <w:r>
        <w:rPr>
          <w:rFonts w:hint="eastAsia" w:ascii="宋体" w:hAnsi="宋体" w:cs="Arial"/>
          <w:color w:val="FF0000"/>
          <w:kern w:val="0"/>
          <w:sz w:val="22"/>
          <w:lang w:val="en-US" w:eastAsia="zh-CN"/>
        </w:rPr>
        <w:t>9</w:t>
      </w:r>
      <w:r>
        <w:rPr>
          <w:rFonts w:hint="eastAsia" w:ascii="宋体" w:hAnsi="宋体" w:cs="Arial"/>
          <w:color w:val="FF0000"/>
          <w:kern w:val="0"/>
          <w:sz w:val="22"/>
        </w:rPr>
        <w:t>月</w:t>
      </w:r>
      <w:r>
        <w:rPr>
          <w:rFonts w:hint="eastAsia" w:ascii="宋体" w:hAnsi="宋体" w:cs="Arial"/>
          <w:color w:val="FF0000"/>
          <w:kern w:val="0"/>
          <w:sz w:val="22"/>
          <w:lang w:val="en-US" w:eastAsia="zh-CN"/>
        </w:rPr>
        <w:t>19</w:t>
      </w:r>
      <w:r>
        <w:rPr>
          <w:rFonts w:hint="eastAsia" w:ascii="宋体" w:hAnsi="宋体" w:cs="Arial"/>
          <w:color w:val="FF0000"/>
          <w:kern w:val="0"/>
          <w:sz w:val="22"/>
        </w:rPr>
        <w:t>日</w:t>
      </w:r>
      <w:r>
        <w:rPr>
          <w:rFonts w:hint="eastAsia" w:ascii="宋体" w:hAnsi="宋体" w:cs="Arial"/>
          <w:color w:val="FF0000"/>
          <w:kern w:val="0"/>
          <w:sz w:val="22"/>
          <w:lang w:val="en-US" w:eastAsia="zh-CN"/>
        </w:rPr>
        <w:t>9</w:t>
      </w:r>
      <w:r>
        <w:rPr>
          <w:rFonts w:hint="eastAsia" w:ascii="宋体" w:hAnsi="宋体" w:cs="Arial"/>
          <w:color w:val="FF0000"/>
          <w:kern w:val="0"/>
          <w:sz w:val="22"/>
        </w:rPr>
        <w:t>时</w:t>
      </w:r>
      <w:r>
        <w:rPr>
          <w:rFonts w:hint="eastAsia" w:ascii="宋体" w:hAnsi="宋体" w:cs="Arial"/>
          <w:color w:val="FF0000"/>
          <w:kern w:val="0"/>
          <w:sz w:val="22"/>
          <w:lang w:val="en-US" w:eastAsia="zh-CN"/>
        </w:rPr>
        <w:t>30</w:t>
      </w:r>
      <w:r>
        <w:rPr>
          <w:rFonts w:hint="eastAsia" w:ascii="宋体" w:hAnsi="宋体" w:cs="Arial"/>
          <w:color w:val="FF0000"/>
          <w:kern w:val="0"/>
          <w:sz w:val="22"/>
        </w:rPr>
        <w:t>分</w:t>
      </w:r>
      <w:r>
        <w:rPr>
          <w:rFonts w:hint="eastAsia" w:ascii="宋体" w:hAnsi="宋体" w:cs="Arial"/>
          <w:kern w:val="0"/>
          <w:sz w:val="22"/>
        </w:rPr>
        <w:t>（北京时间）。投标文件在封口处加盖公章，并派专人于</w:t>
      </w:r>
      <w:r>
        <w:rPr>
          <w:rFonts w:hint="eastAsia" w:ascii="宋体" w:hAnsi="宋体" w:cs="Arial"/>
          <w:color w:val="FF0000"/>
          <w:kern w:val="0"/>
          <w:sz w:val="22"/>
          <w:lang w:val="en-US" w:eastAsia="zh-CN"/>
        </w:rPr>
        <w:t>2022</w:t>
      </w:r>
      <w:r>
        <w:rPr>
          <w:rFonts w:hint="eastAsia" w:ascii="宋体" w:hAnsi="宋体" w:cs="Arial"/>
          <w:color w:val="FF0000"/>
          <w:kern w:val="0"/>
          <w:sz w:val="22"/>
        </w:rPr>
        <w:t>年</w:t>
      </w:r>
      <w:r>
        <w:rPr>
          <w:rFonts w:hint="eastAsia" w:ascii="宋体" w:hAnsi="宋体" w:cs="Arial"/>
          <w:color w:val="FF0000"/>
          <w:kern w:val="0"/>
          <w:sz w:val="22"/>
          <w:lang w:val="en-US" w:eastAsia="zh-CN"/>
        </w:rPr>
        <w:t>9</w:t>
      </w:r>
      <w:r>
        <w:rPr>
          <w:rFonts w:hint="eastAsia" w:ascii="宋体" w:hAnsi="宋体" w:cs="Arial"/>
          <w:color w:val="FF0000"/>
          <w:kern w:val="0"/>
          <w:sz w:val="22"/>
        </w:rPr>
        <w:t>月</w:t>
      </w:r>
      <w:r>
        <w:rPr>
          <w:rFonts w:hint="eastAsia" w:ascii="宋体" w:hAnsi="宋体" w:cs="Arial"/>
          <w:color w:val="FF0000"/>
          <w:kern w:val="0"/>
          <w:sz w:val="22"/>
          <w:lang w:val="en-US" w:eastAsia="zh-CN"/>
        </w:rPr>
        <w:t>19</w:t>
      </w:r>
      <w:r>
        <w:rPr>
          <w:rFonts w:hint="eastAsia" w:ascii="宋体" w:hAnsi="宋体" w:cs="Arial"/>
          <w:color w:val="FF0000"/>
          <w:kern w:val="0"/>
          <w:sz w:val="22"/>
        </w:rPr>
        <w:t>日</w:t>
      </w:r>
      <w:r>
        <w:rPr>
          <w:rFonts w:hint="eastAsia" w:ascii="宋体" w:hAnsi="宋体" w:cs="Arial"/>
          <w:color w:val="FF0000"/>
          <w:kern w:val="0"/>
          <w:sz w:val="22"/>
          <w:lang w:val="en-US" w:eastAsia="zh-CN"/>
        </w:rPr>
        <w:t>9</w:t>
      </w:r>
      <w:r>
        <w:rPr>
          <w:rFonts w:hint="eastAsia" w:ascii="宋体" w:hAnsi="宋体" w:cs="Arial"/>
          <w:color w:val="FF0000"/>
          <w:kern w:val="0"/>
          <w:sz w:val="22"/>
        </w:rPr>
        <w:t>时</w:t>
      </w:r>
      <w:r>
        <w:rPr>
          <w:rFonts w:hint="eastAsia" w:ascii="宋体" w:hAnsi="宋体" w:cs="Arial"/>
          <w:color w:val="FF0000"/>
          <w:kern w:val="0"/>
          <w:sz w:val="22"/>
          <w:lang w:val="en-US" w:eastAsia="zh-CN"/>
        </w:rPr>
        <w:t>30</w:t>
      </w:r>
      <w:r>
        <w:rPr>
          <w:rFonts w:hint="eastAsia" w:ascii="宋体" w:hAnsi="宋体" w:cs="Arial"/>
          <w:color w:val="FF0000"/>
          <w:kern w:val="0"/>
          <w:sz w:val="22"/>
        </w:rPr>
        <w:t>分</w:t>
      </w:r>
      <w:r>
        <w:rPr>
          <w:rFonts w:hint="eastAsia" w:ascii="宋体" w:hAnsi="宋体" w:cs="Arial"/>
          <w:kern w:val="0"/>
          <w:sz w:val="22"/>
        </w:rPr>
        <w:t>（北京时间）前送至杭州萧山国际机场</w:t>
      </w:r>
      <w:r>
        <w:rPr>
          <w:rFonts w:hint="eastAsia" w:ascii="宋体" w:hAnsi="宋体" w:cs="Arial"/>
          <w:kern w:val="0"/>
          <w:sz w:val="22"/>
          <w:lang w:val="en-US" w:eastAsia="zh-CN"/>
        </w:rPr>
        <w:t>物业维修中心</w:t>
      </w:r>
      <w:r>
        <w:rPr>
          <w:rFonts w:hint="eastAsia" w:ascii="宋体" w:hAnsi="宋体" w:cs="Arial"/>
          <w:kern w:val="0"/>
          <w:sz w:val="22"/>
        </w:rPr>
        <w:t>，逾期无效；</w:t>
      </w:r>
      <w:r>
        <w:rPr>
          <w:rFonts w:hint="eastAsia" w:ascii="宋体" w:hAnsi="宋体" w:cs="Arial"/>
          <w:b/>
          <w:bCs/>
          <w:kern w:val="0"/>
          <w:sz w:val="22"/>
        </w:rPr>
        <w:t>特别说明：因疫情防控工作需要，建议各投标人优先采用投递（邮寄）方式递交投标文件</w:t>
      </w:r>
      <w:r>
        <w:rPr>
          <w:rFonts w:hint="eastAsia" w:ascii="宋体" w:hAnsi="宋体" w:cs="Arial"/>
          <w:kern w:val="0"/>
          <w:sz w:val="22"/>
        </w:rPr>
        <w:t>，若采用投递方式的，请于</w:t>
      </w:r>
      <w:r>
        <w:rPr>
          <w:rFonts w:hint="eastAsia" w:ascii="宋体" w:hAnsi="宋体" w:cs="Arial"/>
          <w:color w:val="FF0000"/>
          <w:kern w:val="0"/>
          <w:sz w:val="22"/>
          <w:lang w:val="en-US" w:eastAsia="zh-CN"/>
        </w:rPr>
        <w:t>2022</w:t>
      </w:r>
      <w:r>
        <w:rPr>
          <w:rFonts w:hint="eastAsia" w:ascii="宋体" w:hAnsi="宋体" w:cs="Arial"/>
          <w:color w:val="FF0000"/>
          <w:kern w:val="0"/>
          <w:sz w:val="22"/>
        </w:rPr>
        <w:t>年</w:t>
      </w:r>
      <w:r>
        <w:rPr>
          <w:rFonts w:hint="eastAsia" w:ascii="宋体" w:hAnsi="宋体" w:cs="Arial"/>
          <w:color w:val="FF0000"/>
          <w:kern w:val="0"/>
          <w:sz w:val="22"/>
          <w:lang w:val="en-US" w:eastAsia="zh-CN"/>
        </w:rPr>
        <w:t>9</w:t>
      </w:r>
      <w:r>
        <w:rPr>
          <w:rFonts w:hint="eastAsia" w:ascii="宋体" w:hAnsi="宋体" w:cs="Arial"/>
          <w:color w:val="FF0000"/>
          <w:kern w:val="0"/>
          <w:sz w:val="22"/>
        </w:rPr>
        <w:t>月</w:t>
      </w:r>
      <w:r>
        <w:rPr>
          <w:rFonts w:hint="eastAsia" w:ascii="宋体" w:hAnsi="宋体" w:cs="Arial"/>
          <w:color w:val="FF0000"/>
          <w:kern w:val="0"/>
          <w:sz w:val="22"/>
          <w:lang w:val="en-US" w:eastAsia="zh-CN"/>
        </w:rPr>
        <w:t>19</w:t>
      </w:r>
      <w:r>
        <w:rPr>
          <w:rFonts w:hint="eastAsia" w:ascii="宋体" w:hAnsi="宋体" w:cs="Arial"/>
          <w:color w:val="FF0000"/>
          <w:kern w:val="0"/>
          <w:sz w:val="22"/>
        </w:rPr>
        <w:t>日</w:t>
      </w:r>
      <w:r>
        <w:rPr>
          <w:rFonts w:hint="eastAsia" w:ascii="宋体" w:hAnsi="宋体" w:cs="Arial"/>
          <w:color w:val="FF0000"/>
          <w:kern w:val="0"/>
          <w:sz w:val="22"/>
          <w:lang w:val="en-US" w:eastAsia="zh-CN"/>
        </w:rPr>
        <w:t>9</w:t>
      </w:r>
      <w:r>
        <w:rPr>
          <w:rFonts w:hint="eastAsia" w:ascii="宋体" w:hAnsi="宋体" w:cs="Arial"/>
          <w:color w:val="FF0000"/>
          <w:kern w:val="0"/>
          <w:sz w:val="22"/>
        </w:rPr>
        <w:t>时</w:t>
      </w:r>
      <w:r>
        <w:rPr>
          <w:rFonts w:hint="eastAsia" w:ascii="宋体" w:hAnsi="宋体" w:cs="Arial"/>
          <w:color w:val="FF0000"/>
          <w:kern w:val="0"/>
          <w:sz w:val="22"/>
          <w:lang w:val="en-US" w:eastAsia="zh-CN"/>
        </w:rPr>
        <w:t>30</w:t>
      </w:r>
      <w:r>
        <w:rPr>
          <w:rFonts w:hint="eastAsia" w:ascii="宋体" w:hAnsi="宋体" w:cs="Arial"/>
          <w:color w:val="FF0000"/>
          <w:kern w:val="0"/>
          <w:sz w:val="22"/>
        </w:rPr>
        <w:t>分</w:t>
      </w:r>
      <w:r>
        <w:rPr>
          <w:rFonts w:hint="eastAsia" w:ascii="宋体" w:hAnsi="宋体" w:cs="Arial"/>
          <w:kern w:val="0"/>
          <w:sz w:val="22"/>
        </w:rPr>
        <w:t>（北京时间）前投递至</w:t>
      </w:r>
      <w:r>
        <w:rPr>
          <w:rFonts w:hint="eastAsia" w:ascii="宋体" w:hAnsi="宋体" w:cs="Arial"/>
          <w:kern w:val="0"/>
          <w:sz w:val="22"/>
          <w:u w:val="single"/>
        </w:rPr>
        <w:t>杭州萧山国际机场物业维修中心吴淼清收18757196572</w:t>
      </w:r>
      <w:r>
        <w:rPr>
          <w:rFonts w:hint="eastAsia" w:ascii="宋体" w:hAnsi="宋体" w:cs="Arial"/>
          <w:kern w:val="0"/>
          <w:sz w:val="22"/>
        </w:rPr>
        <w:t>，逾期无效。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 w:val="22"/>
        </w:rPr>
        <w:t>逾期送达</w:t>
      </w:r>
      <w:r>
        <w:rPr>
          <w:rFonts w:hint="eastAsia" w:ascii="宋体" w:hAnsi="宋体"/>
          <w:sz w:val="22"/>
          <w:lang w:eastAsia="zh-CN"/>
        </w:rPr>
        <w:t>、</w:t>
      </w:r>
      <w:r>
        <w:rPr>
          <w:rFonts w:hint="eastAsia" w:ascii="宋体" w:hAnsi="宋体"/>
          <w:sz w:val="22"/>
        </w:rPr>
        <w:t>未送达指定地点的</w:t>
      </w:r>
      <w:r>
        <w:rPr>
          <w:rFonts w:hint="eastAsia" w:ascii="宋体" w:hAnsi="宋体"/>
          <w:sz w:val="22"/>
          <w:lang w:val="en-US" w:eastAsia="zh-CN"/>
        </w:rPr>
        <w:t>或者</w:t>
      </w:r>
      <w:r>
        <w:rPr>
          <w:rFonts w:hint="eastAsia" w:ascii="Calibri" w:hAnsi="Calibri" w:eastAsia="宋体" w:cs="宋体"/>
          <w:kern w:val="2"/>
          <w:sz w:val="21"/>
          <w:szCs w:val="24"/>
          <w:lang w:val="en-US" w:eastAsia="zh-CN" w:bidi="ar"/>
        </w:rPr>
        <w:t>不按照招标文件要求密封的</w:t>
      </w:r>
      <w:r>
        <w:rPr>
          <w:rFonts w:hint="eastAsia" w:ascii="宋体" w:hAnsi="宋体"/>
          <w:sz w:val="22"/>
        </w:rPr>
        <w:t>投标文件，招标人不予受理。</w:t>
      </w:r>
    </w:p>
    <w:p>
      <w:pPr>
        <w:widowControl/>
        <w:numPr>
          <w:ilvl w:val="0"/>
          <w:numId w:val="1"/>
        </w:numPr>
        <w:snapToGrid w:val="0"/>
        <w:spacing w:line="340" w:lineRule="exact"/>
        <w:ind w:firstLine="442" w:firstLineChars="200"/>
        <w:jc w:val="left"/>
        <w:rPr>
          <w:rFonts w:hint="eastAsia" w:ascii="Arial" w:hAnsi="Arial" w:cs="Arial"/>
          <w:b/>
          <w:bCs/>
          <w:kern w:val="0"/>
          <w:sz w:val="22"/>
        </w:rPr>
      </w:pPr>
      <w:r>
        <w:rPr>
          <w:rFonts w:hint="eastAsia" w:ascii="Arial" w:hAnsi="Arial" w:cs="Arial"/>
          <w:b/>
          <w:bCs/>
          <w:kern w:val="0"/>
          <w:sz w:val="22"/>
        </w:rPr>
        <w:t>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杭州萧山机场有限公司</w:t>
      </w:r>
      <w:r>
        <w:rPr>
          <w:rFonts w:hint="eastAsia" w:ascii="宋体" w:hAnsi="宋体" w:cs="Arial"/>
          <w:kern w:val="0"/>
          <w:sz w:val="22"/>
        </w:rPr>
        <w:t>主页上发布</w:t>
      </w:r>
    </w:p>
    <w:p>
      <w:pPr>
        <w:widowControl/>
        <w:spacing w:line="340" w:lineRule="exact"/>
        <w:ind w:firstLine="440"/>
        <w:rPr>
          <w:rFonts w:ascii="宋体" w:hAnsi="宋体" w:cs="Arial"/>
          <w:kern w:val="0"/>
          <w:sz w:val="22"/>
        </w:rPr>
      </w:pPr>
      <w:r>
        <w:rPr>
          <w:rFonts w:ascii="宋体" w:hAnsi="宋体" w:cs="宋体"/>
          <w:sz w:val="22"/>
        </w:rPr>
        <w:t>杭州萧山国际机场有限公司主页 http://www.hzairport.com</w:t>
      </w:r>
    </w:p>
    <w:p>
      <w:pPr>
        <w:widowControl/>
        <w:numPr>
          <w:ilvl w:val="0"/>
          <w:numId w:val="1"/>
        </w:numPr>
        <w:snapToGrid w:val="0"/>
        <w:spacing w:line="340" w:lineRule="exact"/>
        <w:ind w:firstLine="442" w:firstLineChars="200"/>
        <w:jc w:val="left"/>
        <w:rPr>
          <w:rFonts w:hint="eastAsia" w:ascii="Arial" w:hAnsi="Arial" w:cs="Arial"/>
          <w:b/>
          <w:bCs/>
          <w:kern w:val="0"/>
          <w:sz w:val="22"/>
        </w:rPr>
      </w:pPr>
      <w:r>
        <w:rPr>
          <w:rFonts w:hint="eastAsia" w:ascii="Arial" w:hAnsi="Arial" w:cs="Arial"/>
          <w:b/>
          <w:bCs/>
          <w:kern w:val="0"/>
          <w:sz w:val="22"/>
        </w:rPr>
        <w:t>联系方式</w:t>
      </w:r>
    </w:p>
    <w:p>
      <w:pPr>
        <w:widowControl/>
        <w:spacing w:line="340" w:lineRule="exact"/>
        <w:ind w:firstLine="440"/>
        <w:rPr>
          <w:rFonts w:ascii="宋体" w:hAnsi="宋体" w:cs="宋体"/>
          <w:sz w:val="22"/>
        </w:rPr>
      </w:pPr>
      <w:r>
        <w:rPr>
          <w:rFonts w:hint="eastAsia" w:ascii="宋体" w:hAnsi="宋体" w:cs="宋体"/>
          <w:sz w:val="22"/>
        </w:rPr>
        <w:t>投标联系人：</w:t>
      </w:r>
      <w:r>
        <w:rPr>
          <w:rFonts w:hint="eastAsia" w:ascii="宋体" w:hAnsi="宋体" w:cs="宋体"/>
          <w:sz w:val="22"/>
          <w:lang w:val="en-US" w:eastAsia="zh-CN"/>
        </w:rPr>
        <w:t>吴淼清</w:t>
      </w:r>
      <w:r>
        <w:rPr>
          <w:rFonts w:hint="eastAsia" w:ascii="宋体" w:hAnsi="宋体" w:cs="宋体"/>
          <w:sz w:val="22"/>
        </w:rPr>
        <w:t xml:space="preserve">  联系电话：0571-86662348</w:t>
      </w:r>
    </w:p>
    <w:p>
      <w:pPr>
        <w:widowControl/>
        <w:spacing w:line="340" w:lineRule="exact"/>
        <w:ind w:firstLine="440"/>
        <w:rPr>
          <w:rFonts w:ascii="宋体" w:hAnsi="宋体" w:cs="宋体"/>
          <w:sz w:val="22"/>
        </w:rPr>
      </w:pPr>
      <w:r>
        <w:rPr>
          <w:rFonts w:hint="eastAsia" w:ascii="宋体" w:hAnsi="宋体" w:cs="宋体"/>
          <w:sz w:val="22"/>
        </w:rPr>
        <w:t>技术联系人：沈可唯  联系电话：0571-86662348</w:t>
      </w:r>
    </w:p>
    <w:p>
      <w:pPr>
        <w:widowControl/>
        <w:spacing w:line="340" w:lineRule="exact"/>
        <w:ind w:firstLine="440"/>
        <w:rPr>
          <w:rFonts w:ascii="宋体" w:hAnsi="宋体" w:cs="宋体"/>
          <w:sz w:val="22"/>
        </w:rPr>
      </w:pPr>
      <w:r>
        <w:rPr>
          <w:rFonts w:hint="eastAsia" w:ascii="宋体" w:hAnsi="宋体" w:cs="宋体"/>
          <w:sz w:val="22"/>
        </w:rPr>
        <w:t>监督联系人：闻晓丽  联系电话：0571-86662361</w:t>
      </w:r>
    </w:p>
    <w:p>
      <w:pPr>
        <w:widowControl/>
        <w:adjustRightInd w:val="0"/>
        <w:snapToGrid w:val="0"/>
        <w:spacing w:line="340" w:lineRule="exact"/>
        <w:ind w:firstLine="440" w:firstLineChars="200"/>
        <w:rPr>
          <w:rFonts w:ascii="宋体" w:hAnsi="宋体"/>
          <w:sz w:val="22"/>
        </w:rPr>
      </w:pPr>
    </w:p>
    <w:p>
      <w:pPr>
        <w:pStyle w:val="3"/>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440" w:firstLineChars="200"/>
        <w:jc w:val="left"/>
        <w:textAlignment w:val="auto"/>
        <w:outlineLvl w:val="0"/>
        <w:rPr>
          <w:rFonts w:ascii="Calibri" w:hAnsi="Calibri" w:eastAsia="黑体" w:cs="Calibri"/>
          <w:kern w:val="0"/>
          <w:sz w:val="32"/>
        </w:rPr>
      </w:pPr>
      <w:r>
        <w:rPr>
          <w:rFonts w:hint="eastAsia" w:ascii="宋体" w:hAnsi="宋体" w:eastAsia="宋体" w:cs="宋体"/>
          <w:b w:val="0"/>
          <w:bCs w:val="0"/>
          <w:kern w:val="2"/>
          <w:sz w:val="22"/>
          <w:szCs w:val="22"/>
          <w:lang w:val="en-US" w:eastAsia="zh-CN" w:bidi="ar-SA"/>
        </w:rPr>
        <w:t>受疫情影响，为避免人群聚集，保障投标人及其他相关人员生命安全和身体健康，建议投标人以投递的方式将投标（报价）文件邮寄至指定地点，特殊情况必须现场投递的，投标人代表须全程佩戴口罩并配合工作人员完成检查。（请投标人合理预留投递运输时间，投标人因自身贻误行为导致投标失败的，责任自负。）</w:t>
      </w:r>
      <w:r>
        <w:rPr>
          <w:rFonts w:ascii="宋体" w:hAnsi="宋体" w:eastAsia="宋体" w:cs="宋体"/>
          <w:b w:val="0"/>
          <w:bCs w:val="0"/>
          <w:kern w:val="2"/>
          <w:sz w:val="22"/>
          <w:szCs w:val="22"/>
          <w:lang w:val="en-US" w:eastAsia="zh-CN" w:bidi="ar-SA"/>
        </w:rPr>
        <w:br w:type="page"/>
      </w:r>
      <w:bookmarkStart w:id="24" w:name="_Toc448002983"/>
      <w:r>
        <w:rPr>
          <w:rFonts w:ascii="Calibri" w:eastAsia="黑体" w:cs="Calibri"/>
          <w:kern w:val="0"/>
          <w:sz w:val="32"/>
        </w:rPr>
        <w:t>第二章</w:t>
      </w:r>
      <w:r>
        <w:rPr>
          <w:rFonts w:ascii="Calibri" w:hAnsi="Calibri" w:eastAsia="黑体" w:cs="Calibri"/>
          <w:kern w:val="0"/>
          <w:sz w:val="32"/>
        </w:rPr>
        <w:t xml:space="preserve">  </w:t>
      </w:r>
      <w:r>
        <w:rPr>
          <w:rFonts w:ascii="Calibri" w:eastAsia="黑体" w:cs="Calibri"/>
          <w:kern w:val="0"/>
          <w:sz w:val="32"/>
        </w:rPr>
        <w:t>投标人须知</w:t>
      </w:r>
      <w:bookmarkEnd w:id="0"/>
      <w:bookmarkEnd w:id="22"/>
      <w:bookmarkEnd w:id="23"/>
      <w:bookmarkEnd w:id="24"/>
      <w:bookmarkStart w:id="25" w:name="_Toc143421654"/>
    </w:p>
    <w:p>
      <w:pPr>
        <w:pStyle w:val="21"/>
        <w:jc w:val="center"/>
        <w:rPr>
          <w:rFonts w:ascii="Calibri" w:hAnsi="Calibri" w:eastAsia="黑体" w:cs="Calibri"/>
          <w:kern w:val="2"/>
          <w:sz w:val="28"/>
          <w:szCs w:val="32"/>
        </w:rPr>
      </w:pPr>
      <w:bookmarkStart w:id="26" w:name="_Toc386359393"/>
      <w:bookmarkStart w:id="27" w:name="_Toc349007688"/>
      <w:bookmarkStart w:id="28" w:name="_Toc349011858"/>
      <w:bookmarkStart w:id="29" w:name="_Toc400369185"/>
      <w:bookmarkStart w:id="30" w:name="_Toc444174979"/>
      <w:bookmarkStart w:id="31" w:name="_Toc386363317"/>
      <w:bookmarkStart w:id="32" w:name="_Toc448002984"/>
      <w:bookmarkStart w:id="33" w:name="_Toc11881"/>
      <w:bookmarkStart w:id="34" w:name="_Toc444811409"/>
      <w:bookmarkStart w:id="35" w:name="_Toc444173459"/>
      <w:r>
        <w:rPr>
          <w:rFonts w:ascii="Calibri" w:hAnsi="Arial" w:eastAsia="黑体" w:cs="Calibri"/>
          <w:kern w:val="2"/>
          <w:sz w:val="28"/>
          <w:szCs w:val="32"/>
        </w:rPr>
        <w:t>投标人须知前附表</w:t>
      </w:r>
      <w:bookmarkEnd w:id="25"/>
      <w:bookmarkEnd w:id="26"/>
      <w:bookmarkEnd w:id="27"/>
      <w:bookmarkEnd w:id="28"/>
      <w:bookmarkEnd w:id="29"/>
      <w:bookmarkEnd w:id="30"/>
      <w:bookmarkEnd w:id="31"/>
      <w:bookmarkEnd w:id="32"/>
      <w:bookmarkEnd w:id="33"/>
      <w:bookmarkEnd w:id="34"/>
      <w:bookmarkEnd w:id="35"/>
    </w:p>
    <w:tbl>
      <w:tblPr>
        <w:tblStyle w:val="20"/>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 xml:space="preserve"> </w:t>
            </w:r>
            <w:r>
              <w:rPr>
                <w:rFonts w:hint="eastAsia" w:ascii="宋体" w:hAnsi="宋体" w:cs="Arial"/>
                <w:kern w:val="0"/>
                <w:sz w:val="22"/>
                <w:u w:val="single"/>
              </w:rPr>
              <w:t>杭州萧山国际机场航站楼地下车库进出口伸缩缝排水沟清淤项目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实施</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22"/>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见招标公告，具体要求详见第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服务技术标准及要求</w:t>
            </w:r>
            <w:r>
              <w:rPr>
                <w:rFonts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color w:val="FF0000"/>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7</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服务期</w:t>
            </w:r>
          </w:p>
        </w:tc>
        <w:tc>
          <w:tcPr>
            <w:tcW w:w="6487" w:type="dxa"/>
            <w:vAlign w:val="center"/>
          </w:tcPr>
          <w:p>
            <w:pPr>
              <w:rPr>
                <w:rFonts w:ascii="宋体" w:hAnsi="宋体"/>
                <w:color w:val="000000"/>
                <w:sz w:val="22"/>
                <w:u w:val="single"/>
              </w:rPr>
            </w:pPr>
            <w:r>
              <w:rPr>
                <w:rFonts w:hint="eastAsia" w:ascii="宋体" w:hAnsi="宋体" w:cs="Arial"/>
                <w:kern w:val="0"/>
                <w:sz w:val="22"/>
                <w:u w:val="single"/>
              </w:rPr>
              <w:t>十八个自然月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rPr>
                <w:rFonts w:ascii="宋体" w:hAnsi="宋体"/>
                <w:color w:val="000000"/>
                <w:sz w:val="22"/>
              </w:rPr>
            </w:pPr>
            <w:r>
              <w:rPr>
                <w:rFonts w:hint="eastAsia" w:ascii="宋体" w:hAnsi="宋体"/>
                <w:color w:val="000000"/>
                <w:sz w:val="22"/>
                <w:lang w:val="en-US" w:eastAsia="zh-CN"/>
              </w:rPr>
              <w:t>在服务期内，</w:t>
            </w:r>
            <w:r>
              <w:rPr>
                <w:rFonts w:hint="eastAsia" w:ascii="宋体" w:hAnsi="宋体"/>
                <w:color w:val="000000"/>
                <w:sz w:val="22"/>
              </w:rPr>
              <w:t>保证排水沟及相关集水井排水畅通，</w:t>
            </w:r>
            <w:r>
              <w:rPr>
                <w:rFonts w:hint="eastAsia" w:ascii="宋体" w:hAnsi="宋体"/>
                <w:color w:val="000000"/>
                <w:sz w:val="22"/>
                <w:lang w:val="en-US" w:eastAsia="zh-CN"/>
              </w:rPr>
              <w:t>无淤泥和垃圾堆积，</w:t>
            </w:r>
            <w:r>
              <w:rPr>
                <w:rFonts w:hint="eastAsia" w:ascii="宋体" w:hAnsi="宋体"/>
                <w:color w:val="000000"/>
                <w:sz w:val="22"/>
              </w:rPr>
              <w:t>地下车库进出口无积水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组织，踏勘时间：</w:t>
            </w:r>
            <w:r>
              <w:rPr>
                <w:rFonts w:hint="eastAsia" w:ascii="Times New Roman" w:hAnsi="Times New Roman"/>
                <w:color w:val="auto"/>
                <w:sz w:val="22"/>
                <w:highlight w:val="none"/>
                <w:lang w:val="en-US" w:eastAsia="zh-CN"/>
              </w:rPr>
              <w:t>2022</w:t>
            </w:r>
            <w:r>
              <w:rPr>
                <w:rFonts w:hint="eastAsia" w:ascii="Times New Roman" w:hAnsi="Times New Roman"/>
                <w:color w:val="FF0000"/>
                <w:sz w:val="22"/>
                <w:highlight w:val="none"/>
              </w:rPr>
              <w:t>年</w:t>
            </w:r>
            <w:r>
              <w:rPr>
                <w:rFonts w:hint="eastAsia" w:ascii="Times New Roman" w:hAnsi="Times New Roman"/>
                <w:color w:val="FF0000"/>
                <w:sz w:val="22"/>
                <w:highlight w:val="none"/>
                <w:lang w:val="en-US" w:eastAsia="zh-CN"/>
              </w:rPr>
              <w:t>9</w:t>
            </w:r>
            <w:r>
              <w:rPr>
                <w:rFonts w:hint="eastAsia" w:ascii="Times New Roman" w:hAnsi="Times New Roman"/>
                <w:color w:val="FF0000"/>
                <w:sz w:val="22"/>
                <w:highlight w:val="none"/>
              </w:rPr>
              <w:t>月</w:t>
            </w:r>
            <w:r>
              <w:rPr>
                <w:rFonts w:hint="eastAsia" w:ascii="Times New Roman" w:hAnsi="Times New Roman"/>
                <w:color w:val="FF0000"/>
                <w:sz w:val="22"/>
                <w:highlight w:val="none"/>
                <w:lang w:val="en-US" w:eastAsia="zh-CN"/>
              </w:rPr>
              <w:t>9</w:t>
            </w:r>
            <w:r>
              <w:rPr>
                <w:rFonts w:hint="eastAsia" w:ascii="Times New Roman" w:hAnsi="Times New Roman"/>
                <w:color w:val="FF0000"/>
                <w:sz w:val="22"/>
                <w:highlight w:val="none"/>
              </w:rPr>
              <w:t>日</w:t>
            </w:r>
            <w:r>
              <w:rPr>
                <w:rFonts w:hint="eastAsia" w:ascii="Times New Roman" w:hAnsi="Times New Roman"/>
                <w:color w:val="FF0000"/>
                <w:sz w:val="22"/>
                <w:highlight w:val="none"/>
                <w:lang w:val="en-US" w:eastAsia="zh-CN"/>
              </w:rPr>
              <w:t>10</w:t>
            </w:r>
            <w:r>
              <w:rPr>
                <w:rFonts w:hint="eastAsia" w:ascii="Times New Roman" w:hAnsi="Times New Roman"/>
                <w:color w:val="FF0000"/>
                <w:sz w:val="22"/>
                <w:highlight w:val="none"/>
              </w:rPr>
              <w:t>时</w:t>
            </w:r>
            <w:r>
              <w:rPr>
                <w:rFonts w:hint="eastAsia" w:ascii="Times New Roman" w:hAnsi="Times New Roman"/>
                <w:color w:val="FF0000"/>
                <w:sz w:val="22"/>
                <w:highlight w:val="none"/>
                <w:lang w:val="en-US" w:eastAsia="zh-CN"/>
              </w:rPr>
              <w:t>00</w:t>
            </w:r>
            <w:r>
              <w:rPr>
                <w:rFonts w:hint="eastAsia" w:ascii="Times New Roman" w:hAnsi="Times New Roman"/>
                <w:color w:val="FF0000"/>
                <w:sz w:val="22"/>
                <w:highlight w:val="none"/>
              </w:rPr>
              <w:t>分</w:t>
            </w:r>
            <w:r>
              <w:rPr>
                <w:rFonts w:hint="eastAsia" w:ascii="Times New Roman" w:hAnsi="Times New Roman"/>
                <w:color w:val="auto"/>
                <w:sz w:val="22"/>
                <w:highlight w:val="none"/>
              </w:rPr>
              <w:t>(北京时间)</w:t>
            </w:r>
          </w:p>
          <w:p>
            <w:pPr>
              <w:autoSpaceDE w:val="0"/>
              <w:autoSpaceDN w:val="0"/>
              <w:adjustRightInd w:val="0"/>
              <w:snapToGrid w:val="0"/>
              <w:rPr>
                <w:rFonts w:ascii="宋体" w:hAnsi="宋体" w:cs="Calibri"/>
                <w:kern w:val="0"/>
                <w:sz w:val="22"/>
              </w:rPr>
            </w:pPr>
            <w:r>
              <w:rPr>
                <w:rFonts w:ascii="宋体" w:hAnsi="宋体" w:cs="Calibri"/>
                <w:kern w:val="0"/>
                <w:sz w:val="22"/>
              </w:rPr>
              <w:t>踏勘集中地点：</w:t>
            </w:r>
            <w:r>
              <w:rPr>
                <w:rFonts w:hint="eastAsia" w:ascii="宋体" w:hAnsi="宋体" w:cs="Calibri"/>
                <w:kern w:val="0"/>
                <w:sz w:val="22"/>
                <w:u w:val="single"/>
                <w:lang w:val="en-US" w:eastAsia="zh-CN"/>
              </w:rPr>
              <w:t>杭州萧山国际机场物业维修中心</w:t>
            </w:r>
            <w:r>
              <w:rPr>
                <w:rFonts w:ascii="宋体" w:hAnsi="宋体" w:cs="Calibri"/>
                <w:kern w:val="0"/>
                <w:sz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spacing w:line="360" w:lineRule="exact"/>
              <w:ind w:firstLine="420" w:firstLineChars="200"/>
              <w:jc w:val="left"/>
              <w:rPr>
                <w:rFonts w:ascii="宋体" w:hAnsi="宋体"/>
                <w:b w:val="0"/>
                <w:bCs w:val="0"/>
                <w:snapToGrid w:val="0"/>
                <w:kern w:val="0"/>
                <w:szCs w:val="21"/>
              </w:rPr>
            </w:pPr>
            <w:r>
              <w:rPr>
                <w:rFonts w:hint="eastAsia" w:ascii="宋体" w:hAnsi="宋体"/>
                <w:b w:val="0"/>
                <w:bCs w:val="0"/>
                <w:snapToGrid w:val="0"/>
                <w:color w:val="FF0000"/>
                <w:kern w:val="0"/>
                <w:szCs w:val="21"/>
                <w:lang w:val="en-US" w:eastAsia="zh-CN"/>
              </w:rPr>
              <w:t>2022</w:t>
            </w:r>
            <w:r>
              <w:rPr>
                <w:rFonts w:hint="eastAsia" w:ascii="宋体" w:hAnsi="宋体"/>
                <w:b w:val="0"/>
                <w:bCs w:val="0"/>
                <w:snapToGrid w:val="0"/>
                <w:color w:val="FF0000"/>
                <w:kern w:val="0"/>
                <w:szCs w:val="21"/>
              </w:rPr>
              <w:t>年</w:t>
            </w:r>
            <w:r>
              <w:rPr>
                <w:rFonts w:hint="eastAsia" w:ascii="宋体" w:hAnsi="宋体"/>
                <w:b w:val="0"/>
                <w:bCs w:val="0"/>
                <w:snapToGrid w:val="0"/>
                <w:color w:val="FF0000"/>
                <w:kern w:val="0"/>
                <w:szCs w:val="21"/>
                <w:lang w:val="en-US" w:eastAsia="zh-CN"/>
              </w:rPr>
              <w:t>9</w:t>
            </w:r>
            <w:r>
              <w:rPr>
                <w:rFonts w:hint="eastAsia" w:ascii="宋体" w:hAnsi="宋体"/>
                <w:b w:val="0"/>
                <w:bCs w:val="0"/>
                <w:snapToGrid w:val="0"/>
                <w:color w:val="FF0000"/>
                <w:kern w:val="0"/>
                <w:szCs w:val="21"/>
              </w:rPr>
              <w:t>月</w:t>
            </w:r>
            <w:r>
              <w:rPr>
                <w:rFonts w:hint="eastAsia" w:ascii="宋体" w:hAnsi="宋体"/>
                <w:b w:val="0"/>
                <w:bCs w:val="0"/>
                <w:snapToGrid w:val="0"/>
                <w:color w:val="FF0000"/>
                <w:kern w:val="0"/>
                <w:szCs w:val="21"/>
                <w:lang w:val="en-US" w:eastAsia="zh-CN"/>
              </w:rPr>
              <w:t>15</w:t>
            </w:r>
            <w:r>
              <w:rPr>
                <w:rFonts w:hint="eastAsia" w:ascii="宋体" w:hAnsi="宋体"/>
                <w:b w:val="0"/>
                <w:bCs w:val="0"/>
                <w:snapToGrid w:val="0"/>
                <w:color w:val="FF0000"/>
                <w:kern w:val="0"/>
                <w:szCs w:val="21"/>
              </w:rPr>
              <w:t>日</w:t>
            </w:r>
            <w:r>
              <w:rPr>
                <w:rFonts w:hint="eastAsia" w:ascii="宋体" w:hAnsi="宋体"/>
                <w:b w:val="0"/>
                <w:bCs w:val="0"/>
                <w:snapToGrid w:val="0"/>
                <w:color w:val="FF0000"/>
                <w:kern w:val="0"/>
                <w:szCs w:val="21"/>
                <w:lang w:val="en-US" w:eastAsia="zh-CN"/>
              </w:rPr>
              <w:t>10</w:t>
            </w:r>
            <w:r>
              <w:rPr>
                <w:rFonts w:hint="eastAsia" w:ascii="宋体" w:hAnsi="宋体"/>
                <w:b w:val="0"/>
                <w:bCs w:val="0"/>
                <w:snapToGrid w:val="0"/>
                <w:color w:val="FF0000"/>
                <w:kern w:val="0"/>
                <w:szCs w:val="21"/>
              </w:rPr>
              <w:t>时</w:t>
            </w:r>
            <w:r>
              <w:rPr>
                <w:rFonts w:hint="eastAsia" w:ascii="宋体" w:hAnsi="宋体"/>
                <w:b w:val="0"/>
                <w:bCs w:val="0"/>
                <w:snapToGrid w:val="0"/>
                <w:color w:val="FF0000"/>
                <w:kern w:val="0"/>
                <w:szCs w:val="21"/>
                <w:lang w:val="en-US" w:eastAsia="zh-CN"/>
              </w:rPr>
              <w:t>00</w:t>
            </w:r>
            <w:r>
              <w:rPr>
                <w:rFonts w:hint="eastAsia" w:ascii="宋体" w:hAnsi="宋体"/>
                <w:b w:val="0"/>
                <w:bCs w:val="0"/>
                <w:snapToGrid w:val="0"/>
                <w:color w:val="FF0000"/>
                <w:kern w:val="0"/>
                <w:szCs w:val="21"/>
              </w:rPr>
              <w:t>分</w:t>
            </w:r>
            <w:r>
              <w:rPr>
                <w:rFonts w:hint="eastAsia" w:ascii="宋体" w:hAnsi="宋体"/>
                <w:b w:val="0"/>
                <w:bCs w:val="0"/>
                <w:snapToGrid w:val="0"/>
                <w:kern w:val="0"/>
                <w:szCs w:val="21"/>
              </w:rPr>
              <w:t>前</w:t>
            </w:r>
          </w:p>
          <w:p>
            <w:pPr>
              <w:spacing w:line="360" w:lineRule="exact"/>
              <w:jc w:val="left"/>
              <w:rPr>
                <w:rFonts w:ascii="宋体" w:hAnsi="宋体" w:cs="Calibri"/>
                <w:b w:val="0"/>
                <w:bCs w:val="0"/>
                <w:kern w:val="0"/>
                <w:sz w:val="22"/>
              </w:rPr>
            </w:pPr>
            <w:r>
              <w:rPr>
                <w:rFonts w:hint="eastAsia" w:ascii="Arial" w:hAnsi="Arial" w:cs="Arial"/>
                <w:b w:val="0"/>
                <w:bCs w:val="0"/>
                <w:szCs w:val="21"/>
              </w:rPr>
              <w:t>各</w:t>
            </w:r>
            <w:r>
              <w:rPr>
                <w:rFonts w:ascii="Arial" w:hAnsi="Arial" w:cs="Arial"/>
                <w:b w:val="0"/>
                <w:bCs w:val="0"/>
                <w:szCs w:val="21"/>
              </w:rPr>
              <w:t>投标人对招标文件有疑问</w:t>
            </w:r>
            <w:r>
              <w:rPr>
                <w:rFonts w:hint="eastAsia" w:ascii="Arial" w:hAnsi="Arial" w:cs="Arial"/>
                <w:b w:val="0"/>
                <w:bCs w:val="0"/>
                <w:szCs w:val="21"/>
              </w:rPr>
              <w:t>的</w:t>
            </w:r>
            <w:r>
              <w:rPr>
                <w:rFonts w:ascii="Arial" w:hAnsi="Arial" w:cs="Arial"/>
                <w:b w:val="0"/>
                <w:bCs w:val="0"/>
                <w:szCs w:val="21"/>
              </w:rPr>
              <w:t>，请在</w:t>
            </w:r>
            <w:r>
              <w:rPr>
                <w:rFonts w:hint="eastAsia" w:ascii="Arial" w:hAnsi="Arial" w:cs="Arial"/>
                <w:b w:val="0"/>
                <w:bCs w:val="0"/>
                <w:szCs w:val="21"/>
              </w:rPr>
              <w:t>上述时间</w:t>
            </w:r>
            <w:r>
              <w:rPr>
                <w:rFonts w:ascii="Arial" w:hAnsi="Arial" w:cs="Arial"/>
                <w:b w:val="0"/>
                <w:bCs w:val="0"/>
                <w:szCs w:val="21"/>
              </w:rPr>
              <w:t>前以书面形式提交</w:t>
            </w:r>
            <w:r>
              <w:rPr>
                <w:rFonts w:hint="eastAsia" w:ascii="Arial" w:hAnsi="Arial" w:cs="Arial"/>
                <w:b w:val="0"/>
                <w:bCs w:val="0"/>
                <w:szCs w:val="21"/>
              </w:rPr>
              <w:t>招标人（投标联系人：</w:t>
            </w:r>
            <w:r>
              <w:rPr>
                <w:rFonts w:hint="eastAsia" w:ascii="Arial" w:hAnsi="Arial" w:cs="Arial"/>
                <w:b w:val="0"/>
                <w:bCs w:val="0"/>
                <w:szCs w:val="21"/>
                <w:lang w:val="en-US" w:eastAsia="zh-CN"/>
              </w:rPr>
              <w:t>吴</w:t>
            </w:r>
            <w:r>
              <w:rPr>
                <w:rFonts w:hint="eastAsia" w:ascii="Arial" w:hAnsi="Arial" w:cs="Arial"/>
                <w:b w:val="0"/>
                <w:bCs w:val="0"/>
                <w:szCs w:val="21"/>
              </w:rPr>
              <w:t>工，电话：86662348；传真：0571-86661149；电子邮箱：</w:t>
            </w:r>
            <w:r>
              <w:rPr>
                <w:rFonts w:hint="eastAsia" w:ascii="Arial" w:hAnsi="Arial" w:cs="Arial"/>
                <w:b w:val="0"/>
                <w:bCs w:val="0"/>
                <w:szCs w:val="21"/>
                <w:lang w:val="en-US" w:eastAsia="zh-CN"/>
              </w:rPr>
              <w:t>wu.miao.qing@qq.com</w:t>
            </w:r>
            <w:r>
              <w:rPr>
                <w:rFonts w:hint="eastAsia" w:ascii="Arial" w:hAnsi="Arial" w:cs="Arial"/>
                <w:b w:val="0"/>
                <w:bCs w:val="0"/>
                <w:szCs w:val="21"/>
              </w:rPr>
              <w:t>）</w:t>
            </w:r>
            <w:r>
              <w:rPr>
                <w:rFonts w:hint="eastAsia" w:ascii="宋体" w:hAnsi="宋体" w:cs="Arial"/>
                <w:b w:val="0"/>
                <w:bCs w:val="0"/>
                <w:szCs w:val="21"/>
              </w:rPr>
              <w:t>投标人必须在规定时间前提出对招标文件的疑问，否则招标人有权拒绝接受和拒绝回答未在截止时间前提出的疑问。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ind w:firstLine="221" w:firstLineChars="100"/>
              <w:rPr>
                <w:rFonts w:ascii="宋体" w:hAnsi="宋体" w:cs="Calibri"/>
                <w:b w:val="0"/>
                <w:bCs w:val="0"/>
                <w:kern w:val="0"/>
                <w:sz w:val="22"/>
              </w:rPr>
            </w:pPr>
            <w:r>
              <w:rPr>
                <w:rFonts w:hint="eastAsia" w:ascii="宋体" w:hAnsi="宋体" w:cs="Arial"/>
                <w:color w:val="FF0000"/>
                <w:kern w:val="0"/>
                <w:sz w:val="22"/>
                <w:lang w:val="en-US" w:eastAsia="zh-CN"/>
              </w:rPr>
              <w:t>2022</w:t>
            </w:r>
            <w:r>
              <w:rPr>
                <w:rFonts w:hint="eastAsia" w:ascii="宋体" w:hAnsi="宋体" w:cs="Arial"/>
                <w:color w:val="FF0000"/>
                <w:kern w:val="0"/>
                <w:sz w:val="22"/>
              </w:rPr>
              <w:t>年</w:t>
            </w:r>
            <w:r>
              <w:rPr>
                <w:rFonts w:hint="eastAsia" w:ascii="宋体" w:hAnsi="宋体" w:cs="Arial"/>
                <w:color w:val="FF0000"/>
                <w:kern w:val="0"/>
                <w:sz w:val="22"/>
                <w:lang w:val="en-US" w:eastAsia="zh-CN"/>
              </w:rPr>
              <w:t>9</w:t>
            </w:r>
            <w:r>
              <w:rPr>
                <w:rFonts w:hint="eastAsia" w:ascii="宋体" w:hAnsi="宋体" w:cs="Arial"/>
                <w:color w:val="FF0000"/>
                <w:kern w:val="0"/>
                <w:sz w:val="22"/>
              </w:rPr>
              <w:t>月</w:t>
            </w:r>
            <w:r>
              <w:rPr>
                <w:rFonts w:hint="eastAsia" w:ascii="宋体" w:hAnsi="宋体" w:cs="Arial"/>
                <w:color w:val="FF0000"/>
                <w:kern w:val="0"/>
                <w:sz w:val="22"/>
                <w:lang w:val="en-US" w:eastAsia="zh-CN"/>
              </w:rPr>
              <w:t>19</w:t>
            </w:r>
            <w:r>
              <w:rPr>
                <w:rFonts w:hint="eastAsia" w:ascii="宋体" w:hAnsi="宋体" w:cs="Arial"/>
                <w:color w:val="FF0000"/>
                <w:kern w:val="0"/>
                <w:sz w:val="22"/>
              </w:rPr>
              <w:t>日</w:t>
            </w:r>
            <w:r>
              <w:rPr>
                <w:rFonts w:hint="eastAsia" w:ascii="宋体" w:hAnsi="宋体" w:cs="Arial"/>
                <w:color w:val="FF0000"/>
                <w:kern w:val="0"/>
                <w:sz w:val="22"/>
                <w:lang w:val="en-US" w:eastAsia="zh-CN"/>
              </w:rPr>
              <w:t>9</w:t>
            </w:r>
            <w:r>
              <w:rPr>
                <w:rFonts w:hint="eastAsia" w:ascii="宋体" w:hAnsi="宋体" w:cs="Arial"/>
                <w:color w:val="FF0000"/>
                <w:kern w:val="0"/>
                <w:sz w:val="22"/>
              </w:rPr>
              <w:t>时</w:t>
            </w:r>
            <w:r>
              <w:rPr>
                <w:rFonts w:hint="eastAsia" w:ascii="宋体" w:hAnsi="宋体" w:cs="Arial"/>
                <w:color w:val="FF0000"/>
                <w:kern w:val="0"/>
                <w:sz w:val="22"/>
                <w:lang w:val="en-US" w:eastAsia="zh-CN"/>
              </w:rPr>
              <w:t>30</w:t>
            </w:r>
            <w:r>
              <w:rPr>
                <w:rFonts w:hint="eastAsia" w:ascii="宋体" w:hAnsi="宋体" w:cs="Arial"/>
                <w:color w:val="FF0000"/>
                <w:kern w:val="0"/>
                <w:sz w:val="22"/>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36" w:name="_Toc236586447"/>
            <w:bookmarkStart w:id="37" w:name="_Toc22617528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6"/>
            <w:bookmarkEnd w:id="3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w:t>
            </w:r>
            <w:r>
              <w:rPr>
                <w:rFonts w:ascii="宋体" w:hAnsi="宋体" w:cs="Calibri"/>
                <w:kern w:val="0"/>
                <w:sz w:val="22"/>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投标文件副本份数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Arial"/>
                <w:kern w:val="0"/>
                <w:sz w:val="22"/>
              </w:rPr>
              <w:t>杭州萧山国际机场航站楼地下车库进出口伸缩缝排水沟清淤项目</w:t>
            </w:r>
            <w:r>
              <w:rPr>
                <w:rFonts w:hint="eastAsia" w:ascii="宋体" w:hAnsi="宋体" w:cs="宋体"/>
                <w:sz w:val="22"/>
              </w:rPr>
              <w:t>投标文件</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hint="eastAsia" w:ascii="宋体" w:hAnsi="宋体" w:cs="Calibri"/>
                <w:color w:val="FF0000"/>
                <w:kern w:val="0"/>
                <w:sz w:val="22"/>
                <w:u w:val="single"/>
                <w:lang w:val="en-US" w:eastAsia="zh-CN"/>
              </w:rPr>
              <w:t>2022</w:t>
            </w:r>
            <w:r>
              <w:rPr>
                <w:rFonts w:ascii="宋体" w:hAnsi="宋体" w:cs="Calibri"/>
                <w:color w:val="FF0000"/>
                <w:kern w:val="0"/>
                <w:sz w:val="22"/>
              </w:rPr>
              <w:t>年</w:t>
            </w:r>
            <w:r>
              <w:rPr>
                <w:rFonts w:hint="eastAsia" w:ascii="宋体" w:hAnsi="宋体" w:cs="Calibri"/>
                <w:color w:val="FF0000"/>
                <w:kern w:val="0"/>
                <w:sz w:val="22"/>
                <w:u w:val="single"/>
                <w:lang w:val="en-US" w:eastAsia="zh-CN"/>
              </w:rPr>
              <w:t>9</w:t>
            </w:r>
            <w:r>
              <w:rPr>
                <w:rFonts w:ascii="宋体" w:hAnsi="宋体" w:cs="Calibri"/>
                <w:color w:val="FF0000"/>
                <w:kern w:val="0"/>
                <w:sz w:val="22"/>
              </w:rPr>
              <w:t>月</w:t>
            </w:r>
            <w:r>
              <w:rPr>
                <w:rFonts w:ascii="宋体" w:hAnsi="宋体" w:cs="Calibri"/>
                <w:color w:val="FF0000"/>
                <w:kern w:val="0"/>
                <w:sz w:val="22"/>
                <w:u w:val="single"/>
              </w:rPr>
              <w:t xml:space="preserve"> </w:t>
            </w:r>
            <w:r>
              <w:rPr>
                <w:rFonts w:hint="eastAsia" w:ascii="宋体" w:hAnsi="宋体" w:cs="Calibri"/>
                <w:color w:val="FF0000"/>
                <w:kern w:val="0"/>
                <w:sz w:val="22"/>
                <w:u w:val="single"/>
                <w:lang w:val="en-US" w:eastAsia="zh-CN"/>
              </w:rPr>
              <w:t>19</w:t>
            </w:r>
            <w:r>
              <w:rPr>
                <w:rFonts w:hint="eastAsia" w:ascii="宋体" w:hAnsi="宋体" w:cs="Calibri"/>
                <w:color w:val="FF0000"/>
                <w:kern w:val="0"/>
                <w:sz w:val="22"/>
                <w:u w:val="single"/>
              </w:rPr>
              <w:t xml:space="preserve"> </w:t>
            </w:r>
            <w:r>
              <w:rPr>
                <w:rFonts w:ascii="宋体" w:hAnsi="宋体" w:cs="Calibri"/>
                <w:color w:val="FF0000"/>
                <w:kern w:val="0"/>
                <w:sz w:val="22"/>
              </w:rPr>
              <w:t>日</w:t>
            </w:r>
            <w:r>
              <w:rPr>
                <w:rFonts w:ascii="宋体" w:hAnsi="宋体" w:cs="Calibri"/>
                <w:color w:val="FF0000"/>
                <w:kern w:val="0"/>
                <w:sz w:val="22"/>
                <w:u w:val="single"/>
              </w:rPr>
              <w:t xml:space="preserve"> </w:t>
            </w:r>
            <w:r>
              <w:rPr>
                <w:rFonts w:hint="eastAsia" w:ascii="宋体" w:hAnsi="宋体" w:cs="Calibri"/>
                <w:color w:val="FF0000"/>
                <w:kern w:val="0"/>
                <w:sz w:val="22"/>
                <w:u w:val="single"/>
                <w:lang w:val="en-US" w:eastAsia="zh-CN"/>
              </w:rPr>
              <w:t>9</w:t>
            </w:r>
            <w:r>
              <w:rPr>
                <w:rFonts w:hint="eastAsia" w:ascii="宋体" w:hAnsi="宋体" w:cs="Calibri"/>
                <w:color w:val="FF0000"/>
                <w:kern w:val="0"/>
                <w:sz w:val="22"/>
                <w:u w:val="single"/>
              </w:rPr>
              <w:t xml:space="preserve"> </w:t>
            </w:r>
            <w:r>
              <w:rPr>
                <w:rFonts w:ascii="宋体" w:hAnsi="宋体" w:cs="Calibri"/>
                <w:color w:val="FF0000"/>
                <w:kern w:val="0"/>
                <w:sz w:val="22"/>
              </w:rPr>
              <w:t>时</w:t>
            </w:r>
            <w:r>
              <w:rPr>
                <w:rFonts w:ascii="宋体" w:hAnsi="宋体" w:cs="Calibri"/>
                <w:color w:val="FF0000"/>
                <w:kern w:val="0"/>
                <w:sz w:val="22"/>
                <w:u w:val="single"/>
              </w:rPr>
              <w:t xml:space="preserve"> </w:t>
            </w:r>
            <w:r>
              <w:rPr>
                <w:rFonts w:hint="eastAsia" w:ascii="宋体" w:hAnsi="宋体" w:cs="Calibri"/>
                <w:color w:val="FF0000"/>
                <w:kern w:val="0"/>
                <w:sz w:val="22"/>
                <w:u w:val="single"/>
                <w:lang w:val="en-US" w:eastAsia="zh-CN"/>
              </w:rPr>
              <w:t>30</w:t>
            </w:r>
            <w:bookmarkStart w:id="122" w:name="_GoBack"/>
            <w:bookmarkEnd w:id="122"/>
            <w:r>
              <w:rPr>
                <w:rFonts w:hint="eastAsia" w:ascii="宋体" w:hAnsi="宋体" w:cs="Calibri"/>
                <w:color w:val="FF0000"/>
                <w:kern w:val="0"/>
                <w:sz w:val="22"/>
                <w:u w:val="single"/>
              </w:rPr>
              <w:t xml:space="preserve"> </w:t>
            </w:r>
            <w:r>
              <w:rPr>
                <w:rFonts w:ascii="宋体" w:hAnsi="宋体" w:cs="Calibri"/>
                <w:color w:val="FF0000"/>
                <w:kern w:val="0"/>
                <w:sz w:val="22"/>
              </w:rPr>
              <w:t>分</w:t>
            </w:r>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Arial"/>
                <w:kern w:val="0"/>
                <w:sz w:val="22"/>
              </w:rPr>
              <w:t>杭州萧山国际机场物业维修中心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1</w:t>
            </w:r>
            <w:r>
              <w:rPr>
                <w:rFonts w:ascii="宋体" w:hAnsi="宋体" w:cs="Calibri"/>
                <w:kern w:val="0"/>
                <w:sz w:val="22"/>
              </w:rPr>
              <w:t>）密封情况检查：由投标人或者其集体推选的代表检查投标文件的密封情况。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2</w:t>
            </w:r>
            <w:r>
              <w:rPr>
                <w:rFonts w:ascii="宋体" w:hAnsi="宋体"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spacing w:line="360" w:lineRule="exact"/>
              <w:jc w:val="left"/>
              <w:rPr>
                <w:rFonts w:ascii="宋体" w:hAnsi="宋体"/>
                <w:snapToGrid w:val="0"/>
                <w:kern w:val="0"/>
                <w:szCs w:val="21"/>
              </w:rPr>
            </w:pPr>
            <w:r>
              <w:rPr>
                <w:rFonts w:hint="eastAsia" w:ascii="宋体" w:hAnsi="宋体"/>
                <w:snapToGrid w:val="0"/>
                <w:kern w:val="0"/>
                <w:szCs w:val="21"/>
              </w:rPr>
              <w:t>评标委员会构成：</w:t>
            </w:r>
            <w:r>
              <w:rPr>
                <w:rFonts w:hint="eastAsia" w:ascii="宋体" w:hAnsi="宋体"/>
                <w:snapToGrid w:val="0"/>
                <w:kern w:val="0"/>
                <w:szCs w:val="21"/>
                <w:u w:val="single"/>
              </w:rPr>
              <w:t>3</w:t>
            </w:r>
            <w:r>
              <w:rPr>
                <w:rFonts w:hint="eastAsia" w:ascii="宋体" w:hAnsi="宋体"/>
                <w:snapToGrid w:val="0"/>
                <w:kern w:val="0"/>
                <w:szCs w:val="21"/>
              </w:rPr>
              <w:t>人，</w:t>
            </w:r>
            <w:r>
              <w:rPr>
                <w:rFonts w:ascii="宋体" w:hAnsi="宋体"/>
                <w:snapToGrid w:val="0"/>
                <w:kern w:val="0"/>
                <w:szCs w:val="21"/>
              </w:rPr>
              <w:t xml:space="preserve"> </w:t>
            </w:r>
          </w:p>
          <w:p>
            <w:pPr>
              <w:autoSpaceDE w:val="0"/>
              <w:autoSpaceDN w:val="0"/>
              <w:adjustRightInd w:val="0"/>
              <w:snapToGrid w:val="0"/>
              <w:jc w:val="left"/>
              <w:rPr>
                <w:rFonts w:ascii="宋体" w:hAnsi="宋体"/>
                <w:sz w:val="22"/>
              </w:rPr>
            </w:pPr>
            <w:r>
              <w:rPr>
                <w:rFonts w:hint="eastAsia" w:ascii="宋体" w:hAnsi="宋体"/>
                <w:snapToGrid w:val="0"/>
                <w:kern w:val="0"/>
                <w:szCs w:val="21"/>
              </w:rPr>
              <w:t>评标专家确定方式：由招标人自行组建。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w:t>
            </w:r>
            <w:r>
              <w:rPr>
                <w:rFonts w:hint="eastAsia" w:ascii="宋体" w:hAnsi="宋体" w:cs="Calibri"/>
                <w:kern w:val="0"/>
                <w:sz w:val="22"/>
              </w:rPr>
              <w:t>1</w:t>
            </w:r>
            <w:r>
              <w:rPr>
                <w:rFonts w:ascii="宋体" w:hAnsi="宋体" w:cs="Calibri"/>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履约担保</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napToGrid w:val="0"/>
                <w:kern w:val="0"/>
                <w:szCs w:val="21"/>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r>
              <w:rPr>
                <w:rFonts w:hint="eastAsia" w:ascii="宋体" w:hAnsi="宋体" w:cs="Calibri"/>
                <w:kern w:val="0"/>
                <w:sz w:val="22"/>
              </w:rPr>
              <w:t>2</w:t>
            </w:r>
          </w:p>
        </w:tc>
        <w:tc>
          <w:tcPr>
            <w:tcW w:w="2004" w:type="dxa"/>
            <w:vAlign w:val="center"/>
          </w:tcPr>
          <w:p>
            <w:pPr>
              <w:pStyle w:val="14"/>
              <w:adjustRightInd w:val="0"/>
              <w:snapToGrid w:val="0"/>
              <w:spacing w:line="240" w:lineRule="auto"/>
              <w:jc w:val="center"/>
              <w:rPr>
                <w:rFonts w:ascii="宋体" w:hAnsi="宋体" w:cs="Calibri"/>
                <w:color w:val="auto"/>
                <w:sz w:val="22"/>
                <w:szCs w:val="22"/>
              </w:rPr>
            </w:pPr>
            <w:r>
              <w:rPr>
                <w:rFonts w:ascii="宋体" w:hAnsi="宋体" w:cs="Calibri"/>
                <w:color w:val="auto"/>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vAlign w:val="center"/>
          </w:tcPr>
          <w:p>
            <w:pPr>
              <w:pStyle w:val="14"/>
              <w:spacing w:line="240" w:lineRule="auto"/>
              <w:jc w:val="center"/>
              <w:rPr>
                <w:rFonts w:ascii="宋体" w:hAnsi="宋体" w:cs="Calibri"/>
                <w:snapToGrid/>
                <w:color w:val="auto"/>
                <w:sz w:val="22"/>
                <w:szCs w:val="22"/>
              </w:rPr>
            </w:pPr>
            <w:r>
              <w:rPr>
                <w:rFonts w:hint="eastAsia" w:ascii="宋体" w:hAnsi="宋体" w:cs="Calibri"/>
                <w:snapToGrid/>
                <w:color w:val="auto"/>
                <w:sz w:val="22"/>
                <w:szCs w:val="22"/>
              </w:rPr>
              <w:t>备注</w:t>
            </w:r>
          </w:p>
        </w:tc>
        <w:tc>
          <w:tcPr>
            <w:tcW w:w="6487" w:type="dxa"/>
            <w:shd w:val="clear" w:color="auto" w:fill="FFFFFF"/>
            <w:vAlign w:val="center"/>
          </w:tcPr>
          <w:p>
            <w:pPr>
              <w:adjustRightInd w:val="0"/>
              <w:snapToGrid w:val="0"/>
              <w:rPr>
                <w:rFonts w:ascii="宋体" w:hAnsi="宋体" w:cs="Calibri"/>
                <w:kern w:val="0"/>
                <w:sz w:val="22"/>
              </w:rPr>
            </w:pPr>
            <w:r>
              <w:rPr>
                <w:rFonts w:ascii="宋体" w:hAnsi="宋体" w:cs="Calibri"/>
                <w:kern w:val="0"/>
                <w:sz w:val="22"/>
              </w:rPr>
              <w:t>本前附表内容与招标文件其他内容不一致之处，以本前附表为准。</w:t>
            </w:r>
          </w:p>
        </w:tc>
      </w:tr>
      <w:bookmarkEnd w:id="1"/>
      <w:bookmarkEnd w:id="2"/>
    </w:tbl>
    <w:p>
      <w:pPr>
        <w:autoSpaceDE w:val="0"/>
        <w:autoSpaceDN w:val="0"/>
        <w:adjustRightInd w:val="0"/>
        <w:spacing w:line="360" w:lineRule="exact"/>
        <w:ind w:firstLine="422" w:firstLineChars="200"/>
        <w:rPr>
          <w:rFonts w:eastAsia="黑体" w:cs="Calibri"/>
          <w:b/>
          <w:bCs/>
          <w:kern w:val="0"/>
          <w:szCs w:val="21"/>
        </w:rPr>
      </w:pPr>
      <w:bookmarkStart w:id="38" w:name="_Toc11067"/>
      <w:bookmarkStart w:id="39" w:name="_Toc143421656"/>
    </w:p>
    <w:p>
      <w:pPr>
        <w:autoSpaceDE w:val="0"/>
        <w:autoSpaceDN w:val="0"/>
        <w:adjustRightInd w:val="0"/>
        <w:snapToGrid w:val="0"/>
        <w:spacing w:line="360" w:lineRule="exact"/>
        <w:rPr>
          <w:rFonts w:ascii="宋体" w:hAnsi="宋体" w:cs="Calibri"/>
          <w:b/>
          <w:bCs/>
          <w:kern w:val="0"/>
          <w:sz w:val="22"/>
        </w:rPr>
      </w:pPr>
      <w:r>
        <w:rPr>
          <w:rFonts w:eastAsia="黑体" w:cs="Calibri"/>
          <w:b/>
          <w:bCs/>
          <w:kern w:val="0"/>
          <w:szCs w:val="21"/>
        </w:rPr>
        <w:br w:type="page"/>
      </w:r>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bookmarkEnd w:id="38"/>
      <w:bookmarkEnd w:id="39"/>
    </w:p>
    <w:p>
      <w:pPr>
        <w:autoSpaceDE w:val="0"/>
        <w:autoSpaceDN w:val="0"/>
        <w:adjustRightInd w:val="0"/>
        <w:snapToGrid w:val="0"/>
        <w:spacing w:line="360" w:lineRule="exact"/>
        <w:rPr>
          <w:rFonts w:ascii="宋体" w:hAnsi="宋体" w:cs="Calibri"/>
          <w:b/>
          <w:bCs/>
          <w:kern w:val="0"/>
          <w:sz w:val="22"/>
        </w:rPr>
      </w:pPr>
      <w:bookmarkStart w:id="40" w:name="_Toc26216"/>
      <w:r>
        <w:rPr>
          <w:rFonts w:ascii="宋体" w:hAnsi="宋体" w:cs="Calibri"/>
          <w:b/>
          <w:bCs/>
          <w:kern w:val="0"/>
          <w:sz w:val="22"/>
        </w:rPr>
        <w:t>1.1 项目</w:t>
      </w:r>
      <w:bookmarkEnd w:id="40"/>
      <w:r>
        <w:rPr>
          <w:rFonts w:ascii="宋体" w:hAnsi="宋体" w:cs="Calibri"/>
          <w:b/>
          <w:bCs/>
          <w:kern w:val="0"/>
          <w:sz w:val="22"/>
        </w:rPr>
        <w:t>概况</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kern w:val="0"/>
          <w:sz w:val="22"/>
        </w:rPr>
        <w:t>1.1.2项目</w:t>
      </w:r>
      <w:r>
        <w:rPr>
          <w:rFonts w:hint="eastAsia" w:ascii="宋体" w:hAnsi="宋体" w:cs="Calibri"/>
          <w:color w:val="000000"/>
          <w:kern w:val="0"/>
          <w:sz w:val="22"/>
        </w:rPr>
        <w:t>实施</w:t>
      </w:r>
      <w:r>
        <w:rPr>
          <w:rFonts w:ascii="宋体" w:hAnsi="宋体" w:cs="Calibri"/>
          <w:color w:val="000000"/>
          <w:kern w:val="0"/>
          <w:sz w:val="22"/>
        </w:rPr>
        <w:t>地点见投标人须知前附表</w:t>
      </w:r>
      <w:r>
        <w:rPr>
          <w:rFonts w:ascii="宋体" w:hAnsi="宋体" w:cs="Calibri"/>
          <w:color w:val="000000"/>
          <w:sz w:val="22"/>
        </w:rPr>
        <w:t>。</w:t>
      </w:r>
    </w:p>
    <w:p>
      <w:pPr>
        <w:autoSpaceDE w:val="0"/>
        <w:autoSpaceDN w:val="0"/>
        <w:adjustRightInd w:val="0"/>
        <w:snapToGrid w:val="0"/>
        <w:spacing w:line="360" w:lineRule="exact"/>
        <w:rPr>
          <w:rFonts w:ascii="宋体" w:hAnsi="宋体" w:cs="Calibri"/>
          <w:b/>
          <w:bCs/>
          <w:kern w:val="0"/>
          <w:sz w:val="22"/>
        </w:rPr>
      </w:pPr>
      <w:bookmarkStart w:id="41"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41"/>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2"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42"/>
      <w:r>
        <w:rPr>
          <w:rFonts w:hint="eastAsia" w:ascii="宋体" w:hAnsi="宋体" w:cs="Calibri"/>
          <w:b/>
          <w:bCs/>
          <w:kern w:val="0"/>
          <w:sz w:val="22"/>
        </w:rPr>
        <w:t>内容</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3"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43"/>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4"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44"/>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5"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45"/>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6"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w:t>
      </w:r>
      <w:r>
        <w:rPr>
          <w:rFonts w:hint="eastAsia" w:ascii="宋体" w:hAnsi="宋体" w:cs="Calibri"/>
          <w:b/>
          <w:bCs/>
          <w:kern w:val="0"/>
          <w:sz w:val="22"/>
        </w:rPr>
        <w:t>服务</w:t>
      </w:r>
      <w:r>
        <w:rPr>
          <w:rFonts w:ascii="宋体" w:hAnsi="宋体" w:cs="Calibri"/>
          <w:b/>
          <w:bCs/>
          <w:kern w:val="0"/>
          <w:sz w:val="22"/>
        </w:rPr>
        <w:t>期</w:t>
      </w:r>
      <w:bookmarkEnd w:id="46"/>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firstLineChars="200"/>
        <w:rPr>
          <w:rFonts w:ascii="宋体" w:hAnsi="宋体" w:cs="Calibri"/>
          <w:color w:val="000000"/>
          <w:sz w:val="22"/>
        </w:rPr>
      </w:pPr>
      <w:bookmarkStart w:id="47" w:name="_Toc13907"/>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47"/>
    </w:p>
    <w:p>
      <w:pPr>
        <w:adjustRightInd w:val="0"/>
        <w:snapToGrid w:val="0"/>
        <w:spacing w:line="360" w:lineRule="exact"/>
        <w:ind w:firstLine="440" w:firstLineChars="20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48"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48"/>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9"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49"/>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本项目</w:t>
      </w:r>
      <w:r>
        <w:rPr>
          <w:rFonts w:hint="eastAsia" w:ascii="宋体" w:hAnsi="宋体" w:cs="Calibri"/>
          <w:color w:val="000000"/>
          <w:sz w:val="22"/>
        </w:rPr>
        <w:t>涉及到其它专业的部分分项工作</w:t>
      </w:r>
      <w:r>
        <w:rPr>
          <w:rFonts w:ascii="宋体" w:hAnsi="宋体" w:cs="Calibri"/>
          <w:color w:val="000000"/>
          <w:sz w:val="22"/>
        </w:rPr>
        <w:t>允许分包。</w:t>
      </w:r>
    </w:p>
    <w:p>
      <w:pPr>
        <w:autoSpaceDE w:val="0"/>
        <w:autoSpaceDN w:val="0"/>
        <w:adjustRightInd w:val="0"/>
        <w:snapToGrid w:val="0"/>
        <w:spacing w:line="360" w:lineRule="exact"/>
        <w:rPr>
          <w:rFonts w:ascii="宋体" w:hAnsi="宋体" w:cs="Calibri"/>
          <w:b/>
          <w:bCs/>
          <w:kern w:val="0"/>
          <w:sz w:val="22"/>
        </w:rPr>
      </w:pPr>
      <w:bookmarkStart w:id="50"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50"/>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51" w:name="_Toc143421657"/>
      <w:bookmarkStart w:id="52" w:name="_Toc15241"/>
      <w:r>
        <w:rPr>
          <w:rFonts w:ascii="宋体" w:hAnsi="宋体" w:cs="Calibri"/>
          <w:b/>
          <w:bCs/>
          <w:kern w:val="0"/>
          <w:sz w:val="22"/>
        </w:rPr>
        <w:t>2.招标文件</w:t>
      </w:r>
      <w:bookmarkEnd w:id="51"/>
      <w:bookmarkEnd w:id="52"/>
    </w:p>
    <w:p>
      <w:pPr>
        <w:autoSpaceDE w:val="0"/>
        <w:autoSpaceDN w:val="0"/>
        <w:adjustRightInd w:val="0"/>
        <w:snapToGrid w:val="0"/>
        <w:spacing w:line="360" w:lineRule="exact"/>
        <w:rPr>
          <w:rFonts w:ascii="宋体" w:hAnsi="宋体" w:cs="Calibri"/>
          <w:b/>
          <w:bCs/>
          <w:kern w:val="0"/>
          <w:sz w:val="22"/>
        </w:rPr>
      </w:pPr>
      <w:bookmarkStart w:id="53" w:name="_Toc1426"/>
      <w:r>
        <w:rPr>
          <w:rFonts w:ascii="宋体" w:hAnsi="宋体" w:cs="Calibri"/>
          <w:b/>
          <w:bCs/>
          <w:kern w:val="0"/>
          <w:sz w:val="22"/>
        </w:rPr>
        <w:t>2.1 招标文件的组成</w:t>
      </w:r>
      <w:bookmarkEnd w:id="53"/>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本招标文件包括：</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（1）招标公告</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（2）投标人须知</w:t>
      </w:r>
    </w:p>
    <w:p>
      <w:pPr>
        <w:adjustRightInd w:val="0"/>
        <w:snapToGrid w:val="0"/>
        <w:spacing w:line="360" w:lineRule="exact"/>
        <w:ind w:firstLine="440" w:firstLineChars="200"/>
        <w:rPr>
          <w:rFonts w:ascii="宋体" w:hAnsi="宋体" w:cs="Calibri"/>
          <w:kern w:val="0"/>
          <w:sz w:val="22"/>
        </w:rPr>
      </w:pPr>
      <w:r>
        <w:rPr>
          <w:rFonts w:ascii="宋体" w:hAnsi="宋体" w:cs="Calibri"/>
          <w:color w:val="000000"/>
          <w:kern w:val="0"/>
          <w:sz w:val="22"/>
        </w:rPr>
        <w:t>（3）</w:t>
      </w:r>
      <w:r>
        <w:rPr>
          <w:rFonts w:hint="eastAsia" w:ascii="宋体" w:hAnsi="宋体" w:cs="Calibri"/>
          <w:kern w:val="0"/>
          <w:sz w:val="22"/>
        </w:rPr>
        <w:t>服务技术标准及要求</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w:t>
      </w:r>
      <w:r>
        <w:rPr>
          <w:rFonts w:hint="eastAsia" w:ascii="宋体" w:hAnsi="宋体" w:cs="Calibri"/>
          <w:color w:val="000000"/>
          <w:kern w:val="0"/>
          <w:sz w:val="22"/>
        </w:rPr>
        <w:t>4</w:t>
      </w:r>
      <w:r>
        <w:rPr>
          <w:rFonts w:ascii="宋体" w:hAnsi="宋体" w:cs="Calibri"/>
          <w:color w:val="000000"/>
          <w:kern w:val="0"/>
          <w:sz w:val="22"/>
        </w:rPr>
        <w:t>）合同条款</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w:t>
      </w:r>
      <w:r>
        <w:rPr>
          <w:rFonts w:hint="eastAsia" w:ascii="宋体" w:hAnsi="宋体" w:cs="Calibri"/>
          <w:color w:val="000000"/>
          <w:kern w:val="0"/>
          <w:sz w:val="22"/>
        </w:rPr>
        <w:t>5</w:t>
      </w:r>
      <w:r>
        <w:rPr>
          <w:rFonts w:ascii="宋体" w:hAnsi="宋体" w:cs="Calibri"/>
          <w:color w:val="000000"/>
          <w:kern w:val="0"/>
          <w:sz w:val="22"/>
        </w:rPr>
        <w:t>）评标办法及标准</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w:t>
      </w:r>
      <w:r>
        <w:rPr>
          <w:rFonts w:hint="eastAsia" w:ascii="宋体" w:hAnsi="宋体" w:cs="Calibri"/>
          <w:color w:val="000000"/>
          <w:kern w:val="0"/>
          <w:sz w:val="22"/>
        </w:rPr>
        <w:t>6</w:t>
      </w:r>
      <w:r>
        <w:rPr>
          <w:rFonts w:ascii="宋体" w:hAnsi="宋体" w:cs="Calibri"/>
          <w:color w:val="000000"/>
          <w:kern w:val="0"/>
          <w:sz w:val="22"/>
        </w:rPr>
        <w:t>）投标文件格式</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54" w:name="_Toc18230"/>
      <w:r>
        <w:rPr>
          <w:rFonts w:ascii="宋体" w:hAnsi="宋体" w:cs="Calibri"/>
          <w:b/>
          <w:bCs/>
          <w:kern w:val="0"/>
          <w:sz w:val="22"/>
        </w:rPr>
        <w:t>2.2 招标文件的澄清</w:t>
      </w:r>
      <w:bookmarkEnd w:id="54"/>
    </w:p>
    <w:p>
      <w:pPr>
        <w:adjustRightInd w:val="0"/>
        <w:snapToGrid w:val="0"/>
        <w:spacing w:line="360" w:lineRule="exact"/>
        <w:ind w:firstLine="440"/>
        <w:rPr>
          <w:rFonts w:ascii="宋体" w:hAnsi="宋体" w:cs="Calibri"/>
          <w:color w:val="000000"/>
          <w:sz w:val="22"/>
        </w:rPr>
      </w:pPr>
      <w:bookmarkStart w:id="55" w:name="_Toc18303"/>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kern w:val="0"/>
          <w:sz w:val="22"/>
        </w:rPr>
      </w:pPr>
      <w:r>
        <w:rPr>
          <w:rFonts w:ascii="宋体" w:hAnsi="宋体" w:cs="Calibri"/>
          <w:color w:val="000000"/>
          <w:sz w:val="22"/>
        </w:rPr>
        <w:t>2.2.</w:t>
      </w:r>
      <w:r>
        <w:rPr>
          <w:rFonts w:hint="eastAsia" w:ascii="宋体" w:hAnsi="宋体" w:cs="Calibri"/>
          <w:color w:val="000000"/>
          <w:sz w:val="22"/>
        </w:rPr>
        <w:t>3</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2.3 招标文件的修改</w:t>
      </w:r>
      <w:bookmarkEnd w:id="55"/>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2.3.2</w:t>
      </w:r>
      <w:r>
        <w:rPr>
          <w:rFonts w:hint="eastAsia" w:ascii="宋体" w:hAnsi="宋体" w:cs="Calibri"/>
          <w:color w:val="000000"/>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56" w:name="_Toc18870"/>
      <w:bookmarkStart w:id="57" w:name="_Toc143421658"/>
      <w:r>
        <w:rPr>
          <w:rFonts w:ascii="宋体" w:hAnsi="宋体" w:cs="Calibri"/>
          <w:b/>
          <w:bCs/>
          <w:kern w:val="0"/>
          <w:sz w:val="22"/>
        </w:rPr>
        <w:t>3.投标文件</w:t>
      </w:r>
      <w:bookmarkEnd w:id="56"/>
      <w:bookmarkEnd w:id="57"/>
    </w:p>
    <w:p>
      <w:pPr>
        <w:autoSpaceDE w:val="0"/>
        <w:autoSpaceDN w:val="0"/>
        <w:adjustRightInd w:val="0"/>
        <w:snapToGrid w:val="0"/>
        <w:spacing w:line="360" w:lineRule="exact"/>
        <w:rPr>
          <w:rFonts w:ascii="宋体" w:hAnsi="宋体" w:cs="Calibri"/>
          <w:b/>
          <w:bCs/>
          <w:kern w:val="0"/>
          <w:sz w:val="22"/>
        </w:rPr>
      </w:pPr>
      <w:bookmarkStart w:id="58" w:name="_Toc461"/>
      <w:r>
        <w:rPr>
          <w:rFonts w:ascii="宋体" w:hAnsi="宋体" w:cs="Calibri"/>
          <w:b/>
          <w:bCs/>
          <w:kern w:val="0"/>
          <w:sz w:val="22"/>
        </w:rPr>
        <w:t>3.1 投标文件的语言和计量单位</w:t>
      </w:r>
      <w:bookmarkEnd w:id="58"/>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sz w:val="22"/>
        </w:rPr>
        <w:t>3.1.1投标文件与投标有关的所有文件均应使用中文。</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3.1.3招标文件中的“天”除特别说明外，均为日历天</w:t>
      </w:r>
      <w:r>
        <w:rPr>
          <w:rFonts w:hint="eastAsia" w:ascii="宋体" w:hAnsi="宋体" w:cs="Calibri"/>
          <w:color w:val="000000"/>
          <w:kern w:val="0"/>
          <w:sz w:val="22"/>
        </w:rPr>
        <w:t>；</w:t>
      </w:r>
      <w:r>
        <w:rPr>
          <w:rFonts w:ascii="宋体" w:hAnsi="宋体" w:cs="Calibri"/>
          <w:color w:val="000000"/>
          <w:kern w:val="0"/>
          <w:sz w:val="22"/>
        </w:rPr>
        <w:t>“</w:t>
      </w:r>
      <w:r>
        <w:rPr>
          <w:rFonts w:hint="eastAsia" w:ascii="宋体" w:hAnsi="宋体" w:cs="Calibri"/>
          <w:color w:val="000000"/>
          <w:kern w:val="0"/>
          <w:sz w:val="22"/>
        </w:rPr>
        <w:t>月</w:t>
      </w:r>
      <w:r>
        <w:rPr>
          <w:rFonts w:ascii="宋体" w:hAnsi="宋体" w:cs="Calibri"/>
          <w:color w:val="000000"/>
          <w:kern w:val="0"/>
          <w:sz w:val="22"/>
        </w:rPr>
        <w:t>”除特别说明外，均为</w:t>
      </w:r>
      <w:r>
        <w:rPr>
          <w:rFonts w:hint="eastAsia" w:ascii="宋体" w:hAnsi="宋体" w:cs="Calibri"/>
          <w:color w:val="000000"/>
          <w:kern w:val="0"/>
          <w:sz w:val="22"/>
        </w:rPr>
        <w:t>自然月</w:t>
      </w:r>
      <w:r>
        <w:rPr>
          <w:rFonts w:ascii="宋体" w:hAnsi="宋体" w:cs="Calibri"/>
          <w:color w:val="000000"/>
          <w:kern w:val="0"/>
          <w:sz w:val="22"/>
        </w:rPr>
        <w:t>。</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3.1.4招标文件中所指的“合同”除特别说明外，指 “</w:t>
      </w:r>
      <w:r>
        <w:rPr>
          <w:rFonts w:hint="eastAsia" w:ascii="宋体" w:hAnsi="宋体" w:cs="Calibri"/>
          <w:color w:val="000000"/>
          <w:kern w:val="0"/>
          <w:sz w:val="22"/>
        </w:rPr>
        <w:t>服务</w:t>
      </w:r>
      <w:r>
        <w:rPr>
          <w:rFonts w:ascii="宋体" w:hAnsi="宋体" w:cs="Calibri"/>
          <w:color w:val="000000"/>
          <w:kern w:val="0"/>
          <w:sz w:val="22"/>
        </w:rPr>
        <w:t>合同”。</w:t>
      </w:r>
    </w:p>
    <w:p>
      <w:pPr>
        <w:autoSpaceDE w:val="0"/>
        <w:autoSpaceDN w:val="0"/>
        <w:adjustRightInd w:val="0"/>
        <w:snapToGrid w:val="0"/>
        <w:spacing w:line="360" w:lineRule="exact"/>
        <w:rPr>
          <w:rFonts w:ascii="宋体" w:hAnsi="宋体" w:cs="Calibri"/>
          <w:b/>
          <w:bCs/>
          <w:kern w:val="0"/>
          <w:sz w:val="22"/>
        </w:rPr>
      </w:pPr>
      <w:bookmarkStart w:id="59" w:name="_Toc1411"/>
      <w:r>
        <w:rPr>
          <w:rFonts w:ascii="宋体" w:hAnsi="宋体" w:cs="Calibri"/>
          <w:b/>
          <w:bCs/>
          <w:kern w:val="0"/>
          <w:sz w:val="22"/>
        </w:rPr>
        <w:t>3.2 投标文件的组成</w:t>
      </w:r>
      <w:bookmarkEnd w:id="59"/>
    </w:p>
    <w:p>
      <w:pPr>
        <w:adjustRightInd w:val="0"/>
        <w:snapToGrid w:val="0"/>
        <w:spacing w:line="360" w:lineRule="exact"/>
        <w:ind w:firstLine="440" w:firstLineChars="200"/>
        <w:rPr>
          <w:rFonts w:ascii="宋体" w:hAnsi="宋体" w:cs="Calibri"/>
          <w:color w:val="000000"/>
          <w:sz w:val="22"/>
        </w:rPr>
      </w:pPr>
      <w:bookmarkStart w:id="60" w:name="_Toc32225"/>
      <w:r>
        <w:rPr>
          <w:rFonts w:ascii="宋体" w:hAnsi="宋体" w:cs="Calibri"/>
          <w:color w:val="000000"/>
          <w:sz w:val="22"/>
        </w:rPr>
        <w:t>3.2.1投标函；</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2</w:t>
      </w:r>
      <w:r>
        <w:rPr>
          <w:rFonts w:ascii="宋体" w:hAnsi="宋体" w:cs="Calibri"/>
          <w:color w:val="000000"/>
          <w:sz w:val="22"/>
        </w:rPr>
        <w:t>法定代表人资格证明书；</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3</w:t>
      </w:r>
      <w:r>
        <w:rPr>
          <w:rFonts w:ascii="宋体" w:hAnsi="宋体" w:cs="Calibri"/>
          <w:color w:val="000000"/>
          <w:sz w:val="22"/>
        </w:rPr>
        <w:t>授权委托书；</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4</w:t>
      </w:r>
      <w:r>
        <w:rPr>
          <w:rFonts w:ascii="宋体" w:hAnsi="宋体" w:cs="Calibri"/>
          <w:color w:val="000000"/>
          <w:sz w:val="22"/>
        </w:rPr>
        <w:t>投标报价表；</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3.2.5投标人资格证明文件：</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（1）投标人一般情况</w:t>
      </w:r>
      <w:r>
        <w:rPr>
          <w:rFonts w:hint="eastAsia" w:ascii="宋体" w:hAnsi="宋体" w:cs="Calibri"/>
          <w:color w:val="000000"/>
          <w:sz w:val="22"/>
        </w:rPr>
        <w:t>及</w:t>
      </w:r>
      <w:r>
        <w:rPr>
          <w:rFonts w:ascii="宋体" w:hAnsi="宋体" w:cs="Calibri"/>
          <w:color w:val="000000"/>
          <w:sz w:val="22"/>
        </w:rPr>
        <w:t>有关证明投标人法律地位的文件（包括营业执照</w:t>
      </w:r>
      <w:r>
        <w:rPr>
          <w:rFonts w:hint="eastAsia" w:ascii="宋体" w:hAnsi="宋体" w:cs="Calibri"/>
          <w:color w:val="000000"/>
          <w:sz w:val="22"/>
        </w:rPr>
        <w:t>、</w:t>
      </w:r>
      <w:r>
        <w:rPr>
          <w:rFonts w:hint="eastAsia" w:ascii="宋体" w:hAnsi="宋体" w:cs="Calibri"/>
          <w:sz w:val="22"/>
        </w:rPr>
        <w:t>税务登记证、</w:t>
      </w:r>
      <w:r>
        <w:rPr>
          <w:rFonts w:ascii="宋体" w:hAnsi="宋体" w:cs="Calibri"/>
          <w:sz w:val="22"/>
        </w:rPr>
        <w:t>一般纳税人证明材料</w:t>
      </w:r>
      <w:r>
        <w:rPr>
          <w:rFonts w:hint="eastAsia" w:ascii="宋体" w:hAnsi="宋体" w:cs="Calibri"/>
          <w:sz w:val="22"/>
        </w:rPr>
        <w:t>、</w:t>
      </w:r>
      <w:r>
        <w:rPr>
          <w:rFonts w:ascii="宋体" w:hAnsi="宋体" w:cs="Calibri"/>
          <w:color w:val="000000"/>
          <w:sz w:val="22"/>
        </w:rPr>
        <w:t>资质</w:t>
      </w:r>
      <w:r>
        <w:rPr>
          <w:rFonts w:hint="eastAsia" w:ascii="宋体" w:hAnsi="宋体" w:cs="Calibri"/>
          <w:color w:val="000000"/>
          <w:sz w:val="22"/>
        </w:rPr>
        <w:t>证书</w:t>
      </w:r>
      <w:r>
        <w:rPr>
          <w:rFonts w:ascii="宋体" w:hAnsi="宋体" w:cs="Calibri"/>
          <w:color w:val="000000"/>
          <w:sz w:val="22"/>
        </w:rPr>
        <w:t>等），说明投标人的注册地点和主要经营范围；</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（2）有关证明投标人的企业信誉及获得各种奖励等资料；</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（3）投标人经济实力：包括企业注册资金、财务报告与报表中反映的财务状况</w:t>
      </w:r>
      <w:r>
        <w:rPr>
          <w:rFonts w:hint="eastAsia" w:ascii="宋体" w:hAnsi="宋体" w:cs="Calibri"/>
          <w:color w:val="000000"/>
          <w:sz w:val="22"/>
        </w:rPr>
        <w:t>；</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（4）</w:t>
      </w:r>
      <w:r>
        <w:rPr>
          <w:rFonts w:ascii="宋体" w:hAnsi="宋体" w:cs="Calibri"/>
          <w:color w:val="000000"/>
          <w:sz w:val="22"/>
        </w:rPr>
        <w:t>近三年完成类似项目业绩情况</w:t>
      </w:r>
      <w:r>
        <w:rPr>
          <w:rFonts w:hint="eastAsia" w:ascii="宋体" w:hAnsi="宋体" w:cs="Calibri"/>
          <w:color w:val="000000"/>
          <w:sz w:val="22"/>
        </w:rPr>
        <w:t>。</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3.2.6</w:t>
      </w:r>
      <w:r>
        <w:rPr>
          <w:rFonts w:hint="eastAsia" w:ascii="宋体" w:hAnsi="宋体" w:cs="Calibri"/>
          <w:color w:val="000000"/>
          <w:sz w:val="22"/>
        </w:rPr>
        <w:t xml:space="preserve"> </w:t>
      </w:r>
      <w:r>
        <w:rPr>
          <w:rFonts w:ascii="宋体" w:hAnsi="宋体" w:cs="Calibri"/>
          <w:color w:val="000000"/>
          <w:sz w:val="22"/>
        </w:rPr>
        <w:t>服务大纲</w:t>
      </w:r>
      <w:r>
        <w:rPr>
          <w:rFonts w:hint="eastAsia" w:ascii="宋体" w:hAnsi="宋体" w:cs="Calibri"/>
          <w:color w:val="000000"/>
          <w:sz w:val="22"/>
          <w:lang w:eastAsia="zh-CN"/>
        </w:rPr>
        <w:t>：</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（1）本项目概况；</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（2）工作内容和依据；</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（3）服务管理班子的组织结构形式；</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（4）服务人员的作业安排和进场计划；</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（5）服务人员工作守则；</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（6）对本项目的实施意见及重点</w:t>
      </w:r>
      <w:r>
        <w:rPr>
          <w:rFonts w:hint="eastAsia" w:ascii="宋体" w:hAnsi="宋体" w:cs="Calibri"/>
          <w:color w:val="000000"/>
          <w:sz w:val="22"/>
        </w:rPr>
        <w:t>、</w:t>
      </w:r>
      <w:r>
        <w:rPr>
          <w:rFonts w:ascii="宋体" w:hAnsi="宋体" w:cs="Calibri"/>
          <w:color w:val="000000"/>
          <w:sz w:val="22"/>
        </w:rPr>
        <w:t>难点控制；</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（7）投入到本项目的项目负责人、其他人员的情况汇总表及业绩、经历、能力介绍、资格证明材料及人员到位率的承诺；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（8）投入本项目服务的仪器、仪表、设备及交通工具汇总表</w:t>
      </w:r>
      <w:r>
        <w:rPr>
          <w:rFonts w:hint="eastAsia" w:ascii="宋体" w:hAnsi="宋体" w:cs="Calibri"/>
          <w:color w:val="000000"/>
          <w:sz w:val="22"/>
        </w:rPr>
        <w:t>。</w:t>
      </w:r>
    </w:p>
    <w:p>
      <w:pPr>
        <w:adjustRightInd w:val="0"/>
        <w:snapToGrid w:val="0"/>
        <w:spacing w:line="360" w:lineRule="exact"/>
        <w:ind w:firstLine="440" w:firstLineChars="200"/>
        <w:rPr>
          <w:rFonts w:ascii="宋体" w:hAnsi="宋体"/>
          <w:sz w:val="22"/>
        </w:rPr>
      </w:pPr>
      <w:r>
        <w:rPr>
          <w:rFonts w:ascii="宋体" w:hAnsi="宋体" w:cs="Calibri"/>
          <w:color w:val="000000"/>
          <w:sz w:val="22"/>
        </w:rPr>
        <w:t>3.2.7</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Arial"/>
          <w:color w:val="00000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60"/>
    </w:p>
    <w:p>
      <w:pPr>
        <w:adjustRightInd w:val="0"/>
        <w:snapToGrid w:val="0"/>
        <w:spacing w:line="360" w:lineRule="exact"/>
        <w:ind w:firstLine="440" w:firstLineChars="200"/>
        <w:rPr>
          <w:rFonts w:ascii="宋体" w:hAnsi="宋体" w:cs="Calibri"/>
          <w:color w:val="000000"/>
          <w:kern w:val="0"/>
          <w:sz w:val="22"/>
        </w:rPr>
      </w:pPr>
      <w:bookmarkStart w:id="61" w:name="_Toc13307"/>
      <w:r>
        <w:rPr>
          <w:rFonts w:ascii="宋体" w:hAnsi="宋体" w:cs="Calibri"/>
          <w:color w:val="000000"/>
          <w:kern w:val="0"/>
          <w:sz w:val="22"/>
        </w:rPr>
        <w:t>3.</w:t>
      </w:r>
      <w:r>
        <w:rPr>
          <w:rFonts w:hint="eastAsia" w:ascii="宋体" w:hAnsi="宋体" w:cs="Calibri"/>
          <w:color w:val="000000"/>
          <w:kern w:val="0"/>
          <w:sz w:val="22"/>
          <w:lang w:val="en-US" w:eastAsia="zh-CN"/>
        </w:rPr>
        <w:t>3</w:t>
      </w:r>
      <w:r>
        <w:rPr>
          <w:rFonts w:ascii="宋体" w:hAnsi="宋体" w:cs="Calibri"/>
          <w:color w:val="000000"/>
          <w:kern w:val="0"/>
          <w:sz w:val="22"/>
        </w:rPr>
        <w:t>.1 投标人应按本招标文件中“投标文件格式”的要求填写相应表格。</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w:t>
      </w:r>
      <w:r>
        <w:rPr>
          <w:rFonts w:hint="eastAsia" w:ascii="宋体" w:hAnsi="宋体" w:cs="Calibri"/>
          <w:color w:val="000000"/>
          <w:kern w:val="0"/>
          <w:sz w:val="22"/>
          <w:lang w:val="en-US" w:eastAsia="zh-CN"/>
        </w:rPr>
        <w:t>3</w:t>
      </w:r>
      <w:r>
        <w:rPr>
          <w:rFonts w:ascii="宋体" w:hAnsi="宋体" w:cs="Calibri"/>
          <w:color w:val="000000"/>
          <w:kern w:val="0"/>
          <w:sz w:val="22"/>
        </w:rPr>
        <w:t>.2 投标人在投标截止时间前修改投标函中的投标总报价，应同时修改本招标文件中“投标文件格式”中的相应报价。此修改须符合本章第4.3款的有关要求。</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61"/>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3.4.2出现特殊情况需要延长投标有效期的，招标人以书面形式通知所有投标人延长投标有效期。投标人同意延长的，不</w:t>
      </w:r>
      <w:r>
        <w:rPr>
          <w:rFonts w:hint="eastAsia" w:ascii="宋体" w:hAnsi="宋体" w:cs="Calibri"/>
          <w:color w:val="000000"/>
          <w:kern w:val="0"/>
          <w:sz w:val="22"/>
        </w:rPr>
        <w:t>得</w:t>
      </w:r>
      <w:r>
        <w:rPr>
          <w:rFonts w:ascii="宋体" w:hAnsi="宋体" w:cs="Calibri"/>
          <w:color w:val="000000"/>
          <w:kern w:val="0"/>
          <w:sz w:val="22"/>
        </w:rPr>
        <w:t>要求或被允许修改或撤销其投标文件；投标人拒绝延长的，其投标失效。</w:t>
      </w:r>
    </w:p>
    <w:p>
      <w:pPr>
        <w:autoSpaceDE w:val="0"/>
        <w:autoSpaceDN w:val="0"/>
        <w:adjustRightInd w:val="0"/>
        <w:snapToGrid w:val="0"/>
        <w:spacing w:line="360" w:lineRule="exact"/>
        <w:rPr>
          <w:rFonts w:ascii="宋体" w:hAnsi="宋体" w:cs="Calibri"/>
          <w:b/>
          <w:bCs/>
          <w:kern w:val="0"/>
          <w:sz w:val="22"/>
        </w:rPr>
      </w:pPr>
      <w:bookmarkStart w:id="62" w:name="_Toc30464"/>
      <w:r>
        <w:rPr>
          <w:rFonts w:ascii="宋体" w:hAnsi="宋体" w:cs="Calibri"/>
          <w:b/>
          <w:bCs/>
          <w:kern w:val="0"/>
          <w:sz w:val="22"/>
        </w:rPr>
        <w:t>3.5 投标保证金</w:t>
      </w:r>
      <w:bookmarkEnd w:id="62"/>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bookmarkStart w:id="63" w:name="_Toc29989"/>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10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3.6 投标文件的编制</w:t>
      </w:r>
      <w:bookmarkEnd w:id="63"/>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3.6.1 投标文件应按本须知第3.2款规定的内容和第</w:t>
      </w:r>
      <w:r>
        <w:rPr>
          <w:rFonts w:hint="eastAsia" w:ascii="宋体" w:hAnsi="宋体" w:cs="Calibri"/>
          <w:color w:val="000000"/>
          <w:sz w:val="22"/>
        </w:rPr>
        <w:t>六</w:t>
      </w:r>
      <w:r>
        <w:rPr>
          <w:rFonts w:ascii="宋体" w:hAnsi="宋体" w:cs="Calibri"/>
          <w:color w:val="000000"/>
          <w:sz w:val="22"/>
        </w:rPr>
        <w:t>章“投标文件格式”进行编写，如有必要，可以增加附页，作为投标文件的组成部分，“投标文件格式”中没有规定的可自行编制格式。其中，</w:t>
      </w:r>
      <w:r>
        <w:rPr>
          <w:rFonts w:hint="eastAsia" w:ascii="宋体" w:hAnsi="宋体" w:cs="Calibri"/>
          <w:sz w:val="22"/>
        </w:rPr>
        <w:t>服务期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sz w:val="22"/>
        </w:rPr>
        <w:t xml:space="preserve">3.6.2 </w:t>
      </w:r>
      <w:r>
        <w:rPr>
          <w:rFonts w:ascii="宋体" w:hAnsi="宋体" w:cs="Calibri"/>
          <w:color w:val="000000"/>
          <w:kern w:val="0"/>
          <w:sz w:val="22"/>
        </w:rPr>
        <w:t>投标文件应对招标文件有关</w:t>
      </w:r>
      <w:r>
        <w:rPr>
          <w:rFonts w:hint="eastAsia" w:ascii="宋体" w:hAnsi="宋体" w:cs="Calibri"/>
          <w:color w:val="000000"/>
          <w:kern w:val="0"/>
          <w:sz w:val="22"/>
        </w:rPr>
        <w:t>服务</w:t>
      </w:r>
      <w:r>
        <w:rPr>
          <w:rFonts w:ascii="宋体" w:hAnsi="宋体" w:cs="Calibri"/>
          <w:color w:val="000000"/>
          <w:kern w:val="0"/>
          <w:sz w:val="22"/>
        </w:rPr>
        <w:t>期、投标有效期、招标</w:t>
      </w:r>
      <w:r>
        <w:rPr>
          <w:rFonts w:hint="eastAsia" w:ascii="宋体" w:hAnsi="宋体" w:cs="Calibri"/>
          <w:color w:val="000000"/>
          <w:kern w:val="0"/>
          <w:sz w:val="22"/>
        </w:rPr>
        <w:t>内容</w:t>
      </w:r>
      <w:r>
        <w:rPr>
          <w:rFonts w:ascii="宋体" w:hAnsi="宋体" w:cs="Calibri"/>
          <w:color w:val="000000"/>
          <w:kern w:val="0"/>
          <w:sz w:val="22"/>
        </w:rPr>
        <w:t>等实质性内容作出响应。</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ascii="宋体" w:hAnsi="宋体" w:cs="Calibri"/>
          <w:color w:val="000000"/>
          <w:kern w:val="0"/>
          <w:sz w:val="22"/>
        </w:rPr>
        <w:t>签字或盖章的具体要求见投标人须知前附表。</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3.6.4投标文件正本一份， 副本份数见投标人须知前附表。正本、副本的封面上应清楚地标记</w:t>
      </w:r>
      <w:r>
        <w:rPr>
          <w:rFonts w:ascii="宋体" w:hAnsi="宋体" w:cs="Calibri"/>
          <w:b/>
          <w:bCs/>
          <w:color w:val="000000"/>
          <w:sz w:val="22"/>
        </w:rPr>
        <w:t>“正本</w:t>
      </w:r>
      <w:r>
        <w:rPr>
          <w:rFonts w:ascii="宋体" w:hAnsi="宋体" w:cs="Calibri"/>
          <w:color w:val="000000"/>
          <w:sz w:val="22"/>
        </w:rPr>
        <w:t>”或“</w:t>
      </w:r>
      <w:r>
        <w:rPr>
          <w:rFonts w:ascii="宋体" w:hAnsi="宋体" w:cs="Calibri"/>
          <w:b/>
          <w:bCs/>
          <w:color w:val="000000"/>
          <w:sz w:val="22"/>
        </w:rPr>
        <w:t>副本</w:t>
      </w:r>
      <w:r>
        <w:rPr>
          <w:rFonts w:ascii="宋体" w:hAnsi="宋体" w:cs="Calibri"/>
          <w:color w:val="000000"/>
          <w:sz w:val="22"/>
        </w:rPr>
        <w:t>”的字样。当副本和正本不一致时，以正本为准。</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3.6.5投标文件的正本与副本应分别按A4规格装订成册，具体装订要求见投标人须知前附表规定。</w:t>
      </w:r>
      <w:bookmarkStart w:id="64" w:name="_Toc143421659"/>
    </w:p>
    <w:p>
      <w:pPr>
        <w:autoSpaceDE w:val="0"/>
        <w:autoSpaceDN w:val="0"/>
        <w:adjustRightInd w:val="0"/>
        <w:snapToGrid w:val="0"/>
        <w:spacing w:line="360" w:lineRule="exact"/>
        <w:rPr>
          <w:rFonts w:ascii="宋体" w:hAnsi="宋体" w:cs="Calibri"/>
          <w:b/>
          <w:bCs/>
          <w:kern w:val="0"/>
          <w:sz w:val="22"/>
        </w:rPr>
      </w:pPr>
      <w:bookmarkStart w:id="65" w:name="_Toc32652"/>
      <w:r>
        <w:rPr>
          <w:rFonts w:ascii="宋体" w:hAnsi="宋体" w:cs="Calibri"/>
          <w:b/>
          <w:bCs/>
          <w:kern w:val="0"/>
          <w:sz w:val="22"/>
        </w:rPr>
        <w:t>4.投标</w:t>
      </w:r>
      <w:bookmarkEnd w:id="64"/>
      <w:bookmarkEnd w:id="65"/>
    </w:p>
    <w:p>
      <w:pPr>
        <w:autoSpaceDE w:val="0"/>
        <w:autoSpaceDN w:val="0"/>
        <w:adjustRightInd w:val="0"/>
        <w:snapToGrid w:val="0"/>
        <w:spacing w:line="360" w:lineRule="exact"/>
        <w:rPr>
          <w:rFonts w:ascii="宋体" w:hAnsi="宋体" w:cs="Calibri"/>
          <w:b/>
          <w:bCs/>
          <w:kern w:val="0"/>
          <w:sz w:val="22"/>
        </w:rPr>
      </w:pPr>
      <w:bookmarkStart w:id="66" w:name="_Toc649"/>
      <w:r>
        <w:rPr>
          <w:rFonts w:ascii="宋体" w:hAnsi="宋体" w:cs="Calibri"/>
          <w:b/>
          <w:bCs/>
          <w:kern w:val="0"/>
          <w:sz w:val="22"/>
        </w:rPr>
        <w:t>4.1 投标文件的密封和标识</w:t>
      </w:r>
      <w:bookmarkEnd w:id="66"/>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sz w:val="22"/>
        </w:rPr>
        <w:t>4.1.1</w:t>
      </w:r>
      <w:r>
        <w:rPr>
          <w:rFonts w:ascii="宋体" w:hAnsi="宋体" w:cs="Calibri"/>
          <w:color w:val="000000"/>
          <w:kern w:val="0"/>
          <w:sz w:val="22"/>
        </w:rPr>
        <w:t>投标文件的正本、副本可一同</w:t>
      </w:r>
      <w:r>
        <w:rPr>
          <w:rFonts w:hint="eastAsia" w:ascii="宋体" w:hAnsi="宋体" w:cs="Calibri"/>
          <w:color w:val="000000"/>
          <w:kern w:val="0"/>
          <w:sz w:val="22"/>
        </w:rPr>
        <w:t>密封</w:t>
      </w:r>
      <w:r>
        <w:rPr>
          <w:rFonts w:ascii="宋体" w:hAnsi="宋体" w:cs="Calibri"/>
          <w:color w:val="000000"/>
          <w:kern w:val="0"/>
          <w:sz w:val="22"/>
        </w:rPr>
        <w:t>包装，并在封口处加盖投标人单位章或法定代表人盖章（或签字）或委托代理人盖章（或签字）。</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4.1.3 未按本章第4.1.1项或第4.1.2项要求密封和加写标记的投标文件，招标人不予受理。</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4.1.</w:t>
      </w:r>
      <w:r>
        <w:rPr>
          <w:rFonts w:hint="eastAsia" w:ascii="宋体" w:hAnsi="宋体" w:cs="Calibri"/>
          <w:color w:val="000000"/>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67" w:name="_Toc16616"/>
      <w:r>
        <w:rPr>
          <w:rFonts w:ascii="宋体" w:hAnsi="宋体" w:cs="Calibri"/>
          <w:b/>
          <w:bCs/>
          <w:kern w:val="0"/>
          <w:sz w:val="22"/>
        </w:rPr>
        <w:t xml:space="preserve">4.2 投标文件的递交 </w:t>
      </w:r>
      <w:bookmarkEnd w:id="67"/>
    </w:p>
    <w:p>
      <w:pPr>
        <w:autoSpaceDE w:val="0"/>
        <w:autoSpaceDN w:val="0"/>
        <w:adjustRightInd w:val="0"/>
        <w:snapToGrid w:val="0"/>
        <w:spacing w:line="360" w:lineRule="exact"/>
        <w:ind w:firstLine="442" w:firstLineChars="200"/>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4.2.2投标人送达投标文件的地点：见投标人须知前附表。</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4.2.3除投标人须知前附表另有规定外，投标人所递交的投标文件不予退还。</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4.2.</w:t>
      </w:r>
      <w:r>
        <w:rPr>
          <w:rFonts w:hint="eastAsia" w:ascii="宋体" w:hAnsi="宋体" w:cs="Calibri"/>
          <w:color w:val="000000"/>
          <w:sz w:val="22"/>
        </w:rPr>
        <w:t>4</w:t>
      </w:r>
      <w:r>
        <w:rPr>
          <w:rFonts w:ascii="宋体" w:hAnsi="宋体" w:cs="Calibri"/>
          <w:color w:val="000000"/>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68" w:name="_Toc26099"/>
      <w:r>
        <w:rPr>
          <w:rFonts w:ascii="宋体" w:hAnsi="宋体" w:cs="Calibri"/>
          <w:b/>
          <w:bCs/>
          <w:kern w:val="0"/>
          <w:sz w:val="22"/>
        </w:rPr>
        <w:t>4.3 投标文件的修改和撤回</w:t>
      </w:r>
      <w:bookmarkEnd w:id="68"/>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4.3.1在规定的投标截止时间前，投标人可以修改或撤回已递交的投标文件，但应以书面形式通知招标人。</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69" w:name="_Toc29641"/>
      <w:r>
        <w:rPr>
          <w:rFonts w:ascii="宋体" w:hAnsi="宋体" w:cs="Calibri"/>
          <w:b/>
          <w:bCs/>
          <w:kern w:val="0"/>
          <w:sz w:val="22"/>
        </w:rPr>
        <w:t>5.开标</w:t>
      </w:r>
      <w:bookmarkEnd w:id="69"/>
    </w:p>
    <w:p>
      <w:pPr>
        <w:autoSpaceDE w:val="0"/>
        <w:autoSpaceDN w:val="0"/>
        <w:adjustRightInd w:val="0"/>
        <w:snapToGrid w:val="0"/>
        <w:spacing w:line="360" w:lineRule="exact"/>
        <w:rPr>
          <w:rFonts w:ascii="宋体" w:hAnsi="宋体" w:cs="Calibri"/>
          <w:b/>
          <w:bCs/>
          <w:kern w:val="0"/>
          <w:sz w:val="22"/>
        </w:rPr>
      </w:pPr>
      <w:bookmarkStart w:id="70" w:name="_Toc15123"/>
      <w:r>
        <w:rPr>
          <w:rFonts w:ascii="宋体" w:hAnsi="宋体" w:cs="Calibri"/>
          <w:b/>
          <w:bCs/>
          <w:kern w:val="0"/>
          <w:sz w:val="22"/>
        </w:rPr>
        <w:t>5.1 开标时间和地点</w:t>
      </w:r>
      <w:bookmarkEnd w:id="70"/>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5.1.1</w:t>
      </w:r>
      <w:r>
        <w:rPr>
          <w:rFonts w:ascii="宋体" w:hAnsi="宋体" w:cs="Calibri"/>
          <w:sz w:val="22"/>
        </w:rPr>
        <w:t>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5.1.2投标人在投标时应随身携带下列资料提交招标人</w:t>
      </w:r>
    </w:p>
    <w:p>
      <w:pPr>
        <w:adjustRightInd w:val="0"/>
        <w:snapToGrid w:val="0"/>
        <w:spacing w:line="360" w:lineRule="exact"/>
        <w:ind w:firstLine="440" w:firstLineChars="200"/>
        <w:rPr>
          <w:rFonts w:ascii="宋体" w:hAnsi="宋体" w:cs="Calibri"/>
          <w:sz w:val="22"/>
        </w:rPr>
      </w:pPr>
      <w:bookmarkStart w:id="71" w:name="_Toc7101"/>
      <w:r>
        <w:rPr>
          <w:rFonts w:ascii="宋体" w:hAnsi="宋体" w:cs="Calibri"/>
          <w:sz w:val="22"/>
        </w:rPr>
        <w:t>委托代理人的身份证、法定代表人授权委托书</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5.2 开标程序</w:t>
      </w:r>
      <w:bookmarkEnd w:id="71"/>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主持人按下列程序进行开标：</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（1）宣布开标纪律；</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（3）宣布开标人、唱标人、记录人、监标人等有关人员姓名；</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（4）按照投标人须知前附表规定检查投标文件的密封情况；</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（5）按照投标人须知前附表的规定确定并宣布投标文件开标顺序；</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（6）</w:t>
      </w:r>
      <w:r>
        <w:rPr>
          <w:rFonts w:ascii="宋体" w:hAnsi="宋体" w:cs="Calibri"/>
          <w:color w:val="000000"/>
          <w:sz w:val="22"/>
        </w:rPr>
        <w:t>按照宣布的开标顺序当众开标，公布投标人名称、投标报价、</w:t>
      </w:r>
      <w:r>
        <w:rPr>
          <w:rFonts w:hint="eastAsia" w:ascii="宋体" w:hAnsi="宋体" w:cs="Calibri"/>
          <w:color w:val="000000"/>
          <w:sz w:val="22"/>
        </w:rPr>
        <w:t>服务期</w:t>
      </w:r>
      <w:r>
        <w:rPr>
          <w:rFonts w:ascii="宋体" w:hAnsi="宋体" w:cs="Calibri"/>
          <w:color w:val="000000"/>
          <w:sz w:val="22"/>
        </w:rPr>
        <w:t>及其他内容，并记录在案；</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（7）投标人代表、招标人代表、监标人、记录人等有关人员在开标记录上签字确认；</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72" w:name="_Toc31578"/>
      <w:r>
        <w:rPr>
          <w:rFonts w:ascii="宋体" w:hAnsi="宋体" w:cs="Calibri"/>
          <w:b/>
          <w:bCs/>
          <w:kern w:val="0"/>
          <w:sz w:val="22"/>
        </w:rPr>
        <w:t>6.评标</w:t>
      </w:r>
      <w:bookmarkEnd w:id="72"/>
    </w:p>
    <w:p>
      <w:pPr>
        <w:autoSpaceDE w:val="0"/>
        <w:autoSpaceDN w:val="0"/>
        <w:adjustRightInd w:val="0"/>
        <w:snapToGrid w:val="0"/>
        <w:spacing w:line="360" w:lineRule="exact"/>
        <w:rPr>
          <w:rFonts w:ascii="宋体" w:hAnsi="宋体" w:cs="Calibri"/>
          <w:b/>
          <w:bCs/>
          <w:kern w:val="0"/>
          <w:sz w:val="22"/>
        </w:rPr>
      </w:pPr>
      <w:bookmarkStart w:id="73" w:name="_Toc10279"/>
      <w:r>
        <w:rPr>
          <w:rFonts w:ascii="宋体" w:hAnsi="宋体" w:cs="Calibri"/>
          <w:b/>
          <w:bCs/>
          <w:kern w:val="0"/>
          <w:sz w:val="22"/>
        </w:rPr>
        <w:t>6.1 评标委员会</w:t>
      </w:r>
      <w:bookmarkEnd w:id="73"/>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6.1.1</w:t>
      </w:r>
      <w:r>
        <w:rPr>
          <w:rFonts w:ascii="宋体" w:hAnsi="宋体" w:cs="Calibri"/>
          <w:kern w:val="0"/>
          <w:sz w:val="22"/>
        </w:rPr>
        <w:t>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6.1.2评标委员会成员有下列情形之一的，应当回避：</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（1）招标人或投标人的主要负责人的近亲属；</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（2）项目主管部门或者行政监督部门的人员；</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（3）与投标人有经济利益关系，可能影响对投标公正评审的；</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74" w:name="_Toc3460"/>
      <w:r>
        <w:rPr>
          <w:rFonts w:ascii="宋体" w:hAnsi="宋体" w:cs="Calibri"/>
          <w:b/>
          <w:bCs/>
          <w:kern w:val="0"/>
          <w:sz w:val="22"/>
        </w:rPr>
        <w:t>6.2 评标原则</w:t>
      </w:r>
      <w:bookmarkEnd w:id="74"/>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75" w:name="_Toc28178"/>
      <w:r>
        <w:rPr>
          <w:rFonts w:ascii="宋体" w:hAnsi="宋体" w:cs="Calibri"/>
          <w:b/>
          <w:bCs/>
          <w:kern w:val="0"/>
          <w:sz w:val="22"/>
        </w:rPr>
        <w:t>6.3 评标</w:t>
      </w:r>
      <w:bookmarkEnd w:id="75"/>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评标委员会按照第</w:t>
      </w:r>
      <w:r>
        <w:rPr>
          <w:rFonts w:hint="eastAsia" w:ascii="宋体" w:hAnsi="宋体" w:cs="Calibri"/>
          <w:color w:val="000000"/>
          <w:kern w:val="0"/>
          <w:sz w:val="22"/>
        </w:rPr>
        <w:t>五</w:t>
      </w:r>
      <w:r>
        <w:rPr>
          <w:rFonts w:ascii="宋体" w:hAnsi="宋体" w:cs="Calibri"/>
          <w:color w:val="000000"/>
          <w:kern w:val="0"/>
          <w:sz w:val="22"/>
        </w:rPr>
        <w:t>章“评标方法及标准”对投标文件进行评审。第</w:t>
      </w:r>
      <w:r>
        <w:rPr>
          <w:rFonts w:hint="eastAsia" w:ascii="宋体" w:hAnsi="宋体" w:cs="Calibri"/>
          <w:color w:val="000000"/>
          <w:kern w:val="0"/>
          <w:sz w:val="22"/>
        </w:rPr>
        <w:t>五</w:t>
      </w:r>
      <w:r>
        <w:rPr>
          <w:rFonts w:ascii="宋体" w:hAnsi="宋体" w:cs="Calibri"/>
          <w:color w:val="000000"/>
          <w:kern w:val="0"/>
          <w:sz w:val="22"/>
        </w:rPr>
        <w:t>章“评标方法及标准”没有规定的方法、评审因素和标准，不作为评标依据。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76" w:name="_Toc24237"/>
      <w:r>
        <w:rPr>
          <w:rFonts w:ascii="宋体" w:hAnsi="宋体" w:cs="Calibri"/>
          <w:b/>
          <w:bCs/>
          <w:kern w:val="0"/>
          <w:sz w:val="22"/>
        </w:rPr>
        <w:t>7.合同授予</w:t>
      </w:r>
      <w:bookmarkEnd w:id="76"/>
    </w:p>
    <w:p>
      <w:pPr>
        <w:autoSpaceDE w:val="0"/>
        <w:autoSpaceDN w:val="0"/>
        <w:adjustRightInd w:val="0"/>
        <w:snapToGrid w:val="0"/>
        <w:spacing w:line="360" w:lineRule="exact"/>
        <w:rPr>
          <w:rFonts w:ascii="宋体" w:hAnsi="宋体" w:cs="Calibri"/>
          <w:b/>
          <w:bCs/>
          <w:kern w:val="0"/>
          <w:sz w:val="22"/>
        </w:rPr>
      </w:pPr>
      <w:bookmarkStart w:id="77" w:name="_Toc18809"/>
      <w:r>
        <w:rPr>
          <w:rFonts w:ascii="宋体" w:hAnsi="宋体" w:cs="Calibri"/>
          <w:b/>
          <w:bCs/>
          <w:kern w:val="0"/>
          <w:sz w:val="22"/>
        </w:rPr>
        <w:t>7.1 定标方式</w:t>
      </w:r>
      <w:bookmarkEnd w:id="77"/>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除投标人须知前附表规定评标委员会直接确定中标人外，招标人依据评标委员会推荐的中标候选人确定中标人，评标委员会推荐中标候选人的人数见投标人须知前附表。</w:t>
      </w:r>
      <w:r>
        <w:rPr>
          <w:rFonts w:hint="eastAsia" w:ascii="宋体" w:hAnsi="宋体" w:cs="Calibri"/>
          <w:color w:val="000000"/>
          <w:sz w:val="22"/>
        </w:rPr>
        <w:t>招标人对评标、定标结果不负责解释。</w:t>
      </w:r>
    </w:p>
    <w:p>
      <w:pPr>
        <w:autoSpaceDE w:val="0"/>
        <w:autoSpaceDN w:val="0"/>
        <w:adjustRightInd w:val="0"/>
        <w:snapToGrid w:val="0"/>
        <w:spacing w:line="360" w:lineRule="exact"/>
        <w:rPr>
          <w:rFonts w:ascii="宋体" w:hAnsi="宋体" w:cs="Calibri"/>
          <w:b/>
          <w:bCs/>
          <w:kern w:val="0"/>
          <w:sz w:val="22"/>
        </w:rPr>
      </w:pPr>
      <w:bookmarkStart w:id="78" w:name="_Toc14573"/>
      <w:r>
        <w:rPr>
          <w:rFonts w:ascii="宋体" w:hAnsi="宋体" w:cs="Calibri"/>
          <w:b/>
          <w:bCs/>
          <w:kern w:val="0"/>
          <w:sz w:val="22"/>
        </w:rPr>
        <w:t>7.2 中标通知</w:t>
      </w:r>
      <w:bookmarkEnd w:id="78"/>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79" w:name="_Toc27132"/>
      <w:bookmarkStart w:id="80" w:name="_Toc27581"/>
      <w:r>
        <w:rPr>
          <w:rFonts w:ascii="宋体" w:hAnsi="宋体" w:cs="Calibri"/>
          <w:b/>
          <w:bCs/>
          <w:kern w:val="0"/>
          <w:sz w:val="22"/>
        </w:rPr>
        <w:t>7.3 履约</w:t>
      </w:r>
      <w:r>
        <w:rPr>
          <w:rFonts w:hint="eastAsia" w:ascii="宋体" w:hAnsi="宋体" w:cs="Calibri"/>
          <w:b/>
          <w:bCs/>
          <w:kern w:val="0"/>
          <w:sz w:val="22"/>
        </w:rPr>
        <w:t>保证金</w:t>
      </w:r>
      <w:bookmarkEnd w:id="79"/>
    </w:p>
    <w:p>
      <w:pPr>
        <w:adjustRightInd w:val="0"/>
        <w:snapToGrid w:val="0"/>
        <w:spacing w:line="360" w:lineRule="exact"/>
        <w:ind w:firstLine="440" w:firstLineChars="200"/>
        <w:rPr>
          <w:rFonts w:ascii="宋体" w:hAnsi="宋体" w:cs="Calibri"/>
          <w:color w:val="000000"/>
          <w:kern w:val="0"/>
          <w:sz w:val="22"/>
        </w:rPr>
      </w:pPr>
      <w:r>
        <w:rPr>
          <w:rFonts w:hint="eastAsia" w:ascii="宋体" w:hAnsi="宋体" w:cs="Calibri"/>
          <w:color w:val="000000"/>
          <w:kern w:val="0"/>
          <w:sz w:val="22"/>
        </w:rPr>
        <w:t>无</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7.4 签订合同</w:t>
      </w:r>
      <w:bookmarkEnd w:id="80"/>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sz w:val="22"/>
        </w:rPr>
        <w:t>7</w:t>
      </w:r>
      <w:bookmarkStart w:id="81" w:name="_Toc220123241"/>
      <w:bookmarkStart w:id="82" w:name="_Toc11806"/>
      <w:bookmarkStart w:id="83" w:name="_Toc219809801"/>
      <w:r>
        <w:rPr>
          <w:rFonts w:ascii="宋体" w:hAnsi="宋体" w:cs="Calibri"/>
          <w:color w:val="000000"/>
          <w:kern w:val="0"/>
          <w:sz w:val="22"/>
        </w:rPr>
        <w:t>.4.1招标人和中标人应当自中标通知书发出之日起30个工作日内订立书面合同（合同条款按第</w:t>
      </w:r>
      <w:r>
        <w:rPr>
          <w:rFonts w:hint="eastAsia" w:ascii="宋体" w:hAnsi="宋体" w:cs="Calibri"/>
          <w:color w:val="000000"/>
          <w:kern w:val="0"/>
          <w:sz w:val="22"/>
        </w:rPr>
        <w:t>四</w:t>
      </w:r>
      <w:r>
        <w:rPr>
          <w:rFonts w:ascii="宋体" w:hAnsi="宋体" w:cs="Calibri"/>
          <w:color w:val="000000"/>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color w:val="000000"/>
          <w:kern w:val="0"/>
          <w:sz w:val="22"/>
        </w:rPr>
        <w:t>）。中标人无正当理由拒签协议的，招标人取消其中标资格，给招标人造成损失的，中标人应当赔偿</w:t>
      </w:r>
      <w:r>
        <w:rPr>
          <w:rFonts w:hint="eastAsia" w:ascii="宋体" w:hAnsi="宋体" w:cs="Calibri"/>
          <w:color w:val="000000"/>
          <w:kern w:val="0"/>
          <w:sz w:val="22"/>
        </w:rPr>
        <w:t>损失</w:t>
      </w:r>
      <w:r>
        <w:rPr>
          <w:rFonts w:ascii="宋体" w:hAnsi="宋体" w:cs="Calibri"/>
          <w:color w:val="000000"/>
          <w:kern w:val="0"/>
          <w:sz w:val="22"/>
        </w:rPr>
        <w:t>。</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7.4.2 发出中标通知书后，招标人无正当理由拒签合同的，给中标人造成损失的，还应当赔偿损失。</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81"/>
      <w:bookmarkEnd w:id="82"/>
      <w:bookmarkEnd w:id="83"/>
    </w:p>
    <w:p>
      <w:pPr>
        <w:autoSpaceDE w:val="0"/>
        <w:autoSpaceDN w:val="0"/>
        <w:adjustRightInd w:val="0"/>
        <w:snapToGrid w:val="0"/>
        <w:spacing w:line="360" w:lineRule="exact"/>
        <w:rPr>
          <w:rFonts w:ascii="宋体" w:hAnsi="宋体" w:cs="Calibri"/>
          <w:b/>
          <w:bCs/>
          <w:kern w:val="0"/>
          <w:sz w:val="22"/>
        </w:rPr>
      </w:pPr>
      <w:bookmarkStart w:id="84" w:name="_Toc15553"/>
      <w:bookmarkStart w:id="85" w:name="_Toc219809802"/>
      <w:bookmarkStart w:id="86" w:name="_Toc220123242"/>
      <w:r>
        <w:rPr>
          <w:rFonts w:ascii="宋体" w:hAnsi="宋体" w:cs="Calibri"/>
          <w:b/>
          <w:bCs/>
          <w:kern w:val="0"/>
          <w:sz w:val="22"/>
        </w:rPr>
        <w:t>8.1 重新招标</w:t>
      </w:r>
      <w:bookmarkEnd w:id="84"/>
      <w:bookmarkEnd w:id="85"/>
      <w:bookmarkEnd w:id="86"/>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有下列情形之一的，招标人将重新招标；</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（1）投标截止时间止，投标人少于3个的；</w:t>
      </w:r>
    </w:p>
    <w:p>
      <w:pPr>
        <w:adjustRightInd w:val="0"/>
        <w:snapToGrid w:val="0"/>
        <w:spacing w:line="360" w:lineRule="exact"/>
        <w:ind w:firstLine="440" w:firstLineChars="200"/>
        <w:rPr>
          <w:rFonts w:ascii="宋体" w:hAnsi="宋体" w:cs="Calibri"/>
          <w:color w:val="000000"/>
          <w:kern w:val="0"/>
          <w:sz w:val="22"/>
        </w:rPr>
      </w:pPr>
      <w:r>
        <w:rPr>
          <w:rFonts w:hint="eastAsia" w:ascii="宋体" w:hAnsi="宋体" w:cs="Calibri"/>
          <w:color w:val="000000"/>
          <w:kern w:val="0"/>
          <w:sz w:val="22"/>
        </w:rPr>
        <w:t>（2）</w:t>
      </w:r>
      <w:r>
        <w:rPr>
          <w:rFonts w:hint="eastAsia" w:ascii="宋体" w:hAnsi="宋体"/>
          <w:b/>
          <w:bCs/>
          <w:sz w:val="22"/>
        </w:rPr>
        <w:t>所有投标人的报价均偏高，招标人无法接受的；</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kern w:val="0"/>
          <w:sz w:val="22"/>
        </w:rPr>
        <w:t>（</w:t>
      </w:r>
      <w:r>
        <w:rPr>
          <w:rFonts w:hint="eastAsia" w:ascii="宋体" w:hAnsi="宋体" w:cs="Calibri"/>
          <w:color w:val="000000"/>
          <w:kern w:val="0"/>
          <w:sz w:val="22"/>
        </w:rPr>
        <w:t>3</w:t>
      </w:r>
      <w:r>
        <w:rPr>
          <w:rFonts w:ascii="宋体" w:hAnsi="宋体" w:cs="Calibri"/>
          <w:color w:val="000000"/>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87" w:name="_Toc220123243"/>
      <w:bookmarkStart w:id="88" w:name="_Toc219809803"/>
      <w:bookmarkStart w:id="89" w:name="_Toc18806"/>
      <w:r>
        <w:rPr>
          <w:rFonts w:ascii="宋体" w:hAnsi="宋体" w:cs="Calibri"/>
          <w:b/>
          <w:bCs/>
          <w:kern w:val="0"/>
          <w:sz w:val="22"/>
        </w:rPr>
        <w:t>8.2 不再招标</w:t>
      </w:r>
      <w:bookmarkEnd w:id="87"/>
      <w:bookmarkEnd w:id="88"/>
      <w:bookmarkEnd w:id="89"/>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90" w:name="_Toc2986"/>
      <w:bookmarkStart w:id="91" w:name="_Toc215941254"/>
      <w:bookmarkStart w:id="92" w:name="_Toc219809804"/>
      <w:bookmarkStart w:id="93" w:name="_Toc220123244"/>
      <w:r>
        <w:rPr>
          <w:rFonts w:ascii="宋体" w:hAnsi="宋体" w:cs="Calibri"/>
          <w:b/>
          <w:bCs/>
          <w:kern w:val="0"/>
          <w:sz w:val="22"/>
        </w:rPr>
        <w:t>9.纪律和监督</w:t>
      </w:r>
      <w:bookmarkEnd w:id="90"/>
      <w:bookmarkEnd w:id="91"/>
      <w:bookmarkEnd w:id="92"/>
      <w:bookmarkEnd w:id="93"/>
    </w:p>
    <w:p>
      <w:pPr>
        <w:autoSpaceDE w:val="0"/>
        <w:autoSpaceDN w:val="0"/>
        <w:adjustRightInd w:val="0"/>
        <w:snapToGrid w:val="0"/>
        <w:spacing w:line="360" w:lineRule="exact"/>
        <w:rPr>
          <w:rFonts w:ascii="宋体" w:hAnsi="宋体" w:cs="Calibri"/>
          <w:b/>
          <w:bCs/>
          <w:kern w:val="0"/>
          <w:sz w:val="22"/>
        </w:rPr>
      </w:pPr>
      <w:bookmarkStart w:id="94" w:name="_Toc219809805"/>
      <w:bookmarkStart w:id="95" w:name="_Toc5509"/>
      <w:bookmarkStart w:id="96" w:name="_Toc220123245"/>
      <w:r>
        <w:rPr>
          <w:rFonts w:ascii="宋体" w:hAnsi="宋体" w:cs="Calibri"/>
          <w:b/>
          <w:bCs/>
          <w:kern w:val="0"/>
          <w:sz w:val="22"/>
        </w:rPr>
        <w:t>9.1 对招标人的纪律要求</w:t>
      </w:r>
      <w:bookmarkEnd w:id="94"/>
      <w:bookmarkEnd w:id="95"/>
      <w:bookmarkEnd w:id="96"/>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97" w:name="_Toc219809806"/>
      <w:bookmarkStart w:id="98" w:name="_Toc10820"/>
      <w:bookmarkStart w:id="99" w:name="_Toc220123246"/>
      <w:r>
        <w:rPr>
          <w:rFonts w:ascii="宋体" w:hAnsi="宋体" w:cs="Calibri"/>
          <w:b/>
          <w:bCs/>
          <w:kern w:val="0"/>
          <w:sz w:val="22"/>
        </w:rPr>
        <w:t>9.2 对投标人的纪律要求</w:t>
      </w:r>
      <w:bookmarkEnd w:id="97"/>
      <w:bookmarkEnd w:id="98"/>
      <w:bookmarkEnd w:id="99"/>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color w:val="000000"/>
          <w:sz w:val="22"/>
        </w:rPr>
      </w:pPr>
      <w:r>
        <w:rPr>
          <w:rFonts w:hint="eastAsia" w:ascii="宋体" w:hAnsi="宋体" w:cs="Calibri"/>
          <w:b/>
          <w:color w:val="000000"/>
          <w:sz w:val="22"/>
        </w:rPr>
        <w:t>若投标人存在串通投标或弄虚作假或有其他违法行为的，招标人有权2年内禁止参与招标人所有招标项目的投标，给招标人造成损失的，还需承担赔偿责任。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100" w:name="_Toc10756"/>
      <w:bookmarkStart w:id="101" w:name="_Toc219809807"/>
      <w:bookmarkStart w:id="102" w:name="_Toc220123247"/>
      <w:r>
        <w:rPr>
          <w:rFonts w:ascii="宋体" w:hAnsi="宋体" w:cs="Calibri"/>
          <w:b/>
          <w:bCs/>
          <w:kern w:val="0"/>
          <w:sz w:val="22"/>
        </w:rPr>
        <w:t>9.3 对评标委员会成员的纪律要求</w:t>
      </w:r>
      <w:bookmarkEnd w:id="100"/>
      <w:bookmarkEnd w:id="101"/>
      <w:bookmarkEnd w:id="102"/>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color w:val="000000"/>
          <w:sz w:val="22"/>
        </w:rPr>
        <w:t>五</w:t>
      </w:r>
      <w:r>
        <w:rPr>
          <w:rFonts w:ascii="宋体" w:hAnsi="宋体" w:cs="Calibri"/>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103" w:name="_Toc12792"/>
      <w:bookmarkStart w:id="104" w:name="_Toc220123248"/>
      <w:bookmarkStart w:id="105" w:name="_Toc219809808"/>
      <w:r>
        <w:rPr>
          <w:rFonts w:ascii="宋体" w:hAnsi="宋体" w:cs="Calibri"/>
          <w:b/>
          <w:bCs/>
          <w:kern w:val="0"/>
          <w:sz w:val="22"/>
        </w:rPr>
        <w:t>9.4 对评标活动有关的工作人员的纪律要求</w:t>
      </w:r>
      <w:bookmarkEnd w:id="103"/>
      <w:bookmarkEnd w:id="104"/>
      <w:bookmarkEnd w:id="105"/>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106" w:name="_Toc220123249"/>
      <w:bookmarkStart w:id="107" w:name="_Toc239"/>
      <w:bookmarkStart w:id="108" w:name="_Toc219809809"/>
      <w:r>
        <w:rPr>
          <w:rFonts w:ascii="宋体" w:hAnsi="宋体" w:cs="Calibri"/>
          <w:b/>
          <w:bCs/>
          <w:kern w:val="0"/>
          <w:sz w:val="22"/>
        </w:rPr>
        <w:t>9.5 投诉</w:t>
      </w:r>
      <w:bookmarkEnd w:id="106"/>
      <w:bookmarkEnd w:id="107"/>
      <w:bookmarkEnd w:id="108"/>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109" w:name="_Toc10817"/>
      <w:r>
        <w:rPr>
          <w:rFonts w:ascii="宋体" w:hAnsi="宋体" w:cs="Calibri"/>
          <w:b/>
          <w:bCs/>
          <w:kern w:val="0"/>
          <w:sz w:val="22"/>
        </w:rPr>
        <w:t>10. 需要补充的其他内容</w:t>
      </w:r>
      <w:bookmarkEnd w:id="109"/>
    </w:p>
    <w:p>
      <w:pPr>
        <w:autoSpaceDE w:val="0"/>
        <w:autoSpaceDN w:val="0"/>
        <w:adjustRightInd w:val="0"/>
        <w:snapToGrid w:val="0"/>
        <w:spacing w:line="360" w:lineRule="exact"/>
        <w:ind w:firstLine="440" w:firstLineChars="200"/>
        <w:jc w:val="left"/>
        <w:rPr>
          <w:rFonts w:ascii="宋体" w:hAnsi="宋体" w:cs="Calibri"/>
          <w:color w:val="000000"/>
          <w:sz w:val="22"/>
        </w:rPr>
      </w:pPr>
      <w:r>
        <w:rPr>
          <w:rFonts w:ascii="宋体" w:hAnsi="宋体" w:cs="Calibri"/>
          <w:color w:val="000000"/>
          <w:sz w:val="22"/>
        </w:rPr>
        <w:t>需要补充的其他内容：见投标人须知前附表。</w:t>
      </w:r>
    </w:p>
    <w:p>
      <w:pPr>
        <w:pStyle w:val="3"/>
        <w:snapToGrid w:val="0"/>
        <w:spacing w:before="0" w:after="0" w:line="360" w:lineRule="exact"/>
        <w:jc w:val="center"/>
        <w:rPr>
          <w:rFonts w:ascii="宋体" w:hAnsi="宋体"/>
          <w:sz w:val="22"/>
          <w:szCs w:val="22"/>
        </w:rPr>
        <w:sectPr>
          <w:footerReference r:id="rId6" w:type="first"/>
          <w:headerReference r:id="rId3" w:type="default"/>
          <w:footerReference r:id="rId4" w:type="default"/>
          <w:footerReference r:id="rId5" w:type="even"/>
          <w:pgSz w:w="11906" w:h="16838"/>
          <w:pgMar w:top="1134" w:right="1247" w:bottom="1134" w:left="1247" w:header="851" w:footer="992" w:gutter="0"/>
          <w:pgNumType w:fmt="numberInDash" w:start="0"/>
          <w:cols w:space="425" w:num="1"/>
          <w:titlePg/>
          <w:docGrid w:linePitch="312" w:charSpace="0"/>
        </w:sectPr>
      </w:pPr>
    </w:p>
    <w:p>
      <w:pPr>
        <w:spacing w:line="440" w:lineRule="exact"/>
        <w:jc w:val="center"/>
        <w:rPr>
          <w:rFonts w:ascii="仿宋_GB2312" w:hAnsi="宋体" w:eastAsia="仿宋_GB2312"/>
          <w:b/>
          <w:sz w:val="28"/>
          <w:szCs w:val="28"/>
        </w:rPr>
      </w:pPr>
      <w:bookmarkStart w:id="110" w:name="_Toc223327527"/>
      <w:bookmarkStart w:id="111" w:name="_Toc213036227"/>
    </w:p>
    <w:p>
      <w:pPr>
        <w:pStyle w:val="3"/>
        <w:numPr>
          <w:ilvl w:val="0"/>
          <w:numId w:val="2"/>
        </w:numPr>
        <w:spacing w:before="0" w:after="0" w:line="360" w:lineRule="auto"/>
        <w:jc w:val="center"/>
        <w:rPr>
          <w:rFonts w:ascii="Calibri" w:hAnsi="Calibri" w:eastAsia="黑体" w:cs="Calibri"/>
          <w:kern w:val="0"/>
          <w:sz w:val="32"/>
        </w:rPr>
      </w:pPr>
      <w:bookmarkStart w:id="112" w:name="_Toc448002985"/>
      <w:r>
        <w:rPr>
          <w:rFonts w:ascii="Calibri" w:hAnsi="Calibri" w:eastAsia="黑体" w:cs="Calibri"/>
          <w:kern w:val="0"/>
          <w:sz w:val="32"/>
        </w:rPr>
        <w:t xml:space="preserve"> </w:t>
      </w:r>
      <w:bookmarkEnd w:id="110"/>
      <w:bookmarkEnd w:id="111"/>
      <w:r>
        <w:rPr>
          <w:rFonts w:hint="eastAsia" w:ascii="Calibri" w:hAnsi="Calibri" w:eastAsia="黑体" w:cs="Calibri"/>
          <w:kern w:val="0"/>
          <w:sz w:val="32"/>
        </w:rPr>
        <w:t>服务技术标准及要求</w:t>
      </w:r>
      <w:bookmarkEnd w:id="112"/>
    </w:p>
    <w:p>
      <w:pPr>
        <w:spacing w:line="440" w:lineRule="exact"/>
        <w:jc w:val="cente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0" w:leftChars="0" w:right="0" w:rightChars="0"/>
        <w:jc w:val="both"/>
        <w:textAlignment w:val="auto"/>
        <w:rPr>
          <w:sz w:val="24"/>
          <w:szCs w:val="24"/>
        </w:rPr>
      </w:pPr>
      <w:r>
        <w:rPr>
          <w:rFonts w:hint="eastAsia"/>
          <w:b/>
          <w:bCs/>
          <w:sz w:val="24"/>
          <w:szCs w:val="24"/>
        </w:rPr>
        <w:t>项目概况：</w:t>
      </w:r>
    </w:p>
    <w:p>
      <w:pPr>
        <w:keepNext w:val="0"/>
        <w:keepLines w:val="0"/>
        <w:pageBreakBefore w:val="0"/>
        <w:widowControl w:val="0"/>
        <w:numPr>
          <w:ilvl w:val="255"/>
          <w:numId w:val="0"/>
        </w:numPr>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sz w:val="24"/>
          <w:szCs w:val="24"/>
        </w:rPr>
      </w:pPr>
      <w:r>
        <w:rPr>
          <w:rFonts w:hint="eastAsia"/>
          <w:sz w:val="24"/>
          <w:szCs w:val="24"/>
        </w:rPr>
        <w:t>为防止车库进出口因排水系统堵塞出现内涝险情，避免因地面湿滑造成不安全事件的发生，保障地下车库正常运营，对T1、T2航站楼地下停车库进出口排水沟及配套集水井</w:t>
      </w:r>
      <w:r>
        <w:rPr>
          <w:rFonts w:hint="eastAsia"/>
          <w:sz w:val="24"/>
          <w:szCs w:val="24"/>
          <w:lang w:val="en-US" w:eastAsia="zh-CN"/>
        </w:rPr>
        <w:t>淤泥和垃圾</w:t>
      </w:r>
      <w:r>
        <w:rPr>
          <w:rFonts w:hint="eastAsia"/>
          <w:sz w:val="24"/>
          <w:szCs w:val="24"/>
        </w:rPr>
        <w:t>进行</w:t>
      </w:r>
      <w:r>
        <w:rPr>
          <w:rFonts w:hint="eastAsia"/>
          <w:sz w:val="24"/>
          <w:szCs w:val="24"/>
          <w:lang w:val="en-US" w:eastAsia="zh-CN"/>
        </w:rPr>
        <w:t>日常</w:t>
      </w:r>
      <w:r>
        <w:rPr>
          <w:rFonts w:hint="eastAsia"/>
          <w:sz w:val="24"/>
          <w:szCs w:val="24"/>
        </w:rPr>
        <w:t>清运</w:t>
      </w:r>
      <w:r>
        <w:rPr>
          <w:rFonts w:hint="eastAsia"/>
          <w:sz w:val="24"/>
          <w:szCs w:val="24"/>
          <w:lang w:val="en-US" w:eastAsia="zh-CN"/>
        </w:rPr>
        <w:t>工作</w:t>
      </w:r>
      <w:r>
        <w:rPr>
          <w:rFonts w:hint="eastAsia"/>
          <w:sz w:val="24"/>
          <w:szCs w:val="24"/>
        </w:rPr>
        <w:t>。</w:t>
      </w:r>
    </w:p>
    <w:p>
      <w:pPr>
        <w:keepNext w:val="0"/>
        <w:keepLines w:val="0"/>
        <w:pageBreakBefore w:val="0"/>
        <w:widowControl w:val="0"/>
        <w:numPr>
          <w:ilvl w:val="255"/>
          <w:numId w:val="0"/>
        </w:numPr>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sz w:val="24"/>
          <w:szCs w:val="24"/>
        </w:rPr>
      </w:pPr>
      <w:r>
        <w:rPr>
          <w:rFonts w:hint="eastAsia"/>
          <w:sz w:val="24"/>
          <w:szCs w:val="24"/>
        </w:rPr>
        <w:t>排水沟</w:t>
      </w:r>
      <w:r>
        <w:rPr>
          <w:rFonts w:hint="eastAsia"/>
          <w:sz w:val="24"/>
          <w:szCs w:val="24"/>
          <w:lang w:val="en-US" w:eastAsia="zh-CN"/>
        </w:rPr>
        <w:t>规格</w:t>
      </w:r>
      <w:r>
        <w:rPr>
          <w:rFonts w:hint="eastAsia"/>
          <w:sz w:val="24"/>
          <w:szCs w:val="24"/>
        </w:rPr>
        <w:t>概况如下：</w:t>
      </w:r>
    </w:p>
    <w:p>
      <w:pPr>
        <w:keepNext w:val="0"/>
        <w:keepLines w:val="0"/>
        <w:pageBreakBefore w:val="0"/>
        <w:widowControl w:val="0"/>
        <w:numPr>
          <w:ilvl w:val="255"/>
          <w:numId w:val="0"/>
        </w:numPr>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sz w:val="24"/>
          <w:szCs w:val="24"/>
        </w:rPr>
      </w:pPr>
      <w:r>
        <w:rPr>
          <w:rFonts w:hint="eastAsia"/>
          <w:sz w:val="24"/>
          <w:szCs w:val="24"/>
        </w:rPr>
        <w:t>T1地下车库出入口排水沟规格：长49m，宽15cm，深20cm</w:t>
      </w:r>
      <w:r>
        <w:rPr>
          <w:rFonts w:hint="eastAsia"/>
          <w:sz w:val="24"/>
          <w:szCs w:val="24"/>
          <w:lang w:eastAsia="zh-CN"/>
        </w:rPr>
        <w:t>；</w:t>
      </w:r>
    </w:p>
    <w:p>
      <w:pPr>
        <w:keepNext w:val="0"/>
        <w:keepLines w:val="0"/>
        <w:pageBreakBefore w:val="0"/>
        <w:widowControl w:val="0"/>
        <w:numPr>
          <w:ilvl w:val="255"/>
          <w:numId w:val="0"/>
        </w:numPr>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sz w:val="24"/>
          <w:szCs w:val="24"/>
        </w:rPr>
      </w:pPr>
      <w:r>
        <w:rPr>
          <w:rFonts w:hint="eastAsia"/>
          <w:sz w:val="24"/>
          <w:szCs w:val="24"/>
        </w:rPr>
        <w:t>T2地下车库入口排水沟规格：长40m，宽40cm，深13cm</w:t>
      </w:r>
      <w:r>
        <w:rPr>
          <w:rFonts w:hint="eastAsia"/>
          <w:sz w:val="24"/>
          <w:szCs w:val="24"/>
          <w:lang w:eastAsia="zh-CN"/>
        </w:rPr>
        <w:t>。</w:t>
      </w:r>
    </w:p>
    <w:p>
      <w:pPr>
        <w:keepNext w:val="0"/>
        <w:keepLines w:val="0"/>
        <w:pageBreakBefore w:val="0"/>
        <w:widowControl w:val="0"/>
        <w:numPr>
          <w:ilvl w:val="255"/>
          <w:numId w:val="0"/>
        </w:numPr>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sz w:val="24"/>
          <w:szCs w:val="24"/>
        </w:rPr>
      </w:pPr>
      <w:r>
        <w:rPr>
          <w:rFonts w:hint="eastAsia"/>
          <w:sz w:val="24"/>
          <w:szCs w:val="24"/>
        </w:rPr>
        <w:t>集水井</w:t>
      </w:r>
      <w:r>
        <w:rPr>
          <w:rFonts w:hint="eastAsia"/>
          <w:sz w:val="24"/>
          <w:szCs w:val="24"/>
          <w:lang w:val="en-US" w:eastAsia="zh-CN"/>
        </w:rPr>
        <w:t>规格</w:t>
      </w:r>
      <w:r>
        <w:rPr>
          <w:rFonts w:hint="eastAsia"/>
          <w:sz w:val="24"/>
          <w:szCs w:val="24"/>
        </w:rPr>
        <w:t>概况如下：</w:t>
      </w:r>
    </w:p>
    <w:p>
      <w:pPr>
        <w:keepNext w:val="0"/>
        <w:keepLines w:val="0"/>
        <w:pageBreakBefore w:val="0"/>
        <w:widowControl w:val="0"/>
        <w:numPr>
          <w:ilvl w:val="255"/>
          <w:numId w:val="0"/>
        </w:numPr>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sz w:val="24"/>
          <w:szCs w:val="24"/>
        </w:rPr>
      </w:pPr>
      <w:r>
        <w:rPr>
          <w:rFonts w:hint="eastAsia"/>
          <w:sz w:val="24"/>
          <w:szCs w:val="24"/>
        </w:rPr>
        <w:t>T1地下车库出入口排水沟北侧配套集水井：长1m，宽1.1m，深1.1m</w:t>
      </w:r>
      <w:r>
        <w:rPr>
          <w:rFonts w:hint="eastAsia"/>
          <w:sz w:val="24"/>
          <w:szCs w:val="24"/>
          <w:lang w:eastAsia="zh-CN"/>
        </w:rPr>
        <w:t>；</w:t>
      </w:r>
    </w:p>
    <w:p>
      <w:pPr>
        <w:keepNext w:val="0"/>
        <w:keepLines w:val="0"/>
        <w:pageBreakBefore w:val="0"/>
        <w:widowControl w:val="0"/>
        <w:numPr>
          <w:ilvl w:val="255"/>
          <w:numId w:val="0"/>
        </w:numPr>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sz w:val="24"/>
          <w:szCs w:val="24"/>
        </w:rPr>
      </w:pPr>
      <w:r>
        <w:rPr>
          <w:rFonts w:hint="eastAsia"/>
          <w:sz w:val="24"/>
          <w:szCs w:val="24"/>
        </w:rPr>
        <w:t>T1地下车库出入口排水沟南侧配套集水井：长1.26m，宽1.26m，深1.3m</w:t>
      </w:r>
      <w:r>
        <w:rPr>
          <w:rFonts w:hint="eastAsia"/>
          <w:sz w:val="24"/>
          <w:szCs w:val="24"/>
          <w:lang w:eastAsia="zh-CN"/>
        </w:rPr>
        <w:t>；</w:t>
      </w:r>
    </w:p>
    <w:p>
      <w:pPr>
        <w:keepNext w:val="0"/>
        <w:keepLines w:val="0"/>
        <w:pageBreakBefore w:val="0"/>
        <w:widowControl w:val="0"/>
        <w:numPr>
          <w:ilvl w:val="255"/>
          <w:numId w:val="0"/>
        </w:numPr>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sz w:val="24"/>
          <w:szCs w:val="24"/>
        </w:rPr>
      </w:pPr>
      <w:r>
        <w:rPr>
          <w:rFonts w:hint="eastAsia"/>
          <w:sz w:val="24"/>
          <w:szCs w:val="24"/>
        </w:rPr>
        <w:t>T2地下车库入口排水沟配套集水井：长1m，宽1m，深1.1m</w:t>
      </w:r>
      <w:r>
        <w:rPr>
          <w:rFonts w:hint="eastAsia"/>
          <w:sz w:val="24"/>
          <w:szCs w:val="24"/>
          <w:lang w:eastAsia="zh-CN"/>
        </w:rPr>
        <w:t>。</w:t>
      </w:r>
    </w:p>
    <w:p>
      <w:pPr>
        <w:keepNext w:val="0"/>
        <w:keepLines w:val="0"/>
        <w:pageBreakBefore w:val="0"/>
        <w:widowControl w:val="0"/>
        <w:numPr>
          <w:ilvl w:val="255"/>
          <w:numId w:val="0"/>
        </w:numPr>
        <w:kinsoku/>
        <w:wordWrap/>
        <w:overflowPunct/>
        <w:topLinePunct w:val="0"/>
        <w:autoSpaceDE/>
        <w:autoSpaceDN/>
        <w:bidi w:val="0"/>
        <w:adjustRightInd/>
        <w:snapToGrid/>
        <w:spacing w:line="360" w:lineRule="exact"/>
        <w:ind w:left="0" w:leftChars="0" w:right="0" w:rightChars="0"/>
        <w:jc w:val="both"/>
        <w:textAlignment w:val="auto"/>
        <w:rPr>
          <w:b/>
          <w:bCs/>
          <w:sz w:val="24"/>
          <w:szCs w:val="24"/>
        </w:rPr>
      </w:pPr>
      <w:bookmarkStart w:id="113" w:name="_Hlk112007173"/>
      <w:r>
        <w:rPr>
          <w:rFonts w:hint="eastAsia"/>
          <w:b/>
          <w:bCs/>
          <w:sz w:val="24"/>
          <w:szCs w:val="24"/>
        </w:rPr>
        <w:t>二、技术标准：</w:t>
      </w:r>
    </w:p>
    <w:p>
      <w:pPr>
        <w:keepNext w:val="0"/>
        <w:keepLines w:val="0"/>
        <w:pageBreakBefore w:val="0"/>
        <w:widowControl w:val="0"/>
        <w:numPr>
          <w:ilvl w:val="255"/>
          <w:numId w:val="0"/>
        </w:numPr>
        <w:kinsoku/>
        <w:wordWrap/>
        <w:overflowPunct/>
        <w:topLinePunct w:val="0"/>
        <w:autoSpaceDE/>
        <w:autoSpaceDN/>
        <w:bidi w:val="0"/>
        <w:adjustRightInd/>
        <w:snapToGrid/>
        <w:spacing w:line="360" w:lineRule="exact"/>
        <w:ind w:left="0" w:leftChars="0" w:right="0" w:rightChars="0" w:firstLine="480"/>
        <w:jc w:val="both"/>
        <w:textAlignment w:val="auto"/>
        <w:rPr>
          <w:rFonts w:hint="eastAsia"/>
          <w:sz w:val="24"/>
          <w:szCs w:val="24"/>
        </w:rPr>
      </w:pPr>
      <w:r>
        <w:rPr>
          <w:rFonts w:hint="eastAsia"/>
          <w:sz w:val="24"/>
          <w:szCs w:val="24"/>
        </w:rPr>
        <w:t xml:space="preserve"> 对T1、T2航站楼地下停车库进出口排水沟及配套集水井进行</w:t>
      </w:r>
      <w:r>
        <w:rPr>
          <w:rFonts w:hint="eastAsia"/>
          <w:sz w:val="24"/>
          <w:szCs w:val="24"/>
          <w:lang w:val="en-US" w:eastAsia="zh-CN"/>
        </w:rPr>
        <w:t>日常</w:t>
      </w:r>
      <w:r>
        <w:rPr>
          <w:rFonts w:hint="eastAsia"/>
          <w:sz w:val="24"/>
          <w:szCs w:val="24"/>
        </w:rPr>
        <w:t>淤泥</w:t>
      </w:r>
      <w:r>
        <w:rPr>
          <w:rFonts w:hint="eastAsia"/>
          <w:sz w:val="24"/>
          <w:szCs w:val="24"/>
          <w:lang w:val="en-US" w:eastAsia="zh-CN"/>
        </w:rPr>
        <w:t>和垃圾</w:t>
      </w:r>
      <w:r>
        <w:rPr>
          <w:rFonts w:hint="eastAsia"/>
          <w:sz w:val="24"/>
          <w:szCs w:val="24"/>
        </w:rPr>
        <w:t>清运</w:t>
      </w:r>
      <w:r>
        <w:rPr>
          <w:rFonts w:hint="eastAsia"/>
          <w:sz w:val="24"/>
          <w:szCs w:val="24"/>
          <w:lang w:val="en-US" w:eastAsia="zh-CN"/>
        </w:rPr>
        <w:t>工作</w:t>
      </w:r>
      <w:r>
        <w:rPr>
          <w:rFonts w:hint="eastAsia"/>
          <w:sz w:val="24"/>
          <w:szCs w:val="24"/>
        </w:rPr>
        <w:t>，经过清理后排水沟及集水井内无淤泥和垃圾</w:t>
      </w:r>
      <w:r>
        <w:rPr>
          <w:rFonts w:hint="eastAsia"/>
          <w:sz w:val="24"/>
          <w:szCs w:val="24"/>
          <w:lang w:val="en-US" w:eastAsia="zh-CN"/>
        </w:rPr>
        <w:t>堆积</w:t>
      </w:r>
      <w:r>
        <w:rPr>
          <w:rFonts w:hint="eastAsia"/>
          <w:sz w:val="24"/>
          <w:szCs w:val="24"/>
        </w:rPr>
        <w:t>，保持排水</w:t>
      </w:r>
      <w:r>
        <w:rPr>
          <w:rFonts w:hint="eastAsia"/>
          <w:sz w:val="24"/>
          <w:szCs w:val="24"/>
          <w:lang w:val="en-US" w:eastAsia="zh-CN"/>
        </w:rPr>
        <w:t>畅通</w:t>
      </w:r>
      <w:r>
        <w:rPr>
          <w:rFonts w:hint="eastAsia"/>
          <w:sz w:val="24"/>
          <w:szCs w:val="24"/>
        </w:rPr>
        <w:t>，路面无积水。</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0" w:leftChars="0" w:right="0" w:rightChars="0"/>
        <w:jc w:val="both"/>
        <w:textAlignment w:val="auto"/>
        <w:rPr>
          <w:b/>
          <w:bCs/>
          <w:sz w:val="24"/>
          <w:szCs w:val="24"/>
        </w:rPr>
      </w:pPr>
      <w:r>
        <w:rPr>
          <w:rFonts w:hint="eastAsia"/>
          <w:b/>
          <w:bCs/>
          <w:sz w:val="24"/>
          <w:szCs w:val="24"/>
        </w:rPr>
        <w:t>服务要求：</w:t>
      </w:r>
    </w:p>
    <w:p>
      <w:pPr>
        <w:keepNext w:val="0"/>
        <w:keepLines w:val="0"/>
        <w:pageBreakBefore w:val="0"/>
        <w:widowControl w:val="0"/>
        <w:numPr>
          <w:ilvl w:val="0"/>
          <w:numId w:val="5"/>
        </w:numPr>
        <w:kinsoku/>
        <w:wordWrap/>
        <w:overflowPunct/>
        <w:topLinePunct w:val="0"/>
        <w:autoSpaceDE/>
        <w:autoSpaceDN/>
        <w:bidi w:val="0"/>
        <w:adjustRightInd/>
        <w:snapToGrid/>
        <w:spacing w:line="360" w:lineRule="exact"/>
        <w:ind w:left="0" w:leftChars="0" w:right="0" w:rightChars="0" w:firstLine="480" w:firstLineChars="200"/>
        <w:jc w:val="both"/>
        <w:textAlignment w:val="auto"/>
        <w:rPr>
          <w:sz w:val="24"/>
          <w:szCs w:val="24"/>
        </w:rPr>
      </w:pPr>
      <w:r>
        <w:rPr>
          <w:rFonts w:hint="eastAsia"/>
          <w:sz w:val="24"/>
          <w:szCs w:val="24"/>
        </w:rPr>
        <w:t>服务期内，中标单位需安排人员对地下停车库进出口排水沟及配套集水井进行巡查，发现有淤泥及垃圾堵塞需及时清理干净，保证排水沟排水顺畅，集水井内水泵运行正常，作业过程中不得对地下车库的正常通行造成影响。</w:t>
      </w:r>
    </w:p>
    <w:p>
      <w:pPr>
        <w:keepNext w:val="0"/>
        <w:keepLines w:val="0"/>
        <w:pageBreakBefore w:val="0"/>
        <w:widowControl w:val="0"/>
        <w:numPr>
          <w:ilvl w:val="0"/>
          <w:numId w:val="5"/>
        </w:numPr>
        <w:kinsoku/>
        <w:wordWrap/>
        <w:overflowPunct/>
        <w:topLinePunct w:val="0"/>
        <w:autoSpaceDE/>
        <w:autoSpaceDN/>
        <w:bidi w:val="0"/>
        <w:adjustRightInd/>
        <w:snapToGrid/>
        <w:spacing w:line="360" w:lineRule="exact"/>
        <w:ind w:left="0" w:leftChars="0" w:right="0" w:rightChars="0" w:firstLine="480" w:firstLineChars="200"/>
        <w:jc w:val="both"/>
        <w:textAlignment w:val="auto"/>
        <w:rPr>
          <w:sz w:val="24"/>
          <w:szCs w:val="24"/>
        </w:rPr>
      </w:pPr>
      <w:bookmarkStart w:id="114" w:name="_Hlk112006685"/>
      <w:r>
        <w:rPr>
          <w:rFonts w:hint="eastAsia"/>
          <w:sz w:val="24"/>
          <w:szCs w:val="24"/>
        </w:rPr>
        <w:t>服务期内，</w:t>
      </w:r>
      <w:bookmarkEnd w:id="114"/>
      <w:r>
        <w:rPr>
          <w:rFonts w:hint="eastAsia"/>
          <w:sz w:val="24"/>
          <w:szCs w:val="24"/>
        </w:rPr>
        <w:t>中标单位需及时响应招标方提出的应急性清淤工作。在接到清淤通知后，</w:t>
      </w:r>
      <w:r>
        <w:rPr>
          <w:sz w:val="24"/>
          <w:szCs w:val="24"/>
        </w:rPr>
        <w:t>1</w:t>
      </w:r>
      <w:r>
        <w:rPr>
          <w:rFonts w:hint="eastAsia"/>
          <w:sz w:val="24"/>
          <w:szCs w:val="24"/>
        </w:rPr>
        <w:t>小时内需组织人员车辆至现场进行清淤并外运。</w:t>
      </w:r>
    </w:p>
    <w:p>
      <w:pPr>
        <w:keepNext w:val="0"/>
        <w:keepLines w:val="0"/>
        <w:pageBreakBefore w:val="0"/>
        <w:widowControl w:val="0"/>
        <w:numPr>
          <w:ilvl w:val="0"/>
          <w:numId w:val="5"/>
        </w:numPr>
        <w:kinsoku/>
        <w:wordWrap/>
        <w:overflowPunct/>
        <w:topLinePunct w:val="0"/>
        <w:autoSpaceDE/>
        <w:autoSpaceDN/>
        <w:bidi w:val="0"/>
        <w:adjustRightInd/>
        <w:snapToGrid/>
        <w:spacing w:line="360" w:lineRule="exact"/>
        <w:ind w:left="0" w:leftChars="0" w:right="0" w:rightChars="0" w:firstLine="480" w:firstLineChars="200"/>
        <w:jc w:val="both"/>
        <w:textAlignment w:val="auto"/>
        <w:rPr>
          <w:rFonts w:hint="eastAsia"/>
          <w:color w:val="auto"/>
        </w:rPr>
      </w:pPr>
      <w:r>
        <w:rPr>
          <w:rFonts w:hint="eastAsia"/>
          <w:color w:val="auto"/>
          <w:sz w:val="24"/>
          <w:szCs w:val="24"/>
        </w:rPr>
        <w:t>服务期内，排水沟</w:t>
      </w:r>
      <w:r>
        <w:rPr>
          <w:rFonts w:hint="eastAsia"/>
          <w:color w:val="auto"/>
          <w:sz w:val="24"/>
          <w:szCs w:val="24"/>
          <w:lang w:val="en-US" w:eastAsia="zh-CN"/>
        </w:rPr>
        <w:t>和</w:t>
      </w:r>
      <w:r>
        <w:rPr>
          <w:rFonts w:hint="eastAsia"/>
          <w:color w:val="auto"/>
          <w:sz w:val="24"/>
          <w:szCs w:val="24"/>
        </w:rPr>
        <w:t>集水井格栅盖板拆装由中标单位负责，在拆装盖板时，</w:t>
      </w:r>
      <w:r>
        <w:rPr>
          <w:rFonts w:hint="eastAsia"/>
          <w:color w:val="auto"/>
          <w:sz w:val="24"/>
          <w:szCs w:val="24"/>
          <w:lang w:eastAsia="zh-CN"/>
        </w:rPr>
        <w:t>若有损坏，</w:t>
      </w:r>
      <w:r>
        <w:rPr>
          <w:rFonts w:hint="eastAsia"/>
          <w:color w:val="auto"/>
          <w:sz w:val="24"/>
          <w:szCs w:val="24"/>
          <w:lang w:val="en-US" w:eastAsia="zh-CN"/>
        </w:rPr>
        <w:t>中标单位需对破损</w:t>
      </w:r>
      <w:r>
        <w:rPr>
          <w:rFonts w:hint="eastAsia"/>
          <w:color w:val="auto"/>
          <w:sz w:val="24"/>
          <w:szCs w:val="24"/>
        </w:rPr>
        <w:t>盖板进行更换。</w:t>
      </w:r>
    </w:p>
    <w:p>
      <w:pPr>
        <w:keepNext w:val="0"/>
        <w:keepLines w:val="0"/>
        <w:pageBreakBefore w:val="0"/>
        <w:widowControl w:val="0"/>
        <w:numPr>
          <w:ilvl w:val="0"/>
          <w:numId w:val="5"/>
        </w:numPr>
        <w:kinsoku/>
        <w:wordWrap/>
        <w:overflowPunct/>
        <w:topLinePunct w:val="0"/>
        <w:autoSpaceDE/>
        <w:autoSpaceDN/>
        <w:bidi w:val="0"/>
        <w:adjustRightInd/>
        <w:snapToGrid/>
        <w:spacing w:line="360" w:lineRule="exact"/>
        <w:ind w:left="0" w:leftChars="0" w:right="0" w:rightChars="0" w:firstLine="480" w:firstLineChars="200"/>
        <w:jc w:val="both"/>
        <w:textAlignment w:val="auto"/>
        <w:rPr>
          <w:sz w:val="24"/>
          <w:szCs w:val="24"/>
        </w:rPr>
      </w:pPr>
      <w:r>
        <w:rPr>
          <w:rFonts w:hint="eastAsia"/>
          <w:sz w:val="24"/>
          <w:szCs w:val="24"/>
        </w:rPr>
        <w:t>淤泥及垃圾不提供场地堆放，</w:t>
      </w:r>
      <w:r>
        <w:rPr>
          <w:rFonts w:hint="eastAsia"/>
          <w:sz w:val="24"/>
          <w:szCs w:val="24"/>
          <w:lang w:val="en-US" w:eastAsia="zh-CN"/>
        </w:rPr>
        <w:t>中标单位</w:t>
      </w:r>
      <w:r>
        <w:rPr>
          <w:rFonts w:hint="eastAsia"/>
          <w:sz w:val="24"/>
          <w:szCs w:val="24"/>
        </w:rPr>
        <w:t>须自行运出机场处理</w:t>
      </w:r>
      <w:r>
        <w:rPr>
          <w:rFonts w:hint="eastAsia"/>
          <w:sz w:val="24"/>
          <w:szCs w:val="24"/>
          <w:lang w:eastAsia="zh-CN"/>
        </w:rPr>
        <w:t>，</w:t>
      </w:r>
      <w:r>
        <w:rPr>
          <w:rFonts w:hint="eastAsia"/>
          <w:sz w:val="24"/>
          <w:szCs w:val="24"/>
          <w:lang w:val="en-US" w:eastAsia="zh-CN"/>
        </w:rPr>
        <w:t>不得随意倾倒在机场范围内</w:t>
      </w:r>
      <w:r>
        <w:rPr>
          <w:rFonts w:hint="eastAsia"/>
          <w:sz w:val="24"/>
          <w:szCs w:val="24"/>
        </w:rPr>
        <w:t>。</w:t>
      </w:r>
    </w:p>
    <w:bookmarkEnd w:id="113"/>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0" w:leftChars="0" w:right="0" w:rightChars="0"/>
        <w:jc w:val="both"/>
        <w:textAlignment w:val="auto"/>
        <w:rPr>
          <w:b/>
          <w:bCs/>
          <w:sz w:val="24"/>
          <w:szCs w:val="24"/>
        </w:rPr>
      </w:pPr>
      <w:r>
        <w:rPr>
          <w:rFonts w:hint="eastAsia"/>
          <w:b/>
          <w:bCs/>
          <w:sz w:val="24"/>
          <w:szCs w:val="24"/>
        </w:rPr>
        <w:t>其他要求：</w:t>
      </w:r>
    </w:p>
    <w:p>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0" w:leftChars="0" w:right="0" w:rightChars="0" w:firstLine="480" w:firstLineChars="200"/>
        <w:jc w:val="both"/>
        <w:textAlignment w:val="auto"/>
        <w:rPr>
          <w:sz w:val="24"/>
          <w:szCs w:val="24"/>
        </w:rPr>
      </w:pPr>
      <w:r>
        <w:rPr>
          <w:rFonts w:hint="eastAsia"/>
          <w:sz w:val="24"/>
          <w:szCs w:val="24"/>
        </w:rPr>
        <w:t>承包人的项目组织实施须遵守杭州萧山国际机场相关规定要求。</w:t>
      </w:r>
    </w:p>
    <w:p>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0" w:leftChars="0" w:right="0" w:rightChars="0" w:firstLine="480" w:firstLineChars="200"/>
        <w:jc w:val="both"/>
        <w:textAlignment w:val="auto"/>
        <w:rPr>
          <w:sz w:val="24"/>
          <w:szCs w:val="24"/>
        </w:rPr>
      </w:pPr>
      <w:r>
        <w:rPr>
          <w:rFonts w:hint="eastAsia"/>
          <w:sz w:val="24"/>
          <w:szCs w:val="24"/>
          <w:lang w:val="en-US" w:eastAsia="zh-CN"/>
        </w:rPr>
        <w:t>承</w:t>
      </w:r>
      <w:r>
        <w:rPr>
          <w:rFonts w:hint="eastAsia"/>
          <w:sz w:val="24"/>
          <w:szCs w:val="24"/>
        </w:rPr>
        <w:t>包人在整个项目的实施阶段，应采用拍照方式记录各道服务工序的实施过程，并形成一套完整的影像资料文件；拍摄的影像资料应能全面的记录整个实施全过程（包含实施前中后）的实际状况，各道工序都须按检验批拍摄留存影像资料文件</w:t>
      </w:r>
      <w:r>
        <w:rPr>
          <w:rFonts w:hint="eastAsia"/>
          <w:sz w:val="24"/>
          <w:szCs w:val="24"/>
          <w:lang w:val="en-US" w:eastAsia="zh-CN"/>
        </w:rPr>
        <w:t>并交给发包人</w:t>
      </w:r>
      <w:r>
        <w:rPr>
          <w:rFonts w:hint="eastAsia"/>
          <w:sz w:val="24"/>
          <w:szCs w:val="24"/>
        </w:rPr>
        <w:t>。</w:t>
      </w:r>
    </w:p>
    <w:p>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0" w:leftChars="0" w:right="0" w:rightChars="0" w:firstLine="480" w:firstLineChars="200"/>
        <w:jc w:val="both"/>
        <w:textAlignment w:val="auto"/>
        <w:rPr>
          <w:sz w:val="24"/>
          <w:szCs w:val="24"/>
        </w:rPr>
      </w:pPr>
      <w:r>
        <w:rPr>
          <w:rFonts w:hint="eastAsia"/>
          <w:sz w:val="24"/>
          <w:szCs w:val="24"/>
        </w:rPr>
        <w:t>对T1、T2航站楼地下停车库进出口排水沟及配套集水井</w:t>
      </w:r>
      <w:r>
        <w:rPr>
          <w:rFonts w:hint="eastAsia"/>
          <w:sz w:val="24"/>
          <w:szCs w:val="24"/>
          <w:lang w:val="en-US" w:eastAsia="zh-CN"/>
        </w:rPr>
        <w:t>进行日常</w:t>
      </w:r>
      <w:r>
        <w:rPr>
          <w:rFonts w:hint="eastAsia"/>
          <w:sz w:val="24"/>
          <w:szCs w:val="24"/>
        </w:rPr>
        <w:t>巡检</w:t>
      </w:r>
      <w:r>
        <w:rPr>
          <w:rFonts w:hint="eastAsia"/>
          <w:sz w:val="24"/>
          <w:szCs w:val="24"/>
          <w:lang w:eastAsia="zh-CN"/>
        </w:rPr>
        <w:t>，</w:t>
      </w:r>
      <w:r>
        <w:rPr>
          <w:rFonts w:hint="eastAsia"/>
          <w:sz w:val="24"/>
          <w:szCs w:val="24"/>
        </w:rPr>
        <w:t>原则上不应少于3天</w:t>
      </w:r>
      <w:r>
        <w:rPr>
          <w:rFonts w:hint="eastAsia"/>
          <w:sz w:val="24"/>
          <w:szCs w:val="24"/>
          <w:lang w:val="en-US" w:eastAsia="zh-CN"/>
        </w:rPr>
        <w:t>一</w:t>
      </w:r>
      <w:r>
        <w:rPr>
          <w:rFonts w:hint="eastAsia"/>
          <w:sz w:val="24"/>
          <w:szCs w:val="24"/>
        </w:rPr>
        <w:t>次，巡查时应对集水井提升泵进行主备切换，避免止回阀阻塞导致集水井内积水无法及时排出。</w:t>
      </w:r>
    </w:p>
    <w:p>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0" w:leftChars="0" w:right="0" w:rightChars="0" w:firstLine="480" w:firstLineChars="200"/>
        <w:jc w:val="both"/>
        <w:textAlignment w:val="auto"/>
        <w:rPr>
          <w:sz w:val="24"/>
          <w:szCs w:val="24"/>
        </w:rPr>
      </w:pPr>
      <w:r>
        <w:rPr>
          <w:rFonts w:hint="eastAsia"/>
          <w:sz w:val="24"/>
          <w:szCs w:val="24"/>
        </w:rPr>
        <w:t>在项目实施期间，承包人须无条件服从机场公司关于进度</w:t>
      </w:r>
      <w:r>
        <w:rPr>
          <w:rFonts w:hint="eastAsia"/>
          <w:sz w:val="24"/>
          <w:szCs w:val="24"/>
          <w:lang w:val="en-US" w:eastAsia="zh-CN"/>
        </w:rPr>
        <w:t>安排和服务质量</w:t>
      </w:r>
      <w:r>
        <w:rPr>
          <w:rFonts w:hint="eastAsia"/>
          <w:sz w:val="24"/>
          <w:szCs w:val="24"/>
        </w:rPr>
        <w:t>的统一</w:t>
      </w:r>
      <w:r>
        <w:rPr>
          <w:rFonts w:hint="eastAsia"/>
          <w:sz w:val="24"/>
          <w:szCs w:val="24"/>
          <w:lang w:val="en-US" w:eastAsia="zh-CN"/>
        </w:rPr>
        <w:t>管理</w:t>
      </w:r>
      <w:r>
        <w:rPr>
          <w:rFonts w:hint="eastAsia"/>
          <w:sz w:val="24"/>
          <w:szCs w:val="24"/>
        </w:rPr>
        <w:t>。</w:t>
      </w:r>
    </w:p>
    <w:p>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0" w:leftChars="0" w:right="0" w:rightChars="0" w:firstLine="480" w:firstLineChars="200"/>
        <w:jc w:val="both"/>
        <w:textAlignment w:val="auto"/>
        <w:rPr>
          <w:sz w:val="24"/>
          <w:szCs w:val="24"/>
        </w:rPr>
      </w:pPr>
      <w:r>
        <w:rPr>
          <w:rFonts w:hint="eastAsia"/>
          <w:sz w:val="24"/>
          <w:szCs w:val="24"/>
        </w:rPr>
        <w:t>承包人应高度重视安全文明措施工作，其措施应符合项目实施的实际情况，并能够同实施程序相结合，落实到各道工序中，从而使安全文明措施真正起到保障服务项目实施的区域安全、保障生命财产安全及促进安全生产的作用。</w:t>
      </w:r>
    </w:p>
    <w:p>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0" w:leftChars="0" w:right="0" w:rightChars="0" w:firstLine="480" w:firstLineChars="200"/>
        <w:jc w:val="both"/>
        <w:textAlignment w:val="auto"/>
        <w:rPr>
          <w:sz w:val="24"/>
          <w:szCs w:val="24"/>
        </w:rPr>
      </w:pPr>
      <w:r>
        <w:rPr>
          <w:rFonts w:hint="eastAsia"/>
          <w:sz w:val="24"/>
          <w:szCs w:val="24"/>
        </w:rPr>
        <w:t>承包人在项目实施过程需充分考虑</w:t>
      </w:r>
      <w:r>
        <w:rPr>
          <w:rFonts w:hint="eastAsia"/>
          <w:sz w:val="24"/>
          <w:szCs w:val="24"/>
          <w:lang w:val="en-US" w:eastAsia="zh-CN"/>
        </w:rPr>
        <w:t>地下车库车辆不停进出可能</w:t>
      </w:r>
      <w:r>
        <w:rPr>
          <w:rFonts w:hint="eastAsia"/>
          <w:sz w:val="24"/>
          <w:szCs w:val="24"/>
        </w:rPr>
        <w:t>造成的人工、机械降效，夜间</w:t>
      </w:r>
      <w:r>
        <w:rPr>
          <w:rFonts w:hint="eastAsia"/>
          <w:sz w:val="24"/>
          <w:szCs w:val="24"/>
          <w:lang w:val="en-US" w:eastAsia="zh-CN"/>
        </w:rPr>
        <w:t>加班</w:t>
      </w:r>
      <w:r>
        <w:rPr>
          <w:rFonts w:hint="eastAsia"/>
          <w:sz w:val="24"/>
          <w:szCs w:val="24"/>
        </w:rPr>
        <w:t>，施工难度增加等,相关费用请投标人在投标报价时充分考虑。</w:t>
      </w:r>
    </w:p>
    <w:p>
      <w:pPr>
        <w:widowControl/>
        <w:numPr>
          <w:ilvl w:val="255"/>
          <w:numId w:val="0"/>
        </w:numPr>
        <w:jc w:val="left"/>
        <w:rPr>
          <w:rFonts w:ascii="宋体" w:hAnsi="宋体" w:cs="宋体"/>
          <w:kern w:val="0"/>
          <w:sz w:val="24"/>
          <w:szCs w:val="24"/>
        </w:rPr>
      </w:pPr>
    </w:p>
    <w:p>
      <w:pPr>
        <w:widowControl/>
        <w:jc w:val="left"/>
        <w:rPr>
          <w:rFonts w:eastAsia="黑体" w:cs="Calibri"/>
          <w:b/>
          <w:bCs/>
          <w:kern w:val="0"/>
          <w:sz w:val="24"/>
          <w:szCs w:val="24"/>
        </w:rPr>
      </w:pPr>
    </w:p>
    <w:p>
      <w:pPr>
        <w:widowControl/>
        <w:jc w:val="left"/>
        <w:rPr>
          <w:rFonts w:eastAsia="黑体" w:cs="Calibri"/>
          <w:b/>
          <w:bCs/>
          <w:kern w:val="0"/>
          <w:sz w:val="32"/>
          <w:szCs w:val="44"/>
        </w:rPr>
      </w:pPr>
    </w:p>
    <w:p>
      <w:pPr>
        <w:widowControl/>
        <w:jc w:val="left"/>
        <w:rPr>
          <w:rFonts w:eastAsia="黑体" w:cs="Calibri"/>
          <w:b/>
          <w:bCs/>
          <w:kern w:val="0"/>
          <w:sz w:val="32"/>
          <w:szCs w:val="44"/>
        </w:rPr>
      </w:pPr>
    </w:p>
    <w:p>
      <w:pPr>
        <w:pStyle w:val="2"/>
      </w:pPr>
    </w:p>
    <w:p>
      <w:pPr>
        <w:pStyle w:val="3"/>
        <w:keepNext w:val="0"/>
        <w:pageBreakBefore/>
        <w:numPr>
          <w:ilvl w:val="0"/>
          <w:numId w:val="7"/>
        </w:numPr>
        <w:spacing w:before="0" w:after="0" w:line="360" w:lineRule="auto"/>
        <w:jc w:val="center"/>
        <w:rPr>
          <w:rFonts w:ascii="Calibri" w:hAnsi="Calibri" w:eastAsia="黑体" w:cs="Calibri"/>
          <w:kern w:val="0"/>
          <w:sz w:val="32"/>
        </w:rPr>
      </w:pPr>
      <w:bookmarkStart w:id="115" w:name="_Toc448002986"/>
      <w:r>
        <w:rPr>
          <w:rFonts w:hint="eastAsia" w:ascii="Calibri" w:hAnsi="Calibri" w:eastAsia="黑体" w:cs="Calibri"/>
          <w:kern w:val="0"/>
          <w:sz w:val="32"/>
        </w:rPr>
        <w:t xml:space="preserve"> </w:t>
      </w:r>
      <w:r>
        <w:rPr>
          <w:rFonts w:ascii="Calibri" w:hAnsi="Calibri" w:eastAsia="黑体" w:cs="Calibri"/>
          <w:kern w:val="0"/>
          <w:sz w:val="32"/>
        </w:rPr>
        <w:t>合同条款</w:t>
      </w:r>
      <w:bookmarkEnd w:id="115"/>
    </w:p>
    <w:p>
      <w:pPr>
        <w:jc w:val="center"/>
      </w:pPr>
    </w:p>
    <w:p>
      <w:pPr>
        <w:jc w:val="center"/>
        <w:rPr>
          <w:sz w:val="52"/>
          <w:szCs w:val="52"/>
        </w:rPr>
      </w:pPr>
      <w:r>
        <w:rPr>
          <w:rFonts w:hint="eastAsia"/>
          <w:b/>
          <w:bCs/>
          <w:sz w:val="52"/>
          <w:szCs w:val="52"/>
        </w:rPr>
        <w:t>技术服务合同</w:t>
      </w:r>
    </w:p>
    <w:p/>
    <w:p>
      <w:pPr>
        <w:jc w:val="both"/>
        <w:rPr>
          <w:rFonts w:hint="eastAsia" w:ascii="仿宋_GB2312" w:hAnsi="仿宋_GB2312" w:eastAsia="仿宋_GB2312" w:cs="仿宋_GB2312"/>
          <w:sz w:val="32"/>
          <w:szCs w:val="32"/>
        </w:rPr>
      </w:pPr>
      <w:bookmarkStart w:id="116" w:name="_Toc448002987"/>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委托方（甲方）：</w:t>
      </w:r>
      <w:r>
        <w:rPr>
          <w:rFonts w:hint="eastAsia" w:ascii="仿宋_GB2312" w:hAnsi="仿宋_GB2312" w:eastAsia="仿宋_GB2312" w:cs="仿宋_GB2312"/>
          <w:sz w:val="32"/>
          <w:szCs w:val="32"/>
          <w:u w:val="single"/>
        </w:rPr>
        <w:t xml:space="preserve"> 杭州萧山国际机场有限公司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住  所  地：</w:t>
      </w:r>
      <w:r>
        <w:rPr>
          <w:rFonts w:hint="eastAsia" w:ascii="仿宋_GB2312" w:hAnsi="仿宋_GB2312" w:eastAsia="仿宋_GB2312" w:cs="仿宋_GB2312"/>
          <w:sz w:val="32"/>
          <w:szCs w:val="32"/>
          <w:u w:val="single"/>
        </w:rPr>
        <w:t xml:space="preserve">     杭州萧山国际机场内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pPr>
        <w:keepNext w:val="0"/>
        <w:keepLines w:val="0"/>
        <w:pageBreakBefore w:val="0"/>
        <w:widowControl w:val="0"/>
        <w:tabs>
          <w:tab w:val="left" w:pos="1050"/>
        </w:tabs>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项目联系人：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210" w:leftChars="10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联系方式 ：_______________________________</w:t>
      </w:r>
    </w:p>
    <w:p>
      <w:pPr>
        <w:keepNext w:val="0"/>
        <w:keepLines w:val="0"/>
        <w:pageBreakBefore w:val="0"/>
        <w:widowControl w:val="0"/>
        <w:tabs>
          <w:tab w:val="left" w:pos="8100"/>
        </w:tabs>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通讯地址：</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电    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传真：</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电子信箱：</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受托方（乙方）：</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住  所  地：</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法定代表人：</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项目联系人：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联系方式 ：_______________________________</w:t>
      </w:r>
    </w:p>
    <w:p>
      <w:pPr>
        <w:keepNext w:val="0"/>
        <w:keepLines w:val="0"/>
        <w:pageBreakBefore w:val="0"/>
        <w:widowControl w:val="0"/>
        <w:tabs>
          <w:tab w:val="left" w:pos="8100"/>
        </w:tabs>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通讯地址：</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电    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传真：</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电子信箱：</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宋体" w:hAnsi="宋体" w:eastAsia="宋体" w:cs="宋体"/>
          <w:sz w:val="22"/>
          <w:szCs w:val="2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本合同甲方委托乙方就</w:t>
      </w:r>
      <w:r>
        <w:rPr>
          <w:rFonts w:hint="eastAsia" w:ascii="仿宋_GB2312" w:hAnsi="仿宋_GB2312" w:eastAsia="仿宋_GB2312" w:cs="仿宋_GB2312"/>
          <w:sz w:val="28"/>
          <w:szCs w:val="28"/>
          <w:u w:val="single"/>
        </w:rPr>
        <w:t>杭州萧山国际机场航站楼地下车库进出口伸缩缝排水沟清淤项目</w:t>
      </w:r>
      <w:r>
        <w:rPr>
          <w:rFonts w:hint="eastAsia" w:ascii="仿宋_GB2312" w:hAnsi="仿宋_GB2312" w:eastAsia="仿宋_GB2312" w:cs="仿宋_GB2312"/>
          <w:sz w:val="28"/>
          <w:szCs w:val="28"/>
        </w:rPr>
        <w:t>进行专项技术服务，并支付相应的技术服务报酬。双方经过平等协商，在真实、充分地表达各自意愿的基础上，根据《中华人民共和国民法典》的规定，达成如下协议，并由双方共同恪守。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第一条：</w:t>
      </w:r>
      <w:r>
        <w:rPr>
          <w:rFonts w:hint="eastAsia" w:ascii="仿宋_GB2312" w:hAnsi="仿宋_GB2312" w:eastAsia="仿宋_GB2312" w:cs="仿宋_GB2312"/>
          <w:b w:val="0"/>
          <w:bCs w:val="0"/>
          <w:sz w:val="28"/>
          <w:szCs w:val="28"/>
        </w:rPr>
        <w:t>甲方委托乙方进行技术服务的内容如下：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1．技术服务的目标：</w:t>
      </w:r>
      <w:r>
        <w:rPr>
          <w:rFonts w:hint="eastAsia" w:ascii="仿宋_GB2312" w:hAnsi="仿宋_GB2312" w:eastAsia="仿宋_GB2312" w:cs="仿宋_GB2312"/>
          <w:sz w:val="28"/>
          <w:szCs w:val="28"/>
          <w:u w:val="single"/>
        </w:rPr>
        <w:t>防止车库进出口因排水系统堵塞出现内涝险情，避免因地面湿滑造成不安全事件的发生，保障地下车库正常运营。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highlight w:val="none"/>
          <w:u w:val="single"/>
          <w:lang w:val="en-US" w:eastAsia="zh-CN"/>
        </w:rPr>
      </w:pPr>
      <w:r>
        <w:rPr>
          <w:rFonts w:hint="eastAsia" w:ascii="仿宋_GB2312" w:hAnsi="仿宋_GB2312" w:eastAsia="仿宋_GB2312" w:cs="仿宋_GB2312"/>
          <w:sz w:val="28"/>
          <w:szCs w:val="28"/>
        </w:rPr>
        <w:t>2．技术服务的内容：</w:t>
      </w:r>
      <w:r>
        <w:rPr>
          <w:rFonts w:hint="eastAsia" w:ascii="仿宋_GB2312" w:hAnsi="仿宋_GB2312" w:eastAsia="仿宋_GB2312" w:cs="仿宋_GB2312"/>
          <w:sz w:val="28"/>
          <w:szCs w:val="28"/>
          <w:u w:val="single"/>
          <w:lang w:val="en-US" w:eastAsia="zh-CN"/>
        </w:rPr>
        <w:t>在服务期内</w:t>
      </w:r>
      <w:r>
        <w:rPr>
          <w:rFonts w:hint="eastAsia" w:ascii="仿宋_GB2312" w:hAnsi="仿宋_GB2312" w:eastAsia="仿宋_GB2312" w:cs="仿宋_GB2312"/>
          <w:b w:val="0"/>
          <w:bCs w:val="0"/>
          <w:sz w:val="28"/>
          <w:szCs w:val="28"/>
          <w:highlight w:val="none"/>
          <w:u w:val="single"/>
          <w:lang w:val="en-US" w:eastAsia="zh-CN"/>
        </w:rPr>
        <w:t>对T1、T2航站楼地下停车库进出口排水沟及配套集水井中淤泥和垃圾的日常清运工作</w:t>
      </w:r>
      <w:r>
        <w:rPr>
          <w:rFonts w:hint="eastAsia" w:ascii="仿宋_GB2312" w:hAnsi="仿宋_GB2312" w:eastAsia="仿宋_GB2312" w:cs="仿宋_GB2312"/>
          <w:sz w:val="28"/>
          <w:szCs w:val="28"/>
          <w:u w:val="single"/>
        </w:rPr>
        <w:t>，经过清理后排水沟及集水井内无淤泥和垃圾</w:t>
      </w:r>
      <w:r>
        <w:rPr>
          <w:rFonts w:hint="eastAsia" w:ascii="仿宋_GB2312" w:hAnsi="仿宋_GB2312" w:eastAsia="仿宋_GB2312" w:cs="仿宋_GB2312"/>
          <w:sz w:val="28"/>
          <w:szCs w:val="28"/>
          <w:u w:val="single"/>
          <w:lang w:val="en-US" w:eastAsia="zh-CN"/>
        </w:rPr>
        <w:t>堆积</w:t>
      </w:r>
      <w:r>
        <w:rPr>
          <w:rFonts w:hint="eastAsia" w:ascii="仿宋_GB2312" w:hAnsi="仿宋_GB2312" w:eastAsia="仿宋_GB2312" w:cs="仿宋_GB2312"/>
          <w:sz w:val="28"/>
          <w:szCs w:val="28"/>
          <w:u w:val="single"/>
        </w:rPr>
        <w:t>，保持排水</w:t>
      </w:r>
      <w:r>
        <w:rPr>
          <w:rFonts w:hint="eastAsia" w:ascii="仿宋_GB2312" w:hAnsi="仿宋_GB2312" w:eastAsia="仿宋_GB2312" w:cs="仿宋_GB2312"/>
          <w:sz w:val="28"/>
          <w:szCs w:val="28"/>
          <w:u w:val="single"/>
          <w:lang w:val="en-US" w:eastAsia="zh-CN"/>
        </w:rPr>
        <w:t>畅通</w:t>
      </w:r>
      <w:r>
        <w:rPr>
          <w:rFonts w:hint="eastAsia" w:ascii="仿宋_GB2312" w:hAnsi="仿宋_GB2312" w:eastAsia="仿宋_GB2312" w:cs="仿宋_GB2312"/>
          <w:sz w:val="28"/>
          <w:szCs w:val="28"/>
          <w:u w:val="single"/>
        </w:rPr>
        <w:t>，路面无积水</w:t>
      </w:r>
      <w:r>
        <w:rPr>
          <w:rFonts w:hint="eastAsia" w:ascii="仿宋_GB2312" w:hAnsi="仿宋_GB2312" w:eastAsia="仿宋_GB2312" w:cs="仿宋_GB2312"/>
          <w:b w:val="0"/>
          <w:bCs w:val="0"/>
          <w:sz w:val="28"/>
          <w:szCs w:val="28"/>
          <w:highlight w:val="none"/>
          <w:u w:val="singl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bCs/>
          <w:sz w:val="28"/>
          <w:szCs w:val="28"/>
        </w:rPr>
        <w:t>第二条：</w:t>
      </w:r>
      <w:r>
        <w:rPr>
          <w:rFonts w:hint="eastAsia" w:ascii="仿宋_GB2312" w:hAnsi="仿宋_GB2312" w:eastAsia="仿宋_GB2312" w:cs="仿宋_GB2312"/>
          <w:b w:val="0"/>
          <w:bCs w:val="0"/>
          <w:sz w:val="28"/>
          <w:szCs w:val="28"/>
        </w:rPr>
        <w:t>乙方应按下列要求完成技术服务工作：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u w:val="single"/>
          <w:lang w:eastAsia="zh-CN"/>
        </w:rPr>
      </w:pPr>
      <w:r>
        <w:rPr>
          <w:rFonts w:hint="eastAsia" w:ascii="仿宋_GB2312" w:hAnsi="仿宋_GB2312" w:eastAsia="仿宋_GB2312" w:cs="仿宋_GB2312"/>
          <w:sz w:val="28"/>
          <w:szCs w:val="28"/>
        </w:rPr>
        <w:t>1．技术服务地点：</w:t>
      </w:r>
      <w:r>
        <w:rPr>
          <w:rFonts w:hint="eastAsia" w:ascii="仿宋_GB2312" w:hAnsi="仿宋_GB2312" w:eastAsia="仿宋_GB2312" w:cs="仿宋_GB2312"/>
          <w:sz w:val="28"/>
          <w:szCs w:val="28"/>
          <w:u w:val="single"/>
          <w:lang w:val="en-US" w:eastAsia="zh-CN"/>
        </w:rPr>
        <w:t>杭州萧山国际机场内</w:t>
      </w:r>
      <w:r>
        <w:rPr>
          <w:rFonts w:hint="eastAsia" w:ascii="仿宋_GB2312" w:hAnsi="仿宋_GB2312" w:eastAsia="仿宋_GB2312" w:cs="仿宋_GB2312"/>
          <w:sz w:val="28"/>
          <w:szCs w:val="28"/>
          <w:u w:val="singl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u w:val="single"/>
          <w:lang w:eastAsia="zh-CN"/>
        </w:rPr>
      </w:pPr>
      <w:r>
        <w:rPr>
          <w:rFonts w:hint="eastAsia" w:ascii="仿宋_GB2312" w:hAnsi="仿宋_GB2312" w:eastAsia="仿宋_GB2312" w:cs="仿宋_GB2312"/>
          <w:sz w:val="28"/>
          <w:szCs w:val="28"/>
        </w:rPr>
        <w:t>2．技术服务期限：</w:t>
      </w:r>
      <w:r>
        <w:rPr>
          <w:rFonts w:hint="eastAsia" w:ascii="仿宋_GB2312" w:hAnsi="仿宋_GB2312" w:eastAsia="仿宋_GB2312" w:cs="仿宋_GB2312"/>
          <w:sz w:val="28"/>
          <w:szCs w:val="28"/>
          <w:u w:val="single"/>
          <w:lang w:val="en-US" w:eastAsia="zh-CN"/>
        </w:rPr>
        <w:t>合同签订生效之日起18个自然月</w:t>
      </w:r>
      <w:r>
        <w:rPr>
          <w:rFonts w:hint="eastAsia" w:ascii="仿宋_GB2312" w:hAnsi="仿宋_GB2312" w:eastAsia="仿宋_GB2312" w:cs="仿宋_GB2312"/>
          <w:sz w:val="28"/>
          <w:szCs w:val="28"/>
          <w:u w:val="singl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single"/>
          <w:lang w:val="en-US" w:eastAsia="zh-CN"/>
        </w:rPr>
        <w:t>2.1、若因甲方不可抗力条件造成服务期中断（或延误），服务期应相应顺延。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single"/>
          <w:lang w:val="en-US" w:eastAsia="zh-CN"/>
        </w:rPr>
        <w:t>2.2、若在服务期内甲方修复受损排水沟，则服务期自排水沟修复之日起自动停止。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乙方须无条件服从甲方的协调和安排，不得因服务期的调整而要求变更原报价。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3．技术服务进度：</w:t>
      </w:r>
      <w:r>
        <w:rPr>
          <w:rFonts w:hint="eastAsia" w:ascii="仿宋_GB2312" w:hAnsi="仿宋_GB2312" w:eastAsia="仿宋_GB2312" w:cs="仿宋_GB2312"/>
          <w:sz w:val="28"/>
          <w:szCs w:val="28"/>
          <w:u w:val="single"/>
          <w:lang w:val="en-US" w:eastAsia="zh-CN"/>
        </w:rPr>
        <w:t>服务</w:t>
      </w:r>
      <w:r>
        <w:rPr>
          <w:rFonts w:hint="eastAsia" w:ascii="仿宋_GB2312" w:hAnsi="仿宋_GB2312" w:eastAsia="仿宋_GB2312" w:cs="仿宋_GB2312"/>
          <w:sz w:val="28"/>
          <w:szCs w:val="28"/>
          <w:u w:val="single"/>
        </w:rPr>
        <w:t>期内</w:t>
      </w:r>
      <w:r>
        <w:rPr>
          <w:rFonts w:hint="eastAsia" w:ascii="仿宋_GB2312" w:hAnsi="仿宋_GB2312" w:eastAsia="仿宋_GB2312" w:cs="仿宋_GB2312"/>
          <w:sz w:val="28"/>
          <w:szCs w:val="28"/>
          <w:u w:val="single"/>
          <w:lang w:val="en-US" w:eastAsia="zh-CN"/>
        </w:rPr>
        <w:t>开展</w:t>
      </w:r>
      <w:r>
        <w:rPr>
          <w:rFonts w:hint="eastAsia" w:ascii="仿宋_GB2312" w:hAnsi="仿宋_GB2312" w:eastAsia="仿宋_GB2312" w:cs="仿宋_GB2312"/>
          <w:b w:val="0"/>
          <w:bCs w:val="0"/>
          <w:sz w:val="28"/>
          <w:szCs w:val="28"/>
          <w:highlight w:val="none"/>
          <w:u w:val="single"/>
          <w:lang w:val="en-US" w:eastAsia="zh-CN"/>
        </w:rPr>
        <w:t>排水沟及配套集水井中淤泥和垃圾的日常巡查和清运工作，如接到甲方应急清淤通知后，1小时内需组织人员车辆至现场进行清淤并外运</w:t>
      </w:r>
      <w:r>
        <w:rPr>
          <w:rFonts w:hint="eastAsia" w:ascii="仿宋_GB2312" w:hAnsi="仿宋_GB2312" w:eastAsia="仿宋_GB2312" w:cs="仿宋_GB2312"/>
          <w:sz w:val="28"/>
          <w:szCs w:val="28"/>
          <w:u w:val="singl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rPr>
        <w:t>4．技术服务质量要求：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single"/>
          <w:lang w:val="en-US" w:eastAsia="zh-CN"/>
        </w:rPr>
        <w:t>4.1、乙方根据甲方要求独立、公正、客观、科学地展开技术服务，确保技术服务的科学性、可行性。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single"/>
          <w:lang w:val="en-US" w:eastAsia="zh-CN"/>
        </w:rPr>
        <w:t>4.2、乙方应按照合同要求及时将向甲方提供方案并落实。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single"/>
          <w:lang w:val="en-US" w:eastAsia="zh-CN"/>
        </w:rPr>
        <w:t>4.3、乙方应为本项目成立专门工作组，确保项目团队具备足够的资格和能力完成本合同服务内容。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single"/>
          <w:lang w:val="en-US" w:eastAsia="zh-CN"/>
        </w:rPr>
        <w:t>4.4、乙方在现场过程中应遵守甲方的安全规定，因乙方原因产生的一切后果及法律责任由乙方承担。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single"/>
          <w:lang w:val="en-US" w:eastAsia="zh-CN"/>
        </w:rPr>
        <w:t>4.5、乙方应遵守甲方疫情防控工作要求，因乙方原因未配合甲方做好疫情防控管理工作，产生的一切后果及法律责任由乙方承担。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single"/>
          <w:lang w:val="en-US" w:eastAsia="zh-CN"/>
        </w:rPr>
        <w:t>4.6、乙方展开工作期间，不得干扰甲方的正常生产、工作，不得损害甲方一切设备及其他设施。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single"/>
          <w:lang w:val="en-US" w:eastAsia="zh-CN"/>
        </w:rPr>
        <w:t>4.7、乙方保证在为甲方提供服务时，未经甲方书面同意，不得把该服务项目的全部或部分工作委托给第三方。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single"/>
          <w:lang w:val="en-US" w:eastAsia="zh-CN"/>
        </w:rPr>
        <w:t>4.8、乙方须按照合同约定的数额及时间向甲方提交付款申请，并及时提供增值税专用发票。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single"/>
          <w:lang w:val="en-US" w:eastAsia="zh-CN"/>
        </w:rPr>
        <w:t xml:space="preserve">4.9、乙方应当为现场从事危险作业的人员办理意外伤害保险，并由其支付意外伤害保险费用。意外伤害保险期应自项目开始实施之日起至项目验收合格之日止。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single"/>
          <w:lang w:val="en-US" w:eastAsia="zh-CN"/>
        </w:rPr>
        <w:t>4.10、乙方服务期内若发生地下车库出入口有积水溢出排水沟，甲方有权要求乙方立即清理，并保留向乙方追究责任的权利。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lang w:val="en-US" w:eastAsia="zh-CN"/>
        </w:rPr>
        <w:t>4.1</w:t>
      </w:r>
      <w:r>
        <w:rPr>
          <w:rFonts w:hint="eastAsia" w:ascii="仿宋_GB2312" w:hAnsi="仿宋_GB2312" w:eastAsia="仿宋_GB2312" w:cs="仿宋_GB2312"/>
          <w:sz w:val="28"/>
          <w:szCs w:val="28"/>
          <w:u w:val="single"/>
        </w:rPr>
        <w:t>1、</w:t>
      </w:r>
      <w:r>
        <w:rPr>
          <w:rFonts w:hint="eastAsia" w:ascii="仿宋_GB2312" w:hAnsi="仿宋_GB2312" w:eastAsia="仿宋_GB2312" w:cs="仿宋_GB2312"/>
          <w:sz w:val="28"/>
          <w:szCs w:val="28"/>
          <w:u w:val="single"/>
          <w:lang w:val="en-US" w:eastAsia="zh-CN"/>
        </w:rPr>
        <w:t>服务期</w:t>
      </w:r>
      <w:r>
        <w:rPr>
          <w:rFonts w:hint="eastAsia" w:ascii="仿宋_GB2312" w:hAnsi="仿宋_GB2312" w:eastAsia="仿宋_GB2312" w:cs="仿宋_GB2312"/>
          <w:sz w:val="28"/>
          <w:szCs w:val="28"/>
          <w:u w:val="single"/>
        </w:rPr>
        <w:t>内，</w:t>
      </w:r>
      <w:r>
        <w:rPr>
          <w:rFonts w:hint="eastAsia" w:ascii="仿宋_GB2312" w:hAnsi="仿宋_GB2312" w:eastAsia="仿宋_GB2312" w:cs="仿宋_GB2312"/>
          <w:sz w:val="28"/>
          <w:szCs w:val="28"/>
          <w:u w:val="single"/>
          <w:lang w:val="en-US" w:eastAsia="zh-CN"/>
        </w:rPr>
        <w:t>乙方</w:t>
      </w:r>
      <w:r>
        <w:rPr>
          <w:rFonts w:hint="eastAsia" w:ascii="仿宋_GB2312" w:hAnsi="仿宋_GB2312" w:eastAsia="仿宋_GB2312" w:cs="仿宋_GB2312"/>
          <w:sz w:val="28"/>
          <w:szCs w:val="28"/>
          <w:u w:val="single"/>
        </w:rPr>
        <w:t>需安排人员对T1、T2航站楼地下停车库进出口排水沟进行巡查，发现有淤泥及垃圾堵塞</w:t>
      </w:r>
      <w:r>
        <w:rPr>
          <w:rFonts w:hint="eastAsia" w:ascii="仿宋_GB2312" w:hAnsi="仿宋_GB2312" w:eastAsia="仿宋_GB2312" w:cs="仿宋_GB2312"/>
          <w:sz w:val="28"/>
          <w:szCs w:val="28"/>
          <w:u w:val="single"/>
          <w:lang w:val="en-US" w:eastAsia="zh-CN"/>
        </w:rPr>
        <w:t>须</w:t>
      </w:r>
      <w:r>
        <w:rPr>
          <w:rFonts w:hint="eastAsia" w:ascii="仿宋_GB2312" w:hAnsi="仿宋_GB2312" w:eastAsia="仿宋_GB2312" w:cs="仿宋_GB2312"/>
          <w:sz w:val="28"/>
          <w:szCs w:val="28"/>
          <w:u w:val="single"/>
        </w:rPr>
        <w:t>及时清理干净，保证排水沟排水顺畅，作业过程中不得对地下车库的正常通行造成影响。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lang w:val="en-US" w:eastAsia="zh-CN"/>
        </w:rPr>
        <w:t>4.12</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lang w:val="en-US" w:eastAsia="zh-CN"/>
        </w:rPr>
        <w:t>服务</w:t>
      </w:r>
      <w:r>
        <w:rPr>
          <w:rFonts w:hint="eastAsia" w:ascii="仿宋_GB2312" w:hAnsi="仿宋_GB2312" w:eastAsia="仿宋_GB2312" w:cs="仿宋_GB2312"/>
          <w:sz w:val="28"/>
          <w:szCs w:val="28"/>
          <w:u w:val="single"/>
        </w:rPr>
        <w:t>期内，乙方应安排人员对T1、T2航站楼地下停车库进出口排水沟配套集水井</w:t>
      </w:r>
      <w:r>
        <w:rPr>
          <w:rFonts w:hint="eastAsia" w:ascii="仿宋_GB2312" w:hAnsi="仿宋_GB2312" w:eastAsia="仿宋_GB2312" w:cs="仿宋_GB2312"/>
          <w:sz w:val="28"/>
          <w:szCs w:val="28"/>
          <w:u w:val="single"/>
          <w:lang w:val="en-US" w:eastAsia="zh-CN"/>
        </w:rPr>
        <w:t>进行</w:t>
      </w:r>
      <w:r>
        <w:rPr>
          <w:rFonts w:hint="eastAsia" w:ascii="仿宋_GB2312" w:hAnsi="仿宋_GB2312" w:eastAsia="仿宋_GB2312" w:cs="仿宋_GB2312"/>
          <w:sz w:val="28"/>
          <w:szCs w:val="28"/>
          <w:u w:val="single"/>
        </w:rPr>
        <w:t>巡检，原则上不应少于3天</w:t>
      </w:r>
      <w:r>
        <w:rPr>
          <w:rFonts w:hint="eastAsia" w:ascii="仿宋_GB2312" w:hAnsi="仿宋_GB2312" w:eastAsia="仿宋_GB2312" w:cs="仿宋_GB2312"/>
          <w:sz w:val="28"/>
          <w:szCs w:val="28"/>
          <w:u w:val="single"/>
          <w:lang w:val="en-US" w:eastAsia="zh-CN"/>
        </w:rPr>
        <w:t>一</w:t>
      </w:r>
      <w:r>
        <w:rPr>
          <w:rFonts w:hint="eastAsia" w:ascii="仿宋_GB2312" w:hAnsi="仿宋_GB2312" w:eastAsia="仿宋_GB2312" w:cs="仿宋_GB2312"/>
          <w:sz w:val="28"/>
          <w:szCs w:val="28"/>
          <w:u w:val="single"/>
        </w:rPr>
        <w:t>次，巡查时须对集水井提升泵进行主备切换，避免止回阀阻塞导致集水井内积水无法及时排出。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lang w:val="en-US" w:eastAsia="zh-CN"/>
        </w:rPr>
        <w:t>4.13</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lang w:val="en-US" w:eastAsia="zh-CN"/>
        </w:rPr>
        <w:t>服务</w:t>
      </w:r>
      <w:r>
        <w:rPr>
          <w:rFonts w:hint="eastAsia" w:ascii="仿宋_GB2312" w:hAnsi="仿宋_GB2312" w:eastAsia="仿宋_GB2312" w:cs="仿宋_GB2312"/>
          <w:sz w:val="28"/>
          <w:szCs w:val="28"/>
          <w:u w:val="single"/>
        </w:rPr>
        <w:t>期内，</w:t>
      </w:r>
      <w:r>
        <w:rPr>
          <w:rFonts w:hint="eastAsia" w:ascii="仿宋_GB2312" w:hAnsi="仿宋_GB2312" w:eastAsia="仿宋_GB2312" w:cs="仿宋_GB2312"/>
          <w:sz w:val="28"/>
          <w:szCs w:val="28"/>
          <w:u w:val="single"/>
          <w:lang w:val="en-US" w:eastAsia="zh-CN"/>
        </w:rPr>
        <w:t>乙方</w:t>
      </w:r>
      <w:r>
        <w:rPr>
          <w:rFonts w:hint="eastAsia" w:ascii="仿宋_GB2312" w:hAnsi="仿宋_GB2312" w:eastAsia="仿宋_GB2312" w:cs="仿宋_GB2312"/>
          <w:sz w:val="28"/>
          <w:szCs w:val="28"/>
          <w:u w:val="single"/>
        </w:rPr>
        <w:t>需及时响应</w:t>
      </w:r>
      <w:r>
        <w:rPr>
          <w:rFonts w:hint="eastAsia" w:ascii="仿宋_GB2312" w:hAnsi="仿宋_GB2312" w:eastAsia="仿宋_GB2312" w:cs="仿宋_GB2312"/>
          <w:sz w:val="28"/>
          <w:szCs w:val="28"/>
          <w:u w:val="single"/>
          <w:lang w:val="en-US" w:eastAsia="zh-CN"/>
        </w:rPr>
        <w:t>甲方</w:t>
      </w:r>
      <w:r>
        <w:rPr>
          <w:rFonts w:hint="eastAsia" w:ascii="仿宋_GB2312" w:hAnsi="仿宋_GB2312" w:eastAsia="仿宋_GB2312" w:cs="仿宋_GB2312"/>
          <w:sz w:val="28"/>
          <w:szCs w:val="28"/>
          <w:u w:val="single"/>
        </w:rPr>
        <w:t>提出的应急性清淤工作。在接到清淤通知后，1小时内需组织人员车辆至现场进行清淤并外运。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lang w:val="en-US" w:eastAsia="zh-CN"/>
        </w:rPr>
        <w:t>4.14</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lang w:val="en-US" w:eastAsia="zh-CN"/>
        </w:rPr>
        <w:t>服务</w:t>
      </w:r>
      <w:r>
        <w:rPr>
          <w:rFonts w:hint="eastAsia" w:ascii="仿宋_GB2312" w:hAnsi="仿宋_GB2312" w:eastAsia="仿宋_GB2312" w:cs="仿宋_GB2312"/>
          <w:sz w:val="28"/>
          <w:szCs w:val="28"/>
          <w:u w:val="single"/>
        </w:rPr>
        <w:t>期内，排水沟和集水井格栅盖板拆装由</w:t>
      </w:r>
      <w:r>
        <w:rPr>
          <w:rFonts w:hint="eastAsia" w:ascii="仿宋_GB2312" w:hAnsi="仿宋_GB2312" w:eastAsia="仿宋_GB2312" w:cs="仿宋_GB2312"/>
          <w:sz w:val="28"/>
          <w:szCs w:val="28"/>
          <w:u w:val="single"/>
          <w:lang w:val="en-US" w:eastAsia="zh-CN"/>
        </w:rPr>
        <w:t>乙方</w:t>
      </w:r>
      <w:r>
        <w:rPr>
          <w:rFonts w:hint="eastAsia" w:ascii="仿宋_GB2312" w:hAnsi="仿宋_GB2312" w:eastAsia="仿宋_GB2312" w:cs="仿宋_GB2312"/>
          <w:sz w:val="28"/>
          <w:szCs w:val="28"/>
          <w:u w:val="single"/>
        </w:rPr>
        <w:t>负责，在拆装盖板时，若有损坏，</w:t>
      </w:r>
      <w:r>
        <w:rPr>
          <w:rFonts w:hint="eastAsia" w:ascii="仿宋_GB2312" w:hAnsi="仿宋_GB2312" w:eastAsia="仿宋_GB2312" w:cs="仿宋_GB2312"/>
          <w:sz w:val="28"/>
          <w:szCs w:val="28"/>
          <w:u w:val="single"/>
          <w:lang w:val="en-US" w:eastAsia="zh-CN"/>
        </w:rPr>
        <w:t>乙方</w:t>
      </w:r>
      <w:r>
        <w:rPr>
          <w:rFonts w:hint="eastAsia" w:ascii="仿宋_GB2312" w:hAnsi="仿宋_GB2312" w:eastAsia="仿宋_GB2312" w:cs="仿宋_GB2312"/>
          <w:sz w:val="28"/>
          <w:szCs w:val="28"/>
          <w:u w:val="single"/>
        </w:rPr>
        <w:t>需对破损盖板进行更换</w:t>
      </w:r>
      <w:r>
        <w:rPr>
          <w:rFonts w:hint="eastAsia" w:ascii="仿宋_GB2312" w:hAnsi="仿宋_GB2312" w:eastAsia="仿宋_GB2312" w:cs="仿宋_GB2312"/>
          <w:sz w:val="28"/>
          <w:szCs w:val="28"/>
          <w:u w:val="singl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lang w:val="en-US" w:eastAsia="zh-CN"/>
        </w:rPr>
        <w:t>4.15</w:t>
      </w:r>
      <w:r>
        <w:rPr>
          <w:rFonts w:hint="eastAsia" w:ascii="仿宋_GB2312" w:hAnsi="仿宋_GB2312" w:eastAsia="仿宋_GB2312" w:cs="仿宋_GB2312"/>
          <w:sz w:val="28"/>
          <w:szCs w:val="28"/>
          <w:u w:val="single"/>
        </w:rPr>
        <w:t>、淤泥及垃圾不提供场地堆放，</w:t>
      </w:r>
      <w:r>
        <w:rPr>
          <w:rFonts w:hint="eastAsia" w:ascii="仿宋_GB2312" w:hAnsi="仿宋_GB2312" w:eastAsia="仿宋_GB2312" w:cs="仿宋_GB2312"/>
          <w:sz w:val="28"/>
          <w:szCs w:val="28"/>
          <w:u w:val="single"/>
          <w:lang w:val="en-US" w:eastAsia="zh-CN"/>
        </w:rPr>
        <w:t>乙方</w:t>
      </w:r>
      <w:r>
        <w:rPr>
          <w:rFonts w:hint="eastAsia" w:ascii="仿宋_GB2312" w:hAnsi="仿宋_GB2312" w:eastAsia="仿宋_GB2312" w:cs="仿宋_GB2312"/>
          <w:sz w:val="28"/>
          <w:szCs w:val="28"/>
          <w:u w:val="single"/>
        </w:rPr>
        <w:t>须自行运出机场处理，不得随意倾倒在机场范围内。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lang w:val="en-US" w:eastAsia="zh-CN"/>
        </w:rPr>
        <w:t>4.16</w:t>
      </w:r>
      <w:r>
        <w:rPr>
          <w:rFonts w:hint="eastAsia" w:ascii="仿宋_GB2312" w:hAnsi="仿宋_GB2312" w:eastAsia="仿宋_GB2312" w:cs="仿宋_GB2312"/>
          <w:sz w:val="28"/>
          <w:szCs w:val="28"/>
          <w:u w:val="single"/>
        </w:rPr>
        <w:t>、乙方在整个项目的实施阶段，应采用拍照方式记录各道服务工序的实施过程，并形成一套完整的影像资料文件；拍摄的影像资料应能全面的记录整个实施全过程（包含实施前中后）的实际状况，各道工序都须按检验批拍摄留存影像资料文件，并按月交给甲方审核。</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技术服务质量期限要求：</w:t>
      </w:r>
      <w:r>
        <w:rPr>
          <w:rFonts w:hint="eastAsia" w:ascii="仿宋_GB2312" w:hAnsi="仿宋_GB2312" w:eastAsia="仿宋_GB2312" w:cs="仿宋_GB2312"/>
          <w:sz w:val="28"/>
          <w:szCs w:val="28"/>
          <w:u w:val="single"/>
          <w:lang w:val="en-US" w:eastAsia="zh-CN"/>
        </w:rPr>
        <w:t>无条件满足甲方对于</w:t>
      </w:r>
      <w:r>
        <w:rPr>
          <w:rFonts w:hint="eastAsia" w:ascii="仿宋_GB2312" w:hAnsi="仿宋_GB2312" w:eastAsia="仿宋_GB2312" w:cs="仿宋_GB2312"/>
          <w:sz w:val="28"/>
          <w:szCs w:val="28"/>
          <w:u w:val="single"/>
        </w:rPr>
        <w:t>技术服务质量期限</w:t>
      </w:r>
      <w:r>
        <w:rPr>
          <w:rFonts w:hint="eastAsia" w:ascii="仿宋_GB2312" w:hAnsi="仿宋_GB2312" w:eastAsia="仿宋_GB2312" w:cs="仿宋_GB2312"/>
          <w:sz w:val="28"/>
          <w:szCs w:val="28"/>
          <w:u w:val="single"/>
          <w:lang w:val="en-US" w:eastAsia="zh-CN"/>
        </w:rPr>
        <w:t>的合理要求。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bCs/>
          <w:sz w:val="28"/>
          <w:szCs w:val="28"/>
        </w:rPr>
        <w:t>第三条：</w:t>
      </w:r>
      <w:r>
        <w:rPr>
          <w:rFonts w:hint="eastAsia" w:ascii="仿宋_GB2312" w:hAnsi="仿宋_GB2312" w:eastAsia="仿宋_GB2312" w:cs="仿宋_GB2312"/>
          <w:b w:val="0"/>
          <w:bCs w:val="0"/>
          <w:sz w:val="28"/>
          <w:szCs w:val="28"/>
        </w:rPr>
        <w:t>为保证乙方有效进行技术服务工作，甲方应当向乙方提供下列工作条件和协作事项：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1．提供技术资料：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u w:val="singl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2．提供工作条件：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u w:val="single"/>
        </w:rPr>
        <w:t xml:space="preserve">甲方应指派专人配合乙方工作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u w:val="single"/>
        </w:rPr>
        <w:t>甲方为进驻现场的乙方人员提供必要的工作便利，并提供必要的协助。</w:t>
      </w: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3．其他：</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4．甲方提供上述工作条件和协作事项的时间及方式：</w:t>
      </w:r>
      <w:r>
        <w:rPr>
          <w:rFonts w:hint="eastAsia" w:ascii="仿宋_GB2312" w:hAnsi="仿宋_GB2312" w:eastAsia="仿宋_GB2312" w:cs="仿宋_GB2312"/>
          <w:sz w:val="28"/>
          <w:szCs w:val="28"/>
          <w:u w:val="single"/>
        </w:rPr>
        <w:t>自合同签订后</w:t>
      </w:r>
      <w:r>
        <w:rPr>
          <w:rFonts w:hint="eastAsia" w:ascii="仿宋_GB2312" w:hAnsi="仿宋_GB2312" w:eastAsia="仿宋_GB2312" w:cs="仿宋_GB2312"/>
          <w:sz w:val="28"/>
          <w:szCs w:val="28"/>
          <w:u w:val="single"/>
          <w:lang w:val="en-US" w:eastAsia="zh-CN"/>
        </w:rPr>
        <w:t>15</w:t>
      </w:r>
      <w:r>
        <w:rPr>
          <w:rFonts w:hint="eastAsia" w:ascii="仿宋_GB2312" w:hAnsi="仿宋_GB2312" w:eastAsia="仿宋_GB2312" w:cs="仿宋_GB2312"/>
          <w:sz w:val="28"/>
          <w:szCs w:val="28"/>
          <w:u w:val="single"/>
        </w:rPr>
        <w:t>个日历天内提供上述工作条件和协作事项，方式由甲乙双方协商决定</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bCs/>
          <w:sz w:val="28"/>
          <w:szCs w:val="28"/>
        </w:rPr>
        <w:t>第四条：</w:t>
      </w:r>
      <w:r>
        <w:rPr>
          <w:rFonts w:hint="eastAsia" w:ascii="仿宋_GB2312" w:hAnsi="仿宋_GB2312" w:eastAsia="仿宋_GB2312" w:cs="仿宋_GB2312"/>
          <w:b w:val="0"/>
          <w:bCs w:val="0"/>
          <w:sz w:val="28"/>
          <w:szCs w:val="28"/>
        </w:rPr>
        <w:t>甲方向乙方支付技术服务报酬及支付方式为：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1．技术服务费总额为</w:t>
      </w:r>
      <w:r>
        <w:rPr>
          <w:rFonts w:hint="eastAsia" w:ascii="仿宋_GB2312" w:hAnsi="仿宋_GB2312" w:eastAsia="仿宋_GB2312" w:cs="仿宋_GB2312"/>
          <w:sz w:val="28"/>
          <w:szCs w:val="28"/>
          <w:u w:val="single"/>
          <w:lang w:val="en-US" w:eastAsia="zh-CN"/>
        </w:rPr>
        <w:t xml:space="preserve">       元</w:t>
      </w:r>
      <w:r>
        <w:rPr>
          <w:rFonts w:hint="eastAsia" w:ascii="仿宋_GB2312" w:hAnsi="仿宋_GB2312" w:eastAsia="仿宋_GB2312" w:cs="仿宋_GB2312"/>
          <w:sz w:val="28"/>
          <w:szCs w:val="28"/>
          <w:u w:val="none"/>
          <w:lang w:val="en-US" w:eastAsia="zh-CN"/>
        </w:rPr>
        <w:t>，</w:t>
      </w:r>
      <w:r>
        <w:rPr>
          <w:rFonts w:hint="eastAsia" w:ascii="仿宋_GB2312" w:hAnsi="仿宋_GB2312" w:eastAsia="仿宋_GB2312" w:cs="仿宋_GB2312"/>
          <w:sz w:val="28"/>
          <w:szCs w:val="28"/>
        </w:rPr>
        <w:t>增值税税率为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，不含税总金额为</w:t>
      </w:r>
      <w:r>
        <w:rPr>
          <w:rFonts w:hint="eastAsia" w:ascii="仿宋_GB2312" w:hAnsi="仿宋_GB2312" w:eastAsia="仿宋_GB2312" w:cs="仿宋_GB2312"/>
          <w:sz w:val="28"/>
          <w:szCs w:val="28"/>
          <w:u w:val="single"/>
        </w:rPr>
        <w:t>人民币</w:t>
      </w:r>
      <w:r>
        <w:rPr>
          <w:rFonts w:hint="eastAsia" w:ascii="仿宋_GB2312" w:hAnsi="仿宋_GB2312" w:eastAsia="仿宋_GB2312" w:cs="仿宋_GB2312"/>
          <w:sz w:val="28"/>
          <w:szCs w:val="28"/>
          <w:u w:val="single"/>
          <w:lang w:val="en-US" w:eastAsia="zh-CN"/>
        </w:rPr>
        <w:t xml:space="preserve">       元</w:t>
      </w:r>
      <w:r>
        <w:rPr>
          <w:rFonts w:hint="eastAsia" w:ascii="仿宋_GB2312" w:hAnsi="仿宋_GB2312" w:eastAsia="仿宋_GB2312" w:cs="仿宋_GB2312"/>
          <w:sz w:val="28"/>
          <w:szCs w:val="28"/>
        </w:rPr>
        <w:t>，税额为</w:t>
      </w:r>
      <w:r>
        <w:rPr>
          <w:rFonts w:hint="eastAsia" w:ascii="仿宋_GB2312" w:hAnsi="仿宋_GB2312" w:eastAsia="仿宋_GB2312" w:cs="仿宋_GB2312"/>
          <w:sz w:val="28"/>
          <w:szCs w:val="28"/>
          <w:u w:val="single"/>
        </w:rPr>
        <w:t>人民币</w:t>
      </w:r>
      <w:r>
        <w:rPr>
          <w:rFonts w:hint="eastAsia" w:ascii="仿宋_GB2312" w:hAnsi="仿宋_GB2312" w:eastAsia="仿宋_GB2312" w:cs="仿宋_GB2312"/>
          <w:sz w:val="28"/>
          <w:szCs w:val="28"/>
          <w:u w:val="single"/>
          <w:lang w:val="en-US" w:eastAsia="zh-CN"/>
        </w:rPr>
        <w:t xml:space="preserve">        元</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Hans"/>
        </w:rPr>
        <w:t>乙方应于付款期限届满前【</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Hans"/>
        </w:rPr>
        <w:t>】日向甲方开具税率为【</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Hans"/>
        </w:rPr>
        <w:t>】的增值税专用发票。甲方自收到发票并确认无误后按合同约定向乙方付款。</w:t>
      </w:r>
      <w:r>
        <w:rPr>
          <w:rFonts w:hint="eastAsia" w:ascii="仿宋_GB2312" w:hAnsi="仿宋_GB2312" w:eastAsia="仿宋_GB2312" w:cs="仿宋_GB2312"/>
          <w:sz w:val="28"/>
          <w:szCs w:val="28"/>
        </w:rPr>
        <w:t>若因乙方的原因不能及时提供发票而导致甲方未按照合同约定付款，则甲方不承担逾期支付的违约责任。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2．技术服务费由甲方</w:t>
      </w:r>
      <w:r>
        <w:rPr>
          <w:rFonts w:hint="eastAsia" w:ascii="仿宋_GB2312" w:hAnsi="仿宋_GB2312" w:eastAsia="仿宋_GB2312" w:cs="仿宋_GB2312"/>
          <w:sz w:val="28"/>
          <w:szCs w:val="28"/>
          <w:u w:val="single"/>
          <w:lang w:val="en-US" w:eastAsia="zh-CN"/>
        </w:rPr>
        <w:t>按季度分六次</w:t>
      </w:r>
      <w:r>
        <w:rPr>
          <w:rFonts w:hint="eastAsia" w:ascii="仿宋_GB2312" w:hAnsi="仿宋_GB2312" w:eastAsia="仿宋_GB2312" w:cs="仿宋_GB2312"/>
          <w:sz w:val="28"/>
          <w:szCs w:val="28"/>
        </w:rPr>
        <w:t xml:space="preserve">支付乙方。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具体支付方式和时间如下：</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u w:val="single"/>
          <w:lang w:val="en-US" w:eastAsia="zh-CN"/>
        </w:rPr>
        <w:t>服务期前五季度，每季度服务完成并提交报告和影像资料后14天内，</w:t>
      </w:r>
      <w:r>
        <w:rPr>
          <w:rFonts w:hint="eastAsia" w:ascii="仿宋_GB2312" w:hAnsi="仿宋_GB2312" w:eastAsia="仿宋_GB2312" w:cs="仿宋_GB2312"/>
          <w:color w:val="auto"/>
          <w:sz w:val="28"/>
          <w:szCs w:val="28"/>
          <w:u w:val="single"/>
        </w:rPr>
        <w:t>甲方向乙方支付合同价的</w:t>
      </w:r>
      <w:r>
        <w:rPr>
          <w:rFonts w:hint="eastAsia" w:ascii="仿宋_GB2312" w:hAnsi="仿宋_GB2312" w:eastAsia="仿宋_GB2312" w:cs="仿宋_GB2312"/>
          <w:color w:val="auto"/>
          <w:sz w:val="28"/>
          <w:szCs w:val="28"/>
          <w:u w:val="single"/>
          <w:lang w:val="en-US" w:eastAsia="zh-CN"/>
        </w:rPr>
        <w:t>16.6</w:t>
      </w:r>
      <w:r>
        <w:rPr>
          <w:rFonts w:hint="eastAsia" w:ascii="仿宋_GB2312" w:hAnsi="仿宋_GB2312" w:eastAsia="仿宋_GB2312" w:cs="仿宋_GB2312"/>
          <w:color w:val="auto"/>
          <w:sz w:val="28"/>
          <w:szCs w:val="28"/>
          <w:u w:val="single"/>
        </w:rPr>
        <w:t>%</w:t>
      </w:r>
      <w:r>
        <w:rPr>
          <w:rFonts w:hint="eastAsia" w:ascii="仿宋_GB2312" w:hAnsi="仿宋_GB2312" w:eastAsia="仿宋_GB2312" w:cs="仿宋_GB2312"/>
          <w:color w:val="auto"/>
          <w:sz w:val="28"/>
          <w:szCs w:val="28"/>
          <w:u w:val="singl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rPr>
      </w:pPr>
      <w:r>
        <w:rPr>
          <w:rFonts w:hint="eastAsia" w:ascii="仿宋_GB2312" w:hAnsi="仿宋_GB2312" w:eastAsia="仿宋_GB2312" w:cs="仿宋_GB2312"/>
          <w:color w:val="auto"/>
          <w:sz w:val="28"/>
          <w:szCs w:val="28"/>
          <w:u w:val="single"/>
          <w:lang w:val="en-US" w:eastAsia="zh-CN"/>
        </w:rPr>
        <w:t>（2）服务期最后一季度，服务完成并提交报告和影像资料后14天内，</w:t>
      </w:r>
      <w:r>
        <w:rPr>
          <w:rFonts w:hint="eastAsia" w:ascii="仿宋_GB2312" w:hAnsi="仿宋_GB2312" w:eastAsia="仿宋_GB2312" w:cs="仿宋_GB2312"/>
          <w:color w:val="auto"/>
          <w:sz w:val="28"/>
          <w:szCs w:val="28"/>
          <w:u w:val="single"/>
        </w:rPr>
        <w:t>甲方向乙方支付合同价的</w:t>
      </w:r>
      <w:r>
        <w:rPr>
          <w:rFonts w:hint="eastAsia" w:ascii="仿宋_GB2312" w:hAnsi="仿宋_GB2312" w:eastAsia="仿宋_GB2312" w:cs="仿宋_GB2312"/>
          <w:color w:val="auto"/>
          <w:sz w:val="28"/>
          <w:szCs w:val="28"/>
          <w:u w:val="single"/>
          <w:lang w:val="en-US" w:eastAsia="zh-CN"/>
        </w:rPr>
        <w:t>17</w:t>
      </w:r>
      <w:r>
        <w:rPr>
          <w:rFonts w:hint="eastAsia" w:ascii="仿宋_GB2312" w:hAnsi="仿宋_GB2312" w:eastAsia="仿宋_GB2312" w:cs="仿宋_GB2312"/>
          <w:color w:val="auto"/>
          <w:sz w:val="28"/>
          <w:szCs w:val="28"/>
          <w:u w:val="single"/>
        </w:rPr>
        <w:t>%</w:t>
      </w:r>
      <w:r>
        <w:rPr>
          <w:rFonts w:hint="eastAsia" w:ascii="仿宋_GB2312" w:hAnsi="仿宋_GB2312" w:eastAsia="仿宋_GB2312" w:cs="仿宋_GB2312"/>
          <w:color w:val="auto"/>
          <w:sz w:val="28"/>
          <w:szCs w:val="28"/>
          <w:u w:val="singl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lang w:val="en-US" w:eastAsia="zh-CN"/>
        </w:rPr>
        <w:t>乙方提供服务不足一个季度的按当季度实际服务天数测算服务费。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乙方开户银行名称、地址和帐号为：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开户银行：</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地址：</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帐号：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sz w:val="28"/>
          <w:szCs w:val="28"/>
        </w:rPr>
        <w:t>第五条：</w:t>
      </w:r>
      <w:r>
        <w:rPr>
          <w:rFonts w:hint="eastAsia" w:ascii="仿宋_GB2312" w:hAnsi="仿宋_GB2312" w:eastAsia="仿宋_GB2312" w:cs="仿宋_GB2312"/>
          <w:b w:val="0"/>
          <w:bCs w:val="0"/>
          <w:sz w:val="28"/>
          <w:szCs w:val="28"/>
        </w:rPr>
        <w:t>双方确定因履行本合同应遵守的保密义务如下：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甲方：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1.保密内容（包括技术信息和经营信息）:</w:t>
      </w:r>
      <w:r>
        <w:rPr>
          <w:rFonts w:hint="eastAsia" w:ascii="仿宋_GB2312" w:hAnsi="仿宋_GB2312" w:eastAsia="仿宋_GB2312" w:cs="仿宋_GB2312"/>
          <w:sz w:val="28"/>
          <w:szCs w:val="28"/>
          <w:u w:val="single"/>
        </w:rPr>
        <w:t>乙方向甲方披露的明确标注“机密”、“保密”、“内部使用”等具有保密要求的数据、材料或文件，或口头明确申明相关数据、材料或文件为涉密的。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2．涉密人员范围:</w:t>
      </w:r>
      <w:r>
        <w:rPr>
          <w:rFonts w:hint="eastAsia" w:ascii="仿宋_GB2312" w:hAnsi="仿宋_GB2312" w:eastAsia="仿宋_GB2312" w:cs="仿宋_GB2312"/>
          <w:sz w:val="28"/>
          <w:szCs w:val="28"/>
          <w:u w:val="single"/>
        </w:rPr>
        <w:t>所有接触到保密内容的甲方人员</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3．保密期限：</w:t>
      </w:r>
      <w:r>
        <w:rPr>
          <w:rFonts w:hint="eastAsia" w:ascii="仿宋_GB2312" w:hAnsi="仿宋_GB2312" w:eastAsia="仿宋_GB2312" w:cs="仿宋_GB2312"/>
          <w:sz w:val="28"/>
          <w:szCs w:val="28"/>
          <w:u w:val="single"/>
        </w:rPr>
        <w:t>保密期为从涉密数据、材料或文件披露之日的</w:t>
      </w:r>
      <w:r>
        <w:rPr>
          <w:rFonts w:hint="eastAsia" w:ascii="仿宋_GB2312" w:hAnsi="仿宋_GB2312" w:eastAsia="仿宋_GB2312" w:cs="仿宋_GB2312"/>
          <w:sz w:val="28"/>
          <w:szCs w:val="28"/>
          <w:u w:val="single"/>
          <w:lang w:val="en-US" w:eastAsia="zh-CN"/>
        </w:rPr>
        <w:t>5</w:t>
      </w:r>
      <w:r>
        <w:rPr>
          <w:rFonts w:hint="eastAsia" w:ascii="仿宋_GB2312" w:hAnsi="仿宋_GB2312" w:eastAsia="仿宋_GB2312" w:cs="仿宋_GB2312"/>
          <w:sz w:val="28"/>
          <w:szCs w:val="28"/>
          <w:u w:val="single"/>
        </w:rPr>
        <w:t>年内，其中数据、材料或文件具有具体保密期限的，根据其规定的保密期执行</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4．泄密责任：</w:t>
      </w:r>
      <w:r>
        <w:rPr>
          <w:rFonts w:hint="eastAsia" w:ascii="仿宋_GB2312" w:hAnsi="仿宋_GB2312" w:eastAsia="仿宋_GB2312" w:cs="仿宋_GB2312"/>
          <w:sz w:val="28"/>
          <w:szCs w:val="28"/>
          <w:u w:val="single"/>
        </w:rPr>
        <w:t>如有泄密，按照国家相关法律法规处理；如无相关法律法规，由甲乙双方协商决定</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乙方：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1.保密内容（包括技术信息和经营信息）: </w:t>
      </w:r>
      <w:r>
        <w:rPr>
          <w:rFonts w:hint="eastAsia" w:ascii="仿宋_GB2312" w:hAnsi="仿宋_GB2312" w:eastAsia="仿宋_GB2312" w:cs="仿宋_GB2312"/>
          <w:sz w:val="28"/>
          <w:szCs w:val="28"/>
          <w:u w:val="single"/>
        </w:rPr>
        <w:t>甲方向乙方披露的明确标注“机密”、“保密”、“内部使用”等具有保密要求的数据、材料或文件，或口头明确申明相关数据、材料或文件为涉密的</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2．涉密人员范围: </w:t>
      </w:r>
      <w:r>
        <w:rPr>
          <w:rFonts w:hint="eastAsia" w:ascii="仿宋_GB2312" w:hAnsi="仿宋_GB2312" w:eastAsia="仿宋_GB2312" w:cs="仿宋_GB2312"/>
          <w:sz w:val="28"/>
          <w:szCs w:val="28"/>
          <w:u w:val="single"/>
        </w:rPr>
        <w:t xml:space="preserve">所有接触到保密内容的乙方人员 </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3．保密期限：</w:t>
      </w:r>
      <w:r>
        <w:rPr>
          <w:rFonts w:hint="eastAsia" w:ascii="仿宋_GB2312" w:hAnsi="仿宋_GB2312" w:eastAsia="仿宋_GB2312" w:cs="仿宋_GB2312"/>
          <w:sz w:val="28"/>
          <w:szCs w:val="28"/>
          <w:u w:val="single"/>
        </w:rPr>
        <w:t xml:space="preserve">保密期为从涉密数据、材料或文件披露之日的10年内，其中数据、材料或文件具有具体保密期限的，根据其规定的保密期执行 </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4．泄密责任：</w:t>
      </w:r>
      <w:r>
        <w:rPr>
          <w:rFonts w:hint="eastAsia" w:ascii="仿宋_GB2312" w:hAnsi="仿宋_GB2312" w:eastAsia="仿宋_GB2312" w:cs="仿宋_GB2312"/>
          <w:sz w:val="28"/>
          <w:szCs w:val="28"/>
          <w:u w:val="single"/>
        </w:rPr>
        <w:t>如有泄密，按照国家相关法律法规处理；如无相关法律法规，由甲乙双方协商决定</w:t>
      </w: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sz w:val="28"/>
          <w:szCs w:val="28"/>
        </w:rPr>
        <w:t>第六条：</w:t>
      </w:r>
      <w:r>
        <w:rPr>
          <w:rFonts w:hint="eastAsia" w:ascii="仿宋_GB2312" w:hAnsi="仿宋_GB2312" w:eastAsia="仿宋_GB2312" w:cs="仿宋_GB2312"/>
          <w:b w:val="0"/>
          <w:bCs w:val="0"/>
          <w:sz w:val="28"/>
          <w:szCs w:val="28"/>
        </w:rPr>
        <w:t>本合同的变更必须由双方协商一致，并以书面形式确定。但有下列情形之一的，一方可以向另一方书面提出变更合同权利与义务的请求，另一方应当在</w:t>
      </w:r>
      <w:r>
        <w:rPr>
          <w:rFonts w:hint="eastAsia" w:ascii="仿宋_GB2312" w:hAnsi="仿宋_GB2312" w:eastAsia="仿宋_GB2312" w:cs="仿宋_GB2312"/>
          <w:b w:val="0"/>
          <w:bCs w:val="0"/>
          <w:sz w:val="28"/>
          <w:szCs w:val="28"/>
          <w:u w:val="single"/>
          <w:lang w:val="en-US" w:eastAsia="zh-CN"/>
        </w:rPr>
        <w:t>15</w:t>
      </w:r>
      <w:r>
        <w:rPr>
          <w:rFonts w:hint="eastAsia" w:ascii="仿宋_GB2312" w:hAnsi="仿宋_GB2312" w:eastAsia="仿宋_GB2312" w:cs="仿宋_GB2312"/>
          <w:b w:val="0"/>
          <w:bCs w:val="0"/>
          <w:sz w:val="28"/>
          <w:szCs w:val="28"/>
        </w:rPr>
        <w:t>日内予以答复；逾期未予答复的，不得视为同意：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1．</w:t>
      </w:r>
      <w:r>
        <w:rPr>
          <w:rFonts w:hint="eastAsia" w:ascii="仿宋_GB2312" w:hAnsi="仿宋_GB2312" w:eastAsia="仿宋_GB2312" w:cs="仿宋_GB2312"/>
          <w:sz w:val="28"/>
          <w:szCs w:val="28"/>
          <w:u w:val="single"/>
        </w:rPr>
        <w:t>甲方未能向乙方提供相关技术资料或工作条件，导致乙方无法进行正常服务的；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2．</w:t>
      </w:r>
      <w:r>
        <w:rPr>
          <w:rFonts w:hint="eastAsia" w:ascii="仿宋_GB2312" w:hAnsi="仿宋_GB2312" w:eastAsia="仿宋_GB2312" w:cs="仿宋_GB2312"/>
          <w:sz w:val="28"/>
          <w:szCs w:val="28"/>
          <w:u w:val="single"/>
        </w:rPr>
        <w:t>乙方无特殊情况，未能按时开</w:t>
      </w:r>
      <w:r>
        <w:rPr>
          <w:rFonts w:hint="eastAsia" w:ascii="仿宋_GB2312" w:hAnsi="仿宋_GB2312" w:eastAsia="仿宋_GB2312" w:cs="仿宋_GB2312"/>
          <w:sz w:val="28"/>
          <w:szCs w:val="28"/>
          <w:u w:val="single"/>
          <w:lang w:val="en-US" w:eastAsia="zh-CN"/>
        </w:rPr>
        <w:t>展</w:t>
      </w:r>
      <w:r>
        <w:rPr>
          <w:rFonts w:hint="eastAsia" w:ascii="仿宋_GB2312" w:hAnsi="仿宋_GB2312" w:eastAsia="仿宋_GB2312" w:cs="仿宋_GB2312"/>
          <w:sz w:val="28"/>
          <w:szCs w:val="28"/>
          <w:u w:val="single"/>
        </w:rPr>
        <w:t>技术服务的。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若双方未达成一致，单方面解除本合同的一方应对另一方因此遭受的损失承担全部赔偿责任。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bCs/>
          <w:sz w:val="28"/>
          <w:szCs w:val="28"/>
        </w:rPr>
        <w:t>第七条：</w:t>
      </w:r>
      <w:r>
        <w:rPr>
          <w:rFonts w:hint="eastAsia" w:ascii="仿宋_GB2312" w:hAnsi="仿宋_GB2312" w:eastAsia="仿宋_GB2312" w:cs="仿宋_GB2312"/>
          <w:b w:val="0"/>
          <w:bCs w:val="0"/>
          <w:sz w:val="28"/>
          <w:szCs w:val="28"/>
        </w:rPr>
        <w:t>双方确定以下列标准和方式对乙方的技术服务工作成果进行验收：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1．乙方完成技术服务工作的形式：</w:t>
      </w:r>
      <w:r>
        <w:rPr>
          <w:rFonts w:hint="eastAsia" w:ascii="仿宋_GB2312" w:hAnsi="仿宋_GB2312" w:eastAsia="仿宋_GB2312" w:cs="仿宋_GB2312"/>
          <w:sz w:val="28"/>
          <w:szCs w:val="28"/>
          <w:u w:val="single"/>
        </w:rPr>
        <w:t>按照技术服务内容和目标，提供必要的说明文件</w:t>
      </w:r>
      <w:r>
        <w:rPr>
          <w:rFonts w:hint="eastAsia" w:ascii="仿宋_GB2312" w:hAnsi="仿宋_GB2312" w:eastAsia="仿宋_GB2312" w:cs="仿宋_GB2312"/>
          <w:sz w:val="28"/>
          <w:szCs w:val="28"/>
          <w:u w:val="single"/>
          <w:lang w:val="en-US" w:eastAsia="zh-CN"/>
        </w:rPr>
        <w:t>和影像资料</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2．技术服务工作成果的验收标准：</w:t>
      </w:r>
      <w:r>
        <w:rPr>
          <w:rFonts w:hint="eastAsia" w:ascii="仿宋_GB2312" w:hAnsi="仿宋_GB2312" w:eastAsia="仿宋_GB2312" w:cs="仿宋_GB2312"/>
          <w:sz w:val="28"/>
          <w:szCs w:val="28"/>
          <w:u w:val="single"/>
        </w:rPr>
        <w:t>满足技术服务标准及要求，</w:t>
      </w:r>
      <w:r>
        <w:rPr>
          <w:rFonts w:hint="eastAsia" w:ascii="仿宋_GB2312" w:hAnsi="仿宋_GB2312" w:eastAsia="仿宋_GB2312" w:cs="仿宋_GB2312"/>
          <w:sz w:val="28"/>
          <w:szCs w:val="28"/>
          <w:u w:val="single"/>
          <w:lang w:val="en-US" w:eastAsia="zh-CN"/>
        </w:rPr>
        <w:t>并经甲方认可</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3．技术服务工作成果的验收方法：</w:t>
      </w:r>
      <w:r>
        <w:rPr>
          <w:rFonts w:hint="eastAsia" w:ascii="仿宋_GB2312" w:hAnsi="仿宋_GB2312" w:eastAsia="仿宋_GB2312" w:cs="仿宋_GB2312"/>
          <w:sz w:val="28"/>
          <w:szCs w:val="28"/>
          <w:u w:val="single"/>
        </w:rPr>
        <w:t xml:space="preserve">由甲方派遣己方人员验收或委托第三方机构或相关人员验收 </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4．验收的时间和地点：</w:t>
      </w:r>
      <w:r>
        <w:rPr>
          <w:rFonts w:hint="eastAsia" w:ascii="仿宋_GB2312" w:hAnsi="仿宋_GB2312" w:eastAsia="仿宋_GB2312" w:cs="仿宋_GB2312"/>
          <w:sz w:val="28"/>
          <w:szCs w:val="28"/>
          <w:u w:val="single"/>
          <w:lang w:val="en-US" w:eastAsia="zh-CN"/>
        </w:rPr>
        <w:t>验收时间由双方协商，</w:t>
      </w:r>
      <w:r>
        <w:rPr>
          <w:rFonts w:hint="eastAsia" w:ascii="仿宋_GB2312" w:hAnsi="仿宋_GB2312" w:eastAsia="仿宋_GB2312" w:cs="仿宋_GB2312"/>
          <w:sz w:val="28"/>
          <w:szCs w:val="28"/>
          <w:u w:val="single"/>
        </w:rPr>
        <w:t>地点于杭州萧山国际机场内</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b/>
          <w:bCs/>
          <w:sz w:val="28"/>
          <w:szCs w:val="28"/>
        </w:rPr>
        <w:t>第八条：</w:t>
      </w:r>
      <w:r>
        <w:rPr>
          <w:rFonts w:hint="eastAsia" w:ascii="仿宋_GB2312" w:hAnsi="仿宋_GB2312" w:eastAsia="仿宋_GB2312" w:cs="仿宋_GB2312"/>
          <w:b w:val="0"/>
          <w:bCs w:val="0"/>
          <w:sz w:val="28"/>
          <w:szCs w:val="28"/>
        </w:rPr>
        <w:t>双方确定：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1．在本合同有效期内，甲方利用乙方提交的技术服务工作成果所完成的新的技术成果，归</w:t>
      </w:r>
      <w:r>
        <w:rPr>
          <w:rFonts w:hint="eastAsia" w:ascii="仿宋_GB2312" w:hAnsi="仿宋_GB2312" w:eastAsia="仿宋_GB2312" w:cs="仿宋_GB2312"/>
          <w:sz w:val="28"/>
          <w:szCs w:val="28"/>
          <w:u w:val="single"/>
        </w:rPr>
        <w:t>甲</w:t>
      </w:r>
      <w:r>
        <w:rPr>
          <w:rFonts w:hint="eastAsia" w:ascii="仿宋_GB2312" w:hAnsi="仿宋_GB2312" w:eastAsia="仿宋_GB2312" w:cs="仿宋_GB2312"/>
          <w:sz w:val="28"/>
          <w:szCs w:val="28"/>
        </w:rPr>
        <w:t>方所有。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2．在本合同有效期内，乙方利用甲方提供的技术资料和工作条件所完成的新的技术成果，归</w:t>
      </w:r>
      <w:r>
        <w:rPr>
          <w:rFonts w:hint="eastAsia" w:ascii="仿宋_GB2312" w:hAnsi="仿宋_GB2312" w:eastAsia="仿宋_GB2312" w:cs="仿宋_GB2312"/>
          <w:sz w:val="28"/>
          <w:szCs w:val="28"/>
          <w:u w:val="single"/>
        </w:rPr>
        <w:t>甲</w:t>
      </w:r>
      <w:r>
        <w:rPr>
          <w:rFonts w:hint="eastAsia" w:ascii="仿宋_GB2312" w:hAnsi="仿宋_GB2312" w:eastAsia="仿宋_GB2312" w:cs="仿宋_GB2312"/>
          <w:sz w:val="28"/>
          <w:szCs w:val="28"/>
        </w:rPr>
        <w:t>方所有。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sz w:val="28"/>
          <w:szCs w:val="28"/>
        </w:rPr>
        <w:t>第九条：</w:t>
      </w:r>
      <w:r>
        <w:rPr>
          <w:rFonts w:hint="eastAsia" w:ascii="仿宋_GB2312" w:hAnsi="仿宋_GB2312" w:eastAsia="仿宋_GB2312" w:cs="仿宋_GB2312"/>
          <w:b w:val="0"/>
          <w:bCs w:val="0"/>
          <w:sz w:val="28"/>
          <w:szCs w:val="28"/>
        </w:rPr>
        <w:t>双方确定，按以下约定承担各自的违约责任：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1．</w:t>
      </w:r>
      <w:r>
        <w:rPr>
          <w:rFonts w:hint="eastAsia" w:ascii="仿宋_GB2312" w:hAnsi="仿宋_GB2312" w:eastAsia="仿宋_GB2312" w:cs="仿宋_GB2312"/>
          <w:sz w:val="28"/>
          <w:szCs w:val="28"/>
          <w:u w:val="single"/>
        </w:rPr>
        <w:t xml:space="preserve">  乙 </w:t>
      </w:r>
      <w:r>
        <w:rPr>
          <w:rFonts w:hint="eastAsia" w:ascii="仿宋_GB2312" w:hAnsi="仿宋_GB2312" w:eastAsia="仿宋_GB2312" w:cs="仿宋_GB2312"/>
          <w:sz w:val="28"/>
          <w:szCs w:val="28"/>
        </w:rPr>
        <w:t>方违反本合同第</w:t>
      </w:r>
      <w:r>
        <w:rPr>
          <w:rFonts w:hint="eastAsia" w:ascii="仿宋_GB2312" w:hAnsi="仿宋_GB2312" w:eastAsia="仿宋_GB2312" w:cs="仿宋_GB2312"/>
          <w:sz w:val="28"/>
          <w:szCs w:val="28"/>
          <w:u w:val="single"/>
        </w:rPr>
        <w:t xml:space="preserve"> 一 </w:t>
      </w:r>
      <w:r>
        <w:rPr>
          <w:rFonts w:hint="eastAsia" w:ascii="仿宋_GB2312" w:hAnsi="仿宋_GB2312" w:eastAsia="仿宋_GB2312" w:cs="仿宋_GB2312"/>
          <w:sz w:val="28"/>
          <w:szCs w:val="28"/>
        </w:rPr>
        <w:t>条约定，应当</w:t>
      </w:r>
      <w:r>
        <w:rPr>
          <w:rFonts w:hint="eastAsia" w:ascii="仿宋_GB2312" w:hAnsi="仿宋_GB2312" w:eastAsia="仿宋_GB2312" w:cs="仿宋_GB2312"/>
          <w:sz w:val="28"/>
          <w:szCs w:val="28"/>
          <w:u w:val="single"/>
        </w:rPr>
        <w:t xml:space="preserve">  乙方退还甲方所有已支付的技术服务费</w:t>
      </w:r>
      <w:r>
        <w:rPr>
          <w:rFonts w:hint="eastAsia" w:ascii="仿宋_GB2312" w:hAnsi="仿宋_GB2312" w:eastAsia="仿宋_GB2312" w:cs="仿宋_GB2312"/>
          <w:sz w:val="32"/>
          <w:szCs w:val="32"/>
        </w:rPr>
        <w:t>（支付违约金或损失赔偿额的计算方法）</w:t>
      </w:r>
      <w:r>
        <w:rPr>
          <w:rFonts w:hint="eastAsia" w:ascii="仿宋_GB2312" w:hAnsi="仿宋_GB2312" w:eastAsia="仿宋_GB2312" w:cs="仿宋_GB2312"/>
          <w:sz w:val="28"/>
          <w:szCs w:val="28"/>
          <w:u w:val="singl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2．</w:t>
      </w:r>
      <w:r>
        <w:rPr>
          <w:rFonts w:hint="eastAsia" w:ascii="仿宋_GB2312" w:hAnsi="仿宋_GB2312" w:eastAsia="仿宋_GB2312" w:cs="仿宋_GB2312"/>
          <w:sz w:val="28"/>
          <w:szCs w:val="28"/>
          <w:u w:val="single"/>
        </w:rPr>
        <w:t xml:space="preserve">  乙 </w:t>
      </w:r>
      <w:r>
        <w:rPr>
          <w:rFonts w:hint="eastAsia" w:ascii="仿宋_GB2312" w:hAnsi="仿宋_GB2312" w:eastAsia="仿宋_GB2312" w:cs="仿宋_GB2312"/>
          <w:sz w:val="28"/>
          <w:szCs w:val="28"/>
        </w:rPr>
        <w:t>方违反本合同第</w:t>
      </w:r>
      <w:r>
        <w:rPr>
          <w:rFonts w:hint="eastAsia" w:ascii="仿宋_GB2312" w:hAnsi="仿宋_GB2312" w:eastAsia="仿宋_GB2312" w:cs="仿宋_GB2312"/>
          <w:sz w:val="28"/>
          <w:szCs w:val="28"/>
          <w:u w:val="single"/>
        </w:rPr>
        <w:t xml:space="preserve">  二  </w:t>
      </w:r>
      <w:r>
        <w:rPr>
          <w:rFonts w:hint="eastAsia" w:ascii="仿宋_GB2312" w:hAnsi="仿宋_GB2312" w:eastAsia="仿宋_GB2312" w:cs="仿宋_GB2312"/>
          <w:sz w:val="28"/>
          <w:szCs w:val="28"/>
        </w:rPr>
        <w:t>条约定，应当</w:t>
      </w:r>
      <w:r>
        <w:rPr>
          <w:rFonts w:hint="eastAsia" w:ascii="仿宋_GB2312" w:hAnsi="仿宋_GB2312" w:eastAsia="仿宋_GB2312" w:cs="仿宋_GB2312"/>
          <w:sz w:val="28"/>
          <w:szCs w:val="28"/>
          <w:u w:val="single"/>
        </w:rPr>
        <w:t xml:space="preserve">  乙方退还甲方所有已支付的技术服务费</w:t>
      </w:r>
      <w:r>
        <w:rPr>
          <w:rFonts w:hint="eastAsia" w:ascii="仿宋_GB2312" w:hAnsi="仿宋_GB2312" w:eastAsia="仿宋_GB2312" w:cs="仿宋_GB2312"/>
          <w:sz w:val="32"/>
          <w:szCs w:val="32"/>
        </w:rPr>
        <w:t>（支付违约金或损失赔偿额的计算方法）</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u w:val="single"/>
        </w:rPr>
        <w:t xml:space="preserve">   甲   </w:t>
      </w:r>
      <w:r>
        <w:rPr>
          <w:rFonts w:hint="eastAsia" w:ascii="仿宋_GB2312" w:hAnsi="仿宋_GB2312" w:eastAsia="仿宋_GB2312" w:cs="仿宋_GB2312"/>
          <w:sz w:val="28"/>
          <w:szCs w:val="28"/>
        </w:rPr>
        <w:t>方违反本合同第</w:t>
      </w:r>
      <w:r>
        <w:rPr>
          <w:rFonts w:hint="eastAsia" w:ascii="仿宋_GB2312" w:hAnsi="仿宋_GB2312" w:eastAsia="仿宋_GB2312" w:cs="仿宋_GB2312"/>
          <w:sz w:val="28"/>
          <w:szCs w:val="28"/>
          <w:u w:val="single"/>
        </w:rPr>
        <w:t xml:space="preserve">  四  </w:t>
      </w:r>
      <w:r>
        <w:rPr>
          <w:rFonts w:hint="eastAsia" w:ascii="仿宋_GB2312" w:hAnsi="仿宋_GB2312" w:eastAsia="仿宋_GB2312" w:cs="仿宋_GB2312"/>
          <w:sz w:val="28"/>
          <w:szCs w:val="28"/>
        </w:rPr>
        <w:t>条约定，</w:t>
      </w:r>
      <w:r>
        <w:rPr>
          <w:rFonts w:hint="eastAsia" w:ascii="仿宋_GB2312" w:hAnsi="仿宋_GB2312" w:eastAsia="仿宋_GB2312" w:cs="仿宋_GB2312"/>
          <w:sz w:val="28"/>
          <w:szCs w:val="28"/>
          <w:u w:val="single"/>
        </w:rPr>
        <w:t xml:space="preserve"> 乙方可以不退还甲方已支付的技术服务费，并有权不提供完整的技术服务内容 </w:t>
      </w:r>
      <w:r>
        <w:rPr>
          <w:rFonts w:hint="eastAsia" w:ascii="仿宋_GB2312" w:hAnsi="仿宋_GB2312" w:eastAsia="仿宋_GB2312" w:cs="仿宋_GB2312"/>
          <w:sz w:val="28"/>
          <w:szCs w:val="28"/>
        </w:rPr>
        <w:t>（支付违约金或损失赔偿额的计算方法）。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b/>
          <w:bCs/>
          <w:sz w:val="28"/>
          <w:szCs w:val="28"/>
        </w:rPr>
        <w:t>第十条：</w:t>
      </w:r>
      <w:r>
        <w:rPr>
          <w:rFonts w:hint="eastAsia" w:ascii="仿宋_GB2312" w:hAnsi="仿宋_GB2312" w:eastAsia="仿宋_GB2312" w:cs="仿宋_GB2312"/>
          <w:b w:val="0"/>
          <w:bCs w:val="0"/>
          <w:sz w:val="28"/>
          <w:szCs w:val="28"/>
        </w:rPr>
        <w:t>双方确定，在本合同有效期内，甲方指定</w:t>
      </w:r>
      <w:r>
        <w:rPr>
          <w:rFonts w:hint="eastAsia" w:ascii="仿宋_GB2312" w:hAnsi="仿宋_GB2312" w:eastAsia="仿宋_GB2312" w:cs="仿宋_GB2312"/>
          <w:b w:val="0"/>
          <w:bCs w:val="0"/>
          <w:sz w:val="28"/>
          <w:szCs w:val="28"/>
          <w:u w:val="single"/>
          <w:lang w:val="en-US" w:eastAsia="zh-CN"/>
        </w:rPr>
        <w:t xml:space="preserve">     </w:t>
      </w:r>
      <w:r>
        <w:rPr>
          <w:rFonts w:hint="eastAsia" w:ascii="仿宋_GB2312" w:hAnsi="仿宋_GB2312" w:eastAsia="仿宋_GB2312" w:cs="仿宋_GB2312"/>
          <w:b w:val="0"/>
          <w:bCs w:val="0"/>
          <w:sz w:val="28"/>
          <w:szCs w:val="28"/>
        </w:rPr>
        <w:t>为甲方</w:t>
      </w:r>
      <w:r>
        <w:rPr>
          <w:rFonts w:hint="eastAsia" w:ascii="仿宋_GB2312" w:hAnsi="仿宋_GB2312" w:eastAsia="仿宋_GB2312" w:cs="仿宋_GB2312"/>
          <w:b w:val="0"/>
          <w:bCs w:val="0"/>
          <w:sz w:val="28"/>
          <w:szCs w:val="28"/>
          <w:lang w:eastAsia="zh-CN"/>
        </w:rPr>
        <w:t>项目负责人</w:t>
      </w:r>
      <w:r>
        <w:rPr>
          <w:rFonts w:hint="eastAsia" w:ascii="仿宋_GB2312" w:hAnsi="仿宋_GB2312" w:eastAsia="仿宋_GB2312" w:cs="仿宋_GB2312"/>
          <w:b w:val="0"/>
          <w:bCs w:val="0"/>
          <w:sz w:val="28"/>
          <w:szCs w:val="28"/>
        </w:rPr>
        <w:t>，乙方指定</w:t>
      </w:r>
      <w:r>
        <w:rPr>
          <w:rFonts w:hint="eastAsia" w:ascii="仿宋_GB2312" w:hAnsi="仿宋_GB2312" w:eastAsia="仿宋_GB2312" w:cs="仿宋_GB2312"/>
          <w:b w:val="0"/>
          <w:bCs w:val="0"/>
          <w:sz w:val="28"/>
          <w:szCs w:val="28"/>
          <w:u w:val="single"/>
          <w:lang w:val="en-US" w:eastAsia="zh-CN"/>
        </w:rPr>
        <w:t xml:space="preserve">          </w:t>
      </w:r>
      <w:r>
        <w:rPr>
          <w:rFonts w:hint="eastAsia" w:ascii="仿宋_GB2312" w:hAnsi="仿宋_GB2312" w:eastAsia="仿宋_GB2312" w:cs="仿宋_GB2312"/>
          <w:b w:val="0"/>
          <w:bCs w:val="0"/>
          <w:sz w:val="28"/>
          <w:szCs w:val="28"/>
        </w:rPr>
        <w:t>为乙方</w:t>
      </w:r>
      <w:r>
        <w:rPr>
          <w:rFonts w:hint="eastAsia" w:ascii="仿宋_GB2312" w:hAnsi="仿宋_GB2312" w:eastAsia="仿宋_GB2312" w:cs="仿宋_GB2312"/>
          <w:b w:val="0"/>
          <w:bCs w:val="0"/>
          <w:sz w:val="28"/>
          <w:szCs w:val="28"/>
          <w:lang w:eastAsia="zh-CN"/>
        </w:rPr>
        <w:t>项目负责人</w:t>
      </w: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lang w:eastAsia="zh-CN"/>
        </w:rPr>
        <w:t>项目负责人</w:t>
      </w:r>
      <w:r>
        <w:rPr>
          <w:rFonts w:hint="eastAsia" w:ascii="仿宋_GB2312" w:hAnsi="仿宋_GB2312" w:eastAsia="仿宋_GB2312" w:cs="仿宋_GB2312"/>
          <w:b w:val="0"/>
          <w:bCs w:val="0"/>
          <w:sz w:val="28"/>
          <w:szCs w:val="28"/>
        </w:rPr>
        <w:t>承担以下责任：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1．</w:t>
      </w:r>
      <w:r>
        <w:rPr>
          <w:rFonts w:hint="eastAsia" w:ascii="仿宋_GB2312" w:hAnsi="仿宋_GB2312" w:eastAsia="仿宋_GB2312" w:cs="仿宋_GB2312"/>
          <w:sz w:val="28"/>
          <w:szCs w:val="28"/>
          <w:u w:val="single"/>
        </w:rPr>
        <w:t>　按双方分工负责实施各自责任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2．</w:t>
      </w:r>
      <w:r>
        <w:rPr>
          <w:rFonts w:hint="eastAsia" w:ascii="仿宋_GB2312" w:hAnsi="仿宋_GB2312" w:eastAsia="仿宋_GB2312" w:cs="仿宋_GB2312"/>
          <w:sz w:val="28"/>
          <w:szCs w:val="28"/>
          <w:u w:val="single"/>
        </w:rPr>
        <w:t xml:space="preserve">  负责协调双方工作</w:t>
      </w:r>
      <w:r>
        <w:rPr>
          <w:rFonts w:hint="eastAsia" w:ascii="仿宋_GB2312" w:hAnsi="仿宋_GB2312" w:eastAsia="仿宋_GB2312" w:cs="仿宋_GB2312"/>
          <w:sz w:val="28"/>
          <w:szCs w:val="28"/>
          <w:u w:val="single"/>
          <w:lang w:val="en-US" w:eastAsia="zh-CN"/>
        </w:rPr>
        <w:t>中</w:t>
      </w:r>
      <w:r>
        <w:rPr>
          <w:rFonts w:hint="eastAsia" w:ascii="仿宋_GB2312" w:hAnsi="仿宋_GB2312" w:eastAsia="仿宋_GB2312" w:cs="仿宋_GB2312"/>
          <w:sz w:val="28"/>
          <w:szCs w:val="28"/>
          <w:u w:val="single"/>
        </w:rPr>
        <w:t>遇到的障碍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一方变更</w:t>
      </w:r>
      <w:r>
        <w:rPr>
          <w:rFonts w:hint="eastAsia" w:ascii="仿宋_GB2312" w:hAnsi="仿宋_GB2312" w:eastAsia="仿宋_GB2312" w:cs="仿宋_GB2312"/>
          <w:sz w:val="28"/>
          <w:szCs w:val="28"/>
          <w:lang w:eastAsia="zh-CN"/>
        </w:rPr>
        <w:t>项目负责人</w:t>
      </w:r>
      <w:r>
        <w:rPr>
          <w:rFonts w:hint="eastAsia" w:ascii="仿宋_GB2312" w:hAnsi="仿宋_GB2312" w:eastAsia="仿宋_GB2312" w:cs="仿宋_GB2312"/>
          <w:sz w:val="28"/>
          <w:szCs w:val="28"/>
        </w:rPr>
        <w:t>的，应当在变更后</w:t>
      </w:r>
      <w:r>
        <w:rPr>
          <w:rFonts w:hint="eastAsia" w:ascii="仿宋_GB2312" w:hAnsi="仿宋_GB2312" w:eastAsia="仿宋_GB2312" w:cs="仿宋_GB2312"/>
          <w:sz w:val="28"/>
          <w:szCs w:val="28"/>
          <w:u w:val="single"/>
          <w:lang w:val="en-US" w:eastAsia="zh-CN"/>
        </w:rPr>
        <w:t>15</w:t>
      </w:r>
      <w:r>
        <w:rPr>
          <w:rFonts w:hint="eastAsia" w:ascii="仿宋_GB2312" w:hAnsi="仿宋_GB2312" w:eastAsia="仿宋_GB2312" w:cs="仿宋_GB2312"/>
          <w:sz w:val="28"/>
          <w:szCs w:val="28"/>
        </w:rPr>
        <w:t>日内及时以书面形式通知另一方，未及时通知并影响本合同履行或造成损失的，未及时通知的一方应承担相应的责任。</w:t>
      </w:r>
    </w:p>
    <w:p>
      <w:pPr>
        <w:keepNext w:val="0"/>
        <w:keepLines w:val="0"/>
        <w:pageBreakBefore w:val="0"/>
        <w:widowControl w:val="0"/>
        <w:kinsoku/>
        <w:wordWrap/>
        <w:overflowPunct/>
        <w:topLinePunct w:val="0"/>
        <w:autoSpaceDE/>
        <w:autoSpaceDN/>
        <w:bidi w:val="0"/>
        <w:spacing w:beforeLines="0" w:afterLines="0" w:line="560" w:lineRule="exact"/>
        <w:ind w:left="0" w:leftChars="0" w:right="0" w:rightChars="0" w:firstLine="643" w:firstLineChars="200"/>
        <w:jc w:val="both"/>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第十一条：</w:t>
      </w:r>
    </w:p>
    <w:p>
      <w:pPr>
        <w:keepNext w:val="0"/>
        <w:keepLines w:val="0"/>
        <w:pageBreakBefore w:val="0"/>
        <w:widowControl w:val="0"/>
        <w:kinsoku/>
        <w:wordWrap/>
        <w:overflowPunct/>
        <w:topLinePunct w:val="0"/>
        <w:autoSpaceDE/>
        <w:autoSpaceDN/>
        <w:bidi w:val="0"/>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在合同有效期内，任何一方因不可抗力事件导致不能履行合同，则合同履行期可延长，其延长期与不可抗力影响期相同。</w:t>
      </w:r>
    </w:p>
    <w:p>
      <w:pPr>
        <w:keepNext w:val="0"/>
        <w:keepLines w:val="0"/>
        <w:pageBreakBefore w:val="0"/>
        <w:widowControl w:val="0"/>
        <w:kinsoku/>
        <w:wordWrap/>
        <w:overflowPunct/>
        <w:topLinePunct w:val="0"/>
        <w:autoSpaceDE/>
        <w:autoSpaceDN/>
        <w:bidi w:val="0"/>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不可抗力事件发生后，遭遇不可抗力的一方应立即通知对方，并寄送有关官方权威机构出具的证明。</w:t>
      </w:r>
    </w:p>
    <w:p>
      <w:pPr>
        <w:keepNext w:val="0"/>
        <w:keepLines w:val="0"/>
        <w:pageBreakBefore w:val="0"/>
        <w:widowControl w:val="0"/>
        <w:kinsoku/>
        <w:wordWrap/>
        <w:overflowPunct/>
        <w:topLinePunct w:val="0"/>
        <w:autoSpaceDE/>
        <w:autoSpaceDN/>
        <w:bidi w:val="0"/>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 不可抗力事件延续</w:t>
      </w:r>
      <w:r>
        <w:rPr>
          <w:rFonts w:hint="eastAsia" w:ascii="仿宋_GB2312" w:hAnsi="仿宋_GB2312" w:eastAsia="仿宋_GB2312" w:cs="仿宋_GB2312"/>
          <w:color w:val="auto"/>
          <w:sz w:val="28"/>
          <w:szCs w:val="28"/>
          <w:u w:val="single"/>
          <w:lang w:val="en-US" w:eastAsia="zh-CN"/>
        </w:rPr>
        <w:t>30</w:t>
      </w:r>
      <w:r>
        <w:rPr>
          <w:rFonts w:hint="eastAsia" w:ascii="仿宋_GB2312" w:hAnsi="仿宋_GB2312" w:eastAsia="仿宋_GB2312" w:cs="仿宋_GB2312"/>
          <w:sz w:val="28"/>
          <w:szCs w:val="28"/>
        </w:rPr>
        <w:t xml:space="preserve">天以上，双方应通过友好协商，确定是否继续履行合同；协商无法达成一致的，本合同自动终止，双方互不承担赔偿或违约责任。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第十二条：</w:t>
      </w:r>
    </w:p>
    <w:p>
      <w:pPr>
        <w:keepNext w:val="0"/>
        <w:keepLines w:val="0"/>
        <w:pageBreakBefore w:val="0"/>
        <w:widowControl w:val="0"/>
        <w:kinsoku/>
        <w:wordWrap/>
        <w:overflowPunct/>
        <w:topLinePunct w:val="0"/>
        <w:autoSpaceDE/>
        <w:autoSpaceDN/>
        <w:bidi w:val="0"/>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双方在执行合同中所发生的一切争议，应通过协商解决。如协商不成，由甲方所在地的人民法院管辖审理。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b/>
          <w:bCs/>
          <w:sz w:val="28"/>
          <w:szCs w:val="28"/>
        </w:rPr>
        <w:t>第十三条：</w:t>
      </w:r>
      <w:r>
        <w:rPr>
          <w:rFonts w:hint="eastAsia" w:ascii="仿宋_GB2312" w:hAnsi="仿宋_GB2312" w:eastAsia="仿宋_GB2312" w:cs="仿宋_GB2312"/>
          <w:b w:val="0"/>
          <w:bCs w:val="0"/>
          <w:sz w:val="28"/>
          <w:szCs w:val="28"/>
        </w:rPr>
        <w:t>双方确定：本合同及相关附件中所涉及的有关名词和技术术语，其定义和解释如下：</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3" w:firstLineChars="200"/>
        <w:jc w:val="both"/>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第十四条：</w:t>
      </w:r>
      <w:r>
        <w:rPr>
          <w:rFonts w:hint="eastAsia" w:ascii="仿宋_GB2312" w:hAnsi="仿宋_GB2312" w:eastAsia="仿宋_GB2312" w:cs="仿宋_GB2312"/>
          <w:b w:val="0"/>
          <w:bCs w:val="0"/>
          <w:sz w:val="28"/>
          <w:szCs w:val="28"/>
        </w:rPr>
        <w:t>与履行本合同有关的下列文件，经双方确认后，为本合同的附件，与本合同具有同等法律效力：</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1．技术背景资料：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2．可行性论证报告：</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3．技术评价报告：</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4．技术标准和规范：</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5．原始设计和工艺文件：</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6．其他：</w:t>
      </w:r>
      <w:r>
        <w:rPr>
          <w:rFonts w:hint="eastAsia" w:ascii="仿宋_GB2312" w:hAnsi="仿宋_GB2312" w:eastAsia="仿宋_GB2312" w:cs="仿宋_GB2312"/>
          <w:sz w:val="28"/>
          <w:szCs w:val="28"/>
          <w:u w:val="single"/>
        </w:rPr>
        <w:t>杭州萧山国际机场有限公司廉洁自律承诺书</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u w:val="single"/>
          <w:lang w:val="en-US" w:eastAsia="zh-CN"/>
        </w:rPr>
        <w:t>保密承诺书、疫情防控责任书</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3"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第十</w:t>
      </w: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b/>
          <w:bCs/>
          <w:sz w:val="28"/>
          <w:szCs w:val="28"/>
        </w:rPr>
        <w:t>条</w:t>
      </w:r>
      <w:r>
        <w:rPr>
          <w:rFonts w:hint="eastAsia" w:ascii="仿宋_GB2312" w:hAnsi="仿宋_GB2312" w:eastAsia="仿宋_GB2312" w:cs="仿宋_GB2312"/>
          <w:sz w:val="28"/>
          <w:szCs w:val="28"/>
        </w:rPr>
        <w:t>：本合同一式</w:t>
      </w:r>
      <w:r>
        <w:rPr>
          <w:rFonts w:hint="eastAsia" w:ascii="仿宋_GB2312" w:hAnsi="仿宋_GB2312" w:eastAsia="仿宋_GB2312" w:cs="仿宋_GB2312"/>
          <w:sz w:val="28"/>
          <w:szCs w:val="28"/>
          <w:u w:val="single"/>
          <w:lang w:val="en-US" w:eastAsia="zh-CN"/>
        </w:rPr>
        <w:t>捌</w:t>
      </w:r>
      <w:r>
        <w:rPr>
          <w:rFonts w:hint="eastAsia" w:ascii="仿宋_GB2312" w:hAnsi="仿宋_GB2312" w:eastAsia="仿宋_GB2312" w:cs="仿宋_GB2312"/>
          <w:sz w:val="28"/>
          <w:szCs w:val="28"/>
        </w:rPr>
        <w:t>份，甲方执</w:t>
      </w:r>
      <w:r>
        <w:rPr>
          <w:rFonts w:hint="eastAsia" w:ascii="仿宋_GB2312" w:hAnsi="仿宋_GB2312" w:eastAsia="仿宋_GB2312" w:cs="仿宋_GB2312"/>
          <w:sz w:val="28"/>
          <w:szCs w:val="28"/>
          <w:u w:val="single"/>
          <w:lang w:val="en-US" w:eastAsia="zh-CN"/>
        </w:rPr>
        <w:t>肆</w:t>
      </w:r>
      <w:r>
        <w:rPr>
          <w:rFonts w:hint="eastAsia" w:ascii="仿宋_GB2312" w:hAnsi="仿宋_GB2312" w:eastAsia="仿宋_GB2312" w:cs="仿宋_GB2312"/>
          <w:sz w:val="28"/>
          <w:szCs w:val="28"/>
        </w:rPr>
        <w:t>份，乙方执</w:t>
      </w:r>
      <w:r>
        <w:rPr>
          <w:rFonts w:hint="eastAsia" w:ascii="仿宋_GB2312" w:hAnsi="仿宋_GB2312" w:eastAsia="仿宋_GB2312" w:cs="仿宋_GB2312"/>
          <w:sz w:val="28"/>
          <w:szCs w:val="28"/>
          <w:u w:val="single"/>
          <w:lang w:val="en-US" w:eastAsia="zh-CN"/>
        </w:rPr>
        <w:t>肆</w:t>
      </w:r>
      <w:r>
        <w:rPr>
          <w:rFonts w:hint="eastAsia" w:ascii="仿宋_GB2312" w:hAnsi="仿宋_GB2312" w:eastAsia="仿宋_GB2312" w:cs="仿宋_GB2312"/>
          <w:sz w:val="28"/>
          <w:szCs w:val="28"/>
        </w:rPr>
        <w:t>份，具有同等法律效力。</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3"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第十</w:t>
      </w:r>
      <w:r>
        <w:rPr>
          <w:rFonts w:hint="eastAsia" w:ascii="仿宋_GB2312" w:hAnsi="仿宋_GB2312" w:eastAsia="仿宋_GB2312" w:cs="仿宋_GB2312"/>
          <w:b/>
          <w:bCs/>
          <w:sz w:val="28"/>
          <w:szCs w:val="28"/>
          <w:lang w:val="en-US" w:eastAsia="zh-CN"/>
        </w:rPr>
        <w:t>六</w:t>
      </w:r>
      <w:r>
        <w:rPr>
          <w:rFonts w:hint="eastAsia" w:ascii="仿宋_GB2312" w:hAnsi="仿宋_GB2312" w:eastAsia="仿宋_GB2312" w:cs="仿宋_GB2312"/>
          <w:b/>
          <w:bCs/>
          <w:sz w:val="28"/>
          <w:szCs w:val="28"/>
        </w:rPr>
        <w:t>条：</w:t>
      </w:r>
      <w:r>
        <w:rPr>
          <w:rFonts w:hint="eastAsia" w:ascii="仿宋_GB2312" w:hAnsi="仿宋_GB2312" w:eastAsia="仿宋_GB2312" w:cs="仿宋_GB2312"/>
          <w:sz w:val="28"/>
          <w:szCs w:val="28"/>
        </w:rPr>
        <w:t>本合同经双方法定代表人或者委托代理人签字（包含签章）且加盖公章或者合同专用盖章之日起生效。</w:t>
      </w:r>
    </w:p>
    <w:p>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z w:val="28"/>
          <w:szCs w:val="28"/>
        </w:rPr>
      </w:pPr>
    </w:p>
    <w:p>
      <w:pPr>
        <w:keepNext w:val="0"/>
        <w:keepLines w:val="0"/>
        <w:pageBreakBefore/>
        <w:widowControl w:val="0"/>
        <w:kinsoku/>
        <w:wordWrap/>
        <w:overflowPunct/>
        <w:topLinePunct w:val="0"/>
        <w:autoSpaceDE/>
        <w:autoSpaceDN/>
        <w:bidi w:val="0"/>
        <w:adjustRightInd/>
        <w:snapToGrid/>
        <w:textAlignment w:val="auto"/>
        <w:rPr>
          <w:rFonts w:hint="eastAsia" w:ascii="黑体" w:hAnsi="黑体" w:eastAsia="黑体" w:cs="黑体"/>
          <w:b w:val="0"/>
          <w:bCs w:val="0"/>
          <w:sz w:val="28"/>
        </w:rPr>
      </w:pPr>
      <w:r>
        <w:rPr>
          <w:rFonts w:hint="eastAsia" w:ascii="黑体" w:hAnsi="黑体" w:eastAsia="黑体" w:cs="黑体"/>
          <w:b w:val="0"/>
          <w:bCs w:val="0"/>
          <w:sz w:val="28"/>
        </w:rPr>
        <w:t>（以下为签署页）</w:t>
      </w:r>
    </w:p>
    <w:p>
      <w:pPr>
        <w:rPr>
          <w:rFonts w:hint="eastAsia"/>
          <w:sz w:val="28"/>
        </w:rPr>
      </w:pPr>
    </w:p>
    <w:p>
      <w:pPr>
        <w:jc w:val="left"/>
        <w:rPr>
          <w:rFonts w:hint="eastAsia"/>
          <w:sz w:val="28"/>
          <w:u w:val="single"/>
        </w:rPr>
      </w:pPr>
      <w:r>
        <w:rPr>
          <w:rFonts w:hint="eastAsia"/>
          <w:sz w:val="28"/>
        </w:rPr>
        <w:t xml:space="preserve">    甲方：</w:t>
      </w:r>
      <w:r>
        <w:rPr>
          <w:rFonts w:hint="eastAsia"/>
          <w:sz w:val="28"/>
          <w:u w:val="single"/>
        </w:rPr>
        <w:t xml:space="preserve">杭州萧山国际机场有限公司   </w:t>
      </w:r>
      <w:r>
        <w:rPr>
          <w:rFonts w:hint="eastAsia"/>
          <w:sz w:val="28"/>
          <w:u w:val="single"/>
          <w:lang w:val="en-US" w:eastAsia="zh-CN"/>
        </w:rPr>
        <w:t xml:space="preserve">  </w:t>
      </w:r>
      <w:r>
        <w:rPr>
          <w:rFonts w:hint="eastAsia"/>
          <w:sz w:val="28"/>
          <w:u w:val="single"/>
        </w:rPr>
        <w:t xml:space="preserve"> （盖章）</w:t>
      </w:r>
      <w:r>
        <w:rPr>
          <w:rFonts w:hint="eastAsia"/>
          <w:sz w:val="28"/>
        </w:rPr>
        <w:t xml:space="preserve">                </w:t>
      </w:r>
    </w:p>
    <w:p>
      <w:pPr>
        <w:ind w:firstLine="570"/>
        <w:rPr>
          <w:rFonts w:hint="eastAsia"/>
          <w:sz w:val="28"/>
        </w:rPr>
      </w:pPr>
      <w:r>
        <w:rPr>
          <w:rFonts w:hint="eastAsia"/>
          <w:sz w:val="28"/>
        </w:rPr>
        <w:t>法定代表人：</w:t>
      </w:r>
      <w:r>
        <w:rPr>
          <w:rFonts w:hint="eastAsia"/>
          <w:sz w:val="28"/>
          <w:u w:val="single"/>
        </w:rPr>
        <w:t>　　　　  　　　      　（签名）</w:t>
      </w:r>
      <w:r>
        <w:rPr>
          <w:rFonts w:hint="eastAsia"/>
          <w:sz w:val="28"/>
        </w:rPr>
        <w:t>　</w:t>
      </w:r>
    </w:p>
    <w:p>
      <w:pPr>
        <w:ind w:firstLine="570"/>
        <w:rPr>
          <w:rFonts w:hint="eastAsia"/>
          <w:sz w:val="28"/>
        </w:rPr>
      </w:pPr>
      <w:r>
        <w:rPr>
          <w:rFonts w:hint="eastAsia"/>
          <w:sz w:val="28"/>
        </w:rPr>
        <w:t>或</w:t>
      </w:r>
    </w:p>
    <w:p>
      <w:pPr>
        <w:ind w:firstLine="570"/>
        <w:rPr>
          <w:rFonts w:hint="eastAsia"/>
          <w:sz w:val="28"/>
        </w:rPr>
      </w:pPr>
      <w:r>
        <w:rPr>
          <w:rFonts w:hint="eastAsia"/>
          <w:sz w:val="28"/>
        </w:rPr>
        <w:t>委托代理人：</w:t>
      </w:r>
      <w:r>
        <w:rPr>
          <w:rFonts w:hint="eastAsia"/>
          <w:sz w:val="28"/>
          <w:u w:val="single"/>
        </w:rPr>
        <w:t>　　　　  　　　      　（签名）</w:t>
      </w:r>
      <w:r>
        <w:rPr>
          <w:rFonts w:hint="eastAsia"/>
          <w:sz w:val="28"/>
        </w:rPr>
        <w:t>　</w:t>
      </w:r>
    </w:p>
    <w:p>
      <w:pPr>
        <w:ind w:firstLine="570"/>
        <w:rPr>
          <w:rFonts w:hint="eastAsia"/>
          <w:sz w:val="28"/>
        </w:rPr>
      </w:pPr>
      <w:r>
        <w:rPr>
          <w:rFonts w:hint="eastAsia"/>
          <w:sz w:val="28"/>
        </w:rPr>
        <w:t>签字日期：</w:t>
      </w:r>
    </w:p>
    <w:p>
      <w:pPr>
        <w:rPr>
          <w:rFonts w:hint="eastAsia"/>
          <w:sz w:val="28"/>
        </w:rPr>
      </w:pPr>
      <w:r>
        <w:rPr>
          <w:rFonts w:hint="eastAsia"/>
          <w:sz w:val="28"/>
        </w:rPr>
        <w:t xml:space="preserve">                                    年     月     日</w:t>
      </w:r>
    </w:p>
    <w:p>
      <w:pPr>
        <w:rPr>
          <w:rFonts w:hint="eastAsia"/>
          <w:sz w:val="28"/>
        </w:rPr>
      </w:pPr>
    </w:p>
    <w:p>
      <w:pPr>
        <w:rPr>
          <w:rFonts w:hint="eastAsia"/>
          <w:sz w:val="28"/>
        </w:rPr>
      </w:pPr>
    </w:p>
    <w:p>
      <w:pPr>
        <w:rPr>
          <w:rFonts w:hint="eastAsia"/>
          <w:sz w:val="28"/>
        </w:rPr>
      </w:pPr>
    </w:p>
    <w:p>
      <w:pPr>
        <w:rPr>
          <w:rFonts w:hint="eastAsia"/>
          <w:sz w:val="28"/>
          <w:u w:val="single"/>
        </w:rPr>
      </w:pPr>
      <w:r>
        <w:rPr>
          <w:rFonts w:hint="eastAsia"/>
          <w:sz w:val="28"/>
        </w:rPr>
        <w:t xml:space="preserve">     乙方：</w:t>
      </w:r>
      <w:r>
        <w:rPr>
          <w:rFonts w:hint="eastAsia"/>
          <w:sz w:val="28"/>
          <w:u w:val="single"/>
          <w:lang w:val="en-US" w:eastAsia="zh-CN"/>
        </w:rPr>
        <w:t xml:space="preserve">                        </w:t>
      </w:r>
      <w:r>
        <w:rPr>
          <w:rFonts w:hint="eastAsia"/>
          <w:sz w:val="28"/>
          <w:u w:val="single"/>
        </w:rPr>
        <w:t xml:space="preserve">  </w:t>
      </w:r>
      <w:r>
        <w:rPr>
          <w:rFonts w:hint="eastAsia"/>
          <w:sz w:val="28"/>
          <w:u w:val="single"/>
          <w:lang w:val="en-US" w:eastAsia="zh-CN"/>
        </w:rPr>
        <w:t xml:space="preserve">   </w:t>
      </w:r>
      <w:r>
        <w:rPr>
          <w:rFonts w:hint="eastAsia"/>
          <w:sz w:val="28"/>
          <w:u w:val="single"/>
          <w:lang w:eastAsia="zh-CN"/>
        </w:rPr>
        <w:t>（</w:t>
      </w:r>
      <w:r>
        <w:rPr>
          <w:rFonts w:hint="eastAsia"/>
          <w:sz w:val="28"/>
          <w:u w:val="single"/>
        </w:rPr>
        <w:t>盖章）</w:t>
      </w:r>
      <w:r>
        <w:rPr>
          <w:rFonts w:hint="eastAsia"/>
          <w:sz w:val="28"/>
        </w:rPr>
        <w:t xml:space="preserve">                </w:t>
      </w:r>
    </w:p>
    <w:p>
      <w:pPr>
        <w:ind w:firstLine="570"/>
        <w:rPr>
          <w:rFonts w:hint="eastAsia"/>
          <w:sz w:val="28"/>
        </w:rPr>
      </w:pPr>
      <w:r>
        <w:rPr>
          <w:rFonts w:hint="eastAsia"/>
          <w:sz w:val="28"/>
        </w:rPr>
        <w:t>法定代表人：</w:t>
      </w:r>
      <w:r>
        <w:rPr>
          <w:rFonts w:hint="eastAsia"/>
          <w:sz w:val="28"/>
          <w:u w:val="single"/>
        </w:rPr>
        <w:t>　　　　  　　　      　（签名）</w:t>
      </w:r>
      <w:r>
        <w:rPr>
          <w:rFonts w:hint="eastAsia"/>
          <w:sz w:val="28"/>
        </w:rPr>
        <w:t>　</w:t>
      </w:r>
    </w:p>
    <w:p>
      <w:pPr>
        <w:ind w:firstLine="570"/>
        <w:rPr>
          <w:rFonts w:hint="eastAsia"/>
          <w:sz w:val="28"/>
        </w:rPr>
      </w:pPr>
      <w:r>
        <w:rPr>
          <w:rFonts w:hint="eastAsia"/>
          <w:sz w:val="28"/>
        </w:rPr>
        <w:t>或</w:t>
      </w:r>
    </w:p>
    <w:p>
      <w:pPr>
        <w:ind w:firstLine="570"/>
        <w:rPr>
          <w:rFonts w:hint="eastAsia"/>
          <w:sz w:val="28"/>
          <w:u w:val="single"/>
        </w:rPr>
      </w:pPr>
      <w:r>
        <w:rPr>
          <w:rFonts w:hint="eastAsia"/>
          <w:sz w:val="28"/>
        </w:rPr>
        <w:t>委托代理人：</w:t>
      </w:r>
      <w:r>
        <w:rPr>
          <w:rFonts w:hint="eastAsia"/>
          <w:sz w:val="28"/>
          <w:u w:val="single"/>
        </w:rPr>
        <w:t>　　　　  　　      　　（签名）</w:t>
      </w:r>
    </w:p>
    <w:p>
      <w:pPr>
        <w:ind w:firstLine="570"/>
        <w:rPr>
          <w:rFonts w:hint="eastAsia"/>
          <w:sz w:val="28"/>
          <w:u w:val="none"/>
        </w:rPr>
      </w:pPr>
      <w:r>
        <w:rPr>
          <w:rFonts w:hint="eastAsia"/>
          <w:sz w:val="28"/>
          <w:u w:val="none"/>
        </w:rPr>
        <w:t>签字日期：</w:t>
      </w:r>
    </w:p>
    <w:p>
      <w:pPr>
        <w:rPr>
          <w:rFonts w:hint="eastAsia"/>
          <w:sz w:val="28"/>
        </w:rPr>
      </w:pPr>
      <w:r>
        <w:rPr>
          <w:rFonts w:hint="eastAsia"/>
          <w:sz w:val="28"/>
        </w:rPr>
        <w:t xml:space="preserve">                                     年     月     日</w:t>
      </w:r>
    </w:p>
    <w:p>
      <w:pPr>
        <w:keepNext w:val="0"/>
        <w:keepLines w:val="0"/>
        <w:pageBreakBefore w:val="0"/>
        <w:widowControl w:val="0"/>
        <w:kinsoku/>
        <w:wordWrap/>
        <w:overflowPunct/>
        <w:topLinePunct w:val="0"/>
        <w:autoSpaceDE/>
        <w:autoSpaceDN/>
        <w:bidi w:val="0"/>
        <w:adjustRightInd w:val="0"/>
        <w:snapToGrid w:val="0"/>
        <w:spacing w:line="360" w:lineRule="auto"/>
        <w:ind w:left="4174" w:leftChars="512" w:hanging="3099" w:hangingChars="1409"/>
        <w:textAlignment w:val="auto"/>
        <w:rPr>
          <w:rFonts w:hint="eastAsia" w:ascii="宋体" w:hAnsi="宋体" w:eastAsia="宋体" w:cs="宋体"/>
          <w:color w:val="000000"/>
          <w:sz w:val="22"/>
          <w:szCs w:val="22"/>
          <w:highlight w:val="none"/>
        </w:rPr>
      </w:pPr>
    </w:p>
    <w:p>
      <w:pPr>
        <w:pStyle w:val="7"/>
        <w:rPr>
          <w:rFonts w:hint="eastAsia" w:ascii="宋体" w:hAnsi="宋体" w:eastAsia="宋体" w:cs="宋体"/>
          <w:color w:val="000000"/>
          <w:sz w:val="22"/>
          <w:szCs w:val="22"/>
          <w:highlight w:val="none"/>
        </w:rPr>
      </w:pPr>
    </w:p>
    <w:p>
      <w:pPr>
        <w:widowControl/>
        <w:jc w:val="left"/>
        <w:rPr>
          <w:rFonts w:ascii="宋体" w:hAnsi="宋体" w:cs="Courier New"/>
          <w:b/>
          <w:bCs/>
          <w:color w:val="000000"/>
          <w:sz w:val="24"/>
          <w:szCs w:val="24"/>
          <w:highlight w:val="none"/>
        </w:rPr>
      </w:pPr>
    </w:p>
    <w:p>
      <w:pPr>
        <w:keepNext w:val="0"/>
        <w:keepLines w:val="0"/>
        <w:pageBreakBefore/>
        <w:widowControl w:val="0"/>
        <w:kinsoku/>
        <w:wordWrap/>
        <w:overflowPunct/>
        <w:topLinePunct w:val="0"/>
        <w:autoSpaceDE/>
        <w:autoSpaceDN/>
        <w:bidi w:val="0"/>
        <w:adjustRightInd/>
        <w:snapToGrid/>
        <w:spacing w:line="360" w:lineRule="exact"/>
        <w:ind w:right="0" w:righ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w:t>
      </w:r>
      <w:r>
        <w:rPr>
          <w:rFonts w:hint="eastAsia" w:asciiTheme="minorEastAsia" w:hAnsiTheme="minorEastAsia" w:eastAsiaTheme="minorEastAsia" w:cstheme="minorEastAsia"/>
          <w:sz w:val="24"/>
          <w:szCs w:val="24"/>
          <w:lang w:val="en-US" w:eastAsia="zh-CN"/>
        </w:rPr>
        <w:t>一</w:t>
      </w:r>
      <w:r>
        <w:rPr>
          <w:rFonts w:hint="eastAsia" w:asciiTheme="minorEastAsia" w:hAnsiTheme="minorEastAsia" w:eastAsiaTheme="minorEastAsia" w:cstheme="minorEastAsia"/>
          <w:sz w:val="24"/>
          <w:szCs w:val="24"/>
        </w:rPr>
        <w:t>：</w:t>
      </w:r>
    </w:p>
    <w:p>
      <w:pPr>
        <w:pStyle w:val="27"/>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黑体" w:hAnsi="黑体" w:eastAsia="黑体" w:cs="黑体"/>
          <w:b/>
          <w:color w:val="auto"/>
          <w:sz w:val="36"/>
          <w:szCs w:val="36"/>
        </w:rPr>
      </w:pPr>
      <w:r>
        <w:rPr>
          <w:rFonts w:hint="eastAsia" w:ascii="黑体" w:hAnsi="黑体" w:eastAsia="黑体" w:cs="黑体"/>
          <w:b/>
          <w:color w:val="auto"/>
          <w:sz w:val="36"/>
          <w:szCs w:val="36"/>
        </w:rPr>
        <w:t>杭州萧山国际机场有限公司廉洁自律承诺书</w:t>
      </w:r>
    </w:p>
    <w:p>
      <w:pPr>
        <w:pStyle w:val="27"/>
        <w:spacing w:line="560" w:lineRule="exact"/>
        <w:ind w:firstLine="721"/>
        <w:rPr>
          <w:rFonts w:hint="eastAsia" w:ascii="黑体" w:hAnsi="黑体" w:eastAsia="黑体" w:cs="黑体"/>
          <w:b/>
          <w:color w:val="auto"/>
          <w:sz w:val="36"/>
          <w:szCs w:val="36"/>
        </w:rPr>
      </w:pPr>
    </w:p>
    <w:p>
      <w:pPr>
        <w:pStyle w:val="28"/>
        <w:adjustRightInd w:val="0"/>
        <w:snapToGrid w:val="0"/>
        <w:ind w:firstLine="480"/>
        <w:jc w:val="left"/>
        <w:rPr>
          <w:rFonts w:ascii="宋体" w:hAnsi="宋体"/>
          <w:b/>
          <w:sz w:val="24"/>
          <w:szCs w:val="24"/>
        </w:rPr>
      </w:pPr>
    </w:p>
    <w:p>
      <w:pPr>
        <w:pStyle w:val="28"/>
        <w:adjustRightInd w:val="0"/>
        <w:snapToGrid w:val="0"/>
        <w:ind w:firstLine="0" w:firstLineChars="0"/>
        <w:jc w:val="left"/>
        <w:rPr>
          <w:rFonts w:ascii="宋体" w:hAnsi="宋体"/>
          <w:b/>
          <w:sz w:val="30"/>
          <w:szCs w:val="30"/>
        </w:rPr>
      </w:pPr>
      <w:r>
        <w:rPr>
          <w:rFonts w:hint="eastAsia" w:ascii="宋体" w:hAnsi="宋体"/>
          <w:b/>
          <w:sz w:val="30"/>
          <w:szCs w:val="30"/>
        </w:rPr>
        <w:t>杭州萧山国际机场有限公司：</w:t>
      </w:r>
    </w:p>
    <w:p>
      <w:pPr>
        <w:pStyle w:val="28"/>
        <w:adjustRightInd w:val="0"/>
        <w:snapToGrid w:val="0"/>
        <w:spacing w:line="560" w:lineRule="exact"/>
        <w:ind w:firstLine="6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我单位响应贵公司项目招标要求，参加项目投标。在投标过程中及中标后，我们将严格遵守国家法律法规和贵司招标文件要求，并郑重作出如下承诺和保证：</w:t>
      </w:r>
    </w:p>
    <w:p>
      <w:pPr>
        <w:pStyle w:val="28"/>
        <w:adjustRightInd w:val="0"/>
        <w:snapToGrid w:val="0"/>
        <w:spacing w:line="560" w:lineRule="exact"/>
        <w:ind w:firstLine="6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8"/>
        <w:adjustRightInd w:val="0"/>
        <w:snapToGrid w:val="0"/>
        <w:spacing w:line="560" w:lineRule="exact"/>
        <w:ind w:firstLine="6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二、不以任何名义为贵公司有关人员或项目第三方人员报销应由贵公司或个人支付的费用；</w:t>
      </w:r>
    </w:p>
    <w:p>
      <w:pPr>
        <w:pStyle w:val="28"/>
        <w:adjustRightInd w:val="0"/>
        <w:snapToGrid w:val="0"/>
        <w:spacing w:line="560" w:lineRule="exact"/>
        <w:ind w:firstLine="6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三、不向贵公司有关人员或项目第三方人员提供宴请、旅游、和健身娱乐等活动；</w:t>
      </w:r>
    </w:p>
    <w:p>
      <w:pPr>
        <w:pStyle w:val="28"/>
        <w:adjustRightInd w:val="0"/>
        <w:snapToGrid w:val="0"/>
        <w:spacing w:line="560" w:lineRule="exact"/>
        <w:ind w:firstLine="6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四、不为贵公司有关人员或项目第三方人员出国（境）、旅游等提供方便；</w:t>
      </w:r>
    </w:p>
    <w:p>
      <w:pPr>
        <w:pStyle w:val="28"/>
        <w:adjustRightInd w:val="0"/>
        <w:snapToGrid w:val="0"/>
        <w:spacing w:line="560" w:lineRule="exact"/>
        <w:ind w:firstLine="6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五、不为贵公司有关人员或项目第三方人员个人装修住房、婚丧嫁娶、配偶子女工作安排等提供好处或便利条件；</w:t>
      </w:r>
    </w:p>
    <w:p>
      <w:pPr>
        <w:pStyle w:val="28"/>
        <w:adjustRightInd w:val="0"/>
        <w:snapToGrid w:val="0"/>
        <w:spacing w:line="560" w:lineRule="exact"/>
        <w:ind w:firstLine="6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六、严格遵守国家招标投标法、</w:t>
      </w:r>
      <w:r>
        <w:rPr>
          <w:rFonts w:hint="eastAsia" w:ascii="仿宋_GB2312" w:hAnsi="仿宋_GB2312" w:eastAsia="仿宋_GB2312" w:cs="仿宋_GB2312"/>
          <w:sz w:val="30"/>
          <w:szCs w:val="30"/>
          <w:lang w:eastAsia="zh-Hans"/>
        </w:rPr>
        <w:t>民法典</w:t>
      </w:r>
      <w:r>
        <w:rPr>
          <w:rFonts w:hint="eastAsia" w:ascii="仿宋_GB2312" w:hAnsi="仿宋_GB2312" w:eastAsia="仿宋_GB2312" w:cs="仿宋_GB2312"/>
          <w:sz w:val="30"/>
          <w:szCs w:val="30"/>
        </w:rPr>
        <w:t>等法律规定，诚实守信，合法经营，坚决杜绝各种违法违纪行为。</w:t>
      </w:r>
    </w:p>
    <w:p>
      <w:pPr>
        <w:pStyle w:val="28"/>
        <w:adjustRightInd w:val="0"/>
        <w:snapToGrid w:val="0"/>
        <w:spacing w:line="560" w:lineRule="exact"/>
        <w:ind w:firstLine="6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28"/>
        <w:adjustRightInd w:val="0"/>
        <w:snapToGrid w:val="0"/>
        <w:spacing w:line="560" w:lineRule="exact"/>
        <w:ind w:firstLine="6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八、如违反上述廉洁自律承诺，贵公司有权：</w:t>
      </w:r>
    </w:p>
    <w:p>
      <w:pPr>
        <w:pStyle w:val="28"/>
        <w:numPr>
          <w:ilvl w:val="0"/>
          <w:numId w:val="10"/>
        </w:numPr>
        <w:adjustRightInd w:val="0"/>
        <w:snapToGrid w:val="0"/>
        <w:spacing w:line="560" w:lineRule="exact"/>
        <w:ind w:firstLineChars="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立即取消我单位投标、中标或在建项目的实施资格；</w:t>
      </w:r>
    </w:p>
    <w:p>
      <w:pPr>
        <w:pStyle w:val="28"/>
        <w:numPr>
          <w:ilvl w:val="0"/>
          <w:numId w:val="10"/>
        </w:numPr>
        <w:adjustRightInd w:val="0"/>
        <w:snapToGrid w:val="0"/>
        <w:spacing w:line="560" w:lineRule="exact"/>
        <w:ind w:firstLineChars="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拒绝我单位在一定时期内进入贵公司进行项目建设或其它经营活动；</w:t>
      </w:r>
    </w:p>
    <w:p>
      <w:pPr>
        <w:pStyle w:val="28"/>
        <w:numPr>
          <w:ilvl w:val="0"/>
          <w:numId w:val="10"/>
        </w:numPr>
        <w:adjustRightInd w:val="0"/>
        <w:snapToGrid w:val="0"/>
        <w:spacing w:line="560" w:lineRule="exact"/>
        <w:ind w:firstLineChars="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由此引起的相应损失均由我单位承担。</w:t>
      </w:r>
    </w:p>
    <w:p>
      <w:pPr>
        <w:pStyle w:val="28"/>
        <w:adjustRightInd w:val="0"/>
        <w:snapToGrid w:val="0"/>
        <w:spacing w:line="560" w:lineRule="exact"/>
        <w:ind w:firstLine="600"/>
        <w:jc w:val="left"/>
        <w:rPr>
          <w:rFonts w:hint="eastAsia" w:ascii="仿宋_GB2312" w:hAnsi="仿宋_GB2312" w:eastAsia="仿宋_GB2312" w:cs="仿宋_GB2312"/>
          <w:sz w:val="30"/>
          <w:szCs w:val="30"/>
        </w:rPr>
      </w:pPr>
    </w:p>
    <w:p>
      <w:pPr>
        <w:pStyle w:val="28"/>
        <w:adjustRightInd w:val="0"/>
        <w:snapToGrid w:val="0"/>
        <w:spacing w:line="560" w:lineRule="exact"/>
        <w:ind w:firstLine="600"/>
        <w:jc w:val="left"/>
        <w:rPr>
          <w:rFonts w:hint="eastAsia" w:ascii="仿宋_GB2312" w:hAnsi="仿宋_GB2312" w:eastAsia="仿宋_GB2312" w:cs="仿宋_GB2312"/>
          <w:sz w:val="30"/>
          <w:szCs w:val="30"/>
        </w:rPr>
      </w:pPr>
    </w:p>
    <w:p>
      <w:pPr>
        <w:pStyle w:val="28"/>
        <w:adjustRightInd w:val="0"/>
        <w:snapToGrid w:val="0"/>
        <w:spacing w:line="560" w:lineRule="exact"/>
        <w:ind w:firstLine="600"/>
        <w:jc w:val="left"/>
        <w:rPr>
          <w:rFonts w:hint="eastAsia" w:ascii="仿宋_GB2312" w:hAnsi="仿宋_GB2312" w:eastAsia="仿宋_GB2312" w:cs="仿宋_GB2312"/>
          <w:sz w:val="30"/>
          <w:szCs w:val="30"/>
        </w:rPr>
      </w:pPr>
    </w:p>
    <w:p>
      <w:pPr>
        <w:pStyle w:val="28"/>
        <w:adjustRightInd w:val="0"/>
        <w:snapToGrid w:val="0"/>
        <w:spacing w:line="560" w:lineRule="exact"/>
        <w:ind w:firstLine="6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承诺单位（盖章）：            </w:t>
      </w:r>
    </w:p>
    <w:p>
      <w:pPr>
        <w:pStyle w:val="28"/>
        <w:adjustRightInd w:val="0"/>
        <w:snapToGrid w:val="0"/>
        <w:spacing w:line="560" w:lineRule="exact"/>
        <w:ind w:firstLine="6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p>
      <w:pPr>
        <w:pStyle w:val="28"/>
        <w:adjustRightInd w:val="0"/>
        <w:snapToGrid w:val="0"/>
        <w:spacing w:line="560" w:lineRule="exact"/>
        <w:ind w:firstLine="601"/>
        <w:jc w:val="left"/>
        <w:rPr>
          <w:rFonts w:hint="eastAsia" w:ascii="仿宋_GB2312" w:hAnsi="仿宋_GB2312" w:eastAsia="仿宋_GB2312" w:cs="仿宋_GB2312"/>
          <w:b/>
          <w:sz w:val="30"/>
          <w:szCs w:val="30"/>
        </w:rPr>
      </w:pPr>
    </w:p>
    <w:p>
      <w:pPr>
        <w:pStyle w:val="15"/>
        <w:spacing w:before="0" w:after="0" w:line="560" w:lineRule="exact"/>
        <w:rPr>
          <w:rFonts w:hint="eastAsia" w:ascii="仿宋_GB2312" w:hAnsi="仿宋_GB2312" w:eastAsia="仿宋_GB2312" w:cs="仿宋_GB2312"/>
          <w:b w:val="0"/>
          <w:sz w:val="30"/>
          <w:szCs w:val="30"/>
        </w:rPr>
      </w:pPr>
      <w:r>
        <w:rPr>
          <w:rFonts w:hint="eastAsia" w:ascii="仿宋_GB2312" w:hAnsi="仿宋_GB2312" w:eastAsia="仿宋_GB2312" w:cs="仿宋_GB2312"/>
          <w:b w:val="0"/>
          <w:sz w:val="30"/>
          <w:szCs w:val="30"/>
        </w:rPr>
        <w:t xml:space="preserve">                           年     月     日</w:t>
      </w:r>
    </w:p>
    <w:p>
      <w:pPr>
        <w:rPr>
          <w:sz w:val="30"/>
          <w:szCs w:val="30"/>
        </w:rPr>
      </w:pPr>
    </w:p>
    <w:p>
      <w:pPr>
        <w:rPr>
          <w:sz w:val="30"/>
          <w:szCs w:val="30"/>
        </w:rPr>
      </w:pPr>
    </w:p>
    <w:p>
      <w:pPr>
        <w:rPr>
          <w:sz w:val="30"/>
          <w:szCs w:val="30"/>
        </w:rPr>
      </w:pPr>
    </w:p>
    <w:p>
      <w:pPr>
        <w:keepNext w:val="0"/>
        <w:keepLines w:val="0"/>
        <w:pageBreakBefore/>
        <w:widowControl w:val="0"/>
        <w:numPr>
          <w:ilvl w:val="0"/>
          <w:numId w:val="0"/>
        </w:numPr>
        <w:kinsoku/>
        <w:wordWrap/>
        <w:overflowPunct/>
        <w:topLinePunct w:val="0"/>
        <w:autoSpaceDE/>
        <w:autoSpaceDN/>
        <w:bidi w:val="0"/>
        <w:adjustRightInd/>
        <w:snapToGrid/>
        <w:jc w:val="left"/>
        <w:textAlignment w:val="auto"/>
        <w:rPr>
          <w:rFonts w:hint="eastAsia" w:ascii="宋体" w:hAnsi="宋体" w:cs="宋体"/>
          <w:sz w:val="22"/>
          <w:highlight w:val="none"/>
        </w:rPr>
      </w:pPr>
      <w:r>
        <w:rPr>
          <w:rFonts w:hint="eastAsia" w:ascii="宋体" w:hAnsi="宋体" w:cs="宋体"/>
          <w:sz w:val="22"/>
          <w:highlight w:val="none"/>
        </w:rPr>
        <w:t>附件</w:t>
      </w:r>
      <w:r>
        <w:rPr>
          <w:rFonts w:hint="eastAsia" w:ascii="宋体" w:hAnsi="宋体" w:cs="宋体"/>
          <w:sz w:val="22"/>
          <w:highlight w:val="none"/>
          <w:lang w:val="en-US" w:eastAsia="zh-CN"/>
        </w:rPr>
        <w:t>二</w:t>
      </w:r>
      <w:r>
        <w:rPr>
          <w:rFonts w:hint="eastAsia" w:ascii="宋体" w:hAnsi="宋体" w:cs="宋体"/>
          <w:sz w:val="22"/>
          <w:highlight w:val="none"/>
        </w:rPr>
        <w:t>：</w:t>
      </w:r>
    </w:p>
    <w:p>
      <w:pPr>
        <w:spacing w:line="560" w:lineRule="exact"/>
        <w:jc w:val="cente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保密承诺书</w:t>
      </w:r>
    </w:p>
    <w:p>
      <w:pPr>
        <w:spacing w:line="560" w:lineRule="exact"/>
        <w:jc w:val="center"/>
        <w:rPr>
          <w:rFonts w:hint="eastAsia" w:ascii="方正小标宋简体" w:hAnsi="方正小标宋简体" w:eastAsia="方正小标宋简体" w:cs="方正小标宋简体"/>
          <w:b/>
          <w:bCs/>
          <w:sz w:val="36"/>
          <w:szCs w:val="36"/>
        </w:rPr>
      </w:pPr>
    </w:p>
    <w:p>
      <w:pPr>
        <w:snapToGri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鉴于我方愿成为杭州萧山国际机场有限公司（以下简称“机场公司”）的供应商或潜在供应商候选人，为机场公司提供</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rPr>
        <w:t>项目的服务。在上述业务来往过程中，机场公司可能向我方提供经营、业务、服务等有关的文件、资料、软件等信息，为维护机场公司的利益，我方就保密事宜做出如下承诺：</w:t>
      </w:r>
    </w:p>
    <w:p>
      <w:pPr>
        <w:keepNext w:val="0"/>
        <w:keepLines w:val="0"/>
        <w:pageBreakBefore w:val="0"/>
        <w:widowControl w:val="0"/>
        <w:kinsoku/>
        <w:wordWrap/>
        <w:overflowPunct/>
        <w:topLinePunct w:val="0"/>
        <w:autoSpaceDE/>
        <w:autoSpaceDN/>
        <w:bidi w:val="0"/>
        <w:spacing w:line="560" w:lineRule="exact"/>
        <w:ind w:left="0" w:leftChars="0" w:right="0" w:rightChars="0" w:firstLine="600"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1.商业秘密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00"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1.1商业秘密是指机场公司（包括机场公司关联公司）一切专有、不对外公开的资料和信息。包括但不限于以下方面：</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00"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（1）经营信息（发展规划、运营状况、客户资源、货源情报、投融资计划、开发计划、标书等）；</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00"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（2）管理信息（管理方法、管理制度、员工管理、合同管理、纠纷管理等）；</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00"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（3）产品及技术信息（设计及图纸、样品及服务、技术方案、质量标准、技术标准、计算机程序等）；</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00"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（4）财务信息（财务收支、固定资产、流动资金、成本核算等）；</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00"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（5）我方单独或机场公司（包括机场公司关联公司）和我方共同为机场公司开发、设计、生产的产品、资料及相关信息；</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00"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（6）其他机场公司未对外公开的有关营运、计划、航班数据、标准、开发、生产、经营、质量管理控制和租赁的资料和数据等信息以及对供应商的管理文件。</w:t>
      </w:r>
    </w:p>
    <w:p>
      <w:pPr>
        <w:keepNext w:val="0"/>
        <w:keepLines w:val="0"/>
        <w:pageBreakBefore w:val="0"/>
        <w:widowControl w:val="0"/>
        <w:kinsoku/>
        <w:wordWrap/>
        <w:overflowPunct/>
        <w:topLinePunct w:val="0"/>
        <w:autoSpaceDE/>
        <w:autoSpaceDN/>
        <w:bidi w:val="0"/>
        <w:spacing w:line="560" w:lineRule="exact"/>
        <w:ind w:left="0" w:leftChars="0" w:right="0" w:rightChars="0" w:firstLine="600"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keepNext w:val="0"/>
        <w:keepLines w:val="0"/>
        <w:pageBreakBefore w:val="0"/>
        <w:widowControl w:val="0"/>
        <w:kinsoku/>
        <w:wordWrap/>
        <w:overflowPunct/>
        <w:topLinePunct w:val="0"/>
        <w:autoSpaceDE/>
        <w:autoSpaceDN/>
        <w:bidi w:val="0"/>
        <w:spacing w:line="560" w:lineRule="exact"/>
        <w:ind w:left="0" w:leftChars="0" w:right="0" w:rightChars="0" w:firstLine="600"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1.3、对于上述提及的商业秘密，不能仅因为公开发表的文章或资讯中包含其内容，就认为是可对外公开的特殊情况。</w:t>
      </w:r>
    </w:p>
    <w:p>
      <w:pPr>
        <w:keepNext w:val="0"/>
        <w:keepLines w:val="0"/>
        <w:pageBreakBefore w:val="0"/>
        <w:widowControl w:val="0"/>
        <w:kinsoku/>
        <w:wordWrap/>
        <w:overflowPunct/>
        <w:topLinePunct w:val="0"/>
        <w:autoSpaceDE/>
        <w:autoSpaceDN/>
        <w:bidi w:val="0"/>
        <w:spacing w:line="560" w:lineRule="exact"/>
        <w:ind w:left="0" w:leftChars="0" w:right="0" w:rightChars="0" w:firstLine="600"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1.4、以下资料不属于本承诺所指的商业秘密：</w:t>
      </w:r>
    </w:p>
    <w:p>
      <w:pPr>
        <w:keepNext w:val="0"/>
        <w:keepLines w:val="0"/>
        <w:pageBreakBefore w:val="0"/>
        <w:widowControl w:val="0"/>
        <w:kinsoku/>
        <w:wordWrap/>
        <w:overflowPunct/>
        <w:topLinePunct w:val="0"/>
        <w:autoSpaceDE/>
        <w:autoSpaceDN/>
        <w:bidi w:val="0"/>
        <w:spacing w:line="560" w:lineRule="exact"/>
        <w:ind w:left="0" w:leftChars="0" w:right="0" w:rightChars="0" w:firstLine="600"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（1）我方从机场公司拟获悉之前已持有的我方无需承担保密义务的机场公司有关资料(但通过其它违约或侵权行为而获得的资料除外)；</w:t>
      </w:r>
    </w:p>
    <w:p>
      <w:pPr>
        <w:keepNext w:val="0"/>
        <w:keepLines w:val="0"/>
        <w:pageBreakBefore w:val="0"/>
        <w:widowControl w:val="0"/>
        <w:kinsoku/>
        <w:wordWrap/>
        <w:overflowPunct/>
        <w:topLinePunct w:val="0"/>
        <w:autoSpaceDE/>
        <w:autoSpaceDN/>
        <w:bidi w:val="0"/>
        <w:spacing w:line="560" w:lineRule="exact"/>
        <w:ind w:left="0" w:leftChars="0" w:right="0" w:rightChars="0" w:firstLine="600"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（2）已经公开或已成为常识性的资料，且该等公开并非因违反本承诺所致。</w:t>
      </w:r>
    </w:p>
    <w:p>
      <w:pPr>
        <w:keepNext w:val="0"/>
        <w:keepLines w:val="0"/>
        <w:pageBreakBefore w:val="0"/>
        <w:widowControl w:val="0"/>
        <w:kinsoku/>
        <w:wordWrap/>
        <w:overflowPunct/>
        <w:topLinePunct w:val="0"/>
        <w:autoSpaceDE/>
        <w:autoSpaceDN/>
        <w:bidi w:val="0"/>
        <w:spacing w:line="560" w:lineRule="exact"/>
        <w:ind w:left="0" w:leftChars="0" w:right="0" w:rightChars="0" w:firstLine="600"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keepNext w:val="0"/>
        <w:keepLines w:val="0"/>
        <w:pageBreakBefore w:val="0"/>
        <w:widowControl w:val="0"/>
        <w:kinsoku/>
        <w:wordWrap/>
        <w:overflowPunct/>
        <w:topLinePunct w:val="0"/>
        <w:autoSpaceDE/>
        <w:autoSpaceDN/>
        <w:bidi w:val="0"/>
        <w:spacing w:line="560" w:lineRule="exact"/>
        <w:ind w:left="0" w:leftChars="0" w:right="0" w:rightChars="0" w:firstLine="600"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3、当合同履行完毕、合同终止或经机场公司要求，我方应立即返还或根据机场公司书面要求销毁所有含有商业秘密或我方在接触商业秘密后而产生的资料，以及由我方持有的任何复制品。</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00"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00"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（1）披露、使用或者允许他人以不正当手段获取的商业秘密；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00"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（2）为机场公司以外的第三人窃取、刺探、收买、非法提供商业秘密。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00"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（3）在电子公告系统、聊天系统、电子邮箱、论坛等计算机网络系统上传递、转发、抄送、发布、谈论和传播商业秘密；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00"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（4）在私人交往和通信中，向亲属、朋友以及与工作无关人员泄露商业秘密，或在公共场所谈论商业秘密；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00"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（5）擅自将属于商业秘密的文件、资料和其他物品携带、传递、寄运出机场公司办公场所或国（境）外。</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00"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（6）未经机场公司同意就以任何方式私自保存、截留含有机场公司商业秘密的任何形式资料、文件和物品的复印件、复制品、副本。</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00"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（7）将含有机场公司商业秘密的产品、技术或其他资料、信息向第三人销售、使用或以任何方式提供。</w:t>
      </w:r>
    </w:p>
    <w:p>
      <w:pPr>
        <w:keepNext w:val="0"/>
        <w:keepLines w:val="0"/>
        <w:pageBreakBefore w:val="0"/>
        <w:widowControl w:val="0"/>
        <w:kinsoku/>
        <w:wordWrap/>
        <w:overflowPunct/>
        <w:topLinePunct w:val="0"/>
        <w:autoSpaceDE/>
        <w:autoSpaceDN/>
        <w:bidi w:val="0"/>
        <w:spacing w:line="560" w:lineRule="exact"/>
        <w:ind w:left="0" w:leftChars="0" w:right="0" w:rightChars="0" w:firstLine="600"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keepNext w:val="0"/>
        <w:keepLines w:val="0"/>
        <w:pageBreakBefore w:val="0"/>
        <w:widowControl w:val="0"/>
        <w:kinsoku/>
        <w:wordWrap/>
        <w:overflowPunct/>
        <w:topLinePunct w:val="0"/>
        <w:autoSpaceDE/>
        <w:autoSpaceDN/>
        <w:bidi w:val="0"/>
        <w:spacing w:line="560" w:lineRule="exact"/>
        <w:ind w:left="0" w:leftChars="0" w:right="0" w:rightChars="0" w:firstLine="600"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keepNext w:val="0"/>
        <w:keepLines w:val="0"/>
        <w:pageBreakBefore w:val="0"/>
        <w:widowControl w:val="0"/>
        <w:kinsoku/>
        <w:wordWrap/>
        <w:overflowPunct/>
        <w:topLinePunct w:val="0"/>
        <w:autoSpaceDE/>
        <w:autoSpaceDN/>
        <w:bidi w:val="0"/>
        <w:spacing w:line="560" w:lineRule="exact"/>
        <w:ind w:left="0" w:leftChars="0" w:right="0" w:rightChars="0" w:firstLine="600"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keepNext w:val="0"/>
        <w:keepLines w:val="0"/>
        <w:pageBreakBefore w:val="0"/>
        <w:widowControl w:val="0"/>
        <w:kinsoku/>
        <w:wordWrap/>
        <w:overflowPunct/>
        <w:topLinePunct w:val="0"/>
        <w:autoSpaceDE/>
        <w:autoSpaceDN/>
        <w:bidi w:val="0"/>
        <w:spacing w:line="560" w:lineRule="exact"/>
        <w:ind w:left="0" w:leftChars="0" w:right="0" w:rightChars="0" w:firstLine="600"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8、违约责任</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00"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8.1因我方违反保密义务的行为造成机场公司的一切损失，我方应当全部予以赔偿。</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00"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8.2如我方违反本承诺书下保密义务，应当承担违约责任，赔偿损失</w:t>
      </w:r>
      <w:r>
        <w:rPr>
          <w:rFonts w:hint="eastAsia" w:ascii="仿宋_GB2312" w:hAnsi="仿宋_GB2312" w:eastAsia="仿宋_GB2312" w:cs="仿宋_GB2312"/>
          <w:sz w:val="30"/>
          <w:szCs w:val="30"/>
          <w:lang w:eastAsia="zh-CN"/>
        </w:rPr>
        <w:t>。</w:t>
      </w:r>
    </w:p>
    <w:p>
      <w:pPr>
        <w:keepNext w:val="0"/>
        <w:keepLines w:val="0"/>
        <w:pageBreakBefore w:val="0"/>
        <w:widowControl w:val="0"/>
        <w:numPr>
          <w:ilvl w:val="0"/>
          <w:numId w:val="11"/>
        </w:numPr>
        <w:kinsoku/>
        <w:wordWrap/>
        <w:overflowPunct/>
        <w:topLinePunct w:val="0"/>
        <w:autoSpaceDE/>
        <w:autoSpaceDN/>
        <w:bidi w:val="0"/>
        <w:adjustRightInd w:val="0"/>
        <w:snapToGrid w:val="0"/>
        <w:spacing w:line="560" w:lineRule="exact"/>
        <w:ind w:left="0" w:leftChars="0" w:right="0" w:rightChars="0" w:firstLine="600"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本承诺书适用中华人民共和国法律，如因履行本承诺书发生争议，则双方均有权向机场公司所在地法院提起诉讼。</w:t>
      </w:r>
    </w:p>
    <w:p>
      <w:pPr>
        <w:pStyle w:val="2"/>
        <w:numPr>
          <w:ilvl w:val="0"/>
          <w:numId w:val="0"/>
        </w:numPr>
        <w:rPr>
          <w:rFonts w:hint="eastAsia"/>
        </w:rPr>
      </w:pPr>
    </w:p>
    <w:p>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承诺单位</w:t>
      </w:r>
      <w:r>
        <w:rPr>
          <w:rFonts w:hint="eastAsia" w:ascii="仿宋_GB2312" w:hAnsi="仿宋_GB2312" w:eastAsia="仿宋_GB2312" w:cs="仿宋_GB2312"/>
          <w:sz w:val="30"/>
          <w:szCs w:val="30"/>
        </w:rPr>
        <w:t>(盖章):</w:t>
      </w:r>
    </w:p>
    <w:p>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p>
      <w:pPr>
        <w:snapToGrid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日期：     年   月   日</w:t>
      </w:r>
    </w:p>
    <w:p>
      <w:pPr>
        <w:keepNext w:val="0"/>
        <w:keepLines w:val="0"/>
        <w:pageBreakBefore/>
        <w:widowControl w:val="0"/>
        <w:numPr>
          <w:ilvl w:val="0"/>
          <w:numId w:val="0"/>
        </w:numPr>
        <w:kinsoku/>
        <w:wordWrap/>
        <w:overflowPunct/>
        <w:topLinePunct w:val="0"/>
        <w:autoSpaceDE/>
        <w:autoSpaceDN/>
        <w:bidi w:val="0"/>
        <w:adjustRightInd/>
        <w:snapToGrid/>
        <w:jc w:val="left"/>
        <w:textAlignment w:val="auto"/>
        <w:rPr>
          <w:rFonts w:hint="eastAsia" w:ascii="宋体" w:hAnsi="宋体" w:cs="宋体"/>
          <w:sz w:val="22"/>
          <w:highlight w:val="none"/>
        </w:rPr>
      </w:pPr>
      <w:r>
        <w:rPr>
          <w:rFonts w:hint="eastAsia" w:ascii="宋体" w:hAnsi="宋体" w:cs="宋体"/>
          <w:sz w:val="22"/>
          <w:highlight w:val="none"/>
        </w:rPr>
        <w:t>附件</w:t>
      </w:r>
      <w:r>
        <w:rPr>
          <w:rFonts w:hint="eastAsia" w:ascii="宋体" w:hAnsi="宋体" w:cs="宋体"/>
          <w:sz w:val="22"/>
          <w:highlight w:val="none"/>
          <w:lang w:val="en-US" w:eastAsia="zh-CN"/>
        </w:rPr>
        <w:t>三</w:t>
      </w:r>
      <w:r>
        <w:rPr>
          <w:rFonts w:hint="eastAsia" w:ascii="宋体" w:hAnsi="宋体" w:cs="宋体"/>
          <w:sz w:val="22"/>
          <w:highlight w:val="none"/>
        </w:rPr>
        <w:t>：</w:t>
      </w:r>
    </w:p>
    <w:p>
      <w:pPr>
        <w:numPr>
          <w:ilvl w:val="0"/>
          <w:numId w:val="0"/>
        </w:numPr>
        <w:jc w:val="center"/>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疫情防控责任书</w:t>
      </w:r>
    </w:p>
    <w:p>
      <w:pPr>
        <w:numPr>
          <w:ilvl w:val="0"/>
          <w:numId w:val="0"/>
        </w:numPr>
        <w:rPr>
          <w:rFonts w:hint="eastAsia" w:ascii="宋体" w:hAnsi="宋体" w:eastAsia="宋体" w:cs="宋体"/>
          <w:sz w:val="22"/>
          <w:szCs w:val="2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为落实民航疫情防控工作要求，全面落实责任制，提升疫情防控水平，建立健全长效机制，做好疫情防控管控工作，增强对重点场所、重点环节、重点人员防控措施的把控，杭州萧山国际机场有限公司（以下简称“机场公司”）与【】（以下简称“  公司”）于【】签订《   合同》就【】签订疫情防控责任书，具体如下：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【】公司按照以下条款严格管理，【】公司的法定代表人为疫情防控承担者，承担疫情防控责任。机场公司所属【】部门有权对乙方管理情况进行监督。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 xml:space="preserve">一、【】公司负责监督员工在岗防护情况，做到防护到位。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二、【】公司要求员工严禁接触涉疫区域内的高危人员或物品，避免因管理不当导致的安全风险。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三、【】公司员工做到适宜接种全员接种疫苗，新进员工需接种疫苗后上岗。并做好员工疫苗接种的管控工作，避免因员工未接种疫苗导致的安全风险。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2"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b/>
          <w:bCs/>
          <w:sz w:val="22"/>
          <w:szCs w:val="22"/>
          <w:highlight w:val="none"/>
          <w:lang w:val="en-US" w:eastAsia="zh-CN"/>
        </w:rPr>
        <w:t>四、</w:t>
      </w:r>
      <w:r>
        <w:rPr>
          <w:rFonts w:hint="eastAsia" w:ascii="宋体" w:hAnsi="宋体" w:eastAsia="宋体" w:cs="宋体"/>
          <w:sz w:val="22"/>
          <w:szCs w:val="22"/>
          <w:highlight w:val="none"/>
          <w:lang w:val="en-US" w:eastAsia="zh-CN"/>
        </w:rPr>
        <w:t>【】公司需根据机场公司要求，及时安排员工开展核酸检测工作，核酸检测做到“应检尽检”。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2"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b/>
          <w:bCs/>
          <w:sz w:val="22"/>
          <w:szCs w:val="22"/>
          <w:highlight w:val="none"/>
          <w:lang w:val="en-US" w:eastAsia="zh-CN"/>
        </w:rPr>
        <w:t>五、</w:t>
      </w:r>
      <w:r>
        <w:rPr>
          <w:rFonts w:hint="eastAsia" w:ascii="宋体" w:hAnsi="宋体" w:eastAsia="宋体" w:cs="宋体"/>
          <w:sz w:val="22"/>
          <w:szCs w:val="22"/>
          <w:highlight w:val="none"/>
          <w:lang w:val="en-US" w:eastAsia="zh-CN"/>
        </w:rPr>
        <w:t>【】公司需做到培训到位及防控要求传达到位，定期对员工开展疫情防控培训，培训内容包括但不限于个人防护要求及近期国内疫情情况通报等，及时传达公司防控相关要求。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六、【】公司需落实上下班体温测量、健康码查验等日常监测机制，建立健康档案。对人员流动（出入省、市、新入职）进行登记管理，对来往疫区职工和密切接触者，采取措施暂停其返岗，做好人员信息登记工作，并配合卫健部门对密切接触者排查进行隔离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七、【】公司需做好员工身体状况动态监控，掌握职工健康状况，制定应急预案，如遇发热、咳嗽等症状者要求主动报告，并做好防护及送医措施。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八、【】公司需做好做好洗手液、口罩、温度计、75%酒精、含氯消毒液等药械物资准备。</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九、若因</w:t>
      </w:r>
      <w:r>
        <w:rPr>
          <w:rFonts w:hint="eastAsia" w:ascii="宋体" w:hAnsi="宋体" w:eastAsia="宋体" w:cs="宋体"/>
          <w:sz w:val="22"/>
          <w:szCs w:val="22"/>
          <w:highlight w:val="none"/>
          <w:lang w:val="en-US" w:eastAsia="zh-CN"/>
        </w:rPr>
        <w:t>【】公司及其员工</w:t>
      </w:r>
      <w:r>
        <w:rPr>
          <w:rFonts w:hint="eastAsia" w:ascii="宋体" w:hAnsi="宋体" w:eastAsia="宋体" w:cs="宋体"/>
          <w:color w:val="000000"/>
          <w:sz w:val="22"/>
          <w:szCs w:val="22"/>
          <w:highlight w:val="none"/>
          <w:lang w:val="en-US" w:eastAsia="zh-CN"/>
        </w:rPr>
        <w:t>原因导致新型冠状肺炎疫情传播，则</w:t>
      </w:r>
      <w:r>
        <w:rPr>
          <w:rFonts w:hint="eastAsia" w:ascii="宋体" w:hAnsi="宋体" w:eastAsia="宋体" w:cs="宋体"/>
          <w:sz w:val="22"/>
          <w:szCs w:val="22"/>
          <w:highlight w:val="none"/>
          <w:lang w:val="en-US" w:eastAsia="zh-CN"/>
        </w:rPr>
        <w:t>【】公司</w:t>
      </w:r>
      <w:r>
        <w:rPr>
          <w:rFonts w:hint="eastAsia" w:ascii="宋体" w:hAnsi="宋体" w:eastAsia="宋体" w:cs="宋体"/>
          <w:color w:val="000000"/>
          <w:sz w:val="22"/>
          <w:szCs w:val="22"/>
          <w:highlight w:val="none"/>
          <w:lang w:val="en-US" w:eastAsia="zh-CN"/>
        </w:rPr>
        <w:t>应承担由此产生的疫情防控费用包括但不限于防疫措施费、防疫检测费、救助费等。若因该等事件，对机场公司造成影响，则机场公司有权要求</w:t>
      </w:r>
      <w:r>
        <w:rPr>
          <w:rFonts w:hint="eastAsia" w:ascii="宋体" w:hAnsi="宋体" w:eastAsia="宋体" w:cs="宋体"/>
          <w:sz w:val="22"/>
          <w:szCs w:val="22"/>
          <w:highlight w:val="none"/>
          <w:lang w:val="en-US" w:eastAsia="zh-CN"/>
        </w:rPr>
        <w:t>【】公司</w:t>
      </w:r>
      <w:r>
        <w:rPr>
          <w:rFonts w:hint="eastAsia" w:ascii="宋体" w:hAnsi="宋体" w:eastAsia="宋体" w:cs="宋体"/>
          <w:color w:val="000000"/>
          <w:sz w:val="22"/>
          <w:szCs w:val="22"/>
          <w:highlight w:val="none"/>
          <w:lang w:val="en-US" w:eastAsia="zh-CN"/>
        </w:rPr>
        <w:t>承担由此产生的实际损失。而且机场公司有权解除合同，机场公司有权向</w:t>
      </w:r>
      <w:r>
        <w:rPr>
          <w:rFonts w:hint="eastAsia" w:ascii="宋体" w:hAnsi="宋体" w:eastAsia="宋体" w:cs="宋体"/>
          <w:sz w:val="22"/>
          <w:szCs w:val="22"/>
          <w:highlight w:val="none"/>
          <w:lang w:val="en-US" w:eastAsia="zh-CN"/>
        </w:rPr>
        <w:t>【】公司</w:t>
      </w:r>
      <w:r>
        <w:rPr>
          <w:rFonts w:hint="eastAsia" w:ascii="宋体" w:hAnsi="宋体" w:eastAsia="宋体" w:cs="宋体"/>
          <w:color w:val="000000"/>
          <w:sz w:val="22"/>
          <w:szCs w:val="22"/>
          <w:highlight w:val="none"/>
          <w:lang w:val="en-US" w:eastAsia="zh-CN"/>
        </w:rPr>
        <w:t>追偿。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2"/>
          <w:szCs w:val="2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2"/>
          <w:szCs w:val="2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right="-193" w:rightChars="-92"/>
        <w:textAlignment w:val="auto"/>
        <w:rPr>
          <w:rFonts w:hint="eastAsia" w:ascii="宋体" w:hAnsi="宋体" w:eastAsia="宋体" w:cs="宋体"/>
          <w:color w:val="000000"/>
          <w:sz w:val="22"/>
          <w:szCs w:val="2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right="-193" w:rightChars="-92"/>
        <w:textAlignment w:val="auto"/>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 xml:space="preserve">                     承诺人：</w:t>
      </w:r>
    </w:p>
    <w:p>
      <w:pPr>
        <w:keepNext w:val="0"/>
        <w:keepLines w:val="0"/>
        <w:pageBreakBefore w:val="0"/>
        <w:widowControl w:val="0"/>
        <w:kinsoku/>
        <w:wordWrap/>
        <w:overflowPunct/>
        <w:topLinePunct w:val="0"/>
        <w:autoSpaceDE/>
        <w:autoSpaceDN/>
        <w:bidi w:val="0"/>
        <w:adjustRightInd/>
        <w:snapToGrid/>
        <w:spacing w:line="360" w:lineRule="exact"/>
        <w:ind w:right="-193" w:rightChars="-92"/>
        <w:textAlignment w:val="auto"/>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 xml:space="preserve">                    （盖章）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 xml:space="preserve">                   </w:t>
      </w:r>
    </w:p>
    <w:p>
      <w:pPr>
        <w:jc w:val="center"/>
        <w:rPr>
          <w:rFonts w:eastAsia="黑体" w:cs="Calibri"/>
          <w:kern w:val="0"/>
          <w:sz w:val="32"/>
        </w:rPr>
      </w:pPr>
    </w:p>
    <w:p>
      <w:pPr>
        <w:jc w:val="center"/>
        <w:rPr>
          <w:rFonts w:eastAsia="黑体" w:cs="Calibri"/>
          <w:kern w:val="0"/>
          <w:sz w:val="32"/>
        </w:rPr>
      </w:pPr>
    </w:p>
    <w:p>
      <w:pPr>
        <w:jc w:val="center"/>
        <w:rPr>
          <w:rFonts w:eastAsia="黑体" w:cs="Calibri"/>
          <w:kern w:val="0"/>
          <w:sz w:val="32"/>
        </w:rPr>
      </w:pPr>
    </w:p>
    <w:p>
      <w:pPr>
        <w:jc w:val="center"/>
        <w:rPr>
          <w:rFonts w:eastAsia="黑体" w:cs="Calibri"/>
          <w:kern w:val="0"/>
          <w:sz w:val="32"/>
        </w:rPr>
      </w:pPr>
    </w:p>
    <w:p>
      <w:pPr>
        <w:jc w:val="center"/>
        <w:rPr>
          <w:rFonts w:eastAsia="黑体" w:cs="Calibri"/>
          <w:kern w:val="0"/>
          <w:sz w:val="32"/>
        </w:rPr>
      </w:pPr>
    </w:p>
    <w:p>
      <w:pPr>
        <w:jc w:val="center"/>
        <w:rPr>
          <w:rFonts w:eastAsia="黑体" w:cs="Calibri"/>
          <w:kern w:val="0"/>
          <w:sz w:val="32"/>
        </w:rPr>
      </w:pPr>
      <w:r>
        <w:rPr>
          <w:rFonts w:eastAsia="黑体" w:cs="Calibri"/>
          <w:kern w:val="0"/>
          <w:sz w:val="32"/>
        </w:rPr>
        <w:t>第</w:t>
      </w:r>
      <w:r>
        <w:rPr>
          <w:rFonts w:hint="eastAsia" w:eastAsia="黑体" w:cs="Calibri"/>
          <w:kern w:val="0"/>
          <w:sz w:val="32"/>
        </w:rPr>
        <w:t>五</w:t>
      </w:r>
      <w:r>
        <w:rPr>
          <w:rFonts w:eastAsia="黑体" w:cs="Calibri"/>
          <w:kern w:val="0"/>
          <w:sz w:val="32"/>
        </w:rPr>
        <w:t>章  评标方法及标准</w:t>
      </w:r>
      <w:bookmarkEnd w:id="116"/>
    </w:p>
    <w:p>
      <w:pPr>
        <w:pStyle w:val="9"/>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Ansi="宋体" w:cs="Calibri"/>
          <w:bCs/>
          <w:sz w:val="22"/>
          <w:szCs w:val="22"/>
        </w:rPr>
      </w:pPr>
      <w:bookmarkStart w:id="117" w:name="_Toc29892"/>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9"/>
        <w:spacing w:line="360" w:lineRule="exact"/>
        <w:rPr>
          <w:rFonts w:hAnsi="宋体" w:cs="Calibri"/>
          <w:b/>
          <w:bCs/>
          <w:sz w:val="22"/>
          <w:szCs w:val="22"/>
        </w:rPr>
      </w:pPr>
      <w:r>
        <w:rPr>
          <w:rFonts w:hAnsi="宋体" w:cs="Calibri"/>
          <w:b/>
          <w:bCs/>
          <w:sz w:val="22"/>
          <w:szCs w:val="22"/>
        </w:rPr>
        <w:t>一、评标原则</w:t>
      </w:r>
    </w:p>
    <w:p>
      <w:pPr>
        <w:pStyle w:val="9"/>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Ansi="宋体" w:cs="Calibri"/>
          <w:sz w:val="22"/>
          <w:szCs w:val="22"/>
        </w:rPr>
      </w:pPr>
      <w:r>
        <w:rPr>
          <w:rFonts w:hAnsi="宋体" w:cs="Calibri"/>
          <w:bCs/>
          <w:sz w:val="22"/>
          <w:szCs w:val="22"/>
        </w:rPr>
        <w:t>评标应遵循公平、公正、科学、择优的原则。</w:t>
      </w:r>
    </w:p>
    <w:p>
      <w:pPr>
        <w:pStyle w:val="9"/>
        <w:spacing w:line="360" w:lineRule="exact"/>
        <w:rPr>
          <w:rFonts w:hAnsi="宋体" w:cs="Calibri"/>
          <w:b/>
          <w:bCs/>
          <w:sz w:val="22"/>
          <w:szCs w:val="22"/>
        </w:rPr>
      </w:pPr>
      <w:r>
        <w:rPr>
          <w:rFonts w:hAnsi="宋体" w:cs="Calibri"/>
          <w:b/>
          <w:bCs/>
          <w:sz w:val="22"/>
          <w:szCs w:val="22"/>
        </w:rPr>
        <w:t>二、评标组织</w:t>
      </w:r>
    </w:p>
    <w:p>
      <w:pPr>
        <w:pStyle w:val="9"/>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9"/>
        <w:spacing w:line="360" w:lineRule="exact"/>
        <w:rPr>
          <w:rFonts w:hAnsi="宋体" w:cs="Calibri"/>
          <w:b/>
          <w:bCs/>
          <w:sz w:val="22"/>
          <w:szCs w:val="22"/>
        </w:rPr>
      </w:pPr>
      <w:r>
        <w:rPr>
          <w:rFonts w:hAnsi="宋体" w:cs="Calibri"/>
          <w:b/>
          <w:bCs/>
          <w:sz w:val="22"/>
          <w:szCs w:val="22"/>
        </w:rPr>
        <w:t>三、投标文件的评审</w:t>
      </w:r>
    </w:p>
    <w:p>
      <w:pPr>
        <w:pStyle w:val="9"/>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Ansi="宋体" w:cs="Calibri"/>
          <w:b/>
          <w:sz w:val="22"/>
          <w:szCs w:val="22"/>
        </w:rPr>
      </w:pPr>
      <w:r>
        <w:rPr>
          <w:rFonts w:hAnsi="宋体" w:cs="Calibri"/>
          <w:b/>
          <w:sz w:val="22"/>
          <w:szCs w:val="22"/>
        </w:rPr>
        <w:t>3.1 符合性评审</w:t>
      </w:r>
    </w:p>
    <w:p>
      <w:pPr>
        <w:pStyle w:val="9"/>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作废标处理，</w:t>
      </w:r>
      <w:r>
        <w:rPr>
          <w:rFonts w:ascii="宋体" w:hAnsi="宋体" w:cs="Calibri"/>
          <w:bCs/>
          <w:kern w:val="0"/>
          <w:sz w:val="22"/>
        </w:rPr>
        <w:t>不再进行详细评审：</w:t>
      </w:r>
    </w:p>
    <w:p>
      <w:pPr>
        <w:pStyle w:val="9"/>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pStyle w:val="9"/>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pStyle w:val="9"/>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ascii="宋体" w:hAnsi="宋体" w:cs="Calibri"/>
          <w:sz w:val="22"/>
        </w:rPr>
      </w:pPr>
      <w:r>
        <w:rPr>
          <w:rFonts w:ascii="宋体" w:hAnsi="宋体" w:cs="Calibri"/>
          <w:sz w:val="22"/>
        </w:rPr>
        <w:t>3、投标文件未按规定的格式填写，内容不全或关键字迹模糊、无法辨认的；</w:t>
      </w:r>
    </w:p>
    <w:p>
      <w:pPr>
        <w:pStyle w:val="9"/>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pStyle w:val="9"/>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ascii="宋体" w:hAnsi="宋体" w:cs="Calibri"/>
          <w:sz w:val="22"/>
        </w:rPr>
      </w:pPr>
      <w:r>
        <w:rPr>
          <w:rFonts w:ascii="宋体" w:hAnsi="宋体" w:cs="Calibri"/>
          <w:sz w:val="22"/>
        </w:rPr>
        <w:t>5、</w:t>
      </w:r>
      <w:r>
        <w:rPr>
          <w:rFonts w:hint="eastAsia" w:ascii="宋体" w:hAnsi="宋体" w:cs="Calibri"/>
          <w:sz w:val="22"/>
        </w:rPr>
        <w:t>服务</w:t>
      </w:r>
      <w:r>
        <w:rPr>
          <w:rFonts w:ascii="宋体" w:hAnsi="宋体" w:cs="Calibri"/>
          <w:sz w:val="22"/>
        </w:rPr>
        <w:t>期不满足招标文件要求的；</w:t>
      </w:r>
    </w:p>
    <w:p>
      <w:pPr>
        <w:pStyle w:val="9"/>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ascii="宋体" w:hAnsi="宋体" w:cs="Calibri"/>
          <w:sz w:val="22"/>
        </w:rPr>
      </w:pPr>
      <w:r>
        <w:rPr>
          <w:rFonts w:ascii="宋体" w:hAnsi="宋体" w:cs="Calibri"/>
          <w:sz w:val="22"/>
        </w:rPr>
        <w:t>6、不响应招标文件规定的实质性要求</w:t>
      </w:r>
      <w:r>
        <w:rPr>
          <w:rFonts w:hint="eastAsia" w:ascii="宋体" w:hAnsi="宋体" w:cs="Calibri"/>
          <w:sz w:val="22"/>
        </w:rPr>
        <w:t>；</w:t>
      </w:r>
    </w:p>
    <w:p>
      <w:pPr>
        <w:pStyle w:val="9"/>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ascii="宋体" w:hAnsi="宋体" w:cs="Calibri"/>
          <w:sz w:val="22"/>
        </w:rPr>
      </w:pPr>
      <w:r>
        <w:rPr>
          <w:rFonts w:ascii="宋体" w:hAnsi="宋体" w:cs="Calibri"/>
          <w:sz w:val="22"/>
        </w:rPr>
        <w:t>7、投标人以他人名义投标、或与他人串通投标、或以行贿手段谋取中标，或弄虚作假的；</w:t>
      </w:r>
    </w:p>
    <w:p>
      <w:pPr>
        <w:pStyle w:val="9"/>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ascii="宋体" w:hAnsi="宋体" w:cs="Calibri"/>
          <w:sz w:val="22"/>
        </w:rPr>
      </w:pPr>
      <w:r>
        <w:rPr>
          <w:rFonts w:hint="eastAsia" w:ascii="宋体" w:hAnsi="宋体" w:cs="Calibri"/>
          <w:sz w:val="22"/>
        </w:rPr>
        <w:t>8</w:t>
      </w:r>
      <w:r>
        <w:rPr>
          <w:rFonts w:ascii="宋体" w:hAnsi="宋体" w:cs="Calibri"/>
          <w:sz w:val="22"/>
        </w:rPr>
        <w:t>、存在法律、法规、规章规定的其它无效投标情况的</w:t>
      </w:r>
      <w:r>
        <w:rPr>
          <w:rFonts w:hint="eastAsia" w:ascii="宋体" w:hAnsi="宋体" w:cs="Calibri"/>
          <w:sz w:val="22"/>
        </w:rPr>
        <w:t>。</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9"/>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ascii="宋体" w:hAnsi="宋体" w:cs="Calibri"/>
          <w:sz w:val="22"/>
        </w:rPr>
      </w:pPr>
      <w:r>
        <w:rPr>
          <w:rFonts w:ascii="宋体" w:hAnsi="宋体" w:cs="Calibri"/>
          <w:sz w:val="22"/>
        </w:rPr>
        <w:t>评标委员会按以下原则对通过符合性审查的投标文件报价进行算术性修正：</w:t>
      </w:r>
    </w:p>
    <w:p>
      <w:pPr>
        <w:pStyle w:val="9"/>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ascii="宋体" w:hAnsi="宋体" w:cs="Calibri"/>
          <w:sz w:val="22"/>
        </w:rPr>
      </w:pPr>
      <w:r>
        <w:rPr>
          <w:rFonts w:ascii="宋体" w:hAnsi="宋体" w:cs="Calibri"/>
          <w:sz w:val="22"/>
        </w:rPr>
        <w:t>投标文件中的大写金额与小写金额不一致的，以大写金额为准；</w:t>
      </w:r>
    </w:p>
    <w:p>
      <w:pPr>
        <w:pStyle w:val="9"/>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ascii="宋体" w:hAnsi="宋体" w:cs="Calibri"/>
          <w:sz w:val="22"/>
        </w:rPr>
      </w:pPr>
      <w:r>
        <w:rPr>
          <w:rFonts w:ascii="宋体" w:hAnsi="宋体" w:cs="Calibri"/>
          <w:sz w:val="22"/>
        </w:rPr>
        <w:t>当通过符合性评审的单位少于三家时（不包括三家），应由评标委员会确认是否具有竞争性，如果有竞争性，则评标继续进行。</w:t>
      </w:r>
    </w:p>
    <w:p>
      <w:pPr>
        <w:pStyle w:val="9"/>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9"/>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ascii="宋体" w:hAnsi="宋体" w:cs="Calibri"/>
          <w:sz w:val="22"/>
        </w:rPr>
      </w:pPr>
      <w:r>
        <w:rPr>
          <w:rFonts w:ascii="宋体" w:hAnsi="宋体" w:cs="Calibri"/>
          <w:sz w:val="22"/>
        </w:rPr>
        <w:t>3.2.1 在评标过程中，评标委员会可以书面形式要求投标人对所提交的投标文件中不明确的内容进行书面澄清、说明或者补正。评标委员会不接受投标人主动提出的澄清、说明或补正。</w:t>
      </w:r>
    </w:p>
    <w:p>
      <w:pPr>
        <w:pStyle w:val="9"/>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ascii="宋体" w:hAnsi="宋体" w:cs="Calibri"/>
          <w:sz w:val="22"/>
        </w:rPr>
      </w:pPr>
      <w:r>
        <w:rPr>
          <w:rFonts w:ascii="宋体" w:hAnsi="宋体" w:cs="Calibri"/>
          <w:sz w:val="22"/>
        </w:rPr>
        <w:t>3.2.2澄清、说明和补正不得改变投标文件的实质性内容（算术性错误修正的除外）。投标人的书面澄清、说明和补正属于投标文件的组成部分。</w:t>
      </w:r>
    </w:p>
    <w:p>
      <w:pPr>
        <w:pStyle w:val="9"/>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ascii="宋体" w:hAnsi="宋体" w:cs="Calibri"/>
          <w:sz w:val="22"/>
        </w:rPr>
      </w:pPr>
      <w:r>
        <w:rPr>
          <w:rFonts w:ascii="宋体" w:hAnsi="宋体" w:cs="Calibri"/>
          <w:sz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9"/>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ascii="宋体" w:hAnsi="宋体" w:cs="Calibri"/>
          <w:sz w:val="22"/>
        </w:rPr>
      </w:pPr>
      <w:r>
        <w:rPr>
          <w:rFonts w:hint="eastAsia" w:ascii="宋体" w:hAnsi="宋体" w:cs="Calibri"/>
          <w:sz w:val="22"/>
        </w:rPr>
        <w:t>本次评标采用综合评分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9"/>
        <w:adjustRightInd w:val="0"/>
        <w:snapToGrid w:val="0"/>
        <w:spacing w:line="360" w:lineRule="exact"/>
        <w:ind w:firstLine="442" w:firstLineChars="200"/>
        <w:rPr>
          <w:rFonts w:hAnsi="宋体"/>
          <w:b/>
          <w:color w:val="000000"/>
          <w:sz w:val="22"/>
          <w:szCs w:val="22"/>
        </w:rPr>
      </w:pPr>
      <w:r>
        <w:rPr>
          <w:rFonts w:hint="eastAsia" w:hAnsi="宋体"/>
          <w:b/>
          <w:color w:val="000000"/>
          <w:sz w:val="22"/>
          <w:szCs w:val="22"/>
        </w:rPr>
        <w:t>每个投标人最终得分=商务报价分+资信及技术分</w:t>
      </w:r>
    </w:p>
    <w:p>
      <w:pPr>
        <w:spacing w:line="360" w:lineRule="exact"/>
        <w:ind w:firstLine="442" w:firstLineChars="200"/>
        <w:rPr>
          <w:rFonts w:cs="宋体"/>
          <w:b/>
          <w:sz w:val="22"/>
        </w:rPr>
      </w:pPr>
      <w:r>
        <w:rPr>
          <w:rFonts w:cs="宋体"/>
          <w:b/>
          <w:sz w:val="22"/>
        </w:rPr>
        <w:t>1.投标文件的资信评审（</w:t>
      </w:r>
      <w:r>
        <w:rPr>
          <w:rFonts w:hint="eastAsia" w:cs="宋体"/>
          <w:b/>
          <w:sz w:val="22"/>
          <w:lang w:val="en-US" w:eastAsia="zh-CN"/>
        </w:rPr>
        <w:t>3</w:t>
      </w:r>
      <w:r>
        <w:rPr>
          <w:rFonts w:cs="宋体"/>
          <w:b/>
          <w:sz w:val="22"/>
        </w:rPr>
        <w:t>分）</w:t>
      </w:r>
    </w:p>
    <w:p>
      <w:pPr>
        <w:spacing w:line="360" w:lineRule="exact"/>
        <w:ind w:firstLine="440" w:firstLineChars="200"/>
        <w:rPr>
          <w:rFonts w:cs="宋体"/>
          <w:sz w:val="22"/>
        </w:rPr>
      </w:pPr>
      <w:r>
        <w:rPr>
          <w:rFonts w:cs="宋体"/>
          <w:sz w:val="22"/>
        </w:rPr>
        <w:t>该评分分值由评标委员会成员统一打分（具体分值设定详见下表）。</w:t>
      </w:r>
    </w:p>
    <w:tbl>
      <w:tblPr>
        <w:tblStyle w:val="20"/>
        <w:tblW w:w="9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79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7" w:hRule="atLeast"/>
          <w:tblHeader/>
          <w:jc w:val="center"/>
        </w:trPr>
        <w:tc>
          <w:tcPr>
            <w:tcW w:w="8505" w:type="dxa"/>
            <w:gridSpan w:val="2"/>
            <w:vAlign w:val="center"/>
          </w:tcPr>
          <w:p>
            <w:pPr>
              <w:snapToGrid w:val="0"/>
              <w:jc w:val="center"/>
              <w:rPr>
                <w:rFonts w:cs="Arial"/>
                <w:sz w:val="22"/>
              </w:rPr>
            </w:pPr>
            <w:r>
              <w:rPr>
                <w:rFonts w:cs="Arial"/>
                <w:sz w:val="22"/>
              </w:rPr>
              <w:t>评分细则</w:t>
            </w:r>
          </w:p>
        </w:tc>
        <w:tc>
          <w:tcPr>
            <w:tcW w:w="1134" w:type="dxa"/>
            <w:vAlign w:val="center"/>
          </w:tcPr>
          <w:p>
            <w:pPr>
              <w:pStyle w:val="23"/>
              <w:snapToGrid w:val="0"/>
              <w:spacing w:line="240" w:lineRule="auto"/>
              <w:rPr>
                <w:rFonts w:hint="default" w:ascii="Calibri" w:hAnsi="Calibri" w:eastAsia="宋体" w:cs="宋体"/>
                <w:spacing w:val="-6"/>
                <w:sz w:val="22"/>
                <w:szCs w:val="22"/>
              </w:rPr>
            </w:pPr>
            <w:r>
              <w:rPr>
                <w:rFonts w:hint="default" w:ascii="Calibri" w:hAnsi="Calibri" w:eastAsia="宋体" w:cs="宋体"/>
                <w:spacing w:val="-6"/>
                <w:sz w:val="22"/>
                <w:szCs w:val="22"/>
              </w:rPr>
              <w:t>分值范围</w:t>
            </w:r>
            <w:r>
              <w:rPr>
                <w:rFonts w:ascii="Calibri" w:hAnsi="Calibri" w:eastAsia="宋体" w:cs="宋体"/>
                <w:spacing w:val="-6"/>
                <w:sz w:val="22"/>
                <w:szCs w:val="22"/>
              </w:rPr>
              <w:t>（</w:t>
            </w:r>
            <w:r>
              <w:rPr>
                <w:rFonts w:hint="eastAsia" w:ascii="Calibri" w:hAnsi="Calibri" w:eastAsia="宋体" w:cs="宋体"/>
                <w:spacing w:val="-6"/>
                <w:sz w:val="22"/>
                <w:szCs w:val="22"/>
                <w:lang w:val="en-US" w:eastAsia="zh-CN"/>
              </w:rPr>
              <w:t>3</w:t>
            </w:r>
            <w:r>
              <w:rPr>
                <w:rFonts w:ascii="Calibri" w:hAnsi="Calibri" w:eastAsia="宋体" w:cs="宋体"/>
                <w:spacing w:val="-6"/>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blHeader/>
          <w:jc w:val="center"/>
        </w:trPr>
        <w:tc>
          <w:tcPr>
            <w:tcW w:w="709" w:type="dxa"/>
            <w:vAlign w:val="center"/>
          </w:tcPr>
          <w:p>
            <w:pPr>
              <w:snapToGrid w:val="0"/>
              <w:jc w:val="center"/>
              <w:rPr>
                <w:rFonts w:cs="宋体"/>
                <w:sz w:val="22"/>
              </w:rPr>
            </w:pPr>
            <w:r>
              <w:rPr>
                <w:rFonts w:hint="eastAsia" w:cs="宋体"/>
                <w:sz w:val="22"/>
              </w:rPr>
              <w:t>1</w:t>
            </w:r>
          </w:p>
        </w:tc>
        <w:tc>
          <w:tcPr>
            <w:tcW w:w="7796" w:type="dxa"/>
            <w:vAlign w:val="center"/>
          </w:tcPr>
          <w:p>
            <w:pPr>
              <w:widowControl/>
              <w:snapToGrid w:val="0"/>
              <w:spacing w:line="340" w:lineRule="exact"/>
              <w:ind w:firstLine="420" w:firstLineChars="200"/>
              <w:jc w:val="left"/>
            </w:pPr>
            <w:r>
              <w:rPr>
                <w:rFonts w:hint="eastAsia"/>
                <w:szCs w:val="21"/>
              </w:rPr>
              <w:t>近三年</w:t>
            </w:r>
            <w:r>
              <w:rPr>
                <w:rFonts w:hint="eastAsia"/>
                <w:szCs w:val="21"/>
                <w:highlight w:val="none"/>
              </w:rPr>
              <w:t>（</w:t>
            </w:r>
            <w:r>
              <w:rPr>
                <w:szCs w:val="21"/>
                <w:highlight w:val="none"/>
              </w:rPr>
              <w:t>20</w:t>
            </w:r>
            <w:r>
              <w:rPr>
                <w:rFonts w:hint="eastAsia"/>
                <w:szCs w:val="21"/>
                <w:highlight w:val="none"/>
                <w:lang w:val="en-US" w:eastAsia="zh-CN"/>
              </w:rPr>
              <w:t>19</w:t>
            </w:r>
            <w:r>
              <w:rPr>
                <w:rFonts w:hint="eastAsia"/>
                <w:szCs w:val="21"/>
                <w:highlight w:val="none"/>
              </w:rPr>
              <w:t>年至今）</w:t>
            </w:r>
            <w:r>
              <w:rPr>
                <w:rFonts w:hint="eastAsia"/>
              </w:rPr>
              <w:t>的业绩，投标人具有类似清淤项目合同的，每有一个合同得1分，最高得</w:t>
            </w:r>
            <w:r>
              <w:rPr>
                <w:rFonts w:hint="eastAsia"/>
                <w:lang w:val="en-US" w:eastAsia="zh-CN"/>
              </w:rPr>
              <w:t>3</w:t>
            </w:r>
            <w:r>
              <w:rPr>
                <w:rFonts w:hint="eastAsia"/>
              </w:rPr>
              <w:t>分，没有不得分。</w:t>
            </w:r>
          </w:p>
          <w:p>
            <w:pPr>
              <w:pStyle w:val="15"/>
              <w:spacing w:before="0" w:after="0"/>
              <w:jc w:val="both"/>
              <w:rPr>
                <w:sz w:val="21"/>
                <w:szCs w:val="21"/>
              </w:rPr>
            </w:pPr>
            <w:r>
              <w:rPr>
                <w:sz w:val="21"/>
                <w:szCs w:val="21"/>
              </w:rPr>
              <w:t>需提供合同协议复印件并加盖投标人公章</w:t>
            </w:r>
            <w:r>
              <w:rPr>
                <w:rFonts w:hint="eastAsia"/>
                <w:sz w:val="21"/>
                <w:szCs w:val="21"/>
              </w:rPr>
              <w:t>，原件备查。</w:t>
            </w:r>
          </w:p>
          <w:p/>
        </w:tc>
        <w:tc>
          <w:tcPr>
            <w:tcW w:w="1134" w:type="dxa"/>
            <w:vAlign w:val="center"/>
          </w:tcPr>
          <w:p>
            <w:pPr>
              <w:pStyle w:val="23"/>
              <w:snapToGrid w:val="0"/>
              <w:spacing w:line="240" w:lineRule="auto"/>
              <w:rPr>
                <w:rFonts w:hint="default" w:ascii="Calibri" w:hAnsi="Calibri" w:eastAsia="宋体" w:cs="宋体"/>
                <w:spacing w:val="-6"/>
                <w:sz w:val="22"/>
                <w:szCs w:val="22"/>
              </w:rPr>
            </w:pPr>
            <w:r>
              <w:rPr>
                <w:rFonts w:hint="default" w:ascii="Calibri" w:hAnsi="Calibri" w:eastAsia="宋体" w:cs="宋体"/>
                <w:spacing w:val="-6"/>
                <w:sz w:val="22"/>
                <w:szCs w:val="22"/>
              </w:rPr>
              <w:t>0</w:t>
            </w:r>
            <w:r>
              <w:rPr>
                <w:rFonts w:ascii="Calibri" w:hAnsi="Calibri" w:eastAsia="宋体" w:cs="宋体"/>
                <w:spacing w:val="-6"/>
                <w:sz w:val="22"/>
                <w:szCs w:val="22"/>
              </w:rPr>
              <w:t>~</w:t>
            </w:r>
            <w:r>
              <w:rPr>
                <w:rFonts w:hint="eastAsia" w:ascii="Calibri" w:hAnsi="Calibri" w:eastAsia="宋体" w:cs="宋体"/>
                <w:spacing w:val="-6"/>
                <w:sz w:val="22"/>
                <w:szCs w:val="22"/>
                <w:lang w:val="en-US" w:eastAsia="zh-CN"/>
              </w:rPr>
              <w:t>3</w:t>
            </w:r>
          </w:p>
        </w:tc>
      </w:tr>
    </w:tbl>
    <w:p>
      <w:pPr>
        <w:spacing w:line="360" w:lineRule="exact"/>
        <w:ind w:firstLine="442" w:firstLineChars="200"/>
        <w:rPr>
          <w:rFonts w:cs="宋体"/>
          <w:b/>
          <w:sz w:val="22"/>
        </w:rPr>
      </w:pPr>
      <w:r>
        <w:rPr>
          <w:rFonts w:cs="宋体"/>
          <w:b/>
          <w:sz w:val="22"/>
        </w:rPr>
        <w:t>2.投标文件的技术评审（</w:t>
      </w:r>
      <w:r>
        <w:rPr>
          <w:rFonts w:hint="eastAsia" w:cs="宋体"/>
          <w:b/>
          <w:sz w:val="22"/>
          <w:lang w:val="en-US" w:eastAsia="zh-CN"/>
        </w:rPr>
        <w:t>37</w:t>
      </w:r>
      <w:r>
        <w:rPr>
          <w:rFonts w:cs="宋体"/>
          <w:b/>
          <w:sz w:val="22"/>
        </w:rPr>
        <w:t>分）</w:t>
      </w:r>
    </w:p>
    <w:p>
      <w:pPr>
        <w:adjustRightInd w:val="0"/>
        <w:snapToGrid w:val="0"/>
        <w:spacing w:line="360" w:lineRule="exact"/>
        <w:ind w:firstLine="440" w:firstLineChars="200"/>
        <w:rPr>
          <w:rFonts w:cs="宋体"/>
          <w:sz w:val="22"/>
        </w:rPr>
      </w:pPr>
      <w:r>
        <w:rPr>
          <w:rFonts w:cs="宋体"/>
          <w:sz w:val="22"/>
        </w:rPr>
        <w:t>该评分分值由评标委员会成员独立打分（具体分值设定详见下表），小数点后保留1位小数。每个投标人的最终技术得分为评标委员会打分的算术平均值（小数点后保留2位，第三位四舍五入）。</w:t>
      </w:r>
    </w:p>
    <w:tbl>
      <w:tblPr>
        <w:tblStyle w:val="20"/>
        <w:tblW w:w="98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6423"/>
        <w:gridCol w:w="947"/>
        <w:gridCol w:w="884"/>
        <w:gridCol w:w="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blHeader/>
          <w:jc w:val="center"/>
        </w:trPr>
        <w:tc>
          <w:tcPr>
            <w:tcW w:w="7186" w:type="dxa"/>
            <w:gridSpan w:val="2"/>
            <w:vMerge w:val="restart"/>
            <w:vAlign w:val="center"/>
          </w:tcPr>
          <w:p>
            <w:pPr>
              <w:adjustRightInd w:val="0"/>
              <w:snapToGrid w:val="0"/>
              <w:jc w:val="center"/>
              <w:rPr>
                <w:szCs w:val="21"/>
              </w:rPr>
            </w:pPr>
            <w:r>
              <w:rPr>
                <w:rFonts w:cs="Arial"/>
                <w:sz w:val="22"/>
              </w:rPr>
              <w:t>评分细则</w:t>
            </w:r>
          </w:p>
        </w:tc>
        <w:tc>
          <w:tcPr>
            <w:tcW w:w="2649" w:type="dxa"/>
            <w:gridSpan w:val="3"/>
            <w:vAlign w:val="center"/>
          </w:tcPr>
          <w:p>
            <w:pPr>
              <w:pStyle w:val="23"/>
              <w:adjustRightInd w:val="0"/>
              <w:snapToGrid w:val="0"/>
              <w:spacing w:line="240" w:lineRule="auto"/>
              <w:rPr>
                <w:rFonts w:hint="default" w:ascii="Calibri" w:hAnsi="Calibri" w:eastAsia="宋体" w:cs="宋体"/>
                <w:spacing w:val="-6"/>
                <w:sz w:val="21"/>
                <w:szCs w:val="21"/>
              </w:rPr>
            </w:pPr>
            <w:r>
              <w:rPr>
                <w:rFonts w:hint="default" w:ascii="Calibri" w:hAnsi="Calibri" w:eastAsia="宋体" w:cs="宋体"/>
                <w:spacing w:val="-6"/>
                <w:sz w:val="22"/>
                <w:szCs w:val="22"/>
              </w:rPr>
              <w:t>分值范围</w:t>
            </w:r>
            <w:r>
              <w:rPr>
                <w:rFonts w:ascii="Calibri" w:hAnsi="Calibri" w:eastAsia="宋体" w:cs="宋体"/>
                <w:spacing w:val="-6"/>
                <w:sz w:val="22"/>
                <w:szCs w:val="22"/>
              </w:rPr>
              <w:t>（</w:t>
            </w:r>
            <w:r>
              <w:rPr>
                <w:rFonts w:hint="eastAsia" w:ascii="Calibri" w:hAnsi="Calibri" w:eastAsia="宋体" w:cs="宋体"/>
                <w:spacing w:val="-6"/>
                <w:sz w:val="22"/>
                <w:szCs w:val="22"/>
                <w:lang w:val="en-US" w:eastAsia="zh-CN"/>
              </w:rPr>
              <w:t>37</w:t>
            </w:r>
            <w:r>
              <w:rPr>
                <w:rFonts w:ascii="Calibri" w:hAnsi="Calibri" w:eastAsia="宋体" w:cs="宋体"/>
                <w:spacing w:val="-6"/>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blHeader/>
          <w:jc w:val="center"/>
        </w:trPr>
        <w:tc>
          <w:tcPr>
            <w:tcW w:w="7186" w:type="dxa"/>
            <w:gridSpan w:val="2"/>
            <w:vMerge w:val="continue"/>
            <w:vAlign w:val="center"/>
          </w:tcPr>
          <w:p>
            <w:pPr>
              <w:adjustRightInd w:val="0"/>
              <w:snapToGrid w:val="0"/>
              <w:jc w:val="center"/>
              <w:rPr>
                <w:rFonts w:cs="Arial"/>
                <w:sz w:val="22"/>
              </w:rPr>
            </w:pPr>
          </w:p>
        </w:tc>
        <w:tc>
          <w:tcPr>
            <w:tcW w:w="947" w:type="dxa"/>
            <w:vAlign w:val="center"/>
          </w:tcPr>
          <w:p>
            <w:pPr>
              <w:pStyle w:val="23"/>
              <w:adjustRightInd w:val="0"/>
              <w:snapToGrid w:val="0"/>
              <w:spacing w:line="240" w:lineRule="auto"/>
              <w:rPr>
                <w:rFonts w:hint="default" w:ascii="Calibri" w:hAnsi="Calibri" w:eastAsia="宋体" w:cs="宋体"/>
                <w:spacing w:val="-6"/>
                <w:sz w:val="22"/>
                <w:szCs w:val="22"/>
              </w:rPr>
            </w:pPr>
            <w:r>
              <w:rPr>
                <w:rFonts w:ascii="Calibri" w:hAnsi="Calibri" w:eastAsia="宋体" w:cs="宋体"/>
                <w:spacing w:val="-6"/>
                <w:sz w:val="22"/>
                <w:szCs w:val="22"/>
              </w:rPr>
              <w:t>较差</w:t>
            </w:r>
          </w:p>
        </w:tc>
        <w:tc>
          <w:tcPr>
            <w:tcW w:w="884" w:type="dxa"/>
            <w:vAlign w:val="center"/>
          </w:tcPr>
          <w:p>
            <w:pPr>
              <w:pStyle w:val="23"/>
              <w:adjustRightInd w:val="0"/>
              <w:snapToGrid w:val="0"/>
              <w:spacing w:line="240" w:lineRule="auto"/>
              <w:rPr>
                <w:rFonts w:hint="default" w:ascii="Calibri" w:hAnsi="Calibri" w:eastAsia="宋体" w:cs="宋体"/>
                <w:spacing w:val="-6"/>
                <w:sz w:val="22"/>
                <w:szCs w:val="22"/>
              </w:rPr>
            </w:pPr>
            <w:r>
              <w:rPr>
                <w:rFonts w:ascii="Calibri" w:hAnsi="Calibri" w:eastAsia="宋体" w:cs="宋体"/>
                <w:spacing w:val="-6"/>
                <w:sz w:val="22"/>
                <w:szCs w:val="22"/>
              </w:rPr>
              <w:t>一般</w:t>
            </w:r>
          </w:p>
        </w:tc>
        <w:tc>
          <w:tcPr>
            <w:tcW w:w="818" w:type="dxa"/>
            <w:vAlign w:val="center"/>
          </w:tcPr>
          <w:p>
            <w:pPr>
              <w:pStyle w:val="23"/>
              <w:adjustRightInd w:val="0"/>
              <w:snapToGrid w:val="0"/>
              <w:spacing w:line="240" w:lineRule="auto"/>
              <w:rPr>
                <w:rFonts w:hint="default" w:ascii="Calibri" w:hAnsi="Calibri" w:eastAsia="宋体" w:cs="宋体"/>
                <w:spacing w:val="-6"/>
                <w:sz w:val="22"/>
                <w:szCs w:val="22"/>
              </w:rPr>
            </w:pPr>
            <w:r>
              <w:rPr>
                <w:rFonts w:ascii="Calibri" w:hAnsi="Calibri" w:eastAsia="宋体" w:cs="宋体"/>
                <w:spacing w:val="-6"/>
                <w:sz w:val="22"/>
                <w:szCs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blHeader/>
          <w:jc w:val="center"/>
        </w:trPr>
        <w:tc>
          <w:tcPr>
            <w:tcW w:w="763" w:type="dxa"/>
            <w:vAlign w:val="center"/>
          </w:tcPr>
          <w:p>
            <w:pPr>
              <w:adjustRightInd w:val="0"/>
              <w:snapToGrid w:val="0"/>
              <w:jc w:val="center"/>
              <w:rPr>
                <w:rFonts w:cs="宋体"/>
                <w:kern w:val="0"/>
                <w:sz w:val="22"/>
              </w:rPr>
            </w:pPr>
            <w:r>
              <w:rPr>
                <w:rFonts w:cs="宋体"/>
                <w:kern w:val="0"/>
                <w:sz w:val="22"/>
              </w:rPr>
              <w:t>1</w:t>
            </w:r>
          </w:p>
        </w:tc>
        <w:tc>
          <w:tcPr>
            <w:tcW w:w="6423" w:type="dxa"/>
            <w:vAlign w:val="center"/>
          </w:tcPr>
          <w:p>
            <w:pPr>
              <w:adjustRightInd w:val="0"/>
              <w:snapToGrid w:val="0"/>
              <w:rPr>
                <w:rFonts w:cs="宋体"/>
                <w:kern w:val="0"/>
                <w:sz w:val="22"/>
              </w:rPr>
            </w:pPr>
            <w:r>
              <w:rPr>
                <w:rFonts w:hint="eastAsia" w:ascii="宋体" w:hAnsi="宋体" w:cs="宋体"/>
                <w:kern w:val="0"/>
                <w:sz w:val="22"/>
              </w:rPr>
              <w:t>根据投标人针对本项目服务内容的针对性、全面性、专业性</w:t>
            </w:r>
            <w:r>
              <w:rPr>
                <w:rFonts w:hint="eastAsia" w:ascii="宋体" w:hAnsi="宋体" w:cs="宋体"/>
                <w:kern w:val="0"/>
                <w:sz w:val="22"/>
                <w:lang w:eastAsia="zh-CN"/>
              </w:rPr>
              <w:t>，</w:t>
            </w:r>
            <w:r>
              <w:rPr>
                <w:rFonts w:hint="eastAsia" w:ascii="宋体" w:hAnsi="宋体" w:cs="宋体"/>
                <w:color w:val="000000"/>
                <w:kern w:val="0"/>
                <w:sz w:val="22"/>
              </w:rPr>
              <w:t>实施意见及重点、难点控制</w:t>
            </w:r>
            <w:r>
              <w:rPr>
                <w:rFonts w:hint="eastAsia" w:ascii="宋体" w:hAnsi="宋体" w:cs="宋体"/>
                <w:kern w:val="0"/>
                <w:sz w:val="22"/>
              </w:rPr>
              <w:t>等情况横向比较打分。</w:t>
            </w:r>
          </w:p>
        </w:tc>
        <w:tc>
          <w:tcPr>
            <w:tcW w:w="947" w:type="dxa"/>
            <w:vAlign w:val="center"/>
          </w:tcPr>
          <w:p>
            <w:pPr>
              <w:pStyle w:val="23"/>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0</w:t>
            </w:r>
            <w:r>
              <w:rPr>
                <w:rFonts w:ascii="Calibri" w:hAnsi="Calibri" w:eastAsia="宋体" w:cs="宋体"/>
                <w:spacing w:val="0"/>
                <w:sz w:val="22"/>
                <w:szCs w:val="22"/>
              </w:rPr>
              <w:t>~</w:t>
            </w:r>
            <w:r>
              <w:rPr>
                <w:rFonts w:hint="eastAsia" w:ascii="Calibri" w:hAnsi="Calibri" w:eastAsia="宋体" w:cs="宋体"/>
                <w:spacing w:val="0"/>
                <w:sz w:val="22"/>
                <w:szCs w:val="22"/>
                <w:lang w:val="en-US" w:eastAsia="zh-CN"/>
              </w:rPr>
              <w:t>1</w:t>
            </w:r>
            <w:r>
              <w:rPr>
                <w:rFonts w:hint="default" w:ascii="Calibri" w:hAnsi="Calibri" w:eastAsia="宋体" w:cs="宋体"/>
                <w:spacing w:val="0"/>
                <w:sz w:val="22"/>
                <w:szCs w:val="22"/>
              </w:rPr>
              <w:t>.9</w:t>
            </w:r>
          </w:p>
        </w:tc>
        <w:tc>
          <w:tcPr>
            <w:tcW w:w="884" w:type="dxa"/>
            <w:vAlign w:val="center"/>
          </w:tcPr>
          <w:p>
            <w:pPr>
              <w:pStyle w:val="23"/>
              <w:adjustRightInd w:val="0"/>
              <w:snapToGrid w:val="0"/>
              <w:spacing w:line="240" w:lineRule="auto"/>
              <w:rPr>
                <w:rFonts w:hint="default" w:ascii="Calibri" w:hAnsi="Calibri" w:eastAsia="宋体" w:cs="宋体"/>
                <w:spacing w:val="0"/>
                <w:sz w:val="22"/>
                <w:szCs w:val="22"/>
              </w:rPr>
            </w:pPr>
            <w:r>
              <w:rPr>
                <w:rFonts w:hint="eastAsia" w:ascii="Calibri" w:hAnsi="Calibri" w:eastAsia="宋体" w:cs="宋体"/>
                <w:spacing w:val="0"/>
                <w:sz w:val="22"/>
                <w:szCs w:val="22"/>
                <w:lang w:val="en-US" w:eastAsia="zh-CN"/>
              </w:rPr>
              <w:t>2</w:t>
            </w:r>
            <w:r>
              <w:rPr>
                <w:rFonts w:ascii="Calibri" w:hAnsi="Calibri" w:eastAsia="宋体" w:cs="宋体"/>
                <w:spacing w:val="0"/>
                <w:sz w:val="22"/>
                <w:szCs w:val="22"/>
              </w:rPr>
              <w:t>~</w:t>
            </w:r>
            <w:r>
              <w:rPr>
                <w:rFonts w:hint="eastAsia" w:ascii="Calibri" w:hAnsi="Calibri" w:eastAsia="宋体" w:cs="宋体"/>
                <w:spacing w:val="0"/>
                <w:sz w:val="22"/>
                <w:szCs w:val="22"/>
                <w:lang w:val="en-US" w:eastAsia="zh-CN"/>
              </w:rPr>
              <w:t>4</w:t>
            </w:r>
            <w:r>
              <w:rPr>
                <w:rFonts w:hint="default" w:ascii="Calibri" w:hAnsi="Calibri" w:eastAsia="宋体" w:cs="宋体"/>
                <w:spacing w:val="0"/>
                <w:sz w:val="22"/>
                <w:szCs w:val="22"/>
              </w:rPr>
              <w:t>.9</w:t>
            </w:r>
          </w:p>
        </w:tc>
        <w:tc>
          <w:tcPr>
            <w:tcW w:w="818" w:type="dxa"/>
            <w:vAlign w:val="center"/>
          </w:tcPr>
          <w:p>
            <w:pPr>
              <w:pStyle w:val="23"/>
              <w:adjustRightInd w:val="0"/>
              <w:snapToGrid w:val="0"/>
              <w:spacing w:line="240" w:lineRule="auto"/>
              <w:rPr>
                <w:rFonts w:hint="default" w:ascii="Calibri" w:hAnsi="Calibri" w:eastAsia="宋体" w:cs="宋体"/>
                <w:spacing w:val="0"/>
                <w:sz w:val="22"/>
                <w:szCs w:val="22"/>
              </w:rPr>
            </w:pPr>
            <w:r>
              <w:rPr>
                <w:rFonts w:hint="eastAsia" w:ascii="Calibri" w:hAnsi="Calibri" w:eastAsia="宋体" w:cs="宋体"/>
                <w:spacing w:val="0"/>
                <w:sz w:val="22"/>
                <w:szCs w:val="22"/>
                <w:lang w:val="en-US" w:eastAsia="zh-CN"/>
              </w:rPr>
              <w:t>5</w:t>
            </w:r>
            <w:r>
              <w:rPr>
                <w:rFonts w:ascii="Calibri" w:hAnsi="Calibri" w:eastAsia="宋体" w:cs="宋体"/>
                <w:spacing w:val="0"/>
                <w:sz w:val="22"/>
                <w:szCs w:val="22"/>
              </w:rPr>
              <w:t>~</w:t>
            </w:r>
            <w:r>
              <w:rPr>
                <w:rFonts w:hint="eastAsia" w:ascii="Calibri" w:hAnsi="Calibri" w:eastAsia="宋体" w:cs="宋体"/>
                <w:spacing w:val="0"/>
                <w:sz w:val="22"/>
                <w:szCs w:val="22"/>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blHeader/>
          <w:jc w:val="center"/>
        </w:trPr>
        <w:tc>
          <w:tcPr>
            <w:tcW w:w="763" w:type="dxa"/>
            <w:vAlign w:val="center"/>
          </w:tcPr>
          <w:p>
            <w:pPr>
              <w:adjustRightInd w:val="0"/>
              <w:snapToGrid w:val="0"/>
              <w:jc w:val="center"/>
              <w:rPr>
                <w:rFonts w:cs="宋体"/>
                <w:kern w:val="0"/>
                <w:sz w:val="22"/>
              </w:rPr>
            </w:pPr>
            <w:r>
              <w:rPr>
                <w:rFonts w:cs="宋体"/>
                <w:kern w:val="0"/>
                <w:sz w:val="22"/>
              </w:rPr>
              <w:t>2</w:t>
            </w:r>
          </w:p>
        </w:tc>
        <w:tc>
          <w:tcPr>
            <w:tcW w:w="6423" w:type="dxa"/>
            <w:vAlign w:val="center"/>
          </w:tcPr>
          <w:p>
            <w:pPr>
              <w:adjustRightInd w:val="0"/>
              <w:snapToGrid w:val="0"/>
              <w:rPr>
                <w:rFonts w:cs="宋体"/>
                <w:kern w:val="0"/>
                <w:sz w:val="22"/>
              </w:rPr>
            </w:pPr>
            <w:r>
              <w:rPr>
                <w:rFonts w:hint="eastAsia" w:hAnsi="宋体"/>
                <w:bCs/>
                <w:szCs w:val="21"/>
              </w:rPr>
              <w:t>根据</w:t>
            </w:r>
            <w:r>
              <w:rPr>
                <w:rFonts w:hint="eastAsia"/>
              </w:rPr>
              <w:t>对投标人提供的本项目服务方案</w:t>
            </w:r>
            <w:r>
              <w:rPr>
                <w:rFonts w:hint="eastAsia" w:hAnsi="宋体"/>
                <w:bCs/>
                <w:szCs w:val="21"/>
              </w:rPr>
              <w:t>，</w:t>
            </w:r>
            <w:r>
              <w:rPr>
                <w:rFonts w:hint="eastAsia" w:hAnsi="宋体"/>
                <w:bCs/>
                <w:szCs w:val="21"/>
                <w:lang w:val="en-US" w:eastAsia="zh-CN"/>
              </w:rPr>
              <w:t>交通、安全</w:t>
            </w:r>
            <w:r>
              <w:rPr>
                <w:rFonts w:hint="eastAsia" w:hAnsi="宋体"/>
                <w:bCs/>
                <w:szCs w:val="21"/>
              </w:rPr>
              <w:t>保证措施具体有效等情况</w:t>
            </w:r>
            <w:r>
              <w:rPr>
                <w:rFonts w:hint="eastAsia" w:hAnsi="宋体"/>
                <w:bCs/>
                <w:szCs w:val="21"/>
                <w:lang w:val="en-US" w:eastAsia="zh-CN"/>
              </w:rPr>
              <w:t>进行综合评审，</w:t>
            </w:r>
            <w:r>
              <w:rPr>
                <w:rFonts w:hint="eastAsia" w:hAnsi="宋体"/>
                <w:bCs/>
                <w:szCs w:val="21"/>
              </w:rPr>
              <w:t>横向比较打分。</w:t>
            </w:r>
          </w:p>
        </w:tc>
        <w:tc>
          <w:tcPr>
            <w:tcW w:w="947" w:type="dxa"/>
            <w:textDirection w:val="lrTb"/>
            <w:vAlign w:val="center"/>
          </w:tcPr>
          <w:p>
            <w:pPr>
              <w:pStyle w:val="23"/>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0</w:t>
            </w:r>
            <w:r>
              <w:rPr>
                <w:rFonts w:ascii="Calibri" w:hAnsi="Calibri" w:eastAsia="宋体" w:cs="宋体"/>
                <w:spacing w:val="0"/>
                <w:sz w:val="22"/>
                <w:szCs w:val="22"/>
              </w:rPr>
              <w:t>~</w:t>
            </w:r>
            <w:r>
              <w:rPr>
                <w:rFonts w:hint="eastAsia" w:ascii="Calibri" w:hAnsi="Calibri" w:eastAsia="宋体" w:cs="宋体"/>
                <w:spacing w:val="0"/>
                <w:sz w:val="22"/>
                <w:szCs w:val="22"/>
                <w:lang w:val="en-US" w:eastAsia="zh-CN"/>
              </w:rPr>
              <w:t>1</w:t>
            </w:r>
            <w:r>
              <w:rPr>
                <w:rFonts w:hint="default" w:ascii="Calibri" w:hAnsi="Calibri" w:eastAsia="宋体" w:cs="宋体"/>
                <w:spacing w:val="0"/>
                <w:sz w:val="22"/>
                <w:szCs w:val="22"/>
              </w:rPr>
              <w:t>.9</w:t>
            </w:r>
          </w:p>
        </w:tc>
        <w:tc>
          <w:tcPr>
            <w:tcW w:w="884" w:type="dxa"/>
            <w:textDirection w:val="lrTb"/>
            <w:vAlign w:val="center"/>
          </w:tcPr>
          <w:p>
            <w:pPr>
              <w:pStyle w:val="23"/>
              <w:adjustRightInd w:val="0"/>
              <w:snapToGrid w:val="0"/>
              <w:spacing w:line="240" w:lineRule="auto"/>
              <w:rPr>
                <w:rFonts w:hint="default" w:ascii="Calibri" w:hAnsi="Calibri" w:eastAsia="宋体" w:cs="宋体"/>
                <w:spacing w:val="0"/>
                <w:sz w:val="22"/>
                <w:szCs w:val="22"/>
              </w:rPr>
            </w:pPr>
            <w:r>
              <w:rPr>
                <w:rFonts w:hint="eastAsia" w:ascii="Calibri" w:hAnsi="Calibri" w:eastAsia="宋体" w:cs="宋体"/>
                <w:spacing w:val="0"/>
                <w:sz w:val="22"/>
                <w:szCs w:val="22"/>
                <w:lang w:val="en-US" w:eastAsia="zh-CN"/>
              </w:rPr>
              <w:t>2</w:t>
            </w:r>
            <w:r>
              <w:rPr>
                <w:rFonts w:ascii="Calibri" w:hAnsi="Calibri" w:eastAsia="宋体" w:cs="宋体"/>
                <w:spacing w:val="0"/>
                <w:sz w:val="22"/>
                <w:szCs w:val="22"/>
              </w:rPr>
              <w:t>~</w:t>
            </w:r>
            <w:r>
              <w:rPr>
                <w:rFonts w:hint="eastAsia" w:ascii="Calibri" w:hAnsi="Calibri" w:eastAsia="宋体" w:cs="宋体"/>
                <w:spacing w:val="0"/>
                <w:sz w:val="22"/>
                <w:szCs w:val="22"/>
                <w:lang w:val="en-US" w:eastAsia="zh-CN"/>
              </w:rPr>
              <w:t>4</w:t>
            </w:r>
            <w:r>
              <w:rPr>
                <w:rFonts w:hint="default" w:ascii="Calibri" w:hAnsi="Calibri" w:eastAsia="宋体" w:cs="宋体"/>
                <w:spacing w:val="0"/>
                <w:sz w:val="22"/>
                <w:szCs w:val="22"/>
              </w:rPr>
              <w:t>.9</w:t>
            </w:r>
          </w:p>
        </w:tc>
        <w:tc>
          <w:tcPr>
            <w:tcW w:w="818" w:type="dxa"/>
            <w:textDirection w:val="lrTb"/>
            <w:vAlign w:val="center"/>
          </w:tcPr>
          <w:p>
            <w:pPr>
              <w:pStyle w:val="23"/>
              <w:adjustRightInd w:val="0"/>
              <w:snapToGrid w:val="0"/>
              <w:spacing w:line="240" w:lineRule="auto"/>
              <w:rPr>
                <w:rFonts w:hint="default" w:ascii="Calibri" w:hAnsi="Calibri" w:eastAsia="宋体" w:cs="宋体"/>
                <w:spacing w:val="0"/>
                <w:sz w:val="22"/>
                <w:szCs w:val="22"/>
              </w:rPr>
            </w:pPr>
            <w:r>
              <w:rPr>
                <w:rFonts w:hint="eastAsia" w:ascii="Calibri" w:hAnsi="Calibri" w:eastAsia="宋体" w:cs="宋体"/>
                <w:spacing w:val="0"/>
                <w:sz w:val="22"/>
                <w:szCs w:val="22"/>
                <w:lang w:val="en-US" w:eastAsia="zh-CN"/>
              </w:rPr>
              <w:t>5</w:t>
            </w:r>
            <w:r>
              <w:rPr>
                <w:rFonts w:ascii="Calibri" w:hAnsi="Calibri" w:eastAsia="宋体" w:cs="宋体"/>
                <w:spacing w:val="0"/>
                <w:sz w:val="22"/>
                <w:szCs w:val="22"/>
              </w:rPr>
              <w:t>~</w:t>
            </w:r>
            <w:r>
              <w:rPr>
                <w:rFonts w:hint="eastAsia" w:ascii="Calibri" w:hAnsi="Calibri" w:eastAsia="宋体" w:cs="宋体"/>
                <w:spacing w:val="0"/>
                <w:sz w:val="22"/>
                <w:szCs w:val="22"/>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blHeader/>
          <w:jc w:val="center"/>
        </w:trPr>
        <w:tc>
          <w:tcPr>
            <w:tcW w:w="763" w:type="dxa"/>
            <w:vAlign w:val="center"/>
          </w:tcPr>
          <w:p>
            <w:pPr>
              <w:adjustRightInd w:val="0"/>
              <w:snapToGrid w:val="0"/>
              <w:jc w:val="center"/>
              <w:rPr>
                <w:rFonts w:hint="eastAsia" w:eastAsia="宋体" w:cs="宋体"/>
                <w:kern w:val="0"/>
                <w:sz w:val="22"/>
                <w:lang w:eastAsia="zh-CN"/>
              </w:rPr>
            </w:pPr>
            <w:r>
              <w:rPr>
                <w:rFonts w:hint="eastAsia" w:cs="宋体"/>
                <w:kern w:val="0"/>
                <w:sz w:val="22"/>
                <w:lang w:val="en-US" w:eastAsia="zh-CN"/>
              </w:rPr>
              <w:t>3</w:t>
            </w:r>
          </w:p>
        </w:tc>
        <w:tc>
          <w:tcPr>
            <w:tcW w:w="6423" w:type="dxa"/>
            <w:vAlign w:val="center"/>
          </w:tcPr>
          <w:p>
            <w:pPr>
              <w:adjustRightInd w:val="0"/>
              <w:snapToGrid w:val="0"/>
              <w:rPr>
                <w:rFonts w:cs="宋体"/>
                <w:kern w:val="0"/>
                <w:sz w:val="22"/>
              </w:rPr>
            </w:pPr>
            <w:r>
              <w:rPr>
                <w:rFonts w:hint="eastAsia" w:ascii="宋体" w:hAnsi="宋体"/>
                <w:kern w:val="0"/>
                <w:sz w:val="22"/>
              </w:rPr>
              <w:t>根据</w:t>
            </w:r>
            <w:r>
              <w:rPr>
                <w:rFonts w:hint="eastAsia" w:ascii="宋体" w:hAnsi="宋体" w:cs="宋体"/>
                <w:color w:val="000000"/>
                <w:kern w:val="0"/>
                <w:sz w:val="22"/>
              </w:rPr>
              <w:t>投标人承诺的维保服务的有效性和维保服务的响应时效性</w:t>
            </w:r>
            <w:r>
              <w:rPr>
                <w:rFonts w:hint="eastAsia" w:ascii="宋体" w:hAnsi="宋体" w:cs="宋体"/>
                <w:color w:val="000000"/>
                <w:kern w:val="0"/>
                <w:sz w:val="22"/>
                <w:lang w:val="en-US" w:eastAsia="zh-CN"/>
              </w:rPr>
              <w:t>及</w:t>
            </w:r>
            <w:r>
              <w:rPr>
                <w:rFonts w:hint="eastAsia" w:ascii="宋体" w:hAnsi="宋体" w:cs="宋体"/>
                <w:color w:val="000000"/>
                <w:kern w:val="0"/>
                <w:sz w:val="22"/>
                <w:lang w:eastAsia="zh-CN"/>
              </w:rPr>
              <w:t>对突发性</w:t>
            </w:r>
            <w:r>
              <w:rPr>
                <w:rFonts w:hint="eastAsia" w:ascii="宋体" w:hAnsi="宋体" w:cs="宋体"/>
                <w:color w:val="000000"/>
                <w:kern w:val="0"/>
                <w:sz w:val="22"/>
                <w:lang w:val="en-US" w:eastAsia="zh-CN"/>
              </w:rPr>
              <w:t>清淤服务</w:t>
            </w:r>
            <w:r>
              <w:rPr>
                <w:rFonts w:hint="eastAsia" w:ascii="宋体" w:hAnsi="宋体" w:cs="宋体"/>
                <w:color w:val="000000"/>
                <w:kern w:val="0"/>
                <w:sz w:val="22"/>
              </w:rPr>
              <w:t>承诺</w:t>
            </w:r>
            <w:r>
              <w:rPr>
                <w:rFonts w:hint="eastAsia" w:ascii="宋体" w:hAnsi="宋体" w:cs="宋体"/>
                <w:color w:val="000000"/>
                <w:kern w:val="0"/>
                <w:sz w:val="22"/>
                <w:lang w:val="en-US" w:eastAsia="zh-CN"/>
              </w:rPr>
              <w:t>工作</w:t>
            </w:r>
            <w:r>
              <w:rPr>
                <w:rFonts w:hint="eastAsia" w:ascii="宋体" w:hAnsi="宋体" w:cs="宋体"/>
                <w:color w:val="000000"/>
                <w:kern w:val="0"/>
                <w:sz w:val="22"/>
                <w:lang w:eastAsia="zh-CN"/>
              </w:rPr>
              <w:t>人员</w:t>
            </w:r>
            <w:r>
              <w:rPr>
                <w:rFonts w:hint="eastAsia" w:ascii="宋体" w:hAnsi="宋体" w:cs="宋体"/>
                <w:color w:val="000000"/>
                <w:kern w:val="0"/>
                <w:sz w:val="22"/>
              </w:rPr>
              <w:t>的</w:t>
            </w:r>
            <w:r>
              <w:rPr>
                <w:rFonts w:hint="eastAsia" w:ascii="宋体" w:hAnsi="宋体" w:cs="宋体"/>
                <w:color w:val="000000"/>
                <w:kern w:val="0"/>
                <w:sz w:val="22"/>
                <w:lang w:eastAsia="zh-CN"/>
              </w:rPr>
              <w:t>到场时间</w:t>
            </w:r>
            <w:r>
              <w:rPr>
                <w:rFonts w:hint="eastAsia" w:ascii="宋体" w:hAnsi="宋体" w:cs="宋体"/>
                <w:color w:val="000000"/>
                <w:kern w:val="0"/>
                <w:sz w:val="22"/>
              </w:rPr>
              <w:t>等情况</w:t>
            </w:r>
            <w:r>
              <w:rPr>
                <w:rFonts w:hint="eastAsia" w:ascii="宋体" w:hAnsi="宋体"/>
                <w:kern w:val="0"/>
                <w:sz w:val="22"/>
              </w:rPr>
              <w:t>符合招标人要求，合理有效等情况横向比较打分。</w:t>
            </w:r>
          </w:p>
        </w:tc>
        <w:tc>
          <w:tcPr>
            <w:tcW w:w="947" w:type="dxa"/>
            <w:textDirection w:val="lrTb"/>
            <w:vAlign w:val="center"/>
          </w:tcPr>
          <w:p>
            <w:pPr>
              <w:pStyle w:val="23"/>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0</w:t>
            </w:r>
            <w:r>
              <w:rPr>
                <w:rFonts w:ascii="Calibri" w:hAnsi="Calibri" w:eastAsia="宋体" w:cs="宋体"/>
                <w:spacing w:val="0"/>
                <w:sz w:val="22"/>
                <w:szCs w:val="22"/>
              </w:rPr>
              <w:t>~</w:t>
            </w:r>
            <w:r>
              <w:rPr>
                <w:rFonts w:hint="eastAsia" w:ascii="Calibri" w:hAnsi="Calibri" w:eastAsia="宋体" w:cs="宋体"/>
                <w:spacing w:val="0"/>
                <w:sz w:val="22"/>
                <w:szCs w:val="22"/>
                <w:lang w:val="en-US" w:eastAsia="zh-CN"/>
              </w:rPr>
              <w:t>1</w:t>
            </w:r>
            <w:r>
              <w:rPr>
                <w:rFonts w:hint="default" w:ascii="Calibri" w:hAnsi="Calibri" w:eastAsia="宋体" w:cs="宋体"/>
                <w:spacing w:val="0"/>
                <w:sz w:val="22"/>
                <w:szCs w:val="22"/>
              </w:rPr>
              <w:t>.9</w:t>
            </w:r>
          </w:p>
        </w:tc>
        <w:tc>
          <w:tcPr>
            <w:tcW w:w="884" w:type="dxa"/>
            <w:textDirection w:val="lrTb"/>
            <w:vAlign w:val="center"/>
          </w:tcPr>
          <w:p>
            <w:pPr>
              <w:pStyle w:val="23"/>
              <w:adjustRightInd w:val="0"/>
              <w:snapToGrid w:val="0"/>
              <w:spacing w:line="240" w:lineRule="auto"/>
              <w:rPr>
                <w:rFonts w:hint="default" w:ascii="Calibri" w:hAnsi="Calibri" w:eastAsia="宋体" w:cs="宋体"/>
                <w:spacing w:val="0"/>
                <w:sz w:val="22"/>
                <w:szCs w:val="22"/>
              </w:rPr>
            </w:pPr>
            <w:r>
              <w:rPr>
                <w:rFonts w:hint="eastAsia" w:ascii="Calibri" w:hAnsi="Calibri" w:eastAsia="宋体" w:cs="宋体"/>
                <w:spacing w:val="0"/>
                <w:sz w:val="22"/>
                <w:szCs w:val="22"/>
                <w:lang w:val="en-US" w:eastAsia="zh-CN"/>
              </w:rPr>
              <w:t>2</w:t>
            </w:r>
            <w:r>
              <w:rPr>
                <w:rFonts w:ascii="Calibri" w:hAnsi="Calibri" w:eastAsia="宋体" w:cs="宋体"/>
                <w:spacing w:val="0"/>
                <w:sz w:val="22"/>
                <w:szCs w:val="22"/>
              </w:rPr>
              <w:t>~</w:t>
            </w:r>
            <w:r>
              <w:rPr>
                <w:rFonts w:hint="eastAsia" w:ascii="Calibri" w:hAnsi="Calibri" w:eastAsia="宋体" w:cs="宋体"/>
                <w:spacing w:val="0"/>
                <w:sz w:val="22"/>
                <w:szCs w:val="22"/>
                <w:lang w:val="en-US" w:eastAsia="zh-CN"/>
              </w:rPr>
              <w:t>4</w:t>
            </w:r>
            <w:r>
              <w:rPr>
                <w:rFonts w:hint="default" w:ascii="Calibri" w:hAnsi="Calibri" w:eastAsia="宋体" w:cs="宋体"/>
                <w:spacing w:val="0"/>
                <w:sz w:val="22"/>
                <w:szCs w:val="22"/>
              </w:rPr>
              <w:t>.9</w:t>
            </w:r>
          </w:p>
        </w:tc>
        <w:tc>
          <w:tcPr>
            <w:tcW w:w="818" w:type="dxa"/>
            <w:textDirection w:val="lrTb"/>
            <w:vAlign w:val="center"/>
          </w:tcPr>
          <w:p>
            <w:pPr>
              <w:pStyle w:val="23"/>
              <w:adjustRightInd w:val="0"/>
              <w:snapToGrid w:val="0"/>
              <w:spacing w:line="240" w:lineRule="auto"/>
              <w:rPr>
                <w:rFonts w:hint="default" w:ascii="Calibri" w:hAnsi="Calibri" w:eastAsia="宋体" w:cs="宋体"/>
                <w:spacing w:val="0"/>
                <w:sz w:val="22"/>
                <w:szCs w:val="22"/>
              </w:rPr>
            </w:pPr>
            <w:r>
              <w:rPr>
                <w:rFonts w:hint="eastAsia" w:ascii="Calibri" w:hAnsi="Calibri" w:eastAsia="宋体" w:cs="宋体"/>
                <w:spacing w:val="0"/>
                <w:sz w:val="22"/>
                <w:szCs w:val="22"/>
                <w:lang w:val="en-US" w:eastAsia="zh-CN"/>
              </w:rPr>
              <w:t>5</w:t>
            </w:r>
            <w:r>
              <w:rPr>
                <w:rFonts w:ascii="Calibri" w:hAnsi="Calibri" w:eastAsia="宋体" w:cs="宋体"/>
                <w:spacing w:val="0"/>
                <w:sz w:val="22"/>
                <w:szCs w:val="22"/>
              </w:rPr>
              <w:t>~</w:t>
            </w:r>
            <w:r>
              <w:rPr>
                <w:rFonts w:hint="eastAsia" w:ascii="Calibri" w:hAnsi="Calibri" w:eastAsia="宋体" w:cs="宋体"/>
                <w:spacing w:val="0"/>
                <w:sz w:val="22"/>
                <w:szCs w:val="22"/>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blHeader/>
          <w:jc w:val="center"/>
        </w:trPr>
        <w:tc>
          <w:tcPr>
            <w:tcW w:w="763" w:type="dxa"/>
            <w:vAlign w:val="center"/>
          </w:tcPr>
          <w:p>
            <w:pPr>
              <w:adjustRightInd w:val="0"/>
              <w:snapToGrid w:val="0"/>
              <w:jc w:val="center"/>
              <w:rPr>
                <w:rFonts w:hint="eastAsia" w:cs="宋体"/>
                <w:kern w:val="0"/>
                <w:sz w:val="22"/>
                <w:lang w:val="en-US" w:eastAsia="zh-CN"/>
              </w:rPr>
            </w:pPr>
            <w:r>
              <w:rPr>
                <w:rFonts w:hint="eastAsia" w:cs="宋体"/>
                <w:kern w:val="0"/>
                <w:sz w:val="22"/>
                <w:lang w:val="en-US" w:eastAsia="zh-CN"/>
              </w:rPr>
              <w:t>4</w:t>
            </w:r>
          </w:p>
        </w:tc>
        <w:tc>
          <w:tcPr>
            <w:tcW w:w="6423" w:type="dxa"/>
            <w:vAlign w:val="center"/>
          </w:tcPr>
          <w:p>
            <w:pPr>
              <w:adjustRightInd w:val="0"/>
              <w:snapToGrid w:val="0"/>
              <w:rPr>
                <w:rFonts w:hint="eastAsia" w:ascii="宋体" w:hAnsi="宋体"/>
                <w:kern w:val="0"/>
                <w:sz w:val="22"/>
              </w:rPr>
            </w:pPr>
            <w:r>
              <w:rPr>
                <w:rFonts w:hint="eastAsia" w:ascii="宋体" w:hAnsi="宋体"/>
                <w:kern w:val="0"/>
                <w:sz w:val="22"/>
              </w:rPr>
              <w:t>根据投标人承诺的不在机场内堆放，自行运出机场处理，是否有淤泥消纳相关方案，以保证机场内环境</w:t>
            </w:r>
            <w:r>
              <w:rPr>
                <w:rFonts w:hint="eastAsia" w:ascii="宋体" w:hAnsi="宋体"/>
                <w:kern w:val="0"/>
                <w:sz w:val="22"/>
                <w:lang w:val="en-US" w:eastAsia="zh-CN"/>
              </w:rPr>
              <w:t>等情况</w:t>
            </w:r>
            <w:r>
              <w:rPr>
                <w:rFonts w:hint="eastAsia" w:ascii="宋体" w:hAnsi="宋体"/>
                <w:kern w:val="0"/>
                <w:sz w:val="22"/>
              </w:rPr>
              <w:t>横向比较打分。</w:t>
            </w:r>
          </w:p>
        </w:tc>
        <w:tc>
          <w:tcPr>
            <w:tcW w:w="947" w:type="dxa"/>
            <w:textDirection w:val="lrTb"/>
            <w:vAlign w:val="center"/>
          </w:tcPr>
          <w:p>
            <w:pPr>
              <w:pStyle w:val="23"/>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0</w:t>
            </w:r>
            <w:r>
              <w:rPr>
                <w:rFonts w:ascii="Calibri" w:hAnsi="Calibri" w:eastAsia="宋体" w:cs="宋体"/>
                <w:spacing w:val="0"/>
                <w:sz w:val="22"/>
                <w:szCs w:val="22"/>
              </w:rPr>
              <w:t>~</w:t>
            </w:r>
            <w:r>
              <w:rPr>
                <w:rFonts w:hint="eastAsia" w:ascii="Calibri" w:hAnsi="Calibri" w:eastAsia="宋体" w:cs="宋体"/>
                <w:spacing w:val="0"/>
                <w:sz w:val="22"/>
                <w:szCs w:val="22"/>
                <w:lang w:val="en-US" w:eastAsia="zh-CN"/>
              </w:rPr>
              <w:t>1</w:t>
            </w:r>
            <w:r>
              <w:rPr>
                <w:rFonts w:hint="default" w:ascii="Calibri" w:hAnsi="Calibri" w:eastAsia="宋体" w:cs="宋体"/>
                <w:spacing w:val="0"/>
                <w:sz w:val="22"/>
                <w:szCs w:val="22"/>
              </w:rPr>
              <w:t>.9</w:t>
            </w:r>
          </w:p>
        </w:tc>
        <w:tc>
          <w:tcPr>
            <w:tcW w:w="884" w:type="dxa"/>
            <w:textDirection w:val="lrTb"/>
            <w:vAlign w:val="center"/>
          </w:tcPr>
          <w:p>
            <w:pPr>
              <w:pStyle w:val="23"/>
              <w:adjustRightInd w:val="0"/>
              <w:snapToGrid w:val="0"/>
              <w:spacing w:line="240" w:lineRule="auto"/>
              <w:rPr>
                <w:rFonts w:hint="eastAsia" w:ascii="Calibri" w:hAnsi="Calibri" w:eastAsia="宋体" w:cs="宋体"/>
                <w:spacing w:val="0"/>
                <w:sz w:val="22"/>
                <w:szCs w:val="22"/>
                <w:lang w:val="en-US" w:eastAsia="zh-CN"/>
              </w:rPr>
            </w:pPr>
            <w:r>
              <w:rPr>
                <w:rFonts w:hint="eastAsia" w:ascii="Calibri" w:hAnsi="Calibri" w:eastAsia="宋体" w:cs="宋体"/>
                <w:spacing w:val="0"/>
                <w:sz w:val="22"/>
                <w:szCs w:val="22"/>
                <w:lang w:val="en-US" w:eastAsia="zh-CN"/>
              </w:rPr>
              <w:t>2</w:t>
            </w:r>
            <w:r>
              <w:rPr>
                <w:rFonts w:ascii="Calibri" w:hAnsi="Calibri" w:eastAsia="宋体" w:cs="宋体"/>
                <w:spacing w:val="0"/>
                <w:sz w:val="22"/>
                <w:szCs w:val="22"/>
              </w:rPr>
              <w:t>~</w:t>
            </w:r>
            <w:r>
              <w:rPr>
                <w:rFonts w:hint="eastAsia" w:ascii="Calibri" w:hAnsi="Calibri" w:eastAsia="宋体" w:cs="宋体"/>
                <w:spacing w:val="0"/>
                <w:sz w:val="22"/>
                <w:szCs w:val="22"/>
                <w:lang w:val="en-US" w:eastAsia="zh-CN"/>
              </w:rPr>
              <w:t>3</w:t>
            </w:r>
            <w:r>
              <w:rPr>
                <w:rFonts w:hint="default" w:ascii="Calibri" w:hAnsi="Calibri" w:eastAsia="宋体" w:cs="宋体"/>
                <w:spacing w:val="0"/>
                <w:sz w:val="22"/>
                <w:szCs w:val="22"/>
              </w:rPr>
              <w:t>.9</w:t>
            </w:r>
          </w:p>
        </w:tc>
        <w:tc>
          <w:tcPr>
            <w:tcW w:w="818" w:type="dxa"/>
            <w:textDirection w:val="lrTb"/>
            <w:vAlign w:val="center"/>
          </w:tcPr>
          <w:p>
            <w:pPr>
              <w:pStyle w:val="23"/>
              <w:adjustRightInd w:val="0"/>
              <w:snapToGrid w:val="0"/>
              <w:spacing w:line="240" w:lineRule="auto"/>
              <w:rPr>
                <w:rFonts w:hint="eastAsia" w:ascii="Calibri" w:hAnsi="Calibri" w:eastAsia="宋体" w:cs="宋体"/>
                <w:spacing w:val="0"/>
                <w:sz w:val="22"/>
                <w:szCs w:val="22"/>
                <w:lang w:val="en-US" w:eastAsia="zh-CN"/>
              </w:rPr>
            </w:pPr>
            <w:r>
              <w:rPr>
                <w:rFonts w:hint="eastAsia" w:ascii="Calibri" w:hAnsi="Calibri" w:eastAsia="宋体" w:cs="宋体"/>
                <w:spacing w:val="0"/>
                <w:sz w:val="22"/>
                <w:szCs w:val="22"/>
                <w:lang w:val="en-US" w:eastAsia="zh-CN"/>
              </w:rPr>
              <w:t>4</w:t>
            </w:r>
            <w:r>
              <w:rPr>
                <w:rFonts w:ascii="Calibri" w:hAnsi="Calibri" w:eastAsia="宋体" w:cs="宋体"/>
                <w:spacing w:val="0"/>
                <w:sz w:val="22"/>
                <w:szCs w:val="22"/>
              </w:rPr>
              <w:t>~</w:t>
            </w:r>
            <w:r>
              <w:rPr>
                <w:rFonts w:hint="eastAsia" w:ascii="Calibri" w:hAnsi="Calibri" w:eastAsia="宋体" w:cs="宋体"/>
                <w:spacing w:val="0"/>
                <w:sz w:val="22"/>
                <w:szCs w:val="2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blHeader/>
          <w:jc w:val="center"/>
        </w:trPr>
        <w:tc>
          <w:tcPr>
            <w:tcW w:w="763" w:type="dxa"/>
            <w:vAlign w:val="center"/>
          </w:tcPr>
          <w:p>
            <w:pPr>
              <w:adjustRightInd w:val="0"/>
              <w:snapToGrid w:val="0"/>
              <w:jc w:val="center"/>
              <w:rPr>
                <w:rFonts w:hint="eastAsia" w:eastAsia="宋体" w:cs="宋体"/>
                <w:kern w:val="0"/>
                <w:sz w:val="22"/>
                <w:lang w:eastAsia="zh-CN"/>
              </w:rPr>
            </w:pPr>
            <w:r>
              <w:rPr>
                <w:rFonts w:hint="eastAsia" w:cs="宋体"/>
                <w:kern w:val="0"/>
                <w:sz w:val="22"/>
                <w:lang w:val="en-US" w:eastAsia="zh-CN"/>
              </w:rPr>
              <w:t>5</w:t>
            </w:r>
          </w:p>
        </w:tc>
        <w:tc>
          <w:tcPr>
            <w:tcW w:w="6423" w:type="dxa"/>
            <w:vAlign w:val="center"/>
          </w:tcPr>
          <w:p>
            <w:pPr>
              <w:adjustRightInd w:val="0"/>
              <w:snapToGrid w:val="0"/>
              <w:rPr>
                <w:rFonts w:cs="宋体"/>
                <w:kern w:val="0"/>
                <w:sz w:val="22"/>
              </w:rPr>
            </w:pPr>
            <w:r>
              <w:rPr>
                <w:rFonts w:hint="eastAsia" w:ascii="宋体" w:hAnsi="宋体" w:cs="Arial"/>
                <w:sz w:val="22"/>
              </w:rPr>
              <w:t>根据投标人拟为本项目所投入的人员的数量、岗位安排、人员配置、投入人员的合理性、针对性、专业性服务经验方面的情况</w:t>
            </w:r>
            <w:r>
              <w:rPr>
                <w:rFonts w:hint="eastAsia" w:hAnsi="宋体"/>
                <w:szCs w:val="21"/>
              </w:rPr>
              <w:t>横向比较，横向比较打分。</w:t>
            </w:r>
          </w:p>
        </w:tc>
        <w:tc>
          <w:tcPr>
            <w:tcW w:w="947" w:type="dxa"/>
            <w:textDirection w:val="lrTb"/>
            <w:vAlign w:val="center"/>
          </w:tcPr>
          <w:p>
            <w:pPr>
              <w:pStyle w:val="23"/>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0</w:t>
            </w:r>
            <w:r>
              <w:rPr>
                <w:rFonts w:ascii="Calibri" w:hAnsi="Calibri" w:eastAsia="宋体" w:cs="宋体"/>
                <w:spacing w:val="0"/>
                <w:sz w:val="22"/>
                <w:szCs w:val="22"/>
              </w:rPr>
              <w:t>~</w:t>
            </w:r>
            <w:r>
              <w:rPr>
                <w:rFonts w:hint="eastAsia" w:ascii="Calibri" w:hAnsi="Calibri" w:eastAsia="宋体" w:cs="宋体"/>
                <w:spacing w:val="0"/>
                <w:sz w:val="22"/>
                <w:szCs w:val="22"/>
                <w:lang w:val="en-US" w:eastAsia="zh-CN"/>
              </w:rPr>
              <w:t>1</w:t>
            </w:r>
            <w:r>
              <w:rPr>
                <w:rFonts w:hint="default" w:ascii="Calibri" w:hAnsi="Calibri" w:eastAsia="宋体" w:cs="宋体"/>
                <w:spacing w:val="0"/>
                <w:sz w:val="22"/>
                <w:szCs w:val="22"/>
              </w:rPr>
              <w:t>.9</w:t>
            </w:r>
          </w:p>
        </w:tc>
        <w:tc>
          <w:tcPr>
            <w:tcW w:w="884" w:type="dxa"/>
            <w:textDirection w:val="lrTb"/>
            <w:vAlign w:val="center"/>
          </w:tcPr>
          <w:p>
            <w:pPr>
              <w:pStyle w:val="23"/>
              <w:adjustRightInd w:val="0"/>
              <w:snapToGrid w:val="0"/>
              <w:spacing w:line="240" w:lineRule="auto"/>
              <w:rPr>
                <w:rFonts w:hint="default" w:ascii="Calibri" w:hAnsi="Calibri" w:eastAsia="宋体" w:cs="宋体"/>
                <w:spacing w:val="0"/>
                <w:sz w:val="22"/>
                <w:szCs w:val="22"/>
              </w:rPr>
            </w:pPr>
            <w:r>
              <w:rPr>
                <w:rFonts w:hint="eastAsia" w:ascii="Calibri" w:hAnsi="Calibri" w:eastAsia="宋体" w:cs="宋体"/>
                <w:spacing w:val="0"/>
                <w:sz w:val="22"/>
                <w:szCs w:val="22"/>
                <w:lang w:val="en-US" w:eastAsia="zh-CN"/>
              </w:rPr>
              <w:t>2</w:t>
            </w:r>
            <w:r>
              <w:rPr>
                <w:rFonts w:ascii="Calibri" w:hAnsi="Calibri" w:eastAsia="宋体" w:cs="宋体"/>
                <w:spacing w:val="0"/>
                <w:sz w:val="22"/>
                <w:szCs w:val="22"/>
              </w:rPr>
              <w:t>~</w:t>
            </w:r>
            <w:r>
              <w:rPr>
                <w:rFonts w:hint="eastAsia" w:ascii="Calibri" w:hAnsi="Calibri" w:eastAsia="宋体" w:cs="宋体"/>
                <w:spacing w:val="0"/>
                <w:sz w:val="22"/>
                <w:szCs w:val="22"/>
                <w:lang w:val="en-US" w:eastAsia="zh-CN"/>
              </w:rPr>
              <w:t>4</w:t>
            </w:r>
            <w:r>
              <w:rPr>
                <w:rFonts w:hint="default" w:ascii="Calibri" w:hAnsi="Calibri" w:eastAsia="宋体" w:cs="宋体"/>
                <w:spacing w:val="0"/>
                <w:sz w:val="22"/>
                <w:szCs w:val="22"/>
              </w:rPr>
              <w:t>.9</w:t>
            </w:r>
          </w:p>
        </w:tc>
        <w:tc>
          <w:tcPr>
            <w:tcW w:w="818" w:type="dxa"/>
            <w:textDirection w:val="lrTb"/>
            <w:vAlign w:val="center"/>
          </w:tcPr>
          <w:p>
            <w:pPr>
              <w:pStyle w:val="23"/>
              <w:adjustRightInd w:val="0"/>
              <w:snapToGrid w:val="0"/>
              <w:spacing w:line="240" w:lineRule="auto"/>
              <w:rPr>
                <w:rFonts w:hint="default" w:ascii="Calibri" w:hAnsi="Calibri" w:eastAsia="宋体" w:cs="宋体"/>
                <w:spacing w:val="0"/>
                <w:sz w:val="22"/>
                <w:szCs w:val="22"/>
              </w:rPr>
            </w:pPr>
            <w:r>
              <w:rPr>
                <w:rFonts w:hint="eastAsia" w:ascii="Calibri" w:hAnsi="Calibri" w:eastAsia="宋体" w:cs="宋体"/>
                <w:spacing w:val="0"/>
                <w:sz w:val="22"/>
                <w:szCs w:val="22"/>
                <w:lang w:val="en-US" w:eastAsia="zh-CN"/>
              </w:rPr>
              <w:t>5</w:t>
            </w:r>
            <w:r>
              <w:rPr>
                <w:rFonts w:ascii="Calibri" w:hAnsi="Calibri" w:eastAsia="宋体" w:cs="宋体"/>
                <w:spacing w:val="0"/>
                <w:sz w:val="22"/>
                <w:szCs w:val="22"/>
              </w:rPr>
              <w:t>~</w:t>
            </w:r>
            <w:r>
              <w:rPr>
                <w:rFonts w:hint="eastAsia" w:ascii="Calibri" w:hAnsi="Calibri" w:eastAsia="宋体" w:cs="宋体"/>
                <w:spacing w:val="0"/>
                <w:sz w:val="22"/>
                <w:szCs w:val="22"/>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blHeader/>
          <w:jc w:val="center"/>
        </w:trPr>
        <w:tc>
          <w:tcPr>
            <w:tcW w:w="763" w:type="dxa"/>
            <w:vAlign w:val="center"/>
          </w:tcPr>
          <w:p>
            <w:pPr>
              <w:adjustRightInd w:val="0"/>
              <w:snapToGrid w:val="0"/>
              <w:jc w:val="center"/>
              <w:rPr>
                <w:rFonts w:hint="eastAsia" w:eastAsia="宋体" w:cs="宋体"/>
                <w:kern w:val="0"/>
                <w:sz w:val="22"/>
                <w:lang w:val="en-US" w:eastAsia="zh-CN"/>
              </w:rPr>
            </w:pPr>
            <w:r>
              <w:rPr>
                <w:rFonts w:hint="eastAsia" w:cs="宋体"/>
                <w:kern w:val="0"/>
                <w:sz w:val="22"/>
                <w:lang w:val="en-US" w:eastAsia="zh-CN"/>
              </w:rPr>
              <w:t>6</w:t>
            </w:r>
          </w:p>
        </w:tc>
        <w:tc>
          <w:tcPr>
            <w:tcW w:w="6423" w:type="dxa"/>
            <w:vAlign w:val="center"/>
          </w:tcPr>
          <w:p>
            <w:pPr>
              <w:adjustRightInd w:val="0"/>
              <w:snapToGrid w:val="0"/>
              <w:rPr>
                <w:rFonts w:hint="eastAsia" w:ascii="宋体" w:hAnsi="宋体" w:cs="Arial"/>
                <w:sz w:val="22"/>
              </w:rPr>
            </w:pPr>
            <w:r>
              <w:rPr>
                <w:rFonts w:hint="eastAsia" w:ascii="宋体" w:hAnsi="宋体" w:cs="宋体"/>
                <w:color w:val="000000"/>
                <w:kern w:val="0"/>
                <w:sz w:val="22"/>
              </w:rPr>
              <w:t>投标人针对本项目提出的优惠服务承诺进行横向比较，综合打分。</w:t>
            </w:r>
          </w:p>
        </w:tc>
        <w:tc>
          <w:tcPr>
            <w:tcW w:w="947" w:type="dxa"/>
            <w:textDirection w:val="lrTb"/>
            <w:vAlign w:val="center"/>
          </w:tcPr>
          <w:p>
            <w:pPr>
              <w:pStyle w:val="23"/>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0</w:t>
            </w:r>
            <w:r>
              <w:rPr>
                <w:rFonts w:ascii="Calibri" w:hAnsi="Calibri" w:eastAsia="宋体" w:cs="宋体"/>
                <w:spacing w:val="0"/>
                <w:sz w:val="22"/>
                <w:szCs w:val="22"/>
              </w:rPr>
              <w:t>~</w:t>
            </w:r>
            <w:r>
              <w:rPr>
                <w:rFonts w:hint="eastAsia" w:ascii="Calibri" w:hAnsi="Calibri" w:eastAsia="宋体" w:cs="宋体"/>
                <w:spacing w:val="0"/>
                <w:sz w:val="22"/>
                <w:szCs w:val="22"/>
                <w:lang w:val="en-US" w:eastAsia="zh-CN"/>
              </w:rPr>
              <w:t>1</w:t>
            </w:r>
            <w:r>
              <w:rPr>
                <w:rFonts w:hint="default" w:ascii="Calibri" w:hAnsi="Calibri" w:eastAsia="宋体" w:cs="宋体"/>
                <w:spacing w:val="0"/>
                <w:sz w:val="22"/>
                <w:szCs w:val="22"/>
              </w:rPr>
              <w:t>.9</w:t>
            </w:r>
          </w:p>
        </w:tc>
        <w:tc>
          <w:tcPr>
            <w:tcW w:w="884" w:type="dxa"/>
            <w:textDirection w:val="lrTb"/>
            <w:vAlign w:val="center"/>
          </w:tcPr>
          <w:p>
            <w:pPr>
              <w:pStyle w:val="23"/>
              <w:adjustRightInd w:val="0"/>
              <w:snapToGrid w:val="0"/>
              <w:spacing w:line="240" w:lineRule="auto"/>
              <w:rPr>
                <w:rFonts w:hint="eastAsia" w:ascii="Calibri" w:hAnsi="Calibri" w:eastAsia="宋体" w:cs="宋体"/>
                <w:spacing w:val="0"/>
                <w:sz w:val="22"/>
                <w:szCs w:val="22"/>
                <w:lang w:val="en-US" w:eastAsia="zh-CN"/>
              </w:rPr>
            </w:pPr>
            <w:r>
              <w:rPr>
                <w:rFonts w:hint="eastAsia" w:ascii="Calibri" w:hAnsi="Calibri" w:eastAsia="宋体" w:cs="宋体"/>
                <w:spacing w:val="0"/>
                <w:sz w:val="22"/>
                <w:szCs w:val="22"/>
                <w:lang w:val="en-US" w:eastAsia="zh-CN"/>
              </w:rPr>
              <w:t>2</w:t>
            </w:r>
            <w:r>
              <w:rPr>
                <w:rFonts w:ascii="Calibri" w:hAnsi="Calibri" w:eastAsia="宋体" w:cs="宋体"/>
                <w:spacing w:val="0"/>
                <w:sz w:val="22"/>
                <w:szCs w:val="22"/>
              </w:rPr>
              <w:t>~</w:t>
            </w:r>
            <w:r>
              <w:rPr>
                <w:rFonts w:hint="eastAsia" w:ascii="Calibri" w:hAnsi="Calibri" w:eastAsia="宋体" w:cs="宋体"/>
                <w:spacing w:val="0"/>
                <w:sz w:val="22"/>
                <w:szCs w:val="22"/>
                <w:lang w:val="en-US" w:eastAsia="zh-CN"/>
              </w:rPr>
              <w:t>2</w:t>
            </w:r>
            <w:r>
              <w:rPr>
                <w:rFonts w:hint="default" w:ascii="Calibri" w:hAnsi="Calibri" w:eastAsia="宋体" w:cs="宋体"/>
                <w:spacing w:val="0"/>
                <w:sz w:val="22"/>
                <w:szCs w:val="22"/>
              </w:rPr>
              <w:t>.9</w:t>
            </w:r>
          </w:p>
        </w:tc>
        <w:tc>
          <w:tcPr>
            <w:tcW w:w="818" w:type="dxa"/>
            <w:textDirection w:val="lrTb"/>
            <w:vAlign w:val="center"/>
          </w:tcPr>
          <w:p>
            <w:pPr>
              <w:pStyle w:val="23"/>
              <w:adjustRightInd w:val="0"/>
              <w:snapToGrid w:val="0"/>
              <w:spacing w:line="240" w:lineRule="auto"/>
              <w:rPr>
                <w:rFonts w:hint="eastAsia" w:ascii="Calibri" w:hAnsi="Calibri" w:eastAsia="宋体" w:cs="宋体"/>
                <w:spacing w:val="0"/>
                <w:sz w:val="22"/>
                <w:szCs w:val="22"/>
                <w:lang w:val="en-US" w:eastAsia="zh-CN"/>
              </w:rPr>
            </w:pPr>
            <w:r>
              <w:rPr>
                <w:rFonts w:hint="eastAsia" w:ascii="Calibri" w:hAnsi="Calibri" w:eastAsia="宋体" w:cs="宋体"/>
                <w:spacing w:val="0"/>
                <w:sz w:val="22"/>
                <w:szCs w:val="22"/>
                <w:lang w:val="en-US" w:eastAsia="zh-CN"/>
              </w:rPr>
              <w:t>3</w:t>
            </w:r>
            <w:r>
              <w:rPr>
                <w:rFonts w:ascii="Calibri" w:hAnsi="Calibri" w:eastAsia="宋体" w:cs="宋体"/>
                <w:spacing w:val="0"/>
                <w:sz w:val="22"/>
                <w:szCs w:val="22"/>
              </w:rPr>
              <w:t>~</w:t>
            </w:r>
            <w:r>
              <w:rPr>
                <w:rFonts w:hint="eastAsia" w:ascii="Calibri" w:hAnsi="Calibri" w:eastAsia="宋体" w:cs="宋体"/>
                <w:spacing w:val="0"/>
                <w:sz w:val="22"/>
                <w:szCs w:val="22"/>
                <w:lang w:val="en-US" w:eastAsia="zh-CN"/>
              </w:rPr>
              <w:t>4</w:t>
            </w:r>
          </w:p>
        </w:tc>
      </w:tr>
    </w:tbl>
    <w:p>
      <w:pPr>
        <w:pStyle w:val="9"/>
        <w:adjustRightInd w:val="0"/>
        <w:snapToGrid w:val="0"/>
        <w:spacing w:line="360" w:lineRule="exact"/>
        <w:rPr>
          <w:rFonts w:cs="宋体"/>
          <w:b/>
          <w:sz w:val="22"/>
        </w:rPr>
      </w:pPr>
      <w:r>
        <w:rPr>
          <w:rFonts w:hint="eastAsia" w:hAnsi="宋体"/>
          <w:b/>
          <w:color w:val="000000"/>
          <w:sz w:val="22"/>
          <w:szCs w:val="22"/>
        </w:rPr>
        <w:t xml:space="preserve">   </w:t>
      </w:r>
      <w:r>
        <w:rPr>
          <w:rFonts w:cs="宋体"/>
          <w:b/>
          <w:sz w:val="22"/>
        </w:rPr>
        <w:t>3.投标文件的商务报价评审（</w:t>
      </w:r>
      <w:r>
        <w:rPr>
          <w:rFonts w:hint="eastAsia" w:cs="宋体"/>
          <w:b/>
          <w:sz w:val="22"/>
          <w:lang w:val="en-US" w:eastAsia="zh-CN"/>
        </w:rPr>
        <w:t>6</w:t>
      </w:r>
      <w:r>
        <w:rPr>
          <w:rFonts w:cs="宋体"/>
          <w:b/>
          <w:sz w:val="22"/>
        </w:rPr>
        <w:t>0分）</w:t>
      </w:r>
    </w:p>
    <w:p>
      <w:pPr>
        <w:pStyle w:val="9"/>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outlineLvl w:val="9"/>
        <w:rPr>
          <w:rFonts w:hint="eastAsia" w:hAnsi="宋体" w:cs="Calibri"/>
          <w:sz w:val="22"/>
          <w:szCs w:val="22"/>
        </w:rPr>
      </w:pPr>
      <w:r>
        <w:rPr>
          <w:rFonts w:hint="eastAsia" w:hAnsi="宋体" w:cs="Calibri"/>
          <w:sz w:val="22"/>
          <w:szCs w:val="22"/>
        </w:rPr>
        <w:t>由评标委员会全体成员对投标文件的商务报价进行统一评审。评标委员会应对报价的范围、数量、单价、费用组成和总价等进行全面审阅和对比分析，找出报价差异的原因及存在的问题。</w:t>
      </w:r>
    </w:p>
    <w:p>
      <w:pPr>
        <w:pStyle w:val="9"/>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outlineLvl w:val="9"/>
        <w:rPr>
          <w:rFonts w:hint="eastAsia" w:hAnsi="宋体" w:cs="Calibri"/>
          <w:sz w:val="22"/>
          <w:szCs w:val="22"/>
        </w:rPr>
      </w:pPr>
      <w:r>
        <w:rPr>
          <w:rFonts w:hint="eastAsia" w:hAnsi="宋体" w:cs="Calibri"/>
          <w:sz w:val="22"/>
          <w:szCs w:val="22"/>
        </w:rPr>
        <w:t>投标报价</w:t>
      </w:r>
      <w:r>
        <w:rPr>
          <w:rFonts w:hint="eastAsia" w:hAnsi="宋体" w:cs="Calibri"/>
          <w:b/>
          <w:bCs/>
          <w:sz w:val="22"/>
          <w:szCs w:val="22"/>
        </w:rPr>
        <w:t>扣除税金(按投标函承诺的增值税税率扣减)</w:t>
      </w:r>
      <w:r>
        <w:rPr>
          <w:rFonts w:hint="eastAsia" w:hAnsi="宋体" w:cs="Calibri"/>
          <w:sz w:val="22"/>
          <w:szCs w:val="22"/>
        </w:rPr>
        <w:t>后为评标价(即不含税价)。</w:t>
      </w:r>
    </w:p>
    <w:p>
      <w:pPr>
        <w:pStyle w:val="9"/>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outlineLvl w:val="9"/>
        <w:rPr>
          <w:rFonts w:hint="eastAsia" w:hAnsi="宋体" w:cs="Calibri"/>
          <w:sz w:val="22"/>
          <w:szCs w:val="22"/>
        </w:rPr>
      </w:pPr>
      <w:r>
        <w:rPr>
          <w:rFonts w:hint="eastAsia" w:hAnsi="宋体" w:cs="Calibri"/>
          <w:sz w:val="22"/>
          <w:szCs w:val="22"/>
        </w:rPr>
        <w:t>评标基准价由评标委员会依据下述方法计算，除计算差错外，确认后的评标基准价在本次招标期间保持不变。</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outlineLvl w:val="9"/>
        <w:rPr>
          <w:rFonts w:hint="eastAsia" w:hAnsi="宋体" w:cs="Calibri"/>
          <w:sz w:val="22"/>
          <w:szCs w:val="22"/>
        </w:rPr>
      </w:pPr>
      <w:r>
        <w:rPr>
          <w:rFonts w:hint="eastAsia" w:hAnsi="宋体" w:cs="Calibri"/>
          <w:sz w:val="22"/>
          <w:szCs w:val="22"/>
        </w:rPr>
        <w:t>计算差错，仅限于以下两种情况：(1)纯算术性四则运算差错；(2)未按约定的计算方法，多计或者少计投标人报价的。由于评标差错，导致否决投标错误，重新评标纠正等其他情况，不属于计算差错。</w:t>
      </w:r>
    </w:p>
    <w:p>
      <w:pPr>
        <w:pStyle w:val="9"/>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outlineLvl w:val="9"/>
        <w:rPr>
          <w:rFonts w:hint="eastAsia" w:hAnsi="宋体" w:cs="Calibri"/>
          <w:sz w:val="22"/>
          <w:szCs w:val="22"/>
        </w:rPr>
      </w:pPr>
      <w:r>
        <w:rPr>
          <w:rFonts w:hint="eastAsia" w:hAnsi="宋体" w:cs="Calibri"/>
          <w:sz w:val="22"/>
          <w:szCs w:val="22"/>
        </w:rPr>
        <w:t>评分范围：通过符合性审查的所有投标文件进入评分范围(下称有效评标价)。</w:t>
      </w:r>
    </w:p>
    <w:p>
      <w:pPr>
        <w:pStyle w:val="9"/>
        <w:adjustRightInd w:val="0"/>
        <w:snapToGrid w:val="0"/>
        <w:spacing w:line="360" w:lineRule="exact"/>
        <w:ind w:firstLine="440" w:firstLineChars="200"/>
        <w:rPr>
          <w:rFonts w:hint="eastAsia" w:hAnsi="宋体" w:cs="Calibri"/>
          <w:b/>
          <w:bCs/>
          <w:sz w:val="22"/>
          <w:szCs w:val="22"/>
        </w:rPr>
      </w:pPr>
      <w:r>
        <w:rPr>
          <w:rFonts w:hint="eastAsia" w:hAnsi="宋体" w:cs="Calibri"/>
          <w:b/>
          <w:bCs/>
          <w:sz w:val="22"/>
          <w:szCs w:val="22"/>
        </w:rPr>
        <w:t xml:space="preserve"> 二次平均法</w:t>
      </w:r>
    </w:p>
    <w:p>
      <w:pPr>
        <w:pStyle w:val="9"/>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outlineLvl w:val="9"/>
        <w:rPr>
          <w:rFonts w:hint="eastAsia" w:hAnsi="宋体" w:cs="Calibri"/>
          <w:sz w:val="22"/>
          <w:szCs w:val="22"/>
        </w:rPr>
      </w:pPr>
      <w:r>
        <w:rPr>
          <w:rFonts w:hint="eastAsia" w:hAnsi="宋体" w:cs="Calibri"/>
          <w:sz w:val="22"/>
          <w:szCs w:val="22"/>
        </w:rPr>
        <w:t>报价平均值：有效评标价的算术平均值为报价平均值(有效评标价在5个及以上时，去除一个最高价和一个最低价；有效评标价在8个及以上时，去除一个最高价、一个次高价和一个最低价、一个次低价)。</w:t>
      </w:r>
    </w:p>
    <w:p>
      <w:pPr>
        <w:pStyle w:val="9"/>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outlineLvl w:val="9"/>
        <w:rPr>
          <w:rFonts w:hint="eastAsia" w:hAnsi="宋体" w:cs="Calibri"/>
          <w:sz w:val="22"/>
          <w:szCs w:val="22"/>
        </w:rPr>
      </w:pPr>
      <w:r>
        <w:rPr>
          <w:rFonts w:hint="eastAsia" w:hAnsi="宋体" w:cs="Calibri"/>
          <w:sz w:val="22"/>
          <w:szCs w:val="22"/>
        </w:rPr>
        <w:t>评标基准价：报价平均值与有效评标价中的次低评标价(不足4个的与最低评标价)的算术平均值为评标基准价。</w:t>
      </w:r>
    </w:p>
    <w:p>
      <w:pPr>
        <w:pStyle w:val="9"/>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outlineLvl w:val="9"/>
        <w:rPr>
          <w:rFonts w:hint="eastAsia" w:hAnsi="宋体" w:cs="Calibri"/>
          <w:sz w:val="22"/>
          <w:szCs w:val="22"/>
        </w:rPr>
      </w:pPr>
      <w:r>
        <w:rPr>
          <w:rFonts w:hint="eastAsia" w:hAnsi="宋体" w:cs="Calibri"/>
          <w:sz w:val="22"/>
          <w:szCs w:val="22"/>
        </w:rPr>
        <w:t>根据投标文件的有效评标价与评标基准价对比，计算投标人的商务报价的得分值。即：</w:t>
      </w:r>
    </w:p>
    <w:p>
      <w:pPr>
        <w:pStyle w:val="9"/>
        <w:adjustRightInd w:val="0"/>
        <w:snapToGrid w:val="0"/>
        <w:spacing w:line="360" w:lineRule="exact"/>
        <w:ind w:firstLine="440" w:firstLineChars="200"/>
        <w:rPr>
          <w:rFonts w:hint="eastAsia" w:hAnsi="宋体" w:cs="Calibri"/>
          <w:sz w:val="22"/>
          <w:szCs w:val="22"/>
        </w:rPr>
      </w:pPr>
      <w:r>
        <w:rPr>
          <w:rFonts w:hint="eastAsia" w:hAnsi="宋体" w:cs="Calibri"/>
          <w:sz w:val="22"/>
          <w:szCs w:val="22"/>
        </w:rPr>
        <w:t>a.有效评标价等于评标基准价时，得满分；</w:t>
      </w:r>
    </w:p>
    <w:p>
      <w:pPr>
        <w:pStyle w:val="9"/>
        <w:adjustRightInd w:val="0"/>
        <w:snapToGrid w:val="0"/>
        <w:spacing w:line="360" w:lineRule="exact"/>
        <w:ind w:firstLine="440" w:firstLineChars="200"/>
        <w:rPr>
          <w:rFonts w:hint="eastAsia" w:hAnsi="宋体" w:cs="Calibri"/>
          <w:sz w:val="22"/>
          <w:szCs w:val="22"/>
        </w:rPr>
      </w:pPr>
      <w:r>
        <w:rPr>
          <w:rFonts w:hint="eastAsia" w:hAnsi="宋体" w:cs="Calibri"/>
          <w:sz w:val="22"/>
          <w:szCs w:val="22"/>
        </w:rPr>
        <w:t>b.有效评标价每低于评标基准价1个百分点，扣0.5分；</w:t>
      </w:r>
    </w:p>
    <w:p>
      <w:pPr>
        <w:pStyle w:val="9"/>
        <w:adjustRightInd w:val="0"/>
        <w:snapToGrid w:val="0"/>
        <w:spacing w:line="360" w:lineRule="exact"/>
        <w:ind w:firstLine="440" w:firstLineChars="200"/>
        <w:rPr>
          <w:rFonts w:hint="eastAsia" w:hAnsi="宋体" w:cs="Calibri"/>
          <w:sz w:val="22"/>
          <w:szCs w:val="22"/>
        </w:rPr>
      </w:pPr>
      <w:r>
        <w:rPr>
          <w:rFonts w:hint="eastAsia" w:hAnsi="宋体" w:cs="Calibri"/>
          <w:sz w:val="22"/>
          <w:szCs w:val="22"/>
        </w:rPr>
        <w:t>c.有效评标价每高于评标基准价1个百分点，扣1分。</w:t>
      </w:r>
    </w:p>
    <w:p>
      <w:pPr>
        <w:pStyle w:val="9"/>
        <w:adjustRightInd w:val="0"/>
        <w:snapToGrid w:val="0"/>
        <w:spacing w:line="360" w:lineRule="exact"/>
        <w:ind w:firstLine="440" w:firstLineChars="200"/>
        <w:rPr>
          <w:rFonts w:hint="eastAsia" w:hAnsi="宋体" w:cs="Calibri"/>
          <w:sz w:val="22"/>
          <w:szCs w:val="22"/>
        </w:rPr>
      </w:pPr>
      <w:r>
        <w:rPr>
          <w:rFonts w:hint="eastAsia" w:hAnsi="宋体" w:cs="Calibri"/>
          <w:sz w:val="22"/>
          <w:szCs w:val="22"/>
        </w:rPr>
        <w:t>以上报价得分不足一个百分点时，使用直线插入法计算，保留小数2位。</w:t>
      </w:r>
    </w:p>
    <w:p>
      <w:pPr>
        <w:pStyle w:val="9"/>
        <w:adjustRightInd w:val="0"/>
        <w:snapToGrid w:val="0"/>
        <w:spacing w:line="360" w:lineRule="exact"/>
        <w:ind w:firstLine="440" w:firstLineChars="200"/>
        <w:rPr>
          <w:rFonts w:hint="eastAsia" w:hAnsi="宋体" w:cs="Calibri"/>
          <w:sz w:val="22"/>
          <w:szCs w:val="22"/>
        </w:rPr>
      </w:pPr>
      <w:r>
        <w:rPr>
          <w:rFonts w:hint="eastAsia" w:hAnsi="宋体" w:cs="Calibri"/>
          <w:sz w:val="22"/>
          <w:szCs w:val="22"/>
        </w:rPr>
        <w:t>投标文件的商务标评分不足30分的，计为30分。</w:t>
      </w:r>
    </w:p>
    <w:p>
      <w:pPr>
        <w:pStyle w:val="9"/>
        <w:spacing w:line="360" w:lineRule="exact"/>
        <w:rPr>
          <w:rFonts w:hAnsi="宋体" w:cs="Calibri"/>
          <w:b/>
          <w:sz w:val="22"/>
          <w:szCs w:val="22"/>
        </w:rPr>
      </w:pPr>
      <w:r>
        <w:rPr>
          <w:rFonts w:hAnsi="宋体" w:cs="Calibri"/>
          <w:b/>
          <w:sz w:val="22"/>
          <w:szCs w:val="22"/>
        </w:rPr>
        <w:t>3.4推荐中标候选人</w:t>
      </w:r>
    </w:p>
    <w:p>
      <w:pPr>
        <w:pStyle w:val="9"/>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lang w:val="en-US" w:eastAsia="zh-CN"/>
        </w:rPr>
        <w:t>4</w:t>
      </w:r>
      <w:r>
        <w:rPr>
          <w:rFonts w:hAnsi="宋体" w:cs="Calibri"/>
          <w:sz w:val="22"/>
          <w:szCs w:val="22"/>
        </w:rPr>
        <w:t>.1当有效投标文件大于等于二名时，评标委员会</w:t>
      </w:r>
      <w:r>
        <w:rPr>
          <w:rFonts w:hint="eastAsia" w:hAnsi="宋体" w:cs="Calibri"/>
          <w:sz w:val="22"/>
          <w:szCs w:val="22"/>
        </w:rPr>
        <w:t>推荐得分最高的投标人为中标候选人（如果得分相同则按投标人报价从低到高顺序推荐为中标候选人，如果投标报价也相同，则抽签决定）。</w:t>
      </w:r>
    </w:p>
    <w:p>
      <w:pPr>
        <w:pStyle w:val="9"/>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lang w:val="en-US" w:eastAsia="zh-CN"/>
        </w:rPr>
        <w:t>4</w:t>
      </w:r>
      <w:r>
        <w:rPr>
          <w:rFonts w:hAnsi="宋体" w:cs="Calibri"/>
          <w:sz w:val="22"/>
          <w:szCs w:val="22"/>
        </w:rPr>
        <w:t>.3当有效投标文件只有一名时，则由评标委员会确定是否推荐为中标候选人。</w:t>
      </w:r>
    </w:p>
    <w:p>
      <w:pPr>
        <w:pStyle w:val="9"/>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9"/>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9"/>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9"/>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招标人将确定评标委员会推荐的中标候选人为中标人。</w:t>
      </w:r>
      <w:r>
        <w:rPr>
          <w:rFonts w:hint="eastAsia" w:hAnsi="宋体" w:cs="Calibri"/>
          <w:sz w:val="22"/>
          <w:szCs w:val="22"/>
        </w:rPr>
        <w:t>第一</w:t>
      </w:r>
      <w:r>
        <w:rPr>
          <w:rFonts w:hAnsi="宋体" w:cs="Calibri"/>
          <w:sz w:val="22"/>
          <w:szCs w:val="22"/>
        </w:rPr>
        <w:t>中标候选人放弃中标、因不可抗力不能履行合同、或者被查实存在影响中标结果的违法行为等情形，不符合中标条件的，招标人</w:t>
      </w:r>
      <w:r>
        <w:rPr>
          <w:rFonts w:hint="eastAsia" w:hAnsi="宋体" w:cs="Calibri"/>
          <w:sz w:val="22"/>
          <w:szCs w:val="22"/>
        </w:rPr>
        <w:t>可</w:t>
      </w:r>
      <w:r>
        <w:rPr>
          <w:rFonts w:hAnsi="宋体" w:cs="Calibri"/>
          <w:sz w:val="22"/>
          <w:szCs w:val="22"/>
        </w:rPr>
        <w:t>重新招标。</w:t>
      </w:r>
    </w:p>
    <w:p>
      <w:pPr>
        <w:pStyle w:val="9"/>
        <w:adjustRightInd w:val="0"/>
        <w:snapToGrid w:val="0"/>
        <w:spacing w:line="360" w:lineRule="exact"/>
        <w:ind w:firstLine="440" w:firstLineChars="200"/>
        <w:rPr>
          <w:rFonts w:hAnsi="宋体" w:cs="Calibri"/>
          <w:sz w:val="22"/>
          <w:szCs w:val="22"/>
        </w:rPr>
      </w:pPr>
      <w:r>
        <w:rPr>
          <w:rFonts w:hint="eastAsia" w:hAnsi="宋体" w:cs="Calibri"/>
          <w:sz w:val="22"/>
          <w:szCs w:val="22"/>
        </w:rPr>
        <w:t xml:space="preserve">4.2 </w:t>
      </w:r>
      <w:r>
        <w:rPr>
          <w:rFonts w:hAnsi="宋体" w:cs="Calibri"/>
          <w:sz w:val="22"/>
          <w:szCs w:val="22"/>
        </w:rPr>
        <w:t xml:space="preserve"> 如发生投诉争议等情况时，经查实中标候选人存在违法、违规行为，不符合中标条件，且该行为在评标时是无法发现和确认的，招标人可重新招标。</w:t>
      </w:r>
    </w:p>
    <w:p>
      <w:pPr>
        <w:rPr>
          <w:rFonts w:ascii="宋体" w:hAnsi="宋体" w:cs="宋体"/>
          <w:b/>
          <w:bCs/>
          <w:sz w:val="24"/>
          <w:szCs w:val="24"/>
        </w:rPr>
      </w:pPr>
    </w:p>
    <w:bookmarkEnd w:id="117"/>
    <w:p/>
    <w:p>
      <w:pPr>
        <w:pStyle w:val="3"/>
        <w:spacing w:before="0" w:after="0" w:line="360" w:lineRule="auto"/>
        <w:jc w:val="center"/>
        <w:rPr>
          <w:rFonts w:ascii="Calibri" w:hAnsi="Calibri" w:eastAsia="黑体" w:cs="Calibri"/>
          <w:kern w:val="0"/>
          <w:sz w:val="32"/>
        </w:rPr>
      </w:pPr>
      <w:r>
        <w:br w:type="page"/>
      </w:r>
      <w:bookmarkStart w:id="118" w:name="_Toc448002988"/>
      <w:r>
        <w:rPr>
          <w:rFonts w:ascii="Calibri" w:hAnsi="Calibri" w:eastAsia="黑体" w:cs="Calibri"/>
          <w:kern w:val="0"/>
          <w:sz w:val="32"/>
        </w:rPr>
        <w:t>第</w:t>
      </w:r>
      <w:r>
        <w:rPr>
          <w:rFonts w:hint="eastAsia" w:ascii="Calibri" w:hAnsi="Calibri" w:eastAsia="黑体" w:cs="Calibri"/>
          <w:kern w:val="0"/>
          <w:sz w:val="32"/>
        </w:rPr>
        <w:t>六</w:t>
      </w:r>
      <w:r>
        <w:rPr>
          <w:rFonts w:ascii="Calibri" w:hAnsi="Calibri" w:eastAsia="黑体" w:cs="Calibri"/>
          <w:kern w:val="0"/>
          <w:sz w:val="32"/>
        </w:rPr>
        <w:t>章  投标文件格式</w:t>
      </w:r>
      <w:bookmarkEnd w:id="118"/>
    </w:p>
    <w:p>
      <w:pPr>
        <w:spacing w:line="440" w:lineRule="exact"/>
        <w:rPr>
          <w:rFonts w:cs="Calibri"/>
          <w:color w:val="000000"/>
          <w:sz w:val="24"/>
        </w:rPr>
      </w:pPr>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一、</w:t>
      </w:r>
      <w:r>
        <w:rPr>
          <w:rFonts w:ascii="宋体" w:hAnsi="宋体" w:cs="Calibri"/>
          <w:color w:val="000000"/>
          <w:sz w:val="22"/>
        </w:rPr>
        <w:t>投标函；</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二、</w:t>
      </w:r>
      <w:r>
        <w:rPr>
          <w:rFonts w:ascii="宋体" w:hAnsi="宋体" w:cs="Calibri"/>
          <w:color w:val="000000"/>
          <w:sz w:val="22"/>
        </w:rPr>
        <w:t>投标报价表；</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三、</w:t>
      </w:r>
      <w:r>
        <w:rPr>
          <w:rFonts w:ascii="宋体" w:hAnsi="宋体" w:cs="Calibri"/>
          <w:color w:val="000000"/>
          <w:sz w:val="22"/>
        </w:rPr>
        <w:t>法定代表人资格证明书；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四、</w:t>
      </w:r>
      <w:r>
        <w:rPr>
          <w:rFonts w:ascii="宋体" w:hAnsi="宋体" w:cs="Calibri"/>
          <w:color w:val="000000"/>
          <w:sz w:val="22"/>
        </w:rPr>
        <w:t>授权委托书；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五、</w:t>
      </w:r>
      <w:r>
        <w:rPr>
          <w:rFonts w:ascii="宋体" w:hAnsi="宋体" w:cs="Calibri"/>
          <w:color w:val="000000"/>
          <w:sz w:val="22"/>
        </w:rPr>
        <w:t>投标人资格证明文件：</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（1）投标人一般情况</w:t>
      </w:r>
      <w:r>
        <w:rPr>
          <w:rFonts w:hint="eastAsia" w:ascii="宋体" w:hAnsi="宋体" w:cs="Calibri"/>
          <w:color w:val="000000"/>
          <w:sz w:val="22"/>
        </w:rPr>
        <w:t>及</w:t>
      </w:r>
      <w:r>
        <w:rPr>
          <w:rFonts w:ascii="宋体" w:hAnsi="宋体" w:cs="Calibri"/>
          <w:color w:val="000000"/>
          <w:sz w:val="22"/>
        </w:rPr>
        <w:t>有关证明投标人法律地位的文件（包括营业执照</w:t>
      </w:r>
      <w:r>
        <w:rPr>
          <w:rFonts w:hint="eastAsia" w:ascii="宋体" w:hAnsi="宋体" w:cs="Calibri"/>
          <w:color w:val="000000"/>
          <w:sz w:val="22"/>
        </w:rPr>
        <w:t>、</w:t>
      </w:r>
      <w:r>
        <w:rPr>
          <w:rFonts w:hint="eastAsia" w:ascii="宋体" w:hAnsi="宋体" w:cs="Calibri"/>
          <w:sz w:val="22"/>
        </w:rPr>
        <w:t>税务登记证、</w:t>
      </w:r>
      <w:r>
        <w:rPr>
          <w:rFonts w:ascii="宋体" w:hAnsi="宋体" w:cs="Calibri"/>
          <w:sz w:val="22"/>
        </w:rPr>
        <w:t>一般纳税人证明材料</w:t>
      </w:r>
      <w:r>
        <w:rPr>
          <w:rFonts w:hint="eastAsia" w:ascii="宋体" w:hAnsi="宋体" w:cs="Calibri"/>
          <w:sz w:val="22"/>
        </w:rPr>
        <w:t>、</w:t>
      </w:r>
      <w:r>
        <w:rPr>
          <w:rFonts w:ascii="宋体" w:hAnsi="宋体" w:cs="Calibri"/>
          <w:color w:val="000000"/>
          <w:sz w:val="22"/>
        </w:rPr>
        <w:t>资质</w:t>
      </w:r>
      <w:r>
        <w:rPr>
          <w:rFonts w:hint="eastAsia" w:ascii="宋体" w:hAnsi="宋体" w:cs="Calibri"/>
          <w:color w:val="000000"/>
          <w:sz w:val="22"/>
        </w:rPr>
        <w:t>证书</w:t>
      </w:r>
      <w:r>
        <w:rPr>
          <w:rFonts w:ascii="宋体" w:hAnsi="宋体" w:cs="Calibri"/>
          <w:color w:val="000000"/>
          <w:sz w:val="22"/>
        </w:rPr>
        <w:t>等），说明投标人的注册地点和主要经营范围；</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（2）有关证明投标人的企业信誉及获得各种奖励等资料；</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（3）投标人经济实力：包括企业注册资金、财务报告与报表中反映的财务状况</w:t>
      </w:r>
      <w:r>
        <w:rPr>
          <w:rFonts w:hint="eastAsia" w:ascii="宋体" w:hAnsi="宋体" w:cs="Calibri"/>
          <w:color w:val="000000"/>
          <w:sz w:val="22"/>
        </w:rPr>
        <w:t>；</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（4）</w:t>
      </w:r>
      <w:r>
        <w:rPr>
          <w:rFonts w:ascii="宋体" w:hAnsi="宋体" w:cs="Calibri"/>
          <w:color w:val="000000"/>
          <w:sz w:val="22"/>
        </w:rPr>
        <w:t>近三年完成类似项目业绩情况</w:t>
      </w:r>
      <w:r>
        <w:rPr>
          <w:rFonts w:hint="eastAsia" w:ascii="宋体" w:hAnsi="宋体" w:cs="Calibri"/>
          <w:color w:val="000000"/>
          <w:sz w:val="22"/>
        </w:rPr>
        <w:t>。</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六、</w:t>
      </w:r>
      <w:r>
        <w:rPr>
          <w:rFonts w:ascii="宋体" w:hAnsi="宋体" w:cs="Calibri"/>
          <w:color w:val="000000"/>
          <w:sz w:val="22"/>
        </w:rPr>
        <w:t>服务大纲</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（1）本项目概况；</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（2）工作内容和依据；</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（3）服务管理班子的组织结构形式；</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（4）服务人员的作业安排和进场计划；</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（5）服务人员工作守则；</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（6）对本项目的实施意见及重点</w:t>
      </w:r>
      <w:r>
        <w:rPr>
          <w:rFonts w:hint="eastAsia" w:ascii="宋体" w:hAnsi="宋体" w:cs="Calibri"/>
          <w:color w:val="000000"/>
          <w:sz w:val="22"/>
        </w:rPr>
        <w:t>、</w:t>
      </w:r>
      <w:r>
        <w:rPr>
          <w:rFonts w:ascii="宋体" w:hAnsi="宋体" w:cs="Calibri"/>
          <w:color w:val="000000"/>
          <w:sz w:val="22"/>
        </w:rPr>
        <w:t>难点控制；</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（7）投入到本项目的项目负责人、其他人员的情况汇总表及业绩、经历、能力介绍、资格证明材料及人员到位率的承诺；</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（8）投入本项目服务的仪器、仪表、设备及交通工具汇总表</w:t>
      </w:r>
      <w:r>
        <w:rPr>
          <w:rFonts w:hint="eastAsia" w:ascii="宋体" w:hAnsi="宋体" w:cs="Calibri"/>
          <w:color w:val="000000"/>
          <w:sz w:val="22"/>
        </w:rPr>
        <w:t>。</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七、</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Arial"/>
          <w:color w:val="000000"/>
          <w:sz w:val="22"/>
        </w:rPr>
        <w:t>。</w:t>
      </w:r>
    </w:p>
    <w:p>
      <w:pPr>
        <w:rPr>
          <w:rFonts w:ascii="宋体" w:hAnsi="宋体" w:cs="Calibri"/>
          <w:sz w:val="22"/>
        </w:rPr>
      </w:pPr>
    </w:p>
    <w:p>
      <w:pPr>
        <w:spacing w:line="440" w:lineRule="exact"/>
        <w:rPr>
          <w:rFonts w:ascii="宋体" w:hAnsi="宋体" w:cs="Calibri"/>
          <w:color w:val="000000"/>
          <w:sz w:val="22"/>
        </w:rPr>
      </w:pPr>
    </w:p>
    <w:p>
      <w:pPr>
        <w:spacing w:line="440" w:lineRule="exact"/>
        <w:ind w:right="420"/>
        <w:rPr>
          <w:rFonts w:ascii="宋体" w:hAnsi="宋体" w:cs="Calibri"/>
          <w:color w:val="000000"/>
          <w:sz w:val="22"/>
        </w:rPr>
      </w:pPr>
      <w:r>
        <w:rPr>
          <w:rFonts w:hint="eastAsia" w:ascii="宋体" w:hAnsi="宋体" w:cs="Calibri"/>
          <w:color w:val="000000"/>
          <w:sz w:val="22"/>
        </w:rPr>
        <w:t>注：未提供格式的由投标人自行拟定格式。</w:t>
      </w:r>
    </w:p>
    <w:p>
      <w:pPr>
        <w:spacing w:line="440" w:lineRule="exact"/>
        <w:ind w:right="420"/>
        <w:rPr>
          <w:rFonts w:ascii="宋体" w:hAnsi="宋体" w:cs="Calibri"/>
          <w:color w:val="000000"/>
        </w:rPr>
      </w:pPr>
    </w:p>
    <w:p>
      <w:pPr>
        <w:spacing w:line="440" w:lineRule="exact"/>
        <w:ind w:right="420"/>
        <w:rPr>
          <w:rFonts w:cs="Calibri"/>
          <w:color w:val="000000"/>
        </w:rPr>
      </w:pPr>
    </w:p>
    <w:p>
      <w:pPr>
        <w:spacing w:line="440" w:lineRule="exact"/>
        <w:ind w:right="420"/>
        <w:jc w:val="right"/>
        <w:rPr>
          <w:rFonts w:cs="Calibri"/>
          <w:color w:val="000000"/>
        </w:rPr>
      </w:pPr>
      <w:r>
        <w:rPr>
          <w:rFonts w:cs="Calibri"/>
          <w:color w:val="000000"/>
        </w:rPr>
        <w:br w:type="page"/>
      </w:r>
      <w:r>
        <w:rPr>
          <w:rFonts w:cs="Calibri"/>
          <w:color w:val="000000"/>
        </w:rPr>
        <w:t>正本（或副本）</w:t>
      </w:r>
    </w:p>
    <w:p>
      <w:pPr>
        <w:spacing w:line="440" w:lineRule="exact"/>
        <w:rPr>
          <w:rFonts w:cs="Calibri"/>
          <w:color w:val="000000"/>
          <w:sz w:val="24"/>
          <w:u w:val="single"/>
        </w:rPr>
      </w:pPr>
      <w:bookmarkStart w:id="119" w:name="_Toc171421958"/>
      <w:r>
        <w:rPr>
          <w:rFonts w:cs="Calibri"/>
          <w:color w:val="000000"/>
        </w:rPr>
        <w:t>封面</w:t>
      </w:r>
      <w:bookmarkEnd w:id="119"/>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杭州萧山国际机场航站楼地下车库进出口伸缩缝排水沟清淤项目</w:t>
      </w:r>
    </w:p>
    <w:p>
      <w:pPr>
        <w:spacing w:line="440" w:lineRule="exact"/>
        <w:rPr>
          <w:rFonts w:cs="Calibri"/>
          <w:color w:val="000000"/>
          <w:sz w:val="36"/>
          <w:szCs w:val="36"/>
        </w:rPr>
      </w:pPr>
    </w:p>
    <w:p>
      <w:pPr>
        <w:spacing w:line="440" w:lineRule="exact"/>
        <w:ind w:firstLine="480" w:firstLineChars="200"/>
        <w:jc w:val="center"/>
        <w:rPr>
          <w:rFonts w:cs="Calibri"/>
          <w:color w:val="000000"/>
          <w:sz w:val="24"/>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sz w:val="24"/>
        </w:rPr>
      </w:pPr>
    </w:p>
    <w:p>
      <w:pPr>
        <w:spacing w:line="440" w:lineRule="exact"/>
        <w:ind w:firstLine="480" w:firstLineChars="200"/>
        <w:rPr>
          <w:rFonts w:cs="Calibri"/>
          <w:color w:val="000000"/>
          <w:sz w:val="24"/>
        </w:rPr>
      </w:pPr>
      <w:r>
        <w:rPr>
          <w:rFonts w:cs="Calibri"/>
          <w:color w:val="000000"/>
          <w:sz w:val="24"/>
        </w:rPr>
        <w:t xml:space="preserve">                  </w:t>
      </w: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spacing w:line="360" w:lineRule="auto"/>
        <w:ind w:firstLine="1400" w:firstLineChars="500"/>
        <w:rPr>
          <w:rFonts w:cs="Calibri"/>
          <w:color w:val="000000"/>
          <w:sz w:val="28"/>
          <w:szCs w:val="28"/>
        </w:rPr>
      </w:pPr>
    </w:p>
    <w:p>
      <w:pPr>
        <w:spacing w:line="360" w:lineRule="auto"/>
        <w:jc w:val="center"/>
        <w:rPr>
          <w:rFonts w:eastAsia="黑体" w:cs="Calibri"/>
          <w:bCs/>
          <w:color w:val="000000"/>
          <w:sz w:val="32"/>
          <w:szCs w:val="32"/>
        </w:rPr>
      </w:pPr>
      <w:r>
        <w:rPr>
          <w:rFonts w:cs="Calibri"/>
          <w:color w:val="000000"/>
          <w:sz w:val="24"/>
        </w:rPr>
        <w:br w:type="page"/>
      </w:r>
      <w:r>
        <w:rPr>
          <w:rFonts w:eastAsia="黑体" w:cs="Calibri"/>
          <w:bCs/>
          <w:color w:val="000000"/>
          <w:sz w:val="32"/>
          <w:szCs w:val="32"/>
        </w:rPr>
        <w:t>一、投 标 函</w:t>
      </w:r>
    </w:p>
    <w:p>
      <w:pPr>
        <w:spacing w:line="276" w:lineRule="auto"/>
        <w:rPr>
          <w:rFonts w:cs="宋体"/>
          <w:b/>
          <w:sz w:val="22"/>
        </w:rPr>
      </w:pPr>
      <w:r>
        <w:rPr>
          <w:rFonts w:cs="宋体"/>
          <w:b/>
          <w:sz w:val="22"/>
          <w:u w:val="single"/>
        </w:rPr>
        <w:t xml:space="preserve">                    </w:t>
      </w:r>
      <w:r>
        <w:rPr>
          <w:rFonts w:cs="宋体"/>
          <w:b/>
          <w:sz w:val="22"/>
        </w:rPr>
        <w:t>（招标人）：</w:t>
      </w:r>
    </w:p>
    <w:p>
      <w:pPr>
        <w:spacing w:line="276" w:lineRule="auto"/>
        <w:ind w:firstLine="220" w:firstLineChars="100"/>
        <w:rPr>
          <w:rFonts w:cs="宋体"/>
          <w:sz w:val="22"/>
        </w:rPr>
      </w:pPr>
      <w:r>
        <w:rPr>
          <w:rFonts w:cs="宋体"/>
          <w:sz w:val="22"/>
        </w:rPr>
        <w:t xml:space="preserve">    我方已全面阅读和研究了</w:t>
      </w:r>
      <w:r>
        <w:rPr>
          <w:rFonts w:cs="宋体"/>
          <w:b/>
          <w:bCs/>
          <w:sz w:val="22"/>
          <w:u w:val="single"/>
        </w:rPr>
        <w:t xml:space="preserve">                           </w:t>
      </w:r>
      <w:r>
        <w:rPr>
          <w:rFonts w:cs="宋体"/>
          <w:b/>
          <w:bCs/>
          <w:sz w:val="22"/>
        </w:rPr>
        <w:t>项目</w:t>
      </w:r>
      <w:r>
        <w:rPr>
          <w:rFonts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cs="宋体"/>
          <w:sz w:val="22"/>
          <w:u w:val="single"/>
        </w:rPr>
        <w:t xml:space="preserve">       </w:t>
      </w:r>
      <w:r>
        <w:rPr>
          <w:rFonts w:cs="宋体"/>
          <w:kern w:val="0"/>
          <w:sz w:val="22"/>
        </w:rPr>
        <w:t>（</w:t>
      </w:r>
      <w:r>
        <w:rPr>
          <w:rFonts w:cs="宋体"/>
          <w:spacing w:val="-61"/>
          <w:kern w:val="0"/>
          <w:sz w:val="22"/>
        </w:rPr>
        <w:t>¥</w:t>
      </w:r>
      <w:r>
        <w:rPr>
          <w:rFonts w:cs="宋体"/>
          <w:spacing w:val="43"/>
          <w:kern w:val="0"/>
          <w:sz w:val="22"/>
          <w:u w:val="single"/>
        </w:rPr>
        <w:t xml:space="preserve">       </w:t>
      </w:r>
      <w:r>
        <w:rPr>
          <w:rFonts w:cs="宋体"/>
          <w:kern w:val="0"/>
          <w:sz w:val="22"/>
          <w:u w:val="single"/>
        </w:rPr>
        <w:tab/>
      </w:r>
      <w:r>
        <w:rPr>
          <w:rFonts w:cs="宋体"/>
          <w:kern w:val="0"/>
          <w:sz w:val="22"/>
          <w:u w:val="single"/>
        </w:rPr>
        <w:tab/>
      </w:r>
      <w:r>
        <w:rPr>
          <w:rFonts w:cs="宋体"/>
          <w:spacing w:val="-12"/>
          <w:kern w:val="0"/>
          <w:sz w:val="22"/>
        </w:rPr>
        <w:t>）</w:t>
      </w:r>
      <w:r>
        <w:rPr>
          <w:rFonts w:cs="宋体"/>
          <w:kern w:val="0"/>
          <w:sz w:val="22"/>
        </w:rPr>
        <w:t>；</w:t>
      </w:r>
      <w:r>
        <w:rPr>
          <w:rFonts w:cs="宋体"/>
          <w:sz w:val="22"/>
        </w:rPr>
        <w:t>项目负责人为：</w:t>
      </w:r>
      <w:r>
        <w:rPr>
          <w:rFonts w:cs="宋体"/>
          <w:sz w:val="22"/>
          <w:u w:val="single"/>
        </w:rPr>
        <w:t xml:space="preserve">            </w:t>
      </w:r>
      <w:r>
        <w:rPr>
          <w:rFonts w:cs="宋体"/>
          <w:sz w:val="22"/>
        </w:rPr>
        <w:t>（身份证号码：</w:t>
      </w:r>
      <w:r>
        <w:rPr>
          <w:rFonts w:cs="宋体"/>
          <w:sz w:val="22"/>
          <w:u w:val="single"/>
        </w:rPr>
        <w:t xml:space="preserve">                                </w:t>
      </w:r>
      <w:r>
        <w:rPr>
          <w:rFonts w:cs="宋体"/>
          <w:sz w:val="22"/>
        </w:rPr>
        <w:t>），服务期</w:t>
      </w:r>
      <w:r>
        <w:rPr>
          <w:rFonts w:hint="eastAsia" w:cs="宋体"/>
          <w:sz w:val="22"/>
          <w:u w:val="single"/>
        </w:rPr>
        <w:t xml:space="preserve"> </w:t>
      </w:r>
      <w:r>
        <w:rPr>
          <w:rFonts w:cs="宋体"/>
          <w:b/>
          <w:sz w:val="22"/>
          <w:u w:val="single"/>
        </w:rPr>
        <w:t xml:space="preserve">响应招标文件要求 </w:t>
      </w:r>
      <w:r>
        <w:rPr>
          <w:rFonts w:cs="宋体"/>
          <w:sz w:val="22"/>
        </w:rPr>
        <w:t>。</w:t>
      </w:r>
    </w:p>
    <w:p>
      <w:pPr>
        <w:spacing w:line="276" w:lineRule="auto"/>
        <w:ind w:firstLine="440" w:firstLineChars="200"/>
        <w:rPr>
          <w:rFonts w:cs="宋体"/>
          <w:b/>
          <w:sz w:val="22"/>
        </w:rPr>
      </w:pPr>
      <w:r>
        <w:rPr>
          <w:rFonts w:ascii="宋体" w:hAnsi="宋体"/>
          <w:sz w:val="22"/>
        </w:rPr>
        <w:t>1</w:t>
      </w:r>
      <w:r>
        <w:rPr>
          <w:rFonts w:hint="eastAsia" w:ascii="宋体" w:hAnsi="宋体"/>
          <w:sz w:val="22"/>
        </w:rPr>
        <w:t>.根据招标人要求，做出如下承诺：</w:t>
      </w:r>
    </w:p>
    <w:p>
      <w:pPr>
        <w:spacing w:line="276" w:lineRule="auto"/>
        <w:ind w:firstLine="440" w:firstLineChars="200"/>
        <w:rPr>
          <w:rFonts w:ascii="宋体" w:hAnsi="宋体"/>
          <w:sz w:val="22"/>
        </w:rPr>
      </w:pPr>
      <w:r>
        <w:rPr>
          <w:rFonts w:ascii="宋体" w:hAnsi="宋体"/>
          <w:sz w:val="22"/>
        </w:rPr>
        <w:t>（1</w:t>
      </w:r>
      <w:r>
        <w:rPr>
          <w:rFonts w:hint="eastAsia" w:ascii="宋体" w:hAnsi="宋体"/>
          <w:sz w:val="22"/>
        </w:rPr>
        <w:t>）如我方中标，在收到中标通知书后，在中标通知书规定的期限内与你方签订合同。</w:t>
      </w:r>
    </w:p>
    <w:p>
      <w:pPr>
        <w:spacing w:line="276" w:lineRule="auto"/>
        <w:ind w:firstLine="440" w:firstLineChars="200"/>
      </w:pPr>
      <w:r>
        <w:rPr>
          <w:rFonts w:hint="eastAsia" w:ascii="宋体" w:hAnsi="宋体"/>
          <w:sz w:val="22"/>
        </w:rPr>
        <w:t>（2）</w:t>
      </w:r>
      <w:r>
        <w:rPr>
          <w:rFonts w:ascii="宋体" w:hAnsi="宋体"/>
          <w:b/>
          <w:bCs/>
          <w:spacing w:val="-1"/>
          <w:sz w:val="22"/>
        </w:rPr>
        <w:t>具有一般纳税人资格，</w:t>
      </w:r>
      <w:r>
        <w:rPr>
          <w:rFonts w:hint="eastAsia" w:ascii="宋体" w:hAnsi="宋体"/>
          <w:b/>
          <w:bCs/>
          <w:sz w:val="22"/>
        </w:rPr>
        <w:t>我方承诺</w:t>
      </w:r>
      <w:r>
        <w:rPr>
          <w:rFonts w:ascii="宋体" w:hAnsi="宋体"/>
          <w:b/>
          <w:bCs/>
          <w:spacing w:val="-1"/>
          <w:sz w:val="22"/>
        </w:rPr>
        <w:t>可提供增值税</w:t>
      </w:r>
      <w:r>
        <w:rPr>
          <w:rFonts w:hint="eastAsia" w:ascii="宋体" w:hAnsi="宋体"/>
          <w:b/>
          <w:bCs/>
          <w:spacing w:val="-1"/>
          <w:sz w:val="22"/>
        </w:rPr>
        <w:t>为</w:t>
      </w:r>
      <w:r>
        <w:rPr>
          <w:rFonts w:hint="eastAsia" w:ascii="宋体" w:hAnsi="宋体"/>
          <w:b/>
          <w:bCs/>
          <w:spacing w:val="-1"/>
          <w:sz w:val="22"/>
          <w:u w:val="single"/>
        </w:rPr>
        <w:t xml:space="preserve"> </w:t>
      </w:r>
      <w:r>
        <w:rPr>
          <w:rFonts w:ascii="宋体" w:hAnsi="宋体"/>
          <w:b/>
          <w:bCs/>
          <w:spacing w:val="-1"/>
          <w:sz w:val="22"/>
          <w:u w:val="single"/>
        </w:rPr>
        <w:t xml:space="preserve">        </w:t>
      </w:r>
      <w:r>
        <w:rPr>
          <w:rFonts w:ascii="宋体" w:hAnsi="宋体"/>
          <w:b/>
          <w:bCs/>
          <w:spacing w:val="-1"/>
          <w:sz w:val="22"/>
        </w:rPr>
        <w:t>%</w:t>
      </w:r>
      <w:r>
        <w:rPr>
          <w:rFonts w:hint="eastAsia" w:ascii="宋体" w:hAnsi="宋体"/>
          <w:b/>
          <w:bCs/>
          <w:spacing w:val="-1"/>
          <w:sz w:val="22"/>
        </w:rPr>
        <w:t>的增值税</w:t>
      </w:r>
      <w:r>
        <w:rPr>
          <w:rFonts w:ascii="宋体" w:hAnsi="宋体"/>
          <w:b/>
          <w:bCs/>
          <w:spacing w:val="-1"/>
          <w:sz w:val="22"/>
        </w:rPr>
        <w:t>专用发票</w:t>
      </w:r>
      <w:r>
        <w:rPr>
          <w:rFonts w:hint="eastAsia" w:ascii="宋体" w:hAnsi="宋体"/>
          <w:b/>
          <w:bCs/>
          <w:sz w:val="22"/>
        </w:rPr>
        <w:t>；</w:t>
      </w:r>
    </w:p>
    <w:p>
      <w:pPr>
        <w:spacing w:line="276" w:lineRule="auto"/>
        <w:ind w:firstLine="440" w:firstLineChars="200"/>
        <w:rPr>
          <w:rFonts w:cs="宋体"/>
          <w:b/>
          <w:sz w:val="22"/>
        </w:rPr>
      </w:pPr>
      <w:r>
        <w:rPr>
          <w:rFonts w:ascii="宋体" w:hAnsi="宋体"/>
          <w:sz w:val="22"/>
        </w:rPr>
        <w:t>（</w:t>
      </w:r>
      <w:r>
        <w:rPr>
          <w:rFonts w:hint="eastAsia" w:ascii="宋体" w:hAnsi="宋体"/>
          <w:sz w:val="22"/>
        </w:rPr>
        <w:t>3）我方</w:t>
      </w:r>
      <w:bookmarkStart w:id="120" w:name="_Hlk47708015"/>
      <w:r>
        <w:rPr>
          <w:rFonts w:hint="eastAsia" w:ascii="宋体" w:hAnsi="宋体"/>
          <w:sz w:val="22"/>
        </w:rPr>
        <w:t>未</w:t>
      </w:r>
      <w:r>
        <w:rPr>
          <w:rFonts w:ascii="宋体" w:hAnsi="宋体"/>
          <w:sz w:val="22"/>
        </w:rPr>
        <w:t>被列入失信被执行人名单</w:t>
      </w:r>
      <w:bookmarkEnd w:id="120"/>
      <w:r>
        <w:rPr>
          <w:rFonts w:ascii="宋体" w:hAnsi="宋体"/>
          <w:sz w:val="22"/>
        </w:rPr>
        <w:t>（以投标截止日“信用中国”网站查询结果为准）</w:t>
      </w:r>
      <w:r>
        <w:rPr>
          <w:rFonts w:hint="eastAsia" w:ascii="宋体" w:hAnsi="宋体"/>
          <w:sz w:val="22"/>
        </w:rPr>
        <w:t>；</w:t>
      </w:r>
    </w:p>
    <w:p>
      <w:pPr>
        <w:spacing w:line="276" w:lineRule="auto"/>
        <w:ind w:firstLine="440" w:firstLineChars="200"/>
        <w:rPr>
          <w:rFonts w:cs="宋体"/>
          <w:b/>
          <w:sz w:val="22"/>
        </w:rPr>
      </w:pPr>
      <w:r>
        <w:rPr>
          <w:rFonts w:hint="eastAsia" w:ascii="宋体" w:hAnsi="宋体"/>
          <w:sz w:val="22"/>
        </w:rPr>
        <w:t>（4）</w:t>
      </w:r>
      <w:r>
        <w:rPr>
          <w:rFonts w:hint="eastAsia" w:ascii="宋体" w:hAnsi="宋体" w:cs="宋体"/>
          <w:sz w:val="22"/>
        </w:rPr>
        <w:t>我方及</w:t>
      </w:r>
      <w:r>
        <w:rPr>
          <w:rFonts w:ascii="宋体" w:hAnsi="宋体" w:cs="宋体"/>
          <w:sz w:val="22"/>
        </w:rPr>
        <w:t>拟派的</w:t>
      </w:r>
      <w:r>
        <w:rPr>
          <w:rFonts w:hint="eastAsia" w:ascii="宋体" w:hAnsi="宋体" w:cs="宋体"/>
          <w:sz w:val="22"/>
        </w:rPr>
        <w:t>项目负责人在招标公告规定期限内无</w:t>
      </w:r>
      <w:r>
        <w:rPr>
          <w:rFonts w:ascii="宋体" w:hAnsi="宋体" w:cs="宋体"/>
          <w:sz w:val="22"/>
        </w:rPr>
        <w:t>行贿犯罪</w:t>
      </w:r>
      <w:r>
        <w:rPr>
          <w:rFonts w:hint="eastAsia" w:ascii="宋体" w:hAnsi="宋体" w:cs="宋体"/>
          <w:sz w:val="22"/>
        </w:rPr>
        <w:t>记录</w:t>
      </w:r>
      <w:r>
        <w:rPr>
          <w:rFonts w:ascii="宋体" w:hAnsi="宋体" w:cs="宋体"/>
          <w:sz w:val="22"/>
        </w:rPr>
        <w:t>（以中国裁判文书网查询结果为准）</w:t>
      </w:r>
      <w:r>
        <w:rPr>
          <w:rFonts w:hint="eastAsia" w:ascii="宋体" w:hAnsi="宋体" w:cs="宋体"/>
          <w:sz w:val="22"/>
        </w:rPr>
        <w:t>；</w:t>
      </w:r>
    </w:p>
    <w:p>
      <w:pPr>
        <w:spacing w:line="276" w:lineRule="auto"/>
        <w:ind w:firstLine="440" w:firstLineChars="200"/>
        <w:rPr>
          <w:kern w:val="0"/>
          <w:sz w:val="22"/>
        </w:rPr>
      </w:pPr>
      <w:r>
        <w:rPr>
          <w:rFonts w:hint="eastAsia" w:ascii="宋体" w:hAnsi="宋体"/>
          <w:sz w:val="22"/>
        </w:rPr>
        <w:t>（5）</w:t>
      </w:r>
      <w:r>
        <w:rPr>
          <w:kern w:val="0"/>
          <w:sz w:val="22"/>
        </w:rPr>
        <w:t>在招投标过程中，廉洁自律并对所获悉的招标人的相关信息予以保密；如我方中标，承诺将招标文件所附的廉洁自律承诺书作为合同附件</w:t>
      </w:r>
      <w:r>
        <w:rPr>
          <w:rFonts w:hint="eastAsia"/>
          <w:kern w:val="0"/>
          <w:sz w:val="22"/>
        </w:rPr>
        <w:t>；</w:t>
      </w:r>
    </w:p>
    <w:p>
      <w:pPr>
        <w:spacing w:line="276" w:lineRule="auto"/>
        <w:ind w:firstLine="440" w:firstLineChars="200"/>
        <w:rPr>
          <w:rFonts w:cs="宋体"/>
          <w:sz w:val="22"/>
        </w:rPr>
      </w:pPr>
      <w:r>
        <w:rPr>
          <w:rFonts w:ascii="宋体" w:hAnsi="宋体"/>
          <w:sz w:val="22"/>
        </w:rPr>
        <w:t>2</w:t>
      </w:r>
      <w:r>
        <w:rPr>
          <w:rFonts w:hint="eastAsia" w:ascii="宋体" w:hAnsi="宋体"/>
          <w:sz w:val="22"/>
        </w:rPr>
        <w:t>.我方在此声明，所递交的投标文件及有关资料内容完整、真实和准确。</w:t>
      </w:r>
      <w:r>
        <w:rPr>
          <w:kern w:val="0"/>
          <w:sz w:val="22"/>
        </w:rPr>
        <w:t>以上承诺如有虚假，我方愿意接受</w:t>
      </w:r>
      <w:r>
        <w:rPr>
          <w:rFonts w:hint="eastAsia"/>
          <w:kern w:val="0"/>
          <w:sz w:val="22"/>
        </w:rPr>
        <w:t>招标人</w:t>
      </w:r>
      <w:r>
        <w:rPr>
          <w:kern w:val="0"/>
          <w:sz w:val="22"/>
        </w:rPr>
        <w:t>处罚，给招标人造成损失的，愿意依法承担赔偿责任。如已中标，同意招标人取消我公司中标资格的处理。</w:t>
      </w:r>
    </w:p>
    <w:p>
      <w:pPr>
        <w:spacing w:line="276" w:lineRule="auto"/>
        <w:ind w:firstLine="440" w:firstLineChars="200"/>
        <w:rPr>
          <w:rFonts w:cs="宋体"/>
          <w:sz w:val="22"/>
        </w:rPr>
      </w:pPr>
      <w:r>
        <w:rPr>
          <w:rFonts w:ascii="宋体" w:hAnsi="宋体"/>
          <w:sz w:val="22"/>
        </w:rPr>
        <w:t>3</w:t>
      </w:r>
      <w:r>
        <w:rPr>
          <w:rFonts w:hint="eastAsia" w:ascii="宋体" w:hAnsi="宋体"/>
          <w:sz w:val="22"/>
        </w:rPr>
        <w:t>.我方已详细审查招标文件包括澄清函和修改文件</w:t>
      </w:r>
      <w:r>
        <w:rPr>
          <w:rFonts w:ascii="宋体" w:hAnsi="宋体"/>
          <w:sz w:val="22"/>
        </w:rPr>
        <w:t>（若有）、所有</w:t>
      </w:r>
      <w:r>
        <w:rPr>
          <w:rFonts w:hint="eastAsia" w:ascii="宋体" w:hAnsi="宋体"/>
          <w:sz w:val="22"/>
        </w:rPr>
        <w:t>已</w:t>
      </w:r>
      <w:r>
        <w:rPr>
          <w:rFonts w:ascii="宋体" w:hAnsi="宋体"/>
          <w:sz w:val="22"/>
        </w:rPr>
        <w:t>提供的资料以及有关附件，我</w:t>
      </w:r>
      <w:r>
        <w:rPr>
          <w:rFonts w:hint="eastAsia" w:ascii="宋体" w:hAnsi="宋体"/>
          <w:sz w:val="22"/>
        </w:rPr>
        <w:t>方</w:t>
      </w:r>
      <w:r>
        <w:rPr>
          <w:rFonts w:ascii="宋体" w:hAnsi="宋体"/>
          <w:sz w:val="22"/>
        </w:rPr>
        <w:t>已完全理解上述文件的全部内容，并放弃提出任何误解或不明作为抗辩的权利。</w:t>
      </w:r>
    </w:p>
    <w:p>
      <w:pPr>
        <w:spacing w:line="276" w:lineRule="auto"/>
        <w:ind w:firstLine="440" w:firstLineChars="200"/>
        <w:rPr>
          <w:rFonts w:cs="宋体"/>
          <w:sz w:val="22"/>
        </w:rPr>
      </w:pPr>
      <w:r>
        <w:rPr>
          <w:rFonts w:ascii="宋体" w:hAnsi="宋体"/>
          <w:sz w:val="22"/>
        </w:rPr>
        <w:t>4</w:t>
      </w:r>
      <w:r>
        <w:rPr>
          <w:rFonts w:hint="eastAsia" w:ascii="宋体" w:hAnsi="宋体"/>
          <w:sz w:val="22"/>
        </w:rPr>
        <w:t>.我方同意按照你方可能提出的要求，提供有关的任何其它数字或资料，并对你方可能不接受最低报价及任何报价表示理解。</w:t>
      </w:r>
    </w:p>
    <w:p>
      <w:pPr>
        <w:spacing w:line="276" w:lineRule="auto"/>
        <w:ind w:firstLine="440" w:firstLineChars="200"/>
        <w:rPr>
          <w:rFonts w:cs="宋体"/>
          <w:sz w:val="22"/>
        </w:rPr>
      </w:pPr>
      <w:r>
        <w:rPr>
          <w:rFonts w:ascii="宋体" w:hAnsi="宋体"/>
          <w:sz w:val="22"/>
        </w:rPr>
        <w:t>5</w:t>
      </w:r>
      <w:r>
        <w:rPr>
          <w:rFonts w:hint="eastAsia" w:ascii="宋体" w:hAnsi="宋体"/>
          <w:sz w:val="22"/>
        </w:rPr>
        <w:t>.在合同协议书正式签署生效之前，本投标函连同你方的中标通知书将构成我们双方之间共同遵守的文件，对双方具有约束力。</w:t>
      </w:r>
    </w:p>
    <w:p>
      <w:pPr>
        <w:spacing w:line="276" w:lineRule="auto"/>
        <w:ind w:firstLine="502" w:firstLineChars="228"/>
        <w:rPr>
          <w:rFonts w:cs="宋体"/>
          <w:b/>
          <w:sz w:val="22"/>
        </w:rPr>
      </w:pPr>
      <w:r>
        <w:rPr>
          <w:rFonts w:ascii="宋体" w:hAnsi="宋体"/>
          <w:sz w:val="22"/>
        </w:rPr>
        <w:t>6</w:t>
      </w:r>
      <w:r>
        <w:rPr>
          <w:rFonts w:hint="eastAsia" w:ascii="宋体" w:hAnsi="宋体"/>
          <w:sz w:val="22"/>
        </w:rPr>
        <w:t>.（其他补充说明）</w:t>
      </w:r>
      <w:r>
        <w:rPr>
          <w:rFonts w:ascii="宋体" w:hAnsi="宋体"/>
          <w:sz w:val="22"/>
          <w:u w:val="single"/>
        </w:rPr>
        <w:t xml:space="preserve">                                              </w:t>
      </w:r>
      <w:r>
        <w:rPr>
          <w:rFonts w:hint="eastAsia" w:ascii="宋体" w:hAnsi="宋体"/>
          <w:sz w:val="22"/>
        </w:rPr>
        <w:t>。</w:t>
      </w:r>
    </w:p>
    <w:p>
      <w:pPr>
        <w:spacing w:line="276" w:lineRule="auto"/>
        <w:ind w:left="480" w:firstLine="221" w:firstLineChars="100"/>
        <w:rPr>
          <w:rFonts w:cs="宋体"/>
          <w:b/>
          <w:sz w:val="22"/>
        </w:rPr>
      </w:pPr>
    </w:p>
    <w:p>
      <w:pPr>
        <w:spacing w:line="276" w:lineRule="auto"/>
        <w:ind w:firstLine="3969" w:firstLineChars="1804"/>
        <w:jc w:val="left"/>
        <w:rPr>
          <w:rFonts w:cs="宋体"/>
          <w:sz w:val="22"/>
        </w:rPr>
      </w:pPr>
      <w:r>
        <w:rPr>
          <w:rFonts w:cs="宋体"/>
          <w:sz w:val="22"/>
        </w:rPr>
        <w:t>投标人：</w:t>
      </w:r>
      <w:r>
        <w:rPr>
          <w:rFonts w:cs="宋体"/>
          <w:sz w:val="22"/>
          <w:u w:val="single"/>
        </w:rPr>
        <w:t xml:space="preserve">                </w:t>
      </w:r>
      <w:r>
        <w:rPr>
          <w:rFonts w:cs="宋体"/>
          <w:sz w:val="22"/>
        </w:rPr>
        <w:t>（盖章）</w:t>
      </w:r>
    </w:p>
    <w:p>
      <w:pPr>
        <w:spacing w:line="276" w:lineRule="auto"/>
        <w:ind w:firstLine="3969" w:firstLineChars="1804"/>
        <w:jc w:val="left"/>
        <w:rPr>
          <w:rFonts w:cs="宋体"/>
          <w:sz w:val="22"/>
          <w:u w:val="single"/>
        </w:rPr>
      </w:pPr>
      <w:r>
        <w:rPr>
          <w:rFonts w:cs="宋体"/>
          <w:sz w:val="22"/>
        </w:rPr>
        <w:t>法定代表或委托代理人：</w:t>
      </w:r>
      <w:r>
        <w:rPr>
          <w:rFonts w:cs="宋体"/>
          <w:sz w:val="22"/>
          <w:u w:val="single"/>
        </w:rPr>
        <w:t xml:space="preserve">         </w:t>
      </w:r>
      <w:r>
        <w:rPr>
          <w:rFonts w:cs="宋体"/>
          <w:sz w:val="22"/>
        </w:rPr>
        <w:t>（签字或盖章）</w:t>
      </w:r>
    </w:p>
    <w:p>
      <w:pPr>
        <w:spacing w:line="276" w:lineRule="auto"/>
        <w:ind w:firstLine="3969" w:firstLineChars="1804"/>
        <w:jc w:val="left"/>
        <w:rPr>
          <w:rFonts w:cs="宋体"/>
          <w:sz w:val="22"/>
          <w:u w:val="single"/>
        </w:rPr>
      </w:pPr>
      <w:r>
        <w:rPr>
          <w:rFonts w:cs="宋体"/>
          <w:sz w:val="22"/>
        </w:rPr>
        <w:t>联系人：</w:t>
      </w:r>
      <w:r>
        <w:rPr>
          <w:rFonts w:cs="宋体"/>
          <w:sz w:val="22"/>
          <w:u w:val="single"/>
        </w:rPr>
        <w:t xml:space="preserve">                    </w:t>
      </w:r>
    </w:p>
    <w:p>
      <w:pPr>
        <w:spacing w:line="276" w:lineRule="auto"/>
        <w:ind w:firstLine="3969" w:firstLineChars="1804"/>
        <w:jc w:val="left"/>
        <w:rPr>
          <w:rFonts w:cs="宋体"/>
          <w:sz w:val="22"/>
          <w:u w:val="single"/>
        </w:rPr>
      </w:pPr>
      <w:r>
        <w:rPr>
          <w:rFonts w:cs="宋体"/>
          <w:sz w:val="22"/>
        </w:rPr>
        <w:t>联系地址：</w:t>
      </w:r>
      <w:r>
        <w:rPr>
          <w:rFonts w:cs="宋体"/>
          <w:sz w:val="22"/>
          <w:u w:val="single"/>
        </w:rPr>
        <w:t xml:space="preserve">                    </w:t>
      </w:r>
    </w:p>
    <w:p>
      <w:pPr>
        <w:spacing w:line="276" w:lineRule="auto"/>
        <w:ind w:firstLine="3969" w:firstLineChars="1804"/>
        <w:jc w:val="left"/>
        <w:rPr>
          <w:rFonts w:cs="宋体"/>
          <w:sz w:val="22"/>
          <w:u w:val="single"/>
        </w:rPr>
      </w:pPr>
      <w:r>
        <w:rPr>
          <w:rFonts w:cs="宋体"/>
          <w:sz w:val="22"/>
        </w:rPr>
        <w:t>电话：</w:t>
      </w:r>
      <w:r>
        <w:rPr>
          <w:rFonts w:cs="宋体"/>
          <w:sz w:val="22"/>
          <w:u w:val="single"/>
        </w:rPr>
        <w:t xml:space="preserve">                    </w:t>
      </w:r>
    </w:p>
    <w:p>
      <w:pPr>
        <w:spacing w:line="276" w:lineRule="auto"/>
        <w:ind w:firstLine="3969" w:firstLineChars="1804"/>
        <w:jc w:val="left"/>
        <w:rPr>
          <w:rFonts w:cs="宋体"/>
          <w:sz w:val="22"/>
          <w:u w:val="single"/>
        </w:rPr>
      </w:pPr>
      <w:r>
        <w:rPr>
          <w:rFonts w:cs="宋体"/>
          <w:sz w:val="22"/>
        </w:rPr>
        <w:t>邮编：</w:t>
      </w:r>
      <w:r>
        <w:rPr>
          <w:rFonts w:cs="宋体"/>
          <w:sz w:val="22"/>
          <w:u w:val="single"/>
        </w:rPr>
        <w:t xml:space="preserve">                    </w:t>
      </w:r>
    </w:p>
    <w:p>
      <w:pPr>
        <w:spacing w:line="276" w:lineRule="auto"/>
        <w:ind w:firstLine="3969" w:firstLineChars="1804"/>
        <w:jc w:val="left"/>
        <w:rPr>
          <w:rFonts w:cs="宋体"/>
          <w:sz w:val="22"/>
        </w:rPr>
      </w:pPr>
      <w:r>
        <w:rPr>
          <w:rFonts w:cs="宋体"/>
          <w:sz w:val="22"/>
          <w:u w:val="single"/>
        </w:rPr>
        <w:t xml:space="preserve">       </w:t>
      </w:r>
      <w:r>
        <w:rPr>
          <w:rFonts w:cs="宋体"/>
          <w:sz w:val="22"/>
        </w:rPr>
        <w:t xml:space="preserve">年 </w:t>
      </w:r>
      <w:r>
        <w:rPr>
          <w:rFonts w:cs="宋体"/>
          <w:sz w:val="22"/>
          <w:u w:val="single"/>
        </w:rPr>
        <w:t xml:space="preserve">       </w:t>
      </w:r>
      <w:r>
        <w:rPr>
          <w:rFonts w:cs="宋体"/>
          <w:sz w:val="22"/>
        </w:rPr>
        <w:t xml:space="preserve"> 月</w:t>
      </w:r>
      <w:r>
        <w:rPr>
          <w:rFonts w:cs="宋体"/>
          <w:sz w:val="22"/>
          <w:u w:val="single"/>
        </w:rPr>
        <w:t xml:space="preserve">      </w:t>
      </w:r>
      <w:r>
        <w:rPr>
          <w:rFonts w:cs="宋体"/>
          <w:sz w:val="22"/>
        </w:rPr>
        <w:t>日</w:t>
      </w:r>
    </w:p>
    <w:p>
      <w:pPr>
        <w:snapToGrid w:val="0"/>
        <w:spacing w:line="440" w:lineRule="exact"/>
        <w:ind w:firstLine="3150" w:firstLineChars="1500"/>
        <w:rPr>
          <w:rFonts w:cs="Calibri"/>
          <w:color w:val="000000"/>
          <w:szCs w:val="21"/>
        </w:rPr>
      </w:pPr>
    </w:p>
    <w:p>
      <w:pPr>
        <w:snapToGrid w:val="0"/>
        <w:spacing w:line="440" w:lineRule="exact"/>
        <w:ind w:firstLine="3150" w:firstLineChars="1500"/>
        <w:rPr>
          <w:rFonts w:cs="Calibri"/>
          <w:color w:val="000000"/>
          <w:szCs w:val="21"/>
        </w:rPr>
      </w:pPr>
    </w:p>
    <w:p>
      <w:pPr>
        <w:spacing w:line="440" w:lineRule="exact"/>
        <w:jc w:val="center"/>
        <w:rPr>
          <w:rFonts w:eastAsia="黑体" w:cs="Calibri"/>
          <w:color w:val="000000"/>
          <w:sz w:val="32"/>
          <w:szCs w:val="32"/>
        </w:rPr>
      </w:pPr>
      <w:r>
        <w:rPr>
          <w:rFonts w:eastAsia="黑体" w:cs="Calibri"/>
          <w:color w:val="000000"/>
          <w:sz w:val="32"/>
          <w:szCs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lang w:val="en-US" w:eastAsia="zh-CN"/>
        </w:rPr>
        <w:t>二</w:t>
      </w:r>
      <w:r>
        <w:rPr>
          <w:rFonts w:eastAsia="黑体" w:cs="Calibri"/>
          <w:color w:val="000000"/>
          <w:sz w:val="32"/>
          <w:szCs w:val="32"/>
        </w:rPr>
        <w:t>、投标报价表</w:t>
      </w:r>
    </w:p>
    <w:p>
      <w:pPr>
        <w:rPr>
          <w:rFonts w:cs="Calibri"/>
          <w:sz w:val="24"/>
        </w:rPr>
      </w:pPr>
    </w:p>
    <w:p>
      <w:pPr>
        <w:jc w:val="right"/>
        <w:rPr>
          <w:rFonts w:cs="Calibri"/>
          <w:bCs/>
          <w:sz w:val="24"/>
        </w:rPr>
      </w:pPr>
      <w:r>
        <w:rPr>
          <w:rFonts w:hint="eastAsia" w:cs="Calibri"/>
          <w:bCs/>
          <w:sz w:val="24"/>
        </w:rPr>
        <w:t>单位：元</w:t>
      </w:r>
    </w:p>
    <w:tbl>
      <w:tblPr>
        <w:tblStyle w:val="20"/>
        <w:tblW w:w="90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4"/>
        <w:gridCol w:w="3167"/>
        <w:gridCol w:w="3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5" w:hRule="atLeast"/>
          <w:jc w:val="center"/>
        </w:trPr>
        <w:tc>
          <w:tcPr>
            <w:tcW w:w="2224" w:type="dxa"/>
            <w:vAlign w:val="center"/>
          </w:tcPr>
          <w:p>
            <w:pPr>
              <w:jc w:val="right"/>
              <w:rPr>
                <w:rFonts w:hint="eastAsia"/>
                <w:lang w:val="en-US" w:eastAsia="zh-CN"/>
              </w:rPr>
            </w:pPr>
            <w:r>
              <mc:AlternateContent>
                <mc:Choice Requires="wps">
                  <w:drawing>
                    <wp:anchor distT="0" distB="0" distL="114300" distR="114300" simplePos="0" relativeHeight="251660288" behindDoc="0" locked="0" layoutInCell="1" allowOverlap="1">
                      <wp:simplePos x="0" y="0"/>
                      <wp:positionH relativeFrom="column">
                        <wp:posOffset>-64770</wp:posOffset>
                      </wp:positionH>
                      <wp:positionV relativeFrom="paragraph">
                        <wp:posOffset>-2540</wp:posOffset>
                      </wp:positionV>
                      <wp:extent cx="1409700" cy="1018540"/>
                      <wp:effectExtent l="2540" t="3810" r="16510" b="6350"/>
                      <wp:wrapNone/>
                      <wp:docPr id="1" name="直接连接符 1"/>
                      <wp:cNvGraphicFramePr/>
                      <a:graphic xmlns:a="http://schemas.openxmlformats.org/drawingml/2006/main">
                        <a:graphicData uri="http://schemas.microsoft.com/office/word/2010/wordprocessingShape">
                          <wps:wsp>
                            <wps:cNvCnPr/>
                            <wps:spPr>
                              <a:xfrm>
                                <a:off x="723265" y="1553845"/>
                                <a:ext cx="1409700" cy="10185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5.1pt;margin-top:-0.2pt;height:80.2pt;width:111pt;z-index:251660288;mso-width-relative:page;mso-height-relative:page;" filled="f" stroked="t" coordsize="21600,21600" o:gfxdata="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I6EjLvWAAAACQEAAA8AAAAAAAAA&#10;AQAgAAAAIgAAAGRycy9kb3ducmV2LnhtbFBLAQIUABQAAAAIAIdO4kCt3GFR2gEAAHQDAAAOAAAA&#10;AAAAAAEAIAAAACUBAABkcnMvZTJvRG9jLnhtbFBLBQYAAAAABgAGAFkBAABxBQAAAAA=&#10;">
                      <v:fill on="f" focussize="0,0"/>
                      <v:stroke weight="0.5pt" color="#000000 [3200]" miterlimit="8" joinstyle="miter"/>
                      <v:imagedata o:title=""/>
                      <o:lock v:ext="edit" aspectratio="f"/>
                    </v:line>
                  </w:pict>
                </mc:Fallback>
              </mc:AlternateContent>
            </w:r>
            <w:r>
              <w:rPr>
                <w:rFonts w:hint="eastAsia"/>
                <w:lang w:val="en-US" w:eastAsia="zh-CN"/>
              </w:rPr>
              <w:t xml:space="preserve">      </w:t>
            </w:r>
          </w:p>
          <w:p>
            <w:pPr>
              <w:jc w:val="right"/>
              <w:rPr>
                <w:rFonts w:hint="eastAsia"/>
                <w:lang w:val="en-US" w:eastAsia="zh-CN"/>
              </w:rPr>
            </w:pPr>
          </w:p>
          <w:p>
            <w:pPr>
              <w:jc w:val="right"/>
              <w:rPr>
                <w:rFonts w:hint="eastAsia"/>
                <w:lang w:val="en-US" w:eastAsia="zh-CN"/>
              </w:rPr>
            </w:pPr>
            <w:r>
              <w:rPr>
                <w:rFonts w:hint="eastAsia"/>
                <w:lang w:val="en-US" w:eastAsia="zh-CN"/>
              </w:rPr>
              <w:t>费用名称</w:t>
            </w:r>
          </w:p>
          <w:p>
            <w:pPr>
              <w:jc w:val="left"/>
              <w:rPr>
                <w:rFonts w:hint="eastAsia"/>
                <w:lang w:val="en-US" w:eastAsia="zh-CN"/>
              </w:rPr>
            </w:pPr>
          </w:p>
          <w:p>
            <w:pPr>
              <w:jc w:val="left"/>
              <w:rPr>
                <w:rFonts w:hint="eastAsia" w:eastAsia="宋体"/>
                <w:lang w:val="en-US" w:eastAsia="zh-CN"/>
              </w:rPr>
            </w:pPr>
            <w:r>
              <w:rPr>
                <w:rFonts w:hint="eastAsia"/>
                <w:lang w:val="en-US" w:eastAsia="zh-CN"/>
              </w:rPr>
              <w:t>金额</w:t>
            </w:r>
          </w:p>
        </w:tc>
        <w:tc>
          <w:tcPr>
            <w:tcW w:w="3167" w:type="dxa"/>
            <w:vAlign w:val="center"/>
          </w:tcPr>
          <w:p>
            <w:pPr>
              <w:jc w:val="center"/>
              <w:rPr>
                <w:rFonts w:hint="eastAsia" w:eastAsia="宋体" w:cs="Calibri"/>
                <w:szCs w:val="21"/>
                <w:lang w:val="en-US" w:eastAsia="zh-CN"/>
              </w:rPr>
            </w:pPr>
            <w:r>
              <w:rPr>
                <w:rFonts w:hint="eastAsia" w:cs="Calibri"/>
                <w:szCs w:val="21"/>
                <w:lang w:val="en-US" w:eastAsia="zh-CN"/>
              </w:rPr>
              <w:t>每月服务费</w:t>
            </w:r>
          </w:p>
        </w:tc>
        <w:tc>
          <w:tcPr>
            <w:tcW w:w="3649" w:type="dxa"/>
            <w:tcBorders>
              <w:left w:val="single" w:color="auto" w:sz="4" w:space="0"/>
            </w:tcBorders>
            <w:vAlign w:val="center"/>
          </w:tcPr>
          <w:p>
            <w:pPr>
              <w:jc w:val="center"/>
              <w:rPr>
                <w:rFonts w:hint="eastAsia" w:eastAsia="宋体" w:cs="Calibri"/>
                <w:szCs w:val="21"/>
                <w:lang w:val="en-US" w:eastAsia="zh-CN"/>
              </w:rPr>
            </w:pPr>
            <w:r>
              <w:rPr>
                <w:rFonts w:hint="eastAsia" w:cs="Calibri"/>
                <w:szCs w:val="21"/>
                <w:lang w:val="en-US" w:eastAsia="zh-CN"/>
              </w:rPr>
              <w:t>服务费总价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8" w:hRule="atLeast"/>
          <w:jc w:val="center"/>
        </w:trPr>
        <w:tc>
          <w:tcPr>
            <w:tcW w:w="2224" w:type="dxa"/>
            <w:vAlign w:val="center"/>
          </w:tcPr>
          <w:p>
            <w:pPr>
              <w:jc w:val="center"/>
              <w:rPr>
                <w:rFonts w:ascii="宋体" w:hAnsi="宋体" w:cs="宋体"/>
                <w:b/>
                <w:szCs w:val="21"/>
              </w:rPr>
            </w:pPr>
            <w:r>
              <w:rPr>
                <w:rFonts w:hint="eastAsia" w:ascii="宋体" w:hAnsi="宋体" w:cs="宋体"/>
                <w:bCs/>
                <w:szCs w:val="21"/>
              </w:rPr>
              <w:t>不含税价格</w:t>
            </w:r>
          </w:p>
        </w:tc>
        <w:tc>
          <w:tcPr>
            <w:tcW w:w="3167" w:type="dxa"/>
            <w:vAlign w:val="center"/>
          </w:tcPr>
          <w:p>
            <w:pPr>
              <w:jc w:val="right"/>
              <w:rPr>
                <w:rFonts w:cs="Calibri"/>
                <w:bCs/>
                <w:szCs w:val="21"/>
              </w:rPr>
            </w:pPr>
          </w:p>
        </w:tc>
        <w:tc>
          <w:tcPr>
            <w:tcW w:w="3649" w:type="dxa"/>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8" w:hRule="atLeast"/>
          <w:jc w:val="center"/>
        </w:trPr>
        <w:tc>
          <w:tcPr>
            <w:tcW w:w="2224" w:type="dxa"/>
            <w:vAlign w:val="center"/>
          </w:tcPr>
          <w:p>
            <w:pPr>
              <w:jc w:val="center"/>
              <w:rPr>
                <w:rFonts w:ascii="宋体" w:hAnsi="宋体" w:cs="宋体"/>
                <w:bCs/>
                <w:szCs w:val="21"/>
              </w:rPr>
            </w:pPr>
            <w:r>
              <w:rPr>
                <w:rFonts w:hint="eastAsia" w:ascii="宋体" w:hAnsi="宋体" w:cs="宋体"/>
                <w:bCs/>
                <w:szCs w:val="21"/>
              </w:rPr>
              <w:t>税金</w:t>
            </w:r>
          </w:p>
        </w:tc>
        <w:tc>
          <w:tcPr>
            <w:tcW w:w="3167" w:type="dxa"/>
            <w:vAlign w:val="center"/>
          </w:tcPr>
          <w:p>
            <w:pPr>
              <w:jc w:val="right"/>
              <w:rPr>
                <w:rFonts w:cs="Calibri"/>
                <w:bCs/>
                <w:szCs w:val="21"/>
              </w:rPr>
            </w:pPr>
          </w:p>
        </w:tc>
        <w:tc>
          <w:tcPr>
            <w:tcW w:w="3649" w:type="dxa"/>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5" w:hRule="atLeast"/>
          <w:jc w:val="center"/>
        </w:trPr>
        <w:tc>
          <w:tcPr>
            <w:tcW w:w="2224" w:type="dxa"/>
            <w:vAlign w:val="center"/>
          </w:tcPr>
          <w:p>
            <w:pPr>
              <w:jc w:val="center"/>
              <w:rPr>
                <w:rFonts w:cs="Calibri"/>
                <w:bCs/>
                <w:szCs w:val="21"/>
              </w:rPr>
            </w:pPr>
            <w:r>
              <w:rPr>
                <w:rFonts w:cs="Calibri"/>
                <w:bCs/>
                <w:szCs w:val="21"/>
              </w:rPr>
              <w:t>价税合计</w:t>
            </w:r>
          </w:p>
        </w:tc>
        <w:tc>
          <w:tcPr>
            <w:tcW w:w="3167" w:type="dxa"/>
            <w:vAlign w:val="center"/>
          </w:tcPr>
          <w:p>
            <w:pPr>
              <w:jc w:val="right"/>
              <w:rPr>
                <w:rFonts w:cs="Calibri"/>
                <w:bCs/>
                <w:szCs w:val="21"/>
              </w:rPr>
            </w:pPr>
          </w:p>
        </w:tc>
        <w:tc>
          <w:tcPr>
            <w:tcW w:w="3649" w:type="dxa"/>
            <w:vAlign w:val="center"/>
          </w:tcPr>
          <w:p>
            <w:pPr>
              <w:jc w:val="right"/>
              <w:rPr>
                <w:rFonts w:cs="Calibri"/>
                <w:bCs/>
                <w:szCs w:val="21"/>
              </w:rPr>
            </w:pPr>
          </w:p>
        </w:tc>
      </w:tr>
    </w:tbl>
    <w:p>
      <w:pPr>
        <w:adjustRightInd w:val="0"/>
        <w:snapToGrid w:val="0"/>
        <w:jc w:val="left"/>
        <w:rPr>
          <w:rFonts w:cs="Calibri"/>
          <w:b/>
          <w:szCs w:val="21"/>
        </w:rPr>
      </w:pPr>
    </w:p>
    <w:p>
      <w:pPr>
        <w:adjustRightInd w:val="0"/>
        <w:snapToGrid w:val="0"/>
        <w:jc w:val="left"/>
        <w:rPr>
          <w:rFonts w:hint="eastAsia" w:eastAsia="宋体" w:cs="Calibri"/>
          <w:b/>
          <w:szCs w:val="21"/>
          <w:lang w:val="en-US" w:eastAsia="zh-CN"/>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9" w:firstLineChars="1890"/>
        <w:rPr>
          <w:rFonts w:cs="Calibri"/>
          <w:color w:val="000000"/>
          <w:szCs w:val="21"/>
        </w:rPr>
      </w:pPr>
      <w:r>
        <w:rPr>
          <w:rFonts w:cs="Calibri"/>
          <w:color w:val="000000"/>
          <w:szCs w:val="21"/>
        </w:rPr>
        <w:t>投标人：（盖单位章）</w:t>
      </w:r>
    </w:p>
    <w:p>
      <w:pPr>
        <w:snapToGrid w:val="0"/>
        <w:spacing w:line="440" w:lineRule="exact"/>
        <w:ind w:firstLine="3969"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9" w:firstLineChars="1890"/>
        <w:rPr>
          <w:rFonts w:cs="Calibri"/>
          <w:color w:val="000000"/>
          <w:szCs w:val="21"/>
        </w:rPr>
      </w:pPr>
      <w:r>
        <w:rPr>
          <w:rFonts w:cs="Calibri"/>
          <w:color w:val="000000"/>
          <w:szCs w:val="21"/>
        </w:rPr>
        <w:t>日期：    年     月     日</w:t>
      </w:r>
    </w:p>
    <w:p>
      <w:pPr>
        <w:adjustRightInd w:val="0"/>
        <w:snapToGrid w:val="0"/>
        <w:jc w:val="left"/>
        <w:rPr>
          <w:rFonts w:cs="Calibri"/>
          <w:b/>
          <w:szCs w:val="21"/>
        </w:rPr>
      </w:pPr>
    </w:p>
    <w:p>
      <w:pPr>
        <w:spacing w:line="440" w:lineRule="exact"/>
        <w:rPr>
          <w:rFonts w:cs="Calibri"/>
          <w:b/>
          <w:bCs/>
          <w:color w:val="000000"/>
          <w:sz w:val="32"/>
        </w:rPr>
      </w:pPr>
      <w:r>
        <w:rPr>
          <w:rFonts w:eastAsia="黑体" w:cs="Calibri"/>
          <w:bCs/>
          <w:color w:val="000000"/>
          <w:szCs w:val="21"/>
        </w:rPr>
        <w:br w:type="page"/>
      </w:r>
    </w:p>
    <w:p>
      <w:pPr>
        <w:adjustRightInd w:val="0"/>
        <w:snapToGrid w:val="0"/>
        <w:jc w:val="center"/>
        <w:rPr>
          <w:rFonts w:eastAsia="黑体" w:cs="Calibri"/>
          <w:color w:val="000000"/>
          <w:sz w:val="32"/>
          <w:szCs w:val="32"/>
        </w:rPr>
      </w:pPr>
      <w:r>
        <w:rPr>
          <w:rFonts w:hint="eastAsia" w:eastAsia="黑体" w:cs="Calibri"/>
          <w:color w:val="000000"/>
          <w:sz w:val="32"/>
          <w:szCs w:val="32"/>
          <w:lang w:val="en-US" w:eastAsia="zh-CN"/>
        </w:rPr>
        <w:t>三</w:t>
      </w:r>
      <w:r>
        <w:rPr>
          <w:rFonts w:eastAsia="黑体" w:cs="Calibri"/>
          <w:color w:val="000000"/>
          <w:sz w:val="32"/>
          <w:szCs w:val="32"/>
        </w:rPr>
        <w:t>、法定代表人身份证明</w:t>
      </w:r>
    </w:p>
    <w:p>
      <w:pPr>
        <w:spacing w:after="120" w:afterLines="50" w:line="440" w:lineRule="exact"/>
        <w:rPr>
          <w:rFonts w:cs="Calibri"/>
          <w:color w:val="000000"/>
          <w:sz w:val="24"/>
        </w:rPr>
      </w:pPr>
    </w:p>
    <w:p>
      <w:pPr>
        <w:spacing w:after="120" w:afterLines="50" w:line="440" w:lineRule="exact"/>
        <w:rPr>
          <w:rFonts w:cs="Calibri"/>
          <w:color w:val="000000"/>
          <w:szCs w:val="21"/>
          <w:u w:val="single"/>
        </w:rPr>
      </w:pPr>
      <w:r>
        <w:rPr>
          <w:rFonts w:cs="Calibri"/>
          <w:color w:val="000000"/>
          <w:szCs w:val="21"/>
        </w:rPr>
        <w:t>投标人名称：</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单位性质：</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地址：</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成立时间：</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pacing w:after="120" w:afterLines="50" w:line="440" w:lineRule="exact"/>
        <w:rPr>
          <w:rFonts w:cs="Calibri"/>
          <w:color w:val="000000"/>
          <w:szCs w:val="21"/>
          <w:u w:val="single"/>
        </w:rPr>
      </w:pPr>
      <w:r>
        <w:rPr>
          <w:rFonts w:cs="Calibri"/>
          <w:color w:val="000000"/>
          <w:szCs w:val="21"/>
        </w:rPr>
        <w:t>经营期限：</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姓名：</w:t>
      </w:r>
      <w:r>
        <w:rPr>
          <w:rFonts w:cs="Calibri"/>
          <w:color w:val="000000"/>
          <w:szCs w:val="21"/>
          <w:u w:val="single"/>
        </w:rPr>
        <w:t xml:space="preserve">         </w:t>
      </w:r>
      <w:r>
        <w:rPr>
          <w:rFonts w:cs="Calibri"/>
          <w:color w:val="000000"/>
          <w:szCs w:val="21"/>
        </w:rPr>
        <w:t xml:space="preserve">  性别：</w:t>
      </w:r>
      <w:r>
        <w:rPr>
          <w:rFonts w:cs="Calibri"/>
          <w:color w:val="000000"/>
          <w:szCs w:val="21"/>
          <w:u w:val="single"/>
        </w:rPr>
        <w:t xml:space="preserve">         </w:t>
      </w:r>
      <w:r>
        <w:rPr>
          <w:rFonts w:cs="Calibri"/>
          <w:color w:val="000000"/>
          <w:szCs w:val="21"/>
        </w:rPr>
        <w:t xml:space="preserve">  年龄：</w:t>
      </w:r>
      <w:r>
        <w:rPr>
          <w:rFonts w:cs="Calibri"/>
          <w:color w:val="000000"/>
          <w:szCs w:val="21"/>
          <w:u w:val="single"/>
        </w:rPr>
        <w:t xml:space="preserve">         </w:t>
      </w:r>
      <w:r>
        <w:rPr>
          <w:rFonts w:cs="Calibri"/>
          <w:color w:val="000000"/>
          <w:szCs w:val="21"/>
        </w:rPr>
        <w:t xml:space="preserve">  职务：</w:t>
      </w:r>
      <w:r>
        <w:rPr>
          <w:rFonts w:cs="Calibri"/>
          <w:color w:val="000000"/>
          <w:szCs w:val="21"/>
          <w:u w:val="single"/>
        </w:rPr>
        <w:t xml:space="preserve">         </w:t>
      </w:r>
      <w:r>
        <w:rPr>
          <w:rFonts w:cs="Calibri"/>
          <w:color w:val="000000"/>
          <w:szCs w:val="21"/>
        </w:rPr>
        <w:t xml:space="preserve">  </w:t>
      </w:r>
    </w:p>
    <w:p>
      <w:pPr>
        <w:spacing w:after="120" w:afterLines="50" w:line="440" w:lineRule="exact"/>
        <w:rPr>
          <w:rFonts w:cs="Calibri"/>
          <w:color w:val="000000"/>
          <w:szCs w:val="21"/>
          <w:u w:val="single"/>
        </w:rPr>
      </w:pPr>
      <w:r>
        <w:rPr>
          <w:rFonts w:cs="Calibri"/>
          <w:color w:val="000000"/>
          <w:szCs w:val="21"/>
        </w:rPr>
        <w:t>身份证号码：</w:t>
      </w:r>
      <w:r>
        <w:rPr>
          <w:rFonts w:cs="Calibri"/>
          <w:color w:val="000000"/>
          <w:szCs w:val="21"/>
          <w:u w:val="single"/>
        </w:rPr>
        <w:t xml:space="preserve">                           </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 xml:space="preserve">    系</w:t>
      </w:r>
      <w:r>
        <w:rPr>
          <w:rFonts w:cs="Calibri"/>
          <w:color w:val="000000"/>
          <w:szCs w:val="21"/>
          <w:u w:val="single"/>
        </w:rPr>
        <w:t xml:space="preserve">                          </w:t>
      </w:r>
      <w:r>
        <w:rPr>
          <w:rFonts w:cs="Calibri"/>
          <w:color w:val="000000"/>
          <w:szCs w:val="21"/>
        </w:rPr>
        <w:t>（投标人名称）的法定代表人。</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特此证明。</w:t>
      </w:r>
    </w:p>
    <w:p>
      <w:pPr>
        <w:spacing w:line="440" w:lineRule="exact"/>
        <w:rPr>
          <w:rFonts w:cs="Calibri"/>
          <w:color w:val="000000"/>
          <w:szCs w:val="21"/>
        </w:rPr>
      </w:pPr>
      <w:r>
        <w:rPr>
          <w:rFonts w:cs="Calibri"/>
          <w:color w:val="000000"/>
          <w:szCs w:val="21"/>
        </w:rPr>
        <w:t>附：法定代表人身份证复印件</w:t>
      </w:r>
    </w:p>
    <w:p>
      <w:pPr>
        <w:spacing w:line="440" w:lineRule="exact"/>
        <w:rPr>
          <w:rFonts w:cs="Calibri"/>
          <w:color w:val="000000"/>
          <w:szCs w:val="21"/>
        </w:rPr>
      </w:pPr>
      <w:r>
        <w:rPr>
          <w:rFonts w:cs="Calibri"/>
          <w:color w:val="000000"/>
          <w:szCs w:val="21"/>
        </w:rPr>
        <w:t xml:space="preserve">投标人：（盖单位章） </w:t>
      </w:r>
    </w:p>
    <w:p>
      <w:pPr>
        <w:spacing w:line="440" w:lineRule="exact"/>
        <w:ind w:firstLine="6240" w:firstLineChars="2960"/>
        <w:rPr>
          <w:rFonts w:cs="Calibri"/>
          <w:b/>
          <w:color w:val="000000"/>
          <w:szCs w:val="21"/>
        </w:rPr>
      </w:pPr>
      <w:r>
        <w:rPr>
          <w:rFonts w:cs="Calibri"/>
          <w:b/>
          <w:color w:val="000000"/>
          <w:szCs w:val="21"/>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1026" name="Text Box 6"/>
                <wp:cNvGraphicFramePr/>
                <a:graphic xmlns:a="http://schemas.openxmlformats.org/drawingml/2006/main">
                  <a:graphicData uri="http://schemas.microsoft.com/office/word/2010/wordprocessingShape">
                    <wps:wsp>
                      <wps:cNvSpPr/>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vert="horz" wrap="square" lIns="91440" tIns="45720" rIns="91440" bIns="45720" anchor="t" upright="1">
                        <a:noAutofit/>
                      </wps:bodyPr>
                    </wps:wsp>
                  </a:graphicData>
                </a:graphic>
              </wp:anchor>
            </w:drawing>
          </mc:Choice>
          <mc:Fallback>
            <w:pict>
              <v:rect id="Text Box 6" o:spid="_x0000_s1026" o:spt="1" style="position:absolute;left:0pt;margin-left:0pt;margin-top:31.2pt;height:171.6pt;width:423pt;mso-wrap-distance-bottom:0pt;mso-wrap-distance-left:9pt;mso-wrap-distance-right:9pt;mso-wrap-distance-top:0pt;z-index:251657216;mso-width-relative:page;mso-height-relative:page;" fillcolor="#FFFFFF" filled="t" stroked="t" coordsize="21600,21600" o:gfxdata="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6Yi9vWAAAABwEA&#10;AA8AAAAAAAAAAQAgAAAAIgAAAGRycy9kb3ducmV2LnhtbFBLAQIUABQAAAAIAIdO4kDY6Yy7HAIA&#10;AFQEAAAOAAAAAAAAAAEAIAAAACUBAABkcnMvZTJvRG9jLnhtbFBLBQYAAAAABgAGAFkBAACzBQAA&#10;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rect>
            </w:pict>
          </mc:Fallback>
        </mc:AlternateContent>
      </w:r>
      <w:r>
        <w:rPr>
          <w:rFonts w:cs="Calibri"/>
          <w:color w:val="000000"/>
          <w:szCs w:val="21"/>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lang w:val="en-US" w:eastAsia="zh-CN"/>
        </w:rPr>
        <w:t>四</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20" w:firstLineChars="200"/>
        <w:rPr>
          <w:rFonts w:cs="Calibri"/>
          <w:color w:val="000000"/>
          <w:szCs w:val="21"/>
        </w:rPr>
      </w:pPr>
      <w:r>
        <w:rPr>
          <w:rFonts w:cs="Calibri"/>
          <w:color w:val="000000"/>
          <w:szCs w:val="21"/>
        </w:rPr>
        <w:t>本人</w:t>
      </w:r>
      <w:r>
        <w:rPr>
          <w:rFonts w:cs="Calibri"/>
          <w:color w:val="000000"/>
          <w:szCs w:val="21"/>
          <w:u w:val="single"/>
        </w:rPr>
        <w:t xml:space="preserve">        </w:t>
      </w:r>
      <w:r>
        <w:rPr>
          <w:rFonts w:cs="Calibri"/>
          <w:color w:val="000000"/>
          <w:szCs w:val="21"/>
        </w:rPr>
        <w:t>（姓名）系</w:t>
      </w:r>
      <w:r>
        <w:rPr>
          <w:rFonts w:cs="Calibri"/>
          <w:color w:val="000000"/>
          <w:szCs w:val="21"/>
          <w:u w:val="single"/>
        </w:rPr>
        <w:t xml:space="preserve">                </w:t>
      </w:r>
      <w:r>
        <w:rPr>
          <w:rFonts w:cs="Calibri"/>
          <w:color w:val="000000"/>
          <w:szCs w:val="21"/>
        </w:rPr>
        <w:t>（投标人名称）的法定代表人，现委托</w:t>
      </w:r>
      <w:r>
        <w:rPr>
          <w:rFonts w:cs="Calibri"/>
          <w:color w:val="000000"/>
          <w:szCs w:val="21"/>
          <w:u w:val="single"/>
        </w:rPr>
        <w:t xml:space="preserve">      </w:t>
      </w:r>
      <w:r>
        <w:rPr>
          <w:rFonts w:cs="Calibri"/>
          <w:color w:val="000000"/>
          <w:szCs w:val="21"/>
        </w:rPr>
        <w:t>（姓名）为我方代理人。代理人根据授权，以我方名义签署、澄清、说明、补正、递交、撤回、修改</w:t>
      </w:r>
      <w:r>
        <w:rPr>
          <w:rFonts w:cs="Calibri"/>
          <w:color w:val="000000"/>
          <w:szCs w:val="21"/>
          <w:u w:val="single"/>
        </w:rPr>
        <w:t xml:space="preserve">              </w:t>
      </w:r>
      <w:r>
        <w:rPr>
          <w:rFonts w:cs="Calibri"/>
          <w:color w:val="000000"/>
          <w:szCs w:val="21"/>
        </w:rPr>
        <w:t>（项目名称）投标文件、签订合同和处理有关事宜，其法律后果由我方承担。</w:t>
      </w:r>
    </w:p>
    <w:p>
      <w:pPr>
        <w:spacing w:line="440" w:lineRule="exact"/>
        <w:ind w:firstLine="420" w:firstLineChars="200"/>
        <w:rPr>
          <w:rFonts w:cs="Calibri"/>
          <w:color w:val="000000"/>
          <w:szCs w:val="21"/>
        </w:rPr>
      </w:pPr>
      <w:r>
        <w:rPr>
          <w:rFonts w:cs="Calibri"/>
          <w:color w:val="000000"/>
          <w:szCs w:val="21"/>
        </w:rPr>
        <w:t>代理人无转委托权。</w:t>
      </w:r>
    </w:p>
    <w:p>
      <w:pPr>
        <w:spacing w:line="440" w:lineRule="exact"/>
        <w:ind w:firstLine="420" w:firstLineChars="200"/>
        <w:rPr>
          <w:rFonts w:cs="Calibri"/>
          <w:color w:val="000000"/>
          <w:szCs w:val="21"/>
        </w:rPr>
      </w:pPr>
      <w:r>
        <w:rPr>
          <w:rFonts w:cs="Calibri"/>
          <w:color w:val="000000"/>
          <w:szCs w:val="21"/>
        </w:rPr>
        <w:t>附：委托代理人身份证复印件</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投标人：（盖单位章）</w:t>
      </w:r>
    </w:p>
    <w:p>
      <w:pPr>
        <w:spacing w:line="440" w:lineRule="exact"/>
        <w:rPr>
          <w:rFonts w:cs="Calibri"/>
          <w:color w:val="000000"/>
          <w:szCs w:val="21"/>
        </w:rPr>
      </w:pPr>
      <w:r>
        <w:rPr>
          <w:rFonts w:cs="Calibri"/>
          <w:color w:val="000000"/>
          <w:szCs w:val="21"/>
        </w:rPr>
        <w:t>法定代表人：（签字或盖章）</w:t>
      </w:r>
    </w:p>
    <w:p>
      <w:pPr>
        <w:spacing w:line="440" w:lineRule="exact"/>
        <w:rPr>
          <w:rFonts w:cs="Calibri"/>
          <w:color w:val="000000"/>
          <w:szCs w:val="21"/>
        </w:rPr>
      </w:pPr>
      <w:r>
        <w:rPr>
          <w:rFonts w:cs="Calibri"/>
          <w:color w:val="000000"/>
          <w:szCs w:val="21"/>
        </w:rPr>
        <w:t>身份证号码：</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委托的代理人：（签字或盖章）</w:t>
      </w:r>
    </w:p>
    <w:p>
      <w:pPr>
        <w:spacing w:line="440" w:lineRule="exact"/>
        <w:rPr>
          <w:rFonts w:cs="Calibri"/>
          <w:color w:val="000000"/>
          <w:szCs w:val="21"/>
        </w:rPr>
      </w:pPr>
      <w:r>
        <w:rPr>
          <w:rFonts w:cs="Calibri"/>
          <w:color w:val="000000"/>
          <w:szCs w:val="21"/>
        </w:rPr>
        <w:t>身份证号码：</w:t>
      </w:r>
    </w:p>
    <w:p>
      <w:pPr>
        <w:spacing w:line="440" w:lineRule="exact"/>
        <w:ind w:firstLine="4515" w:firstLineChars="2150"/>
        <w:rPr>
          <w:rFonts w:cs="Calibri"/>
          <w:color w:val="000000"/>
          <w:szCs w:val="21"/>
        </w:rPr>
      </w:pPr>
      <w:r>
        <w:rPr>
          <w:rFonts w:cs="Calibri"/>
          <w:color w:val="000000"/>
          <w:szCs w:val="21"/>
        </w:rPr>
        <w:t>日期：</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58240"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027" name="Text Box 7"/>
                <wp:cNvGraphicFramePr/>
                <a:graphic xmlns:a="http://schemas.openxmlformats.org/drawingml/2006/main">
                  <a:graphicData uri="http://schemas.microsoft.com/office/word/2010/wordprocessingShape">
                    <wps:wsp>
                      <wps:cNvSpPr/>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vert="horz" wrap="square" lIns="91440" tIns="45720" rIns="91440" bIns="45720" anchor="t" upright="1">
                        <a:noAutofit/>
                      </wps:bodyPr>
                    </wps:wsp>
                  </a:graphicData>
                </a:graphic>
              </wp:anchor>
            </w:drawing>
          </mc:Choice>
          <mc:Fallback>
            <w:pict>
              <v:rect id="Text Box 7" o:spid="_x0000_s1026" o:spt="1" style="position:absolute;left:0pt;margin-left:9.15pt;margin-top:20.8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BMx1ldcAAAAJ&#10;AQAADwAAAAAAAAABACAAAAAiAAAAZHJzL2Rvd25yZXYueG1sUEsBAhQAFAAAAAgAh07iQOr7UZcd&#10;AgAAVAQAAA4AAAAAAAAAAQAgAAAAJgEAAGRycy9lMm9Eb2MueG1sUEsFBgAAAAAGAAYAWQEAALUF&#10;A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rect>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Cs w:val="21"/>
        </w:rPr>
      </w:pPr>
      <w:r>
        <w:rPr>
          <w:rFonts w:cs="Calibri"/>
          <w:color w:val="000000"/>
          <w:szCs w:val="21"/>
        </w:rPr>
        <w:t>注：如投标文件由委托代理人签字或盖章的，投标文件必须附此授权委托书。</w:t>
      </w: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b/>
          <w:bCs/>
          <w:color w:val="000000"/>
          <w:sz w:val="32"/>
        </w:rPr>
      </w:pPr>
    </w:p>
    <w:p>
      <w:pPr>
        <w:widowControl/>
        <w:jc w:val="left"/>
        <w:rPr>
          <w:rFonts w:cs="Calibri"/>
          <w:b/>
          <w:bCs/>
          <w:color w:val="000000"/>
          <w:sz w:val="32"/>
        </w:rPr>
      </w:pPr>
      <w:r>
        <w:rPr>
          <w:rFonts w:cs="Calibri"/>
          <w:b/>
          <w:bCs/>
          <w:color w:val="000000"/>
          <w:sz w:val="32"/>
        </w:rPr>
        <w:br w:type="page"/>
      </w:r>
    </w:p>
    <w:p>
      <w:pPr>
        <w:spacing w:line="440" w:lineRule="exact"/>
        <w:jc w:val="center"/>
        <w:rPr>
          <w:rFonts w:eastAsia="黑体" w:cs="Calibri"/>
          <w:color w:val="000000"/>
          <w:sz w:val="32"/>
          <w:szCs w:val="32"/>
        </w:rPr>
      </w:pPr>
      <w:r>
        <w:rPr>
          <w:rFonts w:eastAsia="黑体" w:cs="Calibri"/>
          <w:color w:val="000000"/>
          <w:sz w:val="32"/>
          <w:szCs w:val="32"/>
        </w:rPr>
        <w:t>五、投标人资格证明文件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r>
        <w:rPr>
          <w:rFonts w:eastAsia="黑体" w:cs="Calibri"/>
          <w:color w:val="000000"/>
          <w:sz w:val="32"/>
          <w:szCs w:val="32"/>
        </w:rPr>
        <w:t>（一）投标人一般情况</w:t>
      </w:r>
    </w:p>
    <w:tbl>
      <w:tblPr>
        <w:tblStyle w:val="20"/>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企业技术</w:t>
            </w:r>
          </w:p>
          <w:p>
            <w:pPr>
              <w:snapToGrid w:val="0"/>
              <w:jc w:val="center"/>
              <w:rPr>
                <w:rFonts w:cs="Calibri"/>
                <w:szCs w:val="21"/>
              </w:rPr>
            </w:pPr>
            <w:r>
              <w:rPr>
                <w:rFonts w:cs="Calibri"/>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p>
            <w:pPr>
              <w:snapToGrid w:val="0"/>
              <w:ind w:firstLine="210" w:firstLineChars="100"/>
              <w:jc w:val="center"/>
              <w:rPr>
                <w:rFonts w:cs="Calibri"/>
                <w:szCs w:val="21"/>
              </w:rPr>
            </w:pPr>
            <w:r>
              <w:rPr>
                <w:rFonts w:cs="Calibri"/>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在册人数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初级职称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ind w:firstLine="210" w:firstLineChars="100"/>
              <w:jc w:val="center"/>
              <w:rPr>
                <w:rFonts w:cs="Calibri"/>
                <w:szCs w:val="21"/>
              </w:rPr>
            </w:pPr>
            <w:r>
              <w:rPr>
                <w:rFonts w:cs="Calibri"/>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联系人姓名</w:t>
            </w:r>
          </w:p>
          <w:p>
            <w:pPr>
              <w:snapToGrid w:val="0"/>
              <w:jc w:val="center"/>
              <w:rPr>
                <w:rFonts w:cs="Calibri"/>
                <w:szCs w:val="21"/>
              </w:rPr>
            </w:pPr>
            <w:r>
              <w:rPr>
                <w:rFonts w:cs="Calibri"/>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过去3年完成</w:t>
            </w:r>
          </w:p>
          <w:p>
            <w:pPr>
              <w:snapToGrid w:val="0"/>
              <w:jc w:val="center"/>
              <w:rPr>
                <w:rFonts w:cs="Calibri"/>
                <w:szCs w:val="21"/>
              </w:rPr>
            </w:pPr>
            <w:r>
              <w:rPr>
                <w:rFonts w:cs="Calibri"/>
                <w:szCs w:val="21"/>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c>
          <w:tcPr>
            <w:tcW w:w="1190" w:type="dxa"/>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r>
    </w:tbl>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widowControl/>
        <w:jc w:val="left"/>
        <w:rPr>
          <w:rFonts w:cs="Calibri"/>
          <w:b/>
          <w:sz w:val="36"/>
          <w:szCs w:val="36"/>
        </w:rPr>
      </w:pPr>
      <w:r>
        <w:rPr>
          <w:rFonts w:cs="Calibri"/>
          <w:b/>
          <w:sz w:val="36"/>
          <w:szCs w:val="36"/>
        </w:rPr>
        <w:br w:type="page"/>
      </w:r>
    </w:p>
    <w:p>
      <w:pPr>
        <w:numPr>
          <w:ilvl w:val="0"/>
          <w:numId w:val="0"/>
        </w:numPr>
        <w:spacing w:line="440" w:lineRule="exact"/>
        <w:jc w:val="center"/>
        <w:rPr>
          <w:rFonts w:eastAsia="黑体" w:cs="Calibri"/>
          <w:color w:val="000000"/>
          <w:sz w:val="32"/>
          <w:szCs w:val="32"/>
        </w:rPr>
      </w:pPr>
      <w:r>
        <w:rPr>
          <w:rFonts w:hint="eastAsia" w:eastAsia="黑体" w:cs="Calibri"/>
          <w:color w:val="000000"/>
          <w:sz w:val="32"/>
          <w:szCs w:val="32"/>
          <w:lang w:eastAsia="zh-CN"/>
        </w:rPr>
        <w:t>（</w:t>
      </w:r>
      <w:r>
        <w:rPr>
          <w:rFonts w:hint="eastAsia" w:eastAsia="黑体" w:cs="Calibri"/>
          <w:color w:val="000000"/>
          <w:sz w:val="32"/>
          <w:szCs w:val="32"/>
          <w:lang w:val="en-US" w:eastAsia="zh-CN"/>
        </w:rPr>
        <w:t>四</w:t>
      </w:r>
      <w:r>
        <w:rPr>
          <w:rFonts w:hint="eastAsia" w:eastAsia="黑体" w:cs="Calibri"/>
          <w:color w:val="000000"/>
          <w:sz w:val="32"/>
          <w:szCs w:val="32"/>
          <w:lang w:eastAsia="zh-CN"/>
        </w:rPr>
        <w:t>）</w:t>
      </w:r>
      <w:r>
        <w:rPr>
          <w:rFonts w:eastAsia="黑体" w:cs="Calibri"/>
          <w:color w:val="000000"/>
          <w:sz w:val="32"/>
          <w:szCs w:val="32"/>
        </w:rPr>
        <w:t>近三年完成类似</w:t>
      </w:r>
      <w:r>
        <w:rPr>
          <w:rFonts w:hint="eastAsia" w:eastAsia="黑体" w:cs="Calibri"/>
          <w:color w:val="000000"/>
          <w:sz w:val="32"/>
          <w:szCs w:val="32"/>
        </w:rPr>
        <w:t>项目业绩</w:t>
      </w:r>
      <w:r>
        <w:rPr>
          <w:rFonts w:eastAsia="黑体" w:cs="Calibri"/>
          <w:color w:val="000000"/>
          <w:sz w:val="32"/>
          <w:szCs w:val="32"/>
        </w:rPr>
        <w:t>情况</w:t>
      </w:r>
    </w:p>
    <w:p>
      <w:pPr>
        <w:pStyle w:val="4"/>
        <w:spacing w:before="156" w:after="156"/>
        <w:rPr>
          <w:rFonts w:ascii="宋体" w:hAnsi="宋体" w:eastAsia="宋体" w:cs="宋体"/>
          <w:sz w:val="21"/>
          <w:szCs w:val="21"/>
        </w:rPr>
      </w:pPr>
    </w:p>
    <w:tbl>
      <w:tblPr>
        <w:tblStyle w:val="20"/>
        <w:tblW w:w="9446" w:type="dxa"/>
        <w:tblInd w:w="0" w:type="dxa"/>
        <w:tblLayout w:type="fixed"/>
        <w:tblCellMar>
          <w:top w:w="0" w:type="dxa"/>
          <w:left w:w="0" w:type="dxa"/>
          <w:bottom w:w="0" w:type="dxa"/>
          <w:right w:w="0" w:type="dxa"/>
        </w:tblCellMar>
      </w:tblPr>
      <w:tblGrid>
        <w:gridCol w:w="538"/>
        <w:gridCol w:w="1648"/>
        <w:gridCol w:w="1095"/>
        <w:gridCol w:w="2385"/>
        <w:gridCol w:w="1515"/>
        <w:gridCol w:w="2265"/>
      </w:tblGrid>
      <w:tr>
        <w:tblPrEx>
          <w:tblLayout w:type="fixed"/>
          <w:tblCellMar>
            <w:top w:w="0" w:type="dxa"/>
            <w:left w:w="0" w:type="dxa"/>
            <w:bottom w:w="0" w:type="dxa"/>
            <w:right w:w="0" w:type="dxa"/>
          </w:tblCellMar>
        </w:tblPrEx>
        <w:trPr>
          <w:trHeight w:val="1089" w:hRule="atLeast"/>
        </w:trPr>
        <w:tc>
          <w:tcPr>
            <w:tcW w:w="538" w:type="dxa"/>
            <w:tcBorders>
              <w:top w:val="single" w:color="000000" w:sz="6" w:space="0"/>
              <w:left w:val="single" w:color="000000" w:sz="6"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Cs w:val="21"/>
              </w:rPr>
            </w:pPr>
            <w:bookmarkStart w:id="121" w:name="_Toc438052133"/>
            <w:bookmarkEnd w:id="121"/>
            <w:r>
              <w:rPr>
                <w:rFonts w:ascii="宋体" w:hAnsi="宋体" w:cs="宋体"/>
                <w:szCs w:val="21"/>
              </w:rPr>
              <w:t>序号</w:t>
            </w:r>
          </w:p>
        </w:tc>
        <w:tc>
          <w:tcPr>
            <w:tcW w:w="1648" w:type="dxa"/>
            <w:tcBorders>
              <w:top w:val="single" w:color="000000" w:sz="6" w:space="0"/>
              <w:left w:val="single" w:color="000000" w:sz="4"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Cs w:val="21"/>
              </w:rPr>
            </w:pPr>
            <w:r>
              <w:rPr>
                <w:rFonts w:ascii="宋体" w:hAnsi="宋体" w:cs="宋体"/>
                <w:szCs w:val="21"/>
              </w:rPr>
              <w:t>建设单位名称</w:t>
            </w:r>
          </w:p>
        </w:tc>
        <w:tc>
          <w:tcPr>
            <w:tcW w:w="1095" w:type="dxa"/>
            <w:tcBorders>
              <w:top w:val="single" w:color="000000" w:sz="6" w:space="0"/>
              <w:left w:val="single" w:color="000000" w:sz="4"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Cs w:val="21"/>
              </w:rPr>
            </w:pPr>
            <w:r>
              <w:rPr>
                <w:rFonts w:ascii="宋体" w:hAnsi="宋体" w:cs="宋体"/>
                <w:szCs w:val="21"/>
              </w:rPr>
              <w:t>建设单位证明人及电话</w:t>
            </w:r>
          </w:p>
        </w:tc>
        <w:tc>
          <w:tcPr>
            <w:tcW w:w="2385" w:type="dxa"/>
            <w:tcBorders>
              <w:top w:val="single" w:color="000000" w:sz="6" w:space="0"/>
              <w:left w:val="single" w:color="000000" w:sz="4"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Cs w:val="21"/>
              </w:rPr>
            </w:pPr>
            <w:r>
              <w:rPr>
                <w:rFonts w:ascii="宋体" w:hAnsi="宋体" w:cs="宋体"/>
                <w:szCs w:val="21"/>
              </w:rPr>
              <w:t>项目</w:t>
            </w:r>
            <w:r>
              <w:rPr>
                <w:rFonts w:ascii="宋体" w:hAnsi="宋体" w:cs="宋体"/>
                <w:szCs w:val="21"/>
              </w:rPr>
              <w:br w:type="textWrapping"/>
            </w:r>
            <w:r>
              <w:rPr>
                <w:rFonts w:ascii="宋体" w:hAnsi="宋体" w:cs="宋体"/>
                <w:szCs w:val="21"/>
              </w:rPr>
              <w:t>名称</w:t>
            </w:r>
          </w:p>
        </w:tc>
        <w:tc>
          <w:tcPr>
            <w:tcW w:w="1515" w:type="dxa"/>
            <w:tcBorders>
              <w:top w:val="single" w:color="000000" w:sz="6" w:space="0"/>
              <w:left w:val="single" w:color="000000" w:sz="4" w:space="0"/>
              <w:bottom w:val="single" w:color="000000" w:sz="4" w:space="0"/>
              <w:right w:val="single" w:color="000000" w:sz="4" w:space="0"/>
            </w:tcBorders>
            <w:vAlign w:val="center"/>
          </w:tcPr>
          <w:p>
            <w:pPr>
              <w:tabs>
                <w:tab w:val="left" w:pos="-108"/>
                <w:tab w:val="left" w:pos="8347"/>
              </w:tabs>
              <w:spacing w:before="100" w:beforeAutospacing="1" w:after="100" w:afterAutospacing="1" w:line="0" w:lineRule="atLeast"/>
              <w:ind w:left="-109" w:right="-42"/>
              <w:jc w:val="center"/>
              <w:rPr>
                <w:rFonts w:ascii="宋体" w:hAnsi="宋体" w:cs="宋体"/>
                <w:szCs w:val="21"/>
              </w:rPr>
            </w:pPr>
            <w:r>
              <w:rPr>
                <w:rFonts w:ascii="宋体" w:hAnsi="宋体" w:cs="宋体"/>
                <w:szCs w:val="21"/>
              </w:rPr>
              <w:t>合同金额</w:t>
            </w:r>
            <w:r>
              <w:rPr>
                <w:rFonts w:ascii="宋体" w:hAnsi="宋体" w:cs="宋体"/>
                <w:szCs w:val="21"/>
              </w:rPr>
              <w:br w:type="textWrapping"/>
            </w:r>
            <w:r>
              <w:rPr>
                <w:rFonts w:ascii="宋体" w:hAnsi="宋体" w:cs="宋体"/>
                <w:szCs w:val="21"/>
              </w:rPr>
              <w:t>（元）</w:t>
            </w:r>
          </w:p>
        </w:tc>
        <w:tc>
          <w:tcPr>
            <w:tcW w:w="2265" w:type="dxa"/>
            <w:tcBorders>
              <w:top w:val="single" w:color="000000" w:sz="6" w:space="0"/>
              <w:left w:val="single" w:color="000000" w:sz="4" w:space="0"/>
              <w:bottom w:val="single" w:color="000000" w:sz="4" w:space="0"/>
              <w:right w:val="single" w:color="000000" w:sz="6"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Cs w:val="21"/>
              </w:rPr>
            </w:pPr>
            <w:r>
              <w:rPr>
                <w:rFonts w:ascii="宋体" w:hAnsi="宋体" w:cs="宋体"/>
                <w:szCs w:val="21"/>
              </w:rPr>
              <w:t>备注</w:t>
            </w:r>
          </w:p>
        </w:tc>
      </w:tr>
      <w:tr>
        <w:tblPrEx>
          <w:tblLayout w:type="fixed"/>
          <w:tblCellMar>
            <w:top w:w="0" w:type="dxa"/>
            <w:left w:w="0" w:type="dxa"/>
            <w:bottom w:w="0" w:type="dxa"/>
            <w:right w:w="0" w:type="dxa"/>
          </w:tblCellMar>
        </w:tblPrEx>
        <w:trPr>
          <w:trHeight w:val="451" w:hRule="atLeast"/>
        </w:trPr>
        <w:tc>
          <w:tcPr>
            <w:tcW w:w="538" w:type="dxa"/>
            <w:tcBorders>
              <w:top w:val="single" w:color="000000" w:sz="4" w:space="0"/>
              <w:left w:val="single" w:color="000000" w:sz="6"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Cs w:val="21"/>
              </w:rPr>
            </w:pPr>
          </w:p>
        </w:tc>
        <w:tc>
          <w:tcPr>
            <w:tcW w:w="2385"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Cs w:val="21"/>
              </w:rPr>
            </w:pPr>
          </w:p>
        </w:tc>
        <w:tc>
          <w:tcPr>
            <w:tcW w:w="2265" w:type="dxa"/>
            <w:tcBorders>
              <w:top w:val="single" w:color="000000" w:sz="4" w:space="0"/>
              <w:left w:val="single" w:color="000000" w:sz="4" w:space="0"/>
              <w:bottom w:val="single" w:color="000000" w:sz="4" w:space="0"/>
              <w:right w:val="single" w:color="000000" w:sz="6"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Cs w:val="21"/>
              </w:rPr>
            </w:pPr>
          </w:p>
        </w:tc>
      </w:tr>
      <w:tr>
        <w:tblPrEx>
          <w:tblLayout w:type="fixed"/>
          <w:tblCellMar>
            <w:top w:w="0" w:type="dxa"/>
            <w:left w:w="0" w:type="dxa"/>
            <w:bottom w:w="0" w:type="dxa"/>
            <w:right w:w="0" w:type="dxa"/>
          </w:tblCellMar>
        </w:tblPrEx>
        <w:trPr>
          <w:trHeight w:val="451" w:hRule="atLeast"/>
        </w:trPr>
        <w:tc>
          <w:tcPr>
            <w:tcW w:w="538" w:type="dxa"/>
            <w:tcBorders>
              <w:top w:val="single" w:color="000000" w:sz="4" w:space="0"/>
              <w:left w:val="single" w:color="000000" w:sz="6"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Cs w:val="21"/>
              </w:rPr>
            </w:pPr>
          </w:p>
        </w:tc>
        <w:tc>
          <w:tcPr>
            <w:tcW w:w="2385"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Cs w:val="21"/>
              </w:rPr>
            </w:pPr>
          </w:p>
        </w:tc>
        <w:tc>
          <w:tcPr>
            <w:tcW w:w="2265" w:type="dxa"/>
            <w:tcBorders>
              <w:top w:val="single" w:color="000000" w:sz="4" w:space="0"/>
              <w:left w:val="single" w:color="000000" w:sz="4" w:space="0"/>
              <w:bottom w:val="single" w:color="000000" w:sz="4" w:space="0"/>
              <w:right w:val="single" w:color="000000" w:sz="6"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Cs w:val="21"/>
              </w:rPr>
            </w:pPr>
          </w:p>
        </w:tc>
      </w:tr>
      <w:tr>
        <w:tblPrEx>
          <w:tblLayout w:type="fixed"/>
          <w:tblCellMar>
            <w:top w:w="0" w:type="dxa"/>
            <w:left w:w="0" w:type="dxa"/>
            <w:bottom w:w="0" w:type="dxa"/>
            <w:right w:w="0" w:type="dxa"/>
          </w:tblCellMar>
        </w:tblPrEx>
        <w:trPr>
          <w:trHeight w:val="451" w:hRule="atLeast"/>
        </w:trPr>
        <w:tc>
          <w:tcPr>
            <w:tcW w:w="538" w:type="dxa"/>
            <w:tcBorders>
              <w:top w:val="single" w:color="000000" w:sz="4" w:space="0"/>
              <w:left w:val="single" w:color="000000" w:sz="6"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Cs w:val="21"/>
              </w:rPr>
            </w:pPr>
          </w:p>
        </w:tc>
        <w:tc>
          <w:tcPr>
            <w:tcW w:w="2385"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Cs w:val="21"/>
              </w:rPr>
            </w:pPr>
          </w:p>
        </w:tc>
        <w:tc>
          <w:tcPr>
            <w:tcW w:w="2265" w:type="dxa"/>
            <w:tcBorders>
              <w:top w:val="single" w:color="000000" w:sz="4" w:space="0"/>
              <w:left w:val="single" w:color="000000" w:sz="4" w:space="0"/>
              <w:bottom w:val="single" w:color="000000" w:sz="4" w:space="0"/>
              <w:right w:val="single" w:color="000000" w:sz="6"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Cs w:val="21"/>
              </w:rPr>
            </w:pPr>
          </w:p>
        </w:tc>
      </w:tr>
      <w:tr>
        <w:tblPrEx>
          <w:tblLayout w:type="fixed"/>
          <w:tblCellMar>
            <w:top w:w="0" w:type="dxa"/>
            <w:left w:w="0" w:type="dxa"/>
            <w:bottom w:w="0" w:type="dxa"/>
            <w:right w:w="0" w:type="dxa"/>
          </w:tblCellMar>
        </w:tblPrEx>
        <w:trPr>
          <w:trHeight w:val="451" w:hRule="atLeast"/>
        </w:trPr>
        <w:tc>
          <w:tcPr>
            <w:tcW w:w="538" w:type="dxa"/>
            <w:tcBorders>
              <w:top w:val="single" w:color="000000" w:sz="4" w:space="0"/>
              <w:left w:val="single" w:color="000000" w:sz="6"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Cs w:val="21"/>
              </w:rPr>
            </w:pPr>
          </w:p>
        </w:tc>
        <w:tc>
          <w:tcPr>
            <w:tcW w:w="2385"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Cs w:val="21"/>
              </w:rPr>
            </w:pPr>
          </w:p>
        </w:tc>
        <w:tc>
          <w:tcPr>
            <w:tcW w:w="2265" w:type="dxa"/>
            <w:tcBorders>
              <w:top w:val="single" w:color="000000" w:sz="4" w:space="0"/>
              <w:left w:val="single" w:color="000000" w:sz="4" w:space="0"/>
              <w:bottom w:val="single" w:color="000000" w:sz="4" w:space="0"/>
              <w:right w:val="single" w:color="000000" w:sz="6"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Cs w:val="21"/>
              </w:rPr>
            </w:pPr>
          </w:p>
        </w:tc>
      </w:tr>
      <w:tr>
        <w:tblPrEx>
          <w:tblLayout w:type="fixed"/>
          <w:tblCellMar>
            <w:top w:w="0" w:type="dxa"/>
            <w:left w:w="0" w:type="dxa"/>
            <w:bottom w:w="0" w:type="dxa"/>
            <w:right w:w="0" w:type="dxa"/>
          </w:tblCellMar>
        </w:tblPrEx>
        <w:trPr>
          <w:trHeight w:val="451" w:hRule="atLeast"/>
        </w:trPr>
        <w:tc>
          <w:tcPr>
            <w:tcW w:w="538" w:type="dxa"/>
            <w:tcBorders>
              <w:top w:val="single" w:color="000000" w:sz="4" w:space="0"/>
              <w:left w:val="single" w:color="000000" w:sz="6"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Cs w:val="21"/>
              </w:rPr>
            </w:pPr>
          </w:p>
        </w:tc>
        <w:tc>
          <w:tcPr>
            <w:tcW w:w="2385"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Cs w:val="21"/>
              </w:rPr>
            </w:pPr>
          </w:p>
        </w:tc>
        <w:tc>
          <w:tcPr>
            <w:tcW w:w="2265" w:type="dxa"/>
            <w:tcBorders>
              <w:top w:val="single" w:color="000000" w:sz="4" w:space="0"/>
              <w:left w:val="single" w:color="000000" w:sz="4" w:space="0"/>
              <w:bottom w:val="single" w:color="000000" w:sz="4" w:space="0"/>
              <w:right w:val="single" w:color="000000" w:sz="6"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Cs w:val="21"/>
              </w:rPr>
            </w:pPr>
          </w:p>
        </w:tc>
      </w:tr>
      <w:tr>
        <w:tblPrEx>
          <w:tblLayout w:type="fixed"/>
          <w:tblCellMar>
            <w:top w:w="0" w:type="dxa"/>
            <w:left w:w="0" w:type="dxa"/>
            <w:bottom w:w="0" w:type="dxa"/>
            <w:right w:w="0" w:type="dxa"/>
          </w:tblCellMar>
        </w:tblPrEx>
        <w:trPr>
          <w:trHeight w:val="451" w:hRule="atLeast"/>
        </w:trPr>
        <w:tc>
          <w:tcPr>
            <w:tcW w:w="538" w:type="dxa"/>
            <w:tcBorders>
              <w:top w:val="single" w:color="000000" w:sz="4" w:space="0"/>
              <w:left w:val="single" w:color="000000" w:sz="6"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Cs w:val="21"/>
              </w:rPr>
            </w:pPr>
          </w:p>
        </w:tc>
        <w:tc>
          <w:tcPr>
            <w:tcW w:w="2385"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Cs w:val="21"/>
              </w:rPr>
            </w:pPr>
          </w:p>
        </w:tc>
        <w:tc>
          <w:tcPr>
            <w:tcW w:w="2265" w:type="dxa"/>
            <w:tcBorders>
              <w:top w:val="single" w:color="000000" w:sz="4" w:space="0"/>
              <w:left w:val="single" w:color="000000" w:sz="4" w:space="0"/>
              <w:bottom w:val="single" w:color="000000" w:sz="4" w:space="0"/>
              <w:right w:val="single" w:color="000000" w:sz="6"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Cs w:val="21"/>
              </w:rPr>
            </w:pPr>
          </w:p>
        </w:tc>
      </w:tr>
      <w:tr>
        <w:tblPrEx>
          <w:tblLayout w:type="fixed"/>
          <w:tblCellMar>
            <w:top w:w="0" w:type="dxa"/>
            <w:left w:w="0" w:type="dxa"/>
            <w:bottom w:w="0" w:type="dxa"/>
            <w:right w:w="0" w:type="dxa"/>
          </w:tblCellMar>
        </w:tblPrEx>
        <w:trPr>
          <w:trHeight w:val="451" w:hRule="atLeast"/>
        </w:trPr>
        <w:tc>
          <w:tcPr>
            <w:tcW w:w="538" w:type="dxa"/>
            <w:tcBorders>
              <w:top w:val="single" w:color="000000" w:sz="4" w:space="0"/>
              <w:left w:val="single" w:color="000000" w:sz="6"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Cs w:val="21"/>
              </w:rPr>
            </w:pPr>
          </w:p>
        </w:tc>
        <w:tc>
          <w:tcPr>
            <w:tcW w:w="2385"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Cs w:val="21"/>
              </w:rPr>
            </w:pPr>
          </w:p>
        </w:tc>
        <w:tc>
          <w:tcPr>
            <w:tcW w:w="2265" w:type="dxa"/>
            <w:tcBorders>
              <w:top w:val="single" w:color="000000" w:sz="4" w:space="0"/>
              <w:left w:val="single" w:color="000000" w:sz="4" w:space="0"/>
              <w:bottom w:val="single" w:color="000000" w:sz="4" w:space="0"/>
              <w:right w:val="single" w:color="000000" w:sz="6"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Cs w:val="21"/>
              </w:rPr>
            </w:pPr>
          </w:p>
        </w:tc>
      </w:tr>
      <w:tr>
        <w:tblPrEx>
          <w:tblLayout w:type="fixed"/>
          <w:tblCellMar>
            <w:top w:w="0" w:type="dxa"/>
            <w:left w:w="0" w:type="dxa"/>
            <w:bottom w:w="0" w:type="dxa"/>
            <w:right w:w="0" w:type="dxa"/>
          </w:tblCellMar>
        </w:tblPrEx>
        <w:trPr>
          <w:trHeight w:val="451" w:hRule="atLeast"/>
        </w:trPr>
        <w:tc>
          <w:tcPr>
            <w:tcW w:w="538" w:type="dxa"/>
            <w:tcBorders>
              <w:top w:val="single" w:color="000000" w:sz="4" w:space="0"/>
              <w:left w:val="single" w:color="000000" w:sz="6"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Cs w:val="21"/>
              </w:rPr>
            </w:pPr>
          </w:p>
        </w:tc>
        <w:tc>
          <w:tcPr>
            <w:tcW w:w="2385"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Cs w:val="21"/>
              </w:rPr>
            </w:pPr>
          </w:p>
        </w:tc>
        <w:tc>
          <w:tcPr>
            <w:tcW w:w="2265" w:type="dxa"/>
            <w:tcBorders>
              <w:top w:val="single" w:color="000000" w:sz="4" w:space="0"/>
              <w:left w:val="single" w:color="000000" w:sz="4" w:space="0"/>
              <w:bottom w:val="single" w:color="000000" w:sz="4" w:space="0"/>
              <w:right w:val="single" w:color="000000" w:sz="6"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Cs w:val="21"/>
              </w:rPr>
            </w:pPr>
          </w:p>
        </w:tc>
      </w:tr>
      <w:tr>
        <w:tblPrEx>
          <w:tblLayout w:type="fixed"/>
          <w:tblCellMar>
            <w:top w:w="0" w:type="dxa"/>
            <w:left w:w="0" w:type="dxa"/>
            <w:bottom w:w="0" w:type="dxa"/>
            <w:right w:w="0" w:type="dxa"/>
          </w:tblCellMar>
        </w:tblPrEx>
        <w:trPr>
          <w:trHeight w:val="451" w:hRule="atLeast"/>
        </w:trPr>
        <w:tc>
          <w:tcPr>
            <w:tcW w:w="538" w:type="dxa"/>
            <w:tcBorders>
              <w:top w:val="single" w:color="000000" w:sz="4" w:space="0"/>
              <w:left w:val="single" w:color="000000" w:sz="6" w:space="0"/>
              <w:bottom w:val="single" w:color="000000" w:sz="6"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Cs w:val="21"/>
              </w:rPr>
            </w:pPr>
          </w:p>
        </w:tc>
        <w:tc>
          <w:tcPr>
            <w:tcW w:w="1648" w:type="dxa"/>
            <w:tcBorders>
              <w:top w:val="single" w:color="000000" w:sz="4" w:space="0"/>
              <w:left w:val="single" w:color="000000" w:sz="4" w:space="0"/>
              <w:bottom w:val="single" w:color="000000" w:sz="6"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Cs w:val="21"/>
              </w:rPr>
            </w:pPr>
          </w:p>
        </w:tc>
        <w:tc>
          <w:tcPr>
            <w:tcW w:w="1095" w:type="dxa"/>
            <w:tcBorders>
              <w:top w:val="single" w:color="000000" w:sz="4" w:space="0"/>
              <w:left w:val="single" w:color="000000" w:sz="4" w:space="0"/>
              <w:bottom w:val="single" w:color="000000" w:sz="6"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Cs w:val="21"/>
              </w:rPr>
            </w:pPr>
          </w:p>
        </w:tc>
        <w:tc>
          <w:tcPr>
            <w:tcW w:w="2385" w:type="dxa"/>
            <w:tcBorders>
              <w:top w:val="single" w:color="000000" w:sz="4" w:space="0"/>
              <w:left w:val="single" w:color="000000" w:sz="4" w:space="0"/>
              <w:bottom w:val="single" w:color="000000" w:sz="6"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Cs w:val="21"/>
              </w:rPr>
            </w:pPr>
          </w:p>
        </w:tc>
        <w:tc>
          <w:tcPr>
            <w:tcW w:w="1515" w:type="dxa"/>
            <w:tcBorders>
              <w:top w:val="single" w:color="000000" w:sz="4" w:space="0"/>
              <w:left w:val="single" w:color="000000" w:sz="4" w:space="0"/>
              <w:bottom w:val="single" w:color="000000" w:sz="6"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Cs w:val="21"/>
              </w:rPr>
            </w:pPr>
          </w:p>
        </w:tc>
        <w:tc>
          <w:tcPr>
            <w:tcW w:w="2265" w:type="dxa"/>
            <w:tcBorders>
              <w:top w:val="single" w:color="000000" w:sz="4" w:space="0"/>
              <w:left w:val="single" w:color="000000" w:sz="4" w:space="0"/>
              <w:bottom w:val="single" w:color="000000" w:sz="6" w:space="0"/>
              <w:right w:val="single" w:color="000000" w:sz="6"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Cs w:val="21"/>
              </w:rPr>
            </w:pPr>
          </w:p>
        </w:tc>
      </w:tr>
    </w:tbl>
    <w:p>
      <w:pPr>
        <w:pStyle w:val="24"/>
        <w:rPr>
          <w:rFonts w:ascii="宋体" w:hAnsi="宋体" w:cs="宋体"/>
          <w:sz w:val="21"/>
        </w:rPr>
      </w:pPr>
      <w:r>
        <w:rPr>
          <w:rFonts w:ascii="宋体" w:hAnsi="宋体" w:cs="宋体"/>
          <w:sz w:val="21"/>
        </w:rPr>
        <w:t>注：提供合同关键页复印件，至少包括首页、内容页、金额页、签字页，需明显体现服务时间、内容、金额。</w:t>
      </w:r>
    </w:p>
    <w:p>
      <w:pPr>
        <w:spacing w:line="440" w:lineRule="exact"/>
        <w:jc w:val="center"/>
        <w:rPr>
          <w:rFonts w:eastAsia="黑体" w:cs="Calibri"/>
          <w:color w:val="000000"/>
          <w:szCs w:val="21"/>
        </w:rPr>
      </w:pPr>
    </w:p>
    <w:p>
      <w:pPr>
        <w:spacing w:line="440" w:lineRule="exact"/>
        <w:jc w:val="center"/>
        <w:rPr>
          <w:rFonts w:eastAsia="黑体" w:cs="Calibri"/>
          <w:color w:val="000000"/>
          <w:sz w:val="32"/>
          <w:szCs w:val="32"/>
        </w:rPr>
      </w:pPr>
    </w:p>
    <w:p>
      <w:pPr>
        <w:widowControl/>
        <w:jc w:val="left"/>
        <w:rPr>
          <w:rFonts w:eastAsia="黑体" w:cs="Calibri"/>
          <w:color w:val="000000"/>
          <w:sz w:val="32"/>
          <w:szCs w:val="32"/>
        </w:rPr>
      </w:pPr>
      <w:r>
        <w:rPr>
          <w:rFonts w:eastAsia="黑体" w:cs="Calibri"/>
          <w:color w:val="000000"/>
          <w:sz w:val="32"/>
          <w:szCs w:val="32"/>
        </w:rPr>
        <w:br w:type="page"/>
      </w:r>
    </w:p>
    <w:p>
      <w:pPr>
        <w:spacing w:line="440" w:lineRule="exact"/>
        <w:jc w:val="center"/>
        <w:rPr>
          <w:rFonts w:eastAsia="黑体" w:cs="Calibri"/>
          <w:color w:val="000000"/>
          <w:sz w:val="32"/>
          <w:szCs w:val="32"/>
        </w:rPr>
      </w:pPr>
      <w:r>
        <w:rPr>
          <w:rFonts w:eastAsia="黑体" w:cs="Calibri"/>
          <w:color w:val="000000"/>
          <w:sz w:val="32"/>
          <w:szCs w:val="32"/>
        </w:rPr>
        <w:t>六、</w:t>
      </w:r>
      <w:r>
        <w:rPr>
          <w:rFonts w:hint="eastAsia" w:eastAsia="黑体" w:cs="Calibri"/>
          <w:color w:val="000000"/>
          <w:sz w:val="32"/>
          <w:szCs w:val="32"/>
        </w:rPr>
        <w:t>服务大纲</w:t>
      </w: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lang w:val="en-US" w:eastAsia="zh-CN"/>
        </w:rPr>
        <w:t>七</w:t>
      </w:r>
      <w:r>
        <w:rPr>
          <w:rFonts w:eastAsia="黑体" w:cs="Calibri"/>
          <w:color w:val="000000"/>
          <w:sz w:val="32"/>
          <w:szCs w:val="32"/>
        </w:rPr>
        <w:t>）项目负责人简介</w:t>
      </w:r>
    </w:p>
    <w:tbl>
      <w:tblPr>
        <w:tblStyle w:val="20"/>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cs="Calibri"/>
                <w:szCs w:val="21"/>
              </w:rPr>
              <w:t>建设规模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10"/>
              <w:snapToGrid w:val="0"/>
              <w:ind w:left="5250"/>
              <w:rPr>
                <w:rFonts w:ascii="Calibri" w:hAnsi="Calibri" w:cs="Calibri"/>
                <w:kern w:val="2"/>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10"/>
              <w:snapToGrid w:val="0"/>
              <w:ind w:left="5250"/>
              <w:rPr>
                <w:rFonts w:ascii="Calibri" w:hAnsi="Calibri" w:cs="Calibri"/>
                <w:kern w:val="2"/>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rPr>
          <w:rFonts w:cs="Calibri"/>
          <w:sz w:val="24"/>
        </w:rPr>
      </w:pPr>
    </w:p>
    <w:p>
      <w:pPr>
        <w:spacing w:line="360" w:lineRule="auto"/>
        <w:rPr>
          <w:rFonts w:cs="Calibri"/>
          <w:sz w:val="24"/>
        </w:rPr>
      </w:pPr>
    </w:p>
    <w:p>
      <w:pPr>
        <w:spacing w:line="440" w:lineRule="exact"/>
        <w:jc w:val="center"/>
        <w:rPr>
          <w:rFonts w:eastAsia="黑体" w:cs="Calibri"/>
          <w:color w:val="000000"/>
          <w:sz w:val="32"/>
          <w:szCs w:val="32"/>
        </w:rPr>
      </w:pPr>
      <w:r>
        <w:rPr>
          <w:rFonts w:eastAsia="黑体" w:cs="Calibri"/>
          <w:color w:val="000000"/>
          <w:sz w:val="32"/>
          <w:szCs w:val="32"/>
        </w:rPr>
        <w:t>主要参与</w:t>
      </w:r>
      <w:r>
        <w:rPr>
          <w:rFonts w:hint="eastAsia" w:eastAsia="黑体" w:cs="Calibri"/>
          <w:color w:val="000000"/>
          <w:sz w:val="32"/>
          <w:szCs w:val="32"/>
        </w:rPr>
        <w:t>服务</w:t>
      </w:r>
      <w:r>
        <w:rPr>
          <w:rFonts w:eastAsia="黑体" w:cs="Calibri"/>
          <w:color w:val="000000"/>
          <w:sz w:val="32"/>
          <w:szCs w:val="32"/>
        </w:rPr>
        <w:t>人员简介</w:t>
      </w:r>
    </w:p>
    <w:tbl>
      <w:tblPr>
        <w:tblStyle w:val="20"/>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pStyle w:val="2"/>
              <w:snapToGrid w:val="0"/>
              <w:ind w:firstLine="241"/>
              <w:jc w:val="center"/>
              <w:rPr>
                <w:rFonts w:ascii="Calibri" w:hAnsi="Calibri" w:cs="Calibri"/>
                <w:bCs/>
                <w:sz w:val="21"/>
                <w:szCs w:val="21"/>
              </w:rPr>
            </w:pPr>
            <w:r>
              <w:rPr>
                <w:rFonts w:ascii="Calibri" w:hAnsi="Calibri" w:cs="Calibri"/>
                <w:bCs/>
                <w:sz w:val="21"/>
                <w:szCs w:val="21"/>
              </w:rPr>
              <w:t>岗位名称</w:t>
            </w:r>
          </w:p>
        </w:tc>
        <w:tc>
          <w:tcPr>
            <w:tcW w:w="1540" w:type="dxa"/>
            <w:vAlign w:val="center"/>
          </w:tcPr>
          <w:p>
            <w:pPr>
              <w:pStyle w:val="2"/>
              <w:snapToGrid w:val="0"/>
              <w:ind w:firstLine="241"/>
              <w:jc w:val="center"/>
              <w:rPr>
                <w:rFonts w:ascii="Calibri" w:hAnsi="Calibri" w:cs="Calibri"/>
                <w:bCs/>
                <w:sz w:val="21"/>
                <w:szCs w:val="21"/>
              </w:rPr>
            </w:pPr>
            <w:r>
              <w:rPr>
                <w:rFonts w:ascii="Calibri" w:hAnsi="Calibri" w:cs="Calibri"/>
                <w:bCs/>
                <w:sz w:val="21"/>
                <w:szCs w:val="21"/>
              </w:rPr>
              <w:t>姓名</w:t>
            </w:r>
          </w:p>
        </w:tc>
        <w:tc>
          <w:tcPr>
            <w:tcW w:w="1520" w:type="dxa"/>
            <w:vAlign w:val="center"/>
          </w:tcPr>
          <w:p>
            <w:pPr>
              <w:pStyle w:val="2"/>
              <w:snapToGrid w:val="0"/>
              <w:ind w:firstLine="241"/>
              <w:jc w:val="center"/>
              <w:rPr>
                <w:rFonts w:ascii="Calibri" w:hAnsi="Calibri" w:cs="Calibri"/>
                <w:bCs/>
                <w:sz w:val="21"/>
                <w:szCs w:val="21"/>
              </w:rPr>
            </w:pPr>
            <w:r>
              <w:rPr>
                <w:rFonts w:ascii="Calibri" w:hAnsi="Calibri" w:cs="Calibri"/>
                <w:bCs/>
                <w:sz w:val="21"/>
                <w:szCs w:val="21"/>
              </w:rPr>
              <w:t>执业资格/职称</w:t>
            </w:r>
          </w:p>
        </w:tc>
        <w:tc>
          <w:tcPr>
            <w:tcW w:w="1620" w:type="dxa"/>
            <w:vAlign w:val="center"/>
          </w:tcPr>
          <w:p>
            <w:pPr>
              <w:snapToGrid w:val="0"/>
              <w:jc w:val="center"/>
              <w:rPr>
                <w:rFonts w:cs="Calibri"/>
                <w:bCs/>
                <w:szCs w:val="21"/>
              </w:rPr>
            </w:pPr>
            <w:r>
              <w:rPr>
                <w:rFonts w:cs="Calibri"/>
                <w:bCs/>
                <w:szCs w:val="21"/>
              </w:rPr>
              <w:t>本项目</w:t>
            </w:r>
          </w:p>
          <w:p>
            <w:pPr>
              <w:snapToGrid w:val="0"/>
              <w:jc w:val="center"/>
              <w:rPr>
                <w:rFonts w:cs="Calibri"/>
                <w:bCs/>
                <w:szCs w:val="21"/>
              </w:rPr>
            </w:pPr>
            <w:r>
              <w:rPr>
                <w:rFonts w:cs="Calibri"/>
                <w:bCs/>
                <w:szCs w:val="21"/>
              </w:rPr>
              <w:t>拟任职务</w:t>
            </w:r>
          </w:p>
        </w:tc>
        <w:tc>
          <w:tcPr>
            <w:tcW w:w="2880" w:type="dxa"/>
            <w:vAlign w:val="center"/>
          </w:tcPr>
          <w:p>
            <w:pPr>
              <w:snapToGrid w:val="0"/>
              <w:jc w:val="center"/>
              <w:rPr>
                <w:rFonts w:cs="Calibri"/>
                <w:bCs/>
                <w:szCs w:val="21"/>
              </w:rPr>
            </w:pPr>
            <w:r>
              <w:rPr>
                <w:rFonts w:cs="Calibri"/>
                <w:bCs/>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2"/>
              <w:snapToGrid w:val="0"/>
              <w:ind w:firstLine="241"/>
              <w:jc w:val="center"/>
              <w:rPr>
                <w:rFonts w:ascii="Calibri" w:hAnsi="Calibri" w:cs="Calibri"/>
                <w:sz w:val="21"/>
                <w:szCs w:val="21"/>
              </w:rPr>
            </w:pPr>
          </w:p>
        </w:tc>
        <w:tc>
          <w:tcPr>
            <w:tcW w:w="1540" w:type="dxa"/>
          </w:tcPr>
          <w:p>
            <w:pPr>
              <w:pStyle w:val="2"/>
              <w:snapToGrid w:val="0"/>
              <w:ind w:firstLine="241"/>
              <w:jc w:val="center"/>
              <w:rPr>
                <w:rFonts w:ascii="Calibri" w:hAnsi="Calibri" w:cs="Calibri"/>
                <w:sz w:val="21"/>
                <w:szCs w:val="21"/>
              </w:rPr>
            </w:pPr>
          </w:p>
        </w:tc>
        <w:tc>
          <w:tcPr>
            <w:tcW w:w="1520" w:type="dxa"/>
          </w:tcPr>
          <w:p>
            <w:pPr>
              <w:pStyle w:val="2"/>
              <w:snapToGrid w:val="0"/>
              <w:ind w:firstLine="241"/>
              <w:jc w:val="center"/>
              <w:rPr>
                <w:rFonts w:ascii="Calibri" w:hAnsi="Calibri" w:cs="Calibri"/>
                <w:sz w:val="21"/>
                <w:szCs w:val="21"/>
              </w:rPr>
            </w:pPr>
          </w:p>
        </w:tc>
        <w:tc>
          <w:tcPr>
            <w:tcW w:w="1620" w:type="dxa"/>
          </w:tcPr>
          <w:p>
            <w:pPr>
              <w:pStyle w:val="2"/>
              <w:snapToGrid w:val="0"/>
              <w:ind w:firstLine="241"/>
              <w:jc w:val="center"/>
              <w:rPr>
                <w:rFonts w:ascii="Calibri" w:hAnsi="Calibri" w:cs="Calibri"/>
                <w:sz w:val="21"/>
                <w:szCs w:val="21"/>
              </w:rPr>
            </w:pPr>
          </w:p>
        </w:tc>
        <w:tc>
          <w:tcPr>
            <w:tcW w:w="2880" w:type="dxa"/>
          </w:tcPr>
          <w:p>
            <w:pPr>
              <w:pStyle w:val="2"/>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2"/>
              <w:snapToGrid w:val="0"/>
              <w:ind w:firstLine="0"/>
              <w:rPr>
                <w:rFonts w:ascii="Calibri" w:hAnsi="Calibri" w:cs="Calibri"/>
                <w:sz w:val="21"/>
                <w:szCs w:val="21"/>
              </w:rPr>
            </w:pPr>
          </w:p>
        </w:tc>
        <w:tc>
          <w:tcPr>
            <w:tcW w:w="1540" w:type="dxa"/>
          </w:tcPr>
          <w:p>
            <w:pPr>
              <w:pStyle w:val="2"/>
              <w:snapToGrid w:val="0"/>
              <w:ind w:firstLine="241"/>
              <w:jc w:val="center"/>
              <w:rPr>
                <w:rFonts w:ascii="Calibri" w:hAnsi="Calibri" w:cs="Calibri"/>
                <w:sz w:val="21"/>
                <w:szCs w:val="21"/>
              </w:rPr>
            </w:pPr>
          </w:p>
        </w:tc>
        <w:tc>
          <w:tcPr>
            <w:tcW w:w="1520" w:type="dxa"/>
          </w:tcPr>
          <w:p>
            <w:pPr>
              <w:pStyle w:val="2"/>
              <w:snapToGrid w:val="0"/>
              <w:ind w:firstLine="241"/>
              <w:jc w:val="center"/>
              <w:rPr>
                <w:rFonts w:ascii="Calibri" w:hAnsi="Calibri" w:cs="Calibri"/>
                <w:sz w:val="21"/>
                <w:szCs w:val="21"/>
              </w:rPr>
            </w:pPr>
          </w:p>
        </w:tc>
        <w:tc>
          <w:tcPr>
            <w:tcW w:w="1620" w:type="dxa"/>
          </w:tcPr>
          <w:p>
            <w:pPr>
              <w:pStyle w:val="2"/>
              <w:snapToGrid w:val="0"/>
              <w:ind w:firstLine="241"/>
              <w:jc w:val="center"/>
              <w:rPr>
                <w:rFonts w:ascii="Calibri" w:hAnsi="Calibri" w:cs="Calibri"/>
                <w:sz w:val="21"/>
                <w:szCs w:val="21"/>
              </w:rPr>
            </w:pPr>
          </w:p>
        </w:tc>
        <w:tc>
          <w:tcPr>
            <w:tcW w:w="2880" w:type="dxa"/>
          </w:tcPr>
          <w:p>
            <w:pPr>
              <w:pStyle w:val="2"/>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2"/>
              <w:snapToGrid w:val="0"/>
              <w:ind w:firstLine="0"/>
              <w:rPr>
                <w:rFonts w:ascii="Calibri" w:hAnsi="Calibri" w:cs="Calibri"/>
                <w:sz w:val="21"/>
                <w:szCs w:val="21"/>
              </w:rPr>
            </w:pPr>
          </w:p>
        </w:tc>
        <w:tc>
          <w:tcPr>
            <w:tcW w:w="1540" w:type="dxa"/>
          </w:tcPr>
          <w:p>
            <w:pPr>
              <w:pStyle w:val="2"/>
              <w:snapToGrid w:val="0"/>
              <w:ind w:firstLine="241"/>
              <w:jc w:val="center"/>
              <w:rPr>
                <w:rFonts w:ascii="Calibri" w:hAnsi="Calibri" w:cs="Calibri"/>
                <w:sz w:val="21"/>
                <w:szCs w:val="21"/>
              </w:rPr>
            </w:pPr>
          </w:p>
        </w:tc>
        <w:tc>
          <w:tcPr>
            <w:tcW w:w="1520" w:type="dxa"/>
          </w:tcPr>
          <w:p>
            <w:pPr>
              <w:pStyle w:val="2"/>
              <w:snapToGrid w:val="0"/>
              <w:ind w:firstLine="241"/>
              <w:jc w:val="center"/>
              <w:rPr>
                <w:rFonts w:ascii="Calibri" w:hAnsi="Calibri" w:cs="Calibri"/>
                <w:sz w:val="21"/>
                <w:szCs w:val="21"/>
              </w:rPr>
            </w:pPr>
          </w:p>
        </w:tc>
        <w:tc>
          <w:tcPr>
            <w:tcW w:w="1620" w:type="dxa"/>
          </w:tcPr>
          <w:p>
            <w:pPr>
              <w:pStyle w:val="2"/>
              <w:snapToGrid w:val="0"/>
              <w:ind w:firstLine="241"/>
              <w:jc w:val="center"/>
              <w:rPr>
                <w:rFonts w:ascii="Calibri" w:hAnsi="Calibri" w:cs="Calibri"/>
                <w:sz w:val="21"/>
                <w:szCs w:val="21"/>
              </w:rPr>
            </w:pPr>
          </w:p>
        </w:tc>
        <w:tc>
          <w:tcPr>
            <w:tcW w:w="2880" w:type="dxa"/>
          </w:tcPr>
          <w:p>
            <w:pPr>
              <w:pStyle w:val="2"/>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2"/>
              <w:snapToGrid w:val="0"/>
              <w:ind w:firstLine="0"/>
              <w:rPr>
                <w:rFonts w:ascii="Calibri" w:hAnsi="Calibri" w:cs="Calibri"/>
                <w:sz w:val="21"/>
                <w:szCs w:val="21"/>
              </w:rPr>
            </w:pPr>
          </w:p>
        </w:tc>
        <w:tc>
          <w:tcPr>
            <w:tcW w:w="1540" w:type="dxa"/>
          </w:tcPr>
          <w:p>
            <w:pPr>
              <w:pStyle w:val="2"/>
              <w:snapToGrid w:val="0"/>
              <w:ind w:firstLine="241"/>
              <w:jc w:val="center"/>
              <w:rPr>
                <w:rFonts w:ascii="Calibri" w:hAnsi="Calibri" w:cs="Calibri"/>
                <w:sz w:val="21"/>
                <w:szCs w:val="21"/>
              </w:rPr>
            </w:pPr>
          </w:p>
        </w:tc>
        <w:tc>
          <w:tcPr>
            <w:tcW w:w="1520" w:type="dxa"/>
          </w:tcPr>
          <w:p>
            <w:pPr>
              <w:pStyle w:val="2"/>
              <w:snapToGrid w:val="0"/>
              <w:ind w:firstLine="241"/>
              <w:jc w:val="center"/>
              <w:rPr>
                <w:rFonts w:ascii="Calibri" w:hAnsi="Calibri" w:cs="Calibri"/>
                <w:sz w:val="21"/>
                <w:szCs w:val="21"/>
              </w:rPr>
            </w:pPr>
          </w:p>
        </w:tc>
        <w:tc>
          <w:tcPr>
            <w:tcW w:w="1620" w:type="dxa"/>
          </w:tcPr>
          <w:p>
            <w:pPr>
              <w:pStyle w:val="2"/>
              <w:snapToGrid w:val="0"/>
              <w:ind w:firstLine="241"/>
              <w:jc w:val="center"/>
              <w:rPr>
                <w:rFonts w:ascii="Calibri" w:hAnsi="Calibri" w:cs="Calibri"/>
                <w:sz w:val="21"/>
                <w:szCs w:val="21"/>
              </w:rPr>
            </w:pPr>
          </w:p>
        </w:tc>
        <w:tc>
          <w:tcPr>
            <w:tcW w:w="2880" w:type="dxa"/>
          </w:tcPr>
          <w:p>
            <w:pPr>
              <w:pStyle w:val="2"/>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2"/>
              <w:snapToGrid w:val="0"/>
              <w:ind w:firstLine="0"/>
              <w:rPr>
                <w:rFonts w:ascii="Calibri" w:hAnsi="Calibri" w:cs="Calibri"/>
                <w:sz w:val="21"/>
                <w:szCs w:val="21"/>
              </w:rPr>
            </w:pPr>
          </w:p>
        </w:tc>
        <w:tc>
          <w:tcPr>
            <w:tcW w:w="1540" w:type="dxa"/>
          </w:tcPr>
          <w:p>
            <w:pPr>
              <w:pStyle w:val="2"/>
              <w:snapToGrid w:val="0"/>
              <w:ind w:firstLine="241"/>
              <w:jc w:val="center"/>
              <w:rPr>
                <w:rFonts w:ascii="Calibri" w:hAnsi="Calibri" w:cs="Calibri"/>
                <w:sz w:val="21"/>
                <w:szCs w:val="21"/>
              </w:rPr>
            </w:pPr>
          </w:p>
        </w:tc>
        <w:tc>
          <w:tcPr>
            <w:tcW w:w="1520" w:type="dxa"/>
          </w:tcPr>
          <w:p>
            <w:pPr>
              <w:pStyle w:val="2"/>
              <w:snapToGrid w:val="0"/>
              <w:ind w:firstLine="241"/>
              <w:jc w:val="center"/>
              <w:rPr>
                <w:rFonts w:ascii="Calibri" w:hAnsi="Calibri" w:cs="Calibri"/>
                <w:sz w:val="21"/>
                <w:szCs w:val="21"/>
              </w:rPr>
            </w:pPr>
          </w:p>
        </w:tc>
        <w:tc>
          <w:tcPr>
            <w:tcW w:w="1620" w:type="dxa"/>
          </w:tcPr>
          <w:p>
            <w:pPr>
              <w:pStyle w:val="2"/>
              <w:snapToGrid w:val="0"/>
              <w:ind w:firstLine="241"/>
              <w:jc w:val="center"/>
              <w:rPr>
                <w:rFonts w:ascii="Calibri" w:hAnsi="Calibri" w:cs="Calibri"/>
                <w:sz w:val="21"/>
                <w:szCs w:val="21"/>
              </w:rPr>
            </w:pPr>
          </w:p>
        </w:tc>
        <w:tc>
          <w:tcPr>
            <w:tcW w:w="2880" w:type="dxa"/>
          </w:tcPr>
          <w:p>
            <w:pPr>
              <w:pStyle w:val="2"/>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2"/>
              <w:snapToGrid w:val="0"/>
              <w:ind w:firstLine="0"/>
              <w:rPr>
                <w:rFonts w:ascii="Calibri" w:hAnsi="Calibri" w:cs="Calibri"/>
                <w:sz w:val="21"/>
                <w:szCs w:val="21"/>
              </w:rPr>
            </w:pPr>
          </w:p>
        </w:tc>
        <w:tc>
          <w:tcPr>
            <w:tcW w:w="1540" w:type="dxa"/>
          </w:tcPr>
          <w:p>
            <w:pPr>
              <w:pStyle w:val="2"/>
              <w:snapToGrid w:val="0"/>
              <w:ind w:firstLine="241"/>
              <w:jc w:val="center"/>
              <w:rPr>
                <w:rFonts w:ascii="Calibri" w:hAnsi="Calibri" w:cs="Calibri"/>
                <w:sz w:val="21"/>
                <w:szCs w:val="21"/>
              </w:rPr>
            </w:pPr>
          </w:p>
        </w:tc>
        <w:tc>
          <w:tcPr>
            <w:tcW w:w="1520" w:type="dxa"/>
          </w:tcPr>
          <w:p>
            <w:pPr>
              <w:pStyle w:val="2"/>
              <w:snapToGrid w:val="0"/>
              <w:ind w:firstLine="241"/>
              <w:jc w:val="center"/>
              <w:rPr>
                <w:rFonts w:ascii="Calibri" w:hAnsi="Calibri" w:cs="Calibri"/>
                <w:sz w:val="21"/>
                <w:szCs w:val="21"/>
              </w:rPr>
            </w:pPr>
          </w:p>
        </w:tc>
        <w:tc>
          <w:tcPr>
            <w:tcW w:w="1620" w:type="dxa"/>
          </w:tcPr>
          <w:p>
            <w:pPr>
              <w:pStyle w:val="2"/>
              <w:snapToGrid w:val="0"/>
              <w:ind w:firstLine="241"/>
              <w:jc w:val="center"/>
              <w:rPr>
                <w:rFonts w:ascii="Calibri" w:hAnsi="Calibri" w:cs="Calibri"/>
                <w:sz w:val="21"/>
                <w:szCs w:val="21"/>
              </w:rPr>
            </w:pPr>
          </w:p>
        </w:tc>
        <w:tc>
          <w:tcPr>
            <w:tcW w:w="2880" w:type="dxa"/>
          </w:tcPr>
          <w:p>
            <w:pPr>
              <w:pStyle w:val="2"/>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2"/>
              <w:snapToGrid w:val="0"/>
              <w:ind w:firstLine="0"/>
              <w:rPr>
                <w:rFonts w:ascii="Calibri" w:hAnsi="Calibri" w:cs="Calibri"/>
                <w:sz w:val="21"/>
                <w:szCs w:val="21"/>
              </w:rPr>
            </w:pPr>
          </w:p>
        </w:tc>
        <w:tc>
          <w:tcPr>
            <w:tcW w:w="1540" w:type="dxa"/>
          </w:tcPr>
          <w:p>
            <w:pPr>
              <w:pStyle w:val="2"/>
              <w:snapToGrid w:val="0"/>
              <w:ind w:firstLine="241"/>
              <w:jc w:val="center"/>
              <w:rPr>
                <w:rFonts w:ascii="Calibri" w:hAnsi="Calibri" w:cs="Calibri"/>
                <w:sz w:val="21"/>
                <w:szCs w:val="21"/>
              </w:rPr>
            </w:pPr>
          </w:p>
        </w:tc>
        <w:tc>
          <w:tcPr>
            <w:tcW w:w="1520" w:type="dxa"/>
          </w:tcPr>
          <w:p>
            <w:pPr>
              <w:pStyle w:val="2"/>
              <w:snapToGrid w:val="0"/>
              <w:ind w:firstLine="241"/>
              <w:jc w:val="center"/>
              <w:rPr>
                <w:rFonts w:ascii="Calibri" w:hAnsi="Calibri" w:cs="Calibri"/>
                <w:sz w:val="21"/>
                <w:szCs w:val="21"/>
              </w:rPr>
            </w:pPr>
          </w:p>
        </w:tc>
        <w:tc>
          <w:tcPr>
            <w:tcW w:w="1620" w:type="dxa"/>
          </w:tcPr>
          <w:p>
            <w:pPr>
              <w:pStyle w:val="2"/>
              <w:snapToGrid w:val="0"/>
              <w:ind w:firstLine="241"/>
              <w:jc w:val="center"/>
              <w:rPr>
                <w:rFonts w:ascii="Calibri" w:hAnsi="Calibri" w:cs="Calibri"/>
                <w:sz w:val="21"/>
                <w:szCs w:val="21"/>
              </w:rPr>
            </w:pPr>
          </w:p>
        </w:tc>
        <w:tc>
          <w:tcPr>
            <w:tcW w:w="2880" w:type="dxa"/>
          </w:tcPr>
          <w:p>
            <w:pPr>
              <w:pStyle w:val="2"/>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2"/>
              <w:snapToGrid w:val="0"/>
              <w:ind w:firstLine="0"/>
              <w:rPr>
                <w:rFonts w:ascii="Calibri" w:hAnsi="Calibri" w:cs="Calibri"/>
                <w:sz w:val="21"/>
                <w:szCs w:val="21"/>
              </w:rPr>
            </w:pPr>
          </w:p>
        </w:tc>
        <w:tc>
          <w:tcPr>
            <w:tcW w:w="1540" w:type="dxa"/>
          </w:tcPr>
          <w:p>
            <w:pPr>
              <w:pStyle w:val="2"/>
              <w:snapToGrid w:val="0"/>
              <w:ind w:firstLine="241"/>
              <w:jc w:val="center"/>
              <w:rPr>
                <w:rFonts w:ascii="Calibri" w:hAnsi="Calibri" w:cs="Calibri"/>
                <w:sz w:val="21"/>
                <w:szCs w:val="21"/>
              </w:rPr>
            </w:pPr>
          </w:p>
        </w:tc>
        <w:tc>
          <w:tcPr>
            <w:tcW w:w="1520" w:type="dxa"/>
          </w:tcPr>
          <w:p>
            <w:pPr>
              <w:pStyle w:val="2"/>
              <w:snapToGrid w:val="0"/>
              <w:ind w:firstLine="241"/>
              <w:jc w:val="center"/>
              <w:rPr>
                <w:rFonts w:ascii="Calibri" w:hAnsi="Calibri" w:cs="Calibri"/>
                <w:sz w:val="21"/>
                <w:szCs w:val="21"/>
              </w:rPr>
            </w:pPr>
          </w:p>
        </w:tc>
        <w:tc>
          <w:tcPr>
            <w:tcW w:w="1620" w:type="dxa"/>
          </w:tcPr>
          <w:p>
            <w:pPr>
              <w:pStyle w:val="2"/>
              <w:snapToGrid w:val="0"/>
              <w:ind w:firstLine="241"/>
              <w:jc w:val="center"/>
              <w:rPr>
                <w:rFonts w:ascii="Calibri" w:hAnsi="Calibri" w:cs="Calibri"/>
                <w:sz w:val="21"/>
                <w:szCs w:val="21"/>
              </w:rPr>
            </w:pPr>
          </w:p>
        </w:tc>
        <w:tc>
          <w:tcPr>
            <w:tcW w:w="2880" w:type="dxa"/>
          </w:tcPr>
          <w:p>
            <w:pPr>
              <w:pStyle w:val="2"/>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2"/>
              <w:snapToGrid w:val="0"/>
              <w:ind w:firstLine="0"/>
              <w:rPr>
                <w:rFonts w:ascii="Calibri" w:hAnsi="Calibri" w:cs="Calibri"/>
                <w:sz w:val="21"/>
                <w:szCs w:val="21"/>
              </w:rPr>
            </w:pPr>
          </w:p>
        </w:tc>
        <w:tc>
          <w:tcPr>
            <w:tcW w:w="1540" w:type="dxa"/>
          </w:tcPr>
          <w:p>
            <w:pPr>
              <w:pStyle w:val="2"/>
              <w:snapToGrid w:val="0"/>
              <w:ind w:firstLine="241"/>
              <w:jc w:val="center"/>
              <w:rPr>
                <w:rFonts w:ascii="Calibri" w:hAnsi="Calibri" w:cs="Calibri"/>
                <w:sz w:val="21"/>
                <w:szCs w:val="21"/>
              </w:rPr>
            </w:pPr>
          </w:p>
        </w:tc>
        <w:tc>
          <w:tcPr>
            <w:tcW w:w="1520" w:type="dxa"/>
          </w:tcPr>
          <w:p>
            <w:pPr>
              <w:pStyle w:val="2"/>
              <w:snapToGrid w:val="0"/>
              <w:ind w:firstLine="241"/>
              <w:jc w:val="center"/>
              <w:rPr>
                <w:rFonts w:ascii="Calibri" w:hAnsi="Calibri" w:cs="Calibri"/>
                <w:sz w:val="21"/>
                <w:szCs w:val="21"/>
              </w:rPr>
            </w:pPr>
          </w:p>
        </w:tc>
        <w:tc>
          <w:tcPr>
            <w:tcW w:w="1620" w:type="dxa"/>
          </w:tcPr>
          <w:p>
            <w:pPr>
              <w:pStyle w:val="2"/>
              <w:snapToGrid w:val="0"/>
              <w:ind w:firstLine="241"/>
              <w:jc w:val="center"/>
              <w:rPr>
                <w:rFonts w:ascii="Calibri" w:hAnsi="Calibri" w:cs="Calibri"/>
                <w:sz w:val="21"/>
                <w:szCs w:val="21"/>
              </w:rPr>
            </w:pPr>
          </w:p>
        </w:tc>
        <w:tc>
          <w:tcPr>
            <w:tcW w:w="2880" w:type="dxa"/>
          </w:tcPr>
          <w:p>
            <w:pPr>
              <w:pStyle w:val="2"/>
              <w:snapToGrid w:val="0"/>
              <w:ind w:firstLine="241"/>
              <w:jc w:val="center"/>
              <w:rPr>
                <w:rFonts w:ascii="Calibri" w:hAnsi="Calibri" w:cs="Calibri"/>
                <w:sz w:val="21"/>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r>
        <w:rPr>
          <w:rFonts w:eastAsia="黑体" w:cs="Calibri"/>
          <w:color w:val="000000"/>
          <w:sz w:val="32"/>
          <w:szCs w:val="32"/>
        </w:rPr>
        <w:t>七、</w:t>
      </w:r>
      <w:r>
        <w:rPr>
          <w:rFonts w:hint="eastAsia" w:eastAsia="黑体" w:cs="Calibri"/>
          <w:color w:val="000000"/>
          <w:sz w:val="32"/>
          <w:szCs w:val="32"/>
        </w:rPr>
        <w:t>投标人认为</w:t>
      </w:r>
      <w:r>
        <w:rPr>
          <w:rFonts w:eastAsia="黑体" w:cs="Calibri"/>
          <w:color w:val="000000"/>
          <w:sz w:val="32"/>
          <w:szCs w:val="32"/>
        </w:rPr>
        <w:t>应该提供的其他材料</w:t>
      </w: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p>
    <w:p/>
    <w:p/>
    <w:sectPr>
      <w:footerReference r:id="rId7" w:type="default"/>
      <w:footerReference r:id="rId8" w:type="even"/>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黑体简体">
    <w:altName w:val="方正小标宋简体"/>
    <w:panose1 w:val="00000000000000000000"/>
    <w:charset w:val="86"/>
    <w:family w:val="script"/>
    <w:pitch w:val="default"/>
    <w:sig w:usb0="00000000" w:usb1="00000000" w:usb2="00000000" w:usb3="00000000" w:csb0="00040001"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幼圆">
    <w:panose1 w:val="02010509060101010101"/>
    <w:charset w:val="86"/>
    <w:family w:val="modern"/>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等线">
    <w:altName w:val="宋体"/>
    <w:panose1 w:val="02010600030101010101"/>
    <w:charset w:val="86"/>
    <w:family w:val="auto"/>
    <w:pitch w:val="default"/>
    <w:sig w:usb0="00000000" w:usb1="00000000" w:usb2="00000016" w:usb3="00000000" w:csb0="0004000F" w:csb1="00000000"/>
  </w:font>
  <w:font w:name="Garamond">
    <w:panose1 w:val="02020404030301010803"/>
    <w:charset w:val="00"/>
    <w:family w:val="roman"/>
    <w:pitch w:val="default"/>
    <w:sig w:usb0="00000287" w:usb1="00000000" w:usb2="00000000" w:usb3="00000000" w:csb0="0000009F" w:csb1="DFD70000"/>
  </w:font>
  <w:font w:name="Tahoma">
    <w:panose1 w:val="020B0604030504040204"/>
    <w:charset w:val="00"/>
    <w:family w:val="swiss"/>
    <w:pitch w:val="default"/>
    <w:sig w:usb0="E1002EFF" w:usb1="C000605B" w:usb2="00000029" w:usb3="00000000" w:csb0="200101FF" w:csb1="20280000"/>
  </w:font>
  <w:font w:name="??">
    <w:altName w:val="Times New Roman"/>
    <w:panose1 w:val="00000000000000000000"/>
    <w:charset w:val="00"/>
    <w:family w:val="roman"/>
    <w:pitch w:val="default"/>
    <w:sig w:usb0="00000000" w:usb1="00000000" w:usb2="00000000" w:usb3="00000000" w:csb0="00000001" w:csb1="00000000"/>
  </w:font>
  <w:font w:name="MS Gothic">
    <w:panose1 w:val="020B0609070205080204"/>
    <w:charset w:val="80"/>
    <w:family w:val="modern"/>
    <w:pitch w:val="default"/>
    <w:sig w:usb0="E00002FF" w:usb1="6AC7FDFB" w:usb2="00000012" w:usb3="00000000" w:csb0="4002009F" w:csb1="DFD70000"/>
  </w:font>
  <w:font w:name="仿宋体">
    <w:altName w:val="宋体"/>
    <w:panose1 w:val="00000000000000000000"/>
    <w:charset w:val="86"/>
    <w:family w:val="auto"/>
    <w:pitch w:val="default"/>
    <w:sig w:usb0="00000000" w:usb1="00000000" w:usb2="00000010" w:usb3="00000000" w:csb0="00040000" w:csb1="00000000"/>
  </w:font>
  <w:font w:name="CommercialPi BT">
    <w:altName w:val="Symbol"/>
    <w:panose1 w:val="05020102010206080802"/>
    <w:charset w:val="02"/>
    <w:family w:val="roman"/>
    <w:pitch w:val="default"/>
    <w:sig w:usb0="00000000" w:usb1="00000000" w:usb2="00000000" w:usb3="00000000" w:csb0="80000000" w:csb1="00000000"/>
  </w:font>
  <w:font w:name="Tms Rmn">
    <w:altName w:val="Segoe Print"/>
    <w:panose1 w:val="02020603040505020304"/>
    <w:charset w:val="00"/>
    <w:family w:val="roman"/>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MS Mincho">
    <w:panose1 w:val="02020609040205080304"/>
    <w:charset w:val="80"/>
    <w:family w:val="modern"/>
    <w:pitch w:val="default"/>
    <w:sig w:usb0="E00002FF" w:usb1="6AC7FDFB"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华文细黑">
    <w:panose1 w:val="02010600040101010101"/>
    <w:charset w:val="86"/>
    <w:family w:val="auto"/>
    <w:pitch w:val="default"/>
    <w:sig w:usb0="00000287" w:usb1="080F0000" w:usb2="00000000" w:usb3="00000000" w:csb0="0004009F" w:csb1="DFD70000"/>
  </w:font>
  <w:font w:name="方正书宋简体">
    <w:altName w:val="宋体"/>
    <w:panose1 w:val="00000000000000000000"/>
    <w:charset w:val="86"/>
    <w:family w:val="script"/>
    <w:pitch w:val="default"/>
    <w:sig w:usb0="00000000" w:usb1="00000000" w:usb2="00000010" w:usb3="00000000" w:csb0="00040000" w:csb1="00000000"/>
  </w:font>
  <w:font w:name="Univers">
    <w:altName w:val="Arial"/>
    <w:panose1 w:val="00000000000000000000"/>
    <w:charset w:val="00"/>
    <w:family w:val="swiss"/>
    <w:pitch w:val="default"/>
    <w:sig w:usb0="00000000" w:usb1="00000000" w:usb2="00000000" w:usb3="00000000" w:csb0="0000000F" w:csb1="00000000"/>
  </w:font>
  <w:font w:name="Calisto MT">
    <w:panose1 w:val="02040603050505030304"/>
    <w:charset w:val="00"/>
    <w:family w:val="roman"/>
    <w:pitch w:val="default"/>
    <w:sig w:usb0="00000003" w:usb1="00000000" w:usb2="00000000" w:usb3="00000000" w:csb0="20000001" w:csb1="00000000"/>
  </w:font>
  <w:font w:name="等线 Light">
    <w:altName w:val="宋体"/>
    <w:panose1 w:val="02010600030101010101"/>
    <w:charset w:val="86"/>
    <w:family w:val="auto"/>
    <w:pitch w:val="default"/>
    <w:sig w:usb0="00000000" w:usb1="00000000" w:usb2="00000016" w:usb3="00000000" w:csb0="0004000F" w:csb1="00000000"/>
  </w:font>
  <w:font w:name="???|CS?o｡ﾀ?">
    <w:altName w:val="MS Gothic"/>
    <w:panose1 w:val="00000000000000000000"/>
    <w:charset w:val="80"/>
    <w:family w:val="modern"/>
    <w:pitch w:val="default"/>
    <w:sig w:usb0="00000000" w:usb1="00000000" w:usb2="00000010" w:usb3="00000000" w:csb0="00020000" w:csb1="00000000"/>
  </w:font>
  <w:font w:name="华文中宋">
    <w:panose1 w:val="02010600040101010101"/>
    <w:charset w:val="86"/>
    <w:family w:val="auto"/>
    <w:pitch w:val="default"/>
    <w:sig w:usb0="00000287" w:usb1="080F0000" w:usb2="00000000" w:usb3="00000000" w:csb0="0004009F" w:csb1="DFD70000"/>
  </w:font>
  <w:font w:name="长城仿宋">
    <w:altName w:val="宋体"/>
    <w:panose1 w:val="00000000000000000000"/>
    <w:charset w:val="86"/>
    <w:family w:val="modern"/>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DFKai-SB">
    <w:panose1 w:val="03000509000000000000"/>
    <w:charset w:val="88"/>
    <w:family w:val="script"/>
    <w:pitch w:val="default"/>
    <w:sig w:usb0="00000003" w:usb1="082E0000" w:usb2="00000016" w:usb3="00000000" w:csb0="00100001" w:csb1="00000000"/>
  </w:font>
  <w:font w:name="Times New Roman Bold">
    <w:altName w:val="Times New Roman"/>
    <w:panose1 w:val="02020803070505020304"/>
    <w:charset w:val="00"/>
    <w:family w:val="auto"/>
    <w:pitch w:val="default"/>
    <w:sig w:usb0="00000000" w:usb1="00000000" w:usb2="00000009" w:usb3="00000000" w:csb0="000001FF" w:csb1="00000000"/>
  </w:font>
  <w:font w:name="ˎ̥">
    <w:altName w:val="Times New Roman"/>
    <w:panose1 w:val="00000000000000000000"/>
    <w:charset w:val="00"/>
    <w:family w:val="roman"/>
    <w:pitch w:val="default"/>
    <w:sig w:usb0="00000000" w:usb1="00000000" w:usb2="00000000"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06F" w:usb1="1200FBEF" w:usb2="0064C000" w:usb3="00000002" w:csb0="00000001" w:csb1="40000000"/>
  </w:font>
  <w:font w:name="Heiti SC Medium">
    <w:altName w:val="Arial Unicode MS"/>
    <w:panose1 w:val="00000000000000000000"/>
    <w:charset w:val="80"/>
    <w:family w:val="auto"/>
    <w:pitch w:val="default"/>
    <w:sig w:usb0="00000000" w:usb1="00000000" w:usb2="00000010" w:usb3="00000000" w:csb0="003E0001" w:csb1="00000000"/>
  </w:font>
  <w:font w:name="Microsoft JhengHei">
    <w:panose1 w:val="020B0604030504040204"/>
    <w:charset w:val="88"/>
    <w:family w:val="swiss"/>
    <w:pitch w:val="default"/>
    <w:sig w:usb0="00000087" w:usb1="28AF4000" w:usb2="00000016" w:usb3="00000000" w:csb0="00100009" w:csb1="0000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 w:name="MS UI Gothic">
    <w:panose1 w:val="020B0600070205080204"/>
    <w:charset w:val="80"/>
    <w:family w:val="auto"/>
    <w:pitch w:val="default"/>
    <w:sig w:usb0="E00002FF" w:usb1="6AC7FDFB" w:usb2="00000012" w:usb3="00000000" w:csb0="4002009F" w:csb1="DFD70000"/>
  </w:font>
  <w:font w:name="MingLiU-ExtB">
    <w:panose1 w:val="02020500000000000000"/>
    <w:charset w:val="88"/>
    <w:family w:val="auto"/>
    <w:pitch w:val="default"/>
    <w:sig w:usb0="8000002F" w:usb1="02000008" w:usb2="00000000" w:usb3="00000000" w:csb0="00100001" w:csb1="00000000"/>
  </w:font>
  <w:font w:name="Malgun Gothic Semilight">
    <w:altName w:val="宋体"/>
    <w:panose1 w:val="020B0502040204020203"/>
    <w:charset w:val="86"/>
    <w:family w:val="auto"/>
    <w:pitch w:val="default"/>
    <w:sig w:usb0="00000000" w:usb1="00000000" w:usb2="00000012" w:usb3="00000000" w:csb0="203E01BD" w:csb1="D7FF0000"/>
  </w:font>
  <w:font w:name="Malgun Gothic Semilight">
    <w:altName w:val="Malgun Gothic"/>
    <w:panose1 w:val="020B0502040204020203"/>
    <w:charset w:val="80"/>
    <w:family w:val="auto"/>
    <w:pitch w:val="default"/>
    <w:sig w:usb0="00000000" w:usb1="00000000" w:usb2="00000012" w:usb3="00000000" w:csb0="203E01BD" w:csb1="D7FF0000"/>
  </w:font>
  <w:font w:name="Meiryo">
    <w:panose1 w:val="020B0604030504040204"/>
    <w:charset w:val="80"/>
    <w:family w:val="swiss"/>
    <w:pitch w:val="default"/>
    <w:sig w:usb0="E10102FF" w:usb1="EAC7FFFF" w:usb2="00010012" w:usb3="00000000" w:csb0="6002009F" w:csb1="DFD70000"/>
  </w:font>
  <w:font w:name="Wingdings">
    <w:panose1 w:val="05000000000000000000"/>
    <w:charset w:val="00"/>
    <w:family w:val="auto"/>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apple-system">
    <w:altName w:val="Segoe Print"/>
    <w:panose1 w:val="00000000000000000000"/>
    <w:charset w:val="00"/>
    <w:family w:val="auto"/>
    <w:pitch w:val="default"/>
    <w:sig w:usb0="00000000" w:usb1="00000000" w:usb2="00000000" w:usb3="00000000" w:csb0="00000000" w:csb1="00000000"/>
  </w:font>
  <w:font w:name="ArialMT">
    <w:altName w:val="Times New Roman"/>
    <w:panose1 w:val="00000000000000000000"/>
    <w:charset w:val="00"/>
    <w:family w:val="auto"/>
    <w:pitch w:val="default"/>
    <w:sig w:usb0="00000000" w:usb1="00000000" w:usb2="00000000" w:usb3="00000000" w:csb0="00000000" w:csb1="00000000"/>
  </w:font>
  <w:font w:name="MS PGothic">
    <w:panose1 w:val="020B0600070205080204"/>
    <w:charset w:val="80"/>
    <w:family w:val="auto"/>
    <w:pitch w:val="default"/>
    <w:sig w:usb0="E00002FF" w:usb1="6AC7FDFB" w:usb2="00000012" w:usb3="00000000" w:csb0="4002009F" w:csb1="DFD70000"/>
  </w:font>
  <w:font w:name="Microsoft YaHei UI">
    <w:altName w:val="宋体"/>
    <w:panose1 w:val="020B0503020204020204"/>
    <w:charset w:val="86"/>
    <w:family w:val="swiss"/>
    <w:pitch w:val="default"/>
    <w:sig w:usb0="00000000" w:usb1="00000000" w:usb2="00000016" w:usb3="00000000" w:csb0="0004001F" w:csb1="00000000"/>
  </w:font>
  <w:font w:name="Segoe UI Emoji">
    <w:panose1 w:val="020B0502040204020203"/>
    <w:charset w:val="00"/>
    <w:family w:val="auto"/>
    <w:pitch w:val="default"/>
    <w:sig w:usb0="00000001" w:usb1="02000000" w:usb2="00000000" w:usb3="00000000" w:csb0="00000001" w:csb1="00000000"/>
  </w:font>
  <w:font w:name="Yu Gothic">
    <w:altName w:val="MS UI Gothic"/>
    <w:panose1 w:val="020B0400000000000000"/>
    <w:charset w:val="80"/>
    <w:family w:val="auto"/>
    <w:pitch w:val="default"/>
    <w:sig w:usb0="00000000" w:usb1="00000000" w:usb2="00000016" w:usb3="00000000" w:csb0="2002009F" w:csb1="00000000"/>
  </w:font>
  <w:font w:name="MV Boli">
    <w:panose1 w:val="02000500030200090000"/>
    <w:charset w:val="00"/>
    <w:family w:val="auto"/>
    <w:pitch w:val="default"/>
    <w:sig w:usb0="00000003" w:usb1="00000000" w:usb2="00000100" w:usb3="00000000" w:csb0="00000001" w:csb1="00000000"/>
  </w:font>
  <w:font w:name="Microsoft JhengHei UI">
    <w:altName w:val="Microsoft JhengHei"/>
    <w:panose1 w:val="020B0604030504040204"/>
    <w:charset w:val="88"/>
    <w:family w:val="auto"/>
    <w:pitch w:val="default"/>
    <w:sig w:usb0="00000000" w:usb1="00000000" w:usb2="00000016" w:usb3="00000000" w:csb0="00100009" w:csb1="00000000"/>
  </w:font>
  <w:font w:name="Microsoft JhengHei Light">
    <w:altName w:val="Microsoft JhengHei"/>
    <w:panose1 w:val="020B0304030504040204"/>
    <w:charset w:val="88"/>
    <w:family w:val="auto"/>
    <w:pitch w:val="default"/>
    <w:sig w:usb0="00000000" w:usb1="00000000" w:usb2="00000016" w:usb3="00000000" w:csb0="00100009" w:csb1="00000000"/>
  </w:font>
  <w:font w:name="Yu Gothic UI">
    <w:altName w:val="MS UI Gothic"/>
    <w:panose1 w:val="020B0500000000000000"/>
    <w:charset w:val="80"/>
    <w:family w:val="auto"/>
    <w:pitch w:val="default"/>
    <w:sig w:usb0="00000000" w:usb1="00000000" w:usb2="00000016" w:usb3="00000000" w:csb0="2002009F" w:csb1="00000000"/>
  </w:font>
  <w:font w:name="Meiryo UI">
    <w:panose1 w:val="020B0604030504040204"/>
    <w:charset w:val="80"/>
    <w:family w:val="auto"/>
    <w:pitch w:val="default"/>
    <w:sig w:usb0="E10102FF" w:usb1="EAC7FFFF" w:usb2="00010012" w:usb3="00000000" w:csb0="6002009F" w:csb1="DFD70000"/>
  </w:font>
  <w:font w:name="Arial Unicode MS">
    <w:panose1 w:val="020B0604020202020204"/>
    <w:charset w:val="80"/>
    <w:family w:val="swiss"/>
    <w:pitch w:val="default"/>
    <w:sig w:usb0="FFFFFFFF" w:usb1="E9FFFFFF" w:usb2="0000003F" w:usb3="00000000" w:csb0="603F01FF" w:csb1="FFFF0000"/>
  </w:font>
  <w:font w:name="Microsoft Sans Serif">
    <w:panose1 w:val="020B0604020202020204"/>
    <w:charset w:val="00"/>
    <w:family w:val="auto"/>
    <w:pitch w:val="default"/>
    <w:sig w:usb0="E1002AFF" w:usb1="C0000002" w:usb2="00000008" w:usb3="00000000" w:csb0="200101FF" w:csb1="20280000"/>
  </w:font>
  <w:font w:name="方正仿宋_GB2312">
    <w:altName w:val="仿宋"/>
    <w:panose1 w:val="02000000000000000000"/>
    <w:charset w:val="86"/>
    <w:family w:val="auto"/>
    <w:pitch w:val="default"/>
    <w:sig w:usb0="00000000" w:usb1="00000000" w:usb2="00000000" w:usb3="00000000" w:csb0="00000000" w:csb1="00000000"/>
  </w:font>
  <w:font w:name="GulimChe">
    <w:panose1 w:val="020B0609000101010101"/>
    <w:charset w:val="81"/>
    <w:family w:val="modern"/>
    <w:pitch w:val="default"/>
    <w:sig w:usb0="B00002AF" w:usb1="69D77CFB" w:usb2="00000030" w:usb3="00000000" w:csb0="4008009F" w:csb1="DFD70000"/>
  </w:font>
  <w:font w:name="仿宋体">
    <w:altName w:val="仿宋"/>
    <w:panose1 w:val="00000000000000000000"/>
    <w:charset w:val="00"/>
    <w:family w:val="auto"/>
    <w:pitch w:val="default"/>
    <w:sig w:usb0="00000000" w:usb1="00000000" w:usb2="00000010" w:usb3="00000000" w:csb0="00040000" w:csb1="00000000"/>
  </w:font>
  <w:font w:name="方正书宋简体">
    <w:altName w:val="宋体"/>
    <w:panose1 w:val="00000000000000000000"/>
    <w:charset w:val="00"/>
    <w:family w:val="script"/>
    <w:pitch w:val="default"/>
    <w:sig w:usb0="00000000" w:usb1="00000000" w:usb2="00000010" w:usb3="00000000" w:csb0="00040000" w:csb1="00000000"/>
  </w:font>
  <w:font w:name="长城仿宋">
    <w:altName w:val="仿宋"/>
    <w:panose1 w:val="00000000000000000000"/>
    <w:charset w:val="00"/>
    <w:family w:val="modern"/>
    <w:pitch w:val="default"/>
    <w:sig w:usb0="00000000" w:usb1="00000000" w:usb2="00000010" w:usb3="00000000" w:csb0="00040000" w:csb1="00000000"/>
  </w:font>
  <w:font w:name="font-weight : 400">
    <w:altName w:val="Arial"/>
    <w:panose1 w:val="00000000000000000000"/>
    <w:charset w:val="00"/>
    <w:family w:val="roman"/>
    <w:pitch w:val="default"/>
    <w:sig w:usb0="00000000" w:usb1="00000000" w:usb2="00000000" w:usb3="00000000" w:csb0="00000000" w:csb1="00000000"/>
  </w:font>
  <w:font w:name="昆仑楷体">
    <w:altName w:val="宋体"/>
    <w:panose1 w:val="00000000000000000000"/>
    <w:charset w:val="86"/>
    <w:family w:val="modern"/>
    <w:pitch w:val="default"/>
    <w:sig w:usb0="00000000" w:usb1="00000000" w:usb2="00000010" w:usb3="00000000" w:csb0="00040000" w:csb1="00000000"/>
  </w:font>
  <w:font w:name="思源黑体 CN Bold">
    <w:altName w:val="黑体"/>
    <w:panose1 w:val="00000000000000000000"/>
    <w:charset w:val="86"/>
    <w:family w:val="swiss"/>
    <w:pitch w:val="default"/>
    <w:sig w:usb0="00000000" w:usb1="00000000" w:usb2="00000016" w:usb3="00000000" w:csb0="00060107" w:csb1="00000000"/>
  </w:font>
  <w:font w:name="华文楷体">
    <w:panose1 w:val="02010600040101010101"/>
    <w:charset w:val="86"/>
    <w:family w:val="auto"/>
    <w:pitch w:val="default"/>
    <w:sig w:usb0="00000287" w:usb1="080F0000" w:usb2="00000000" w:usb3="00000000" w:csb0="0004009F" w:csb1="DFD70000"/>
  </w:font>
  <w:font w:name="Calibri">
    <w:panose1 w:val="020F0502020204030204"/>
    <w:charset w:val="86"/>
    <w:family w:val="swiss"/>
    <w:pitch w:val="default"/>
    <w:sig w:usb0="E00002FF" w:usb1="4000ACFF" w:usb2="00000001" w:usb3="00000000" w:csb0="2000019F" w:csb1="00000000"/>
  </w:font>
  <w:font w:name="Arial">
    <w:panose1 w:val="020B0604020202020204"/>
    <w:charset w:val="80"/>
    <w:family w:val="swiss"/>
    <w:pitch w:val="default"/>
    <w:sig w:usb0="E0002AFF" w:usb1="C0007843" w:usb2="00000009" w:usb3="00000000" w:csb0="400001FF" w:csb1="FFFF0000"/>
  </w:font>
  <w:font w:name="Wingdings 2">
    <w:panose1 w:val="05020102010507070707"/>
    <w:charset w:val="00"/>
    <w:family w:val="auto"/>
    <w:pitch w:val="default"/>
    <w:sig w:usb0="00000000" w:usb1="00000000" w:usb2="00000000" w:usb3="00000000" w:csb0="80000000" w:csb1="00000000"/>
  </w:font>
  <w:font w:name="Helvetica">
    <w:altName w:val="Arial"/>
    <w:panose1 w:val="020B0504020202020204"/>
    <w:charset w:val="00"/>
    <w:family w:val="swiss"/>
    <w:pitch w:val="default"/>
    <w:sig w:usb0="00000000" w:usb1="00000000" w:usb2="00000009" w:usb3="00000000" w:csb0="000001FF" w:csb1="00000000"/>
  </w:font>
  <w:font w:name="宋体|呯堈...">
    <w:altName w:val="宋体"/>
    <w:panose1 w:val="00000000000000000000"/>
    <w:charset w:val="86"/>
    <w:family w:val="roman"/>
    <w:pitch w:val="default"/>
    <w:sig w:usb0="00000000" w:usb1="00000000" w:usb2="00000010" w:usb3="00000000" w:csb0="00040000" w:csb1="00000000"/>
  </w:font>
  <w:font w:name="TimesNewRomanPSMT">
    <w:altName w:val="Times New Roman"/>
    <w:panose1 w:val="00000000000000000000"/>
    <w:charset w:val="00"/>
    <w:family w:val="roman"/>
    <w:pitch w:val="default"/>
    <w:sig w:usb0="00000000" w:usb1="00000000" w:usb2="00000001" w:usb3="00000000" w:csb0="400001BF" w:csb1="DFF70000"/>
  </w:font>
  <w:font w:name="仿宋_GB2312">
    <w:panose1 w:val="02010609030101010101"/>
    <w:charset w:val="48"/>
    <w:family w:val="modern"/>
    <w:pitch w:val="default"/>
    <w:sig w:usb0="00000001" w:usb1="080E0000" w:usb2="00000000" w:usb3="00000000" w:csb0="00040000" w:csb1="00000000"/>
  </w:font>
  <w:font w:name="方正小标宋简体">
    <w:panose1 w:val="03000509000000000000"/>
    <w:charset w:val="48"/>
    <w:family w:val="script"/>
    <w:pitch w:val="default"/>
    <w:sig w:usb0="00000001" w:usb1="080E0000" w:usb2="00000000" w:usb3="00000000" w:csb0="00040000" w:csb1="00000000"/>
  </w:font>
  <w:font w:name="方正仿宋_GB2312">
    <w:altName w:val="仿宋"/>
    <w:panose1 w:val="02000000000000000000"/>
    <w:charset w:val="48"/>
    <w:family w:val="auto"/>
    <w:pitch w:val="default"/>
    <w:sig w:usb0="00000000" w:usb1="00000000" w:usb2="00000000" w:usb3="00000000" w:csb0="00000000" w:csb1="00000000"/>
  </w:font>
  <w:font w:name="Microsoft JhengHei">
    <w:panose1 w:val="020B0604030504040204"/>
    <w:charset w:val="50"/>
    <w:family w:val="swiss"/>
    <w:pitch w:val="default"/>
    <w:sig w:usb0="00000087" w:usb1="28AF4000" w:usb2="00000016" w:usb3="00000000" w:csb0="00100009" w:csb1="00000000"/>
  </w:font>
  <w:font w:name="仿宋">
    <w:panose1 w:val="02010609060101010101"/>
    <w:charset w:val="48"/>
    <w:family w:val="auto"/>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font>
  <w:font w:name="Malgun Gothic">
    <w:panose1 w:val="020B0503020000020004"/>
    <w:charset w:val="81"/>
    <w:family w:val="auto"/>
    <w:pitch w:val="default"/>
    <w:sig w:usb0="900002AF" w:usb1="01D77CFB" w:usb2="00000012" w:usb3="00000000" w:csb0="00080001" w:csb1="00000000"/>
  </w:font>
  <w:font w:name="仿宋_GB2312">
    <w:panose1 w:val="02010609030101010101"/>
    <w:charset w:val="34"/>
    <w:family w:val="modern"/>
    <w:pitch w:val="default"/>
    <w:sig w:usb0="00000001" w:usb1="080E0000" w:usb2="00000000" w:usb3="00000000" w:csb0="00040000" w:csb1="00000000"/>
  </w:font>
  <w:font w:name="Meiryo">
    <w:panose1 w:val="020B0604030504040204"/>
    <w:charset w:val="28"/>
    <w:family w:val="swiss"/>
    <w:pitch w:val="default"/>
    <w:sig w:usb0="E10102FF" w:usb1="EAC7FFFF" w:usb2="00010012" w:usb3="00000000" w:csb0="6002009F" w:csb1="DFD70000"/>
  </w:font>
  <w:font w:name="微软雅黑">
    <w:panose1 w:val="020B0503020204020204"/>
    <w:charset w:val="34"/>
    <w:family w:val="swiss"/>
    <w:pitch w:val="default"/>
    <w:sig w:usb0="80000287" w:usb1="280F3C52" w:usb2="00000016" w:usb3="00000000" w:csb0="0004001F" w:csb1="00000000"/>
  </w:font>
  <w:font w:name="方正小标宋简体">
    <w:panose1 w:val="03000509000000000000"/>
    <w:charset w:val="34"/>
    <w:family w:val="script"/>
    <w:pitch w:val="default"/>
    <w:sig w:usb0="00000001" w:usb1="080E0000" w:usb2="00000000" w:usb3="00000000" w:csb0="00040000" w:csb1="00000000"/>
  </w:font>
  <w:font w:name="仿宋">
    <w:panose1 w:val="02010609060101010101"/>
    <w:charset w:val="34"/>
    <w:family w:val="modern"/>
    <w:pitch w:val="default"/>
    <w:sig w:usb0="800002BF" w:usb1="38CF7CFA" w:usb2="00000016" w:usb3="00000000" w:csb0="00040001" w:csb1="00000000"/>
  </w:font>
  <w:font w:name="Adobe 楷体 Std R">
    <w:altName w:val="宋体"/>
    <w:panose1 w:val="00000000000000000000"/>
    <w:charset w:val="34"/>
    <w:family w:val="roman"/>
    <w:pitch w:val="default"/>
    <w:sig w:usb0="00000000" w:usb1="00000000" w:usb2="00000016" w:usb3="00000000" w:csb0="00060007" w:csb1="00000000"/>
  </w:font>
  <w:font w:name="新宋体-18030">
    <w:altName w:val="微软雅黑"/>
    <w:panose1 w:val="02010609060101010101"/>
    <w:charset w:val="86"/>
    <w:family w:val="modern"/>
    <w:pitch w:val="default"/>
    <w:sig w:usb0="00000000" w:usb1="00000000" w:usb2="000A005E" w:usb3="00000000" w:csb0="00040001" w:csb1="00000000"/>
  </w:font>
  <w:font w:name="Century Gothic">
    <w:panose1 w:val="020B0502020202020204"/>
    <w:charset w:val="00"/>
    <w:family w:val="swiss"/>
    <w:pitch w:val="default"/>
    <w:sig w:usb0="00000287" w:usb1="00000000" w:usb2="00000000" w:usb3="00000000" w:csb0="2000009F" w:csb1="DFD70000"/>
  </w:font>
  <w:font w:name="......">
    <w:altName w:val="MS Gothic"/>
    <w:panose1 w:val="00000000000000000000"/>
    <w:charset w:val="80"/>
    <w:family w:val="modern"/>
    <w:pitch w:val="default"/>
    <w:sig w:usb0="00000000" w:usb1="00000000" w:usb2="00000010" w:usb3="00000000" w:csb0="00020000" w:csb1="00000000"/>
  </w:font>
  <w:font w:name="宋体-PUA">
    <w:altName w:val="宋体"/>
    <w:panose1 w:val="00000000000000000000"/>
    <w:charset w:val="86"/>
    <w:family w:val="auto"/>
    <w:pitch w:val="default"/>
    <w:sig w:usb0="00000000" w:usb1="00000000" w:usb2="00000000" w:usb3="00000000" w:csb0="00040000" w:csb1="00000000"/>
  </w:font>
  <w:font w:name="Trebuchet MS">
    <w:panose1 w:val="020B0603020202020204"/>
    <w:charset w:val="00"/>
    <w:family w:val="auto"/>
    <w:pitch w:val="default"/>
    <w:sig w:usb0="00000287" w:usb1="00000000" w:usb2="00000000" w:usb3="00000000" w:csb0="2000009F" w:csb1="0000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宋体-PUA">
    <w:altName w:val="宋体"/>
    <w:panose1 w:val="00000000000000000000"/>
    <w:charset w:val="00"/>
    <w:family w:val="auto"/>
    <w:pitch w:val="default"/>
    <w:sig w:usb0="00000000" w:usb1="00000000" w:usb2="00000000" w:usb3="00000000" w:csb0="00000000" w:csb1="00000000"/>
  </w:font>
  <w:font w:name="MingLiU">
    <w:panose1 w:val="02020509000000000000"/>
    <w:charset w:val="88"/>
    <w:family w:val="modern"/>
    <w:pitch w:val="default"/>
    <w:sig w:usb0="A00002FF" w:usb1="28CFFCFA" w:usb2="00000016" w:usb3="00000000" w:csb0="00100001" w:csb1="00000000"/>
  </w:font>
  <w:font w:name="Traditional Arabic">
    <w:panose1 w:val="02020603050405020304"/>
    <w:charset w:val="00"/>
    <w:family w:val="roman"/>
    <w:pitch w:val="default"/>
    <w:sig w:usb0="00006003" w:usb1="80000000" w:usb2="00000008" w:usb3="00000000" w:csb0="00000041" w:csb1="20080000"/>
  </w:font>
  <w:font w:name="CommercialPi BT">
    <w:altName w:val="微软雅黑"/>
    <w:panose1 w:val="05020102010006080802"/>
    <w:charset w:val="00"/>
    <w:family w:val="roman"/>
    <w:pitch w:val="default"/>
    <w:sig w:usb0="00000000" w:usb1="00000000" w:usb2="00000000" w:usb3="00000000" w:csb0="00040001" w:csb1="00000000"/>
  </w:font>
  <w:font w:name="Adobe 楷体 Std R">
    <w:altName w:val="宋体"/>
    <w:panose1 w:val="00000000000000000000"/>
    <w:charset w:val="00"/>
    <w:family w:val="roman"/>
    <w:pitch w:val="default"/>
    <w:sig w:usb0="00000000" w:usb1="00000000" w:usb2="00000016" w:usb3="00000000" w:csb0="00060007" w:csb1="00000000"/>
  </w:font>
  <w:font w:name="Cambria Math">
    <w:panose1 w:val="02040503050406030204"/>
    <w:charset w:val="00"/>
    <w:family w:val="auto"/>
    <w:pitch w:val="default"/>
    <w:sig w:usb0="E00002FF" w:usb1="420024FF" w:usb2="00000000" w:usb3="00000000" w:csb0="2000019F" w:csb1="00000000"/>
  </w:font>
  <w:font w:name="微软雅黑 Light">
    <w:altName w:val="黑体"/>
    <w:panose1 w:val="020B0502040204020203"/>
    <w:charset w:val="86"/>
    <w:family w:val="auto"/>
    <w:pitch w:val="default"/>
    <w:sig w:usb0="00000000" w:usb1="00000000" w:usb2="00000016" w:usb3="00000000" w:csb0="0004001F"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w:t>
    </w:r>
    <w:r>
      <w:t xml:space="preserve"> 11 -</w:t>
    </w:r>
    <w:r>
      <w:fldChar w:fldCharType="end"/>
    </w:r>
  </w:p>
  <w:p>
    <w:pPr>
      <w:pStyle w:val="11"/>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rPr>
        <w:rStyle w:val="17"/>
      </w:rPr>
    </w:pPr>
    <w:r>
      <w:fldChar w:fldCharType="begin"/>
    </w:r>
    <w:r>
      <w:rPr>
        <w:rStyle w:val="17"/>
      </w:rPr>
      <w:instrText xml:space="preserve">PAGE  </w:instrText>
    </w:r>
    <w:r>
      <w:fldChar w:fldCharType="separate"/>
    </w:r>
    <w:r>
      <w:rPr>
        <w:rStyle w:val="17"/>
      </w:rPr>
      <w:t>0</w:t>
    </w:r>
    <w:r>
      <w:fldChar w:fldCharType="end"/>
    </w:r>
  </w:p>
  <w:p>
    <w:pPr>
      <w:pStyle w:val="1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Style w:val="17"/>
      </w:rPr>
      <w:fldChar w:fldCharType="begin"/>
    </w:r>
    <w:r>
      <w:rPr>
        <w:rStyle w:val="17"/>
      </w:rPr>
      <w:instrText xml:space="preserve"> PAGE </w:instrText>
    </w:r>
    <w:r>
      <w:rPr>
        <w:rStyle w:val="17"/>
      </w:rPr>
      <w:fldChar w:fldCharType="separate"/>
    </w:r>
    <w:r>
      <w:rPr>
        <w:rStyle w:val="17"/>
      </w:rPr>
      <w:t>- 28 -</w:t>
    </w:r>
    <w:r>
      <w:rPr>
        <w:rStyle w:val="17"/>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rPr>
        <w:rStyle w:val="17"/>
      </w:rPr>
    </w:pPr>
    <w:r>
      <w:fldChar w:fldCharType="begin"/>
    </w:r>
    <w:r>
      <w:rPr>
        <w:rStyle w:val="17"/>
      </w:rPr>
      <w:instrText xml:space="preserve">PAGE  </w:instrText>
    </w:r>
    <w:r>
      <w:fldChar w:fldCharType="separate"/>
    </w:r>
    <w:r>
      <w:rPr>
        <w:rStyle w:val="17"/>
      </w:rPr>
      <w:t>0</w:t>
    </w:r>
    <w:r>
      <w:fldChar w:fldCharType="end"/>
    </w:r>
  </w:p>
  <w:p>
    <w:pPr>
      <w:pStyle w:val="11"/>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pPr>
    <w:r>
      <w:rPr>
        <w:rFonts w:hint="eastAsia"/>
      </w:rPr>
      <w:t>杭州萧山国际机场航站楼地下车库进出口伸缩缝排水沟清淤项目招标文件</w:t>
    </w:r>
  </w:p>
  <w:p>
    <w:pPr>
      <w:widowControl/>
      <w:adjustRightInd w:val="0"/>
      <w:snapToGrid w:val="0"/>
      <w:textAlignment w:val="baseline"/>
      <w:rPr>
        <w:color w:val="000000"/>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4"/>
      <w:numFmt w:val="chineseCounting"/>
      <w:suff w:val="space"/>
      <w:lvlText w:val="第%1章"/>
      <w:lvlJc w:val="left"/>
      <w:rPr>
        <w:rFonts w:hint="eastAsia"/>
      </w:rPr>
    </w:lvl>
  </w:abstractNum>
  <w:abstractNum w:abstractNumId="1">
    <w:nsid w:val="00000006"/>
    <w:multiLevelType w:val="singleLevel"/>
    <w:tmpl w:val="00000006"/>
    <w:lvl w:ilvl="0" w:tentative="0">
      <w:start w:val="3"/>
      <w:numFmt w:val="chineseCounting"/>
      <w:suff w:val="space"/>
      <w:lvlText w:val="第%1章"/>
      <w:lvlJc w:val="left"/>
    </w:lvl>
  </w:abstractNum>
  <w:abstractNum w:abstractNumId="2">
    <w:nsid w:val="00000007"/>
    <w:multiLevelType w:val="singleLevel"/>
    <w:tmpl w:val="00000007"/>
    <w:lvl w:ilvl="0" w:tentative="0">
      <w:start w:val="1"/>
      <w:numFmt w:val="chineseCounting"/>
      <w:suff w:val="nothing"/>
      <w:lvlText w:val="%1、"/>
      <w:lvlJc w:val="left"/>
    </w:lvl>
  </w:abstractNum>
  <w:abstractNum w:abstractNumId="3">
    <w:nsid w:val="00000008"/>
    <w:multiLevelType w:val="singleLevel"/>
    <w:tmpl w:val="00000008"/>
    <w:lvl w:ilvl="0" w:tentative="0">
      <w:start w:val="1"/>
      <w:numFmt w:val="decimal"/>
      <w:suff w:val="nothing"/>
      <w:lvlText w:val="%1、"/>
      <w:lvlJc w:val="left"/>
      <w:rPr>
        <w:sz w:val="24"/>
        <w:szCs w:val="24"/>
      </w:rPr>
    </w:lvl>
  </w:abstractNum>
  <w:abstractNum w:abstractNumId="4">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5DB23849"/>
    <w:multiLevelType w:val="singleLevel"/>
    <w:tmpl w:val="5DB23849"/>
    <w:lvl w:ilvl="0" w:tentative="0">
      <w:start w:val="1"/>
      <w:numFmt w:val="decimal"/>
      <w:suff w:val="nothing"/>
      <w:lvlText w:val="%1、"/>
      <w:lvlJc w:val="left"/>
    </w:lvl>
  </w:abstractNum>
  <w:abstractNum w:abstractNumId="6">
    <w:nsid w:val="62FF5BE2"/>
    <w:multiLevelType w:val="singleLevel"/>
    <w:tmpl w:val="62FF5BE2"/>
    <w:lvl w:ilvl="0" w:tentative="0">
      <w:start w:val="3"/>
      <w:numFmt w:val="chineseCounting"/>
      <w:suff w:val="nothing"/>
      <w:lvlText w:val="%1、"/>
      <w:lvlJc w:val="left"/>
    </w:lvl>
  </w:abstractNum>
  <w:abstractNum w:abstractNumId="7">
    <w:nsid w:val="6302E9F5"/>
    <w:multiLevelType w:val="singleLevel"/>
    <w:tmpl w:val="6302E9F5"/>
    <w:lvl w:ilvl="0" w:tentative="0">
      <w:start w:val="1"/>
      <w:numFmt w:val="decimal"/>
      <w:suff w:val="nothing"/>
      <w:lvlText w:val="(%1)"/>
      <w:lvlJc w:val="left"/>
    </w:lvl>
  </w:abstractNum>
  <w:abstractNum w:abstractNumId="8">
    <w:nsid w:val="630573BF"/>
    <w:multiLevelType w:val="singleLevel"/>
    <w:tmpl w:val="630573BF"/>
    <w:lvl w:ilvl="0" w:tentative="0">
      <w:start w:val="1"/>
      <w:numFmt w:val="chineseCounting"/>
      <w:suff w:val="nothing"/>
      <w:lvlText w:val="%1、"/>
      <w:lvlJc w:val="left"/>
    </w:lvl>
  </w:abstractNum>
  <w:abstractNum w:abstractNumId="9">
    <w:nsid w:val="630596E8"/>
    <w:multiLevelType w:val="singleLevel"/>
    <w:tmpl w:val="630596E8"/>
    <w:lvl w:ilvl="0" w:tentative="0">
      <w:start w:val="5"/>
      <w:numFmt w:val="decimal"/>
      <w:suff w:val="nothing"/>
      <w:lvlText w:val="%1．"/>
      <w:lvlJc w:val="left"/>
    </w:lvl>
  </w:abstractNum>
  <w:abstractNum w:abstractNumId="10">
    <w:nsid w:val="6305CEBC"/>
    <w:multiLevelType w:val="singleLevel"/>
    <w:tmpl w:val="6305CEBC"/>
    <w:lvl w:ilvl="0" w:tentative="0">
      <w:start w:val="9"/>
      <w:numFmt w:val="decimal"/>
      <w:suff w:val="nothing"/>
      <w:lvlText w:val="%1、"/>
      <w:lvlJc w:val="left"/>
    </w:lvl>
  </w:abstractNum>
  <w:abstractNum w:abstractNumId="11">
    <w:nsid w:val="6305D4E8"/>
    <w:multiLevelType w:val="singleLevel"/>
    <w:tmpl w:val="6305D4E8"/>
    <w:lvl w:ilvl="0" w:tentative="0">
      <w:start w:val="1"/>
      <w:numFmt w:val="decimal"/>
      <w:suff w:val="nothing"/>
      <w:lvlText w:val="（%1）"/>
      <w:lvlJc w:val="left"/>
    </w:lvl>
  </w:abstractNum>
  <w:num w:numId="1">
    <w:abstractNumId w:val="8"/>
  </w:num>
  <w:num w:numId="2">
    <w:abstractNumId w:val="1"/>
  </w:num>
  <w:num w:numId="3">
    <w:abstractNumId w:val="2"/>
  </w:num>
  <w:num w:numId="4">
    <w:abstractNumId w:val="6"/>
  </w:num>
  <w:num w:numId="5">
    <w:abstractNumId w:val="3"/>
  </w:num>
  <w:num w:numId="6">
    <w:abstractNumId w:val="5"/>
  </w:num>
  <w:num w:numId="7">
    <w:abstractNumId w:val="0"/>
  </w:num>
  <w:num w:numId="8">
    <w:abstractNumId w:val="9"/>
  </w:num>
  <w:num w:numId="9">
    <w:abstractNumId w:val="11"/>
  </w:num>
  <w:num w:numId="10">
    <w:abstractNumId w:val="4"/>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248"/>
    <w:rsid w:val="00112599"/>
    <w:rsid w:val="001407EE"/>
    <w:rsid w:val="00153B97"/>
    <w:rsid w:val="001A198D"/>
    <w:rsid w:val="001C1336"/>
    <w:rsid w:val="001D35C3"/>
    <w:rsid w:val="001E123F"/>
    <w:rsid w:val="002372CA"/>
    <w:rsid w:val="0027005D"/>
    <w:rsid w:val="002D16C2"/>
    <w:rsid w:val="003663DC"/>
    <w:rsid w:val="00391ECC"/>
    <w:rsid w:val="00394D3F"/>
    <w:rsid w:val="003A0357"/>
    <w:rsid w:val="003A3BCD"/>
    <w:rsid w:val="003B488A"/>
    <w:rsid w:val="003F3082"/>
    <w:rsid w:val="00410823"/>
    <w:rsid w:val="004335D8"/>
    <w:rsid w:val="00440249"/>
    <w:rsid w:val="004773A2"/>
    <w:rsid w:val="004E48EB"/>
    <w:rsid w:val="005044F1"/>
    <w:rsid w:val="00543248"/>
    <w:rsid w:val="0056660C"/>
    <w:rsid w:val="00594A4E"/>
    <w:rsid w:val="005B4588"/>
    <w:rsid w:val="005E4C2C"/>
    <w:rsid w:val="006424F6"/>
    <w:rsid w:val="00664F51"/>
    <w:rsid w:val="006B51D5"/>
    <w:rsid w:val="007313FE"/>
    <w:rsid w:val="007C5189"/>
    <w:rsid w:val="007E51C2"/>
    <w:rsid w:val="007F5978"/>
    <w:rsid w:val="00925E22"/>
    <w:rsid w:val="00930CE3"/>
    <w:rsid w:val="009A5CD8"/>
    <w:rsid w:val="009F0A76"/>
    <w:rsid w:val="00A240B0"/>
    <w:rsid w:val="00A4701A"/>
    <w:rsid w:val="00A86AFF"/>
    <w:rsid w:val="00AD5EDF"/>
    <w:rsid w:val="00B162D6"/>
    <w:rsid w:val="00B25727"/>
    <w:rsid w:val="00B703D0"/>
    <w:rsid w:val="00C26834"/>
    <w:rsid w:val="00C57342"/>
    <w:rsid w:val="00C77D98"/>
    <w:rsid w:val="00CA12BD"/>
    <w:rsid w:val="00CD6D04"/>
    <w:rsid w:val="00D33C02"/>
    <w:rsid w:val="00DF6745"/>
    <w:rsid w:val="00E07039"/>
    <w:rsid w:val="00E21A07"/>
    <w:rsid w:val="00E531AC"/>
    <w:rsid w:val="00E91905"/>
    <w:rsid w:val="00EC7C3D"/>
    <w:rsid w:val="00EE4F8C"/>
    <w:rsid w:val="00F046B1"/>
    <w:rsid w:val="00F213C4"/>
    <w:rsid w:val="00F47B71"/>
    <w:rsid w:val="020C7434"/>
    <w:rsid w:val="02482912"/>
    <w:rsid w:val="02485A1D"/>
    <w:rsid w:val="028D7FAD"/>
    <w:rsid w:val="02A26277"/>
    <w:rsid w:val="02AA3729"/>
    <w:rsid w:val="02D12DD3"/>
    <w:rsid w:val="02DC662C"/>
    <w:rsid w:val="02EF78A6"/>
    <w:rsid w:val="030E7542"/>
    <w:rsid w:val="033B0C88"/>
    <w:rsid w:val="03BC7A94"/>
    <w:rsid w:val="03DB2294"/>
    <w:rsid w:val="043D74BD"/>
    <w:rsid w:val="04771212"/>
    <w:rsid w:val="048508D0"/>
    <w:rsid w:val="049F4464"/>
    <w:rsid w:val="05096467"/>
    <w:rsid w:val="05124C33"/>
    <w:rsid w:val="05994D6B"/>
    <w:rsid w:val="05E713BE"/>
    <w:rsid w:val="061638D2"/>
    <w:rsid w:val="062C216E"/>
    <w:rsid w:val="06356992"/>
    <w:rsid w:val="06481CC1"/>
    <w:rsid w:val="06716D9A"/>
    <w:rsid w:val="067B17A7"/>
    <w:rsid w:val="067C199A"/>
    <w:rsid w:val="06921380"/>
    <w:rsid w:val="069E4B34"/>
    <w:rsid w:val="078A0CCB"/>
    <w:rsid w:val="08090AD6"/>
    <w:rsid w:val="08213960"/>
    <w:rsid w:val="08331FBD"/>
    <w:rsid w:val="08406CEB"/>
    <w:rsid w:val="086619E2"/>
    <w:rsid w:val="088B1985"/>
    <w:rsid w:val="089514F9"/>
    <w:rsid w:val="089769AF"/>
    <w:rsid w:val="089C112C"/>
    <w:rsid w:val="089E0ADB"/>
    <w:rsid w:val="08FF19D5"/>
    <w:rsid w:val="095410AD"/>
    <w:rsid w:val="09B552AF"/>
    <w:rsid w:val="09CC2210"/>
    <w:rsid w:val="0A1014AA"/>
    <w:rsid w:val="0A2833BE"/>
    <w:rsid w:val="0A3575D9"/>
    <w:rsid w:val="0A437288"/>
    <w:rsid w:val="0A695F2E"/>
    <w:rsid w:val="0A776D7D"/>
    <w:rsid w:val="0AB351CA"/>
    <w:rsid w:val="0AF949D2"/>
    <w:rsid w:val="0B300E82"/>
    <w:rsid w:val="0B3A2425"/>
    <w:rsid w:val="0B6B6D5F"/>
    <w:rsid w:val="0B71198C"/>
    <w:rsid w:val="0B7F2A89"/>
    <w:rsid w:val="0B912F78"/>
    <w:rsid w:val="0B993895"/>
    <w:rsid w:val="0BA55D3A"/>
    <w:rsid w:val="0BB22472"/>
    <w:rsid w:val="0BDE1AAB"/>
    <w:rsid w:val="0C4C083D"/>
    <w:rsid w:val="0CA32D09"/>
    <w:rsid w:val="0CAE5BA0"/>
    <w:rsid w:val="0CF55781"/>
    <w:rsid w:val="0D903B28"/>
    <w:rsid w:val="0DC40125"/>
    <w:rsid w:val="0DD42EF3"/>
    <w:rsid w:val="0E000AB2"/>
    <w:rsid w:val="0E1E37F9"/>
    <w:rsid w:val="0E241701"/>
    <w:rsid w:val="0E49670A"/>
    <w:rsid w:val="0E7A72FA"/>
    <w:rsid w:val="0EAA1F8D"/>
    <w:rsid w:val="0EB654B1"/>
    <w:rsid w:val="0F162F78"/>
    <w:rsid w:val="0F223486"/>
    <w:rsid w:val="0F2A1B68"/>
    <w:rsid w:val="0F5C7FEC"/>
    <w:rsid w:val="0FD230BA"/>
    <w:rsid w:val="10F7105E"/>
    <w:rsid w:val="10F97188"/>
    <w:rsid w:val="114C1AC2"/>
    <w:rsid w:val="116642B8"/>
    <w:rsid w:val="116E780A"/>
    <w:rsid w:val="11E508F2"/>
    <w:rsid w:val="121D4F4D"/>
    <w:rsid w:val="12623D56"/>
    <w:rsid w:val="130C2BED"/>
    <w:rsid w:val="131C42E8"/>
    <w:rsid w:val="135C2F31"/>
    <w:rsid w:val="138337D1"/>
    <w:rsid w:val="140861FD"/>
    <w:rsid w:val="14105148"/>
    <w:rsid w:val="14846A61"/>
    <w:rsid w:val="148A79E2"/>
    <w:rsid w:val="14AE0127"/>
    <w:rsid w:val="14C663B2"/>
    <w:rsid w:val="151571AC"/>
    <w:rsid w:val="154878AA"/>
    <w:rsid w:val="159D188F"/>
    <w:rsid w:val="16E50208"/>
    <w:rsid w:val="17022FEA"/>
    <w:rsid w:val="1715258B"/>
    <w:rsid w:val="17723FFB"/>
    <w:rsid w:val="18037F90"/>
    <w:rsid w:val="18686A24"/>
    <w:rsid w:val="189B09C4"/>
    <w:rsid w:val="18D631BC"/>
    <w:rsid w:val="18FF5DCA"/>
    <w:rsid w:val="192D36AB"/>
    <w:rsid w:val="195D70A1"/>
    <w:rsid w:val="19DA2BF1"/>
    <w:rsid w:val="19F13742"/>
    <w:rsid w:val="19FF65BA"/>
    <w:rsid w:val="1A543D9C"/>
    <w:rsid w:val="1A707782"/>
    <w:rsid w:val="1AA77FF5"/>
    <w:rsid w:val="1AB50A12"/>
    <w:rsid w:val="1ABE527F"/>
    <w:rsid w:val="1ABF01A4"/>
    <w:rsid w:val="1AE477C8"/>
    <w:rsid w:val="1AF6260E"/>
    <w:rsid w:val="1B0E0142"/>
    <w:rsid w:val="1B1D3E69"/>
    <w:rsid w:val="1B5F4E3B"/>
    <w:rsid w:val="1B6467C4"/>
    <w:rsid w:val="1B854400"/>
    <w:rsid w:val="1BB127CD"/>
    <w:rsid w:val="1BB66DFF"/>
    <w:rsid w:val="1C003366"/>
    <w:rsid w:val="1C457C7E"/>
    <w:rsid w:val="1C633469"/>
    <w:rsid w:val="1CB03310"/>
    <w:rsid w:val="1CFE1FF8"/>
    <w:rsid w:val="1D7F6AA2"/>
    <w:rsid w:val="1D8E4D0E"/>
    <w:rsid w:val="1DA20564"/>
    <w:rsid w:val="1DAC0981"/>
    <w:rsid w:val="1DC20028"/>
    <w:rsid w:val="1DF21C8B"/>
    <w:rsid w:val="1DFB35F5"/>
    <w:rsid w:val="1E2908EC"/>
    <w:rsid w:val="1E3D4028"/>
    <w:rsid w:val="1E9E62EA"/>
    <w:rsid w:val="1EC21A7E"/>
    <w:rsid w:val="1F173DE8"/>
    <w:rsid w:val="1FCF4059"/>
    <w:rsid w:val="1FDE01EF"/>
    <w:rsid w:val="1FFA2924"/>
    <w:rsid w:val="20114F7C"/>
    <w:rsid w:val="2024666E"/>
    <w:rsid w:val="20494FD7"/>
    <w:rsid w:val="205A01CF"/>
    <w:rsid w:val="2067588B"/>
    <w:rsid w:val="208133D1"/>
    <w:rsid w:val="208B2C05"/>
    <w:rsid w:val="20D25117"/>
    <w:rsid w:val="20FB3366"/>
    <w:rsid w:val="21F8422D"/>
    <w:rsid w:val="220F2679"/>
    <w:rsid w:val="22751618"/>
    <w:rsid w:val="229C2B7E"/>
    <w:rsid w:val="23185976"/>
    <w:rsid w:val="23322FAC"/>
    <w:rsid w:val="233A16A0"/>
    <w:rsid w:val="241C41E3"/>
    <w:rsid w:val="245667EC"/>
    <w:rsid w:val="24713D02"/>
    <w:rsid w:val="247434F1"/>
    <w:rsid w:val="248317D0"/>
    <w:rsid w:val="255411EA"/>
    <w:rsid w:val="25620C11"/>
    <w:rsid w:val="2581749C"/>
    <w:rsid w:val="25987B31"/>
    <w:rsid w:val="25A00B95"/>
    <w:rsid w:val="25BF34EC"/>
    <w:rsid w:val="25C478E4"/>
    <w:rsid w:val="25CD5A0B"/>
    <w:rsid w:val="262B673D"/>
    <w:rsid w:val="26551146"/>
    <w:rsid w:val="26C3271D"/>
    <w:rsid w:val="26C83285"/>
    <w:rsid w:val="26C94D04"/>
    <w:rsid w:val="273A4807"/>
    <w:rsid w:val="275D2F25"/>
    <w:rsid w:val="276A6BC2"/>
    <w:rsid w:val="277316AE"/>
    <w:rsid w:val="279275C4"/>
    <w:rsid w:val="27EC3F3B"/>
    <w:rsid w:val="282C5207"/>
    <w:rsid w:val="283159B1"/>
    <w:rsid w:val="28532145"/>
    <w:rsid w:val="287C03E8"/>
    <w:rsid w:val="289013FB"/>
    <w:rsid w:val="28906796"/>
    <w:rsid w:val="28EE2575"/>
    <w:rsid w:val="29057C51"/>
    <w:rsid w:val="29686A3F"/>
    <w:rsid w:val="2972023B"/>
    <w:rsid w:val="29BA6B75"/>
    <w:rsid w:val="29E92C54"/>
    <w:rsid w:val="2A140579"/>
    <w:rsid w:val="2A736C31"/>
    <w:rsid w:val="2AC077CB"/>
    <w:rsid w:val="2B1B0578"/>
    <w:rsid w:val="2B1B495F"/>
    <w:rsid w:val="2B40361F"/>
    <w:rsid w:val="2B6B234F"/>
    <w:rsid w:val="2BC821FB"/>
    <w:rsid w:val="2BD13023"/>
    <w:rsid w:val="2BD84276"/>
    <w:rsid w:val="2BE70E55"/>
    <w:rsid w:val="2BFD73D3"/>
    <w:rsid w:val="2C9F4A77"/>
    <w:rsid w:val="2CAF6246"/>
    <w:rsid w:val="2CD67EBC"/>
    <w:rsid w:val="2CEC19A5"/>
    <w:rsid w:val="2D4108AB"/>
    <w:rsid w:val="2D795813"/>
    <w:rsid w:val="2D802115"/>
    <w:rsid w:val="2DA03791"/>
    <w:rsid w:val="2DD731C1"/>
    <w:rsid w:val="2E1F7032"/>
    <w:rsid w:val="2E3C4076"/>
    <w:rsid w:val="2EF253B4"/>
    <w:rsid w:val="2F4B6057"/>
    <w:rsid w:val="2F716E53"/>
    <w:rsid w:val="2F813E1C"/>
    <w:rsid w:val="2F8172C4"/>
    <w:rsid w:val="2F9A59CF"/>
    <w:rsid w:val="2FC011F2"/>
    <w:rsid w:val="30165841"/>
    <w:rsid w:val="3061203B"/>
    <w:rsid w:val="308D7892"/>
    <w:rsid w:val="310C13DF"/>
    <w:rsid w:val="31411484"/>
    <w:rsid w:val="314973BB"/>
    <w:rsid w:val="31E4669F"/>
    <w:rsid w:val="32203AAB"/>
    <w:rsid w:val="324C1F23"/>
    <w:rsid w:val="32945134"/>
    <w:rsid w:val="32A77317"/>
    <w:rsid w:val="330B0CFB"/>
    <w:rsid w:val="330D300F"/>
    <w:rsid w:val="33240BD3"/>
    <w:rsid w:val="33917F5F"/>
    <w:rsid w:val="33B5687B"/>
    <w:rsid w:val="33DE18BE"/>
    <w:rsid w:val="3413363B"/>
    <w:rsid w:val="3425787E"/>
    <w:rsid w:val="35295BEC"/>
    <w:rsid w:val="35A91E2D"/>
    <w:rsid w:val="35BE4539"/>
    <w:rsid w:val="360F2197"/>
    <w:rsid w:val="367C74C9"/>
    <w:rsid w:val="367D7DA4"/>
    <w:rsid w:val="369852A4"/>
    <w:rsid w:val="36A06300"/>
    <w:rsid w:val="373401DB"/>
    <w:rsid w:val="37520E73"/>
    <w:rsid w:val="37853D70"/>
    <w:rsid w:val="37E11B2B"/>
    <w:rsid w:val="38083C04"/>
    <w:rsid w:val="3813309C"/>
    <w:rsid w:val="385F2F16"/>
    <w:rsid w:val="387358D6"/>
    <w:rsid w:val="38FE7DA6"/>
    <w:rsid w:val="390B4A53"/>
    <w:rsid w:val="393279FA"/>
    <w:rsid w:val="39626E38"/>
    <w:rsid w:val="39AB5997"/>
    <w:rsid w:val="3A134C44"/>
    <w:rsid w:val="3A4E470C"/>
    <w:rsid w:val="3A526EBE"/>
    <w:rsid w:val="3A8B5DB2"/>
    <w:rsid w:val="3B1D0923"/>
    <w:rsid w:val="3B3738EE"/>
    <w:rsid w:val="3B5C012F"/>
    <w:rsid w:val="3B6F5C1F"/>
    <w:rsid w:val="3B7E62B1"/>
    <w:rsid w:val="3BAB0475"/>
    <w:rsid w:val="3BE47ECF"/>
    <w:rsid w:val="3C171BE4"/>
    <w:rsid w:val="3C2E7893"/>
    <w:rsid w:val="3C2F336E"/>
    <w:rsid w:val="3C391D51"/>
    <w:rsid w:val="3C4D306C"/>
    <w:rsid w:val="3C7322D4"/>
    <w:rsid w:val="3CD51A2A"/>
    <w:rsid w:val="3D0017CB"/>
    <w:rsid w:val="3D096DD1"/>
    <w:rsid w:val="3D2C63E2"/>
    <w:rsid w:val="3D327DE8"/>
    <w:rsid w:val="3D4F4D71"/>
    <w:rsid w:val="3D9E66E0"/>
    <w:rsid w:val="3DA84F0D"/>
    <w:rsid w:val="3E0B1F87"/>
    <w:rsid w:val="3E1F3760"/>
    <w:rsid w:val="3E556F47"/>
    <w:rsid w:val="3E893AAA"/>
    <w:rsid w:val="3EA43F64"/>
    <w:rsid w:val="3ECA74DE"/>
    <w:rsid w:val="3EE404AA"/>
    <w:rsid w:val="3EEB4F68"/>
    <w:rsid w:val="3EF17DEF"/>
    <w:rsid w:val="3EF87C73"/>
    <w:rsid w:val="3F7D3537"/>
    <w:rsid w:val="3FDC3D9A"/>
    <w:rsid w:val="3FEC045F"/>
    <w:rsid w:val="3FF3699F"/>
    <w:rsid w:val="40181EA7"/>
    <w:rsid w:val="40A65906"/>
    <w:rsid w:val="40F55643"/>
    <w:rsid w:val="412A5EB8"/>
    <w:rsid w:val="41A823B0"/>
    <w:rsid w:val="41C77405"/>
    <w:rsid w:val="41F22C86"/>
    <w:rsid w:val="420B427F"/>
    <w:rsid w:val="4227020B"/>
    <w:rsid w:val="423B0466"/>
    <w:rsid w:val="424B685B"/>
    <w:rsid w:val="43556DEF"/>
    <w:rsid w:val="43724A09"/>
    <w:rsid w:val="439B48DC"/>
    <w:rsid w:val="43CA1F54"/>
    <w:rsid w:val="43F77146"/>
    <w:rsid w:val="44052433"/>
    <w:rsid w:val="440B2AA7"/>
    <w:rsid w:val="44172EBB"/>
    <w:rsid w:val="441C0F1A"/>
    <w:rsid w:val="445B144B"/>
    <w:rsid w:val="44C333CD"/>
    <w:rsid w:val="4508048C"/>
    <w:rsid w:val="454B325C"/>
    <w:rsid w:val="45A975AE"/>
    <w:rsid w:val="45B03128"/>
    <w:rsid w:val="45BA1687"/>
    <w:rsid w:val="45C46FD2"/>
    <w:rsid w:val="45E0539E"/>
    <w:rsid w:val="460C1ED2"/>
    <w:rsid w:val="466E08ED"/>
    <w:rsid w:val="46836916"/>
    <w:rsid w:val="46C25080"/>
    <w:rsid w:val="46CA1A53"/>
    <w:rsid w:val="46E43E69"/>
    <w:rsid w:val="47640420"/>
    <w:rsid w:val="478C0C36"/>
    <w:rsid w:val="479E3BBC"/>
    <w:rsid w:val="47A27E9E"/>
    <w:rsid w:val="47D04151"/>
    <w:rsid w:val="47D92520"/>
    <w:rsid w:val="47F502F8"/>
    <w:rsid w:val="47FA022D"/>
    <w:rsid w:val="48360994"/>
    <w:rsid w:val="486335FC"/>
    <w:rsid w:val="489C1FFA"/>
    <w:rsid w:val="48C178BE"/>
    <w:rsid w:val="49261CEE"/>
    <w:rsid w:val="495170FC"/>
    <w:rsid w:val="49B77F3E"/>
    <w:rsid w:val="49BC4814"/>
    <w:rsid w:val="4A263C47"/>
    <w:rsid w:val="4A4813F8"/>
    <w:rsid w:val="4A4D38AD"/>
    <w:rsid w:val="4A5C7AFC"/>
    <w:rsid w:val="4A720D06"/>
    <w:rsid w:val="4ADF22E1"/>
    <w:rsid w:val="4B095820"/>
    <w:rsid w:val="4B211C9C"/>
    <w:rsid w:val="4B6573D7"/>
    <w:rsid w:val="4BA51134"/>
    <w:rsid w:val="4BAE7B2F"/>
    <w:rsid w:val="4BCC4562"/>
    <w:rsid w:val="4BED1855"/>
    <w:rsid w:val="4C461256"/>
    <w:rsid w:val="4C5E5A61"/>
    <w:rsid w:val="4C941221"/>
    <w:rsid w:val="4C9A2C95"/>
    <w:rsid w:val="4CA74709"/>
    <w:rsid w:val="4CAC6220"/>
    <w:rsid w:val="4CB459E2"/>
    <w:rsid w:val="4DF5599C"/>
    <w:rsid w:val="4DFA381F"/>
    <w:rsid w:val="4E03083E"/>
    <w:rsid w:val="4E163B26"/>
    <w:rsid w:val="4E230BA4"/>
    <w:rsid w:val="4E754327"/>
    <w:rsid w:val="4E8C66E6"/>
    <w:rsid w:val="4E8E3FDD"/>
    <w:rsid w:val="4EE1171D"/>
    <w:rsid w:val="4F0005C7"/>
    <w:rsid w:val="4F1A67CD"/>
    <w:rsid w:val="4F2B7AA3"/>
    <w:rsid w:val="4F6A593B"/>
    <w:rsid w:val="4F713A76"/>
    <w:rsid w:val="4F915184"/>
    <w:rsid w:val="4FDE0A6D"/>
    <w:rsid w:val="4FE071F9"/>
    <w:rsid w:val="4FFB2001"/>
    <w:rsid w:val="502412BA"/>
    <w:rsid w:val="503F2209"/>
    <w:rsid w:val="505A30A0"/>
    <w:rsid w:val="50964770"/>
    <w:rsid w:val="50A770A7"/>
    <w:rsid w:val="50B17B7B"/>
    <w:rsid w:val="50C448A0"/>
    <w:rsid w:val="50E20359"/>
    <w:rsid w:val="51003479"/>
    <w:rsid w:val="510F5E9F"/>
    <w:rsid w:val="514C0962"/>
    <w:rsid w:val="51645CAB"/>
    <w:rsid w:val="51666301"/>
    <w:rsid w:val="51667B7E"/>
    <w:rsid w:val="51817845"/>
    <w:rsid w:val="51C36CC1"/>
    <w:rsid w:val="51D1608D"/>
    <w:rsid w:val="52325BB2"/>
    <w:rsid w:val="5274704D"/>
    <w:rsid w:val="52A33C0D"/>
    <w:rsid w:val="52E866FB"/>
    <w:rsid w:val="531A0D32"/>
    <w:rsid w:val="531D5270"/>
    <w:rsid w:val="531F5B65"/>
    <w:rsid w:val="532A7005"/>
    <w:rsid w:val="5347441C"/>
    <w:rsid w:val="535E0A14"/>
    <w:rsid w:val="53A11BE0"/>
    <w:rsid w:val="53D368EA"/>
    <w:rsid w:val="53E54CE8"/>
    <w:rsid w:val="54104C11"/>
    <w:rsid w:val="541B7145"/>
    <w:rsid w:val="549E0246"/>
    <w:rsid w:val="54DA234C"/>
    <w:rsid w:val="54F2309B"/>
    <w:rsid w:val="550276E5"/>
    <w:rsid w:val="552A65CC"/>
    <w:rsid w:val="553374B0"/>
    <w:rsid w:val="55610922"/>
    <w:rsid w:val="557E22B6"/>
    <w:rsid w:val="55A912BD"/>
    <w:rsid w:val="55A95490"/>
    <w:rsid w:val="55CC1BC0"/>
    <w:rsid w:val="55FC5863"/>
    <w:rsid w:val="561D5FDD"/>
    <w:rsid w:val="56402CDD"/>
    <w:rsid w:val="569064C9"/>
    <w:rsid w:val="56BE6DE6"/>
    <w:rsid w:val="57AC176B"/>
    <w:rsid w:val="57D57D3B"/>
    <w:rsid w:val="57EC4CF6"/>
    <w:rsid w:val="57F85737"/>
    <w:rsid w:val="58267ABA"/>
    <w:rsid w:val="587E6935"/>
    <w:rsid w:val="58FA4443"/>
    <w:rsid w:val="599A7D70"/>
    <w:rsid w:val="59B32350"/>
    <w:rsid w:val="5A735C51"/>
    <w:rsid w:val="5A8F7BB7"/>
    <w:rsid w:val="5AF50B06"/>
    <w:rsid w:val="5AFB6629"/>
    <w:rsid w:val="5B22784B"/>
    <w:rsid w:val="5B390381"/>
    <w:rsid w:val="5BD614A7"/>
    <w:rsid w:val="5BE36AF2"/>
    <w:rsid w:val="5C5E2C2A"/>
    <w:rsid w:val="5C8378EE"/>
    <w:rsid w:val="5CA55572"/>
    <w:rsid w:val="5CA8495D"/>
    <w:rsid w:val="5CB038BE"/>
    <w:rsid w:val="5CC13F9C"/>
    <w:rsid w:val="5D361410"/>
    <w:rsid w:val="5D94585B"/>
    <w:rsid w:val="5DAC488B"/>
    <w:rsid w:val="5DB96DF2"/>
    <w:rsid w:val="5DE23B57"/>
    <w:rsid w:val="5DF11233"/>
    <w:rsid w:val="5DFA352B"/>
    <w:rsid w:val="5E0B13E1"/>
    <w:rsid w:val="5E1A41CD"/>
    <w:rsid w:val="5E243ACE"/>
    <w:rsid w:val="5E6D3D7D"/>
    <w:rsid w:val="5E853EEC"/>
    <w:rsid w:val="5E896919"/>
    <w:rsid w:val="5EAA542A"/>
    <w:rsid w:val="5F1747C8"/>
    <w:rsid w:val="5F3C066D"/>
    <w:rsid w:val="5FAE3816"/>
    <w:rsid w:val="5FB45717"/>
    <w:rsid w:val="5FDE4010"/>
    <w:rsid w:val="603121AD"/>
    <w:rsid w:val="60864D86"/>
    <w:rsid w:val="60CD651A"/>
    <w:rsid w:val="60D652D6"/>
    <w:rsid w:val="613A201B"/>
    <w:rsid w:val="619C0A2A"/>
    <w:rsid w:val="61AA2A86"/>
    <w:rsid w:val="61B058F9"/>
    <w:rsid w:val="62065DDC"/>
    <w:rsid w:val="621416E4"/>
    <w:rsid w:val="624D6B1D"/>
    <w:rsid w:val="626B5ACF"/>
    <w:rsid w:val="62870725"/>
    <w:rsid w:val="62A15DCF"/>
    <w:rsid w:val="62F046A0"/>
    <w:rsid w:val="62FB39CF"/>
    <w:rsid w:val="630B7AE3"/>
    <w:rsid w:val="631176F9"/>
    <w:rsid w:val="637E3CDF"/>
    <w:rsid w:val="63D620C5"/>
    <w:rsid w:val="640B5BDC"/>
    <w:rsid w:val="64980A5A"/>
    <w:rsid w:val="64B319BF"/>
    <w:rsid w:val="64ED56D1"/>
    <w:rsid w:val="650C6590"/>
    <w:rsid w:val="6533041B"/>
    <w:rsid w:val="654B0C59"/>
    <w:rsid w:val="654C1A4A"/>
    <w:rsid w:val="65525D2A"/>
    <w:rsid w:val="65DE2BEA"/>
    <w:rsid w:val="662F5351"/>
    <w:rsid w:val="663632DB"/>
    <w:rsid w:val="66476E97"/>
    <w:rsid w:val="669A3CFE"/>
    <w:rsid w:val="67330990"/>
    <w:rsid w:val="673966FC"/>
    <w:rsid w:val="67620DAB"/>
    <w:rsid w:val="67684F4E"/>
    <w:rsid w:val="67C376EE"/>
    <w:rsid w:val="67D44ACC"/>
    <w:rsid w:val="67D80322"/>
    <w:rsid w:val="67EE2095"/>
    <w:rsid w:val="67EF3E03"/>
    <w:rsid w:val="68050490"/>
    <w:rsid w:val="683457A6"/>
    <w:rsid w:val="68A16396"/>
    <w:rsid w:val="68B858E5"/>
    <w:rsid w:val="68C34255"/>
    <w:rsid w:val="691F4DA7"/>
    <w:rsid w:val="6932512B"/>
    <w:rsid w:val="693F23A9"/>
    <w:rsid w:val="69516271"/>
    <w:rsid w:val="696E78C2"/>
    <w:rsid w:val="69900936"/>
    <w:rsid w:val="69EA49E1"/>
    <w:rsid w:val="69F67338"/>
    <w:rsid w:val="6A1555CF"/>
    <w:rsid w:val="6A1667B0"/>
    <w:rsid w:val="6A353382"/>
    <w:rsid w:val="6A4951FF"/>
    <w:rsid w:val="6ACE52E4"/>
    <w:rsid w:val="6B166389"/>
    <w:rsid w:val="6B251F03"/>
    <w:rsid w:val="6B4A5017"/>
    <w:rsid w:val="6B4C7F27"/>
    <w:rsid w:val="6BA160A2"/>
    <w:rsid w:val="6BC63875"/>
    <w:rsid w:val="6BDF11B9"/>
    <w:rsid w:val="6BFD1F19"/>
    <w:rsid w:val="6C091151"/>
    <w:rsid w:val="6C742BFD"/>
    <w:rsid w:val="6CBB105E"/>
    <w:rsid w:val="6CCB41BA"/>
    <w:rsid w:val="6CF657E8"/>
    <w:rsid w:val="6D1C2093"/>
    <w:rsid w:val="6D672463"/>
    <w:rsid w:val="6D9B27F4"/>
    <w:rsid w:val="6DA079A4"/>
    <w:rsid w:val="6DC940BD"/>
    <w:rsid w:val="6E2952C2"/>
    <w:rsid w:val="6EC0431C"/>
    <w:rsid w:val="6EE266A2"/>
    <w:rsid w:val="6EF555DF"/>
    <w:rsid w:val="6F074147"/>
    <w:rsid w:val="6F4644C2"/>
    <w:rsid w:val="6F6048BA"/>
    <w:rsid w:val="6FAB1EA1"/>
    <w:rsid w:val="7024257D"/>
    <w:rsid w:val="706B496A"/>
    <w:rsid w:val="71353ED7"/>
    <w:rsid w:val="71354A59"/>
    <w:rsid w:val="71840D1F"/>
    <w:rsid w:val="721B29D5"/>
    <w:rsid w:val="72383CF1"/>
    <w:rsid w:val="723D4CBF"/>
    <w:rsid w:val="7255024C"/>
    <w:rsid w:val="72A24D18"/>
    <w:rsid w:val="72B45A90"/>
    <w:rsid w:val="72BB6B5D"/>
    <w:rsid w:val="72D208AE"/>
    <w:rsid w:val="72DE5ED7"/>
    <w:rsid w:val="72E074CC"/>
    <w:rsid w:val="72FB56BC"/>
    <w:rsid w:val="734608D2"/>
    <w:rsid w:val="7354676B"/>
    <w:rsid w:val="738C09B4"/>
    <w:rsid w:val="739E1E77"/>
    <w:rsid w:val="73BB70EF"/>
    <w:rsid w:val="74DC3073"/>
    <w:rsid w:val="7502480F"/>
    <w:rsid w:val="75471053"/>
    <w:rsid w:val="75660556"/>
    <w:rsid w:val="75A218F7"/>
    <w:rsid w:val="75D626C5"/>
    <w:rsid w:val="761C1EE9"/>
    <w:rsid w:val="763B4741"/>
    <w:rsid w:val="7655596B"/>
    <w:rsid w:val="76731501"/>
    <w:rsid w:val="76831F2B"/>
    <w:rsid w:val="76F56CDB"/>
    <w:rsid w:val="77293457"/>
    <w:rsid w:val="785B5E9C"/>
    <w:rsid w:val="788C2348"/>
    <w:rsid w:val="78B6211D"/>
    <w:rsid w:val="78D65BFE"/>
    <w:rsid w:val="78E0335A"/>
    <w:rsid w:val="79391384"/>
    <w:rsid w:val="798D4564"/>
    <w:rsid w:val="79CE1504"/>
    <w:rsid w:val="79F3499F"/>
    <w:rsid w:val="79F75056"/>
    <w:rsid w:val="7A2C7A88"/>
    <w:rsid w:val="7A307D2F"/>
    <w:rsid w:val="7A3C4320"/>
    <w:rsid w:val="7A8029B7"/>
    <w:rsid w:val="7AE2373D"/>
    <w:rsid w:val="7B002650"/>
    <w:rsid w:val="7B030916"/>
    <w:rsid w:val="7B3A4B6B"/>
    <w:rsid w:val="7B6559D7"/>
    <w:rsid w:val="7B77363A"/>
    <w:rsid w:val="7B88078E"/>
    <w:rsid w:val="7BA06A99"/>
    <w:rsid w:val="7BA317D2"/>
    <w:rsid w:val="7BC062DE"/>
    <w:rsid w:val="7C0004C1"/>
    <w:rsid w:val="7C0824CB"/>
    <w:rsid w:val="7C1F1EB0"/>
    <w:rsid w:val="7C2E114C"/>
    <w:rsid w:val="7C910ED4"/>
    <w:rsid w:val="7CF9370C"/>
    <w:rsid w:val="7D1C00CA"/>
    <w:rsid w:val="7D64312D"/>
    <w:rsid w:val="7D702B6A"/>
    <w:rsid w:val="7DA01538"/>
    <w:rsid w:val="7DB97AB4"/>
    <w:rsid w:val="7E175D82"/>
    <w:rsid w:val="7E291B8D"/>
    <w:rsid w:val="7E4B410A"/>
    <w:rsid w:val="7E5020D6"/>
    <w:rsid w:val="7EA47EE3"/>
    <w:rsid w:val="7EB17B17"/>
    <w:rsid w:val="7F5960C7"/>
    <w:rsid w:val="7FB77299"/>
    <w:rsid w:val="7FC8284D"/>
    <w:rsid w:val="7FF63C3A"/>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hAnsi="Times New Roman"/>
      <w:b/>
      <w:bCs/>
      <w:kern w:val="44"/>
      <w:sz w:val="44"/>
      <w:szCs w:val="44"/>
    </w:rPr>
  </w:style>
  <w:style w:type="paragraph" w:styleId="4">
    <w:name w:val="heading 2"/>
    <w:basedOn w:val="5"/>
    <w:next w:val="1"/>
    <w:unhideWhenUsed/>
    <w:qFormat/>
    <w:uiPriority w:val="0"/>
    <w:pPr>
      <w:spacing w:before="260" w:after="260" w:line="413" w:lineRule="auto"/>
      <w:outlineLvl w:val="1"/>
    </w:pPr>
    <w:rPr>
      <w:rFonts w:ascii="Arial" w:hAnsi="Arial" w:eastAsia="黑体"/>
      <w:b/>
      <w:sz w:val="32"/>
      <w:szCs w:val="32"/>
    </w:rPr>
  </w:style>
  <w:style w:type="paragraph" w:styleId="6">
    <w:name w:val="heading 5"/>
    <w:basedOn w:val="1"/>
    <w:next w:val="1"/>
    <w:unhideWhenUsed/>
    <w:qFormat/>
    <w:uiPriority w:val="0"/>
    <w:pPr>
      <w:keepNext/>
      <w:keepLines/>
      <w:spacing w:before="280" w:after="290" w:line="372" w:lineRule="auto"/>
      <w:outlineLvl w:val="4"/>
    </w:pPr>
    <w:rPr>
      <w:rFonts w:ascii="Times New Roman" w:hAnsi="Times New Roman"/>
      <w:b/>
      <w:bCs/>
      <w:kern w:val="0"/>
      <w:sz w:val="28"/>
      <w:szCs w:val="28"/>
    </w:rPr>
  </w:style>
  <w:style w:type="character" w:default="1" w:styleId="16">
    <w:name w:val="Default Paragraph Font"/>
    <w:unhideWhenUsed/>
    <w:qFormat/>
    <w:uiPriority w:val="1"/>
  </w:style>
  <w:style w:type="table" w:default="1" w:styleId="20">
    <w:name w:val="Normal Table"/>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hAnsi="Times New Roman"/>
      <w:kern w:val="0"/>
      <w:sz w:val="34"/>
      <w:szCs w:val="20"/>
    </w:rPr>
  </w:style>
  <w:style w:type="paragraph" w:customStyle="1" w:styleId="5">
    <w:name w:val="标题 55"/>
    <w:basedOn w:val="6"/>
    <w:qFormat/>
    <w:uiPriority w:val="2"/>
    <w:rPr>
      <w:rFonts w:ascii="方正黑体简体" w:hAnsi="方正黑体简体" w:eastAsia="方正黑体简体"/>
      <w:b w:val="0"/>
    </w:rPr>
  </w:style>
  <w:style w:type="paragraph" w:styleId="7">
    <w:name w:val="Body Text First Indent"/>
    <w:basedOn w:val="8"/>
    <w:next w:val="1"/>
    <w:qFormat/>
    <w:uiPriority w:val="0"/>
    <w:pPr>
      <w:ind w:firstLine="420" w:firstLineChars="100"/>
    </w:pPr>
  </w:style>
  <w:style w:type="paragraph" w:styleId="8">
    <w:name w:val="Body Text"/>
    <w:basedOn w:val="1"/>
    <w:next w:val="7"/>
    <w:qFormat/>
    <w:uiPriority w:val="0"/>
    <w:pPr>
      <w:spacing w:after="120"/>
    </w:pPr>
    <w:rPr>
      <w:rFonts w:ascii="Times New Roman" w:hAnsi="Times New Roman"/>
      <w:szCs w:val="24"/>
    </w:rPr>
  </w:style>
  <w:style w:type="paragraph" w:styleId="9">
    <w:name w:val="Plain Text"/>
    <w:basedOn w:val="1"/>
    <w:qFormat/>
    <w:uiPriority w:val="0"/>
    <w:rPr>
      <w:rFonts w:ascii="宋体" w:hAnsi="Courier New"/>
      <w:kern w:val="0"/>
      <w:sz w:val="20"/>
      <w:szCs w:val="21"/>
    </w:rPr>
  </w:style>
  <w:style w:type="paragraph" w:styleId="10">
    <w:name w:val="Date"/>
    <w:basedOn w:val="1"/>
    <w:next w:val="1"/>
    <w:qFormat/>
    <w:uiPriority w:val="0"/>
    <w:pPr>
      <w:ind w:left="100" w:leftChars="2500"/>
    </w:pPr>
    <w:rPr>
      <w:rFonts w:ascii="Times New Roman" w:hAnsi="Times New Roman"/>
      <w:b/>
      <w:bCs/>
      <w:kern w:val="0"/>
      <w:sz w:val="36"/>
      <w:szCs w:val="24"/>
    </w:rPr>
  </w:style>
  <w:style w:type="paragraph" w:styleId="11">
    <w:name w:val="footer"/>
    <w:basedOn w:val="1"/>
    <w:qFormat/>
    <w:uiPriority w:val="0"/>
    <w:pPr>
      <w:tabs>
        <w:tab w:val="center" w:pos="4153"/>
        <w:tab w:val="right" w:pos="8306"/>
      </w:tabs>
      <w:snapToGrid w:val="0"/>
      <w:jc w:val="left"/>
    </w:pPr>
    <w:rPr>
      <w:rFonts w:ascii="Times New Roman" w:hAnsi="Times New Roman"/>
      <w:kern w:val="0"/>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3">
    <w:name w:val="toc 1"/>
    <w:basedOn w:val="3"/>
    <w:next w:val="1"/>
    <w:qFormat/>
    <w:uiPriority w:val="0"/>
    <w:pPr>
      <w:tabs>
        <w:tab w:val="right" w:leader="dot" w:pos="8659"/>
      </w:tabs>
      <w:spacing w:before="0" w:after="0" w:line="240" w:lineRule="auto"/>
      <w:jc w:val="center"/>
    </w:pPr>
    <w:rPr>
      <w:b w:val="0"/>
      <w:sz w:val="21"/>
    </w:rPr>
  </w:style>
  <w:style w:type="paragraph" w:styleId="14">
    <w:name w:val="index 1"/>
    <w:basedOn w:val="1"/>
    <w:next w:val="1"/>
    <w:qFormat/>
    <w:uiPriority w:val="0"/>
    <w:pPr>
      <w:spacing w:line="320" w:lineRule="exact"/>
    </w:pPr>
    <w:rPr>
      <w:rFonts w:ascii="Times New Roman" w:hAnsi="Times New Roman"/>
      <w:snapToGrid w:val="0"/>
      <w:color w:val="FF6600"/>
      <w:kern w:val="0"/>
      <w:sz w:val="18"/>
      <w:szCs w:val="21"/>
    </w:rPr>
  </w:style>
  <w:style w:type="paragraph" w:styleId="15">
    <w:name w:val="Title"/>
    <w:basedOn w:val="1"/>
    <w:next w:val="1"/>
    <w:qFormat/>
    <w:uiPriority w:val="0"/>
    <w:pPr>
      <w:spacing w:before="240" w:after="60"/>
      <w:jc w:val="center"/>
      <w:outlineLvl w:val="0"/>
    </w:pPr>
    <w:rPr>
      <w:rFonts w:ascii="Arial" w:hAnsi="Arial"/>
      <w:b/>
      <w:bCs/>
      <w:kern w:val="0"/>
      <w:sz w:val="32"/>
      <w:szCs w:val="32"/>
    </w:rPr>
  </w:style>
  <w:style w:type="character" w:styleId="17">
    <w:name w:val="page number"/>
    <w:qFormat/>
    <w:uiPriority w:val="0"/>
  </w:style>
  <w:style w:type="character" w:styleId="18">
    <w:name w:val="Emphasis"/>
    <w:basedOn w:val="16"/>
    <w:qFormat/>
    <w:uiPriority w:val="0"/>
    <w:rPr>
      <w:i/>
    </w:rPr>
  </w:style>
  <w:style w:type="character" w:styleId="19">
    <w:name w:val="Hyperlink"/>
    <w:qFormat/>
    <w:uiPriority w:val="0"/>
    <w:rPr>
      <w:color w:val="0000FF"/>
      <w:u w:val="single"/>
    </w:rPr>
  </w:style>
  <w:style w:type="paragraph" w:customStyle="1" w:styleId="21">
    <w:name w:val="样式 标题 1 + (符号) Arial 三号"/>
    <w:basedOn w:val="3"/>
    <w:qFormat/>
    <w:uiPriority w:val="0"/>
    <w:pPr>
      <w:snapToGrid w:val="0"/>
      <w:spacing w:before="0" w:after="0" w:line="360" w:lineRule="auto"/>
    </w:pPr>
    <w:rPr>
      <w:sz w:val="32"/>
    </w:rPr>
  </w:style>
  <w:style w:type="character" w:customStyle="1" w:styleId="22">
    <w:name w:val="zbggmain style9"/>
    <w:qFormat/>
    <w:uiPriority w:val="0"/>
  </w:style>
  <w:style w:type="paragraph" w:customStyle="1" w:styleId="23">
    <w:name w:val="表内文字"/>
    <w:basedOn w:val="1"/>
    <w:qFormat/>
    <w:uiPriority w:val="0"/>
    <w:pPr>
      <w:tabs>
        <w:tab w:val="left" w:pos="1418"/>
      </w:tabs>
      <w:spacing w:line="360" w:lineRule="auto"/>
      <w:jc w:val="center"/>
    </w:pPr>
    <w:rPr>
      <w:rFonts w:hint="eastAsia" w:ascii="仿宋_GB2312" w:hAnsi="Times New Roman" w:eastAsia="仿宋_GB2312"/>
      <w:spacing w:val="-20"/>
      <w:kern w:val="0"/>
      <w:sz w:val="24"/>
      <w:szCs w:val="24"/>
    </w:rPr>
  </w:style>
  <w:style w:type="paragraph" w:customStyle="1" w:styleId="24">
    <w:name w:val="注"/>
    <w:basedOn w:val="25"/>
    <w:qFormat/>
    <w:uiPriority w:val="1"/>
    <w:pPr>
      <w:spacing w:line="288" w:lineRule="auto"/>
      <w:ind w:firstLine="0"/>
    </w:pPr>
    <w:rPr>
      <w:sz w:val="20"/>
    </w:rPr>
  </w:style>
  <w:style w:type="paragraph" w:customStyle="1" w:styleId="25">
    <w:name w:val="正文00"/>
    <w:basedOn w:val="1"/>
    <w:qFormat/>
    <w:uiPriority w:val="3"/>
    <w:pPr>
      <w:spacing w:line="360" w:lineRule="auto"/>
      <w:ind w:firstLine="200"/>
    </w:pPr>
    <w:rPr>
      <w:szCs w:val="21"/>
    </w:rPr>
  </w:style>
  <w:style w:type="paragraph" w:customStyle="1" w:styleId="26">
    <w:name w:val="List Paragraph"/>
    <w:basedOn w:val="1"/>
    <w:qFormat/>
    <w:uiPriority w:val="99"/>
    <w:pPr>
      <w:ind w:firstLine="420" w:firstLineChars="200"/>
    </w:pPr>
  </w:style>
  <w:style w:type="paragraph" w:customStyle="1" w:styleId="27">
    <w:name w:val="样式 正文文本"/>
    <w:basedOn w:val="1"/>
    <w:qFormat/>
    <w:uiPriority w:val="0"/>
    <w:pPr>
      <w:adjustRightInd w:val="0"/>
      <w:snapToGrid w:val="0"/>
      <w:spacing w:line="400" w:lineRule="exact"/>
      <w:ind w:firstLine="200" w:firstLineChars="200"/>
    </w:pPr>
    <w:rPr>
      <w:rFonts w:ascii="Arial" w:hAnsi="Arial"/>
      <w:color w:val="000000"/>
    </w:rPr>
  </w:style>
  <w:style w:type="paragraph" w:customStyle="1" w:styleId="28">
    <w:name w:val="样式 样式1 + 首行缩进:  2 字符"/>
    <w:basedOn w:val="1"/>
    <w:qFormat/>
    <w:uiPriority w:val="0"/>
    <w:pPr>
      <w:spacing w:line="360" w:lineRule="exact"/>
      <w:ind w:firstLine="420" w:firstLineChars="200"/>
    </w:pPr>
    <w:rPr>
      <w:rFonts w:ascii="Arial" w:hAnsi="Arial"/>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9FFB77-E19E-4348-887F-7EB6C2D2408A}">
  <ds:schemaRefs/>
</ds:datastoreItem>
</file>

<file path=docProps/app.xml><?xml version="1.0" encoding="utf-8"?>
<Properties xmlns="http://schemas.openxmlformats.org/officeDocument/2006/extended-properties" xmlns:vt="http://schemas.openxmlformats.org/officeDocument/2006/docPropsVTypes">
  <Template>Normal</Template>
  <Pages>31</Pages>
  <Words>2717</Words>
  <Characters>15489</Characters>
  <Lines>129</Lines>
  <Paragraphs>36</Paragraphs>
  <ScaleCrop>false</ScaleCrop>
  <LinksUpToDate>false</LinksUpToDate>
  <CharactersWithSpaces>18170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张乾波</cp:lastModifiedBy>
  <dcterms:modified xsi:type="dcterms:W3CDTF">2022-08-31T08:58:53Z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