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修缮P3停车场和航站楼12号门外侧路面沉降项目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sdt>
      <w:sdtPr>
        <w:rPr>
          <w:rFonts w:ascii="宋体" w:hAnsi="宋体" w:eastAsia="宋体" w:cstheme="minorBidi"/>
          <w:kern w:val="2"/>
          <w:sz w:val="21"/>
          <w:szCs w:val="22"/>
          <w:lang w:val="en-US" w:eastAsia="zh-CN" w:bidi="ar-SA"/>
        </w:rPr>
        <w:id w:val="147455064"/>
      </w:sdtPr>
      <w:sdtEndPr>
        <w:rPr>
          <w:rFonts w:ascii="宋体" w:hAnsi="宋体" w:eastAsia="宋体"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bookmarkStart w:id="0" w:name="_Toc16717_WPSOffice_Type1"/>
          <w:r>
            <w:rPr>
              <w:rFonts w:ascii="宋体" w:hAnsi="宋体" w:eastAsia="宋体"/>
              <w:b/>
              <w:bCs/>
              <w:sz w:val="44"/>
              <w:szCs w:val="44"/>
            </w:rPr>
            <w:t>目录</w:t>
          </w:r>
        </w:p>
        <w:p>
          <w:pPr>
            <w:pStyle w:val="15"/>
            <w:tabs>
              <w:tab w:val="right" w:leader="dot" w:pos="9639"/>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_Toc7903_WPSOffice_Level1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a8ea1698-60c4-4d98-9fb5-d684f2294ea9}"/>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第一章 招标公告</w:t>
              </w:r>
            </w:sdtContent>
          </w:sdt>
          <w:r>
            <w:rPr>
              <w:rFonts w:hint="eastAsia" w:ascii="黑体" w:hAnsi="黑体" w:eastAsia="黑体" w:cs="黑体"/>
              <w:sz w:val="30"/>
              <w:szCs w:val="30"/>
            </w:rPr>
            <w:tab/>
          </w:r>
          <w:bookmarkStart w:id="1" w:name="_Toc7903_WPSOffice_Level1Page"/>
          <w:r>
            <w:rPr>
              <w:rFonts w:hint="eastAsia" w:ascii="黑体" w:hAnsi="黑体" w:eastAsia="黑体" w:cs="黑体"/>
              <w:sz w:val="30"/>
              <w:szCs w:val="30"/>
            </w:rPr>
            <w:t>2</w:t>
          </w:r>
          <w:bookmarkEnd w:id="1"/>
          <w:r>
            <w:rPr>
              <w:rFonts w:hint="eastAsia" w:ascii="黑体" w:hAnsi="黑体" w:eastAsia="黑体" w:cs="黑体"/>
              <w:sz w:val="30"/>
              <w:szCs w:val="30"/>
            </w:rPr>
            <w:fldChar w:fldCharType="end"/>
          </w:r>
        </w:p>
        <w:p>
          <w:pPr>
            <w:pStyle w:val="15"/>
            <w:tabs>
              <w:tab w:val="right" w:leader="dot" w:pos="9639"/>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_Toc16717_WPSOffice_Level1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de40f552-fe4c-42e4-ac61-c4323a519f54}"/>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第二章 评标办法</w:t>
              </w:r>
            </w:sdtContent>
          </w:sdt>
          <w:r>
            <w:rPr>
              <w:rFonts w:hint="eastAsia" w:ascii="黑体" w:hAnsi="黑体" w:eastAsia="黑体" w:cs="黑体"/>
              <w:sz w:val="30"/>
              <w:szCs w:val="30"/>
            </w:rPr>
            <w:tab/>
          </w:r>
          <w:bookmarkStart w:id="2" w:name="_Toc16717_WPSOffice_Level1Page"/>
          <w:r>
            <w:rPr>
              <w:rFonts w:hint="eastAsia" w:ascii="黑体" w:hAnsi="黑体" w:eastAsia="黑体" w:cs="黑体"/>
              <w:sz w:val="30"/>
              <w:szCs w:val="30"/>
            </w:rPr>
            <w:t>4</w:t>
          </w:r>
          <w:bookmarkEnd w:id="2"/>
          <w:r>
            <w:rPr>
              <w:rFonts w:hint="eastAsia" w:ascii="黑体" w:hAnsi="黑体" w:eastAsia="黑体" w:cs="黑体"/>
              <w:sz w:val="30"/>
              <w:szCs w:val="30"/>
            </w:rPr>
            <w:fldChar w:fldCharType="end"/>
          </w:r>
        </w:p>
        <w:p>
          <w:pPr>
            <w:pStyle w:val="15"/>
            <w:tabs>
              <w:tab w:val="right" w:leader="dot" w:pos="9639"/>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_Toc23470_WPSOffice_Level1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3b2e161f-0fc5-4ed2-b94b-c5c8c8970dfe}"/>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第三章 合同条款及格式</w:t>
              </w:r>
            </w:sdtContent>
          </w:sdt>
          <w:r>
            <w:rPr>
              <w:rFonts w:hint="eastAsia" w:ascii="黑体" w:hAnsi="黑体" w:eastAsia="黑体" w:cs="黑体"/>
              <w:sz w:val="30"/>
              <w:szCs w:val="30"/>
            </w:rPr>
            <w:tab/>
          </w:r>
          <w:bookmarkStart w:id="3" w:name="_Toc23470_WPSOffice_Level1Page"/>
          <w:r>
            <w:rPr>
              <w:rFonts w:hint="eastAsia" w:ascii="黑体" w:hAnsi="黑体" w:eastAsia="黑体" w:cs="黑体"/>
              <w:sz w:val="30"/>
              <w:szCs w:val="30"/>
            </w:rPr>
            <w:t>6</w:t>
          </w:r>
          <w:bookmarkEnd w:id="3"/>
          <w:r>
            <w:rPr>
              <w:rFonts w:hint="eastAsia" w:ascii="黑体" w:hAnsi="黑体" w:eastAsia="黑体" w:cs="黑体"/>
              <w:sz w:val="30"/>
              <w:szCs w:val="30"/>
            </w:rPr>
            <w:fldChar w:fldCharType="end"/>
          </w:r>
        </w:p>
        <w:p>
          <w:pPr>
            <w:pStyle w:val="15"/>
            <w:tabs>
              <w:tab w:val="right" w:leader="dot" w:pos="9639"/>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_Toc17277_WPSOffice_Level1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46eef816-3cc4-4348-9b6f-3c3ea50f4755}"/>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第四章 工程量清单</w:t>
              </w:r>
            </w:sdtContent>
          </w:sdt>
          <w:r>
            <w:rPr>
              <w:rFonts w:hint="eastAsia" w:ascii="黑体" w:hAnsi="黑体" w:eastAsia="黑体" w:cs="黑体"/>
              <w:sz w:val="30"/>
              <w:szCs w:val="30"/>
            </w:rPr>
            <w:tab/>
          </w:r>
          <w:bookmarkStart w:id="4" w:name="_Toc17277_WPSOffice_Level1Page"/>
          <w:r>
            <w:rPr>
              <w:rFonts w:hint="eastAsia" w:ascii="黑体" w:hAnsi="黑体" w:eastAsia="黑体" w:cs="黑体"/>
              <w:sz w:val="30"/>
              <w:szCs w:val="30"/>
            </w:rPr>
            <w:t>17</w:t>
          </w:r>
          <w:bookmarkEnd w:id="4"/>
          <w:r>
            <w:rPr>
              <w:rFonts w:hint="eastAsia" w:ascii="黑体" w:hAnsi="黑体" w:eastAsia="黑体" w:cs="黑体"/>
              <w:sz w:val="30"/>
              <w:szCs w:val="30"/>
            </w:rPr>
            <w:fldChar w:fldCharType="end"/>
          </w:r>
        </w:p>
        <w:p>
          <w:pPr>
            <w:pStyle w:val="15"/>
            <w:tabs>
              <w:tab w:val="right" w:leader="dot" w:pos="9639"/>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_Toc30824_WPSOffice_Level1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6d75f3c3-f6bb-4c1b-93fb-6f2ffb5c8545}"/>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第五章 技术标准及要求</w:t>
              </w:r>
            </w:sdtContent>
          </w:sdt>
          <w:r>
            <w:rPr>
              <w:rFonts w:hint="eastAsia" w:ascii="黑体" w:hAnsi="黑体" w:eastAsia="黑体" w:cs="黑体"/>
              <w:sz w:val="30"/>
              <w:szCs w:val="30"/>
            </w:rPr>
            <w:tab/>
          </w:r>
          <w:bookmarkStart w:id="5" w:name="_Toc30824_WPSOffice_Level1Page"/>
          <w:r>
            <w:rPr>
              <w:rFonts w:hint="eastAsia" w:ascii="黑体" w:hAnsi="黑体" w:eastAsia="黑体" w:cs="黑体"/>
              <w:sz w:val="30"/>
              <w:szCs w:val="30"/>
            </w:rPr>
            <w:t>18</w:t>
          </w:r>
          <w:bookmarkEnd w:id="5"/>
          <w:r>
            <w:rPr>
              <w:rFonts w:hint="eastAsia" w:ascii="黑体" w:hAnsi="黑体" w:eastAsia="黑体" w:cs="黑体"/>
              <w:sz w:val="30"/>
              <w:szCs w:val="30"/>
            </w:rPr>
            <w:fldChar w:fldCharType="end"/>
          </w:r>
        </w:p>
        <w:p>
          <w:pPr>
            <w:pStyle w:val="15"/>
            <w:tabs>
              <w:tab w:val="right" w:leader="dot" w:pos="9639"/>
            </w:tabs>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_Toc8462_WPSOffice_Level1 </w:instrText>
          </w:r>
          <w:r>
            <w:rPr>
              <w:rFonts w:hint="eastAsia" w:ascii="黑体" w:hAnsi="黑体" w:eastAsia="黑体" w:cs="黑体"/>
              <w:sz w:val="30"/>
              <w:szCs w:val="30"/>
            </w:rPr>
            <w:fldChar w:fldCharType="separate"/>
          </w:r>
          <w:sdt>
            <w:sdtPr>
              <w:rPr>
                <w:rFonts w:hint="eastAsia" w:ascii="黑体" w:hAnsi="黑体" w:eastAsia="黑体" w:cs="黑体"/>
                <w:kern w:val="2"/>
                <w:sz w:val="30"/>
                <w:szCs w:val="30"/>
                <w:lang w:val="en-US" w:eastAsia="zh-CN" w:bidi="ar-SA"/>
              </w:rPr>
              <w:id w:val="147455064"/>
              <w:placeholder>
                <w:docPart w:val="{39ed77ef-910b-4f2f-a844-e236cc111903}"/>
              </w:placeholder>
            </w:sdtPr>
            <w:sdtEndPr>
              <w:rPr>
                <w:rFonts w:hint="eastAsia" w:ascii="黑体" w:hAnsi="黑体" w:eastAsia="黑体" w:cs="黑体"/>
                <w:kern w:val="2"/>
                <w:sz w:val="30"/>
                <w:szCs w:val="30"/>
                <w:lang w:val="en-US" w:eastAsia="zh-CN" w:bidi="ar-SA"/>
              </w:rPr>
            </w:sdtEndPr>
            <w:sdtContent>
              <w:r>
                <w:rPr>
                  <w:rFonts w:hint="eastAsia" w:ascii="黑体" w:hAnsi="黑体" w:eastAsia="黑体" w:cs="黑体"/>
                  <w:sz w:val="30"/>
                  <w:szCs w:val="30"/>
                </w:rPr>
                <w:t>第六章 投标文件格式</w:t>
              </w:r>
            </w:sdtContent>
          </w:sdt>
          <w:r>
            <w:rPr>
              <w:rFonts w:hint="eastAsia" w:ascii="黑体" w:hAnsi="黑体" w:eastAsia="黑体" w:cs="黑体"/>
              <w:sz w:val="30"/>
              <w:szCs w:val="30"/>
            </w:rPr>
            <w:tab/>
          </w:r>
          <w:bookmarkStart w:id="6" w:name="_Toc8462_WPSOffice_Level1Page"/>
          <w:r>
            <w:rPr>
              <w:rFonts w:hint="eastAsia" w:ascii="黑体" w:hAnsi="黑体" w:eastAsia="黑体" w:cs="黑体"/>
              <w:sz w:val="30"/>
              <w:szCs w:val="30"/>
            </w:rPr>
            <w:t>22</w:t>
          </w:r>
          <w:bookmarkEnd w:id="6"/>
          <w:r>
            <w:rPr>
              <w:rFonts w:hint="eastAsia" w:ascii="黑体" w:hAnsi="黑体" w:eastAsia="黑体" w:cs="黑体"/>
              <w:sz w:val="30"/>
              <w:szCs w:val="30"/>
            </w:rPr>
            <w:fldChar w:fldCharType="end"/>
          </w:r>
        </w:p>
        <w:bookmarkEnd w:id="0"/>
        <w:p>
          <w:pPr>
            <w:spacing w:line="560" w:lineRule="exact"/>
            <w:jc w:val="center"/>
            <w:rPr>
              <w:b/>
              <w:bCs/>
              <w:sz w:val="44"/>
              <w:szCs w:val="44"/>
            </w:rPr>
          </w:pP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8"/>
        <w:keepNext w:val="0"/>
        <w:keepLines w:val="0"/>
        <w:pageBreakBefore/>
        <w:widowControl w:val="0"/>
        <w:kinsoku/>
        <w:wordWrap/>
        <w:overflowPunct/>
        <w:topLinePunct w:val="0"/>
        <w:autoSpaceDE/>
        <w:autoSpaceDN/>
        <w:bidi w:val="0"/>
        <w:adjustRightInd/>
        <w:snapToGrid/>
        <w:textAlignment w:val="auto"/>
      </w:pPr>
      <w:bookmarkStart w:id="7" w:name="_Toc7903_WPSOffice_Level1"/>
      <w:bookmarkStart w:id="8" w:name="_Toc8459"/>
      <w:bookmarkStart w:id="9" w:name="_Toc448097401"/>
      <w:r>
        <w:rPr>
          <w:rFonts w:hint="eastAsia"/>
        </w:rPr>
        <w:t>第一章 招标公告</w:t>
      </w:r>
      <w:bookmarkEnd w:id="7"/>
      <w:bookmarkEnd w:id="8"/>
      <w:bookmarkEnd w:id="9"/>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lang w:val="en-US" w:eastAsia="zh-CN"/>
        </w:rPr>
        <w:t>P3停车场核酸监测点出口区域柏油路面因地面沉降，出现坑洼积水；航站楼12号门外侧混凝土路面和雨水井因地面沉降，出现落差。项目修缮P3停车场和航站楼12号门外侧路面，</w:t>
      </w:r>
      <w:r>
        <w:rPr>
          <w:rFonts w:hint="eastAsia" w:ascii="宋体" w:hAnsi="宋体" w:eastAsia="宋体" w:cs="宋体"/>
          <w:b/>
          <w:bCs/>
          <w:color w:val="auto"/>
          <w:kern w:val="0"/>
          <w:sz w:val="24"/>
          <w:szCs w:val="24"/>
          <w:lang w:eastAsia="zh-CN"/>
        </w:rPr>
        <w:t>避免路面破损造成的不安全事件发生</w:t>
      </w:r>
      <w:r>
        <w:rPr>
          <w:rFonts w:hint="eastAsia" w:ascii="宋体" w:hAnsi="宋体" w:eastAsia="宋体" w:cs="宋体"/>
          <w:b/>
          <w:bCs/>
          <w:color w:val="auto"/>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7</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（2）投标人应具有有效的《安全生产许可证》。</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（3）项目经理资格要求：具有</w:t>
      </w:r>
      <w:r>
        <w:rPr>
          <w:rFonts w:hint="eastAsia" w:ascii="宋体" w:hAnsi="宋体" w:eastAsia="宋体" w:cs="宋体"/>
          <w:b/>
          <w:bCs/>
          <w:kern w:val="0"/>
          <w:sz w:val="24"/>
          <w:szCs w:val="24"/>
          <w:u w:val="single"/>
        </w:rPr>
        <w:t>市政公用工程</w:t>
      </w:r>
      <w:r>
        <w:rPr>
          <w:rFonts w:hint="eastAsia" w:ascii="宋体" w:hAnsi="宋体" w:eastAsia="宋体" w:cs="宋体"/>
          <w:b/>
          <w:bCs/>
          <w:kern w:val="0"/>
          <w:sz w:val="24"/>
          <w:szCs w:val="24"/>
        </w:rPr>
        <w:t>专业</w:t>
      </w:r>
      <w:r>
        <w:rPr>
          <w:rFonts w:hint="eastAsia" w:ascii="宋体" w:hAnsi="宋体" w:eastAsia="宋体" w:cs="宋体"/>
          <w:b/>
          <w:bCs/>
          <w:kern w:val="0"/>
          <w:sz w:val="24"/>
          <w:szCs w:val="24"/>
          <w:u w:val="single"/>
        </w:rPr>
        <w:t>二</w:t>
      </w:r>
      <w:r>
        <w:rPr>
          <w:rFonts w:hint="eastAsia" w:ascii="宋体" w:hAnsi="宋体" w:eastAsia="宋体" w:cs="宋体"/>
          <w:b/>
          <w:bCs/>
          <w:kern w:val="0"/>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10" w:name="_Toc448097402"/>
      <w:bookmarkStart w:id="11" w:name="_Toc448097403"/>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 xml:space="preserve"> 10</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17</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bookmarkStart w:id="59" w:name="_GoBack"/>
      <w:bookmarkEnd w:id="59"/>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2022年10月18日9时30分前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修缮P3停车场和航站楼12号门外侧路面沉降项目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修缮P3停车场和航站楼12号门外侧路面沉降项目投标文件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修缮P3停车场和航站楼12号门外侧路面沉降项目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lang w:val="en-US" w:eastAsia="zh-CN"/>
        </w:rPr>
        <w:t>202</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 10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 xml:space="preserve"> 21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 xml:space="preserve"> 30</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8"/>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12" w:name="_Toc19218"/>
      <w:bookmarkStart w:id="13" w:name="_Toc3775"/>
      <w:r>
        <w:rPr>
          <w:rFonts w:hint="eastAsia" w:asciiTheme="minorEastAsia" w:hAnsiTheme="minorEastAsia" w:eastAsiaTheme="minorEastAsia" w:cstheme="minorEastAsia"/>
          <w:b w:val="0"/>
          <w:bCs w:val="0"/>
          <w:kern w:val="0"/>
          <w:sz w:val="24"/>
          <w:szCs w:val="24"/>
          <w:lang w:val="en-US" w:eastAsia="zh-CN"/>
        </w:rPr>
        <w:t>（4）</w:t>
      </w:r>
      <w:bookmarkEnd w:id="12"/>
      <w:r>
        <w:rPr>
          <w:rFonts w:hint="eastAsia" w:asciiTheme="minorEastAsia" w:hAnsiTheme="minorEastAsia" w:eastAsiaTheme="minorEastAsia" w:cstheme="minorEastAsia"/>
          <w:b w:val="0"/>
          <w:bCs w:val="0"/>
          <w:kern w:val="0"/>
          <w:sz w:val="24"/>
          <w:szCs w:val="24"/>
          <w:lang w:val="en-US" w:eastAsia="zh-CN"/>
        </w:rPr>
        <w:t>本次评标通过经评审的最低投标价法推荐中标候选人。</w:t>
      </w:r>
      <w:bookmarkEnd w:id="13"/>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8"/>
        <w:jc w:val="center"/>
      </w:pPr>
    </w:p>
    <w:p>
      <w:pPr>
        <w:pStyle w:val="8"/>
        <w:jc w:val="center"/>
      </w:pPr>
    </w:p>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bookmarkEnd w:id="10"/>
    <w:bookmarkEnd w:id="11"/>
    <w:p>
      <w:pPr>
        <w:pStyle w:val="8"/>
        <w:jc w:val="center"/>
      </w:pPr>
      <w:bookmarkStart w:id="14" w:name="_Toc13238"/>
      <w:bookmarkStart w:id="15" w:name="_Toc22995"/>
      <w:bookmarkStart w:id="16" w:name="_Toc682"/>
      <w:bookmarkStart w:id="17" w:name="_Toc448097404"/>
      <w:bookmarkStart w:id="18" w:name="_Toc24237"/>
    </w:p>
    <w:p>
      <w:pPr>
        <w:pStyle w:val="8"/>
        <w:jc w:val="center"/>
      </w:pPr>
    </w:p>
    <w:p>
      <w:pPr>
        <w:pStyle w:val="8"/>
        <w:keepNext w:val="0"/>
        <w:keepLines w:val="0"/>
        <w:pageBreakBefore/>
        <w:widowControl w:val="0"/>
        <w:kinsoku/>
        <w:wordWrap/>
        <w:overflowPunct/>
        <w:topLinePunct w:val="0"/>
        <w:autoSpaceDE/>
        <w:autoSpaceDN/>
        <w:bidi w:val="0"/>
        <w:adjustRightInd/>
        <w:snapToGrid/>
        <w:jc w:val="center"/>
        <w:textAlignment w:val="auto"/>
      </w:pPr>
      <w:bookmarkStart w:id="19" w:name="_Toc16717_WPSOffice_Level1"/>
      <w:r>
        <w:t>第</w:t>
      </w:r>
      <w:r>
        <w:rPr>
          <w:rFonts w:hint="eastAsia"/>
        </w:rPr>
        <w:t>二</w:t>
      </w:r>
      <w:r>
        <w:t xml:space="preserve">章  </w:t>
      </w:r>
      <w:r>
        <w:rPr>
          <w:rFonts w:hint="eastAsia"/>
        </w:rPr>
        <w:t>评标办法</w:t>
      </w:r>
      <w:bookmarkEnd w:id="14"/>
      <w:bookmarkEnd w:id="15"/>
      <w:bookmarkEnd w:id="16"/>
      <w:bookmarkEnd w:id="19"/>
    </w:p>
    <w:p>
      <w:pPr>
        <w:autoSpaceDE w:val="0"/>
        <w:autoSpaceDN w:val="0"/>
        <w:adjustRightInd w:val="0"/>
        <w:spacing w:before="3" w:line="100" w:lineRule="exact"/>
        <w:jc w:val="left"/>
        <w:rPr>
          <w:rFonts w:ascii="微软雅黑" w:hAnsi="Times New Roman" w:cs="微软雅黑"/>
          <w:kern w:val="0"/>
          <w:sz w:val="10"/>
          <w:szCs w:val="10"/>
        </w:rPr>
      </w:pPr>
      <w:bookmarkStart w:id="20" w:name="_Toc31578"/>
    </w:p>
    <w:bookmarkEnd w:id="20"/>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投标报价扣除税金(按投标函承诺的增值税税率扣减)后为评标价(即不含税价)。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8"/>
        <w:rPr>
          <w:rFonts w:hint="eastAsia"/>
          <w:lang w:val="en-US" w:eastAsia="zh-CN"/>
        </w:rPr>
      </w:pPr>
      <w:r>
        <w:rPr>
          <w:rFonts w:ascii="宋体" w:hAnsi="宋体" w:cs="宋体"/>
          <w:sz w:val="22"/>
        </w:rPr>
        <w:br w:type="page"/>
      </w:r>
    </w:p>
    <w:p>
      <w:pPr>
        <w:pStyle w:val="8"/>
        <w:jc w:val="center"/>
        <w:rPr>
          <w:rFonts w:ascii="宋体" w:hAnsi="宋体" w:cs="宋体"/>
          <w:b/>
          <w:sz w:val="28"/>
          <w:szCs w:val="20"/>
        </w:rPr>
      </w:pPr>
      <w:bookmarkStart w:id="21" w:name="_Toc23470_WPSOffice_Level1"/>
      <w:bookmarkStart w:id="22" w:name="_Toc17411"/>
      <w:r>
        <w:rPr>
          <w:rFonts w:hint="eastAsia"/>
          <w:lang w:val="en-US" w:eastAsia="zh-CN"/>
        </w:rPr>
        <w:t>第三章</w:t>
      </w:r>
      <w:r>
        <w:t xml:space="preserve">  </w:t>
      </w:r>
      <w:r>
        <w:rPr>
          <w:rFonts w:hint="eastAsia"/>
        </w:rPr>
        <w:t>合同条款及格式</w:t>
      </w:r>
      <w:bookmarkEnd w:id="17"/>
      <w:bookmarkEnd w:id="21"/>
      <w:bookmarkEnd w:id="22"/>
      <w:bookmarkStart w:id="23" w:name="_Toc448097405"/>
    </w:p>
    <w:bookmarkEnd w:id="23"/>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24" w:name="_Toc448097407"/>
      <w:r>
        <w:rPr>
          <w:rFonts w:hint="eastAsia" w:asciiTheme="minorEastAsia" w:hAnsiTheme="minorEastAsia" w:cstheme="minorEastAsia"/>
          <w:b/>
          <w:bCs/>
          <w:sz w:val="32"/>
          <w:szCs w:val="32"/>
          <w:lang w:val="en-US" w:eastAsia="zh-CN"/>
        </w:rPr>
        <w:t>修缮P3停车场和航站楼12号门外侧路面沉降项目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修缮P3停车场和航站楼12号门外侧路面沉降项目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1.3承包范围：P3停车场和航站楼12号门外侧路面沉降，</w:t>
      </w:r>
      <w:r>
        <w:rPr>
          <w:rFonts w:hint="eastAsia" w:asciiTheme="minorEastAsia" w:hAnsiTheme="minorEastAsia" w:cstheme="minorEastAsia"/>
          <w:sz w:val="24"/>
          <w:szCs w:val="24"/>
          <w:lang w:val="en-US" w:eastAsia="zh-CN"/>
        </w:rPr>
        <w:t>修复沉降路面</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cstheme="minorEastAsia"/>
          <w:sz w:val="24"/>
          <w:szCs w:val="24"/>
          <w:u w:val="single"/>
          <w:lang w:val="en-US" w:eastAsia="zh-CN"/>
        </w:rPr>
        <w:t>沈可唯</w:t>
      </w:r>
      <w:r>
        <w:rPr>
          <w:rFonts w:hint="eastAsia" w:asciiTheme="minorEastAsia" w:hAnsiTheme="minorEastAsia" w:eastAsiaTheme="minorEastAsia" w:cstheme="minorEastAsia"/>
          <w:sz w:val="24"/>
          <w:szCs w:val="24"/>
          <w:lang w:val="en-US" w:eastAsia="zh-CN"/>
        </w:rPr>
        <w:t>为甲方</w:t>
      </w:r>
      <w:r>
        <w:rPr>
          <w:rFonts w:hint="eastAsia" w:asciiTheme="minorEastAsia" w:hAnsiTheme="minorEastAsia" w:cstheme="minorEastAsia"/>
          <w:sz w:val="24"/>
          <w:szCs w:val="24"/>
          <w:lang w:val="en-US" w:eastAsia="zh-CN"/>
        </w:rPr>
        <w:t>项目负责人</w:t>
      </w:r>
      <w:r>
        <w:rPr>
          <w:rFonts w:hint="eastAsia" w:asciiTheme="minorEastAsia" w:hAnsiTheme="minorEastAsia" w:eastAsiaTheme="minorEastAsia" w:cstheme="minorEastAsia"/>
          <w:sz w:val="24"/>
          <w:szCs w:val="24"/>
          <w:lang w:val="en-US" w:eastAsia="zh-CN"/>
        </w:rPr>
        <w:t>，负责合同履行。对工程安全、质量、进度以及造价进行监督检查，办理验收、变更、登记手续和其他事宜。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w:t>
      </w:r>
      <w:r>
        <w:rPr>
          <w:rFonts w:hint="eastAsia" w:asciiTheme="minorEastAsia" w:hAnsiTheme="minorEastAsia" w:cstheme="minorEastAsia"/>
          <w:sz w:val="24"/>
          <w:szCs w:val="24"/>
          <w:lang w:val="en-US" w:eastAsia="zh-CN"/>
        </w:rPr>
        <w:t>项目负责人</w:t>
      </w:r>
      <w:r>
        <w:rPr>
          <w:rFonts w:hint="eastAsia" w:asciiTheme="minorEastAsia" w:hAnsiTheme="minorEastAsia" w:eastAsiaTheme="minorEastAsia" w:cstheme="minorEastAsia"/>
          <w:sz w:val="24"/>
          <w:szCs w:val="24"/>
          <w:lang w:val="en-US" w:eastAsia="zh-CN"/>
        </w:rPr>
        <w:t>，负责合同履行。按要求组织施工，保质、保量、按期完成施工任务，解决由乙方负责的各项事宜。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25" w:name="_Hlk47444557"/>
    </w:p>
    <w:bookmarkEnd w:id="25"/>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%；结算价的</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w:t>
      </w:r>
      <w:r>
        <w:rPr>
          <w:rFonts w:hint="eastAsia" w:asciiTheme="minorEastAsia" w:hAnsiTheme="minorEastAsia" w:cstheme="minorEastAsia"/>
          <w:sz w:val="24"/>
          <w:szCs w:val="24"/>
          <w:lang w:val="en-US" w:eastAsia="zh-CN"/>
        </w:rPr>
        <w:t>，</w:t>
      </w:r>
      <w:r>
        <w:rPr>
          <w:rFonts w:hint="eastAsia" w:ascii="宋体" w:hAnsi="宋体" w:eastAsia="宋体" w:cs="宋体"/>
          <w:sz w:val="24"/>
          <w:szCs w:val="24"/>
          <w:lang w:val="en-US" w:eastAsia="zh-CN"/>
        </w:rPr>
        <w:t>按乙方投标工程量清单中该项综合单价计取；</w:t>
      </w:r>
      <w:r>
        <w:rPr>
          <w:rFonts w:hint="eastAsia" w:asciiTheme="minorEastAsia" w:hAnsiTheme="minorEastAsia" w:eastAsiaTheme="minorEastAsia" w:cstheme="minorEastAsia"/>
          <w:sz w:val="24"/>
          <w:szCs w:val="24"/>
          <w:lang w:val="en-US" w:eastAsia="zh-CN"/>
        </w:rPr>
        <w:t>；工程量清单中无适用的项目单价，套用浙江省2018定额，按分部分项工程费+规费+税金计取；不能套用浙江省2018定额的项目，可按照成本加利润的原则，承包人与发包人协商后执行。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修缮P3停车场和航站楼12号门外侧路面沉降项目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1．桥梁工程为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2．道路工程为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3．地基处理工程为2年；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4．排水（雨水）工程为2年；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5．绿化工程为2年；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6．其他附属工程为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pStyle w:val="12"/>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发包人(公章)：                     承包人(公章)：</w:t>
      </w:r>
    </w:p>
    <w:p>
      <w:pPr>
        <w:pStyle w:val="12"/>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修缮P3停车场和航站楼12号门外侧路面沉降项目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eastAsia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修缮P3停车场和航站楼12号门外侧路面沉降项目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8"/>
        <w:keepNext w:val="0"/>
        <w:keepLines w:val="0"/>
        <w:pageBreakBefore/>
        <w:widowControl w:val="0"/>
        <w:numPr>
          <w:ilvl w:val="0"/>
          <w:numId w:val="6"/>
        </w:numPr>
        <w:kinsoku/>
        <w:wordWrap/>
        <w:overflowPunct/>
        <w:topLinePunct w:val="0"/>
        <w:autoSpaceDE/>
        <w:autoSpaceDN/>
        <w:bidi w:val="0"/>
        <w:adjustRightInd/>
        <w:snapToGrid/>
        <w:jc w:val="center"/>
        <w:textAlignment w:val="auto"/>
        <w:rPr>
          <w:rFonts w:hint="eastAsia"/>
        </w:rPr>
      </w:pPr>
      <w:bookmarkStart w:id="26" w:name="_Toc27673"/>
      <w:r>
        <w:rPr>
          <w:rFonts w:hint="eastAsia"/>
        </w:rPr>
        <w:t xml:space="preserve"> </w:t>
      </w:r>
      <w:bookmarkStart w:id="27" w:name="_Toc17277_WPSOffice_Level1"/>
      <w:r>
        <w:rPr>
          <w:rFonts w:hint="eastAsia"/>
        </w:rPr>
        <w:t>工程量清单</w:t>
      </w:r>
      <w:bookmarkEnd w:id="24"/>
      <w:bookmarkEnd w:id="26"/>
      <w:bookmarkEnd w:id="27"/>
    </w:p>
    <w:tbl>
      <w:tblPr>
        <w:tblStyle w:val="11"/>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960"/>
        <w:gridCol w:w="106"/>
        <w:gridCol w:w="2294"/>
        <w:gridCol w:w="869"/>
        <w:gridCol w:w="1275"/>
        <w:gridCol w:w="132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6"/>
          <w:wAfter w:w="7409" w:type="dxa"/>
          <w:trHeight w:val="630" w:hRule="atLeast"/>
        </w:trPr>
        <w:tc>
          <w:tcPr>
            <w:tcW w:w="1545" w:type="dxa"/>
            <w:gridSpan w:val="2"/>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含税综合单价(元)</w:t>
            </w:r>
          </w:p>
        </w:tc>
        <w:tc>
          <w:tcPr>
            <w:tcW w:w="15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954" w:type="dxa"/>
            <w:gridSpan w:val="8"/>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P3停车场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铣刨机铣刨路面~厚度8(cm)（含进退场费及安拆）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粗粒式沥青混凝土路面  机械摊铺~厚度8(cm)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细粒式沥青混凝土路面  机械摊铺~厚度4(cm)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道路交通指示牌（含三角锥、红蓝爆闪灯、交通指引牌等）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压路机进退场费</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台次</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黏层水泥混凝土石油沥青0.5L/m2</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窨井加高与新做路面平整直径700（含粉刷等）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w:t>
            </w:r>
          </w:p>
        </w:tc>
        <w:tc>
          <w:tcPr>
            <w:tcW w:w="3360" w:type="dxa"/>
            <w:gridSpan w:val="3"/>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更换重型铸铁盖板</w:t>
            </w:r>
            <w:r>
              <w:rPr>
                <w:rFonts w:hint="eastAsia" w:ascii="宋体" w:hAnsi="宋体" w:eastAsia="宋体" w:cs="宋体"/>
                <w:i w:val="0"/>
                <w:color w:val="000000"/>
                <w:sz w:val="18"/>
                <w:szCs w:val="18"/>
                <w:u w:val="none"/>
                <w:lang w:val="en-US" w:eastAsia="zh-CN"/>
              </w:rPr>
              <w:t>直径</w:t>
            </w:r>
            <w:r>
              <w:rPr>
                <w:rFonts w:hint="eastAsia" w:ascii="宋体" w:hAnsi="宋体" w:eastAsia="宋体" w:cs="宋体"/>
                <w:i w:val="0"/>
                <w:color w:val="000000"/>
                <w:sz w:val="18"/>
                <w:szCs w:val="18"/>
                <w:u w:val="none"/>
              </w:rPr>
              <w:t>700</w:t>
            </w: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套</w:t>
            </w:r>
          </w:p>
        </w:tc>
        <w:tc>
          <w:tcPr>
            <w:tcW w:w="127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954" w:type="dxa"/>
            <w:gridSpan w:val="8"/>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12号门外侧路面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铣刨机铣刨路面~厚度3cm（含进退场费及安拆）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粗粒式沥青混凝土路面  机械摊铺~厚度8(cm)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细粒式沥青混凝土路面  机械摊铺~厚度4(cm)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道路交通指示牌（含三角锥、红蓝爆闪灯、交通指引牌等）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黏层水泥混凝土石油沥青0.5L/m2</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材料搬运及垃圾清理外运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w:t>
            </w:r>
          </w:p>
        </w:tc>
        <w:tc>
          <w:tcPr>
            <w:tcW w:w="3360"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压路机进退场费</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台次</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cente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w:t>
            </w:r>
          </w:p>
        </w:tc>
        <w:tc>
          <w:tcPr>
            <w:tcW w:w="3360" w:type="dxa"/>
            <w:gridSpan w:val="3"/>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雨水井加高与新做路面平整300*400</w:t>
            </w:r>
          </w:p>
        </w:tc>
        <w:tc>
          <w:tcPr>
            <w:tcW w:w="869"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75"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320" w:type="dxa"/>
            <w:tcBorders>
              <w:top w:val="single" w:color="000000" w:sz="4" w:space="0"/>
              <w:left w:val="single" w:color="000000" w:sz="4" w:space="0"/>
              <w:bottom w:val="single" w:color="000000" w:sz="4" w:space="0"/>
            </w:tcBorders>
            <w:shd w:val="clear" w:color="auto" w:fill="FFFFFF"/>
            <w:vAlign w:val="center"/>
          </w:tcPr>
          <w:p>
            <w:pPr>
              <w:jc w:val="cente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w:t>
            </w:r>
          </w:p>
        </w:tc>
        <w:tc>
          <w:tcPr>
            <w:tcW w:w="33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更换重型铸铁盖板300*400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5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总价含税（元）</w:t>
            </w:r>
          </w:p>
        </w:tc>
        <w:tc>
          <w:tcPr>
            <w:tcW w:w="730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numPr>
          <w:ilvl w:val="0"/>
          <w:numId w:val="0"/>
        </w:numPr>
      </w:pPr>
    </w:p>
    <w:p>
      <w:pPr>
        <w:widowControl/>
        <w:jc w:val="left"/>
      </w:pPr>
    </w:p>
    <w:p>
      <w:pPr>
        <w:pStyle w:val="8"/>
        <w:keepNext w:val="0"/>
        <w:keepLines w:val="0"/>
        <w:pageBreakBefore/>
        <w:widowControl w:val="0"/>
        <w:numPr>
          <w:ilvl w:val="0"/>
          <w:numId w:val="0"/>
        </w:numPr>
        <w:kinsoku/>
        <w:wordWrap/>
        <w:overflowPunct/>
        <w:topLinePunct w:val="0"/>
        <w:autoSpaceDE/>
        <w:autoSpaceDN/>
        <w:bidi w:val="0"/>
        <w:adjustRightInd/>
        <w:snapToGrid/>
        <w:jc w:val="center"/>
        <w:textAlignment w:val="auto"/>
        <w:rPr>
          <w:rFonts w:hint="eastAsia"/>
          <w:lang w:val="en-US" w:eastAsia="zh-CN"/>
        </w:rPr>
      </w:pPr>
      <w:bookmarkStart w:id="28" w:name="_Toc30824_WPSOffice_Level1"/>
      <w:bookmarkStart w:id="29" w:name="_Toc17683"/>
      <w:bookmarkStart w:id="30" w:name="_Toc448097409"/>
      <w:bookmarkStart w:id="31" w:name="_Toc275274581"/>
      <w:r>
        <w:rPr>
          <w:rFonts w:hint="eastAsia"/>
          <w:lang w:val="en-US" w:eastAsia="zh-CN"/>
        </w:rPr>
        <w:t>第五章</w:t>
      </w:r>
      <w:r>
        <w:t xml:space="preserve"> </w:t>
      </w:r>
      <w:r>
        <w:rPr>
          <w:rFonts w:hint="eastAsia"/>
          <w:lang w:val="en-US" w:eastAsia="zh-CN"/>
        </w:rPr>
        <w:t>技术标准及要求</w:t>
      </w:r>
      <w:bookmarkEnd w:id="28"/>
      <w:bookmarkEnd w:id="29"/>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32"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1"/>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c>
          <w:tcPr>
            <w:tcW w:w="4714"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32"/>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总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5.3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8"/>
        <w:jc w:val="both"/>
        <w:rPr>
          <w:rFonts w:hint="default" w:eastAsia="黑体"/>
          <w:lang w:val="en-US" w:eastAsia="zh-CN"/>
        </w:rP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
    <w:p/>
    <w:p/>
    <w:p/>
    <w:p/>
    <w:p/>
    <w:p/>
    <w:p/>
    <w:p/>
    <w:p/>
    <w:bookmarkEnd w:id="18"/>
    <w:bookmarkEnd w:id="30"/>
    <w:bookmarkEnd w:id="31"/>
    <w:p>
      <w:pPr>
        <w:pStyle w:val="3"/>
        <w:keepNext/>
        <w:keepLines/>
        <w:pageBreakBefore/>
        <w:widowControl w:val="0"/>
        <w:kinsoku/>
        <w:wordWrap/>
        <w:overflowPunct/>
        <w:topLinePunct w:val="0"/>
        <w:autoSpaceDE/>
        <w:autoSpaceDN/>
        <w:bidi w:val="0"/>
        <w:adjustRightInd/>
        <w:snapToGrid/>
        <w:spacing w:before="0" w:after="0" w:line="564" w:lineRule="exact"/>
        <w:ind w:left="0" w:leftChars="0" w:right="57" w:rightChars="0" w:firstLine="0" w:firstLineChars="0"/>
        <w:jc w:val="center"/>
        <w:textAlignment w:val="auto"/>
        <w:outlineLvl w:val="0"/>
        <w:rPr>
          <w:sz w:val="32"/>
          <w:szCs w:val="32"/>
        </w:rPr>
      </w:pPr>
      <w:bookmarkStart w:id="33" w:name="_Toc8462_WPSOffice_Level1"/>
      <w:bookmarkStart w:id="34" w:name="_Toc52907682"/>
      <w:bookmarkStart w:id="35" w:name="_Toc10055"/>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33"/>
      <w:bookmarkEnd w:id="34"/>
      <w:bookmarkEnd w:id="3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bookmarkStart w:id="36" w:name="_Toc27543_WPSOffice_Level1"/>
      <w:bookmarkStart w:id="37" w:name="_Toc18104_WPSOffice_Level1"/>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bookmarkEnd w:id="36"/>
      <w:bookmarkEnd w:id="37"/>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pgNumType w:start="1"/>
          <w:cols w:space="720" w:num="1"/>
        </w:sectPr>
      </w:pPr>
    </w:p>
    <w:p>
      <w:pPr>
        <w:autoSpaceDE w:val="0"/>
        <w:autoSpaceDN w:val="0"/>
        <w:adjustRightInd w:val="0"/>
        <w:spacing w:line="360" w:lineRule="auto"/>
        <w:jc w:val="center"/>
        <w:rPr>
          <w:rFonts w:cs="微软雅黑"/>
          <w:b/>
          <w:kern w:val="0"/>
          <w:sz w:val="36"/>
          <w:szCs w:val="36"/>
        </w:rPr>
      </w:pPr>
      <w:bookmarkStart w:id="38" w:name="_Toc1064_WPSOffice_Level1"/>
      <w:bookmarkStart w:id="39" w:name="_Toc11898_WPSOffice_Level1"/>
      <w:r>
        <w:rPr>
          <w:rFonts w:cs="微软雅黑"/>
          <w:b/>
          <w:kern w:val="0"/>
          <w:sz w:val="36"/>
          <w:szCs w:val="36"/>
        </w:rPr>
        <w:t>目 录</w:t>
      </w:r>
      <w:bookmarkEnd w:id="38"/>
      <w:bookmarkEnd w:id="39"/>
    </w:p>
    <w:p>
      <w:pPr>
        <w:pStyle w:val="13"/>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bookmarkStart w:id="40" w:name="_Toc28294_WPSOffice_Level1"/>
      <w:bookmarkStart w:id="41" w:name="_Toc28113_WPSOffice_Level1"/>
      <w:r>
        <w:rPr>
          <w:rFonts w:ascii="微软雅黑" w:hAnsi="Times New Roman" w:cs="微软雅黑"/>
          <w:spacing w:val="-2"/>
          <w:kern w:val="0"/>
          <w:sz w:val="22"/>
        </w:rPr>
        <w:t>投标函；</w:t>
      </w:r>
      <w:bookmarkEnd w:id="40"/>
      <w:bookmarkEnd w:id="41"/>
    </w:p>
    <w:p>
      <w:pPr>
        <w:pStyle w:val="13"/>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bookmarkStart w:id="42" w:name="_Toc947_WPSOffice_Level1"/>
      <w:bookmarkStart w:id="43" w:name="_Toc25695_WPSOffice_Level1"/>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bookmarkEnd w:id="42"/>
      <w:bookmarkEnd w:id="43"/>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bookmarkStart w:id="44" w:name="_Toc13802_WPSOffice_Level1"/>
      <w:bookmarkStart w:id="45" w:name="_Toc22985_WPSOffice_Level1"/>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bookmarkEnd w:id="44"/>
      <w:bookmarkEnd w:id="45"/>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bookmarkStart w:id="46" w:name="_Toc13563_WPSOffice_Level1"/>
      <w:bookmarkStart w:id="47" w:name="_Toc21307_WPSOffice_Level1"/>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bookmarkEnd w:id="46"/>
      <w:bookmarkEnd w:id="47"/>
    </w:p>
    <w:p>
      <w:pPr>
        <w:pStyle w:val="13"/>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bookmarkStart w:id="48" w:name="_Toc30166_WPSOffice_Level1"/>
      <w:bookmarkStart w:id="49" w:name="_Toc27390_WPSOffice_Level1"/>
      <w:r>
        <w:rPr>
          <w:rFonts w:cs="微软雅黑"/>
          <w:b/>
          <w:kern w:val="0"/>
          <w:sz w:val="36"/>
          <w:szCs w:val="36"/>
        </w:rPr>
        <w:t>一、投标函</w:t>
      </w:r>
      <w:bookmarkEnd w:id="48"/>
      <w:bookmarkEnd w:id="49"/>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hint="eastAsia" w:eastAsiaTheme="minorEastAsia"/>
          <w:kern w:val="0"/>
          <w:sz w:val="22"/>
          <w:lang w:eastAsia="zh-CN"/>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w:t>
      </w:r>
      <w:r>
        <w:rPr>
          <w:rFonts w:hint="eastAsia"/>
          <w:kern w:val="0"/>
          <w:sz w:val="22"/>
          <w:lang w:eastAsia="zh-CN"/>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bookmarkStart w:id="50" w:name="_Toc9182_WPSOffice_Level1"/>
      <w:bookmarkStart w:id="51" w:name="_Toc15245_WPSOffice_Level1"/>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bookmarkEnd w:id="50"/>
      <w:bookmarkEnd w:id="51"/>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Start w:id="52" w:name="_Toc19014_WPSOffice_Level1"/>
      <w:bookmarkStart w:id="53" w:name="_Toc4984_WPSOffice_Level1"/>
      <w:r>
        <w:rPr>
          <w:rFonts w:hint="eastAsia" w:ascii="宋体" w:hAnsi="宋体" w:cs="微软雅黑"/>
          <w:b/>
          <w:kern w:val="0"/>
          <w:sz w:val="36"/>
          <w:szCs w:val="36"/>
        </w:rPr>
        <w:t>二-2</w:t>
      </w:r>
      <w:r>
        <w:rPr>
          <w:rFonts w:cs="微软雅黑"/>
          <w:b/>
          <w:kern w:val="0"/>
          <w:sz w:val="36"/>
          <w:szCs w:val="36"/>
        </w:rPr>
        <w:t>、法定代表人授权委托书</w:t>
      </w:r>
      <w:bookmarkEnd w:id="52"/>
      <w:bookmarkEnd w:id="53"/>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spacing w:line="360" w:lineRule="auto"/>
        <w:jc w:val="center"/>
        <w:rPr>
          <w:rFonts w:cs="微软雅黑"/>
          <w:b/>
          <w:kern w:val="0"/>
          <w:sz w:val="36"/>
          <w:szCs w:val="36"/>
        </w:rPr>
      </w:pPr>
      <w:bookmarkStart w:id="54" w:name="_Toc26089_WPSOffice_Level1"/>
      <w:bookmarkStart w:id="55" w:name="_Toc21620_WPSOffice_Level1"/>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bookmarkEnd w:id="54"/>
      <w:bookmarkEnd w:id="55"/>
    </w:p>
    <w:p>
      <w:pPr>
        <w:autoSpaceDE w:val="0"/>
        <w:autoSpaceDN w:val="0"/>
        <w:adjustRightInd w:val="0"/>
        <w:spacing w:line="360" w:lineRule="auto"/>
        <w:jc w:val="center"/>
        <w:rPr>
          <w:rFonts w:cs="宋体"/>
          <w:sz w:val="22"/>
        </w:rPr>
      </w:pPr>
      <w:r>
        <w:rPr>
          <w:rFonts w:ascii="宋体" w:hAnsi="宋体" w:cs="Arial"/>
          <w:b/>
          <w:bCs/>
          <w:kern w:val="0"/>
          <w:szCs w:val="21"/>
        </w:rPr>
        <w:br w:type="page"/>
      </w:r>
    </w:p>
    <w:p>
      <w:pPr>
        <w:widowControl/>
        <w:ind w:firstLine="1084" w:firstLineChars="300"/>
        <w:jc w:val="left"/>
        <w:rPr>
          <w:rFonts w:hint="eastAsia" w:cs="微软雅黑"/>
          <w:b/>
          <w:kern w:val="0"/>
          <w:sz w:val="36"/>
          <w:szCs w:val="36"/>
        </w:rPr>
      </w:pPr>
      <w:bookmarkStart w:id="56" w:name="_Toc31499_WPSOffice_Level1"/>
      <w:bookmarkStart w:id="57" w:name="_Toc20749_WPSOffice_Level1"/>
      <w:bookmarkStart w:id="58" w:name="_Hlk54024727"/>
      <w:r>
        <w:rPr>
          <w:rFonts w:hint="eastAsia" w:cs="微软雅黑"/>
          <w:b/>
          <w:kern w:val="0"/>
          <w:sz w:val="36"/>
          <w:szCs w:val="36"/>
          <w:lang w:val="en-US" w:eastAsia="zh-CN"/>
        </w:rPr>
        <w:t>四</w:t>
      </w:r>
      <w:r>
        <w:rPr>
          <w:rFonts w:hint="eastAsia" w:cs="微软雅黑"/>
          <w:b/>
          <w:kern w:val="0"/>
          <w:sz w:val="36"/>
          <w:szCs w:val="36"/>
        </w:rPr>
        <w:t>、投标人认为需要提供的其他材料</w:t>
      </w:r>
      <w:bookmarkEnd w:id="56"/>
      <w:bookmarkEnd w:id="57"/>
    </w:p>
    <w:p>
      <w:pPr>
        <w:autoSpaceDE w:val="0"/>
        <w:autoSpaceDN w:val="0"/>
        <w:adjustRightInd w:val="0"/>
        <w:spacing w:line="360" w:lineRule="auto"/>
        <w:jc w:val="center"/>
        <w:rPr>
          <w:b/>
          <w:sz w:val="24"/>
        </w:rPr>
      </w:pPr>
    </w:p>
    <w:bookmarkEnd w:id="58"/>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5"/>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61</w:t>
    </w:r>
    <w:r>
      <w:rPr>
        <w:lang w:val="zh-CN"/>
      </w:rPr>
      <w:fldChar w:fldCharType="end"/>
    </w:r>
  </w:p>
  <w:p>
    <w:pPr>
      <w:pStyle w:val="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2B55EB8"/>
    <w:multiLevelType w:val="singleLevel"/>
    <w:tmpl w:val="62B55EB8"/>
    <w:lvl w:ilvl="0" w:tentative="0">
      <w:start w:val="4"/>
      <w:numFmt w:val="chineseCounting"/>
      <w:suff w:val="space"/>
      <w:lvlText w:val="第%1章"/>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613C4"/>
    <w:rsid w:val="099E7021"/>
    <w:rsid w:val="0BB56616"/>
    <w:rsid w:val="18C431D4"/>
    <w:rsid w:val="1B097DDC"/>
    <w:rsid w:val="24E66C3F"/>
    <w:rsid w:val="2DC00CE4"/>
    <w:rsid w:val="2E354C71"/>
    <w:rsid w:val="2E5C1A26"/>
    <w:rsid w:val="2EF03F99"/>
    <w:rsid w:val="3308314E"/>
    <w:rsid w:val="33536A76"/>
    <w:rsid w:val="3FD95583"/>
    <w:rsid w:val="4B516B40"/>
    <w:rsid w:val="4BFB68A7"/>
    <w:rsid w:val="4C5D0856"/>
    <w:rsid w:val="4E4624CE"/>
    <w:rsid w:val="4EFA0A02"/>
    <w:rsid w:val="646B5557"/>
    <w:rsid w:val="65B65E3C"/>
    <w:rsid w:val="65CF40AA"/>
    <w:rsid w:val="67507688"/>
    <w:rsid w:val="69DD6BAD"/>
    <w:rsid w:val="73AC1037"/>
    <w:rsid w:val="75E55FB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Plain Text"/>
    <w:basedOn w:val="1"/>
    <w:qFormat/>
    <w:uiPriority w:val="0"/>
    <w:rPr>
      <w:rFonts w:ascii="宋体" w:hAnsi="Courier New" w:eastAsia="宋体" w:cs="Times New Roman"/>
      <w:kern w:val="0"/>
      <w:sz w:val="20"/>
      <w:szCs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7">
    <w:name w:val="toc 1"/>
    <w:basedOn w:val="1"/>
    <w:next w:val="1"/>
    <w:qFormat/>
    <w:uiPriority w:val="0"/>
    <w:pPr>
      <w:adjustRightInd w:val="0"/>
      <w:snapToGrid w:val="0"/>
    </w:pPr>
    <w:rPr>
      <w:rFonts w:ascii="Times New Roman" w:hAnsi="Times New Roman" w:eastAsia="仿宋" w:cs="Times New Roman"/>
      <w:szCs w:val="24"/>
    </w:rPr>
  </w:style>
  <w:style w:type="paragraph" w:styleId="8">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0">
    <w:name w:val="page number"/>
    <w:basedOn w:val="9"/>
    <w:qFormat/>
    <w:uiPriority w:val="0"/>
  </w:style>
  <w:style w:type="paragraph" w:customStyle="1" w:styleId="12">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
    <w:name w:val="_Style 3"/>
    <w:basedOn w:val="1"/>
    <w:qFormat/>
    <w:uiPriority w:val="0"/>
    <w:pPr>
      <w:ind w:firstLine="420" w:firstLineChars="200"/>
    </w:pPr>
    <w:rPr>
      <w:szCs w:val="20"/>
    </w:rPr>
  </w:style>
  <w:style w:type="paragraph" w:customStyle="1" w:styleId="14">
    <w:name w:val="列出段落1"/>
    <w:basedOn w:val="1"/>
    <w:unhideWhenUsed/>
    <w:qFormat/>
    <w:uiPriority w:val="99"/>
    <w:pPr>
      <w:ind w:firstLine="420" w:firstLineChars="200"/>
    </w:pPr>
    <w:rPr>
      <w:rFonts w:ascii="Calibri" w:hAnsi="Calibri" w:eastAsia="宋体" w:cs="Times New Roman"/>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ea1698-60c4-4d98-9fb5-d684f2294ea9}"/>
        <w:style w:val=""/>
        <w:category>
          <w:name w:val="常规"/>
          <w:gallery w:val="placeholder"/>
        </w:category>
        <w:types>
          <w:type w:val="bbPlcHdr"/>
        </w:types>
        <w:behaviors>
          <w:behavior w:val="content"/>
        </w:behaviors>
        <w:description w:val=""/>
        <w:guid w:val="{a8ea1698-60c4-4d98-9fb5-d684f2294ea9}"/>
      </w:docPartPr>
      <w:docPartBody>
        <w:p>
          <w:r>
            <w:rPr>
              <w:color w:val="808080"/>
            </w:rPr>
            <w:t>单击此处输入文字。</w:t>
          </w:r>
        </w:p>
      </w:docPartBody>
    </w:docPart>
    <w:docPart>
      <w:docPartPr>
        <w:name w:val="{de40f552-fe4c-42e4-ac61-c4323a519f54}"/>
        <w:style w:val=""/>
        <w:category>
          <w:name w:val="常规"/>
          <w:gallery w:val="placeholder"/>
        </w:category>
        <w:types>
          <w:type w:val="bbPlcHdr"/>
        </w:types>
        <w:behaviors>
          <w:behavior w:val="content"/>
        </w:behaviors>
        <w:description w:val=""/>
        <w:guid w:val="{de40f552-fe4c-42e4-ac61-c4323a519f54}"/>
      </w:docPartPr>
      <w:docPartBody>
        <w:p>
          <w:r>
            <w:rPr>
              <w:color w:val="808080"/>
            </w:rPr>
            <w:t>单击此处输入文字。</w:t>
          </w:r>
        </w:p>
      </w:docPartBody>
    </w:docPart>
    <w:docPart>
      <w:docPartPr>
        <w:name w:val="{3b2e161f-0fc5-4ed2-b94b-c5c8c8970dfe}"/>
        <w:style w:val=""/>
        <w:category>
          <w:name w:val="常规"/>
          <w:gallery w:val="placeholder"/>
        </w:category>
        <w:types>
          <w:type w:val="bbPlcHdr"/>
        </w:types>
        <w:behaviors>
          <w:behavior w:val="content"/>
        </w:behaviors>
        <w:description w:val=""/>
        <w:guid w:val="{3b2e161f-0fc5-4ed2-b94b-c5c8c8970dfe}"/>
      </w:docPartPr>
      <w:docPartBody>
        <w:p>
          <w:r>
            <w:rPr>
              <w:color w:val="808080"/>
            </w:rPr>
            <w:t>单击此处输入文字。</w:t>
          </w:r>
        </w:p>
      </w:docPartBody>
    </w:docPart>
    <w:docPart>
      <w:docPartPr>
        <w:name w:val="{46eef816-3cc4-4348-9b6f-3c3ea50f4755}"/>
        <w:style w:val=""/>
        <w:category>
          <w:name w:val="常规"/>
          <w:gallery w:val="placeholder"/>
        </w:category>
        <w:types>
          <w:type w:val="bbPlcHdr"/>
        </w:types>
        <w:behaviors>
          <w:behavior w:val="content"/>
        </w:behaviors>
        <w:description w:val=""/>
        <w:guid w:val="{46eef816-3cc4-4348-9b6f-3c3ea50f4755}"/>
      </w:docPartPr>
      <w:docPartBody>
        <w:p>
          <w:r>
            <w:rPr>
              <w:color w:val="808080"/>
            </w:rPr>
            <w:t>单击此处输入文字。</w:t>
          </w:r>
        </w:p>
      </w:docPartBody>
    </w:docPart>
    <w:docPart>
      <w:docPartPr>
        <w:name w:val="{6d75f3c3-f6bb-4c1b-93fb-6f2ffb5c8545}"/>
        <w:style w:val=""/>
        <w:category>
          <w:name w:val="常规"/>
          <w:gallery w:val="placeholder"/>
        </w:category>
        <w:types>
          <w:type w:val="bbPlcHdr"/>
        </w:types>
        <w:behaviors>
          <w:behavior w:val="content"/>
        </w:behaviors>
        <w:description w:val=""/>
        <w:guid w:val="{6d75f3c3-f6bb-4c1b-93fb-6f2ffb5c8545}"/>
      </w:docPartPr>
      <w:docPartBody>
        <w:p>
          <w:r>
            <w:rPr>
              <w:color w:val="808080"/>
            </w:rPr>
            <w:t>单击此处输入文字。</w:t>
          </w:r>
        </w:p>
      </w:docPartBody>
    </w:docPart>
    <w:docPart>
      <w:docPartPr>
        <w:name w:val="{39ed77ef-910b-4f2f-a844-e236cc111903}"/>
        <w:style w:val=""/>
        <w:category>
          <w:name w:val="常规"/>
          <w:gallery w:val="placeholder"/>
        </w:category>
        <w:types>
          <w:type w:val="bbPlcHdr"/>
        </w:types>
        <w:behaviors>
          <w:behavior w:val="content"/>
        </w:behaviors>
        <w:description w:val=""/>
        <w:guid w:val="{39ed77ef-910b-4f2f-a844-e236cc11190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cp:lastPrinted>2022-10-12T02:55:00Z</cp:lastPrinted>
  <dcterms:modified xsi:type="dcterms:W3CDTF">2022-10-14T00:44:12Z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