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rPr>
        <w:t>杭州萧山国际机场场区部分道路和航站楼12号门外侧路面沉降修缮项目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rPr>
            <w:t>7</w:t>
          </w:r>
          <w:r>
            <w:rPr>
              <w:rFonts w:hint="eastAsia"/>
              <w:sz w:val="36"/>
              <w:szCs w:val="44"/>
            </w:rPr>
            <w:fldChar w:fldCharType="end"/>
          </w:r>
        </w:p>
        <w:p>
          <w:pPr>
            <w:pStyle w:val="8"/>
            <w:tabs>
              <w:tab w:val="right" w:leader="dot" w:pos="9639"/>
            </w:tabs>
            <w:rPr>
              <w:rFonts w:eastAsia="宋体"/>
              <w:sz w:val="36"/>
              <w:szCs w:val="44"/>
            </w:rPr>
          </w:pPr>
          <w:r>
            <w:fldChar w:fldCharType="begin"/>
          </w:r>
          <w:r>
            <w:instrText xml:space="preserve"> HYPERLINK \l "_Toc27673" </w:instrText>
          </w:r>
          <w:r>
            <w:fldChar w:fldCharType="separate"/>
          </w:r>
          <w:r>
            <w:rPr>
              <w:rFonts w:hint="eastAsia"/>
              <w:sz w:val="36"/>
              <w:szCs w:val="44"/>
            </w:rPr>
            <w:t>第四章 工程量清单</w:t>
          </w:r>
          <w:r>
            <w:rPr>
              <w:sz w:val="36"/>
              <w:szCs w:val="44"/>
            </w:rPr>
            <w:tab/>
          </w:r>
          <w:r>
            <w:rPr>
              <w:rFonts w:hint="eastAsia"/>
              <w:sz w:val="36"/>
              <w:szCs w:val="44"/>
            </w:rPr>
            <w:t>1</w:t>
          </w:r>
          <w:r>
            <w:rPr>
              <w:rFonts w:hint="eastAsia"/>
              <w:sz w:val="36"/>
              <w:szCs w:val="44"/>
            </w:rPr>
            <w:fldChar w:fldCharType="end"/>
          </w:r>
          <w:r>
            <w:rPr>
              <w:rFonts w:hint="eastAsia" w:ascii="宋体" w:hAnsi="宋体" w:eastAsia="宋体" w:cs="宋体"/>
              <w:bCs/>
              <w:sz w:val="36"/>
              <w:szCs w:val="56"/>
            </w:rPr>
            <w:t>8</w:t>
          </w:r>
        </w:p>
        <w:p>
          <w:pPr>
            <w:pStyle w:val="8"/>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第五章 技术标准及要求</w:t>
          </w:r>
          <w:r>
            <w:rPr>
              <w:sz w:val="36"/>
              <w:szCs w:val="44"/>
            </w:rPr>
            <w:tab/>
          </w:r>
          <w:r>
            <w:rPr>
              <w:rFonts w:hint="eastAsia"/>
              <w:sz w:val="36"/>
              <w:szCs w:val="44"/>
              <w:lang w:val="en-US" w:eastAsia="zh-CN"/>
            </w:rPr>
            <w:t>1</w:t>
          </w:r>
          <w:r>
            <w:rPr>
              <w:rFonts w:hint="eastAsia"/>
              <w:sz w:val="36"/>
              <w:szCs w:val="44"/>
            </w:rPr>
            <w:fldChar w:fldCharType="end"/>
          </w:r>
          <w:r>
            <w:rPr>
              <w:rFonts w:hint="eastAsia"/>
              <w:sz w:val="36"/>
              <w:szCs w:val="44"/>
              <w:lang w:val="en-US" w:eastAsia="zh-CN"/>
            </w:rPr>
            <w:t>9</w:t>
          </w:r>
        </w:p>
        <w:p>
          <w:pPr>
            <w:pStyle w:val="8"/>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rPr>
            <w:t>六</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rPr>
            <w:t>2</w:t>
          </w:r>
          <w:r>
            <w:rPr>
              <w:rFonts w:hint="eastAsia"/>
              <w:sz w:val="36"/>
              <w:szCs w:val="44"/>
            </w:rPr>
            <w:fldChar w:fldCharType="end"/>
          </w:r>
          <w:r>
            <w:rPr>
              <w:rFonts w:hint="eastAsia"/>
              <w:sz w:val="36"/>
              <w:szCs w:val="44"/>
              <w:lang w:val="en-US" w:eastAsia="zh-CN"/>
            </w:rPr>
            <w:t>3</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pPr>
      <w:bookmarkStart w:id="0" w:name="_Toc8459"/>
      <w:bookmarkStart w:id="1" w:name="_Toc448097401"/>
      <w:r>
        <w:rPr>
          <w:rFonts w:hint="eastAsia"/>
        </w:rPr>
        <w:t>第一章 招标公告</w:t>
      </w:r>
      <w:bookmarkEnd w:id="0"/>
      <w:bookmarkEnd w:id="1"/>
    </w:p>
    <w:p>
      <w:pPr>
        <w:widowControl/>
        <w:snapToGrid w:val="0"/>
        <w:spacing w:line="360" w:lineRule="exact"/>
        <w:jc w:val="left"/>
        <w:rPr>
          <w:rFonts w:ascii="宋体" w:hAnsi="宋体" w:eastAsia="宋体" w:cs="宋体"/>
          <w:kern w:val="0"/>
          <w:sz w:val="24"/>
          <w:szCs w:val="24"/>
        </w:rPr>
      </w:pPr>
      <w:bookmarkStart w:id="28" w:name="_GoBack"/>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项目概况：对P3停车场核酸监测点出口区域柏油路面、浙航路和航站楼12号门外侧混凝土路面的破损、沉降处进行临时性修补，避免路面破损造成的不安全事件发生。</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（2）实施内容：详见工程量清单和技术标准及要求。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kern w:val="0"/>
          <w:sz w:val="24"/>
          <w:szCs w:val="24"/>
          <w:u w:val="single"/>
        </w:rPr>
        <w:t>7</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市政公用工程施工总承包三级及以上资质</w:t>
      </w:r>
      <w:r>
        <w:rPr>
          <w:rFonts w:hint="eastAsia" w:ascii="宋体" w:hAnsi="宋体" w:eastAsia="宋体" w:cs="宋体"/>
          <w:b/>
          <w:bCs/>
          <w:kern w:val="0"/>
          <w:sz w:val="24"/>
          <w:szCs w:val="24"/>
        </w:rPr>
        <w:t>。</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市政公用工程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snapToGrid w:val="0"/>
        <w:spacing w:line="320" w:lineRule="exact"/>
        <w:jc w:val="left"/>
        <w:rPr>
          <w:rFonts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rPr>
        <w:t>三、招标文件获取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snapToGrid w:val="0"/>
        <w:spacing w:line="320" w:lineRule="exact"/>
        <w:rPr>
          <w:rFonts w:ascii="宋体" w:hAnsi="宋体" w:eastAsia="宋体" w:cs="宋体"/>
          <w:b/>
          <w:bCs/>
          <w:sz w:val="24"/>
          <w:szCs w:val="24"/>
        </w:rPr>
      </w:pPr>
      <w:r>
        <w:rPr>
          <w:rFonts w:hint="eastAsia" w:ascii="宋体" w:hAnsi="宋体" w:eastAsia="宋体" w:cs="宋体"/>
          <w:b/>
          <w:bCs/>
          <w:sz w:val="24"/>
          <w:szCs w:val="24"/>
        </w:rPr>
        <w:t>四、踏勘现场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招标人组织踏勘现场，集中踏勘时间为</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18</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（北京时间）。踏勘集中地点为</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numPr>
          <w:ilvl w:val="0"/>
          <w:numId w:val="2"/>
        </w:numPr>
        <w:snapToGrid w:val="0"/>
        <w:spacing w:line="320" w:lineRule="exact"/>
        <w:rPr>
          <w:rFonts w:ascii="宋体" w:hAnsi="宋体" w:eastAsia="宋体" w:cs="宋体"/>
          <w:b/>
          <w:bCs/>
          <w:kern w:val="0"/>
          <w:sz w:val="24"/>
          <w:szCs w:val="24"/>
        </w:rPr>
      </w:pPr>
      <w:r>
        <w:rPr>
          <w:rFonts w:hint="eastAsia" w:ascii="宋体" w:hAnsi="宋体" w:eastAsia="宋体" w:cs="宋体"/>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20</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杭州萧山国际机场场区部分道路和航站楼12号门外侧路面沉降修缮项目招标文件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23</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杭州萧山国际机场场区部分道路和航站楼12号门外侧路面沉降修缮项目招标文件</w:t>
      </w:r>
      <w:r>
        <w:rPr>
          <w:rFonts w:hint="eastAsia" w:ascii="宋体" w:hAnsi="宋体" w:eastAsia="宋体" w:cs="宋体"/>
          <w:b/>
          <w:bCs/>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 xml:space="preserve">项目名称： </w:t>
      </w:r>
      <w:bookmarkStart w:id="4" w:name="_Hlk119178721"/>
      <w:r>
        <w:rPr>
          <w:rFonts w:hint="eastAsia" w:asciiTheme="minorEastAsia" w:hAnsiTheme="minorEastAsia" w:cstheme="minorEastAsia"/>
          <w:sz w:val="24"/>
          <w:szCs w:val="24"/>
          <w:u w:val="single"/>
        </w:rPr>
        <w:t>杭州萧山国际机场场区部分道路和航站楼12号门外侧路面沉降修缮项目</w:t>
      </w:r>
      <w:bookmarkEnd w:id="4"/>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2022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11</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23</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pStyle w:val="9"/>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bookmarkStart w:id="5" w:name="_Toc3775"/>
      <w:bookmarkStart w:id="6" w:name="_Toc19218"/>
      <w:r>
        <w:rPr>
          <w:rFonts w:hint="eastAsia" w:asciiTheme="minorEastAsia" w:hAnsiTheme="minorEastAsia" w:eastAsiaTheme="minorEastAsia" w:cstheme="minorEastAsia"/>
          <w:b w:val="0"/>
          <w:bCs w:val="0"/>
          <w:sz w:val="24"/>
          <w:szCs w:val="24"/>
        </w:rPr>
        <w:t>（4）</w:t>
      </w:r>
      <w:bookmarkEnd w:id="5"/>
      <w:bookmarkEnd w:id="6"/>
      <w:r>
        <w:rPr>
          <w:rFonts w:hint="eastAsia" w:asciiTheme="minorEastAsia" w:hAnsiTheme="minorEastAsia" w:eastAsiaTheme="minorEastAsia" w:cstheme="minorEastAsia"/>
          <w:b w:val="0"/>
          <w:bCs w:val="0"/>
          <w:sz w:val="24"/>
          <w:szCs w:val="24"/>
        </w:rPr>
        <w:t>本次评标采用综合评估法推荐中标候选人。</w:t>
      </w:r>
    </w:p>
    <w:p>
      <w:pPr>
        <w:widowControl/>
        <w:snapToGrid w:val="0"/>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九、发布公告的媒介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十、联系方式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bookmarkEnd w:id="28"/>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p>
    <w:p>
      <w:pPr>
        <w:pStyle w:val="9"/>
      </w:pPr>
    </w:p>
    <w:p>
      <w:pPr>
        <w:pStyle w:val="9"/>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
      <w:pPr>
        <w:pStyle w:val="9"/>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both"/>
        <w:textAlignment w:val="auto"/>
        <w:outlineLvl w:val="0"/>
        <w:rPr>
          <w:rFonts w:hint="eastAsia"/>
        </w:rPr>
      </w:pPr>
    </w:p>
    <w:bookmarkEnd w:id="2"/>
    <w:bookmarkEnd w:id="3"/>
    <w:p>
      <w:pPr>
        <w:pStyle w:val="9"/>
      </w:pPr>
      <w:bookmarkStart w:id="7" w:name="_Toc27752"/>
      <w:bookmarkStart w:id="8" w:name="_Toc448097404"/>
      <w:bookmarkStart w:id="9" w:name="_Toc24237"/>
      <w:r>
        <w:t>第</w:t>
      </w:r>
      <w:r>
        <w:rPr>
          <w:rFonts w:hint="eastAsia"/>
        </w:rPr>
        <w:t>二</w:t>
      </w:r>
      <w:r>
        <w:t xml:space="preserve">章  </w:t>
      </w:r>
      <w:r>
        <w:rPr>
          <w:rFonts w:hint="eastAsia"/>
        </w:rPr>
        <w:t>评标办法</w:t>
      </w:r>
      <w:bookmarkEnd w:id="7"/>
    </w:p>
    <w:p>
      <w:pPr>
        <w:autoSpaceDE w:val="0"/>
        <w:autoSpaceDN w:val="0"/>
        <w:adjustRightInd w:val="0"/>
        <w:spacing w:before="3" w:line="100" w:lineRule="exact"/>
        <w:jc w:val="left"/>
        <w:rPr>
          <w:rFonts w:ascii="微软雅黑" w:hAnsi="Times New Roman" w:cs="微软雅黑"/>
          <w:kern w:val="0"/>
          <w:sz w:val="10"/>
          <w:szCs w:val="10"/>
        </w:rPr>
      </w:pPr>
      <w:bookmarkStart w:id="10" w:name="_Toc31578"/>
    </w:p>
    <w:bookmarkEnd w:id="10"/>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1"/>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2" w:name="_Hlk47377053"/>
      <w:r>
        <w:rPr>
          <w:rFonts w:hint="eastAsia" w:ascii="宋体" w:hAnsi="宋体" w:cs="宋体"/>
          <w:sz w:val="22"/>
        </w:rPr>
        <w:t>经评标委员会</w:t>
      </w:r>
      <w:bookmarkStart w:id="13" w:name="_Hlk47446073"/>
      <w:r>
        <w:rPr>
          <w:rFonts w:hint="eastAsia" w:ascii="宋体" w:hAnsi="宋体" w:cs="宋体"/>
          <w:sz w:val="22"/>
        </w:rPr>
        <w:t>评审后，符合性审查不予通过，不再进行下一步评审</w:t>
      </w:r>
      <w:bookmarkEnd w:id="13"/>
      <w:r>
        <w:rPr>
          <w:rFonts w:hint="eastAsia" w:ascii="宋体" w:hAnsi="宋体" w:cs="宋体"/>
          <w:sz w:val="22"/>
        </w:rPr>
        <w:t>。</w:t>
      </w:r>
      <w:bookmarkEnd w:id="12"/>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4"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w:t>
            </w:r>
            <w:r>
              <w:rPr>
                <w:rFonts w:hint="eastAsia" w:ascii="宋体" w:hAnsi="宋体"/>
                <w:color w:val="auto"/>
                <w:sz w:val="22"/>
                <w:lang w:val="en-US" w:eastAsia="zh-CN"/>
              </w:rPr>
              <w:t>是否积极配合发包方向交管部门进行施工占道等申请程序；由于个别施工区域靠近旅客活动区域，是否采取有效措施避免对旅客秩序造成影响；</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w:t>
            </w:r>
            <w:r>
              <w:rPr>
                <w:rFonts w:hint="eastAsia" w:ascii="宋体" w:hAnsi="宋体"/>
                <w:color w:val="auto"/>
                <w:sz w:val="22"/>
                <w:lang w:val="en-US" w:eastAsia="zh-CN"/>
              </w:rPr>
              <w:t>是否提供专用清洁道路车辆；</w:t>
            </w:r>
            <w:r>
              <w:rPr>
                <w:rFonts w:hint="eastAsia" w:ascii="宋体" w:hAnsi="宋体"/>
                <w:sz w:val="22"/>
              </w:rPr>
              <w:t>是否符合机场相关道路清洁标准；各投标文件横向比较，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工期承诺及施工进度网络计划、关键节点和线路的技术保证措施是否具有针对性和可行性；现场施工不利条件和疫情对施工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解决办法；配合建设方提请施工相关报批手续；各投标文件横向比较，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投标人所使用的主要设备材料根据投标人提供的证明文件进行综合打分，优秀的得2.8-4分；良好的1.4-2.8分；一般的得0-1.4分。</w:t>
            </w:r>
          </w:p>
        </w:tc>
        <w:tc>
          <w:tcPr>
            <w:tcW w:w="851" w:type="dxa"/>
            <w:vAlign w:val="center"/>
          </w:tcPr>
          <w:p>
            <w:pPr>
              <w:jc w:val="center"/>
              <w:rPr>
                <w:rFonts w:ascii="宋体" w:hAnsi="宋体" w:cs="宋体"/>
                <w:szCs w:val="24"/>
              </w:rPr>
            </w:pPr>
            <w:r>
              <w:rPr>
                <w:rFonts w:hint="eastAsia" w:ascii="宋体" w:hAnsi="宋体" w:cs="宋体"/>
                <w:szCs w:val="24"/>
              </w:rPr>
              <w:t>0-4</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5" w:name="_Toc17411"/>
      <w:r>
        <w:rPr>
          <w:rFonts w:hint="eastAsia"/>
        </w:rPr>
        <w:t>第三章</w:t>
      </w:r>
      <w:r>
        <w:t xml:space="preserve">  </w:t>
      </w:r>
      <w:r>
        <w:rPr>
          <w:rFonts w:hint="eastAsia"/>
        </w:rPr>
        <w:t>合同条款及格式</w:t>
      </w:r>
      <w:bookmarkEnd w:id="8"/>
      <w:bookmarkEnd w:id="15"/>
      <w:bookmarkStart w:id="16" w:name="_Toc448097405"/>
    </w:p>
    <w:bookmarkEnd w:id="16"/>
    <w:p>
      <w:pPr>
        <w:spacing w:line="360" w:lineRule="exact"/>
        <w:jc w:val="center"/>
        <w:rPr>
          <w:rFonts w:asciiTheme="minorEastAsia" w:hAnsiTheme="minorEastAsia" w:cstheme="minorEastAsia"/>
          <w:b/>
          <w:bCs/>
          <w:sz w:val="32"/>
          <w:szCs w:val="32"/>
        </w:rPr>
      </w:pPr>
      <w:bookmarkStart w:id="17" w:name="_Toc448097407"/>
      <w:r>
        <w:rPr>
          <w:rFonts w:hint="eastAsia" w:asciiTheme="minorEastAsia" w:hAnsiTheme="minorEastAsia" w:cstheme="minorEastAsia"/>
          <w:b/>
          <w:bCs/>
          <w:sz w:val="32"/>
          <w:szCs w:val="32"/>
        </w:rPr>
        <w:t>杭州萧山国际机场场区部分道路和航站楼12号门外侧</w:t>
      </w:r>
    </w:p>
    <w:p>
      <w:pPr>
        <w:spacing w:line="36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路面沉降修缮项目施工合同</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233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 xml:space="preserve">    发包方（甲方）：杭州萧山国际机场有限公司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住所地：杭州萧山国际机场内</w:t>
      </w:r>
    </w:p>
    <w:p>
      <w:pPr>
        <w:spacing w:line="400" w:lineRule="exact"/>
        <w:ind w:firstLine="480" w:firstLineChars="200"/>
        <w:rPr>
          <w:rFonts w:asciiTheme="minorEastAsia" w:hAnsiTheme="minorEastAsia" w:cstheme="minorEastAsia"/>
          <w:sz w:val="24"/>
          <w:szCs w:val="24"/>
        </w:rPr>
      </w:pP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5004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00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承包方（乙方）：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按照《中华人民共和国民法典》和《中华人民共和国建筑法》的规定，结合本工程具体情况，双方达成如下协议。</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工程概况</w:t>
      </w:r>
    </w:p>
    <w:p>
      <w:pPr>
        <w:spacing w:line="400" w:lineRule="exact"/>
        <w:ind w:left="2159" w:leftChars="228" w:hanging="1680" w:hangingChars="700"/>
        <w:rPr>
          <w:rFonts w:asciiTheme="minorEastAsia" w:hAnsiTheme="minorEastAsia" w:cstheme="minorEastAsia"/>
          <w:sz w:val="24"/>
          <w:szCs w:val="24"/>
        </w:rPr>
      </w:pPr>
      <w:r>
        <w:rPr>
          <w:rFonts w:hint="eastAsia" w:asciiTheme="minorEastAsia" w:hAnsiTheme="minorEastAsia" w:cstheme="minorEastAsia"/>
          <w:sz w:val="24"/>
          <w:szCs w:val="24"/>
        </w:rPr>
        <w:t xml:space="preserve">1.1工程名称：杭州萧山国际机场场区部分道路和航站楼12号门外侧路面沉降修缮项目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1.2工程地点：杭州萧山国际机场内</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1.3承包范围：对P3停车场核酸监测点出口区域柏油路面、浙航路和航站楼12号门外侧混凝土路面的破损、沉降处进行临时性修补。</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1.4承包方式：包工包料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1.5工期：工程具体开工日期以发包人书面指示为准，工期</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日历天。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1.6工程质量：</w:t>
      </w:r>
      <w:r>
        <w:rPr>
          <w:rFonts w:hint="eastAsia" w:asciiTheme="minorEastAsia" w:hAnsiTheme="minorEastAsia" w:cstheme="minorEastAsia"/>
          <w:kern w:val="0"/>
          <w:sz w:val="24"/>
          <w:szCs w:val="24"/>
          <w:u w:val="single"/>
        </w:rPr>
        <w:t>工程达到符合国家施工验收规范规定的合格标准，确保一次性验收合格。</w:t>
      </w:r>
    </w:p>
    <w:p>
      <w:pPr>
        <w:spacing w:line="400" w:lineRule="exact"/>
        <w:ind w:firstLine="48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7462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462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1.7合同暂定价款（人民币大写）：</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甲方工作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2.1开工前</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天，向乙方提供经确认的设计方案图纸或做法说明</w:t>
      </w:r>
      <w:r>
        <w:rPr>
          <w:rFonts w:hint="eastAsia" w:asciiTheme="minorEastAsia" w:hAnsiTheme="minorEastAsia" w:cstheme="minorEastAsia"/>
          <w:sz w:val="24"/>
          <w:szCs w:val="24"/>
          <w:u w:val="single"/>
        </w:rPr>
        <w:t>1</w:t>
      </w:r>
      <w:r>
        <w:rPr>
          <w:rFonts w:hint="eastAsia" w:asciiTheme="minorEastAsia" w:hAnsiTheme="minorEastAsia" w:cstheme="minorEastAsia"/>
          <w:sz w:val="24"/>
          <w:szCs w:val="24"/>
        </w:rPr>
        <w:t>份，并向乙方进行现场交底。</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2.2甲方组织施工方案和进度计划的审查工作。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2.4甲方配合乙方施工所需水、电接入的工作，并说明使用注意事项。办理施工所涉及的各种申请、批件等手续。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2.5甲方指派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为甲方项目负责人，负责合同履行。对工程安全、质量、进度以及造价进行监督检查，办理验收、变更、登记手续和其他事宜。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2.6甲方委托</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监理公司进行工程监理，监理公司任命</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为总监理工程师，其职责在监理合同中应明确，并将合同副本交乙方</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2.7如确实需要拆改原建筑物结构或设备管线，甲方负责到有关部门办理相应审批手续。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2.8协调有关部门做好现场保卫、消防、垃圾处理等工作。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2.9组织工程竣工验收以及办理工程竣工结算审核工作。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2.10项目所涉及项目工程造价的移交送审工作，由监理单位或甲方代表协助建设单位预决算员办理。</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乙方工作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3.2乙方指派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身份证号</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为乙方项目负责人，负责合同履行。按要求组织施工，保质、保量、按期完成施工任务，解决由乙方负责的各项事宜。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3.3乙方应严格执行施工规范、安全操作规程、防火安全规定、环境保护规定。严格按照图纸或作法说明进行施工，做好各项质量检查记录。</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3.5乙方须按相关要求及时报送竣工结算资料，配合甲方完成工程竣工结算审核工作。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3.7施工中未经甲方同意或有关部门批准，乙方不得随意拆改或损坏原建筑物结构及各种设备管线。</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3.8工程竣工未移交甲方之前，负责对现场的一切设施和工程成品进行保护，并承担风险和费用。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第四条 关于工期的约定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4.1甲方要求比合同约定的工期提前竣工时，应征得乙方同意，并支付乙方因赶工采取的措施费用。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4.2因甲方未按约定完成工作，影响工期，则工期相应顺延。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4.4因涉及甲方要求的设计或工程量变更或非乙方原因造成的停电、停水、停气及不可抗力因素影响，导致停工</w:t>
      </w:r>
      <w:r>
        <w:rPr>
          <w:rFonts w:hint="eastAsia" w:asciiTheme="minorEastAsia" w:hAnsiTheme="minorEastAsia" w:cstheme="minorEastAsia"/>
          <w:sz w:val="24"/>
          <w:szCs w:val="24"/>
          <w:u w:val="single"/>
        </w:rPr>
        <w:t>8</w:t>
      </w:r>
      <w:r>
        <w:rPr>
          <w:rFonts w:hint="eastAsia" w:asciiTheme="minorEastAsia" w:hAnsiTheme="minorEastAsia" w:cstheme="minorEastAsia"/>
          <w:sz w:val="24"/>
          <w:szCs w:val="24"/>
        </w:rPr>
        <w:t>小时以上（一周内累计计算），工期相应顺延。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第五条 关于工程质量及验收的约定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5.1本工程以做法说明、设计变更等国家制定的施工及验收规范为质量评定验收标准。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5.2本工程质量应达到国家质量评定合格标准。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5.3由于乙方提供的材料、设备质量不合格而影响工程质量，其返工费用由乙方承担，工期不顺延。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5.4由于乙方原因造成质量事故，其返工费用由乙方承担，工期不顺延。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5.5工程竣工后，乙方应通知甲方验收，甲方自接到验收通知</w:t>
      </w:r>
      <w:r>
        <w:rPr>
          <w:rFonts w:hint="eastAsia" w:asciiTheme="minorEastAsia" w:hAnsiTheme="minorEastAsia" w:cstheme="minorEastAsia"/>
          <w:sz w:val="24"/>
          <w:szCs w:val="24"/>
          <w:u w:val="single"/>
        </w:rPr>
        <w:t>3</w:t>
      </w:r>
      <w:r>
        <w:rPr>
          <w:rFonts w:hint="eastAsia" w:asciiTheme="minorEastAsia" w:hAnsiTheme="minorEastAsia" w:cstheme="minorEastAsia"/>
          <w:sz w:val="24"/>
          <w:szCs w:val="24"/>
        </w:rPr>
        <w:t>日内组织验收，并办理验收、移交手续。如甲方在规定时间内未能组织验收，需及时通知乙方，另定验收日期。</w:t>
      </w:r>
    </w:p>
    <w:p>
      <w:pPr>
        <w:numPr>
          <w:ilvl w:val="0"/>
          <w:numId w:val="6"/>
        </w:num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关于工程价款及结算的约定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6.1双方商定本合同价款采用第</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种：</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（1）固定总价。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（2）固定单价。可调价格按</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规则计算。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6.2工程竣工验收后，乙方提出工程结算申请并将有关资料送交甲方。甲方按照以下方式办理款项支付：</w:t>
      </w:r>
      <w:bookmarkStart w:id="18" w:name="_Hlk47444557"/>
    </w:p>
    <w:bookmarkEnd w:id="18"/>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b/>
          <w:bCs/>
          <w:sz w:val="24"/>
          <w:szCs w:val="24"/>
        </w:rPr>
      </w:pPr>
      <w:r>
        <w:rPr>
          <w:rFonts w:hint="eastAsia" w:asciiTheme="minorEastAsia" w:hAnsiTheme="minorEastAsia" w:cstheme="minorEastAsia"/>
          <w:sz w:val="24"/>
          <w:szCs w:val="24"/>
        </w:rPr>
        <w:t>工程竣工验收通过并完成工程结算，经发包人认可后30天内，发包人向承包人支付至结算价的97%；结算价的3%留作质量保证金，待缺陷责任期满后无利息支付。</w:t>
      </w:r>
    </w:p>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6.3甲方提出工程变更和签证的费用，由乙方在施工前提出并补充编制工料单价预算书。变更估价时，工程量清单中有的项目单价</w:t>
      </w:r>
      <w:bookmarkStart w:id="19" w:name="_Hlk119178570"/>
      <w:r>
        <w:rPr>
          <w:rFonts w:hint="eastAsia" w:asciiTheme="minorEastAsia" w:hAnsiTheme="minorEastAsia" w:cstheme="minorEastAsia"/>
          <w:sz w:val="24"/>
          <w:szCs w:val="24"/>
        </w:rPr>
        <w:t>，按乙方投标工程量清单中该项综合单价计取</w:t>
      </w:r>
      <w:bookmarkEnd w:id="19"/>
      <w:r>
        <w:rPr>
          <w:rFonts w:hint="eastAsia" w:asciiTheme="minorEastAsia" w:hAnsiTheme="minorEastAsia" w:cstheme="minorEastAsia"/>
          <w:sz w:val="24"/>
          <w:szCs w:val="24"/>
        </w:rPr>
        <w:t>；工程量清单中无适用的项目单价，套用浙江省2018定额，按分部分项工程费+规费+税金计取；不能套用浙江省2018定额的项目，可按照成本加利润的原则，承包人与发包人协商后执行。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第七条 关于材料供应的约定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7.2凡由乙方采购的材料、设备，如不符合质量要求或规格有差异，应禁止使用。若已使用，对工程造成的损失由乙方负责。</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第八条 有关安全生产和防火的约定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8.1甲方提供的施工图纸或作法说明，应符合《中华人民共和国消防法》和有关防火设计规范。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第九条 违约责任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9.1由于乙方原因，逾期竣工，每逾期一天，乙方支付甲方</w:t>
      </w:r>
      <w:r>
        <w:rPr>
          <w:rFonts w:hint="eastAsia" w:asciiTheme="minorEastAsia" w:hAnsiTheme="minorEastAsia" w:cstheme="minorEastAsia"/>
          <w:sz w:val="24"/>
          <w:szCs w:val="24"/>
          <w:u w:val="single"/>
        </w:rPr>
        <w:t>壹万元</w:t>
      </w:r>
      <w:r>
        <w:rPr>
          <w:rFonts w:hint="eastAsia" w:asciiTheme="minorEastAsia" w:hAnsiTheme="minorEastAsia" w:cstheme="minorEastAsia"/>
          <w:sz w:val="24"/>
          <w:szCs w:val="24"/>
        </w:rPr>
        <w:t>违约金；甲方有权终止合同，并保留对乙方追溯赔偿其他一切损失的权利。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9.2乙方应妥善保护甲方提供的设备及现场堆放的家具、陈设和工程成品，如造成损失，应照价赔偿。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9.4除本合同另有约定外，任何一方违约应当就因此给对方造成的损失承担赔偿责任。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第十条 争议或纠纷处理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 xml:space="preserve"> 第十一条 附则</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11.1本工程保修事宜由双方签订保修协议。</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11.2本合同一共</w:t>
      </w:r>
      <w:r>
        <w:rPr>
          <w:rFonts w:hint="eastAsia" w:asciiTheme="minorEastAsia" w:hAnsiTheme="minorEastAsia" w:cstheme="minorEastAsia"/>
          <w:sz w:val="24"/>
          <w:szCs w:val="24"/>
          <w:u w:val="single"/>
        </w:rPr>
        <w:t>陆</w:t>
      </w:r>
      <w:r>
        <w:rPr>
          <w:rFonts w:hint="eastAsia" w:asciiTheme="minorEastAsia" w:hAnsiTheme="minorEastAsia" w:cstheme="minorEastAsia"/>
          <w:sz w:val="24"/>
          <w:szCs w:val="24"/>
        </w:rPr>
        <w:t>份，甲乙双方各执</w:t>
      </w:r>
      <w:r>
        <w:rPr>
          <w:rFonts w:hint="eastAsia" w:asciiTheme="minorEastAsia" w:hAnsiTheme="minorEastAsia" w:cstheme="minorEastAsia"/>
          <w:sz w:val="24"/>
          <w:szCs w:val="24"/>
          <w:u w:val="single"/>
        </w:rPr>
        <w:t>叁</w:t>
      </w:r>
      <w:r>
        <w:rPr>
          <w:rFonts w:hint="eastAsia" w:asciiTheme="minorEastAsia" w:hAnsiTheme="minorEastAsia" w:cstheme="minorEastAsia"/>
          <w:sz w:val="24"/>
          <w:szCs w:val="24"/>
        </w:rPr>
        <w:t>份，具有同等法律效力。</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11.3本合同履行完成后自动终止。   </w:t>
      </w:r>
    </w:p>
    <w:p>
      <w:pPr>
        <w:spacing w:line="400" w:lineRule="exact"/>
        <w:ind w:left="480"/>
        <w:rPr>
          <w:rFonts w:asciiTheme="minorEastAsia" w:hAnsiTheme="minorEastAsia" w:cstheme="minorEastAsia"/>
          <w:b/>
          <w:sz w:val="24"/>
          <w:szCs w:val="24"/>
        </w:rPr>
      </w:pPr>
      <w:r>
        <w:rPr>
          <w:rFonts w:hint="eastAsia" w:asciiTheme="minorEastAsia" w:hAnsiTheme="minorEastAsia" w:cstheme="minorEastAsia"/>
          <w:sz w:val="24"/>
          <w:szCs w:val="24"/>
        </w:rPr>
        <w:t>11.4本合同包含以下附件，附件与本合同具有同等法律效力。</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工程质量保修书</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安全文明施工协议书  </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疫情防控责任书</w:t>
      </w:r>
    </w:p>
    <w:p>
      <w:pPr>
        <w:tabs>
          <w:tab w:val="right" w:pos="8306"/>
        </w:tabs>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甲方：杭州萧山国际机场有限公司  乙方：</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地址：杭州萧山国际机场内        地址：</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法定代表人：                     法定代表人：</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或                               或</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授权代表：                       授权代表：</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 xml:space="preserve">签字日期：                       签字日期： </w:t>
      </w:r>
    </w:p>
    <w:p>
      <w:pPr>
        <w:adjustRightInd w:val="0"/>
        <w:snapToGrid w:val="0"/>
        <w:spacing w:line="400" w:lineRule="exact"/>
        <w:ind w:left="902" w:leftChars="200" w:hanging="482" w:hangingChars="200"/>
        <w:rPr>
          <w:rFonts w:asciiTheme="minorEastAsia" w:hAnsiTheme="minorEastAsia" w:cstheme="minorEastAsia"/>
          <w:b/>
          <w:sz w:val="24"/>
          <w:szCs w:val="24"/>
        </w:rPr>
      </w:pPr>
    </w:p>
    <w:p>
      <w:pPr>
        <w:adjustRightInd w:val="0"/>
        <w:snapToGrid w:val="0"/>
        <w:spacing w:line="400" w:lineRule="exact"/>
        <w:ind w:left="1320" w:leftChars="4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年  月  日                      年  月  日</w:t>
      </w:r>
    </w:p>
    <w:p>
      <w:pPr>
        <w:pageBreakBefore/>
        <w:adjustRightInd w:val="0"/>
        <w:snapToGrid w:val="0"/>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附件一：</w:t>
      </w:r>
    </w:p>
    <w:p>
      <w:pPr>
        <w:spacing w:line="36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发包人（全称）：杭州萧山国际机场有限公司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承包人（全称）：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rPr>
        <w:t>杭州萧山国际机场场区部分道路和航站楼12号门外侧路面沉降修缮项目</w:t>
      </w:r>
      <w:r>
        <w:rPr>
          <w:rFonts w:hint="eastAsia" w:asciiTheme="minorEastAsia" w:hAnsiTheme="minorEastAsia" w:cstheme="minorEastAsia"/>
          <w:sz w:val="24"/>
          <w:szCs w:val="24"/>
        </w:rPr>
        <w:t>（工程全称）签订工程质量保修书。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一、工程质量保修范围和内容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承包人在质量保修期内，按照有关法律规定和合同约定，承担工程质量保修责任。</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本次工程所涉及的所有内容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二、质量保修期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根据《建设工程质量管理条例》及有关规定，工程的质量保修期如下：</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1．桥梁工程为</w:t>
      </w:r>
      <w:r>
        <w:rPr>
          <w:rFonts w:hint="eastAsia" w:asciiTheme="minorEastAsia" w:hAnsiTheme="minorEastAsia" w:cstheme="minorEastAsia"/>
          <w:sz w:val="24"/>
          <w:szCs w:val="24"/>
        </w:rPr>
        <w:tab/>
      </w:r>
      <w:r>
        <w:rPr>
          <w:rFonts w:hint="eastAsia" w:asciiTheme="minorEastAsia" w:hAnsiTheme="minorEastAsia" w:cstheme="minorEastAsia"/>
          <w:sz w:val="24"/>
          <w:szCs w:val="24"/>
        </w:rPr>
        <w:t>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2．道路工程为</w:t>
      </w:r>
      <w:r>
        <w:rPr>
          <w:rFonts w:hint="eastAsia" w:asciiTheme="minorEastAsia" w:hAnsiTheme="minorEastAsia" w:cstheme="minorEastAsia"/>
          <w:sz w:val="24"/>
          <w:szCs w:val="24"/>
        </w:rPr>
        <w:tab/>
      </w:r>
      <w:r>
        <w:rPr>
          <w:rFonts w:hint="eastAsia" w:asciiTheme="minorEastAsia" w:hAnsiTheme="minorEastAsia" w:cstheme="minorEastAsia"/>
          <w:sz w:val="24"/>
          <w:szCs w:val="24"/>
        </w:rPr>
        <w:t>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3．地基处理工程为2年；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4．排水（雨水）工程为2年；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5．绿化工程为2年；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6．其他附属工程为 2 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7．其他项目保修期限约定如下：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质量保修期自工程竣工验收合格之日起计算。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三、缺陷责任期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工程缺陷责任期为</w:t>
      </w:r>
      <w:r>
        <w:rPr>
          <w:rFonts w:hint="eastAsia" w:asciiTheme="minorEastAsia" w:hAnsiTheme="minorEastAsia" w:cstheme="minorEastAsia"/>
          <w:sz w:val="24"/>
          <w:szCs w:val="24"/>
          <w:u w:val="single"/>
          <w:lang w:val="en-US" w:eastAsia="zh-CN"/>
        </w:rPr>
        <w:t>12</w:t>
      </w:r>
      <w:r>
        <w:rPr>
          <w:rFonts w:hint="eastAsia" w:asciiTheme="minorEastAsia" w:hAnsiTheme="minorEastAsia" w:cstheme="minorEastAsia"/>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cstheme="minorEastAsia"/>
          <w:sz w:val="24"/>
          <w:szCs w:val="24"/>
          <w:u w:val="single"/>
        </w:rPr>
        <w:t>15</w:t>
      </w:r>
      <w:r>
        <w:rPr>
          <w:rFonts w:hint="eastAsia" w:asciiTheme="minorEastAsia" w:hAnsiTheme="minorEastAsia" w:cstheme="minorEastAsia"/>
          <w:sz w:val="24"/>
          <w:szCs w:val="24"/>
        </w:rPr>
        <w:t>天内无息返还质保金。</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四、质量保修责任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1．属于保修范围、内容的项目，承包人应当在接到保修通知之日起</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2．发生紧急事故需抢修的，承包人在接到事故通知后，应当立即到达事故现场进行持续抢修直至修复。</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五、保修费用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保修费用由造成质量缺陷的责任方承担；对责任方的确定产生疑问或争议的，依发包人委托的鉴定机构所出具的独立报告来确定。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六、双方约定的其他工程质量保修事项：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1、在承包人人员到达之前，发包人可采取适当的应急措施，费用由承包人承担。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a．紧急抢修事故时，为避免损失进一步扩大；</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b．直接影响到工程正常运行或危害人身财产及财产安全时；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发包人(公章)：                     承包人(公章)：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pageBreakBefore/>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附件二：</w:t>
      </w:r>
    </w:p>
    <w:p>
      <w:pPr>
        <w:tabs>
          <w:tab w:val="left" w:pos="540"/>
        </w:tabs>
        <w:topLinePunct/>
        <w:spacing w:line="360" w:lineRule="exact"/>
        <w:ind w:firstLine="723"/>
        <w:jc w:val="center"/>
        <w:rPr>
          <w:rFonts w:asciiTheme="minorEastAsia" w:hAnsiTheme="minorEastAsia" w:cstheme="minorEastAsia"/>
          <w:b/>
          <w:sz w:val="24"/>
          <w:szCs w:val="24"/>
        </w:rPr>
      </w:pPr>
      <w:r>
        <w:rPr>
          <w:rFonts w:hint="eastAsia" w:asciiTheme="minorEastAsia" w:hAnsiTheme="minorEastAsia" w:cstheme="minorEastAsia"/>
          <w:b/>
          <w:sz w:val="24"/>
          <w:szCs w:val="24"/>
        </w:rPr>
        <w:t>安全文明施工协议书</w:t>
      </w:r>
    </w:p>
    <w:p>
      <w:pPr>
        <w:spacing w:line="360" w:lineRule="exact"/>
        <w:rPr>
          <w:rFonts w:asciiTheme="minorEastAsia" w:hAnsiTheme="minorEastAsia" w:cstheme="minorEastAsia"/>
          <w:b/>
          <w:sz w:val="24"/>
          <w:szCs w:val="24"/>
        </w:rPr>
      </w:pPr>
      <w:r>
        <w:rPr>
          <w:rFonts w:hint="eastAsia" w:asciiTheme="minorEastAsia" w:hAnsiTheme="minorEastAsia" w:cstheme="minorEastAsia"/>
          <w:b/>
          <w:sz w:val="24"/>
          <w:szCs w:val="24"/>
        </w:rPr>
        <w:t>发包人（发包人）：</w:t>
      </w:r>
      <w:r>
        <w:rPr>
          <w:rFonts w:hint="eastAsia" w:asciiTheme="minorEastAsia" w:hAnsiTheme="minorEastAsia" w:cstheme="minorEastAsia"/>
          <w:b/>
          <w:sz w:val="24"/>
          <w:szCs w:val="24"/>
          <w:u w:val="single"/>
        </w:rPr>
        <w:t>杭州萧山国际机场有限公司</w:t>
      </w:r>
    </w:p>
    <w:p>
      <w:pPr>
        <w:spacing w:line="360" w:lineRule="exact"/>
        <w:rPr>
          <w:rFonts w:asciiTheme="minorEastAsia" w:hAnsiTheme="minorEastAsia" w:cstheme="minorEastAsia"/>
          <w:b/>
          <w:sz w:val="24"/>
          <w:szCs w:val="24"/>
          <w:u w:val="single"/>
        </w:rPr>
      </w:pPr>
      <w:r>
        <w:rPr>
          <w:rFonts w:hint="eastAsia" w:asciiTheme="minorEastAsia" w:hAnsiTheme="minorEastAsia" w:cstheme="minorEastAsia"/>
          <w:b/>
          <w:sz w:val="24"/>
          <w:szCs w:val="24"/>
        </w:rPr>
        <w:t>承包人（承包人）：</w:t>
      </w:r>
      <w:r>
        <w:rPr>
          <w:rFonts w:hint="eastAsia" w:asciiTheme="minorEastAsia" w:hAnsiTheme="minorEastAsia" w:cstheme="minorEastAsia"/>
          <w:b/>
          <w:sz w:val="24"/>
          <w:szCs w:val="24"/>
          <w:u w:val="single"/>
        </w:rPr>
        <w:t xml:space="preserve">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为确保</w:t>
      </w:r>
      <w:r>
        <w:rPr>
          <w:rFonts w:hint="eastAsia" w:asciiTheme="minorEastAsia" w:hAnsiTheme="minorEastAsia" w:cstheme="minorEastAsia"/>
          <w:b/>
          <w:sz w:val="24"/>
          <w:szCs w:val="24"/>
          <w:u w:val="single"/>
        </w:rPr>
        <w:t>杭州萧山国际机场场区部分道路和航站楼12号门外侧路面沉降修缮项目</w:t>
      </w:r>
      <w:r>
        <w:rPr>
          <w:rFonts w:hint="eastAsia" w:asciiTheme="minorEastAsia" w:hAnsi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一、发包人对承包人实行安全目标管理，安全目标的具体内容是</w:t>
      </w:r>
      <w:r>
        <w:rPr>
          <w:rFonts w:hint="eastAsia" w:asciiTheme="minorEastAsia" w:hAnsiTheme="minorEastAsia" w:cstheme="minorEastAsia"/>
          <w:sz w:val="24"/>
          <w:szCs w:val="24"/>
        </w:rPr>
        <w:t>：</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1、无死亡事故和重大伤害事故(含道路交通事故)。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2、无重大责任事故。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3、无空防安全事故。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4、无七类重大刑事案件(杀人、绑架、强奸、放火、爆炸、劫持、故意伤害致死)及其它严重、恶性案件。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上述情况的认定按国家和行业的有关规定和标准执行。</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二、发包人的协助责任和权利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5、不得对承包人提出违反国家法律、法规和强制性标准规定的要求。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9、利用施工例会定期分析和掌握施工单位的治安情况，通报当前治安形势，交流工作经验，协助处理相关问题。</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10、承包人拒不按照本协议条款规定组织安全文明施工的，发包人有权责令承包人停工整改直至终止合同。</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11、发包人有权对承包人各项安全工作进行监督、检查。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三、承包人的安全责任和权利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（一）承包人应从事的施工安全管理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w:t>
      </w:r>
      <w:r>
        <w:rPr>
          <w:rFonts w:hint="eastAsia" w:asciiTheme="minorEastAsia" w:hAnsiTheme="minorEastAsia" w:cstheme="minorEastAsia"/>
          <w:sz w:val="24"/>
          <w:szCs w:val="24"/>
          <w:lang w:val="en-US" w:eastAsia="zh-CN"/>
        </w:rPr>
        <w:t>当</w:t>
      </w:r>
      <w:r>
        <w:rPr>
          <w:rFonts w:hint="eastAsia" w:asciiTheme="minorEastAsia" w:hAnsiTheme="minorEastAsia" w:cstheme="minorEastAsia"/>
          <w:sz w:val="24"/>
          <w:szCs w:val="24"/>
        </w:rPr>
        <w:t>及时、如实报告和积极应对。对工程依法实行总分包制，总包单位对施工安全负总责，并以安全责任书的方式确定各分包单位的安全责任。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15、工程开工前，应完成安全生产规章制度和操作规程等相应规章的制定工作；成立由项目</w:t>
      </w:r>
      <w:r>
        <w:rPr>
          <w:rFonts w:hint="eastAsia" w:asciiTheme="minorEastAsia" w:hAnsiTheme="minorEastAsia" w:cstheme="minorEastAsia"/>
          <w:sz w:val="24"/>
          <w:szCs w:val="24"/>
          <w:lang w:val="en-US" w:eastAsia="zh-CN"/>
        </w:rPr>
        <w:t>负责人</w:t>
      </w:r>
      <w:r>
        <w:rPr>
          <w:rFonts w:hint="eastAsia" w:asciiTheme="minorEastAsia" w:hAnsiTheme="minorEastAsia" w:cstheme="minorEastAsia"/>
          <w:sz w:val="24"/>
          <w:szCs w:val="24"/>
        </w:rPr>
        <w:t>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21、应当向作业人员提供安全防护用具和安全防护服装，并书面告知危险岗位的操作规程及违章操作所产生的危害。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24、在采用新技术、新工艺、新设备、新材料时，应当对作业人员进行相应的安全生产教育培训。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（二）承包人应从事的空防安全管理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（三）承包人应从事的不停航施工项目安全管理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实行不停航施工的区域，开挖的明沟和施工材料堆放处，必须根据发包人要求用橘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（四）承包人的文明施工责任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（五）承包人应从事的社会治安综合治理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39、认真排查、调处各类矛盾，及时消除隐患，杜绝各类社会矛盾引发的群体性事件的发生。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（六）承包人应从事的消防安全管理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43、施工中使用明火，使用电、气进行焊接和切割作业，须经机场公安消防管理部门审查批准，未经批准一律不得使用。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44、加强对施工人员进行消防安全教育，使其熟悉本岗位防火措施、遇险报警、初期扑救及自救逃生的知识和技能。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（七）承包人应从事的交通安全管理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w:t>
      </w:r>
      <w:r>
        <w:rPr>
          <w:rFonts w:hint="eastAsia" w:asciiTheme="minorEastAsia" w:hAnsiTheme="minorEastAsia" w:cstheme="minorEastAsia"/>
          <w:sz w:val="24"/>
          <w:szCs w:val="24"/>
          <w:lang w:val="en-US" w:eastAsia="zh-CN"/>
        </w:rPr>
        <w:t>的</w:t>
      </w:r>
      <w:r>
        <w:rPr>
          <w:rFonts w:hint="eastAsia" w:asciiTheme="minorEastAsia" w:hAnsiTheme="minorEastAsia" w:cstheme="minorEastAsia"/>
          <w:sz w:val="24"/>
          <w:szCs w:val="24"/>
        </w:rPr>
        <w:t>发生，禁止严重影响交通安全的违法行为（如超载、超速、酒后驾驶、逆向行驶等）。</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四、违约责任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51、严禁因承包人行为导致发生飞行事故征侯，违者扣合同总款的</w:t>
      </w:r>
      <w:r>
        <w:rPr>
          <w:rFonts w:hint="eastAsia" w:asciiTheme="minorEastAsia" w:hAnsiTheme="minorEastAsia" w:cstheme="minorEastAsia"/>
          <w:sz w:val="24"/>
          <w:szCs w:val="24"/>
          <w:u w:val="single"/>
        </w:rPr>
        <w:t>20%</w:t>
      </w:r>
      <w:r>
        <w:rPr>
          <w:rFonts w:hint="eastAsia" w:asciiTheme="minorEastAsia" w:hAnsiTheme="minorEastAsia" w:cstheme="minorEastAsia"/>
          <w:sz w:val="24"/>
          <w:szCs w:val="24"/>
        </w:rPr>
        <w:t>，如发生飞行事故扣合同总款</w:t>
      </w:r>
      <w:r>
        <w:rPr>
          <w:rFonts w:hint="eastAsia" w:asciiTheme="minorEastAsia" w:hAnsiTheme="minorEastAsia" w:cstheme="minorEastAsia"/>
          <w:sz w:val="24"/>
          <w:szCs w:val="24"/>
          <w:u w:val="single"/>
        </w:rPr>
        <w:t>50％</w:t>
      </w:r>
      <w:r>
        <w:rPr>
          <w:rFonts w:hint="eastAsia" w:asciiTheme="minorEastAsia" w:hAnsiTheme="minorEastAsia" w:cstheme="minorEastAsia"/>
          <w:sz w:val="24"/>
          <w:szCs w:val="24"/>
        </w:rPr>
        <w:t>，并追究法律责任。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五、本协议书附于</w:t>
      </w:r>
      <w:r>
        <w:rPr>
          <w:rFonts w:hint="eastAsia" w:asciiTheme="minorEastAsia" w:hAnsiTheme="minorEastAsia" w:cstheme="minorEastAsia"/>
          <w:sz w:val="24"/>
          <w:szCs w:val="24"/>
          <w:u w:val="single"/>
        </w:rPr>
        <w:t>《杭州萧山国际机场场区部分道路和航站楼12号门外侧路面沉降修缮项目施工合同》</w:t>
      </w:r>
      <w:r>
        <w:rPr>
          <w:rFonts w:hint="eastAsia" w:asciiTheme="minorEastAsia" w:hAnsiTheme="minorEastAsia" w:cstheme="minorEastAsia"/>
          <w:sz w:val="24"/>
          <w:szCs w:val="24"/>
        </w:rPr>
        <w:t>后，由甲乙双方共同盖章后生效。</w:t>
      </w:r>
    </w:p>
    <w:p>
      <w:pPr>
        <w:adjustRightInd w:val="0"/>
        <w:snapToGrid w:val="0"/>
        <w:spacing w:line="36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五、附则：</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（二）本责任书解释权归发包人。</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（三）本责任书由甲乙双方共同盖章后生效。</w:t>
      </w:r>
    </w:p>
    <w:p>
      <w:pPr>
        <w:adjustRightInd w:val="0"/>
        <w:snapToGrid w:val="0"/>
        <w:spacing w:line="3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发包人：                                          承包人： </w:t>
      </w:r>
    </w:p>
    <w:p>
      <w:pPr>
        <w:spacing w:line="360" w:lineRule="exact"/>
        <w:rPr>
          <w:rFonts w:asciiTheme="minorEastAsia" w:hAnsiTheme="minorEastAsia" w:cstheme="minorEastAsia"/>
          <w:sz w:val="24"/>
          <w:szCs w:val="24"/>
        </w:rPr>
      </w:pPr>
      <w:r>
        <w:rPr>
          <w:rFonts w:hint="eastAsia" w:asciiTheme="minorEastAsia" w:hAnsiTheme="minorEastAsia" w:cstheme="minorEastAsia"/>
          <w:bCs/>
          <w:sz w:val="24"/>
          <w:szCs w:val="24"/>
        </w:rPr>
        <w:t xml:space="preserve"> </w:t>
      </w:r>
      <w:r>
        <w:rPr>
          <w:rFonts w:hint="eastAsia" w:asciiTheme="minorEastAsia" w:hAnsiTheme="minorEastAsia" w:cstheme="minorEastAsia"/>
          <w:b/>
          <w:sz w:val="24"/>
          <w:szCs w:val="24"/>
        </w:rPr>
        <w:t xml:space="preserve"> </w:t>
      </w:r>
    </w:p>
    <w:p>
      <w:pPr>
        <w:pageBreakBefore/>
        <w:jc w:val="left"/>
        <w:rPr>
          <w:rFonts w:ascii="宋体" w:hAnsi="宋体" w:cs="宋体"/>
          <w:sz w:val="22"/>
        </w:rPr>
      </w:pPr>
      <w:r>
        <w:rPr>
          <w:rFonts w:hint="eastAsia" w:ascii="宋体" w:hAnsi="宋体" w:cs="宋体"/>
          <w:sz w:val="22"/>
        </w:rPr>
        <w:t>附件三：</w:t>
      </w:r>
    </w:p>
    <w:p>
      <w:pPr>
        <w:jc w:val="center"/>
        <w:rPr>
          <w:rFonts w:ascii="宋体" w:hAnsi="宋体" w:eastAsia="宋体" w:cs="宋体"/>
          <w:b/>
          <w:bCs/>
          <w:sz w:val="22"/>
        </w:rPr>
      </w:pPr>
      <w:r>
        <w:rPr>
          <w:rFonts w:hint="eastAsia" w:ascii="宋体" w:hAnsi="宋体" w:eastAsia="宋体" w:cs="宋体"/>
          <w:b/>
          <w:bCs/>
          <w:sz w:val="22"/>
        </w:rPr>
        <w:t>疫情防控责任书</w:t>
      </w:r>
    </w:p>
    <w:p>
      <w:pPr>
        <w:rPr>
          <w:rFonts w:ascii="宋体" w:hAnsi="宋体" w:eastAsia="宋体" w:cs="宋体"/>
          <w:sz w:val="22"/>
        </w:rPr>
      </w:pPr>
    </w:p>
    <w:p>
      <w:pPr>
        <w:spacing w:line="360" w:lineRule="exact"/>
        <w:ind w:firstLine="440" w:firstLineChars="200"/>
        <w:rPr>
          <w:rFonts w:ascii="宋体" w:hAnsi="宋体" w:eastAsia="宋体" w:cs="宋体"/>
          <w:sz w:val="22"/>
        </w:rPr>
      </w:pPr>
      <w:r>
        <w:rPr>
          <w:rFonts w:hint="eastAsia" w:ascii="宋体" w:hAnsi="宋体" w:eastAsia="宋体" w:cs="宋体"/>
          <w:sz w:val="22"/>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spacing w:line="360" w:lineRule="exact"/>
        <w:ind w:firstLine="440" w:firstLineChars="200"/>
        <w:rPr>
          <w:rFonts w:ascii="宋体" w:hAnsi="宋体" w:eastAsia="宋体" w:cs="宋体"/>
          <w:sz w:val="22"/>
        </w:rPr>
      </w:pPr>
      <w:r>
        <w:rPr>
          <w:rFonts w:hint="eastAsia" w:ascii="宋体" w:hAnsi="宋体" w:eastAsia="宋体" w:cs="宋体"/>
          <w:sz w:val="22"/>
        </w:rPr>
        <w:t>【】公司按照以下条款严格管理，【】公司的法定代表人为疫情防控承担者，承担疫情防控责任。机场公司所属【】部门有权对乙方管理情况进行监督。</w:t>
      </w:r>
    </w:p>
    <w:p>
      <w:pPr>
        <w:spacing w:line="360" w:lineRule="exact"/>
        <w:ind w:firstLine="440" w:firstLineChars="200"/>
        <w:rPr>
          <w:rFonts w:ascii="宋体" w:hAnsi="宋体" w:eastAsia="宋体" w:cs="宋体"/>
          <w:sz w:val="22"/>
        </w:rPr>
      </w:pPr>
      <w:r>
        <w:rPr>
          <w:rFonts w:hint="eastAsia" w:ascii="宋体" w:hAnsi="宋体" w:eastAsia="宋体" w:cs="宋体"/>
          <w:sz w:val="22"/>
        </w:rPr>
        <w:t>一、【】公司负责监督员工在岗防护情况，做到防护到位。</w:t>
      </w:r>
    </w:p>
    <w:p>
      <w:pPr>
        <w:spacing w:line="360" w:lineRule="exact"/>
        <w:ind w:firstLine="440" w:firstLineChars="200"/>
        <w:rPr>
          <w:rFonts w:ascii="宋体" w:hAnsi="宋体" w:eastAsia="宋体" w:cs="宋体"/>
          <w:sz w:val="22"/>
        </w:rPr>
      </w:pPr>
      <w:r>
        <w:rPr>
          <w:rFonts w:hint="eastAsia" w:ascii="宋体" w:hAnsi="宋体" w:eastAsia="宋体" w:cs="宋体"/>
          <w:sz w:val="22"/>
        </w:rPr>
        <w:t>二、【】公司要求员工严禁接触涉疫区域内的高危人员或物品，避免因管理不当导致的安全风险。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三、【】公司员工做到适宜接种全员接种疫苗，新进员工需接种疫苗后上岗。并做好员工疫苗接种的管控工作，避免因员工未接种疫苗导致的安全风险。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四、【】公司需根据机场公司要求，及时安排员工开展核酸检测工作，核酸检测做到“应检尽检”。</w:t>
      </w:r>
    </w:p>
    <w:p>
      <w:pPr>
        <w:spacing w:line="360" w:lineRule="exact"/>
        <w:ind w:firstLine="440" w:firstLineChars="200"/>
        <w:rPr>
          <w:rFonts w:ascii="宋体" w:hAnsi="宋体" w:eastAsia="宋体" w:cs="宋体"/>
          <w:sz w:val="22"/>
        </w:rPr>
      </w:pPr>
      <w:r>
        <w:rPr>
          <w:rFonts w:hint="eastAsia" w:ascii="宋体" w:hAnsi="宋体" w:eastAsia="宋体" w:cs="宋体"/>
          <w:sz w:val="22"/>
        </w:rPr>
        <w:t>五、【】公司需做到培训到位及防控要求传达到位，定期对员工开展疫情防控培训，培训内容包括但不限于个人防护要求及近期国内疫情情况通报等，及时传达公司防控相关要求。</w:t>
      </w:r>
    </w:p>
    <w:p>
      <w:pPr>
        <w:spacing w:line="360" w:lineRule="exact"/>
        <w:ind w:firstLine="440" w:firstLineChars="200"/>
        <w:rPr>
          <w:rFonts w:ascii="宋体" w:hAnsi="宋体" w:eastAsia="宋体" w:cs="宋体"/>
          <w:sz w:val="22"/>
        </w:rPr>
      </w:pPr>
      <w:r>
        <w:rPr>
          <w:rFonts w:hint="eastAsia" w:ascii="宋体" w:hAnsi="宋体" w:eastAsia="宋体" w:cs="宋体"/>
          <w:sz w:val="22"/>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spacing w:line="360" w:lineRule="exact"/>
        <w:ind w:firstLine="440" w:firstLineChars="200"/>
        <w:rPr>
          <w:rFonts w:ascii="宋体" w:hAnsi="宋体" w:eastAsia="宋体" w:cs="宋体"/>
          <w:sz w:val="22"/>
        </w:rPr>
      </w:pPr>
      <w:r>
        <w:rPr>
          <w:rFonts w:hint="eastAsia" w:ascii="宋体" w:hAnsi="宋体" w:eastAsia="宋体" w:cs="宋体"/>
          <w:sz w:val="22"/>
        </w:rPr>
        <w:t>七、【】公司需做好员工身体状况动态监控，掌握职工健康状况，制定应急预案，如遇发热、咳嗽等症状者要求主动报告，并做好防护及送医措施。</w:t>
      </w:r>
    </w:p>
    <w:p>
      <w:pPr>
        <w:spacing w:line="360" w:lineRule="exact"/>
        <w:ind w:firstLine="440" w:firstLineChars="200"/>
        <w:rPr>
          <w:rFonts w:ascii="宋体" w:hAnsi="宋体" w:eastAsia="宋体" w:cs="宋体"/>
          <w:sz w:val="22"/>
        </w:rPr>
      </w:pPr>
      <w:r>
        <w:rPr>
          <w:rFonts w:hint="eastAsia" w:ascii="宋体" w:hAnsi="宋体" w:eastAsia="宋体" w:cs="宋体"/>
          <w:sz w:val="22"/>
        </w:rPr>
        <w:t>八、【】公司需做好做好洗手液、口罩、温度计、75%酒精、含氯消毒液等药械物资准备。</w:t>
      </w:r>
    </w:p>
    <w:p>
      <w:pPr>
        <w:spacing w:line="360" w:lineRule="exact"/>
        <w:ind w:firstLine="440" w:firstLineChars="200"/>
        <w:jc w:val="left"/>
        <w:rPr>
          <w:rFonts w:ascii="宋体" w:hAnsi="宋体" w:eastAsia="宋体" w:cs="宋体"/>
          <w:color w:val="000000"/>
          <w:sz w:val="22"/>
        </w:rPr>
      </w:pPr>
      <w:r>
        <w:rPr>
          <w:rFonts w:hint="eastAsia" w:ascii="宋体" w:hAnsi="宋体" w:eastAsia="宋体" w:cs="宋体"/>
          <w:color w:val="000000"/>
          <w:sz w:val="22"/>
        </w:rPr>
        <w:t>九、若因</w:t>
      </w:r>
      <w:r>
        <w:rPr>
          <w:rFonts w:hint="eastAsia" w:ascii="宋体" w:hAnsi="宋体" w:eastAsia="宋体" w:cs="宋体"/>
          <w:sz w:val="22"/>
        </w:rPr>
        <w:t>【】公司及其员工</w:t>
      </w:r>
      <w:r>
        <w:rPr>
          <w:rFonts w:hint="eastAsia" w:ascii="宋体" w:hAnsi="宋体" w:eastAsia="宋体" w:cs="宋体"/>
          <w:color w:val="000000"/>
          <w:sz w:val="22"/>
        </w:rPr>
        <w:t>原因导致新型冠状肺炎疫情传播，则</w:t>
      </w:r>
      <w:r>
        <w:rPr>
          <w:rFonts w:hint="eastAsia" w:ascii="宋体" w:hAnsi="宋体" w:eastAsia="宋体" w:cs="宋体"/>
          <w:sz w:val="22"/>
        </w:rPr>
        <w:t>【】公司</w:t>
      </w:r>
      <w:r>
        <w:rPr>
          <w:rFonts w:hint="eastAsia" w:ascii="宋体" w:hAnsi="宋体" w:eastAsia="宋体" w:cs="宋体"/>
          <w:color w:val="000000"/>
          <w:sz w:val="22"/>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rPr>
        <w:t>【】公司</w:t>
      </w:r>
      <w:r>
        <w:rPr>
          <w:rFonts w:hint="eastAsia" w:ascii="宋体" w:hAnsi="宋体" w:eastAsia="宋体" w:cs="宋体"/>
          <w:color w:val="000000"/>
          <w:sz w:val="22"/>
        </w:rPr>
        <w:t>承担由此产生的实际损失，且机场公司有权解除合同。</w:t>
      </w:r>
    </w:p>
    <w:p>
      <w:pPr>
        <w:spacing w:line="360" w:lineRule="exact"/>
        <w:rPr>
          <w:rFonts w:ascii="宋体" w:hAnsi="宋体" w:eastAsia="宋体" w:cs="宋体"/>
          <w:sz w:val="22"/>
        </w:rPr>
      </w:pPr>
    </w:p>
    <w:p>
      <w:pPr>
        <w:spacing w:line="360" w:lineRule="exact"/>
        <w:rPr>
          <w:rFonts w:ascii="宋体" w:hAnsi="宋体" w:eastAsia="宋体" w:cs="宋体"/>
          <w:sz w:val="22"/>
        </w:rPr>
      </w:pPr>
    </w:p>
    <w:p>
      <w:pPr>
        <w:spacing w:line="360" w:lineRule="exact"/>
        <w:ind w:right="-193" w:rightChars="-92"/>
        <w:rPr>
          <w:rFonts w:ascii="宋体" w:hAnsi="宋体" w:eastAsia="宋体" w:cs="宋体"/>
          <w:color w:val="000000"/>
          <w:sz w:val="22"/>
        </w:rPr>
      </w:pP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承诺人：</w:t>
      </w: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（盖章）</w:t>
      </w:r>
    </w:p>
    <w:p>
      <w:pPr>
        <w:spacing w:line="360" w:lineRule="exact"/>
        <w:rPr>
          <w:rFonts w:ascii="宋体" w:hAnsi="宋体" w:eastAsia="宋体" w:cs="宋体"/>
          <w:color w:val="000000"/>
          <w:sz w:val="22"/>
        </w:rPr>
      </w:pPr>
      <w:r>
        <w:rPr>
          <w:rFonts w:hint="eastAsia" w:ascii="宋体" w:hAnsi="宋体" w:eastAsia="宋体" w:cs="宋体"/>
          <w:color w:val="000000"/>
          <w:sz w:val="22"/>
        </w:rPr>
        <w:t xml:space="preserve">                 </w:t>
      </w: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9"/>
        <w:pageBreakBefore/>
      </w:pPr>
      <w:bookmarkStart w:id="20" w:name="_Toc27673"/>
      <w:r>
        <w:rPr>
          <w:rFonts w:hint="eastAsia"/>
        </w:rPr>
        <w:t>第四章  工程量清单</w:t>
      </w:r>
      <w:bookmarkEnd w:id="17"/>
      <w:bookmarkEnd w:id="20"/>
    </w:p>
    <w:tbl>
      <w:tblPr>
        <w:tblStyle w:val="12"/>
        <w:tblW w:w="9600" w:type="dxa"/>
        <w:tblInd w:w="108" w:type="dxa"/>
        <w:tblLayout w:type="fixed"/>
        <w:tblCellMar>
          <w:top w:w="0" w:type="dxa"/>
          <w:left w:w="108" w:type="dxa"/>
          <w:bottom w:w="0" w:type="dxa"/>
          <w:right w:w="108" w:type="dxa"/>
        </w:tblCellMar>
      </w:tblPr>
      <w:tblGrid>
        <w:gridCol w:w="663"/>
        <w:gridCol w:w="4115"/>
        <w:gridCol w:w="746"/>
        <w:gridCol w:w="1096"/>
        <w:gridCol w:w="1635"/>
        <w:gridCol w:w="1345"/>
      </w:tblGrid>
      <w:tr>
        <w:tblPrEx>
          <w:tblLayout w:type="fixed"/>
          <w:tblCellMar>
            <w:top w:w="0" w:type="dxa"/>
            <w:left w:w="108" w:type="dxa"/>
            <w:bottom w:w="0" w:type="dxa"/>
            <w:right w:w="108" w:type="dxa"/>
          </w:tblCellMar>
        </w:tblPrEx>
        <w:trPr>
          <w:trHeight w:val="31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序号</w:t>
            </w:r>
          </w:p>
        </w:tc>
        <w:tc>
          <w:tcPr>
            <w:tcW w:w="4115"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名称及说明</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单位</w:t>
            </w:r>
          </w:p>
        </w:tc>
        <w:tc>
          <w:tcPr>
            <w:tcW w:w="109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工程数量</w:t>
            </w:r>
          </w:p>
        </w:tc>
        <w:tc>
          <w:tcPr>
            <w:tcW w:w="1635"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lang w:val="en-US" w:eastAsia="zh-CN"/>
              </w:rPr>
              <w:t>含税</w:t>
            </w:r>
            <w:r>
              <w:rPr>
                <w:rFonts w:hint="eastAsia" w:cs="Arial"/>
                <w:color w:val="000000"/>
                <w:sz w:val="18"/>
                <w:szCs w:val="18"/>
              </w:rPr>
              <w:t>综合单价(元)</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lang w:val="en-US" w:eastAsia="zh-CN"/>
              </w:rPr>
              <w:t>含税</w:t>
            </w:r>
            <w:r>
              <w:rPr>
                <w:rFonts w:hint="eastAsia" w:cs="Arial"/>
                <w:color w:val="000000"/>
                <w:sz w:val="18"/>
                <w:szCs w:val="18"/>
              </w:rPr>
              <w:t>合价(元)</w:t>
            </w:r>
          </w:p>
        </w:tc>
      </w:tr>
      <w:tr>
        <w:tblPrEx>
          <w:tblLayout w:type="fixed"/>
          <w:tblCellMar>
            <w:top w:w="0" w:type="dxa"/>
            <w:left w:w="108" w:type="dxa"/>
            <w:bottom w:w="0" w:type="dxa"/>
            <w:right w:w="108" w:type="dxa"/>
          </w:tblCellMar>
        </w:tblPrEx>
        <w:trPr>
          <w:trHeight w:val="276" w:hRule="atLeast"/>
        </w:trPr>
        <w:tc>
          <w:tcPr>
            <w:tcW w:w="9600" w:type="dxa"/>
            <w:gridSpan w:val="6"/>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rPr>
              <w:t>P3停车场</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铣刨机铣刨路面~厚度8(cm)（含进退场费及安拆）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粗粒式沥青混凝土路面  机械摊铺~厚度8(cm)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3</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细粒式沥青混凝土路面  机械摊铺~厚度4(cm)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4</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道路交通指示牌（含三角锥、红蓝爆闪灯、交通指引牌等）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1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5</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压路机进退场费</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台次</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47"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6</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黏层水泥混凝土石油沥青0.5L/m2</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31"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7</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材料搬运及垃圾清理外运</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5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8</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窨井加高与新做路面平整700（含粉刷等）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个</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3.000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63"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9</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更换重型铸铁盖板700</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套</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3.000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15" w:hRule="atLeast"/>
        </w:trPr>
        <w:tc>
          <w:tcPr>
            <w:tcW w:w="9600" w:type="dxa"/>
            <w:gridSpan w:val="6"/>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rPr>
              <w:t>12号门外侧路面</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10</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铣刨机铣刨路面~厚度3cm（含进退场费及安拆）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11</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粗粒式沥青混凝土路面  机械摊铺~厚度8(cm)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12</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细粒式沥青混凝土路面  机械摊铺~厚度4(cm)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13</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道路交通指示牌（含三角锥、红蓝爆闪灯、交通指引牌等）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14</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黏层水泥混凝土石油沥青0.5L/m2</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15</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材料搬运及垃圾清理外运</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16</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压路机进退场费</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台次</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00"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17</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雨水井加高与新做路面平整300*400</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个</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18</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更换重型铸铁盖板300*400</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套</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9600" w:type="dxa"/>
            <w:gridSpan w:val="6"/>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rPr>
              <w:t>浙航路中段</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19</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铣刨机铣刨路面~厚度4(cm)（含进退场费及安拆）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20</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铣刨机铣刨路面~厚度4(cm)（含进退场费及安拆）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21</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粗粒式沥青混凝土路面  机械摊铺~厚度8(cm)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69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22</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道路交通指示牌（含三角锥、红蓝爆闪灯、交通指引牌等）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47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23</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压路机进退场费</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台次</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47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24</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黏层水泥混凝土石油沥青0.5L/m2</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47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25</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材料搬运及垃圾清理外运</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1" w:hRule="atLeast"/>
        </w:trPr>
        <w:tc>
          <w:tcPr>
            <w:tcW w:w="8255" w:type="dxa"/>
            <w:gridSpan w:val="5"/>
            <w:tcBorders>
              <w:top w:val="single" w:color="000000" w:sz="4" w:space="0"/>
              <w:left w:val="single" w:color="000000" w:sz="4" w:space="0"/>
              <w:bottom w:val="single" w:color="000000" w:sz="4" w:space="0"/>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lang w:val="en-US" w:eastAsia="zh-CN"/>
              </w:rPr>
              <w:t xml:space="preserve">含  税  </w:t>
            </w:r>
            <w:r>
              <w:rPr>
                <w:rFonts w:hint="eastAsia" w:cs="Arial"/>
                <w:color w:val="000000"/>
                <w:sz w:val="18"/>
                <w:szCs w:val="18"/>
              </w:rPr>
              <w:t>合</w:t>
            </w:r>
            <w:r>
              <w:rPr>
                <w:rFonts w:hint="eastAsia" w:cs="Arial"/>
                <w:color w:val="000000"/>
                <w:sz w:val="18"/>
                <w:szCs w:val="18"/>
                <w:lang w:val="en-US" w:eastAsia="zh-CN"/>
              </w:rPr>
              <w:t xml:space="preserve">  </w:t>
            </w:r>
            <w:r>
              <w:rPr>
                <w:rFonts w:hint="eastAsia" w:cs="Arial"/>
                <w:color w:val="000000"/>
                <w:sz w:val="18"/>
                <w:szCs w:val="18"/>
              </w:rPr>
              <w:t>计</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bl>
    <w:p>
      <w:pPr>
        <w:pStyle w:val="9"/>
        <w:jc w:val="both"/>
        <w:rPr>
          <w:rFonts w:hint="eastAsia"/>
        </w:rPr>
      </w:pPr>
      <w:bookmarkStart w:id="21" w:name="_Toc448097409"/>
      <w:bookmarkStart w:id="22" w:name="_Toc275274581"/>
    </w:p>
    <w:p>
      <w:pPr>
        <w:pStyle w:val="9"/>
        <w:keepNext/>
        <w:pageBreakBefore/>
      </w:pPr>
      <w:bookmarkStart w:id="23" w:name="_Toc17683"/>
      <w:r>
        <w:rPr>
          <w:rFonts w:hint="eastAsia"/>
        </w:rPr>
        <w:t>第五章</w:t>
      </w:r>
      <w:r>
        <w:t xml:space="preserve"> </w:t>
      </w:r>
      <w:r>
        <w:rPr>
          <w:rFonts w:hint="eastAsia"/>
        </w:rPr>
        <w:t>技术标准及要求</w:t>
      </w:r>
      <w:bookmarkEnd w:id="23"/>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招标范围：主要工作内容具体详见工程量清单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4"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vAlign w:val="center"/>
          </w:tcPr>
          <w:p>
            <w:pPr>
              <w:snapToGrid w:val="0"/>
              <w:jc w:val="center"/>
              <w:rPr>
                <w:rFonts w:ascii="宋体" w:hAnsi="宋体" w:cs="宋体"/>
                <w:sz w:val="22"/>
              </w:rPr>
            </w:pPr>
            <w:r>
              <w:rPr>
                <w:rFonts w:hint="eastAsia" w:ascii="宋体" w:hAnsi="宋体" w:cs="宋体"/>
                <w:sz w:val="22"/>
              </w:rPr>
              <w:t>材料</w:t>
            </w:r>
          </w:p>
        </w:tc>
        <w:tc>
          <w:tcPr>
            <w:tcW w:w="4714" w:type="dxa"/>
            <w:vAlign w:val="center"/>
          </w:tcPr>
          <w:p>
            <w:pPr>
              <w:snapToGrid w:val="0"/>
              <w:jc w:val="center"/>
              <w:rPr>
                <w:rFonts w:ascii="宋体" w:hAnsi="宋体" w:cs="宋体"/>
                <w:sz w:val="22"/>
              </w:rPr>
            </w:pPr>
            <w:r>
              <w:rPr>
                <w:rFonts w:hint="eastAsia" w:ascii="宋体" w:hAnsi="宋体" w:cs="宋体"/>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1</w:t>
            </w:r>
          </w:p>
        </w:tc>
        <w:tc>
          <w:tcPr>
            <w:tcW w:w="2783" w:type="dxa"/>
            <w:vAlign w:val="center"/>
          </w:tcPr>
          <w:p>
            <w:pPr>
              <w:snapToGrid w:val="0"/>
              <w:jc w:val="center"/>
              <w:rPr>
                <w:rFonts w:ascii="宋体" w:hAnsi="宋体" w:cs="宋体"/>
                <w:bCs/>
                <w:sz w:val="22"/>
              </w:rPr>
            </w:pPr>
            <w:r>
              <w:rPr>
                <w:rFonts w:hint="eastAsia" w:ascii="宋体" w:hAnsi="宋体" w:cs="宋体"/>
                <w:bCs/>
                <w:sz w:val="22"/>
              </w:rPr>
              <w:t>/</w:t>
            </w:r>
          </w:p>
        </w:tc>
        <w:tc>
          <w:tcPr>
            <w:tcW w:w="4714" w:type="dxa"/>
            <w:vAlign w:val="center"/>
          </w:tcPr>
          <w:p>
            <w:pPr>
              <w:snapToGrid w:val="0"/>
              <w:jc w:val="center"/>
              <w:rPr>
                <w:rFonts w:ascii="宋体" w:hAnsi="宋体" w:cs="宋体"/>
                <w:bCs/>
                <w:sz w:val="22"/>
              </w:rPr>
            </w:pPr>
            <w:r>
              <w:rPr>
                <w:rFonts w:hint="eastAsia" w:ascii="宋体" w:hAnsi="宋体" w:cs="宋体"/>
                <w:bCs/>
                <w:sz w:val="22"/>
              </w:rPr>
              <w:t>/</w:t>
            </w:r>
          </w:p>
        </w:tc>
      </w:tr>
    </w:tbl>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cs="宋体"/>
          <w:b/>
          <w:bCs/>
          <w:sz w:val="22"/>
        </w:rPr>
        <w:t>承包人应替发包人办理进入现场的手续和亲自陪同。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需做好施工单位的车辆进出场及材料推放的管理工作，相关费用计入投标报价，中标后不再调整。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本工程开工时间根据甲方提供施工场地时间为准，投标人在投标时须考虑由此造成的工期延长，由此造成的费用不做变更。</w:t>
      </w:r>
    </w:p>
    <w:p>
      <w:pPr>
        <w:numPr>
          <w:ilvl w:val="0"/>
          <w:numId w:val="8"/>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本次施工区域可能存在部分障碍物需要拆除、移除，相关费用计入投标报价中，中标后不再调整。</w:t>
      </w:r>
    </w:p>
    <w:bookmarkEnd w:id="24"/>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ascii="宋体" w:hAnsi="宋体" w:cs="宋体"/>
          <w:b/>
          <w:sz w:val="22"/>
        </w:rPr>
      </w:pPr>
      <w:r>
        <w:rPr>
          <w:rFonts w:hint="eastAsia" w:ascii="宋体" w:hAnsi="宋体" w:cs="宋体"/>
          <w:b/>
          <w:sz w:val="22"/>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ascii="宋体" w:hAnsi="宋体" w:cs="宋体"/>
          <w:b/>
          <w:sz w:val="22"/>
        </w:rPr>
      </w:pPr>
      <w:r>
        <w:rPr>
          <w:rFonts w:hint="eastAsia" w:ascii="宋体" w:hAnsi="宋体" w:cs="宋体"/>
          <w:b/>
          <w:sz w:val="22"/>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ascii="宋体" w:hAnsi="宋体" w:cs="宋体"/>
          <w:b/>
          <w:sz w:val="22"/>
        </w:rPr>
      </w:pPr>
      <w:r>
        <w:rPr>
          <w:rFonts w:hint="eastAsia" w:ascii="宋体" w:hAnsi="宋体" w:cs="宋体"/>
          <w:b/>
          <w:sz w:val="22"/>
        </w:rPr>
        <w:t>5.5计日工单价最高限价210元/工日。</w:t>
      </w:r>
    </w:p>
    <w:p>
      <w:pPr>
        <w:snapToGrid w:val="0"/>
        <w:spacing w:line="360" w:lineRule="exact"/>
        <w:ind w:firstLine="442" w:firstLineChars="200"/>
        <w:rPr>
          <w:rFonts w:ascii="宋体" w:hAnsi="宋体" w:cs="宋体"/>
          <w:b/>
          <w:sz w:val="22"/>
        </w:rPr>
      </w:pPr>
      <w:r>
        <w:rPr>
          <w:rFonts w:hint="eastAsia" w:ascii="宋体" w:hAnsi="宋体" w:cs="宋体"/>
          <w:b/>
          <w:sz w:val="22"/>
        </w:rPr>
        <w:t>5.6工程施工期间，承包人须无条件服从机场公司关于工期进度的统一安排。</w:t>
      </w:r>
    </w:p>
    <w:p>
      <w:pPr>
        <w:pStyle w:val="2"/>
        <w:ind w:firstLine="442" w:firstLineChars="200"/>
        <w:rPr>
          <w:rFonts w:ascii="宋体" w:hAnsi="宋体" w:cs="宋体"/>
          <w:b/>
          <w:sz w:val="22"/>
        </w:rPr>
      </w:pPr>
      <w:r>
        <w:rPr>
          <w:rFonts w:hint="eastAsia" w:ascii="宋体" w:hAnsi="宋体" w:cs="宋体"/>
          <w:b/>
          <w:sz w:val="22"/>
        </w:rPr>
        <w:t>5.7承包人必须确保在施工阶段不影响机场正常运行，遵守机场施工管理规定、施工安全条例。</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8</w:t>
      </w:r>
      <w:r>
        <w:rPr>
          <w:rFonts w:hint="eastAsia" w:ascii="宋体" w:hAnsi="宋体" w:cs="宋体"/>
          <w:b/>
          <w:sz w:val="22"/>
        </w:rPr>
        <w:t>承包人须无条件配合发包人要求，施工前应征得发包人同意，不得擅自施工，如擅自施工导致的一切后果由承包人承担。</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9</w:t>
      </w:r>
      <w:r>
        <w:rPr>
          <w:rFonts w:hint="eastAsia" w:ascii="宋体" w:hAnsi="宋体" w:cs="宋体"/>
          <w:b/>
          <w:sz w:val="22"/>
        </w:rPr>
        <w:t>项目开工前承包人需提供施工进度计划表、施工材料及明细表，待材料、人员、证件全部准备完善并经发包人同意方可进行施工。</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rPr>
        <w:t>承包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pPr>
    </w:p>
    <w:p>
      <w:pPr>
        <w:pStyle w:val="9"/>
      </w:pPr>
    </w:p>
    <w:p>
      <w:pPr>
        <w:pStyle w:val="9"/>
      </w:pPr>
    </w:p>
    <w:p/>
    <w:p>
      <w:pPr>
        <w:pStyle w:val="2"/>
      </w:pPr>
    </w:p>
    <w:p>
      <w:pPr>
        <w:pStyle w:val="2"/>
      </w:pPr>
    </w:p>
    <w:p>
      <w:pPr>
        <w:pStyle w:val="2"/>
      </w:pPr>
    </w:p>
    <w:p>
      <w:pPr>
        <w:pStyle w:val="9"/>
        <w:keepLines/>
      </w:pPr>
    </w:p>
    <w:p/>
    <w:p>
      <w:pPr>
        <w:pStyle w:val="2"/>
      </w:pPr>
    </w:p>
    <w:p>
      <w:pPr>
        <w:pStyle w:val="9"/>
      </w:pPr>
    </w:p>
    <w:p/>
    <w:bookmarkEnd w:id="9"/>
    <w:bookmarkEnd w:id="21"/>
    <w:bookmarkEnd w:id="22"/>
    <w:p>
      <w:pPr>
        <w:pStyle w:val="3"/>
        <w:keepLines w:val="0"/>
        <w:pageBreakBefore/>
        <w:spacing w:before="0" w:after="0" w:line="564" w:lineRule="exact"/>
        <w:ind w:right="57"/>
        <w:rPr>
          <w:sz w:val="32"/>
          <w:szCs w:val="32"/>
        </w:rPr>
      </w:pPr>
      <w:bookmarkStart w:id="25" w:name="_Toc52907682"/>
      <w:bookmarkStart w:id="26" w:name="_Toc10055"/>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5"/>
      <w:bookmarkEnd w:id="2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rPr>
          <w:rFonts w:cs="微软雅黑"/>
          <w:b/>
          <w:kern w:val="0"/>
          <w:sz w:val="36"/>
          <w:szCs w:val="36"/>
        </w:rPr>
      </w:pPr>
      <w:r>
        <w:rPr>
          <w:rFonts w:hint="eastAsia" w:cs="微软雅黑"/>
          <w:b/>
          <w:kern w:val="0"/>
          <w:sz w:val="36"/>
          <w:szCs w:val="36"/>
        </w:rPr>
        <w:t xml:space="preserve">                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widowControl/>
        <w:jc w:val="left"/>
        <w:rPr>
          <w:rFonts w:cs="微软雅黑"/>
          <w:b/>
          <w:kern w:val="0"/>
          <w:sz w:val="36"/>
          <w:szCs w:val="36"/>
        </w:rPr>
      </w:pPr>
      <w:r>
        <w:rPr>
          <w:rFonts w:ascii="宋体" w:hAnsi="宋体" w:cs="Arial"/>
          <w:b/>
          <w:bCs/>
          <w:kern w:val="0"/>
          <w:szCs w:val="21"/>
        </w:rPr>
        <w:br w:type="page"/>
      </w:r>
      <w:bookmarkStart w:id="27" w:name="_Hlk54024727"/>
    </w:p>
    <w:p>
      <w:pPr>
        <w:widowControl/>
        <w:jc w:val="center"/>
        <w:rPr>
          <w:rFonts w:cs="微软雅黑"/>
          <w:b/>
          <w:kern w:val="0"/>
          <w:sz w:val="36"/>
          <w:szCs w:val="36"/>
        </w:rPr>
      </w:pPr>
    </w:p>
    <w:p>
      <w:pPr>
        <w:widowControl/>
        <w:jc w:val="center"/>
        <w:rPr>
          <w:rFonts w:cs="微软雅黑"/>
          <w:b/>
          <w:kern w:val="0"/>
          <w:sz w:val="36"/>
          <w:szCs w:val="36"/>
        </w:rPr>
      </w:pPr>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7"/>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306DE00"/>
    <w:multiLevelType w:val="singleLevel"/>
    <w:tmpl w:val="6306DE00"/>
    <w:lvl w:ilvl="0" w:tentative="0">
      <w:start w:val="4"/>
      <w:numFmt w:val="decimal"/>
      <w:suff w:val="nothing"/>
      <w:lvlText w:val="(%1)"/>
      <w:lvlJc w:val="left"/>
    </w:lvl>
  </w:abstractNum>
  <w:abstractNum w:abstractNumId="7">
    <w:nsid w:val="636C52E6"/>
    <w:multiLevelType w:val="singleLevel"/>
    <w:tmpl w:val="636C52E6"/>
    <w:lvl w:ilvl="0" w:tentative="0">
      <w:start w:val="1"/>
      <w:numFmt w:val="decimal"/>
      <w:suff w:val="nothing"/>
      <w:lvlText w:val="(%1)"/>
      <w:lvlJc w:val="left"/>
    </w:lvl>
  </w:abstractNum>
  <w:abstractNum w:abstractNumId="8">
    <w:nsid w:val="636C642F"/>
    <w:multiLevelType w:val="singleLevel"/>
    <w:tmpl w:val="636C642F"/>
    <w:lvl w:ilvl="0" w:tentative="0">
      <w:start w:val="1"/>
      <w:numFmt w:val="decimal"/>
      <w:suff w:val="nothing"/>
      <w:lvlText w:val="（%1）"/>
      <w:lvlJc w:val="left"/>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205DDE"/>
    <w:rsid w:val="002D6E53"/>
    <w:rsid w:val="005A3F8F"/>
    <w:rsid w:val="00602DA2"/>
    <w:rsid w:val="006A12D1"/>
    <w:rsid w:val="008171B7"/>
    <w:rsid w:val="00817C3C"/>
    <w:rsid w:val="00820C30"/>
    <w:rsid w:val="008C5594"/>
    <w:rsid w:val="00906E38"/>
    <w:rsid w:val="00A967F5"/>
    <w:rsid w:val="00AC6F51"/>
    <w:rsid w:val="00AE2420"/>
    <w:rsid w:val="00B6451B"/>
    <w:rsid w:val="00BA486F"/>
    <w:rsid w:val="00C11D9A"/>
    <w:rsid w:val="00C45FDC"/>
    <w:rsid w:val="00C63C17"/>
    <w:rsid w:val="00DA7957"/>
    <w:rsid w:val="00DF1565"/>
    <w:rsid w:val="00F75276"/>
    <w:rsid w:val="00F81449"/>
    <w:rsid w:val="014F73A6"/>
    <w:rsid w:val="02B95F5F"/>
    <w:rsid w:val="02F1240D"/>
    <w:rsid w:val="03196B6B"/>
    <w:rsid w:val="03F739A7"/>
    <w:rsid w:val="03F870E6"/>
    <w:rsid w:val="050869C0"/>
    <w:rsid w:val="052F0674"/>
    <w:rsid w:val="05BE6E6F"/>
    <w:rsid w:val="05C353ED"/>
    <w:rsid w:val="063C0E2A"/>
    <w:rsid w:val="073D70B6"/>
    <w:rsid w:val="077E75BF"/>
    <w:rsid w:val="08A037D7"/>
    <w:rsid w:val="09411BF2"/>
    <w:rsid w:val="09673172"/>
    <w:rsid w:val="09E25A5D"/>
    <w:rsid w:val="09E436C7"/>
    <w:rsid w:val="0A280818"/>
    <w:rsid w:val="0A325507"/>
    <w:rsid w:val="0C2258A4"/>
    <w:rsid w:val="0C2C721E"/>
    <w:rsid w:val="0CA47A62"/>
    <w:rsid w:val="0D58007A"/>
    <w:rsid w:val="0D662C58"/>
    <w:rsid w:val="0E836117"/>
    <w:rsid w:val="0EE1797F"/>
    <w:rsid w:val="0EF24B25"/>
    <w:rsid w:val="0F3936BA"/>
    <w:rsid w:val="0F3A6E72"/>
    <w:rsid w:val="0F74556B"/>
    <w:rsid w:val="103144BD"/>
    <w:rsid w:val="10926C44"/>
    <w:rsid w:val="10C41CD7"/>
    <w:rsid w:val="10D201D0"/>
    <w:rsid w:val="10FB2AF8"/>
    <w:rsid w:val="132D3D8B"/>
    <w:rsid w:val="134E2C41"/>
    <w:rsid w:val="13506F32"/>
    <w:rsid w:val="13C703B6"/>
    <w:rsid w:val="13D363C5"/>
    <w:rsid w:val="14EF431F"/>
    <w:rsid w:val="15714686"/>
    <w:rsid w:val="15C55E70"/>
    <w:rsid w:val="17706602"/>
    <w:rsid w:val="17A3369A"/>
    <w:rsid w:val="17F261B0"/>
    <w:rsid w:val="19B6105C"/>
    <w:rsid w:val="19E250F9"/>
    <w:rsid w:val="1A530242"/>
    <w:rsid w:val="1A5510AA"/>
    <w:rsid w:val="1A905DB0"/>
    <w:rsid w:val="1AAD469C"/>
    <w:rsid w:val="1AC01189"/>
    <w:rsid w:val="1ACC2D1E"/>
    <w:rsid w:val="1AE634A1"/>
    <w:rsid w:val="1B494BCE"/>
    <w:rsid w:val="1B9E32AC"/>
    <w:rsid w:val="1C1F53DB"/>
    <w:rsid w:val="1C23428D"/>
    <w:rsid w:val="1C411E8A"/>
    <w:rsid w:val="1C67300B"/>
    <w:rsid w:val="1C722ABB"/>
    <w:rsid w:val="1DB82B97"/>
    <w:rsid w:val="1DD42994"/>
    <w:rsid w:val="1E017959"/>
    <w:rsid w:val="1ED229A2"/>
    <w:rsid w:val="1F4F7C5F"/>
    <w:rsid w:val="1FC32413"/>
    <w:rsid w:val="200A02E6"/>
    <w:rsid w:val="20CE1F53"/>
    <w:rsid w:val="21EC1694"/>
    <w:rsid w:val="23416178"/>
    <w:rsid w:val="238E4739"/>
    <w:rsid w:val="254051B5"/>
    <w:rsid w:val="265818D7"/>
    <w:rsid w:val="26CC6707"/>
    <w:rsid w:val="27B369DB"/>
    <w:rsid w:val="289D4E0E"/>
    <w:rsid w:val="28BD1AD1"/>
    <w:rsid w:val="29727BB5"/>
    <w:rsid w:val="29F93588"/>
    <w:rsid w:val="2B3A0E18"/>
    <w:rsid w:val="2B400820"/>
    <w:rsid w:val="2B7F6052"/>
    <w:rsid w:val="2BB864A4"/>
    <w:rsid w:val="2C4C3E76"/>
    <w:rsid w:val="2CF25F54"/>
    <w:rsid w:val="2DBD794B"/>
    <w:rsid w:val="2E6A0DCD"/>
    <w:rsid w:val="2EA80B40"/>
    <w:rsid w:val="2F5D728F"/>
    <w:rsid w:val="2FE921F7"/>
    <w:rsid w:val="304E0C8A"/>
    <w:rsid w:val="320B2964"/>
    <w:rsid w:val="32E10921"/>
    <w:rsid w:val="3308314E"/>
    <w:rsid w:val="33496CB7"/>
    <w:rsid w:val="33BA6ECE"/>
    <w:rsid w:val="34547575"/>
    <w:rsid w:val="34A7597F"/>
    <w:rsid w:val="350663DF"/>
    <w:rsid w:val="3510022D"/>
    <w:rsid w:val="359C614A"/>
    <w:rsid w:val="35AF3439"/>
    <w:rsid w:val="35EC099F"/>
    <w:rsid w:val="360327D0"/>
    <w:rsid w:val="36857170"/>
    <w:rsid w:val="36970B97"/>
    <w:rsid w:val="382607A7"/>
    <w:rsid w:val="3862043E"/>
    <w:rsid w:val="38815CBD"/>
    <w:rsid w:val="389C7905"/>
    <w:rsid w:val="38B029D5"/>
    <w:rsid w:val="393734D5"/>
    <w:rsid w:val="393E67AA"/>
    <w:rsid w:val="39EB6FB8"/>
    <w:rsid w:val="3A1B2A12"/>
    <w:rsid w:val="3A9011B9"/>
    <w:rsid w:val="3A980D91"/>
    <w:rsid w:val="3B750C23"/>
    <w:rsid w:val="3C4D7A69"/>
    <w:rsid w:val="3CFB49D2"/>
    <w:rsid w:val="3DA2028F"/>
    <w:rsid w:val="3EC1656B"/>
    <w:rsid w:val="3FAA7C29"/>
    <w:rsid w:val="41443C8D"/>
    <w:rsid w:val="414D50B1"/>
    <w:rsid w:val="4185372B"/>
    <w:rsid w:val="418B2C01"/>
    <w:rsid w:val="41D14192"/>
    <w:rsid w:val="43FE6D40"/>
    <w:rsid w:val="445A5AE3"/>
    <w:rsid w:val="44B107A9"/>
    <w:rsid w:val="455C24D2"/>
    <w:rsid w:val="45C34E0C"/>
    <w:rsid w:val="465945C7"/>
    <w:rsid w:val="466F3FD8"/>
    <w:rsid w:val="46AC7959"/>
    <w:rsid w:val="46F71F0E"/>
    <w:rsid w:val="476D73D9"/>
    <w:rsid w:val="48FA1F37"/>
    <w:rsid w:val="49133ED6"/>
    <w:rsid w:val="499C225B"/>
    <w:rsid w:val="4A2E626D"/>
    <w:rsid w:val="4AFA4B90"/>
    <w:rsid w:val="4BB817A8"/>
    <w:rsid w:val="4C301F11"/>
    <w:rsid w:val="4C4D7514"/>
    <w:rsid w:val="4C7E3EFD"/>
    <w:rsid w:val="4D2E1D74"/>
    <w:rsid w:val="4D302A92"/>
    <w:rsid w:val="4DAA1422"/>
    <w:rsid w:val="4DE82905"/>
    <w:rsid w:val="4E694A6E"/>
    <w:rsid w:val="4E7144A1"/>
    <w:rsid w:val="4F932486"/>
    <w:rsid w:val="4F9B5BD7"/>
    <w:rsid w:val="50A11CE1"/>
    <w:rsid w:val="50A57469"/>
    <w:rsid w:val="513546F9"/>
    <w:rsid w:val="515D3749"/>
    <w:rsid w:val="51E6424E"/>
    <w:rsid w:val="522C1FD0"/>
    <w:rsid w:val="52F62453"/>
    <w:rsid w:val="539C3C14"/>
    <w:rsid w:val="54666A06"/>
    <w:rsid w:val="55327461"/>
    <w:rsid w:val="566D702A"/>
    <w:rsid w:val="568E6452"/>
    <w:rsid w:val="57310012"/>
    <w:rsid w:val="579A74BA"/>
    <w:rsid w:val="57B16FA6"/>
    <w:rsid w:val="580F355F"/>
    <w:rsid w:val="58144BF6"/>
    <w:rsid w:val="586F4D4A"/>
    <w:rsid w:val="589623CE"/>
    <w:rsid w:val="58D57FA2"/>
    <w:rsid w:val="59825D4A"/>
    <w:rsid w:val="59A95BAF"/>
    <w:rsid w:val="5A652A1E"/>
    <w:rsid w:val="5A8108AD"/>
    <w:rsid w:val="5AC266C0"/>
    <w:rsid w:val="5B2D7584"/>
    <w:rsid w:val="5BD80E88"/>
    <w:rsid w:val="5BF24678"/>
    <w:rsid w:val="5D231F56"/>
    <w:rsid w:val="5D4C11AD"/>
    <w:rsid w:val="5D99654F"/>
    <w:rsid w:val="5DD11DF2"/>
    <w:rsid w:val="5DDF6FE6"/>
    <w:rsid w:val="5E09512E"/>
    <w:rsid w:val="5ED63FC2"/>
    <w:rsid w:val="5EE45516"/>
    <w:rsid w:val="5FD46899"/>
    <w:rsid w:val="5FD61FD6"/>
    <w:rsid w:val="60460965"/>
    <w:rsid w:val="6050634D"/>
    <w:rsid w:val="61354AB5"/>
    <w:rsid w:val="617F742F"/>
    <w:rsid w:val="62016700"/>
    <w:rsid w:val="622E5D39"/>
    <w:rsid w:val="63124DBD"/>
    <w:rsid w:val="635903D4"/>
    <w:rsid w:val="646B5557"/>
    <w:rsid w:val="65B36EF1"/>
    <w:rsid w:val="65C97F87"/>
    <w:rsid w:val="65E60C0C"/>
    <w:rsid w:val="6604027D"/>
    <w:rsid w:val="66946F47"/>
    <w:rsid w:val="677036EC"/>
    <w:rsid w:val="682E2769"/>
    <w:rsid w:val="684510B6"/>
    <w:rsid w:val="6A970962"/>
    <w:rsid w:val="6A9E47C4"/>
    <w:rsid w:val="6AAE5576"/>
    <w:rsid w:val="6ABD6C3B"/>
    <w:rsid w:val="6AFD23D9"/>
    <w:rsid w:val="6B23775C"/>
    <w:rsid w:val="6B5D6B38"/>
    <w:rsid w:val="6BE373CC"/>
    <w:rsid w:val="6C2966F6"/>
    <w:rsid w:val="6C5E5250"/>
    <w:rsid w:val="6CCA0C5F"/>
    <w:rsid w:val="6E4D7C1E"/>
    <w:rsid w:val="6EA35A1F"/>
    <w:rsid w:val="6EAA3D3E"/>
    <w:rsid w:val="6ED256FD"/>
    <w:rsid w:val="6F74423D"/>
    <w:rsid w:val="70F76756"/>
    <w:rsid w:val="72C316BB"/>
    <w:rsid w:val="72DC013B"/>
    <w:rsid w:val="72F06AFF"/>
    <w:rsid w:val="73D87888"/>
    <w:rsid w:val="73D918B9"/>
    <w:rsid w:val="73E170BF"/>
    <w:rsid w:val="741E53F6"/>
    <w:rsid w:val="743C7B32"/>
    <w:rsid w:val="74457D7C"/>
    <w:rsid w:val="74873A10"/>
    <w:rsid w:val="754B5B39"/>
    <w:rsid w:val="75BA0406"/>
    <w:rsid w:val="75EB06EF"/>
    <w:rsid w:val="761B655E"/>
    <w:rsid w:val="77663D48"/>
    <w:rsid w:val="7CA705F6"/>
    <w:rsid w:val="7CCD2795"/>
    <w:rsid w:val="7D4C0316"/>
    <w:rsid w:val="7DFB469E"/>
    <w:rsid w:val="7EBF0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3762</Words>
  <Characters>21446</Characters>
  <Lines>178</Lines>
  <Paragraphs>50</Paragraphs>
  <ScaleCrop>false</ScaleCrop>
  <LinksUpToDate>false</LinksUpToDate>
  <CharactersWithSpaces>25158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2022-11-16T06:22:01Z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