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52"/>
          <w:szCs w:val="52"/>
        </w:rPr>
      </w:pPr>
      <w:r>
        <w:rPr>
          <w:rFonts w:hint="eastAsia" w:ascii="黑体" w:hAnsi="黑体" w:eastAsia="黑体"/>
          <w:b/>
          <w:sz w:val="52"/>
          <w:szCs w:val="52"/>
        </w:rPr>
        <w:t>杭州萧山国际机场6号道口改造项目</w:t>
      </w:r>
    </w:p>
    <w:p>
      <w:pPr>
        <w:widowControl/>
        <w:autoSpaceDE w:val="0"/>
        <w:autoSpaceDN w:val="0"/>
        <w:jc w:val="center"/>
        <w:textAlignment w:val="bottom"/>
        <w:rPr>
          <w:rFonts w:ascii="黑体" w:hAnsi="黑体" w:eastAsia="黑体"/>
          <w:sz w:val="52"/>
          <w:szCs w:val="52"/>
        </w:rPr>
      </w:pP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二二年</w:t>
      </w:r>
      <w:r>
        <w:rPr>
          <w:rFonts w:hint="eastAsia" w:ascii="Calibri" w:hAnsi="Calibri" w:eastAsia="黑体" w:cs="Calibri"/>
          <w:sz w:val="32"/>
          <w:szCs w:val="32"/>
          <w:u w:val="single"/>
        </w:rPr>
        <w:t xml:space="preserve"> 十一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pStyle w:val="9"/>
      </w:pPr>
    </w:p>
    <w:sdt>
      <w:sdtPr>
        <w:rPr>
          <w:rFonts w:ascii="宋体" w:hAnsi="宋体" w:eastAsia="宋体"/>
        </w:rPr>
        <w:id w:val="147480402"/>
        <w15:color w:val="DBDBDB"/>
      </w:sdtPr>
      <w:sdtEndPr>
        <w:rPr>
          <w:rFonts w:asciiTheme="minorHAnsi" w:hAnsiTheme="minorHAnsi" w:eastAsiaTheme="minorEastAsia"/>
          <w:bCs/>
          <w:szCs w:val="44"/>
        </w:rPr>
      </w:sdtEndPr>
      <w:sdtContent>
        <w:p>
          <w:pPr>
            <w:jc w:val="center"/>
            <w:rPr>
              <w:sz w:val="36"/>
              <w:szCs w:val="40"/>
            </w:rPr>
          </w:pPr>
          <w:r>
            <w:rPr>
              <w:rFonts w:ascii="宋体" w:hAnsi="宋体" w:eastAsia="宋体"/>
              <w:sz w:val="36"/>
              <w:szCs w:val="40"/>
            </w:rPr>
            <w:t>目录</w:t>
          </w:r>
        </w:p>
        <w:p>
          <w:pPr>
            <w:pStyle w:val="8"/>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fldChar w:fldCharType="begin"/>
          </w:r>
          <w:r>
            <w:instrText xml:space="preserve"> HYPERLINK \l "_Toc8459" </w:instrText>
          </w:r>
          <w:r>
            <w:fldChar w:fldCharType="separate"/>
          </w:r>
          <w:r>
            <w:rPr>
              <w:rFonts w:hint="eastAsia"/>
              <w:sz w:val="36"/>
              <w:szCs w:val="44"/>
            </w:rPr>
            <w:t>第一章 招标公告</w:t>
          </w:r>
          <w:r>
            <w:rPr>
              <w:sz w:val="36"/>
              <w:szCs w:val="44"/>
            </w:rPr>
            <w:tab/>
          </w:r>
          <w:r>
            <w:rPr>
              <w:sz w:val="36"/>
              <w:szCs w:val="44"/>
            </w:rPr>
            <w:fldChar w:fldCharType="begin"/>
          </w:r>
          <w:r>
            <w:rPr>
              <w:sz w:val="36"/>
              <w:szCs w:val="44"/>
            </w:rPr>
            <w:instrText xml:space="preserve"> PAGEREF _Toc8459 \h </w:instrText>
          </w:r>
          <w:r>
            <w:rPr>
              <w:sz w:val="36"/>
              <w:szCs w:val="44"/>
            </w:rPr>
            <w:fldChar w:fldCharType="separate"/>
          </w:r>
          <w:r>
            <w:rPr>
              <w:sz w:val="36"/>
              <w:szCs w:val="44"/>
            </w:rPr>
            <w:t>2</w:t>
          </w:r>
          <w:r>
            <w:rPr>
              <w:sz w:val="36"/>
              <w:szCs w:val="44"/>
            </w:rPr>
            <w:fldChar w:fldCharType="end"/>
          </w:r>
          <w:r>
            <w:rPr>
              <w:sz w:val="36"/>
              <w:szCs w:val="44"/>
            </w:rPr>
            <w:fldChar w:fldCharType="end"/>
          </w:r>
        </w:p>
        <w:p>
          <w:pPr>
            <w:pStyle w:val="8"/>
            <w:tabs>
              <w:tab w:val="right" w:leader="dot" w:pos="9639"/>
            </w:tabs>
            <w:rPr>
              <w:sz w:val="36"/>
              <w:szCs w:val="44"/>
            </w:rPr>
          </w:pPr>
          <w:r>
            <w:fldChar w:fldCharType="begin"/>
          </w:r>
          <w:r>
            <w:instrText xml:space="preserve"> HYPERLINK \l "_Toc682" </w:instrText>
          </w:r>
          <w: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sz w:val="36"/>
              <w:szCs w:val="44"/>
            </w:rPr>
            <w:fldChar w:fldCharType="begin"/>
          </w:r>
          <w:r>
            <w:rPr>
              <w:sz w:val="36"/>
              <w:szCs w:val="44"/>
            </w:rPr>
            <w:instrText xml:space="preserve"> PAGEREF _Toc682 \h </w:instrText>
          </w:r>
          <w:r>
            <w:rPr>
              <w:sz w:val="36"/>
              <w:szCs w:val="44"/>
            </w:rPr>
            <w:fldChar w:fldCharType="separate"/>
          </w:r>
          <w:r>
            <w:rPr>
              <w:sz w:val="36"/>
              <w:szCs w:val="44"/>
            </w:rPr>
            <w:t>4</w:t>
          </w:r>
          <w:r>
            <w:rPr>
              <w:sz w:val="36"/>
              <w:szCs w:val="44"/>
            </w:rPr>
            <w:fldChar w:fldCharType="end"/>
          </w:r>
          <w:r>
            <w:rPr>
              <w:sz w:val="36"/>
              <w:szCs w:val="44"/>
            </w:rPr>
            <w:fldChar w:fldCharType="end"/>
          </w:r>
        </w:p>
        <w:p>
          <w:pPr>
            <w:pStyle w:val="8"/>
            <w:tabs>
              <w:tab w:val="right" w:leader="dot" w:pos="9639"/>
            </w:tabs>
            <w:rPr>
              <w:sz w:val="36"/>
              <w:szCs w:val="44"/>
            </w:rPr>
          </w:pPr>
          <w:r>
            <w:fldChar w:fldCharType="begin"/>
          </w:r>
          <w:r>
            <w:instrText xml:space="preserve"> HYPERLINK \l "_Toc17411" </w:instrText>
          </w:r>
          <w:r>
            <w:fldChar w:fldCharType="separate"/>
          </w:r>
          <w:r>
            <w:rPr>
              <w:rFonts w:hint="eastAsia"/>
              <w:sz w:val="36"/>
              <w:szCs w:val="44"/>
            </w:rPr>
            <w:t>第三章</w:t>
          </w:r>
          <w:r>
            <w:rPr>
              <w:sz w:val="36"/>
              <w:szCs w:val="44"/>
            </w:rPr>
            <w:t xml:space="preserve"> </w:t>
          </w:r>
          <w:r>
            <w:rPr>
              <w:rFonts w:hint="eastAsia"/>
              <w:sz w:val="36"/>
              <w:szCs w:val="44"/>
            </w:rPr>
            <w:t>合同条款及格式</w:t>
          </w:r>
          <w:r>
            <w:rPr>
              <w:sz w:val="36"/>
              <w:szCs w:val="44"/>
            </w:rPr>
            <w:tab/>
          </w:r>
          <w:r>
            <w:rPr>
              <w:rFonts w:hint="eastAsia"/>
              <w:sz w:val="36"/>
              <w:szCs w:val="44"/>
            </w:rPr>
            <w:t>7</w:t>
          </w:r>
          <w:r>
            <w:rPr>
              <w:rFonts w:hint="eastAsia"/>
              <w:sz w:val="36"/>
              <w:szCs w:val="44"/>
            </w:rPr>
            <w:fldChar w:fldCharType="end"/>
          </w:r>
        </w:p>
        <w:p>
          <w:pPr>
            <w:pStyle w:val="8"/>
            <w:tabs>
              <w:tab w:val="right" w:leader="dot" w:pos="9639"/>
            </w:tabs>
            <w:rPr>
              <w:rFonts w:hint="eastAsia" w:ascii="宋体" w:hAnsi="宋体" w:eastAsia="宋体" w:cs="宋体"/>
              <w:bCs/>
              <w:sz w:val="36"/>
              <w:szCs w:val="56"/>
            </w:rPr>
          </w:pPr>
          <w:r>
            <w:fldChar w:fldCharType="begin"/>
          </w:r>
          <w:r>
            <w:instrText xml:space="preserve"> HYPERLINK \l "_Toc27673" </w:instrText>
          </w:r>
          <w:r>
            <w:fldChar w:fldCharType="separate"/>
          </w:r>
          <w:r>
            <w:rPr>
              <w:rFonts w:hint="eastAsia"/>
              <w:sz w:val="36"/>
              <w:szCs w:val="44"/>
            </w:rPr>
            <w:t>第四章 工程量清单</w:t>
          </w:r>
          <w:r>
            <w:rPr>
              <w:sz w:val="36"/>
              <w:szCs w:val="44"/>
            </w:rPr>
            <w:tab/>
          </w:r>
          <w:r>
            <w:rPr>
              <w:rFonts w:hint="eastAsia"/>
              <w:sz w:val="36"/>
              <w:szCs w:val="44"/>
            </w:rPr>
            <w:t>1</w:t>
          </w:r>
          <w:r>
            <w:rPr>
              <w:rFonts w:hint="eastAsia"/>
              <w:sz w:val="36"/>
              <w:szCs w:val="44"/>
            </w:rPr>
            <w:fldChar w:fldCharType="end"/>
          </w:r>
          <w:r>
            <w:rPr>
              <w:rFonts w:hint="eastAsia"/>
              <w:sz w:val="36"/>
              <w:szCs w:val="44"/>
              <w:lang w:val="en-US" w:eastAsia="zh-CN"/>
            </w:rPr>
            <w:t>8</w:t>
          </w:r>
        </w:p>
        <w:p>
          <w:pPr>
            <w:pStyle w:val="8"/>
            <w:tabs>
              <w:tab w:val="right" w:leader="dot" w:pos="9639"/>
            </w:tabs>
          </w:pPr>
          <w:r>
            <w:fldChar w:fldCharType="begin"/>
          </w:r>
          <w:r>
            <w:instrText xml:space="preserve"> HYPERLINK \l "_Toc27673" </w:instrText>
          </w:r>
          <w:r>
            <w:fldChar w:fldCharType="separate"/>
          </w:r>
          <w:r>
            <w:rPr>
              <w:rFonts w:hint="eastAsia"/>
              <w:sz w:val="36"/>
              <w:szCs w:val="44"/>
            </w:rPr>
            <w:t>第</w:t>
          </w:r>
          <w:r>
            <w:rPr>
              <w:rFonts w:hint="eastAsia"/>
              <w:sz w:val="36"/>
              <w:szCs w:val="44"/>
              <w:lang w:val="en-US" w:eastAsia="zh-CN"/>
            </w:rPr>
            <w:t>五</w:t>
          </w:r>
          <w:r>
            <w:rPr>
              <w:rFonts w:hint="eastAsia"/>
              <w:sz w:val="36"/>
              <w:szCs w:val="44"/>
            </w:rPr>
            <w:t xml:space="preserve">章 </w:t>
          </w:r>
          <w:r>
            <w:rPr>
              <w:rFonts w:hint="eastAsia"/>
              <w:sz w:val="36"/>
              <w:szCs w:val="44"/>
              <w:lang w:val="en-US" w:eastAsia="zh-CN"/>
            </w:rPr>
            <w:t>图纸</w:t>
          </w:r>
          <w:r>
            <w:rPr>
              <w:sz w:val="36"/>
              <w:szCs w:val="44"/>
            </w:rPr>
            <w:tab/>
          </w:r>
          <w:r>
            <w:rPr>
              <w:rFonts w:hint="eastAsia"/>
              <w:sz w:val="36"/>
              <w:szCs w:val="44"/>
              <w:lang w:val="en-US" w:eastAsia="zh-CN"/>
            </w:rPr>
            <w:t>2</w:t>
          </w:r>
          <w:r>
            <w:rPr>
              <w:rFonts w:hint="eastAsia"/>
              <w:sz w:val="36"/>
              <w:szCs w:val="44"/>
            </w:rPr>
            <w:fldChar w:fldCharType="end"/>
          </w:r>
          <w:r>
            <w:rPr>
              <w:rFonts w:hint="eastAsia"/>
              <w:sz w:val="36"/>
              <w:szCs w:val="44"/>
              <w:lang w:val="en-US" w:eastAsia="zh-CN"/>
            </w:rPr>
            <w:t>1</w:t>
          </w:r>
        </w:p>
        <w:p>
          <w:pPr>
            <w:pStyle w:val="8"/>
            <w:tabs>
              <w:tab w:val="right" w:leader="dot" w:pos="9639"/>
            </w:tabs>
            <w:rPr>
              <w:rFonts w:eastAsia="宋体"/>
              <w:sz w:val="36"/>
              <w:szCs w:val="44"/>
            </w:rPr>
          </w:pPr>
          <w:r>
            <w:fldChar w:fldCharType="begin"/>
          </w:r>
          <w:r>
            <w:instrText xml:space="preserve"> HYPERLINK \l "_Toc9507" </w:instrText>
          </w:r>
          <w:r>
            <w:fldChar w:fldCharType="separate"/>
          </w:r>
          <w:r>
            <w:rPr>
              <w:rFonts w:hint="eastAsia"/>
              <w:sz w:val="36"/>
              <w:szCs w:val="44"/>
            </w:rPr>
            <w:t>第</w:t>
          </w:r>
          <w:r>
            <w:rPr>
              <w:rFonts w:hint="eastAsia"/>
              <w:sz w:val="36"/>
              <w:szCs w:val="44"/>
              <w:lang w:val="en-US" w:eastAsia="zh-CN"/>
            </w:rPr>
            <w:t>六</w:t>
          </w:r>
          <w:r>
            <w:rPr>
              <w:rFonts w:hint="eastAsia"/>
              <w:sz w:val="36"/>
              <w:szCs w:val="44"/>
            </w:rPr>
            <w:t>章 技术标准及要求</w:t>
          </w:r>
          <w:r>
            <w:rPr>
              <w:sz w:val="36"/>
              <w:szCs w:val="44"/>
            </w:rPr>
            <w:tab/>
          </w:r>
          <w:r>
            <w:rPr>
              <w:rFonts w:hint="eastAsia"/>
              <w:sz w:val="36"/>
              <w:szCs w:val="44"/>
              <w:lang w:val="en-US" w:eastAsia="zh-CN"/>
            </w:rPr>
            <w:t>22</w:t>
          </w:r>
          <w:r>
            <w:rPr>
              <w:rFonts w:hint="eastAsia"/>
              <w:sz w:val="36"/>
              <w:szCs w:val="44"/>
            </w:rPr>
            <w:fldChar w:fldCharType="end"/>
          </w:r>
        </w:p>
        <w:p>
          <w:pPr>
            <w:pStyle w:val="8"/>
            <w:tabs>
              <w:tab w:val="right" w:leader="dot" w:pos="9639"/>
            </w:tabs>
            <w:rPr>
              <w:sz w:val="36"/>
              <w:szCs w:val="44"/>
            </w:rPr>
          </w:pPr>
          <w:r>
            <w:fldChar w:fldCharType="begin"/>
          </w:r>
          <w:r>
            <w:instrText xml:space="preserve"> HYPERLINK \l "_Toc10055" </w:instrText>
          </w:r>
          <w:r>
            <w:fldChar w:fldCharType="separate"/>
          </w:r>
          <w:r>
            <w:rPr>
              <w:sz w:val="36"/>
              <w:szCs w:val="52"/>
            </w:rPr>
            <w:t>第</w:t>
          </w:r>
          <w:r>
            <w:rPr>
              <w:rFonts w:hint="eastAsia"/>
              <w:sz w:val="36"/>
              <w:szCs w:val="52"/>
              <w:lang w:val="en-US" w:eastAsia="zh-CN"/>
            </w:rPr>
            <w:t>七</w:t>
          </w:r>
          <w:r>
            <w:rPr>
              <w:sz w:val="36"/>
              <w:szCs w:val="52"/>
            </w:rPr>
            <w:t>章</w:t>
          </w:r>
          <w:r>
            <w:rPr>
              <w:rFonts w:hint="eastAsia"/>
              <w:sz w:val="36"/>
              <w:szCs w:val="52"/>
            </w:rPr>
            <w:t xml:space="preserve"> </w:t>
          </w:r>
          <w:r>
            <w:rPr>
              <w:sz w:val="36"/>
              <w:szCs w:val="52"/>
            </w:rPr>
            <w:t>投标文件格式</w:t>
          </w:r>
          <w:r>
            <w:rPr>
              <w:sz w:val="36"/>
              <w:szCs w:val="44"/>
            </w:rPr>
            <w:tab/>
          </w:r>
          <w:r>
            <w:rPr>
              <w:rFonts w:hint="eastAsia"/>
              <w:sz w:val="36"/>
              <w:szCs w:val="44"/>
            </w:rPr>
            <w:t>2</w:t>
          </w:r>
          <w:r>
            <w:rPr>
              <w:rFonts w:hint="eastAsia"/>
              <w:sz w:val="36"/>
              <w:szCs w:val="44"/>
            </w:rPr>
            <w:fldChar w:fldCharType="end"/>
          </w:r>
          <w:r>
            <w:rPr>
              <w:rFonts w:hint="eastAsia"/>
              <w:sz w:val="36"/>
              <w:szCs w:val="44"/>
              <w:lang w:val="en-US" w:eastAsia="zh-CN"/>
            </w:rPr>
            <w:t>6</w:t>
          </w:r>
        </w:p>
        <w:p>
          <w:pPr>
            <w:spacing w:line="560" w:lineRule="exact"/>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9"/>
        <w:pageBreakBefore/>
      </w:pPr>
      <w:bookmarkStart w:id="0" w:name="_Toc8459"/>
      <w:bookmarkStart w:id="1" w:name="_Toc448097401"/>
      <w:r>
        <w:rPr>
          <w:rFonts w:hint="eastAsia"/>
        </w:rPr>
        <w:t>第一章 招标公告</w:t>
      </w:r>
      <w:bookmarkEnd w:id="0"/>
      <w:bookmarkEnd w:id="1"/>
    </w:p>
    <w:p>
      <w:pPr>
        <w:widowControl/>
        <w:snapToGrid w:val="0"/>
        <w:spacing w:line="360" w:lineRule="exact"/>
        <w:jc w:val="left"/>
        <w:rPr>
          <w:rFonts w:ascii="宋体" w:hAnsi="宋体" w:eastAsia="宋体" w:cs="宋体"/>
          <w:kern w:val="0"/>
          <w:sz w:val="24"/>
          <w:szCs w:val="24"/>
        </w:rPr>
      </w:pPr>
      <w:r>
        <w:rPr>
          <w:rFonts w:hint="eastAsia" w:ascii="宋体" w:hAnsi="宋体" w:eastAsia="宋体" w:cs="宋体"/>
          <w:b/>
          <w:bCs/>
          <w:kern w:val="0"/>
          <w:sz w:val="24"/>
          <w:szCs w:val="24"/>
        </w:rPr>
        <w:t>一、招标内容</w:t>
      </w:r>
    </w:p>
    <w:p>
      <w:pPr>
        <w:widowControl/>
        <w:numPr>
          <w:ilvl w:val="0"/>
          <w:numId w:val="1"/>
        </w:numPr>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项目概况：为缓解6号道口过检负荷，加强道口安全管控，提升道口运行效率，对6号道口检查室入口进行改造、增设人员出口通道、增设司机检查室出口、调整检查室布局等。</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（2）实施内容：详见工程量清单</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图纸</w:t>
      </w:r>
      <w:r>
        <w:rPr>
          <w:rFonts w:hint="eastAsia" w:ascii="宋体" w:hAnsi="宋体" w:eastAsia="宋体" w:cs="宋体"/>
          <w:kern w:val="0"/>
          <w:sz w:val="24"/>
          <w:szCs w:val="24"/>
        </w:rPr>
        <w:t>和技术标准及要求。</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（3）本项目设一个标段，要求甲方通知进场后</w:t>
      </w:r>
      <w:r>
        <w:rPr>
          <w:rFonts w:hint="eastAsia" w:ascii="宋体" w:hAnsi="宋体" w:eastAsia="宋体" w:cs="宋体"/>
          <w:color w:val="auto"/>
          <w:kern w:val="0"/>
          <w:sz w:val="24"/>
          <w:szCs w:val="24"/>
          <w:u w:val="single"/>
          <w:lang w:val="en-US" w:eastAsia="zh-CN"/>
        </w:rPr>
        <w:t>10</w:t>
      </w:r>
      <w:r>
        <w:rPr>
          <w:rFonts w:hint="eastAsia" w:ascii="宋体" w:hAnsi="宋体" w:eastAsia="宋体" w:cs="宋体"/>
          <w:kern w:val="0"/>
          <w:sz w:val="24"/>
          <w:szCs w:val="24"/>
        </w:rPr>
        <w:t>日历天内完工。</w:t>
      </w: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二、 资格要求 </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建筑工程施工总承包三级</w:t>
      </w:r>
      <w:r>
        <w:rPr>
          <w:rFonts w:hint="eastAsia" w:ascii="宋体" w:hAnsi="宋体" w:eastAsia="宋体" w:cs="宋体"/>
          <w:b/>
          <w:bCs/>
          <w:kern w:val="0"/>
          <w:sz w:val="24"/>
          <w:szCs w:val="24"/>
        </w:rPr>
        <w:t>或</w:t>
      </w:r>
      <w:r>
        <w:rPr>
          <w:rFonts w:hint="eastAsia" w:ascii="宋体" w:hAnsi="宋体" w:eastAsia="宋体" w:cs="宋体"/>
          <w:b/>
          <w:bCs/>
          <w:kern w:val="0"/>
          <w:sz w:val="24"/>
          <w:szCs w:val="24"/>
          <w:u w:val="single"/>
        </w:rPr>
        <w:t>建筑装修装饰工程专业承包二级</w:t>
      </w:r>
      <w:r>
        <w:rPr>
          <w:rFonts w:hint="eastAsia" w:ascii="宋体" w:hAnsi="宋体" w:eastAsia="宋体" w:cs="宋体"/>
          <w:b/>
          <w:bCs/>
          <w:kern w:val="0"/>
          <w:sz w:val="24"/>
          <w:szCs w:val="24"/>
        </w:rPr>
        <w:t>及以上资质。</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widowControl/>
        <w:snapToGrid w:val="0"/>
        <w:spacing w:line="320" w:lineRule="exact"/>
        <w:jc w:val="left"/>
        <w:rPr>
          <w:rFonts w:ascii="宋体" w:hAnsi="宋体" w:eastAsia="宋体" w:cs="宋体"/>
          <w:b/>
          <w:bCs/>
          <w:kern w:val="0"/>
          <w:sz w:val="24"/>
          <w:szCs w:val="24"/>
        </w:rPr>
      </w:pPr>
      <w:bookmarkStart w:id="2" w:name="_Toc448097403"/>
      <w:bookmarkStart w:id="3" w:name="_Toc448097402"/>
      <w:r>
        <w:rPr>
          <w:rFonts w:hint="eastAsia" w:ascii="宋体" w:hAnsi="宋体" w:eastAsia="宋体" w:cs="宋体"/>
          <w:b/>
          <w:bCs/>
          <w:kern w:val="0"/>
          <w:sz w:val="24"/>
          <w:szCs w:val="24"/>
        </w:rPr>
        <w:t>三、招标文件获取</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snapToGrid w:val="0"/>
        <w:spacing w:line="320" w:lineRule="exact"/>
        <w:rPr>
          <w:rFonts w:ascii="宋体" w:hAnsi="宋体" w:eastAsia="宋体" w:cs="宋体"/>
          <w:b/>
          <w:bCs/>
          <w:sz w:val="24"/>
          <w:szCs w:val="24"/>
        </w:rPr>
      </w:pPr>
      <w:r>
        <w:rPr>
          <w:rFonts w:hint="eastAsia" w:ascii="宋体" w:hAnsi="宋体" w:eastAsia="宋体" w:cs="宋体"/>
          <w:b/>
          <w:bCs/>
          <w:sz w:val="24"/>
          <w:szCs w:val="24"/>
        </w:rPr>
        <w:t>四、踏勘现场</w:t>
      </w:r>
    </w:p>
    <w:p>
      <w:pPr>
        <w:snapToGrid w:val="0"/>
        <w:spacing w:line="360" w:lineRule="exact"/>
        <w:ind w:firstLine="480" w:firstLineChars="200"/>
        <w:rPr>
          <w:rFonts w:ascii="宋体" w:hAnsi="宋体" w:eastAsia="宋体" w:cs="宋体"/>
          <w:b/>
          <w:bCs/>
          <w:kern w:val="0"/>
          <w:sz w:val="24"/>
          <w:szCs w:val="24"/>
        </w:rPr>
      </w:pPr>
      <w:r>
        <w:rPr>
          <w:rFonts w:hint="eastAsia" w:ascii="宋体" w:hAnsi="宋体" w:eastAsia="宋体" w:cs="宋体"/>
          <w:sz w:val="24"/>
          <w:szCs w:val="24"/>
        </w:rPr>
        <w:t>招标人组织踏勘现场，集中踏勘时间为</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（北京时间）。踏勘集中地点为</w:t>
      </w:r>
      <w:r>
        <w:rPr>
          <w:rFonts w:hint="eastAsia" w:ascii="宋体" w:hAnsi="宋体" w:eastAsia="宋体" w:cs="宋体"/>
          <w:b/>
          <w:bCs/>
          <w:color w:val="auto"/>
          <w:kern w:val="0"/>
          <w:sz w:val="24"/>
          <w:szCs w:val="24"/>
          <w:lang w:val="en-US" w:eastAsia="zh-CN"/>
        </w:rPr>
        <w:t>杭州萧山国际机场物业维修中心</w:t>
      </w:r>
      <w:r>
        <w:rPr>
          <w:rFonts w:hint="eastAsia" w:ascii="宋体" w:hAnsi="宋体" w:eastAsia="宋体" w:cs="宋体"/>
          <w:kern w:val="0"/>
          <w:sz w:val="24"/>
          <w:szCs w:val="24"/>
        </w:rPr>
        <w:t>，</w:t>
      </w:r>
      <w:r>
        <w:rPr>
          <w:rFonts w:hint="eastAsia" w:ascii="宋体" w:hAnsi="宋体" w:eastAsia="宋体" w:cs="宋体"/>
          <w:b/>
          <w:bCs/>
          <w:kern w:val="0"/>
          <w:sz w:val="24"/>
          <w:szCs w:val="24"/>
        </w:rPr>
        <w:t>由于未参加现场踏勘引起的报价失误等责任由投标人自负。</w:t>
      </w:r>
    </w:p>
    <w:p>
      <w:pPr>
        <w:numPr>
          <w:ilvl w:val="0"/>
          <w:numId w:val="2"/>
        </w:numPr>
        <w:snapToGrid w:val="0"/>
        <w:spacing w:line="320" w:lineRule="exact"/>
        <w:rPr>
          <w:rFonts w:ascii="宋体" w:hAnsi="宋体" w:eastAsia="宋体" w:cs="宋体"/>
          <w:b/>
          <w:bCs/>
          <w:kern w:val="0"/>
          <w:sz w:val="24"/>
          <w:szCs w:val="24"/>
        </w:rPr>
      </w:pPr>
      <w:r>
        <w:rPr>
          <w:rFonts w:hint="eastAsia" w:ascii="宋体" w:hAnsi="宋体" w:eastAsia="宋体" w:cs="宋体"/>
          <w:b/>
          <w:bCs/>
          <w:kern w:val="0"/>
          <w:sz w:val="24"/>
          <w:szCs w:val="24"/>
        </w:rPr>
        <w:t>招标答疑</w:t>
      </w:r>
    </w:p>
    <w:p>
      <w:pPr>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，以E-mail及书面形式提交给招标人（邮箱：</w:t>
      </w:r>
      <w:r>
        <w:rPr>
          <w:rFonts w:hint="eastAsia" w:ascii="宋体" w:hAnsi="宋体" w:eastAsia="宋体" w:cs="宋体"/>
          <w:kern w:val="0"/>
          <w:sz w:val="24"/>
          <w:szCs w:val="24"/>
          <w:lang w:val="en-US" w:eastAsia="zh-CN"/>
        </w:rPr>
        <w:t>373285581@qq.com</w:t>
      </w: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吴淼清</w:t>
      </w:r>
      <w:r>
        <w:rPr>
          <w:rFonts w:hint="eastAsia" w:ascii="宋体" w:hAnsi="宋体" w:eastAsia="宋体" w:cs="宋体"/>
          <w:kern w:val="0"/>
          <w:sz w:val="24"/>
          <w:szCs w:val="24"/>
        </w:rPr>
        <w:t>）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snapToGrid w:val="0"/>
        <w:spacing w:line="32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六、投标文件的递交</w:t>
      </w:r>
    </w:p>
    <w:p>
      <w:pPr>
        <w:widowControl/>
        <w:adjustRightInd w:val="0"/>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19</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（北京时间）。投标文件在封口处加盖公章并注明是：</w:t>
      </w:r>
      <w:r>
        <w:rPr>
          <w:rFonts w:hint="eastAsia" w:ascii="宋体" w:hAnsi="宋体" w:eastAsia="宋体" w:cs="宋体"/>
          <w:b/>
          <w:bCs/>
          <w:color w:val="000000" w:themeColor="text1"/>
          <w:sz w:val="24"/>
          <w:szCs w:val="24"/>
          <w14:textFill>
            <w14:solidFill>
              <w14:schemeClr w14:val="tx1"/>
            </w14:solidFill>
          </w14:textFill>
        </w:rPr>
        <w:t>杭州萧山国际机场6号道口改造项目招标文件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rPr>
        <w:t xml:space="preserve">    </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19</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（北京时间）前送至</w:t>
      </w:r>
      <w:r>
        <w:rPr>
          <w:rFonts w:hint="eastAsia" w:ascii="宋体" w:hAnsi="宋体" w:eastAsia="宋体" w:cs="宋体"/>
          <w:b/>
          <w:bCs/>
          <w:color w:val="auto"/>
          <w:kern w:val="0"/>
          <w:sz w:val="24"/>
          <w:szCs w:val="24"/>
          <w:lang w:val="en-US" w:eastAsia="zh-CN"/>
        </w:rPr>
        <w:t>杭州萧山国际机场物业维修中心</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19</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（北京时间）前投递至</w:t>
      </w:r>
      <w:r>
        <w:rPr>
          <w:rFonts w:hint="eastAsia" w:ascii="宋体" w:hAnsi="宋体" w:eastAsia="宋体" w:cs="宋体"/>
          <w:b/>
          <w:bCs/>
          <w:color w:val="auto"/>
          <w:kern w:val="0"/>
          <w:sz w:val="24"/>
          <w:szCs w:val="24"/>
          <w:lang w:val="en-US" w:eastAsia="zh-CN"/>
        </w:rPr>
        <w:t>杭州萧山国际机场物业维修中心</w:t>
      </w:r>
      <w:r>
        <w:rPr>
          <w:rFonts w:hint="eastAsia" w:ascii="宋体" w:hAnsi="宋体" w:eastAsia="宋体" w:cs="宋体"/>
          <w:kern w:val="0"/>
          <w:sz w:val="24"/>
          <w:szCs w:val="24"/>
        </w:rPr>
        <w:t>，快递面单上注明是：</w:t>
      </w:r>
      <w:r>
        <w:rPr>
          <w:rFonts w:hint="eastAsia" w:ascii="宋体" w:hAnsi="宋体" w:eastAsia="宋体" w:cs="宋体"/>
          <w:b/>
          <w:bCs/>
          <w:color w:val="000000" w:themeColor="text1"/>
          <w:sz w:val="24"/>
          <w:szCs w:val="24"/>
          <w14:textFill>
            <w14:solidFill>
              <w14:schemeClr w14:val="tx1"/>
            </w14:solidFill>
          </w14:textFill>
        </w:rPr>
        <w:t>杭州萧山国际机场6号道口改造项目招标文件</w:t>
      </w:r>
      <w:r>
        <w:rPr>
          <w:rFonts w:hint="eastAsia" w:ascii="宋体" w:hAnsi="宋体" w:eastAsia="宋体" w:cs="宋体"/>
          <w:b/>
          <w:bCs/>
          <w:color w:val="000000" w:themeColor="text1"/>
          <w:kern w:val="0"/>
          <w:sz w:val="24"/>
          <w:szCs w:val="24"/>
          <w14:textFill>
            <w14:solidFill>
              <w14:schemeClr w14:val="tx1"/>
            </w14:solidFill>
          </w14:textFill>
        </w:rPr>
        <w:t>。</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（3）投标文件正本一份，副本二份。</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（4）投标文件封面（或扉页）、投标函以及各类报价表均须加盖投标人单位章，并经法定代表人（或其委托代理人）签字或盖章。</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（5）装订要求为不分册装订，每册采用胶装等方式装订，装订应牢固、不易拆散和换页，不得采用活页装订。</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（6）封套上写明：</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招标人的地址：</w:t>
      </w:r>
      <w:r>
        <w:rPr>
          <w:rFonts w:hint="eastAsia" w:asciiTheme="minorEastAsia" w:hAnsiTheme="minorEastAsia" w:cstheme="minorEastAsia"/>
          <w:sz w:val="24"/>
          <w:szCs w:val="24"/>
          <w:u w:val="single"/>
        </w:rPr>
        <w:t>杭州萧山国际机场内</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招标人名称：</w:t>
      </w:r>
      <w:r>
        <w:rPr>
          <w:rFonts w:hint="eastAsia" w:asciiTheme="minorEastAsia" w:hAnsiTheme="minorEastAsia" w:cstheme="minorEastAsia"/>
          <w:kern w:val="0"/>
          <w:sz w:val="24"/>
          <w:szCs w:val="24"/>
          <w:u w:val="single"/>
        </w:rPr>
        <w:t>杭州萧山国际机场有限公司</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项目名称：</w:t>
      </w:r>
      <w:r>
        <w:rPr>
          <w:rFonts w:hint="eastAsia" w:asciiTheme="minorEastAsia" w:hAnsiTheme="minorEastAsia" w:cstheme="minorEastAsia"/>
          <w:sz w:val="24"/>
          <w:szCs w:val="24"/>
          <w:u w:val="single"/>
        </w:rPr>
        <w:t>杭州萧山国际机场6号道口改造项目</w:t>
      </w:r>
      <w:r>
        <w:rPr>
          <w:rFonts w:hint="eastAsia" w:asciiTheme="minorEastAsia" w:hAnsiTheme="minorEastAsia" w:cstheme="minorEastAsia"/>
          <w:sz w:val="24"/>
          <w:szCs w:val="24"/>
        </w:rPr>
        <w:t>投标文件</w:t>
      </w:r>
    </w:p>
    <w:p>
      <w:pPr>
        <w:widowControl/>
        <w:adjustRightInd w:val="0"/>
        <w:snapToGrid w:val="0"/>
        <w:spacing w:line="32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在</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2022</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年</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12</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月</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19</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日</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时</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30</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分</w:t>
      </w:r>
      <w:r>
        <w:rPr>
          <w:rFonts w:hint="eastAsia" w:asciiTheme="minorEastAsia" w:hAnsiTheme="minorEastAsia" w:cstheme="minorEastAsia"/>
          <w:kern w:val="0"/>
          <w:sz w:val="24"/>
          <w:szCs w:val="24"/>
        </w:rPr>
        <w:t>（即开标时间）前不得开启</w:t>
      </w:r>
    </w:p>
    <w:p>
      <w:pPr>
        <w:widowControl/>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七、开标</w:t>
      </w:r>
    </w:p>
    <w:p>
      <w:pPr>
        <w:autoSpaceDE w:val="0"/>
        <w:autoSpaceDN w:val="0"/>
        <w:adjustRightInd w:val="0"/>
        <w:snapToGrid w:val="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（1）开标时间同投标截止时间，开标地点为</w:t>
      </w:r>
      <w:r>
        <w:rPr>
          <w:rFonts w:hint="eastAsia" w:asciiTheme="minorEastAsia" w:hAnsiTheme="minorEastAsia" w:cstheme="minorEastAsia"/>
          <w:b/>
          <w:sz w:val="24"/>
          <w:szCs w:val="24"/>
        </w:rPr>
        <w:t>杭州萧山国际机场翔越路综合服务楼园区招标中心。</w:t>
      </w:r>
      <w:bookmarkStart w:id="30" w:name="_GoBack"/>
      <w:bookmarkEnd w:id="30"/>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（2）由投标人或者其集体推选的代表检查投标文件的密封情况，开标顺序按照后送达先开的顺序。</w:t>
      </w:r>
    </w:p>
    <w:p>
      <w:pPr>
        <w:widowControl/>
        <w:numPr>
          <w:ilvl w:val="0"/>
          <w:numId w:val="3"/>
        </w:numPr>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其他说明</w:t>
      </w:r>
    </w:p>
    <w:p>
      <w:pPr>
        <w:widowControl/>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xml:space="preserve">    </w:t>
      </w:r>
      <w:r>
        <w:rPr>
          <w:rFonts w:hint="eastAsia" w:asciiTheme="minorEastAsia" w:hAnsiTheme="minorEastAsia" w:cstheme="minorEastAsia"/>
          <w:kern w:val="0"/>
          <w:sz w:val="24"/>
          <w:szCs w:val="24"/>
        </w:rPr>
        <w:t>（1）采取公开招标和资格后审。</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 xml:space="preserve">    </w:t>
      </w:r>
      <w:r>
        <w:rPr>
          <w:rFonts w:hint="eastAsia" w:asciiTheme="minorEastAsia" w:hAnsiTheme="minorEastAsia" w:cstheme="minorEastAsia"/>
          <w:kern w:val="0"/>
          <w:sz w:val="24"/>
          <w:szCs w:val="24"/>
        </w:rPr>
        <w:t>（1）评标委员会由3人及以上单数构成；</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（2）评标委员会成员招标人自行组建。</w:t>
      </w:r>
    </w:p>
    <w:p>
      <w:pPr>
        <w:widowControl/>
        <w:adjustRightInd w:val="0"/>
        <w:snapToGrid w:val="0"/>
        <w:spacing w:line="320" w:lineRule="exact"/>
        <w:ind w:firstLine="480" w:firstLineChars="200"/>
      </w:pPr>
      <w:r>
        <w:rPr>
          <w:rFonts w:hint="eastAsia" w:asciiTheme="minorEastAsia" w:hAnsiTheme="minorEastAsia" w:cstheme="minorEastAsia"/>
          <w:kern w:val="0"/>
          <w:sz w:val="24"/>
          <w:szCs w:val="24"/>
        </w:rPr>
        <w:t>（3）评标委员会推荐的中标候选人数：1人。</w:t>
      </w:r>
    </w:p>
    <w:p>
      <w:pPr>
        <w:pStyle w:val="9"/>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bookmarkStart w:id="4" w:name="_Toc3775"/>
      <w:bookmarkStart w:id="5" w:name="_Toc19218"/>
      <w:r>
        <w:rPr>
          <w:rFonts w:hint="eastAsia" w:asciiTheme="minorEastAsia" w:hAnsiTheme="minorEastAsia" w:eastAsiaTheme="minorEastAsia" w:cstheme="minorEastAsia"/>
          <w:b w:val="0"/>
          <w:bCs w:val="0"/>
          <w:sz w:val="24"/>
          <w:szCs w:val="24"/>
        </w:rPr>
        <w:t>（4）</w:t>
      </w:r>
      <w:bookmarkEnd w:id="4"/>
      <w:bookmarkEnd w:id="5"/>
      <w:r>
        <w:rPr>
          <w:rFonts w:hint="eastAsia" w:asciiTheme="minorEastAsia" w:hAnsiTheme="minorEastAsia" w:eastAsiaTheme="minorEastAsia" w:cstheme="minorEastAsia"/>
          <w:b w:val="0"/>
          <w:bCs w:val="0"/>
          <w:sz w:val="24"/>
          <w:szCs w:val="24"/>
        </w:rPr>
        <w:t>本次评标采用综合评估法推荐中标候选人。</w:t>
      </w:r>
    </w:p>
    <w:p>
      <w:pPr>
        <w:widowControl/>
        <w:snapToGrid w:val="0"/>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九、发布公告的媒介</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p>
    <w:p>
      <w:pPr>
        <w:widowControl/>
        <w:snapToGrid w:val="0"/>
        <w:spacing w:line="32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十、联系方式</w:t>
      </w:r>
    </w:p>
    <w:p>
      <w:pPr>
        <w:widowControl/>
        <w:snapToGrid w:val="0"/>
        <w:spacing w:line="3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投标联系人：吴淼清        联系电话：0571-86662348 </w:t>
      </w:r>
    </w:p>
    <w:p>
      <w:pPr>
        <w:widowControl/>
        <w:snapToGrid w:val="0"/>
        <w:spacing w:line="3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监督联系人：闻晓丽        联系电话：0571-86662361</w:t>
      </w:r>
    </w:p>
    <w:p>
      <w:pPr>
        <w:widowControl/>
        <w:snapToGrid w:val="0"/>
        <w:spacing w:line="320" w:lineRule="exact"/>
        <w:ind w:firstLine="480" w:firstLineChars="200"/>
        <w:jc w:val="left"/>
        <w:rPr>
          <w:rFonts w:ascii="宋体" w:hAnsi="宋体" w:eastAsia="宋体" w:cs="宋体"/>
          <w:color w:val="000000" w:themeColor="text1"/>
          <w:sz w:val="24"/>
          <w:szCs w:val="24"/>
          <w14:textFill>
            <w14:solidFill>
              <w14:schemeClr w14:val="tx1"/>
            </w14:solidFill>
          </w14:textFill>
        </w:rPr>
      </w:pPr>
    </w:p>
    <w:p>
      <w:pPr>
        <w:pStyle w:val="9"/>
      </w:pPr>
    </w:p>
    <w:p>
      <w:pPr>
        <w:pStyle w:val="9"/>
      </w:pPr>
    </w:p>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
      <w:pPr>
        <w:pStyle w:val="9"/>
        <w:keepNext/>
        <w:pageBreakBefore/>
        <w:jc w:val="both"/>
      </w:pPr>
    </w:p>
    <w:bookmarkEnd w:id="2"/>
    <w:bookmarkEnd w:id="3"/>
    <w:p>
      <w:pPr>
        <w:pStyle w:val="9"/>
      </w:pPr>
      <w:bookmarkStart w:id="6" w:name="_Toc27752"/>
      <w:bookmarkStart w:id="7" w:name="_Toc448097404"/>
      <w:bookmarkStart w:id="8" w:name="_Toc24237"/>
      <w:r>
        <w:t>第</w:t>
      </w:r>
      <w:r>
        <w:rPr>
          <w:rFonts w:hint="eastAsia"/>
        </w:rPr>
        <w:t>二</w:t>
      </w:r>
      <w:r>
        <w:t xml:space="preserve">章  </w:t>
      </w:r>
      <w:r>
        <w:rPr>
          <w:rFonts w:hint="eastAsia"/>
        </w:rPr>
        <w:t>评标办法</w:t>
      </w:r>
      <w:bookmarkEnd w:id="6"/>
    </w:p>
    <w:p>
      <w:pPr>
        <w:autoSpaceDE w:val="0"/>
        <w:autoSpaceDN w:val="0"/>
        <w:adjustRightInd w:val="0"/>
        <w:spacing w:before="3" w:line="100" w:lineRule="exact"/>
        <w:jc w:val="left"/>
        <w:rPr>
          <w:rFonts w:ascii="微软雅黑" w:hAnsi="Times New Roman" w:cs="微软雅黑"/>
          <w:kern w:val="0"/>
          <w:sz w:val="10"/>
          <w:szCs w:val="10"/>
        </w:rPr>
      </w:pPr>
      <w:bookmarkStart w:id="9" w:name="_Toc31578"/>
    </w:p>
    <w:bookmarkEnd w:id="9"/>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10"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10"/>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1" w:name="_Hlk47377053"/>
      <w:r>
        <w:rPr>
          <w:rFonts w:hint="eastAsia" w:ascii="宋体" w:hAnsi="宋体" w:cs="宋体"/>
          <w:sz w:val="22"/>
        </w:rPr>
        <w:t>经评标委员会</w:t>
      </w:r>
      <w:bookmarkStart w:id="12" w:name="_Hlk47446073"/>
      <w:r>
        <w:rPr>
          <w:rFonts w:hint="eastAsia" w:ascii="宋体" w:hAnsi="宋体" w:cs="宋体"/>
          <w:sz w:val="22"/>
        </w:rPr>
        <w:t>评审后，符合性审查不予通过，不再进行下一步评审</w:t>
      </w:r>
      <w:bookmarkEnd w:id="12"/>
      <w:r>
        <w:rPr>
          <w:rFonts w:hint="eastAsia" w:ascii="宋体" w:hAnsi="宋体" w:cs="宋体"/>
          <w:sz w:val="22"/>
        </w:rPr>
        <w:t>。</w:t>
      </w:r>
      <w:bookmarkEnd w:id="11"/>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3"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3"/>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40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施工方案与技术措施</w:t>
            </w:r>
          </w:p>
        </w:tc>
        <w:tc>
          <w:tcPr>
            <w:tcW w:w="6586" w:type="dxa"/>
            <w:vAlign w:val="center"/>
          </w:tcPr>
          <w:p>
            <w:pPr>
              <w:snapToGrid w:val="0"/>
              <w:jc w:val="left"/>
              <w:rPr>
                <w:rFonts w:ascii="宋体" w:hAnsi="宋体"/>
                <w:sz w:val="22"/>
              </w:rPr>
            </w:pPr>
            <w:r>
              <w:rPr>
                <w:rFonts w:hint="eastAsia" w:ascii="宋体" w:hAnsi="宋体"/>
                <w:sz w:val="22"/>
              </w:rPr>
              <w:t>施工方案与技术措施内容的完整性、针对性和可行性</w:t>
            </w:r>
            <w:r>
              <w:rPr>
                <w:rFonts w:ascii="宋体" w:hAnsi="宋体"/>
                <w:sz w:val="22"/>
              </w:rPr>
              <w:t>，</w:t>
            </w:r>
            <w:r>
              <w:rPr>
                <w:rFonts w:hint="eastAsia" w:ascii="宋体" w:hAnsi="宋体"/>
                <w:sz w:val="22"/>
                <w:lang w:eastAsia="zh-Hans"/>
              </w:rPr>
              <w:t>特别是针对本项目重点难点部位</w:t>
            </w:r>
            <w:r>
              <w:rPr>
                <w:rFonts w:ascii="宋体" w:hAnsi="宋体"/>
                <w:sz w:val="22"/>
              </w:rPr>
              <w:t>；</w:t>
            </w:r>
            <w:r>
              <w:rPr>
                <w:rFonts w:hint="eastAsia" w:ascii="宋体" w:hAnsi="宋体"/>
                <w:sz w:val="22"/>
              </w:rPr>
              <w:t>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质量管理体系与措施</w:t>
            </w:r>
          </w:p>
        </w:tc>
        <w:tc>
          <w:tcPr>
            <w:tcW w:w="6586" w:type="dxa"/>
            <w:vAlign w:val="center"/>
          </w:tcPr>
          <w:p>
            <w:pPr>
              <w:snapToGrid w:val="0"/>
              <w:jc w:val="left"/>
              <w:rPr>
                <w:rFonts w:ascii="宋体" w:hAnsi="宋体"/>
                <w:sz w:val="22"/>
              </w:rPr>
            </w:pPr>
            <w:r>
              <w:rPr>
                <w:rFonts w:hint="eastAsia" w:ascii="宋体" w:hAnsi="宋体"/>
                <w:sz w:val="22"/>
              </w:rPr>
              <w:t>施工质量的控制和检验手段是否科学、可靠；各投标文件横向比较，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安全管理体系与措施</w:t>
            </w:r>
          </w:p>
        </w:tc>
        <w:tc>
          <w:tcPr>
            <w:tcW w:w="6586" w:type="dxa"/>
            <w:vAlign w:val="center"/>
          </w:tcPr>
          <w:p>
            <w:pPr>
              <w:snapToGrid w:val="0"/>
              <w:jc w:val="left"/>
              <w:rPr>
                <w:rFonts w:ascii="宋体" w:hAnsi="宋体"/>
                <w:sz w:val="22"/>
              </w:rPr>
            </w:pPr>
            <w:r>
              <w:rPr>
                <w:rFonts w:hint="eastAsia" w:ascii="宋体" w:hAnsi="宋体"/>
                <w:sz w:val="22"/>
              </w:rPr>
              <w:t>安全、文明施工的保证措施是否科学、到位；由于施工区域靠近机场内隧道，是否采取有效措施避免对过隧道车辆秩序造成影响；夜间施工须避免施工灯光污染，影响飞机滑行的措施；各投标文件横向比较，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环境保护管理体系与措施</w:t>
            </w:r>
          </w:p>
        </w:tc>
        <w:tc>
          <w:tcPr>
            <w:tcW w:w="6586" w:type="dxa"/>
            <w:vAlign w:val="center"/>
          </w:tcPr>
          <w:p>
            <w:pPr>
              <w:snapToGrid w:val="0"/>
              <w:jc w:val="left"/>
              <w:rPr>
                <w:rFonts w:ascii="宋体" w:hAnsi="宋体"/>
                <w:sz w:val="22"/>
              </w:rPr>
            </w:pPr>
            <w:r>
              <w:rPr>
                <w:rFonts w:hint="eastAsia" w:ascii="宋体" w:hAnsi="宋体"/>
                <w:sz w:val="22"/>
              </w:rPr>
              <w:t>市政、市容、环保、消防等的保证措施是否科学、到位，由于工程施工位置在机场隔离区，施工单位防止FOD入侵的措施；各投标文件横向比较，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工期保证体系及保证措施</w:t>
            </w:r>
          </w:p>
        </w:tc>
        <w:tc>
          <w:tcPr>
            <w:tcW w:w="6586" w:type="dxa"/>
            <w:vAlign w:val="center"/>
          </w:tcPr>
          <w:p>
            <w:pPr>
              <w:snapToGrid w:val="0"/>
              <w:jc w:val="left"/>
              <w:rPr>
                <w:rFonts w:ascii="宋体" w:hAnsi="宋体"/>
                <w:sz w:val="22"/>
              </w:rPr>
            </w:pPr>
            <w:r>
              <w:rPr>
                <w:rFonts w:hint="eastAsia" w:ascii="宋体" w:hAnsi="宋体"/>
                <w:sz w:val="22"/>
              </w:rPr>
              <w:t>工期承诺及施工进度网络计划、关键节点和线路的技术保证措施是否具有针对性和可行性；现场施工不利条件和疫情对施工</w:t>
            </w:r>
            <w:r>
              <w:rPr>
                <w:rFonts w:hint="eastAsia" w:ascii="宋体" w:hAnsi="宋体"/>
                <w:sz w:val="22"/>
                <w:lang w:eastAsia="zh-Hans"/>
              </w:rPr>
              <w:t>工期</w:t>
            </w:r>
            <w:r>
              <w:rPr>
                <w:rFonts w:hint="eastAsia" w:ascii="宋体" w:hAnsi="宋体"/>
                <w:sz w:val="22"/>
              </w:rPr>
              <w:t>带来</w:t>
            </w:r>
            <w:r>
              <w:rPr>
                <w:rFonts w:hint="eastAsia" w:ascii="宋体" w:hAnsi="宋体"/>
                <w:sz w:val="22"/>
                <w:lang w:eastAsia="zh-Hans"/>
              </w:rPr>
              <w:t>的</w:t>
            </w:r>
            <w:r>
              <w:rPr>
                <w:rFonts w:hint="eastAsia" w:ascii="宋体" w:hAnsi="宋体"/>
                <w:sz w:val="22"/>
              </w:rPr>
              <w:t>影响</w:t>
            </w:r>
            <w:r>
              <w:rPr>
                <w:rFonts w:hint="eastAsia" w:ascii="宋体" w:hAnsi="宋体"/>
                <w:sz w:val="22"/>
                <w:lang w:eastAsia="zh-Hans"/>
              </w:rPr>
              <w:t>及</w:t>
            </w:r>
            <w:r>
              <w:rPr>
                <w:rFonts w:hint="eastAsia" w:ascii="宋体" w:hAnsi="宋体"/>
                <w:sz w:val="22"/>
              </w:rPr>
              <w:t>解决办法；配合建设方提请施工相关报批手续；各投标文件横向比较，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资源配置计划</w:t>
            </w:r>
          </w:p>
        </w:tc>
        <w:tc>
          <w:tcPr>
            <w:tcW w:w="6586" w:type="dxa"/>
            <w:vAlign w:val="center"/>
          </w:tcPr>
          <w:p>
            <w:pPr>
              <w:snapToGrid w:val="0"/>
              <w:jc w:val="left"/>
              <w:rPr>
                <w:rFonts w:ascii="宋体" w:hAnsi="宋体"/>
                <w:sz w:val="22"/>
              </w:rPr>
            </w:pPr>
            <w:r>
              <w:rPr>
                <w:rFonts w:hint="eastAsia" w:ascii="宋体" w:hAnsi="宋体"/>
                <w:sz w:val="22"/>
              </w:rPr>
              <w:t>各专业工种的配置和劳动力的投入是否能满足工程的需要；施工机具和检验仪器的投入是否能够满足</w:t>
            </w:r>
            <w:r>
              <w:rPr>
                <w:rFonts w:hint="eastAsia" w:ascii="宋体" w:hAnsi="宋体"/>
                <w:sz w:val="22"/>
                <w:lang w:eastAsia="zh-Hans"/>
              </w:rPr>
              <w:t>本项目需要</w:t>
            </w:r>
            <w:r>
              <w:rPr>
                <w:rFonts w:hint="eastAsia" w:ascii="宋体" w:hAnsi="宋体"/>
                <w:sz w:val="22"/>
              </w:rPr>
              <w:t>；各投标文件横向比较，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left"/>
              <w:rPr>
                <w:rFonts w:ascii="宋体" w:hAnsi="宋体" w:cs="宋体"/>
                <w:szCs w:val="24"/>
              </w:rPr>
            </w:pPr>
            <w:r>
              <w:rPr>
                <w:rFonts w:hint="eastAsia" w:ascii="宋体" w:hAnsi="宋体" w:cs="宋体"/>
                <w:szCs w:val="24"/>
              </w:rPr>
              <w:t>设备材料</w:t>
            </w:r>
          </w:p>
        </w:tc>
        <w:tc>
          <w:tcPr>
            <w:tcW w:w="6586" w:type="dxa"/>
            <w:vAlign w:val="center"/>
          </w:tcPr>
          <w:p>
            <w:pPr>
              <w:adjustRightInd w:val="0"/>
              <w:snapToGrid w:val="0"/>
              <w:jc w:val="left"/>
              <w:rPr>
                <w:rFonts w:ascii="宋体" w:hAnsi="宋体" w:cs="宋体"/>
                <w:szCs w:val="24"/>
              </w:rPr>
            </w:pPr>
            <w:r>
              <w:rPr>
                <w:rFonts w:hint="eastAsia" w:ascii="宋体" w:hAnsi="宋体" w:cs="宋体"/>
                <w:szCs w:val="24"/>
              </w:rPr>
              <w:t>投标人所使用的主要设备材料根据投标人提供的证明文件进行综合打分，优秀的得2.8-4分；良好的1.4-2.8分；一般的得0-1.4分。</w:t>
            </w:r>
          </w:p>
        </w:tc>
        <w:tc>
          <w:tcPr>
            <w:tcW w:w="851" w:type="dxa"/>
            <w:vAlign w:val="center"/>
          </w:tcPr>
          <w:p>
            <w:pPr>
              <w:jc w:val="center"/>
              <w:rPr>
                <w:rFonts w:ascii="宋体" w:hAnsi="宋体" w:cs="宋体"/>
                <w:szCs w:val="24"/>
              </w:rPr>
            </w:pPr>
            <w:r>
              <w:rPr>
                <w:rFonts w:hint="eastAsia" w:ascii="宋体" w:hAnsi="宋体" w:cs="宋体"/>
                <w:szCs w:val="24"/>
              </w:rPr>
              <w:t>0-4</w:t>
            </w:r>
          </w:p>
        </w:tc>
      </w:tr>
    </w:tbl>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2.投标文件的商务报价评审(</w:t>
      </w:r>
      <w:r>
        <w:rPr>
          <w:rFonts w:hint="eastAsia" w:ascii="宋体" w:hAnsi="宋体" w:cs="宋体"/>
          <w:b/>
          <w:sz w:val="22"/>
          <w:u w:val="single"/>
        </w:rPr>
        <w:t xml:space="preserve"> 60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w:t>
      </w:r>
      <w:r>
        <w:rPr>
          <w:rFonts w:hint="eastAsia" w:ascii="宋体" w:hAnsi="宋体" w:cs="宋体"/>
          <w:sz w:val="22"/>
        </w:rPr>
        <w:t>后为评标价(即不含税价)。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4"/>
        </w:numPr>
        <w:adjustRightInd w:val="0"/>
        <w:snapToGrid w:val="0"/>
        <w:spacing w:line="360" w:lineRule="exact"/>
        <w:ind w:firstLine="440" w:firstLineChars="200"/>
        <w:rPr>
          <w:rFonts w:ascii="宋体" w:hAnsi="宋体" w:cs="宋体"/>
          <w:sz w:val="22"/>
        </w:rPr>
      </w:pPr>
      <w:r>
        <w:rPr>
          <w:rFonts w:hint="eastAsia" w:ascii="宋体" w:hAnsi="宋体" w:cs="宋体"/>
          <w:sz w:val="22"/>
        </w:rPr>
        <w:t>评分范围：通过符合性审查的所有投标文件进入评分范围(下称有效评标价)。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3.投标文件的综合得分：每个投标人综合得分=技术分+商务分。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9"/>
      </w:pPr>
      <w:r>
        <w:rPr>
          <w:rFonts w:ascii="宋体" w:hAnsi="宋体" w:cs="宋体"/>
          <w:sz w:val="22"/>
        </w:rPr>
        <w:br w:type="page"/>
      </w:r>
    </w:p>
    <w:p>
      <w:pPr>
        <w:pStyle w:val="9"/>
        <w:rPr>
          <w:rFonts w:ascii="宋体" w:hAnsi="宋体" w:cs="宋体"/>
          <w:sz w:val="28"/>
          <w:szCs w:val="20"/>
        </w:rPr>
      </w:pPr>
      <w:bookmarkStart w:id="14" w:name="_Toc17411"/>
      <w:r>
        <w:rPr>
          <w:rFonts w:hint="eastAsia"/>
        </w:rPr>
        <w:t>第三章</w:t>
      </w:r>
      <w:r>
        <w:t xml:space="preserve">  </w:t>
      </w:r>
      <w:r>
        <w:rPr>
          <w:rFonts w:hint="eastAsia"/>
        </w:rPr>
        <w:t>合同条款及格式</w:t>
      </w:r>
      <w:bookmarkEnd w:id="7"/>
      <w:bookmarkEnd w:id="14"/>
      <w:bookmarkStart w:id="15" w:name="_Toc448097405"/>
    </w:p>
    <w:bookmarkEnd w:id="15"/>
    <w:p>
      <w:pPr>
        <w:spacing w:line="360" w:lineRule="exact"/>
        <w:jc w:val="center"/>
        <w:rPr>
          <w:rFonts w:asciiTheme="minorEastAsia" w:hAnsiTheme="minorEastAsia" w:cstheme="minorEastAsia"/>
          <w:b/>
          <w:bCs/>
          <w:sz w:val="32"/>
          <w:szCs w:val="32"/>
        </w:rPr>
      </w:pPr>
      <w:bookmarkStart w:id="16" w:name="_Hlk119435578"/>
      <w:bookmarkStart w:id="17" w:name="_Toc448097407"/>
      <w:r>
        <w:rPr>
          <w:rFonts w:hint="eastAsia" w:asciiTheme="minorEastAsia" w:hAnsiTheme="minorEastAsia" w:cstheme="minorEastAsia"/>
          <w:b/>
          <w:bCs/>
          <w:sz w:val="32"/>
          <w:szCs w:val="32"/>
        </w:rPr>
        <w:t>杭州萧山国际机场6号道口改造项目</w:t>
      </w:r>
      <w:bookmarkEnd w:id="16"/>
      <w:r>
        <w:rPr>
          <w:rFonts w:hint="eastAsia" w:asciiTheme="minorEastAsia" w:hAnsiTheme="minorEastAsia" w:cstheme="minorEastAsia"/>
          <w:b/>
          <w:bCs/>
          <w:sz w:val="32"/>
          <w:szCs w:val="32"/>
        </w:rPr>
        <w:t>施工合同</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2336;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rPr>
        <w:t xml:space="preserve">    发包方（甲方）：杭州萧山国际机场有限公司</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住所地：杭州萧山国际机场内</w:t>
      </w:r>
    </w:p>
    <w:p>
      <w:pPr>
        <w:spacing w:line="400" w:lineRule="exact"/>
        <w:ind w:firstLine="480" w:firstLineChars="200"/>
        <w:rPr>
          <w:rFonts w:asciiTheme="minorEastAsia" w:hAnsiTheme="minorEastAsia" w:cstheme="minorEastAsia"/>
          <w:sz w:val="24"/>
          <w:szCs w:val="24"/>
        </w:rPr>
      </w:pP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mc:AlternateContent>
          <mc:Choice Requires="wps">
            <w:drawing>
              <wp:anchor distT="0" distB="0" distL="114300" distR="114300" simplePos="0" relativeHeight="251650048"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0048;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rPr>
        <w:t>承包方（乙方）：</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住所地：</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按照《中华人民共和国民法典》和《中华人民共和国建筑法》的规定，结合本工程具体情况，双方达成如下协议。</w:t>
      </w:r>
    </w:p>
    <w:p>
      <w:pPr>
        <w:numPr>
          <w:ilvl w:val="0"/>
          <w:numId w:val="5"/>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工程概况</w:t>
      </w:r>
    </w:p>
    <w:p>
      <w:pPr>
        <w:spacing w:line="400" w:lineRule="exact"/>
        <w:ind w:left="2159" w:leftChars="228" w:hanging="1680" w:hangingChars="700"/>
        <w:rPr>
          <w:rFonts w:asciiTheme="minorEastAsia" w:hAnsiTheme="minorEastAsia" w:cstheme="minorEastAsia"/>
          <w:sz w:val="24"/>
          <w:szCs w:val="24"/>
        </w:rPr>
      </w:pPr>
      <w:r>
        <w:rPr>
          <w:rFonts w:hint="eastAsia" w:asciiTheme="minorEastAsia" w:hAnsiTheme="minorEastAsia" w:cstheme="minorEastAsia"/>
          <w:sz w:val="24"/>
          <w:szCs w:val="24"/>
        </w:rPr>
        <w:t xml:space="preserve">1.1工程名称：杭州萧山国际机场6号道口改造项目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1.2工程地点：杭州萧山国际机场内</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1.3承包范围：对6号道口检查室入口进行改造、增设人员出口通道、增设司机检查室出口、调整检查室布局等。</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1.4承包方式：包工包料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1.5工期：工程具体开工日期以发包人书面指示为准，工期</w:t>
      </w:r>
      <w:r>
        <w:rPr>
          <w:rFonts w:hint="eastAsia" w:asciiTheme="minorEastAsia" w:hAnsiTheme="minorEastAsia" w:cstheme="minorEastAsia"/>
          <w:color w:val="auto"/>
          <w:sz w:val="24"/>
          <w:szCs w:val="24"/>
          <w:u w:val="single"/>
          <w:lang w:val="en-US" w:eastAsia="zh-CN"/>
        </w:rPr>
        <w:t>10</w:t>
      </w:r>
      <w:r>
        <w:rPr>
          <w:rFonts w:hint="eastAsia" w:asciiTheme="minorEastAsia" w:hAnsiTheme="minorEastAsia" w:cstheme="minorEastAsia"/>
          <w:sz w:val="24"/>
          <w:szCs w:val="24"/>
        </w:rPr>
        <w:t>日历天。</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1.6工程质量：</w:t>
      </w:r>
      <w:r>
        <w:rPr>
          <w:rFonts w:hint="eastAsia" w:asciiTheme="minorEastAsia" w:hAnsiTheme="minorEastAsia" w:cstheme="minorEastAsia"/>
          <w:kern w:val="0"/>
          <w:sz w:val="24"/>
          <w:szCs w:val="24"/>
          <w:u w:val="single"/>
        </w:rPr>
        <w:t>工程达到符合国家施工验收规范规定的合格标准，确保一次性验收合格。</w:t>
      </w:r>
    </w:p>
    <w:p>
      <w:pPr>
        <w:spacing w:line="400" w:lineRule="exact"/>
        <w:ind w:firstLine="480"/>
        <w:rPr>
          <w:rFonts w:asciiTheme="minorEastAsia" w:hAnsiTheme="minorEastAsia" w:cstheme="minorEastAsia"/>
          <w:sz w:val="24"/>
          <w:szCs w:val="24"/>
        </w:rPr>
      </w:pPr>
      <w:r>
        <w:rPr>
          <w:rFonts w:hint="eastAsia" w:asciiTheme="minorEastAsia" w:hAnsiTheme="minorEastAsia" w:cstheme="minorEastAsia"/>
          <w:sz w:val="24"/>
          <w:szCs w:val="24"/>
        </w:rPr>
        <mc:AlternateContent>
          <mc:Choice Requires="wps">
            <w:drawing>
              <wp:anchor distT="0" distB="0" distL="114300" distR="114300" simplePos="0" relativeHeight="251674624"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4" name="直接连接符 4"/>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74624;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sqprWAAAA&#10;CQEAAA8AAAAAAAAAAQAgAAAAIgAAAGRycy9kb3ducmV2LnhtbFBLAQIUABQAAAAIAIdO4kC10jNZ&#10;5gEAAJE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rPr>
        <w:t>1.7合同暂定价款（人民币大写）：</w:t>
      </w:r>
    </w:p>
    <w:p>
      <w:pPr>
        <w:numPr>
          <w:ilvl w:val="0"/>
          <w:numId w:val="5"/>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甲方工作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2.1开工前</w:t>
      </w:r>
      <w:r>
        <w:rPr>
          <w:rFonts w:hint="eastAsia" w:asciiTheme="minorEastAsia" w:hAnsiTheme="minorEastAsia" w:cstheme="minorEastAsia"/>
          <w:sz w:val="24"/>
          <w:szCs w:val="24"/>
          <w:u w:val="single"/>
        </w:rPr>
        <w:t>7</w:t>
      </w:r>
      <w:r>
        <w:rPr>
          <w:rFonts w:hint="eastAsia" w:asciiTheme="minorEastAsia" w:hAnsiTheme="minorEastAsia" w:cstheme="minorEastAsia"/>
          <w:sz w:val="24"/>
          <w:szCs w:val="24"/>
        </w:rPr>
        <w:t>天，向乙方提供经确认的设计方案图纸或做法说明</w:t>
      </w:r>
      <w:r>
        <w:rPr>
          <w:rFonts w:hint="eastAsia" w:asciiTheme="minorEastAsia" w:hAnsiTheme="minorEastAsia" w:cstheme="minorEastAsia"/>
          <w:sz w:val="24"/>
          <w:szCs w:val="24"/>
          <w:u w:val="single"/>
        </w:rPr>
        <w:t>1</w:t>
      </w:r>
      <w:r>
        <w:rPr>
          <w:rFonts w:hint="eastAsia" w:asciiTheme="minorEastAsia" w:hAnsiTheme="minorEastAsia" w:cstheme="minorEastAsia"/>
          <w:sz w:val="24"/>
          <w:szCs w:val="24"/>
        </w:rPr>
        <w:t>份，并向乙方进行现场交底。</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2.2甲方组织施工方案和进度计划的审查工作。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2.3涉及机场隔离区的工程项目实施前，由甲方组织对乙方项目实施人员进行相关安全培训教育，并与乙方签订施工安全责任书。</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2.4甲方配合乙方施工所需水、电接入的工作，并说明使用注意事项。办理施工所涉及的各种申请、批件等手续。</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2.5甲方指派</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为甲方项目负责人，负责合同履行。对工程安全、质量、进度以及造价进行监督检查，办理验收、变更、登记手续和其他事宜。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2.6甲方委托</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rPr>
        <w:t>监理公司进行工程监理，监理公司任命</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rPr>
        <w:t>为总监理工程师，其职责在监理合同中应明确，并将合同副本交乙方</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rPr>
        <w:t>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2.7如确实需要拆改原建筑物结构或设备管线，甲方负责到有关部门办理相应审批手续。</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2.8协调有关部门做好现场保卫、消防、垃圾处理等工作。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2.9组织工程竣工验收以及办理工程竣工结算审核工作。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2.10项目所涉及项目工程造价的移交送审工作，由监理单位或甲方代表协助建设单位预决算员办理。</w:t>
      </w:r>
    </w:p>
    <w:p>
      <w:pPr>
        <w:numPr>
          <w:ilvl w:val="0"/>
          <w:numId w:val="5"/>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乙方工作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3.1乙方收到设计方案图纸或做法说明后应及时进行现场踏勘，并结合现场实际情况进行复核完善，并拟定施工方案和进度计划，交甲方审定。</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3.2乙方指派</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身份证号</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为乙方项目负责人，负责合同履行。按要求组织施工，保质、保量、按期完成施工任务，解决由乙方负责的各项事宜。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3.3乙方应严格执行施工规范、安全操作规程、防火安全规定、环境保护规定。严格按照图纸或作法说明进行施工，做好各项质量检查记录。</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3.4乙方须按甲方要求时间进场施工，并按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3.5乙方须按相关要求及时报送竣工结算资料，配合甲方完成工程竣工结算审核工作。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3.7施工中未经甲方同意或有关部门批准，乙方不得随意拆改或损坏原建筑物结构及各种设备管线。</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3.8工程竣工未移交甲方之前，负责对现场的一切设施和工程成品进行保护，并承担风险和费用。</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第四条 关于工期的约定</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4.1甲方要求比合同约定的工期提前竣工时，应征得乙方同意，并支付乙方因赶工采取的措施费用。</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4.2因甲方未按约定完成工作，影响工期，则工期相应顺延。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4.3乙方非因甲方原因不能按期开工或中途无故停工影响工期，或乙方非因甲方原因延误工期的，则工期不顺延，且乙方须向甲方承担工期延误的违约责任。</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4.4因涉及甲方要求的设计或工程量变更或非乙方原因造成的停电、停水、停气及不可抗力因素影响，导致停工</w:t>
      </w:r>
      <w:r>
        <w:rPr>
          <w:rFonts w:hint="eastAsia" w:asciiTheme="minorEastAsia" w:hAnsiTheme="minorEastAsia" w:cstheme="minorEastAsia"/>
          <w:sz w:val="24"/>
          <w:szCs w:val="24"/>
          <w:u w:val="single"/>
        </w:rPr>
        <w:t>8</w:t>
      </w:r>
      <w:r>
        <w:rPr>
          <w:rFonts w:hint="eastAsia" w:asciiTheme="minorEastAsia" w:hAnsiTheme="minorEastAsia" w:cstheme="minorEastAsia"/>
          <w:sz w:val="24"/>
          <w:szCs w:val="24"/>
        </w:rPr>
        <w:t>小时以上（一周内累计计算），工期相应顺延。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第五条 关于工程质量及验收的约定</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5.1本工程以做法说明、设计变更等国家制定的施工及验收规范为质量评定验收标准。</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5.2本工程质量应达到国家质量评定合格标准。</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5.3由于乙方提供的材料、设备质量不合格而影响工程质量，其返工费用由乙方承担，工期不顺延。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5.4由于乙方原因造成质量事故，其返工费用由乙方承担，工期不顺延。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5.5工程竣工后，乙方应通知甲方验收，甲方自接到验收通知</w:t>
      </w:r>
      <w:r>
        <w:rPr>
          <w:rFonts w:hint="eastAsia" w:asciiTheme="minorEastAsia" w:hAnsiTheme="minorEastAsia" w:cstheme="minorEastAsia"/>
          <w:sz w:val="24"/>
          <w:szCs w:val="24"/>
          <w:u w:val="single"/>
        </w:rPr>
        <w:t>3</w:t>
      </w:r>
      <w:r>
        <w:rPr>
          <w:rFonts w:hint="eastAsia" w:asciiTheme="minorEastAsia" w:hAnsiTheme="minorEastAsia" w:cstheme="minorEastAsia"/>
          <w:sz w:val="24"/>
          <w:szCs w:val="24"/>
        </w:rPr>
        <w:t>日内组织验收，并办理验收、移交手续。如甲方在规定时间内未能组织验收，需及时通知乙方，另定验收日期。</w:t>
      </w:r>
    </w:p>
    <w:p>
      <w:pPr>
        <w:numPr>
          <w:ilvl w:val="0"/>
          <w:numId w:val="6"/>
        </w:num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关于工程价款及结算的约定</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6.1双方商定本合同价款采用第</w:t>
      </w:r>
      <w:r>
        <w:rPr>
          <w:rFonts w:hint="eastAsia" w:asciiTheme="minorEastAsia" w:hAnsiTheme="minorEastAsia" w:cstheme="minorEastAsia"/>
          <w:sz w:val="24"/>
          <w:szCs w:val="24"/>
          <w:u w:val="single"/>
        </w:rPr>
        <w:t>2</w:t>
      </w:r>
      <w:r>
        <w:rPr>
          <w:rFonts w:hint="eastAsia" w:asciiTheme="minorEastAsia" w:hAnsiTheme="minorEastAsia" w:cstheme="minorEastAsia"/>
          <w:sz w:val="24"/>
          <w:szCs w:val="24"/>
        </w:rPr>
        <w:t>种：</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（1）固定总价。</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（2）固定单价。可调价格按</w:t>
      </w:r>
      <w:r>
        <w:rPr>
          <w:rFonts w:hint="eastAsia" w:asciiTheme="minorEastAsia" w:hAnsiTheme="minorEastAsia" w:cstheme="minorEastAsia"/>
          <w:sz w:val="24"/>
          <w:szCs w:val="24"/>
          <w:u w:val="single"/>
        </w:rPr>
        <w:t xml:space="preserve">  /  </w:t>
      </w:r>
      <w:r>
        <w:rPr>
          <w:rFonts w:hint="eastAsia" w:asciiTheme="minorEastAsia" w:hAnsiTheme="minorEastAsia" w:cstheme="minorEastAsia"/>
          <w:sz w:val="24"/>
          <w:szCs w:val="24"/>
        </w:rPr>
        <w:t>规则计算。</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6.2工程竣工验收后，乙方提出工程结算申请并将有关资料送交甲方。甲方按照以下方式办理款项支付：</w:t>
      </w:r>
      <w:bookmarkStart w:id="18" w:name="_Hlk47444557"/>
    </w:p>
    <w:bookmarkEnd w:id="18"/>
    <w:p>
      <w:pPr>
        <w:widowControl/>
        <w:overflowPunct w:val="0"/>
        <w:autoSpaceDE w:val="0"/>
        <w:autoSpaceDN w:val="0"/>
        <w:adjustRightInd w:val="0"/>
        <w:spacing w:line="400" w:lineRule="exact"/>
        <w:ind w:firstLine="480" w:firstLineChars="200"/>
        <w:jc w:val="left"/>
        <w:textAlignment w:val="baseline"/>
        <w:rPr>
          <w:rFonts w:asciiTheme="minorEastAsia" w:hAnsiTheme="minorEastAsia" w:cstheme="minorEastAsia"/>
          <w:b/>
          <w:bCs/>
          <w:sz w:val="24"/>
          <w:szCs w:val="24"/>
        </w:rPr>
      </w:pPr>
      <w:r>
        <w:rPr>
          <w:rFonts w:hint="eastAsia" w:asciiTheme="minorEastAsia" w:hAnsiTheme="minorEastAsia" w:cstheme="minorEastAsia"/>
          <w:sz w:val="24"/>
          <w:szCs w:val="24"/>
        </w:rPr>
        <w:t>工程竣工验收通过并完成工程结算，经发包人认可后30天内，发包人向承包人支付至结算价的97%；结算价的3%留作质量保证金，待缺陷责任期满后无利息支付。</w:t>
      </w:r>
      <w:r>
        <w:rPr>
          <w:rFonts w:hint="eastAsia" w:ascii="宋体" w:hAnsi="宋体" w:eastAsia="宋体" w:cs="宋体"/>
          <w:b/>
          <w:bCs/>
          <w:sz w:val="24"/>
          <w:szCs w:val="24"/>
        </w:rPr>
        <w:t>★施工安全监管费为暂列金额，结算时承包人需提供相应票据作为依据按实结算</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税金另计</w:t>
      </w:r>
      <w:r>
        <w:rPr>
          <w:rFonts w:hint="eastAsia" w:ascii="宋体" w:hAnsi="宋体" w:eastAsia="宋体" w:cs="宋体"/>
          <w:b/>
          <w:bCs/>
          <w:sz w:val="24"/>
          <w:szCs w:val="24"/>
        </w:rPr>
        <w:t>。</w:t>
      </w:r>
    </w:p>
    <w:p>
      <w:pPr>
        <w:widowControl/>
        <w:overflowPunct w:val="0"/>
        <w:autoSpaceDE w:val="0"/>
        <w:autoSpaceDN w:val="0"/>
        <w:adjustRightInd w:val="0"/>
        <w:spacing w:line="400" w:lineRule="exact"/>
        <w:ind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6.3甲方提出工程变更和签证的费用，由乙方在施工前提出并补充编制工料单价预算书。变更估价时，工程量清单中有的项目单价</w:t>
      </w:r>
      <w:bookmarkStart w:id="19" w:name="_Hlk119178570"/>
      <w:r>
        <w:rPr>
          <w:rFonts w:hint="eastAsia" w:asciiTheme="minorEastAsia" w:hAnsiTheme="minorEastAsia" w:cstheme="minorEastAsia"/>
          <w:sz w:val="24"/>
          <w:szCs w:val="24"/>
        </w:rPr>
        <w:t>，按乙方投标工程量清单中该项综合单价计取</w:t>
      </w:r>
      <w:bookmarkEnd w:id="19"/>
      <w:r>
        <w:rPr>
          <w:rFonts w:hint="eastAsia" w:asciiTheme="minorEastAsia" w:hAnsiTheme="minorEastAsia" w:cstheme="minorEastAsia"/>
          <w:sz w:val="24"/>
          <w:szCs w:val="24"/>
        </w:rPr>
        <w:t>；工程量清单中无适用的项目单价，套用浙江省2018定额，按分部分项工程费+规费+税金计取；不能套用浙江省2018定额的项目，可按照成本加利润的原则，承包人与发包人协商后执行。</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第七条 关于材料供应的约定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7.2凡由乙方采购的材料、设备，如不符合质量要求或规格有差异，应禁止使用。若已使用，对工程造成的损失由乙方负责。</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第八条 有关安全生产和防火的约定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8.1甲方提供的施工图纸或作法说明，应符合《中华人民共和国消防法》和有关防火设计规范。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8.3由于乙方在施工生产过程中违反有关安全操作规程、消防条例，导致发生安全或火灾事故，乙方应承担由此引发的一切经济损失。</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第九条 违约责任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9.1由于乙方原因，逾期竣工，每逾期一天，乙方支付甲方</w:t>
      </w:r>
      <w:r>
        <w:rPr>
          <w:rFonts w:hint="eastAsia" w:asciiTheme="minorEastAsia" w:hAnsiTheme="minorEastAsia" w:cstheme="minorEastAsia"/>
          <w:sz w:val="24"/>
          <w:szCs w:val="24"/>
          <w:u w:val="single"/>
        </w:rPr>
        <w:t>壹万元</w:t>
      </w:r>
      <w:r>
        <w:rPr>
          <w:rFonts w:hint="eastAsia" w:asciiTheme="minorEastAsia" w:hAnsiTheme="minorEastAsia" w:cstheme="minorEastAsia"/>
          <w:sz w:val="24"/>
          <w:szCs w:val="24"/>
        </w:rPr>
        <w:t>违约金；甲方有权终止合同，并保留对乙方追溯赔偿其他一切损失的权利。</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9.2乙方应妥善保护甲方提供的设备及现场堆放的家具、陈设和工程成品，如造成损失，应照价赔偿。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9.3未经甲方同意，乙方擅自拆改原建筑物结构或设备管线，由此发生的损失或事故（包括行政处罚），由乙方负责并承担损失。</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9.4除本合同另有约定外，任何一方违约应当就因此给对方造成的损失承担赔偿责任。</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第十条 争议或纠纷处理</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10.1本合同在履行期间，双方发生争议时，在不影响工作进度的前提下，双方可采取协商解决或请有关部门进行调解。</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10.2当事人不愿通过协商、调解解决或者协商、调解不成时，本合同在执行中发生的争议双方同意由甲方所在地人民法院诉讼管辖解决。</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 xml:space="preserve"> 第十一条 附则</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11.1本工程保修事宜由双方签订保修协议。</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11.2本合同一共</w:t>
      </w:r>
      <w:r>
        <w:rPr>
          <w:rFonts w:hint="eastAsia" w:asciiTheme="minorEastAsia" w:hAnsiTheme="minorEastAsia" w:cstheme="minorEastAsia"/>
          <w:sz w:val="24"/>
          <w:szCs w:val="24"/>
          <w:u w:val="single"/>
        </w:rPr>
        <w:t>陆</w:t>
      </w:r>
      <w:r>
        <w:rPr>
          <w:rFonts w:hint="eastAsia" w:asciiTheme="minorEastAsia" w:hAnsiTheme="minorEastAsia" w:cstheme="minorEastAsia"/>
          <w:sz w:val="24"/>
          <w:szCs w:val="24"/>
        </w:rPr>
        <w:t>份，甲乙双方各执</w:t>
      </w:r>
      <w:r>
        <w:rPr>
          <w:rFonts w:hint="eastAsia" w:asciiTheme="minorEastAsia" w:hAnsiTheme="minorEastAsia" w:cstheme="minorEastAsia"/>
          <w:sz w:val="24"/>
          <w:szCs w:val="24"/>
          <w:u w:val="single"/>
        </w:rPr>
        <w:t>叁</w:t>
      </w:r>
      <w:r>
        <w:rPr>
          <w:rFonts w:hint="eastAsia" w:asciiTheme="minorEastAsia" w:hAnsiTheme="minorEastAsia" w:cstheme="minorEastAsia"/>
          <w:sz w:val="24"/>
          <w:szCs w:val="24"/>
        </w:rPr>
        <w:t>份，具有同等法律效力。</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 xml:space="preserve">11.3本合同履行完成后自动终止。   </w:t>
      </w:r>
    </w:p>
    <w:p>
      <w:pPr>
        <w:spacing w:line="400" w:lineRule="exact"/>
        <w:ind w:left="480"/>
        <w:rPr>
          <w:rFonts w:asciiTheme="minorEastAsia" w:hAnsiTheme="minorEastAsia" w:cstheme="minorEastAsia"/>
          <w:b/>
          <w:sz w:val="24"/>
          <w:szCs w:val="24"/>
        </w:rPr>
      </w:pPr>
      <w:r>
        <w:rPr>
          <w:rFonts w:hint="eastAsia" w:asciiTheme="minorEastAsia" w:hAnsiTheme="minorEastAsia" w:cstheme="minorEastAsia"/>
          <w:sz w:val="24"/>
          <w:szCs w:val="24"/>
        </w:rPr>
        <w:t>11.4本合同包含以下附件，附件与本合同具有同等法律效力。</w:t>
      </w:r>
    </w:p>
    <w:p>
      <w:pPr>
        <w:numPr>
          <w:ilvl w:val="0"/>
          <w:numId w:val="7"/>
        </w:num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工程质量保修书</w:t>
      </w:r>
    </w:p>
    <w:p>
      <w:pPr>
        <w:numPr>
          <w:ilvl w:val="0"/>
          <w:numId w:val="7"/>
        </w:num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 xml:space="preserve">安全文明施工协议书  </w:t>
      </w:r>
    </w:p>
    <w:p>
      <w:pPr>
        <w:numPr>
          <w:ilvl w:val="0"/>
          <w:numId w:val="7"/>
        </w:num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疫情防控责任书</w:t>
      </w:r>
    </w:p>
    <w:p>
      <w:pPr>
        <w:tabs>
          <w:tab w:val="right" w:pos="8306"/>
        </w:tabs>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甲方：杭州萧山国际机场有限公司  乙方：</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地址：杭州萧山国际机场内        地址：</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法定代表人：                     法定代表人：</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或                               或</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授权代表：                       授权代表：</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 xml:space="preserve">签字日期：                       签字日期： </w:t>
      </w:r>
    </w:p>
    <w:p>
      <w:pPr>
        <w:adjustRightInd w:val="0"/>
        <w:snapToGrid w:val="0"/>
        <w:spacing w:line="400" w:lineRule="exact"/>
        <w:ind w:left="902" w:leftChars="200" w:hanging="482" w:hangingChars="200"/>
        <w:rPr>
          <w:rFonts w:asciiTheme="minorEastAsia" w:hAnsiTheme="minorEastAsia" w:cstheme="minorEastAsia"/>
          <w:b/>
          <w:sz w:val="24"/>
          <w:szCs w:val="24"/>
        </w:rPr>
      </w:pPr>
    </w:p>
    <w:p>
      <w:pPr>
        <w:adjustRightInd w:val="0"/>
        <w:snapToGrid w:val="0"/>
        <w:spacing w:line="400" w:lineRule="exact"/>
        <w:ind w:left="1320" w:leftChars="4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年  月  日                      年  月  日</w:t>
      </w:r>
    </w:p>
    <w:p>
      <w:pPr>
        <w:pageBreakBefore/>
        <w:adjustRightInd w:val="0"/>
        <w:snapToGrid w:val="0"/>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附件一：</w:t>
      </w:r>
    </w:p>
    <w:p>
      <w:pPr>
        <w:spacing w:line="36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工程质量保修书</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发包人（全称）：杭州萧山国际机场有限公司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承包人（全称）：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发包人和承包人根据《中华人民共和国建筑法》和《建设工程质量管理条例》，经协商一致就</w:t>
      </w:r>
      <w:bookmarkStart w:id="20" w:name="_Hlk119436069"/>
      <w:r>
        <w:rPr>
          <w:rFonts w:hint="eastAsia" w:asciiTheme="minorEastAsia" w:hAnsiTheme="minorEastAsia" w:cstheme="minorEastAsia"/>
          <w:sz w:val="24"/>
          <w:szCs w:val="24"/>
          <w:u w:val="single"/>
        </w:rPr>
        <w:t>杭州萧山国际机场6号道口改造项目</w:t>
      </w:r>
      <w:bookmarkEnd w:id="20"/>
      <w:r>
        <w:rPr>
          <w:rFonts w:hint="eastAsia" w:asciiTheme="minorEastAsia" w:hAnsiTheme="minorEastAsia" w:cstheme="minorEastAsia"/>
          <w:sz w:val="24"/>
          <w:szCs w:val="24"/>
        </w:rPr>
        <w:t>（工程全称）签订工程质量保修书。</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一、工程质量保修范围和内容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承包人在质量保修期内，按照有关法律规定和合同约定，承担工程质量保修责任。</w:t>
      </w:r>
    </w:p>
    <w:p>
      <w:p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　　本次工程所涉及的所有内容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二、质量保修期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根据《建设工程质量管理条例》及有关规定，工程的质量保修期如下：</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1．地基基础工程和主体结构工程为设计文件规定的工程合理使用年限；</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2．屋面防水工程、有防水要求的卫生间、房间和外墙面的防渗为5 年；</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3．装修工程为2 年；</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4．电气管线、给排水管道、设备安装工程为 2 年；</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5．供热与供冷系统为2 个采暖期、供冷期；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6．住宅小区内的给排水设施、道路等配套工程为2年；</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7．其他项目保修期限约定如下：</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质量保修期自工程竣工验收合格之日起计算。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三、缺陷责任期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工程缺陷责任期为</w:t>
      </w:r>
      <w:r>
        <w:rPr>
          <w:rFonts w:asciiTheme="minorEastAsia" w:hAnsiTheme="minorEastAsia" w:cstheme="minorEastAsia"/>
          <w:sz w:val="24"/>
          <w:szCs w:val="24"/>
          <w:u w:val="single"/>
        </w:rPr>
        <w:t>24</w:t>
      </w:r>
      <w:r>
        <w:rPr>
          <w:rFonts w:hint="eastAsia" w:asciiTheme="minorEastAsia" w:hAnsiTheme="minorEastAsia" w:cstheme="minorEastAsia"/>
          <w:sz w:val="24"/>
          <w:szCs w:val="24"/>
        </w:rPr>
        <w:t>个月，缺陷责任期自工程竣工验收合格之日起计算。单位工程先于全部工程进行验收，单位工程缺陷责任期自单位工程验收合格之日起算。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缺陷责任期届满后，缺陷责任期届满后，经发包人确认核实，承包人不存在违约情形以及质量保修不存在问题后</w:t>
      </w:r>
      <w:r>
        <w:rPr>
          <w:rFonts w:hint="eastAsia" w:asciiTheme="minorEastAsia" w:hAnsiTheme="minorEastAsia" w:cstheme="minorEastAsia"/>
          <w:sz w:val="24"/>
          <w:szCs w:val="24"/>
          <w:u w:val="single"/>
        </w:rPr>
        <w:t>15</w:t>
      </w:r>
      <w:r>
        <w:rPr>
          <w:rFonts w:hint="eastAsia" w:asciiTheme="minorEastAsia" w:hAnsiTheme="minorEastAsia" w:cstheme="minorEastAsia"/>
          <w:sz w:val="24"/>
          <w:szCs w:val="24"/>
        </w:rPr>
        <w:t>天内无息返还质保金。</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四、质量保修责任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1．属于保修范围、内容的项目，承包人应当在接到保修通知之日起</w:t>
      </w:r>
      <w:r>
        <w:rPr>
          <w:rFonts w:hint="eastAsia" w:asciiTheme="minorEastAsia" w:hAnsiTheme="minorEastAsia" w:cstheme="minorEastAsia"/>
          <w:sz w:val="24"/>
          <w:szCs w:val="24"/>
          <w:u w:val="single"/>
        </w:rPr>
        <w:t>2</w:t>
      </w:r>
      <w:r>
        <w:rPr>
          <w:rFonts w:hint="eastAsia" w:asciiTheme="minorEastAsia" w:hAnsiTheme="minorEastAsia" w:cstheme="minorEastAsia"/>
          <w:sz w:val="24"/>
          <w:szCs w:val="24"/>
        </w:rPr>
        <w:t>天内派人保修。承包人不在约定期限内派人保修的，发包人可以自行委托他人修理。费用从质量保证金中扣除。修复部分的质保期自修复之日起重新开始计算。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2．发生紧急事故需抢修的，承包人在接到事故通知后，应当立即到达事故现场进行持续抢修直至修复。</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五、保修费用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保修费用由造成质量缺陷的责任方承担；对责任方的确定产生疑问或争议的，依发包人委托的鉴定机构所出具的独立报告来确定。</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六、双方约定的其他工程质量保修事项：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1、在承包人人员到达之前，发包人可采取适当的应急措施，费用由承包人承担。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a．紧急抢修事故时，为避免损失进一步扩大；</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b．直接影响到工程正常运行或危害人身财产及财产安全时；</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发包人(公章)：                     承包人(公章)：    </w:t>
      </w:r>
    </w:p>
    <w:p>
      <w:pPr>
        <w:pStyle w:val="13"/>
        <w:tabs>
          <w:tab w:val="left" w:pos="426"/>
        </w:tabs>
        <w:snapToGrid w:val="0"/>
        <w:spacing w:line="360" w:lineRule="exact"/>
        <w:ind w:firstLine="220"/>
        <w:rPr>
          <w:rFonts w:asciiTheme="minorEastAsia" w:hAnsiTheme="minorEastAsia" w:eastAsiaTheme="minorEastAsia" w:cstheme="minorEastAsia"/>
          <w:sz w:val="24"/>
        </w:rPr>
      </w:pPr>
    </w:p>
    <w:p>
      <w:pPr>
        <w:pStyle w:val="13"/>
        <w:tabs>
          <w:tab w:val="left" w:pos="426"/>
        </w:tabs>
        <w:snapToGrid w:val="0"/>
        <w:spacing w:line="360" w:lineRule="exact"/>
        <w:ind w:firstLine="220"/>
        <w:rPr>
          <w:rFonts w:asciiTheme="minorEastAsia" w:hAnsiTheme="minorEastAsia" w:eastAsiaTheme="minorEastAsia" w:cstheme="minorEastAsia"/>
          <w:sz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pageBreakBefore/>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附件二：</w:t>
      </w:r>
    </w:p>
    <w:p>
      <w:pPr>
        <w:tabs>
          <w:tab w:val="left" w:pos="540"/>
        </w:tabs>
        <w:topLinePunct/>
        <w:spacing w:line="360" w:lineRule="exact"/>
        <w:ind w:firstLine="723"/>
        <w:jc w:val="center"/>
        <w:rPr>
          <w:rFonts w:asciiTheme="minorEastAsia" w:hAnsiTheme="minorEastAsia" w:cstheme="minorEastAsia"/>
          <w:b/>
          <w:sz w:val="24"/>
          <w:szCs w:val="24"/>
        </w:rPr>
      </w:pPr>
      <w:r>
        <w:rPr>
          <w:rFonts w:hint="eastAsia" w:asciiTheme="minorEastAsia" w:hAnsiTheme="minorEastAsia" w:cstheme="minorEastAsia"/>
          <w:b/>
          <w:sz w:val="24"/>
          <w:szCs w:val="24"/>
        </w:rPr>
        <w:t>安全文明施工协议书</w:t>
      </w:r>
    </w:p>
    <w:p>
      <w:pPr>
        <w:spacing w:line="360" w:lineRule="exact"/>
        <w:rPr>
          <w:rFonts w:asciiTheme="minorEastAsia" w:hAnsiTheme="minorEastAsia" w:cstheme="minorEastAsia"/>
          <w:b/>
          <w:sz w:val="24"/>
          <w:szCs w:val="24"/>
        </w:rPr>
      </w:pPr>
      <w:r>
        <w:rPr>
          <w:rFonts w:hint="eastAsia" w:asciiTheme="minorEastAsia" w:hAnsiTheme="minorEastAsia" w:cstheme="minorEastAsia"/>
          <w:b/>
          <w:sz w:val="24"/>
          <w:szCs w:val="24"/>
        </w:rPr>
        <w:t>发包人（发包人）：</w:t>
      </w:r>
      <w:r>
        <w:rPr>
          <w:rFonts w:hint="eastAsia" w:asciiTheme="minorEastAsia" w:hAnsiTheme="minorEastAsia" w:cstheme="minorEastAsia"/>
          <w:b/>
          <w:sz w:val="24"/>
          <w:szCs w:val="24"/>
          <w:u w:val="single"/>
        </w:rPr>
        <w:t>杭州萧山国际机场有限公司</w:t>
      </w:r>
    </w:p>
    <w:p>
      <w:pPr>
        <w:spacing w:line="360" w:lineRule="exact"/>
        <w:rPr>
          <w:rFonts w:asciiTheme="minorEastAsia" w:hAnsiTheme="minorEastAsia" w:cstheme="minorEastAsia"/>
          <w:b/>
          <w:sz w:val="24"/>
          <w:szCs w:val="24"/>
          <w:u w:val="single"/>
        </w:rPr>
      </w:pPr>
      <w:r>
        <w:rPr>
          <w:rFonts w:hint="eastAsia" w:asciiTheme="minorEastAsia" w:hAnsiTheme="minorEastAsia" w:cstheme="minorEastAsia"/>
          <w:b/>
          <w:sz w:val="24"/>
          <w:szCs w:val="24"/>
        </w:rPr>
        <w:t>承包人（承包人）：</w:t>
      </w:r>
      <w:r>
        <w:rPr>
          <w:rFonts w:hint="eastAsia" w:asciiTheme="minorEastAsia" w:hAnsiTheme="minorEastAsia" w:cstheme="minorEastAsia"/>
          <w:b/>
          <w:sz w:val="24"/>
          <w:szCs w:val="24"/>
          <w:u w:val="single"/>
        </w:rPr>
        <w:t xml:space="preserve">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为确保</w:t>
      </w:r>
      <w:r>
        <w:rPr>
          <w:rFonts w:hint="eastAsia" w:asciiTheme="minorEastAsia" w:hAnsiTheme="minorEastAsia" w:cstheme="minorEastAsia"/>
          <w:b/>
          <w:sz w:val="24"/>
          <w:szCs w:val="24"/>
          <w:u w:val="single"/>
        </w:rPr>
        <w:t>杭州萧山国际机场6号道口改造项目</w:t>
      </w:r>
      <w:r>
        <w:rPr>
          <w:rFonts w:hint="eastAsia" w:asciiTheme="minorEastAsia" w:hAnsi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82" w:firstLineChars="200"/>
        <w:rPr>
          <w:rFonts w:asciiTheme="minorEastAsia" w:hAnsiTheme="minorEastAsia" w:cstheme="minorEastAsia"/>
          <w:bCs/>
          <w:sz w:val="24"/>
          <w:szCs w:val="24"/>
        </w:rPr>
      </w:pPr>
      <w:r>
        <w:rPr>
          <w:rFonts w:hint="eastAsia" w:asciiTheme="minorEastAsia" w:hAnsiTheme="minorEastAsia" w:cstheme="minorEastAsia"/>
          <w:b/>
          <w:sz w:val="24"/>
          <w:szCs w:val="24"/>
        </w:rPr>
        <w:t>一、发包人对承包人实行安全目标管理，安全目标的具体内容是</w:t>
      </w:r>
      <w:r>
        <w:rPr>
          <w:rFonts w:hint="eastAsia" w:asciiTheme="minorEastAsia" w:hAnsiTheme="minorEastAsia" w:cstheme="minorEastAsia"/>
          <w:sz w:val="24"/>
          <w:szCs w:val="24"/>
        </w:rPr>
        <w:t>：</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1、无死亡事故和重大伤害事故(含道路交通事故)。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2、无重大责任事故。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3、无空防安全事故。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4、无七类重大刑事案件(杀人、绑架、强奸、放火、爆炸、劫持、故意伤害致死)及其它严重、恶性案件。</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上述情况的认定按国家和行业的有关规定和标准执行。</w:t>
      </w:r>
    </w:p>
    <w:p>
      <w:pPr>
        <w:spacing w:line="3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二、发包人的协助责任和权利</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5、不得对承包人提出违反国家法律、法规和强制性标准规定的要求。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6、不得要求承包人购买、租赁、使用不符合安全施工要求的安全防护用具、机械设备、施工机具及配件、消防设施和器材等。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由于民航行业的特殊性和空防安全的重要性，发包人对进出飞行区施工的人员和车辆实行通行证管理制度。为此，承包人成员必须参加发包人组织的专门安全教育培训和考试（主要是机场飞行、空防、不停航施工等安全方面知识）；同时发包人应协助承包人对全体施工人员进行安全教育培训和考核，并协助承包人办理相关人员和车辆的施工通行证。</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8、联系和协调机场公安机关，督促施工单位按有关规定申报暂住登记和申领《暂住证》，并协助承包人联系机场公安局商定有关飞行区安全保卫事宜。</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9、利用施工例会定期分析和掌握施工单位的治安情况，通报当前治安形势，交流工作经验，协助处理相关问题。</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10、承包人拒不按照本协议条款规定组织安全文明施工的，发包人有权责令承包人停工整改直至终止合同。</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11、发包人有权对承包人各项安全工作进行监督、检查。</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对承包人因违反民航总局第191号令《民用机场运行安全管理规定》而发生不安全事件，发包人有权按照相关处罚条例对承包人予以处罚，造成严重后果或损失重大的，发包人有权将承包人清退出场并追偿由此而造成的损失。</w:t>
      </w:r>
    </w:p>
    <w:p>
      <w:pPr>
        <w:spacing w:line="3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三、承包人的安全责任和权利</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（一）承包人应从事的施工安全管理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当及时、如实报告和积极应对。对工程依法实行总分包制，总包单位对施工安全负总责，并以安全责任书的方式确定各分包单位的安全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15、工程开工前，应完成安全生产规章制度和操作规程等相应规章的制定工作；成立由项目负责人为责任人的有效的安全保障网络；指定项目部专职安全员、班组安全员，并接受发包人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16、对安全作业环境建设及安全施工措施制定、实行所需的费用，应当列入建设工程预算，专款专用，不得挪作他用。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18、在施工组织设计中应当制定安全技术措施和施工现场临时用电方案，对危险性较大的部分分项工程应当制定专项施工方案，并附安全验算计算书，经承包人技术负责人、总监理工程师阅览签字后实施，由专职安全生产管理人员进行现场监督。</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19、在施工前，负责项目管理的技术人员应当对有关安全施工的技术要求向作业班组、作业人员做出书面交底，并由双方确认签字。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20、应根据不同的施工阶段和环境及季节、气候的变化，在施工现场采取相应的安全防护措施；施工现场暂时停止施工的，承包人要做好现场防护工作，所需费用由承包人承担（合同有约定的除外）。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21、应当向作业人员提供安全防护用具和安全防护服装，并书面告知危险岗位的操作规程及违章操作所产生的危害。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22、采购、租赁的安全防护用具、机械设备、施工机具及配件，应当具有生产许可证、产品合格证，并在进入施工现场前进行查验。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24、在采用新技术、新工艺、新设备、新材料时，应当对作业人员进行相应的安全生产教育培训。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26、承包人不得在机场和机场净空保护区范围内施放烟花、爆竹、气球等升空物体；不得随意焚烧垃圾等物品制造烟雾；不得饲养动物；不得随意丢弃飘浮物。</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（二）承包人应从事的空防安全管理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28、通行证的办理遵从《杭州萧山国际机场控制区通行证管理办法》。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29、需进入机场控制区施工的人员和车辆需主动接受机场管理人员的检查，并服从机场相关职能部门的监管，无通行证者一律不得进入。</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30、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（三）承包人应从事的不停航施工项目安全管理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32、在机场有飞行任务期间，禁止在跑道端之外300米以内、跑道中心线两侧75米以内的区域进行任何施工作业。如承包人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33、实行不停航施工的区域，开挖的明沟和施工材料堆放处，必须根据发包人要求用橘黄色小旗标识以示警告；在低能见度的白天和夜间，应当按照发包人要求加设红色恒定灯光；材料和临时堆放的施工垃圾应当采取防止被风或飞机尾流吹散的措施。</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（四）承包人的文明施工责任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35、按照《建筑施工安全检查标准》JGJ59—99的标准和浙江省、杭州市有关文明施工检查评分标准做好文明施工，保证施工项目文明施工合格。</w:t>
      </w:r>
    </w:p>
    <w:p>
      <w:pPr>
        <w:spacing w:line="360" w:lineRule="exact"/>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37、在施工现场建立清扫制度，落实到人，做到工完料尽场地清，车辆进出场应有防泥带出措施。建筑垃圾及时清运，并堆放到发包人指定地点。土方外运过程，严格按程序操作，不得在机场内外遗洒，应有避免扬尘的措施。</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（五）承包人应从事的社会治安综合治理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38、做好内部的治安防范工作，对重要部位和物资，要落实人防、物防和技防的措施，积极配合公安机关组织的治安联防活动。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39、认真排查、调处各类矛盾，及时消除隐患，杜绝各类社会矛盾引发的群体性事件的发生。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40、制定包括重大安全生产事故、重大道路交通事故、重大消防安全事故、重大刑事案件以及群体性事件等突发性事件在内的应急处置预案，一旦发生，及时报告发包人和上级主管部门并做好处置工作。</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（六）承包人应从事的消防安全管理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41、遵守国家消防法律法规，建立和健全消防管理规章制度，明确消防安全责任人，健全消防安全网络（配备专职或兼职消防员），建立消防应急队伍，并报发包人和机场公安局消防部门备案。</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43、施工中使用明火，使用电、气进行焊接和切割作业，须经机场公安消防管理部门审查批准，未经批准一律不得使用。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44、加强对施工人员进行消防安全教育，使其熟悉本岗位防火措施、遇险报警、初期扑救及自救逃生的知识和技能。</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（七）承包人应从事的交通安全管理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45、加强对下属员工、驾驶人员、承运单位的道路交通安全法律法规宣传教育，车辆进出机场和施工场地均应服从交警及其他交通管理人员的指挥和管理。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的发生，禁止严重影响交通安全的违法行为（如超载、超速、酒后驾驶、逆向行驶等）。</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47、确保各类运输车辆技术状况良好，不得使用无号牌、无行驶证、无保险和带故障、检验不合格的运输车辆，不得使用拖拉机和农用运输车。</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48、所有运输车辆均应办理施工通行证并按指定路线和限定速度行驶，不得违反车辆装载规定：超载、超高、超宽。进入控制区施工车辆应开启黄色警示灯。</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49、占用、挖掘道路，跨越道路架设、铺设管线以及大型机械进出机场须提前与发包人协商，征得发包人和机场公安局交警队同意，并采取防护措施和设置明显警示标志方可实施。</w:t>
      </w:r>
    </w:p>
    <w:p>
      <w:pPr>
        <w:spacing w:line="3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四、违约责任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50、本《安全文明施工协议书》是工程施工合同的重要组成部分，承包人必须严格遵守和履行，如有违反，发包人可以追究承包人责任；承包人违约情况严重，或是社会影响恶劣，又或是造成发包人或他方重大损失，发包人可解除施工合同且不须向承包人承担任何补偿、赔偿的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51、严禁因承包人行为导致发生飞行事故征侯，违者扣合同总款的</w:t>
      </w:r>
      <w:r>
        <w:rPr>
          <w:rFonts w:hint="eastAsia" w:asciiTheme="minorEastAsia" w:hAnsiTheme="minorEastAsia" w:cstheme="minorEastAsia"/>
          <w:sz w:val="24"/>
          <w:szCs w:val="24"/>
          <w:u w:val="single"/>
        </w:rPr>
        <w:t>20%</w:t>
      </w:r>
      <w:r>
        <w:rPr>
          <w:rFonts w:hint="eastAsia" w:asciiTheme="minorEastAsia" w:hAnsiTheme="minorEastAsia" w:cstheme="minorEastAsia"/>
          <w:sz w:val="24"/>
          <w:szCs w:val="24"/>
        </w:rPr>
        <w:t>，如发生飞行事故扣合同总款</w:t>
      </w:r>
      <w:r>
        <w:rPr>
          <w:rFonts w:hint="eastAsia" w:asciiTheme="minorEastAsia" w:hAnsiTheme="minorEastAsia" w:cstheme="minorEastAsia"/>
          <w:sz w:val="24"/>
          <w:szCs w:val="24"/>
          <w:u w:val="single"/>
        </w:rPr>
        <w:t>50％</w:t>
      </w:r>
      <w:r>
        <w:rPr>
          <w:rFonts w:hint="eastAsia" w:asciiTheme="minorEastAsia" w:hAnsiTheme="minorEastAsia" w:cstheme="minorEastAsia"/>
          <w:sz w:val="24"/>
          <w:szCs w:val="24"/>
        </w:rPr>
        <w:t>，并追究法律责任。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五、本协议书附于</w:t>
      </w:r>
      <w:r>
        <w:rPr>
          <w:rFonts w:hint="eastAsia" w:asciiTheme="minorEastAsia" w:hAnsiTheme="minorEastAsia" w:cstheme="minorEastAsia"/>
          <w:sz w:val="24"/>
          <w:szCs w:val="24"/>
          <w:u w:val="single"/>
        </w:rPr>
        <w:t>《杭州萧山国际机场6号道口改造项目施工合同》</w:t>
      </w:r>
      <w:r>
        <w:rPr>
          <w:rFonts w:hint="eastAsia" w:asciiTheme="minorEastAsia" w:hAnsiTheme="minorEastAsia" w:cstheme="minorEastAsia"/>
          <w:sz w:val="24"/>
          <w:szCs w:val="24"/>
        </w:rPr>
        <w:t>后，由甲乙双方共同盖章后生效。</w:t>
      </w:r>
    </w:p>
    <w:p>
      <w:pPr>
        <w:adjustRightInd w:val="0"/>
        <w:snapToGrid w:val="0"/>
        <w:spacing w:line="36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五、附则：</w:t>
      </w:r>
    </w:p>
    <w:p>
      <w:pPr>
        <w:adjustRightInd w:val="0"/>
        <w:snapToGrid w:val="0"/>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（一）由于承包人行为违反国家法律、法规和杭州萧山国际机场有限公司有关规章制度和责任书规定内容，发包人有权对承包人进行处罚。承包人触犯法律的，依法追究有关责任人的法律责任。</w:t>
      </w:r>
    </w:p>
    <w:p>
      <w:pPr>
        <w:adjustRightInd w:val="0"/>
        <w:snapToGrid w:val="0"/>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（二）本责任书解释权归发包人。</w:t>
      </w:r>
    </w:p>
    <w:p>
      <w:pPr>
        <w:adjustRightInd w:val="0"/>
        <w:snapToGrid w:val="0"/>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（三）本责任书由甲乙双方共同盖章后生效。</w:t>
      </w:r>
    </w:p>
    <w:p>
      <w:pPr>
        <w:adjustRightInd w:val="0"/>
        <w:snapToGrid w:val="0"/>
        <w:spacing w:line="360" w:lineRule="exact"/>
        <w:rPr>
          <w:rFonts w:asciiTheme="minorEastAsia" w:hAnsiTheme="minorEastAsia" w:cstheme="minorEastAsia"/>
          <w:bCs/>
          <w:sz w:val="24"/>
          <w:szCs w:val="24"/>
        </w:rPr>
      </w:pPr>
      <w:r>
        <w:rPr>
          <w:rFonts w:hint="eastAsia" w:asciiTheme="minorEastAsia" w:hAnsiTheme="minorEastAsia" w:cstheme="minorEastAsia"/>
          <w:bCs/>
          <w:sz w:val="24"/>
          <w:szCs w:val="24"/>
        </w:rPr>
        <w:t xml:space="preserve">发包人：                                          承包人： </w:t>
      </w:r>
    </w:p>
    <w:p>
      <w:pPr>
        <w:spacing w:line="360" w:lineRule="exact"/>
        <w:rPr>
          <w:rFonts w:asciiTheme="minorEastAsia" w:hAnsiTheme="minorEastAsia" w:cstheme="minorEastAsia"/>
          <w:sz w:val="24"/>
          <w:szCs w:val="24"/>
        </w:rPr>
      </w:pPr>
      <w:r>
        <w:rPr>
          <w:rFonts w:hint="eastAsia" w:asciiTheme="minorEastAsia" w:hAnsiTheme="minorEastAsia" w:cstheme="minorEastAsia"/>
          <w:bCs/>
          <w:sz w:val="24"/>
          <w:szCs w:val="24"/>
        </w:rPr>
        <w:t xml:space="preserve"> </w:t>
      </w:r>
      <w:r>
        <w:rPr>
          <w:rFonts w:hint="eastAsia" w:asciiTheme="minorEastAsia" w:hAnsiTheme="minorEastAsia" w:cstheme="minorEastAsia"/>
          <w:b/>
          <w:sz w:val="24"/>
          <w:szCs w:val="24"/>
        </w:rPr>
        <w:t xml:space="preserve"> </w:t>
      </w:r>
    </w:p>
    <w:p>
      <w:pPr>
        <w:pageBreakBefore/>
        <w:jc w:val="left"/>
        <w:rPr>
          <w:rFonts w:ascii="宋体" w:hAnsi="宋体" w:cs="宋体"/>
          <w:sz w:val="22"/>
        </w:rPr>
      </w:pPr>
      <w:r>
        <w:rPr>
          <w:rFonts w:hint="eastAsia" w:ascii="宋体" w:hAnsi="宋体" w:cs="宋体"/>
          <w:sz w:val="22"/>
        </w:rPr>
        <w:t>附件三：</w:t>
      </w:r>
    </w:p>
    <w:p>
      <w:pPr>
        <w:jc w:val="center"/>
        <w:rPr>
          <w:rFonts w:ascii="宋体" w:hAnsi="宋体" w:eastAsia="宋体" w:cs="宋体"/>
          <w:b/>
          <w:bCs/>
          <w:sz w:val="22"/>
        </w:rPr>
      </w:pPr>
      <w:r>
        <w:rPr>
          <w:rFonts w:hint="eastAsia" w:ascii="宋体" w:hAnsi="宋体" w:eastAsia="宋体" w:cs="宋体"/>
          <w:b/>
          <w:bCs/>
          <w:sz w:val="22"/>
        </w:rPr>
        <w:t>疫情防控责任书</w:t>
      </w:r>
    </w:p>
    <w:p>
      <w:pPr>
        <w:rPr>
          <w:rFonts w:ascii="宋体" w:hAnsi="宋体" w:eastAsia="宋体" w:cs="宋体"/>
          <w:sz w:val="22"/>
        </w:rPr>
      </w:pPr>
    </w:p>
    <w:p>
      <w:pPr>
        <w:spacing w:line="360" w:lineRule="exact"/>
        <w:ind w:firstLine="440" w:firstLineChars="200"/>
        <w:rPr>
          <w:rFonts w:ascii="宋体" w:hAnsi="宋体" w:eastAsia="宋体" w:cs="宋体"/>
          <w:sz w:val="22"/>
        </w:rPr>
      </w:pPr>
      <w:r>
        <w:rPr>
          <w:rFonts w:hint="eastAsia" w:ascii="宋体" w:hAnsi="宋体" w:eastAsia="宋体" w:cs="宋体"/>
          <w:sz w:val="22"/>
        </w:rPr>
        <w:t>为落实民航疫情防控工作要求，全面落实责任制，提升疫情防控水平，建立健全长效机制，做好疫情防控管控工作，增强对重点场所、重点环节、重点人员防控措施的把控，杭州萧山国际机场有限公司（以下简称“机场公司”）与【】（以下简称“  公司”）于【】签订《   合同》就【】签订疫情防控责任书，具体如下：</w:t>
      </w:r>
    </w:p>
    <w:p>
      <w:pPr>
        <w:spacing w:line="360" w:lineRule="exact"/>
        <w:ind w:firstLine="440" w:firstLineChars="200"/>
        <w:rPr>
          <w:rFonts w:ascii="宋体" w:hAnsi="宋体" w:eastAsia="宋体" w:cs="宋体"/>
          <w:sz w:val="22"/>
        </w:rPr>
      </w:pPr>
      <w:r>
        <w:rPr>
          <w:rFonts w:hint="eastAsia" w:ascii="宋体" w:hAnsi="宋体" w:eastAsia="宋体" w:cs="宋体"/>
          <w:sz w:val="22"/>
        </w:rPr>
        <w:t>【】公司按照以下条款严格管理，【】公司的法定代表人为疫情防控承担者，承担疫情防控责任。机场公司所属【】部门有权对乙方管理情况进行监督。</w:t>
      </w:r>
    </w:p>
    <w:p>
      <w:pPr>
        <w:spacing w:line="360" w:lineRule="exact"/>
        <w:ind w:firstLine="440" w:firstLineChars="200"/>
        <w:rPr>
          <w:rFonts w:ascii="宋体" w:hAnsi="宋体" w:eastAsia="宋体" w:cs="宋体"/>
          <w:sz w:val="22"/>
        </w:rPr>
      </w:pPr>
      <w:r>
        <w:rPr>
          <w:rFonts w:hint="eastAsia" w:ascii="宋体" w:hAnsi="宋体" w:eastAsia="宋体" w:cs="宋体"/>
          <w:sz w:val="22"/>
        </w:rPr>
        <w:t>一、【】公司负责监督员工在岗防护情况，做到防护到位。</w:t>
      </w:r>
    </w:p>
    <w:p>
      <w:pPr>
        <w:spacing w:line="360" w:lineRule="exact"/>
        <w:ind w:firstLine="440" w:firstLineChars="200"/>
        <w:rPr>
          <w:rFonts w:ascii="宋体" w:hAnsi="宋体" w:eastAsia="宋体" w:cs="宋体"/>
          <w:sz w:val="22"/>
        </w:rPr>
      </w:pPr>
      <w:r>
        <w:rPr>
          <w:rFonts w:hint="eastAsia" w:ascii="宋体" w:hAnsi="宋体" w:eastAsia="宋体" w:cs="宋体"/>
          <w:sz w:val="22"/>
        </w:rPr>
        <w:t>二、【】公司要求员工严禁接触涉疫区域内的高危人员或物品，避免因管理不当导致的安全风险。</w:t>
      </w:r>
    </w:p>
    <w:p>
      <w:pPr>
        <w:spacing w:line="360" w:lineRule="exact"/>
        <w:ind w:firstLine="440" w:firstLineChars="200"/>
        <w:rPr>
          <w:rFonts w:ascii="宋体" w:hAnsi="宋体" w:eastAsia="宋体" w:cs="宋体"/>
          <w:sz w:val="22"/>
        </w:rPr>
      </w:pPr>
      <w:r>
        <w:rPr>
          <w:rFonts w:hint="eastAsia" w:ascii="宋体" w:hAnsi="宋体" w:eastAsia="宋体" w:cs="宋体"/>
          <w:sz w:val="22"/>
        </w:rPr>
        <w:t>三、【】公司员工做到适宜接种全员接种疫苗，新进员工需接种疫苗后上岗。并做好员工疫苗接种的管控工作，避免因员工未接种疫苗导致的安全风险。</w:t>
      </w:r>
    </w:p>
    <w:p>
      <w:pPr>
        <w:spacing w:line="360" w:lineRule="exact"/>
        <w:ind w:firstLine="440" w:firstLineChars="200"/>
        <w:rPr>
          <w:rFonts w:ascii="宋体" w:hAnsi="宋体" w:eastAsia="宋体" w:cs="宋体"/>
          <w:sz w:val="22"/>
        </w:rPr>
      </w:pPr>
      <w:r>
        <w:rPr>
          <w:rFonts w:hint="eastAsia" w:ascii="宋体" w:hAnsi="宋体" w:eastAsia="宋体" w:cs="宋体"/>
          <w:sz w:val="22"/>
        </w:rPr>
        <w:t>四、【】公司需根据机场公司要求，及时安排员工开展核酸检测工作，核酸检测做到“应检尽检”。</w:t>
      </w:r>
    </w:p>
    <w:p>
      <w:pPr>
        <w:spacing w:line="360" w:lineRule="exact"/>
        <w:ind w:firstLine="440" w:firstLineChars="200"/>
        <w:rPr>
          <w:rFonts w:ascii="宋体" w:hAnsi="宋体" w:eastAsia="宋体" w:cs="宋体"/>
          <w:sz w:val="22"/>
        </w:rPr>
      </w:pPr>
      <w:r>
        <w:rPr>
          <w:rFonts w:hint="eastAsia" w:ascii="宋体" w:hAnsi="宋体" w:eastAsia="宋体" w:cs="宋体"/>
          <w:sz w:val="22"/>
        </w:rPr>
        <w:t>五、【】公司需做到培训到位及防控要求传达到位，定期对员工开展疫情防控培训，培训内容包括但不限于个人防护要求及近期国内疫情情况通报等，及时传达公司防控相关要求。</w:t>
      </w:r>
    </w:p>
    <w:p>
      <w:pPr>
        <w:spacing w:line="360" w:lineRule="exact"/>
        <w:ind w:firstLine="440" w:firstLineChars="200"/>
        <w:rPr>
          <w:rFonts w:ascii="宋体" w:hAnsi="宋体" w:eastAsia="宋体" w:cs="宋体"/>
          <w:sz w:val="22"/>
        </w:rPr>
      </w:pPr>
      <w:r>
        <w:rPr>
          <w:rFonts w:hint="eastAsia" w:ascii="宋体" w:hAnsi="宋体" w:eastAsia="宋体" w:cs="宋体"/>
          <w:sz w:val="22"/>
        </w:rPr>
        <w:t>六、【】公司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spacing w:line="360" w:lineRule="exact"/>
        <w:ind w:firstLine="440" w:firstLineChars="200"/>
        <w:rPr>
          <w:rFonts w:ascii="宋体" w:hAnsi="宋体" w:eastAsia="宋体" w:cs="宋体"/>
          <w:sz w:val="22"/>
        </w:rPr>
      </w:pPr>
      <w:r>
        <w:rPr>
          <w:rFonts w:hint="eastAsia" w:ascii="宋体" w:hAnsi="宋体" w:eastAsia="宋体" w:cs="宋体"/>
          <w:sz w:val="22"/>
        </w:rPr>
        <w:t>七、【】公司需做好员工身体状况动态监控，掌握职工健康状况，制定应急预案，如遇发热、咳嗽等症状者要求主动报告，并做好防护及送医措施。</w:t>
      </w:r>
    </w:p>
    <w:p>
      <w:pPr>
        <w:spacing w:line="360" w:lineRule="exact"/>
        <w:ind w:firstLine="440" w:firstLineChars="200"/>
        <w:rPr>
          <w:rFonts w:ascii="宋体" w:hAnsi="宋体" w:eastAsia="宋体" w:cs="宋体"/>
          <w:sz w:val="22"/>
        </w:rPr>
      </w:pPr>
      <w:r>
        <w:rPr>
          <w:rFonts w:hint="eastAsia" w:ascii="宋体" w:hAnsi="宋体" w:eastAsia="宋体" w:cs="宋体"/>
          <w:sz w:val="22"/>
        </w:rPr>
        <w:t>八、【】公司需做好做好洗手液、口罩、温度计、75%酒精、含氯消毒液等药械物资准备。</w:t>
      </w:r>
    </w:p>
    <w:p>
      <w:pPr>
        <w:spacing w:line="360" w:lineRule="exact"/>
        <w:ind w:firstLine="440" w:firstLineChars="200"/>
        <w:jc w:val="left"/>
        <w:rPr>
          <w:rFonts w:ascii="宋体" w:hAnsi="宋体" w:eastAsia="宋体" w:cs="宋体"/>
          <w:color w:val="000000"/>
          <w:sz w:val="22"/>
        </w:rPr>
      </w:pPr>
      <w:r>
        <w:rPr>
          <w:rFonts w:hint="eastAsia" w:ascii="宋体" w:hAnsi="宋体" w:eastAsia="宋体" w:cs="宋体"/>
          <w:color w:val="000000"/>
          <w:sz w:val="22"/>
        </w:rPr>
        <w:t>九、若因</w:t>
      </w:r>
      <w:r>
        <w:rPr>
          <w:rFonts w:hint="eastAsia" w:ascii="宋体" w:hAnsi="宋体" w:eastAsia="宋体" w:cs="宋体"/>
          <w:sz w:val="22"/>
        </w:rPr>
        <w:t>【】公司及其员工</w:t>
      </w:r>
      <w:r>
        <w:rPr>
          <w:rFonts w:hint="eastAsia" w:ascii="宋体" w:hAnsi="宋体" w:eastAsia="宋体" w:cs="宋体"/>
          <w:color w:val="000000"/>
          <w:sz w:val="22"/>
        </w:rPr>
        <w:t>原因导致新型冠状肺炎疫情传播，则</w:t>
      </w:r>
      <w:r>
        <w:rPr>
          <w:rFonts w:hint="eastAsia" w:ascii="宋体" w:hAnsi="宋体" w:eastAsia="宋体" w:cs="宋体"/>
          <w:sz w:val="22"/>
        </w:rPr>
        <w:t>【】公司</w:t>
      </w:r>
      <w:r>
        <w:rPr>
          <w:rFonts w:hint="eastAsia" w:ascii="宋体" w:hAnsi="宋体" w:eastAsia="宋体" w:cs="宋体"/>
          <w:color w:val="000000"/>
          <w:sz w:val="22"/>
        </w:rPr>
        <w:t>应承担由此产生的疫情防控费用包括但不限于防疫措施费、防疫检测费、救助费等。若因该等事件，对机场公司造成影响，则机场公司有权要求</w:t>
      </w:r>
      <w:r>
        <w:rPr>
          <w:rFonts w:hint="eastAsia" w:ascii="宋体" w:hAnsi="宋体" w:eastAsia="宋体" w:cs="宋体"/>
          <w:sz w:val="22"/>
        </w:rPr>
        <w:t>【】公司</w:t>
      </w:r>
      <w:r>
        <w:rPr>
          <w:rFonts w:hint="eastAsia" w:ascii="宋体" w:hAnsi="宋体" w:eastAsia="宋体" w:cs="宋体"/>
          <w:color w:val="000000"/>
          <w:sz w:val="22"/>
        </w:rPr>
        <w:t>承担由此产生的实际损失，且机场公司有权解除合同。</w:t>
      </w:r>
    </w:p>
    <w:p>
      <w:pPr>
        <w:spacing w:line="360" w:lineRule="exact"/>
        <w:rPr>
          <w:rFonts w:ascii="宋体" w:hAnsi="宋体" w:eastAsia="宋体" w:cs="宋体"/>
          <w:sz w:val="22"/>
        </w:rPr>
      </w:pPr>
    </w:p>
    <w:p>
      <w:pPr>
        <w:spacing w:line="360" w:lineRule="exact"/>
        <w:rPr>
          <w:rFonts w:ascii="宋体" w:hAnsi="宋体" w:eastAsia="宋体" w:cs="宋体"/>
          <w:sz w:val="22"/>
        </w:rPr>
      </w:pPr>
    </w:p>
    <w:p>
      <w:pPr>
        <w:spacing w:line="360" w:lineRule="exact"/>
        <w:ind w:right="-193" w:rightChars="-92"/>
        <w:rPr>
          <w:rFonts w:ascii="宋体" w:hAnsi="宋体" w:eastAsia="宋体" w:cs="宋体"/>
          <w:color w:val="000000"/>
          <w:sz w:val="22"/>
        </w:rPr>
      </w:pPr>
    </w:p>
    <w:p>
      <w:pPr>
        <w:spacing w:line="360" w:lineRule="exact"/>
        <w:ind w:right="-193" w:rightChars="-92"/>
        <w:rPr>
          <w:rFonts w:ascii="宋体" w:hAnsi="宋体" w:eastAsia="宋体" w:cs="宋体"/>
          <w:color w:val="000000"/>
          <w:sz w:val="22"/>
        </w:rPr>
      </w:pPr>
      <w:r>
        <w:rPr>
          <w:rFonts w:hint="eastAsia" w:ascii="宋体" w:hAnsi="宋体" w:eastAsia="宋体" w:cs="宋体"/>
          <w:color w:val="000000"/>
          <w:sz w:val="22"/>
        </w:rPr>
        <w:t xml:space="preserve">                     承诺人：</w:t>
      </w:r>
    </w:p>
    <w:p>
      <w:pPr>
        <w:spacing w:line="360" w:lineRule="exact"/>
        <w:ind w:right="-193" w:rightChars="-92"/>
        <w:rPr>
          <w:rFonts w:ascii="宋体" w:hAnsi="宋体" w:eastAsia="宋体" w:cs="宋体"/>
          <w:color w:val="000000"/>
          <w:sz w:val="22"/>
        </w:rPr>
      </w:pPr>
      <w:r>
        <w:rPr>
          <w:rFonts w:hint="eastAsia" w:ascii="宋体" w:hAnsi="宋体" w:eastAsia="宋体" w:cs="宋体"/>
          <w:color w:val="000000"/>
          <w:sz w:val="22"/>
        </w:rPr>
        <w:t xml:space="preserve">                    （盖章）</w:t>
      </w:r>
    </w:p>
    <w:p>
      <w:pPr>
        <w:spacing w:line="360" w:lineRule="exact"/>
        <w:rPr>
          <w:rFonts w:ascii="宋体" w:hAnsi="宋体" w:eastAsia="宋体" w:cs="宋体"/>
          <w:color w:val="000000"/>
          <w:sz w:val="22"/>
        </w:rPr>
      </w:pPr>
      <w:r>
        <w:rPr>
          <w:rFonts w:hint="eastAsia" w:ascii="宋体" w:hAnsi="宋体" w:eastAsia="宋体" w:cs="宋体"/>
          <w:color w:val="000000"/>
          <w:sz w:val="22"/>
        </w:rPr>
        <w:t xml:space="preserve">                 </w:t>
      </w: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pStyle w:val="9"/>
        <w:pageBreakBefore/>
      </w:pPr>
      <w:bookmarkStart w:id="21" w:name="_Toc27673"/>
      <w:r>
        <w:rPr>
          <w:rFonts w:hint="eastAsia"/>
        </w:rPr>
        <w:t>第四章  工程量清单</w:t>
      </w:r>
      <w:bookmarkEnd w:id="17"/>
      <w:bookmarkEnd w:id="21"/>
    </w:p>
    <w:tbl>
      <w:tblPr>
        <w:tblStyle w:val="12"/>
        <w:tblW w:w="7211" w:type="dxa"/>
        <w:jc w:val="center"/>
        <w:tblInd w:w="12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4"/>
        <w:gridCol w:w="2740"/>
        <w:gridCol w:w="1042"/>
        <w:gridCol w:w="1635"/>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5" w:hRule="atLeast"/>
          <w:jc w:val="center"/>
        </w:trPr>
        <w:tc>
          <w:tcPr>
            <w:tcW w:w="7211" w:type="dxa"/>
            <w:gridSpan w:val="5"/>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bookmarkStart w:id="22" w:name="_Toc9507"/>
            <w:bookmarkStart w:id="23" w:name="_Toc275274581"/>
            <w:bookmarkStart w:id="24" w:name="_Toc448097409"/>
            <w:r>
              <w:rPr>
                <w:rFonts w:hint="eastAsia" w:ascii="宋体" w:hAnsi="宋体" w:eastAsia="宋体" w:cs="宋体"/>
                <w:b/>
                <w:i w:val="0"/>
                <w:color w:val="000000"/>
                <w:kern w:val="0"/>
                <w:sz w:val="40"/>
                <w:szCs w:val="40"/>
                <w:u w:val="none"/>
                <w:lang w:val="en-US" w:eastAsia="zh-CN" w:bidi="ar"/>
              </w:rPr>
              <w:t>AOC安检道口改造参考工程量清单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名称及说明</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工程数量</w:t>
            </w:r>
          </w:p>
        </w:tc>
        <w:tc>
          <w:tcPr>
            <w:tcW w:w="134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21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安检室出口地面整修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740" w:type="dxa"/>
            <w:tcBorders>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原有砼侧石拆除</w:t>
            </w:r>
          </w:p>
        </w:tc>
        <w:tc>
          <w:tcPr>
            <w:tcW w:w="1042" w:type="dxa"/>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635" w:type="dxa"/>
            <w:tcBorders>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340" w:type="dxa"/>
            <w:tcBorders>
              <w:left w:val="single" w:color="000000" w:sz="4" w:space="0"/>
              <w:bottom w:val="single" w:color="000000" w:sz="4" w:space="0"/>
              <w:right w:val="single" w:color="000000" w:sz="4" w:space="0"/>
            </w:tcBorders>
            <w:shd w:val="clear" w:color="auto" w:fill="auto"/>
            <w:vAlign w:val="bottom"/>
          </w:tcPr>
          <w:p>
            <w:pPr>
              <w:rPr>
                <w:rFonts w:hint="eastAsia"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新安装花岗岩侧石</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雨水井加高与新做路面平整0.4*0.4米（含粉刷等）</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更换重型塑钢盖板0.4*0.4米</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水泥混凝土路面  道路混凝土~厚度15(cm)^非泵送商品混凝土 C30</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碎石底层  人机配合~厚5(cm)</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1.8CM火烧岩板面层安砌  （300*600）</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直径100PVC排水管敷设（含开挖及复位）</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窨井加高与新做路面平整700MM（含粉刷等）</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更换重型塑钢盖板700</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211" w:type="dxa"/>
            <w:gridSpan w:val="5"/>
            <w:tcBorders>
              <w:top w:val="single" w:color="000000" w:sz="4" w:space="0"/>
              <w:left w:val="single" w:color="000000" w:sz="4" w:space="0"/>
              <w:right w:val="single" w:color="000000" w:sz="4" w:space="0"/>
            </w:tcBorders>
            <w:shd w:val="clear" w:color="auto" w:fill="FFFFFF"/>
            <w:vAlign w:val="center"/>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18"/>
                <w:szCs w:val="18"/>
                <w:u w:val="none"/>
                <w:lang w:val="en-US" w:eastAsia="zh-CN" w:bidi="ar"/>
              </w:rPr>
              <w:t>AOC道口行人出口道路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挖土方（深30CM）</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17.370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水泥混凝土路面  道路混凝土~厚度15(cm)^非泵送商品混凝土 C30</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57.900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碎石底层  人机配合~厚5(cm)</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57.900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1.8CM火烧岩板面层安砌  （300*600）</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57.900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绿色围网斜撑拆装</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75" w:hRule="atLeast"/>
          <w:jc w:val="center"/>
        </w:trPr>
        <w:tc>
          <w:tcPr>
            <w:tcW w:w="454"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740"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新安装绿色围网（2、围网不含倒刺部分高度2700mm，斧形刺刀圈直径600mm，单片宽度2000mm。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3、围网立柱采用 Φ76*3.0电焊钢管,上下网片采用Φ5冷拔钢丝，网眼间距50*100。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4、围界采用整体先镀锌厚渡塑的防腐形式,第一层热镀锌所采用的锌应符合GB470-83中规定的特一号或一号锌,镀锌量为:网片120G/M平方,紧固  件为350G/M平方,立柱横梁等为270G/M平方.第二层非金属渡层采取聚乙烯,厚度为0.4-0.8MM。镀塑前应对工件进行整体酸洗磷化处理。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5、围网具体样式及技术要求详见围网大样图。砼基础详见图纸。报价中应包含基础挖土、砼基础浇筑、预埋固定及围网连接件。）</w:t>
            </w:r>
          </w:p>
        </w:tc>
        <w:tc>
          <w:tcPr>
            <w:tcW w:w="1042"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27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围网开门洞1*2.1米（不锈钢方管门框）</w:t>
            </w:r>
          </w:p>
        </w:tc>
        <w:tc>
          <w:tcPr>
            <w:tcW w:w="10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auto"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454" w:type="dxa"/>
            <w:tcBorders>
              <w:top w:val="single" w:color="auto"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740" w:type="dxa"/>
            <w:tcBorders>
              <w:top w:val="single" w:color="auto"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围网开门洞做不锈钢成品门1*2.1米（不锈钢方管门框，单向开闭，自动闭合上锁）</w:t>
            </w:r>
          </w:p>
        </w:tc>
        <w:tc>
          <w:tcPr>
            <w:tcW w:w="1042" w:type="dxa"/>
            <w:tcBorders>
              <w:top w:val="single" w:color="auto"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auto"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围网开门洞及新安装不锈钢转闸门1.45*1.45*2.2</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地面刷黄黑反光漆</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原有砼侧石拆除</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新安装花岗岩侧石</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46.000</w:t>
            </w:r>
          </w:p>
        </w:tc>
        <w:tc>
          <w:tcPr>
            <w:tcW w:w="1340" w:type="dxa"/>
            <w:tcBorders>
              <w:top w:val="single" w:color="000000" w:sz="4" w:space="0"/>
              <w:left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21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AOC安检道口安检室进口区域及岗亭迁移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740" w:type="dxa"/>
            <w:tcBorders>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窨井降低与新做路面平整700MM（含粉刷等）</w:t>
            </w:r>
          </w:p>
        </w:tc>
        <w:tc>
          <w:tcPr>
            <w:tcW w:w="1042" w:type="dxa"/>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更换重型塑钢盖板700</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隔墙轻钢龙骨基层 中距竖400mm横1500mm以内</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A级阻燃板</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墙面石膏板基层</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石膏板或者其他基层板面批刮腻子（满刮两遍）</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墙面刷涂料 ~二遍</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地砖踢脚线 干混砂浆铺贴</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0.630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原有玻璃门拆除</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原有墙面开门洞（含过梁安装及门洞周边修补）</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5.880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新安装甲级防盗双开门（含门框及配件等，1.4*2.1米）</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拆除原有砖墙及窗户</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新砌砖墙（含内外粉刷等）</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0.264</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新安装铝合金有框8MM钢化玻璃平开门（0.9*2.1米，含配件等）</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原有岗亭移位</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岗亭电源线拆装及新安装穿线管、电源线等</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拆除原有绿色围网</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新安装绿色围网（2、围网不含倒刺部分高度2700mm，斧形刺刀圈直径600mm，单片宽度2000mm。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3、围网立柱采用 Φ76*3.0电焊钢管,上下网片采用Φ5冷拔钢丝，网眼间距50*100。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4、围界采用整体先镀锌厚渡塑的防腐形式,第一层热镀锌所采用的锌应符合GB470-83中规定的特一号或一号锌,镀锌量为:网片120G/M平方,紧固  件为350G/M平方,立柱横梁等为270G/M平方.第二层非金属渡层采取聚乙烯,厚度为0.4-0.8MM。镀塑前应对工件进行整体酸洗磷化处理。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5、围网具体样式及技术要求详见围网大样图。报价中应包含基础预埋固定及围网连接件。）</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2740"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挖土方（深30CM）</w:t>
            </w:r>
          </w:p>
        </w:tc>
        <w:tc>
          <w:tcPr>
            <w:tcW w:w="1042"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635"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27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水泥混凝土路面  道路混凝土~厚度15(cm)^非泵送商品混凝土 C30</w:t>
            </w:r>
          </w:p>
        </w:tc>
        <w:tc>
          <w:tcPr>
            <w:tcW w:w="10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1340" w:type="dxa"/>
            <w:tcBorders>
              <w:top w:val="single" w:color="000000" w:sz="4" w:space="0"/>
              <w:left w:val="single" w:color="auto"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auto"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2740" w:type="dxa"/>
            <w:tcBorders>
              <w:top w:val="single" w:color="auto"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碎石底层  人机配合~厚5(cm)</w:t>
            </w:r>
          </w:p>
        </w:tc>
        <w:tc>
          <w:tcPr>
            <w:tcW w:w="1042" w:type="dxa"/>
            <w:tcBorders>
              <w:top w:val="single" w:color="auto"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auto"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1.8CM火烧岩板面层安砌  （300*600）</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原有路灯拆除</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新安装花岗岩侧石</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空调移位（含铜管加长等配件）</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室外防水监控安装（含管线及电源接入等）</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340" w:type="dxa"/>
            <w:tcBorders>
              <w:top w:val="single" w:color="000000" w:sz="4" w:space="0"/>
              <w:left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21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2740" w:type="dxa"/>
            <w:tcBorders>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材料搬运及垃圾清理外运</w:t>
            </w:r>
          </w:p>
        </w:tc>
        <w:tc>
          <w:tcPr>
            <w:tcW w:w="1042" w:type="dxa"/>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635" w:type="dxa"/>
            <w:tcBorders>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54"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74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登高辅助费</w:t>
            </w:r>
          </w:p>
        </w:tc>
        <w:tc>
          <w:tcPr>
            <w:tcW w:w="104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454"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2740"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施工安全监管费 （投标需考虑聘请专业保安（保安费用400-600元/人/8小时），负责门卫、巡逻、施工现场看护、隔离区围界看护等工作，人数每8小时不得少于1人，并配备相应的保卫措施）</w:t>
            </w:r>
          </w:p>
        </w:tc>
        <w:tc>
          <w:tcPr>
            <w:tcW w:w="1042"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635" w:type="dxa"/>
            <w:tcBorders>
              <w:top w:val="single" w:color="000000" w:sz="4" w:space="0"/>
              <w:left w:val="single" w:color="000000" w:sz="4" w:space="0"/>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45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27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隔离区施工措施费 （因隔离区内的的施工，投标人须采用相应施工措施，包括施工导致的夜间加班、工效降低、证件办理等需产生的费用必须充分考虑，费用包含在投标报价中）</w:t>
            </w:r>
          </w:p>
        </w:tc>
        <w:tc>
          <w:tcPr>
            <w:tcW w:w="10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63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40" w:type="dxa"/>
            <w:tcBorders>
              <w:top w:val="single" w:color="000000" w:sz="4" w:space="0"/>
              <w:left w:val="single" w:color="auto" w:sz="4" w:space="0"/>
              <w:bottom w:val="single" w:color="000000" w:sz="4" w:space="0"/>
              <w:right w:val="single" w:color="000000" w:sz="4" w:space="0"/>
            </w:tcBorders>
            <w:shd w:val="clear" w:color="auto" w:fill="auto"/>
            <w:vAlign w:val="bottom"/>
          </w:tcPr>
          <w:p>
            <w:pPr>
              <w:rPr>
                <w:rFonts w:hint="default" w:ascii="Arial" w:hAnsi="Arial" w:cs="Arial"/>
                <w:i w:val="0"/>
                <w:color w:val="000000"/>
                <w:sz w:val="20"/>
                <w:szCs w:val="20"/>
                <w:u w:val="none"/>
              </w:rPr>
            </w:pPr>
          </w:p>
        </w:tc>
      </w:tr>
    </w:tbl>
    <w:p>
      <w:pPr>
        <w:pStyle w:val="9"/>
        <w:jc w:val="center"/>
        <w:rPr>
          <w:rFonts w:hint="eastAsia"/>
        </w:rPr>
      </w:pPr>
    </w:p>
    <w:p>
      <w:pPr>
        <w:pStyle w:val="9"/>
        <w:jc w:val="center"/>
        <w:rPr>
          <w:rFonts w:hint="eastAsia"/>
        </w:rPr>
      </w:pPr>
    </w:p>
    <w:p>
      <w:pPr>
        <w:pStyle w:val="9"/>
        <w:jc w:val="center"/>
        <w:rPr>
          <w:rFonts w:hint="eastAsia"/>
        </w:rPr>
      </w:pPr>
    </w:p>
    <w:p>
      <w:pPr>
        <w:pStyle w:val="9"/>
        <w:jc w:val="center"/>
        <w:rPr>
          <w:rFonts w:hint="eastAsia"/>
        </w:rPr>
      </w:pPr>
    </w:p>
    <w:p>
      <w:pPr>
        <w:pStyle w:val="9"/>
        <w:keepNext/>
        <w:keepLines w:val="0"/>
        <w:pageBreakBefore/>
        <w:widowControl w:val="0"/>
        <w:kinsoku/>
        <w:wordWrap/>
        <w:overflowPunct/>
        <w:topLinePunct w:val="0"/>
        <w:autoSpaceDE/>
        <w:autoSpaceDN/>
        <w:bidi w:val="0"/>
        <w:adjustRightInd/>
        <w:snapToGrid/>
        <w:spacing w:before="60" w:after="60" w:line="240" w:lineRule="auto"/>
        <w:ind w:left="0" w:leftChars="0" w:right="0" w:rightChars="0" w:firstLine="0" w:firstLineChars="0"/>
        <w:jc w:val="center"/>
        <w:textAlignment w:val="auto"/>
        <w:outlineLvl w:val="0"/>
      </w:pPr>
      <w:r>
        <w:rPr>
          <w:rFonts w:hint="eastAsia"/>
        </w:rPr>
        <w:t>第</w:t>
      </w:r>
      <w:r>
        <w:rPr>
          <w:rFonts w:hint="eastAsia"/>
          <w:lang w:val="en-US" w:eastAsia="zh-CN"/>
        </w:rPr>
        <w:t>五</w:t>
      </w:r>
      <w:r>
        <w:rPr>
          <w:rFonts w:hint="eastAsia"/>
        </w:rPr>
        <w:t xml:space="preserve">章  </w:t>
      </w:r>
      <w:r>
        <w:rPr>
          <w:rFonts w:hint="eastAsia"/>
          <w:lang w:val="en-US" w:eastAsia="zh-CN"/>
        </w:rPr>
        <w:t>图纸</w:t>
      </w:r>
      <w:r>
        <w:rPr>
          <w:rFonts w:hint="eastAsia"/>
        </w:rPr>
        <w:t>（详见附件）</w:t>
      </w:r>
    </w:p>
    <w:p>
      <w:pPr>
        <w:widowControl/>
        <w:jc w:val="left"/>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Cambria" w:hAnsi="Cambria" w:eastAsia="黑体" w:cs="Times New Roman"/>
          <w:b/>
          <w:bCs/>
          <w:kern w:val="0"/>
          <w:sz w:val="32"/>
          <w:szCs w:val="32"/>
          <w:lang w:val="en-US" w:eastAsia="zh-CN"/>
        </w:rPr>
      </w:pPr>
      <w:r>
        <w:rPr>
          <w:rFonts w:hint="eastAsia" w:ascii="Cambria" w:hAnsi="Cambria" w:eastAsia="黑体" w:cs="Times New Roman"/>
          <w:b/>
          <w:bCs/>
          <w:kern w:val="0"/>
          <w:sz w:val="32"/>
          <w:szCs w:val="32"/>
          <w:lang w:val="en-US" w:eastAsia="zh-CN"/>
        </w:rPr>
        <w:t>附件一：围网大样图</w:t>
      </w:r>
    </w:p>
    <w:p>
      <w:pPr>
        <w:pStyle w:val="9"/>
        <w:jc w:val="center"/>
        <w:rPr>
          <w:rFonts w:hint="eastAsia"/>
        </w:rPr>
      </w:pPr>
    </w:p>
    <w:bookmarkEnd w:id="22"/>
    <w:p>
      <w:pPr>
        <w:pStyle w:val="9"/>
        <w:jc w:val="both"/>
      </w:pPr>
    </w:p>
    <w:p>
      <w:pPr>
        <w:pStyle w:val="9"/>
        <w:keepNext/>
        <w:pageBreakBefore/>
      </w:pPr>
      <w:bookmarkStart w:id="25" w:name="_Toc17683"/>
      <w:r>
        <w:rPr>
          <w:rFonts w:hint="eastAsia"/>
        </w:rPr>
        <w:t>第</w:t>
      </w:r>
      <w:r>
        <w:rPr>
          <w:rFonts w:hint="eastAsia"/>
          <w:lang w:val="en-US" w:eastAsia="zh-CN"/>
        </w:rPr>
        <w:t>六</w:t>
      </w:r>
      <w:r>
        <w:rPr>
          <w:rFonts w:hint="eastAsia"/>
        </w:rPr>
        <w:t>章</w:t>
      </w:r>
      <w:r>
        <w:t xml:space="preserve"> </w:t>
      </w:r>
      <w:r>
        <w:rPr>
          <w:rFonts w:hint="eastAsia"/>
        </w:rPr>
        <w:t>技术标准及要求</w:t>
      </w:r>
      <w:bookmarkEnd w:id="25"/>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招标范围：主要工作内容具体详见工程量清单</w:t>
      </w:r>
      <w:r>
        <w:rPr>
          <w:rFonts w:hint="eastAsia" w:ascii="宋体" w:hAnsi="宋体" w:cs="宋体"/>
          <w:sz w:val="22"/>
          <w:lang w:val="en-US" w:eastAsia="zh-CN"/>
        </w:rPr>
        <w:t>及图纸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6"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ascii="宋体" w:hAnsi="宋体" w:cs="宋体"/>
          <w:b/>
          <w:color w:val="auto"/>
          <w:sz w:val="22"/>
        </w:rPr>
      </w:pPr>
      <w:r>
        <w:rPr>
          <w:rFonts w:hint="eastAsia" w:ascii="宋体" w:hAnsi="宋体" w:cs="宋体"/>
          <w:b/>
          <w:color w:val="auto"/>
          <w:sz w:val="22"/>
        </w:rPr>
        <w:t>主要材料设备推荐品牌一览表</w:t>
      </w:r>
    </w:p>
    <w:tbl>
      <w:tblPr>
        <w:tblStyle w:val="12"/>
        <w:tblW w:w="8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783"/>
        <w:gridCol w:w="4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063" w:type="dxa"/>
            <w:vAlign w:val="center"/>
          </w:tcPr>
          <w:p>
            <w:pPr>
              <w:widowControl/>
              <w:tabs>
                <w:tab w:val="left" w:pos="720"/>
              </w:tabs>
              <w:snapToGrid w:val="0"/>
              <w:jc w:val="center"/>
              <w:rPr>
                <w:rFonts w:ascii="宋体" w:hAnsi="宋体" w:cs="宋体"/>
                <w:color w:val="auto"/>
                <w:sz w:val="22"/>
              </w:rPr>
            </w:pPr>
            <w:r>
              <w:rPr>
                <w:rFonts w:hint="eastAsia" w:ascii="宋体" w:hAnsi="宋体" w:cs="宋体"/>
                <w:color w:val="auto"/>
                <w:sz w:val="22"/>
              </w:rPr>
              <w:t>序号</w:t>
            </w:r>
          </w:p>
        </w:tc>
        <w:tc>
          <w:tcPr>
            <w:tcW w:w="2783" w:type="dxa"/>
            <w:vAlign w:val="center"/>
          </w:tcPr>
          <w:p>
            <w:pPr>
              <w:snapToGrid w:val="0"/>
              <w:jc w:val="center"/>
              <w:rPr>
                <w:rFonts w:ascii="宋体" w:hAnsi="宋体" w:cs="宋体"/>
                <w:color w:val="auto"/>
                <w:sz w:val="22"/>
              </w:rPr>
            </w:pPr>
            <w:r>
              <w:rPr>
                <w:rFonts w:hint="eastAsia" w:ascii="宋体" w:hAnsi="宋体" w:cs="宋体"/>
                <w:color w:val="auto"/>
                <w:sz w:val="22"/>
              </w:rPr>
              <w:t>材料</w:t>
            </w:r>
          </w:p>
        </w:tc>
        <w:tc>
          <w:tcPr>
            <w:tcW w:w="4829" w:type="dxa"/>
            <w:vAlign w:val="center"/>
          </w:tcPr>
          <w:p>
            <w:pPr>
              <w:snapToGrid w:val="0"/>
              <w:jc w:val="center"/>
              <w:rPr>
                <w:rFonts w:ascii="宋体" w:hAnsi="宋体" w:cs="宋体"/>
                <w:color w:val="auto"/>
                <w:sz w:val="22"/>
              </w:rPr>
            </w:pPr>
            <w:r>
              <w:rPr>
                <w:rFonts w:hint="eastAsia" w:ascii="宋体" w:hAnsi="宋体" w:cs="宋体"/>
                <w:color w:val="auto"/>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cs="宋体" w:asciiTheme="minorEastAsia" w:hAnsiTheme="minorEastAsia"/>
                <w:color w:val="auto"/>
                <w:sz w:val="22"/>
              </w:rPr>
            </w:pPr>
            <w:r>
              <w:rPr>
                <w:rFonts w:hint="eastAsia" w:asciiTheme="minorEastAsia" w:hAnsiTheme="minorEastAsia"/>
                <w:color w:val="auto"/>
              </w:rPr>
              <w:t>1</w:t>
            </w:r>
          </w:p>
        </w:tc>
        <w:tc>
          <w:tcPr>
            <w:tcW w:w="2783" w:type="dxa"/>
            <w:vAlign w:val="center"/>
          </w:tcPr>
          <w:p>
            <w:pPr>
              <w:snapToGrid w:val="0"/>
              <w:jc w:val="center"/>
              <w:rPr>
                <w:rFonts w:cs="宋体" w:asciiTheme="minorEastAsia" w:hAnsiTheme="minorEastAsia"/>
                <w:bCs/>
                <w:color w:val="auto"/>
                <w:sz w:val="22"/>
              </w:rPr>
            </w:pPr>
            <w:r>
              <w:rPr>
                <w:rFonts w:hint="eastAsia" w:asciiTheme="minorEastAsia" w:hAnsiTheme="minorEastAsia"/>
                <w:color w:val="auto"/>
              </w:rPr>
              <w:t>电力电缆</w:t>
            </w:r>
          </w:p>
        </w:tc>
        <w:tc>
          <w:tcPr>
            <w:tcW w:w="4829" w:type="dxa"/>
            <w:vAlign w:val="center"/>
          </w:tcPr>
          <w:p>
            <w:pPr>
              <w:snapToGrid w:val="0"/>
              <w:jc w:val="center"/>
              <w:rPr>
                <w:rFonts w:cs="宋体" w:asciiTheme="minorEastAsia" w:hAnsiTheme="minorEastAsia"/>
                <w:bCs/>
                <w:color w:val="auto"/>
                <w:sz w:val="22"/>
              </w:rPr>
            </w:pPr>
            <w:r>
              <w:rPr>
                <w:rFonts w:hint="eastAsia" w:asciiTheme="minorEastAsia" w:hAnsiTheme="minorEastAsia"/>
                <w:color w:val="auto"/>
              </w:rPr>
              <w:t>远东电缆、中大元通、浙江万马或“相当于”品牌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hint="eastAsia" w:cs="宋体" w:asciiTheme="minorEastAsia" w:hAnsiTheme="minorEastAsia"/>
                <w:color w:val="auto"/>
                <w:sz w:val="22"/>
              </w:rPr>
            </w:pPr>
            <w:r>
              <w:rPr>
                <w:rFonts w:hint="eastAsia" w:asciiTheme="minorEastAsia" w:hAnsiTheme="minorEastAsia"/>
                <w:color w:val="auto"/>
              </w:rPr>
              <w:t>2</w:t>
            </w:r>
          </w:p>
        </w:tc>
        <w:tc>
          <w:tcPr>
            <w:tcW w:w="2783" w:type="dxa"/>
            <w:vAlign w:val="center"/>
          </w:tcPr>
          <w:p>
            <w:pPr>
              <w:snapToGrid w:val="0"/>
              <w:jc w:val="center"/>
              <w:rPr>
                <w:rFonts w:hint="eastAsia" w:cs="宋体" w:asciiTheme="minorEastAsia" w:hAnsiTheme="minorEastAsia"/>
                <w:bCs/>
                <w:color w:val="auto"/>
                <w:sz w:val="22"/>
              </w:rPr>
            </w:pPr>
            <w:r>
              <w:rPr>
                <w:rFonts w:hint="eastAsia" w:asciiTheme="minorEastAsia" w:hAnsiTheme="minorEastAsia"/>
                <w:color w:val="auto"/>
              </w:rPr>
              <w:t>乳胶漆</w:t>
            </w:r>
          </w:p>
        </w:tc>
        <w:tc>
          <w:tcPr>
            <w:tcW w:w="4829" w:type="dxa"/>
            <w:vAlign w:val="center"/>
          </w:tcPr>
          <w:p>
            <w:pPr>
              <w:snapToGrid w:val="0"/>
              <w:jc w:val="center"/>
              <w:rPr>
                <w:rFonts w:hint="eastAsia" w:cs="宋体" w:asciiTheme="minorEastAsia" w:hAnsiTheme="minorEastAsia"/>
                <w:bCs/>
                <w:color w:val="auto"/>
                <w:sz w:val="22"/>
              </w:rPr>
            </w:pPr>
            <w:r>
              <w:rPr>
                <w:rFonts w:hint="eastAsia" w:asciiTheme="minorEastAsia" w:hAnsiTheme="minorEastAsia"/>
                <w:color w:val="auto"/>
              </w:rPr>
              <w:t>多乐士、立邦、SKK或“相当于”品牌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hint="eastAsia" w:cs="宋体" w:asciiTheme="minorEastAsia" w:hAnsiTheme="minorEastAsia"/>
                <w:color w:val="auto"/>
                <w:sz w:val="22"/>
              </w:rPr>
            </w:pPr>
            <w:r>
              <w:rPr>
                <w:rFonts w:hint="eastAsia" w:cs="宋体" w:asciiTheme="minorEastAsia" w:hAnsiTheme="minorEastAsia"/>
                <w:color w:val="auto"/>
                <w:sz w:val="22"/>
                <w:lang w:val="en-US" w:eastAsia="zh-CN"/>
              </w:rPr>
              <w:t>3</w:t>
            </w:r>
          </w:p>
        </w:tc>
        <w:tc>
          <w:tcPr>
            <w:tcW w:w="2783" w:type="dxa"/>
            <w:vAlign w:val="center"/>
          </w:tcPr>
          <w:p>
            <w:pPr>
              <w:snapToGrid w:val="0"/>
              <w:jc w:val="center"/>
              <w:rPr>
                <w:rFonts w:hint="eastAsia" w:asciiTheme="minorEastAsia" w:hAnsiTheme="minorEastAsia"/>
                <w:color w:val="auto"/>
              </w:rPr>
            </w:pPr>
            <w:r>
              <w:rPr>
                <w:rFonts w:hint="eastAsia" w:asciiTheme="minorEastAsia" w:hAnsiTheme="minorEastAsia"/>
                <w:color w:val="auto"/>
                <w:lang w:val="en-US" w:eastAsia="zh-CN"/>
              </w:rPr>
              <w:t>室外防水监控</w:t>
            </w:r>
          </w:p>
        </w:tc>
        <w:tc>
          <w:tcPr>
            <w:tcW w:w="4829" w:type="dxa"/>
            <w:vAlign w:val="center"/>
          </w:tcPr>
          <w:p>
            <w:pPr>
              <w:snapToGrid w:val="0"/>
              <w:jc w:val="center"/>
              <w:rPr>
                <w:rFonts w:hint="eastAsia" w:cs="宋体" w:asciiTheme="minorEastAsia" w:hAnsiTheme="minorEastAsia"/>
                <w:bCs/>
                <w:color w:val="auto"/>
                <w:sz w:val="22"/>
              </w:rPr>
            </w:pPr>
            <w:r>
              <w:rPr>
                <w:rFonts w:hint="eastAsia" w:cs="宋体" w:asciiTheme="minorEastAsia" w:hAnsiTheme="minorEastAsia"/>
                <w:bCs/>
                <w:color w:val="auto"/>
                <w:sz w:val="22"/>
                <w:lang w:val="en-US" w:eastAsia="zh-CN"/>
              </w:rPr>
              <w:t>大华、海康威视、萤石</w:t>
            </w:r>
            <w:r>
              <w:rPr>
                <w:rFonts w:hint="eastAsia" w:cs="宋体" w:asciiTheme="minorEastAsia" w:hAnsiTheme="minorEastAsia"/>
                <w:bCs/>
                <w:color w:val="auto"/>
                <w:sz w:val="22"/>
              </w:rPr>
              <w:t>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hint="eastAsia" w:cs="宋体" w:asciiTheme="minorEastAsia" w:hAnsiTheme="minorEastAsia"/>
                <w:color w:val="auto"/>
                <w:sz w:val="22"/>
                <w:lang w:val="en-US" w:eastAsia="zh-CN"/>
              </w:rPr>
            </w:pPr>
            <w:r>
              <w:rPr>
                <w:rFonts w:hint="eastAsia" w:cs="宋体" w:asciiTheme="minorEastAsia" w:hAnsiTheme="minorEastAsia"/>
                <w:color w:val="auto"/>
                <w:sz w:val="22"/>
                <w:lang w:val="en-US" w:eastAsia="zh-CN"/>
              </w:rPr>
              <w:t>4</w:t>
            </w:r>
          </w:p>
        </w:tc>
        <w:tc>
          <w:tcPr>
            <w:tcW w:w="2783" w:type="dxa"/>
            <w:vAlign w:val="center"/>
          </w:tcPr>
          <w:p>
            <w:pPr>
              <w:snapToGrid w:val="0"/>
              <w:jc w:val="center"/>
              <w:rPr>
                <w:rFonts w:hint="eastAsia" w:asciiTheme="minorEastAsia" w:hAnsiTheme="minorEastAsia"/>
                <w:color w:val="auto"/>
                <w:lang w:val="en-US" w:eastAsia="zh-CN"/>
              </w:rPr>
            </w:pPr>
            <w:r>
              <w:rPr>
                <w:rFonts w:hint="eastAsia" w:asciiTheme="minorEastAsia" w:hAnsiTheme="minorEastAsia"/>
                <w:color w:val="auto"/>
                <w:lang w:val="en-US" w:eastAsia="zh-CN"/>
              </w:rPr>
              <w:t>甲级防盗双开门</w:t>
            </w:r>
          </w:p>
        </w:tc>
        <w:tc>
          <w:tcPr>
            <w:tcW w:w="4829" w:type="dxa"/>
            <w:vAlign w:val="center"/>
          </w:tcPr>
          <w:p>
            <w:pPr>
              <w:snapToGrid w:val="0"/>
              <w:jc w:val="center"/>
              <w:rPr>
                <w:rFonts w:hint="eastAsia" w:cs="宋体" w:asciiTheme="minorEastAsia" w:hAnsiTheme="minorEastAsia"/>
                <w:bCs/>
                <w:color w:val="auto"/>
                <w:sz w:val="22"/>
                <w:lang w:val="en-US" w:eastAsia="zh-CN"/>
              </w:rPr>
            </w:pPr>
            <w:r>
              <w:rPr>
                <w:rFonts w:hint="eastAsia" w:cs="宋体" w:asciiTheme="minorEastAsia" w:hAnsiTheme="minorEastAsia"/>
                <w:bCs/>
                <w:color w:val="auto"/>
                <w:sz w:val="22"/>
                <w:lang w:val="en-US" w:eastAsia="zh-CN"/>
              </w:rPr>
              <w:t>锐亿、君格、哈勃或“相当于”品牌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hint="eastAsia" w:cs="宋体" w:asciiTheme="minorEastAsia" w:hAnsiTheme="minorEastAsia"/>
                <w:color w:val="auto"/>
                <w:sz w:val="22"/>
                <w:lang w:val="en-US" w:eastAsia="zh-CN"/>
              </w:rPr>
            </w:pPr>
            <w:r>
              <w:rPr>
                <w:rFonts w:hint="eastAsia" w:cs="宋体" w:asciiTheme="minorEastAsia" w:hAnsiTheme="minorEastAsia"/>
                <w:color w:val="auto"/>
                <w:sz w:val="22"/>
                <w:lang w:val="en-US" w:eastAsia="zh-CN"/>
              </w:rPr>
              <w:t>5</w:t>
            </w:r>
          </w:p>
        </w:tc>
        <w:tc>
          <w:tcPr>
            <w:tcW w:w="2783" w:type="dxa"/>
            <w:vAlign w:val="center"/>
          </w:tcPr>
          <w:p>
            <w:pPr>
              <w:snapToGrid w:val="0"/>
              <w:jc w:val="center"/>
              <w:rPr>
                <w:rFonts w:hint="eastAsia" w:asciiTheme="minorEastAsia" w:hAnsiTheme="minorEastAsia"/>
                <w:color w:val="auto"/>
                <w:lang w:val="en-US" w:eastAsia="zh-CN"/>
              </w:rPr>
            </w:pPr>
            <w:r>
              <w:rPr>
                <w:rFonts w:hint="eastAsia" w:asciiTheme="minorEastAsia" w:hAnsiTheme="minorEastAsia"/>
                <w:color w:val="auto"/>
                <w:lang w:val="en-US" w:eastAsia="zh-CN"/>
              </w:rPr>
              <w:t>PVC排水管</w:t>
            </w:r>
          </w:p>
        </w:tc>
        <w:tc>
          <w:tcPr>
            <w:tcW w:w="4829" w:type="dxa"/>
            <w:vAlign w:val="center"/>
          </w:tcPr>
          <w:p>
            <w:pPr>
              <w:snapToGrid w:val="0"/>
              <w:jc w:val="center"/>
              <w:rPr>
                <w:rFonts w:hint="eastAsia" w:cs="宋体" w:asciiTheme="minorEastAsia" w:hAnsiTheme="minorEastAsia"/>
                <w:bCs/>
                <w:color w:val="auto"/>
                <w:sz w:val="22"/>
                <w:lang w:val="en-US" w:eastAsia="zh-CN"/>
              </w:rPr>
            </w:pPr>
            <w:r>
              <w:rPr>
                <w:rFonts w:hint="eastAsia" w:cs="宋体" w:asciiTheme="minorEastAsia" w:hAnsiTheme="minorEastAsia"/>
                <w:bCs/>
                <w:color w:val="auto"/>
                <w:sz w:val="22"/>
                <w:lang w:val="en-US" w:eastAsia="zh-CN"/>
              </w:rPr>
              <w:t>中财、公元、伟星或“相当于”品牌</w:t>
            </w:r>
          </w:p>
        </w:tc>
      </w:tr>
    </w:tbl>
    <w:p>
      <w:pPr>
        <w:widowControl/>
        <w:tabs>
          <w:tab w:val="left" w:pos="720"/>
        </w:tabs>
        <w:snapToGrid w:val="0"/>
        <w:spacing w:line="360" w:lineRule="exact"/>
        <w:ind w:firstLine="442" w:firstLineChars="200"/>
        <w:rPr>
          <w:rFonts w:ascii="宋体" w:hAnsi="宋体" w:cs="宋体"/>
          <w:b/>
          <w:sz w:val="22"/>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（3）施工过程中如涉及需拆除原有材料设备（除需利旧的材料设备外），由承包人自行处理，其残值及处置相关费用，由投标人综合考虑，包含在投标报价中。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承包人需就一切有关之材料和整体结构，必须满足相应的技术标准及规范的规定。若产生施工偏差，承包人必须无条件返工，直至达到相应的技术标准及规范的规定，费用由承包人承担。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w:t>
      </w:r>
      <w:r>
        <w:rPr>
          <w:rFonts w:hint="eastAsia" w:ascii="宋体" w:hAnsi="宋体" w:cs="宋体"/>
          <w:b/>
          <w:bCs/>
          <w:sz w:val="22"/>
        </w:rPr>
        <w:t>承包人应替发包人办理进入现场的手续和亲自陪同。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numPr>
          <w:ilvl w:val="0"/>
          <w:numId w:val="8"/>
        </w:numPr>
        <w:adjustRightInd w:val="0"/>
        <w:snapToGrid w:val="0"/>
        <w:spacing w:line="360" w:lineRule="exact"/>
        <w:ind w:firstLine="440" w:firstLineChars="200"/>
        <w:rPr>
          <w:rFonts w:ascii="宋体" w:hAnsi="宋体" w:cs="宋体"/>
          <w:sz w:val="22"/>
        </w:rPr>
      </w:pPr>
      <w:r>
        <w:rPr>
          <w:rFonts w:hint="eastAsia" w:ascii="宋体" w:hAnsi="宋体" w:cs="宋体"/>
          <w:sz w:val="22"/>
        </w:rPr>
        <w:t>需做好施工单位的车辆进出场及材料推放的管理工作，相关费用计入投标报价，中标后不再调整。</w:t>
      </w:r>
    </w:p>
    <w:p>
      <w:pPr>
        <w:numPr>
          <w:ilvl w:val="0"/>
          <w:numId w:val="8"/>
        </w:numPr>
        <w:adjustRightInd w:val="0"/>
        <w:snapToGrid w:val="0"/>
        <w:spacing w:line="360" w:lineRule="exact"/>
        <w:ind w:firstLine="440" w:firstLineChars="200"/>
        <w:rPr>
          <w:rFonts w:ascii="宋体" w:hAnsi="宋体" w:cs="宋体"/>
          <w:sz w:val="22"/>
        </w:rPr>
      </w:pPr>
      <w:r>
        <w:rPr>
          <w:rFonts w:hint="eastAsia" w:ascii="宋体" w:hAnsi="宋体" w:cs="宋体"/>
          <w:sz w:val="22"/>
        </w:rPr>
        <w:t>本工程开工时间根据甲方提供施工场地时间为准，投标人在投标时须考虑由此造成的工期延长，由此造成的费用不做变更。</w:t>
      </w:r>
    </w:p>
    <w:p>
      <w:pPr>
        <w:numPr>
          <w:ilvl w:val="0"/>
          <w:numId w:val="8"/>
        </w:numPr>
        <w:adjustRightInd w:val="0"/>
        <w:snapToGrid w:val="0"/>
        <w:spacing w:line="360" w:lineRule="exact"/>
        <w:ind w:firstLine="440" w:firstLineChars="200"/>
        <w:rPr>
          <w:rFonts w:ascii="宋体" w:hAnsi="宋体" w:cs="宋体"/>
          <w:sz w:val="22"/>
        </w:rPr>
      </w:pPr>
      <w:r>
        <w:rPr>
          <w:rFonts w:hint="eastAsia" w:ascii="宋体" w:hAnsi="宋体" w:cs="宋体"/>
          <w:sz w:val="22"/>
        </w:rPr>
        <w:t>本次施工区域可能存在部分障碍物需要拆除、移除，相关费用计入投标报价中，中标后不再调整。</w:t>
      </w:r>
    </w:p>
    <w:bookmarkEnd w:id="26"/>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snapToGrid w:val="0"/>
        <w:spacing w:line="360" w:lineRule="exact"/>
        <w:ind w:firstLine="442" w:firstLineChars="200"/>
        <w:rPr>
          <w:rFonts w:ascii="宋体" w:hAnsi="宋体" w:cs="宋体"/>
          <w:b/>
          <w:sz w:val="22"/>
        </w:rPr>
      </w:pPr>
      <w:r>
        <w:rPr>
          <w:rFonts w:hint="eastAsia" w:ascii="宋体" w:hAnsi="宋体" w:cs="宋体"/>
          <w:b/>
          <w:sz w:val="22"/>
        </w:rPr>
        <w:t>5.2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ascii="宋体" w:hAnsi="宋体" w:cs="宋体"/>
          <w:b/>
          <w:sz w:val="22"/>
        </w:rPr>
      </w:pPr>
      <w:r>
        <w:rPr>
          <w:rFonts w:hint="eastAsia" w:ascii="宋体" w:hAnsi="宋体" w:cs="宋体"/>
          <w:b/>
          <w:sz w:val="22"/>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ascii="宋体" w:hAnsi="宋体" w:cs="宋体"/>
          <w:b/>
          <w:sz w:val="22"/>
        </w:rPr>
      </w:pPr>
      <w:r>
        <w:rPr>
          <w:rFonts w:hint="eastAsia" w:ascii="宋体" w:hAnsi="宋体" w:cs="宋体"/>
          <w:b/>
          <w:sz w:val="22"/>
        </w:rPr>
        <w:t>5.4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ascii="宋体" w:hAnsi="宋体" w:cs="宋体"/>
          <w:b/>
          <w:sz w:val="22"/>
        </w:rPr>
      </w:pPr>
      <w:r>
        <w:rPr>
          <w:rFonts w:hint="eastAsia" w:ascii="宋体" w:hAnsi="宋体" w:cs="宋体"/>
          <w:b/>
          <w:sz w:val="22"/>
        </w:rPr>
        <w:t>5.5计日工单价最高限价210元/工日。</w:t>
      </w:r>
    </w:p>
    <w:p>
      <w:pPr>
        <w:snapToGrid w:val="0"/>
        <w:spacing w:line="360" w:lineRule="exact"/>
        <w:ind w:firstLine="442" w:firstLineChars="200"/>
        <w:rPr>
          <w:rFonts w:ascii="宋体" w:hAnsi="宋体" w:cs="宋体"/>
          <w:b/>
          <w:sz w:val="22"/>
        </w:rPr>
      </w:pPr>
      <w:r>
        <w:rPr>
          <w:rFonts w:hint="eastAsia" w:ascii="宋体" w:hAnsi="宋体" w:cs="宋体"/>
          <w:b/>
          <w:sz w:val="22"/>
        </w:rPr>
        <w:t>5.6工程施工期间，承包人须无条件服从机场公司关于工期进度的统一安排。投标人需充分考虑隔离区内施工时间及工期的不确定性，如由于机场运行要求某些时间不得施工等或如遇长时间停工等任何突发情况，请投标人在投标时充分考虑相关费用，中标后不予增加费用。</w:t>
      </w:r>
    </w:p>
    <w:p>
      <w:pPr>
        <w:pStyle w:val="2"/>
        <w:ind w:firstLine="442" w:firstLineChars="200"/>
        <w:rPr>
          <w:rFonts w:ascii="宋体" w:hAnsi="宋体" w:cs="宋体"/>
          <w:b/>
          <w:sz w:val="22"/>
        </w:rPr>
      </w:pPr>
      <w:r>
        <w:rPr>
          <w:rFonts w:hint="eastAsia" w:ascii="宋体" w:hAnsi="宋体" w:cs="宋体"/>
          <w:b/>
          <w:sz w:val="22"/>
        </w:rPr>
        <w:t>5.7本项目工程位于机场隔离区内，承包人必须确保在施工阶段不影响机场正常运行，遵守机场不停航施工管理规定、施工安全条例。</w:t>
      </w:r>
    </w:p>
    <w:p>
      <w:pPr>
        <w:ind w:firstLine="442" w:firstLineChars="200"/>
        <w:rPr>
          <w:rFonts w:ascii="宋体" w:hAnsi="宋体" w:cs="宋体"/>
          <w:b/>
          <w:sz w:val="22"/>
        </w:rPr>
      </w:pPr>
      <w:r>
        <w:rPr>
          <w:rFonts w:hint="eastAsia" w:ascii="宋体" w:hAnsi="宋体" w:cs="宋体"/>
          <w:b/>
          <w:sz w:val="22"/>
        </w:rPr>
        <w:t>5.8承包人施工人员在进出机场隔离区时必须办理相关证件（有效期一个月）。费用由投标人综合考虑，包含在投标报价中。</w:t>
      </w:r>
    </w:p>
    <w:p>
      <w:pPr>
        <w:ind w:firstLine="442" w:firstLineChars="200"/>
        <w:rPr>
          <w:rFonts w:hint="eastAsia" w:ascii="宋体" w:hAnsi="宋体" w:cs="宋体"/>
          <w:b/>
          <w:color w:val="auto"/>
          <w:sz w:val="22"/>
        </w:rPr>
      </w:pPr>
      <w:r>
        <w:rPr>
          <w:rFonts w:hint="eastAsia" w:ascii="宋体" w:hAnsi="宋体" w:cs="宋体"/>
          <w:b/>
          <w:sz w:val="22"/>
        </w:rPr>
        <w:t>5.9因本项目施工地点位于机场隔离区内，隔离区相关施工措施包括施工导致的夜间加班、工效降低、证件办理等需产生的费用，投标人必须充分考虑，费用包含在隔离区施工措施费报价中。投标人需考虑聘请招标人推荐的机场专业保安，负责门卫、巡逻、施工现场看护、隔离区围界看护等工作，人数每个施工区域每班不得少于1人，并配备相应的保卫措施，保安费用按实结算（结算时中标人需提供相应票据作为依据），</w:t>
      </w:r>
      <w:r>
        <w:rPr>
          <w:rFonts w:hint="eastAsia" w:ascii="宋体" w:hAnsi="宋体" w:cs="宋体"/>
          <w:b/>
          <w:color w:val="auto"/>
          <w:sz w:val="22"/>
        </w:rPr>
        <w:t>★投标报价中施工安全监管费按</w:t>
      </w:r>
      <w:r>
        <w:rPr>
          <w:rFonts w:hint="eastAsia" w:ascii="宋体" w:hAnsi="宋体" w:cs="宋体"/>
          <w:b/>
          <w:color w:val="auto"/>
          <w:sz w:val="22"/>
          <w:lang w:val="en-US" w:eastAsia="zh-CN"/>
        </w:rPr>
        <w:t>4000</w:t>
      </w:r>
      <w:r>
        <w:rPr>
          <w:rFonts w:hint="eastAsia" w:ascii="宋体" w:hAnsi="宋体" w:cs="宋体"/>
          <w:b/>
          <w:color w:val="auto"/>
          <w:sz w:val="22"/>
        </w:rPr>
        <w:t>元暂列金额计入，不得优惠。</w:t>
      </w:r>
    </w:p>
    <w:p>
      <w:pPr>
        <w:spacing w:line="360" w:lineRule="exact"/>
        <w:ind w:firstLine="442" w:firstLineChars="200"/>
        <w:jc w:val="left"/>
        <w:rPr>
          <w:rFonts w:ascii="宋体" w:hAnsi="宋体" w:cs="宋体"/>
          <w:b/>
          <w:sz w:val="22"/>
        </w:rPr>
      </w:pPr>
      <w:r>
        <w:rPr>
          <w:rFonts w:hint="eastAsia" w:ascii="宋体" w:hAnsi="宋体" w:cs="宋体"/>
          <w:b/>
          <w:sz w:val="22"/>
        </w:rPr>
        <w:t>5.</w:t>
      </w:r>
      <w:r>
        <w:rPr>
          <w:rFonts w:ascii="宋体" w:hAnsi="宋体" w:cs="宋体"/>
          <w:b/>
          <w:sz w:val="22"/>
        </w:rPr>
        <w:t>10</w:t>
      </w:r>
      <w:r>
        <w:rPr>
          <w:rFonts w:hint="eastAsia" w:ascii="宋体" w:hAnsi="宋体" w:cs="宋体"/>
          <w:b/>
          <w:sz w:val="22"/>
        </w:rPr>
        <w:t>承包人须无条件配合发包人要求，施工前应征得发包人同意，不得擅自施工，如擅自施工导致的一切后果由承包人承担。</w:t>
      </w:r>
    </w:p>
    <w:p>
      <w:pPr>
        <w:spacing w:line="360" w:lineRule="exact"/>
        <w:ind w:firstLine="442" w:firstLineChars="200"/>
        <w:jc w:val="left"/>
        <w:rPr>
          <w:rFonts w:ascii="宋体" w:hAnsi="宋体" w:cs="宋体"/>
          <w:b/>
          <w:sz w:val="22"/>
        </w:rPr>
      </w:pPr>
      <w:r>
        <w:rPr>
          <w:rFonts w:hint="eastAsia" w:ascii="宋体" w:hAnsi="宋体" w:cs="宋体"/>
          <w:b/>
          <w:sz w:val="22"/>
        </w:rPr>
        <w:t>5.</w:t>
      </w:r>
      <w:r>
        <w:rPr>
          <w:rFonts w:ascii="宋体" w:hAnsi="宋体" w:cs="宋体"/>
          <w:b/>
          <w:sz w:val="22"/>
        </w:rPr>
        <w:t>11</w:t>
      </w:r>
      <w:r>
        <w:rPr>
          <w:rFonts w:hint="eastAsia" w:ascii="宋体" w:hAnsi="宋体" w:cs="宋体"/>
          <w:b/>
          <w:sz w:val="22"/>
        </w:rPr>
        <w:t>项目开工前承包人需提供施工进度计划表、施工材料及明细表，待材料、人员、证件全部准备完善并经发包人同意方可进行施工。</w:t>
      </w:r>
    </w:p>
    <w:p>
      <w:pPr>
        <w:snapToGrid w:val="0"/>
        <w:spacing w:line="360" w:lineRule="exact"/>
        <w:ind w:firstLine="442" w:firstLineChars="200"/>
        <w:rPr>
          <w:rFonts w:ascii="宋体" w:hAnsi="宋体" w:cs="宋体"/>
          <w:b/>
          <w:sz w:val="22"/>
        </w:rPr>
      </w:pPr>
      <w:r>
        <w:rPr>
          <w:rFonts w:hint="eastAsia" w:ascii="宋体" w:hAnsi="宋体" w:cs="宋体"/>
          <w:b/>
          <w:sz w:val="22"/>
        </w:rPr>
        <w:t>5.</w:t>
      </w:r>
      <w:r>
        <w:rPr>
          <w:rFonts w:ascii="宋体" w:hAnsi="宋体" w:cs="宋体"/>
          <w:b/>
          <w:sz w:val="22"/>
        </w:rPr>
        <w:t>10</w:t>
      </w:r>
      <w:r>
        <w:rPr>
          <w:rFonts w:hint="eastAsia" w:ascii="宋体" w:hAnsi="宋体" w:cs="宋体"/>
          <w:b/>
          <w:sz w:val="22"/>
        </w:rPr>
        <w:t>承包人项目负责人和所有施工人员须无条件配合甲方防疫工作，中标施工进场人员均须已接种新冠疫苗且提供48小时内核酸检测报告。项目施工期间每日8:00和13:00报送健康码、行程码至项目负责人处。施工单位还需按要求配备相关防疫物资及人员，做好自身防疫工作，投标人在投标时应充分考虑上述相关费用，中标后不予增加费用。如因疫情影响，导致施工过程中存在窝工、人员、机械降效情况，则请投标人在投标时充分考虑相关费用，中标后不予增加费用。</w:t>
      </w:r>
    </w:p>
    <w:p>
      <w:pPr>
        <w:pStyle w:val="9"/>
        <w:jc w:val="both"/>
      </w:pPr>
    </w:p>
    <w:p>
      <w:pPr>
        <w:pStyle w:val="9"/>
      </w:pPr>
    </w:p>
    <w:p>
      <w:pPr>
        <w:pStyle w:val="9"/>
      </w:pPr>
    </w:p>
    <w:p/>
    <w:p>
      <w:pPr>
        <w:pStyle w:val="2"/>
      </w:pPr>
    </w:p>
    <w:p>
      <w:pPr>
        <w:pStyle w:val="2"/>
      </w:pPr>
    </w:p>
    <w:p>
      <w:pPr>
        <w:pStyle w:val="2"/>
      </w:pPr>
    </w:p>
    <w:p>
      <w:pPr>
        <w:rPr>
          <w:rFonts w:hint="eastAsia"/>
        </w:rPr>
      </w:pPr>
    </w:p>
    <w:bookmarkEnd w:id="8"/>
    <w:bookmarkEnd w:id="23"/>
    <w:bookmarkEnd w:id="24"/>
    <w:p>
      <w:pPr>
        <w:pStyle w:val="3"/>
        <w:keepLines w:val="0"/>
        <w:pageBreakBefore/>
        <w:spacing w:before="0" w:after="0" w:line="564" w:lineRule="exact"/>
        <w:ind w:right="57"/>
        <w:rPr>
          <w:sz w:val="32"/>
          <w:szCs w:val="32"/>
        </w:rPr>
      </w:pPr>
      <w:bookmarkStart w:id="27" w:name="_Toc52907682"/>
      <w:bookmarkStart w:id="28" w:name="_Toc10055"/>
      <w:r>
        <w:rPr>
          <w:sz w:val="32"/>
          <w:szCs w:val="32"/>
        </w:rPr>
        <w:t>第</w:t>
      </w:r>
      <w:r>
        <w:rPr>
          <w:rFonts w:hint="eastAsia"/>
          <w:sz w:val="32"/>
          <w:szCs w:val="32"/>
          <w:lang w:val="en-US" w:eastAsia="zh-CN"/>
        </w:rPr>
        <w:t>七</w:t>
      </w:r>
      <w:r>
        <w:rPr>
          <w:sz w:val="32"/>
          <w:szCs w:val="32"/>
        </w:rPr>
        <w:t>章</w:t>
      </w:r>
      <w:r>
        <w:rPr>
          <w:rFonts w:hint="eastAsia"/>
          <w:sz w:val="32"/>
          <w:szCs w:val="32"/>
        </w:rPr>
        <w:t xml:space="preserve">    </w:t>
      </w:r>
      <w:r>
        <w:rPr>
          <w:sz w:val="32"/>
          <w:szCs w:val="32"/>
        </w:rPr>
        <w:t>投标文件格式</w:t>
      </w:r>
      <w:bookmarkEnd w:id="27"/>
      <w:bookmarkEnd w:id="28"/>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8"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4"/>
        <w:numPr>
          <w:ilvl w:val="0"/>
          <w:numId w:val="9"/>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tabs>
          <w:tab w:val="left" w:pos="360"/>
        </w:tabs>
        <w:autoSpaceDE w:val="0"/>
        <w:autoSpaceDN w:val="0"/>
        <w:adjustRightInd w:val="0"/>
        <w:spacing w:line="360" w:lineRule="auto"/>
        <w:ind w:firstLine="0" w:firstLineChars="0"/>
        <w:rPr>
          <w:rFonts w:ascii="微软雅黑" w:hAnsi="Times New Roman" w:cs="微软雅黑"/>
          <w:spacing w:val="-2"/>
          <w:kern w:val="0"/>
          <w:sz w:val="22"/>
        </w:rPr>
      </w:pPr>
      <w:r>
        <w:rPr>
          <w:rFonts w:hint="eastAsia" w:ascii="宋体" w:hAnsi="宋体" w:cs="宋体"/>
          <w:kern w:val="0"/>
          <w:sz w:val="22"/>
        </w:rPr>
        <w:t>二、法定代表人身份证明、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三、</w:t>
      </w:r>
      <w:r>
        <w:rPr>
          <w:rFonts w:ascii="微软雅黑" w:hAnsi="Times New Roman" w:cs="微软雅黑"/>
          <w:spacing w:val="-2"/>
          <w:kern w:val="0"/>
          <w:sz w:val="22"/>
        </w:rPr>
        <w:t>已标价工程量清单；</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四、</w:t>
      </w:r>
      <w:r>
        <w:rPr>
          <w:rFonts w:ascii="微软雅黑" w:hAnsi="Times New Roman" w:cs="微软雅黑"/>
          <w:spacing w:val="-2"/>
          <w:kern w:val="0"/>
          <w:sz w:val="22"/>
        </w:rPr>
        <w:t>投标人</w:t>
      </w:r>
      <w:r>
        <w:rPr>
          <w:rFonts w:hint="eastAsia" w:ascii="微软雅黑" w:hAnsi="Times New Roman" w:cs="微软雅黑"/>
          <w:spacing w:val="-2"/>
          <w:kern w:val="0"/>
          <w:sz w:val="22"/>
        </w:rPr>
        <w:t>认为需要提供的</w:t>
      </w:r>
      <w:r>
        <w:rPr>
          <w:rFonts w:ascii="微软雅黑" w:hAnsi="Times New Roman" w:cs="微软雅黑"/>
          <w:spacing w:val="-2"/>
          <w:kern w:val="0"/>
          <w:sz w:val="22"/>
        </w:rPr>
        <w:t>其他材料。</w:t>
      </w:r>
    </w:p>
    <w:p>
      <w:pPr>
        <w:pStyle w:val="14"/>
        <w:tabs>
          <w:tab w:val="left" w:pos="360"/>
        </w:tabs>
        <w:autoSpaceDE w:val="0"/>
        <w:autoSpaceDN w:val="0"/>
        <w:adjustRightInd w:val="0"/>
        <w:spacing w:line="360" w:lineRule="auto"/>
        <w:ind w:right="4013" w:firstLine="0" w:firstLineChars="0"/>
        <w:rPr>
          <w:rFonts w:ascii="微软雅黑" w:hAnsi="Times New Roman" w:cs="微软雅黑"/>
          <w:b/>
          <w:bCs/>
          <w:spacing w:val="-2"/>
          <w:kern w:val="0"/>
          <w:sz w:val="22"/>
        </w:rPr>
      </w:pPr>
      <w:r>
        <w:rPr>
          <w:rFonts w:hint="eastAsia" w:ascii="微软雅黑" w:hAnsi="Times New Roman" w:cs="微软雅黑"/>
          <w:b/>
          <w:bCs/>
          <w:spacing w:val="-2"/>
          <w:kern w:val="0"/>
          <w:sz w:val="22"/>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ascii="宋体" w:hAnsi="宋体" w:cs="Arial"/>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(4)</w:t>
      </w:r>
      <w:r>
        <w:rPr>
          <w:kern w:val="0"/>
          <w:sz w:val="22"/>
        </w:rPr>
        <w:t>在招投标过程中，廉洁自律并对所获悉的招标人的相关信息予以保密</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(5)</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9"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9"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9"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rPr>
          <w:rFonts w:cs="微软雅黑"/>
          <w:b/>
          <w:kern w:val="0"/>
          <w:sz w:val="36"/>
          <w:szCs w:val="36"/>
        </w:rPr>
      </w:pPr>
      <w:r>
        <w:rPr>
          <w:rFonts w:hint="eastAsia" w:cs="微软雅黑"/>
          <w:b/>
          <w:kern w:val="0"/>
          <w:sz w:val="36"/>
          <w:szCs w:val="36"/>
        </w:rPr>
        <w:t xml:space="preserve">                三、已标价工程量清单</w:t>
      </w:r>
    </w:p>
    <w:p>
      <w:pPr>
        <w:autoSpaceDE w:val="0"/>
        <w:autoSpaceDN w:val="0"/>
        <w:adjustRightInd w:val="0"/>
        <w:snapToGrid w:val="0"/>
        <w:spacing w:line="360" w:lineRule="auto"/>
        <w:ind w:firstLine="420" w:firstLineChars="200"/>
        <w:rPr>
          <w:rFonts w:ascii="宋体" w:hAnsi="宋体" w:cs="Arial"/>
          <w:kern w:val="0"/>
          <w:szCs w:val="21"/>
        </w:rPr>
      </w:pPr>
    </w:p>
    <w:p>
      <w:pPr>
        <w:pStyle w:val="2"/>
        <w:ind w:firstLine="643"/>
        <w:jc w:val="center"/>
        <w:rPr>
          <w:rFonts w:ascii="宋体" w:hAnsi="宋体" w:cs="宋体" w:eastAsiaTheme="minorEastAsia"/>
          <w:b/>
          <w:kern w:val="0"/>
          <w:sz w:val="32"/>
          <w:szCs w:val="32"/>
          <w:lang w:val="zh-CN"/>
        </w:rPr>
      </w:pPr>
      <w:r>
        <w:rPr>
          <w:rFonts w:ascii="宋体" w:hAnsi="宋体" w:cs="Arial"/>
          <w:b/>
          <w:bCs/>
          <w:kern w:val="0"/>
          <w:szCs w:val="21"/>
        </w:rPr>
        <w:br w:type="page"/>
      </w:r>
      <w:bookmarkStart w:id="29" w:name="_Hlk54024727"/>
      <w:r>
        <w:rPr>
          <w:rFonts w:hint="eastAsia" w:ascii="宋体" w:hAnsi="宋体" w:cs="宋体" w:eastAsiaTheme="minorEastAsia"/>
          <w:b/>
          <w:kern w:val="0"/>
          <w:sz w:val="32"/>
          <w:szCs w:val="32"/>
          <w:lang w:val="zh-CN"/>
        </w:rPr>
        <w:t>主要材料选用品牌一览表</w:t>
      </w:r>
    </w:p>
    <w:tbl>
      <w:tblPr>
        <w:tblStyle w:val="12"/>
        <w:tblpPr w:leftFromText="180" w:rightFromText="180" w:vertAnchor="text" w:horzAnchor="page" w:tblpX="1689" w:tblpY="299"/>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75"/>
        <w:gridCol w:w="2046"/>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tblHeader/>
        </w:trPr>
        <w:tc>
          <w:tcPr>
            <w:tcW w:w="1090" w:type="dxa"/>
            <w:vAlign w:val="center"/>
          </w:tcPr>
          <w:p>
            <w:pPr>
              <w:widowControl/>
              <w:snapToGrid w:val="0"/>
              <w:jc w:val="center"/>
              <w:rPr>
                <w:rFonts w:ascii="宋体" w:hAnsi="宋体" w:cs="宋体"/>
                <w:bCs/>
                <w:kern w:val="0"/>
                <w:sz w:val="22"/>
              </w:rPr>
            </w:pPr>
            <w:r>
              <w:rPr>
                <w:rFonts w:ascii="宋体" w:hAnsi="宋体" w:cs="宋体"/>
                <w:bCs/>
                <w:kern w:val="0"/>
                <w:sz w:val="22"/>
              </w:rPr>
              <w:t>序号</w:t>
            </w:r>
          </w:p>
        </w:tc>
        <w:tc>
          <w:tcPr>
            <w:tcW w:w="3675" w:type="dxa"/>
            <w:vAlign w:val="center"/>
          </w:tcPr>
          <w:p>
            <w:pPr>
              <w:widowControl/>
              <w:snapToGrid w:val="0"/>
              <w:jc w:val="center"/>
              <w:rPr>
                <w:rFonts w:ascii="宋体" w:hAnsi="宋体" w:cs="宋体"/>
                <w:bCs/>
                <w:kern w:val="0"/>
                <w:sz w:val="22"/>
              </w:rPr>
            </w:pPr>
            <w:r>
              <w:rPr>
                <w:rFonts w:ascii="宋体" w:hAnsi="宋体" w:cs="宋体"/>
                <w:bCs/>
                <w:kern w:val="0"/>
                <w:sz w:val="22"/>
              </w:rPr>
              <w:t>材料名称</w:t>
            </w:r>
          </w:p>
        </w:tc>
        <w:tc>
          <w:tcPr>
            <w:tcW w:w="204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c>
          <w:tcPr>
            <w:tcW w:w="2394" w:type="dxa"/>
            <w:vAlign w:val="center"/>
          </w:tcPr>
          <w:p>
            <w:pPr>
              <w:widowControl/>
              <w:snapToGrid w:val="0"/>
              <w:jc w:val="center"/>
              <w:rPr>
                <w:rFonts w:ascii="宋体" w:hAnsi="宋体" w:cs="宋体"/>
                <w:bCs/>
                <w:kern w:val="0"/>
                <w:sz w:val="22"/>
              </w:rPr>
            </w:pPr>
            <w:r>
              <w:rPr>
                <w:rFonts w:hint="eastAsia" w:ascii="宋体" w:hAnsi="宋体" w:cs="宋体"/>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宋体"/>
                <w:bCs/>
                <w:kern w:val="0"/>
                <w:sz w:val="22"/>
              </w:rPr>
            </w:pPr>
            <w:r>
              <w:rPr>
                <w:rFonts w:hint="eastAsia" w:ascii="宋体" w:hAnsi="宋体" w:cs="宋体"/>
                <w:bCs/>
                <w:kern w:val="0"/>
                <w:sz w:val="22"/>
              </w:rPr>
              <w:t>1</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2</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3</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4</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5</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bl>
    <w:p>
      <w:pPr>
        <w:widowControl/>
        <w:jc w:val="left"/>
        <w:rPr>
          <w:rFonts w:ascii="宋体" w:hAnsi="宋体" w:cs="宋体"/>
          <w:b/>
          <w:szCs w:val="21"/>
        </w:rPr>
      </w:pPr>
    </w:p>
    <w:p>
      <w:pPr>
        <w:widowControl/>
        <w:jc w:val="left"/>
        <w:rPr>
          <w:rFonts w:ascii="宋体" w:hAnsi="宋体" w:cs="宋体"/>
          <w:b/>
          <w:szCs w:val="21"/>
        </w:rPr>
      </w:pPr>
    </w:p>
    <w:p>
      <w:pPr>
        <w:widowControl/>
        <w:jc w:val="left"/>
        <w:rPr>
          <w:rFonts w:ascii="宋体" w:hAnsi="宋体" w:cs="宋体"/>
          <w:b/>
          <w:szCs w:val="21"/>
        </w:rPr>
      </w:pPr>
    </w:p>
    <w:p>
      <w:pPr>
        <w:widowControl/>
        <w:jc w:val="left"/>
        <w:rPr>
          <w:rFonts w:ascii="宋体" w:hAnsi="宋体" w:cs="宋体"/>
          <w:b/>
          <w:szCs w:val="21"/>
        </w:rPr>
      </w:pPr>
      <w:r>
        <w:rPr>
          <w:rFonts w:hint="eastAsia" w:ascii="宋体" w:hAnsi="宋体" w:cs="宋体"/>
          <w:b/>
          <w:szCs w:val="21"/>
        </w:rPr>
        <w:t>注：根据招标文件第</w:t>
      </w:r>
      <w:r>
        <w:rPr>
          <w:rFonts w:hint="eastAsia" w:ascii="宋体" w:hAnsi="宋体" w:cs="宋体"/>
          <w:b/>
          <w:szCs w:val="21"/>
          <w:lang w:val="en-US" w:eastAsia="zh-CN"/>
        </w:rPr>
        <w:t>六</w:t>
      </w:r>
      <w:r>
        <w:rPr>
          <w:rFonts w:hint="eastAsia" w:ascii="宋体" w:hAnsi="宋体" w:cs="宋体"/>
          <w:b/>
          <w:szCs w:val="21"/>
        </w:rPr>
        <w:t>章要求填写，如在“推荐品牌”之外选择的，请说明选择理由。如未填写品牌的，由</w:t>
      </w:r>
      <w:r>
        <w:rPr>
          <w:rFonts w:ascii="宋体" w:hAnsi="宋体" w:cs="宋体"/>
          <w:b/>
          <w:szCs w:val="21"/>
        </w:rPr>
        <w:t>发包人在发包人推荐的</w:t>
      </w:r>
      <w:r>
        <w:rPr>
          <w:rFonts w:hint="eastAsia" w:ascii="宋体" w:hAnsi="宋体" w:cs="宋体"/>
          <w:b/>
          <w:szCs w:val="21"/>
        </w:rPr>
        <w:t>品牌</w:t>
      </w:r>
      <w:r>
        <w:rPr>
          <w:rFonts w:ascii="宋体" w:hAnsi="宋体" w:cs="宋体"/>
          <w:b/>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kern w:val="0"/>
          <w:szCs w:val="21"/>
        </w:rPr>
      </w:pPr>
    </w:p>
    <w:p>
      <w:pPr>
        <w:widowControl/>
        <w:jc w:val="left"/>
        <w:rPr>
          <w:rFonts w:cs="微软雅黑"/>
          <w:b/>
          <w:kern w:val="0"/>
          <w:sz w:val="36"/>
          <w:szCs w:val="36"/>
        </w:rPr>
      </w:pPr>
    </w:p>
    <w:p>
      <w:pPr>
        <w:widowControl/>
        <w:jc w:val="center"/>
        <w:rPr>
          <w:rFonts w:cs="微软雅黑"/>
          <w:b/>
          <w:kern w:val="0"/>
          <w:sz w:val="36"/>
          <w:szCs w:val="36"/>
        </w:rPr>
      </w:pPr>
    </w:p>
    <w:p>
      <w:pPr>
        <w:keepLines/>
        <w:pageBreakBefore/>
        <w:jc w:val="center"/>
        <w:rPr>
          <w:rFonts w:cs="微软雅黑"/>
          <w:b/>
          <w:kern w:val="0"/>
          <w:sz w:val="36"/>
          <w:szCs w:val="36"/>
        </w:rPr>
      </w:pPr>
      <w:r>
        <w:rPr>
          <w:rFonts w:hint="eastAsia" w:cs="微软雅黑"/>
          <w:b/>
          <w:kern w:val="0"/>
          <w:sz w:val="36"/>
          <w:szCs w:val="36"/>
        </w:rPr>
        <w:t>四、投标人认为需要提供的其他材料</w:t>
      </w:r>
    </w:p>
    <w:p>
      <w:pPr>
        <w:autoSpaceDE w:val="0"/>
        <w:autoSpaceDN w:val="0"/>
        <w:adjustRightInd w:val="0"/>
        <w:spacing w:line="360" w:lineRule="auto"/>
        <w:jc w:val="center"/>
        <w:rPr>
          <w:b/>
          <w:sz w:val="24"/>
        </w:rPr>
      </w:pPr>
    </w:p>
    <w:bookmarkEnd w:id="29"/>
    <w:p>
      <w:pPr>
        <w:widowControl/>
        <w:rPr>
          <w:rFonts w:cs="宋体"/>
          <w:b/>
          <w:sz w:val="32"/>
          <w:szCs w:val="32"/>
        </w:rPr>
      </w:pPr>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61</w:t>
    </w:r>
    <w:r>
      <w:rPr>
        <w:lang w:val="zh-CN"/>
      </w:rP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abstractNum w:abstractNumId="6">
    <w:nsid w:val="6306DE00"/>
    <w:multiLevelType w:val="singleLevel"/>
    <w:tmpl w:val="6306DE00"/>
    <w:lvl w:ilvl="0" w:tentative="0">
      <w:start w:val="4"/>
      <w:numFmt w:val="decimal"/>
      <w:suff w:val="nothing"/>
      <w:lvlText w:val="(%1)"/>
      <w:lvlJc w:val="left"/>
    </w:lvl>
  </w:abstractNum>
  <w:abstractNum w:abstractNumId="7">
    <w:nsid w:val="636C52E6"/>
    <w:multiLevelType w:val="singleLevel"/>
    <w:tmpl w:val="636C52E6"/>
    <w:lvl w:ilvl="0" w:tentative="0">
      <w:start w:val="1"/>
      <w:numFmt w:val="decimal"/>
      <w:suff w:val="nothing"/>
      <w:lvlText w:val="(%1)"/>
      <w:lvlJc w:val="left"/>
    </w:lvl>
  </w:abstractNum>
  <w:abstractNum w:abstractNumId="8">
    <w:nsid w:val="636C642F"/>
    <w:multiLevelType w:val="singleLevel"/>
    <w:tmpl w:val="636C642F"/>
    <w:lvl w:ilvl="0" w:tentative="0">
      <w:start w:val="1"/>
      <w:numFmt w:val="decimal"/>
      <w:suff w:val="nothing"/>
      <w:lvlText w:val="（%1）"/>
      <w:lvlJc w:val="left"/>
    </w:lvl>
  </w:abstractNum>
  <w:num w:numId="1">
    <w:abstractNumId w:val="2"/>
  </w:num>
  <w:num w:numId="2">
    <w:abstractNumId w:val="4"/>
  </w:num>
  <w:num w:numId="3">
    <w:abstractNumId w:val="5"/>
  </w:num>
  <w:num w:numId="4">
    <w:abstractNumId w:val="6"/>
  </w:num>
  <w:num w:numId="5">
    <w:abstractNumId w:val="0"/>
  </w:num>
  <w:num w:numId="6">
    <w:abstractNumId w:val="3"/>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602DA2"/>
    <w:rsid w:val="001372A2"/>
    <w:rsid w:val="001842E5"/>
    <w:rsid w:val="00202EF4"/>
    <w:rsid w:val="00205DDE"/>
    <w:rsid w:val="002D6E53"/>
    <w:rsid w:val="002E389D"/>
    <w:rsid w:val="00306FCE"/>
    <w:rsid w:val="00375BBB"/>
    <w:rsid w:val="00574177"/>
    <w:rsid w:val="005A26E5"/>
    <w:rsid w:val="005A3F8F"/>
    <w:rsid w:val="00602DA2"/>
    <w:rsid w:val="00625098"/>
    <w:rsid w:val="00642119"/>
    <w:rsid w:val="006562EA"/>
    <w:rsid w:val="006A12D1"/>
    <w:rsid w:val="006E5133"/>
    <w:rsid w:val="008171B7"/>
    <w:rsid w:val="00817C3C"/>
    <w:rsid w:val="00820C30"/>
    <w:rsid w:val="00846FFC"/>
    <w:rsid w:val="008C5594"/>
    <w:rsid w:val="00906E38"/>
    <w:rsid w:val="00A967F5"/>
    <w:rsid w:val="00AC6F51"/>
    <w:rsid w:val="00AE2420"/>
    <w:rsid w:val="00B6451B"/>
    <w:rsid w:val="00BA486F"/>
    <w:rsid w:val="00C11D9A"/>
    <w:rsid w:val="00C45FDC"/>
    <w:rsid w:val="00C63C17"/>
    <w:rsid w:val="00D0743B"/>
    <w:rsid w:val="00D2136E"/>
    <w:rsid w:val="00D91BF2"/>
    <w:rsid w:val="00DA7957"/>
    <w:rsid w:val="00DD507F"/>
    <w:rsid w:val="00DF1565"/>
    <w:rsid w:val="00E95BFB"/>
    <w:rsid w:val="00F10D57"/>
    <w:rsid w:val="00F75078"/>
    <w:rsid w:val="00F75276"/>
    <w:rsid w:val="00F81449"/>
    <w:rsid w:val="014F73A6"/>
    <w:rsid w:val="02B95F5F"/>
    <w:rsid w:val="02F1240D"/>
    <w:rsid w:val="03044762"/>
    <w:rsid w:val="03196B6B"/>
    <w:rsid w:val="03F739A7"/>
    <w:rsid w:val="03F870E6"/>
    <w:rsid w:val="047518C7"/>
    <w:rsid w:val="04EE265D"/>
    <w:rsid w:val="050869C0"/>
    <w:rsid w:val="052F0674"/>
    <w:rsid w:val="05BE6E6F"/>
    <w:rsid w:val="05C353ED"/>
    <w:rsid w:val="063C0E2A"/>
    <w:rsid w:val="066C1019"/>
    <w:rsid w:val="073D70B6"/>
    <w:rsid w:val="077E75BF"/>
    <w:rsid w:val="083312CE"/>
    <w:rsid w:val="08A037D7"/>
    <w:rsid w:val="09411BF2"/>
    <w:rsid w:val="09673172"/>
    <w:rsid w:val="09E25A5D"/>
    <w:rsid w:val="09E436C7"/>
    <w:rsid w:val="0A280818"/>
    <w:rsid w:val="0A325507"/>
    <w:rsid w:val="0C2258A4"/>
    <w:rsid w:val="0C2C721E"/>
    <w:rsid w:val="0D58007A"/>
    <w:rsid w:val="0D662C58"/>
    <w:rsid w:val="0DEE646C"/>
    <w:rsid w:val="0E836117"/>
    <w:rsid w:val="0EE1797F"/>
    <w:rsid w:val="0EF24B25"/>
    <w:rsid w:val="0F3936BA"/>
    <w:rsid w:val="0F3A6E72"/>
    <w:rsid w:val="0F74556B"/>
    <w:rsid w:val="0F751372"/>
    <w:rsid w:val="103144BD"/>
    <w:rsid w:val="10926C44"/>
    <w:rsid w:val="10C41CD7"/>
    <w:rsid w:val="10D201D0"/>
    <w:rsid w:val="10FB2AF8"/>
    <w:rsid w:val="132D3D8B"/>
    <w:rsid w:val="134E2C41"/>
    <w:rsid w:val="13506F32"/>
    <w:rsid w:val="13C703B6"/>
    <w:rsid w:val="13D363C5"/>
    <w:rsid w:val="13FE71FA"/>
    <w:rsid w:val="14EF431F"/>
    <w:rsid w:val="15714686"/>
    <w:rsid w:val="15C55E70"/>
    <w:rsid w:val="168574AC"/>
    <w:rsid w:val="17706602"/>
    <w:rsid w:val="17A3369A"/>
    <w:rsid w:val="17E644B2"/>
    <w:rsid w:val="17F261B0"/>
    <w:rsid w:val="19B6105C"/>
    <w:rsid w:val="19D22F7C"/>
    <w:rsid w:val="19E250F9"/>
    <w:rsid w:val="1A372ED2"/>
    <w:rsid w:val="1A530242"/>
    <w:rsid w:val="1A5510AA"/>
    <w:rsid w:val="1A905DB0"/>
    <w:rsid w:val="1AC01189"/>
    <w:rsid w:val="1ACC2D1E"/>
    <w:rsid w:val="1AE634A1"/>
    <w:rsid w:val="1B1762CA"/>
    <w:rsid w:val="1B494BCE"/>
    <w:rsid w:val="1B9E32AC"/>
    <w:rsid w:val="1C1F53DB"/>
    <w:rsid w:val="1C23428D"/>
    <w:rsid w:val="1C411E8A"/>
    <w:rsid w:val="1C67300B"/>
    <w:rsid w:val="1C722ABB"/>
    <w:rsid w:val="1DB82B97"/>
    <w:rsid w:val="1DD42994"/>
    <w:rsid w:val="1E017959"/>
    <w:rsid w:val="1ECC6715"/>
    <w:rsid w:val="1ED229A2"/>
    <w:rsid w:val="1F4F7C5F"/>
    <w:rsid w:val="1FC32413"/>
    <w:rsid w:val="200A02E6"/>
    <w:rsid w:val="20CE1F53"/>
    <w:rsid w:val="21EC1694"/>
    <w:rsid w:val="23416178"/>
    <w:rsid w:val="238E4739"/>
    <w:rsid w:val="23AA347B"/>
    <w:rsid w:val="254051B5"/>
    <w:rsid w:val="265818D7"/>
    <w:rsid w:val="26CC6707"/>
    <w:rsid w:val="27B369DB"/>
    <w:rsid w:val="289D4E0E"/>
    <w:rsid w:val="28BD1AD1"/>
    <w:rsid w:val="29727BB5"/>
    <w:rsid w:val="29F93588"/>
    <w:rsid w:val="2A4954FD"/>
    <w:rsid w:val="2B3A0E18"/>
    <w:rsid w:val="2B400820"/>
    <w:rsid w:val="2B7F6052"/>
    <w:rsid w:val="2BB864A4"/>
    <w:rsid w:val="2C4C3E76"/>
    <w:rsid w:val="2CF25F54"/>
    <w:rsid w:val="2DBD794B"/>
    <w:rsid w:val="2E6A0DCD"/>
    <w:rsid w:val="2EA80B40"/>
    <w:rsid w:val="2F5D728F"/>
    <w:rsid w:val="2FE921F7"/>
    <w:rsid w:val="304E0C8A"/>
    <w:rsid w:val="320B2964"/>
    <w:rsid w:val="326F6647"/>
    <w:rsid w:val="32E10921"/>
    <w:rsid w:val="3308314E"/>
    <w:rsid w:val="33496CB7"/>
    <w:rsid w:val="33BA6ECE"/>
    <w:rsid w:val="33F5263D"/>
    <w:rsid w:val="34547575"/>
    <w:rsid w:val="34A7597F"/>
    <w:rsid w:val="350663DF"/>
    <w:rsid w:val="3510022D"/>
    <w:rsid w:val="359C614A"/>
    <w:rsid w:val="35AF3439"/>
    <w:rsid w:val="35EC099F"/>
    <w:rsid w:val="360327D0"/>
    <w:rsid w:val="36857170"/>
    <w:rsid w:val="36970B97"/>
    <w:rsid w:val="382607A7"/>
    <w:rsid w:val="3862043E"/>
    <w:rsid w:val="38815CBD"/>
    <w:rsid w:val="389C7905"/>
    <w:rsid w:val="38B029D5"/>
    <w:rsid w:val="393734D5"/>
    <w:rsid w:val="393E67AA"/>
    <w:rsid w:val="3971636A"/>
    <w:rsid w:val="39EB6FB8"/>
    <w:rsid w:val="3A1B2A12"/>
    <w:rsid w:val="3A9011B9"/>
    <w:rsid w:val="3A980D91"/>
    <w:rsid w:val="3B35055F"/>
    <w:rsid w:val="3B750C23"/>
    <w:rsid w:val="3C4D7A69"/>
    <w:rsid w:val="3CC82E49"/>
    <w:rsid w:val="3CFB49D2"/>
    <w:rsid w:val="3D082D39"/>
    <w:rsid w:val="3DA2028F"/>
    <w:rsid w:val="3EC1656B"/>
    <w:rsid w:val="3ED14080"/>
    <w:rsid w:val="3FAA7C29"/>
    <w:rsid w:val="40F179A3"/>
    <w:rsid w:val="41443C8D"/>
    <w:rsid w:val="414D50B1"/>
    <w:rsid w:val="4185372B"/>
    <w:rsid w:val="418B2C01"/>
    <w:rsid w:val="419A1761"/>
    <w:rsid w:val="41D14192"/>
    <w:rsid w:val="43A65AEB"/>
    <w:rsid w:val="43FE6D40"/>
    <w:rsid w:val="445A5AE3"/>
    <w:rsid w:val="44B107A9"/>
    <w:rsid w:val="455C24D2"/>
    <w:rsid w:val="45C34E0C"/>
    <w:rsid w:val="465945C7"/>
    <w:rsid w:val="466F3FD8"/>
    <w:rsid w:val="46AC7959"/>
    <w:rsid w:val="46F71F0E"/>
    <w:rsid w:val="476D73D9"/>
    <w:rsid w:val="485E642B"/>
    <w:rsid w:val="48A96880"/>
    <w:rsid w:val="48FA1F37"/>
    <w:rsid w:val="49133ED6"/>
    <w:rsid w:val="499C225B"/>
    <w:rsid w:val="4A2E626D"/>
    <w:rsid w:val="4AFA4B90"/>
    <w:rsid w:val="4B262160"/>
    <w:rsid w:val="4BB817A8"/>
    <w:rsid w:val="4C301F11"/>
    <w:rsid w:val="4C4D7514"/>
    <w:rsid w:val="4C7E3EFD"/>
    <w:rsid w:val="4CCD127D"/>
    <w:rsid w:val="4D2E1D74"/>
    <w:rsid w:val="4D302A92"/>
    <w:rsid w:val="4D6D2E4B"/>
    <w:rsid w:val="4DAA1422"/>
    <w:rsid w:val="4DE82905"/>
    <w:rsid w:val="4E5975F2"/>
    <w:rsid w:val="4E694A6E"/>
    <w:rsid w:val="4E7144A1"/>
    <w:rsid w:val="4F932486"/>
    <w:rsid w:val="4F9B5BD7"/>
    <w:rsid w:val="50A11CE1"/>
    <w:rsid w:val="50A57469"/>
    <w:rsid w:val="513546F9"/>
    <w:rsid w:val="515D3749"/>
    <w:rsid w:val="51E6424E"/>
    <w:rsid w:val="522C1FD0"/>
    <w:rsid w:val="52F62453"/>
    <w:rsid w:val="53572DB9"/>
    <w:rsid w:val="539C3C14"/>
    <w:rsid w:val="544E1C64"/>
    <w:rsid w:val="54666A06"/>
    <w:rsid w:val="55327461"/>
    <w:rsid w:val="566D702A"/>
    <w:rsid w:val="568E6452"/>
    <w:rsid w:val="57310012"/>
    <w:rsid w:val="579A74BA"/>
    <w:rsid w:val="57B16FA6"/>
    <w:rsid w:val="580F355F"/>
    <w:rsid w:val="58144BF6"/>
    <w:rsid w:val="586F4D4A"/>
    <w:rsid w:val="589300EC"/>
    <w:rsid w:val="589623CE"/>
    <w:rsid w:val="58D57FA2"/>
    <w:rsid w:val="59825D4A"/>
    <w:rsid w:val="59A95BAF"/>
    <w:rsid w:val="5A20261E"/>
    <w:rsid w:val="5A652A1E"/>
    <w:rsid w:val="5A8108AD"/>
    <w:rsid w:val="5AC266C0"/>
    <w:rsid w:val="5B1F7F83"/>
    <w:rsid w:val="5B2D7584"/>
    <w:rsid w:val="5BD80E88"/>
    <w:rsid w:val="5BF24678"/>
    <w:rsid w:val="5BF343EC"/>
    <w:rsid w:val="5D231F56"/>
    <w:rsid w:val="5D4C11AD"/>
    <w:rsid w:val="5D99654F"/>
    <w:rsid w:val="5DD11DF2"/>
    <w:rsid w:val="5DDF6FE6"/>
    <w:rsid w:val="5E09512E"/>
    <w:rsid w:val="5ED63FC2"/>
    <w:rsid w:val="5EE45516"/>
    <w:rsid w:val="5FD46899"/>
    <w:rsid w:val="5FD61FD6"/>
    <w:rsid w:val="60460965"/>
    <w:rsid w:val="6050634D"/>
    <w:rsid w:val="61354AB5"/>
    <w:rsid w:val="617F742F"/>
    <w:rsid w:val="62016700"/>
    <w:rsid w:val="622E5D39"/>
    <w:rsid w:val="63124DBD"/>
    <w:rsid w:val="635903D4"/>
    <w:rsid w:val="646B5557"/>
    <w:rsid w:val="65B36EF1"/>
    <w:rsid w:val="65C97F87"/>
    <w:rsid w:val="65E60C0C"/>
    <w:rsid w:val="6604027D"/>
    <w:rsid w:val="66946F47"/>
    <w:rsid w:val="677036EC"/>
    <w:rsid w:val="682E2769"/>
    <w:rsid w:val="684510B6"/>
    <w:rsid w:val="6A4D37F6"/>
    <w:rsid w:val="6A970962"/>
    <w:rsid w:val="6A9E47C4"/>
    <w:rsid w:val="6AAE5576"/>
    <w:rsid w:val="6ABD6C3B"/>
    <w:rsid w:val="6AF76ABC"/>
    <w:rsid w:val="6AFD23D9"/>
    <w:rsid w:val="6B23775C"/>
    <w:rsid w:val="6B5D6B38"/>
    <w:rsid w:val="6BE373CC"/>
    <w:rsid w:val="6C2966F6"/>
    <w:rsid w:val="6C5E5250"/>
    <w:rsid w:val="6CCA0C5F"/>
    <w:rsid w:val="6E4D7C1E"/>
    <w:rsid w:val="6EA35A1F"/>
    <w:rsid w:val="6EAA3D3E"/>
    <w:rsid w:val="6ED004D7"/>
    <w:rsid w:val="6ED256FD"/>
    <w:rsid w:val="6EE131BA"/>
    <w:rsid w:val="6F74423D"/>
    <w:rsid w:val="70F76756"/>
    <w:rsid w:val="7114779B"/>
    <w:rsid w:val="712868A1"/>
    <w:rsid w:val="7130783B"/>
    <w:rsid w:val="71562100"/>
    <w:rsid w:val="729A79A5"/>
    <w:rsid w:val="72C316BB"/>
    <w:rsid w:val="72DC013B"/>
    <w:rsid w:val="72F06AFF"/>
    <w:rsid w:val="73D87888"/>
    <w:rsid w:val="73D918B9"/>
    <w:rsid w:val="73E170BF"/>
    <w:rsid w:val="741E53F6"/>
    <w:rsid w:val="743C7B32"/>
    <w:rsid w:val="74457D7C"/>
    <w:rsid w:val="74873A10"/>
    <w:rsid w:val="754B5B39"/>
    <w:rsid w:val="75A9354E"/>
    <w:rsid w:val="75BA0406"/>
    <w:rsid w:val="75EB06EF"/>
    <w:rsid w:val="761B655E"/>
    <w:rsid w:val="77663D48"/>
    <w:rsid w:val="779E2B03"/>
    <w:rsid w:val="78FB0FDD"/>
    <w:rsid w:val="7B244D46"/>
    <w:rsid w:val="7CA705F6"/>
    <w:rsid w:val="7CCD2795"/>
    <w:rsid w:val="7D2D0BB7"/>
    <w:rsid w:val="7D4C0316"/>
    <w:rsid w:val="7DFB469E"/>
    <w:rsid w:val="7E8C52A1"/>
    <w:rsid w:val="7EBF04C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next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7">
    <w:name w:val="样式 样式1 + 首行缩进:  2 字符"/>
    <w:basedOn w:val="1"/>
    <w:qFormat/>
    <w:uiPriority w:val="0"/>
    <w:pPr>
      <w:spacing w:line="360" w:lineRule="exact"/>
      <w:ind w:firstLine="420" w:firstLineChars="200"/>
    </w:pPr>
    <w:rPr>
      <w:rFonts w:ascii="Arial" w:hAnsi="Arial"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3558</Words>
  <Characters>20285</Characters>
  <Lines>169</Lines>
  <Paragraphs>47</Paragraphs>
  <ScaleCrop>false</ScaleCrop>
  <LinksUpToDate>false</LinksUpToDate>
  <CharactersWithSpaces>23796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2022-11-28T09:53:05Z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9827B782D2C44DD98ED7AB2082A6BD59</vt:lpwstr>
  </property>
</Properties>
</file>