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52"/>
          <w:szCs w:val="52"/>
        </w:rPr>
      </w:pPr>
      <w:r>
        <w:rPr>
          <w:rFonts w:hint="eastAsia" w:ascii="黑体" w:hAnsi="黑体" w:eastAsia="黑体"/>
          <w:b/>
          <w:sz w:val="52"/>
          <w:szCs w:val="52"/>
        </w:rPr>
        <w:t>杭州萧山国际机场6号道口改造项目</w:t>
      </w:r>
    </w:p>
    <w:p>
      <w:pPr>
        <w:widowControl/>
        <w:autoSpaceDE w:val="0"/>
        <w:autoSpaceDN w:val="0"/>
        <w:jc w:val="center"/>
        <w:textAlignment w:val="bottom"/>
        <w:rPr>
          <w:rFonts w:ascii="黑体" w:hAnsi="黑体" w:eastAsia="黑体"/>
          <w:sz w:val="52"/>
          <w:szCs w:val="52"/>
        </w:rPr>
      </w:pPr>
      <w:r>
        <w:rPr>
          <w:rFonts w:ascii="黑体" w:hAnsi="黑体" w:eastAsia="黑体"/>
          <w:b/>
          <w:sz w:val="52"/>
          <w:szCs w:val="52"/>
        </w:rPr>
        <w:t>招标文件</w:t>
      </w:r>
      <w:r>
        <w:rPr>
          <w:rFonts w:hint="eastAsia" w:ascii="黑体" w:hAnsi="黑体" w:eastAsia="黑体"/>
          <w:b/>
          <w:sz w:val="52"/>
          <w:szCs w:val="52"/>
          <w:lang w:eastAsia="zh-CN"/>
        </w:rPr>
        <w:t>（重新招标）</w:t>
      </w:r>
    </w:p>
    <w:p>
      <w:pPr>
        <w:widowControl/>
        <w:autoSpaceDE w:val="0"/>
        <w:autoSpaceDN w:val="0"/>
        <w:snapToGrid w:val="0"/>
        <w:spacing w:line="560" w:lineRule="exact"/>
        <w:jc w:val="center"/>
        <w:textAlignment w:val="bottom"/>
        <w:rPr>
          <w:rFonts w:ascii="宋体" w:hAnsi="宋体"/>
          <w:b/>
          <w:sz w:val="44"/>
          <w:szCs w:val="44"/>
        </w:rPr>
      </w:pPr>
    </w:p>
    <w:p>
      <w:pPr>
        <w:widowControl/>
        <w:autoSpaceDE w:val="0"/>
        <w:autoSpaceDN w:val="0"/>
        <w:snapToGrid w:val="0"/>
        <w:spacing w:line="560" w:lineRule="exact"/>
        <w:jc w:val="center"/>
        <w:textAlignment w:val="bottom"/>
        <w:rPr>
          <w:rFonts w:ascii="宋体" w:hAnsi="宋体"/>
          <w:b/>
          <w:sz w:val="32"/>
          <w:szCs w:val="32"/>
        </w:rPr>
      </w:pPr>
      <w:bookmarkStart w:id="30" w:name="_GoBack"/>
      <w:bookmarkEnd w:id="30"/>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eastAsia="黑体" w:cs="Calibri"/>
          <w:sz w:val="32"/>
          <w:szCs w:val="32"/>
        </w:rPr>
      </w:pPr>
      <w:r>
        <w:rPr>
          <w:rFonts w:hint="eastAsia" w:eastAsia="黑体" w:cs="Calibri"/>
          <w:sz w:val="32"/>
          <w:szCs w:val="32"/>
        </w:rPr>
        <w:t>杭州萧山国际机场有限公司</w:t>
      </w:r>
    </w:p>
    <w:p>
      <w:pPr>
        <w:pStyle w:val="5"/>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二二年</w:t>
      </w:r>
      <w:r>
        <w:rPr>
          <w:rFonts w:hint="eastAsia" w:ascii="Calibri" w:hAnsi="Calibri" w:eastAsia="黑体" w:cs="Calibri"/>
          <w:sz w:val="32"/>
          <w:szCs w:val="32"/>
          <w:u w:val="single"/>
        </w:rPr>
        <w:t xml:space="preserve"> 十一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sectPr>
          <w:headerReference r:id="rId3" w:type="default"/>
          <w:footerReference r:id="rId4" w:type="default"/>
          <w:footerReference r:id="rId5" w:type="even"/>
          <w:pgSz w:w="11907" w:h="16840"/>
          <w:pgMar w:top="1134" w:right="1134" w:bottom="1134" w:left="1134" w:header="567" w:footer="567" w:gutter="0"/>
          <w:cols w:space="720" w:num="1"/>
        </w:sectPr>
      </w:pPr>
    </w:p>
    <w:p>
      <w:pPr>
        <w:pStyle w:val="9"/>
      </w:pPr>
    </w:p>
    <w:sdt>
      <w:sdtPr>
        <w:rPr>
          <w:rFonts w:ascii="宋体" w:hAnsi="宋体" w:eastAsia="宋体"/>
        </w:rPr>
        <w:id w:val="147480402"/>
        <w15:color w:val="DBDBDB"/>
      </w:sdtPr>
      <w:sdtEndPr>
        <w:rPr>
          <w:rFonts w:asciiTheme="minorHAnsi" w:hAnsiTheme="minorHAnsi" w:eastAsiaTheme="minorEastAsia"/>
          <w:bCs/>
          <w:szCs w:val="44"/>
        </w:rPr>
      </w:sdtEndPr>
      <w:sdtContent>
        <w:p>
          <w:pPr>
            <w:jc w:val="center"/>
            <w:rPr>
              <w:sz w:val="36"/>
              <w:szCs w:val="40"/>
            </w:rPr>
          </w:pPr>
          <w:r>
            <w:rPr>
              <w:rFonts w:ascii="宋体" w:hAnsi="宋体" w:eastAsia="宋体"/>
              <w:sz w:val="36"/>
              <w:szCs w:val="40"/>
            </w:rPr>
            <w:t>目录</w:t>
          </w:r>
        </w:p>
        <w:p>
          <w:pPr>
            <w:pStyle w:val="8"/>
            <w:tabs>
              <w:tab w:val="right" w:leader="dot" w:pos="9639"/>
            </w:tabs>
            <w:rPr>
              <w:sz w:val="36"/>
              <w:szCs w:val="44"/>
            </w:rPr>
          </w:pPr>
          <w:r>
            <w:rPr>
              <w:rFonts w:hint="eastAsia" w:ascii="宋体" w:hAnsi="宋体" w:eastAsia="宋体" w:cs="宋体"/>
              <w:b/>
              <w:bCs/>
              <w:sz w:val="56"/>
              <w:szCs w:val="56"/>
            </w:rPr>
            <w:fldChar w:fldCharType="begin"/>
          </w:r>
          <w:r>
            <w:rPr>
              <w:rFonts w:hint="eastAsia" w:ascii="宋体" w:hAnsi="宋体" w:eastAsia="宋体" w:cs="宋体"/>
              <w:b/>
              <w:bCs/>
              <w:sz w:val="56"/>
              <w:szCs w:val="56"/>
            </w:rPr>
            <w:instrText xml:space="preserve">TOC \o "1-3" \h \u </w:instrText>
          </w:r>
          <w:r>
            <w:rPr>
              <w:rFonts w:hint="eastAsia" w:ascii="宋体" w:hAnsi="宋体" w:eastAsia="宋体" w:cs="宋体"/>
              <w:b/>
              <w:bCs/>
              <w:sz w:val="56"/>
              <w:szCs w:val="56"/>
            </w:rPr>
            <w:fldChar w:fldCharType="separate"/>
          </w:r>
          <w:r>
            <w:fldChar w:fldCharType="begin"/>
          </w:r>
          <w:r>
            <w:instrText xml:space="preserve"> HYPERLINK \l "_Toc8459" </w:instrText>
          </w:r>
          <w:r>
            <w:fldChar w:fldCharType="separate"/>
          </w:r>
          <w:r>
            <w:rPr>
              <w:rFonts w:hint="eastAsia"/>
              <w:sz w:val="36"/>
              <w:szCs w:val="44"/>
            </w:rPr>
            <w:t>第一章 招标公告</w:t>
          </w:r>
          <w:r>
            <w:rPr>
              <w:sz w:val="36"/>
              <w:szCs w:val="44"/>
            </w:rPr>
            <w:tab/>
          </w:r>
          <w:r>
            <w:rPr>
              <w:sz w:val="36"/>
              <w:szCs w:val="44"/>
            </w:rPr>
            <w:fldChar w:fldCharType="begin"/>
          </w:r>
          <w:r>
            <w:rPr>
              <w:sz w:val="36"/>
              <w:szCs w:val="44"/>
            </w:rPr>
            <w:instrText xml:space="preserve"> PAGEREF _Toc8459 \h </w:instrText>
          </w:r>
          <w:r>
            <w:rPr>
              <w:sz w:val="36"/>
              <w:szCs w:val="44"/>
            </w:rPr>
            <w:fldChar w:fldCharType="separate"/>
          </w:r>
          <w:r>
            <w:rPr>
              <w:sz w:val="36"/>
              <w:szCs w:val="44"/>
            </w:rPr>
            <w:t>2</w:t>
          </w:r>
          <w:r>
            <w:rPr>
              <w:sz w:val="36"/>
              <w:szCs w:val="44"/>
            </w:rPr>
            <w:fldChar w:fldCharType="end"/>
          </w:r>
          <w:r>
            <w:rPr>
              <w:sz w:val="36"/>
              <w:szCs w:val="44"/>
            </w:rPr>
            <w:fldChar w:fldCharType="end"/>
          </w:r>
        </w:p>
        <w:p>
          <w:pPr>
            <w:pStyle w:val="8"/>
            <w:tabs>
              <w:tab w:val="right" w:leader="dot" w:pos="9639"/>
            </w:tabs>
            <w:rPr>
              <w:sz w:val="36"/>
              <w:szCs w:val="44"/>
            </w:rPr>
          </w:pPr>
          <w:r>
            <w:fldChar w:fldCharType="begin"/>
          </w:r>
          <w:r>
            <w:instrText xml:space="preserve"> HYPERLINK \l "_Toc682" </w:instrText>
          </w:r>
          <w:r>
            <w:fldChar w:fldCharType="separate"/>
          </w:r>
          <w:r>
            <w:rPr>
              <w:sz w:val="36"/>
              <w:szCs w:val="44"/>
            </w:rPr>
            <w:t>第</w:t>
          </w:r>
          <w:r>
            <w:rPr>
              <w:rFonts w:hint="eastAsia"/>
              <w:sz w:val="36"/>
              <w:szCs w:val="44"/>
            </w:rPr>
            <w:t>二</w:t>
          </w:r>
          <w:r>
            <w:rPr>
              <w:sz w:val="36"/>
              <w:szCs w:val="44"/>
            </w:rPr>
            <w:t xml:space="preserve">章 </w:t>
          </w:r>
          <w:r>
            <w:rPr>
              <w:rFonts w:hint="eastAsia"/>
              <w:sz w:val="36"/>
              <w:szCs w:val="44"/>
            </w:rPr>
            <w:t>评标办法</w:t>
          </w:r>
          <w:r>
            <w:rPr>
              <w:sz w:val="36"/>
              <w:szCs w:val="44"/>
            </w:rPr>
            <w:tab/>
          </w:r>
          <w:r>
            <w:rPr>
              <w:sz w:val="36"/>
              <w:szCs w:val="44"/>
            </w:rPr>
            <w:fldChar w:fldCharType="begin"/>
          </w:r>
          <w:r>
            <w:rPr>
              <w:sz w:val="36"/>
              <w:szCs w:val="44"/>
            </w:rPr>
            <w:instrText xml:space="preserve"> PAGEREF _Toc682 \h </w:instrText>
          </w:r>
          <w:r>
            <w:rPr>
              <w:sz w:val="36"/>
              <w:szCs w:val="44"/>
            </w:rPr>
            <w:fldChar w:fldCharType="separate"/>
          </w:r>
          <w:r>
            <w:rPr>
              <w:sz w:val="36"/>
              <w:szCs w:val="44"/>
            </w:rPr>
            <w:t>4</w:t>
          </w:r>
          <w:r>
            <w:rPr>
              <w:sz w:val="36"/>
              <w:szCs w:val="44"/>
            </w:rPr>
            <w:fldChar w:fldCharType="end"/>
          </w:r>
          <w:r>
            <w:rPr>
              <w:sz w:val="36"/>
              <w:szCs w:val="44"/>
            </w:rPr>
            <w:fldChar w:fldCharType="end"/>
          </w:r>
        </w:p>
        <w:p>
          <w:pPr>
            <w:pStyle w:val="8"/>
            <w:tabs>
              <w:tab w:val="right" w:leader="dot" w:pos="9639"/>
            </w:tabs>
            <w:rPr>
              <w:sz w:val="36"/>
              <w:szCs w:val="44"/>
            </w:rPr>
          </w:pPr>
          <w:r>
            <w:fldChar w:fldCharType="begin"/>
          </w:r>
          <w:r>
            <w:instrText xml:space="preserve"> HYPERLINK \l "_Toc17411" </w:instrText>
          </w:r>
          <w:r>
            <w:fldChar w:fldCharType="separate"/>
          </w:r>
          <w:r>
            <w:rPr>
              <w:rFonts w:hint="eastAsia"/>
              <w:sz w:val="36"/>
              <w:szCs w:val="44"/>
            </w:rPr>
            <w:t>第三章</w:t>
          </w:r>
          <w:r>
            <w:rPr>
              <w:sz w:val="36"/>
              <w:szCs w:val="44"/>
            </w:rPr>
            <w:t xml:space="preserve"> </w:t>
          </w:r>
          <w:r>
            <w:rPr>
              <w:rFonts w:hint="eastAsia"/>
              <w:sz w:val="36"/>
              <w:szCs w:val="44"/>
            </w:rPr>
            <w:t>合同条款及格式</w:t>
          </w:r>
          <w:r>
            <w:rPr>
              <w:sz w:val="36"/>
              <w:szCs w:val="44"/>
            </w:rPr>
            <w:tab/>
          </w:r>
          <w:r>
            <w:rPr>
              <w:rFonts w:hint="eastAsia"/>
              <w:sz w:val="36"/>
              <w:szCs w:val="44"/>
            </w:rPr>
            <w:t>7</w:t>
          </w:r>
          <w:r>
            <w:rPr>
              <w:rFonts w:hint="eastAsia"/>
              <w:sz w:val="36"/>
              <w:szCs w:val="44"/>
            </w:rPr>
            <w:fldChar w:fldCharType="end"/>
          </w:r>
        </w:p>
        <w:p>
          <w:pPr>
            <w:pStyle w:val="8"/>
            <w:tabs>
              <w:tab w:val="right" w:leader="dot" w:pos="9639"/>
            </w:tabs>
            <w:rPr>
              <w:rFonts w:hint="eastAsia" w:ascii="宋体" w:hAnsi="宋体" w:eastAsia="宋体" w:cs="宋体"/>
              <w:bCs/>
              <w:sz w:val="36"/>
              <w:szCs w:val="56"/>
            </w:rPr>
          </w:pPr>
          <w:r>
            <w:fldChar w:fldCharType="begin"/>
          </w:r>
          <w:r>
            <w:instrText xml:space="preserve"> HYPERLINK \l "_Toc27673" </w:instrText>
          </w:r>
          <w:r>
            <w:fldChar w:fldCharType="separate"/>
          </w:r>
          <w:r>
            <w:rPr>
              <w:rFonts w:hint="eastAsia"/>
              <w:sz w:val="36"/>
              <w:szCs w:val="44"/>
            </w:rPr>
            <w:t>第四章 工程量清单</w:t>
          </w:r>
          <w:r>
            <w:rPr>
              <w:sz w:val="36"/>
              <w:szCs w:val="44"/>
            </w:rPr>
            <w:tab/>
          </w:r>
          <w:r>
            <w:rPr>
              <w:rFonts w:hint="eastAsia"/>
              <w:sz w:val="36"/>
              <w:szCs w:val="44"/>
            </w:rPr>
            <w:t>1</w:t>
          </w:r>
          <w:r>
            <w:rPr>
              <w:rFonts w:hint="eastAsia"/>
              <w:sz w:val="36"/>
              <w:szCs w:val="44"/>
            </w:rPr>
            <w:fldChar w:fldCharType="end"/>
          </w:r>
          <w:r>
            <w:rPr>
              <w:rFonts w:hint="eastAsia"/>
              <w:sz w:val="36"/>
              <w:szCs w:val="44"/>
              <w:lang w:val="en-US" w:eastAsia="zh-CN"/>
            </w:rPr>
            <w:t>8</w:t>
          </w:r>
        </w:p>
        <w:p>
          <w:pPr>
            <w:pStyle w:val="8"/>
            <w:tabs>
              <w:tab w:val="right" w:leader="dot" w:pos="9639"/>
            </w:tabs>
          </w:pPr>
          <w:r>
            <w:fldChar w:fldCharType="begin"/>
          </w:r>
          <w:r>
            <w:instrText xml:space="preserve"> HYPERLINK \l "_Toc27673" </w:instrText>
          </w:r>
          <w:r>
            <w:fldChar w:fldCharType="separate"/>
          </w:r>
          <w:r>
            <w:rPr>
              <w:rFonts w:hint="eastAsia"/>
              <w:sz w:val="36"/>
              <w:szCs w:val="44"/>
            </w:rPr>
            <w:t>第</w:t>
          </w:r>
          <w:r>
            <w:rPr>
              <w:rFonts w:hint="eastAsia"/>
              <w:sz w:val="36"/>
              <w:szCs w:val="44"/>
              <w:lang w:val="en-US" w:eastAsia="zh-CN"/>
            </w:rPr>
            <w:t>五</w:t>
          </w:r>
          <w:r>
            <w:rPr>
              <w:rFonts w:hint="eastAsia"/>
              <w:sz w:val="36"/>
              <w:szCs w:val="44"/>
            </w:rPr>
            <w:t xml:space="preserve">章 </w:t>
          </w:r>
          <w:r>
            <w:rPr>
              <w:rFonts w:hint="eastAsia"/>
              <w:sz w:val="36"/>
              <w:szCs w:val="44"/>
              <w:lang w:val="en-US" w:eastAsia="zh-CN"/>
            </w:rPr>
            <w:t>图纸</w:t>
          </w:r>
          <w:r>
            <w:rPr>
              <w:sz w:val="36"/>
              <w:szCs w:val="44"/>
            </w:rPr>
            <w:tab/>
          </w:r>
          <w:r>
            <w:rPr>
              <w:rFonts w:hint="eastAsia"/>
              <w:sz w:val="36"/>
              <w:szCs w:val="44"/>
              <w:lang w:val="en-US" w:eastAsia="zh-CN"/>
            </w:rPr>
            <w:t>2</w:t>
          </w:r>
          <w:r>
            <w:rPr>
              <w:rFonts w:hint="eastAsia"/>
              <w:sz w:val="36"/>
              <w:szCs w:val="44"/>
            </w:rPr>
            <w:fldChar w:fldCharType="end"/>
          </w:r>
          <w:r>
            <w:rPr>
              <w:rFonts w:hint="eastAsia"/>
              <w:sz w:val="36"/>
              <w:szCs w:val="44"/>
              <w:lang w:val="en-US" w:eastAsia="zh-CN"/>
            </w:rPr>
            <w:t>1</w:t>
          </w:r>
        </w:p>
        <w:p>
          <w:pPr>
            <w:pStyle w:val="8"/>
            <w:tabs>
              <w:tab w:val="right" w:leader="dot" w:pos="9639"/>
            </w:tabs>
            <w:rPr>
              <w:rFonts w:eastAsia="宋体"/>
              <w:sz w:val="36"/>
              <w:szCs w:val="44"/>
            </w:rPr>
          </w:pPr>
          <w:r>
            <w:fldChar w:fldCharType="begin"/>
          </w:r>
          <w:r>
            <w:instrText xml:space="preserve"> HYPERLINK \l "_Toc9507" </w:instrText>
          </w:r>
          <w:r>
            <w:fldChar w:fldCharType="separate"/>
          </w:r>
          <w:r>
            <w:rPr>
              <w:rFonts w:hint="eastAsia"/>
              <w:sz w:val="36"/>
              <w:szCs w:val="44"/>
            </w:rPr>
            <w:t>第</w:t>
          </w:r>
          <w:r>
            <w:rPr>
              <w:rFonts w:hint="eastAsia"/>
              <w:sz w:val="36"/>
              <w:szCs w:val="44"/>
              <w:lang w:val="en-US" w:eastAsia="zh-CN"/>
            </w:rPr>
            <w:t>六</w:t>
          </w:r>
          <w:r>
            <w:rPr>
              <w:rFonts w:hint="eastAsia"/>
              <w:sz w:val="36"/>
              <w:szCs w:val="44"/>
            </w:rPr>
            <w:t>章 技术标准及要求</w:t>
          </w:r>
          <w:r>
            <w:rPr>
              <w:sz w:val="36"/>
              <w:szCs w:val="44"/>
            </w:rPr>
            <w:tab/>
          </w:r>
          <w:r>
            <w:rPr>
              <w:rFonts w:hint="eastAsia"/>
              <w:sz w:val="36"/>
              <w:szCs w:val="44"/>
              <w:lang w:val="en-US" w:eastAsia="zh-CN"/>
            </w:rPr>
            <w:t>22</w:t>
          </w:r>
          <w:r>
            <w:rPr>
              <w:rFonts w:hint="eastAsia"/>
              <w:sz w:val="36"/>
              <w:szCs w:val="44"/>
            </w:rPr>
            <w:fldChar w:fldCharType="end"/>
          </w:r>
        </w:p>
        <w:p>
          <w:pPr>
            <w:pStyle w:val="8"/>
            <w:tabs>
              <w:tab w:val="right" w:leader="dot" w:pos="9639"/>
            </w:tabs>
            <w:rPr>
              <w:sz w:val="36"/>
              <w:szCs w:val="44"/>
            </w:rPr>
          </w:pPr>
          <w:r>
            <w:fldChar w:fldCharType="begin"/>
          </w:r>
          <w:r>
            <w:instrText xml:space="preserve"> HYPERLINK \l "_Toc10055" </w:instrText>
          </w:r>
          <w:r>
            <w:fldChar w:fldCharType="separate"/>
          </w:r>
          <w:r>
            <w:rPr>
              <w:sz w:val="36"/>
              <w:szCs w:val="52"/>
            </w:rPr>
            <w:t>第</w:t>
          </w:r>
          <w:r>
            <w:rPr>
              <w:rFonts w:hint="eastAsia"/>
              <w:sz w:val="36"/>
              <w:szCs w:val="52"/>
              <w:lang w:val="en-US" w:eastAsia="zh-CN"/>
            </w:rPr>
            <w:t>七</w:t>
          </w:r>
          <w:r>
            <w:rPr>
              <w:sz w:val="36"/>
              <w:szCs w:val="52"/>
            </w:rPr>
            <w:t>章</w:t>
          </w:r>
          <w:r>
            <w:rPr>
              <w:rFonts w:hint="eastAsia"/>
              <w:sz w:val="36"/>
              <w:szCs w:val="52"/>
            </w:rPr>
            <w:t xml:space="preserve"> </w:t>
          </w:r>
          <w:r>
            <w:rPr>
              <w:sz w:val="36"/>
              <w:szCs w:val="52"/>
            </w:rPr>
            <w:t>投标文件格式</w:t>
          </w:r>
          <w:r>
            <w:rPr>
              <w:sz w:val="36"/>
              <w:szCs w:val="44"/>
            </w:rPr>
            <w:tab/>
          </w:r>
          <w:r>
            <w:rPr>
              <w:rFonts w:hint="eastAsia"/>
              <w:sz w:val="36"/>
              <w:szCs w:val="44"/>
            </w:rPr>
            <w:t>2</w:t>
          </w:r>
          <w:r>
            <w:rPr>
              <w:rFonts w:hint="eastAsia"/>
              <w:sz w:val="36"/>
              <w:szCs w:val="44"/>
            </w:rPr>
            <w:fldChar w:fldCharType="end"/>
          </w:r>
          <w:r>
            <w:rPr>
              <w:rFonts w:hint="eastAsia"/>
              <w:sz w:val="36"/>
              <w:szCs w:val="44"/>
              <w:lang w:val="en-US" w:eastAsia="zh-CN"/>
            </w:rPr>
            <w:t>6</w:t>
          </w:r>
        </w:p>
        <w:p>
          <w:pPr>
            <w:spacing w:line="560" w:lineRule="exact"/>
            <w:rPr>
              <w:b/>
              <w:bCs/>
              <w:sz w:val="44"/>
              <w:szCs w:val="44"/>
            </w:rPr>
          </w:pPr>
          <w:r>
            <w:rPr>
              <w:rFonts w:hint="eastAsia" w:ascii="宋体" w:hAnsi="宋体" w:eastAsia="宋体" w:cs="宋体"/>
              <w:bCs/>
              <w:sz w:val="36"/>
              <w:szCs w:val="56"/>
            </w:rPr>
            <w:fldChar w:fldCharType="end"/>
          </w:r>
        </w:p>
      </w:sdtContent>
    </w:sdt>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rPr>
          <w:b/>
          <w:bCs/>
          <w:sz w:val="44"/>
          <w:szCs w:val="44"/>
        </w:rPr>
      </w:pPr>
    </w:p>
    <w:p>
      <w:pPr>
        <w:pStyle w:val="9"/>
        <w:pageBreakBefore/>
      </w:pPr>
      <w:bookmarkStart w:id="0" w:name="_Toc8459"/>
      <w:bookmarkStart w:id="1" w:name="_Toc448097401"/>
      <w:r>
        <w:rPr>
          <w:rFonts w:hint="eastAsia"/>
        </w:rPr>
        <w:t>第一章 招标公告</w:t>
      </w:r>
      <w:bookmarkEnd w:id="0"/>
      <w:bookmarkEnd w:id="1"/>
    </w:p>
    <w:p>
      <w:pPr>
        <w:widowControl/>
        <w:snapToGrid w:val="0"/>
        <w:spacing w:line="360" w:lineRule="exact"/>
        <w:jc w:val="left"/>
        <w:rPr>
          <w:rFonts w:ascii="宋体" w:hAnsi="宋体" w:eastAsia="宋体" w:cs="宋体"/>
          <w:kern w:val="0"/>
          <w:sz w:val="24"/>
          <w:szCs w:val="24"/>
        </w:rPr>
      </w:pPr>
      <w:r>
        <w:rPr>
          <w:rFonts w:hint="eastAsia" w:ascii="宋体" w:hAnsi="宋体" w:eastAsia="宋体" w:cs="宋体"/>
          <w:b/>
          <w:bCs/>
          <w:kern w:val="0"/>
          <w:sz w:val="24"/>
          <w:szCs w:val="24"/>
        </w:rPr>
        <w:t>一、招标内容</w:t>
      </w:r>
    </w:p>
    <w:p>
      <w:pPr>
        <w:widowControl/>
        <w:numPr>
          <w:ilvl w:val="0"/>
          <w:numId w:val="1"/>
        </w:numPr>
        <w:adjustRightInd w:val="0"/>
        <w:snapToGrid w:val="0"/>
        <w:spacing w:line="360" w:lineRule="exact"/>
        <w:ind w:firstLine="482" w:firstLineChars="200"/>
        <w:rPr>
          <w:rFonts w:ascii="宋体" w:hAnsi="宋体" w:eastAsia="宋体" w:cs="宋体"/>
          <w:b/>
          <w:bCs/>
          <w:kern w:val="0"/>
          <w:sz w:val="24"/>
          <w:szCs w:val="24"/>
        </w:rPr>
      </w:pPr>
      <w:r>
        <w:rPr>
          <w:rFonts w:hint="eastAsia" w:ascii="宋体" w:hAnsi="宋体" w:eastAsia="宋体" w:cs="宋体"/>
          <w:b/>
          <w:bCs/>
          <w:kern w:val="0"/>
          <w:sz w:val="24"/>
          <w:szCs w:val="24"/>
        </w:rPr>
        <w:t>项目概况：为缓解6号道口过检负荷，加强道口安全管控，提升道口运行效率，对6号道口检查室入口进行改造、增设人员出口通道、增设司机检查室出口、调整检查室布局等。</w:t>
      </w:r>
    </w:p>
    <w:p>
      <w:pPr>
        <w:widowControl/>
        <w:adjustRightInd w:val="0"/>
        <w:snapToGrid w:val="0"/>
        <w:spacing w:line="3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（2）实施内容：详见工程量清单</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图纸</w:t>
      </w:r>
      <w:r>
        <w:rPr>
          <w:rFonts w:hint="eastAsia" w:ascii="宋体" w:hAnsi="宋体" w:eastAsia="宋体" w:cs="宋体"/>
          <w:kern w:val="0"/>
          <w:sz w:val="24"/>
          <w:szCs w:val="24"/>
        </w:rPr>
        <w:t>和技术标准及要求。</w:t>
      </w:r>
    </w:p>
    <w:p>
      <w:pPr>
        <w:widowControl/>
        <w:adjustRightInd w:val="0"/>
        <w:snapToGrid w:val="0"/>
        <w:spacing w:line="3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（3）本项目设一个标段，要求甲方通知进场后</w:t>
      </w:r>
      <w:r>
        <w:rPr>
          <w:rFonts w:hint="eastAsia" w:ascii="宋体" w:hAnsi="宋体" w:eastAsia="宋体" w:cs="宋体"/>
          <w:color w:val="auto"/>
          <w:kern w:val="0"/>
          <w:sz w:val="24"/>
          <w:szCs w:val="24"/>
          <w:u w:val="single"/>
          <w:lang w:val="en-US" w:eastAsia="zh-CN"/>
        </w:rPr>
        <w:t>10</w:t>
      </w:r>
      <w:r>
        <w:rPr>
          <w:rFonts w:hint="eastAsia" w:ascii="宋体" w:hAnsi="宋体" w:eastAsia="宋体" w:cs="宋体"/>
          <w:kern w:val="0"/>
          <w:sz w:val="24"/>
          <w:szCs w:val="24"/>
        </w:rPr>
        <w:t>日历天内完工。</w:t>
      </w:r>
    </w:p>
    <w:p>
      <w:pPr>
        <w:widowControl/>
        <w:snapToGrid w:val="0"/>
        <w:spacing w:line="360" w:lineRule="exact"/>
        <w:jc w:val="left"/>
        <w:rPr>
          <w:rFonts w:ascii="宋体" w:hAnsi="宋体" w:eastAsia="宋体" w:cs="宋体"/>
          <w:b/>
          <w:bCs/>
          <w:kern w:val="0"/>
          <w:sz w:val="24"/>
          <w:szCs w:val="24"/>
        </w:rPr>
      </w:pPr>
      <w:r>
        <w:rPr>
          <w:rFonts w:hint="eastAsia" w:ascii="宋体" w:hAnsi="宋体" w:eastAsia="宋体" w:cs="宋体"/>
          <w:b/>
          <w:bCs/>
          <w:kern w:val="0"/>
          <w:sz w:val="24"/>
          <w:szCs w:val="24"/>
        </w:rPr>
        <w:t>二、 资格要求 </w:t>
      </w:r>
    </w:p>
    <w:p>
      <w:pPr>
        <w:widowControl/>
        <w:adjustRightInd w:val="0"/>
        <w:snapToGrid w:val="0"/>
        <w:spacing w:line="360" w:lineRule="exact"/>
        <w:ind w:firstLine="482" w:firstLineChars="200"/>
        <w:rPr>
          <w:rFonts w:ascii="宋体" w:hAnsi="宋体" w:eastAsia="宋体" w:cs="宋体"/>
          <w:b/>
          <w:bCs/>
          <w:sz w:val="24"/>
          <w:szCs w:val="24"/>
        </w:rPr>
      </w:pPr>
      <w:r>
        <w:rPr>
          <w:rFonts w:hint="eastAsia" w:ascii="宋体" w:hAnsi="宋体" w:eastAsia="宋体" w:cs="宋体"/>
          <w:b/>
          <w:bCs/>
          <w:kern w:val="0"/>
          <w:sz w:val="24"/>
          <w:szCs w:val="24"/>
        </w:rPr>
        <w:t>（1）投标人具备</w:t>
      </w:r>
      <w:r>
        <w:rPr>
          <w:rFonts w:hint="eastAsia" w:ascii="宋体" w:hAnsi="宋体" w:eastAsia="宋体" w:cs="宋体"/>
          <w:b/>
          <w:bCs/>
          <w:kern w:val="0"/>
          <w:sz w:val="24"/>
          <w:szCs w:val="24"/>
          <w:u w:val="single"/>
        </w:rPr>
        <w:t>建筑工程施工总承包三级</w:t>
      </w:r>
      <w:r>
        <w:rPr>
          <w:rFonts w:hint="eastAsia" w:ascii="宋体" w:hAnsi="宋体" w:eastAsia="宋体" w:cs="宋体"/>
          <w:b/>
          <w:bCs/>
          <w:kern w:val="0"/>
          <w:sz w:val="24"/>
          <w:szCs w:val="24"/>
        </w:rPr>
        <w:t>或</w:t>
      </w:r>
      <w:r>
        <w:rPr>
          <w:rFonts w:hint="eastAsia" w:ascii="宋体" w:hAnsi="宋体" w:eastAsia="宋体" w:cs="宋体"/>
          <w:b/>
          <w:bCs/>
          <w:kern w:val="0"/>
          <w:sz w:val="24"/>
          <w:szCs w:val="24"/>
          <w:u w:val="single"/>
        </w:rPr>
        <w:t>建筑装修装饰工程专业承包二级</w:t>
      </w:r>
      <w:r>
        <w:rPr>
          <w:rFonts w:hint="eastAsia" w:ascii="宋体" w:hAnsi="宋体" w:eastAsia="宋体" w:cs="宋体"/>
          <w:b/>
          <w:bCs/>
          <w:kern w:val="0"/>
          <w:sz w:val="24"/>
          <w:szCs w:val="24"/>
        </w:rPr>
        <w:t>及以上资质。</w:t>
      </w:r>
    </w:p>
    <w:p>
      <w:pPr>
        <w:widowControl/>
        <w:adjustRightInd w:val="0"/>
        <w:snapToGrid w:val="0"/>
        <w:spacing w:line="360" w:lineRule="exact"/>
        <w:ind w:firstLine="482" w:firstLineChars="200"/>
        <w:rPr>
          <w:rFonts w:ascii="宋体" w:hAnsi="宋体" w:eastAsia="宋体" w:cs="宋体"/>
          <w:b/>
          <w:bCs/>
          <w:sz w:val="24"/>
          <w:szCs w:val="24"/>
        </w:rPr>
      </w:pPr>
      <w:r>
        <w:rPr>
          <w:rFonts w:hint="eastAsia" w:ascii="宋体" w:hAnsi="宋体" w:eastAsia="宋体" w:cs="宋体"/>
          <w:b/>
          <w:bCs/>
          <w:kern w:val="0"/>
          <w:sz w:val="24"/>
          <w:szCs w:val="24"/>
        </w:rPr>
        <w:t>（2）</w:t>
      </w:r>
      <w:r>
        <w:rPr>
          <w:rFonts w:hint="eastAsia" w:ascii="宋体" w:hAnsi="宋体" w:eastAsia="宋体" w:cs="宋体"/>
          <w:b/>
          <w:bCs/>
          <w:sz w:val="24"/>
          <w:szCs w:val="24"/>
        </w:rPr>
        <w:t>投标人应具有有效的《安全生产许可证》。</w:t>
      </w:r>
    </w:p>
    <w:p>
      <w:pPr>
        <w:widowControl/>
        <w:adjustRightInd w:val="0"/>
        <w:snapToGrid w:val="0"/>
        <w:spacing w:line="360" w:lineRule="exact"/>
        <w:ind w:firstLine="482" w:firstLineChars="200"/>
        <w:rPr>
          <w:rFonts w:ascii="宋体" w:hAnsi="宋体" w:eastAsia="宋体" w:cs="宋体"/>
          <w:b/>
          <w:bCs/>
          <w:kern w:val="0"/>
          <w:sz w:val="24"/>
          <w:szCs w:val="24"/>
        </w:rPr>
      </w:pPr>
      <w:r>
        <w:rPr>
          <w:rFonts w:hint="eastAsia" w:ascii="宋体" w:hAnsi="宋体" w:eastAsia="宋体" w:cs="宋体"/>
          <w:b/>
          <w:bCs/>
          <w:sz w:val="24"/>
          <w:szCs w:val="24"/>
        </w:rPr>
        <w:t>（3）项目经理资格要求：具有</w:t>
      </w:r>
      <w:r>
        <w:rPr>
          <w:rFonts w:hint="eastAsia" w:ascii="宋体" w:hAnsi="宋体" w:eastAsia="宋体" w:cs="宋体"/>
          <w:b/>
          <w:bCs/>
          <w:sz w:val="24"/>
          <w:szCs w:val="24"/>
          <w:u w:val="single"/>
        </w:rPr>
        <w:t xml:space="preserve"> 建筑 </w:t>
      </w:r>
      <w:r>
        <w:rPr>
          <w:rFonts w:hint="eastAsia" w:ascii="宋体" w:hAnsi="宋体" w:eastAsia="宋体" w:cs="宋体"/>
          <w:b/>
          <w:bCs/>
          <w:sz w:val="24"/>
          <w:szCs w:val="24"/>
        </w:rPr>
        <w:t>专业</w:t>
      </w:r>
      <w:r>
        <w:rPr>
          <w:rFonts w:hint="eastAsia" w:ascii="宋体" w:hAnsi="宋体" w:eastAsia="宋体" w:cs="宋体"/>
          <w:b/>
          <w:bCs/>
          <w:sz w:val="24"/>
          <w:szCs w:val="24"/>
          <w:u w:val="single"/>
        </w:rPr>
        <w:t xml:space="preserve"> 二 </w:t>
      </w:r>
      <w:r>
        <w:rPr>
          <w:rFonts w:hint="eastAsia" w:ascii="宋体" w:hAnsi="宋体" w:eastAsia="宋体" w:cs="宋体"/>
          <w:b/>
          <w:bCs/>
          <w:sz w:val="24"/>
          <w:szCs w:val="24"/>
        </w:rPr>
        <w:t>级及以上注册建造师执业证书。</w:t>
      </w:r>
    </w:p>
    <w:p>
      <w:pPr>
        <w:widowControl/>
        <w:adjustRightInd w:val="0"/>
        <w:snapToGrid w:val="0"/>
        <w:spacing w:line="360" w:lineRule="exact"/>
        <w:ind w:firstLine="482" w:firstLineChars="200"/>
        <w:rPr>
          <w:rFonts w:ascii="宋体" w:hAnsi="宋体" w:eastAsia="宋体" w:cs="宋体"/>
          <w:b/>
          <w:bCs/>
          <w:kern w:val="0"/>
          <w:sz w:val="24"/>
          <w:szCs w:val="24"/>
        </w:rPr>
      </w:pPr>
      <w:r>
        <w:rPr>
          <w:rFonts w:hint="eastAsia" w:ascii="宋体" w:hAnsi="宋体" w:eastAsia="宋体" w:cs="宋体"/>
          <w:b/>
          <w:bCs/>
          <w:kern w:val="0"/>
          <w:sz w:val="24"/>
          <w:szCs w:val="24"/>
        </w:rPr>
        <w:t>（4）本项目不接受联合体投标。</w:t>
      </w:r>
    </w:p>
    <w:p>
      <w:pPr>
        <w:widowControl/>
        <w:snapToGrid w:val="0"/>
        <w:spacing w:line="320" w:lineRule="exact"/>
        <w:jc w:val="left"/>
        <w:rPr>
          <w:rFonts w:ascii="宋体" w:hAnsi="宋体" w:eastAsia="宋体" w:cs="宋体"/>
          <w:b/>
          <w:bCs/>
          <w:kern w:val="0"/>
          <w:sz w:val="24"/>
          <w:szCs w:val="24"/>
        </w:rPr>
      </w:pPr>
      <w:bookmarkStart w:id="2" w:name="_Toc448097403"/>
      <w:bookmarkStart w:id="3" w:name="_Toc448097402"/>
      <w:r>
        <w:rPr>
          <w:rFonts w:hint="eastAsia" w:ascii="宋体" w:hAnsi="宋体" w:eastAsia="宋体" w:cs="宋体"/>
          <w:b/>
          <w:bCs/>
          <w:kern w:val="0"/>
          <w:sz w:val="24"/>
          <w:szCs w:val="24"/>
        </w:rPr>
        <w:t>三、招标文件获取</w:t>
      </w:r>
    </w:p>
    <w:p>
      <w:pPr>
        <w:snapToGrid w:val="0"/>
        <w:spacing w:line="320" w:lineRule="exact"/>
        <w:ind w:firstLine="480" w:firstLineChars="200"/>
        <w:rPr>
          <w:rFonts w:ascii="宋体" w:hAnsi="宋体" w:eastAsia="宋体" w:cs="宋体"/>
          <w:sz w:val="24"/>
          <w:szCs w:val="24"/>
        </w:rPr>
      </w:pPr>
      <w:r>
        <w:rPr>
          <w:rFonts w:hint="eastAsia" w:ascii="宋体" w:hAnsi="宋体" w:eastAsia="宋体" w:cs="宋体"/>
          <w:kern w:val="0"/>
          <w:sz w:val="24"/>
          <w:szCs w:val="24"/>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hint="eastAsia" w:ascii="宋体" w:hAnsi="宋体" w:eastAsia="宋体" w:cs="宋体"/>
          <w:kern w:val="0"/>
          <w:sz w:val="24"/>
          <w:szCs w:val="24"/>
        </w:rPr>
        <w:t>http://www.hzairport.com/zbxx.aspx</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自行下载招标文件</w:t>
      </w:r>
      <w:r>
        <w:rPr>
          <w:rFonts w:hint="eastAsia" w:ascii="宋体" w:hAnsi="宋体" w:eastAsia="宋体" w:cs="宋体"/>
          <w:sz w:val="24"/>
          <w:szCs w:val="24"/>
        </w:rPr>
        <w:t>。</w:t>
      </w:r>
    </w:p>
    <w:p>
      <w:pPr>
        <w:snapToGrid w:val="0"/>
        <w:spacing w:line="320" w:lineRule="exact"/>
        <w:rPr>
          <w:rFonts w:ascii="宋体" w:hAnsi="宋体" w:eastAsia="宋体" w:cs="宋体"/>
          <w:b/>
          <w:bCs/>
          <w:sz w:val="24"/>
          <w:szCs w:val="24"/>
        </w:rPr>
      </w:pPr>
      <w:r>
        <w:rPr>
          <w:rFonts w:hint="eastAsia" w:ascii="宋体" w:hAnsi="宋体" w:eastAsia="宋体" w:cs="宋体"/>
          <w:b/>
          <w:bCs/>
          <w:sz w:val="24"/>
          <w:szCs w:val="24"/>
        </w:rPr>
        <w:t>四、踏勘现场</w:t>
      </w:r>
    </w:p>
    <w:p>
      <w:pPr>
        <w:snapToGrid w:val="0"/>
        <w:spacing w:line="360" w:lineRule="exact"/>
        <w:ind w:firstLine="480" w:firstLineChars="200"/>
        <w:rPr>
          <w:rFonts w:ascii="宋体" w:hAnsi="宋体" w:eastAsia="宋体" w:cs="宋体"/>
          <w:b/>
          <w:bCs/>
          <w:kern w:val="0"/>
          <w:sz w:val="24"/>
          <w:szCs w:val="24"/>
        </w:rPr>
      </w:pPr>
      <w:r>
        <w:rPr>
          <w:rFonts w:hint="eastAsia" w:ascii="宋体" w:hAnsi="宋体" w:eastAsia="宋体" w:cs="宋体"/>
          <w:sz w:val="24"/>
          <w:szCs w:val="24"/>
        </w:rPr>
        <w:t>招标人组织踏勘现场，集中踏勘时间为</w:t>
      </w:r>
      <w:r>
        <w:rPr>
          <w:rFonts w:hint="eastAsia" w:ascii="宋体" w:hAnsi="宋体" w:eastAsia="宋体" w:cs="宋体"/>
          <w:color w:val="FF0000"/>
          <w:kern w:val="0"/>
          <w:sz w:val="24"/>
          <w:szCs w:val="24"/>
          <w:lang w:val="en-US" w:eastAsia="zh-CN"/>
        </w:rPr>
        <w:t>2022</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12</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22</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w:t>
      </w:r>
      <w:r>
        <w:rPr>
          <w:rFonts w:hint="eastAsia" w:ascii="宋体" w:hAnsi="宋体" w:eastAsia="宋体" w:cs="宋体"/>
          <w:kern w:val="0"/>
          <w:sz w:val="24"/>
          <w:szCs w:val="24"/>
        </w:rPr>
        <w:t>（北京时间）。踏勘集中地点为</w:t>
      </w:r>
      <w:r>
        <w:rPr>
          <w:rFonts w:hint="eastAsia" w:ascii="宋体" w:hAnsi="宋体" w:eastAsia="宋体" w:cs="宋体"/>
          <w:b/>
          <w:bCs/>
          <w:color w:val="auto"/>
          <w:kern w:val="0"/>
          <w:sz w:val="24"/>
          <w:szCs w:val="24"/>
          <w:lang w:val="en-US" w:eastAsia="zh-CN"/>
        </w:rPr>
        <w:t>杭州萧山国际机场物业维修中心</w:t>
      </w:r>
      <w:r>
        <w:rPr>
          <w:rFonts w:hint="eastAsia" w:ascii="宋体" w:hAnsi="宋体" w:eastAsia="宋体" w:cs="宋体"/>
          <w:kern w:val="0"/>
          <w:sz w:val="24"/>
          <w:szCs w:val="24"/>
        </w:rPr>
        <w:t>，</w:t>
      </w:r>
      <w:r>
        <w:rPr>
          <w:rFonts w:hint="eastAsia" w:ascii="宋体" w:hAnsi="宋体" w:eastAsia="宋体" w:cs="宋体"/>
          <w:b/>
          <w:bCs/>
          <w:kern w:val="0"/>
          <w:sz w:val="24"/>
          <w:szCs w:val="24"/>
        </w:rPr>
        <w:t>由于未参加现场踏勘引起的报价失误等责任由投标人自负。</w:t>
      </w:r>
    </w:p>
    <w:p>
      <w:pPr>
        <w:numPr>
          <w:ilvl w:val="0"/>
          <w:numId w:val="2"/>
        </w:numPr>
        <w:snapToGrid w:val="0"/>
        <w:spacing w:line="320" w:lineRule="exact"/>
        <w:rPr>
          <w:rFonts w:ascii="宋体" w:hAnsi="宋体" w:eastAsia="宋体" w:cs="宋体"/>
          <w:b/>
          <w:bCs/>
          <w:kern w:val="0"/>
          <w:sz w:val="24"/>
          <w:szCs w:val="24"/>
        </w:rPr>
      </w:pPr>
      <w:r>
        <w:rPr>
          <w:rFonts w:hint="eastAsia" w:ascii="宋体" w:hAnsi="宋体" w:eastAsia="宋体" w:cs="宋体"/>
          <w:b/>
          <w:bCs/>
          <w:kern w:val="0"/>
          <w:sz w:val="24"/>
          <w:szCs w:val="24"/>
        </w:rPr>
        <w:t>招标答疑</w:t>
      </w:r>
    </w:p>
    <w:p>
      <w:pPr>
        <w:snapToGrid w:val="0"/>
        <w:spacing w:line="320" w:lineRule="exact"/>
        <w:ind w:firstLine="480" w:firstLineChars="200"/>
        <w:rPr>
          <w:rFonts w:ascii="宋体" w:hAnsi="宋体" w:eastAsia="宋体" w:cs="宋体"/>
          <w:kern w:val="0"/>
          <w:sz w:val="24"/>
          <w:szCs w:val="24"/>
        </w:rPr>
      </w:pPr>
      <w:r>
        <w:rPr>
          <w:rFonts w:hint="eastAsia" w:ascii="宋体" w:hAnsi="宋体" w:eastAsia="宋体" w:cs="宋体"/>
          <w:color w:val="FF0000"/>
          <w:kern w:val="0"/>
          <w:sz w:val="24"/>
          <w:szCs w:val="24"/>
          <w:lang w:val="en-US" w:eastAsia="zh-CN"/>
        </w:rPr>
        <w:t>2022</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12</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23</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分前</w:t>
      </w:r>
      <w:r>
        <w:rPr>
          <w:rFonts w:hint="eastAsia" w:ascii="宋体" w:hAnsi="宋体" w:eastAsia="宋体" w:cs="宋体"/>
          <w:kern w:val="0"/>
          <w:sz w:val="24"/>
          <w:szCs w:val="24"/>
        </w:rPr>
        <w:t>，以E-mail及书面形式提交给招标人（邮箱：</w:t>
      </w:r>
      <w:r>
        <w:rPr>
          <w:rFonts w:hint="eastAsia" w:ascii="宋体" w:hAnsi="宋体" w:eastAsia="宋体" w:cs="宋体"/>
          <w:kern w:val="0"/>
          <w:sz w:val="24"/>
          <w:szCs w:val="24"/>
          <w:lang w:val="en-US" w:eastAsia="zh-CN"/>
        </w:rPr>
        <w:t>373285581@qq.com</w:t>
      </w:r>
      <w:r>
        <w:rPr>
          <w:rFonts w:hint="eastAsia" w:ascii="宋体" w:hAnsi="宋体" w:eastAsia="宋体" w:cs="宋体"/>
          <w:kern w:val="0"/>
          <w:sz w:val="24"/>
          <w:szCs w:val="24"/>
        </w:rPr>
        <w:t>，联系人：</w:t>
      </w:r>
      <w:r>
        <w:rPr>
          <w:rFonts w:hint="eastAsia" w:ascii="宋体" w:hAnsi="宋体" w:eastAsia="宋体" w:cs="宋体"/>
          <w:kern w:val="0"/>
          <w:sz w:val="24"/>
          <w:szCs w:val="24"/>
          <w:lang w:val="en-US" w:eastAsia="zh-CN"/>
        </w:rPr>
        <w:t>吴淼清</w:t>
      </w:r>
      <w:r>
        <w:rPr>
          <w:rFonts w:hint="eastAsia" w:ascii="宋体" w:hAnsi="宋体" w:eastAsia="宋体" w:cs="宋体"/>
          <w:kern w:val="0"/>
          <w:sz w:val="24"/>
          <w:szCs w:val="24"/>
        </w:rPr>
        <w:t>）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widowControl/>
        <w:snapToGrid w:val="0"/>
        <w:spacing w:line="320" w:lineRule="exact"/>
        <w:jc w:val="left"/>
        <w:rPr>
          <w:rFonts w:ascii="宋体" w:hAnsi="宋体" w:eastAsia="宋体" w:cs="宋体"/>
          <w:b/>
          <w:bCs/>
          <w:kern w:val="0"/>
          <w:sz w:val="24"/>
          <w:szCs w:val="24"/>
        </w:rPr>
      </w:pPr>
      <w:r>
        <w:rPr>
          <w:rFonts w:hint="eastAsia" w:ascii="宋体" w:hAnsi="宋体" w:eastAsia="宋体" w:cs="宋体"/>
          <w:b/>
          <w:bCs/>
          <w:kern w:val="0"/>
          <w:sz w:val="24"/>
          <w:szCs w:val="24"/>
        </w:rPr>
        <w:t>六、投标文件的递交</w:t>
      </w:r>
    </w:p>
    <w:p>
      <w:pPr>
        <w:widowControl/>
        <w:adjustRightInd w:val="0"/>
        <w:snapToGrid w:val="0"/>
        <w:spacing w:line="3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（1）投标文件递交截止时间：</w:t>
      </w:r>
      <w:r>
        <w:rPr>
          <w:rFonts w:hint="eastAsia" w:ascii="宋体" w:hAnsi="宋体" w:eastAsia="宋体" w:cs="宋体"/>
          <w:color w:val="FF0000"/>
          <w:kern w:val="0"/>
          <w:sz w:val="24"/>
          <w:szCs w:val="24"/>
          <w:lang w:val="en-US" w:eastAsia="zh-CN"/>
        </w:rPr>
        <w:t>2022</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12</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26</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分前</w:t>
      </w:r>
      <w:r>
        <w:rPr>
          <w:rFonts w:hint="eastAsia" w:ascii="宋体" w:hAnsi="宋体" w:eastAsia="宋体" w:cs="宋体"/>
          <w:kern w:val="0"/>
          <w:sz w:val="24"/>
          <w:szCs w:val="24"/>
        </w:rPr>
        <w:t>（北京时间）。投标文件在封口处加盖公章并注明是：</w:t>
      </w:r>
      <w:r>
        <w:rPr>
          <w:rFonts w:hint="eastAsia" w:ascii="宋体" w:hAnsi="宋体" w:eastAsia="宋体" w:cs="宋体"/>
          <w:b/>
          <w:bCs/>
          <w:color w:val="000000" w:themeColor="text1"/>
          <w:sz w:val="24"/>
          <w:szCs w:val="24"/>
          <w14:textFill>
            <w14:solidFill>
              <w14:schemeClr w14:val="tx1"/>
            </w14:solidFill>
          </w14:textFill>
        </w:rPr>
        <w:t>杭州萧山国际机场6号道口改造项目招标文件</w:t>
      </w:r>
      <w:r>
        <w:rPr>
          <w:rFonts w:hint="eastAsia" w:ascii="宋体" w:hAnsi="宋体" w:eastAsia="宋体" w:cs="宋体"/>
          <w:kern w:val="0"/>
          <w:sz w:val="24"/>
          <w:szCs w:val="24"/>
        </w:rPr>
        <w:t>，并派专人于</w:t>
      </w:r>
      <w:r>
        <w:rPr>
          <w:rFonts w:hint="eastAsia" w:ascii="宋体" w:hAnsi="宋体" w:eastAsia="宋体" w:cs="宋体"/>
          <w:color w:val="FF0000"/>
          <w:kern w:val="0"/>
          <w:sz w:val="24"/>
          <w:szCs w:val="24"/>
        </w:rPr>
        <w:t xml:space="preserve">    </w:t>
      </w:r>
      <w:r>
        <w:rPr>
          <w:rFonts w:hint="eastAsia" w:ascii="宋体" w:hAnsi="宋体" w:eastAsia="宋体" w:cs="宋体"/>
          <w:color w:val="FF0000"/>
          <w:kern w:val="0"/>
          <w:sz w:val="24"/>
          <w:szCs w:val="24"/>
          <w:lang w:val="en-US" w:eastAsia="zh-CN"/>
        </w:rPr>
        <w:t>2022</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12</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26</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分前</w:t>
      </w:r>
      <w:r>
        <w:rPr>
          <w:rFonts w:hint="eastAsia" w:ascii="宋体" w:hAnsi="宋体" w:eastAsia="宋体" w:cs="宋体"/>
          <w:kern w:val="0"/>
          <w:sz w:val="24"/>
          <w:szCs w:val="24"/>
        </w:rPr>
        <w:t>（北京时间）前送至</w:t>
      </w:r>
      <w:r>
        <w:rPr>
          <w:rFonts w:hint="eastAsia" w:ascii="宋体" w:hAnsi="宋体" w:eastAsia="宋体" w:cs="宋体"/>
          <w:b/>
          <w:bCs/>
          <w:color w:val="auto"/>
          <w:kern w:val="0"/>
          <w:sz w:val="24"/>
          <w:szCs w:val="24"/>
          <w:lang w:val="en-US" w:eastAsia="zh-CN"/>
        </w:rPr>
        <w:t>杭州萧山国际机场物业维修中心</w:t>
      </w:r>
      <w:r>
        <w:rPr>
          <w:rFonts w:hint="eastAsia" w:ascii="宋体" w:hAnsi="宋体" w:eastAsia="宋体" w:cs="宋体"/>
          <w:kern w:val="0"/>
          <w:sz w:val="24"/>
          <w:szCs w:val="24"/>
        </w:rPr>
        <w:t>，逾期无效；若采用投递方式的，请于</w:t>
      </w:r>
      <w:r>
        <w:rPr>
          <w:rFonts w:hint="eastAsia" w:ascii="宋体" w:hAnsi="宋体" w:eastAsia="宋体" w:cs="宋体"/>
          <w:color w:val="FF0000"/>
          <w:kern w:val="0"/>
          <w:sz w:val="24"/>
          <w:szCs w:val="24"/>
          <w:lang w:val="en-US" w:eastAsia="zh-CN"/>
        </w:rPr>
        <w:t>2022</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12</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26</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分前</w:t>
      </w:r>
      <w:r>
        <w:rPr>
          <w:rFonts w:hint="eastAsia" w:ascii="宋体" w:hAnsi="宋体" w:eastAsia="宋体" w:cs="宋体"/>
          <w:kern w:val="0"/>
          <w:sz w:val="24"/>
          <w:szCs w:val="24"/>
        </w:rPr>
        <w:t>（北京时间）前投递至</w:t>
      </w:r>
      <w:r>
        <w:rPr>
          <w:rFonts w:hint="eastAsia" w:ascii="宋体" w:hAnsi="宋体" w:eastAsia="宋体" w:cs="宋体"/>
          <w:b/>
          <w:bCs/>
          <w:color w:val="auto"/>
          <w:kern w:val="0"/>
          <w:sz w:val="24"/>
          <w:szCs w:val="24"/>
          <w:lang w:val="en-US" w:eastAsia="zh-CN"/>
        </w:rPr>
        <w:t>杭州萧山国际机场物业维修中心</w:t>
      </w:r>
      <w:r>
        <w:rPr>
          <w:rFonts w:hint="eastAsia" w:ascii="宋体" w:hAnsi="宋体" w:eastAsia="宋体" w:cs="宋体"/>
          <w:kern w:val="0"/>
          <w:sz w:val="24"/>
          <w:szCs w:val="24"/>
        </w:rPr>
        <w:t>，快递面单上注明是：</w:t>
      </w:r>
      <w:r>
        <w:rPr>
          <w:rFonts w:hint="eastAsia" w:ascii="宋体" w:hAnsi="宋体" w:eastAsia="宋体" w:cs="宋体"/>
          <w:b/>
          <w:bCs/>
          <w:color w:val="000000" w:themeColor="text1"/>
          <w:sz w:val="24"/>
          <w:szCs w:val="24"/>
          <w14:textFill>
            <w14:solidFill>
              <w14:schemeClr w14:val="tx1"/>
            </w14:solidFill>
          </w14:textFill>
        </w:rPr>
        <w:t>杭州萧山国际机场6号道口改造项目招标文件</w:t>
      </w:r>
      <w:r>
        <w:rPr>
          <w:rFonts w:hint="eastAsia" w:ascii="宋体" w:hAnsi="宋体" w:eastAsia="宋体" w:cs="宋体"/>
          <w:b/>
          <w:bCs/>
          <w:color w:val="000000" w:themeColor="text1"/>
          <w:kern w:val="0"/>
          <w:sz w:val="24"/>
          <w:szCs w:val="24"/>
          <w14:textFill>
            <w14:solidFill>
              <w14:schemeClr w14:val="tx1"/>
            </w14:solidFill>
          </w14:textFill>
        </w:rPr>
        <w:t>。</w:t>
      </w:r>
    </w:p>
    <w:p>
      <w:pPr>
        <w:widowControl/>
        <w:adjustRightInd w:val="0"/>
        <w:snapToGrid w:val="0"/>
        <w:spacing w:line="320" w:lineRule="exact"/>
        <w:ind w:firstLine="480" w:firstLineChars="200"/>
        <w:rPr>
          <w:rFonts w:ascii="宋体" w:hAnsi="宋体" w:eastAsia="宋体" w:cs="宋体"/>
          <w:sz w:val="24"/>
          <w:szCs w:val="24"/>
        </w:rPr>
      </w:pPr>
      <w:r>
        <w:rPr>
          <w:rFonts w:hint="eastAsia" w:ascii="宋体" w:hAnsi="宋体" w:eastAsia="宋体" w:cs="宋体"/>
          <w:kern w:val="0"/>
          <w:sz w:val="24"/>
          <w:szCs w:val="24"/>
        </w:rPr>
        <w:t>（2）</w:t>
      </w:r>
      <w:r>
        <w:rPr>
          <w:rFonts w:hint="eastAsia" w:ascii="宋体" w:hAnsi="宋体" w:eastAsia="宋体" w:cs="宋体"/>
          <w:sz w:val="24"/>
          <w:szCs w:val="24"/>
        </w:rPr>
        <w:t>逾期送达或者未送达指定地点的投标文件，招标人不予受理。</w:t>
      </w:r>
    </w:p>
    <w:p>
      <w:pPr>
        <w:widowControl/>
        <w:adjustRightInd w:val="0"/>
        <w:snapToGrid w:val="0"/>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（3）投标文件正本一份，副本二份。</w:t>
      </w:r>
    </w:p>
    <w:p>
      <w:pPr>
        <w:widowControl/>
        <w:adjustRightInd w:val="0"/>
        <w:snapToGrid w:val="0"/>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（4）投标文件封面（或扉页）、投标函以及各类报价表均须加盖投标人单位章，并经法定代表人（或其委托代理人）签字或盖章。</w:t>
      </w:r>
    </w:p>
    <w:p>
      <w:pPr>
        <w:widowControl/>
        <w:adjustRightInd w:val="0"/>
        <w:snapToGrid w:val="0"/>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（5）装订要求为不分册装订，每册采用胶装等方式装订，装订应牢固、不易拆散和换页，不得采用活页装订。</w:t>
      </w:r>
    </w:p>
    <w:p>
      <w:pPr>
        <w:widowControl/>
        <w:adjustRightInd w:val="0"/>
        <w:snapToGrid w:val="0"/>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（6）封套上写明：</w:t>
      </w:r>
    </w:p>
    <w:p>
      <w:pPr>
        <w:autoSpaceDE w:val="0"/>
        <w:autoSpaceDN w:val="0"/>
        <w:adjustRightInd w:val="0"/>
        <w:snapToGrid w:val="0"/>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招标人的地址：</w:t>
      </w:r>
      <w:r>
        <w:rPr>
          <w:rFonts w:hint="eastAsia" w:asciiTheme="minorEastAsia" w:hAnsiTheme="minorEastAsia" w:cstheme="minorEastAsia"/>
          <w:sz w:val="24"/>
          <w:szCs w:val="24"/>
          <w:u w:val="single"/>
        </w:rPr>
        <w:t>杭州萧山国际机场内</w:t>
      </w:r>
    </w:p>
    <w:p>
      <w:pPr>
        <w:autoSpaceDE w:val="0"/>
        <w:autoSpaceDN w:val="0"/>
        <w:adjustRightInd w:val="0"/>
        <w:snapToGrid w:val="0"/>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招标人名称：</w:t>
      </w:r>
      <w:r>
        <w:rPr>
          <w:rFonts w:hint="eastAsia" w:asciiTheme="minorEastAsia" w:hAnsiTheme="minorEastAsia" w:cstheme="minorEastAsia"/>
          <w:kern w:val="0"/>
          <w:sz w:val="24"/>
          <w:szCs w:val="24"/>
          <w:u w:val="single"/>
        </w:rPr>
        <w:t>杭州萧山国际机场有限公司</w:t>
      </w:r>
    </w:p>
    <w:p>
      <w:pPr>
        <w:autoSpaceDE w:val="0"/>
        <w:autoSpaceDN w:val="0"/>
        <w:adjustRightInd w:val="0"/>
        <w:snapToGrid w:val="0"/>
        <w:ind w:firstLine="480" w:firstLineChars="200"/>
        <w:rPr>
          <w:rFonts w:asciiTheme="minorEastAsia" w:hAnsiTheme="minorEastAsia" w:cstheme="minorEastAsia"/>
          <w:kern w:val="0"/>
          <w:sz w:val="24"/>
          <w:szCs w:val="24"/>
        </w:rPr>
      </w:pPr>
      <w:r>
        <w:rPr>
          <w:rFonts w:hint="eastAsia" w:asciiTheme="minorEastAsia" w:hAnsiTheme="minorEastAsia" w:cstheme="minorEastAsia"/>
          <w:sz w:val="24"/>
          <w:szCs w:val="24"/>
        </w:rPr>
        <w:t>项目名称：</w:t>
      </w:r>
      <w:r>
        <w:rPr>
          <w:rFonts w:hint="eastAsia" w:asciiTheme="minorEastAsia" w:hAnsiTheme="minorEastAsia" w:cstheme="minorEastAsia"/>
          <w:sz w:val="24"/>
          <w:szCs w:val="24"/>
          <w:u w:val="single"/>
        </w:rPr>
        <w:t>杭州萧山国际机场6号道口改造项目</w:t>
      </w:r>
      <w:r>
        <w:rPr>
          <w:rFonts w:hint="eastAsia" w:asciiTheme="minorEastAsia" w:hAnsiTheme="minorEastAsia" w:cstheme="minorEastAsia"/>
          <w:sz w:val="24"/>
          <w:szCs w:val="24"/>
        </w:rPr>
        <w:t>投标文件</w:t>
      </w:r>
    </w:p>
    <w:p>
      <w:pPr>
        <w:widowControl/>
        <w:adjustRightInd w:val="0"/>
        <w:snapToGrid w:val="0"/>
        <w:spacing w:line="32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在</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u w:val="single"/>
          <w:lang w:val="en-US" w:eastAsia="zh-CN"/>
        </w:rPr>
        <w:t>2022</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rPr>
        <w:t>年</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u w:val="single"/>
          <w:lang w:val="en-US" w:eastAsia="zh-CN"/>
        </w:rPr>
        <w:t>12</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rPr>
        <w:t>月</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u w:val="single"/>
          <w:lang w:val="en-US" w:eastAsia="zh-CN"/>
        </w:rPr>
        <w:t>26</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rPr>
        <w:t>日</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u w:val="single"/>
          <w:lang w:val="en-US" w:eastAsia="zh-CN"/>
        </w:rPr>
        <w:t>9</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rPr>
        <w:t>时</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u w:val="single"/>
          <w:lang w:val="en-US" w:eastAsia="zh-CN"/>
        </w:rPr>
        <w:t>30</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rPr>
        <w:t>分</w:t>
      </w:r>
      <w:r>
        <w:rPr>
          <w:rFonts w:hint="eastAsia" w:asciiTheme="minorEastAsia" w:hAnsiTheme="minorEastAsia" w:cstheme="minorEastAsia"/>
          <w:kern w:val="0"/>
          <w:sz w:val="24"/>
          <w:szCs w:val="24"/>
        </w:rPr>
        <w:t>（即开标时间）前不得开启</w:t>
      </w:r>
    </w:p>
    <w:p>
      <w:pPr>
        <w:widowControl/>
        <w:adjustRightInd w:val="0"/>
        <w:snapToGrid w:val="0"/>
        <w:spacing w:line="320" w:lineRule="exac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七、开标</w:t>
      </w:r>
    </w:p>
    <w:p>
      <w:pPr>
        <w:autoSpaceDE w:val="0"/>
        <w:autoSpaceDN w:val="0"/>
        <w:adjustRightInd w:val="0"/>
        <w:snapToGrid w:val="0"/>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（1）开标时间同投标截止时间，开标地点为</w:t>
      </w:r>
      <w:r>
        <w:rPr>
          <w:rFonts w:hint="eastAsia" w:asciiTheme="minorEastAsia" w:hAnsiTheme="minorEastAsia" w:cstheme="minorEastAsia"/>
          <w:b/>
          <w:sz w:val="24"/>
          <w:szCs w:val="24"/>
        </w:rPr>
        <w:t>杭州萧山国际机场翔越路综合服务楼园区招标中心。</w:t>
      </w:r>
    </w:p>
    <w:p>
      <w:pPr>
        <w:widowControl/>
        <w:adjustRightInd w:val="0"/>
        <w:snapToGrid w:val="0"/>
        <w:spacing w:line="32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（2）由投标人或者其集体推选的代表检查投标文件的密封情况，开标顺序按照后送达先开的顺序。</w:t>
      </w:r>
    </w:p>
    <w:p>
      <w:pPr>
        <w:widowControl/>
        <w:numPr>
          <w:ilvl w:val="0"/>
          <w:numId w:val="3"/>
        </w:numPr>
        <w:adjustRightInd w:val="0"/>
        <w:snapToGrid w:val="0"/>
        <w:spacing w:line="320" w:lineRule="exac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其他说明</w:t>
      </w:r>
    </w:p>
    <w:p>
      <w:pPr>
        <w:widowControl/>
        <w:adjustRightInd w:val="0"/>
        <w:snapToGrid w:val="0"/>
        <w:spacing w:line="320" w:lineRule="exac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xml:space="preserve">    </w:t>
      </w:r>
      <w:r>
        <w:rPr>
          <w:rFonts w:hint="eastAsia" w:asciiTheme="minorEastAsia" w:hAnsiTheme="minorEastAsia" w:cstheme="minorEastAsia"/>
          <w:kern w:val="0"/>
          <w:sz w:val="24"/>
          <w:szCs w:val="24"/>
        </w:rPr>
        <w:t>（1）采取公开招标和资格后审。</w:t>
      </w:r>
    </w:p>
    <w:p>
      <w:pPr>
        <w:widowControl/>
        <w:adjustRightInd w:val="0"/>
        <w:snapToGrid w:val="0"/>
        <w:spacing w:line="320" w:lineRule="exact"/>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 xml:space="preserve">    </w:t>
      </w:r>
      <w:r>
        <w:rPr>
          <w:rFonts w:hint="eastAsia" w:asciiTheme="minorEastAsia" w:hAnsiTheme="minorEastAsia" w:cstheme="minorEastAsia"/>
          <w:kern w:val="0"/>
          <w:sz w:val="24"/>
          <w:szCs w:val="24"/>
        </w:rPr>
        <w:t>（1）评标委员会由3人及以上单数构成；</w:t>
      </w:r>
    </w:p>
    <w:p>
      <w:pPr>
        <w:widowControl/>
        <w:adjustRightInd w:val="0"/>
        <w:snapToGrid w:val="0"/>
        <w:spacing w:line="32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（2）评标委员会成员招标人自行组建。</w:t>
      </w:r>
    </w:p>
    <w:p>
      <w:pPr>
        <w:widowControl/>
        <w:adjustRightInd w:val="0"/>
        <w:snapToGrid w:val="0"/>
        <w:spacing w:line="320" w:lineRule="exact"/>
        <w:ind w:firstLine="480" w:firstLineChars="200"/>
      </w:pPr>
      <w:r>
        <w:rPr>
          <w:rFonts w:hint="eastAsia" w:asciiTheme="minorEastAsia" w:hAnsiTheme="minorEastAsia" w:cstheme="minorEastAsia"/>
          <w:kern w:val="0"/>
          <w:sz w:val="24"/>
          <w:szCs w:val="24"/>
        </w:rPr>
        <w:t>（3）评标委员会推荐的中标候选人数：1人。</w:t>
      </w:r>
    </w:p>
    <w:p>
      <w:pPr>
        <w:pStyle w:val="9"/>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bookmarkStart w:id="4" w:name="_Toc19218"/>
      <w:bookmarkStart w:id="5" w:name="_Toc3775"/>
      <w:r>
        <w:rPr>
          <w:rFonts w:hint="eastAsia" w:asciiTheme="minorEastAsia" w:hAnsiTheme="minorEastAsia" w:eastAsiaTheme="minorEastAsia" w:cstheme="minorEastAsia"/>
          <w:b w:val="0"/>
          <w:bCs w:val="0"/>
          <w:sz w:val="24"/>
          <w:szCs w:val="24"/>
        </w:rPr>
        <w:t>（4）</w:t>
      </w:r>
      <w:bookmarkEnd w:id="4"/>
      <w:bookmarkEnd w:id="5"/>
      <w:r>
        <w:rPr>
          <w:rFonts w:hint="eastAsia" w:asciiTheme="minorEastAsia" w:hAnsiTheme="minorEastAsia" w:eastAsiaTheme="minorEastAsia" w:cstheme="minorEastAsia"/>
          <w:b w:val="0"/>
          <w:bCs w:val="0"/>
          <w:sz w:val="24"/>
          <w:szCs w:val="24"/>
        </w:rPr>
        <w:t>本次评标采用综合评估法推荐中标候选人。</w:t>
      </w:r>
    </w:p>
    <w:p>
      <w:pPr>
        <w:widowControl/>
        <w:snapToGrid w:val="0"/>
        <w:spacing w:line="320" w:lineRule="exact"/>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九、发布公告的媒介</w:t>
      </w:r>
    </w:p>
    <w:p>
      <w:pPr>
        <w:snapToGrid w:val="0"/>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本次招标公告在杭州萧山机场有限公司主页http://www.hzairport.com上进行发布。</w:t>
      </w:r>
    </w:p>
    <w:p>
      <w:pPr>
        <w:widowControl/>
        <w:snapToGrid w:val="0"/>
        <w:spacing w:line="320" w:lineRule="exact"/>
        <w:jc w:val="left"/>
        <w:rPr>
          <w:rFonts w:ascii="宋体" w:hAnsi="宋体" w:eastAsia="宋体" w:cs="宋体"/>
          <w:b/>
          <w:bCs/>
          <w:kern w:val="0"/>
          <w:sz w:val="24"/>
          <w:szCs w:val="24"/>
        </w:rPr>
      </w:pPr>
      <w:r>
        <w:rPr>
          <w:rFonts w:hint="eastAsia" w:ascii="宋体" w:hAnsi="宋体" w:eastAsia="宋体" w:cs="宋体"/>
          <w:b/>
          <w:bCs/>
          <w:kern w:val="0"/>
          <w:sz w:val="24"/>
          <w:szCs w:val="24"/>
        </w:rPr>
        <w:t>十、联系方式</w:t>
      </w:r>
    </w:p>
    <w:p>
      <w:pPr>
        <w:widowControl/>
        <w:snapToGrid w:val="0"/>
        <w:spacing w:line="3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投标联系人：吴淼清        联系电话：0571-86662348 </w:t>
      </w:r>
    </w:p>
    <w:p>
      <w:pPr>
        <w:widowControl/>
        <w:snapToGrid w:val="0"/>
        <w:spacing w:line="3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监督联系人：闻晓丽        联系电话：0571-86662361</w:t>
      </w:r>
    </w:p>
    <w:p>
      <w:pPr>
        <w:widowControl/>
        <w:snapToGrid w:val="0"/>
        <w:spacing w:line="320" w:lineRule="exact"/>
        <w:ind w:firstLine="480" w:firstLineChars="200"/>
        <w:jc w:val="left"/>
        <w:rPr>
          <w:rFonts w:ascii="宋体" w:hAnsi="宋体" w:eastAsia="宋体" w:cs="宋体"/>
          <w:color w:val="000000" w:themeColor="text1"/>
          <w:sz w:val="24"/>
          <w:szCs w:val="24"/>
          <w14:textFill>
            <w14:solidFill>
              <w14:schemeClr w14:val="tx1"/>
            </w14:solidFill>
          </w14:textFill>
        </w:rPr>
      </w:pPr>
    </w:p>
    <w:p>
      <w:pPr>
        <w:pStyle w:val="9"/>
      </w:pPr>
    </w:p>
    <w:p>
      <w:pPr>
        <w:pStyle w:val="9"/>
      </w:pPr>
    </w:p>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
      <w:pPr>
        <w:pStyle w:val="9"/>
        <w:keepNext/>
        <w:pageBreakBefore/>
        <w:jc w:val="both"/>
      </w:pPr>
    </w:p>
    <w:bookmarkEnd w:id="2"/>
    <w:bookmarkEnd w:id="3"/>
    <w:p>
      <w:pPr>
        <w:pStyle w:val="9"/>
      </w:pPr>
      <w:bookmarkStart w:id="6" w:name="_Toc27752"/>
      <w:bookmarkStart w:id="7" w:name="_Toc448097404"/>
      <w:bookmarkStart w:id="8" w:name="_Toc24237"/>
      <w:r>
        <w:t>第</w:t>
      </w:r>
      <w:r>
        <w:rPr>
          <w:rFonts w:hint="eastAsia"/>
        </w:rPr>
        <w:t>二</w:t>
      </w:r>
      <w:r>
        <w:t xml:space="preserve">章  </w:t>
      </w:r>
      <w:r>
        <w:rPr>
          <w:rFonts w:hint="eastAsia"/>
        </w:rPr>
        <w:t>评标办法</w:t>
      </w:r>
      <w:bookmarkEnd w:id="6"/>
    </w:p>
    <w:p>
      <w:pPr>
        <w:autoSpaceDE w:val="0"/>
        <w:autoSpaceDN w:val="0"/>
        <w:adjustRightInd w:val="0"/>
        <w:spacing w:before="3" w:line="100" w:lineRule="exact"/>
        <w:jc w:val="left"/>
        <w:rPr>
          <w:rFonts w:ascii="微软雅黑" w:hAnsi="Times New Roman" w:cs="微软雅黑"/>
          <w:kern w:val="0"/>
          <w:sz w:val="10"/>
          <w:szCs w:val="10"/>
        </w:rPr>
      </w:pPr>
      <w:bookmarkStart w:id="9" w:name="_Toc31578"/>
    </w:p>
    <w:bookmarkEnd w:id="9"/>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42" w:firstLineChars="200"/>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bookmarkStart w:id="10" w:name="_Hlk47377016"/>
      <w:r>
        <w:rPr>
          <w:rFonts w:hint="eastAsia" w:ascii="宋体" w:hAnsi="宋体" w:cs="宋体"/>
          <w:sz w:val="22"/>
        </w:rPr>
        <w:t>在任何评标环节中，评标委员会就某项定性的评审结论意见不一致的，由评标委员会全体成员按照少数服从多数的原则，以记名投票方式表决。</w:t>
      </w:r>
      <w:bookmarkEnd w:id="10"/>
    </w:p>
    <w:p>
      <w:pPr>
        <w:snapToGrid w:val="0"/>
        <w:spacing w:line="360" w:lineRule="exact"/>
        <w:ind w:firstLine="442" w:firstLineChars="200"/>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(三)投标文件的技术评审；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(四)投标文件的商务评审；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(六)根据评标办法和标准计算综合得分；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审查过程中评标委员会可以要求投标人提交有关证明和证件的原件，以便核验。</w:t>
      </w:r>
      <w:bookmarkStart w:id="11" w:name="_Hlk47377053"/>
      <w:r>
        <w:rPr>
          <w:rFonts w:hint="eastAsia" w:ascii="宋体" w:hAnsi="宋体" w:cs="宋体"/>
          <w:sz w:val="22"/>
        </w:rPr>
        <w:t>经评标委员会</w:t>
      </w:r>
      <w:bookmarkStart w:id="12" w:name="_Hlk47446073"/>
      <w:r>
        <w:rPr>
          <w:rFonts w:hint="eastAsia" w:ascii="宋体" w:hAnsi="宋体" w:cs="宋体"/>
          <w:sz w:val="22"/>
        </w:rPr>
        <w:t>评审后，符合性审查不予通过，不再进行下一步评审</w:t>
      </w:r>
      <w:bookmarkEnd w:id="12"/>
      <w:r>
        <w:rPr>
          <w:rFonts w:hint="eastAsia" w:ascii="宋体" w:hAnsi="宋体" w:cs="宋体"/>
          <w:sz w:val="22"/>
        </w:rPr>
        <w:t>。</w:t>
      </w:r>
      <w:bookmarkEnd w:id="11"/>
    </w:p>
    <w:p>
      <w:pPr>
        <w:adjustRightInd w:val="0"/>
        <w:snapToGrid w:val="0"/>
        <w:spacing w:line="360" w:lineRule="exact"/>
        <w:ind w:firstLine="440" w:firstLineChars="200"/>
        <w:rPr>
          <w:rFonts w:ascii="宋体" w:hAnsi="宋体" w:cs="宋体"/>
          <w:sz w:val="22"/>
        </w:rPr>
      </w:pPr>
      <w:r>
        <w:rPr>
          <w:rFonts w:hint="eastAsia" w:ascii="宋体" w:hAnsi="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当投标函中的投标报价与投标报价表中的投标报价不一致，或投标报价表中存在计算错误，或</w:t>
      </w:r>
      <w:r>
        <w:rPr>
          <w:rFonts w:ascii="宋体" w:hAnsi="宋体" w:cs="宋体"/>
          <w:sz w:val="22"/>
        </w:rPr>
        <w:t>投标函载明的</w:t>
      </w:r>
      <w:r>
        <w:rPr>
          <w:rFonts w:hint="eastAsia" w:ascii="宋体" w:hAnsi="宋体" w:cs="宋体"/>
          <w:sz w:val="22"/>
        </w:rPr>
        <w:t>大写数额</w:t>
      </w:r>
      <w:r>
        <w:rPr>
          <w:rFonts w:ascii="宋体" w:hAnsi="宋体" w:cs="宋体"/>
          <w:sz w:val="22"/>
        </w:rPr>
        <w:t>有明显错误</w:t>
      </w:r>
      <w:r>
        <w:rPr>
          <w:rFonts w:hint="eastAsia" w:ascii="宋体" w:hAnsi="宋体" w:cs="宋体"/>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w:t>
      </w:r>
      <w:bookmarkStart w:id="13" w:name="_Hlk47988709"/>
      <w:r>
        <w:rPr>
          <w:rFonts w:hint="eastAsia" w:ascii="宋体" w:hAnsi="宋体" w:cs="宋体"/>
          <w:sz w:val="22"/>
        </w:rPr>
        <w:t>评标委员会根据评审情况，对技术、商务等方面进行评审。评标委员会根据评审情况，对各投标人的投标文件进行打分。若评标委员会的评分表中计分不在分值范围内的，则该评分表无效。</w:t>
      </w:r>
      <w:bookmarkEnd w:id="13"/>
    </w:p>
    <w:p>
      <w:pPr>
        <w:spacing w:line="360" w:lineRule="exact"/>
        <w:ind w:firstLine="442" w:firstLineChars="200"/>
        <w:rPr>
          <w:rFonts w:ascii="宋体" w:hAnsi="宋体" w:cs="宋体"/>
          <w:b/>
          <w:sz w:val="22"/>
        </w:rPr>
      </w:pPr>
      <w:r>
        <w:rPr>
          <w:rFonts w:hint="eastAsia" w:ascii="宋体" w:hAnsi="宋体" w:cs="宋体"/>
          <w:b/>
          <w:sz w:val="22"/>
        </w:rPr>
        <w:t>1</w:t>
      </w:r>
      <w:r>
        <w:rPr>
          <w:rFonts w:ascii="宋体" w:hAnsi="宋体" w:cs="宋体"/>
          <w:b/>
          <w:sz w:val="22"/>
        </w:rPr>
        <w:t>.</w:t>
      </w:r>
      <w:r>
        <w:rPr>
          <w:rFonts w:hint="eastAsia" w:ascii="宋体" w:hAnsi="宋体" w:cs="宋体"/>
          <w:b/>
          <w:sz w:val="22"/>
        </w:rPr>
        <w:t>投标文件的技术评审(</w:t>
      </w:r>
      <w:r>
        <w:rPr>
          <w:rFonts w:hint="eastAsia" w:ascii="宋体" w:hAnsi="宋体" w:cs="宋体"/>
          <w:b/>
          <w:sz w:val="22"/>
          <w:u w:val="single"/>
        </w:rPr>
        <w:t xml:space="preserve"> 40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12"/>
        <w:tblW w:w="92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58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adjustRightInd w:val="0"/>
              <w:snapToGrid w:val="0"/>
              <w:jc w:val="center"/>
              <w:rPr>
                <w:rFonts w:ascii="宋体" w:hAnsi="宋体" w:cs="Arial"/>
                <w:b/>
                <w:bCs/>
                <w:sz w:val="22"/>
              </w:rPr>
            </w:pPr>
            <w:r>
              <w:rPr>
                <w:rFonts w:hint="eastAsia" w:ascii="宋体" w:hAnsi="宋体" w:cs="Arial"/>
                <w:b/>
                <w:bCs/>
                <w:sz w:val="22"/>
              </w:rPr>
              <w:t>评分内容</w:t>
            </w:r>
          </w:p>
        </w:tc>
        <w:tc>
          <w:tcPr>
            <w:tcW w:w="6586" w:type="dxa"/>
            <w:vAlign w:val="center"/>
          </w:tcPr>
          <w:p>
            <w:pPr>
              <w:adjustRightInd w:val="0"/>
              <w:snapToGrid w:val="0"/>
              <w:jc w:val="center"/>
              <w:rPr>
                <w:rFonts w:ascii="宋体" w:hAnsi="宋体" w:cs="Arial"/>
                <w:b/>
                <w:bCs/>
                <w:sz w:val="22"/>
              </w:rPr>
            </w:pPr>
            <w:r>
              <w:rPr>
                <w:rFonts w:hint="eastAsia" w:ascii="宋体" w:hAnsi="宋体" w:cs="Arial"/>
                <w:b/>
                <w:bCs/>
                <w:sz w:val="22"/>
              </w:rPr>
              <w:t>评分</w:t>
            </w:r>
            <w:r>
              <w:rPr>
                <w:rFonts w:hint="eastAsia" w:ascii="宋体" w:hAnsi="宋体" w:cs="宋体"/>
                <w:b/>
                <w:bCs/>
                <w:sz w:val="22"/>
              </w:rPr>
              <w:t>标准</w:t>
            </w:r>
          </w:p>
        </w:tc>
        <w:tc>
          <w:tcPr>
            <w:tcW w:w="851" w:type="dxa"/>
            <w:vAlign w:val="center"/>
          </w:tcPr>
          <w:p>
            <w:pPr>
              <w:tabs>
                <w:tab w:val="left" w:pos="1418"/>
              </w:tabs>
              <w:adjustRightInd w:val="0"/>
              <w:snapToGrid w:val="0"/>
              <w:jc w:val="center"/>
              <w:rPr>
                <w:rFonts w:ascii="宋体" w:hAnsi="宋体" w:cs="宋体"/>
                <w:b/>
                <w:bCs/>
                <w:spacing w:val="-6"/>
                <w:kern w:val="0"/>
                <w:sz w:val="22"/>
              </w:rPr>
            </w:pPr>
            <w:r>
              <w:rPr>
                <w:rFonts w:ascii="宋体" w:hAnsi="宋体" w:cs="宋体"/>
                <w:b/>
                <w:bCs/>
                <w:spacing w:val="-6"/>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施工方案与技术措施</w:t>
            </w:r>
          </w:p>
        </w:tc>
        <w:tc>
          <w:tcPr>
            <w:tcW w:w="6586" w:type="dxa"/>
            <w:vAlign w:val="center"/>
          </w:tcPr>
          <w:p>
            <w:pPr>
              <w:snapToGrid w:val="0"/>
              <w:jc w:val="left"/>
              <w:rPr>
                <w:rFonts w:ascii="宋体" w:hAnsi="宋体"/>
                <w:sz w:val="22"/>
              </w:rPr>
            </w:pPr>
            <w:r>
              <w:rPr>
                <w:rFonts w:hint="eastAsia" w:ascii="宋体" w:hAnsi="宋体"/>
                <w:sz w:val="22"/>
              </w:rPr>
              <w:t>施工方案与技术措施内容的完整性、针对性和可行性</w:t>
            </w:r>
            <w:r>
              <w:rPr>
                <w:rFonts w:ascii="宋体" w:hAnsi="宋体"/>
                <w:sz w:val="22"/>
              </w:rPr>
              <w:t>，</w:t>
            </w:r>
            <w:r>
              <w:rPr>
                <w:rFonts w:hint="eastAsia" w:ascii="宋体" w:hAnsi="宋体"/>
                <w:sz w:val="22"/>
                <w:lang w:eastAsia="zh-Hans"/>
              </w:rPr>
              <w:t>特别是针对本项目重点难点部位</w:t>
            </w:r>
            <w:r>
              <w:rPr>
                <w:rFonts w:ascii="宋体" w:hAnsi="宋体"/>
                <w:sz w:val="22"/>
              </w:rPr>
              <w:t>；</w:t>
            </w:r>
            <w:r>
              <w:rPr>
                <w:rFonts w:hint="eastAsia" w:ascii="宋体" w:hAnsi="宋体"/>
                <w:sz w:val="22"/>
              </w:rPr>
              <w:t>各投标文件横向比较，</w:t>
            </w:r>
            <w:r>
              <w:rPr>
                <w:rFonts w:hint="eastAsia" w:ascii="宋体" w:hAnsi="宋体" w:cs="宋体"/>
                <w:szCs w:val="24"/>
              </w:rPr>
              <w:t>优秀的得4.2-6分；良好的2.1-4.2分；一般的得0-2.1分。</w:t>
            </w:r>
          </w:p>
        </w:tc>
        <w:tc>
          <w:tcPr>
            <w:tcW w:w="851" w:type="dxa"/>
            <w:vAlign w:val="center"/>
          </w:tcPr>
          <w:p>
            <w:pPr>
              <w:jc w:val="center"/>
            </w:pPr>
            <w:r>
              <w:rPr>
                <w:rFonts w:hint="eastAsia" w:ascii="宋体" w:hAnsi="宋体" w:cs="宋体"/>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质量管理体系与措施</w:t>
            </w:r>
          </w:p>
        </w:tc>
        <w:tc>
          <w:tcPr>
            <w:tcW w:w="6586" w:type="dxa"/>
            <w:vAlign w:val="center"/>
          </w:tcPr>
          <w:p>
            <w:pPr>
              <w:snapToGrid w:val="0"/>
              <w:jc w:val="left"/>
              <w:rPr>
                <w:rFonts w:ascii="宋体" w:hAnsi="宋体"/>
                <w:sz w:val="22"/>
              </w:rPr>
            </w:pPr>
            <w:r>
              <w:rPr>
                <w:rFonts w:hint="eastAsia" w:ascii="宋体" w:hAnsi="宋体"/>
                <w:sz w:val="22"/>
              </w:rPr>
              <w:t>施工质量的控制和检验手段是否科学、可靠；各投标文件横向比较，</w:t>
            </w:r>
            <w:r>
              <w:rPr>
                <w:rFonts w:hint="eastAsia" w:ascii="宋体" w:hAnsi="宋体" w:cs="宋体"/>
                <w:szCs w:val="24"/>
              </w:rPr>
              <w:t>优秀的得4.2-6分；良好的2.1-4.2分；一般的得0-2.1分。</w:t>
            </w:r>
          </w:p>
        </w:tc>
        <w:tc>
          <w:tcPr>
            <w:tcW w:w="851" w:type="dxa"/>
            <w:vAlign w:val="center"/>
          </w:tcPr>
          <w:p>
            <w:pPr>
              <w:jc w:val="center"/>
            </w:pPr>
            <w:r>
              <w:rPr>
                <w:rFonts w:hint="eastAsia" w:ascii="宋体" w:hAnsi="宋体" w:cs="宋体"/>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安全管理体系与措施</w:t>
            </w:r>
          </w:p>
        </w:tc>
        <w:tc>
          <w:tcPr>
            <w:tcW w:w="6586" w:type="dxa"/>
            <w:vAlign w:val="center"/>
          </w:tcPr>
          <w:p>
            <w:pPr>
              <w:snapToGrid w:val="0"/>
              <w:jc w:val="left"/>
              <w:rPr>
                <w:rFonts w:ascii="宋体" w:hAnsi="宋体"/>
                <w:sz w:val="22"/>
              </w:rPr>
            </w:pPr>
            <w:r>
              <w:rPr>
                <w:rFonts w:hint="eastAsia" w:ascii="宋体" w:hAnsi="宋体"/>
                <w:sz w:val="22"/>
              </w:rPr>
              <w:t>安全、文明施工的保证措施是否科学、到位；由于施工区域靠近机场内隧道，是否采取有效措施避免对过隧道车辆秩序造成影响；夜间施工须避免施工灯光污染，影响飞机滑行的措施；各投标文件横向比较，</w:t>
            </w:r>
            <w:r>
              <w:rPr>
                <w:rFonts w:hint="eastAsia" w:ascii="宋体" w:hAnsi="宋体" w:cs="宋体"/>
                <w:szCs w:val="24"/>
              </w:rPr>
              <w:t>优秀的得4.2-6分；良好的2.1-4.2分；一般的得0-2.1分。</w:t>
            </w:r>
          </w:p>
        </w:tc>
        <w:tc>
          <w:tcPr>
            <w:tcW w:w="851" w:type="dxa"/>
            <w:vAlign w:val="center"/>
          </w:tcPr>
          <w:p>
            <w:pPr>
              <w:jc w:val="center"/>
            </w:pPr>
            <w:r>
              <w:rPr>
                <w:rFonts w:hint="eastAsia" w:ascii="宋体" w:hAnsi="宋体" w:cs="宋体"/>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环境保护管理体系与措施</w:t>
            </w:r>
          </w:p>
        </w:tc>
        <w:tc>
          <w:tcPr>
            <w:tcW w:w="6586" w:type="dxa"/>
            <w:vAlign w:val="center"/>
          </w:tcPr>
          <w:p>
            <w:pPr>
              <w:snapToGrid w:val="0"/>
              <w:jc w:val="left"/>
              <w:rPr>
                <w:rFonts w:ascii="宋体" w:hAnsi="宋体"/>
                <w:sz w:val="22"/>
              </w:rPr>
            </w:pPr>
            <w:r>
              <w:rPr>
                <w:rFonts w:hint="eastAsia" w:ascii="宋体" w:hAnsi="宋体"/>
                <w:sz w:val="22"/>
              </w:rPr>
              <w:t>市政、市容、环保、消防等的保证措施是否科学、到位，由于工程施工位置在机场隔离区，施工单位防止FOD入侵的措施；各投标文件横向比较，</w:t>
            </w:r>
            <w:r>
              <w:rPr>
                <w:rFonts w:hint="eastAsia" w:ascii="宋体" w:hAnsi="宋体" w:cs="宋体"/>
                <w:szCs w:val="24"/>
              </w:rPr>
              <w:t>优秀的得4.2-6分；良好的2.1-4.2分；一般的得0-2.1分。</w:t>
            </w:r>
          </w:p>
        </w:tc>
        <w:tc>
          <w:tcPr>
            <w:tcW w:w="851" w:type="dxa"/>
            <w:vAlign w:val="center"/>
          </w:tcPr>
          <w:p>
            <w:pPr>
              <w:jc w:val="center"/>
            </w:pPr>
            <w:r>
              <w:rPr>
                <w:rFonts w:hint="eastAsia" w:ascii="宋体" w:hAnsi="宋体" w:cs="宋体"/>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工期保证体系及保证措施</w:t>
            </w:r>
          </w:p>
        </w:tc>
        <w:tc>
          <w:tcPr>
            <w:tcW w:w="6586" w:type="dxa"/>
            <w:vAlign w:val="center"/>
          </w:tcPr>
          <w:p>
            <w:pPr>
              <w:snapToGrid w:val="0"/>
              <w:jc w:val="left"/>
              <w:rPr>
                <w:rFonts w:ascii="宋体" w:hAnsi="宋体"/>
                <w:sz w:val="22"/>
              </w:rPr>
            </w:pPr>
            <w:r>
              <w:rPr>
                <w:rFonts w:hint="eastAsia" w:ascii="宋体" w:hAnsi="宋体"/>
                <w:sz w:val="22"/>
              </w:rPr>
              <w:t>工期承诺及施工进度网络计划、关键节点和线路的技术保证措施是否具有针对性和可行性；现场施工不利条件和疫情对施工</w:t>
            </w:r>
            <w:r>
              <w:rPr>
                <w:rFonts w:hint="eastAsia" w:ascii="宋体" w:hAnsi="宋体"/>
                <w:sz w:val="22"/>
                <w:lang w:eastAsia="zh-Hans"/>
              </w:rPr>
              <w:t>工期</w:t>
            </w:r>
            <w:r>
              <w:rPr>
                <w:rFonts w:hint="eastAsia" w:ascii="宋体" w:hAnsi="宋体"/>
                <w:sz w:val="22"/>
              </w:rPr>
              <w:t>带来</w:t>
            </w:r>
            <w:r>
              <w:rPr>
                <w:rFonts w:hint="eastAsia" w:ascii="宋体" w:hAnsi="宋体"/>
                <w:sz w:val="22"/>
                <w:lang w:eastAsia="zh-Hans"/>
              </w:rPr>
              <w:t>的</w:t>
            </w:r>
            <w:r>
              <w:rPr>
                <w:rFonts w:hint="eastAsia" w:ascii="宋体" w:hAnsi="宋体"/>
                <w:sz w:val="22"/>
              </w:rPr>
              <w:t>影响</w:t>
            </w:r>
            <w:r>
              <w:rPr>
                <w:rFonts w:hint="eastAsia" w:ascii="宋体" w:hAnsi="宋体"/>
                <w:sz w:val="22"/>
                <w:lang w:eastAsia="zh-Hans"/>
              </w:rPr>
              <w:t>及</w:t>
            </w:r>
            <w:r>
              <w:rPr>
                <w:rFonts w:hint="eastAsia" w:ascii="宋体" w:hAnsi="宋体"/>
                <w:sz w:val="22"/>
              </w:rPr>
              <w:t>解决办法；配合建设方提请施工相关报批手续；各投标文件横向比较，</w:t>
            </w:r>
            <w:r>
              <w:rPr>
                <w:rFonts w:hint="eastAsia" w:ascii="宋体" w:hAnsi="宋体" w:cs="宋体"/>
                <w:szCs w:val="24"/>
              </w:rPr>
              <w:t>优秀的得4.2-6分；良好的2.1-4.2分；一般的得0-2.1分。</w:t>
            </w:r>
          </w:p>
        </w:tc>
        <w:tc>
          <w:tcPr>
            <w:tcW w:w="851" w:type="dxa"/>
            <w:vAlign w:val="center"/>
          </w:tcPr>
          <w:p>
            <w:pPr>
              <w:jc w:val="center"/>
            </w:pPr>
            <w:r>
              <w:rPr>
                <w:rFonts w:hint="eastAsia" w:ascii="宋体" w:hAnsi="宋体" w:cs="宋体"/>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资源配置计划</w:t>
            </w:r>
          </w:p>
        </w:tc>
        <w:tc>
          <w:tcPr>
            <w:tcW w:w="6586" w:type="dxa"/>
            <w:vAlign w:val="center"/>
          </w:tcPr>
          <w:p>
            <w:pPr>
              <w:snapToGrid w:val="0"/>
              <w:jc w:val="left"/>
              <w:rPr>
                <w:rFonts w:ascii="宋体" w:hAnsi="宋体"/>
                <w:sz w:val="22"/>
              </w:rPr>
            </w:pPr>
            <w:r>
              <w:rPr>
                <w:rFonts w:hint="eastAsia" w:ascii="宋体" w:hAnsi="宋体"/>
                <w:sz w:val="22"/>
              </w:rPr>
              <w:t>各专业工种的配置和劳动力的投入是否能满足工程的需要；施工机具和检验仪器的投入是否能够满足</w:t>
            </w:r>
            <w:r>
              <w:rPr>
                <w:rFonts w:hint="eastAsia" w:ascii="宋体" w:hAnsi="宋体"/>
                <w:sz w:val="22"/>
                <w:lang w:eastAsia="zh-Hans"/>
              </w:rPr>
              <w:t>本项目需要</w:t>
            </w:r>
            <w:r>
              <w:rPr>
                <w:rFonts w:hint="eastAsia" w:ascii="宋体" w:hAnsi="宋体"/>
                <w:sz w:val="22"/>
              </w:rPr>
              <w:t>；各投标文件横向比较，</w:t>
            </w:r>
            <w:r>
              <w:rPr>
                <w:rFonts w:hint="eastAsia" w:ascii="宋体" w:hAnsi="宋体" w:cs="宋体"/>
                <w:szCs w:val="24"/>
              </w:rPr>
              <w:t>优秀的得4.2-6分；良好的2.1-4.2分；一般的得0-2.1分。</w:t>
            </w:r>
          </w:p>
        </w:tc>
        <w:tc>
          <w:tcPr>
            <w:tcW w:w="851" w:type="dxa"/>
            <w:vAlign w:val="center"/>
          </w:tcPr>
          <w:p>
            <w:pPr>
              <w:jc w:val="center"/>
            </w:pPr>
            <w:r>
              <w:rPr>
                <w:rFonts w:hint="eastAsia" w:ascii="宋体" w:hAnsi="宋体" w:cs="宋体"/>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adjustRightInd w:val="0"/>
              <w:snapToGrid w:val="0"/>
              <w:jc w:val="left"/>
              <w:rPr>
                <w:rFonts w:ascii="宋体" w:hAnsi="宋体" w:cs="宋体"/>
                <w:szCs w:val="24"/>
              </w:rPr>
            </w:pPr>
            <w:r>
              <w:rPr>
                <w:rFonts w:hint="eastAsia" w:ascii="宋体" w:hAnsi="宋体" w:cs="宋体"/>
                <w:szCs w:val="24"/>
              </w:rPr>
              <w:t>设备材料</w:t>
            </w:r>
          </w:p>
        </w:tc>
        <w:tc>
          <w:tcPr>
            <w:tcW w:w="6586" w:type="dxa"/>
            <w:vAlign w:val="center"/>
          </w:tcPr>
          <w:p>
            <w:pPr>
              <w:adjustRightInd w:val="0"/>
              <w:snapToGrid w:val="0"/>
              <w:jc w:val="left"/>
              <w:rPr>
                <w:rFonts w:ascii="宋体" w:hAnsi="宋体" w:cs="宋体"/>
                <w:szCs w:val="24"/>
              </w:rPr>
            </w:pPr>
            <w:r>
              <w:rPr>
                <w:rFonts w:hint="eastAsia" w:ascii="宋体" w:hAnsi="宋体" w:cs="宋体"/>
                <w:szCs w:val="24"/>
              </w:rPr>
              <w:t>投标人所使用的主要设备材料根据投标人提供的证明文件进行综合打分，优秀的得2.8-4分；良好的1.4-2.8分；一般的得0-1.4分。</w:t>
            </w:r>
          </w:p>
        </w:tc>
        <w:tc>
          <w:tcPr>
            <w:tcW w:w="851" w:type="dxa"/>
            <w:vAlign w:val="center"/>
          </w:tcPr>
          <w:p>
            <w:pPr>
              <w:jc w:val="center"/>
              <w:rPr>
                <w:rFonts w:ascii="宋体" w:hAnsi="宋体" w:cs="宋体"/>
                <w:szCs w:val="24"/>
              </w:rPr>
            </w:pPr>
            <w:r>
              <w:rPr>
                <w:rFonts w:hint="eastAsia" w:ascii="宋体" w:hAnsi="宋体" w:cs="宋体"/>
                <w:szCs w:val="24"/>
              </w:rPr>
              <w:t>0-4</w:t>
            </w:r>
          </w:p>
        </w:tc>
      </w:tr>
    </w:tbl>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2.投标文件的商务报价评审(</w:t>
      </w:r>
      <w:r>
        <w:rPr>
          <w:rFonts w:hint="eastAsia" w:ascii="宋体" w:hAnsi="宋体" w:cs="宋体"/>
          <w:b/>
          <w:sz w:val="22"/>
          <w:u w:val="single"/>
        </w:rPr>
        <w:t xml:space="preserve"> 60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(2)投标报价</w:t>
      </w:r>
      <w:r>
        <w:rPr>
          <w:rFonts w:hint="eastAsia" w:ascii="宋体" w:hAnsi="宋体" w:cs="宋体"/>
          <w:b/>
          <w:bCs/>
          <w:sz w:val="22"/>
        </w:rPr>
        <w:t>扣除税金(按投标函承诺的增值税税率扣减)</w:t>
      </w:r>
      <w:r>
        <w:rPr>
          <w:rFonts w:hint="eastAsia" w:ascii="宋体" w:hAnsi="宋体" w:cs="宋体"/>
          <w:sz w:val="22"/>
        </w:rPr>
        <w:t>后为评标价(即不含税价)。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numPr>
          <w:ilvl w:val="0"/>
          <w:numId w:val="4"/>
        </w:numPr>
        <w:adjustRightInd w:val="0"/>
        <w:snapToGrid w:val="0"/>
        <w:spacing w:line="360" w:lineRule="exact"/>
        <w:ind w:firstLine="440" w:firstLineChars="200"/>
        <w:rPr>
          <w:rFonts w:ascii="宋体" w:hAnsi="宋体" w:cs="宋体"/>
          <w:sz w:val="22"/>
        </w:rPr>
      </w:pPr>
      <w:r>
        <w:rPr>
          <w:rFonts w:hint="eastAsia" w:ascii="宋体" w:hAnsi="宋体" w:cs="宋体"/>
          <w:sz w:val="22"/>
        </w:rPr>
        <w:t>评分范围：通过符合性审查的所有投标文件进入评分范围(下称有效评标价)。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(6)评标基准价：报价平均值与有效评标价中的次低评标价(不足4个的与最低评标价)的算术平均值为评标基准价。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(7)根据投标文件的有效评标价与评标基准价对比，计算投标人的商务报价的得分值。即：</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a.有效评标价等于评标基准价时，得满分；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b.有效评标价每低于评标基准价1个百分点，扣0.5分；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c.有效评标价每高于评标基准价1个百分点，扣1分。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以上报价得分不足一个百分点时，使用直线插入法计算，保留小数2位。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3.投标文件的综合得分：每个投标人综合得分=技术分+商务分。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pStyle w:val="9"/>
      </w:pPr>
      <w:r>
        <w:rPr>
          <w:rFonts w:ascii="宋体" w:hAnsi="宋体" w:cs="宋体"/>
          <w:sz w:val="22"/>
        </w:rPr>
        <w:br w:type="page"/>
      </w:r>
    </w:p>
    <w:p>
      <w:pPr>
        <w:pStyle w:val="9"/>
        <w:rPr>
          <w:rFonts w:ascii="宋体" w:hAnsi="宋体" w:cs="宋体"/>
          <w:sz w:val="28"/>
          <w:szCs w:val="20"/>
        </w:rPr>
      </w:pPr>
      <w:bookmarkStart w:id="14" w:name="_Toc17411"/>
      <w:r>
        <w:rPr>
          <w:rFonts w:hint="eastAsia"/>
        </w:rPr>
        <w:t>第三章</w:t>
      </w:r>
      <w:r>
        <w:t xml:space="preserve">  </w:t>
      </w:r>
      <w:r>
        <w:rPr>
          <w:rFonts w:hint="eastAsia"/>
        </w:rPr>
        <w:t>合同条款及格式</w:t>
      </w:r>
      <w:bookmarkEnd w:id="7"/>
      <w:bookmarkEnd w:id="14"/>
      <w:bookmarkStart w:id="15" w:name="_Toc448097405"/>
    </w:p>
    <w:bookmarkEnd w:id="15"/>
    <w:p>
      <w:pPr>
        <w:spacing w:line="360" w:lineRule="exact"/>
        <w:jc w:val="center"/>
        <w:rPr>
          <w:rFonts w:asciiTheme="minorEastAsia" w:hAnsiTheme="minorEastAsia" w:cstheme="minorEastAsia"/>
          <w:b/>
          <w:bCs/>
          <w:sz w:val="32"/>
          <w:szCs w:val="32"/>
        </w:rPr>
      </w:pPr>
      <w:bookmarkStart w:id="16" w:name="_Hlk119435578"/>
      <w:bookmarkStart w:id="17" w:name="_Toc448097407"/>
      <w:r>
        <w:rPr>
          <w:rFonts w:hint="eastAsia" w:asciiTheme="minorEastAsia" w:hAnsiTheme="minorEastAsia" w:cstheme="minorEastAsia"/>
          <w:b/>
          <w:bCs/>
          <w:sz w:val="32"/>
          <w:szCs w:val="32"/>
        </w:rPr>
        <w:t>杭州萧山国际机场6号道口改造项目</w:t>
      </w:r>
      <w:bookmarkEnd w:id="16"/>
      <w:r>
        <w:rPr>
          <w:rFonts w:hint="eastAsia" w:asciiTheme="minorEastAsia" w:hAnsiTheme="minorEastAsia" w:cstheme="minorEastAsia"/>
          <w:b/>
          <w:bCs/>
          <w:sz w:val="32"/>
          <w:szCs w:val="32"/>
        </w:rPr>
        <w:t>施工合同</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1320800</wp:posOffset>
                </wp:positionH>
                <wp:positionV relativeFrom="paragraph">
                  <wp:posOffset>250825</wp:posOffset>
                </wp:positionV>
                <wp:extent cx="3746500" cy="10160"/>
                <wp:effectExtent l="0" t="0" r="0" b="0"/>
                <wp:wrapNone/>
                <wp:docPr id="3" name="直接连接符 3"/>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62336;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x4jznYAAAACQEAAA8A&#10;AAAAAAAAAQAgAAAAIgAAAGRycy9kb3ducmV2LnhtbFBLAQIUABQAAAAIAIdO4kCPrqjP3gEAAIkD&#10;AAAOAAAAAAAAAAEAIAAAACcBAABkcnMvZTJvRG9jLnhtbFBLBQYAAAAABgAGAFkBAAB3BQAAAAA=&#10;">
                <v:fill on="f" focussize="0,0"/>
                <v:stroke weight="0.5pt" color="#000000" miterlimit="8" joinstyle="miter"/>
                <v:imagedata o:title=""/>
                <o:lock v:ext="edit" aspectratio="f"/>
              </v:line>
            </w:pict>
          </mc:Fallback>
        </mc:AlternateContent>
      </w:r>
      <w:r>
        <w:rPr>
          <w:rFonts w:hint="eastAsia" w:asciiTheme="minorEastAsia" w:hAnsiTheme="minorEastAsia" w:cstheme="minorEastAsia"/>
          <w:sz w:val="24"/>
          <w:szCs w:val="24"/>
        </w:rPr>
        <w:t xml:space="preserve">    发包方（甲方）：杭州萧山国际机场有限公司</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住所地：杭州萧山国际机场内</w:t>
      </w:r>
    </w:p>
    <w:p>
      <w:pPr>
        <w:spacing w:line="400" w:lineRule="exact"/>
        <w:ind w:firstLine="480" w:firstLineChars="200"/>
        <w:rPr>
          <w:rFonts w:asciiTheme="minorEastAsia" w:hAnsiTheme="minorEastAsia" w:cstheme="minorEastAsia"/>
          <w:sz w:val="24"/>
          <w:szCs w:val="24"/>
        </w:rPr>
      </w:pP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mc:AlternateContent>
          <mc:Choice Requires="wps">
            <w:drawing>
              <wp:anchor distT="0" distB="0" distL="114300" distR="114300" simplePos="0" relativeHeight="251650048" behindDoc="0" locked="0" layoutInCell="1" allowOverlap="1">
                <wp:simplePos x="0" y="0"/>
                <wp:positionH relativeFrom="column">
                  <wp:posOffset>1351280</wp:posOffset>
                </wp:positionH>
                <wp:positionV relativeFrom="paragraph">
                  <wp:posOffset>248285</wp:posOffset>
                </wp:positionV>
                <wp:extent cx="3746500" cy="10160"/>
                <wp:effectExtent l="0" t="0" r="0" b="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50048;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Theme="minorEastAsia" w:hAnsiTheme="minorEastAsia" w:cstheme="minorEastAsia"/>
          <w:sz w:val="24"/>
          <w:szCs w:val="24"/>
        </w:rPr>
        <w:t>承包方（乙方）：</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住所地：</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按照《中华人民共和国民法典》和《中华人民共和国建筑法》的规定，结合本工程具体情况，双方达成如下协议。</w:t>
      </w:r>
    </w:p>
    <w:p>
      <w:pPr>
        <w:numPr>
          <w:ilvl w:val="0"/>
          <w:numId w:val="5"/>
        </w:num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工程概况</w:t>
      </w:r>
    </w:p>
    <w:p>
      <w:pPr>
        <w:spacing w:line="400" w:lineRule="exact"/>
        <w:ind w:left="2159" w:leftChars="228" w:hanging="1680" w:hangingChars="700"/>
        <w:rPr>
          <w:rFonts w:asciiTheme="minorEastAsia" w:hAnsiTheme="minorEastAsia" w:cstheme="minorEastAsia"/>
          <w:sz w:val="24"/>
          <w:szCs w:val="24"/>
        </w:rPr>
      </w:pPr>
      <w:r>
        <w:rPr>
          <w:rFonts w:hint="eastAsia" w:asciiTheme="minorEastAsia" w:hAnsiTheme="minorEastAsia" w:cstheme="minorEastAsia"/>
          <w:sz w:val="24"/>
          <w:szCs w:val="24"/>
        </w:rPr>
        <w:t xml:space="preserve">1.1工程名称：杭州萧山国际机场6号道口改造项目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1.2工程地点：杭州萧山国际机场内</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1.3承包范围：对6号道口检查室入口进行改造、增设人员出口通道、增设司机检查室出口、调整检查室布局等。</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1.4承包方式：包工包料</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1.5工期：工程具体开工日期以发包人书面指示为准，工期</w:t>
      </w:r>
      <w:r>
        <w:rPr>
          <w:rFonts w:hint="eastAsia" w:asciiTheme="minorEastAsia" w:hAnsiTheme="minorEastAsia" w:cstheme="minorEastAsia"/>
          <w:color w:val="auto"/>
          <w:sz w:val="24"/>
          <w:szCs w:val="24"/>
          <w:u w:val="single"/>
          <w:lang w:val="en-US" w:eastAsia="zh-CN"/>
        </w:rPr>
        <w:t>10</w:t>
      </w:r>
      <w:r>
        <w:rPr>
          <w:rFonts w:hint="eastAsia" w:asciiTheme="minorEastAsia" w:hAnsiTheme="minorEastAsia" w:cstheme="minorEastAsia"/>
          <w:sz w:val="24"/>
          <w:szCs w:val="24"/>
        </w:rPr>
        <w:t>日历天。</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1.6工程质量：</w:t>
      </w:r>
      <w:r>
        <w:rPr>
          <w:rFonts w:hint="eastAsia" w:asciiTheme="minorEastAsia" w:hAnsiTheme="minorEastAsia" w:cstheme="minorEastAsia"/>
          <w:kern w:val="0"/>
          <w:sz w:val="24"/>
          <w:szCs w:val="24"/>
          <w:u w:val="single"/>
        </w:rPr>
        <w:t>工程达到符合国家施工验收规范规定的合格标准，确保一次性验收合格。</w:t>
      </w:r>
    </w:p>
    <w:p>
      <w:pPr>
        <w:spacing w:line="400" w:lineRule="exact"/>
        <w:ind w:firstLine="480"/>
        <w:rPr>
          <w:rFonts w:asciiTheme="minorEastAsia" w:hAnsiTheme="minorEastAsia" w:cstheme="minorEastAsia"/>
          <w:sz w:val="24"/>
          <w:szCs w:val="24"/>
        </w:rPr>
      </w:pPr>
      <w:r>
        <w:rPr>
          <w:rFonts w:hint="eastAsia" w:asciiTheme="minorEastAsia" w:hAnsiTheme="minorEastAsia" w:cstheme="minorEastAsia"/>
          <w:sz w:val="24"/>
          <w:szCs w:val="24"/>
        </w:rPr>
        <mc:AlternateContent>
          <mc:Choice Requires="wps">
            <w:drawing>
              <wp:anchor distT="0" distB="0" distL="114300" distR="114300" simplePos="0" relativeHeight="251674624" behindDoc="0" locked="0" layoutInCell="1" allowOverlap="1">
                <wp:simplePos x="0" y="0"/>
                <wp:positionH relativeFrom="column">
                  <wp:posOffset>2293620</wp:posOffset>
                </wp:positionH>
                <wp:positionV relativeFrom="paragraph">
                  <wp:posOffset>239395</wp:posOffset>
                </wp:positionV>
                <wp:extent cx="3068955" cy="0"/>
                <wp:effectExtent l="0" t="0" r="0" b="0"/>
                <wp:wrapNone/>
                <wp:docPr id="4" name="直接连接符 4"/>
                <wp:cNvGraphicFramePr/>
                <a:graphic xmlns:a="http://schemas.openxmlformats.org/drawingml/2006/main">
                  <a:graphicData uri="http://schemas.microsoft.com/office/word/2010/wordprocessingShape">
                    <wps:wsp>
                      <wps:cNvCnPr/>
                      <wps:spPr>
                        <a:xfrm>
                          <a:off x="3436620" y="4719955"/>
                          <a:ext cx="306895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0.6pt;margin-top:18.85pt;height:0pt;width:241.65pt;z-index:251674624;mso-width-relative:page;mso-height-relative:page;" filled="f" stroked="t" coordsize="21600,21600" o:gfxdata="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DsqprWAAAA&#10;CQEAAA8AAAAAAAAAAQAgAAAAIgAAAGRycy9kb3ducmV2LnhtbFBLAQIUABQAAAAIAIdO4kC10jNZ&#10;5gEAAJEDAAAOAAAAAAAAAAEAIAAAACUBAABkcnMvZTJvRG9jLnhtbFBLBQYAAAAABgAGAFkBAAB9&#10;BQAAAAA=&#10;">
                <v:fill on="f" focussize="0,0"/>
                <v:stroke weight="0.5pt" color="#000000" miterlimit="8" joinstyle="miter"/>
                <v:imagedata o:title=""/>
                <o:lock v:ext="edit" aspectratio="f"/>
              </v:line>
            </w:pict>
          </mc:Fallback>
        </mc:AlternateContent>
      </w:r>
      <w:r>
        <w:rPr>
          <w:rFonts w:hint="eastAsia" w:asciiTheme="minorEastAsia" w:hAnsiTheme="minorEastAsia" w:cstheme="minorEastAsia"/>
          <w:sz w:val="24"/>
          <w:szCs w:val="24"/>
        </w:rPr>
        <w:t>1.7合同暂定价款（人民币大写）：</w:t>
      </w:r>
    </w:p>
    <w:p>
      <w:pPr>
        <w:numPr>
          <w:ilvl w:val="0"/>
          <w:numId w:val="5"/>
        </w:num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甲方工作</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2.1开工前</w:t>
      </w:r>
      <w:r>
        <w:rPr>
          <w:rFonts w:hint="eastAsia" w:asciiTheme="minorEastAsia" w:hAnsiTheme="minorEastAsia" w:cstheme="minorEastAsia"/>
          <w:sz w:val="24"/>
          <w:szCs w:val="24"/>
          <w:u w:val="single"/>
        </w:rPr>
        <w:t>7</w:t>
      </w:r>
      <w:r>
        <w:rPr>
          <w:rFonts w:hint="eastAsia" w:asciiTheme="minorEastAsia" w:hAnsiTheme="minorEastAsia" w:cstheme="minorEastAsia"/>
          <w:sz w:val="24"/>
          <w:szCs w:val="24"/>
        </w:rPr>
        <w:t>天，向乙方提供经确认的设计方案图纸或做法说明</w:t>
      </w:r>
      <w:r>
        <w:rPr>
          <w:rFonts w:hint="eastAsia" w:asciiTheme="minorEastAsia" w:hAnsiTheme="minorEastAsia" w:cstheme="minorEastAsia"/>
          <w:sz w:val="24"/>
          <w:szCs w:val="24"/>
          <w:u w:val="single"/>
        </w:rPr>
        <w:t>1</w:t>
      </w:r>
      <w:r>
        <w:rPr>
          <w:rFonts w:hint="eastAsia" w:asciiTheme="minorEastAsia" w:hAnsiTheme="minorEastAsia" w:cstheme="minorEastAsia"/>
          <w:sz w:val="24"/>
          <w:szCs w:val="24"/>
        </w:rPr>
        <w:t>份，并向乙方进行现场交底。</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2.2甲方组织施工方案和进度计划的审查工作。</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2.3涉及机场隔离区的工程项目实施前，由甲方组织对乙方项目实施人员进行相关安全培训教育，并与乙方签订施工安全责任书。</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2.4甲方配合乙方施工所需水、电接入的工作，并说明使用注意事项。办理施工所涉及的各种申请、批件等手续。</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2.5甲方指派</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为甲方项目负责人，负责合同履行。对工程安全、质量、进度以及造价进行监督检查，办理验收、变更、登记手续和其他事宜。</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2.6甲方委托</w:t>
      </w:r>
      <w:r>
        <w:rPr>
          <w:rFonts w:hint="eastAsia" w:asciiTheme="minorEastAsia" w:hAnsiTheme="minorEastAsia" w:cstheme="minorEastAsia"/>
          <w:sz w:val="24"/>
          <w:szCs w:val="24"/>
          <w:u w:val="single"/>
        </w:rPr>
        <w:t>/</w:t>
      </w:r>
      <w:r>
        <w:rPr>
          <w:rFonts w:hint="eastAsia" w:asciiTheme="minorEastAsia" w:hAnsiTheme="minorEastAsia" w:cstheme="minorEastAsia"/>
          <w:sz w:val="24"/>
          <w:szCs w:val="24"/>
        </w:rPr>
        <w:t>监理公司进行工程监理，监理公司任命</w:t>
      </w:r>
      <w:r>
        <w:rPr>
          <w:rFonts w:hint="eastAsia" w:asciiTheme="minorEastAsia" w:hAnsiTheme="minorEastAsia" w:cstheme="minorEastAsia"/>
          <w:sz w:val="24"/>
          <w:szCs w:val="24"/>
          <w:u w:val="single"/>
        </w:rPr>
        <w:t>/</w:t>
      </w:r>
      <w:r>
        <w:rPr>
          <w:rFonts w:hint="eastAsia" w:asciiTheme="minorEastAsia" w:hAnsiTheme="minorEastAsia" w:cstheme="minorEastAsia"/>
          <w:sz w:val="24"/>
          <w:szCs w:val="24"/>
        </w:rPr>
        <w:t>为总监理工程师，其职责在监理合同中应明确，并将合同副本交乙方</w:t>
      </w:r>
      <w:r>
        <w:rPr>
          <w:rFonts w:hint="eastAsia" w:asciiTheme="minorEastAsia" w:hAnsiTheme="minorEastAsia" w:cstheme="minorEastAsia"/>
          <w:sz w:val="24"/>
          <w:szCs w:val="24"/>
          <w:u w:val="single"/>
        </w:rPr>
        <w:t>/</w:t>
      </w:r>
      <w:r>
        <w:rPr>
          <w:rFonts w:hint="eastAsia" w:asciiTheme="minorEastAsia" w:hAnsiTheme="minorEastAsia" w:cstheme="minorEastAsia"/>
          <w:sz w:val="24"/>
          <w:szCs w:val="24"/>
        </w:rPr>
        <w:t>份。</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2.7如确实需要拆改原建筑物结构或设备管线，甲方负责到有关部门办理相应审批手续。</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2.8协调有关部门做好现场保卫、消防、垃圾处理等工作。</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2.9组织工程竣工验收以及办理工程竣工结算审核工作。</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2.10项目所涉及项目工程造价的移交送审工作，由监理单位或甲方代表协助建设单位预决算员办理。</w:t>
      </w:r>
    </w:p>
    <w:p>
      <w:pPr>
        <w:numPr>
          <w:ilvl w:val="0"/>
          <w:numId w:val="5"/>
        </w:num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乙方工作</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3.1乙方收到设计方案图纸或做法说明后应及时进行现场踏勘，并结合现场实际情况进行复核完善，并拟定施工方案和进度计划，交甲方审定。</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3.2乙方指派</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身份证号</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为乙方项目负责人，负责合同履行。按要求组织施工，保质、保量、按期完成施工任务，解决由乙方负责的各项事宜。</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3.3乙方应严格执行施工规范、安全操作规程、防火安全规定、环境保护规定。严格按照图纸或作法说明进行施工，做好各项质量检查记录。</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3.4乙方须按甲方要求时间进场施工，并按甲方实施要求保质保量在合同工期内完成工程施工。施工过程中如有工程变更情况，须按甲方相关工程管理规定办理变更手续。项目完工后，乙方应配合甲方组织竣工验收，并按相关工程归档要求及时完成竣工资料的移交工作。</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3.5乙方须按相关要求及时报送竣工结算资料，配合甲方完成工程竣工结算审核工作。</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3.6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3.7施工中未经甲方同意或有关部门批准，乙方不得随意拆改或损坏原建筑物结构及各种设备管线。</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3.8工程竣工未移交甲方之前，负责对现场的一切设施和工程成品进行保护，并承担风险和费用。</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第四条 关于工期的约定</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4.1甲方要求比合同约定的工期提前竣工时，应征得乙方同意，并支付乙方因赶工采取的措施费用。</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4.2因甲方未按约定完成工作，影响工期，则工期相应顺延。</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4.3乙方非因甲方原因不能按期开工或中途无故停工影响工期，或乙方非因甲方原因延误工期的，则工期不顺延，且乙方须向甲方承担工期延误的违约责任。</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4.4因涉及甲方要求的设计或工程量变更或非乙方原因造成的停电、停水、停气及不可抗力因素影响，导致停工</w:t>
      </w:r>
      <w:r>
        <w:rPr>
          <w:rFonts w:hint="eastAsia" w:asciiTheme="minorEastAsia" w:hAnsiTheme="minorEastAsia" w:cstheme="minorEastAsia"/>
          <w:sz w:val="24"/>
          <w:szCs w:val="24"/>
          <w:u w:val="single"/>
        </w:rPr>
        <w:t>8</w:t>
      </w:r>
      <w:r>
        <w:rPr>
          <w:rFonts w:hint="eastAsia" w:asciiTheme="minorEastAsia" w:hAnsiTheme="minorEastAsia" w:cstheme="minorEastAsia"/>
          <w:sz w:val="24"/>
          <w:szCs w:val="24"/>
        </w:rPr>
        <w:t>小时以上（一周内累计计算），工期相应顺延。</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第五条 关于工程质量及验收的约定</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5.1本工程以做法说明、设计变更等国家制定的施工及验收规范为质量评定验收标准。</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5.2本工程质量应达到国家质量评定合格标准。</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5.3由于乙方提供的材料、设备质量不合格而影响工程质量，其返工费用由乙方承担，工期不顺延。</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5.4由于乙方原因造成质量事故，其返工费用由乙方承担，工期不顺延。</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5.5工程竣工后，乙方应通知甲方验收，甲方自接到验收通知</w:t>
      </w:r>
      <w:r>
        <w:rPr>
          <w:rFonts w:hint="eastAsia" w:asciiTheme="minorEastAsia" w:hAnsiTheme="minorEastAsia" w:cstheme="minorEastAsia"/>
          <w:sz w:val="24"/>
          <w:szCs w:val="24"/>
          <w:u w:val="single"/>
        </w:rPr>
        <w:t>3</w:t>
      </w:r>
      <w:r>
        <w:rPr>
          <w:rFonts w:hint="eastAsia" w:asciiTheme="minorEastAsia" w:hAnsiTheme="minorEastAsia" w:cstheme="minorEastAsia"/>
          <w:sz w:val="24"/>
          <w:szCs w:val="24"/>
        </w:rPr>
        <w:t>日内组织验收，并办理验收、移交手续。如甲方在规定时间内未能组织验收，需及时通知乙方，另定验收日期。</w:t>
      </w:r>
    </w:p>
    <w:p>
      <w:pPr>
        <w:numPr>
          <w:ilvl w:val="0"/>
          <w:numId w:val="6"/>
        </w:num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关于工程价款及结算的约定</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6.1双方商定本合同价款采用第</w:t>
      </w:r>
      <w:r>
        <w:rPr>
          <w:rFonts w:hint="eastAsia" w:asciiTheme="minorEastAsia" w:hAnsiTheme="minorEastAsia" w:cstheme="minorEastAsia"/>
          <w:sz w:val="24"/>
          <w:szCs w:val="24"/>
          <w:u w:val="single"/>
        </w:rPr>
        <w:t>2</w:t>
      </w:r>
      <w:r>
        <w:rPr>
          <w:rFonts w:hint="eastAsia" w:asciiTheme="minorEastAsia" w:hAnsiTheme="minorEastAsia" w:cstheme="minorEastAsia"/>
          <w:sz w:val="24"/>
          <w:szCs w:val="24"/>
        </w:rPr>
        <w:t>种：</w:t>
      </w:r>
    </w:p>
    <w:p>
      <w:pPr>
        <w:spacing w:line="400" w:lineRule="exact"/>
        <w:ind w:left="480"/>
        <w:rPr>
          <w:rFonts w:asciiTheme="minorEastAsia" w:hAnsiTheme="minorEastAsia" w:cstheme="minorEastAsia"/>
          <w:sz w:val="24"/>
          <w:szCs w:val="24"/>
        </w:rPr>
      </w:pPr>
      <w:r>
        <w:rPr>
          <w:rFonts w:hint="eastAsia" w:asciiTheme="minorEastAsia" w:hAnsiTheme="minorEastAsia" w:cstheme="minorEastAsia"/>
          <w:sz w:val="24"/>
          <w:szCs w:val="24"/>
        </w:rPr>
        <w:t>（1）固定总价。</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（2）固定单价。可调价格按</w:t>
      </w:r>
      <w:r>
        <w:rPr>
          <w:rFonts w:hint="eastAsia" w:asciiTheme="minorEastAsia" w:hAnsiTheme="minorEastAsia" w:cstheme="minorEastAsia"/>
          <w:sz w:val="24"/>
          <w:szCs w:val="24"/>
          <w:u w:val="single"/>
        </w:rPr>
        <w:t xml:space="preserve">  /  </w:t>
      </w:r>
      <w:r>
        <w:rPr>
          <w:rFonts w:hint="eastAsia" w:asciiTheme="minorEastAsia" w:hAnsiTheme="minorEastAsia" w:cstheme="minorEastAsia"/>
          <w:sz w:val="24"/>
          <w:szCs w:val="24"/>
        </w:rPr>
        <w:t>规则计算。</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6.2工程竣工验收后，乙方提出工程结算申请并将有关资料送交甲方。甲方按照以下方式办理款项支付：</w:t>
      </w:r>
      <w:bookmarkStart w:id="18" w:name="_Hlk47444557"/>
    </w:p>
    <w:bookmarkEnd w:id="18"/>
    <w:p>
      <w:pPr>
        <w:widowControl/>
        <w:overflowPunct w:val="0"/>
        <w:autoSpaceDE w:val="0"/>
        <w:autoSpaceDN w:val="0"/>
        <w:adjustRightInd w:val="0"/>
        <w:spacing w:line="400" w:lineRule="exact"/>
        <w:ind w:firstLine="480" w:firstLineChars="200"/>
        <w:jc w:val="left"/>
        <w:textAlignment w:val="baseline"/>
        <w:rPr>
          <w:rFonts w:asciiTheme="minorEastAsia" w:hAnsiTheme="minorEastAsia" w:cstheme="minorEastAsia"/>
          <w:b/>
          <w:bCs/>
          <w:sz w:val="24"/>
          <w:szCs w:val="24"/>
        </w:rPr>
      </w:pPr>
      <w:r>
        <w:rPr>
          <w:rFonts w:hint="eastAsia" w:asciiTheme="minorEastAsia" w:hAnsiTheme="minorEastAsia" w:cstheme="minorEastAsia"/>
          <w:sz w:val="24"/>
          <w:szCs w:val="24"/>
        </w:rPr>
        <w:t>工程竣工验收通过并完成工程结算，经发包人认可后30天内，发包人向承包人支付至结算价的97%；结算价的3%留作质量保证金，待缺陷责任期满后无利息支付。</w:t>
      </w:r>
      <w:r>
        <w:rPr>
          <w:rFonts w:hint="eastAsia" w:ascii="宋体" w:hAnsi="宋体" w:eastAsia="宋体" w:cs="宋体"/>
          <w:b/>
          <w:bCs/>
          <w:sz w:val="24"/>
          <w:szCs w:val="24"/>
        </w:rPr>
        <w:t>★施工安全监管费为暂列金额，结算时承包人需提供相应票据作为依据按实结算</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税金另计</w:t>
      </w:r>
      <w:r>
        <w:rPr>
          <w:rFonts w:hint="eastAsia" w:ascii="宋体" w:hAnsi="宋体" w:eastAsia="宋体" w:cs="宋体"/>
          <w:b/>
          <w:bCs/>
          <w:sz w:val="24"/>
          <w:szCs w:val="24"/>
        </w:rPr>
        <w:t>。</w:t>
      </w:r>
    </w:p>
    <w:p>
      <w:pPr>
        <w:widowControl/>
        <w:overflowPunct w:val="0"/>
        <w:autoSpaceDE w:val="0"/>
        <w:autoSpaceDN w:val="0"/>
        <w:adjustRightInd w:val="0"/>
        <w:spacing w:line="400" w:lineRule="exact"/>
        <w:ind w:firstLine="480" w:firstLineChars="200"/>
        <w:jc w:val="lef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6.3甲方提出工程变更和签证的费用，由乙方在施工前提出并补充编制工料单价预算书。变更估价时，工程量清单中有的项目单价</w:t>
      </w:r>
      <w:bookmarkStart w:id="19" w:name="_Hlk119178570"/>
      <w:r>
        <w:rPr>
          <w:rFonts w:hint="eastAsia" w:asciiTheme="minorEastAsia" w:hAnsiTheme="minorEastAsia" w:cstheme="minorEastAsia"/>
          <w:sz w:val="24"/>
          <w:szCs w:val="24"/>
        </w:rPr>
        <w:t>，按乙方投标工程量清单中该项综合单价计取</w:t>
      </w:r>
      <w:bookmarkEnd w:id="19"/>
      <w:r>
        <w:rPr>
          <w:rFonts w:hint="eastAsia" w:asciiTheme="minorEastAsia" w:hAnsiTheme="minorEastAsia" w:cstheme="minorEastAsia"/>
          <w:sz w:val="24"/>
          <w:szCs w:val="24"/>
        </w:rPr>
        <w:t>；工程量清单中无适用的项目单价，套用浙江省2018定额，按分部分项工程费+规费+税金计取；不能套用浙江省2018定额的项目，可按照成本加利润的原则，承包人与发包人协商后执行。</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第七条 关于材料供应的约定</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7.2凡由乙方采购的材料、设备，如不符合质量要求或规格有差异，应禁止使用。若已使用，对工程造成的损失由乙方负责。</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第八条 有关安全生产和防火的约定</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8.1甲方提供的施工图纸或作法说明，应符合《中华人民共和国消防法》和有关防火设计规范。</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8.2乙方在施工期间应严格遵守《中华人民共和国建筑法》、《中华人民共和国安全生产法》、《中华人民共和国消防法》、《建设工程质量管理条例》、《建设工程安全生产管理条例》和其他相关的法律、法规、规范。</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8.3由于乙方在施工生产过程中违反有关安全操作规程、消防条例，导致发生安全或火灾事故，乙方应承担由此引发的一切经济损失。</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8.4施工及生活用水用电：由甲方提供用水接口，场内接管、安装水表由乙方自行解决，乙方施工前需向机场水电管理部门提出申请并通过。施工用电：由甲方提供用电接口，场内接管、安装电表由乙方自行解决，乙方施工前需向机场水电管理部门提出申请并通过。水费以供水部门水价4.4元/吨为基础单价。如遇水价调整，水费单价也作相应的调整收费，收费单价保留小数点后两位，四舍五入，用水计量以甲方计量为准。电费以供电局电价0.6413元/度为基础单价。如供电局电价调整，电费单价也作相应的调整，收费单价保留小数点后两位，四舍五入，用电计量以甲方计量为准。水电使用过程中产生的水电设施维护服务费（即水电损耗、设施运行维护、维修费等）根据甲方具体通知为准，由双方另行签订水电结算协议。</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第九条 违约责任</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9.1由于乙方原因，逾期竣工，每逾期一天，乙方支付甲方</w:t>
      </w:r>
      <w:r>
        <w:rPr>
          <w:rFonts w:hint="eastAsia" w:asciiTheme="minorEastAsia" w:hAnsiTheme="minorEastAsia" w:cstheme="minorEastAsia"/>
          <w:sz w:val="24"/>
          <w:szCs w:val="24"/>
          <w:u w:val="single"/>
        </w:rPr>
        <w:t>壹万元</w:t>
      </w:r>
      <w:r>
        <w:rPr>
          <w:rFonts w:hint="eastAsia" w:asciiTheme="minorEastAsia" w:hAnsiTheme="minorEastAsia" w:cstheme="minorEastAsia"/>
          <w:sz w:val="24"/>
          <w:szCs w:val="24"/>
        </w:rPr>
        <w:t>违约金；甲方有权终止合同，并保留对乙方追溯赔偿其他一切损失的权利。</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9.2乙方应妥善保护甲方提供的设备及现场堆放的家具、陈设和工程成品，如造成损失，应照价赔偿。</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9.3未经甲方同意，乙方擅自拆改原建筑物结构或设备管线，由此发生的损失或事故（包括行政处罚），由乙方负责并承担损失。</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9.4除本合同另有约定外，任何一方违约应当就因此给对方造成的损失承担赔偿责任。</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第十条 争议或纠纷处理</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10.1本合同在履行期间，双方发生争议时，在不影响工作进度的前提下，双方可采取协商解决或请有关部门进行调解。</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10.2当事人不愿通过协商、调解解决或者协商、调解不成时，本合同在执行中发生的争议双方同意由甲方所在地人民法院诉讼管辖解决。</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 xml:space="preserve"> 第十一条 附则</w:t>
      </w:r>
    </w:p>
    <w:p>
      <w:pPr>
        <w:spacing w:line="400" w:lineRule="exact"/>
        <w:ind w:left="480"/>
        <w:rPr>
          <w:rFonts w:asciiTheme="minorEastAsia" w:hAnsiTheme="minorEastAsia" w:cstheme="minorEastAsia"/>
          <w:sz w:val="24"/>
          <w:szCs w:val="24"/>
        </w:rPr>
      </w:pPr>
      <w:r>
        <w:rPr>
          <w:rFonts w:hint="eastAsia" w:asciiTheme="minorEastAsia" w:hAnsiTheme="minorEastAsia" w:cstheme="minorEastAsia"/>
          <w:sz w:val="24"/>
          <w:szCs w:val="24"/>
        </w:rPr>
        <w:t>11.1本工程保修事宜由双方签订保修协议。</w:t>
      </w:r>
    </w:p>
    <w:p>
      <w:pPr>
        <w:spacing w:line="400" w:lineRule="exact"/>
        <w:ind w:left="480"/>
        <w:rPr>
          <w:rFonts w:asciiTheme="minorEastAsia" w:hAnsiTheme="minorEastAsia" w:cstheme="minorEastAsia"/>
          <w:sz w:val="24"/>
          <w:szCs w:val="24"/>
        </w:rPr>
      </w:pPr>
      <w:r>
        <w:rPr>
          <w:rFonts w:hint="eastAsia" w:asciiTheme="minorEastAsia" w:hAnsiTheme="minorEastAsia" w:cstheme="minorEastAsia"/>
          <w:sz w:val="24"/>
          <w:szCs w:val="24"/>
        </w:rPr>
        <w:t>11.2本合同一共</w:t>
      </w:r>
      <w:r>
        <w:rPr>
          <w:rFonts w:hint="eastAsia" w:asciiTheme="minorEastAsia" w:hAnsiTheme="minorEastAsia" w:cstheme="minorEastAsia"/>
          <w:sz w:val="24"/>
          <w:szCs w:val="24"/>
          <w:u w:val="single"/>
        </w:rPr>
        <w:t>陆</w:t>
      </w:r>
      <w:r>
        <w:rPr>
          <w:rFonts w:hint="eastAsia" w:asciiTheme="minorEastAsia" w:hAnsiTheme="minorEastAsia" w:cstheme="minorEastAsia"/>
          <w:sz w:val="24"/>
          <w:szCs w:val="24"/>
        </w:rPr>
        <w:t>份，甲乙双方各执</w:t>
      </w:r>
      <w:r>
        <w:rPr>
          <w:rFonts w:hint="eastAsia" w:asciiTheme="minorEastAsia" w:hAnsiTheme="minorEastAsia" w:cstheme="minorEastAsia"/>
          <w:sz w:val="24"/>
          <w:szCs w:val="24"/>
          <w:u w:val="single"/>
        </w:rPr>
        <w:t>叁</w:t>
      </w:r>
      <w:r>
        <w:rPr>
          <w:rFonts w:hint="eastAsia" w:asciiTheme="minorEastAsia" w:hAnsiTheme="minorEastAsia" w:cstheme="minorEastAsia"/>
          <w:sz w:val="24"/>
          <w:szCs w:val="24"/>
        </w:rPr>
        <w:t>份，具有同等法律效力。</w:t>
      </w:r>
    </w:p>
    <w:p>
      <w:pPr>
        <w:spacing w:line="400" w:lineRule="exact"/>
        <w:ind w:left="480"/>
        <w:rPr>
          <w:rFonts w:asciiTheme="minorEastAsia" w:hAnsiTheme="minorEastAsia" w:cstheme="minorEastAsia"/>
          <w:sz w:val="24"/>
          <w:szCs w:val="24"/>
        </w:rPr>
      </w:pPr>
      <w:r>
        <w:rPr>
          <w:rFonts w:hint="eastAsia" w:asciiTheme="minorEastAsia" w:hAnsiTheme="minorEastAsia" w:cstheme="minorEastAsia"/>
          <w:sz w:val="24"/>
          <w:szCs w:val="24"/>
        </w:rPr>
        <w:t xml:space="preserve">11.3本合同履行完成后自动终止。   </w:t>
      </w:r>
    </w:p>
    <w:p>
      <w:pPr>
        <w:spacing w:line="400" w:lineRule="exact"/>
        <w:ind w:left="480"/>
        <w:rPr>
          <w:rFonts w:asciiTheme="minorEastAsia" w:hAnsiTheme="minorEastAsia" w:cstheme="minorEastAsia"/>
          <w:b/>
          <w:sz w:val="24"/>
          <w:szCs w:val="24"/>
        </w:rPr>
      </w:pPr>
      <w:r>
        <w:rPr>
          <w:rFonts w:hint="eastAsia" w:asciiTheme="minorEastAsia" w:hAnsiTheme="minorEastAsia" w:cstheme="minorEastAsia"/>
          <w:sz w:val="24"/>
          <w:szCs w:val="24"/>
        </w:rPr>
        <w:t>11.4本合同包含以下附件，附件与本合同具有同等法律效力。</w:t>
      </w:r>
    </w:p>
    <w:p>
      <w:pPr>
        <w:numPr>
          <w:ilvl w:val="0"/>
          <w:numId w:val="7"/>
        </w:numPr>
        <w:spacing w:line="400" w:lineRule="exact"/>
        <w:ind w:left="480"/>
        <w:rPr>
          <w:rFonts w:asciiTheme="minorEastAsia" w:hAnsiTheme="minorEastAsia" w:cstheme="minorEastAsia"/>
          <w:sz w:val="24"/>
          <w:szCs w:val="24"/>
        </w:rPr>
      </w:pPr>
      <w:r>
        <w:rPr>
          <w:rFonts w:hint="eastAsia" w:asciiTheme="minorEastAsia" w:hAnsiTheme="minorEastAsia" w:cstheme="minorEastAsia"/>
          <w:sz w:val="24"/>
          <w:szCs w:val="24"/>
        </w:rPr>
        <w:t>工程质量保修书</w:t>
      </w:r>
    </w:p>
    <w:p>
      <w:pPr>
        <w:numPr>
          <w:ilvl w:val="0"/>
          <w:numId w:val="7"/>
        </w:numPr>
        <w:spacing w:line="400" w:lineRule="exact"/>
        <w:ind w:left="480"/>
        <w:rPr>
          <w:rFonts w:asciiTheme="minorEastAsia" w:hAnsiTheme="minorEastAsia" w:cstheme="minorEastAsia"/>
          <w:sz w:val="24"/>
          <w:szCs w:val="24"/>
        </w:rPr>
      </w:pPr>
      <w:r>
        <w:rPr>
          <w:rFonts w:hint="eastAsia" w:asciiTheme="minorEastAsia" w:hAnsiTheme="minorEastAsia" w:cstheme="minorEastAsia"/>
          <w:sz w:val="24"/>
          <w:szCs w:val="24"/>
        </w:rPr>
        <w:t xml:space="preserve">安全文明施工协议书  </w:t>
      </w:r>
    </w:p>
    <w:p>
      <w:pPr>
        <w:numPr>
          <w:ilvl w:val="0"/>
          <w:numId w:val="7"/>
        </w:numPr>
        <w:spacing w:line="400" w:lineRule="exact"/>
        <w:ind w:left="480"/>
        <w:rPr>
          <w:rFonts w:asciiTheme="minorEastAsia" w:hAnsiTheme="minorEastAsia" w:cstheme="minorEastAsia"/>
          <w:sz w:val="24"/>
          <w:szCs w:val="24"/>
        </w:rPr>
      </w:pPr>
      <w:r>
        <w:rPr>
          <w:rFonts w:hint="eastAsia" w:asciiTheme="minorEastAsia" w:hAnsiTheme="minorEastAsia" w:cstheme="minorEastAsia"/>
          <w:sz w:val="24"/>
          <w:szCs w:val="24"/>
        </w:rPr>
        <w:t>疫情防控责任书</w:t>
      </w:r>
    </w:p>
    <w:p>
      <w:pPr>
        <w:tabs>
          <w:tab w:val="right" w:pos="8306"/>
        </w:tabs>
        <w:adjustRightInd w:val="0"/>
        <w:snapToGrid w:val="0"/>
        <w:spacing w:line="400" w:lineRule="exact"/>
        <w:ind w:left="900" w:leftChars="200" w:hanging="480" w:hangingChars="200"/>
        <w:rPr>
          <w:rFonts w:asciiTheme="minorEastAsia" w:hAnsiTheme="minorEastAsia" w:cstheme="minorEastAsia"/>
          <w:sz w:val="24"/>
          <w:szCs w:val="24"/>
        </w:rPr>
      </w:pPr>
      <w:r>
        <w:rPr>
          <w:rFonts w:hint="eastAsia" w:asciiTheme="minorEastAsia" w:hAnsiTheme="minorEastAsia" w:cstheme="minorEastAsia"/>
          <w:sz w:val="24"/>
          <w:szCs w:val="24"/>
        </w:rPr>
        <w:t>甲方：杭州萧山国际机场有限公司  乙方：</w:t>
      </w:r>
    </w:p>
    <w:p>
      <w:pPr>
        <w:adjustRightInd w:val="0"/>
        <w:snapToGrid w:val="0"/>
        <w:spacing w:line="400" w:lineRule="exact"/>
        <w:ind w:left="900" w:leftChars="200" w:hanging="480" w:hangingChars="200"/>
        <w:rPr>
          <w:rFonts w:asciiTheme="minorEastAsia" w:hAnsiTheme="minorEastAsia" w:cstheme="minorEastAsia"/>
          <w:sz w:val="24"/>
          <w:szCs w:val="24"/>
        </w:rPr>
      </w:pPr>
      <w:r>
        <w:rPr>
          <w:rFonts w:hint="eastAsia" w:asciiTheme="minorEastAsia" w:hAnsiTheme="minorEastAsia" w:cstheme="minorEastAsia"/>
          <w:sz w:val="24"/>
          <w:szCs w:val="24"/>
        </w:rPr>
        <w:t>地址：杭州萧山国际机场内        地址：</w:t>
      </w:r>
    </w:p>
    <w:p>
      <w:pPr>
        <w:adjustRightInd w:val="0"/>
        <w:snapToGrid w:val="0"/>
        <w:spacing w:line="400" w:lineRule="exact"/>
        <w:ind w:left="900" w:leftChars="200" w:hanging="480" w:hangingChars="200"/>
        <w:rPr>
          <w:rFonts w:asciiTheme="minorEastAsia" w:hAnsiTheme="minorEastAsia" w:cstheme="minorEastAsia"/>
          <w:sz w:val="24"/>
          <w:szCs w:val="24"/>
        </w:rPr>
      </w:pPr>
      <w:r>
        <w:rPr>
          <w:rFonts w:hint="eastAsia" w:asciiTheme="minorEastAsia" w:hAnsiTheme="minorEastAsia" w:cstheme="minorEastAsia"/>
          <w:sz w:val="24"/>
          <w:szCs w:val="24"/>
        </w:rPr>
        <w:t>法定代表人：                     法定代表人：</w:t>
      </w:r>
    </w:p>
    <w:p>
      <w:pPr>
        <w:adjustRightInd w:val="0"/>
        <w:snapToGrid w:val="0"/>
        <w:spacing w:line="400" w:lineRule="exact"/>
        <w:ind w:left="900" w:leftChars="200" w:hanging="480" w:hangingChars="200"/>
        <w:rPr>
          <w:rFonts w:asciiTheme="minorEastAsia" w:hAnsiTheme="minorEastAsia" w:cstheme="minorEastAsia"/>
          <w:sz w:val="24"/>
          <w:szCs w:val="24"/>
        </w:rPr>
      </w:pPr>
      <w:r>
        <w:rPr>
          <w:rFonts w:hint="eastAsia" w:asciiTheme="minorEastAsia" w:hAnsiTheme="minorEastAsia" w:cstheme="minorEastAsia"/>
          <w:sz w:val="24"/>
          <w:szCs w:val="24"/>
        </w:rPr>
        <w:t>或                               或</w:t>
      </w:r>
    </w:p>
    <w:p>
      <w:pPr>
        <w:adjustRightInd w:val="0"/>
        <w:snapToGrid w:val="0"/>
        <w:spacing w:line="400" w:lineRule="exact"/>
        <w:ind w:left="900" w:leftChars="200" w:hanging="480" w:hangingChars="200"/>
        <w:rPr>
          <w:rFonts w:asciiTheme="minorEastAsia" w:hAnsiTheme="minorEastAsia" w:cstheme="minorEastAsia"/>
          <w:sz w:val="24"/>
          <w:szCs w:val="24"/>
        </w:rPr>
      </w:pPr>
      <w:r>
        <w:rPr>
          <w:rFonts w:hint="eastAsia" w:asciiTheme="minorEastAsia" w:hAnsiTheme="minorEastAsia" w:cstheme="minorEastAsia"/>
          <w:sz w:val="24"/>
          <w:szCs w:val="24"/>
        </w:rPr>
        <w:t>授权代表：                       授权代表：</w:t>
      </w:r>
    </w:p>
    <w:p>
      <w:pPr>
        <w:adjustRightInd w:val="0"/>
        <w:snapToGrid w:val="0"/>
        <w:spacing w:line="400" w:lineRule="exact"/>
        <w:ind w:left="900" w:leftChars="200" w:hanging="480" w:hangingChars="200"/>
        <w:rPr>
          <w:rFonts w:asciiTheme="minorEastAsia" w:hAnsiTheme="minorEastAsia" w:cstheme="minorEastAsia"/>
          <w:sz w:val="24"/>
          <w:szCs w:val="24"/>
        </w:rPr>
      </w:pPr>
      <w:r>
        <w:rPr>
          <w:rFonts w:hint="eastAsia" w:asciiTheme="minorEastAsia" w:hAnsiTheme="minorEastAsia" w:cstheme="minorEastAsia"/>
          <w:sz w:val="24"/>
          <w:szCs w:val="24"/>
        </w:rPr>
        <w:t xml:space="preserve">签字日期：                       签字日期： </w:t>
      </w:r>
    </w:p>
    <w:p>
      <w:pPr>
        <w:adjustRightInd w:val="0"/>
        <w:snapToGrid w:val="0"/>
        <w:spacing w:line="400" w:lineRule="exact"/>
        <w:ind w:left="902" w:leftChars="200" w:hanging="482" w:hangingChars="200"/>
        <w:rPr>
          <w:rFonts w:asciiTheme="minorEastAsia" w:hAnsiTheme="minorEastAsia" w:cstheme="minorEastAsia"/>
          <w:b/>
          <w:sz w:val="24"/>
          <w:szCs w:val="24"/>
        </w:rPr>
      </w:pPr>
    </w:p>
    <w:p>
      <w:pPr>
        <w:adjustRightInd w:val="0"/>
        <w:snapToGrid w:val="0"/>
        <w:spacing w:line="400" w:lineRule="exact"/>
        <w:ind w:left="1320" w:leftChars="400" w:hanging="480" w:hangingChars="200"/>
        <w:rPr>
          <w:rFonts w:asciiTheme="minorEastAsia" w:hAnsiTheme="minorEastAsia" w:cstheme="minorEastAsia"/>
          <w:sz w:val="24"/>
          <w:szCs w:val="24"/>
        </w:rPr>
      </w:pPr>
      <w:r>
        <w:rPr>
          <w:rFonts w:hint="eastAsia" w:asciiTheme="minorEastAsia" w:hAnsiTheme="minorEastAsia" w:cstheme="minorEastAsia"/>
          <w:sz w:val="24"/>
          <w:szCs w:val="24"/>
        </w:rPr>
        <w:t>年  月  日                      年  月  日</w:t>
      </w:r>
    </w:p>
    <w:p>
      <w:pPr>
        <w:pageBreakBefore/>
        <w:adjustRightInd w:val="0"/>
        <w:snapToGrid w:val="0"/>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附件一：</w:t>
      </w:r>
    </w:p>
    <w:p>
      <w:pPr>
        <w:spacing w:line="360" w:lineRule="exact"/>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工程质量保修书</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发包人（全称）：杭州萧山国际机场有限公司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承包人（全称）：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发包人和承包人根据《中华人民共和国建筑法》和《建设工程质量管理条例》，经协商一致就</w:t>
      </w:r>
      <w:bookmarkStart w:id="20" w:name="_Hlk119436069"/>
      <w:r>
        <w:rPr>
          <w:rFonts w:hint="eastAsia" w:asciiTheme="minorEastAsia" w:hAnsiTheme="minorEastAsia" w:cstheme="minorEastAsia"/>
          <w:sz w:val="24"/>
          <w:szCs w:val="24"/>
          <w:u w:val="single"/>
        </w:rPr>
        <w:t>杭州萧山国际机场6号道口改造项目</w:t>
      </w:r>
      <w:bookmarkEnd w:id="20"/>
      <w:r>
        <w:rPr>
          <w:rFonts w:hint="eastAsia" w:asciiTheme="minorEastAsia" w:hAnsiTheme="minorEastAsia" w:cstheme="minorEastAsia"/>
          <w:sz w:val="24"/>
          <w:szCs w:val="24"/>
        </w:rPr>
        <w:t>（工程全称）签订工程质量保修书。</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一、工程质量保修范围和内容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承包人在质量保修期内，按照有关法律规定和合同约定，承担工程质量保修责任。</w:t>
      </w:r>
    </w:p>
    <w:p>
      <w:pPr>
        <w:spacing w:line="360" w:lineRule="exact"/>
        <w:rPr>
          <w:rFonts w:asciiTheme="minorEastAsia" w:hAnsiTheme="minorEastAsia" w:cstheme="minorEastAsia"/>
          <w:sz w:val="24"/>
          <w:szCs w:val="24"/>
        </w:rPr>
      </w:pPr>
      <w:r>
        <w:rPr>
          <w:rFonts w:hint="eastAsia" w:asciiTheme="minorEastAsia" w:hAnsiTheme="minorEastAsia" w:cstheme="minorEastAsia"/>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exact"/>
        <w:rPr>
          <w:rFonts w:asciiTheme="minorEastAsia" w:hAnsiTheme="minorEastAsia" w:cstheme="minorEastAsia"/>
          <w:sz w:val="24"/>
          <w:szCs w:val="24"/>
        </w:rPr>
      </w:pPr>
      <w:r>
        <w:rPr>
          <w:rFonts w:hint="eastAsia" w:asciiTheme="minorEastAsia" w:hAnsiTheme="minorEastAsia" w:cstheme="minorEastAsia"/>
          <w:sz w:val="24"/>
          <w:szCs w:val="24"/>
        </w:rPr>
        <w:t>　　本次工程所涉及的所有内容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二、质量保修期</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根据《建设工程质量管理条例》及有关规定，工程的质量保修期如下：</w:t>
      </w:r>
    </w:p>
    <w:p>
      <w:pPr>
        <w:spacing w:line="360" w:lineRule="exact"/>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1．地基基础工程和主体结构工程为设计文件规定的工程合理使用年限；</w:t>
      </w:r>
    </w:p>
    <w:p>
      <w:pPr>
        <w:spacing w:line="360" w:lineRule="exact"/>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2．屋面防水工程、有防水要求的卫生间、房间和外墙面的防渗为5 年；</w:t>
      </w:r>
    </w:p>
    <w:p>
      <w:pPr>
        <w:spacing w:line="360" w:lineRule="exact"/>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3．装修工程为2 年；</w:t>
      </w:r>
    </w:p>
    <w:p>
      <w:pPr>
        <w:spacing w:line="360" w:lineRule="exact"/>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4．电气管线、给排水管道、设备安装工程为 2 年；</w:t>
      </w:r>
    </w:p>
    <w:p>
      <w:pPr>
        <w:spacing w:line="360" w:lineRule="exact"/>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5．供热与供冷系统为2 个采暖期、供冷期；</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6．住宅小区内的给排水设施、道路等配套工程为2年；</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7．其他项目保修期限约定如下：</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质量保修期自工程竣工验收合格之日起计算。</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三、缺陷责任期</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工程缺陷责任期为</w:t>
      </w:r>
      <w:r>
        <w:rPr>
          <w:rFonts w:asciiTheme="minorEastAsia" w:hAnsiTheme="minorEastAsia" w:cstheme="minorEastAsia"/>
          <w:sz w:val="24"/>
          <w:szCs w:val="24"/>
          <w:u w:val="single"/>
        </w:rPr>
        <w:t>24</w:t>
      </w:r>
      <w:r>
        <w:rPr>
          <w:rFonts w:hint="eastAsia" w:asciiTheme="minorEastAsia" w:hAnsiTheme="minorEastAsia" w:cstheme="minorEastAsia"/>
          <w:sz w:val="24"/>
          <w:szCs w:val="24"/>
        </w:rPr>
        <w:t>个月，缺陷责任期自工程竣工验收合格之日起计算。单位工程先于全部工程进行验收，单位工程缺陷责任期自单位工程验收合格之日起算。</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缺陷责任期届满后，缺陷责任期届满后，经发包人确认核实，承包人不存在违约情形以及质量保修不存在问题后</w:t>
      </w:r>
      <w:r>
        <w:rPr>
          <w:rFonts w:hint="eastAsia" w:asciiTheme="minorEastAsia" w:hAnsiTheme="minorEastAsia" w:cstheme="minorEastAsia"/>
          <w:sz w:val="24"/>
          <w:szCs w:val="24"/>
          <w:u w:val="single"/>
        </w:rPr>
        <w:t>15</w:t>
      </w:r>
      <w:r>
        <w:rPr>
          <w:rFonts w:hint="eastAsia" w:asciiTheme="minorEastAsia" w:hAnsiTheme="minorEastAsia" w:cstheme="minorEastAsia"/>
          <w:sz w:val="24"/>
          <w:szCs w:val="24"/>
        </w:rPr>
        <w:t>天内无息返还质保金。</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四、质量保修责任</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1．属于保修范围、内容的项目，承包人应当在接到保修通知之日起</w:t>
      </w:r>
      <w:r>
        <w:rPr>
          <w:rFonts w:hint="eastAsia" w:asciiTheme="minorEastAsia" w:hAnsiTheme="minorEastAsia" w:cstheme="minorEastAsia"/>
          <w:sz w:val="24"/>
          <w:szCs w:val="24"/>
          <w:u w:val="single"/>
        </w:rPr>
        <w:t>2</w:t>
      </w:r>
      <w:r>
        <w:rPr>
          <w:rFonts w:hint="eastAsia" w:asciiTheme="minorEastAsia" w:hAnsiTheme="minorEastAsia" w:cstheme="minorEastAsia"/>
          <w:sz w:val="24"/>
          <w:szCs w:val="24"/>
        </w:rPr>
        <w:t>天内派人保修。承包人不在约定期限内派人保修的，发包人可以自行委托他人修理。费用从质量保证金中扣除。修复部分的质保期自修复之日起重新开始计算。</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2．发生紧急事故需抢修的，承包人在接到事故通知后，应当立即到达事故现场进行持续抢修直至修复。</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4．质量保修完成后，由发包人组织验收。验收不合格的，发包人有权自行委托第三方修理，全部费用由承包人承担，由发包人与第三方确认后直接从质保金中扣除。</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五、保修费用</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保修费用由造成质量缺陷的责任方承担；对责任方的确定产生疑问或争议的，依发包人委托的鉴定机构所出具的独立报告来确定。</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六、双方约定的其他工程质量保修事项：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1、在承包人人员到达之前，发包人可采取适当的应急措施，费用由承包人承担。</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a．紧急抢修事故时，为避免损失进一步扩大；</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b．直接影响到工程正常运行或危害人身财产及财产安全时；</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4、因工程质量问题发生工程维修费用或对第三人赔偿损失的，发包人通知承包人应承担的费用或损失金额，承包人应于收到通知后7日内支付通知书中确定的金额。</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6、工程质量保修书由发包人、承包人在工程竣工验收前共同盖章，作为本施工合同附件，其有效期限至质保期届满且发包人书面确认承包人完成全部保修工作止。</w:t>
      </w: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发包人(公章)：                     承包人(公章)：    </w:t>
      </w:r>
    </w:p>
    <w:p>
      <w:pPr>
        <w:pStyle w:val="13"/>
        <w:tabs>
          <w:tab w:val="left" w:pos="426"/>
        </w:tabs>
        <w:snapToGrid w:val="0"/>
        <w:spacing w:line="360" w:lineRule="exact"/>
        <w:ind w:firstLine="220"/>
        <w:rPr>
          <w:rFonts w:asciiTheme="minorEastAsia" w:hAnsiTheme="minorEastAsia" w:eastAsiaTheme="minorEastAsia" w:cstheme="minorEastAsia"/>
          <w:sz w:val="24"/>
        </w:rPr>
      </w:pPr>
    </w:p>
    <w:p>
      <w:pPr>
        <w:pStyle w:val="13"/>
        <w:tabs>
          <w:tab w:val="left" w:pos="426"/>
        </w:tabs>
        <w:snapToGrid w:val="0"/>
        <w:spacing w:line="360" w:lineRule="exact"/>
        <w:ind w:firstLine="220"/>
        <w:rPr>
          <w:rFonts w:asciiTheme="minorEastAsia" w:hAnsiTheme="minorEastAsia" w:eastAsiaTheme="minorEastAsia" w:cstheme="minorEastAsia"/>
          <w:sz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pageBreakBefore/>
        <w:spacing w:line="360" w:lineRule="exact"/>
        <w:rPr>
          <w:rFonts w:asciiTheme="minorEastAsia" w:hAnsiTheme="minorEastAsia" w:cstheme="minorEastAsia"/>
          <w:sz w:val="24"/>
          <w:szCs w:val="24"/>
        </w:rPr>
      </w:pPr>
      <w:r>
        <w:rPr>
          <w:rFonts w:hint="eastAsia" w:asciiTheme="minorEastAsia" w:hAnsiTheme="minorEastAsia" w:cstheme="minorEastAsia"/>
          <w:sz w:val="24"/>
          <w:szCs w:val="24"/>
        </w:rPr>
        <w:t>附件二：</w:t>
      </w:r>
    </w:p>
    <w:p>
      <w:pPr>
        <w:tabs>
          <w:tab w:val="left" w:pos="540"/>
        </w:tabs>
        <w:topLinePunct/>
        <w:spacing w:line="360" w:lineRule="exact"/>
        <w:ind w:firstLine="723"/>
        <w:jc w:val="center"/>
        <w:rPr>
          <w:rFonts w:asciiTheme="minorEastAsia" w:hAnsiTheme="minorEastAsia" w:cstheme="minorEastAsia"/>
          <w:b/>
          <w:sz w:val="24"/>
          <w:szCs w:val="24"/>
        </w:rPr>
      </w:pPr>
      <w:r>
        <w:rPr>
          <w:rFonts w:hint="eastAsia" w:asciiTheme="minorEastAsia" w:hAnsiTheme="minorEastAsia" w:cstheme="minorEastAsia"/>
          <w:b/>
          <w:sz w:val="24"/>
          <w:szCs w:val="24"/>
        </w:rPr>
        <w:t>安全文明施工协议书</w:t>
      </w:r>
    </w:p>
    <w:p>
      <w:pPr>
        <w:spacing w:line="360" w:lineRule="exact"/>
        <w:rPr>
          <w:rFonts w:asciiTheme="minorEastAsia" w:hAnsiTheme="minorEastAsia" w:cstheme="minorEastAsia"/>
          <w:b/>
          <w:sz w:val="24"/>
          <w:szCs w:val="24"/>
        </w:rPr>
      </w:pPr>
      <w:r>
        <w:rPr>
          <w:rFonts w:hint="eastAsia" w:asciiTheme="minorEastAsia" w:hAnsiTheme="minorEastAsia" w:cstheme="minorEastAsia"/>
          <w:b/>
          <w:sz w:val="24"/>
          <w:szCs w:val="24"/>
        </w:rPr>
        <w:t>发包人（发包人）：</w:t>
      </w:r>
      <w:r>
        <w:rPr>
          <w:rFonts w:hint="eastAsia" w:asciiTheme="minorEastAsia" w:hAnsiTheme="minorEastAsia" w:cstheme="minorEastAsia"/>
          <w:b/>
          <w:sz w:val="24"/>
          <w:szCs w:val="24"/>
          <w:u w:val="single"/>
        </w:rPr>
        <w:t>杭州萧山国际机场有限公司</w:t>
      </w:r>
    </w:p>
    <w:p>
      <w:pPr>
        <w:spacing w:line="360" w:lineRule="exact"/>
        <w:rPr>
          <w:rFonts w:asciiTheme="minorEastAsia" w:hAnsiTheme="minorEastAsia" w:cstheme="minorEastAsia"/>
          <w:b/>
          <w:sz w:val="24"/>
          <w:szCs w:val="24"/>
          <w:u w:val="single"/>
        </w:rPr>
      </w:pPr>
      <w:r>
        <w:rPr>
          <w:rFonts w:hint="eastAsia" w:asciiTheme="minorEastAsia" w:hAnsiTheme="minorEastAsia" w:cstheme="minorEastAsia"/>
          <w:b/>
          <w:sz w:val="24"/>
          <w:szCs w:val="24"/>
        </w:rPr>
        <w:t>承包人（承包人）：</w:t>
      </w:r>
      <w:r>
        <w:rPr>
          <w:rFonts w:hint="eastAsia" w:asciiTheme="minorEastAsia" w:hAnsiTheme="minorEastAsia" w:cstheme="minorEastAsia"/>
          <w:b/>
          <w:sz w:val="24"/>
          <w:szCs w:val="24"/>
          <w:u w:val="single"/>
        </w:rPr>
        <w:t xml:space="preserve">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为确保</w:t>
      </w:r>
      <w:r>
        <w:rPr>
          <w:rFonts w:hint="eastAsia" w:asciiTheme="minorEastAsia" w:hAnsiTheme="minorEastAsia" w:cstheme="minorEastAsia"/>
          <w:b/>
          <w:sz w:val="24"/>
          <w:szCs w:val="24"/>
          <w:u w:val="single"/>
        </w:rPr>
        <w:t>杭州萧山国际机场6号道口改造项目</w:t>
      </w:r>
      <w:r>
        <w:rPr>
          <w:rFonts w:hint="eastAsia" w:asciiTheme="minorEastAsia" w:hAnsiTheme="minorEastAsia" w:cstheme="minorEastAsia"/>
          <w:sz w:val="24"/>
          <w:szCs w:val="24"/>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82" w:firstLineChars="200"/>
        <w:rPr>
          <w:rFonts w:asciiTheme="minorEastAsia" w:hAnsiTheme="minorEastAsia" w:cstheme="minorEastAsia"/>
          <w:bCs/>
          <w:sz w:val="24"/>
          <w:szCs w:val="24"/>
        </w:rPr>
      </w:pPr>
      <w:r>
        <w:rPr>
          <w:rFonts w:hint="eastAsia" w:asciiTheme="minorEastAsia" w:hAnsiTheme="minorEastAsia" w:cstheme="minorEastAsia"/>
          <w:b/>
          <w:sz w:val="24"/>
          <w:szCs w:val="24"/>
        </w:rPr>
        <w:t>一、发包人对承包人实行安全目标管理，安全目标的具体内容是</w:t>
      </w:r>
      <w:r>
        <w:rPr>
          <w:rFonts w:hint="eastAsia" w:asciiTheme="minorEastAsia" w:hAnsiTheme="minorEastAsia" w:cstheme="minorEastAsia"/>
          <w:sz w:val="24"/>
          <w:szCs w:val="24"/>
        </w:rPr>
        <w:t>：</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1、无死亡事故和重大伤害事故(含道路交通事故)。</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2、无重大责任事故。</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3、无空防安全事故。</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4、无七类重大刑事案件(杀人、绑架、强奸、放火、爆炸、劫持、故意伤害致死)及其它严重、恶性案件。</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上述情况的认定按国家和行业的有关规定和标准执行。</w:t>
      </w:r>
    </w:p>
    <w:p>
      <w:pPr>
        <w:spacing w:line="360" w:lineRule="exact"/>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二、发包人的协助责任和权利</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5、不得对承包人提出违反国家法律、法规和强制性标准规定的要求。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6、不得要求承包人购买、租赁、使用不符合安全施工要求的安全防护用具、机械设备、施工机具及配件、消防设施和器材等。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由于民航行业的特殊性和空防安全的重要性，发包人对进出飞行区施工的人员和车辆实行通行证管理制度。为此，承包人成员必须参加发包人组织的专门安全教育培训和考试（主要是机场飞行、空防、不停航施工等安全方面知识）；同时发包人应协助承包人对全体施工人员进行安全教育培训和考核，并协助承包人办理相关人员和车辆的施工通行证。</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8、联系和协调机场公安机关，督促施工单位按有关规定申报暂住登记和申领《暂住证》，并协助承包人联系机场公安局商定有关飞行区安全保卫事宜。</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9、利用施工例会定期分析和掌握施工单位的治安情况，通报当前治安形势，交流工作经验，协助处理相关问题。</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10、承包人拒不按照本协议条款规定组织安全文明施工的，发包人有权责令承包人停工整改直至终止合同。</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11、发包人有权对承包人各项安全工作进行监督、检查。</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12、对承包人因违反民航总局第191号令《民用机场运行安全管理规定》而发生不安全事件，发包人有权按照相关处罚条例对承包人予以处罚，造成严重后果或损失重大的，发包人有权将承包人清退出场并追偿由此而造成的损失。</w:t>
      </w:r>
    </w:p>
    <w:p>
      <w:pPr>
        <w:spacing w:line="360" w:lineRule="exact"/>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三、承包人的安全责任和权利</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（一）承包人应从事的施工安全管理</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14、对工程项目的施工安全负全责，根据工程特点制定安全施工措施，消除安全事故隐患，确保工程质量和安全。制定并完善各类突发事件的应急预案，一旦发生安全事故应当及时、如实报告和积极应对。对工程依法实行总分包制，总包单位对施工安全负总责，并以安全责任书的方式确定各分包单位的安全责任。</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15、工程开工前，应完成安全生产规章制度和操作规程等相应规章的制定工作；成立由项目负责人为责任人的有效的安全保障网络；指定项目部专职安全员、班组安全员，并接受发包人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16、对安全作业环境建设及安全施工措施制定、实行所需的费用，应当列入建设工程预算，专款专用，不得挪作他用。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18、在施工组织设计中应当制定安全技术措施和施工现场临时用电方案，对危险性较大的部分分项工程应当制定专项施工方案，并附安全验算计算书，经承包人技术负责人、总监理工程师阅览签字后实施，由专职安全生产管理人员进行现场监督。</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19、在施工前，负责项目管理的技术人员应当对有关安全施工的技术要求向作业班组、作业人员做出书面交底，并由双方确认签字。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20、应根据不同的施工阶段和环境及季节、气候的变化，在施工现场采取相应的安全防护措施；施工现场暂时停止施工的，承包人要做好现场防护工作，所需费用由承包人承担（合同有约定的除外）。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21、应当向作业人员提供安全防护用具和安全防护服装，并书面告知危险岗位的操作规程及违章操作所产生的危害。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22、采购、租赁的安全防护用具、机械设备、施工机具及配件，应当具有生产许可证、产品合格证，并在进入施工现场前进行查验。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23、施工现场的安全防护用具、机械设备、施工机具及配件必须由专人管理，并定期检查、维修和保养，建立相应的资料档案，并按照国家规定及时报废。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24、在采用新技术、新工艺、新设备、新材料时，应当对作业人员进行相应的安全生产教育培训。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25、应当为施工现场从事危险作业的人员办理意外伤害保险，并支付意外伤害保险费。意外伤害保险期自建设工程开工之日起至竣工验收合格止。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26、承包人不得在机场和机场净空保护区范围内施放烟花、爆竹、气球等升空物体；不得随意焚烧垃圾等物品制造烟雾；不得饲养动物；不得随意丢弃飘浮物。</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（二）承包人应从事的空防安全管理</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28、通行证的办理遵从《杭州萧山国际机场控制区通行证管理办法》。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29、需进入机场控制区施工的人员和车辆需主动接受机场管理人员的检查，并服从机场相关职能部门的监管，无通行证者一律不得进入。</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30、应当加强通行证的管理，建立管理台帐。通行证仅限持证本人、本车使用，严禁转借、涂改和冒用；持证人员发生调离、辞退、开除等情况的，应及时收回通行证交由发包人报机场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（三）承包人应从事的不停航施工项目安全管理</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32、在机场有飞行任务期间，禁止在跑道端之外300米以内、跑道中心线两侧75米以内的区域进行任何施工作业。如承包人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33、实行不停航施工的区域，开挖的明沟和施工材料堆放处，必须根据发包人要求用橘黄色小旗标识以示警告；在低能见度的白天和夜间，应当按照发包人要求加设红色恒定灯光；材料和临时堆放的施工垃圾应当采取防止被风或飞机尾流吹散的措施。</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34、施工机具须停放在指定安全区域内。机场开放运行期间，必须严格控制施工机械的活动范围，杜绝出现机具、车辆侵入隔离区或超越机场净空限制面等情况。</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（四）承包人的文明施工责任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35、按照《建筑施工安全检查标准》JGJ59—99的标准和浙江省、杭州市有关文明施工检查评分标准做好文明施工，保证施工项目文明施工合格。</w:t>
      </w:r>
    </w:p>
    <w:p>
      <w:pPr>
        <w:spacing w:line="360" w:lineRule="exact"/>
        <w:ind w:firstLine="240" w:firstLineChars="100"/>
        <w:rPr>
          <w:rFonts w:asciiTheme="minorEastAsia" w:hAnsiTheme="minorEastAsia" w:cstheme="minorEastAsia"/>
          <w:sz w:val="24"/>
          <w:szCs w:val="24"/>
        </w:rPr>
      </w:pPr>
      <w:r>
        <w:rPr>
          <w:rFonts w:hint="eastAsia" w:asciiTheme="minorEastAsia" w:hAnsiTheme="minorEastAsia" w:cstheme="minorEastAsia"/>
          <w:sz w:val="24"/>
          <w:szCs w:val="24"/>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37、在施工现场建立清扫制度，落实到人，做到工完料尽场地清，车辆进出场应有防泥带出措施。建筑垃圾及时清运，并堆放到发包人指定地点。土方外运过程，严格按程序操作，不得在机场内外遗洒，应有避免扬尘的措施。</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（五）承包人应从事的社会治安综合治理</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38、做好内部的治安防范工作，对重要部位和物资，要落实人防、物防和技防的措施，积极配合公安机关组织的治安联防活动。</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39、认真排查、调处各类矛盾，及时消除隐患，杜绝各类社会矛盾引发的群体性事件的发生。</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40、制定包括重大安全生产事故、重大道路交通事故、重大消防安全事故、重大刑事案件以及群体性事件等突发性事件在内的应急处置预案，一旦发生，及时报告发包人和上级主管部门并做好处置工作。</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（六）承包人应从事的消防安全管理</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41、遵守国家消防法律法规，建立和健全消防管理规章制度，明确消防安全责任人，健全消防安全网络（配备专职或兼职消防员），建立消防应急队伍，并报发包人和机场公安局消防部门备案。</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42、制定用火、用电、使用易燃材料等各项消防安全操作规程，设置消防通道、消防水源、配备必须的消防设备和灭火器材，并在重点场所重点部位设置消防警示标志。</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43、施工中使用明火，使用电、气进行焊接和切割作业，须经机场公安消防管理部门审查批准，未经批准一律不得使用。</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44、加强对施工人员进行消防安全教育，使其熟悉本岗位防火措施、遇险报警、初期扑救及自救逃生的知识和技能。</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（七）承包人应从事的交通安全管理</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45、加强对下属员工、驾驶人员、承运单位的道路交通安全法律法规宣传教育，车辆进出机场和施工场地均应服从交警及其他交通管理人员的指挥和管理。</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46、对驾驶人员和承运单位应实行交通安全检查考核制度，签订《交通安全责任书》，配备交通安全联络员对运输车辆驾驶员和施工人员进行交通安全教育，减少或控制交通违法行为的发生，禁止严重影响交通安全的违法行为（如超载、超速、酒后驾驶、逆向行驶等）。</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47、确保各类运输车辆技术状况良好，不得使用无号牌、无行驶证、无保险和带故障、检验不合格的运输车辆，不得使用拖拉机和农用运输车。</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48、所有运输车辆均应办理施工通行证并按指定路线和限定速度行驶，不得违反车辆装载规定：超载、超高、超宽。进入控制区施工车辆应开启黄色警示灯。</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49、占用、挖掘道路，跨越道路架设、铺设管线以及大型机械进出机场须提前与发包人协商，征得发包人和机场公安局交警队同意，并采取防护措施和设置明显警示标志方可实施。</w:t>
      </w:r>
    </w:p>
    <w:p>
      <w:pPr>
        <w:spacing w:line="360" w:lineRule="exact"/>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四、违约责任</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50、本《安全文明施工协议书》是工程施工合同的重要组成部分，承包人必须严格遵守和履行，如有违反，发包人可以追究承包人责任；承包人违约情况严重，或是社会影响恶劣，又或是造成发包人或他方重大损失，发包人可解除施工合同且不须向承包人承担任何补偿、赔偿的责任。</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51、严禁因承包人行为导致发生飞行事故征侯，违者扣合同总款的</w:t>
      </w:r>
      <w:r>
        <w:rPr>
          <w:rFonts w:hint="eastAsia" w:asciiTheme="minorEastAsia" w:hAnsiTheme="minorEastAsia" w:cstheme="minorEastAsia"/>
          <w:sz w:val="24"/>
          <w:szCs w:val="24"/>
          <w:u w:val="single"/>
        </w:rPr>
        <w:t>20%</w:t>
      </w:r>
      <w:r>
        <w:rPr>
          <w:rFonts w:hint="eastAsia" w:asciiTheme="minorEastAsia" w:hAnsiTheme="minorEastAsia" w:cstheme="minorEastAsia"/>
          <w:sz w:val="24"/>
          <w:szCs w:val="24"/>
        </w:rPr>
        <w:t>，如发生飞行事故扣合同总款</w:t>
      </w:r>
      <w:r>
        <w:rPr>
          <w:rFonts w:hint="eastAsia" w:asciiTheme="minorEastAsia" w:hAnsiTheme="minorEastAsia" w:cstheme="minorEastAsia"/>
          <w:sz w:val="24"/>
          <w:szCs w:val="24"/>
          <w:u w:val="single"/>
        </w:rPr>
        <w:t>50％</w:t>
      </w:r>
      <w:r>
        <w:rPr>
          <w:rFonts w:hint="eastAsia" w:asciiTheme="minorEastAsia" w:hAnsiTheme="minorEastAsia" w:cstheme="minorEastAsia"/>
          <w:sz w:val="24"/>
          <w:szCs w:val="24"/>
        </w:rPr>
        <w:t>，并追究法律责任。</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五、本协议书附于</w:t>
      </w:r>
      <w:r>
        <w:rPr>
          <w:rFonts w:hint="eastAsia" w:asciiTheme="minorEastAsia" w:hAnsiTheme="minorEastAsia" w:cstheme="minorEastAsia"/>
          <w:sz w:val="24"/>
          <w:szCs w:val="24"/>
          <w:u w:val="single"/>
        </w:rPr>
        <w:t>《杭州萧山国际机场6号道口改造项目施工合同》</w:t>
      </w:r>
      <w:r>
        <w:rPr>
          <w:rFonts w:hint="eastAsia" w:asciiTheme="minorEastAsia" w:hAnsiTheme="minorEastAsia" w:cstheme="minorEastAsia"/>
          <w:sz w:val="24"/>
          <w:szCs w:val="24"/>
        </w:rPr>
        <w:t>后，由甲乙双方共同盖章后生效。</w:t>
      </w:r>
    </w:p>
    <w:p>
      <w:pPr>
        <w:adjustRightInd w:val="0"/>
        <w:snapToGrid w:val="0"/>
        <w:spacing w:line="360" w:lineRule="exact"/>
        <w:rPr>
          <w:rFonts w:asciiTheme="minorEastAsia" w:hAnsiTheme="minorEastAsia" w:cstheme="minorEastAsia"/>
          <w:b/>
          <w:bCs/>
          <w:sz w:val="24"/>
          <w:szCs w:val="24"/>
        </w:rPr>
      </w:pPr>
      <w:r>
        <w:rPr>
          <w:rFonts w:hint="eastAsia" w:asciiTheme="minorEastAsia" w:hAnsiTheme="minorEastAsia" w:cstheme="minorEastAsia"/>
          <w:b/>
          <w:bCs/>
          <w:sz w:val="24"/>
          <w:szCs w:val="24"/>
        </w:rPr>
        <w:t>五、附则：</w:t>
      </w:r>
    </w:p>
    <w:p>
      <w:pPr>
        <w:adjustRightInd w:val="0"/>
        <w:snapToGrid w:val="0"/>
        <w:spacing w:line="360" w:lineRule="exact"/>
        <w:rPr>
          <w:rFonts w:asciiTheme="minorEastAsia" w:hAnsiTheme="minorEastAsia" w:cstheme="minorEastAsia"/>
          <w:sz w:val="24"/>
          <w:szCs w:val="24"/>
        </w:rPr>
      </w:pPr>
      <w:r>
        <w:rPr>
          <w:rFonts w:hint="eastAsia" w:asciiTheme="minorEastAsia" w:hAnsiTheme="minorEastAsia" w:cstheme="minorEastAsia"/>
          <w:sz w:val="24"/>
          <w:szCs w:val="24"/>
        </w:rPr>
        <w:t>（一）由于承包人行为违反国家法律、法规和杭州萧山国际机场有限公司有关规章制度和责任书规定内容，发包人有权对承包人进行处罚。承包人触犯法律的，依法追究有关责任人的法律责任。</w:t>
      </w:r>
    </w:p>
    <w:p>
      <w:pPr>
        <w:adjustRightInd w:val="0"/>
        <w:snapToGrid w:val="0"/>
        <w:spacing w:line="360" w:lineRule="exact"/>
        <w:rPr>
          <w:rFonts w:asciiTheme="minorEastAsia" w:hAnsiTheme="minorEastAsia" w:cstheme="minorEastAsia"/>
          <w:sz w:val="24"/>
          <w:szCs w:val="24"/>
        </w:rPr>
      </w:pPr>
      <w:r>
        <w:rPr>
          <w:rFonts w:hint="eastAsia" w:asciiTheme="minorEastAsia" w:hAnsiTheme="minorEastAsia" w:cstheme="minorEastAsia"/>
          <w:sz w:val="24"/>
          <w:szCs w:val="24"/>
        </w:rPr>
        <w:t>（二）本责任书解释权归发包人。</w:t>
      </w:r>
    </w:p>
    <w:p>
      <w:pPr>
        <w:adjustRightInd w:val="0"/>
        <w:snapToGrid w:val="0"/>
        <w:spacing w:line="360" w:lineRule="exact"/>
        <w:rPr>
          <w:rFonts w:asciiTheme="minorEastAsia" w:hAnsiTheme="minorEastAsia" w:cstheme="minorEastAsia"/>
          <w:sz w:val="24"/>
          <w:szCs w:val="24"/>
        </w:rPr>
      </w:pPr>
      <w:r>
        <w:rPr>
          <w:rFonts w:hint="eastAsia" w:asciiTheme="minorEastAsia" w:hAnsiTheme="minorEastAsia" w:cstheme="minorEastAsia"/>
          <w:sz w:val="24"/>
          <w:szCs w:val="24"/>
        </w:rPr>
        <w:t>（三）本责任书由甲乙双方共同盖章后生效。</w:t>
      </w:r>
    </w:p>
    <w:p>
      <w:pPr>
        <w:adjustRightInd w:val="0"/>
        <w:snapToGrid w:val="0"/>
        <w:spacing w:line="360" w:lineRule="exact"/>
        <w:rPr>
          <w:rFonts w:asciiTheme="minorEastAsia" w:hAnsiTheme="minorEastAsia" w:cstheme="minorEastAsia"/>
          <w:bCs/>
          <w:sz w:val="24"/>
          <w:szCs w:val="24"/>
        </w:rPr>
      </w:pPr>
      <w:r>
        <w:rPr>
          <w:rFonts w:hint="eastAsia" w:asciiTheme="minorEastAsia" w:hAnsiTheme="minorEastAsia" w:cstheme="minorEastAsia"/>
          <w:bCs/>
          <w:sz w:val="24"/>
          <w:szCs w:val="24"/>
        </w:rPr>
        <w:t xml:space="preserve">发包人：                                          承包人： </w:t>
      </w:r>
    </w:p>
    <w:p>
      <w:pPr>
        <w:spacing w:line="360" w:lineRule="exact"/>
        <w:rPr>
          <w:rFonts w:asciiTheme="minorEastAsia" w:hAnsiTheme="minorEastAsia" w:cstheme="minorEastAsia"/>
          <w:sz w:val="24"/>
          <w:szCs w:val="24"/>
        </w:rPr>
      </w:pPr>
      <w:r>
        <w:rPr>
          <w:rFonts w:hint="eastAsia" w:asciiTheme="minorEastAsia" w:hAnsiTheme="minorEastAsia" w:cstheme="minorEastAsia"/>
          <w:bCs/>
          <w:sz w:val="24"/>
          <w:szCs w:val="24"/>
        </w:rPr>
        <w:t xml:space="preserve"> </w:t>
      </w:r>
      <w:r>
        <w:rPr>
          <w:rFonts w:hint="eastAsia" w:asciiTheme="minorEastAsia" w:hAnsiTheme="minorEastAsia" w:cstheme="minorEastAsia"/>
          <w:b/>
          <w:sz w:val="24"/>
          <w:szCs w:val="24"/>
        </w:rPr>
        <w:t xml:space="preserve"> </w:t>
      </w:r>
    </w:p>
    <w:p>
      <w:pPr>
        <w:pageBreakBefore/>
        <w:jc w:val="left"/>
        <w:rPr>
          <w:rFonts w:ascii="宋体" w:hAnsi="宋体" w:cs="宋体"/>
          <w:sz w:val="22"/>
        </w:rPr>
      </w:pPr>
      <w:r>
        <w:rPr>
          <w:rFonts w:hint="eastAsia" w:ascii="宋体" w:hAnsi="宋体" w:cs="宋体"/>
          <w:sz w:val="22"/>
        </w:rPr>
        <w:t>附件三：</w:t>
      </w:r>
    </w:p>
    <w:p>
      <w:pPr>
        <w:jc w:val="center"/>
        <w:rPr>
          <w:rFonts w:ascii="宋体" w:hAnsi="宋体" w:eastAsia="宋体" w:cs="宋体"/>
          <w:b/>
          <w:bCs/>
          <w:sz w:val="22"/>
        </w:rPr>
      </w:pPr>
      <w:r>
        <w:rPr>
          <w:rFonts w:hint="eastAsia" w:ascii="宋体" w:hAnsi="宋体" w:eastAsia="宋体" w:cs="宋体"/>
          <w:b/>
          <w:bCs/>
          <w:sz w:val="22"/>
        </w:rPr>
        <w:t>疫情防控责任书</w:t>
      </w:r>
    </w:p>
    <w:p>
      <w:pPr>
        <w:rPr>
          <w:rFonts w:ascii="宋体" w:hAnsi="宋体" w:eastAsia="宋体" w:cs="宋体"/>
          <w:sz w:val="22"/>
        </w:rPr>
      </w:pPr>
    </w:p>
    <w:p>
      <w:pPr>
        <w:spacing w:line="360" w:lineRule="exact"/>
        <w:ind w:firstLine="440" w:firstLineChars="200"/>
        <w:rPr>
          <w:rFonts w:ascii="宋体" w:hAnsi="宋体" w:eastAsia="宋体" w:cs="宋体"/>
          <w:sz w:val="22"/>
        </w:rPr>
      </w:pPr>
      <w:r>
        <w:rPr>
          <w:rFonts w:hint="eastAsia" w:ascii="宋体" w:hAnsi="宋体" w:eastAsia="宋体" w:cs="宋体"/>
          <w:sz w:val="22"/>
        </w:rPr>
        <w:t>为落实民航疫情防控工作要求，全面落实责任制，提升疫情防控水平，建立健全长效机制，做好疫情防控管控工作，增强对重点场所、重点环节、重点人员防控措施的把控，杭州萧山国际机场有限公司（以下简称“机场公司”）与【】（以下简称“  公司”）于【】签订《   合同》就【】签订疫情防控责任书，具体如下：</w:t>
      </w:r>
    </w:p>
    <w:p>
      <w:pPr>
        <w:spacing w:line="360" w:lineRule="exact"/>
        <w:ind w:firstLine="440" w:firstLineChars="200"/>
        <w:rPr>
          <w:rFonts w:ascii="宋体" w:hAnsi="宋体" w:eastAsia="宋体" w:cs="宋体"/>
          <w:sz w:val="22"/>
        </w:rPr>
      </w:pPr>
      <w:r>
        <w:rPr>
          <w:rFonts w:hint="eastAsia" w:ascii="宋体" w:hAnsi="宋体" w:eastAsia="宋体" w:cs="宋体"/>
          <w:sz w:val="22"/>
        </w:rPr>
        <w:t>【】公司按照以下条款严格管理，【】公司的法定代表人为疫情防控承担者，承担疫情防控责任。机场公司所属【】部门有权对乙方管理情况进行监督。</w:t>
      </w:r>
    </w:p>
    <w:p>
      <w:pPr>
        <w:spacing w:line="360" w:lineRule="exact"/>
        <w:ind w:firstLine="440" w:firstLineChars="200"/>
        <w:rPr>
          <w:rFonts w:ascii="宋体" w:hAnsi="宋体" w:eastAsia="宋体" w:cs="宋体"/>
          <w:sz w:val="22"/>
        </w:rPr>
      </w:pPr>
      <w:r>
        <w:rPr>
          <w:rFonts w:hint="eastAsia" w:ascii="宋体" w:hAnsi="宋体" w:eastAsia="宋体" w:cs="宋体"/>
          <w:sz w:val="22"/>
        </w:rPr>
        <w:t>一、【】公司负责监督员工在岗防护情况，做到防护到位。</w:t>
      </w:r>
    </w:p>
    <w:p>
      <w:pPr>
        <w:spacing w:line="360" w:lineRule="exact"/>
        <w:ind w:firstLine="440" w:firstLineChars="200"/>
        <w:rPr>
          <w:rFonts w:ascii="宋体" w:hAnsi="宋体" w:eastAsia="宋体" w:cs="宋体"/>
          <w:sz w:val="22"/>
        </w:rPr>
      </w:pPr>
      <w:r>
        <w:rPr>
          <w:rFonts w:hint="eastAsia" w:ascii="宋体" w:hAnsi="宋体" w:eastAsia="宋体" w:cs="宋体"/>
          <w:sz w:val="22"/>
        </w:rPr>
        <w:t>二、【】公司要求员工严禁接触涉疫区域内的高危人员或物品，避免因管理不当导致的安全风险。</w:t>
      </w:r>
    </w:p>
    <w:p>
      <w:pPr>
        <w:spacing w:line="360" w:lineRule="exact"/>
        <w:ind w:firstLine="440" w:firstLineChars="200"/>
        <w:rPr>
          <w:rFonts w:ascii="宋体" w:hAnsi="宋体" w:eastAsia="宋体" w:cs="宋体"/>
          <w:sz w:val="22"/>
        </w:rPr>
      </w:pPr>
      <w:r>
        <w:rPr>
          <w:rFonts w:hint="eastAsia" w:ascii="宋体" w:hAnsi="宋体" w:eastAsia="宋体" w:cs="宋体"/>
          <w:sz w:val="22"/>
        </w:rPr>
        <w:t>三、【】公司员工做到适宜接种全员接种疫苗，新进员工需接种疫苗后上岗。并做好员工疫苗接种的管控工作，避免因员工未接种疫苗导致的安全风险。</w:t>
      </w:r>
    </w:p>
    <w:p>
      <w:pPr>
        <w:spacing w:line="360" w:lineRule="exact"/>
        <w:ind w:firstLine="440" w:firstLineChars="200"/>
        <w:rPr>
          <w:rFonts w:ascii="宋体" w:hAnsi="宋体" w:eastAsia="宋体" w:cs="宋体"/>
          <w:sz w:val="22"/>
        </w:rPr>
      </w:pPr>
      <w:r>
        <w:rPr>
          <w:rFonts w:hint="eastAsia" w:ascii="宋体" w:hAnsi="宋体" w:eastAsia="宋体" w:cs="宋体"/>
          <w:sz w:val="22"/>
        </w:rPr>
        <w:t>四、【】公司需根据机场公司要求，及时安排员工开展核酸检测工作，核酸检测做到“应检尽检”。</w:t>
      </w:r>
    </w:p>
    <w:p>
      <w:pPr>
        <w:spacing w:line="360" w:lineRule="exact"/>
        <w:ind w:firstLine="440" w:firstLineChars="200"/>
        <w:rPr>
          <w:rFonts w:ascii="宋体" w:hAnsi="宋体" w:eastAsia="宋体" w:cs="宋体"/>
          <w:sz w:val="22"/>
        </w:rPr>
      </w:pPr>
      <w:r>
        <w:rPr>
          <w:rFonts w:hint="eastAsia" w:ascii="宋体" w:hAnsi="宋体" w:eastAsia="宋体" w:cs="宋体"/>
          <w:sz w:val="22"/>
        </w:rPr>
        <w:t>五、【】公司需做到培训到位及防控要求传达到位，定期对员工开展疫情防控培训，培训内容包括但不限于个人防护要求及近期国内疫情情况通报等，及时传达公司防控相关要求。</w:t>
      </w:r>
    </w:p>
    <w:p>
      <w:pPr>
        <w:spacing w:line="360" w:lineRule="exact"/>
        <w:ind w:firstLine="440" w:firstLineChars="200"/>
        <w:rPr>
          <w:rFonts w:ascii="宋体" w:hAnsi="宋体" w:eastAsia="宋体" w:cs="宋体"/>
          <w:sz w:val="22"/>
        </w:rPr>
      </w:pPr>
      <w:r>
        <w:rPr>
          <w:rFonts w:hint="eastAsia" w:ascii="宋体" w:hAnsi="宋体" w:eastAsia="宋体" w:cs="宋体"/>
          <w:sz w:val="22"/>
        </w:rPr>
        <w:t>六、【】公司需落实上下班体温测量、健康码查验等日常监测机制，建立健康档案。对人员流动（出入省、市、新入职）进行登记管理，对来往疫区职工和密切接触者，采取措施暂停其返岗，做好人员信息登记工作，并配合卫健部门对密切接触者排查进行隔离管理。</w:t>
      </w:r>
    </w:p>
    <w:p>
      <w:pPr>
        <w:spacing w:line="360" w:lineRule="exact"/>
        <w:ind w:firstLine="440" w:firstLineChars="200"/>
        <w:rPr>
          <w:rFonts w:ascii="宋体" w:hAnsi="宋体" w:eastAsia="宋体" w:cs="宋体"/>
          <w:sz w:val="22"/>
        </w:rPr>
      </w:pPr>
      <w:r>
        <w:rPr>
          <w:rFonts w:hint="eastAsia" w:ascii="宋体" w:hAnsi="宋体" w:eastAsia="宋体" w:cs="宋体"/>
          <w:sz w:val="22"/>
        </w:rPr>
        <w:t>七、【】公司需做好员工身体状况动态监控，掌握职工健康状况，制定应急预案，如遇发热、咳嗽等症状者要求主动报告，并做好防护及送医措施。</w:t>
      </w:r>
    </w:p>
    <w:p>
      <w:pPr>
        <w:spacing w:line="360" w:lineRule="exact"/>
        <w:ind w:firstLine="440" w:firstLineChars="200"/>
        <w:rPr>
          <w:rFonts w:ascii="宋体" w:hAnsi="宋体" w:eastAsia="宋体" w:cs="宋体"/>
          <w:sz w:val="22"/>
        </w:rPr>
      </w:pPr>
      <w:r>
        <w:rPr>
          <w:rFonts w:hint="eastAsia" w:ascii="宋体" w:hAnsi="宋体" w:eastAsia="宋体" w:cs="宋体"/>
          <w:sz w:val="22"/>
        </w:rPr>
        <w:t>八、【】公司需做好做好洗手液、口罩、温度计、75%酒精、含氯消毒液等药械物资准备。</w:t>
      </w:r>
    </w:p>
    <w:p>
      <w:pPr>
        <w:spacing w:line="360" w:lineRule="exact"/>
        <w:ind w:firstLine="440" w:firstLineChars="200"/>
        <w:jc w:val="left"/>
        <w:rPr>
          <w:rFonts w:ascii="宋体" w:hAnsi="宋体" w:eastAsia="宋体" w:cs="宋体"/>
          <w:color w:val="000000"/>
          <w:sz w:val="22"/>
        </w:rPr>
      </w:pPr>
      <w:r>
        <w:rPr>
          <w:rFonts w:hint="eastAsia" w:ascii="宋体" w:hAnsi="宋体" w:eastAsia="宋体" w:cs="宋体"/>
          <w:color w:val="000000"/>
          <w:sz w:val="22"/>
        </w:rPr>
        <w:t>九、若因</w:t>
      </w:r>
      <w:r>
        <w:rPr>
          <w:rFonts w:hint="eastAsia" w:ascii="宋体" w:hAnsi="宋体" w:eastAsia="宋体" w:cs="宋体"/>
          <w:sz w:val="22"/>
        </w:rPr>
        <w:t>【】公司及其员工</w:t>
      </w:r>
      <w:r>
        <w:rPr>
          <w:rFonts w:hint="eastAsia" w:ascii="宋体" w:hAnsi="宋体" w:eastAsia="宋体" w:cs="宋体"/>
          <w:color w:val="000000"/>
          <w:sz w:val="22"/>
        </w:rPr>
        <w:t>原因导致新型冠状肺炎疫情传播，则</w:t>
      </w:r>
      <w:r>
        <w:rPr>
          <w:rFonts w:hint="eastAsia" w:ascii="宋体" w:hAnsi="宋体" w:eastAsia="宋体" w:cs="宋体"/>
          <w:sz w:val="22"/>
        </w:rPr>
        <w:t>【】公司</w:t>
      </w:r>
      <w:r>
        <w:rPr>
          <w:rFonts w:hint="eastAsia" w:ascii="宋体" w:hAnsi="宋体" w:eastAsia="宋体" w:cs="宋体"/>
          <w:color w:val="000000"/>
          <w:sz w:val="22"/>
        </w:rPr>
        <w:t>应承担由此产生的疫情防控费用包括但不限于防疫措施费、防疫检测费、救助费等。若因该等事件，对机场公司造成影响，则机场公司有权要求</w:t>
      </w:r>
      <w:r>
        <w:rPr>
          <w:rFonts w:hint="eastAsia" w:ascii="宋体" w:hAnsi="宋体" w:eastAsia="宋体" w:cs="宋体"/>
          <w:sz w:val="22"/>
        </w:rPr>
        <w:t>【】公司</w:t>
      </w:r>
      <w:r>
        <w:rPr>
          <w:rFonts w:hint="eastAsia" w:ascii="宋体" w:hAnsi="宋体" w:eastAsia="宋体" w:cs="宋体"/>
          <w:color w:val="000000"/>
          <w:sz w:val="22"/>
        </w:rPr>
        <w:t>承担由此产生的实际损失，且机场公司有权解除合同。</w:t>
      </w:r>
    </w:p>
    <w:p>
      <w:pPr>
        <w:spacing w:line="360" w:lineRule="exact"/>
        <w:rPr>
          <w:rFonts w:ascii="宋体" w:hAnsi="宋体" w:eastAsia="宋体" w:cs="宋体"/>
          <w:sz w:val="22"/>
        </w:rPr>
      </w:pPr>
    </w:p>
    <w:p>
      <w:pPr>
        <w:spacing w:line="360" w:lineRule="exact"/>
        <w:rPr>
          <w:rFonts w:ascii="宋体" w:hAnsi="宋体" w:eastAsia="宋体" w:cs="宋体"/>
          <w:sz w:val="22"/>
        </w:rPr>
      </w:pPr>
    </w:p>
    <w:p>
      <w:pPr>
        <w:spacing w:line="360" w:lineRule="exact"/>
        <w:ind w:right="-193" w:rightChars="-92"/>
        <w:rPr>
          <w:rFonts w:ascii="宋体" w:hAnsi="宋体" w:eastAsia="宋体" w:cs="宋体"/>
          <w:color w:val="000000"/>
          <w:sz w:val="22"/>
        </w:rPr>
      </w:pPr>
    </w:p>
    <w:p>
      <w:pPr>
        <w:spacing w:line="360" w:lineRule="exact"/>
        <w:ind w:right="-193" w:rightChars="-92"/>
        <w:rPr>
          <w:rFonts w:ascii="宋体" w:hAnsi="宋体" w:eastAsia="宋体" w:cs="宋体"/>
          <w:color w:val="000000"/>
          <w:sz w:val="22"/>
        </w:rPr>
      </w:pPr>
      <w:r>
        <w:rPr>
          <w:rFonts w:hint="eastAsia" w:ascii="宋体" w:hAnsi="宋体" w:eastAsia="宋体" w:cs="宋体"/>
          <w:color w:val="000000"/>
          <w:sz w:val="22"/>
        </w:rPr>
        <w:t xml:space="preserve">                     承诺人：</w:t>
      </w:r>
    </w:p>
    <w:p>
      <w:pPr>
        <w:spacing w:line="360" w:lineRule="exact"/>
        <w:ind w:right="-193" w:rightChars="-92"/>
        <w:rPr>
          <w:rFonts w:ascii="宋体" w:hAnsi="宋体" w:eastAsia="宋体" w:cs="宋体"/>
          <w:color w:val="000000"/>
          <w:sz w:val="22"/>
        </w:rPr>
      </w:pPr>
      <w:r>
        <w:rPr>
          <w:rFonts w:hint="eastAsia" w:ascii="宋体" w:hAnsi="宋体" w:eastAsia="宋体" w:cs="宋体"/>
          <w:color w:val="000000"/>
          <w:sz w:val="22"/>
        </w:rPr>
        <w:t xml:space="preserve">                    （盖章）</w:t>
      </w:r>
    </w:p>
    <w:p>
      <w:pPr>
        <w:spacing w:line="360" w:lineRule="exact"/>
        <w:rPr>
          <w:rFonts w:ascii="宋体" w:hAnsi="宋体" w:eastAsia="宋体" w:cs="宋体"/>
          <w:color w:val="000000"/>
          <w:sz w:val="22"/>
        </w:rPr>
      </w:pPr>
      <w:r>
        <w:rPr>
          <w:rFonts w:hint="eastAsia" w:ascii="宋体" w:hAnsi="宋体" w:eastAsia="宋体" w:cs="宋体"/>
          <w:color w:val="000000"/>
          <w:sz w:val="22"/>
        </w:rPr>
        <w:t xml:space="preserve">                 </w:t>
      </w: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pStyle w:val="9"/>
        <w:pageBreakBefore/>
      </w:pPr>
      <w:bookmarkStart w:id="21" w:name="_Toc27673"/>
      <w:r>
        <w:rPr>
          <w:rFonts w:hint="eastAsia"/>
        </w:rPr>
        <w:t>第四章  工程量清单</w:t>
      </w:r>
      <w:bookmarkEnd w:id="17"/>
      <w:bookmarkEnd w:id="21"/>
    </w:p>
    <w:tbl>
      <w:tblPr>
        <w:tblStyle w:val="12"/>
        <w:tblW w:w="7211" w:type="dxa"/>
        <w:jc w:val="center"/>
        <w:tblInd w:w="12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54"/>
        <w:gridCol w:w="2740"/>
        <w:gridCol w:w="1042"/>
        <w:gridCol w:w="1635"/>
        <w:gridCol w:w="1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35" w:hRule="atLeast"/>
          <w:jc w:val="center"/>
        </w:trPr>
        <w:tc>
          <w:tcPr>
            <w:tcW w:w="7211" w:type="dxa"/>
            <w:gridSpan w:val="5"/>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bookmarkStart w:id="22" w:name="_Toc9507"/>
            <w:bookmarkStart w:id="23" w:name="_Toc275274581"/>
            <w:bookmarkStart w:id="24" w:name="_Toc448097409"/>
            <w:r>
              <w:rPr>
                <w:rFonts w:hint="eastAsia" w:ascii="宋体" w:hAnsi="宋体" w:eastAsia="宋体" w:cs="宋体"/>
                <w:b/>
                <w:i w:val="0"/>
                <w:color w:val="000000"/>
                <w:kern w:val="0"/>
                <w:sz w:val="40"/>
                <w:szCs w:val="40"/>
                <w:u w:val="none"/>
                <w:lang w:val="en-US" w:eastAsia="zh-CN" w:bidi="ar"/>
              </w:rPr>
              <w:t>AOC安检道口改造参考工程量清单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名称及说明</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工程数量</w:t>
            </w:r>
          </w:p>
        </w:tc>
        <w:tc>
          <w:tcPr>
            <w:tcW w:w="134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21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安检室出口地面整修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740" w:type="dxa"/>
            <w:tcBorders>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原有砼侧石拆除</w:t>
            </w:r>
          </w:p>
        </w:tc>
        <w:tc>
          <w:tcPr>
            <w:tcW w:w="1042" w:type="dxa"/>
            <w:tcBorders>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635" w:type="dxa"/>
            <w:tcBorders>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w:t>
            </w:r>
          </w:p>
        </w:tc>
        <w:tc>
          <w:tcPr>
            <w:tcW w:w="1340" w:type="dxa"/>
            <w:tcBorders>
              <w:left w:val="single" w:color="000000" w:sz="4" w:space="0"/>
              <w:bottom w:val="single" w:color="000000" w:sz="4" w:space="0"/>
              <w:right w:val="single" w:color="000000" w:sz="4" w:space="0"/>
            </w:tcBorders>
            <w:shd w:val="clear" w:color="auto" w:fill="auto"/>
            <w:vAlign w:val="bottom"/>
          </w:tcPr>
          <w:p>
            <w:pPr>
              <w:rPr>
                <w:rFonts w:hint="eastAsia"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新安装花岗岩侧石</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雨水井加高与新做路面平整0.4*0.4米（含粉刷等）</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更换重型塑钢盖板0.4*0.4米</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水泥混凝土路面  道路混凝土~厚度15(cm)^非泵送商品混凝土 C30</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碎石底层  人机配合~厚5(cm)</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1.8CM火烧岩板面层安砌  （300*600）</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直径100PVC排水管敷设（含开挖及复位）</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窨井加高与新做路面平整700MM（含粉刷等）</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更换重型塑钢盖板700</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211" w:type="dxa"/>
            <w:gridSpan w:val="5"/>
            <w:tcBorders>
              <w:top w:val="single" w:color="000000" w:sz="4" w:space="0"/>
              <w:left w:val="single" w:color="000000" w:sz="4" w:space="0"/>
              <w:right w:val="single" w:color="000000" w:sz="4" w:space="0"/>
            </w:tcBorders>
            <w:shd w:val="clear" w:color="auto" w:fill="FFFFFF"/>
            <w:vAlign w:val="center"/>
          </w:tcPr>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18"/>
                <w:szCs w:val="18"/>
                <w:u w:val="none"/>
                <w:lang w:val="en-US" w:eastAsia="zh-CN" w:bidi="ar"/>
              </w:rPr>
              <w:t>AOC道口行人出口道路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挖土方（深30CM）</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17.370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水泥混凝土路面  道路混凝土~厚度15(cm)^非泵送商品混凝土 C30</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57.900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碎石底层  人机配合~厚5(cm)</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57.900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1.8CM火烧岩板面层安砌  （300*600）</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57.900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绿色围网斜撑拆装</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75" w:hRule="atLeast"/>
          <w:jc w:val="center"/>
        </w:trPr>
        <w:tc>
          <w:tcPr>
            <w:tcW w:w="454" w:type="dxa"/>
            <w:tcBorders>
              <w:top w:val="single" w:color="000000" w:sz="4" w:space="0"/>
              <w:left w:val="single" w:color="000000"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2740" w:type="dxa"/>
            <w:tcBorders>
              <w:top w:val="single" w:color="000000" w:sz="4" w:space="0"/>
              <w:left w:val="single" w:color="000000" w:sz="4" w:space="0"/>
              <w:bottom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新安装绿色围网（2、围网不含倒刺部分高度2700mm，斧形刺刀圈直径600mm，单片宽度2000mm。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3、围网立柱采用 Φ76*3.0电焊钢管,上下网片采用Φ5冷拔钢丝，网眼间距50*100。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4、围界采用整体先镀锌厚渡塑的防腐形式,第一层热镀锌所采用的锌应符合GB470-83中规定的特一号或一号锌,镀锌量为:网片120G/M平方,紧固  件为350G/M平方,立柱横梁等为270G/M平方.第二层非金属渡层采取聚乙烯,厚度为0.4-0.8MM。镀塑前应对工件进行整体酸洗磷化处理。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5、围网具体样式及技术要求详见围网大样图。砼基础详见图纸。报价中应包含基础挖土、砼基础浇筑、预埋固定及围网连接件。）</w:t>
            </w:r>
          </w:p>
        </w:tc>
        <w:tc>
          <w:tcPr>
            <w:tcW w:w="1042" w:type="dxa"/>
            <w:tcBorders>
              <w:top w:val="single" w:color="000000" w:sz="4" w:space="0"/>
              <w:left w:val="single" w:color="000000"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635" w:type="dxa"/>
            <w:tcBorders>
              <w:top w:val="single" w:color="000000" w:sz="4" w:space="0"/>
              <w:left w:val="single" w:color="000000"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5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27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围网开门洞1*2.1米（不锈钢方管门框）</w:t>
            </w:r>
          </w:p>
        </w:tc>
        <w:tc>
          <w:tcPr>
            <w:tcW w:w="104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63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40" w:type="dxa"/>
            <w:tcBorders>
              <w:top w:val="single" w:color="000000" w:sz="4" w:space="0"/>
              <w:left w:val="single" w:color="auto"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454" w:type="dxa"/>
            <w:tcBorders>
              <w:top w:val="single" w:color="auto"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2740" w:type="dxa"/>
            <w:tcBorders>
              <w:top w:val="single" w:color="auto"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围网开门洞做不锈钢成品门1*2.1米（不锈钢方管门框，单向开闭，自动闭合上锁）</w:t>
            </w:r>
          </w:p>
        </w:tc>
        <w:tc>
          <w:tcPr>
            <w:tcW w:w="1042" w:type="dxa"/>
            <w:tcBorders>
              <w:top w:val="single" w:color="auto"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635" w:type="dxa"/>
            <w:tcBorders>
              <w:top w:val="single" w:color="auto"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围网开门洞及新安装不锈钢转闸门1.45*1.45*2.2</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地面刷黄黑反光漆</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原有砼侧石拆除</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新安装花岗岩侧石</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46.000</w:t>
            </w:r>
          </w:p>
        </w:tc>
        <w:tc>
          <w:tcPr>
            <w:tcW w:w="1340" w:type="dxa"/>
            <w:tcBorders>
              <w:top w:val="single" w:color="000000" w:sz="4" w:space="0"/>
              <w:left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21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AOC安检道口安检室进口区域及岗亭迁移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54" w:type="dxa"/>
            <w:tcBorders>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2740" w:type="dxa"/>
            <w:tcBorders>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窨井降低与新做路面平整700MM（含粉刷等）</w:t>
            </w:r>
          </w:p>
        </w:tc>
        <w:tc>
          <w:tcPr>
            <w:tcW w:w="1042" w:type="dxa"/>
            <w:tcBorders>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635" w:type="dxa"/>
            <w:tcBorders>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40" w:type="dxa"/>
            <w:tcBorders>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更换重型塑钢盖板700</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隔墙轻钢龙骨基层 中距竖400mm横1500mm以内</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A级阻燃板</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墙面石膏板基层</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石膏板或者其他基层板面批刮腻子（满刮两遍）</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墙面刷涂料 ~二遍</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3.570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地砖踢脚线 干混砂浆铺贴</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0.630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原有玻璃门拆除</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原有墙面开门洞（含过梁安装及门洞周边修补）</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5.880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新安装甲级防盗双开门（含门框及配件等，1.4*2.1米）</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樘</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拆除原有砖墙及窗户</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3.850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新砌砖墙（含内外粉刷等）</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0.264</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新安装铝合金有框8MM钢化玻璃平开门（0.9*2.1米，含配件等）</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樘</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原有岗亭移位</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岗亭电源线拆装及新安装穿线管、电源线等</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拆除原有绿色围网</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0"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新安装绿色围网（2、围网不含倒刺部分高度2700mm，斧形刺刀圈直径600mm，单片宽度2000mm。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3、围网立柱采用 Φ76*3.0电焊钢管,上下网片采用Φ5冷拔钢丝，网眼间距50*100。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4、围界采用整体先镀锌厚渡塑的防腐形式,第一层热镀锌所采用的锌应符合GB470-83中规定的特一号或一号锌,镀锌量为:网片120G/M平方,紧固  件为350G/M平方,立柱横梁等为270G/M平方.第二层非金属渡层采取聚乙烯,厚度为0.4-0.8MM。镀塑前应对工件进行整体酸洗磷化处理。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5、围网具体样式及技术要求详见围网大样图。报价中应包含基础预埋固定及围网连接件。）</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2740" w:type="dxa"/>
            <w:tcBorders>
              <w:top w:val="single" w:color="000000" w:sz="4" w:space="0"/>
              <w:left w:val="single" w:color="000000" w:sz="4" w:space="0"/>
              <w:bottom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挖土方（深30CM）</w:t>
            </w:r>
          </w:p>
        </w:tc>
        <w:tc>
          <w:tcPr>
            <w:tcW w:w="1042" w:type="dxa"/>
            <w:tcBorders>
              <w:top w:val="single" w:color="000000" w:sz="4" w:space="0"/>
              <w:left w:val="single" w:color="000000"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1635" w:type="dxa"/>
            <w:tcBorders>
              <w:top w:val="single" w:color="000000" w:sz="4" w:space="0"/>
              <w:left w:val="single" w:color="000000"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5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27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水泥混凝土路面  道路混凝土~厚度15(cm)^非泵送商品混凝土 C30</w:t>
            </w:r>
          </w:p>
        </w:tc>
        <w:tc>
          <w:tcPr>
            <w:tcW w:w="104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63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60.000</w:t>
            </w:r>
          </w:p>
        </w:tc>
        <w:tc>
          <w:tcPr>
            <w:tcW w:w="1340" w:type="dxa"/>
            <w:tcBorders>
              <w:top w:val="single" w:color="000000" w:sz="4" w:space="0"/>
              <w:left w:val="single" w:color="auto"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auto"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2740" w:type="dxa"/>
            <w:tcBorders>
              <w:top w:val="single" w:color="auto"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碎石底层  人机配合~厚5(cm)</w:t>
            </w:r>
          </w:p>
        </w:tc>
        <w:tc>
          <w:tcPr>
            <w:tcW w:w="1042" w:type="dxa"/>
            <w:tcBorders>
              <w:top w:val="single" w:color="auto"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635" w:type="dxa"/>
            <w:tcBorders>
              <w:top w:val="single" w:color="auto"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1.8CM火烧岩板面层安砌  （300*600）</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原有路灯拆除</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新安装花岗岩侧石</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空调移位（含铜管加长等配件）</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室外防水监控安装（含管线及电源接入等）</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1340" w:type="dxa"/>
            <w:tcBorders>
              <w:top w:val="single" w:color="000000" w:sz="4" w:space="0"/>
              <w:left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21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2740" w:type="dxa"/>
            <w:tcBorders>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材料搬运及垃圾清理外运</w:t>
            </w:r>
          </w:p>
        </w:tc>
        <w:tc>
          <w:tcPr>
            <w:tcW w:w="1042" w:type="dxa"/>
            <w:tcBorders>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635" w:type="dxa"/>
            <w:tcBorders>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40" w:type="dxa"/>
            <w:tcBorders>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登高辅助费</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0" w:hRule="atLeast"/>
          <w:jc w:val="center"/>
        </w:trPr>
        <w:tc>
          <w:tcPr>
            <w:tcW w:w="454" w:type="dxa"/>
            <w:tcBorders>
              <w:top w:val="single" w:color="000000" w:sz="4" w:space="0"/>
              <w:left w:val="single" w:color="000000"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2740" w:type="dxa"/>
            <w:tcBorders>
              <w:top w:val="single" w:color="000000" w:sz="4" w:space="0"/>
              <w:left w:val="single" w:color="000000" w:sz="4" w:space="0"/>
              <w:bottom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施工安全监管费 （投标需考虑聘请专业保安（保安费用400-600元/人/8小时），负责门卫、巡逻、施工现场看护、隔离区围界看护等工作，人数每8小时不得少于1人，并配备相应的保卫措施）</w:t>
            </w:r>
          </w:p>
        </w:tc>
        <w:tc>
          <w:tcPr>
            <w:tcW w:w="1042" w:type="dxa"/>
            <w:tcBorders>
              <w:top w:val="single" w:color="000000" w:sz="4" w:space="0"/>
              <w:left w:val="single" w:color="000000"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1635" w:type="dxa"/>
            <w:tcBorders>
              <w:top w:val="single" w:color="000000" w:sz="4" w:space="0"/>
              <w:left w:val="single" w:color="000000"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0" w:hRule="atLeast"/>
          <w:jc w:val="center"/>
        </w:trPr>
        <w:tc>
          <w:tcPr>
            <w:tcW w:w="45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27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隔离区施工措施费 （因隔离区内的的施工，投标人须采用相应施工措施，包括施工导致的夜间加班、工效降低、证件办理等需产生的费用必须充分考虑，费用包含在投标报价中）</w:t>
            </w:r>
          </w:p>
        </w:tc>
        <w:tc>
          <w:tcPr>
            <w:tcW w:w="104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63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40" w:type="dxa"/>
            <w:tcBorders>
              <w:top w:val="single" w:color="000000" w:sz="4" w:space="0"/>
              <w:left w:val="single" w:color="auto"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bl>
    <w:p>
      <w:pPr>
        <w:pStyle w:val="9"/>
        <w:jc w:val="center"/>
        <w:rPr>
          <w:rFonts w:hint="eastAsia"/>
        </w:rPr>
      </w:pPr>
    </w:p>
    <w:p>
      <w:pPr>
        <w:pStyle w:val="9"/>
        <w:jc w:val="center"/>
        <w:rPr>
          <w:rFonts w:hint="eastAsia"/>
        </w:rPr>
      </w:pPr>
    </w:p>
    <w:p>
      <w:pPr>
        <w:pStyle w:val="9"/>
        <w:jc w:val="center"/>
        <w:rPr>
          <w:rFonts w:hint="eastAsia"/>
        </w:rPr>
      </w:pPr>
    </w:p>
    <w:p>
      <w:pPr>
        <w:pStyle w:val="9"/>
        <w:jc w:val="center"/>
        <w:rPr>
          <w:rFonts w:hint="eastAsia"/>
        </w:rPr>
      </w:pPr>
    </w:p>
    <w:p>
      <w:pPr>
        <w:pStyle w:val="9"/>
        <w:keepNext/>
        <w:keepLines w:val="0"/>
        <w:pageBreakBefore/>
        <w:widowControl w:val="0"/>
        <w:kinsoku/>
        <w:wordWrap/>
        <w:overflowPunct/>
        <w:topLinePunct w:val="0"/>
        <w:autoSpaceDE/>
        <w:autoSpaceDN/>
        <w:bidi w:val="0"/>
        <w:adjustRightInd/>
        <w:snapToGrid/>
        <w:spacing w:before="60" w:after="60" w:line="240" w:lineRule="auto"/>
        <w:ind w:left="0" w:leftChars="0" w:right="0" w:rightChars="0" w:firstLine="0" w:firstLineChars="0"/>
        <w:jc w:val="center"/>
        <w:textAlignment w:val="auto"/>
        <w:outlineLvl w:val="0"/>
      </w:pPr>
      <w:r>
        <w:rPr>
          <w:rFonts w:hint="eastAsia"/>
        </w:rPr>
        <w:t>第</w:t>
      </w:r>
      <w:r>
        <w:rPr>
          <w:rFonts w:hint="eastAsia"/>
          <w:lang w:val="en-US" w:eastAsia="zh-CN"/>
        </w:rPr>
        <w:t>五</w:t>
      </w:r>
      <w:r>
        <w:rPr>
          <w:rFonts w:hint="eastAsia"/>
        </w:rPr>
        <w:t xml:space="preserve">章  </w:t>
      </w:r>
      <w:r>
        <w:rPr>
          <w:rFonts w:hint="eastAsia"/>
          <w:lang w:val="en-US" w:eastAsia="zh-CN"/>
        </w:rPr>
        <w:t>图纸</w:t>
      </w:r>
      <w:r>
        <w:rPr>
          <w:rFonts w:hint="eastAsia"/>
        </w:rPr>
        <w:t>（详见附件）</w:t>
      </w:r>
    </w:p>
    <w:p>
      <w:pPr>
        <w:widowControl/>
        <w:jc w:val="left"/>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Cambria" w:hAnsi="Cambria" w:eastAsia="黑体" w:cs="Times New Roman"/>
          <w:b/>
          <w:bCs/>
          <w:kern w:val="0"/>
          <w:sz w:val="32"/>
          <w:szCs w:val="32"/>
          <w:lang w:val="en-US" w:eastAsia="zh-CN"/>
        </w:rPr>
      </w:pPr>
      <w:r>
        <w:rPr>
          <w:rFonts w:hint="eastAsia" w:ascii="Cambria" w:hAnsi="Cambria" w:eastAsia="黑体" w:cs="Times New Roman"/>
          <w:b/>
          <w:bCs/>
          <w:kern w:val="0"/>
          <w:sz w:val="32"/>
          <w:szCs w:val="32"/>
          <w:lang w:val="en-US" w:eastAsia="zh-CN"/>
        </w:rPr>
        <w:t>附件一：围网大样图</w:t>
      </w:r>
    </w:p>
    <w:p>
      <w:pPr>
        <w:pStyle w:val="9"/>
        <w:jc w:val="center"/>
        <w:rPr>
          <w:rFonts w:hint="eastAsia"/>
        </w:rPr>
      </w:pPr>
    </w:p>
    <w:bookmarkEnd w:id="22"/>
    <w:p>
      <w:pPr>
        <w:pStyle w:val="9"/>
        <w:jc w:val="both"/>
      </w:pPr>
    </w:p>
    <w:p>
      <w:pPr>
        <w:pStyle w:val="9"/>
        <w:keepNext/>
        <w:pageBreakBefore/>
      </w:pPr>
      <w:bookmarkStart w:id="25" w:name="_Toc17683"/>
      <w:r>
        <w:rPr>
          <w:rFonts w:hint="eastAsia"/>
        </w:rPr>
        <w:t>第</w:t>
      </w:r>
      <w:r>
        <w:rPr>
          <w:rFonts w:hint="eastAsia"/>
          <w:lang w:val="en-US" w:eastAsia="zh-CN"/>
        </w:rPr>
        <w:t>六</w:t>
      </w:r>
      <w:r>
        <w:rPr>
          <w:rFonts w:hint="eastAsia"/>
        </w:rPr>
        <w:t>章</w:t>
      </w:r>
      <w:r>
        <w:t xml:space="preserve"> </w:t>
      </w:r>
      <w:r>
        <w:rPr>
          <w:rFonts w:hint="eastAsia"/>
        </w:rPr>
        <w:t>技术标准及要求</w:t>
      </w:r>
      <w:bookmarkEnd w:id="25"/>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一、总体要求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招标范围：主要工作内容具体详见工程量清单</w:t>
      </w:r>
      <w:r>
        <w:rPr>
          <w:rFonts w:hint="eastAsia" w:ascii="宋体" w:hAnsi="宋体" w:cs="宋体"/>
          <w:sz w:val="22"/>
          <w:lang w:val="en-US" w:eastAsia="zh-CN"/>
        </w:rPr>
        <w:t>及图纸</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施工前应做好施工技术方案或施工组织设计，并经批准后进行施工。施工前应按设计要求进行定位放线，并对测量基线，水准基点等进行复核。施工中必须作好施工记录，并及时处理好施工中出现的问题。严格做好施工场地及周边的文明施工和环境保护工作。做好与施工现场各专业施工队伍的配合工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 依据技术文件要求，本工程项目的施工必须达到以下现行中华人民共和国及省、市、行业的一切有关法规、规范的要求，如下述标准及规范要求有出入则以较严格者为准。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1.1.1适用法律、法规名称：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中华人民共和国建筑法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中华人民共和国民法典</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中华人民共和国招标投标法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建设工程质量管理条例（国务院279号令）</w:t>
      </w:r>
    </w:p>
    <w:p>
      <w:pPr>
        <w:adjustRightInd w:val="0"/>
        <w:snapToGrid w:val="0"/>
        <w:spacing w:line="360" w:lineRule="exact"/>
        <w:ind w:firstLine="440" w:firstLineChars="200"/>
        <w:rPr>
          <w:rFonts w:ascii="宋体" w:hAnsi="宋体" w:cs="宋体"/>
          <w:sz w:val="22"/>
        </w:rPr>
      </w:pPr>
      <w:bookmarkStart w:id="26" w:name="_Toc66769198"/>
      <w:r>
        <w:rPr>
          <w:rFonts w:hint="eastAsia" w:ascii="宋体" w:hAnsi="宋体" w:cs="宋体"/>
          <w:sz w:val="22"/>
        </w:rPr>
        <w:t>二、材料要求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2.1工程材料选择</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（1）设备材料选择 </w:t>
      </w:r>
    </w:p>
    <w:p>
      <w:pPr>
        <w:widowControl/>
        <w:tabs>
          <w:tab w:val="left" w:pos="720"/>
        </w:tabs>
        <w:snapToGrid w:val="0"/>
        <w:spacing w:line="360" w:lineRule="exact"/>
        <w:rPr>
          <w:rFonts w:ascii="宋体" w:hAnsi="宋体" w:cs="宋体"/>
          <w:sz w:val="22"/>
          <w:lang w:val="zh-CN"/>
        </w:rPr>
      </w:pPr>
      <w:r>
        <w:rPr>
          <w:rFonts w:hint="eastAsia" w:ascii="宋体" w:hAnsi="宋体" w:cs="宋体"/>
          <w:sz w:val="22"/>
        </w:rPr>
        <w:t xml:space="preserve">     </w:t>
      </w:r>
      <w:r>
        <w:rPr>
          <w:rFonts w:hint="eastAsia" w:ascii="宋体" w:hAnsi="宋体" w:cs="宋体"/>
          <w:sz w:val="22"/>
          <w:lang w:val="zh-CN"/>
        </w:rPr>
        <w:t>1)招标人有材料品牌要求的，投标人应按招标文件推荐品牌要求填报，所有未根据要求而未填报或漏填报品牌的投标文件在中标后，招标人有权在推荐品牌中指定任一品牌作为施工使用品牌且中标人不得有异议，价格不变；投标人在投标文件中若提供了招标人推荐品牌外的产品，应同时提供相当于招标人推荐品牌产品的证明材料。</w:t>
      </w:r>
    </w:p>
    <w:p>
      <w:pPr>
        <w:widowControl/>
        <w:tabs>
          <w:tab w:val="left" w:pos="720"/>
        </w:tabs>
        <w:snapToGrid w:val="0"/>
        <w:spacing w:line="360" w:lineRule="exact"/>
        <w:ind w:firstLine="444"/>
        <w:rPr>
          <w:rFonts w:ascii="宋体" w:hAnsi="宋体" w:cs="宋体"/>
          <w:sz w:val="22"/>
          <w:lang w:val="zh-CN"/>
        </w:rPr>
      </w:pPr>
      <w:r>
        <w:rPr>
          <w:rFonts w:hint="eastAsia" w:ascii="宋体" w:hAnsi="宋体" w:cs="宋体"/>
          <w:sz w:val="22"/>
          <w:lang w:val="zh-CN"/>
        </w:rPr>
        <w:t>2)招标人推荐的品牌详见“</w:t>
      </w:r>
      <w:r>
        <w:rPr>
          <w:rFonts w:hint="eastAsia" w:ascii="宋体" w:hAnsi="宋体" w:cs="宋体"/>
          <w:sz w:val="22"/>
        </w:rPr>
        <w:t>主要材料设备推荐品牌一览表</w:t>
      </w:r>
      <w:r>
        <w:rPr>
          <w:rFonts w:hint="eastAsia" w:ascii="宋体" w:hAnsi="宋体" w:cs="宋体"/>
          <w:sz w:val="22"/>
          <w:lang w:val="zh-CN"/>
        </w:rPr>
        <w:t>”中内容。</w:t>
      </w:r>
    </w:p>
    <w:p>
      <w:pPr>
        <w:widowControl/>
        <w:tabs>
          <w:tab w:val="left" w:pos="720"/>
        </w:tabs>
        <w:snapToGrid w:val="0"/>
        <w:spacing w:line="360" w:lineRule="exact"/>
        <w:ind w:firstLine="444"/>
        <w:jc w:val="center"/>
        <w:rPr>
          <w:rFonts w:ascii="宋体" w:hAnsi="宋体" w:cs="宋体"/>
          <w:b/>
          <w:color w:val="auto"/>
          <w:sz w:val="22"/>
        </w:rPr>
      </w:pPr>
      <w:r>
        <w:rPr>
          <w:rFonts w:hint="eastAsia" w:ascii="宋体" w:hAnsi="宋体" w:cs="宋体"/>
          <w:b/>
          <w:color w:val="auto"/>
          <w:sz w:val="22"/>
        </w:rPr>
        <w:t>主要材料设备推荐品牌一览表</w:t>
      </w:r>
    </w:p>
    <w:tbl>
      <w:tblPr>
        <w:tblStyle w:val="12"/>
        <w:tblW w:w="86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2783"/>
        <w:gridCol w:w="4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1063" w:type="dxa"/>
            <w:vAlign w:val="center"/>
          </w:tcPr>
          <w:p>
            <w:pPr>
              <w:widowControl/>
              <w:tabs>
                <w:tab w:val="left" w:pos="720"/>
              </w:tabs>
              <w:snapToGrid w:val="0"/>
              <w:jc w:val="center"/>
              <w:rPr>
                <w:rFonts w:ascii="宋体" w:hAnsi="宋体" w:cs="宋体"/>
                <w:color w:val="auto"/>
                <w:sz w:val="22"/>
              </w:rPr>
            </w:pPr>
            <w:r>
              <w:rPr>
                <w:rFonts w:hint="eastAsia" w:ascii="宋体" w:hAnsi="宋体" w:cs="宋体"/>
                <w:color w:val="auto"/>
                <w:sz w:val="22"/>
              </w:rPr>
              <w:t>序号</w:t>
            </w:r>
          </w:p>
        </w:tc>
        <w:tc>
          <w:tcPr>
            <w:tcW w:w="2783" w:type="dxa"/>
            <w:vAlign w:val="center"/>
          </w:tcPr>
          <w:p>
            <w:pPr>
              <w:snapToGrid w:val="0"/>
              <w:jc w:val="center"/>
              <w:rPr>
                <w:rFonts w:ascii="宋体" w:hAnsi="宋体" w:cs="宋体"/>
                <w:color w:val="auto"/>
                <w:sz w:val="22"/>
              </w:rPr>
            </w:pPr>
            <w:r>
              <w:rPr>
                <w:rFonts w:hint="eastAsia" w:ascii="宋体" w:hAnsi="宋体" w:cs="宋体"/>
                <w:color w:val="auto"/>
                <w:sz w:val="22"/>
              </w:rPr>
              <w:t>材料</w:t>
            </w:r>
          </w:p>
        </w:tc>
        <w:tc>
          <w:tcPr>
            <w:tcW w:w="4829" w:type="dxa"/>
            <w:vAlign w:val="center"/>
          </w:tcPr>
          <w:p>
            <w:pPr>
              <w:snapToGrid w:val="0"/>
              <w:jc w:val="center"/>
              <w:rPr>
                <w:rFonts w:ascii="宋体" w:hAnsi="宋体" w:cs="宋体"/>
                <w:color w:val="auto"/>
                <w:sz w:val="22"/>
              </w:rPr>
            </w:pPr>
            <w:r>
              <w:rPr>
                <w:rFonts w:hint="eastAsia" w:ascii="宋体" w:hAnsi="宋体" w:cs="宋体"/>
                <w:color w:val="auto"/>
                <w:sz w:val="22"/>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063" w:type="dxa"/>
            <w:vAlign w:val="center"/>
          </w:tcPr>
          <w:p>
            <w:pPr>
              <w:snapToGrid w:val="0"/>
              <w:jc w:val="center"/>
              <w:rPr>
                <w:rFonts w:cs="宋体" w:asciiTheme="minorEastAsia" w:hAnsiTheme="minorEastAsia"/>
                <w:color w:val="auto"/>
                <w:sz w:val="22"/>
              </w:rPr>
            </w:pPr>
            <w:r>
              <w:rPr>
                <w:rFonts w:hint="eastAsia" w:asciiTheme="minorEastAsia" w:hAnsiTheme="minorEastAsia"/>
                <w:color w:val="auto"/>
              </w:rPr>
              <w:t>1</w:t>
            </w:r>
          </w:p>
        </w:tc>
        <w:tc>
          <w:tcPr>
            <w:tcW w:w="2783" w:type="dxa"/>
            <w:vAlign w:val="center"/>
          </w:tcPr>
          <w:p>
            <w:pPr>
              <w:snapToGrid w:val="0"/>
              <w:jc w:val="center"/>
              <w:rPr>
                <w:rFonts w:cs="宋体" w:asciiTheme="minorEastAsia" w:hAnsiTheme="minorEastAsia"/>
                <w:bCs/>
                <w:color w:val="auto"/>
                <w:sz w:val="22"/>
              </w:rPr>
            </w:pPr>
            <w:r>
              <w:rPr>
                <w:rFonts w:hint="eastAsia" w:asciiTheme="minorEastAsia" w:hAnsiTheme="minorEastAsia"/>
                <w:color w:val="auto"/>
              </w:rPr>
              <w:t>电力电缆</w:t>
            </w:r>
          </w:p>
        </w:tc>
        <w:tc>
          <w:tcPr>
            <w:tcW w:w="4829" w:type="dxa"/>
            <w:vAlign w:val="center"/>
          </w:tcPr>
          <w:p>
            <w:pPr>
              <w:snapToGrid w:val="0"/>
              <w:jc w:val="center"/>
              <w:rPr>
                <w:rFonts w:cs="宋体" w:asciiTheme="minorEastAsia" w:hAnsiTheme="minorEastAsia"/>
                <w:bCs/>
                <w:color w:val="auto"/>
                <w:sz w:val="22"/>
              </w:rPr>
            </w:pPr>
            <w:r>
              <w:rPr>
                <w:rFonts w:hint="eastAsia" w:asciiTheme="minorEastAsia" w:hAnsiTheme="minorEastAsia"/>
                <w:color w:val="auto"/>
              </w:rPr>
              <w:t>远东电缆、中大元通、浙江万马或“相当于”品牌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063" w:type="dxa"/>
            <w:vAlign w:val="center"/>
          </w:tcPr>
          <w:p>
            <w:pPr>
              <w:snapToGrid w:val="0"/>
              <w:jc w:val="center"/>
              <w:rPr>
                <w:rFonts w:hint="eastAsia" w:cs="宋体" w:asciiTheme="minorEastAsia" w:hAnsiTheme="minorEastAsia"/>
                <w:color w:val="auto"/>
                <w:sz w:val="22"/>
              </w:rPr>
            </w:pPr>
            <w:r>
              <w:rPr>
                <w:rFonts w:hint="eastAsia" w:asciiTheme="minorEastAsia" w:hAnsiTheme="minorEastAsia"/>
                <w:color w:val="auto"/>
              </w:rPr>
              <w:t>2</w:t>
            </w:r>
          </w:p>
        </w:tc>
        <w:tc>
          <w:tcPr>
            <w:tcW w:w="2783" w:type="dxa"/>
            <w:vAlign w:val="center"/>
          </w:tcPr>
          <w:p>
            <w:pPr>
              <w:snapToGrid w:val="0"/>
              <w:jc w:val="center"/>
              <w:rPr>
                <w:rFonts w:hint="eastAsia" w:cs="宋体" w:asciiTheme="minorEastAsia" w:hAnsiTheme="minorEastAsia"/>
                <w:bCs/>
                <w:color w:val="auto"/>
                <w:sz w:val="22"/>
              </w:rPr>
            </w:pPr>
            <w:r>
              <w:rPr>
                <w:rFonts w:hint="eastAsia" w:asciiTheme="minorEastAsia" w:hAnsiTheme="minorEastAsia"/>
                <w:color w:val="auto"/>
              </w:rPr>
              <w:t>乳胶漆</w:t>
            </w:r>
          </w:p>
        </w:tc>
        <w:tc>
          <w:tcPr>
            <w:tcW w:w="4829" w:type="dxa"/>
            <w:vAlign w:val="center"/>
          </w:tcPr>
          <w:p>
            <w:pPr>
              <w:snapToGrid w:val="0"/>
              <w:jc w:val="center"/>
              <w:rPr>
                <w:rFonts w:hint="eastAsia" w:cs="宋体" w:asciiTheme="minorEastAsia" w:hAnsiTheme="minorEastAsia"/>
                <w:bCs/>
                <w:color w:val="auto"/>
                <w:sz w:val="22"/>
              </w:rPr>
            </w:pPr>
            <w:r>
              <w:rPr>
                <w:rFonts w:hint="eastAsia" w:asciiTheme="minorEastAsia" w:hAnsiTheme="minorEastAsia"/>
                <w:color w:val="auto"/>
              </w:rPr>
              <w:t>多乐士、立邦、SKK或“相当于”品牌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063" w:type="dxa"/>
            <w:vAlign w:val="center"/>
          </w:tcPr>
          <w:p>
            <w:pPr>
              <w:snapToGrid w:val="0"/>
              <w:jc w:val="center"/>
              <w:rPr>
                <w:rFonts w:hint="eastAsia" w:cs="宋体" w:asciiTheme="minorEastAsia" w:hAnsiTheme="minorEastAsia"/>
                <w:color w:val="auto"/>
                <w:sz w:val="22"/>
              </w:rPr>
            </w:pPr>
            <w:r>
              <w:rPr>
                <w:rFonts w:hint="eastAsia" w:cs="宋体" w:asciiTheme="minorEastAsia" w:hAnsiTheme="minorEastAsia"/>
                <w:color w:val="auto"/>
                <w:sz w:val="22"/>
                <w:lang w:val="en-US" w:eastAsia="zh-CN"/>
              </w:rPr>
              <w:t>3</w:t>
            </w:r>
          </w:p>
        </w:tc>
        <w:tc>
          <w:tcPr>
            <w:tcW w:w="2783" w:type="dxa"/>
            <w:vAlign w:val="center"/>
          </w:tcPr>
          <w:p>
            <w:pPr>
              <w:snapToGrid w:val="0"/>
              <w:jc w:val="center"/>
              <w:rPr>
                <w:rFonts w:hint="eastAsia" w:asciiTheme="minorEastAsia" w:hAnsiTheme="minorEastAsia"/>
                <w:color w:val="auto"/>
              </w:rPr>
            </w:pPr>
            <w:r>
              <w:rPr>
                <w:rFonts w:hint="eastAsia" w:asciiTheme="minorEastAsia" w:hAnsiTheme="minorEastAsia"/>
                <w:color w:val="auto"/>
                <w:lang w:val="en-US" w:eastAsia="zh-CN"/>
              </w:rPr>
              <w:t>室外防水监控</w:t>
            </w:r>
          </w:p>
        </w:tc>
        <w:tc>
          <w:tcPr>
            <w:tcW w:w="4829" w:type="dxa"/>
            <w:vAlign w:val="center"/>
          </w:tcPr>
          <w:p>
            <w:pPr>
              <w:snapToGrid w:val="0"/>
              <w:jc w:val="center"/>
              <w:rPr>
                <w:rFonts w:hint="eastAsia" w:cs="宋体" w:asciiTheme="minorEastAsia" w:hAnsiTheme="minorEastAsia"/>
                <w:bCs/>
                <w:color w:val="auto"/>
                <w:sz w:val="22"/>
              </w:rPr>
            </w:pPr>
            <w:r>
              <w:rPr>
                <w:rFonts w:hint="eastAsia" w:cs="宋体" w:asciiTheme="minorEastAsia" w:hAnsiTheme="minorEastAsia"/>
                <w:bCs/>
                <w:color w:val="auto"/>
                <w:sz w:val="22"/>
                <w:lang w:val="en-US" w:eastAsia="zh-CN"/>
              </w:rPr>
              <w:t>大华、海康威视、萤石</w:t>
            </w:r>
            <w:r>
              <w:rPr>
                <w:rFonts w:hint="eastAsia" w:cs="宋体" w:asciiTheme="minorEastAsia" w:hAnsiTheme="minorEastAsia"/>
                <w:bCs/>
                <w:color w:val="auto"/>
                <w:sz w:val="22"/>
              </w:rPr>
              <w:t>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063" w:type="dxa"/>
            <w:vAlign w:val="center"/>
          </w:tcPr>
          <w:p>
            <w:pPr>
              <w:snapToGrid w:val="0"/>
              <w:jc w:val="center"/>
              <w:rPr>
                <w:rFonts w:hint="eastAsia" w:cs="宋体" w:asciiTheme="minorEastAsia" w:hAnsiTheme="minorEastAsia"/>
                <w:color w:val="auto"/>
                <w:sz w:val="22"/>
                <w:lang w:val="en-US" w:eastAsia="zh-CN"/>
              </w:rPr>
            </w:pPr>
            <w:r>
              <w:rPr>
                <w:rFonts w:hint="eastAsia" w:cs="宋体" w:asciiTheme="minorEastAsia" w:hAnsiTheme="minorEastAsia"/>
                <w:color w:val="auto"/>
                <w:sz w:val="22"/>
                <w:lang w:val="en-US" w:eastAsia="zh-CN"/>
              </w:rPr>
              <w:t>4</w:t>
            </w:r>
          </w:p>
        </w:tc>
        <w:tc>
          <w:tcPr>
            <w:tcW w:w="2783" w:type="dxa"/>
            <w:vAlign w:val="center"/>
          </w:tcPr>
          <w:p>
            <w:pPr>
              <w:snapToGrid w:val="0"/>
              <w:jc w:val="center"/>
              <w:rPr>
                <w:rFonts w:hint="eastAsia" w:asciiTheme="minorEastAsia" w:hAnsiTheme="minorEastAsia"/>
                <w:color w:val="auto"/>
                <w:lang w:val="en-US" w:eastAsia="zh-CN"/>
              </w:rPr>
            </w:pPr>
            <w:r>
              <w:rPr>
                <w:rFonts w:hint="eastAsia" w:asciiTheme="minorEastAsia" w:hAnsiTheme="minorEastAsia"/>
                <w:color w:val="auto"/>
                <w:lang w:val="en-US" w:eastAsia="zh-CN"/>
              </w:rPr>
              <w:t>甲级防盗双开门</w:t>
            </w:r>
          </w:p>
        </w:tc>
        <w:tc>
          <w:tcPr>
            <w:tcW w:w="4829" w:type="dxa"/>
            <w:vAlign w:val="center"/>
          </w:tcPr>
          <w:p>
            <w:pPr>
              <w:snapToGrid w:val="0"/>
              <w:jc w:val="center"/>
              <w:rPr>
                <w:rFonts w:hint="eastAsia" w:cs="宋体" w:asciiTheme="minorEastAsia" w:hAnsiTheme="minorEastAsia"/>
                <w:bCs/>
                <w:color w:val="auto"/>
                <w:sz w:val="22"/>
                <w:lang w:val="en-US" w:eastAsia="zh-CN"/>
              </w:rPr>
            </w:pPr>
            <w:r>
              <w:rPr>
                <w:rFonts w:hint="eastAsia" w:cs="宋体" w:asciiTheme="minorEastAsia" w:hAnsiTheme="minorEastAsia"/>
                <w:bCs/>
                <w:color w:val="auto"/>
                <w:sz w:val="22"/>
                <w:lang w:val="en-US" w:eastAsia="zh-CN"/>
              </w:rPr>
              <w:t>锐亿、君格、哈勃或“相当于”品牌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063" w:type="dxa"/>
            <w:vAlign w:val="center"/>
          </w:tcPr>
          <w:p>
            <w:pPr>
              <w:snapToGrid w:val="0"/>
              <w:jc w:val="center"/>
              <w:rPr>
                <w:rFonts w:hint="eastAsia" w:cs="宋体" w:asciiTheme="minorEastAsia" w:hAnsiTheme="minorEastAsia"/>
                <w:color w:val="auto"/>
                <w:sz w:val="22"/>
                <w:lang w:val="en-US" w:eastAsia="zh-CN"/>
              </w:rPr>
            </w:pPr>
            <w:r>
              <w:rPr>
                <w:rFonts w:hint="eastAsia" w:cs="宋体" w:asciiTheme="minorEastAsia" w:hAnsiTheme="minorEastAsia"/>
                <w:color w:val="auto"/>
                <w:sz w:val="22"/>
                <w:lang w:val="en-US" w:eastAsia="zh-CN"/>
              </w:rPr>
              <w:t>5</w:t>
            </w:r>
          </w:p>
        </w:tc>
        <w:tc>
          <w:tcPr>
            <w:tcW w:w="2783" w:type="dxa"/>
            <w:vAlign w:val="center"/>
          </w:tcPr>
          <w:p>
            <w:pPr>
              <w:snapToGrid w:val="0"/>
              <w:jc w:val="center"/>
              <w:rPr>
                <w:rFonts w:hint="eastAsia" w:asciiTheme="minorEastAsia" w:hAnsiTheme="minorEastAsia"/>
                <w:color w:val="auto"/>
                <w:lang w:val="en-US" w:eastAsia="zh-CN"/>
              </w:rPr>
            </w:pPr>
            <w:r>
              <w:rPr>
                <w:rFonts w:hint="eastAsia" w:asciiTheme="minorEastAsia" w:hAnsiTheme="minorEastAsia"/>
                <w:color w:val="auto"/>
                <w:lang w:val="en-US" w:eastAsia="zh-CN"/>
              </w:rPr>
              <w:t>PVC排水管</w:t>
            </w:r>
          </w:p>
        </w:tc>
        <w:tc>
          <w:tcPr>
            <w:tcW w:w="4829" w:type="dxa"/>
            <w:vAlign w:val="center"/>
          </w:tcPr>
          <w:p>
            <w:pPr>
              <w:snapToGrid w:val="0"/>
              <w:jc w:val="center"/>
              <w:rPr>
                <w:rFonts w:hint="eastAsia" w:cs="宋体" w:asciiTheme="minorEastAsia" w:hAnsiTheme="minorEastAsia"/>
                <w:bCs/>
                <w:color w:val="auto"/>
                <w:sz w:val="22"/>
                <w:lang w:val="en-US" w:eastAsia="zh-CN"/>
              </w:rPr>
            </w:pPr>
            <w:r>
              <w:rPr>
                <w:rFonts w:hint="eastAsia" w:cs="宋体" w:asciiTheme="minorEastAsia" w:hAnsiTheme="minorEastAsia"/>
                <w:bCs/>
                <w:color w:val="auto"/>
                <w:sz w:val="22"/>
                <w:lang w:val="en-US" w:eastAsia="zh-CN"/>
              </w:rPr>
              <w:t>中财、公元、伟星或“相当于”品牌</w:t>
            </w:r>
          </w:p>
        </w:tc>
      </w:tr>
    </w:tbl>
    <w:p>
      <w:pPr>
        <w:widowControl/>
        <w:tabs>
          <w:tab w:val="left" w:pos="720"/>
        </w:tabs>
        <w:snapToGrid w:val="0"/>
        <w:spacing w:line="360" w:lineRule="exact"/>
        <w:ind w:firstLine="442" w:firstLineChars="200"/>
        <w:rPr>
          <w:rFonts w:ascii="宋体" w:hAnsi="宋体" w:cs="宋体"/>
          <w:b/>
          <w:sz w:val="22"/>
        </w:rPr>
      </w:pPr>
    </w:p>
    <w:p>
      <w:pPr>
        <w:widowControl/>
        <w:tabs>
          <w:tab w:val="left" w:pos="720"/>
        </w:tabs>
        <w:snapToGrid w:val="0"/>
        <w:spacing w:line="360" w:lineRule="exact"/>
        <w:ind w:firstLine="442" w:firstLineChars="200"/>
        <w:rPr>
          <w:rFonts w:ascii="宋体" w:hAnsi="宋体" w:cs="宋体"/>
          <w:sz w:val="22"/>
        </w:rPr>
      </w:pPr>
      <w:r>
        <w:rPr>
          <w:rFonts w:hint="eastAsia" w:ascii="宋体" w:hAnsi="宋体" w:cs="宋体"/>
          <w:b/>
          <w:sz w:val="22"/>
        </w:rPr>
        <w:t>3)所用各类设备材料须经发包人认可后方可使用。</w:t>
      </w:r>
      <w:r>
        <w:rPr>
          <w:rFonts w:hint="eastAsia" w:ascii="宋体" w:hAnsi="宋体" w:cs="宋体"/>
          <w:sz w:val="22"/>
        </w:rPr>
        <w:t>投标单位主要设备材料品牌漏填或少填的，中标后由发包人在推荐品牌中选定，且报价不作调整。</w:t>
      </w:r>
    </w:p>
    <w:p>
      <w:pPr>
        <w:snapToGrid w:val="0"/>
        <w:spacing w:line="360" w:lineRule="exact"/>
        <w:rPr>
          <w:rFonts w:ascii="宋体" w:hAnsi="宋体" w:cs="宋体"/>
          <w:sz w:val="22"/>
        </w:rPr>
      </w:pPr>
      <w:r>
        <w:rPr>
          <w:rFonts w:hint="eastAsia" w:ascii="宋体" w:hAnsi="宋体" w:cs="宋体"/>
          <w:sz w:val="22"/>
        </w:rPr>
        <w:t xml:space="preserve">    4）所用各类设备材料都应符合设计和国家规定的相关技术规范标准要求。 </w:t>
      </w:r>
    </w:p>
    <w:p>
      <w:pPr>
        <w:snapToGrid w:val="0"/>
        <w:spacing w:line="360" w:lineRule="exact"/>
        <w:rPr>
          <w:rFonts w:ascii="宋体" w:hAnsi="宋体" w:cs="宋体"/>
          <w:sz w:val="22"/>
        </w:rPr>
      </w:pPr>
      <w:r>
        <w:rPr>
          <w:rFonts w:hint="eastAsia" w:ascii="宋体" w:hAnsi="宋体" w:cs="宋体"/>
          <w:sz w:val="22"/>
        </w:rPr>
        <w:t xml:space="preserve">    5）所用各类设备材料均有质量合格证书。</w:t>
      </w:r>
    </w:p>
    <w:p>
      <w:pPr>
        <w:widowControl/>
        <w:tabs>
          <w:tab w:val="left" w:pos="720"/>
        </w:tabs>
        <w:snapToGrid w:val="0"/>
        <w:spacing w:line="360" w:lineRule="exact"/>
        <w:ind w:firstLine="440" w:firstLineChars="200"/>
        <w:rPr>
          <w:rFonts w:ascii="宋体" w:hAnsi="宋体" w:cs="宋体"/>
          <w:sz w:val="22"/>
        </w:rPr>
      </w:pPr>
      <w:r>
        <w:rPr>
          <w:rFonts w:hint="eastAsia" w:ascii="宋体" w:hAnsi="宋体" w:cs="宋体"/>
          <w:sz w:val="22"/>
        </w:rPr>
        <w:t>6）承包人在选定品牌或制造商时应充分考虑供货等风险，若承包人选定品牌或制造商在实施时无法供货或无法正常供货，将由发包人在推荐品牌或制造商中予以指定。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（2）设备材料的质量保证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1）在施工期间内，承包人对有缺陷的部位必须无偿地给予修正，并承担一切由此引起的对发包人或第三者的直接损失，除非该缺陷是由于人为破坏或合同规定的不可抗因素造成的损坏。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未列入以上品牌推荐表的其它材料和设备，投标人在投标报价时应选择国内优质成熟的产品，施工时需得到发包人的认可，如承包人选定的产品不能满足以上要求，发包人保留更换的权利，且中标价不予调整。</w:t>
      </w:r>
    </w:p>
    <w:p>
      <w:pPr>
        <w:adjustRightInd w:val="0"/>
        <w:snapToGrid w:val="0"/>
        <w:spacing w:line="360" w:lineRule="exact"/>
        <w:ind w:firstLine="442" w:firstLineChars="200"/>
        <w:rPr>
          <w:rFonts w:hint="eastAsia" w:ascii="宋体" w:hAnsi="宋体" w:cs="宋体"/>
          <w:b/>
          <w:bCs/>
          <w:sz w:val="22"/>
        </w:rPr>
      </w:pPr>
      <w:r>
        <w:rPr>
          <w:rFonts w:hint="eastAsia" w:ascii="宋体" w:hAnsi="宋体" w:cs="宋体"/>
          <w:b/>
          <w:bCs/>
          <w:sz w:val="22"/>
        </w:rPr>
        <w:t>（3）施工过程中如涉及需拆除原有材料设备（除需利旧的材料设备外），由承包人自行处理，其残值及处置相关费用，由投标人综合考虑，包含在投标报价中。</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3.1一般要求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承包人必须按照工程量清单及技术规范进行施工，严格按照批准的施工技术方案和施工组织设计进行施工，力争做到“一流的施工管理，一流的工程质量”；同时施工组织实施须遵守机场相关规定要求。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3.2施工准备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承包人应在开工前依施工现场情况合理制定施工技术方案和施工组织设计，在服从发包人的安排和总进度计划要求情况下制定施工方案，并按发包人批准的施工方案组织施工。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3.3施工质量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3.3.1工程施工质量控制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（1）为了保证工程施工质量，投标单位必须建立完善的全面质量管理体系（GB/T1900），对工程施工生产进行全过程、全方位的质量监督、检查与控制。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（2）施工阶段质量控制包括事前的各项施工准备工作质量控制，施工过程中的质量控制，以及各单项工程及整个工程项目完工后对建筑施工及安装产品质量的事后控制。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（3）依据国家及政府有关部门颁布的有关质量管理的法律、法规、标准等，严格控制施工工序质量以及检验和评定工程项目质量。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3.3.2现场质量监督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（1）承包人在施工过程中，必须无条件地接受发包人的检查和监督，并执行发包人发出的指令，确保工程质量符合设计要求及相关规范、标准的规定。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（2）工程中使用的材料均应符合相应技术要求，并符合发包人的指示要求，或在现场进行检验。</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没有发包人的批准，隐蔽工程的任何部分均不得覆盖或使之无法查看。承包人应保证发包人有充分的时间，对隐蔽工程进行检查和测量。无论何时，当工程的任何部分已经做好检查准备时，承包人应通知发包人进行检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（4）发包人有权随时对下述事项发出指示：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1）在指示规定的时间内，将发包人确认不合格的任何材料从现场运走。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2）在指示规定的时间内，承包人必须将不合格的任何工程拆除并重新施工。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（5）如果承包人在指示规定的时间内未执行上述指示时，则发包人有权雇用他人执行该项指示，所发生的有关费用由承包人负担。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（6）根据发包人的指示，承包人应按发包人认为必要的时间和方式暂停工程或其他任何部分的工作，在暂时停工期间，承包人应对工程进行必要的保护和安全保障。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3.3.3施工偏差要求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承包人需就一切有关之材料和整体结构，必须满足相应的技术标准及规范的规定。若产生施工偏差，承包人必须无条件返工，直至达到相应的技术标准及规范的规定，费用由承包人承担。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3.4检验和验收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发包人有权在本工程施工过程中，进行随时地检查、检验和监督，为合同规定提供的材料进行性能试验。检验工作如果超出了承包人的能力，承包人应安排到第三方（指除发包人、承包人以外的另一方）进行，该第三方必须有检验条件和相应资质。检验工作的任何变化都应征得发包人的书面确认。如果某些试验项目在其他场所进行，</w:t>
      </w:r>
      <w:r>
        <w:rPr>
          <w:rFonts w:hint="eastAsia" w:ascii="宋体" w:hAnsi="宋体" w:cs="宋体"/>
          <w:b/>
          <w:bCs/>
          <w:sz w:val="22"/>
        </w:rPr>
        <w:t>承包人应替发包人办理进入现场的手续和亲自陪同。</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3.5施工管理要求</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3.5.1承包人必须服从发包人对于本工程进度、质量、安全施工等要求。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3.5.2本工程发包范围内的工程项目，一律不得分包。一经发现立即取消承包资格，作违约处理，并承担由此引起的一切经济损失。</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3.5.3承包人应严格按施工技术方案组织施工，并无条件地接受发包人对施工质量的监督和管理。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3.5.4施工现场的建筑垃圾要及时清运，并自行运至机场区域范围以外，施工现场的材料、设备退场及现场清扫工作需于竣工验收前全部完成。上述相关处置费用，由投标人综合考虑，包含在投标报价中。</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3.6主要施工技术要求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3.6.1进出场道路：投标人现场自行调查了解，所有材料不因场内外道路状况、运输线路、运距发生变化而进行调价。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3.6.2施工及生活用水：建设单位负责提供施工场地附近外接水源接口，场内接管、安装水表由施工单位自行解决，每月按水表数据支付。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3.6.3施工用电：施工单位根据现场情况及施工阶段性需要必须考虑自行配备足够数量、功率的发电机。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3.6.4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3.6.5本次招标的工程需考虑以下问题：</w:t>
      </w:r>
    </w:p>
    <w:p>
      <w:pPr>
        <w:numPr>
          <w:ilvl w:val="0"/>
          <w:numId w:val="8"/>
        </w:numPr>
        <w:adjustRightInd w:val="0"/>
        <w:snapToGrid w:val="0"/>
        <w:spacing w:line="360" w:lineRule="exact"/>
        <w:ind w:firstLine="440" w:firstLineChars="200"/>
        <w:rPr>
          <w:rFonts w:ascii="宋体" w:hAnsi="宋体" w:cs="宋体"/>
          <w:sz w:val="22"/>
        </w:rPr>
      </w:pPr>
      <w:r>
        <w:rPr>
          <w:rFonts w:hint="eastAsia" w:ascii="宋体" w:hAnsi="宋体" w:cs="宋体"/>
          <w:sz w:val="22"/>
        </w:rPr>
        <w:t>需做好施工单位的车辆进出场及材料推放的管理工作，相关费用计入投标报价，中标后不再调整。</w:t>
      </w:r>
    </w:p>
    <w:p>
      <w:pPr>
        <w:numPr>
          <w:ilvl w:val="0"/>
          <w:numId w:val="8"/>
        </w:numPr>
        <w:adjustRightInd w:val="0"/>
        <w:snapToGrid w:val="0"/>
        <w:spacing w:line="360" w:lineRule="exact"/>
        <w:ind w:firstLine="440" w:firstLineChars="200"/>
        <w:rPr>
          <w:rFonts w:ascii="宋体" w:hAnsi="宋体" w:cs="宋体"/>
          <w:sz w:val="22"/>
        </w:rPr>
      </w:pPr>
      <w:r>
        <w:rPr>
          <w:rFonts w:hint="eastAsia" w:ascii="宋体" w:hAnsi="宋体" w:cs="宋体"/>
          <w:sz w:val="22"/>
        </w:rPr>
        <w:t>本工程开工时间根据甲方提供施工场地时间为准，投标人在投标时须考虑由此造成的工期延长，由此造成的费用不做变更。</w:t>
      </w:r>
    </w:p>
    <w:p>
      <w:pPr>
        <w:numPr>
          <w:ilvl w:val="0"/>
          <w:numId w:val="8"/>
        </w:numPr>
        <w:adjustRightInd w:val="0"/>
        <w:snapToGrid w:val="0"/>
        <w:spacing w:line="360" w:lineRule="exact"/>
        <w:ind w:firstLine="440" w:firstLineChars="200"/>
        <w:rPr>
          <w:rFonts w:ascii="宋体" w:hAnsi="宋体" w:cs="宋体"/>
          <w:sz w:val="22"/>
        </w:rPr>
      </w:pPr>
      <w:r>
        <w:rPr>
          <w:rFonts w:hint="eastAsia" w:ascii="宋体" w:hAnsi="宋体" w:cs="宋体"/>
          <w:sz w:val="22"/>
        </w:rPr>
        <w:t>本次施工区域可能存在部分障碍物需要拆除、移除，相关费用计入投标报价中，中标后不再调整。</w:t>
      </w:r>
    </w:p>
    <w:bookmarkEnd w:id="26"/>
    <w:p>
      <w:pPr>
        <w:snapToGrid w:val="0"/>
        <w:spacing w:line="360" w:lineRule="exact"/>
        <w:ind w:firstLine="440" w:firstLineChars="200"/>
        <w:rPr>
          <w:rFonts w:ascii="宋体" w:hAnsi="宋体" w:cs="宋体"/>
          <w:sz w:val="22"/>
        </w:rPr>
      </w:pPr>
      <w:r>
        <w:rPr>
          <w:rFonts w:hint="eastAsia" w:ascii="宋体" w:hAnsi="宋体" w:cs="宋体"/>
          <w:sz w:val="22"/>
        </w:rPr>
        <w:t>四、产品保护</w:t>
      </w:r>
    </w:p>
    <w:p>
      <w:pPr>
        <w:snapToGrid w:val="0"/>
        <w:spacing w:line="360" w:lineRule="exact"/>
        <w:ind w:firstLine="440" w:firstLineChars="200"/>
        <w:rPr>
          <w:rFonts w:ascii="宋体" w:hAnsi="宋体" w:cs="宋体"/>
          <w:sz w:val="22"/>
        </w:rPr>
      </w:pPr>
      <w:r>
        <w:rPr>
          <w:rFonts w:hint="eastAsia" w:ascii="宋体" w:hAnsi="宋体" w:cs="宋体"/>
          <w:sz w:val="22"/>
        </w:rPr>
        <w:t>4.1在工程现场及其周围已由其他施工单位完成和在建的建筑产品，承包人在现场施工中应负有保护责任和义务，因工程施工引起损坏，由承包人负责赔偿或修复。</w:t>
      </w:r>
    </w:p>
    <w:p>
      <w:pPr>
        <w:snapToGrid w:val="0"/>
        <w:spacing w:line="360" w:lineRule="exact"/>
        <w:ind w:firstLine="440" w:firstLineChars="200"/>
        <w:rPr>
          <w:rFonts w:ascii="宋体" w:hAnsi="宋体" w:cs="宋体"/>
          <w:sz w:val="22"/>
        </w:rPr>
      </w:pPr>
      <w:r>
        <w:rPr>
          <w:rFonts w:hint="eastAsia" w:ascii="宋体" w:hAnsi="宋体" w:cs="宋体"/>
          <w:sz w:val="22"/>
        </w:rPr>
        <w:t>4.2承包人在施工期间，直至竣工验收尚未正式移交之前，应负责对所有材料及现场进行保护和清洁工作，直至办理完正式移交为止。若在此过程中发生材料丢失和产品损坏，应承担赔偿和修复。</w:t>
      </w:r>
    </w:p>
    <w:p>
      <w:pPr>
        <w:snapToGrid w:val="0"/>
        <w:spacing w:line="360" w:lineRule="exact"/>
        <w:ind w:firstLine="442" w:firstLineChars="200"/>
        <w:rPr>
          <w:rFonts w:ascii="宋体" w:hAnsi="宋体" w:cs="宋体"/>
          <w:b/>
          <w:sz w:val="22"/>
        </w:rPr>
      </w:pPr>
      <w:r>
        <w:rPr>
          <w:rFonts w:hint="eastAsia" w:ascii="宋体" w:hAnsi="宋体" w:cs="宋体"/>
          <w:b/>
          <w:kern w:val="0"/>
          <w:sz w:val="22"/>
        </w:rPr>
        <w:t>五、其他要求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5.1施工临设在建设单位指定区域自行搭设，施工进场前方案报招标人同意后方可搭建。施工临设用地、材料堆场等在工程竣工验收通过后10日内自行拆除、彻底清理，并恢复原状。费用由投标人综合考虑，不另行计算。</w:t>
      </w:r>
    </w:p>
    <w:p>
      <w:pPr>
        <w:snapToGrid w:val="0"/>
        <w:spacing w:line="360" w:lineRule="exact"/>
        <w:ind w:firstLine="442" w:firstLineChars="200"/>
        <w:rPr>
          <w:rFonts w:ascii="宋体" w:hAnsi="宋体" w:cs="宋体"/>
          <w:b/>
          <w:sz w:val="22"/>
        </w:rPr>
      </w:pPr>
      <w:r>
        <w:rPr>
          <w:rFonts w:hint="eastAsia" w:ascii="宋体" w:hAnsi="宋体" w:cs="宋体"/>
          <w:b/>
          <w:sz w:val="22"/>
        </w:rPr>
        <w:t>5.2承包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须按检验批拍摄留存影像资料文件。</w:t>
      </w:r>
    </w:p>
    <w:p>
      <w:pPr>
        <w:snapToGrid w:val="0"/>
        <w:spacing w:line="360" w:lineRule="exact"/>
        <w:ind w:firstLine="442" w:firstLineChars="200"/>
        <w:rPr>
          <w:rFonts w:ascii="宋体" w:hAnsi="宋体" w:cs="宋体"/>
          <w:b/>
          <w:sz w:val="22"/>
        </w:rPr>
      </w:pPr>
      <w:r>
        <w:rPr>
          <w:rFonts w:hint="eastAsia" w:ascii="宋体" w:hAnsi="宋体" w:cs="宋体"/>
          <w:b/>
          <w:sz w:val="22"/>
        </w:rPr>
        <w:t>5.3本工程为固定单价合同。请投标人依据本项目招标内容、技术标准及要求、工程量清单提交报价，参与报价单位应充分考虑施工现场的实际情况、市场风险及自身承受能力，并根据本项目特点及施工技术规范、施工工艺要求，组织并测算为完成项目所必须采取的工艺及措施进行报价，报价应包含完成项目所需人工费、材料费、机械费和对应的企业管理费、利润以及全部风险费用、措施项目费用、其他项目费用、规费、税金等一切费用。项目竣工验收后按实办理结算（按项报价子目不再调整）。</w:t>
      </w:r>
    </w:p>
    <w:p>
      <w:pPr>
        <w:snapToGrid w:val="0"/>
        <w:spacing w:line="360" w:lineRule="exact"/>
        <w:ind w:firstLine="442" w:firstLineChars="200"/>
        <w:rPr>
          <w:rFonts w:ascii="宋体" w:hAnsi="宋体" w:cs="宋体"/>
          <w:b/>
          <w:sz w:val="22"/>
        </w:rPr>
      </w:pPr>
      <w:r>
        <w:rPr>
          <w:rFonts w:hint="eastAsia" w:ascii="宋体" w:hAnsi="宋体" w:cs="宋体"/>
          <w:b/>
          <w:sz w:val="22"/>
        </w:rPr>
        <w:t>5.4发包范围外招标人提出并签证的费用由承包人在施工前提出并补充编制工料单价预算书。变更估价时，工程量清单中有的项目单价，按承包人投标工程量清单中该项综合单价计取；工程量清单中无适用的项目单价，套用浙江省2018定额，按分部分项工程费＋规费+税金计取；不能套用浙江省2018定额的项目，可按照成本加利润的原则，承包人与发包人协商后执行。</w:t>
      </w:r>
    </w:p>
    <w:p>
      <w:pPr>
        <w:snapToGrid w:val="0"/>
        <w:spacing w:line="360" w:lineRule="exact"/>
        <w:ind w:firstLine="442" w:firstLineChars="200"/>
        <w:rPr>
          <w:rFonts w:ascii="宋体" w:hAnsi="宋体" w:cs="宋体"/>
          <w:b/>
          <w:sz w:val="22"/>
        </w:rPr>
      </w:pPr>
      <w:r>
        <w:rPr>
          <w:rFonts w:hint="eastAsia" w:ascii="宋体" w:hAnsi="宋体" w:cs="宋体"/>
          <w:b/>
          <w:sz w:val="22"/>
        </w:rPr>
        <w:t>5.5计日工单价最高限价210元/工日。</w:t>
      </w:r>
    </w:p>
    <w:p>
      <w:pPr>
        <w:snapToGrid w:val="0"/>
        <w:spacing w:line="360" w:lineRule="exact"/>
        <w:ind w:firstLine="442" w:firstLineChars="200"/>
        <w:rPr>
          <w:rFonts w:ascii="宋体" w:hAnsi="宋体" w:cs="宋体"/>
          <w:b/>
          <w:sz w:val="22"/>
        </w:rPr>
      </w:pPr>
      <w:r>
        <w:rPr>
          <w:rFonts w:hint="eastAsia" w:ascii="宋体" w:hAnsi="宋体" w:cs="宋体"/>
          <w:b/>
          <w:sz w:val="22"/>
        </w:rPr>
        <w:t>5.6工程施工期间，承包人须无条件服从机场公司关于工期进度的统一安排。投标人需充分考虑隔离区内施工时间及工期的不确定性，如由于机场运行要求某些时间不得施工等或如遇长时间停工等任何突发情况，请投标人在投标时充分考虑相关费用，中标后不予增加费用。</w:t>
      </w:r>
    </w:p>
    <w:p>
      <w:pPr>
        <w:pStyle w:val="2"/>
        <w:ind w:firstLine="442" w:firstLineChars="200"/>
        <w:rPr>
          <w:rFonts w:ascii="宋体" w:hAnsi="宋体" w:cs="宋体"/>
          <w:b/>
          <w:sz w:val="22"/>
        </w:rPr>
      </w:pPr>
      <w:r>
        <w:rPr>
          <w:rFonts w:hint="eastAsia" w:ascii="宋体" w:hAnsi="宋体" w:cs="宋体"/>
          <w:b/>
          <w:sz w:val="22"/>
        </w:rPr>
        <w:t>5.7本项目工程位于机场隔离区内，承包人必须确保在施工阶段不影响机场正常运行，遵守机场不停航施工管理规定、施工安全条例。</w:t>
      </w:r>
    </w:p>
    <w:p>
      <w:pPr>
        <w:ind w:firstLine="442" w:firstLineChars="200"/>
        <w:rPr>
          <w:rFonts w:ascii="宋体" w:hAnsi="宋体" w:cs="宋体"/>
          <w:b/>
          <w:sz w:val="22"/>
        </w:rPr>
      </w:pPr>
      <w:r>
        <w:rPr>
          <w:rFonts w:hint="eastAsia" w:ascii="宋体" w:hAnsi="宋体" w:cs="宋体"/>
          <w:b/>
          <w:sz w:val="22"/>
        </w:rPr>
        <w:t>5.8承包人施工人员在进出机场隔离区时必须办理相关证件（有效期一个月）。费用由投标人综合考虑，包含在投标报价中。</w:t>
      </w:r>
    </w:p>
    <w:p>
      <w:pPr>
        <w:ind w:firstLine="442" w:firstLineChars="200"/>
        <w:rPr>
          <w:rFonts w:hint="eastAsia" w:ascii="宋体" w:hAnsi="宋体" w:cs="宋体"/>
          <w:b/>
          <w:color w:val="auto"/>
          <w:sz w:val="22"/>
        </w:rPr>
      </w:pPr>
      <w:r>
        <w:rPr>
          <w:rFonts w:hint="eastAsia" w:ascii="宋体" w:hAnsi="宋体" w:cs="宋体"/>
          <w:b/>
          <w:sz w:val="22"/>
        </w:rPr>
        <w:t>5.9因本项目施工地点位于机场隔离区内，隔离区相关施工措施包括施工导致的夜间加班、工效降低、证件办理等需产生的费用，投标人必须充分考虑，费用包含在隔离区施工措施费报价中。投标人需考虑聘请招标人推荐的机场专业保安，负责门卫、巡逻、施工现场看护、隔离区围界看护等工作，人数每个施工区域每班不得少于1人，并配备相应的保卫措施，保安费用按实结算（结算时中标人需提供相应票据作为依据），</w:t>
      </w:r>
      <w:r>
        <w:rPr>
          <w:rFonts w:hint="eastAsia" w:ascii="宋体" w:hAnsi="宋体" w:cs="宋体"/>
          <w:b/>
          <w:color w:val="auto"/>
          <w:sz w:val="22"/>
        </w:rPr>
        <w:t>★投标报价中施工安全监管费按</w:t>
      </w:r>
      <w:r>
        <w:rPr>
          <w:rFonts w:hint="eastAsia" w:ascii="宋体" w:hAnsi="宋体" w:cs="宋体"/>
          <w:b/>
          <w:color w:val="auto"/>
          <w:sz w:val="22"/>
          <w:lang w:val="en-US" w:eastAsia="zh-CN"/>
        </w:rPr>
        <w:t>4000</w:t>
      </w:r>
      <w:r>
        <w:rPr>
          <w:rFonts w:hint="eastAsia" w:ascii="宋体" w:hAnsi="宋体" w:cs="宋体"/>
          <w:b/>
          <w:color w:val="auto"/>
          <w:sz w:val="22"/>
        </w:rPr>
        <w:t>元暂列金额计入，不得优惠。</w:t>
      </w:r>
    </w:p>
    <w:p>
      <w:pPr>
        <w:spacing w:line="360" w:lineRule="exact"/>
        <w:ind w:firstLine="442" w:firstLineChars="200"/>
        <w:jc w:val="left"/>
        <w:rPr>
          <w:rFonts w:ascii="宋体" w:hAnsi="宋体" w:cs="宋体"/>
          <w:b/>
          <w:sz w:val="22"/>
        </w:rPr>
      </w:pPr>
      <w:r>
        <w:rPr>
          <w:rFonts w:hint="eastAsia" w:ascii="宋体" w:hAnsi="宋体" w:cs="宋体"/>
          <w:b/>
          <w:sz w:val="22"/>
        </w:rPr>
        <w:t>5.</w:t>
      </w:r>
      <w:r>
        <w:rPr>
          <w:rFonts w:ascii="宋体" w:hAnsi="宋体" w:cs="宋体"/>
          <w:b/>
          <w:sz w:val="22"/>
        </w:rPr>
        <w:t>10</w:t>
      </w:r>
      <w:r>
        <w:rPr>
          <w:rFonts w:hint="eastAsia" w:ascii="宋体" w:hAnsi="宋体" w:cs="宋体"/>
          <w:b/>
          <w:sz w:val="22"/>
        </w:rPr>
        <w:t>承包人须无条件配合发包人要求，施工前应征得发包人同意，不得擅自施工，如擅自施工导致的一切后果由承包人承担。</w:t>
      </w:r>
    </w:p>
    <w:p>
      <w:pPr>
        <w:spacing w:line="360" w:lineRule="exact"/>
        <w:ind w:firstLine="442" w:firstLineChars="200"/>
        <w:jc w:val="left"/>
        <w:rPr>
          <w:rFonts w:ascii="宋体" w:hAnsi="宋体" w:cs="宋体"/>
          <w:b/>
          <w:sz w:val="22"/>
        </w:rPr>
      </w:pPr>
      <w:r>
        <w:rPr>
          <w:rFonts w:hint="eastAsia" w:ascii="宋体" w:hAnsi="宋体" w:cs="宋体"/>
          <w:b/>
          <w:sz w:val="22"/>
        </w:rPr>
        <w:t>5.</w:t>
      </w:r>
      <w:r>
        <w:rPr>
          <w:rFonts w:ascii="宋体" w:hAnsi="宋体" w:cs="宋体"/>
          <w:b/>
          <w:sz w:val="22"/>
        </w:rPr>
        <w:t>11</w:t>
      </w:r>
      <w:r>
        <w:rPr>
          <w:rFonts w:hint="eastAsia" w:ascii="宋体" w:hAnsi="宋体" w:cs="宋体"/>
          <w:b/>
          <w:sz w:val="22"/>
        </w:rPr>
        <w:t>项目开工前承包人需提供施工进度计划表、施工材料及明细表，待材料、人员、证件全部准备完善并经发包人同意方可进行施工。</w:t>
      </w:r>
    </w:p>
    <w:p>
      <w:pPr>
        <w:snapToGrid w:val="0"/>
        <w:spacing w:line="360" w:lineRule="exact"/>
        <w:ind w:firstLine="442" w:firstLineChars="200"/>
        <w:rPr>
          <w:rFonts w:ascii="宋体" w:hAnsi="宋体" w:cs="宋体"/>
          <w:b/>
          <w:sz w:val="22"/>
        </w:rPr>
      </w:pPr>
      <w:r>
        <w:rPr>
          <w:rFonts w:hint="eastAsia" w:ascii="宋体" w:hAnsi="宋体" w:cs="宋体"/>
          <w:b/>
          <w:sz w:val="22"/>
        </w:rPr>
        <w:t>5.</w:t>
      </w:r>
      <w:r>
        <w:rPr>
          <w:rFonts w:ascii="宋体" w:hAnsi="宋体" w:cs="宋体"/>
          <w:b/>
          <w:sz w:val="22"/>
        </w:rPr>
        <w:t>10</w:t>
      </w:r>
      <w:r>
        <w:rPr>
          <w:rFonts w:hint="eastAsia" w:ascii="宋体" w:hAnsi="宋体" w:cs="宋体"/>
          <w:b/>
          <w:sz w:val="22"/>
        </w:rPr>
        <w:t>承包人项目负责人和所有施工人员须无条件配合甲方防疫工作，中标施工进场人员均须已接种新冠疫苗且提供48小时内核酸检测报告。项目施工期间每日8:00和13:00报送健康码、行程码至项目负责人处。施工单位还需按要求配备相关防疫物资及人员，做好自身防疫工作，投标人在投标时应充分考虑上述相关费用，中标后不予增加费用。如因疫情影响，导致施工过程中存在窝工、人员、机械降效情况，则请投标人在投标时充分考虑相关费用，中标后不予增加费用。</w:t>
      </w:r>
    </w:p>
    <w:p>
      <w:pPr>
        <w:pStyle w:val="9"/>
        <w:jc w:val="both"/>
      </w:pPr>
    </w:p>
    <w:p>
      <w:pPr>
        <w:pStyle w:val="9"/>
      </w:pPr>
    </w:p>
    <w:p>
      <w:pPr>
        <w:pStyle w:val="9"/>
      </w:pPr>
    </w:p>
    <w:p/>
    <w:p>
      <w:pPr>
        <w:pStyle w:val="2"/>
      </w:pPr>
    </w:p>
    <w:p>
      <w:pPr>
        <w:pStyle w:val="2"/>
      </w:pPr>
    </w:p>
    <w:p>
      <w:pPr>
        <w:pStyle w:val="2"/>
      </w:pPr>
    </w:p>
    <w:p>
      <w:pPr>
        <w:rPr>
          <w:rFonts w:hint="eastAsia"/>
        </w:rPr>
      </w:pPr>
    </w:p>
    <w:bookmarkEnd w:id="8"/>
    <w:bookmarkEnd w:id="23"/>
    <w:bookmarkEnd w:id="24"/>
    <w:p>
      <w:pPr>
        <w:pStyle w:val="3"/>
        <w:keepLines w:val="0"/>
        <w:pageBreakBefore/>
        <w:spacing w:before="0" w:after="0" w:line="564" w:lineRule="exact"/>
        <w:ind w:right="57"/>
        <w:rPr>
          <w:sz w:val="32"/>
          <w:szCs w:val="32"/>
        </w:rPr>
      </w:pPr>
      <w:bookmarkStart w:id="27" w:name="_Toc52907682"/>
      <w:bookmarkStart w:id="28" w:name="_Toc10055"/>
      <w:r>
        <w:rPr>
          <w:sz w:val="32"/>
          <w:szCs w:val="32"/>
        </w:rPr>
        <w:t>第</w:t>
      </w:r>
      <w:r>
        <w:rPr>
          <w:rFonts w:hint="eastAsia"/>
          <w:sz w:val="32"/>
          <w:szCs w:val="32"/>
          <w:lang w:val="en-US" w:eastAsia="zh-CN"/>
        </w:rPr>
        <w:t>七</w:t>
      </w:r>
      <w:r>
        <w:rPr>
          <w:sz w:val="32"/>
          <w:szCs w:val="32"/>
        </w:rPr>
        <w:t>章</w:t>
      </w:r>
      <w:r>
        <w:rPr>
          <w:rFonts w:hint="eastAsia"/>
          <w:sz w:val="32"/>
          <w:szCs w:val="32"/>
        </w:rPr>
        <w:t xml:space="preserve">    </w:t>
      </w:r>
      <w:r>
        <w:rPr>
          <w:sz w:val="32"/>
          <w:szCs w:val="32"/>
        </w:rPr>
        <w:t>投标文件格式</w:t>
      </w:r>
      <w:bookmarkEnd w:id="27"/>
      <w:bookmarkEnd w:id="28"/>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8"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投标人：</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(盖</w:t>
      </w:r>
      <w:r>
        <w:rPr>
          <w:rFonts w:ascii="宋体" w:hAnsi="宋体" w:cs="微软雅黑"/>
          <w:spacing w:val="-3"/>
          <w:kern w:val="0"/>
          <w:sz w:val="24"/>
          <w:szCs w:val="28"/>
        </w:rPr>
        <w:t>单</w:t>
      </w:r>
      <w:r>
        <w:rPr>
          <w:rFonts w:ascii="宋体" w:hAnsi="宋体" w:cs="微软雅黑"/>
          <w:kern w:val="0"/>
          <w:sz w:val="24"/>
          <w:szCs w:val="28"/>
        </w:rPr>
        <w:t>位</w:t>
      </w:r>
      <w:r>
        <w:rPr>
          <w:rFonts w:ascii="宋体" w:hAnsi="宋体" w:cs="微软雅黑"/>
          <w:spacing w:val="-3"/>
          <w:kern w:val="0"/>
          <w:sz w:val="24"/>
          <w:szCs w:val="28"/>
        </w:rPr>
        <w:t>章</w:t>
      </w:r>
      <w:r>
        <w:rPr>
          <w:rFonts w:ascii="宋体" w:hAnsi="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法定代</w:t>
      </w:r>
      <w:r>
        <w:rPr>
          <w:rFonts w:ascii="宋体" w:hAnsi="宋体" w:cs="微软雅黑"/>
          <w:spacing w:val="-3"/>
          <w:kern w:val="0"/>
          <w:sz w:val="24"/>
          <w:szCs w:val="28"/>
        </w:rPr>
        <w:t>表</w:t>
      </w:r>
      <w:r>
        <w:rPr>
          <w:rFonts w:ascii="宋体" w:hAnsi="宋体" w:cs="微软雅黑"/>
          <w:kern w:val="0"/>
          <w:sz w:val="24"/>
          <w:szCs w:val="28"/>
        </w:rPr>
        <w:t>人或其</w:t>
      </w:r>
      <w:r>
        <w:rPr>
          <w:rFonts w:ascii="宋体" w:hAnsi="宋体" w:cs="微软雅黑"/>
          <w:spacing w:val="-3"/>
          <w:kern w:val="0"/>
          <w:sz w:val="24"/>
          <w:szCs w:val="28"/>
        </w:rPr>
        <w:t>委托</w:t>
      </w:r>
      <w:r>
        <w:rPr>
          <w:rFonts w:ascii="宋体" w:hAnsi="宋体" w:cs="微软雅黑"/>
          <w:kern w:val="0"/>
          <w:sz w:val="24"/>
          <w:szCs w:val="28"/>
        </w:rPr>
        <w:t>代理人</w:t>
      </w:r>
      <w:r>
        <w:rPr>
          <w:rFonts w:ascii="宋体" w:hAnsi="宋体" w:cs="微软雅黑"/>
          <w:spacing w:val="2"/>
          <w:kern w:val="0"/>
          <w:sz w:val="24"/>
          <w:szCs w:val="28"/>
        </w:rPr>
        <w:t>：</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w:t>
      </w:r>
      <w:r>
        <w:rPr>
          <w:rFonts w:ascii="宋体" w:hAnsi="宋体" w:cs="微软雅黑"/>
          <w:spacing w:val="-3"/>
          <w:kern w:val="0"/>
          <w:sz w:val="24"/>
          <w:szCs w:val="28"/>
        </w:rPr>
        <w:t>签</w:t>
      </w:r>
      <w:r>
        <w:rPr>
          <w:rFonts w:ascii="宋体" w:hAnsi="宋体" w:cs="微软雅黑"/>
          <w:kern w:val="0"/>
          <w:sz w:val="24"/>
          <w:szCs w:val="28"/>
        </w:rPr>
        <w:t>字</w:t>
      </w:r>
      <w:r>
        <w:rPr>
          <w:rFonts w:hint="eastAsia" w:ascii="宋体" w:hAnsi="宋体" w:cs="微软雅黑"/>
          <w:kern w:val="0"/>
          <w:sz w:val="24"/>
          <w:szCs w:val="28"/>
        </w:rPr>
        <w:t>或盖章</w:t>
      </w:r>
      <w:r>
        <w:rPr>
          <w:rFonts w:ascii="宋体" w:hAnsi="宋体"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footerReference r:id="rId6" w:type="default"/>
          <w:pgSz w:w="11907" w:h="16840"/>
          <w:pgMar w:top="1134" w:right="1134" w:bottom="1134" w:left="1134" w:header="567" w:footer="567" w:gutter="0"/>
          <w:pgNumType w:start="1"/>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pStyle w:val="14"/>
        <w:numPr>
          <w:ilvl w:val="0"/>
          <w:numId w:val="9"/>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pPr>
        <w:pStyle w:val="14"/>
        <w:tabs>
          <w:tab w:val="left" w:pos="360"/>
        </w:tabs>
        <w:autoSpaceDE w:val="0"/>
        <w:autoSpaceDN w:val="0"/>
        <w:adjustRightInd w:val="0"/>
        <w:spacing w:line="360" w:lineRule="auto"/>
        <w:ind w:firstLine="0" w:firstLineChars="0"/>
        <w:rPr>
          <w:rFonts w:ascii="微软雅黑" w:hAnsi="Times New Roman" w:cs="微软雅黑"/>
          <w:spacing w:val="-2"/>
          <w:kern w:val="0"/>
          <w:sz w:val="22"/>
        </w:rPr>
      </w:pPr>
      <w:r>
        <w:rPr>
          <w:rFonts w:hint="eastAsia" w:ascii="宋体" w:hAnsi="宋体" w:cs="宋体"/>
          <w:kern w:val="0"/>
          <w:sz w:val="22"/>
        </w:rPr>
        <w:t>二、法定代表人身份证明、</w:t>
      </w:r>
      <w:r>
        <w:rPr>
          <w:rFonts w:ascii="宋体" w:hAnsi="宋体" w:cs="宋体"/>
          <w:kern w:val="0"/>
          <w:sz w:val="22"/>
        </w:rPr>
        <w:t>法定代表人授权委托书(投标文件</w:t>
      </w:r>
      <w:r>
        <w:rPr>
          <w:rFonts w:hint="eastAsia" w:ascii="宋体" w:hAnsi="宋体" w:cs="宋体"/>
          <w:kern w:val="0"/>
          <w:sz w:val="22"/>
        </w:rPr>
        <w:t>由</w:t>
      </w:r>
      <w:r>
        <w:rPr>
          <w:rFonts w:ascii="宋体" w:hAnsi="宋体" w:cs="宋体"/>
          <w:kern w:val="0"/>
          <w:sz w:val="22"/>
        </w:rPr>
        <w:t>委托代理人签字</w:t>
      </w:r>
      <w:r>
        <w:rPr>
          <w:rFonts w:hint="eastAsia" w:ascii="宋体" w:hAnsi="宋体" w:cs="宋体"/>
          <w:kern w:val="0"/>
          <w:sz w:val="22"/>
        </w:rPr>
        <w:t>时</w:t>
      </w:r>
      <w:r>
        <w:rPr>
          <w:rFonts w:ascii="宋体" w:hAnsi="宋体" w:cs="宋体"/>
          <w:kern w:val="0"/>
          <w:sz w:val="22"/>
        </w:rPr>
        <w:t>提供</w:t>
      </w:r>
      <w:r>
        <w:rPr>
          <w:rFonts w:hint="eastAsia" w:ascii="宋体" w:hAnsi="宋体" w:cs="宋体"/>
          <w:kern w:val="0"/>
          <w:sz w:val="22"/>
        </w:rPr>
        <w:t>)</w:t>
      </w:r>
      <w:r>
        <w:rPr>
          <w:rFonts w:ascii="微软雅黑" w:hAnsi="Times New Roman" w:cs="微软雅黑"/>
          <w:spacing w:val="-2"/>
          <w:kern w:val="0"/>
          <w:sz w:val="22"/>
        </w:rPr>
        <w:t>；</w:t>
      </w:r>
    </w:p>
    <w:p>
      <w:pPr>
        <w:pStyle w:val="14"/>
        <w:tabs>
          <w:tab w:val="left" w:pos="360"/>
        </w:tabs>
        <w:autoSpaceDE w:val="0"/>
        <w:autoSpaceDN w:val="0"/>
        <w:adjustRightInd w:val="0"/>
        <w:spacing w:line="360" w:lineRule="auto"/>
        <w:ind w:right="4013" w:firstLine="0" w:firstLineChars="0"/>
        <w:rPr>
          <w:rFonts w:ascii="微软雅黑" w:hAnsi="Times New Roman" w:cs="微软雅黑"/>
          <w:spacing w:val="-2"/>
          <w:kern w:val="0"/>
          <w:sz w:val="22"/>
        </w:rPr>
      </w:pPr>
      <w:r>
        <w:rPr>
          <w:rFonts w:hint="eastAsia" w:ascii="微软雅黑" w:hAnsi="Times New Roman" w:cs="微软雅黑"/>
          <w:spacing w:val="-2"/>
          <w:kern w:val="0"/>
          <w:sz w:val="22"/>
        </w:rPr>
        <w:t>三、</w:t>
      </w:r>
      <w:r>
        <w:rPr>
          <w:rFonts w:ascii="微软雅黑" w:hAnsi="Times New Roman" w:cs="微软雅黑"/>
          <w:spacing w:val="-2"/>
          <w:kern w:val="0"/>
          <w:sz w:val="22"/>
        </w:rPr>
        <w:t>已标价工程量清单；</w:t>
      </w:r>
    </w:p>
    <w:p>
      <w:pPr>
        <w:pStyle w:val="14"/>
        <w:tabs>
          <w:tab w:val="left" w:pos="360"/>
        </w:tabs>
        <w:autoSpaceDE w:val="0"/>
        <w:autoSpaceDN w:val="0"/>
        <w:adjustRightInd w:val="0"/>
        <w:spacing w:line="360" w:lineRule="auto"/>
        <w:ind w:right="4013" w:firstLine="0" w:firstLineChars="0"/>
        <w:rPr>
          <w:rFonts w:ascii="微软雅黑" w:hAnsi="Times New Roman" w:cs="微软雅黑"/>
          <w:spacing w:val="-2"/>
          <w:kern w:val="0"/>
          <w:sz w:val="22"/>
        </w:rPr>
      </w:pPr>
      <w:r>
        <w:rPr>
          <w:rFonts w:hint="eastAsia" w:ascii="微软雅黑" w:hAnsi="Times New Roman" w:cs="微软雅黑"/>
          <w:spacing w:val="-2"/>
          <w:kern w:val="0"/>
          <w:sz w:val="22"/>
        </w:rPr>
        <w:t>四、</w:t>
      </w:r>
      <w:r>
        <w:rPr>
          <w:rFonts w:ascii="微软雅黑" w:hAnsi="Times New Roman" w:cs="微软雅黑"/>
          <w:spacing w:val="-2"/>
          <w:kern w:val="0"/>
          <w:sz w:val="22"/>
        </w:rPr>
        <w:t>投标人</w:t>
      </w:r>
      <w:r>
        <w:rPr>
          <w:rFonts w:hint="eastAsia" w:ascii="微软雅黑" w:hAnsi="Times New Roman" w:cs="微软雅黑"/>
          <w:spacing w:val="-2"/>
          <w:kern w:val="0"/>
          <w:sz w:val="22"/>
        </w:rPr>
        <w:t>认为需要提供的</w:t>
      </w:r>
      <w:r>
        <w:rPr>
          <w:rFonts w:ascii="微软雅黑" w:hAnsi="Times New Roman" w:cs="微软雅黑"/>
          <w:spacing w:val="-2"/>
          <w:kern w:val="0"/>
          <w:sz w:val="22"/>
        </w:rPr>
        <w:t>其他材料。</w:t>
      </w:r>
    </w:p>
    <w:p>
      <w:pPr>
        <w:pStyle w:val="14"/>
        <w:tabs>
          <w:tab w:val="left" w:pos="360"/>
        </w:tabs>
        <w:autoSpaceDE w:val="0"/>
        <w:autoSpaceDN w:val="0"/>
        <w:adjustRightInd w:val="0"/>
        <w:spacing w:line="360" w:lineRule="auto"/>
        <w:ind w:right="4013" w:firstLine="0" w:firstLineChars="0"/>
        <w:rPr>
          <w:rFonts w:ascii="微软雅黑" w:hAnsi="Times New Roman" w:cs="微软雅黑"/>
          <w:b/>
          <w:bCs/>
          <w:spacing w:val="-2"/>
          <w:kern w:val="0"/>
          <w:sz w:val="22"/>
        </w:rPr>
      </w:pPr>
      <w:r>
        <w:rPr>
          <w:rFonts w:hint="eastAsia" w:ascii="微软雅黑" w:hAnsi="Times New Roman" w:cs="微软雅黑"/>
          <w:b/>
          <w:bCs/>
          <w:spacing w:val="-2"/>
          <w:kern w:val="0"/>
          <w:sz w:val="22"/>
        </w:rPr>
        <w:t>注：未提供格式的由投标人自行拟定格式。</w:t>
      </w:r>
    </w:p>
    <w:p>
      <w:pPr>
        <w:autoSpaceDE w:val="0"/>
        <w:autoSpaceDN w:val="0"/>
        <w:adjustRightInd w:val="0"/>
        <w:snapToGrid w:val="0"/>
        <w:spacing w:line="360" w:lineRule="exact"/>
        <w:ind w:firstLine="723" w:firstLineChars="200"/>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hint="eastAsia" w:cs="宋体"/>
          <w:spacing w:val="43"/>
          <w:kern w:val="0"/>
          <w:sz w:val="22"/>
          <w:u w:val="single"/>
        </w:rPr>
        <w:t xml:space="preserve">         </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hint="eastAsia" w:cs="宋体"/>
          <w:sz w:val="22"/>
          <w:u w:val="single"/>
        </w:rPr>
        <w:t xml:space="preserve">      </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rPr>
        <w:t>；</w:t>
      </w:r>
      <w:r>
        <w:rPr>
          <w:rFonts w:cs="宋体"/>
          <w:sz w:val="22"/>
        </w:rPr>
        <w:t>工期</w:t>
      </w:r>
      <w:r>
        <w:rPr>
          <w:rFonts w:cs="宋体"/>
          <w:sz w:val="22"/>
          <w:u w:val="single"/>
        </w:rPr>
        <w:t xml:space="preserve">  </w:t>
      </w:r>
      <w:r>
        <w:rPr>
          <w:rFonts w:hint="eastAsia" w:cs="宋体"/>
          <w:b/>
          <w:sz w:val="22"/>
          <w:u w:val="single"/>
        </w:rPr>
        <w:t xml:space="preserve">                                   </w:t>
      </w:r>
      <w:r>
        <w:rPr>
          <w:rFonts w:hint="eastAsia" w:ascii="宋体" w:hAnsi="宋体"/>
          <w:sz w:val="22"/>
        </w:rPr>
        <w:t>日历天</w:t>
      </w:r>
      <w:r>
        <w:rPr>
          <w:rFonts w:hint="eastAsia" w:cs="宋体"/>
          <w:b/>
          <w:sz w:val="22"/>
        </w:rPr>
        <w:t>；</w:t>
      </w:r>
      <w:r>
        <w:rPr>
          <w:rFonts w:hint="eastAsia" w:ascii="宋体" w:hAnsi="宋体" w:cs="宋体"/>
          <w:sz w:val="22"/>
        </w:rPr>
        <w:t>工程质量达到一次验收合格</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ascii="宋体" w:hAnsi="宋体" w:cs="Arial"/>
          <w:b/>
          <w:sz w:val="22"/>
        </w:rPr>
      </w:pPr>
      <w:r>
        <w:rPr>
          <w:rFonts w:ascii="宋体" w:hAnsi="宋体"/>
          <w:sz w:val="22"/>
        </w:rPr>
        <w:t>(1</w:t>
      </w:r>
      <w:r>
        <w:rPr>
          <w:rFonts w:hint="eastAsia" w:ascii="宋体" w:hAnsi="宋体"/>
          <w:sz w:val="22"/>
        </w:rPr>
        <w:t>)</w:t>
      </w:r>
      <w:r>
        <w:rPr>
          <w:rFonts w:cs="宋体"/>
          <w:b/>
          <w:sz w:val="22"/>
        </w:rPr>
        <w:t xml:space="preserve"> </w:t>
      </w:r>
      <w:r>
        <w:rPr>
          <w:rFonts w:hint="eastAsia" w:ascii="宋体" w:hAnsi="宋体" w:cs="Arial"/>
          <w:b/>
          <w:sz w:val="22"/>
        </w:rPr>
        <w:t>本工程计日工单价为：</w:t>
      </w:r>
      <w:r>
        <w:rPr>
          <w:rFonts w:hint="eastAsia" w:ascii="宋体" w:hAnsi="宋体" w:cs="Arial"/>
          <w:b/>
          <w:sz w:val="22"/>
          <w:u w:val="single"/>
        </w:rPr>
        <w:t xml:space="preserve">      </w:t>
      </w:r>
      <w:r>
        <w:rPr>
          <w:rFonts w:hint="eastAsia" w:ascii="宋体" w:hAnsi="宋体" w:cs="Arial"/>
          <w:b/>
          <w:sz w:val="22"/>
        </w:rPr>
        <w:t>元/工日；</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率为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w:t>
      </w:r>
      <w:r>
        <w:rPr>
          <w:rFonts w:hint="eastAsia" w:ascii="宋体" w:hAnsi="宋体"/>
          <w:sz w:val="22"/>
        </w:rPr>
        <w:t>3)</w:t>
      </w:r>
      <w:r>
        <w:rPr>
          <w:rFonts w:cs="宋体"/>
          <w:b/>
          <w:sz w:val="22"/>
        </w:rPr>
        <w:t xml:space="preserve"> </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kern w:val="0"/>
          <w:sz w:val="22"/>
        </w:rPr>
      </w:pPr>
      <w:r>
        <w:rPr>
          <w:rFonts w:hint="eastAsia" w:ascii="宋体" w:hAnsi="宋体"/>
          <w:sz w:val="22"/>
        </w:rPr>
        <w:t>(4)</w:t>
      </w:r>
      <w:r>
        <w:rPr>
          <w:kern w:val="0"/>
          <w:sz w:val="22"/>
        </w:rPr>
        <w:t>在招投标过程中，廉洁自律并对所获悉的招标人的相关信息予以保密</w:t>
      </w:r>
      <w:r>
        <w:rPr>
          <w:rFonts w:hint="eastAsia"/>
          <w:kern w:val="0"/>
          <w:sz w:val="22"/>
        </w:rPr>
        <w:t>；</w:t>
      </w:r>
    </w:p>
    <w:p>
      <w:pPr>
        <w:snapToGrid w:val="0"/>
        <w:spacing w:line="360" w:lineRule="exact"/>
        <w:ind w:firstLine="440" w:firstLineChars="200"/>
        <w:rPr>
          <w:rFonts w:ascii="宋体" w:hAnsi="宋体" w:cs="宋体"/>
          <w:sz w:val="22"/>
        </w:rPr>
      </w:pPr>
      <w:r>
        <w:rPr>
          <w:rFonts w:hint="eastAsia" w:ascii="宋体" w:hAnsi="宋体"/>
          <w:sz w:val="22"/>
        </w:rPr>
        <w:t>(5)</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以上承诺如有虚假给招标人造成损失的，愿意依法承担</w:t>
      </w:r>
      <w:r>
        <w:rPr>
          <w:rFonts w:hint="eastAsia"/>
          <w:kern w:val="0"/>
          <w:sz w:val="22"/>
        </w:rPr>
        <w:t>全部</w:t>
      </w:r>
      <w:r>
        <w:rPr>
          <w:kern w:val="0"/>
          <w:sz w:val="22"/>
        </w:rPr>
        <w:t>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9" w:firstLineChars="1804"/>
        <w:jc w:val="left"/>
        <w:rPr>
          <w:rFonts w:cs="宋体"/>
          <w:sz w:val="22"/>
        </w:rPr>
      </w:pPr>
    </w:p>
    <w:p>
      <w:pPr>
        <w:snapToGrid w:val="0"/>
        <w:spacing w:line="360" w:lineRule="exact"/>
        <w:ind w:firstLine="3969" w:firstLineChars="1804"/>
        <w:jc w:val="left"/>
        <w:rPr>
          <w:rFonts w:cs="宋体"/>
          <w:sz w:val="22"/>
        </w:rPr>
      </w:pPr>
    </w:p>
    <w:p>
      <w:pPr>
        <w:snapToGrid w:val="0"/>
        <w:spacing w:line="360" w:lineRule="exact"/>
        <w:ind w:firstLine="3969"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napToGrid w:val="0"/>
        <w:spacing w:line="360" w:lineRule="exact"/>
        <w:ind w:firstLine="3969"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9"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9"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9"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9"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9"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57216;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4wumPLQIAAEg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B4wumP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r>
        <w:rPr>
          <w:rFonts w:hint="eastAsia" w:ascii="宋体" w:hAnsi="宋体" w:cs="微软雅黑"/>
          <w:b/>
          <w:kern w:val="0"/>
          <w:sz w:val="36"/>
          <w:szCs w:val="36"/>
        </w:rPr>
        <w:t>二-2</w:t>
      </w:r>
      <w:r>
        <w:rPr>
          <w:rFonts w:cs="微软雅黑"/>
          <w:b/>
          <w:kern w:val="0"/>
          <w:sz w:val="36"/>
          <w:szCs w:val="36"/>
        </w:rPr>
        <w:t>、法定代表人授权委托书</w:t>
      </w:r>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cs="Calibri"/>
          <w:szCs w:val="21"/>
        </w:rPr>
      </w:pPr>
      <w:r>
        <w:rPr>
          <w:rFonts w:cs="Calibri"/>
          <w:szCs w:val="21"/>
        </w:rPr>
        <w:t>身份证号码：</w:t>
      </w:r>
    </w:p>
    <w:p>
      <w:pPr>
        <w:spacing w:line="440" w:lineRule="exact"/>
        <w:rPr>
          <w:rFonts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o3+N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rPr>
      </w:pPr>
      <w:r>
        <w:rPr>
          <w:rFonts w:cs="Calibri"/>
          <w:szCs w:val="21"/>
        </w:rPr>
        <w:t>注：如投标文件由委托代理人签字或盖章的，投标文件必须附此授权委托书。</w:t>
      </w:r>
      <w:r>
        <w:rPr>
          <w:rFonts w:cs="Calibri"/>
          <w:b/>
          <w:bCs/>
          <w:szCs w:val="21"/>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cols w:space="720" w:num="1"/>
        </w:sectPr>
      </w:pPr>
    </w:p>
    <w:p>
      <w:pPr>
        <w:spacing w:line="360" w:lineRule="auto"/>
        <w:rPr>
          <w:rFonts w:cs="微软雅黑"/>
          <w:b/>
          <w:kern w:val="0"/>
          <w:sz w:val="36"/>
          <w:szCs w:val="36"/>
        </w:rPr>
      </w:pPr>
      <w:r>
        <w:rPr>
          <w:rFonts w:hint="eastAsia" w:cs="微软雅黑"/>
          <w:b/>
          <w:kern w:val="0"/>
          <w:sz w:val="36"/>
          <w:szCs w:val="36"/>
        </w:rPr>
        <w:t xml:space="preserve">                三、已标价工程量清单</w:t>
      </w:r>
    </w:p>
    <w:p>
      <w:pPr>
        <w:autoSpaceDE w:val="0"/>
        <w:autoSpaceDN w:val="0"/>
        <w:adjustRightInd w:val="0"/>
        <w:snapToGrid w:val="0"/>
        <w:spacing w:line="360" w:lineRule="auto"/>
        <w:ind w:firstLine="420" w:firstLineChars="200"/>
        <w:rPr>
          <w:rFonts w:ascii="宋体" w:hAnsi="宋体" w:cs="Arial"/>
          <w:kern w:val="0"/>
          <w:szCs w:val="21"/>
        </w:rPr>
      </w:pPr>
    </w:p>
    <w:p>
      <w:pPr>
        <w:pStyle w:val="2"/>
        <w:ind w:firstLine="643"/>
        <w:jc w:val="center"/>
        <w:rPr>
          <w:rFonts w:ascii="宋体" w:hAnsi="宋体" w:cs="宋体" w:eastAsiaTheme="minorEastAsia"/>
          <w:b/>
          <w:kern w:val="0"/>
          <w:sz w:val="32"/>
          <w:szCs w:val="32"/>
          <w:lang w:val="zh-CN"/>
        </w:rPr>
      </w:pPr>
      <w:r>
        <w:rPr>
          <w:rFonts w:ascii="宋体" w:hAnsi="宋体" w:cs="Arial"/>
          <w:b/>
          <w:bCs/>
          <w:kern w:val="0"/>
          <w:szCs w:val="21"/>
        </w:rPr>
        <w:br w:type="page"/>
      </w:r>
      <w:bookmarkStart w:id="29" w:name="_Hlk54024727"/>
      <w:r>
        <w:rPr>
          <w:rFonts w:hint="eastAsia" w:ascii="宋体" w:hAnsi="宋体" w:cs="宋体" w:eastAsiaTheme="minorEastAsia"/>
          <w:b/>
          <w:kern w:val="0"/>
          <w:sz w:val="32"/>
          <w:szCs w:val="32"/>
          <w:lang w:val="zh-CN"/>
        </w:rPr>
        <w:t>主要材料选用品牌一览表</w:t>
      </w:r>
    </w:p>
    <w:tbl>
      <w:tblPr>
        <w:tblStyle w:val="12"/>
        <w:tblpPr w:leftFromText="180" w:rightFromText="180" w:vertAnchor="text" w:horzAnchor="page" w:tblpX="1689" w:tblpY="299"/>
        <w:tblOverlap w:val="never"/>
        <w:tblW w:w="9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3675"/>
        <w:gridCol w:w="2046"/>
        <w:gridCol w:w="2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6" w:hRule="atLeast"/>
          <w:tblHeader/>
        </w:trPr>
        <w:tc>
          <w:tcPr>
            <w:tcW w:w="1090" w:type="dxa"/>
            <w:vAlign w:val="center"/>
          </w:tcPr>
          <w:p>
            <w:pPr>
              <w:widowControl/>
              <w:snapToGrid w:val="0"/>
              <w:jc w:val="center"/>
              <w:rPr>
                <w:rFonts w:ascii="宋体" w:hAnsi="宋体" w:cs="宋体"/>
                <w:bCs/>
                <w:kern w:val="0"/>
                <w:sz w:val="22"/>
              </w:rPr>
            </w:pPr>
            <w:r>
              <w:rPr>
                <w:rFonts w:ascii="宋体" w:hAnsi="宋体" w:cs="宋体"/>
                <w:bCs/>
                <w:kern w:val="0"/>
                <w:sz w:val="22"/>
              </w:rPr>
              <w:t>序号</w:t>
            </w:r>
          </w:p>
        </w:tc>
        <w:tc>
          <w:tcPr>
            <w:tcW w:w="3675" w:type="dxa"/>
            <w:vAlign w:val="center"/>
          </w:tcPr>
          <w:p>
            <w:pPr>
              <w:widowControl/>
              <w:snapToGrid w:val="0"/>
              <w:jc w:val="center"/>
              <w:rPr>
                <w:rFonts w:ascii="宋体" w:hAnsi="宋体" w:cs="宋体"/>
                <w:bCs/>
                <w:kern w:val="0"/>
                <w:sz w:val="22"/>
              </w:rPr>
            </w:pPr>
            <w:r>
              <w:rPr>
                <w:rFonts w:ascii="宋体" w:hAnsi="宋体" w:cs="宋体"/>
                <w:bCs/>
                <w:kern w:val="0"/>
                <w:sz w:val="22"/>
              </w:rPr>
              <w:t>材料名称</w:t>
            </w:r>
          </w:p>
        </w:tc>
        <w:tc>
          <w:tcPr>
            <w:tcW w:w="2046" w:type="dxa"/>
            <w:vAlign w:val="center"/>
          </w:tcPr>
          <w:p>
            <w:pPr>
              <w:widowControl/>
              <w:snapToGrid w:val="0"/>
              <w:jc w:val="center"/>
              <w:rPr>
                <w:rFonts w:ascii="宋体" w:hAnsi="宋体" w:cs="宋体"/>
                <w:bCs/>
                <w:kern w:val="0"/>
                <w:sz w:val="22"/>
              </w:rPr>
            </w:pPr>
            <w:r>
              <w:rPr>
                <w:rFonts w:hint="eastAsia" w:ascii="宋体" w:hAnsi="宋体" w:cs="宋体"/>
                <w:bCs/>
                <w:kern w:val="0"/>
                <w:sz w:val="22"/>
              </w:rPr>
              <w:t>选用</w:t>
            </w:r>
            <w:r>
              <w:rPr>
                <w:rFonts w:ascii="宋体" w:hAnsi="宋体" w:cs="宋体"/>
                <w:bCs/>
                <w:kern w:val="0"/>
                <w:sz w:val="22"/>
              </w:rPr>
              <w:t>品牌</w:t>
            </w:r>
          </w:p>
        </w:tc>
        <w:tc>
          <w:tcPr>
            <w:tcW w:w="2394" w:type="dxa"/>
            <w:vAlign w:val="center"/>
          </w:tcPr>
          <w:p>
            <w:pPr>
              <w:widowControl/>
              <w:snapToGrid w:val="0"/>
              <w:jc w:val="center"/>
              <w:rPr>
                <w:rFonts w:ascii="宋体" w:hAnsi="宋体" w:cs="宋体"/>
                <w:bCs/>
                <w:kern w:val="0"/>
                <w:sz w:val="22"/>
              </w:rPr>
            </w:pPr>
            <w:r>
              <w:rPr>
                <w:rFonts w:hint="eastAsia" w:ascii="宋体" w:hAnsi="宋体" w:cs="宋体"/>
                <w:bCs/>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1090" w:type="dxa"/>
            <w:vAlign w:val="center"/>
          </w:tcPr>
          <w:p>
            <w:pPr>
              <w:widowControl/>
              <w:snapToGrid w:val="0"/>
              <w:jc w:val="center"/>
              <w:rPr>
                <w:rFonts w:ascii="宋体" w:hAnsi="宋体" w:cs="宋体"/>
                <w:bCs/>
                <w:kern w:val="0"/>
                <w:sz w:val="22"/>
              </w:rPr>
            </w:pPr>
            <w:r>
              <w:rPr>
                <w:rFonts w:hint="eastAsia" w:ascii="宋体" w:hAnsi="宋体" w:cs="宋体"/>
                <w:bCs/>
                <w:kern w:val="0"/>
                <w:sz w:val="22"/>
              </w:rPr>
              <w:t>1</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1090" w:type="dxa"/>
            <w:vAlign w:val="center"/>
          </w:tcPr>
          <w:p>
            <w:pPr>
              <w:widowControl/>
              <w:snapToGrid w:val="0"/>
              <w:jc w:val="center"/>
              <w:rPr>
                <w:rFonts w:ascii="宋体" w:hAnsi="宋体" w:cs="Courier New"/>
                <w:bCs/>
                <w:sz w:val="22"/>
              </w:rPr>
            </w:pPr>
            <w:r>
              <w:rPr>
                <w:rFonts w:hint="eastAsia" w:ascii="宋体" w:hAnsi="宋体" w:cs="Courier New"/>
                <w:bCs/>
                <w:sz w:val="22"/>
              </w:rPr>
              <w:t>2</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1090" w:type="dxa"/>
            <w:vAlign w:val="center"/>
          </w:tcPr>
          <w:p>
            <w:pPr>
              <w:widowControl/>
              <w:snapToGrid w:val="0"/>
              <w:jc w:val="center"/>
              <w:rPr>
                <w:rFonts w:ascii="宋体" w:hAnsi="宋体" w:cs="Courier New"/>
                <w:bCs/>
                <w:sz w:val="22"/>
              </w:rPr>
            </w:pPr>
            <w:r>
              <w:rPr>
                <w:rFonts w:hint="eastAsia" w:ascii="宋体" w:hAnsi="宋体" w:cs="Courier New"/>
                <w:bCs/>
                <w:sz w:val="22"/>
              </w:rPr>
              <w:t>3</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1090" w:type="dxa"/>
            <w:vAlign w:val="center"/>
          </w:tcPr>
          <w:p>
            <w:pPr>
              <w:widowControl/>
              <w:snapToGrid w:val="0"/>
              <w:jc w:val="center"/>
              <w:rPr>
                <w:rFonts w:ascii="宋体" w:hAnsi="宋体" w:cs="Courier New"/>
                <w:bCs/>
                <w:sz w:val="22"/>
              </w:rPr>
            </w:pPr>
            <w:r>
              <w:rPr>
                <w:rFonts w:hint="eastAsia" w:ascii="宋体" w:hAnsi="宋体" w:cs="Courier New"/>
                <w:bCs/>
                <w:sz w:val="22"/>
              </w:rPr>
              <w:t>4</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5" w:hRule="atLeast"/>
        </w:trPr>
        <w:tc>
          <w:tcPr>
            <w:tcW w:w="1090" w:type="dxa"/>
            <w:vAlign w:val="center"/>
          </w:tcPr>
          <w:p>
            <w:pPr>
              <w:widowControl/>
              <w:snapToGrid w:val="0"/>
              <w:jc w:val="center"/>
              <w:rPr>
                <w:rFonts w:ascii="宋体" w:hAnsi="宋体" w:cs="Courier New"/>
                <w:bCs/>
                <w:sz w:val="22"/>
              </w:rPr>
            </w:pPr>
            <w:r>
              <w:rPr>
                <w:rFonts w:hint="eastAsia" w:ascii="宋体" w:hAnsi="宋体" w:cs="Courier New"/>
                <w:bCs/>
                <w:sz w:val="22"/>
              </w:rPr>
              <w:t>5</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bl>
    <w:p>
      <w:pPr>
        <w:widowControl/>
        <w:jc w:val="left"/>
        <w:rPr>
          <w:rFonts w:ascii="宋体" w:hAnsi="宋体" w:cs="宋体"/>
          <w:b/>
          <w:szCs w:val="21"/>
        </w:rPr>
      </w:pPr>
    </w:p>
    <w:p>
      <w:pPr>
        <w:widowControl/>
        <w:jc w:val="left"/>
        <w:rPr>
          <w:rFonts w:ascii="宋体" w:hAnsi="宋体" w:cs="宋体"/>
          <w:b/>
          <w:szCs w:val="21"/>
        </w:rPr>
      </w:pPr>
    </w:p>
    <w:p>
      <w:pPr>
        <w:widowControl/>
        <w:jc w:val="left"/>
        <w:rPr>
          <w:rFonts w:ascii="宋体" w:hAnsi="宋体" w:cs="宋体"/>
          <w:b/>
          <w:szCs w:val="21"/>
        </w:rPr>
      </w:pPr>
    </w:p>
    <w:p>
      <w:pPr>
        <w:widowControl/>
        <w:jc w:val="left"/>
        <w:rPr>
          <w:rFonts w:ascii="宋体" w:hAnsi="宋体" w:cs="宋体"/>
          <w:b/>
          <w:szCs w:val="21"/>
        </w:rPr>
      </w:pPr>
      <w:r>
        <w:rPr>
          <w:rFonts w:hint="eastAsia" w:ascii="宋体" w:hAnsi="宋体" w:cs="宋体"/>
          <w:b/>
          <w:szCs w:val="21"/>
        </w:rPr>
        <w:t>注：根据招标文件第</w:t>
      </w:r>
      <w:r>
        <w:rPr>
          <w:rFonts w:hint="eastAsia" w:ascii="宋体" w:hAnsi="宋体" w:cs="宋体"/>
          <w:b/>
          <w:szCs w:val="21"/>
          <w:lang w:val="en-US" w:eastAsia="zh-CN"/>
        </w:rPr>
        <w:t>六</w:t>
      </w:r>
      <w:r>
        <w:rPr>
          <w:rFonts w:hint="eastAsia" w:ascii="宋体" w:hAnsi="宋体" w:cs="宋体"/>
          <w:b/>
          <w:szCs w:val="21"/>
        </w:rPr>
        <w:t>章要求填写，如在“推荐品牌”之外选择的，请说明选择理由。如未填写品牌的，由</w:t>
      </w:r>
      <w:r>
        <w:rPr>
          <w:rFonts w:ascii="宋体" w:hAnsi="宋体" w:cs="宋体"/>
          <w:b/>
          <w:szCs w:val="21"/>
        </w:rPr>
        <w:t>发包人在发包人推荐的</w:t>
      </w:r>
      <w:r>
        <w:rPr>
          <w:rFonts w:hint="eastAsia" w:ascii="宋体" w:hAnsi="宋体" w:cs="宋体"/>
          <w:b/>
          <w:szCs w:val="21"/>
        </w:rPr>
        <w:t>品牌</w:t>
      </w:r>
      <w:r>
        <w:rPr>
          <w:rFonts w:ascii="宋体" w:hAnsi="宋体" w:cs="宋体"/>
          <w:b/>
          <w:szCs w:val="21"/>
        </w:rPr>
        <w:t>范围内任意选择，且价格不予调整。</w:t>
      </w:r>
    </w:p>
    <w:p>
      <w:pPr>
        <w:autoSpaceDE w:val="0"/>
        <w:autoSpaceDN w:val="0"/>
        <w:adjustRightInd w:val="0"/>
        <w:snapToGrid w:val="0"/>
        <w:spacing w:line="360" w:lineRule="auto"/>
        <w:ind w:firstLine="422" w:firstLineChars="200"/>
        <w:rPr>
          <w:rFonts w:ascii="宋体" w:hAnsi="宋体" w:cs="Arial"/>
          <w:b/>
          <w:bCs/>
          <w:kern w:val="0"/>
          <w:szCs w:val="21"/>
        </w:rPr>
      </w:pPr>
    </w:p>
    <w:p>
      <w:pPr>
        <w:widowControl/>
        <w:jc w:val="left"/>
        <w:rPr>
          <w:rFonts w:cs="微软雅黑"/>
          <w:b/>
          <w:kern w:val="0"/>
          <w:sz w:val="36"/>
          <w:szCs w:val="36"/>
        </w:rPr>
      </w:pPr>
    </w:p>
    <w:p>
      <w:pPr>
        <w:widowControl/>
        <w:jc w:val="center"/>
        <w:rPr>
          <w:rFonts w:cs="微软雅黑"/>
          <w:b/>
          <w:kern w:val="0"/>
          <w:sz w:val="36"/>
          <w:szCs w:val="36"/>
        </w:rPr>
      </w:pPr>
    </w:p>
    <w:p>
      <w:pPr>
        <w:keepLines/>
        <w:pageBreakBefore/>
        <w:jc w:val="center"/>
        <w:rPr>
          <w:rFonts w:cs="微软雅黑"/>
          <w:b/>
          <w:kern w:val="0"/>
          <w:sz w:val="36"/>
          <w:szCs w:val="36"/>
        </w:rPr>
      </w:pPr>
      <w:r>
        <w:rPr>
          <w:rFonts w:hint="eastAsia" w:cs="微软雅黑"/>
          <w:b/>
          <w:kern w:val="0"/>
          <w:sz w:val="36"/>
          <w:szCs w:val="36"/>
        </w:rPr>
        <w:t>四、投标人认为需要提供的其他材料</w:t>
      </w:r>
    </w:p>
    <w:p>
      <w:pPr>
        <w:autoSpaceDE w:val="0"/>
        <w:autoSpaceDN w:val="0"/>
        <w:adjustRightInd w:val="0"/>
        <w:spacing w:line="360" w:lineRule="auto"/>
        <w:jc w:val="center"/>
        <w:rPr>
          <w:b/>
          <w:sz w:val="24"/>
        </w:rPr>
      </w:pPr>
    </w:p>
    <w:bookmarkEnd w:id="29"/>
    <w:p>
      <w:pPr>
        <w:widowControl/>
        <w:rPr>
          <w:rFonts w:cs="宋体"/>
          <w:b/>
          <w:sz w:val="32"/>
          <w:szCs w:val="32"/>
        </w:rPr>
      </w:pPr>
    </w:p>
    <w:sectPr>
      <w:footerReference r:id="rId9" w:type="first"/>
      <w:headerReference r:id="rId7" w:type="default"/>
      <w:footerReference r:id="rId8" w:type="default"/>
      <w:pgSz w:w="11906" w:h="16838"/>
      <w:pgMar w:top="1440" w:right="1800" w:bottom="1440" w:left="1800"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0"/>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Tms Rmn">
    <w:altName w:val="Microsoft Sans Serif"/>
    <w:panose1 w:val="020B0604020202020204"/>
    <w:charset w:val="00"/>
    <w:family w:val="roman"/>
    <w:pitch w:val="default"/>
    <w:sig w:usb0="00000000" w:usb1="00000000" w:usb2="00000000" w:usb3="00000000" w:csb0="00000001" w:csb1="00000000"/>
  </w:font>
  <w:font w:name="Microsoft Sans Serif">
    <w:panose1 w:val="020B0604020202020204"/>
    <w:charset w:val="00"/>
    <w:family w:val="auto"/>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1381"/>
    </w:sdtPr>
    <w:sdtContent>
      <w:p>
        <w:pPr>
          <w:pStyle w:val="6"/>
          <w:jc w:val="center"/>
        </w:pPr>
        <w:r>
          <w:fldChar w:fldCharType="begin"/>
        </w:r>
        <w:r>
          <w:instrText xml:space="preserve"> PAGE   \* MERGEFORMAT </w:instrText>
        </w:r>
        <w:r>
          <w:fldChar w:fldCharType="separate"/>
        </w:r>
        <w:r>
          <w:rPr>
            <w:lang w:val="zh-CN"/>
          </w:rPr>
          <w:t>-</w:t>
        </w:r>
        <w:r>
          <w:t xml:space="preserve"> 47 -</w:t>
        </w:r>
        <w:r>
          <w:fldChar w:fldCharType="end"/>
        </w:r>
      </w:p>
    </w:sdtContent>
  </w:sdt>
  <w:p>
    <w:pPr>
      <w:pStyle w:val="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61</w:t>
    </w:r>
    <w:r>
      <w:rPr>
        <w:lang w:val="zh-CN"/>
      </w:rPr>
      <w:fldChar w:fldCharType="end"/>
    </w:r>
  </w:p>
  <w:p>
    <w:pPr>
      <w:pStyle w:val="6"/>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40</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D75C5AD"/>
    <w:multiLevelType w:val="singleLevel"/>
    <w:tmpl w:val="5D75C5AD"/>
    <w:lvl w:ilvl="0" w:tentative="0">
      <w:start w:val="1"/>
      <w:numFmt w:val="decimal"/>
      <w:suff w:val="nothing"/>
      <w:lvlText w:val="（%1）"/>
      <w:lvlJc w:val="left"/>
    </w:lvl>
  </w:abstractNum>
  <w:abstractNum w:abstractNumId="3">
    <w:nsid w:val="5FD1CD8C"/>
    <w:multiLevelType w:val="singleLevel"/>
    <w:tmpl w:val="5FD1CD8C"/>
    <w:lvl w:ilvl="0" w:tentative="0">
      <w:start w:val="6"/>
      <w:numFmt w:val="chineseCounting"/>
      <w:suff w:val="space"/>
      <w:lvlText w:val="第%1条"/>
      <w:lvlJc w:val="left"/>
    </w:lvl>
  </w:abstractNum>
  <w:abstractNum w:abstractNumId="4">
    <w:nsid w:val="5FF401CA"/>
    <w:multiLevelType w:val="singleLevel"/>
    <w:tmpl w:val="5FF401CA"/>
    <w:lvl w:ilvl="0" w:tentative="0">
      <w:start w:val="5"/>
      <w:numFmt w:val="chineseCounting"/>
      <w:suff w:val="nothing"/>
      <w:lvlText w:val="%1、"/>
      <w:lvlJc w:val="left"/>
    </w:lvl>
  </w:abstractNum>
  <w:abstractNum w:abstractNumId="5">
    <w:nsid w:val="609CC20A"/>
    <w:multiLevelType w:val="singleLevel"/>
    <w:tmpl w:val="609CC20A"/>
    <w:lvl w:ilvl="0" w:tentative="0">
      <w:start w:val="8"/>
      <w:numFmt w:val="chineseCounting"/>
      <w:suff w:val="nothing"/>
      <w:lvlText w:val="%1、"/>
      <w:lvlJc w:val="left"/>
    </w:lvl>
  </w:abstractNum>
  <w:abstractNum w:abstractNumId="6">
    <w:nsid w:val="6306DE00"/>
    <w:multiLevelType w:val="singleLevel"/>
    <w:tmpl w:val="6306DE00"/>
    <w:lvl w:ilvl="0" w:tentative="0">
      <w:start w:val="4"/>
      <w:numFmt w:val="decimal"/>
      <w:suff w:val="nothing"/>
      <w:lvlText w:val="(%1)"/>
      <w:lvlJc w:val="left"/>
    </w:lvl>
  </w:abstractNum>
  <w:abstractNum w:abstractNumId="7">
    <w:nsid w:val="636C52E6"/>
    <w:multiLevelType w:val="singleLevel"/>
    <w:tmpl w:val="636C52E6"/>
    <w:lvl w:ilvl="0" w:tentative="0">
      <w:start w:val="1"/>
      <w:numFmt w:val="decimal"/>
      <w:suff w:val="nothing"/>
      <w:lvlText w:val="(%1)"/>
      <w:lvlJc w:val="left"/>
    </w:lvl>
  </w:abstractNum>
  <w:abstractNum w:abstractNumId="8">
    <w:nsid w:val="636C642F"/>
    <w:multiLevelType w:val="singleLevel"/>
    <w:tmpl w:val="636C642F"/>
    <w:lvl w:ilvl="0" w:tentative="0">
      <w:start w:val="1"/>
      <w:numFmt w:val="decimal"/>
      <w:suff w:val="nothing"/>
      <w:lvlText w:val="（%1）"/>
      <w:lvlJc w:val="left"/>
    </w:lvl>
  </w:abstractNum>
  <w:num w:numId="1">
    <w:abstractNumId w:val="2"/>
  </w:num>
  <w:num w:numId="2">
    <w:abstractNumId w:val="4"/>
  </w:num>
  <w:num w:numId="3">
    <w:abstractNumId w:val="5"/>
  </w:num>
  <w:num w:numId="4">
    <w:abstractNumId w:val="6"/>
  </w:num>
  <w:num w:numId="5">
    <w:abstractNumId w:val="0"/>
  </w:num>
  <w:num w:numId="6">
    <w:abstractNumId w:val="3"/>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YzhjOWRmMWJkMTcwNTJiYTlkNjc1NzNkM2M4NmYifQ=="/>
  </w:docVars>
  <w:rsids>
    <w:rsidRoot w:val="00602DA2"/>
    <w:rsid w:val="001372A2"/>
    <w:rsid w:val="001842E5"/>
    <w:rsid w:val="00202EF4"/>
    <w:rsid w:val="00205DDE"/>
    <w:rsid w:val="002D6E53"/>
    <w:rsid w:val="002E389D"/>
    <w:rsid w:val="00306FCE"/>
    <w:rsid w:val="00375BBB"/>
    <w:rsid w:val="00574177"/>
    <w:rsid w:val="005A26E5"/>
    <w:rsid w:val="005A3F8F"/>
    <w:rsid w:val="00602DA2"/>
    <w:rsid w:val="00625098"/>
    <w:rsid w:val="00642119"/>
    <w:rsid w:val="006562EA"/>
    <w:rsid w:val="006A12D1"/>
    <w:rsid w:val="006E5133"/>
    <w:rsid w:val="008171B7"/>
    <w:rsid w:val="00817C3C"/>
    <w:rsid w:val="00820C30"/>
    <w:rsid w:val="00846FFC"/>
    <w:rsid w:val="008C5594"/>
    <w:rsid w:val="00906E38"/>
    <w:rsid w:val="00A967F5"/>
    <w:rsid w:val="00AC6F51"/>
    <w:rsid w:val="00AE2420"/>
    <w:rsid w:val="00B6451B"/>
    <w:rsid w:val="00BA486F"/>
    <w:rsid w:val="00C11D9A"/>
    <w:rsid w:val="00C45FDC"/>
    <w:rsid w:val="00C63C17"/>
    <w:rsid w:val="00D0743B"/>
    <w:rsid w:val="00D2136E"/>
    <w:rsid w:val="00D91BF2"/>
    <w:rsid w:val="00DA7957"/>
    <w:rsid w:val="00DD507F"/>
    <w:rsid w:val="00DF1565"/>
    <w:rsid w:val="00E95BFB"/>
    <w:rsid w:val="00F10D57"/>
    <w:rsid w:val="00F75078"/>
    <w:rsid w:val="00F75276"/>
    <w:rsid w:val="00F81449"/>
    <w:rsid w:val="014F73A6"/>
    <w:rsid w:val="02B95F5F"/>
    <w:rsid w:val="02F1240D"/>
    <w:rsid w:val="03044762"/>
    <w:rsid w:val="03196B6B"/>
    <w:rsid w:val="03F739A7"/>
    <w:rsid w:val="03F870E6"/>
    <w:rsid w:val="047518C7"/>
    <w:rsid w:val="04EE265D"/>
    <w:rsid w:val="050869C0"/>
    <w:rsid w:val="052F0674"/>
    <w:rsid w:val="05BE6E6F"/>
    <w:rsid w:val="05C353ED"/>
    <w:rsid w:val="063C0E2A"/>
    <w:rsid w:val="066C1019"/>
    <w:rsid w:val="073D70B6"/>
    <w:rsid w:val="077E75BF"/>
    <w:rsid w:val="083312CE"/>
    <w:rsid w:val="08A037D7"/>
    <w:rsid w:val="09411BF2"/>
    <w:rsid w:val="09673172"/>
    <w:rsid w:val="09E25A5D"/>
    <w:rsid w:val="09E436C7"/>
    <w:rsid w:val="0A280818"/>
    <w:rsid w:val="0A325507"/>
    <w:rsid w:val="0C2258A4"/>
    <w:rsid w:val="0C2C721E"/>
    <w:rsid w:val="0D58007A"/>
    <w:rsid w:val="0D662C58"/>
    <w:rsid w:val="0DEE646C"/>
    <w:rsid w:val="0E836117"/>
    <w:rsid w:val="0EE1797F"/>
    <w:rsid w:val="0EF24B25"/>
    <w:rsid w:val="0F3936BA"/>
    <w:rsid w:val="0F3A6E72"/>
    <w:rsid w:val="0F74556B"/>
    <w:rsid w:val="0F751372"/>
    <w:rsid w:val="103144BD"/>
    <w:rsid w:val="10926C44"/>
    <w:rsid w:val="10C41CD7"/>
    <w:rsid w:val="10D201D0"/>
    <w:rsid w:val="10FB2AF8"/>
    <w:rsid w:val="132D3D8B"/>
    <w:rsid w:val="134E2C41"/>
    <w:rsid w:val="13506F32"/>
    <w:rsid w:val="13C703B6"/>
    <w:rsid w:val="13D363C5"/>
    <w:rsid w:val="13FE71FA"/>
    <w:rsid w:val="14EF431F"/>
    <w:rsid w:val="15714686"/>
    <w:rsid w:val="15C55E70"/>
    <w:rsid w:val="168574AC"/>
    <w:rsid w:val="17706602"/>
    <w:rsid w:val="17A3369A"/>
    <w:rsid w:val="17E644B2"/>
    <w:rsid w:val="17F261B0"/>
    <w:rsid w:val="19B6105C"/>
    <w:rsid w:val="19D22F7C"/>
    <w:rsid w:val="19E250F9"/>
    <w:rsid w:val="1A372ED2"/>
    <w:rsid w:val="1A530242"/>
    <w:rsid w:val="1A5510AA"/>
    <w:rsid w:val="1A905DB0"/>
    <w:rsid w:val="1AC01189"/>
    <w:rsid w:val="1ACC2D1E"/>
    <w:rsid w:val="1AE634A1"/>
    <w:rsid w:val="1B1762CA"/>
    <w:rsid w:val="1B494BCE"/>
    <w:rsid w:val="1B9E32AC"/>
    <w:rsid w:val="1C1F53DB"/>
    <w:rsid w:val="1C23428D"/>
    <w:rsid w:val="1C411E8A"/>
    <w:rsid w:val="1C67300B"/>
    <w:rsid w:val="1C722ABB"/>
    <w:rsid w:val="1DB82B97"/>
    <w:rsid w:val="1DD42994"/>
    <w:rsid w:val="1E017959"/>
    <w:rsid w:val="1E77463A"/>
    <w:rsid w:val="1ECC6715"/>
    <w:rsid w:val="1ED229A2"/>
    <w:rsid w:val="1F4F7C5F"/>
    <w:rsid w:val="1FC32413"/>
    <w:rsid w:val="200A02E6"/>
    <w:rsid w:val="20CE1F53"/>
    <w:rsid w:val="21EC1694"/>
    <w:rsid w:val="23416178"/>
    <w:rsid w:val="238E4739"/>
    <w:rsid w:val="23AA347B"/>
    <w:rsid w:val="254051B5"/>
    <w:rsid w:val="265818D7"/>
    <w:rsid w:val="26CC6707"/>
    <w:rsid w:val="27B369DB"/>
    <w:rsid w:val="289D4E0E"/>
    <w:rsid w:val="28BD1AD1"/>
    <w:rsid w:val="29727BB5"/>
    <w:rsid w:val="29F93588"/>
    <w:rsid w:val="2A4954FD"/>
    <w:rsid w:val="2B3A0E18"/>
    <w:rsid w:val="2B400820"/>
    <w:rsid w:val="2B7F6052"/>
    <w:rsid w:val="2BB864A4"/>
    <w:rsid w:val="2C4C3E76"/>
    <w:rsid w:val="2CF25F54"/>
    <w:rsid w:val="2DBD794B"/>
    <w:rsid w:val="2E6A0DCD"/>
    <w:rsid w:val="2EA80B40"/>
    <w:rsid w:val="2F5D728F"/>
    <w:rsid w:val="2FE921F7"/>
    <w:rsid w:val="304E0C8A"/>
    <w:rsid w:val="3068622A"/>
    <w:rsid w:val="320B2964"/>
    <w:rsid w:val="326F6647"/>
    <w:rsid w:val="32E10921"/>
    <w:rsid w:val="3308314E"/>
    <w:rsid w:val="33496CB7"/>
    <w:rsid w:val="33BA6ECE"/>
    <w:rsid w:val="33F5263D"/>
    <w:rsid w:val="34547575"/>
    <w:rsid w:val="34A7597F"/>
    <w:rsid w:val="350663DF"/>
    <w:rsid w:val="3510022D"/>
    <w:rsid w:val="359C614A"/>
    <w:rsid w:val="35AF3439"/>
    <w:rsid w:val="35EC099F"/>
    <w:rsid w:val="360327D0"/>
    <w:rsid w:val="36857170"/>
    <w:rsid w:val="36970B97"/>
    <w:rsid w:val="382607A7"/>
    <w:rsid w:val="3862043E"/>
    <w:rsid w:val="38815CBD"/>
    <w:rsid w:val="389C7905"/>
    <w:rsid w:val="38B029D5"/>
    <w:rsid w:val="393734D5"/>
    <w:rsid w:val="393E67AA"/>
    <w:rsid w:val="3971636A"/>
    <w:rsid w:val="39EB6FB8"/>
    <w:rsid w:val="3A1B2A12"/>
    <w:rsid w:val="3A9011B9"/>
    <w:rsid w:val="3A980D91"/>
    <w:rsid w:val="3B35055F"/>
    <w:rsid w:val="3B750C23"/>
    <w:rsid w:val="3C4D7A69"/>
    <w:rsid w:val="3CC82E49"/>
    <w:rsid w:val="3CFB49D2"/>
    <w:rsid w:val="3D082D39"/>
    <w:rsid w:val="3DA2028F"/>
    <w:rsid w:val="3EC1656B"/>
    <w:rsid w:val="3ED14080"/>
    <w:rsid w:val="3FAA7C29"/>
    <w:rsid w:val="40F179A3"/>
    <w:rsid w:val="41443C8D"/>
    <w:rsid w:val="414D50B1"/>
    <w:rsid w:val="4185372B"/>
    <w:rsid w:val="418B2C01"/>
    <w:rsid w:val="419A1761"/>
    <w:rsid w:val="41D14192"/>
    <w:rsid w:val="43A65AEB"/>
    <w:rsid w:val="43FE6D40"/>
    <w:rsid w:val="445A5AE3"/>
    <w:rsid w:val="44B107A9"/>
    <w:rsid w:val="455C24D2"/>
    <w:rsid w:val="45C34E0C"/>
    <w:rsid w:val="465945C7"/>
    <w:rsid w:val="466F3FD8"/>
    <w:rsid w:val="46AC7959"/>
    <w:rsid w:val="46F71F0E"/>
    <w:rsid w:val="476D73D9"/>
    <w:rsid w:val="485E642B"/>
    <w:rsid w:val="48A96880"/>
    <w:rsid w:val="48FA1F37"/>
    <w:rsid w:val="49133ED6"/>
    <w:rsid w:val="499C225B"/>
    <w:rsid w:val="4A2E626D"/>
    <w:rsid w:val="4AFA4B90"/>
    <w:rsid w:val="4B262160"/>
    <w:rsid w:val="4BB817A8"/>
    <w:rsid w:val="4C301F11"/>
    <w:rsid w:val="4C4D7514"/>
    <w:rsid w:val="4C7E3EFD"/>
    <w:rsid w:val="4CCD127D"/>
    <w:rsid w:val="4D2E1D74"/>
    <w:rsid w:val="4D302A92"/>
    <w:rsid w:val="4D6D2E4B"/>
    <w:rsid w:val="4DAA1422"/>
    <w:rsid w:val="4DE82905"/>
    <w:rsid w:val="4E5975F2"/>
    <w:rsid w:val="4E694A6E"/>
    <w:rsid w:val="4E7144A1"/>
    <w:rsid w:val="4F932486"/>
    <w:rsid w:val="4F9B5BD7"/>
    <w:rsid w:val="50A11CE1"/>
    <w:rsid w:val="50A57469"/>
    <w:rsid w:val="513546F9"/>
    <w:rsid w:val="515D3749"/>
    <w:rsid w:val="51E6424E"/>
    <w:rsid w:val="522C1FD0"/>
    <w:rsid w:val="52F62453"/>
    <w:rsid w:val="53572DB9"/>
    <w:rsid w:val="539C3C14"/>
    <w:rsid w:val="544E1C64"/>
    <w:rsid w:val="54666A06"/>
    <w:rsid w:val="55327461"/>
    <w:rsid w:val="566D702A"/>
    <w:rsid w:val="568E6452"/>
    <w:rsid w:val="57310012"/>
    <w:rsid w:val="579A74BA"/>
    <w:rsid w:val="57B16FA6"/>
    <w:rsid w:val="580F355F"/>
    <w:rsid w:val="58144BF6"/>
    <w:rsid w:val="586F4D4A"/>
    <w:rsid w:val="589300EC"/>
    <w:rsid w:val="589623CE"/>
    <w:rsid w:val="58D57FA2"/>
    <w:rsid w:val="59825D4A"/>
    <w:rsid w:val="59A95BAF"/>
    <w:rsid w:val="5A20261E"/>
    <w:rsid w:val="5A652A1E"/>
    <w:rsid w:val="5A8108AD"/>
    <w:rsid w:val="5AC266C0"/>
    <w:rsid w:val="5B1F7F83"/>
    <w:rsid w:val="5B2D7584"/>
    <w:rsid w:val="5BD80E88"/>
    <w:rsid w:val="5BF24678"/>
    <w:rsid w:val="5BF343EC"/>
    <w:rsid w:val="5D231F56"/>
    <w:rsid w:val="5D4C11AD"/>
    <w:rsid w:val="5D99654F"/>
    <w:rsid w:val="5DD11DF2"/>
    <w:rsid w:val="5DDF6FE6"/>
    <w:rsid w:val="5E09512E"/>
    <w:rsid w:val="5ED63FC2"/>
    <w:rsid w:val="5EE45516"/>
    <w:rsid w:val="5FD46899"/>
    <w:rsid w:val="5FD61FD6"/>
    <w:rsid w:val="60460965"/>
    <w:rsid w:val="6050634D"/>
    <w:rsid w:val="61354AB5"/>
    <w:rsid w:val="617F742F"/>
    <w:rsid w:val="62016700"/>
    <w:rsid w:val="622E5D39"/>
    <w:rsid w:val="63124DBD"/>
    <w:rsid w:val="635903D4"/>
    <w:rsid w:val="646B5557"/>
    <w:rsid w:val="65B36EF1"/>
    <w:rsid w:val="65C97F87"/>
    <w:rsid w:val="65E60C0C"/>
    <w:rsid w:val="6604027D"/>
    <w:rsid w:val="66946F47"/>
    <w:rsid w:val="677036EC"/>
    <w:rsid w:val="682E2769"/>
    <w:rsid w:val="684510B6"/>
    <w:rsid w:val="6A4D37F6"/>
    <w:rsid w:val="6A970962"/>
    <w:rsid w:val="6A9E47C4"/>
    <w:rsid w:val="6AAE5576"/>
    <w:rsid w:val="6ABD6C3B"/>
    <w:rsid w:val="6AF76ABC"/>
    <w:rsid w:val="6AFD23D9"/>
    <w:rsid w:val="6B23775C"/>
    <w:rsid w:val="6B5D6B38"/>
    <w:rsid w:val="6BE373CC"/>
    <w:rsid w:val="6C2966F6"/>
    <w:rsid w:val="6C5E5250"/>
    <w:rsid w:val="6CCA0C5F"/>
    <w:rsid w:val="6E4D7C1E"/>
    <w:rsid w:val="6EA35A1F"/>
    <w:rsid w:val="6EAA3D3E"/>
    <w:rsid w:val="6ED004D7"/>
    <w:rsid w:val="6ED256FD"/>
    <w:rsid w:val="6EE131BA"/>
    <w:rsid w:val="6F74423D"/>
    <w:rsid w:val="70F76756"/>
    <w:rsid w:val="7114779B"/>
    <w:rsid w:val="712868A1"/>
    <w:rsid w:val="7130783B"/>
    <w:rsid w:val="71562100"/>
    <w:rsid w:val="729A79A5"/>
    <w:rsid w:val="72C316BB"/>
    <w:rsid w:val="72DC013B"/>
    <w:rsid w:val="72F06AFF"/>
    <w:rsid w:val="73D87888"/>
    <w:rsid w:val="73D918B9"/>
    <w:rsid w:val="73E170BF"/>
    <w:rsid w:val="741E53F6"/>
    <w:rsid w:val="743C7B32"/>
    <w:rsid w:val="74457D7C"/>
    <w:rsid w:val="74873A10"/>
    <w:rsid w:val="754B5B39"/>
    <w:rsid w:val="75A9354E"/>
    <w:rsid w:val="75BA0406"/>
    <w:rsid w:val="75EB06EF"/>
    <w:rsid w:val="761B655E"/>
    <w:rsid w:val="77663D48"/>
    <w:rsid w:val="779E2B03"/>
    <w:rsid w:val="78FB0FDD"/>
    <w:rsid w:val="7B244D46"/>
    <w:rsid w:val="7CA705F6"/>
    <w:rsid w:val="7CCD2795"/>
    <w:rsid w:val="7D2D0BB7"/>
    <w:rsid w:val="7D4C0316"/>
    <w:rsid w:val="7DFB469E"/>
    <w:rsid w:val="7E8C52A1"/>
    <w:rsid w:val="7EBF04C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character" w:default="1" w:styleId="10">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szCs w:val="20"/>
    </w:rPr>
  </w:style>
  <w:style w:type="paragraph" w:styleId="4">
    <w:name w:val="Body Text"/>
    <w:basedOn w:val="1"/>
    <w:next w:val="1"/>
    <w:qFormat/>
    <w:uiPriority w:val="0"/>
    <w:pPr>
      <w:spacing w:after="120"/>
    </w:pPr>
    <w:rPr>
      <w:rFonts w:ascii="Times New Roman" w:hAnsi="Times New Roman"/>
      <w:szCs w:val="24"/>
    </w:rPr>
  </w:style>
  <w:style w:type="paragraph" w:styleId="5">
    <w:name w:val="Plain Text"/>
    <w:basedOn w:val="1"/>
    <w:qFormat/>
    <w:uiPriority w:val="0"/>
    <w:rPr>
      <w:rFonts w:ascii="宋体" w:hAnsi="Courier New" w:eastAsia="宋体" w:cs="Times New Roman"/>
      <w:kern w:val="0"/>
      <w:sz w:val="20"/>
      <w:szCs w:val="21"/>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8">
    <w:name w:val="toc 1"/>
    <w:basedOn w:val="1"/>
    <w:next w:val="1"/>
    <w:qFormat/>
    <w:uiPriority w:val="0"/>
    <w:pPr>
      <w:adjustRightInd w:val="0"/>
      <w:snapToGrid w:val="0"/>
    </w:pPr>
    <w:rPr>
      <w:rFonts w:ascii="Times New Roman" w:hAnsi="Times New Roman" w:eastAsia="仿宋" w:cs="Times New Roman"/>
      <w:szCs w:val="24"/>
    </w:rPr>
  </w:style>
  <w:style w:type="paragraph" w:styleId="9">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character" w:styleId="11">
    <w:name w:val="page number"/>
    <w:basedOn w:val="10"/>
    <w:qFormat/>
    <w:uiPriority w:val="0"/>
  </w:style>
  <w:style w:type="paragraph" w:customStyle="1" w:styleId="13">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14">
    <w:name w:val="_Style 3"/>
    <w:basedOn w:val="1"/>
    <w:qFormat/>
    <w:uiPriority w:val="0"/>
    <w:pPr>
      <w:ind w:firstLine="420" w:firstLineChars="200"/>
    </w:pPr>
    <w:rPr>
      <w:szCs w:val="20"/>
    </w:rPr>
  </w:style>
  <w:style w:type="paragraph" w:customStyle="1" w:styleId="15">
    <w:name w:val="列出段落1"/>
    <w:basedOn w:val="1"/>
    <w:unhideWhenUsed/>
    <w:qFormat/>
    <w:uiPriority w:val="99"/>
    <w:pPr>
      <w:ind w:firstLine="420" w:firstLineChars="200"/>
    </w:pPr>
    <w:rPr>
      <w:rFonts w:ascii="Calibri" w:hAnsi="Calibri" w:eastAsia="宋体" w:cs="Times New Roman"/>
    </w:rPr>
  </w:style>
  <w:style w:type="paragraph" w:customStyle="1" w:styleId="16">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7">
    <w:name w:val="样式 样式1 + 首行缩进:  2 字符"/>
    <w:basedOn w:val="1"/>
    <w:qFormat/>
    <w:uiPriority w:val="0"/>
    <w:pPr>
      <w:spacing w:line="360" w:lineRule="exact"/>
      <w:ind w:firstLine="420" w:firstLineChars="200"/>
    </w:pPr>
    <w:rPr>
      <w:rFonts w:ascii="Arial" w:hAnsi="Arial"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3558</Words>
  <Characters>20285</Characters>
  <Lines>169</Lines>
  <Paragraphs>47</Paragraphs>
  <ScaleCrop>false</ScaleCrop>
  <LinksUpToDate>false</LinksUpToDate>
  <CharactersWithSpaces>23796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张乾波</cp:lastModifiedBy>
  <dcterms:modified xsi:type="dcterms:W3CDTF">2022-12-19T05:41:50Z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9827B782D2C44DD98ED7AB2082A6BD59</vt:lpwstr>
  </property>
</Properties>
</file>