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杭州萧山国际机场T4行李分拣区业务用房增加强电设施项目招标文件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一</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decimal" w:start="1"/>
          <w:cols w:space="720" w:num="1"/>
        </w:sectPr>
      </w:pPr>
    </w:p>
    <w:sdt>
      <w:sdtPr>
        <w:rPr>
          <w:rFonts w:ascii="宋体" w:hAnsi="宋体" w:eastAsia="宋体"/>
        </w:rPr>
        <w:id w:val="147480402"/>
        <w15:color w:val="DBDBDB"/>
      </w:sdtPr>
      <w:sdtEndPr>
        <w:rPr>
          <w:rFonts w:asciiTheme="minorHAnsi" w:hAnsiTheme="minorHAnsi" w:eastAsiaTheme="minorEastAsia"/>
          <w:bCs/>
          <w:szCs w:val="44"/>
        </w:rPr>
      </w:sdtEndPr>
      <w:sdt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sz w:val="36"/>
              <w:szCs w:val="40"/>
            </w:rPr>
          </w:pPr>
          <w:r>
            <w:rPr>
              <w:rFonts w:ascii="宋体" w:hAnsi="宋体" w:eastAsia="宋体"/>
              <w:sz w:val="36"/>
              <w:szCs w:val="40"/>
            </w:rPr>
            <w:t>目录</w:t>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fldChar w:fldCharType="begin"/>
          </w:r>
          <w:r>
            <w:rPr>
              <w:rFonts w:hint="eastAsia" w:ascii="仿宋_GB2312" w:hAnsi="仿宋_GB2312" w:eastAsia="仿宋_GB2312" w:cs="仿宋_GB2312"/>
              <w:b/>
              <w:bCs/>
              <w:sz w:val="36"/>
              <w:szCs w:val="36"/>
            </w:rPr>
            <w:instrText xml:space="preserve">TOC \o "1-3" \h \u </w:instrText>
          </w:r>
          <w:r>
            <w:rPr>
              <w:rFonts w:hint="eastAsia" w:ascii="仿宋_GB2312" w:hAnsi="仿宋_GB2312" w:eastAsia="仿宋_GB2312" w:cs="仿宋_GB2312"/>
              <w:b/>
              <w:bCs/>
              <w:sz w:val="36"/>
              <w:szCs w:val="36"/>
            </w:rPr>
            <w:fldChar w:fldCharType="separate"/>
          </w: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_Toc24760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第一章 招标公告</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_Toc24760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1</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_Toc568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第二章 评标办法</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3</w:t>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_Toc20342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第三章 合同条款及格式</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5</w:t>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_Toc20411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第四章 工程量清单</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_Toc20411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24</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_Toc15201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第五章 技术标准及要求</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fldChar w:fldCharType="begin"/>
          </w:r>
          <w:r>
            <w:rPr>
              <w:rFonts w:hint="eastAsia" w:ascii="仿宋_GB2312" w:hAnsi="仿宋_GB2312" w:eastAsia="仿宋_GB2312" w:cs="仿宋_GB2312"/>
              <w:kern w:val="2"/>
              <w:sz w:val="36"/>
              <w:szCs w:val="36"/>
              <w:lang w:val="en-US" w:eastAsia="zh-CN" w:bidi="ar-SA"/>
            </w:rPr>
            <w:instrText xml:space="preserve"> PAGEREF _Toc15201 </w:instrText>
          </w:r>
          <w:r>
            <w:rPr>
              <w:rFonts w:hint="eastAsia" w:ascii="仿宋_GB2312" w:hAnsi="仿宋_GB2312" w:eastAsia="仿宋_GB2312" w:cs="仿宋_GB2312"/>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25</w:t>
          </w:r>
          <w:r>
            <w:rPr>
              <w:rFonts w:hint="eastAsia" w:ascii="仿宋_GB2312" w:hAnsi="仿宋_GB2312" w:eastAsia="仿宋_GB2312" w:cs="仿宋_GB2312"/>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fldChar w:fldCharType="end"/>
          </w:r>
        </w:p>
        <w:p>
          <w:pPr>
            <w:pStyle w:val="8"/>
            <w:keepNext w:val="0"/>
            <w:keepLines w:val="0"/>
            <w:pageBreakBefore w:val="0"/>
            <w:widowControl w:val="0"/>
            <w:tabs>
              <w:tab w:val="right" w:leader="dot" w:pos="8306"/>
            </w:tabs>
            <w:kinsoku/>
            <w:wordWrap/>
            <w:overflowPunct/>
            <w:topLinePunct w:val="0"/>
            <w:autoSpaceDE/>
            <w:autoSpaceDN/>
            <w:bidi w:val="0"/>
            <w:spacing w:line="560" w:lineRule="exact"/>
            <w:ind w:left="0" w:leftChars="0" w:right="0" w:rightChars="0" w:firstLine="0" w:firstLineChars="0"/>
            <w:textAlignment w:val="auto"/>
            <w:outlineLvl w:val="9"/>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bCs/>
              <w:kern w:val="2"/>
              <w:sz w:val="36"/>
              <w:szCs w:val="36"/>
              <w:lang w:val="en-US" w:eastAsia="zh-CN" w:bidi="ar-SA"/>
            </w:rPr>
            <w:fldChar w:fldCharType="begin"/>
          </w:r>
          <w:r>
            <w:rPr>
              <w:rFonts w:hint="eastAsia" w:ascii="仿宋_GB2312" w:hAnsi="仿宋_GB2312" w:eastAsia="仿宋_GB2312" w:cs="仿宋_GB2312"/>
              <w:bCs/>
              <w:kern w:val="2"/>
              <w:sz w:val="36"/>
              <w:szCs w:val="36"/>
              <w:lang w:val="en-US" w:eastAsia="zh-CN" w:bidi="ar-SA"/>
            </w:rPr>
            <w:instrText xml:space="preserve"> HYPERLINK \l _Toc1471 </w:instrText>
          </w:r>
          <w:r>
            <w:rPr>
              <w:rFonts w:hint="eastAsia" w:ascii="仿宋_GB2312" w:hAnsi="仿宋_GB2312" w:eastAsia="仿宋_GB2312" w:cs="仿宋_GB2312"/>
              <w:bCs/>
              <w:kern w:val="2"/>
              <w:sz w:val="36"/>
              <w:szCs w:val="36"/>
              <w:lang w:val="en-US" w:eastAsia="zh-CN" w:bidi="ar-SA"/>
            </w:rPr>
            <w:fldChar w:fldCharType="separate"/>
          </w:r>
          <w:r>
            <w:rPr>
              <w:rFonts w:hint="eastAsia" w:ascii="仿宋_GB2312" w:hAnsi="仿宋_GB2312" w:eastAsia="仿宋_GB2312" w:cs="仿宋_GB2312"/>
              <w:kern w:val="2"/>
              <w:sz w:val="36"/>
              <w:szCs w:val="36"/>
              <w:lang w:val="en-US" w:eastAsia="zh-CN" w:bidi="ar-SA"/>
            </w:rPr>
            <w:t>第六章 投标文件格式</w:t>
          </w:r>
          <w:r>
            <w:rPr>
              <w:rFonts w:hint="eastAsia" w:ascii="仿宋_GB2312" w:hAnsi="仿宋_GB2312" w:eastAsia="仿宋_GB2312" w:cs="仿宋_GB2312"/>
              <w:kern w:val="2"/>
              <w:sz w:val="36"/>
              <w:szCs w:val="36"/>
              <w:lang w:val="en-US" w:eastAsia="zh-CN" w:bidi="ar-SA"/>
            </w:rPr>
            <w:tab/>
          </w:r>
          <w:r>
            <w:rPr>
              <w:rFonts w:hint="eastAsia" w:ascii="仿宋_GB2312" w:hAnsi="仿宋_GB2312" w:eastAsia="仿宋_GB2312" w:cs="仿宋_GB2312"/>
              <w:kern w:val="2"/>
              <w:sz w:val="36"/>
              <w:szCs w:val="36"/>
              <w:lang w:val="en-US" w:eastAsia="zh-CN" w:bidi="ar-SA"/>
            </w:rPr>
            <w:t>3</w:t>
          </w:r>
          <w:r>
            <w:rPr>
              <w:rFonts w:hint="eastAsia" w:ascii="仿宋_GB2312" w:hAnsi="仿宋_GB2312" w:eastAsia="仿宋_GB2312" w:cs="仿宋_GB2312"/>
              <w:bCs/>
              <w:kern w:val="2"/>
              <w:sz w:val="36"/>
              <w:szCs w:val="36"/>
              <w:lang w:val="en-US" w:eastAsia="zh-CN" w:bidi="ar-SA"/>
            </w:rPr>
            <w:fldChar w:fldCharType="end"/>
          </w:r>
          <w:r>
            <w:rPr>
              <w:rFonts w:hint="eastAsia" w:ascii="仿宋_GB2312" w:hAnsi="仿宋_GB2312" w:eastAsia="仿宋_GB2312" w:cs="仿宋_GB2312"/>
              <w:bCs/>
              <w:kern w:val="2"/>
              <w:sz w:val="36"/>
              <w:szCs w:val="36"/>
              <w:lang w:val="en-US" w:eastAsia="zh-CN" w:bidi="ar-SA"/>
            </w:rPr>
            <w:t>0</w:t>
          </w:r>
        </w:p>
        <w:p>
          <w:pPr>
            <w:keepNext w:val="0"/>
            <w:keepLines w:val="0"/>
            <w:pageBreakBefore w:val="0"/>
            <w:widowControl w:val="0"/>
            <w:kinsoku/>
            <w:wordWrap/>
            <w:overflowPunct/>
            <w:topLinePunct w:val="0"/>
            <w:autoSpaceDE/>
            <w:autoSpaceDN/>
            <w:bidi w:val="0"/>
            <w:spacing w:line="560" w:lineRule="exact"/>
            <w:ind w:left="0" w:leftChars="0" w:right="0" w:rightChars="0" w:firstLine="0" w:firstLineChars="0"/>
            <w:jc w:val="center"/>
            <w:textAlignment w:val="auto"/>
            <w:outlineLvl w:val="9"/>
            <w:rPr>
              <w:b/>
              <w:bCs/>
              <w:sz w:val="44"/>
              <w:szCs w:val="44"/>
            </w:rPr>
          </w:pPr>
          <w:r>
            <w:rPr>
              <w:rFonts w:hint="eastAsia" w:ascii="仿宋_GB2312" w:hAnsi="仿宋_GB2312" w:eastAsia="仿宋_GB2312" w:cs="仿宋_GB2312"/>
              <w:bCs/>
              <w:kern w:val="2"/>
              <w:sz w:val="36"/>
              <w:szCs w:val="36"/>
              <w:lang w:val="en-US" w:eastAsia="zh-CN" w:bidi="ar-SA"/>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rPr>
          <w:rFonts w:hint="eastAsia"/>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bookmarkStart w:id="0" w:name="_Toc448097401"/>
      <w:bookmarkStart w:id="1" w:name="_Toc24760"/>
    </w:p>
    <w:p>
      <w:pPr>
        <w:pStyle w:val="9"/>
        <w:pageBreakBefore/>
      </w:pPr>
      <w:r>
        <w:rPr>
          <w:rFonts w:hint="eastAsia"/>
        </w:rPr>
        <w:t>第一章 招标公告</w:t>
      </w:r>
      <w:bookmarkEnd w:id="0"/>
      <w:bookmarkEnd w:id="1"/>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bookmarkStart w:id="29" w:name="_GoBack"/>
      <w:r>
        <w:rPr>
          <w:rFonts w:hint="eastAsia" w:asciiTheme="minorEastAsia" w:hAnsiTheme="minorEastAsia" w:cstheme="minorEastAsia"/>
          <w:b/>
          <w:bCs/>
          <w:kern w:val="0"/>
          <w:sz w:val="24"/>
          <w:szCs w:val="24"/>
        </w:rPr>
        <w:t>招标内容</w:t>
      </w:r>
    </w:p>
    <w:p>
      <w:pPr>
        <w:widowControl/>
        <w:numPr>
          <w:ilvl w:val="0"/>
          <w:numId w:val="2"/>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项目概况：为满足T4航站楼转场后行李分拣作业保障需要，在T4航站楼负6.5米层行李分拣区增加4个现场工作台、2个工作间、1个中转工作台的配套强电设施等工作内容。</w:t>
      </w:r>
    </w:p>
    <w:p>
      <w:pPr>
        <w:widowControl/>
        <w:numPr>
          <w:ilvl w:val="0"/>
          <w:numId w:val="2"/>
        </w:numPr>
        <w:adjustRightInd w:val="0"/>
        <w:snapToGrid w:val="0"/>
        <w:spacing w:line="360" w:lineRule="exact"/>
        <w:ind w:firstLine="482"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实施内容：详见工程量清单和技术标准及要求。</w:t>
      </w:r>
    </w:p>
    <w:p>
      <w:pPr>
        <w:widowControl/>
        <w:numPr>
          <w:ilvl w:val="0"/>
          <w:numId w:val="2"/>
        </w:numPr>
        <w:adjustRightInd w:val="0"/>
        <w:snapToGrid w:val="0"/>
        <w:spacing w:line="360" w:lineRule="exact"/>
        <w:ind w:firstLine="482"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本项目设一个标段，要求甲方通知进场后</w:t>
      </w:r>
      <w:r>
        <w:rPr>
          <w:rFonts w:hint="eastAsia" w:ascii="宋体" w:hAnsi="宋体" w:eastAsia="宋体" w:cs="宋体"/>
          <w:b w:val="0"/>
          <w:bCs w:val="0"/>
          <w:kern w:val="0"/>
          <w:sz w:val="24"/>
          <w:szCs w:val="24"/>
          <w:u w:val="single"/>
          <w:lang w:val="en-US" w:eastAsia="zh-CN"/>
        </w:rPr>
        <w:t>5</w:t>
      </w:r>
      <w:r>
        <w:rPr>
          <w:rFonts w:hint="eastAsia" w:ascii="宋体" w:hAnsi="宋体" w:eastAsia="宋体" w:cs="宋体"/>
          <w:b w:val="0"/>
          <w:bCs w:val="0"/>
          <w:kern w:val="0"/>
          <w:sz w:val="24"/>
          <w:szCs w:val="24"/>
        </w:rPr>
        <w:t>日历天内完工。</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bookmarkStart w:id="2" w:name="_Toc448097402"/>
      <w:bookmarkStart w:id="3" w:name="_Toc448097403"/>
      <w:r>
        <w:rPr>
          <w:rFonts w:hint="eastAsia" w:asciiTheme="minorEastAsia" w:hAnsiTheme="minorEastAsia" w:cstheme="minorEastAsia"/>
          <w:b/>
          <w:bCs/>
          <w:kern w:val="0"/>
          <w:sz w:val="24"/>
          <w:szCs w:val="24"/>
        </w:rPr>
        <w:t>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w:t>
      </w:r>
      <w:r>
        <w:rPr>
          <w:rFonts w:hint="eastAsia" w:ascii="宋体" w:hAnsi="宋体" w:eastAsia="宋体" w:cs="宋体"/>
          <w:sz w:val="24"/>
          <w:szCs w:val="24"/>
          <w:lang w:val="en-US" w:eastAsia="zh-CN"/>
        </w:rPr>
        <w:t>不</w:t>
      </w:r>
      <w:r>
        <w:rPr>
          <w:rFonts w:hint="eastAsia" w:ascii="宋体" w:hAnsi="宋体" w:eastAsia="宋体" w:cs="宋体"/>
          <w:sz w:val="24"/>
          <w:szCs w:val="24"/>
        </w:rPr>
        <w:t>组织踏勘现场</w:t>
      </w:r>
      <w:r>
        <w:rPr>
          <w:rFonts w:hint="eastAsia" w:ascii="宋体" w:hAnsi="宋体" w:eastAsia="宋体" w:cs="宋体"/>
          <w:b w:val="0"/>
          <w:bCs w:val="0"/>
          <w:kern w:val="0"/>
          <w:sz w:val="24"/>
          <w:szCs w:val="24"/>
        </w:rPr>
        <w:t>。</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 xml:space="preserve">时 </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w:t>
      </w:r>
      <w:r>
        <w:rPr>
          <w:rFonts w:hint="eastAsia" w:ascii="宋体" w:hAnsi="宋体" w:eastAsia="宋体" w:cs="宋体"/>
          <w:kern w:val="0"/>
          <w:sz w:val="24"/>
          <w:szCs w:val="24"/>
          <w:lang w:val="en-US" w:eastAsia="zh-CN"/>
        </w:rPr>
        <w:t>373285581@qq.com</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吴淼清</w:t>
      </w:r>
      <w:r>
        <w:rPr>
          <w:rFonts w:hint="eastAsia" w:ascii="宋体" w:hAnsi="宋体" w:eastAsia="宋体" w:cs="宋体"/>
          <w:kern w:val="0"/>
          <w:sz w:val="24"/>
          <w:szCs w:val="24"/>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 xml:space="preserve">时 </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杭州萧山国际机场T4行李分拣区业务用房增加强电设施项目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 xml:space="preserve">时 </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2023</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 xml:space="preserve">时 </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b/>
          <w:bCs/>
          <w:color w:val="auto"/>
          <w:kern w:val="0"/>
          <w:sz w:val="24"/>
          <w:szCs w:val="24"/>
          <w:lang w:val="en-US" w:eastAsia="zh-CN"/>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杭州萧山国际机场T4行李分拣区业务用房增加强电设施项目</w:t>
      </w:r>
      <w:r>
        <w:rPr>
          <w:rFonts w:hint="eastAsia" w:ascii="宋体" w:hAnsi="宋体" w:eastAsia="宋体" w:cs="宋体"/>
          <w:b/>
          <w:bCs/>
          <w:color w:val="000000" w:themeColor="text1"/>
          <w:sz w:val="24"/>
          <w:szCs w:val="24"/>
          <w:lang w:val="en-US" w:eastAsia="zh-CN"/>
          <w14:textFill>
            <w14:solidFill>
              <w14:schemeClr w14:val="tx1"/>
            </w14:solidFill>
          </w14:textFill>
        </w:rPr>
        <w:t>投</w:t>
      </w:r>
      <w:r>
        <w:rPr>
          <w:rFonts w:hint="eastAsia" w:ascii="宋体" w:hAnsi="宋体" w:eastAsia="宋体" w:cs="宋体"/>
          <w:b/>
          <w:bCs/>
          <w:color w:val="000000" w:themeColor="text1"/>
          <w:sz w:val="24"/>
          <w:szCs w:val="24"/>
          <w14:textFill>
            <w14:solidFill>
              <w14:schemeClr w14:val="tx1"/>
            </w14:solidFill>
          </w14:textFill>
        </w:rPr>
        <w:t>标文件</w:t>
      </w:r>
      <w:r>
        <w:rPr>
          <w:rFonts w:hint="eastAsia" w:ascii="宋体" w:hAnsi="宋体" w:eastAsia="宋体" w:cs="宋体"/>
          <w:b w:val="0"/>
          <w:bCs w:val="0"/>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u w:val="single"/>
        </w:rPr>
        <w:t>杭州萧山国际机场T4行李分拣区业务用房增加强电设施项目</w:t>
      </w:r>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lang w:val="en-US" w:eastAsia="zh-CN"/>
        </w:rPr>
        <w:t>2023</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r>
        <w:rPr>
          <w:rFonts w:hint="eastAsia" w:asciiTheme="minorEastAsia" w:hAnsiTheme="minorEastAsia" w:cstheme="minorEastAsia"/>
          <w:b w:val="0"/>
          <w:bCs/>
          <w:sz w:val="24"/>
          <w:szCs w:val="24"/>
        </w:rPr>
        <w:t>。</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1"/>
        </w:numPr>
        <w:adjustRightInd w:val="0"/>
        <w:snapToGrid w:val="0"/>
        <w:spacing w:line="320" w:lineRule="exact"/>
        <w:ind w:left="0" w:leftChars="0" w:firstLine="420" w:firstLineChars="0"/>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4" w:name="_Toc19218"/>
      <w:bookmarkStart w:id="5" w:name="_Toc3775"/>
      <w:bookmarkStart w:id="6" w:name="_Toc28061"/>
      <w:r>
        <w:rPr>
          <w:rFonts w:hint="eastAsia" w:asciiTheme="minorEastAsia" w:hAnsiTheme="minorEastAsia" w:eastAsiaTheme="minorEastAsia" w:cstheme="minorEastAsia"/>
          <w:b w:val="0"/>
          <w:bCs w:val="0"/>
          <w:sz w:val="24"/>
          <w:szCs w:val="24"/>
        </w:rPr>
        <w:t>（4）</w:t>
      </w:r>
      <w:bookmarkEnd w:id="4"/>
      <w:bookmarkEnd w:id="5"/>
      <w:r>
        <w:rPr>
          <w:rFonts w:hint="eastAsia" w:asciiTheme="minorEastAsia" w:hAnsiTheme="minorEastAsia" w:eastAsiaTheme="minorEastAsia" w:cstheme="minorEastAsia"/>
          <w:b w:val="0"/>
          <w:bCs w:val="0"/>
          <w:sz w:val="24"/>
          <w:szCs w:val="24"/>
        </w:rPr>
        <w:t>本次评标采用</w:t>
      </w:r>
      <w:r>
        <w:rPr>
          <w:rFonts w:hint="eastAsia" w:asciiTheme="minorEastAsia" w:hAnsiTheme="minorEastAsia" w:eastAsiaTheme="minorEastAsia" w:cstheme="minorEastAsia"/>
          <w:b w:val="0"/>
          <w:bCs w:val="0"/>
          <w:sz w:val="24"/>
          <w:szCs w:val="24"/>
          <w:u w:val="single"/>
          <w:lang w:val="en-US" w:eastAsia="zh-CN"/>
        </w:rPr>
        <w:t>经评审的最低投标价法</w:t>
      </w:r>
      <w:r>
        <w:rPr>
          <w:rFonts w:hint="eastAsia" w:asciiTheme="minorEastAsia" w:hAnsiTheme="minorEastAsia" w:eastAsiaTheme="minorEastAsia" w:cstheme="minorEastAsia"/>
          <w:b w:val="0"/>
          <w:bCs w:val="0"/>
          <w:sz w:val="24"/>
          <w:szCs w:val="24"/>
        </w:rPr>
        <w:t>推荐中标候选人。</w:t>
      </w:r>
      <w:bookmarkEnd w:id="6"/>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numPr>
          <w:ilvl w:val="0"/>
          <w:numId w:val="1"/>
        </w:numPr>
        <w:adjustRightInd w:val="0"/>
        <w:snapToGrid w:val="0"/>
        <w:spacing w:line="320" w:lineRule="exact"/>
        <w:ind w:left="0" w:leftChars="0" w:firstLine="420" w:firstLineChars="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bookmarkEnd w:id="29"/>
    <w:p>
      <w:pPr>
        <w:pStyle w:val="9"/>
      </w:pPr>
    </w:p>
    <w:p>
      <w:pPr>
        <w:pStyle w:val="9"/>
      </w:pPr>
    </w:p>
    <w:p/>
    <w:p>
      <w:pPr>
        <w:pStyle w:val="9"/>
      </w:pPr>
    </w:p>
    <w:p>
      <w:pPr>
        <w:pStyle w:val="9"/>
      </w:pPr>
    </w:p>
    <w:p>
      <w:pPr>
        <w:pStyle w:val="9"/>
      </w:pPr>
    </w:p>
    <w:p>
      <w:pPr>
        <w:pStyle w:val="9"/>
      </w:pPr>
    </w:p>
    <w:bookmarkEnd w:id="2"/>
    <w:bookmarkEnd w:id="3"/>
    <w:p>
      <w:pPr>
        <w:pStyle w:val="9"/>
        <w:keepNext w:val="0"/>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bookmarkStart w:id="7" w:name="_Toc27752"/>
      <w:bookmarkStart w:id="8" w:name="_Toc568"/>
      <w:bookmarkStart w:id="9" w:name="_Toc448097404"/>
      <w:bookmarkStart w:id="10" w:name="_Toc24237"/>
      <w:r>
        <w:t>第</w:t>
      </w:r>
      <w:r>
        <w:rPr>
          <w:rFonts w:hint="eastAsia"/>
        </w:rPr>
        <w:t>二</w:t>
      </w:r>
      <w:r>
        <w:t xml:space="preserve">章  </w:t>
      </w:r>
      <w:r>
        <w:rPr>
          <w:rFonts w:hint="eastAsia"/>
        </w:rPr>
        <w:t>评标办法</w:t>
      </w:r>
      <w:bookmarkEnd w:id="7"/>
      <w:bookmarkEnd w:id="8"/>
    </w:p>
    <w:p>
      <w:pPr>
        <w:autoSpaceDE w:val="0"/>
        <w:autoSpaceDN w:val="0"/>
        <w:adjustRightInd w:val="0"/>
        <w:spacing w:before="3" w:line="100" w:lineRule="exact"/>
        <w:jc w:val="left"/>
        <w:rPr>
          <w:rFonts w:ascii="微软雅黑" w:hAnsi="Times New Roman" w:cs="微软雅黑"/>
          <w:kern w:val="0"/>
          <w:sz w:val="10"/>
          <w:szCs w:val="10"/>
        </w:rPr>
      </w:pPr>
      <w:bookmarkStart w:id="11" w:name="_Toc31578"/>
    </w:p>
    <w:bookmarkEnd w:id="1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2"/>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3" w:name="_Hlk47377053"/>
      <w:r>
        <w:rPr>
          <w:rFonts w:hint="eastAsia" w:ascii="宋体" w:hAnsi="宋体" w:cs="宋体"/>
          <w:sz w:val="22"/>
        </w:rPr>
        <w:t>经评标委员会</w:t>
      </w:r>
      <w:bookmarkStart w:id="14" w:name="_Hlk47446073"/>
      <w:r>
        <w:rPr>
          <w:rFonts w:hint="eastAsia" w:ascii="宋体" w:hAnsi="宋体" w:cs="宋体"/>
          <w:sz w:val="22"/>
        </w:rPr>
        <w:t>评审后，符合性审查不予通过，不再进行下一步评审</w:t>
      </w:r>
      <w:bookmarkEnd w:id="14"/>
      <w:r>
        <w:rPr>
          <w:rFonts w:hint="eastAsia" w:ascii="宋体" w:hAnsi="宋体" w:cs="宋体"/>
          <w:sz w:val="22"/>
        </w:rPr>
        <w:t>。</w:t>
      </w:r>
      <w:bookmarkEnd w:id="13"/>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投标报价扣除税金(按投标函承诺的增值税税率扣减)后为评标价(即不含税价)。</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当有效投标文件只有一名时，则由评标委员会确定是否推荐为中标候选人。</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评标委员会负责推荐中标候选人。</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（五）重新招标和不再招标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有下列情形之一的，招标人将重新招标：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(1)投标截止时间止，投标人少于3个的；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rPr>
        <w:t>(2)所有投标人的报价均偏高，招标人无法接受的；</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(3)经评标委员会评审后否决所有投标的。</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投标人少于3个或经评审有效投标人少于3个且不具备竞争性的，招标人不再另行发布通知，重新招标公告发布即表示本项目已进入新一轮招标。</w:t>
      </w:r>
    </w:p>
    <w:p>
      <w:pPr>
        <w:adjustRightInd w:val="0"/>
        <w:snapToGrid w:val="0"/>
        <w:spacing w:line="360" w:lineRule="exact"/>
        <w:ind w:firstLine="442" w:firstLineChars="200"/>
        <w:rPr>
          <w:rFonts w:hint="eastAsia" w:ascii="宋体" w:hAnsi="宋体" w:cs="宋体"/>
          <w:sz w:val="22"/>
        </w:rPr>
      </w:pPr>
      <w:r>
        <w:rPr>
          <w:rFonts w:hint="eastAsia" w:ascii="宋体" w:hAnsi="宋体" w:cs="宋体"/>
          <w:sz w:val="22"/>
        </w:rPr>
        <w:t>重新招标后投标人仍少于3个或者所有投标被否决的，经批准后可采用其他方式实施。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5" w:name="_Toc20342"/>
      <w:r>
        <w:rPr>
          <w:rFonts w:hint="eastAsia"/>
        </w:rPr>
        <w:t>第三章</w:t>
      </w:r>
      <w:r>
        <w:t xml:space="preserve">  </w:t>
      </w:r>
      <w:r>
        <w:rPr>
          <w:rFonts w:hint="eastAsia"/>
        </w:rPr>
        <w:t>合同条款及格式</w:t>
      </w:r>
      <w:bookmarkEnd w:id="9"/>
      <w:bookmarkEnd w:id="15"/>
      <w:bookmarkStart w:id="16" w:name="_Toc448097405"/>
    </w:p>
    <w:bookmarkEnd w:id="16"/>
    <w:p>
      <w:pPr>
        <w:keepNext w:val="0"/>
        <w:keepLines w:val="0"/>
        <w:pageBreakBefore/>
        <w:widowControl w:val="0"/>
        <w:kinsoku/>
        <w:wordWrap w:val="0"/>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黑体" w:hAnsi="黑体" w:eastAsia="黑体" w:cs="黑体"/>
          <w:sz w:val="32"/>
          <w:szCs w:val="32"/>
          <w:lang w:val="en-US" w:eastAsia="zh-CN"/>
        </w:rPr>
      </w:pPr>
      <w:bookmarkStart w:id="17" w:name="_Toc448097407"/>
      <w:r>
        <w:rPr>
          <w:rFonts w:hint="eastAsia" w:ascii="方正小标宋简体" w:hAnsi="方正小标宋简体" w:eastAsia="方正小标宋简体" w:cs="方正小标宋简体"/>
          <w:sz w:val="32"/>
          <w:szCs w:val="32"/>
          <w:lang w:val="en-US" w:eastAsia="zh-CN"/>
        </w:rPr>
        <w:t>合同编号：</w:t>
      </w:r>
      <w:r>
        <w:rPr>
          <w:rFonts w:hint="eastAsia" w:ascii="黑体" w:hAnsi="黑体" w:eastAsia="黑体" w:cs="黑体"/>
          <w:sz w:val="32"/>
          <w:szCs w:val="32"/>
          <w:lang w:val="en-US" w:eastAsia="zh-CN"/>
        </w:rPr>
        <w:t xml:space="preserve">    </w:t>
      </w: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杭州萧山国际机场T4行李分拣区业务用房增加强电设施项目施工合同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keepNext w:val="0"/>
        <w:keepLines w:val="0"/>
        <w:pageBreakBefore w:val="0"/>
        <w:kinsoku/>
        <w:wordWrap/>
        <w:topLinePunct w:val="0"/>
        <w:bidi w:val="0"/>
        <w:spacing w:line="400" w:lineRule="exact"/>
        <w:ind w:right="0" w:rightChars="0"/>
        <w:outlineLvl w:val="9"/>
        <w:rPr>
          <w:rFonts w:hint="eastAsia" w:asciiTheme="minorEastAsia" w:hAnsiTheme="minorEastAsia" w:cstheme="minorEastAsia"/>
          <w:sz w:val="24"/>
          <w:szCs w:val="24"/>
          <w:lang w:val="en-US" w:eastAsia="zh-CN"/>
        </w:rPr>
      </w:pPr>
    </w:p>
    <w:p>
      <w:pPr>
        <w:keepNext w:val="0"/>
        <w:keepLines w:val="0"/>
        <w:pageBreakBefore w:val="0"/>
        <w:kinsoku/>
        <w:wordWrap/>
        <w:topLinePunct w:val="0"/>
        <w:bidi w:val="0"/>
        <w:spacing w:line="400" w:lineRule="exact"/>
        <w:ind w:right="0" w:rightChars="0"/>
        <w:outlineLvl w:val="9"/>
        <w:rPr>
          <w:rFonts w:hint="eastAsia"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0"/>
          <w:szCs w:val="30"/>
        </w:rPr>
        <w:sectPr>
          <w:footerReference r:id="rId8"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发包方（甲方）：</w:t>
      </w:r>
      <w:r>
        <w:rPr>
          <w:rFonts w:hint="eastAsia" w:ascii="黑体" w:hAnsi="黑体" w:eastAsia="黑体" w:cs="黑体"/>
          <w:sz w:val="30"/>
          <w:szCs w:val="30"/>
          <w:u w:val="single"/>
        </w:rPr>
        <w:t>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承包方（乙方）：</w:t>
      </w:r>
      <w:r>
        <w:rPr>
          <w:rFonts w:hint="eastAsia" w:ascii="黑体" w:hAnsi="黑体" w:eastAsia="黑体" w:cs="黑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住所地：</w:t>
      </w:r>
    </w:p>
    <w:p>
      <w:pPr>
        <w:spacing w:line="400" w:lineRule="exact"/>
        <w:ind w:firstLine="480" w:firstLineChars="200"/>
        <w:rPr>
          <w:rFonts w:hint="eastAsia" w:asciiTheme="minorEastAsia" w:hAnsi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sz w:val="24"/>
          <w:szCs w:val="24"/>
        </w:rPr>
      </w:pPr>
      <w:r>
        <w:rPr>
          <w:rFonts w:hint="eastAsia" w:ascii="仿宋_GB2312" w:hAnsi="仿宋_GB2312" w:eastAsia="仿宋_GB2312" w:cs="仿宋_GB2312"/>
          <w:sz w:val="28"/>
          <w:szCs w:val="28"/>
        </w:rPr>
        <w:t>按照《中华人民共和国民法典》和《中华人民共和国建筑法》的规定，结合本工程具体情况，双方达成如下协议。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工程概况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1.1工程名称：</w:t>
      </w:r>
      <w:r>
        <w:rPr>
          <w:rFonts w:hint="eastAsia" w:ascii="仿宋_GB2312" w:hAnsi="仿宋_GB2312" w:eastAsia="仿宋_GB2312" w:cs="仿宋_GB2312"/>
          <w:sz w:val="28"/>
          <w:szCs w:val="28"/>
          <w:u w:val="single"/>
        </w:rPr>
        <w:t>杭州萧山国际机场T4行李分拣区业务用房增加强电设施项目</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u w:val="single"/>
        </w:rPr>
        <w:t>杭州萧山国际机场内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1.3承包范围：</w:t>
      </w:r>
      <w:r>
        <w:rPr>
          <w:rFonts w:hint="eastAsia" w:ascii="仿宋_GB2312" w:hAnsi="仿宋_GB2312" w:eastAsia="仿宋_GB2312" w:cs="仿宋_GB2312"/>
          <w:sz w:val="28"/>
          <w:szCs w:val="28"/>
          <w:u w:val="single"/>
        </w:rPr>
        <w:t>在T4航站楼负6.5米层行李分拣区增加4个现场工作台、2个工作间、1个中转工作台的配套强电设施等工作内容</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1.4承包方式：包工包料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1.5工期：工程具体开工日期以发包人书面指示为准，工期</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sz w:val="28"/>
          <w:szCs w:val="28"/>
        </w:rPr>
        <w:t>日历天。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r>
        <w:rPr>
          <w:rFonts w:hint="eastAsia" w:ascii="仿宋_GB2312" w:hAnsi="仿宋_GB2312" w:eastAsia="仿宋_GB2312" w:cs="仿宋_GB2312"/>
          <w:kern w:val="0"/>
          <w:sz w:val="28"/>
          <w:szCs w:val="28"/>
          <w:u w:val="single"/>
        </w:rPr>
        <w:t>工程达到符合国家施工验收规范规定的合格标准，确保一次性验收合格</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1.7合同暂定价款（人民币大写）：</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2.1开工前</w:t>
      </w:r>
      <w:r>
        <w:rPr>
          <w:rFonts w:hint="eastAsia" w:ascii="仿宋_GB2312" w:hAnsi="仿宋_GB2312" w:eastAsia="仿宋_GB2312" w:cs="仿宋_GB2312"/>
          <w:sz w:val="28"/>
          <w:szCs w:val="28"/>
          <w:u w:val="single"/>
        </w:rPr>
        <w:t>7</w:t>
      </w:r>
      <w:r>
        <w:rPr>
          <w:rFonts w:hint="eastAsia" w:ascii="仿宋_GB2312" w:hAnsi="仿宋_GB2312" w:eastAsia="仿宋_GB2312" w:cs="仿宋_GB2312"/>
          <w:sz w:val="28"/>
          <w:szCs w:val="28"/>
        </w:rPr>
        <w:t>天，向乙方提供经确认的设计方案图纸或做法说明</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份，并向乙方进行现场交底。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2.2甲方组织施工方案和进度计划的审查工作。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2.3涉及机场隔离区的工程项目实施前，由甲方组织对乙方项目实施人员进行相关安全培训教育，并与乙方签订施工安全责任书。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2.5甲方指派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为甲方项目负责人，负责合同履行。对工程安全、质量、进度以及造价进行监督检查，办理验收、变更、登记手续和其他事宜。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2.6甲方委托</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为总监理工程师，其职责在监理合同中应明确，并将合同副本交乙方</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2.8协调有关部门做好现场保卫、消防、垃圾处理等工作。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2.9组织工程竣工验收以及办理工程竣工结算审核工作。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2.10项目所涉及项目工程造价的移交送审工作，由监理单位或甲方代表协助建设单位预决算员办理。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3.1乙方收到设计方案图纸或做法说明后应及时进行现场踏勘，并结合现场实际情况进行复核完善，并拟定施工方案和进度计划，交甲方审定。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3.2乙方指派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为乙方项目负责人，负责合同履行。按要求组织施工，保质、保量、按期完成施工任务，解决由乙方负责的各项事宜。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3.3乙方应严格执行施工规范、安全操作规程、防火安全规定、环境保护规定。严格按照图纸或作法说明进行施工，做好各项质量检查记录。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3.7施工中未经甲方同意或有关部门批准，乙方不得随意拆改或损坏原建筑物结构及各种设备管线。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3.8工程竣工未移交甲方之前，负责对现场的一切设施和工程成品进行保护，并承担风险和费用。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关于工期的约定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4.4因涉及甲方要求的设计或工程量变更或非乙方原因造成的停电、停水、停气及不可抗力因素影响，导致停工8小时以上（一周内累计计算），工期相应顺延。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关于工程质量及验收的约定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5.1本工程以做法说明、设计变更等国家制定的施工及验收规范为质量评定验收标准。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5.4由于乙方原因造成质量事故，其返工费用由乙方承担，工期不顺延。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5.5工程竣工后，乙方应通知甲方验收，甲方自接到验收通知3日内组织验收，并办理验收、移交手续。如甲方在规定时间内未能组织验收，需及时通知乙方，另定验收日期。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关于工程价款及结算的约定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Theme="minorEastAsia" w:hAnsiTheme="minorEastAsia" w:cstheme="minorEastAsia"/>
          <w:sz w:val="24"/>
          <w:szCs w:val="24"/>
        </w:rPr>
        <w:t xml:space="preserve"> </w:t>
      </w: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rPr>
        <w:t>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（2）固定单价。可调价格按</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规则计算。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的幅度以外的核减额的</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计算，费用由乙方支付或由甲方从应付工程价款中扣缴；核增部分以核增额为基数，费率为</w:t>
      </w:r>
      <w:r>
        <w:rPr>
          <w:rFonts w:hint="eastAsia" w:ascii="仿宋_GB2312" w:hAnsi="仿宋_GB2312" w:eastAsia="仿宋_GB2312" w:cs="仿宋_GB2312"/>
          <w:sz w:val="28"/>
          <w:szCs w:val="28"/>
          <w:u w:val="single"/>
        </w:rPr>
        <w:t>5</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rPr>
        <w:t>，由乙方直接支付审查费用。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6.2工程竣工验收后，乙方提出工程结算申请并将有关资料送交甲方。甲方按照以下方式办理款项支付：</w:t>
      </w:r>
      <w:bookmarkStart w:id="18" w:name="_Hlk47444557"/>
    </w:p>
    <w:bookmarkEnd w:id="18"/>
    <w:p>
      <w:pPr>
        <w:keepNext w:val="0"/>
        <w:keepLines w:val="0"/>
        <w:pageBreakBefore w:val="0"/>
        <w:widowControl/>
        <w:kinsoku/>
        <w:wordWrap/>
        <w:overflowPunct w:val="0"/>
        <w:topLinePunct w:val="0"/>
        <w:autoSpaceDE w:val="0"/>
        <w:autoSpaceDN w:val="0"/>
        <w:bidi w:val="0"/>
        <w:adjustRightInd w:val="0"/>
        <w:snapToGrid/>
        <w:spacing w:line="560" w:lineRule="exact"/>
        <w:ind w:left="0" w:leftChars="0" w:right="0" w:rightChars="0" w:firstLine="560" w:firstLineChars="200"/>
        <w:jc w:val="both"/>
        <w:textAlignment w:val="baseline"/>
        <w:outlineLvl w:val="9"/>
        <w:rPr>
          <w:rFonts w:asciiTheme="minorEastAsia" w:hAnsiTheme="minorEastAsia" w:cstheme="minorEastAsia"/>
          <w:b/>
          <w:bCs/>
          <w:sz w:val="24"/>
          <w:szCs w:val="24"/>
        </w:rPr>
      </w:pPr>
      <w:r>
        <w:rPr>
          <w:rFonts w:hint="eastAsia" w:ascii="仿宋_GB2312" w:hAnsi="仿宋_GB2312" w:eastAsia="仿宋_GB2312" w:cs="仿宋_GB2312"/>
          <w:sz w:val="28"/>
          <w:szCs w:val="28"/>
        </w:rPr>
        <w:t>工程竣工验收通过并完成工程结算，经发包人认可后30天内，发包人向承包人支付至结算价的</w:t>
      </w:r>
      <w:r>
        <w:rPr>
          <w:rFonts w:hint="eastAsia" w:ascii="仿宋_GB2312" w:hAnsi="仿宋_GB2312" w:eastAsia="仿宋_GB2312" w:cs="仿宋_GB2312"/>
          <w:sz w:val="28"/>
          <w:szCs w:val="28"/>
          <w:u w:val="single"/>
        </w:rPr>
        <w:t>97%</w:t>
      </w:r>
      <w:r>
        <w:rPr>
          <w:rFonts w:hint="eastAsia" w:ascii="仿宋_GB2312" w:hAnsi="仿宋_GB2312" w:eastAsia="仿宋_GB2312" w:cs="仿宋_GB2312"/>
          <w:sz w:val="28"/>
          <w:szCs w:val="28"/>
        </w:rPr>
        <w:t>；结算价的</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留作质量保证金，待缺陷责任期满后无利息支付。</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color w:val="auto"/>
          <w:sz w:val="28"/>
          <w:szCs w:val="28"/>
        </w:rPr>
        <w:t>施工安全监管费</w:t>
      </w:r>
      <w:r>
        <w:rPr>
          <w:rFonts w:hint="eastAsia" w:ascii="仿宋_GB2312" w:hAnsi="仿宋_GB2312" w:eastAsia="仿宋_GB2312" w:cs="仿宋_GB2312"/>
          <w:b/>
          <w:bCs/>
          <w:sz w:val="28"/>
          <w:szCs w:val="28"/>
        </w:rPr>
        <w:t>为暂列金额，结算时承包人需提供相应票据作为依据按实结算</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税金另计</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6.3甲方提出工程变更和签证的费用，由乙方在施工前提出并补充编制工料单价预算书。变更估价时，工程量清单中有的项目单价</w:t>
      </w:r>
      <w:bookmarkStart w:id="19" w:name="_Hlk119178570"/>
      <w:r>
        <w:rPr>
          <w:rFonts w:hint="eastAsia" w:ascii="仿宋_GB2312" w:hAnsi="仿宋_GB2312" w:eastAsia="仿宋_GB2312" w:cs="仿宋_GB2312"/>
          <w:sz w:val="28"/>
          <w:szCs w:val="28"/>
        </w:rPr>
        <w:t>，按乙方投标工程量清单中该项综合单价计取</w:t>
      </w:r>
      <w:bookmarkEnd w:id="19"/>
      <w:r>
        <w:rPr>
          <w:rFonts w:hint="eastAsia" w:ascii="仿宋_GB2312" w:hAnsi="仿宋_GB2312" w:eastAsia="仿宋_GB2312" w:cs="仿宋_GB2312"/>
          <w:sz w:val="28"/>
          <w:szCs w:val="28"/>
        </w:rPr>
        <w:t>；工程量清单中无适用的项目单价，套用浙江省2018定额，按分部分项工程费+规费+税金计取；不能套用浙江省2018定额的项目，可按照成本加利润的原则，承包人与发包人协商后执行。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关于材料供应的约定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有关安全生产和防火的约定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9.1由于乙方原因，逾期竣工，每逾期一天，乙方支付甲方</w:t>
      </w:r>
      <w:r>
        <w:rPr>
          <w:rFonts w:hint="eastAsia" w:ascii="仿宋_GB2312" w:hAnsi="仿宋_GB2312" w:eastAsia="仿宋_GB2312" w:cs="仿宋_GB2312"/>
          <w:sz w:val="28"/>
          <w:szCs w:val="28"/>
          <w:u w:val="single"/>
        </w:rPr>
        <w:t>壹万元</w:t>
      </w:r>
      <w:r>
        <w:rPr>
          <w:rFonts w:hint="eastAsia" w:ascii="仿宋_GB2312" w:hAnsi="仿宋_GB2312" w:eastAsia="仿宋_GB2312" w:cs="仿宋_GB2312"/>
          <w:sz w:val="28"/>
          <w:szCs w:val="28"/>
        </w:rPr>
        <w:t>违约金；甲方有权终止合同，并保留对乙方追溯赔偿其他一切损失的权利。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9.4除本合同另有约定外，任何一方违约应当就因此给对方造成的损失承担赔偿责任。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争议或纠纷处理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11.2本合同一共</w:t>
      </w:r>
      <w:r>
        <w:rPr>
          <w:rFonts w:hint="eastAsia" w:ascii="仿宋_GB2312" w:hAnsi="仿宋_GB2312" w:eastAsia="仿宋_GB2312" w:cs="仿宋_GB2312"/>
          <w:sz w:val="28"/>
          <w:szCs w:val="28"/>
          <w:u w:val="single"/>
        </w:rPr>
        <w:t>陆</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11.4本合同包含以下附件，附件与本合同具有同等法律效力。</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工程质量保修书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安全文明施工协议书  </w:t>
      </w:r>
    </w:p>
    <w:p>
      <w:pPr>
        <w:keepNext/>
        <w:keepLines w:val="0"/>
        <w:pageBreakBefore/>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r>
        <w:rPr>
          <w:rFonts w:hint="eastAsia" w:ascii="仿宋_GB2312" w:hAnsi="仿宋" w:eastAsia="仿宋_GB2312"/>
          <w:sz w:val="28"/>
          <w:szCs w:val="28"/>
          <w:lang w:eastAsia="zh-CN"/>
        </w:rPr>
        <w:t>（合同签署页）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 w:eastAsia="仿宋_GB2312"/>
          <w:sz w:val="28"/>
          <w:szCs w:val="28"/>
          <w:lang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甲方：杭州萧山国际机场有限公司  乙方：</w:t>
      </w:r>
      <w:r>
        <w:rPr>
          <w:rFonts w:hint="eastAsia" w:ascii="黑体" w:hAnsi="黑体" w:eastAsia="黑体" w:cs="黑体"/>
          <w:b w:val="0"/>
          <w:bCs w:val="0"/>
          <w:sz w:val="28"/>
          <w:szCs w:val="28"/>
          <w:lang w:val="en-US" w:eastAsia="zh-CN"/>
        </w:rPr>
        <w:t xml:space="preserve">             </w:t>
      </w:r>
    </w:p>
    <w:p>
      <w:pPr>
        <w:keepNext w:val="0"/>
        <w:keepLines w:val="0"/>
        <w:pageBreakBefore w:val="0"/>
        <w:widowControl w:val="0"/>
        <w:tabs>
          <w:tab w:val="right" w:pos="8306"/>
        </w:tabs>
        <w:kinsoku/>
        <w:wordWrap w:val="0"/>
        <w:overflowPunct/>
        <w:topLinePunct w:val="0"/>
        <w:autoSpaceDE/>
        <w:autoSpaceDN/>
        <w:bidi w:val="0"/>
        <w:adjustRightInd w:val="0"/>
        <w:snapToGrid w:val="0"/>
        <w:spacing w:line="560" w:lineRule="exact"/>
        <w:ind w:right="0" w:rightChars="0"/>
        <w:jc w:val="right"/>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val="0"/>
        <w:overflowPunct/>
        <w:topLinePunct w:val="0"/>
        <w:autoSpaceDE/>
        <w:autoSpaceDN/>
        <w:bidi w:val="0"/>
        <w:adjustRightInd w:val="0"/>
        <w:snapToGrid w:val="0"/>
        <w:spacing w:line="560" w:lineRule="exact"/>
        <w:ind w:right="0" w:rightChars="0"/>
        <w:jc w:val="right"/>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地址：杭州萧山国际机场内        地址：</w:t>
      </w:r>
      <w:r>
        <w:rPr>
          <w:rFonts w:hint="eastAsia" w:ascii="黑体" w:hAnsi="黑体" w:eastAsia="黑体" w:cs="黑体"/>
          <w:b w:val="0"/>
          <w:bCs w:val="0"/>
          <w:sz w:val="28"/>
          <w:szCs w:val="28"/>
          <w:lang w:val="en-US" w:eastAsia="zh-CN"/>
        </w:rPr>
        <w:t xml:space="preserve">                               </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法定代表人：                     法定代表人：</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或                               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授权代表：                       授权代表：</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签字日期：                       签字日期： </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b w:val="0"/>
          <w:bCs w:val="0"/>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 xml:space="preserve">年  月  日                      年  月  </w:t>
      </w:r>
      <w:r>
        <w:rPr>
          <w:rFonts w:hint="eastAsia" w:ascii="黑体" w:hAnsi="黑体" w:eastAsia="黑体" w:cs="黑体"/>
          <w:b w:val="0"/>
          <w:bCs w:val="0"/>
          <w:sz w:val="28"/>
          <w:szCs w:val="28"/>
          <w:lang w:val="en-US" w:eastAsia="zh-CN"/>
        </w:rPr>
        <w:t>日</w:t>
      </w:r>
    </w:p>
    <w:p>
      <w:pPr>
        <w:keepNext w:val="0"/>
        <w:keepLines w:val="0"/>
        <w:pageBreakBefore/>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Theme="minorEastAsia" w:hAnsiTheme="minorEastAsia" w:cstheme="minorEastAsia"/>
          <w:b/>
          <w:bCs/>
          <w:sz w:val="24"/>
          <w:szCs w:val="24"/>
        </w:rPr>
      </w:pPr>
      <w:r>
        <w:rPr>
          <w:rFonts w:hint="eastAsia" w:ascii="黑体" w:hAnsi="黑体" w:eastAsia="黑体" w:cs="黑体"/>
          <w:b w:val="0"/>
          <w:bCs w:val="0"/>
          <w:sz w:val="28"/>
          <w:szCs w:val="28"/>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杭州萧山国际机场有限公司</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u w:val="single"/>
        </w:rPr>
        <w:t>杭州萧山国际机场T4行李分拣区业务用房增加强电设施项目</w:t>
      </w:r>
      <w:r>
        <w:rPr>
          <w:rFonts w:hint="eastAsia" w:ascii="仿宋_GB2312" w:hAnsi="仿宋_GB2312" w:eastAsia="仿宋_GB2312" w:cs="仿宋_GB2312"/>
          <w:sz w:val="28"/>
          <w:szCs w:val="28"/>
        </w:rPr>
        <w:t>（工程全称）签订工程质量保修书。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一、工程质量保修范围和内容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本次工程所涉及的所有内容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3．装修工程为2年；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7．其他项目保修期限约定如下：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工程缺陷责任期为</w:t>
      </w:r>
      <w:r>
        <w:rPr>
          <w:rFonts w:hint="eastAsia" w:ascii="仿宋_GB2312" w:hAnsi="仿宋_GB2312" w:eastAsia="仿宋_GB2312" w:cs="仿宋_GB2312"/>
          <w:sz w:val="28"/>
          <w:szCs w:val="28"/>
          <w:u w:val="single"/>
        </w:rPr>
        <w:t>24</w:t>
      </w:r>
      <w:r>
        <w:rPr>
          <w:rFonts w:hint="eastAsia" w:ascii="仿宋_GB2312" w:hAnsi="仿宋_GB2312" w:eastAsia="仿宋_GB2312" w:cs="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缺陷责任期届满后，缺陷责任期届满后，经发包人确认核实，承包人不存在违约情形以及质量保修不存在问题后</w:t>
      </w:r>
      <w:r>
        <w:rPr>
          <w:rFonts w:hint="eastAsia" w:ascii="仿宋_GB2312" w:hAnsi="仿宋_GB2312" w:eastAsia="仿宋_GB2312" w:cs="仿宋_GB2312"/>
          <w:sz w:val="28"/>
          <w:szCs w:val="28"/>
          <w:u w:val="single"/>
        </w:rPr>
        <w:t>15</w:t>
      </w:r>
      <w:r>
        <w:rPr>
          <w:rFonts w:hint="eastAsia" w:ascii="仿宋_GB2312" w:hAnsi="仿宋_GB2312" w:eastAsia="仿宋_GB2312" w:cs="仿宋_GB2312"/>
          <w:sz w:val="28"/>
          <w:szCs w:val="28"/>
        </w:rPr>
        <w:t>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属于保修范围、内容的项目，承包人应当在接到保修通知之日起</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rPr>
        <w:t>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六、双方约定的其他工程质量保修事项：</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遇下列特殊情况的，承包人同意发包人或管理单位可以对一定金额（材料安装类5000元，土建类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sz w:val="24"/>
          <w:szCs w:val="24"/>
        </w:rPr>
      </w:pPr>
      <w:r>
        <w:rPr>
          <w:rFonts w:hint="eastAsia" w:ascii="仿宋_GB2312" w:hAnsi="仿宋_GB2312" w:eastAsia="仿宋_GB2312" w:cs="仿宋_GB2312"/>
          <w:sz w:val="28"/>
          <w:szCs w:val="28"/>
        </w:rPr>
        <w:t>发包人(公章)：                     承包人(公章)：</w:t>
      </w:r>
      <w:r>
        <w:rPr>
          <w:rFonts w:hint="eastAsia" w:asciiTheme="minorEastAsia" w:hAnsiTheme="minorEastAsia" w:cstheme="minorEastAsia"/>
          <w:sz w:val="24"/>
          <w:szCs w:val="24"/>
        </w:rPr>
        <w:t xml:space="preserve">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附件二：</w:t>
      </w:r>
    </w:p>
    <w:p>
      <w:pPr>
        <w:keepNext w:val="0"/>
        <w:keepLines w:val="0"/>
        <w:pageBreakBefore w:val="0"/>
        <w:widowControl w:val="0"/>
        <w:tabs>
          <w:tab w:val="left" w:pos="540"/>
        </w:tabs>
        <w:kinsoku/>
        <w:wordWrap/>
        <w:overflowPunct/>
        <w:topLinePunct/>
        <w:autoSpaceDE/>
        <w:autoSpaceDN/>
        <w:bidi w:val="0"/>
        <w:adjustRightInd/>
        <w:snapToGrid/>
        <w:spacing w:line="560" w:lineRule="exact"/>
        <w:ind w:left="0" w:leftChars="0" w:right="0" w:rightChars="0" w:firstLine="0" w:firstLineChars="0"/>
        <w:jc w:val="center"/>
        <w:textAlignment w:val="auto"/>
        <w:outlineLvl w:val="9"/>
        <w:rPr>
          <w:rFonts w:asciiTheme="minorEastAsia" w:hAnsiTheme="minorEastAsia" w:cstheme="minorEastAsia"/>
          <w:b/>
          <w:sz w:val="24"/>
          <w:szCs w:val="24"/>
        </w:rPr>
      </w:pPr>
      <w:r>
        <w:rPr>
          <w:rFonts w:hint="eastAsia" w:ascii="黑体" w:hAnsi="黑体" w:eastAsia="黑体" w:cs="黑体"/>
          <w:b/>
          <w:sz w:val="28"/>
          <w:szCs w:val="28"/>
        </w:rPr>
        <w:t>安全文明施工协议书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发包人（发包人）：</w:t>
      </w:r>
      <w:r>
        <w:rPr>
          <w:rFonts w:hint="eastAsia" w:ascii="仿宋_GB2312" w:hAnsi="仿宋_GB2312" w:eastAsia="仿宋_GB2312" w:cs="仿宋_GB2312"/>
          <w:b w:val="0"/>
          <w:bCs/>
          <w:sz w:val="28"/>
          <w:szCs w:val="28"/>
          <w:u w:val="single"/>
        </w:rPr>
        <w:t>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u w:val="single"/>
        </w:rPr>
      </w:pPr>
      <w:r>
        <w:rPr>
          <w:rFonts w:hint="eastAsia" w:ascii="仿宋_GB2312" w:hAnsi="仿宋_GB2312" w:eastAsia="仿宋_GB2312" w:cs="仿宋_GB2312"/>
          <w:b w:val="0"/>
          <w:bCs/>
          <w:sz w:val="28"/>
          <w:szCs w:val="28"/>
        </w:rPr>
        <w:t>承包人（承包人）：</w:t>
      </w:r>
      <w:r>
        <w:rPr>
          <w:rFonts w:hint="eastAsia" w:ascii="仿宋_GB2312" w:hAnsi="仿宋_GB2312" w:eastAsia="仿宋_GB2312" w:cs="仿宋_GB2312"/>
          <w:b w:val="0"/>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w:t>
      </w:r>
      <w:r>
        <w:rPr>
          <w:rFonts w:hint="eastAsia" w:ascii="仿宋_GB2312" w:hAnsi="仿宋_GB2312" w:eastAsia="仿宋_GB2312" w:cs="仿宋_GB2312"/>
          <w:b w:val="0"/>
          <w:bCs/>
          <w:sz w:val="28"/>
          <w:szCs w:val="28"/>
          <w:u w:val="single"/>
        </w:rPr>
        <w:t>杭州萧山国际机场T4行李分拣区业务用房增加强电设施项目</w:t>
      </w:r>
      <w:r>
        <w:rPr>
          <w:rFonts w:hint="eastAsia" w:ascii="仿宋_GB2312" w:hAnsi="仿宋_GB2312" w:eastAsia="仿宋_GB2312" w:cs="仿宋_GB2312"/>
          <w:sz w:val="28"/>
          <w:szCs w:val="28"/>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asciiTheme="minorEastAsia" w:hAnsiTheme="minorEastAsia" w:cstheme="minorEastAsia"/>
          <w:bCs/>
          <w:sz w:val="24"/>
          <w:szCs w:val="24"/>
        </w:rPr>
      </w:pPr>
      <w:r>
        <w:rPr>
          <w:rFonts w:hint="eastAsia" w:ascii="仿宋_GB2312" w:hAnsi="仿宋_GB2312" w:eastAsia="仿宋_GB2312" w:cs="仿宋_GB2312"/>
          <w:b/>
          <w:sz w:val="28"/>
          <w:szCs w:val="28"/>
        </w:rPr>
        <w:t>一、发包人对承包人实行安全目标管理，安全目标的具体内容是</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2、无重大责任事故。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二、发包人的协助责任和权利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5、不得对承包人提出违反国家法律、法规和强制性标准规定的要求。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6、不得要求承包人购买、租赁、使用不符合安全施工要求的安全防护用具、机械设备、施工机具及配件、消防设施和器材等。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8、联系和协调机场公安机关，督促施工单位按有关规定申报暂住登记和申领《暂住证》，并协助承包人联系机场公安局商定有关飞行区安全保卫事宜。</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10、承包人拒不按照本协议条款规定组织安全文明施工的，发包人有权责令承包人停工整改直至终止合同。</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11、发包人有权对承包人各项安全工作进行监督、检查。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三、承包人的安全责任和权利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（一）承包人应从事的施工安全管理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对工程项目的施工安全负全责，根据工程特点制定安全施工措施，消除安全事故隐患，确保工程质量和安全。制定并完善各类突发事件的应急预案，一旦发生安全事故应当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程开工前，应完成安全生产规章制度和操作规程等相应规章的制定工作；成立由项目负责人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21、应当向作业人员提供安全防护用具和安全防护服装，并书面告知危险岗位的操作规程及违章操作所产生的危害。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23、施工现场的安全防护用具、机械设备、施工机具及配件必须由专人管理，并定期检查、维修和保养，建立相应的资料档案，并按照国家规定及时报废。</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24、在采用新技术、新工艺、新设备、新材料时，应当对作业人员进行相应的安全生产教育培训。</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25、应当为施工现场从事危险作业的人员办理意外伤害保险，并支付意外伤害保险费。意外伤害保险期自建设工程开工之日起至竣工验收合格止。</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（二）承包人应从事的空防安全管理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通行证的办理遵从《杭州萧山国际机场控制区通行证管理办法》。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（三）承包人应从事的不停航施工项目安全管理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（四）承包人的文明施工责任 </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exact"/>
        <w:ind w:left="0" w:leftChars="0" w:right="0" w:rightChars="0" w:firstLine="240" w:firstLineChars="1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（五）承包人应从事的社会治安综合治理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40、制定包括重大安全生产事故、重大道路交通事故、重大消防安全事故、重大刑事案件以及群体性事件等突发性事件在内的应急处置预案，一旦发生，及时报告发包人和上级主管部门并做好处置工作。</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（六）承包人应从事的消防安全管理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41、遵守国家消防法律法规，建立和健全消防管理规章制度，明确消防安全责任人，健全消防安全网络（配备专职或兼职消防员），建立消防应急队伍，并报发包人和机场公安局消防部门备案。</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（七）承包人应从事的交通安全管理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驾驶人员和承运单位应实行交通安全检查考核制度，签订《交通安全责任书》，配备交通安全联络员对运输车辆驾驶员和施工人员进行交通安全教育，减少或控制交通违法行为的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49、占用、挖掘道路，跨越道路架设、铺设管线以及大型机械进出机场须提前与发包人协商，征得发包人和机场公安局交警队同意，并采取防护措施和设置明显警示标志方可实施。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exact"/>
        <w:ind w:left="0" w:leftChars="0" w:right="0" w:rightChars="0" w:firstLine="482" w:firstLineChars="20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四、违约责任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51、严禁因承包人行为导致发生飞行事故征侯，违者扣合同总款的</w:t>
      </w:r>
      <w:r>
        <w:rPr>
          <w:rFonts w:hint="eastAsia" w:ascii="仿宋_GB2312" w:hAnsi="仿宋_GB2312" w:eastAsia="仿宋_GB2312" w:cs="仿宋_GB2312"/>
          <w:sz w:val="28"/>
          <w:szCs w:val="28"/>
          <w:u w:val="single"/>
        </w:rPr>
        <w:t>20%</w:t>
      </w:r>
      <w:r>
        <w:rPr>
          <w:rFonts w:hint="eastAsia" w:ascii="仿宋_GB2312" w:hAnsi="仿宋_GB2312" w:eastAsia="仿宋_GB2312" w:cs="仿宋_GB2312"/>
          <w:sz w:val="28"/>
          <w:szCs w:val="28"/>
        </w:rPr>
        <w:t>，如发生飞行事故扣合同总款</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，并追究法律责任。</w:t>
      </w:r>
    </w:p>
    <w:p>
      <w:pPr>
        <w:keepNext w:val="0"/>
        <w:keepLines w:val="0"/>
        <w:pageBreakBefore w:val="0"/>
        <w:widowControl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《杭州萧山国际机场T4行李分拣区业务用房增加强电设施项目施工合同》</w:t>
      </w:r>
      <w:r>
        <w:rPr>
          <w:rFonts w:hint="eastAsia" w:ascii="仿宋_GB2312" w:hAnsi="仿宋_GB2312" w:eastAsia="仿宋_GB2312" w:cs="仿宋_GB2312"/>
          <w:sz w:val="28"/>
          <w:szCs w:val="28"/>
        </w:rPr>
        <w:t>后，由甲乙双方共同盖章后生效。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（一）由于承包人行为违反国家法律、法规和杭州萧山国际机场有限公司有关规章制度和责任书规定内容，发包人有权对承包人进行处罚。承包人触犯法律的，依法追究有关责任人的法律责任。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（二）本责任书解释权归发包人。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（三）本责任书由甲乙双方共同盖章后生效。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发包人：                                          承包人： </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 xml:space="preserve"> </w:t>
      </w:r>
    </w:p>
    <w:p>
      <w:pPr>
        <w:pStyle w:val="9"/>
        <w:pageBreakBefore/>
      </w:pPr>
      <w:bookmarkStart w:id="20" w:name="_Toc20411"/>
      <w:r>
        <w:rPr>
          <w:rFonts w:hint="eastAsia"/>
        </w:rPr>
        <w:t>第四章 工程量清单</w:t>
      </w:r>
      <w:bookmarkEnd w:id="17"/>
      <w:bookmarkEnd w:id="20"/>
    </w:p>
    <w:p>
      <w:pPr>
        <w:pStyle w:val="9"/>
        <w:keepNext w:val="0"/>
        <w:keepLines w:val="0"/>
        <w:pageBreakBefore w:val="0"/>
        <w:widowControl w:val="0"/>
        <w:kinsoku/>
        <w:wordWrap/>
        <w:overflowPunct/>
        <w:topLinePunct w:val="0"/>
        <w:autoSpaceDE/>
        <w:autoSpaceDN/>
        <w:bidi w:val="0"/>
        <w:adjustRightInd/>
        <w:snapToGrid/>
        <w:spacing w:before="60" w:after="60" w:line="240" w:lineRule="auto"/>
        <w:ind w:left="0" w:leftChars="0" w:right="0" w:rightChars="0" w:firstLine="560" w:firstLineChars="200"/>
        <w:jc w:val="left"/>
        <w:textAlignment w:val="auto"/>
        <w:outlineLvl w:val="0"/>
        <w:rPr>
          <w:rFonts w:hint="eastAsia" w:ascii="宋体" w:hAnsi="宋体" w:eastAsia="宋体" w:cs="宋体"/>
          <w:b w:val="0"/>
          <w:bCs w:val="0"/>
          <w:sz w:val="24"/>
          <w:szCs w:val="24"/>
          <w:lang w:val="en-US" w:eastAsia="zh-CN"/>
        </w:rPr>
      </w:pPr>
      <w:bookmarkStart w:id="21" w:name="_Toc275274581"/>
      <w:bookmarkStart w:id="22" w:name="_Toc448097409"/>
      <w:r>
        <w:rPr>
          <w:rFonts w:hint="eastAsia" w:ascii="宋体" w:hAnsi="宋体" w:eastAsia="宋体" w:cs="宋体"/>
          <w:b w:val="0"/>
          <w:bCs w:val="0"/>
          <w:sz w:val="24"/>
          <w:szCs w:val="24"/>
          <w:lang w:val="en-US" w:eastAsia="zh-CN"/>
        </w:rPr>
        <w:t>详见《附件一：T4行李分拣区域增加业务配套设施(参考工程量清单)》</w:t>
      </w:r>
    </w:p>
    <w:p>
      <w:pPr>
        <w:pStyle w:val="9"/>
        <w:jc w:val="center"/>
        <w:rPr>
          <w:rFonts w:hint="eastAsia"/>
        </w:rPr>
      </w:pPr>
    </w:p>
    <w:p>
      <w:pPr>
        <w:pStyle w:val="9"/>
        <w:jc w:val="center"/>
        <w:rPr>
          <w:rFonts w:hint="eastAsia"/>
        </w:rPr>
      </w:pPr>
    </w:p>
    <w:p>
      <w:pPr>
        <w:pStyle w:val="9"/>
        <w:jc w:val="center"/>
        <w:rPr>
          <w:rFonts w:hint="eastAsia"/>
        </w:rPr>
      </w:pPr>
    </w:p>
    <w:p>
      <w:pPr>
        <w:pStyle w:val="9"/>
        <w:keepNext/>
        <w:keepLines w:val="0"/>
        <w:pageBreakBefore/>
        <w:widowControl w:val="0"/>
        <w:kinsoku/>
        <w:wordWrap/>
        <w:overflowPunct/>
        <w:topLinePunct w:val="0"/>
        <w:autoSpaceDE/>
        <w:autoSpaceDN/>
        <w:bidi w:val="0"/>
        <w:adjustRightInd/>
        <w:snapToGrid/>
        <w:spacing w:before="60" w:after="60" w:line="360" w:lineRule="exact"/>
        <w:ind w:left="0" w:leftChars="0" w:right="0" w:rightChars="0" w:firstLine="0" w:firstLineChars="0"/>
        <w:jc w:val="center"/>
        <w:textAlignment w:val="auto"/>
        <w:outlineLvl w:val="0"/>
      </w:pPr>
      <w:bookmarkStart w:id="23" w:name="_Toc15201"/>
      <w:bookmarkStart w:id="24" w:name="_Toc17683"/>
      <w:r>
        <w:rPr>
          <w:rFonts w:hint="eastAsia"/>
        </w:rPr>
        <w:t>第</w:t>
      </w:r>
      <w:r>
        <w:rPr>
          <w:rFonts w:hint="eastAsia"/>
          <w:lang w:val="en-US" w:eastAsia="zh-CN"/>
        </w:rPr>
        <w:t>五</w:t>
      </w:r>
      <w:r>
        <w:rPr>
          <w:rFonts w:hint="eastAsia"/>
        </w:rPr>
        <w:t>章</w:t>
      </w:r>
      <w:r>
        <w:t xml:space="preserve"> </w:t>
      </w:r>
      <w:r>
        <w:rPr>
          <w:rFonts w:hint="eastAsia"/>
        </w:rPr>
        <w:t>技术标准及要求</w:t>
      </w:r>
      <w:bookmarkEnd w:id="23"/>
      <w:bookmarkEnd w:id="24"/>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一、总体要求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招标范围：主要工作内容具体详见工程量清单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 依据技术文件要求，本工程项目的施工必须达到以下现行中华人民共和国及省、市、行业的一切有关法规、规范的要求，如下述标准及规范要求有出入则以较严格者为准。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1.1.1适用法律、法规名称：</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中华人民共和国建筑法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中华人民共和国民法典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中华人民共和国招标投标法</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建设工程质量管理条例（国务院279号令）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bookmarkStart w:id="25" w:name="_Toc66769198"/>
      <w:r>
        <w:rPr>
          <w:rFonts w:hint="eastAsia" w:ascii="宋体" w:hAnsi="宋体" w:eastAsia="宋体" w:cs="宋体"/>
          <w:sz w:val="24"/>
          <w:szCs w:val="24"/>
        </w:rPr>
        <w:t>二、材料要求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2.1工程材料选择</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（1）设备材料选择 </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textAlignment w:val="auto"/>
        <w:outlineLvl w:val="9"/>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4"/>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2)招标人推荐的品牌详见“</w:t>
      </w:r>
      <w:r>
        <w:rPr>
          <w:rFonts w:hint="eastAsia" w:ascii="宋体" w:hAnsi="宋体" w:eastAsia="宋体" w:cs="宋体"/>
          <w:sz w:val="24"/>
          <w:szCs w:val="24"/>
        </w:rPr>
        <w:t>主要材料设备推荐品牌一览表</w:t>
      </w:r>
      <w:r>
        <w:rPr>
          <w:rFonts w:hint="eastAsia" w:ascii="宋体" w:hAnsi="宋体" w:eastAsia="宋体" w:cs="宋体"/>
          <w:sz w:val="24"/>
          <w:szCs w:val="24"/>
          <w:lang w:val="zh-CN"/>
        </w:rPr>
        <w:t>”中内容。</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4"/>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主要材料设备推荐品牌一览表</w:t>
      </w:r>
    </w:p>
    <w:tbl>
      <w:tblPr>
        <w:tblStyle w:val="12"/>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电力电缆</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远东、</w:t>
            </w:r>
            <w:r>
              <w:rPr>
                <w:rFonts w:hint="eastAsia" w:ascii="宋体" w:hAnsi="宋体" w:eastAsia="宋体" w:cs="宋体"/>
                <w:color w:val="auto"/>
                <w:sz w:val="24"/>
                <w:szCs w:val="24"/>
                <w:lang w:val="en-US" w:eastAsia="zh-CN"/>
              </w:rPr>
              <w:t>熊猫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上上</w:t>
            </w:r>
            <w:r>
              <w:rPr>
                <w:rFonts w:hint="eastAsia" w:ascii="宋体" w:hAnsi="宋体" w:eastAsia="宋体" w:cs="宋体"/>
                <w:color w:val="auto"/>
                <w:sz w:val="24"/>
                <w:szCs w:val="24"/>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单芯电线</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远东、</w:t>
            </w:r>
            <w:r>
              <w:rPr>
                <w:rFonts w:hint="eastAsia" w:ascii="宋体" w:hAnsi="宋体" w:eastAsia="宋体" w:cs="宋体"/>
                <w:color w:val="auto"/>
                <w:sz w:val="24"/>
                <w:szCs w:val="24"/>
                <w:lang w:val="en-US" w:eastAsia="zh-CN"/>
              </w:rPr>
              <w:t>熊猫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上上</w:t>
            </w:r>
            <w:r>
              <w:rPr>
                <w:rFonts w:hint="eastAsia" w:ascii="宋体" w:hAnsi="宋体" w:eastAsia="宋体" w:cs="宋体"/>
                <w:color w:val="auto"/>
                <w:sz w:val="24"/>
                <w:szCs w:val="24"/>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空开</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西门子、ABB、施耐德</w:t>
            </w:r>
            <w:r>
              <w:rPr>
                <w:rFonts w:hint="eastAsia" w:ascii="宋体" w:hAnsi="宋体" w:eastAsia="宋体" w:cs="宋体"/>
                <w:color w:val="auto"/>
                <w:sz w:val="24"/>
                <w:szCs w:val="24"/>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PVC电线管</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鸿雁、中财、公元</w:t>
            </w:r>
            <w:r>
              <w:rPr>
                <w:rFonts w:hint="eastAsia" w:ascii="宋体" w:hAnsi="宋体" w:eastAsia="宋体" w:cs="宋体"/>
                <w:bCs/>
                <w:color w:val="auto"/>
                <w:sz w:val="24"/>
                <w:szCs w:val="24"/>
              </w:rPr>
              <w:t>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插座</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鸿雁、公牛、德力西或“相当于”品牌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783"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配电箱</w:t>
            </w:r>
          </w:p>
        </w:tc>
        <w:tc>
          <w:tcPr>
            <w:tcW w:w="4829" w:type="dxa"/>
            <w:vAlign w:val="center"/>
          </w:tcPr>
          <w:p>
            <w:pPr>
              <w:keepNext w:val="0"/>
              <w:keepLines w:val="0"/>
              <w:pageBreakBefore w:val="0"/>
              <w:kinsoku/>
              <w:wordWrap/>
              <w:overflowPunct/>
              <w:topLinePunct w:val="0"/>
              <w:autoSpaceDE/>
              <w:autoSpaceDN/>
              <w:bidi w:val="0"/>
              <w:snapToGrid w:val="0"/>
              <w:spacing w:line="360" w:lineRule="exact"/>
              <w:ind w:left="0" w:leftChars="0" w:right="0" w:rightChars="0"/>
              <w:jc w:val="center"/>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鸿雁、公牛、正泰或“相当于”品牌</w:t>
            </w:r>
          </w:p>
        </w:tc>
      </w:tr>
    </w:tbl>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sz w:val="24"/>
          <w:szCs w:val="24"/>
        </w:rPr>
      </w:pPr>
      <w:r>
        <w:rPr>
          <w:rFonts w:hint="eastAsia" w:ascii="宋体" w:hAnsi="宋体" w:eastAsia="宋体" w:cs="宋体"/>
          <w:b/>
          <w:sz w:val="24"/>
          <w:szCs w:val="24"/>
        </w:rPr>
        <w:t>3)所用各类设备材料须经发包人认可后方可使用。</w:t>
      </w:r>
      <w:r>
        <w:rPr>
          <w:rFonts w:hint="eastAsia" w:ascii="宋体" w:hAnsi="宋体" w:eastAsia="宋体" w:cs="宋体"/>
          <w:sz w:val="24"/>
          <w:szCs w:val="24"/>
        </w:rPr>
        <w:t>投标单位主要设备材料品牌漏填或少填的，中标后由发包人在推荐品牌中选定，且报价不作调整。</w:t>
      </w:r>
    </w:p>
    <w:p>
      <w:pPr>
        <w:keepNext w:val="0"/>
        <w:keepLines w:val="0"/>
        <w:pageBreakBefore w:val="0"/>
        <w:kinsoku/>
        <w:wordWrap/>
        <w:overflowPunct/>
        <w:topLinePunct w:val="0"/>
        <w:autoSpaceDE/>
        <w:autoSpaceDN/>
        <w:bidi w:val="0"/>
        <w:snapToGrid w:val="0"/>
        <w:spacing w:line="360" w:lineRule="exac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4）所用各类设备材料都应符合设计和国家规定的相关技术规范标准要求。 </w:t>
      </w:r>
    </w:p>
    <w:p>
      <w:pPr>
        <w:keepNext w:val="0"/>
        <w:keepLines w:val="0"/>
        <w:pageBreakBefore w:val="0"/>
        <w:kinsoku/>
        <w:wordWrap/>
        <w:overflowPunct/>
        <w:topLinePunct w:val="0"/>
        <w:autoSpaceDE/>
        <w:autoSpaceDN/>
        <w:bidi w:val="0"/>
        <w:snapToGrid w:val="0"/>
        <w:spacing w:line="360" w:lineRule="exac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5）所用各类设备材料均有质量合格证书。</w:t>
      </w:r>
    </w:p>
    <w:p>
      <w:pPr>
        <w:keepNext w:val="0"/>
        <w:keepLines w:val="0"/>
        <w:pageBreakBefore w:val="0"/>
        <w:widowControl/>
        <w:tabs>
          <w:tab w:val="left" w:pos="720"/>
        </w:tabs>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6）承包人在选定品牌或制造商时应充分考虑供货等风险，若承包人选定品牌或制造商在实施时无法供货或无法正常供货，将由发包人在推荐品牌或制造商中予以指定。</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（2）设备材料的质量保证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1）在施工期间内，承包人对有缺陷的部位必须无偿地给予修正，并承担一切由此引起的对发包人或第三者的直接损失，除非该缺陷是由于人为破坏或合同规定的不可抗因素造成的损坏。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（3）施工过程中如涉及需拆除原有材料设备（除需利旧的材料设备外），由承包人自行处理，其残值及处置相关费用，由投标人综合考虑，包含在投标报价中。</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3.1一般要求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承包人必须按照工程量清单及技术规范进行施工，严格按照批准的施工技术方案和施工组织设计进行施工，力争做到“一流的施工管理，一流的工程质量”；同时施工组织实施须遵守机场相关规定要求。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3.2施工准备</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承包人应在开工前依施工现场情况合理制定施工技术方案和施工组织设计，在服从发包人的安排和总进度计划要求情况下制定施工方案，并按发包人批准的施工方案组织施工。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3.3施工质量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3.3.1工程施工质量控制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（1）为了保证工程施工质量，投标单位必须建立完善的全面质量管理体系（GB/T1900），对工程施工生产进行全过程、全方位的质量监督、检查与控制。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（2）施工阶段质量控制包括事前的各项施工准备工作质量控制，施工过程中的质量控制，以及各单项工程及整个工程项目完工后对建筑施工及安装产品质量的事后控制。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（3）依据国家及政府有关部门颁布的有关质量管理的法律、法规、标准等，严格控制施工工序质量以及检验和评定工程项目质量。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3.3.2现场质量监督</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（1）承包人在施工过程中，必须无条件地接受发包人的检查和监督，并执行发包人发出的指令，确保工程质量符合设计要求及相关规范、标准的规定。</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（2）工程中使用的材料均应符合相应技术要求，并符合发包人的指示要求，或在现场进行检验。</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（4）发包人有权随时对下述事项发出指示：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1）在指示规定的时间内，将发包人确认不合格的任何材料从现场运走。</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2）在指示规定的时间内，承包人必须将不合格的任何工程拆除并重新施工。</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（5）如果承包人在指示规定的时间内未执行上述指示时，则发包人有权雇用他人执行该项指示，所发生的有关费用由承包人负担。</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（6）根据发包人的指示，承包人应按发包人认为必要的时间和方式暂停工程或其他任何部分的工作，在暂时停工期间，承包人应对工程进行必要的保护和安全保障。</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3.3.3施工偏差要求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承包人需就一切有关之材料和整体结构，必须满足相应的技术标准及规范的规定。若产生施工偏差，承包人必须无条件返工，直至达到相应的技术标准及规范的规定，费用由承包人承担。</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3.4检验和验收</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eastAsia="宋体" w:cs="宋体"/>
          <w:b/>
          <w:bCs/>
          <w:sz w:val="24"/>
          <w:szCs w:val="24"/>
        </w:rPr>
        <w:t>承包人应替发包人办理进入现场的手续和亲自陪同。</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3.5施工管理要求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3.5.1承包人必须服从发包人对于本工程进度、质量、安全施工等要求。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3.5.2本工程发包范围内的工程项目，一律不得分包。一经发现立即取消承包资格，作违约处理，并承担由此引起的一切经济损失。</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3.5.3承包人应严格按施工技术方案组织施工，并无条件地接受发包人对施工质量的监督和管理。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3.5.4施工现场的建筑垃圾要及时清运，并自行运至机场区域范围以外，施工现场的材料、设备退场及现场清扫工作需于竣工验收前全部完成。上述相关处置费用，由投标人综合考虑，包含在投标报价中。</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3.6主要施工技术要求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3.6.1进出场道路：投标人现场自行调查了解，所有材料不因场内外道路状况、运输线路、运距发生变化而进行调价。</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3.6.2施工及生活用水：建设单位负责提供施工场地附近外接水源接口，场内接管、安装水表由施工单位自行解决，每月按水表数据支付。</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3.6.3施工用电：施工单位根据现场情况及施工阶段性需要必须考虑自行配备足够数量、功率的发电机。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3.6.5本次招标的工程需考虑以下问题：</w:t>
      </w:r>
    </w:p>
    <w:p>
      <w:pPr>
        <w:keepNext w:val="0"/>
        <w:keepLines w:val="0"/>
        <w:pageBreakBefore w:val="0"/>
        <w:numPr>
          <w:ilvl w:val="0"/>
          <w:numId w:val="5"/>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需做好施工单位的车辆进出场及材料推放的管理工作，相关费用计入投标报价，中标后不再调整。</w:t>
      </w:r>
    </w:p>
    <w:p>
      <w:pPr>
        <w:keepNext w:val="0"/>
        <w:keepLines w:val="0"/>
        <w:pageBreakBefore w:val="0"/>
        <w:numPr>
          <w:ilvl w:val="0"/>
          <w:numId w:val="5"/>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本工程开工时间根据甲方提供施工场地时间为准，投标人在投标时须考虑由此造成的工期延长，由此造成的费用不做变更。</w:t>
      </w:r>
    </w:p>
    <w:p>
      <w:pPr>
        <w:keepNext w:val="0"/>
        <w:keepLines w:val="0"/>
        <w:pageBreakBefore w:val="0"/>
        <w:numPr>
          <w:ilvl w:val="0"/>
          <w:numId w:val="5"/>
        </w:numPr>
        <w:kinsoku/>
        <w:wordWrap/>
        <w:overflowPunct/>
        <w:topLinePunct w:val="0"/>
        <w:autoSpaceDE/>
        <w:autoSpaceDN/>
        <w:bidi w:val="0"/>
        <w:adjustRightInd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本次施工区域可能存在部分障碍物需要拆除、移除，相关费用计入投标报价中，中标后不再调整。</w:t>
      </w:r>
    </w:p>
    <w:bookmarkEnd w:id="25"/>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四、产品保护</w:t>
      </w:r>
    </w:p>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4.1在工程现场及其周围已由其他施工单位完成和在建的建筑产品，承包人在现场施工中应负有保护责任和义务，因工程施工引起损坏，由承包人负责赔偿或修复。</w:t>
      </w:r>
    </w:p>
    <w:p>
      <w:pPr>
        <w:keepNext w:val="0"/>
        <w:keepLines w:val="0"/>
        <w:pageBreakBefore w:val="0"/>
        <w:kinsoku/>
        <w:wordWrap/>
        <w:overflowPunct/>
        <w:topLinePunct w:val="0"/>
        <w:autoSpaceDE/>
        <w:autoSpaceDN/>
        <w:bidi w:val="0"/>
        <w:snapToGrid w:val="0"/>
        <w:spacing w:line="360" w:lineRule="exact"/>
        <w:ind w:left="0" w:leftChars="0" w:right="0" w:rightChars="0" w:firstLine="44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4.2承包人在施工期间，直至竣工验收尚未正式移交之前，应负责对所有材料及现场进行保护和清洁工作，直至办理完正式移交为止。若在此过程中发生材料丢失和产品损坏，应承担赔偿和修复。</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kern w:val="0"/>
          <w:sz w:val="24"/>
          <w:szCs w:val="24"/>
        </w:rPr>
        <w:t>五、其他要求</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5.3本工程为</w:t>
      </w:r>
      <w:r>
        <w:rPr>
          <w:rFonts w:hint="eastAsia" w:ascii="宋体" w:hAnsi="宋体" w:eastAsia="宋体" w:cs="宋体"/>
          <w:b/>
          <w:sz w:val="24"/>
          <w:szCs w:val="24"/>
          <w:u w:val="single"/>
        </w:rPr>
        <w:t>固定单价</w:t>
      </w:r>
      <w:r>
        <w:rPr>
          <w:rFonts w:hint="eastAsia" w:ascii="宋体" w:hAnsi="宋体" w:eastAsia="宋体" w:cs="宋体"/>
          <w:b/>
          <w:sz w:val="24"/>
          <w:szCs w:val="24"/>
        </w:rPr>
        <w:t>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5.5计日工单价最高限价210元/工日。</w:t>
      </w:r>
    </w:p>
    <w:p>
      <w:pPr>
        <w:keepNext w:val="0"/>
        <w:keepLines w:val="0"/>
        <w:pageBreakBefore w:val="0"/>
        <w:kinsoku/>
        <w:wordWrap/>
        <w:overflowPunct/>
        <w:topLinePunct w:val="0"/>
        <w:autoSpaceDE/>
        <w:autoSpaceDN/>
        <w:bidi w:val="0"/>
        <w:snapToGrid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5.6工程施工期间，承包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2"/>
        <w:keepNext w:val="0"/>
        <w:keepLines w:val="0"/>
        <w:pageBreakBefore w:val="0"/>
        <w:kinsoku/>
        <w:wordWrap/>
        <w:overflowPunct/>
        <w:topLinePunct w:val="0"/>
        <w:autoSpaceDE/>
        <w:autoSpaceDN/>
        <w:bidi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5.7本项目工程位于机场隔离区内，承包人必须确保在施工阶段不影响机场正常运行，遵守机场不停航施工管理规定、施工安全条例。</w:t>
      </w:r>
    </w:p>
    <w:p>
      <w:pPr>
        <w:keepNext w:val="0"/>
        <w:keepLines w:val="0"/>
        <w:pageBreakBefore w:val="0"/>
        <w:kinsoku/>
        <w:wordWrap/>
        <w:overflowPunct/>
        <w:topLinePunct w:val="0"/>
        <w:autoSpaceDE/>
        <w:autoSpaceDN/>
        <w:bidi w:val="0"/>
        <w:spacing w:line="360" w:lineRule="exact"/>
        <w:ind w:left="0" w:leftChars="0" w:right="0" w:rightChars="0" w:firstLine="44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5.8承包人施工人员在进出机场隔离区时必须办理相关证件（有效期一个月）。费用由投标人综合考虑，包含在投标报价中。</w:t>
      </w:r>
    </w:p>
    <w:p>
      <w:pPr>
        <w:keepNext w:val="0"/>
        <w:keepLines w:val="0"/>
        <w:pageBreakBefore w:val="0"/>
        <w:kinsoku/>
        <w:wordWrap/>
        <w:overflowPunct/>
        <w:topLinePunct w:val="0"/>
        <w:autoSpaceDE/>
        <w:autoSpaceDN/>
        <w:bidi w:val="0"/>
        <w:spacing w:line="360" w:lineRule="exact"/>
        <w:ind w:left="0" w:leftChars="0" w:right="0" w:rightChars="0" w:firstLine="44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sz w:val="24"/>
          <w:szCs w:val="24"/>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宋体" w:hAnsi="宋体" w:eastAsia="宋体" w:cs="宋体"/>
          <w:b/>
          <w:color w:val="auto"/>
          <w:sz w:val="24"/>
          <w:szCs w:val="24"/>
        </w:rPr>
        <w:t>★投标报价中施工安全监管费按</w:t>
      </w:r>
      <w:r>
        <w:rPr>
          <w:rFonts w:hint="eastAsia" w:ascii="宋体" w:hAnsi="宋体" w:eastAsia="宋体" w:cs="宋体"/>
          <w:b/>
          <w:color w:val="auto"/>
          <w:sz w:val="24"/>
          <w:szCs w:val="24"/>
          <w:u w:val="single"/>
          <w:lang w:val="en-US" w:eastAsia="zh-CN"/>
        </w:rPr>
        <w:t>2000</w:t>
      </w:r>
      <w:r>
        <w:rPr>
          <w:rFonts w:hint="eastAsia" w:ascii="宋体" w:hAnsi="宋体" w:eastAsia="宋体" w:cs="宋体"/>
          <w:b/>
          <w:color w:val="auto"/>
          <w:sz w:val="24"/>
          <w:szCs w:val="24"/>
        </w:rPr>
        <w:t>元暂列金额计入，不得优惠。</w:t>
      </w:r>
    </w:p>
    <w:p>
      <w:pPr>
        <w:keepNext w:val="0"/>
        <w:keepLines w:val="0"/>
        <w:pageBreakBefore w:val="0"/>
        <w:kinsoku/>
        <w:wordWrap/>
        <w:overflowPunct/>
        <w:topLinePunct w:val="0"/>
        <w:autoSpaceDE/>
        <w:autoSpaceDN/>
        <w:bidi w:val="0"/>
        <w:spacing w:line="360" w:lineRule="exact"/>
        <w:ind w:left="0" w:leftChars="0" w:right="0" w:rightChars="0" w:firstLine="44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5.10承包人须无条件配合发包人要求，施工前应征得发包人同意，不得擅自施工，如擅自施工导致的一切后果由承包人承担。</w:t>
      </w:r>
    </w:p>
    <w:p>
      <w:pPr>
        <w:keepNext w:val="0"/>
        <w:keepLines w:val="0"/>
        <w:pageBreakBefore w:val="0"/>
        <w:kinsoku/>
        <w:wordWrap/>
        <w:overflowPunct/>
        <w:topLinePunct w:val="0"/>
        <w:autoSpaceDE/>
        <w:autoSpaceDN/>
        <w:bidi w:val="0"/>
        <w:spacing w:line="360" w:lineRule="exact"/>
        <w:ind w:left="0" w:leftChars="0" w:right="0" w:rightChars="0" w:firstLine="442" w:firstLineChars="200"/>
        <w:jc w:val="left"/>
        <w:textAlignment w:val="auto"/>
        <w:outlineLvl w:val="9"/>
      </w:pPr>
      <w:r>
        <w:rPr>
          <w:rFonts w:hint="eastAsia" w:ascii="宋体" w:hAnsi="宋体" w:eastAsia="宋体" w:cs="宋体"/>
          <w:b/>
          <w:sz w:val="24"/>
          <w:szCs w:val="24"/>
        </w:rPr>
        <w:t>5.11项目开工前承包人需提供施工进度计划表、施工材料及明细表，待材料、人员、证件全部准备完善并经发包人同意方可进行施工。</w:t>
      </w:r>
    </w:p>
    <w:p>
      <w:pPr>
        <w:pStyle w:val="9"/>
      </w:pPr>
    </w:p>
    <w:p>
      <w:pPr>
        <w:pStyle w:val="9"/>
      </w:pPr>
    </w:p>
    <w:p/>
    <w:p>
      <w:pPr>
        <w:pStyle w:val="2"/>
      </w:pPr>
    </w:p>
    <w:p>
      <w:pPr>
        <w:pStyle w:val="2"/>
      </w:pPr>
    </w:p>
    <w:p>
      <w:pPr>
        <w:pStyle w:val="2"/>
      </w:pPr>
    </w:p>
    <w:p>
      <w:pPr>
        <w:rPr>
          <w:rFonts w:hint="eastAsia"/>
        </w:rPr>
      </w:pPr>
    </w:p>
    <w:bookmarkEnd w:id="10"/>
    <w:bookmarkEnd w:id="21"/>
    <w:bookmarkEnd w:id="22"/>
    <w:p>
      <w:pPr>
        <w:pStyle w:val="3"/>
        <w:keepLines w:val="0"/>
        <w:pageBreakBefore/>
        <w:spacing w:before="0" w:after="0" w:line="564" w:lineRule="exact"/>
        <w:ind w:right="57"/>
        <w:rPr>
          <w:rFonts w:hint="eastAsia" w:ascii="黑体" w:hAnsi="黑体" w:eastAsia="黑体" w:cs="黑体"/>
          <w:sz w:val="32"/>
          <w:szCs w:val="32"/>
        </w:rPr>
      </w:pPr>
      <w:bookmarkStart w:id="26" w:name="_Toc52907682"/>
      <w:bookmarkStart w:id="27" w:name="_Toc1471"/>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投标文件格式</w:t>
      </w:r>
      <w:bookmarkEnd w:id="26"/>
      <w:bookmarkEnd w:id="27"/>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spacing w:line="360" w:lineRule="auto"/>
        <w:jc w:val="center"/>
        <w:rPr>
          <w:rFonts w:cs="微软雅黑"/>
          <w:b/>
          <w:kern w:val="0"/>
          <w:sz w:val="36"/>
          <w:szCs w:val="36"/>
        </w:rPr>
      </w:pPr>
      <w:r>
        <w:rPr>
          <w:rFonts w:hint="eastAsia" w:cs="微软雅黑"/>
          <w:b/>
          <w:kern w:val="0"/>
          <w:sz w:val="36"/>
          <w:szCs w:val="36"/>
        </w:rPr>
        <w:t>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pStyle w:val="2"/>
        <w:ind w:firstLine="643"/>
        <w:jc w:val="center"/>
        <w:rPr>
          <w:rFonts w:ascii="宋体" w:hAnsi="宋体" w:cs="宋体" w:eastAsiaTheme="minorEastAsia"/>
          <w:b/>
          <w:kern w:val="0"/>
          <w:sz w:val="32"/>
          <w:szCs w:val="32"/>
          <w:lang w:val="zh-CN"/>
        </w:rPr>
      </w:pPr>
      <w:r>
        <w:rPr>
          <w:rFonts w:ascii="宋体" w:hAnsi="宋体" w:cs="Arial"/>
          <w:b/>
          <w:bCs/>
          <w:kern w:val="0"/>
          <w:szCs w:val="21"/>
        </w:rPr>
        <w:br w:type="page"/>
      </w:r>
      <w:bookmarkStart w:id="28" w:name="_Hlk54024727"/>
      <w:r>
        <w:rPr>
          <w:rFonts w:hint="eastAsia" w:ascii="宋体" w:hAnsi="宋体" w:cs="宋体" w:eastAsiaTheme="minorEastAsia"/>
          <w:b/>
          <w:kern w:val="0"/>
          <w:sz w:val="32"/>
          <w:szCs w:val="32"/>
          <w:lang w:val="zh-CN"/>
        </w:rPr>
        <w:t>主要材料选用品牌一览表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ascii="宋体" w:hAnsi="宋体" w:cs="宋体"/>
                <w:bCs/>
                <w:kern w:val="0"/>
                <w:sz w:val="22"/>
              </w:rPr>
            </w:pPr>
            <w:r>
              <w:rPr>
                <w:rFonts w:hint="eastAsia" w:ascii="宋体" w:hAnsi="宋体" w:cs="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宋体"/>
                <w:bCs/>
                <w:kern w:val="0"/>
                <w:sz w:val="22"/>
              </w:rPr>
            </w:pPr>
            <w:r>
              <w:rPr>
                <w:rFonts w:hint="eastAsia" w:ascii="宋体" w:hAnsi="宋体" w:cs="宋体"/>
                <w:bCs/>
                <w:kern w:val="0"/>
                <w:sz w:val="22"/>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ascii="宋体" w:hAnsi="宋体" w:cs="Courier New"/>
                <w:bCs/>
                <w:sz w:val="22"/>
              </w:rPr>
            </w:pPr>
            <w:r>
              <w:rPr>
                <w:rFonts w:hint="eastAsia" w:ascii="宋体" w:hAnsi="宋体" w:cs="Courier New"/>
                <w:bCs/>
                <w:sz w:val="22"/>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五</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widowControl/>
        <w:jc w:val="left"/>
        <w:rPr>
          <w:rFonts w:cs="微软雅黑"/>
          <w:b/>
          <w:kern w:val="0"/>
          <w:sz w:val="36"/>
          <w:szCs w:val="36"/>
        </w:rPr>
      </w:pPr>
    </w:p>
    <w:p>
      <w:pPr>
        <w:widowControl/>
        <w:jc w:val="center"/>
        <w:rPr>
          <w:rFonts w:cs="微软雅黑"/>
          <w:b/>
          <w:kern w:val="0"/>
          <w:sz w:val="36"/>
          <w:szCs w:val="36"/>
        </w:rPr>
      </w:pPr>
    </w:p>
    <w:p>
      <w:pPr>
        <w:keepLines/>
        <w:pageBreakBefore/>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8"/>
    <w:p>
      <w:pPr>
        <w:widowControl/>
        <w:rPr>
          <w:rFonts w:cs="宋体"/>
          <w:b/>
          <w:sz w:val="32"/>
          <w:szCs w:val="32"/>
        </w:rPr>
      </w:pPr>
    </w:p>
    <w:sectPr>
      <w:footerReference r:id="rId11" w:type="first"/>
      <w:headerReference r:id="rId9" w:type="default"/>
      <w:footerReference r:id="rId10"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Bahnschrift">
    <w:altName w:val="Vrinda"/>
    <w:panose1 w:val="020B0502040204020203"/>
    <w:charset w:val="00"/>
    <w:family w:val="auto"/>
    <w:pitch w:val="default"/>
    <w:sig w:usb0="00000000" w:usb1="00000000" w:usb2="00000000" w:usb3="00000000" w:csb0="2000019F" w:csb1="00000000"/>
  </w:font>
  <w:font w:name="Arial Black">
    <w:panose1 w:val="020B0A0402010202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087" w:usb1="28AF40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Malgun Gothic">
    <w:panose1 w:val="020B0503020000020004"/>
    <w:charset w:val="81"/>
    <w:family w:val="auto"/>
    <w:pitch w:val="default"/>
    <w:sig w:usb0="900002AF" w:usb1="01D77CFB" w:usb2="00000012" w:usb3="00000000" w:csb0="00080001" w:csb1="00000000"/>
  </w:font>
  <w:font w:name="Vrinda">
    <w:panose1 w:val="020B0502040204020203"/>
    <w:charset w:val="00"/>
    <w:family w:val="auto"/>
    <w:pitch w:val="default"/>
    <w:sig w:usb0="00010003"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636C52E6"/>
    <w:multiLevelType w:val="singleLevel"/>
    <w:tmpl w:val="636C52E6"/>
    <w:lvl w:ilvl="0" w:tentative="0">
      <w:start w:val="1"/>
      <w:numFmt w:val="decimal"/>
      <w:suff w:val="nothing"/>
      <w:lvlText w:val="(%1)"/>
      <w:lvlJc w:val="left"/>
    </w:lvl>
  </w:abstractNum>
  <w:abstractNum w:abstractNumId="4">
    <w:nsid w:val="636C642F"/>
    <w:multiLevelType w:val="singleLevel"/>
    <w:tmpl w:val="636C642F"/>
    <w:lvl w:ilvl="0" w:tentative="0">
      <w:start w:val="1"/>
      <w:numFmt w:val="decimal"/>
      <w:suff w:val="nothing"/>
      <w:lvlText w:val="（%1）"/>
      <w:lvlJc w:val="left"/>
    </w:lvl>
  </w:abstractNum>
  <w:abstractNum w:abstractNumId="5">
    <w:nsid w:val="63AD0337"/>
    <w:multiLevelType w:val="singleLevel"/>
    <w:tmpl w:val="63AD0337"/>
    <w:lvl w:ilvl="0" w:tentative="0">
      <w:start w:val="1"/>
      <w:numFmt w:val="chineseCounting"/>
      <w:suff w:val="nothing"/>
      <w:lvlText w:val="%1、"/>
      <w:lvlJc w:val="left"/>
      <w:pPr>
        <w:ind w:left="0" w:leftChars="0" w:firstLine="420" w:firstLineChars="0"/>
      </w:pPr>
      <w:rPr>
        <w:rFonts w:hint="eastAsia"/>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1842E5"/>
    <w:rsid w:val="00202EF4"/>
    <w:rsid w:val="00205DDE"/>
    <w:rsid w:val="002D6E53"/>
    <w:rsid w:val="002E389D"/>
    <w:rsid w:val="00306FCE"/>
    <w:rsid w:val="00375BBB"/>
    <w:rsid w:val="00574177"/>
    <w:rsid w:val="005A26E5"/>
    <w:rsid w:val="005A3F8F"/>
    <w:rsid w:val="00602DA2"/>
    <w:rsid w:val="00625098"/>
    <w:rsid w:val="00642119"/>
    <w:rsid w:val="006562EA"/>
    <w:rsid w:val="006A12D1"/>
    <w:rsid w:val="006E5133"/>
    <w:rsid w:val="008171B7"/>
    <w:rsid w:val="00817C3C"/>
    <w:rsid w:val="00820C30"/>
    <w:rsid w:val="00846FFC"/>
    <w:rsid w:val="008C5594"/>
    <w:rsid w:val="00906E38"/>
    <w:rsid w:val="00A967F5"/>
    <w:rsid w:val="00AC6F51"/>
    <w:rsid w:val="00AE2420"/>
    <w:rsid w:val="00B6451B"/>
    <w:rsid w:val="00BA486F"/>
    <w:rsid w:val="00C11D9A"/>
    <w:rsid w:val="00C45FDC"/>
    <w:rsid w:val="00C63C17"/>
    <w:rsid w:val="00D0743B"/>
    <w:rsid w:val="00D2136E"/>
    <w:rsid w:val="00D91BF2"/>
    <w:rsid w:val="00DA7957"/>
    <w:rsid w:val="00DD507F"/>
    <w:rsid w:val="00DF1565"/>
    <w:rsid w:val="00E95BFB"/>
    <w:rsid w:val="00F10D57"/>
    <w:rsid w:val="00F75078"/>
    <w:rsid w:val="00F75276"/>
    <w:rsid w:val="00F81449"/>
    <w:rsid w:val="01490867"/>
    <w:rsid w:val="014F73A6"/>
    <w:rsid w:val="02B95F5F"/>
    <w:rsid w:val="02F1240D"/>
    <w:rsid w:val="03044762"/>
    <w:rsid w:val="03196B6B"/>
    <w:rsid w:val="03644852"/>
    <w:rsid w:val="03F739A7"/>
    <w:rsid w:val="03F870E6"/>
    <w:rsid w:val="047518C7"/>
    <w:rsid w:val="04EE265D"/>
    <w:rsid w:val="050869C0"/>
    <w:rsid w:val="052F0674"/>
    <w:rsid w:val="05BE6E6F"/>
    <w:rsid w:val="05C353ED"/>
    <w:rsid w:val="062A10DF"/>
    <w:rsid w:val="063C0E2A"/>
    <w:rsid w:val="066C1019"/>
    <w:rsid w:val="068C2B24"/>
    <w:rsid w:val="0729665A"/>
    <w:rsid w:val="073D70B6"/>
    <w:rsid w:val="077E75BF"/>
    <w:rsid w:val="080B7E40"/>
    <w:rsid w:val="08190115"/>
    <w:rsid w:val="083312CE"/>
    <w:rsid w:val="08A037D7"/>
    <w:rsid w:val="09411BF2"/>
    <w:rsid w:val="09673172"/>
    <w:rsid w:val="09E25A5D"/>
    <w:rsid w:val="09E436C7"/>
    <w:rsid w:val="0A280818"/>
    <w:rsid w:val="0A325507"/>
    <w:rsid w:val="0A730CDB"/>
    <w:rsid w:val="0AF47D67"/>
    <w:rsid w:val="0B8A64EA"/>
    <w:rsid w:val="0BC87FF4"/>
    <w:rsid w:val="0C2258A4"/>
    <w:rsid w:val="0C2C721E"/>
    <w:rsid w:val="0D58007A"/>
    <w:rsid w:val="0D662C58"/>
    <w:rsid w:val="0DEE646C"/>
    <w:rsid w:val="0E836117"/>
    <w:rsid w:val="0EE1797F"/>
    <w:rsid w:val="0EF24B25"/>
    <w:rsid w:val="0F3936BA"/>
    <w:rsid w:val="0F3A6E72"/>
    <w:rsid w:val="0F74556B"/>
    <w:rsid w:val="0F751372"/>
    <w:rsid w:val="0FED2B34"/>
    <w:rsid w:val="103144BD"/>
    <w:rsid w:val="10926C44"/>
    <w:rsid w:val="10C41CD7"/>
    <w:rsid w:val="10D201D0"/>
    <w:rsid w:val="10FB2AF8"/>
    <w:rsid w:val="132D3D8B"/>
    <w:rsid w:val="134E2C41"/>
    <w:rsid w:val="13506F32"/>
    <w:rsid w:val="13C53EF3"/>
    <w:rsid w:val="13C703B6"/>
    <w:rsid w:val="13D363C5"/>
    <w:rsid w:val="14EF431F"/>
    <w:rsid w:val="1521549C"/>
    <w:rsid w:val="15714686"/>
    <w:rsid w:val="15C55E70"/>
    <w:rsid w:val="168574AC"/>
    <w:rsid w:val="16E02330"/>
    <w:rsid w:val="174B0697"/>
    <w:rsid w:val="17706602"/>
    <w:rsid w:val="17A3369A"/>
    <w:rsid w:val="17E644B2"/>
    <w:rsid w:val="17F261B0"/>
    <w:rsid w:val="1815708E"/>
    <w:rsid w:val="19B6105C"/>
    <w:rsid w:val="19D22F7C"/>
    <w:rsid w:val="19E250F9"/>
    <w:rsid w:val="1A03602F"/>
    <w:rsid w:val="1A372ED2"/>
    <w:rsid w:val="1A530242"/>
    <w:rsid w:val="1A5510AA"/>
    <w:rsid w:val="1A905DB0"/>
    <w:rsid w:val="1AC01189"/>
    <w:rsid w:val="1ACC2D1E"/>
    <w:rsid w:val="1AE634A1"/>
    <w:rsid w:val="1B1762CA"/>
    <w:rsid w:val="1B494BCE"/>
    <w:rsid w:val="1B5C78F3"/>
    <w:rsid w:val="1B9E32AC"/>
    <w:rsid w:val="1C1F53DB"/>
    <w:rsid w:val="1C23428D"/>
    <w:rsid w:val="1C411E8A"/>
    <w:rsid w:val="1C67300B"/>
    <w:rsid w:val="1C722ABB"/>
    <w:rsid w:val="1DB82B97"/>
    <w:rsid w:val="1DD42994"/>
    <w:rsid w:val="1E017959"/>
    <w:rsid w:val="1ECC6715"/>
    <w:rsid w:val="1ED229A2"/>
    <w:rsid w:val="1F4F7C5F"/>
    <w:rsid w:val="1FC32413"/>
    <w:rsid w:val="200A02E6"/>
    <w:rsid w:val="20CE1F53"/>
    <w:rsid w:val="21EC1694"/>
    <w:rsid w:val="23416178"/>
    <w:rsid w:val="238E4739"/>
    <w:rsid w:val="23AA347B"/>
    <w:rsid w:val="2424517E"/>
    <w:rsid w:val="254051B5"/>
    <w:rsid w:val="26232022"/>
    <w:rsid w:val="265818D7"/>
    <w:rsid w:val="265E0606"/>
    <w:rsid w:val="26BE571E"/>
    <w:rsid w:val="26CC6707"/>
    <w:rsid w:val="27B369DB"/>
    <w:rsid w:val="289D4E0E"/>
    <w:rsid w:val="28BD1AD1"/>
    <w:rsid w:val="29727BB5"/>
    <w:rsid w:val="29957CF5"/>
    <w:rsid w:val="29F93588"/>
    <w:rsid w:val="2A11348C"/>
    <w:rsid w:val="2A4954FD"/>
    <w:rsid w:val="2A6E65A6"/>
    <w:rsid w:val="2B3A0E18"/>
    <w:rsid w:val="2B400820"/>
    <w:rsid w:val="2B7F6052"/>
    <w:rsid w:val="2BB864A4"/>
    <w:rsid w:val="2C176C91"/>
    <w:rsid w:val="2C4C3E76"/>
    <w:rsid w:val="2CF25F54"/>
    <w:rsid w:val="2DBD794B"/>
    <w:rsid w:val="2E6A0DCD"/>
    <w:rsid w:val="2EA80B40"/>
    <w:rsid w:val="2F5D728F"/>
    <w:rsid w:val="2FE921F7"/>
    <w:rsid w:val="304E0C8A"/>
    <w:rsid w:val="30A869F2"/>
    <w:rsid w:val="318B2267"/>
    <w:rsid w:val="320B2964"/>
    <w:rsid w:val="326F6647"/>
    <w:rsid w:val="32E10921"/>
    <w:rsid w:val="3308314E"/>
    <w:rsid w:val="33496CB7"/>
    <w:rsid w:val="33BA6ECE"/>
    <w:rsid w:val="33F5263D"/>
    <w:rsid w:val="34547575"/>
    <w:rsid w:val="34A7597F"/>
    <w:rsid w:val="350663DF"/>
    <w:rsid w:val="3510022D"/>
    <w:rsid w:val="359C614A"/>
    <w:rsid w:val="35AF3439"/>
    <w:rsid w:val="35EC099F"/>
    <w:rsid w:val="360327D0"/>
    <w:rsid w:val="36440709"/>
    <w:rsid w:val="36857170"/>
    <w:rsid w:val="36970B97"/>
    <w:rsid w:val="37E00FEC"/>
    <w:rsid w:val="382607A7"/>
    <w:rsid w:val="3862043E"/>
    <w:rsid w:val="38815CBD"/>
    <w:rsid w:val="389C7905"/>
    <w:rsid w:val="38B029D5"/>
    <w:rsid w:val="393734D5"/>
    <w:rsid w:val="393E67AA"/>
    <w:rsid w:val="3971636A"/>
    <w:rsid w:val="39EB6FB8"/>
    <w:rsid w:val="3A1B2A12"/>
    <w:rsid w:val="3A9011B9"/>
    <w:rsid w:val="3A980D91"/>
    <w:rsid w:val="3B35055F"/>
    <w:rsid w:val="3B750C23"/>
    <w:rsid w:val="3C4D7A69"/>
    <w:rsid w:val="3CC82E49"/>
    <w:rsid w:val="3CFB49D2"/>
    <w:rsid w:val="3D082D39"/>
    <w:rsid w:val="3DA2028F"/>
    <w:rsid w:val="3EC1656B"/>
    <w:rsid w:val="3ED14080"/>
    <w:rsid w:val="3F8E46E4"/>
    <w:rsid w:val="3FAA7C29"/>
    <w:rsid w:val="40384E37"/>
    <w:rsid w:val="4097278E"/>
    <w:rsid w:val="40F179A3"/>
    <w:rsid w:val="41443C8D"/>
    <w:rsid w:val="414D50B1"/>
    <w:rsid w:val="4185372B"/>
    <w:rsid w:val="418B2C01"/>
    <w:rsid w:val="419A1761"/>
    <w:rsid w:val="41D14192"/>
    <w:rsid w:val="43126C1A"/>
    <w:rsid w:val="43A65AEB"/>
    <w:rsid w:val="43FE6D40"/>
    <w:rsid w:val="445A5AE3"/>
    <w:rsid w:val="44B107A9"/>
    <w:rsid w:val="455C24D2"/>
    <w:rsid w:val="45C34E0C"/>
    <w:rsid w:val="462C1B51"/>
    <w:rsid w:val="463C3439"/>
    <w:rsid w:val="465945C7"/>
    <w:rsid w:val="466F3FD8"/>
    <w:rsid w:val="46AC7959"/>
    <w:rsid w:val="46F71F0E"/>
    <w:rsid w:val="476D73D9"/>
    <w:rsid w:val="485E642B"/>
    <w:rsid w:val="48A96880"/>
    <w:rsid w:val="48FA1F37"/>
    <w:rsid w:val="49133ED6"/>
    <w:rsid w:val="499C225B"/>
    <w:rsid w:val="4A2E626D"/>
    <w:rsid w:val="4A4B52B5"/>
    <w:rsid w:val="4AFA4B90"/>
    <w:rsid w:val="4B0C3CEF"/>
    <w:rsid w:val="4B262160"/>
    <w:rsid w:val="4BB817A8"/>
    <w:rsid w:val="4BB847EF"/>
    <w:rsid w:val="4C301F11"/>
    <w:rsid w:val="4C4D7514"/>
    <w:rsid w:val="4C7E3EFD"/>
    <w:rsid w:val="4CCD127D"/>
    <w:rsid w:val="4CFB3CE0"/>
    <w:rsid w:val="4D2E1D74"/>
    <w:rsid w:val="4D302A92"/>
    <w:rsid w:val="4D6D2E4B"/>
    <w:rsid w:val="4DAA1422"/>
    <w:rsid w:val="4DE82905"/>
    <w:rsid w:val="4E5975F2"/>
    <w:rsid w:val="4E694A6E"/>
    <w:rsid w:val="4E7144A1"/>
    <w:rsid w:val="4EF74E2C"/>
    <w:rsid w:val="4F932486"/>
    <w:rsid w:val="4F9B5BD7"/>
    <w:rsid w:val="4FB24E35"/>
    <w:rsid w:val="50A11CE1"/>
    <w:rsid w:val="50A57469"/>
    <w:rsid w:val="510A0E74"/>
    <w:rsid w:val="513546F9"/>
    <w:rsid w:val="515D3749"/>
    <w:rsid w:val="51E6424E"/>
    <w:rsid w:val="522C1FD0"/>
    <w:rsid w:val="52605A9C"/>
    <w:rsid w:val="52F62453"/>
    <w:rsid w:val="53572DB9"/>
    <w:rsid w:val="539C3C14"/>
    <w:rsid w:val="53EA00FE"/>
    <w:rsid w:val="544E1C64"/>
    <w:rsid w:val="54666A06"/>
    <w:rsid w:val="55327461"/>
    <w:rsid w:val="566D702A"/>
    <w:rsid w:val="568E6452"/>
    <w:rsid w:val="57310012"/>
    <w:rsid w:val="57364F45"/>
    <w:rsid w:val="579A74BA"/>
    <w:rsid w:val="57B16FA6"/>
    <w:rsid w:val="580F355F"/>
    <w:rsid w:val="58144BF6"/>
    <w:rsid w:val="586F4D4A"/>
    <w:rsid w:val="589300EC"/>
    <w:rsid w:val="589623CE"/>
    <w:rsid w:val="58D57FA2"/>
    <w:rsid w:val="59825D4A"/>
    <w:rsid w:val="59A95BAF"/>
    <w:rsid w:val="5A20261E"/>
    <w:rsid w:val="5A652A1E"/>
    <w:rsid w:val="5A8108AD"/>
    <w:rsid w:val="5AC266C0"/>
    <w:rsid w:val="5B1F7F83"/>
    <w:rsid w:val="5B2D7584"/>
    <w:rsid w:val="5BBC4890"/>
    <w:rsid w:val="5BD80E88"/>
    <w:rsid w:val="5BF24678"/>
    <w:rsid w:val="5BF343EC"/>
    <w:rsid w:val="5D231F56"/>
    <w:rsid w:val="5D2F6BB5"/>
    <w:rsid w:val="5D4C11AD"/>
    <w:rsid w:val="5D99654F"/>
    <w:rsid w:val="5DD11DF2"/>
    <w:rsid w:val="5DDF6FE6"/>
    <w:rsid w:val="5E09512E"/>
    <w:rsid w:val="5E535C89"/>
    <w:rsid w:val="5ED63FC2"/>
    <w:rsid w:val="5EE45516"/>
    <w:rsid w:val="5FD46899"/>
    <w:rsid w:val="5FD61FD6"/>
    <w:rsid w:val="60460965"/>
    <w:rsid w:val="6050634D"/>
    <w:rsid w:val="61354AB5"/>
    <w:rsid w:val="617F742F"/>
    <w:rsid w:val="62016700"/>
    <w:rsid w:val="621E2E05"/>
    <w:rsid w:val="621E3C58"/>
    <w:rsid w:val="622E5D39"/>
    <w:rsid w:val="63124DBD"/>
    <w:rsid w:val="635903D4"/>
    <w:rsid w:val="64583972"/>
    <w:rsid w:val="646B5557"/>
    <w:rsid w:val="649E42AD"/>
    <w:rsid w:val="65B36EF1"/>
    <w:rsid w:val="65C97F87"/>
    <w:rsid w:val="65E60C0C"/>
    <w:rsid w:val="6604027D"/>
    <w:rsid w:val="66946F47"/>
    <w:rsid w:val="677036EC"/>
    <w:rsid w:val="682E2769"/>
    <w:rsid w:val="684510B6"/>
    <w:rsid w:val="69453624"/>
    <w:rsid w:val="698332BA"/>
    <w:rsid w:val="6A4D37F6"/>
    <w:rsid w:val="6A970962"/>
    <w:rsid w:val="6A9E47C4"/>
    <w:rsid w:val="6AAE5576"/>
    <w:rsid w:val="6ABD6C3B"/>
    <w:rsid w:val="6AF76ABC"/>
    <w:rsid w:val="6AFD23D9"/>
    <w:rsid w:val="6B23775C"/>
    <w:rsid w:val="6B5D6B38"/>
    <w:rsid w:val="6BE373CC"/>
    <w:rsid w:val="6C2966F6"/>
    <w:rsid w:val="6C5E5250"/>
    <w:rsid w:val="6CCA0C5F"/>
    <w:rsid w:val="6D266852"/>
    <w:rsid w:val="6DB22AE5"/>
    <w:rsid w:val="6E4D7C1E"/>
    <w:rsid w:val="6EA35A1F"/>
    <w:rsid w:val="6EAA3D3E"/>
    <w:rsid w:val="6ED004D7"/>
    <w:rsid w:val="6ED256FD"/>
    <w:rsid w:val="6EE131BA"/>
    <w:rsid w:val="6F74423D"/>
    <w:rsid w:val="70F76756"/>
    <w:rsid w:val="7114779B"/>
    <w:rsid w:val="712868A1"/>
    <w:rsid w:val="7130783B"/>
    <w:rsid w:val="71562100"/>
    <w:rsid w:val="729A79A5"/>
    <w:rsid w:val="72C316BB"/>
    <w:rsid w:val="72DC013B"/>
    <w:rsid w:val="72F06AFF"/>
    <w:rsid w:val="73A34DC1"/>
    <w:rsid w:val="73D87888"/>
    <w:rsid w:val="73D918B9"/>
    <w:rsid w:val="73E170BF"/>
    <w:rsid w:val="73F8417D"/>
    <w:rsid w:val="741E53F6"/>
    <w:rsid w:val="743C7B32"/>
    <w:rsid w:val="74457D7C"/>
    <w:rsid w:val="74873A10"/>
    <w:rsid w:val="74886293"/>
    <w:rsid w:val="754B5B39"/>
    <w:rsid w:val="75A9354E"/>
    <w:rsid w:val="75BA0406"/>
    <w:rsid w:val="75EB06EF"/>
    <w:rsid w:val="761B655E"/>
    <w:rsid w:val="77663D48"/>
    <w:rsid w:val="779E2B03"/>
    <w:rsid w:val="780E4B1D"/>
    <w:rsid w:val="78FB0FDD"/>
    <w:rsid w:val="793B19EB"/>
    <w:rsid w:val="797040F2"/>
    <w:rsid w:val="7A454801"/>
    <w:rsid w:val="7B244D46"/>
    <w:rsid w:val="7BA3543B"/>
    <w:rsid w:val="7CA705F6"/>
    <w:rsid w:val="7CCD2795"/>
    <w:rsid w:val="7D2D0BB7"/>
    <w:rsid w:val="7D4C0316"/>
    <w:rsid w:val="7DFB469E"/>
    <w:rsid w:val="7E8C52A1"/>
    <w:rsid w:val="7EBF04C4"/>
    <w:rsid w:val="7F3F61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3558</Words>
  <Characters>20285</Characters>
  <Lines>169</Lines>
  <Paragraphs>47</Paragraphs>
  <ScaleCrop>false</ScaleCrop>
  <LinksUpToDate>false</LinksUpToDate>
  <CharactersWithSpaces>23796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2023-01-03T06:11:32Z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