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杭州萧山国际机场T3、T4航站楼增设私密检查室项目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p>
      <w:pPr>
        <w:pStyle w:val="10"/>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9"/>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end"/>
          </w:r>
          <w:r>
            <w:rPr>
              <w:rFonts w:hint="eastAsia"/>
              <w:sz w:val="36"/>
              <w:szCs w:val="44"/>
              <w:lang w:val="en-US" w:eastAsia="zh-CN"/>
            </w:rPr>
            <w:t>1</w:t>
          </w:r>
        </w:p>
        <w:p>
          <w:pPr>
            <w:pStyle w:val="9"/>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end"/>
          </w:r>
          <w:r>
            <w:rPr>
              <w:rFonts w:hint="eastAsia"/>
              <w:sz w:val="36"/>
              <w:szCs w:val="44"/>
              <w:lang w:val="en-US" w:eastAsia="zh-CN"/>
            </w:rPr>
            <w:t>3</w:t>
          </w:r>
        </w:p>
        <w:p>
          <w:pPr>
            <w:pStyle w:val="9"/>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rPr>
            <w:fldChar w:fldCharType="end"/>
          </w:r>
          <w:r>
            <w:rPr>
              <w:rFonts w:hint="eastAsia"/>
              <w:sz w:val="36"/>
              <w:szCs w:val="44"/>
              <w:lang w:val="en-US" w:eastAsia="zh-CN"/>
            </w:rPr>
            <w:t>5</w:t>
          </w:r>
        </w:p>
        <w:p>
          <w:pPr>
            <w:pStyle w:val="9"/>
            <w:tabs>
              <w:tab w:val="right" w:leader="dot" w:pos="9639"/>
            </w:tabs>
            <w:rPr>
              <w:rFonts w:hint="eastAsia" w:ascii="宋体" w:hAnsi="宋体" w:eastAsia="宋体" w:cs="宋体"/>
              <w:bCs/>
              <w:sz w:val="36"/>
              <w:szCs w:val="56"/>
            </w:rPr>
          </w:pPr>
          <w:r>
            <w:fldChar w:fldCharType="begin"/>
          </w:r>
          <w:r>
            <w:instrText xml:space="preserve"> HYPERLINK \l "_Toc27673" </w:instrText>
          </w:r>
          <w:r>
            <w:fldChar w:fldCharType="separate"/>
          </w:r>
          <w:r>
            <w:rPr>
              <w:rFonts w:hint="eastAsia"/>
              <w:sz w:val="36"/>
              <w:szCs w:val="44"/>
            </w:rPr>
            <w:t>第四章 工程量清单</w:t>
          </w:r>
          <w:r>
            <w:rPr>
              <w:sz w:val="36"/>
              <w:szCs w:val="44"/>
            </w:rPr>
            <w:tab/>
          </w:r>
          <w:r>
            <w:rPr>
              <w:rFonts w:hint="eastAsia"/>
              <w:sz w:val="36"/>
              <w:szCs w:val="44"/>
            </w:rPr>
            <w:fldChar w:fldCharType="end"/>
          </w:r>
          <w:r>
            <w:rPr>
              <w:rFonts w:hint="eastAsia"/>
              <w:sz w:val="36"/>
              <w:szCs w:val="44"/>
              <w:lang w:val="en-US" w:eastAsia="zh-CN"/>
            </w:rPr>
            <w:t>39</w:t>
          </w:r>
        </w:p>
        <w:p>
          <w:pPr>
            <w:pStyle w:val="9"/>
            <w:tabs>
              <w:tab w:val="right" w:leader="dot" w:pos="9639"/>
            </w:tabs>
          </w:pPr>
          <w:r>
            <w:fldChar w:fldCharType="begin"/>
          </w:r>
          <w:r>
            <w:instrText xml:space="preserve"> HYPERLINK \l "_Toc27673" </w:instrText>
          </w:r>
          <w: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sz w:val="36"/>
              <w:szCs w:val="44"/>
            </w:rPr>
            <w:tab/>
          </w:r>
          <w:r>
            <w:rPr>
              <w:rFonts w:hint="eastAsia"/>
              <w:sz w:val="36"/>
              <w:szCs w:val="44"/>
              <w:lang w:val="en-US" w:eastAsia="zh-CN"/>
            </w:rPr>
            <w:t>4</w:t>
          </w:r>
          <w:r>
            <w:rPr>
              <w:rFonts w:hint="eastAsia"/>
              <w:sz w:val="36"/>
              <w:szCs w:val="44"/>
            </w:rPr>
            <w:fldChar w:fldCharType="end"/>
          </w:r>
          <w:r>
            <w:rPr>
              <w:rFonts w:hint="eastAsia"/>
              <w:sz w:val="36"/>
              <w:szCs w:val="44"/>
              <w:lang w:val="en-US" w:eastAsia="zh-CN"/>
            </w:rPr>
            <w:t>1</w:t>
          </w:r>
        </w:p>
        <w:p>
          <w:pPr>
            <w:pStyle w:val="9"/>
            <w:tabs>
              <w:tab w:val="right" w:leader="dot" w:pos="9639"/>
            </w:tabs>
          </w:pPr>
          <w:r>
            <w:fldChar w:fldCharType="begin"/>
          </w:r>
          <w:r>
            <w:instrText xml:space="preserve"> HYPERLINK \l "_Toc27673" </w:instrText>
          </w:r>
          <w:r>
            <w:fldChar w:fldCharType="separate"/>
          </w:r>
          <w:r>
            <w:rPr>
              <w:rFonts w:hint="eastAsia"/>
              <w:sz w:val="36"/>
              <w:szCs w:val="44"/>
            </w:rPr>
            <w:t>第</w:t>
          </w:r>
          <w:r>
            <w:rPr>
              <w:rFonts w:hint="eastAsia"/>
              <w:sz w:val="36"/>
              <w:szCs w:val="44"/>
              <w:lang w:val="en-US" w:eastAsia="zh-CN"/>
            </w:rPr>
            <w:t>六</w:t>
          </w:r>
          <w:r>
            <w:rPr>
              <w:rFonts w:hint="eastAsia"/>
              <w:sz w:val="36"/>
              <w:szCs w:val="44"/>
            </w:rPr>
            <w:t>章 技术标准及要求</w:t>
          </w:r>
          <w:r>
            <w:rPr>
              <w:sz w:val="36"/>
              <w:szCs w:val="44"/>
            </w:rPr>
            <w:tab/>
          </w:r>
          <w:r>
            <w:rPr>
              <w:rFonts w:hint="eastAsia"/>
              <w:sz w:val="36"/>
              <w:szCs w:val="44"/>
            </w:rPr>
            <w:fldChar w:fldCharType="end"/>
          </w:r>
          <w:r>
            <w:rPr>
              <w:rFonts w:hint="eastAsia"/>
              <w:sz w:val="36"/>
              <w:szCs w:val="44"/>
              <w:lang w:val="en-US" w:eastAsia="zh-CN"/>
            </w:rPr>
            <w:t>42</w:t>
          </w:r>
        </w:p>
        <w:p>
          <w:pPr>
            <w:pStyle w:val="9"/>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w:t>
          </w:r>
          <w:r>
            <w:rPr>
              <w:rFonts w:hint="eastAsia"/>
              <w:sz w:val="36"/>
              <w:szCs w:val="44"/>
              <w:lang w:val="en-US" w:eastAsia="zh-CN"/>
            </w:rPr>
            <w:t>七</w:t>
          </w:r>
          <w:r>
            <w:rPr>
              <w:rFonts w:hint="eastAsia"/>
              <w:sz w:val="36"/>
              <w:szCs w:val="44"/>
            </w:rPr>
            <w:t xml:space="preserve">章 </w:t>
          </w:r>
          <w:r>
            <w:rPr>
              <w:sz w:val="36"/>
              <w:szCs w:val="52"/>
            </w:rPr>
            <w:t>投标文件格式</w:t>
          </w:r>
          <w:r>
            <w:rPr>
              <w:sz w:val="36"/>
              <w:szCs w:val="44"/>
            </w:rPr>
            <w:tab/>
          </w:r>
          <w:r>
            <w:rPr>
              <w:rFonts w:hint="eastAsia"/>
              <w:sz w:val="36"/>
              <w:szCs w:val="44"/>
              <w:lang w:val="en-US" w:eastAsia="zh-CN"/>
            </w:rPr>
            <w:t>4</w:t>
          </w:r>
          <w:r>
            <w:rPr>
              <w:rFonts w:hint="eastAsia"/>
              <w:sz w:val="36"/>
              <w:szCs w:val="44"/>
            </w:rPr>
            <w:fldChar w:fldCharType="end"/>
          </w:r>
          <w:r>
            <w:rPr>
              <w:rFonts w:hint="eastAsia"/>
              <w:sz w:val="36"/>
              <w:szCs w:val="44"/>
              <w:lang w:val="en-US" w:eastAsia="zh-CN"/>
            </w:rPr>
            <w:t>6</w:t>
          </w:r>
        </w:p>
        <w:p>
          <w:pPr>
            <w:pStyle w:val="9"/>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lang w:val="en-US" w:eastAsia="zh-CN"/>
            </w:rPr>
            <w:t>八</w:t>
          </w:r>
          <w:r>
            <w:rPr>
              <w:sz w:val="36"/>
              <w:szCs w:val="52"/>
            </w:rPr>
            <w:t>章</w:t>
          </w:r>
          <w:r>
            <w:rPr>
              <w:rFonts w:hint="eastAsia"/>
              <w:sz w:val="36"/>
              <w:szCs w:val="52"/>
            </w:rPr>
            <w:t xml:space="preserve"> 航站楼施工围挡管理标准</w:t>
          </w:r>
          <w:r>
            <w:rPr>
              <w:sz w:val="36"/>
              <w:szCs w:val="44"/>
            </w:rPr>
            <w:tab/>
          </w:r>
          <w:r>
            <w:rPr>
              <w:rFonts w:hint="eastAsia"/>
              <w:sz w:val="36"/>
              <w:szCs w:val="44"/>
              <w:lang w:val="en-US" w:eastAsia="zh-CN"/>
            </w:rPr>
            <w:t>53</w:t>
          </w:r>
          <w:r>
            <w:rPr>
              <w:rFonts w:hint="eastAsia"/>
              <w:sz w:val="36"/>
              <w:szCs w:val="44"/>
            </w:rPr>
            <w:fldChar w:fldCharType="end"/>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10"/>
        <w:pageBreakBefore/>
        <w:rPr>
          <w:rFonts w:hint="eastAsia"/>
        </w:rPr>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bookmarkStart w:id="1" w:name="_Toc8459"/>
    </w:p>
    <w:p>
      <w:pPr>
        <w:pStyle w:val="10"/>
        <w:pageBreakBefore/>
      </w:pPr>
      <w:r>
        <w:rPr>
          <w:rFonts w:hint="eastAsia"/>
        </w:rPr>
        <w:t>第一章 招标公告</w:t>
      </w:r>
      <w:bookmarkEnd w:id="0"/>
      <w:bookmarkEnd w:id="1"/>
    </w:p>
    <w:p>
      <w:pPr>
        <w:widowControl/>
        <w:snapToGrid w:val="0"/>
        <w:spacing w:line="360" w:lineRule="exact"/>
        <w:jc w:val="left"/>
        <w:rPr>
          <w:rFonts w:ascii="宋体" w:hAnsi="宋体" w:eastAsia="宋体" w:cs="宋体"/>
          <w:kern w:val="0"/>
          <w:sz w:val="24"/>
          <w:szCs w:val="24"/>
        </w:rPr>
      </w:pPr>
      <w:bookmarkStart w:id="2" w:name="_Toc448097402"/>
      <w:bookmarkStart w:id="3" w:name="_Toc448097403"/>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b/>
          <w:bCs/>
          <w:kern w:val="0"/>
          <w:sz w:val="24"/>
          <w:szCs w:val="24"/>
          <w:lang w:val="en-US" w:eastAsia="zh-CN"/>
        </w:rPr>
        <w:t>因亚（残）运保障工作需要，需在T3、T4增设私密检查室</w:t>
      </w:r>
      <w:r>
        <w:rPr>
          <w:rFonts w:hint="eastAsia" w:ascii="宋体" w:hAnsi="宋体" w:eastAsia="宋体" w:cs="宋体"/>
          <w:b/>
          <w:bCs/>
          <w:kern w:val="0"/>
          <w:sz w:val="24"/>
          <w:szCs w:val="24"/>
        </w:rPr>
        <w:t>。</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图纸</w:t>
      </w:r>
      <w:r>
        <w:rPr>
          <w:rFonts w:hint="eastAsia" w:ascii="宋体" w:hAnsi="宋体" w:eastAsia="宋体" w:cs="宋体"/>
          <w:kern w:val="0"/>
          <w:sz w:val="24"/>
          <w:szCs w:val="24"/>
        </w:rPr>
        <w:t>和技术标准及要求。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color w:val="auto"/>
          <w:kern w:val="0"/>
          <w:sz w:val="24"/>
          <w:szCs w:val="24"/>
          <w:u w:val="single"/>
          <w:lang w:val="en-US" w:eastAsia="zh-CN"/>
        </w:rPr>
        <w:t xml:space="preserve"> 5 </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三、招标文件获取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snapToGrid w:val="0"/>
        <w:spacing w:line="320" w:lineRule="exact"/>
        <w:rPr>
          <w:rFonts w:ascii="宋体" w:hAnsi="宋体" w:eastAsia="宋体" w:cs="宋体"/>
          <w:b/>
          <w:bCs/>
          <w:sz w:val="24"/>
          <w:szCs w:val="24"/>
        </w:rPr>
      </w:pPr>
      <w:r>
        <w:rPr>
          <w:rFonts w:hint="eastAsia" w:ascii="宋体" w:hAnsi="宋体" w:eastAsia="宋体" w:cs="宋体"/>
          <w:b/>
          <w:bCs/>
          <w:sz w:val="24"/>
          <w:szCs w:val="24"/>
        </w:rPr>
        <w:t>四、踏勘现场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w:t>
      </w:r>
      <w:r>
        <w:rPr>
          <w:rFonts w:hint="eastAsia" w:ascii="宋体" w:hAnsi="宋体" w:eastAsia="宋体" w:cs="宋体"/>
          <w:kern w:val="0"/>
          <w:sz w:val="24"/>
          <w:szCs w:val="24"/>
        </w:rPr>
        <w:t xml:space="preserve">间为 </w:t>
      </w:r>
      <w:r>
        <w:rPr>
          <w:rFonts w:hint="eastAsia" w:ascii="宋体" w:hAnsi="宋体" w:eastAsia="宋体" w:cs="宋体"/>
          <w:kern w:val="0"/>
          <w:sz w:val="24"/>
          <w:szCs w:val="24"/>
          <w:lang w:val="en-US" w:eastAsia="zh-CN"/>
        </w:rPr>
        <w:t>2023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分（北京时间）。踏勘集中地点为</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numPr>
          <w:ilvl w:val="0"/>
          <w:numId w:val="2"/>
        </w:numPr>
        <w:snapToGrid w:val="0"/>
        <w:spacing w:line="320" w:lineRule="exact"/>
        <w:rPr>
          <w:rFonts w:ascii="宋体" w:hAnsi="宋体" w:eastAsia="宋体" w:cs="宋体"/>
          <w:b/>
          <w:bCs/>
          <w:kern w:val="0"/>
          <w:sz w:val="24"/>
          <w:szCs w:val="24"/>
        </w:rPr>
      </w:pPr>
      <w:r>
        <w:rPr>
          <w:rFonts w:hint="eastAsia" w:ascii="宋体" w:hAnsi="宋体" w:eastAsia="宋体" w:cs="宋体"/>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2023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分前，以E-mail及书面形式提交给招标人（邮箱：</w:t>
      </w:r>
      <w:r>
        <w:rPr>
          <w:rFonts w:hint="eastAsia" w:ascii="宋体" w:hAnsi="宋体" w:eastAsia="宋体" w:cs="宋体"/>
          <w:kern w:val="0"/>
          <w:sz w:val="24"/>
          <w:szCs w:val="24"/>
          <w:lang w:val="en-US" w:eastAsia="zh-CN"/>
        </w:rPr>
        <w:t>373285581@qq.com</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吴淼清</w:t>
      </w:r>
      <w:r>
        <w:rPr>
          <w:rFonts w:hint="eastAsia" w:ascii="宋体" w:hAnsi="宋体" w:eastAsia="宋体" w:cs="宋体"/>
          <w:kern w:val="0"/>
          <w:sz w:val="24"/>
          <w:szCs w:val="24"/>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val="en-US" w:eastAsia="zh-CN"/>
        </w:rPr>
        <w:t>2023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分前（北京时间）。投标文件在封口处加盖公章并注明是：</w:t>
      </w:r>
      <w:r>
        <w:rPr>
          <w:rFonts w:hint="eastAsia" w:ascii="宋体" w:hAnsi="宋体" w:eastAsia="宋体" w:cs="宋体"/>
          <w:b/>
          <w:bCs/>
          <w:color w:val="000000" w:themeColor="text1"/>
          <w:sz w:val="24"/>
          <w:szCs w:val="24"/>
          <w:lang w:eastAsia="zh-CN"/>
          <w14:textFill>
            <w14:solidFill>
              <w14:schemeClr w14:val="tx1"/>
            </w14:solidFill>
          </w14:textFill>
        </w:rPr>
        <w:t>杭州萧山国际机场T3、T4航站楼增设私密检查室项目</w:t>
      </w:r>
      <w:r>
        <w:rPr>
          <w:rFonts w:hint="eastAsia" w:ascii="宋体" w:hAnsi="宋体" w:eastAsia="宋体" w:cs="宋体"/>
          <w:b/>
          <w:bCs/>
          <w:color w:val="000000" w:themeColor="text1"/>
          <w:sz w:val="24"/>
          <w:szCs w:val="24"/>
          <w:lang w:val="en-US" w:eastAsia="zh-CN"/>
          <w14:textFill>
            <w14:solidFill>
              <w14:schemeClr w14:val="tx1"/>
            </w14:solidFill>
          </w14:textFill>
        </w:rPr>
        <w:t>投</w:t>
      </w:r>
      <w:r>
        <w:rPr>
          <w:rFonts w:hint="eastAsia" w:ascii="宋体" w:hAnsi="宋体" w:eastAsia="宋体" w:cs="宋体"/>
          <w:b/>
          <w:bCs/>
          <w:color w:val="000000" w:themeColor="text1"/>
          <w:sz w:val="24"/>
          <w:szCs w:val="24"/>
          <w14:textFill>
            <w14:solidFill>
              <w14:schemeClr w14:val="tx1"/>
            </w14:solidFill>
          </w14:textFill>
        </w:rPr>
        <w:t>标文件</w:t>
      </w:r>
      <w:r>
        <w:rPr>
          <w:rFonts w:hint="eastAsia" w:ascii="宋体" w:hAnsi="宋体" w:eastAsia="宋体" w:cs="宋体"/>
          <w:kern w:val="0"/>
          <w:sz w:val="24"/>
          <w:szCs w:val="24"/>
        </w:rPr>
        <w:t>，并派专人于</w:t>
      </w:r>
      <w:r>
        <w:rPr>
          <w:rFonts w:hint="eastAsia" w:ascii="宋体" w:hAnsi="宋体" w:eastAsia="宋体" w:cs="宋体"/>
          <w:kern w:val="0"/>
          <w:sz w:val="24"/>
          <w:szCs w:val="24"/>
          <w:lang w:val="en-US" w:eastAsia="zh-CN"/>
        </w:rPr>
        <w:t>2023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分前（北京时间）前送至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kern w:val="0"/>
          <w:sz w:val="24"/>
          <w:szCs w:val="24"/>
          <w:lang w:val="en-US" w:eastAsia="zh-CN"/>
        </w:rPr>
        <w:t>2023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分前（北京时间）前投递至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杭州萧山国际机场T3、T4航站楼增设私密检查室项目</w:t>
      </w:r>
      <w:r>
        <w:rPr>
          <w:rFonts w:hint="eastAsia" w:ascii="宋体" w:hAnsi="宋体" w:eastAsia="宋体" w:cs="宋体"/>
          <w:b/>
          <w:bCs/>
          <w:color w:val="000000" w:themeColor="text1"/>
          <w:sz w:val="24"/>
          <w:szCs w:val="24"/>
          <w:lang w:val="en-US" w:eastAsia="zh-CN"/>
          <w14:textFill>
            <w14:solidFill>
              <w14:schemeClr w14:val="tx1"/>
            </w14:solidFill>
          </w14:textFill>
        </w:rPr>
        <w:t>投</w:t>
      </w:r>
      <w:r>
        <w:rPr>
          <w:rFonts w:hint="eastAsia" w:ascii="宋体" w:hAnsi="宋体" w:eastAsia="宋体" w:cs="宋体"/>
          <w:b/>
          <w:bCs/>
          <w:color w:val="000000" w:themeColor="text1"/>
          <w:sz w:val="24"/>
          <w:szCs w:val="24"/>
          <w14:textFill>
            <w14:solidFill>
              <w14:schemeClr w14:val="tx1"/>
            </w14:solidFill>
          </w14:textFill>
        </w:rPr>
        <w:t>标文件</w:t>
      </w:r>
      <w:r>
        <w:rPr>
          <w:rFonts w:hint="eastAsia" w:ascii="宋体" w:hAnsi="宋体" w:eastAsia="宋体" w:cs="宋体"/>
          <w:b/>
          <w:bCs/>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u w:val="single"/>
          <w:lang w:eastAsia="zh-CN"/>
        </w:rPr>
        <w:t>杭州萧山国际机场T3、T4航站楼增设私密检查室项目</w:t>
      </w:r>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color w:val="auto"/>
          <w:kern w:val="0"/>
          <w:sz w:val="24"/>
          <w:szCs w:val="24"/>
        </w:rPr>
        <w:t>在</w:t>
      </w:r>
      <w:r>
        <w:rPr>
          <w:rFonts w:hint="eastAsia" w:asciiTheme="minorEastAsia" w:hAnsiTheme="minorEastAsia" w:cstheme="minorEastAsia"/>
          <w:color w:val="auto"/>
          <w:kern w:val="0"/>
          <w:sz w:val="24"/>
          <w:szCs w:val="24"/>
          <w:u w:val="single"/>
          <w:lang w:val="en-US" w:eastAsia="zh-CN"/>
        </w:rPr>
        <w:t>2023</w:t>
      </w:r>
      <w:r>
        <w:rPr>
          <w:rFonts w:hint="eastAsia" w:asciiTheme="minorEastAsia" w:hAnsiTheme="minorEastAsia" w:cstheme="minorEastAsia"/>
          <w:color w:val="auto"/>
          <w:kern w:val="0"/>
          <w:sz w:val="24"/>
          <w:szCs w:val="24"/>
        </w:rPr>
        <w:t>年</w:t>
      </w:r>
      <w:r>
        <w:rPr>
          <w:rFonts w:hint="eastAsia" w:asciiTheme="minorEastAsia" w:hAnsiTheme="minorEastAsia" w:cstheme="minorEastAsia"/>
          <w:color w:val="auto"/>
          <w:kern w:val="0"/>
          <w:sz w:val="24"/>
          <w:szCs w:val="24"/>
          <w:u w:val="single"/>
          <w:lang w:val="en-US" w:eastAsia="zh-CN"/>
        </w:rPr>
        <w:t>6</w:t>
      </w:r>
      <w:r>
        <w:rPr>
          <w:rFonts w:hint="eastAsia" w:asciiTheme="minorEastAsia" w:hAnsiTheme="minorEastAsia" w:cstheme="minorEastAsia"/>
          <w:color w:val="auto"/>
          <w:kern w:val="0"/>
          <w:sz w:val="24"/>
          <w:szCs w:val="24"/>
        </w:rPr>
        <w:t>月</w:t>
      </w:r>
      <w:r>
        <w:rPr>
          <w:rFonts w:hint="eastAsia" w:asciiTheme="minorEastAsia" w:hAnsiTheme="minorEastAsia" w:cstheme="minorEastAsia"/>
          <w:color w:val="auto"/>
          <w:kern w:val="0"/>
          <w:sz w:val="24"/>
          <w:szCs w:val="24"/>
          <w:u w:val="single"/>
          <w:lang w:val="en-US" w:eastAsia="zh-CN"/>
        </w:rPr>
        <w:t>23</w:t>
      </w:r>
      <w:r>
        <w:rPr>
          <w:rFonts w:hint="eastAsia" w:asciiTheme="minorEastAsia" w:hAnsiTheme="minorEastAsia" w:cstheme="minorEastAsia"/>
          <w:color w:val="auto"/>
          <w:kern w:val="0"/>
          <w:sz w:val="24"/>
          <w:szCs w:val="24"/>
        </w:rPr>
        <w:t>日</w:t>
      </w:r>
      <w:r>
        <w:rPr>
          <w:rFonts w:hint="eastAsia" w:asciiTheme="minorEastAsia" w:hAnsiTheme="minorEastAsia" w:cstheme="minorEastAsia"/>
          <w:color w:val="auto"/>
          <w:kern w:val="0"/>
          <w:sz w:val="24"/>
          <w:szCs w:val="24"/>
          <w:u w:val="single"/>
          <w:lang w:val="en-US" w:eastAsia="zh-CN"/>
        </w:rPr>
        <w:t>9</w:t>
      </w:r>
      <w:r>
        <w:rPr>
          <w:rFonts w:hint="eastAsia" w:asciiTheme="minorEastAsia" w:hAnsiTheme="minorEastAsia" w:cstheme="minorEastAsia"/>
          <w:color w:val="auto"/>
          <w:kern w:val="0"/>
          <w:sz w:val="24"/>
          <w:szCs w:val="24"/>
        </w:rPr>
        <w:t>时</w:t>
      </w:r>
      <w:r>
        <w:rPr>
          <w:rFonts w:hint="eastAsia" w:asciiTheme="minorEastAsia" w:hAnsiTheme="minorEastAsia" w:cstheme="minorEastAsia"/>
          <w:color w:val="auto"/>
          <w:kern w:val="0"/>
          <w:sz w:val="24"/>
          <w:szCs w:val="24"/>
          <w:u w:val="single"/>
          <w:lang w:val="en-US" w:eastAsia="zh-CN"/>
        </w:rPr>
        <w:t>00</w:t>
      </w:r>
      <w:r>
        <w:rPr>
          <w:rFonts w:hint="eastAsia" w:asciiTheme="minorEastAsia" w:hAnsiTheme="minorEastAsia" w:cstheme="minorEastAsia"/>
          <w:color w:val="auto"/>
          <w:kern w:val="0"/>
          <w:sz w:val="24"/>
          <w:szCs w:val="24"/>
        </w:rPr>
        <w:t>分</w:t>
      </w:r>
      <w:r>
        <w:rPr>
          <w:rFonts w:hint="eastAsia" w:asciiTheme="minorEastAsia" w:hAnsiTheme="minorEastAsia" w:cstheme="minorEastAsia"/>
          <w:kern w:val="0"/>
          <w:sz w:val="24"/>
          <w:szCs w:val="24"/>
        </w:rPr>
        <w:t>（即开标时间）前不得开启</w:t>
      </w:r>
    </w:p>
    <w:p>
      <w:pPr>
        <w:widowControl/>
        <w:adjustRightInd w:val="0"/>
        <w:snapToGrid w:val="0"/>
        <w:spacing w:line="320" w:lineRule="exact"/>
        <w:rPr>
          <w:rFonts w:hint="eastAsia" w:asciiTheme="minorEastAsia" w:hAnsiTheme="minorEastAsia" w:cstheme="minorEastAsia"/>
          <w:b/>
          <w:bCs/>
          <w:kern w:val="0"/>
          <w:sz w:val="24"/>
          <w:szCs w:val="24"/>
        </w:rPr>
        <w:sectPr>
          <w:footerReference r:id="rId7" w:type="default"/>
          <w:pgSz w:w="11907" w:h="16840"/>
          <w:pgMar w:top="1134" w:right="1134" w:bottom="1134" w:left="1134" w:header="851" w:footer="992" w:gutter="0"/>
          <w:pgNumType w:fmt="numberInDash" w:start="1"/>
          <w:cols w:space="720" w:num="1"/>
          <w:docGrid w:linePitch="312" w:charSpace="0"/>
        </w:sectPr>
      </w:pP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（1）采取公开招标和资格后审。</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r>
        <w:rPr>
          <w:rFonts w:hint="eastAsia" w:asciiTheme="minorEastAsia" w:hAnsiTheme="minorEastAsia" w:cstheme="minorEastAsia"/>
          <w:kern w:val="0"/>
          <w:sz w:val="24"/>
          <w:szCs w:val="24"/>
          <w:lang w:val="en-US" w:eastAsia="zh-CN"/>
        </w:rPr>
        <w:t>2</w:t>
      </w:r>
      <w:r>
        <w:rPr>
          <w:rFonts w:hint="eastAsia" w:asciiTheme="minorEastAsia" w:hAnsiTheme="minorEastAsia" w:cstheme="minorEastAsia"/>
          <w:kern w:val="0"/>
          <w:sz w:val="24"/>
          <w:szCs w:val="24"/>
        </w:rPr>
        <w:t>）评标委员会由3人及以上单数构成；</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r>
        <w:rPr>
          <w:rFonts w:hint="eastAsia" w:asciiTheme="minorEastAsia" w:hAnsiTheme="minorEastAsia" w:cstheme="minorEastAsia"/>
          <w:kern w:val="0"/>
          <w:sz w:val="24"/>
          <w:szCs w:val="24"/>
          <w:lang w:val="en-US" w:eastAsia="zh-CN"/>
        </w:rPr>
        <w:t>3</w:t>
      </w:r>
      <w:r>
        <w:rPr>
          <w:rFonts w:hint="eastAsia" w:asciiTheme="minorEastAsia" w:hAnsiTheme="minorEastAsia" w:cstheme="minorEastAsia"/>
          <w:kern w:val="0"/>
          <w:sz w:val="24"/>
          <w:szCs w:val="24"/>
        </w:rPr>
        <w:t>）评标委员会成员招标人自行组建。</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pPr>
      <w:r>
        <w:rPr>
          <w:rFonts w:hint="eastAsia" w:asciiTheme="minorEastAsia" w:hAnsiTheme="minorEastAsia" w:cstheme="minorEastAsia"/>
          <w:kern w:val="0"/>
          <w:sz w:val="24"/>
          <w:szCs w:val="24"/>
        </w:rPr>
        <w:t>（</w:t>
      </w:r>
      <w:r>
        <w:rPr>
          <w:rFonts w:hint="eastAsia" w:asciiTheme="minorEastAsia" w:hAnsiTheme="minorEastAsia" w:cstheme="minorEastAsia"/>
          <w:kern w:val="0"/>
          <w:sz w:val="24"/>
          <w:szCs w:val="24"/>
          <w:lang w:val="en-US" w:eastAsia="zh-CN"/>
        </w:rPr>
        <w:t>4</w:t>
      </w:r>
      <w:r>
        <w:rPr>
          <w:rFonts w:hint="eastAsia" w:asciiTheme="minorEastAsia" w:hAnsiTheme="minorEastAsia" w:cstheme="minorEastAsia"/>
          <w:kern w:val="0"/>
          <w:sz w:val="24"/>
          <w:szCs w:val="24"/>
        </w:rPr>
        <w:t>）评标委员会推荐的中标候选人数：1人。</w:t>
      </w:r>
    </w:p>
    <w:p>
      <w:pPr>
        <w:pStyle w:val="10"/>
        <w:keepNext w:val="0"/>
        <w:keepLines w:val="0"/>
        <w:pageBreakBefore w:val="0"/>
        <w:kinsoku/>
        <w:wordWrap/>
        <w:overflowPunct/>
        <w:topLinePunct w:val="0"/>
        <w:autoSpaceDE/>
        <w:autoSpaceDN/>
        <w:bidi w:val="0"/>
        <w:spacing w:before="0" w:after="0"/>
        <w:ind w:left="0" w:leftChars="0" w:right="0" w:rightChars="0" w:firstLine="480" w:firstLineChars="200"/>
        <w:jc w:val="both"/>
        <w:textAlignment w:val="auto"/>
        <w:rPr>
          <w:rFonts w:hint="eastAsia" w:asciiTheme="minorEastAsia" w:hAnsiTheme="minorEastAsia" w:eastAsiaTheme="minorEastAsia" w:cstheme="minorEastAsia"/>
          <w:b w:val="0"/>
          <w:bCs w:val="0"/>
          <w:sz w:val="24"/>
          <w:szCs w:val="24"/>
        </w:rPr>
      </w:pPr>
      <w:bookmarkStart w:id="4" w:name="_Toc3775"/>
      <w:bookmarkStart w:id="5" w:name="_Toc19218"/>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bookmarkEnd w:id="4"/>
      <w:bookmarkEnd w:id="5"/>
      <w:r>
        <w:rPr>
          <w:rFonts w:hint="eastAsia" w:asciiTheme="minorEastAsia" w:hAnsiTheme="minorEastAsia" w:eastAsiaTheme="minorEastAsia" w:cstheme="minorEastAsia"/>
          <w:b w:val="0"/>
          <w:bCs w:val="0"/>
          <w:sz w:val="24"/>
          <w:szCs w:val="24"/>
        </w:rPr>
        <w:t>本次评标采用</w:t>
      </w:r>
      <w:r>
        <w:rPr>
          <w:rFonts w:hint="eastAsia" w:asciiTheme="minorEastAsia" w:hAnsiTheme="minorEastAsia" w:eastAsiaTheme="minorEastAsia" w:cstheme="minorEastAsia"/>
          <w:b w:val="0"/>
          <w:bCs w:val="0"/>
          <w:sz w:val="24"/>
          <w:szCs w:val="24"/>
          <w:lang w:val="en-US" w:eastAsia="zh-CN"/>
        </w:rPr>
        <w:t>经评审的最低价</w:t>
      </w:r>
      <w:r>
        <w:rPr>
          <w:rFonts w:hint="eastAsia" w:asciiTheme="minorEastAsia" w:hAnsiTheme="minorEastAsia" w:eastAsiaTheme="minorEastAsia" w:cstheme="minorEastAsia"/>
          <w:b w:val="0"/>
          <w:bCs w:val="0"/>
          <w:sz w:val="24"/>
          <w:szCs w:val="24"/>
        </w:rPr>
        <w:t>法推荐中标候选人。</w:t>
      </w:r>
    </w:p>
    <w:p>
      <w:pPr>
        <w:widowControl/>
        <w:snapToGrid w:val="0"/>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cstheme="minorEastAsia"/>
          <w:b/>
          <w:bCs/>
          <w:kern w:val="0"/>
          <w:sz w:val="24"/>
          <w:szCs w:val="24"/>
        </w:rPr>
        <w:t>重新招标和不再招标</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1</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重新招标</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有下列情形之一的，招标人将重新招标</w:t>
      </w:r>
      <w:r>
        <w:rPr>
          <w:rFonts w:hint="eastAsia" w:asciiTheme="minorEastAsia" w:hAnsiTheme="minorEastAsia" w:cstheme="minorEastAsia"/>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fldChar w:fldCharType="begin"/>
      </w:r>
      <w:r>
        <w:rPr>
          <w:rFonts w:hint="eastAsia" w:asciiTheme="minorEastAsia" w:hAnsiTheme="minorEastAsia" w:cstheme="minorEastAsia"/>
          <w:kern w:val="0"/>
          <w:sz w:val="24"/>
          <w:szCs w:val="24"/>
          <w:lang w:eastAsia="zh-CN"/>
        </w:rPr>
        <w:instrText xml:space="preserve"> = 1 \* GB3 \* MERGEFORMAT </w:instrText>
      </w:r>
      <w:r>
        <w:rPr>
          <w:rFonts w:hint="eastAsia" w:asciiTheme="minorEastAsia" w:hAnsiTheme="minorEastAsia" w:cstheme="minorEastAsia"/>
          <w:kern w:val="0"/>
          <w:sz w:val="24"/>
          <w:szCs w:val="24"/>
          <w:lang w:eastAsia="zh-CN"/>
        </w:rPr>
        <w:fldChar w:fldCharType="separate"/>
      </w:r>
      <w:r>
        <w:t>①</w:t>
      </w:r>
      <w:r>
        <w:rPr>
          <w:rFonts w:hint="eastAsia" w:asciiTheme="minorEastAsia" w:hAnsiTheme="minorEastAsia" w:cstheme="minorEastAsia"/>
          <w:kern w:val="0"/>
          <w:sz w:val="24"/>
          <w:szCs w:val="24"/>
          <w:lang w:eastAsia="zh-CN"/>
        </w:rPr>
        <w:fldChar w:fldCharType="end"/>
      </w:r>
      <w:r>
        <w:rPr>
          <w:rFonts w:hint="eastAsia" w:asciiTheme="minorEastAsia" w:hAnsiTheme="minorEastAsia" w:cstheme="minorEastAsia"/>
          <w:kern w:val="0"/>
          <w:sz w:val="24"/>
          <w:szCs w:val="24"/>
        </w:rPr>
        <w:t>投标截止时间止，投标人少于3个的；</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fldChar w:fldCharType="begin"/>
      </w:r>
      <w:r>
        <w:rPr>
          <w:rFonts w:hint="eastAsia" w:asciiTheme="minorEastAsia" w:hAnsiTheme="minorEastAsia" w:cstheme="minorEastAsia"/>
          <w:kern w:val="0"/>
          <w:sz w:val="24"/>
          <w:szCs w:val="24"/>
          <w:lang w:eastAsia="zh-CN"/>
        </w:rPr>
        <w:instrText xml:space="preserve"> = 2 \* GB3 \* MERGEFORMAT </w:instrText>
      </w:r>
      <w:r>
        <w:rPr>
          <w:rFonts w:hint="eastAsia" w:asciiTheme="minorEastAsia" w:hAnsiTheme="minorEastAsia" w:cstheme="minorEastAsia"/>
          <w:kern w:val="0"/>
          <w:sz w:val="24"/>
          <w:szCs w:val="24"/>
          <w:lang w:eastAsia="zh-CN"/>
        </w:rPr>
        <w:fldChar w:fldCharType="separate"/>
      </w:r>
      <w:r>
        <w:t>②</w:t>
      </w:r>
      <w:r>
        <w:rPr>
          <w:rFonts w:hint="eastAsia" w:asciiTheme="minorEastAsia" w:hAnsiTheme="minorEastAsia" w:cstheme="minorEastAsia"/>
          <w:kern w:val="0"/>
          <w:sz w:val="24"/>
          <w:szCs w:val="24"/>
          <w:lang w:eastAsia="zh-CN"/>
        </w:rPr>
        <w:fldChar w:fldCharType="end"/>
      </w:r>
      <w:r>
        <w:rPr>
          <w:rFonts w:hint="eastAsia" w:asciiTheme="minorEastAsia" w:hAnsiTheme="minorEastAsia" w:cstheme="minorEastAsia"/>
          <w:kern w:val="0"/>
          <w:sz w:val="24"/>
          <w:szCs w:val="24"/>
        </w:rPr>
        <w:t>所有投标人的报价均偏高，招标人无法接受的；</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fldChar w:fldCharType="begin"/>
      </w:r>
      <w:r>
        <w:rPr>
          <w:rFonts w:hint="eastAsia" w:asciiTheme="minorEastAsia" w:hAnsiTheme="minorEastAsia" w:cstheme="minorEastAsia"/>
          <w:kern w:val="0"/>
          <w:sz w:val="24"/>
          <w:szCs w:val="24"/>
          <w:lang w:eastAsia="zh-CN"/>
        </w:rPr>
        <w:instrText xml:space="preserve"> = 3 \* GB3 \* MERGEFORMAT </w:instrText>
      </w:r>
      <w:r>
        <w:rPr>
          <w:rFonts w:hint="eastAsia" w:asciiTheme="minorEastAsia" w:hAnsiTheme="minorEastAsia" w:cstheme="minorEastAsia"/>
          <w:kern w:val="0"/>
          <w:sz w:val="24"/>
          <w:szCs w:val="24"/>
          <w:lang w:eastAsia="zh-CN"/>
        </w:rPr>
        <w:fldChar w:fldCharType="separate"/>
      </w:r>
      <w:r>
        <w:t>③</w:t>
      </w:r>
      <w:r>
        <w:rPr>
          <w:rFonts w:hint="eastAsia" w:asciiTheme="minorEastAsia" w:hAnsiTheme="minorEastAsia" w:cstheme="minorEastAsia"/>
          <w:kern w:val="0"/>
          <w:sz w:val="24"/>
          <w:szCs w:val="24"/>
          <w:lang w:eastAsia="zh-CN"/>
        </w:rPr>
        <w:fldChar w:fldCharType="end"/>
      </w:r>
      <w:r>
        <w:rPr>
          <w:rFonts w:hint="eastAsia" w:asciiTheme="minorEastAsia" w:hAnsiTheme="minorEastAsia" w:cstheme="minorEastAsia"/>
          <w:kern w:val="0"/>
          <w:sz w:val="24"/>
          <w:szCs w:val="24"/>
        </w:rPr>
        <w:t>经评标委员会评审后否决所有投标的。</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投标人少于3个或经评审有效投标人少于3个且不具备竞争性的，招标人不再另行发布通知，重新招标公告发布即表示本项目已进入新一轮招标。</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2</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不再招标</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outlineLvl w:val="9"/>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重新招标后投标人仍少于3个或者所有投标被否决的，经批准后可采用其他方式实施。</w:t>
      </w:r>
    </w:p>
    <w:p>
      <w:pPr>
        <w:widowControl/>
        <w:snapToGrid w:val="0"/>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lang w:val="en-US" w:eastAsia="zh-CN"/>
        </w:rPr>
        <w:t>十</w:t>
      </w:r>
      <w:r>
        <w:rPr>
          <w:rFonts w:hint="eastAsia" w:asciiTheme="minorEastAsia" w:hAnsiTheme="minorEastAsia" w:cstheme="minorEastAsia"/>
          <w:b/>
          <w:bCs/>
          <w:kern w:val="0"/>
          <w:sz w:val="24"/>
          <w:szCs w:val="24"/>
        </w:rPr>
        <w:t>、发布公告的媒介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bookmarkStart w:id="25" w:name="_GoBack"/>
      <w:bookmarkEnd w:id="25"/>
    </w:p>
    <w:p>
      <w:pPr>
        <w:pStyle w:val="10"/>
      </w:pPr>
    </w:p>
    <w:p>
      <w:pPr>
        <w:pStyle w:val="10"/>
      </w:pPr>
    </w:p>
    <w:p/>
    <w:p>
      <w:pPr>
        <w:pStyle w:val="10"/>
      </w:pPr>
    </w:p>
    <w:p>
      <w:pPr>
        <w:pStyle w:val="10"/>
      </w:pPr>
    </w:p>
    <w:p>
      <w:pPr>
        <w:pStyle w:val="10"/>
      </w:pPr>
    </w:p>
    <w:p>
      <w:pPr>
        <w:pStyle w:val="10"/>
      </w:pPr>
    </w:p>
    <w:p>
      <w:pPr>
        <w:pStyle w:val="10"/>
      </w:pPr>
    </w:p>
    <w:p>
      <w:pPr>
        <w:pStyle w:val="10"/>
      </w:pPr>
    </w:p>
    <w:p>
      <w:pPr>
        <w:pStyle w:val="10"/>
      </w:pPr>
    </w:p>
    <w:bookmarkEnd w:id="2"/>
    <w:bookmarkEnd w:id="3"/>
    <w:p>
      <w:pPr>
        <w:pStyle w:val="10"/>
        <w:keepNext w:val="0"/>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bookmarkStart w:id="6" w:name="_Toc568"/>
      <w:bookmarkStart w:id="7" w:name="_Toc27752"/>
      <w:bookmarkStart w:id="8" w:name="_Toc448097404"/>
      <w:bookmarkStart w:id="9"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r>
        <w:rPr>
          <w:rFonts w:hint="eastAsia" w:ascii="宋体" w:hAnsi="宋体" w:cs="宋体"/>
          <w:sz w:val="22"/>
        </w:rPr>
        <w:t>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投标报价扣除税金(按投标函承诺的增值税税率扣减)后为评标价(即不含税价)。</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当有效投标文件只有一名时，则由评标委员会确定是否推荐为中标候选人。</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评标委员会负责推荐中标候选人。</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（五）重新招标和不再招标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(1)投标截止时间止，投标人少于3个的；</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rPr>
        <w:t>(2)所有投标人的报价均偏高，招标人无法接受的；</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(3)经评标委员会评审后否决所有投标的。</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投标人少于3个或经评审有效投标人少于3个且不具备竞争性的，招标人不再另行发布通知，重新招标公告发布即表示本项目已进入新一轮招标。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重新招标后投标人仍少于3个或者所有投标被否决的，经批准后可采用其他方式实施。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bookmarkEnd w:id="7"/>
    <w:p>
      <w:pPr>
        <w:pStyle w:val="10"/>
      </w:pPr>
      <w:r>
        <w:rPr>
          <w:rFonts w:ascii="宋体" w:hAnsi="宋体" w:cs="宋体"/>
          <w:sz w:val="22"/>
        </w:rPr>
        <w:br w:type="page"/>
      </w:r>
    </w:p>
    <w:p>
      <w:pPr>
        <w:pStyle w:val="10"/>
        <w:rPr>
          <w:rFonts w:ascii="宋体" w:hAnsi="宋体" w:cs="宋体"/>
          <w:sz w:val="28"/>
          <w:szCs w:val="20"/>
        </w:rPr>
      </w:pPr>
      <w:bookmarkStart w:id="10" w:name="_Toc17411"/>
      <w:r>
        <w:rPr>
          <w:rFonts w:hint="eastAsia"/>
        </w:rPr>
        <w:t>第三章</w:t>
      </w:r>
      <w:r>
        <w:t xml:space="preserve">  </w:t>
      </w:r>
      <w:r>
        <w:rPr>
          <w:rFonts w:hint="eastAsia"/>
        </w:rPr>
        <w:t>合同条款及格式</w:t>
      </w:r>
      <w:bookmarkEnd w:id="8"/>
      <w:bookmarkEnd w:id="10"/>
      <w:bookmarkStart w:id="11" w:name="_Toc448097405"/>
    </w:p>
    <w:bookmarkEnd w:id="11"/>
    <w:p>
      <w:pPr>
        <w:spacing w:before="240" w:beforeLines="100" w:line="300" w:lineRule="auto"/>
        <w:jc w:val="right"/>
        <w:rPr>
          <w:rFonts w:hint="eastAsia" w:ascii="仿宋" w:hAnsi="仿宋" w:eastAsia="仿宋" w:cs="仿宋"/>
          <w:color w:val="auto"/>
          <w:sz w:val="23"/>
          <w:szCs w:val="23"/>
          <w:highlight w:val="none"/>
        </w:rPr>
      </w:pPr>
      <w:bookmarkStart w:id="12" w:name="_Toc448097407"/>
      <w:r>
        <w:rPr>
          <w:rFonts w:hint="eastAsia" w:ascii="仿宋" w:hAnsi="仿宋" w:eastAsia="仿宋" w:cs="仿宋"/>
          <w:bCs/>
          <w:color w:val="auto"/>
          <w:sz w:val="28"/>
          <w:szCs w:val="44"/>
          <w:highlight w:val="none"/>
        </w:rPr>
        <w:t>合同编号：【 】</w:t>
      </w:r>
    </w:p>
    <w:p>
      <w:pPr>
        <w:spacing w:before="240" w:beforeLines="100" w:line="300" w:lineRule="auto"/>
        <w:jc w:val="center"/>
        <w:rPr>
          <w:rFonts w:hint="eastAsia" w:ascii="仿宋" w:hAnsi="仿宋" w:eastAsia="仿宋" w:cs="仿宋"/>
          <w:color w:val="auto"/>
          <w:sz w:val="23"/>
          <w:szCs w:val="23"/>
          <w:highlight w:val="none"/>
        </w:rPr>
      </w:pPr>
    </w:p>
    <w:p>
      <w:pPr>
        <w:spacing w:before="240" w:beforeLines="100" w:line="300" w:lineRule="auto"/>
        <w:jc w:val="center"/>
        <w:rPr>
          <w:rFonts w:hint="eastAsia" w:ascii="仿宋" w:hAnsi="仿宋" w:eastAsia="仿宋" w:cs="仿宋"/>
          <w:color w:val="auto"/>
          <w:sz w:val="23"/>
          <w:szCs w:val="23"/>
          <w:highlight w:val="none"/>
        </w:rPr>
      </w:pPr>
    </w:p>
    <w:p>
      <w:pPr>
        <w:spacing w:before="240" w:beforeLines="100" w:line="300" w:lineRule="auto"/>
        <w:jc w:val="center"/>
        <w:rPr>
          <w:rFonts w:hint="eastAsia" w:ascii="仿宋" w:hAnsi="仿宋" w:eastAsia="仿宋" w:cs="仿宋"/>
          <w:color w:val="auto"/>
          <w:sz w:val="23"/>
          <w:szCs w:val="23"/>
          <w:highlight w:val="none"/>
        </w:rPr>
      </w:pPr>
    </w:p>
    <w:p>
      <w:pPr>
        <w:spacing w:before="240" w:beforeLines="100" w:line="300" w:lineRule="auto"/>
        <w:jc w:val="center"/>
        <w:rPr>
          <w:rFonts w:hint="eastAsia" w:ascii="仿宋" w:hAnsi="仿宋" w:eastAsia="仿宋" w:cs="仿宋"/>
          <w:color w:val="auto"/>
          <w:sz w:val="23"/>
          <w:szCs w:val="23"/>
          <w:highlight w:val="none"/>
        </w:rPr>
      </w:pPr>
    </w:p>
    <w:p>
      <w:pPr>
        <w:spacing w:before="240" w:beforeLines="100" w:line="30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杭州萧山国际机场T3、T4航站楼增设私密检查室项目施工合同</w:t>
      </w: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ind w:firstLine="2070" w:firstLineChars="900"/>
        <w:rPr>
          <w:rFonts w:hint="eastAsia" w:ascii="仿宋" w:hAnsi="仿宋" w:eastAsia="仿宋" w:cs="仿宋"/>
          <w:color w:val="auto"/>
          <w:sz w:val="23"/>
          <w:szCs w:val="23"/>
          <w:highlight w:val="none"/>
        </w:rPr>
      </w:pPr>
    </w:p>
    <w:p>
      <w:pPr>
        <w:spacing w:before="240" w:beforeLines="100" w:line="30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 】年【 】月【 】日</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bCs/>
          <w:color w:val="auto"/>
          <w:sz w:val="32"/>
          <w:szCs w:val="44"/>
          <w:highlight w:val="none"/>
        </w:rPr>
        <w:br w:type="page"/>
      </w:r>
      <w:r>
        <w:rPr>
          <w:rFonts w:hint="eastAsia" w:ascii="仿宋" w:hAnsi="仿宋" w:eastAsia="仿宋" w:cs="仿宋"/>
          <w:b/>
          <w:color w:val="auto"/>
          <w:sz w:val="23"/>
          <w:szCs w:val="23"/>
          <w:highlight w:val="none"/>
        </w:rPr>
        <w:t>甲方（发包人）： 杭州萧山国际机场有限公司</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住所地：杭州萧山机场内</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乙方（承包人）: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b/>
          <w:color w:val="auto"/>
          <w:sz w:val="23"/>
          <w:szCs w:val="23"/>
          <w:highlight w:val="none"/>
        </w:rPr>
        <w:t>住所地:</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乙双方根据《中华人民共和国民法典》、《中华人民共和国建筑法》等相关法律法规，就【杭州萧山国际机场T3、T4航站楼增设私密检查室项目】施工事宜，在自愿、平等、互利的原则基础上，经协商一致，特签订本合同，以共同遵守。</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一、工程概况</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1.1工程名称：【</w:t>
      </w:r>
      <w:r>
        <w:rPr>
          <w:rFonts w:hint="eastAsia" w:ascii="仿宋" w:hAnsi="仿宋" w:eastAsia="仿宋" w:cs="仿宋"/>
          <w:color w:val="auto"/>
          <w:sz w:val="23"/>
          <w:szCs w:val="23"/>
          <w:highlight w:val="none"/>
          <w:lang w:val="en-US" w:eastAsia="zh-CN"/>
        </w:rPr>
        <w:t>杭州萧山国际机场T3、T4航站楼增设私密检查室项目</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1.2工程地点：【杭州萧山</w:t>
      </w:r>
      <w:r>
        <w:rPr>
          <w:rFonts w:hint="eastAsia" w:ascii="仿宋" w:hAnsi="仿宋" w:eastAsia="仿宋" w:cs="仿宋"/>
          <w:color w:val="auto"/>
          <w:sz w:val="23"/>
          <w:szCs w:val="23"/>
          <w:highlight w:val="none"/>
          <w:lang w:val="en-US" w:eastAsia="zh-CN"/>
        </w:rPr>
        <w:t>国际</w:t>
      </w:r>
      <w:r>
        <w:rPr>
          <w:rFonts w:hint="eastAsia" w:ascii="仿宋" w:hAnsi="仿宋" w:eastAsia="仿宋" w:cs="仿宋"/>
          <w:color w:val="auto"/>
          <w:sz w:val="23"/>
          <w:szCs w:val="23"/>
          <w:highlight w:val="none"/>
        </w:rPr>
        <w:t>机场内】</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1.3工程内容：【</w:t>
      </w:r>
      <w:r>
        <w:rPr>
          <w:rFonts w:hint="eastAsia" w:ascii="仿宋" w:hAnsi="仿宋" w:eastAsia="仿宋" w:cs="仿宋"/>
          <w:color w:val="auto"/>
          <w:sz w:val="23"/>
          <w:szCs w:val="23"/>
          <w:highlight w:val="none"/>
          <w:lang w:val="en-US" w:eastAsia="zh-CN"/>
        </w:rPr>
        <w:t>因亚（残）运保障工作需要，需在T3、T4增设私密检查室</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1.4承包范围和方式：【工程量或施工图范围内的所有内容，承包方式：包工包料】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1.5工期：本工程暂定自【 】年【 】月【 】日开工，绝对工期总共为【</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1.6工程质量标准：【符合现行国家有关工程施工验收规范和标准的合格要求】</w:t>
      </w:r>
    </w:p>
    <w:p>
      <w:pPr>
        <w:numPr>
          <w:ilvl w:val="0"/>
          <w:numId w:val="4"/>
        </w:num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合同价格及支付</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本合同签约合同价为人民币（大写）【 】(¥【 】元)，税率为【 】%，不含税总金额为人民币【 】，税额为人民币【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本合同采用固定单价合同价格形式。</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上述签约合同总价系根据双方确定的本工程工程量清单以及综合单价计算后确定的暂定合同价格，具体单价见附件1已标价工程量清单。</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w:t>
      </w:r>
      <w:r>
        <w:rPr>
          <w:rFonts w:hint="eastAsia" w:ascii="仿宋" w:hAnsi="仿宋" w:eastAsia="仿宋" w:cs="仿宋"/>
          <w:color w:val="auto"/>
          <w:sz w:val="23"/>
          <w:szCs w:val="23"/>
          <w:highlight w:val="none"/>
          <w:lang w:val="en-US" w:eastAsia="zh-CN"/>
        </w:rPr>
        <w:t>8.5</w:t>
      </w:r>
      <w:r>
        <w:rPr>
          <w:rFonts w:hint="eastAsia" w:ascii="仿宋" w:hAnsi="仿宋" w:eastAsia="仿宋" w:cs="仿宋"/>
          <w:color w:val="auto"/>
          <w:sz w:val="23"/>
          <w:szCs w:val="23"/>
          <w:highlight w:val="none"/>
        </w:rPr>
        <w:t>】%。</w:t>
      </w:r>
      <w:r>
        <w:rPr>
          <w:rFonts w:hint="eastAsia" w:ascii="仿宋" w:hAnsi="仿宋" w:eastAsia="仿宋" w:cs="仿宋"/>
          <w:b/>
          <w:bCs/>
          <w:color w:val="auto"/>
          <w:sz w:val="23"/>
          <w:szCs w:val="23"/>
          <w:highlight w:val="none"/>
        </w:rPr>
        <w:t>★施工安全监管费为暂列金额，结算时承包人需提供相应票据作为依据按实结算，税金另计。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工程结算总价的【</w:t>
      </w:r>
      <w:r>
        <w:rPr>
          <w:rFonts w:hint="eastAsia" w:ascii="仿宋" w:hAnsi="仿宋" w:eastAsia="仿宋" w:cs="仿宋"/>
          <w:color w:val="auto"/>
          <w:sz w:val="23"/>
          <w:szCs w:val="23"/>
          <w:highlight w:val="none"/>
          <w:lang w:val="en-US" w:eastAsia="zh-CN"/>
        </w:rPr>
        <w:t>1.5</w:t>
      </w:r>
      <w:r>
        <w:rPr>
          <w:rFonts w:hint="eastAsia" w:ascii="仿宋" w:hAnsi="仿宋" w:eastAsia="仿宋" w:cs="仿宋"/>
          <w:color w:val="auto"/>
          <w:sz w:val="23"/>
          <w:szCs w:val="23"/>
          <w:highlight w:val="none"/>
        </w:rPr>
        <w:t>】%留作质量保证金，待缺陷责任期满，经甲方确认乙方不存在任何违约行为且质量保修不存在问题后15天内一并无息支付。缺陷责任期为自工程竣工验收合格之日起算</w:t>
      </w:r>
      <w:r>
        <w:rPr>
          <w:rFonts w:hint="eastAsia" w:ascii="仿宋" w:hAnsi="仿宋" w:eastAsia="仿宋" w:cs="仿宋"/>
          <w:color w:val="auto"/>
          <w:sz w:val="23"/>
          <w:szCs w:val="23"/>
          <w:highlight w:val="none"/>
          <w:lang w:val="en-US" w:eastAsia="zh-CN"/>
        </w:rPr>
        <w:t>24</w:t>
      </w:r>
      <w:r>
        <w:rPr>
          <w:rFonts w:hint="eastAsia" w:ascii="仿宋" w:hAnsi="仿宋" w:eastAsia="仿宋" w:cs="仿宋"/>
          <w:color w:val="auto"/>
          <w:sz w:val="23"/>
          <w:szCs w:val="23"/>
          <w:highlight w:val="none"/>
        </w:rPr>
        <w:t>个月</w:t>
      </w:r>
      <w:r>
        <w:rPr>
          <w:rFonts w:hint="eastAsia" w:ascii="仿宋" w:hAnsi="仿宋" w:eastAsia="仿宋" w:cs="仿宋"/>
          <w:bCs/>
          <w:color w:val="auto"/>
          <w:sz w:val="28"/>
          <w:szCs w:val="28"/>
          <w:highlight w:val="none"/>
        </w:rPr>
        <w:t>，</w:t>
      </w:r>
      <w:r>
        <w:rPr>
          <w:rFonts w:hint="eastAsia" w:ascii="仿宋" w:hAnsi="仿宋" w:eastAsia="仿宋" w:cs="仿宋"/>
          <w:bCs w:val="0"/>
          <w:color w:val="auto"/>
          <w:sz w:val="23"/>
          <w:szCs w:val="23"/>
          <w:highlight w:val="none"/>
        </w:rPr>
        <w:t>非乙方施工质量原因导致的破损，则不在保修范围内，该种情况由甲方负责判定，但除上述原因外</w:t>
      </w:r>
      <w:r>
        <w:rPr>
          <w:rFonts w:hint="eastAsia" w:ascii="仿宋" w:hAnsi="仿宋" w:eastAsia="仿宋" w:cs="仿宋"/>
          <w:color w:val="auto"/>
          <w:sz w:val="23"/>
          <w:szCs w:val="23"/>
          <w:highlight w:val="none"/>
        </w:rPr>
        <w:t>若甲方发现乙方未完全履行质量保修责任，则甲方有权按《工程质量保修书》的约定扣除部分或全部质量保证金，且甲方不承担逾期支付的违约责任。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三、工程变更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 变更估价原则：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 本合同及已标价的工程量清单或预算书中已有适用工程项目单价的，按已有的单价确定；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 本合同及已标价的工程量清单或预算书中没有适用但有类似工程项目单价的，在合理范围内参照类似项目的单价计算确定。参照方法按下列方式处理：</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①某种材料（包括半成品或成品）等级、标准发生变化的，清单组合子目不变，仅调整不同材料的价格之差。</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②清单项目某一特征或工程内容变化，不影响其他特征及工程内容价格的，其他特征组合标准不变，仅调整发生变化的组合子目价格。</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3.3.4 无</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价的材料价按施工当期【</w:t>
      </w:r>
      <w:r>
        <w:rPr>
          <w:rFonts w:hint="eastAsia" w:ascii="仿宋" w:hAnsi="仿宋" w:eastAsia="仿宋" w:cs="仿宋"/>
          <w:i/>
          <w:iCs/>
          <w:color w:val="auto"/>
          <w:sz w:val="23"/>
          <w:szCs w:val="23"/>
          <w:highlight w:val="none"/>
        </w:rPr>
        <w:t>《杭州造价信息》（正刊）萧山区、《杭州造价信息》（正刊）市区、《浙江造价信息》</w:t>
      </w:r>
      <w:r>
        <w:rPr>
          <w:rFonts w:hint="eastAsia" w:ascii="仿宋" w:hAnsi="仿宋" w:eastAsia="仿宋" w:cs="仿宋"/>
          <w:color w:val="auto"/>
          <w:sz w:val="23"/>
          <w:szCs w:val="23"/>
          <w:highlight w:val="none"/>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四、甲方的权利和义务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 指派【 】，职务：【】作为甲方项目负责人，负责合同履行；对工程质量、进度进行监督检查，办理验收、变更、登记手续和其他事宜。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 在施工开始前负责保护好周围建筑物及装修、设备管线、古树名木、绿地等不受损坏。如确实需要拆改原建筑物结构或设备管线，负责到有关部门办理相应审批手续。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甲方有权对乙方的安全施工状况进行检查，发现有达不到安全要求或措施不得力的，应当责令乙方整改整顿，整改仍达不到要求的，甲方有权终止本合同。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 甲方有权对乙方的施工进度进行监督、检查，协调有关部门做好现场保卫、消防、垃圾处理等工作。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 甲方应按合同约定向乙方支付工程款项。</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五、乙方的权利和义务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 乙方向甲方承诺按照合同约定进行施工、竣工并在质量保修期内承担工程质量保修责任。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 乙方应参加甲方组织的施工图纸或作法说明的现场交底，拟定施工方案和进度计划，交甲方审定。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 乙方应参加竣工验收，并编制工程结算文件、整理项目档案移交甲方。</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 施工中未经甲方同意或有关部门批准，不得随意拆改或损坏原建筑物结构及各种设备管线。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5.8 工程竣工未移交甲方之前，负责对现场的一切设施和工程成品进行保护，并承担风险和费用。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5.10 未经甲方书面同意，乙方不得将其承包工程全部或部分转包给他人或者肢解以后以分包的名义分别转包给他人。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六、工期</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6.1 乙方非因甲方原因不能按期开工、竣工或中途无故停工、窝工影响工期的，工期不顺延，且乙方须向甲方承担工期延误的违约责任。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6.2 因涉及甲方要求的设计或工程量变更，或非乙方原因造成停电、停水、停气并导致停工【</w:t>
      </w:r>
      <w:r>
        <w:rPr>
          <w:rFonts w:ascii="仿宋" w:hAnsi="仿宋" w:eastAsia="仿宋" w:cs="仿宋"/>
          <w:color w:val="auto"/>
          <w:sz w:val="23"/>
          <w:szCs w:val="23"/>
          <w:highlight w:val="none"/>
        </w:rPr>
        <w:t>24</w:t>
      </w:r>
      <w:r>
        <w:rPr>
          <w:rFonts w:hint="eastAsia" w:ascii="仿宋" w:hAnsi="仿宋" w:eastAsia="仿宋" w:cs="仿宋"/>
          <w:color w:val="auto"/>
          <w:sz w:val="23"/>
          <w:szCs w:val="23"/>
          <w:highlight w:val="none"/>
        </w:rPr>
        <w:t>】小时以上（一周内累计计算），或受不可抗力事件（指战争、动乱、或其它非甲乙双方造成的爆炸、火灾，以及风、雨、雪、震等对工程造成损害的自然灾害或疫情）影响，工期按照甲方签证确认的日期相应顺延。</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七、工程质量及验收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7.1 乙方应按甲方要求，执行国家相关的最新技术标准，严格按照施工规范验收标准等组织施工，质量达到一次性合格要求。</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7.2 主要施工材料进场应经甲方检查，验收合格的，方能用于施工。由于乙方提供的材料、设备质量不合格而影响工程质量，其返工费用由乙方承担，工期不顺延。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7.3 隐蔽工程开始前应通知甲方到场查看，经甲方签证确认后方能继续施工。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7.5 由于乙方原因造成质量事故，其返工费用由乙方承担，工期不顺延。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7.6 工程验收合格不能免除乙方的质量保修责任，如甲方发现属于乙方施工质量问题的事项，乙方仍应免费维修，否则应承担赔偿责任。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八、材料供应</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8.2 凡由乙方采购的材料、设备，如不符合质量要求或规格有差异，应禁止使用。若已使用，对工程造成的损失由乙方负责。</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九、安全文明施工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9.1 甲方提供的施工图纸或作法说明，应符合《中华人民共和国消防法》和有关防火设计规范。</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9.3 由于乙方在施工过程中违反有关安全操作规程、消防条例，导致发生安全或火灾事故，乙方应承担由此引发的一切经济损失及相关法律责任。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10.1 乙方逾期开工、竣工或延误工期的，每逾期一天，乙方支付甲方签约合同价的【1】‰作为违约金；如延误工期达到【</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】日的，甲方有权解除本合同，并要求乙方按前述标准支付违约金；本条规定的违约金不足以弥补甲方损失的，乙方应当另行向甲方承担赔偿责任。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10.2 乙方逾期向甲方提交竣工结算资料的，每逾期一天，应向甲方支付签约合同价的【1】‰作为违约金。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10.3 因工程质量达不到本合同约定的质量标准导致合同目的无法实现的，甲方有权解除本合同，并要求乙方支付签约合同价的【10】%作为违约金。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10.4 乙方应妥善保护甲方提供的设备及现场堆放的家具、陈设和工程成品，如造成损失，应照价赔偿。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10.5 未经甲方同意，乙方擅自拆改原建筑物结构或设备管线，由此发生的损失或事故（包括行政处罚），由乙方负责并承担损失。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10.7 除本合同另有约定外，乙方违反其在本合同项下其他义务并给甲方造成损失的，须向甲方承担全部赔偿责任。本合同约定的因乙方违约而应向甲方赔偿的损失包括但不限于甲方为本合同项下事宜进行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以及因合同解除而重新进行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的费用、重新</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价格与本合同价格的差价损失、因工程延误而导致的损失以及甲方为主张和实现债权而发生的律师费、诉讼费、公证费等一切成本和支出。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十一、争议解决</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11.1本合同在履行期间，双方发生争议时，在不影响工作进度的前提下，双方可采取协商解决或请有关部门进行调解。</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11.2当事人不愿通过协商、调解解决或者协商、调解不成时，本合同在执行中发生的争议双方同意由工程所在地人民法院诉讼管辖。</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十二、不可抗力</w:t>
      </w:r>
    </w:p>
    <w:p>
      <w:pPr>
        <w:spacing w:after="240" w:afterLines="100" w:line="300" w:lineRule="auto"/>
        <w:rPr>
          <w:rFonts w:ascii="仿宋" w:hAnsi="仿宋" w:eastAsia="仿宋" w:cs="仿宋"/>
          <w:color w:val="auto"/>
          <w:sz w:val="23"/>
          <w:szCs w:val="23"/>
          <w:highlight w:val="none"/>
        </w:rPr>
      </w:pPr>
      <w:r>
        <w:rPr>
          <w:rFonts w:hint="eastAsia" w:ascii="仿宋" w:hAnsi="仿宋" w:eastAsia="仿宋" w:cs="仿宋"/>
          <w:color w:val="auto"/>
          <w:sz w:val="23"/>
          <w:szCs w:val="23"/>
          <w:highlight w:val="none"/>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12.2 不可抗力因素造成乙方的直接损失费用，甲方将根据实际情况另行协商，但属于应该预见、预防、乙方没有及时预防或预防不力造成的损失，甲方不负责补偿。</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十三、通知</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发送至甲方：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发送至乙方：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13.2 如任一方变更联系方式，应按照以上方式向另一方发出书面通知，否则上述地址仍为有效送达地址。</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13.4 上述地址适用于本合同项下相关司法文书的送达。</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十四、合同组成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 本合同文件包括：（1）本合同及附件；（2）中标通知书；（3）询标纪要；（4）招标文件；（5）投标文件。如上述文件内容不一致的，按上述顺序进行解释。</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w:t>
      </w:r>
      <w:r>
        <w:rPr>
          <w:rFonts w:hint="eastAsia" w:ascii="仿宋" w:hAnsi="仿宋" w:eastAsia="仿宋" w:cs="仿宋"/>
          <w:b/>
          <w:bCs/>
          <w:color w:val="auto"/>
          <w:sz w:val="23"/>
          <w:szCs w:val="23"/>
          <w:highlight w:val="none"/>
          <w:lang w:val="en-US" w:eastAsia="zh-CN"/>
        </w:rPr>
        <w:t>五</w:t>
      </w:r>
      <w:r>
        <w:rPr>
          <w:rFonts w:hint="eastAsia" w:ascii="仿宋" w:hAnsi="仿宋" w:eastAsia="仿宋" w:cs="仿宋"/>
          <w:b/>
          <w:bCs/>
          <w:color w:val="auto"/>
          <w:sz w:val="23"/>
          <w:szCs w:val="23"/>
          <w:highlight w:val="none"/>
        </w:rPr>
        <w:t>、合同生效及其他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.1 合同经双方法定代表人或授权代表签字（包含签章）并加盖单位公章或者合同章之日起生效。</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.2 本合同未尽事宜，双方可签订补充协议予以确定。补充协议与本合同具有同等法律效力。</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.3 本合同所订一切条款，未经双方书面确认，任何一方不得擅自变更或者修改。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.4 本合同一式【伍】份，甲方持【叁】份，乙方持【贰】份，具有同等法律效力。</w:t>
      </w:r>
    </w:p>
    <w:p>
      <w:pPr>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rPr>
        <w:t>1</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.5本合同包含以下附件，附件与本合同具有同等法律效力。</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附件1：已标价工程量清单</w:t>
      </w:r>
    </w:p>
    <w:p>
      <w:pPr>
        <w:spacing w:after="240" w:afterLines="100" w:line="300" w:lineRule="auto"/>
        <w:rPr>
          <w:rFonts w:hint="eastAsia" w:ascii="仿宋" w:hAnsi="仿宋" w:eastAsia="仿宋" w:cs="仿宋"/>
          <w:color w:val="auto"/>
          <w:sz w:val="23"/>
          <w:szCs w:val="23"/>
          <w:highlight w:val="none"/>
          <w:u w:val="single"/>
        </w:rPr>
      </w:pPr>
      <w:r>
        <w:rPr>
          <w:rFonts w:hint="eastAsia" w:ascii="仿宋" w:hAnsi="仿宋" w:eastAsia="仿宋" w:cs="仿宋"/>
          <w:color w:val="auto"/>
          <w:sz w:val="23"/>
          <w:szCs w:val="23"/>
          <w:highlight w:val="none"/>
        </w:rPr>
        <w:t>附件2：工程质量保修书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附件3：安全文明施工协议书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附件4：保密承诺书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附件5：廉政自律承诺书</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（以下无正文）</w:t>
      </w:r>
    </w:p>
    <w:p>
      <w:pPr>
        <w:pageBreakBefore/>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（本页为合同编号为【 </w:t>
      </w:r>
      <w:r>
        <w:rPr>
          <w:rFonts w:ascii="仿宋" w:hAnsi="仿宋" w:eastAsia="仿宋" w:cs="仿宋"/>
          <w:color w:val="auto"/>
          <w:sz w:val="23"/>
          <w:szCs w:val="23"/>
          <w:highlight w:val="none"/>
        </w:rPr>
        <w:t xml:space="preserve">            </w:t>
      </w:r>
      <w:r>
        <w:rPr>
          <w:rFonts w:hint="eastAsia" w:ascii="仿宋" w:hAnsi="仿宋" w:eastAsia="仿宋" w:cs="仿宋"/>
          <w:color w:val="auto"/>
          <w:sz w:val="23"/>
          <w:szCs w:val="23"/>
          <w:highlight w:val="none"/>
        </w:rPr>
        <w:t>】的建设工程施工合同的签署页）</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 </w:t>
      </w:r>
    </w:p>
    <w:tbl>
      <w:tblPr>
        <w:tblStyle w:val="13"/>
        <w:tblW w:w="8296" w:type="dxa"/>
        <w:tblInd w:w="0" w:type="dxa"/>
        <w:tblLayout w:type="fixed"/>
        <w:tblCellMar>
          <w:top w:w="0" w:type="dxa"/>
          <w:left w:w="108" w:type="dxa"/>
          <w:bottom w:w="0" w:type="dxa"/>
          <w:right w:w="108" w:type="dxa"/>
        </w:tblCellMar>
      </w:tblPr>
      <w:tblGrid>
        <w:gridCol w:w="4148"/>
        <w:gridCol w:w="4148"/>
      </w:tblGrid>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或  </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或</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r>
    </w:tbl>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pStyle w:val="1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附件1：已标价工程量清单</w:t>
      </w:r>
    </w:p>
    <w:p>
      <w:pPr>
        <w:pStyle w:val="14"/>
        <w:tabs>
          <w:tab w:val="left" w:pos="540"/>
        </w:tabs>
        <w:snapToGrid w:val="0"/>
        <w:spacing w:after="240" w:afterLines="100" w:line="300" w:lineRule="auto"/>
        <w:rPr>
          <w:rFonts w:hint="eastAsia" w:ascii="仿宋" w:hAnsi="仿宋" w:eastAsia="仿宋" w:cs="仿宋"/>
          <w:b/>
          <w:bCs/>
          <w:color w:val="auto"/>
          <w:sz w:val="23"/>
          <w:szCs w:val="23"/>
          <w:highlight w:val="none"/>
        </w:rPr>
      </w:pPr>
    </w:p>
    <w:p>
      <w:pP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br w:type="page"/>
      </w:r>
    </w:p>
    <w:p>
      <w:pPr>
        <w:pStyle w:val="1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附件2：</w:t>
      </w:r>
    </w:p>
    <w:p>
      <w:pPr>
        <w:pStyle w:val="14"/>
        <w:snapToGrid w:val="0"/>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工程质量保修书</w:t>
      </w:r>
    </w:p>
    <w:p>
      <w:pPr>
        <w:pStyle w:val="1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1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1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甲方和乙方根据《中华人民共和国建筑法》和《建设工程质量管理条例》，经协商一致就【杭州萧山国际机场T3、T4航站楼增设私密检查室项目】（工程全称）签订工程质量保修书。</w:t>
      </w:r>
    </w:p>
    <w:p>
      <w:pPr>
        <w:pStyle w:val="14"/>
        <w:tabs>
          <w:tab w:val="left" w:pos="426"/>
        </w:tabs>
        <w:snapToGrid w:val="0"/>
        <w:spacing w:beforeLines="0" w:after="313" w:afterLines="100" w:line="24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一、工程质量保修范围和内容</w:t>
      </w:r>
    </w:p>
    <w:p>
      <w:pPr>
        <w:pStyle w:val="14"/>
        <w:tabs>
          <w:tab w:val="left" w:pos="426"/>
        </w:tabs>
        <w:snapToGrid w:val="0"/>
        <w:spacing w:beforeLines="0" w:after="313" w:afterLines="100" w:line="24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二、质量保修期</w:t>
      </w:r>
    </w:p>
    <w:p>
      <w:pPr>
        <w:pStyle w:val="1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根据《建设工程质量管理条例》及有关规定，工程的质量保修期如下：</w:t>
      </w:r>
    </w:p>
    <w:p>
      <w:pPr>
        <w:pStyle w:val="14"/>
        <w:numPr>
          <w:ilvl w:val="0"/>
          <w:numId w:val="5"/>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地基基础工程和主体结构工程为设计文件规定的工程合理使用年限；</w:t>
      </w:r>
    </w:p>
    <w:p>
      <w:pPr>
        <w:pStyle w:val="14"/>
        <w:numPr>
          <w:ilvl w:val="0"/>
          <w:numId w:val="5"/>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屋面防水工程、有防水要求的卫生间、房间和外墙面的防渗为    5    年；</w:t>
      </w:r>
    </w:p>
    <w:p>
      <w:pPr>
        <w:pStyle w:val="14"/>
        <w:numPr>
          <w:ilvl w:val="0"/>
          <w:numId w:val="5"/>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装修工程为     2    年；</w:t>
      </w:r>
    </w:p>
    <w:p>
      <w:pPr>
        <w:pStyle w:val="14"/>
        <w:numPr>
          <w:ilvl w:val="0"/>
          <w:numId w:val="5"/>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电气管线、给排水管道、设备安装工程为     2    年；</w:t>
      </w:r>
    </w:p>
    <w:p>
      <w:pPr>
        <w:pStyle w:val="14"/>
        <w:numPr>
          <w:ilvl w:val="0"/>
          <w:numId w:val="5"/>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供热与供冷系统为     2   个采暖期、供冷期；</w:t>
      </w:r>
    </w:p>
    <w:p>
      <w:pPr>
        <w:pStyle w:val="14"/>
        <w:numPr>
          <w:ilvl w:val="0"/>
          <w:numId w:val="5"/>
        </w:numPr>
        <w:tabs>
          <w:tab w:val="left" w:pos="426"/>
        </w:tabs>
        <w:snapToGrid w:val="0"/>
        <w:spacing w:before="100" w:beforeAutospacing="1" w:after="100" w:afterLines="100" w:afterAutospacing="1" w:line="300" w:lineRule="auto"/>
        <w:ind w:firstLine="460" w:firstLineChars="200"/>
        <w:rPr>
          <w:rFonts w:ascii="仿宋" w:hAnsi="仿宋" w:eastAsia="仿宋" w:cs="仿宋"/>
          <w:color w:val="auto"/>
          <w:kern w:val="2"/>
          <w:sz w:val="23"/>
          <w:szCs w:val="23"/>
          <w:highlight w:val="none"/>
        </w:rPr>
      </w:pPr>
      <w:r>
        <w:rPr>
          <w:rFonts w:hint="eastAsia" w:ascii="仿宋" w:hAnsi="仿宋" w:eastAsia="仿宋" w:cs="仿宋"/>
          <w:color w:val="auto"/>
          <w:sz w:val="23"/>
          <w:szCs w:val="23"/>
          <w:highlight w:val="none"/>
        </w:rPr>
        <w:t>住宅小区内的给排水设施、道路等配套工程为    2     年；</w:t>
      </w:r>
    </w:p>
    <w:p>
      <w:pPr>
        <w:pStyle w:val="14"/>
        <w:numPr>
          <w:ilvl w:val="0"/>
          <w:numId w:val="5"/>
        </w:numPr>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其他项目保修期限约定如下：【本工程保修期为</w:t>
      </w:r>
      <w:r>
        <w:rPr>
          <w:rFonts w:hint="eastAsia" w:ascii="仿宋" w:hAnsi="仿宋" w:eastAsia="仿宋" w:cs="仿宋"/>
          <w:color w:val="auto"/>
          <w:sz w:val="23"/>
          <w:szCs w:val="23"/>
          <w:highlight w:val="none"/>
          <w:lang w:val="en-US" w:eastAsia="zh-CN"/>
        </w:rPr>
        <w:t>2</w:t>
      </w:r>
      <w:r>
        <w:rPr>
          <w:rFonts w:hint="eastAsia" w:ascii="仿宋" w:hAnsi="仿宋" w:eastAsia="仿宋" w:cs="仿宋"/>
          <w:color w:val="auto"/>
          <w:sz w:val="23"/>
          <w:szCs w:val="23"/>
          <w:highlight w:val="none"/>
        </w:rPr>
        <w:t>年】</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质量保修期自工程竣工验收合格之日起计算。</w:t>
      </w:r>
    </w:p>
    <w:p>
      <w:pPr>
        <w:pStyle w:val="14"/>
        <w:numPr>
          <w:ilvl w:val="0"/>
          <w:numId w:val="4"/>
        </w:numPr>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缺陷责任期</w:t>
      </w:r>
    </w:p>
    <w:p>
      <w:pPr>
        <w:pStyle w:val="1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工程缺陷责任期为</w:t>
      </w:r>
      <w:r>
        <w:rPr>
          <w:rFonts w:hint="eastAsia" w:ascii="仿宋" w:hAnsi="仿宋" w:eastAsia="仿宋" w:cs="仿宋"/>
          <w:color w:val="auto"/>
          <w:sz w:val="23"/>
          <w:szCs w:val="23"/>
          <w:highlight w:val="none"/>
          <w:lang w:val="en-US" w:eastAsia="zh-CN"/>
        </w:rPr>
        <w:t>24</w:t>
      </w:r>
      <w:r>
        <w:rPr>
          <w:rFonts w:hint="eastAsia" w:ascii="仿宋" w:hAnsi="仿宋" w:eastAsia="仿宋" w:cs="仿宋"/>
          <w:color w:val="auto"/>
          <w:sz w:val="23"/>
          <w:szCs w:val="23"/>
          <w:highlight w:val="none"/>
        </w:rPr>
        <w:t>个月，缺陷责任期自工程竣工验收合格之日起计算。单位工程先于全部工程进行验收，单位工程缺陷责任期自单位工程验收合格之日起算。</w:t>
      </w:r>
    </w:p>
    <w:p>
      <w:pPr>
        <w:pStyle w:val="1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缺陷责任期届满后，经甲方确认核实，乙方不存在违约情形以及质量保修不存在问题后15天内无息支付质量保证金。</w:t>
      </w:r>
    </w:p>
    <w:p>
      <w:pPr>
        <w:pStyle w:val="1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四、质量保修责任</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2．发生紧急事故需抢修的，乙方在接到事故通知后，应当立即到达事故现场进行持续抢修直至修复。</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4．质量保修完成后，由甲方组织验收。验收不合格的，甲方有权自行委托第三方修理，全部费用由乙方承担，由甲方与第三方确认后直接从质量保证金中扣除。</w:t>
      </w:r>
    </w:p>
    <w:p>
      <w:pPr>
        <w:pStyle w:val="1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五、保修费用</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保修费用由造成质量缺陷的责任方承担；对责任方的确定产生疑问或争议的，依甲方委托的鉴定机构所出具的独立报告来确定。</w:t>
      </w:r>
    </w:p>
    <w:p>
      <w:pPr>
        <w:pStyle w:val="1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六、双方约定的其他工程质量保修事项： </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1．在乙方人员到达之前，甲方可采取适当的应急措施，费用由乙方承担。</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a．紧急抢修事故时，为避免损失进一步扩大；</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b．直接影响到工程正常运行或危害人身财产及财产安全时；</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4．因工程质量问题发生工程维修费用或对第三人赔偿损失的，甲方通知乙方应承担的费用或损失金额，乙方应于收到通知后7日内支付甲方出具的通知书中确定的金额。</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4"/>
        <w:tabs>
          <w:tab w:val="left" w:pos="426"/>
        </w:tabs>
        <w:snapToGrid w:val="0"/>
        <w:spacing w:after="240" w:afterLines="100" w:line="300" w:lineRule="auto"/>
        <w:ind w:firstLine="440"/>
        <w:jc w:val="lef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6．工程质量保修书由甲方、乙方在工程竣工验收前共同盖章，作为本施工合同附件，其有效期限至质保期届满且甲方书面确认乙方完成全部保修工作止。</w:t>
      </w:r>
    </w:p>
    <w:p>
      <w:pPr>
        <w:pStyle w:val="14"/>
        <w:snapToGrid w:val="0"/>
        <w:spacing w:after="240" w:afterLines="100" w:line="300" w:lineRule="auto"/>
        <w:rPr>
          <w:rFonts w:hint="eastAsia" w:ascii="仿宋" w:hAnsi="仿宋" w:eastAsia="仿宋" w:cs="仿宋"/>
          <w:color w:val="auto"/>
          <w:sz w:val="23"/>
          <w:szCs w:val="23"/>
          <w:highlight w:val="none"/>
        </w:rPr>
      </w:pPr>
    </w:p>
    <w:p>
      <w:pPr>
        <w:pStyle w:val="14"/>
        <w:snapToGrid w:val="0"/>
        <w:spacing w:after="240" w:afterLines="100" w:line="300" w:lineRule="auto"/>
        <w:rPr>
          <w:rFonts w:hint="eastAsia" w:ascii="仿宋" w:hAnsi="仿宋" w:eastAsia="仿宋" w:cs="仿宋"/>
          <w:color w:val="auto"/>
          <w:sz w:val="23"/>
          <w:szCs w:val="23"/>
          <w:highlight w:val="none"/>
        </w:rPr>
      </w:pPr>
    </w:p>
    <w:p>
      <w:pPr>
        <w:pStyle w:val="14"/>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甲方(公章)：                     乙方(公章)：           </w:t>
      </w:r>
    </w:p>
    <w:p>
      <w:pPr>
        <w:spacing w:after="240" w:afterLines="100" w:line="300" w:lineRule="auto"/>
        <w:jc w:val="left"/>
        <w:rPr>
          <w:rFonts w:hint="eastAsia" w:ascii="仿宋" w:hAnsi="仿宋" w:eastAsia="仿宋" w:cs="仿宋"/>
          <w:color w:val="auto"/>
          <w:sz w:val="23"/>
          <w:szCs w:val="23"/>
          <w:highlight w:val="none"/>
        </w:rPr>
      </w:pPr>
    </w:p>
    <w:p>
      <w:pPr>
        <w:spacing w:after="240" w:afterLines="100" w:line="300" w:lineRule="auto"/>
        <w:jc w:val="left"/>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spacing w:after="240" w:afterLines="100" w:line="300" w:lineRule="auto"/>
        <w:jc w:val="left"/>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附件3： </w:t>
      </w:r>
      <w:bookmarkStart w:id="13" w:name="_Hlk534811958"/>
    </w:p>
    <w:p>
      <w:pPr>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安全文明施工协议书</w:t>
      </w:r>
      <w:bookmarkEnd w:id="13"/>
    </w:p>
    <w:p>
      <w:pPr>
        <w:pStyle w:val="1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1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为了保护公民人身和国家财产安全，保障机场安全、有序运行和工程施工安全，保持良好的施工、生活秩序和饮食、环境卫生，维护双方的合法利益，明确双方责任，确保杭州萧山国际机场T3、T4航站楼增设私密检查室项目工程建设的顺利进行。根据国家现行的有关法律、法规和安全生产规范、规程及标准，经双方协商，签订本《安全文明施工协议书》。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一、甲方对乙方实行安全目标管理，安全目标的具体内容是：</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1、无责任死亡事故和群伤事件。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2、无重大经济责任事故。</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3、无空防安全事故。</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4、无影响机场运行的不安全事件。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5、无七类重大刑事案件（杀人、绑架、强奸、放火、爆炸、劫持、故意伤害致死）及其它严重、恶性案件。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6、无因未足额、及时发放工资发生劳资纠纷。</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7、无集体食物中毒事件。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8、无计划外生育。</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9、无因上述原因引发无序维权事件。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上述情况的认定按国家和行业的有关规定和标准执行。</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二、甲方的权利和义务</w:t>
      </w:r>
    </w:p>
    <w:p>
      <w:pPr>
        <w:pStyle w:val="1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11、甲方联系和协调机场公安机关，督促施工单位按有关规定申报暂住登记和申领《居住证》，并协助乙方联系机场公安局商定有关工地安全保卫事宜。</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12、甲方利用施工例会等定期分析和掌握工程的治安情况，通报当前治安形势，交流工作经验，协助处理相关问题。</w:t>
      </w:r>
    </w:p>
    <w:p>
      <w:pPr>
        <w:pStyle w:val="1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13、乙方未按要求配备安全设施、设备、器材，未在限定期限内整改的，甲方有权直接购置并配足，另增加20%的管理费，费用由乙方承担。</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16、甲方对乙方的临时设施（包括临时宿舍）进行统一规划和监管，完成后临时设施场地应按甲方要求恢复原状。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19、甲方应按合同约定如期支付乙方工程款。</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三、乙方的安全、文明权利和义务</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（一）安全文明施工管理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20、落实施工安全责任，所涉工程依法实行总分包制的，总包单位应对施工安全负总责，以安全责任书的方式确定各分包单位的安全责任，乙方应层层签订安全责任书。</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21、乙方应开展风险管理，结合风险评估结果有针对性地制定和落实施工安全技术措施。</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22.1 基坑与降水工程；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22.2 土方开挖工程；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22.3 模板工程；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22.4 起重吊装工程；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22.5 脚手架工程；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22.6 焊接、切割、爆破、拆除作业工程；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22.7国务院建设行政主管部门或其它有关部门规定的其它危险性较大的工程。</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23、乙方不得在机场和机场净空保护区范围内施放烟花、爆竹、气球等升空物体；建筑生活垃圾定点集中堆放，及时清运，不得随意焚烧垃圾等物品制造烟雾；不得饲养动物；不得随意丢弃飘浮物。</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24、乙方必须按照甲方的规划要求搭设临时设施，并经甲方验收合格方准使用。但甲方的验收并不免除乙方对其搭设的临时设施的安全承担全部责任。</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26、乙方应做好装修施工阶段成品保护工作，按照“谁主管、谁负责；谁使用、谁负责；谁管理、谁负责”的原则，制定成品保护管理办法，层层签订成品保护责任书，真正落实成品保护现场管理的各项措施。</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27、为保障民工合法权益，乙方还应承担以下义务：</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27.5乙方支付下属劳务单位（或施工班组）进度款之前，有义务查阅下属劳务单位（或施工班组）前期民工工资足额发放的书面材料。</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27.6乙方应制定相关约束性制度，落实措施，预防、杜绝下属劳务单位（或施工班组）无序维权事件发生。</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27.7若民工或下属劳务单位（或施工班组）维权，乙方应负相应举证义务。</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27.8一旦发生民工无序维权，乙方主要领导应当及时到场，督促下属劳务单位（或施工班组）负责人劝离民工，并积极配合甲方相关部门协调处置。</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甲方对乙方的上述工作有随时监督检查的权利，乙方应积极配合甲方的检查。</w:t>
      </w:r>
    </w:p>
    <w:p>
      <w:pPr>
        <w:pStyle w:val="1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（二）空防安全管理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30、进入机场控制区施工的人员和车辆需由甲方派员负责引领并主动接受机场管理人员的安全检查，服从机场相关职能部门的监管，无通行证者一律不得进入。</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（三）不停航施工安全管理（仅指进入控制区从事不停航施工项目）</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33.3施工机具须停放在指定安全区域内。机场开放运行期间，必须严格控制施工机械的活动范围，杜绝出现机具、车辆侵入飞行活动区或超越机场净空限制面等情况。</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（四）社会治安管理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35、进出口大门应设立门卫，人员和车辆凭甲方制发的施工通行证进出，并接受甲方安保人员或机场公安管理人员查验。</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36、做好内部的治安防范工作，对重要部位和物资、设备，要落实人防、物防和技防的措施，积极配合公安机关组织的治安联防活动。</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37、加强对施工人员的遵纪守法教育，预防“黄、毒、赌”、斗殴、偷窃等违法违纪行为的发生，主动接受甲方和机场公安机关的指导、检查、监督、考核。</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38、认真排查、调处各类矛盾，及时消除不稳定因素，杜绝各类社会矛盾引发的群体性事件的发生。</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40、员工宿舍必须定人定位，不得男女混住，不准留宿身份不明的人员，留客住宿必须经项目部负责人同意，并登记备查，保证生产、生活区的安全。    </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41、加强对施工人员的管理，外来人员拟居住30天以下的，应及时到机场公安机关申报暂住登记；拟居住30天以上的年满16周岁人员， 应在10天内到机场公安机关申领《居住证》。</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42、负责工程建设期间施工队伍中的计划生育工作，做好孕情监测，确保无计划外生育的情况发生。</w:t>
      </w:r>
    </w:p>
    <w:p>
      <w:pPr>
        <w:pStyle w:val="1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（五）消防安全管理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43、遵守国家消防法律法规，建立和健全消防管理规章制度，明确消防安全责任人，健全消防安全网络（配备专职或兼职消防员），建立消防应急队伍，并报甲方和机场公安局消防部门备案。</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制定用火、用电、使用易燃易爆及危险化学物品等各项消防安全操作规程，设置消防通道、消防水源、配备必须的消防设备和灭火器材，并在重点场所重点部位设置消防警示标志。</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45、施工中使用明火，使用电、气进行焊接和切割作业，须经机场公安消防管理部门审查批准，并在施工现场设置专门的防火监护人、接火盆、配足有效的灭火器材、清理附近的可燃物等。</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46、对施工人员进行消防安全教育，使其熟悉本岗位防火措施、遇险报警、初期扑救及自救逃生的知识和技能。</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47、自行搭建临时用房应符合防火设计规范，建立、健全员工宿舍消防安全管理规章制度，加强员工宿舍消防安全、用电安全管理，严禁不按规定用火和私拉乱接电线、严禁使用大功率电器。</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（六）交通安全管理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48、加强对下属员工、驾驶人员、承运单位的道路交通安全法律法规宣传教育，车辆进出机场和施工场地均应服从交警及其他交通管理人员的指挥和管理。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50、确保各类运输车辆技术状况良好，不得使用假牌、假证、无号牌、无行驶证、无保险和带故障、检验不合格的运输车辆。</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51、所有运输车辆均应办理施工通行证并按指定路线和限定速度行驶，不得违反车辆装载规定，严禁沿路抛洒装载物。进入控制区施工车辆应安装并开启黄色警示灯。</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52、在施工现场内及进、出口处设置必要的交通标志，预防交通事故的发生。</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53、占用、挖掘道路，跨越道路架设、铺设管线以及大型机械进出机场须提前与甲方协商，征得甲方和机场公安局交警队同意，并采取防护措施和设置明显警示标志方可实施。</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四、违约责任</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4"/>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4"/>
        <w:adjustRightInd w:val="0"/>
        <w:snapToGrid w:val="0"/>
        <w:spacing w:after="240" w:afterLines="100" w:line="300" w:lineRule="auto"/>
        <w:ind w:firstLine="575" w:firstLineChars="2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五、本协议书附于《</w:t>
      </w:r>
      <w:r>
        <w:rPr>
          <w:rFonts w:hint="eastAsia" w:ascii="仿宋" w:hAnsi="仿宋" w:eastAsia="仿宋" w:cs="仿宋"/>
          <w:color w:val="auto"/>
          <w:sz w:val="23"/>
          <w:szCs w:val="23"/>
          <w:highlight w:val="none"/>
          <w:u w:val="single"/>
          <w:lang w:val="en-US" w:eastAsia="zh-CN"/>
        </w:rPr>
        <w:t>杭州萧山国际机场T3、T4航站楼增设私密检查室项目</w:t>
      </w:r>
      <w:r>
        <w:rPr>
          <w:rFonts w:hint="eastAsia" w:ascii="仿宋" w:hAnsi="仿宋" w:eastAsia="仿宋" w:cs="仿宋"/>
          <w:color w:val="auto"/>
          <w:sz w:val="23"/>
          <w:szCs w:val="23"/>
          <w:highlight w:val="none"/>
        </w:rPr>
        <w:t>施工合同》后，本协议书自甲方、乙方共同盖章后生效。</w:t>
      </w: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pStyle w:val="1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甲方（盖章）：                 乙方（盖章）：</w:t>
      </w:r>
    </w:p>
    <w:p>
      <w:pPr>
        <w:spacing w:before="240" w:beforeLines="100" w:line="300" w:lineRule="auto"/>
        <w:rPr>
          <w:rFonts w:hint="eastAsia" w:ascii="仿宋" w:hAnsi="仿宋" w:eastAsia="仿宋" w:cs="仿宋"/>
          <w:color w:val="auto"/>
          <w:sz w:val="23"/>
          <w:szCs w:val="23"/>
          <w:highlight w:val="none"/>
        </w:rPr>
      </w:pPr>
    </w:p>
    <w:p>
      <w:pPr>
        <w:pageBreakBefore/>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附件3附件</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p>
      <w:pPr>
        <w:adjustRightInd w:val="0"/>
        <w:snapToGrid w:val="0"/>
        <w:spacing w:line="3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杭州萧山国际机场基建项目安全文明施工考核办法</w:t>
      </w:r>
    </w:p>
    <w:p>
      <w:pPr>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一、考核原则</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（四）考核与经济利益直接挂钩原则。以《安全文明施工工作联系单》确认的奖惩数额为准。</w:t>
      </w:r>
    </w:p>
    <w:p>
      <w:pPr>
        <w:widowControl/>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二、适用范围</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本考核办法适用于参与杭州萧山国际机场基本建设的各施工单位。与总包单位签订分包合同的分包单位纳入对总包单位的考核，不作为被考核主体。</w:t>
      </w:r>
    </w:p>
    <w:p>
      <w:pPr>
        <w:widowControl/>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三、考核程序</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（四）考核最终汇总兑现。各施工项目部工程结束后由动力部计算出累计收取违约金总数，从工程履约保证金</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若有</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中扣除，但不得超过工程履约保证金</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若有</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的20%，若超出</w:t>
      </w:r>
      <w:r>
        <w:rPr>
          <w:rFonts w:hint="eastAsia" w:ascii="仿宋_GB2312" w:hAnsi="仿宋_GB2312" w:eastAsia="仿宋_GB2312" w:cs="仿宋_GB2312"/>
          <w:color w:val="auto"/>
          <w:sz w:val="22"/>
          <w:szCs w:val="22"/>
          <w:highlight w:val="none"/>
          <w:lang w:val="en-US" w:eastAsia="zh-CN"/>
        </w:rPr>
        <w:t>或无履约保证金</w:t>
      </w:r>
      <w:r>
        <w:rPr>
          <w:rFonts w:hint="eastAsia" w:ascii="仿宋_GB2312" w:hAnsi="仿宋_GB2312" w:eastAsia="仿宋_GB2312" w:cs="仿宋_GB2312"/>
          <w:color w:val="auto"/>
          <w:sz w:val="22"/>
          <w:szCs w:val="22"/>
          <w:highlight w:val="none"/>
        </w:rPr>
        <w:t>则直接从工程进度款中扣除。</w:t>
      </w:r>
    </w:p>
    <w:p>
      <w:pPr>
        <w:widowControl/>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四、其它</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（三）施工项目部收到《安全文明施工工作联系单》后，在指定期限内仍未整改到位，加倍收取违约金直至整改到位为止。</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br w:type="page"/>
      </w:r>
      <w:r>
        <w:rPr>
          <w:rFonts w:hint="eastAsia" w:ascii="仿宋_GB2312" w:hAnsi="仿宋_GB2312" w:eastAsia="仿宋_GB2312" w:cs="仿宋_GB2312"/>
          <w:color w:val="auto"/>
          <w:sz w:val="22"/>
          <w:szCs w:val="22"/>
          <w:highlight w:val="none"/>
        </w:rPr>
        <w:t>基建项目安全文明施工违约金标准</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tbl>
      <w:tblPr>
        <w:tblStyle w:val="13"/>
        <w:tblW w:w="9825" w:type="dxa"/>
        <w:jc w:val="center"/>
        <w:tblInd w:w="0" w:type="dxa"/>
        <w:tblLayout w:type="fixed"/>
        <w:tblCellMar>
          <w:top w:w="0" w:type="dxa"/>
          <w:left w:w="0" w:type="dxa"/>
          <w:bottom w:w="0" w:type="dxa"/>
          <w:right w:w="0" w:type="dxa"/>
        </w:tblCellMar>
      </w:tblPr>
      <w:tblGrid>
        <w:gridCol w:w="1007"/>
        <w:gridCol w:w="6658"/>
        <w:gridCol w:w="720"/>
        <w:gridCol w:w="1440"/>
      </w:tblGrid>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序列号</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内       容</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扣分标准</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不停航施工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未按照杭州国际机场不停航施工组织方案、安全保障措施进行施工作业影响机场正常运行或造成不安全事件的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无故不参加各类不停航施工例会、专题会议的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未对施工人员进行空防安全和运行安全教育培训或教育培训无台帐记录的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100元/人</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施工进场前未对施工人员进行安全教育或交底的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管理人员擅离岗位、未实施全程监管或未有效履行安全管理职责的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现场不服从机场或动力部现场管理人员指挥、管理的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未按规定设置或撤除关闭标志、警戒围栏、警示灯具的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施工人员、车辆、机具擅自侵入飞行活动区或超出净空限制面高度的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施工人员攀爬、翻越、跨越隔离围栏及其他安全防护设施或向控制区内传递物品等，尚未影响机场正常运行的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施工人员、车辆、机具擅自超越指定施工活动范围或机具不按指定区域停放的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距控制区围界5米内堆放材料、设备或停放车辆、机具，造成空防安全隐患的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不按要求作业，挖破或挖断地下管线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未按规定对材料、临时堆放物、施工垃圾采取防风、防尾流吹散措施的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施工现场随意丢弃生活垃圾及易漂浮物的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200元/件</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未做到工完场清，沿线道面、施工现场遗留工具、材料、垃圾未及时清理清扫的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进入控制区施工的车辆存在灯光、转向、制动等机械故障和尾部无放大号的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100元/辆、次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在控制区内行驶车辆未安装或未开启黄色警示灯的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50元/处次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控制区车辆驾驶员在控制区内有违章驾驶行为的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无应急处置预案和机制，发生紧急情况未能及时有效处置，影响机场正常运行的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发生其它违反《民用机场运行安全管理规定》（191号令）和杭州萧山国际机场安全运行管理规定行为的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视情收取违约金</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空防安全</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进入控制区的人员不服从机场管理人员的管理、检查的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100元/人、次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把关不严，提供虚假证明、证件或其它相关资料申办控制区人员通行证的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提供虚假车辆、设备证件、检验记录和保险凭证申办《车辆通行证》的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200元/辆、次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车辆证件、检验记录和保险凭证过期失效未补办后续手续，仍进入控制区施工作业的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50元/辆、次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未建立控制区通行证统一保管制度，无控制区通行证管理台帐或台帐记录不全的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发生无证施工人员进入控制区的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50元/人次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发生施工人员转借、涂改、冒用他人通行证的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1000元/人次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人员、车辆通行证保管不善，造成丢失；或通行证遗失不及时上报的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500元/张、次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人员调离、辞退、开除，车辆重新调配，或通行证到期，证件未在规定时限内交回注销的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200元/张、次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施工队伍中有违法、犯罪人员，隐瞒不报的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2000元/人次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毗邻控制区施工，未安装沿围界监控探头或监控探头存有盲区（段），监控无专人值守或值守人员离岗脱岗的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视情收取违约金</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毗邻控制区施工，沿围界未设置专门看护的固定和巡逻保安岗位、保安人员擅离岗位或保安人员未履职管理的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1000元/人、次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在机场区域内燃放烟花、爆竹，或施放气球、风筝等升空物体的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在机场区域内饲养猫、狗、鸡、鸭等牲畜、动物的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其它违反民用航空安全、法律、法规和机场空防安全管理规定的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视情收取违约金</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安全生产</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安全生产管理体制</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安全管理制度不健全，项目经理、项目技术负责人等各类管理人员（包括安全员、资料员、质控员）未按相关规定要求到位的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安全制度执行不力，无考核机制或考核制度执行不严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安全责任制未建立</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安全责任制不健全，未层层签订至班组或岗位的各级安全责任书</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1000元/项</w:t>
            </w:r>
          </w:p>
        </w:tc>
      </w:tr>
      <w:tr>
        <w:tblPrEx>
          <w:tblLayout w:type="fixed"/>
          <w:tblCellMar>
            <w:top w:w="0" w:type="dxa"/>
            <w:left w:w="0" w:type="dxa"/>
            <w:bottom w:w="0" w:type="dxa"/>
            <w:right w:w="0" w:type="dxa"/>
          </w:tblCellMar>
        </w:tblPrEx>
        <w:trPr>
          <w:trHeight w:val="28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各级各部门未执行责任制的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经济承包中无安全生产、文明施工目标管理或目标管理不落实</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1000元/项</w:t>
            </w:r>
          </w:p>
        </w:tc>
      </w:tr>
      <w:tr>
        <w:tblPrEx>
          <w:tblLayout w:type="fixed"/>
          <w:tblCellMar>
            <w:top w:w="0" w:type="dxa"/>
            <w:left w:w="0" w:type="dxa"/>
            <w:bottom w:w="0" w:type="dxa"/>
            <w:right w:w="0" w:type="dxa"/>
          </w:tblCellMar>
        </w:tblPrEx>
        <w:trPr>
          <w:trHeight w:val="25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3.1.7</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未制定各工种安全技术操作规程的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专（兼）职安全员不按规定如数到位的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500元/人</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单位内部安全网络未建立或不健全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300元/次</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拒绝或拖延加入基建安全网络</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无故不参加动力部组织的各种安全会议、网络活动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不按规定开展各级、各类安全教育培训，未按规定设置民工学校</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对施工人员无安全教育或安全教育无针对性</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无日常安全检查、定期安全检查、专项安全检查记录或记录不全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100元/次</w:t>
            </w:r>
          </w:p>
        </w:tc>
      </w:tr>
      <w:tr>
        <w:tblPrEx>
          <w:tblLayout w:type="fixed"/>
          <w:tblCellMar>
            <w:top w:w="0" w:type="dxa"/>
            <w:left w:w="0" w:type="dxa"/>
            <w:bottom w:w="0" w:type="dxa"/>
            <w:right w:w="0" w:type="dxa"/>
          </w:tblCellMar>
        </w:tblPrEx>
        <w:trPr>
          <w:trHeight w:val="22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无安全管理台账或安全管理台账缺失不全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2000元/次</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对查出的隐患整改做不到定人、定时间、定措施进行整改落实的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trHeight w:val="186"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3.1.17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对隐患整改通知书所列项目未如期整改完成的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1000元/张</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施工组织</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无施工组织设计或施工组织设计未经审批的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10000元/次</w:t>
            </w:r>
          </w:p>
        </w:tc>
      </w:tr>
      <w:tr>
        <w:tblPrEx>
          <w:tblLayout w:type="fixed"/>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施工组织设计中无安全措施或安全措施不全面、无针对性</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专业性较强、危险性较大的项目，未单独编制专项安全施工组织设计、未制定专项施工方案或未经过专家论证的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10000元/次</w:t>
            </w:r>
          </w:p>
        </w:tc>
      </w:tr>
      <w:tr>
        <w:tblPrEx>
          <w:tblLayout w:type="fixed"/>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施工组织设计安全措施未落实或落实有漏项的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500元/条</w:t>
            </w:r>
          </w:p>
        </w:tc>
      </w:tr>
      <w:tr>
        <w:tblPrEx>
          <w:tblLayout w:type="fixed"/>
          <w:tblCellMar>
            <w:top w:w="0" w:type="dxa"/>
            <w:left w:w="0" w:type="dxa"/>
            <w:bottom w:w="0" w:type="dxa"/>
            <w:right w:w="0" w:type="dxa"/>
          </w:tblCellMar>
        </w:tblPrEx>
        <w:trPr>
          <w:trHeight w:val="37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不按规定进行安全技术交底，或交底不全、交底针对性不强</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3.3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现场安全设施和措施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使用国家明令淘汰、禁止使用的危及施工安全的工艺、设备、材料的。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地面开挖作业未对毗邻建筑物、构筑物和地下管线等采取专项防护措施的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19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基坑支护无方案或不按方案实施的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10000元/次</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未按规定进行基坑支护变形监测和对毗邻建筑物、重要管线、道路进行沉降观测的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5000元/次</w:t>
            </w:r>
          </w:p>
        </w:tc>
      </w:tr>
      <w:tr>
        <w:tblPrEx>
          <w:tblLayout w:type="fixed"/>
          <w:tblCellMar>
            <w:top w:w="0" w:type="dxa"/>
            <w:left w:w="0" w:type="dxa"/>
            <w:bottom w:w="0" w:type="dxa"/>
            <w:right w:w="0" w:type="dxa"/>
          </w:tblCellMar>
        </w:tblPrEx>
        <w:trPr>
          <w:trHeight w:val="257"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支护设施产生局部变形未采取措施调整的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1000元/处</w:t>
            </w:r>
          </w:p>
        </w:tc>
      </w:tr>
      <w:tr>
        <w:tblPrEx>
          <w:tblLayout w:type="fixed"/>
          <w:tblCellMar>
            <w:top w:w="0" w:type="dxa"/>
            <w:left w:w="0" w:type="dxa"/>
            <w:bottom w:w="0" w:type="dxa"/>
            <w:right w:w="0" w:type="dxa"/>
          </w:tblCellMar>
        </w:tblPrEx>
        <w:trPr>
          <w:trHeight w:val="24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基坑施工未设置有效排水措施，或深基础施工采用坑外降水，无防止临近建筑危险沉降措施的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1000元/次</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积土、料具堆放、机械设备施工距槽边距离小于设计规定，又无措施的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基坑内作业人员无必要安全防护措施和充足照明的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200元/人、处</w:t>
            </w:r>
          </w:p>
        </w:tc>
      </w:tr>
      <w:tr>
        <w:tblPrEx>
          <w:tblLayout w:type="fixed"/>
          <w:tblCellMar>
            <w:top w:w="0" w:type="dxa"/>
            <w:left w:w="0" w:type="dxa"/>
            <w:bottom w:w="0" w:type="dxa"/>
            <w:right w:w="0" w:type="dxa"/>
          </w:tblCellMar>
        </w:tblPrEx>
        <w:trPr>
          <w:trHeight w:val="24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支模架施工未按施工专项方案实施的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临边无防护措施，防护设施不规范或有空档、超过间隙的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高处作业不按规定设置防坠网或防坠网规格、材质、覆盖面积不符合要求的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各种洞（井）口、梯口、通道口无防护措施，防护措施不符合要求或不严密，未形成定型化、工具化的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电梯井不封闭，电梯井内每隔两层(不大于l0m)少一道平网的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20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通道口无防护棚，通道口防护不严或防护棚不牢固、材质不符合要求的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脚手架、升降、吊装等设施设备的拆装队伍没有取得资格证书的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500元/个</w:t>
            </w:r>
          </w:p>
        </w:tc>
      </w:tr>
      <w:tr>
        <w:tblPrEx>
          <w:tblLayout w:type="fixed"/>
          <w:tblCellMar>
            <w:top w:w="0" w:type="dxa"/>
            <w:left w:w="0" w:type="dxa"/>
            <w:bottom w:w="0" w:type="dxa"/>
            <w:right w:w="0" w:type="dxa"/>
          </w:tblCellMar>
        </w:tblPrEx>
        <w:trPr>
          <w:trHeight w:val="24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脚手架、脚手板等不按要求搭设，空隙过大或材质不符合要求的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安全密目网不牢固、不严密或材质、设置不符合要求的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脚手架超载或荷载不均匀、堆放杂物或垃圾清理不及时的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3.3.19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未设专用通道或通道设置不符合要求的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脚手架拆卸时不实行区域隔离，无专人看护等保护性安全措施的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298"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移动脚手架安全措施不到位，存在安全隐患的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卸料台搭设不符合设计要求或不按规范要求搭建的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升降、吊装作业未设警戒区、无专业人员指挥、无专人警戒或管理的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升降、吊装设备无围栏、防护门，无安全警示等安全设施的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升降、吊装设备无防坠装置或防坠装置不符合设计、规范要求的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升降、吊装设备钢丝绳绳径倍数不足、磨损、断丝超标，地锚埋没不符合设计要求</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升降、吊装设备无专人日常维护，未按规定定期检验、检查或检查无记录，检验检查出的问题不及时整改的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违章操作或违章使用升降、吊装设备，超重作业的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移动式吊装装置不符合设计、方案和规范要求，存在安全隐患的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钢丝绳、绳卡、地锚等不符合规范和安全要求,或钢丝绳锈蚀、缺油、磨损超标的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无防风、避雷装置和措施，或防风避雷装置措施不符合要求的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各类用电设施、设备、施工机具未做保护接零、无漏电保护装置的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机具、设备使用无安全防护装置或保险装置的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使用Ⅰ类手持电动工具不按规定穿戴绝缘用品的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200元/人</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施工机具无人操作时未切断电源的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电焊机无防雨罩的，焊把线接头超过3处或绝缘老化的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3.3.37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各机械作业场所无防雨棚和作业台不安全的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现场安全管理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b/>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各类操作人员无证上岗的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300元/人、次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专业性较强、危险性较大施工作业，现场无专业人员、安全管理人员旁站看护的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作业人员不服管理、违反规章制度和操作规程冒险作业的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施工人员不戴安全帽、高处作业人员不系安全带或不按要求系安全带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200元/人</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现场未按规定采取设置安全网等保障措施的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施工人员在施工现场抽烟的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50元/人</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color w:val="auto"/>
                <w:sz w:val="20"/>
                <w:szCs w:val="20"/>
                <w:highlight w:val="none"/>
              </w:rPr>
              <w:t>3</w:t>
            </w:r>
            <w:r>
              <w:rPr>
                <w:rFonts w:hint="eastAsia" w:ascii="仿宋_GB2312" w:hAnsi="仿宋_GB2312" w:eastAsia="仿宋_GB2312" w:cs="仿宋_GB2312"/>
                <w:b/>
                <w:color w:val="auto"/>
                <w:sz w:val="20"/>
                <w:szCs w:val="20"/>
                <w:highlight w:val="none"/>
              </w:rPr>
              <w:t>.5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施工用电</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trHeight w:val="24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外电小于安全距离无防护措施、防护措施不符合要求的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1000元/处</w:t>
            </w:r>
          </w:p>
        </w:tc>
      </w:tr>
      <w:tr>
        <w:tblPrEx>
          <w:tblLayout w:type="fixed"/>
          <w:tblCellMar>
            <w:top w:w="0" w:type="dxa"/>
            <w:left w:w="0" w:type="dxa"/>
            <w:bottom w:w="0" w:type="dxa"/>
            <w:right w:w="0" w:type="dxa"/>
          </w:tblCellMar>
        </w:tblPrEx>
        <w:trPr>
          <w:trHeight w:val="231"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未采用TN—S接零保护系统的、三级漏电保护系统的；专用保护零线（PE线）设置不符合要求的、或保护零线（PE线）与工作零线（N线）混接的；纯动力电未用四芯电缆的，动力带照明电未使用五芯电缆的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开关箱(末级)无漏电保护或保护器失灵、漏电保护装置参数不匹配</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违反“—机、一闸、一漏、一箱”的配置原则</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安装位置不当、周围杂物多不便操作、存在安全隐患</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电箱下引出线混乱、配电箱内多路配电无标记的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电箱无门、无锁、无防雨措施或无责任人的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300元/处</w:t>
            </w:r>
          </w:p>
        </w:tc>
      </w:tr>
      <w:tr>
        <w:tblPrEx>
          <w:tblLayout w:type="fixed"/>
          <w:tblCellMar>
            <w:top w:w="0" w:type="dxa"/>
            <w:left w:w="0" w:type="dxa"/>
            <w:bottom w:w="0" w:type="dxa"/>
            <w:right w:w="0" w:type="dxa"/>
          </w:tblCellMar>
        </w:tblPrEx>
        <w:trPr>
          <w:trHeight w:val="28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室内线路及灯具安全高度低于2.4m未使用安全电压供电的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潮湿作业环境中未使用36v以下安全电压照明灯具的、手持照明灯未使用36v及以下电源供电</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258"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3.5.10</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电线老化、破皮、未按规范包扎的、电线私拉乱接、无过路保护的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35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3.5.11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电杆、横担、架空线路不符合施工规范要求</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67"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3.5.12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无用电管理档案、无接地极阻值摇测记录、电工巡视维修记录或填写不真实的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trHeight w:val="312"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消防安全与危险品管理</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未制定消防安全管理规章制度或规章制度不健全的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未制定各工种用火、用电、使用易燃材料等各项消防安全操作规程的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4.3</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未健全消防安全网络（配备专职或兼职消防员），并报备的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无专（兼）职义务消防队，或消防队员未掌握基本消防知识和操作技能的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未制定灭火和应急疏散预案并开展消防应急演练的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未组织开展各类防火检查，并及时采取措施整改发现的隐患、问题的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对重大消防安全隐患未能及时整改、处理的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4.8</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未建立消防安全管理台帐或台帐缺失的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未组织开展消防安全知识教育培训，施工人员不了解本岗位防火措施、遇险报警、初期扑救及自救逃生的知识和技能的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施工现场未设置必要足够安全疏散指示标志、防火禁烟标志机场火警电话的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重点消防部位无人看护或巡视、无消防警示标志牌，值守巡视人员脱岗或不履行职责的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300元/处</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易燃、易爆物品不按规定进行分类存放或管理不善、无人看护、管理的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未设或侵占疏散通道、安全出口、消防通道，或通道出口不畅通、应急照明不符合规定的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工地现场未设置消火水源（消火栓）或消火水源不齐全、不合理，不能满足消防要求的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trHeight w:val="30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工地现场灭火器、灭火砂、水桶、铁锹等消防设施、器材配置不全、不足、失效，或被遮挡影响使用，或被挪作他用的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灭火器材无专人维护、保养、检查和登记管理的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违章关闭消防设施、切断电源或挪用消防灭火器材的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动火作业未经机场公安消防管理部门审查批准的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施工现场未及时清理地面可燃物，动火作业未清理地面可燃物的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动火作业无接火盆、现场无看火人、灭火器材配备不足、过期、失效的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动火作业火花隔层溅落未采取有效安全措施的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气瓶无标准色标，无防震圈和防护帽的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气瓶横放或气瓶间距小于5米、距明火小于10米又无隔离措施的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乙炔瓶使用或存放时平放或不按规定存放的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发生其它违反国家消防法律法规，消防安全管理规章制度现象的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视情收取违约金</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文明施工</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未编制安全文明施工专项方案</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1000-5000元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未按照规定进行安全文明施工检查并作书面记录</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500-5000元</w:t>
            </w:r>
          </w:p>
        </w:tc>
      </w:tr>
      <w:tr>
        <w:tblPrEx>
          <w:tblLayout w:type="fixed"/>
          <w:tblCellMar>
            <w:top w:w="0" w:type="dxa"/>
            <w:left w:w="0" w:type="dxa"/>
            <w:bottom w:w="0" w:type="dxa"/>
            <w:right w:w="0" w:type="dxa"/>
          </w:tblCellMar>
        </w:tblPrEx>
        <w:trPr>
          <w:trHeight w:val="37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未按照规定设置施工告示牌、公示牌</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设置临时通道不符合要求</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5000-30000元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未设置门卫值班室的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1000-5000元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未按照规定设置围挡的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未按照规定对施工现场进行硬化处理、设置通道或者未按照规定设置泥浆沉淀池的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5000-30000元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5.8</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未按照规定堆放建筑材料或者废弃物的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1000-5000元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设置的脚手架、安全网不符合规定要求的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未按照规定采取防止扬尘措施的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未采取有效的遮蔽措施的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500-5000元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施工作业中挖损管线的；若再次发生，加倍收取违约金</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1000-5000元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在施工现场焚烧建筑垃圾、生活垃圾以及其他产生有毒有害气体的物质，使用污染严重的燃料或者未按照规定使用农药、化肥的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200-2000元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未按照规定设置办公、生活用房的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未按照规定设置食堂或者制定现场食物中毒应急预案的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未在施工现场设置饮用水设施、设置吸烟区不符合规定或者未按照规定设置厕所的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监理单位未履行安全文明施工监理职责的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2000-10000元</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b/>
                <w:color w:val="auto"/>
                <w:sz w:val="20"/>
                <w:szCs w:val="20"/>
                <w:highlight w:val="none"/>
              </w:rPr>
            </w:pPr>
            <w:r>
              <w:rPr>
                <w:rFonts w:hint="eastAsia" w:ascii="仿宋_GB2312" w:hAnsi="仿宋_GB2312" w:eastAsia="仿宋_GB2312" w:cs="仿宋_GB2312"/>
                <w:b/>
                <w:color w:val="auto"/>
                <w:sz w:val="20"/>
                <w:szCs w:val="20"/>
                <w:highlight w:val="none"/>
              </w:rPr>
              <w:t>临时宿舍管理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宿舍区管理制度不健全，未落实日常管理责任人</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宿舍区无专（兼）职治安、防火、卫生管理监督巡视员</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宿舍区未实行封闭管理，留宿外来人员无登记制度、存在男女混居现象的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在尚未竣工的建筑物内设置临设的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临时宿舍、设施未经验收合格投入使用的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临时宿舍、设施无抗大风（10级以上）、防雷击措施的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宿舍区消防器材配备不足或失效的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100元/次</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宿舍内未设置独立的漏电、短路保护器和足够数量的安全插座，存在私拉乱接电线现象的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trHeight w:val="304"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宿舍内（包括值班室）违规使用大功率电器的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宿舍内混杂堆放工具、用具、易燃易爆或有毒物品的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宿舍内垃圾无人清扫，生活用品放置零乱的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100元/处</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无卫生防病宣传教育,或无保健医药箱、急救器材、急救措施和经培训的急救人员的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食堂卫生管理制度不全，管理不善，设施不全，卫生不符合要求，未按要求设置足够数量开水炉、电热水器或饮用水保温桶等基本生活设施的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宿舍区未提供为作业人员晾晒衣物的场地和设施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50元/项</w:t>
            </w:r>
          </w:p>
        </w:tc>
      </w:tr>
      <w:tr>
        <w:tblPrEx>
          <w:tblLayout w:type="fixed"/>
          <w:tblCellMar>
            <w:top w:w="0" w:type="dxa"/>
            <w:left w:w="0" w:type="dxa"/>
            <w:bottom w:w="0" w:type="dxa"/>
            <w:right w:w="0" w:type="dxa"/>
          </w:tblCellMar>
        </w:tblPrEx>
        <w:trPr>
          <w:trHeight w:val="33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宿舍区未设置水冲式厕所和符合要求淋浴室的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100元/项</w:t>
            </w:r>
          </w:p>
        </w:tc>
      </w:tr>
      <w:tr>
        <w:tblPrEx>
          <w:tblLayout w:type="fixed"/>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宿舍生活区未设置施工人员学习娱乐场所的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宿舍区墙壁屋顶不严密、门窗不齐全，或通风效果差的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宿舍无保暖、防暑、防蚊虫叮咬措施的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100元/项</w:t>
            </w:r>
          </w:p>
        </w:tc>
      </w:tr>
      <w:tr>
        <w:tblPrEx>
          <w:tblLayout w:type="fixed"/>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宿舍生活区、大门口及周围毗邻区域垃圾未装容器，垃圾清扫、清运不及时、排水不畅，环境卫生不符合要求的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300元/项</w:t>
            </w:r>
          </w:p>
        </w:tc>
      </w:tr>
    </w:tbl>
    <w:p>
      <w:pPr>
        <w:adjustRightInd w:val="0"/>
        <w:snapToGrid w:val="0"/>
        <w:spacing w:line="360" w:lineRule="exact"/>
        <w:ind w:firstLine="440" w:firstLineChars="200"/>
        <w:rPr>
          <w:rFonts w:ascii="宋体" w:hAnsi="宋体" w:cs="仿宋"/>
          <w:color w:val="auto"/>
          <w:sz w:val="22"/>
          <w:szCs w:val="22"/>
          <w:highlight w:val="none"/>
        </w:rPr>
      </w:pP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安全隐患整改通知书</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基建（安）第   号</w:t>
      </w:r>
    </w:p>
    <w:tbl>
      <w:tblPr>
        <w:tblStyle w:val="13"/>
        <w:tblW w:w="9660" w:type="dxa"/>
        <w:tblInd w:w="-34"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643"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整改期限</w:t>
            </w:r>
          </w:p>
        </w:tc>
      </w:tr>
      <w:tr>
        <w:tblPrEx>
          <w:tblLayout w:type="fixed"/>
          <w:tblCellMar>
            <w:top w:w="0" w:type="dxa"/>
            <w:left w:w="0" w:type="dxa"/>
            <w:bottom w:w="0" w:type="dxa"/>
            <w:right w:w="0" w:type="dxa"/>
          </w:tblCellMar>
        </w:tblPrEx>
        <w:trPr>
          <w:trHeight w:val="1488"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42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346"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45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944" w:hRule="atLeast"/>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检查人员（签字）：</w:t>
            </w:r>
          </w:p>
          <w:p>
            <w:pPr>
              <w:adjustRightInd w:val="0"/>
              <w:snapToGrid w:val="0"/>
              <w:spacing w:line="360" w:lineRule="exact"/>
              <w:rPr>
                <w:rFonts w:hint="eastAsia" w:ascii="仿宋_GB2312" w:hAnsi="仿宋_GB2312" w:eastAsia="仿宋_GB2312" w:cs="仿宋_GB2312"/>
                <w:color w:val="auto"/>
                <w:sz w:val="22"/>
                <w:szCs w:val="22"/>
                <w:highlight w:val="none"/>
              </w:rPr>
            </w:pP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检查时间：</w:t>
            </w:r>
          </w:p>
        </w:tc>
      </w:tr>
      <w:tr>
        <w:tblPrEx>
          <w:tblLayout w:type="fixed"/>
          <w:tblCellMar>
            <w:top w:w="0" w:type="dxa"/>
            <w:left w:w="0" w:type="dxa"/>
            <w:bottom w:w="0" w:type="dxa"/>
            <w:right w:w="0" w:type="dxa"/>
          </w:tblCellMar>
        </w:tblPrEx>
        <w:trPr>
          <w:trHeight w:val="1915" w:hRule="atLeast"/>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检查部门（签章）</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安全文明施工工作联系单（收取违约金）</w:t>
      </w:r>
    </w:p>
    <w:p>
      <w:pPr>
        <w:adjustRightInd w:val="0"/>
        <w:snapToGrid w:val="0"/>
        <w:spacing w:line="360" w:lineRule="exact"/>
        <w:ind w:firstLine="440" w:firstLineChars="200"/>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基建（安）第   号</w:t>
      </w:r>
    </w:p>
    <w:tbl>
      <w:tblPr>
        <w:tblStyle w:val="13"/>
        <w:tblW w:w="9735" w:type="dxa"/>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80" w:hRule="atLeast"/>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处   罚    标　　准　　依　　据</w:t>
            </w:r>
          </w:p>
        </w:tc>
      </w:tr>
      <w:tr>
        <w:tblPrEx>
          <w:tblLayout w:type="fixed"/>
          <w:tblCellMar>
            <w:top w:w="0" w:type="dxa"/>
            <w:left w:w="0" w:type="dxa"/>
            <w:bottom w:w="0" w:type="dxa"/>
            <w:right w:w="0" w:type="dxa"/>
          </w:tblCellMar>
        </w:tblPrEx>
        <w:trPr>
          <w:trHeight w:val="333" w:hRule="atLeast"/>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未按要求整改内容描述</w:t>
            </w:r>
          </w:p>
        </w:tc>
      </w:tr>
      <w:tr>
        <w:tblPrEx>
          <w:tblLayout w:type="fixed"/>
          <w:tblCellMar>
            <w:top w:w="0" w:type="dxa"/>
            <w:left w:w="0" w:type="dxa"/>
            <w:bottom w:w="0" w:type="dxa"/>
            <w:right w:w="0" w:type="dxa"/>
          </w:tblCellMar>
        </w:tblPrEx>
        <w:trPr>
          <w:trHeight w:val="974"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98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25"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95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1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4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630" w:hRule="atLeast"/>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color w:val="auto"/>
                <w:sz w:val="22"/>
                <w:szCs w:val="22"/>
                <w:highlight w:val="none"/>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834" w:hRule="atLeast"/>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签发部门（签章）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color w:val="auto"/>
          <w:sz w:val="22"/>
          <w:szCs w:val="22"/>
          <w:highlight w:val="none"/>
        </w:rPr>
        <w:t>注：1、本扣分通知单一式四份，动力部、签发人、责任施工项目部和责任监理项目部各持一份。2、表格中的签章是指签字或盖章。</w:t>
      </w:r>
    </w:p>
    <w:p>
      <w:pPr>
        <w:widowControl/>
        <w:spacing w:line="240" w:lineRule="auto"/>
        <w:jc w:val="left"/>
        <w:rPr>
          <w:rFonts w:hint="eastAsia" w:ascii="仿宋_GB2312" w:hAnsi="仿宋_GB2312" w:eastAsia="仿宋_GB2312" w:cs="仿宋_GB2312"/>
          <w:b/>
          <w:bCs/>
          <w:color w:val="auto"/>
          <w:sz w:val="23"/>
          <w:szCs w:val="23"/>
          <w:highlight w:val="none"/>
        </w:rPr>
        <w:sectPr>
          <w:pgSz w:w="11907" w:h="16840"/>
          <w:pgMar w:top="1134" w:right="1134" w:bottom="1134" w:left="1134" w:header="851" w:footer="992" w:gutter="0"/>
          <w:pgNumType w:fmt="numberInDash"/>
          <w:cols w:space="720" w:num="1"/>
          <w:docGrid w:linePitch="312" w:charSpace="0"/>
        </w:sectPr>
      </w:pPr>
      <w:bookmarkStart w:id="14" w:name="_Hlk126741364"/>
    </w:p>
    <w:p>
      <w:pPr>
        <w:spacing w:before="120" w:beforeLines="50" w:after="120" w:afterLines="5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附件4：</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保密承诺书</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【杭州萧山国际机场有限公司】公司（以下简称“贵司”）：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我司与贵司拟订立《杭州萧山国际机场T3、T4航站楼增设私密检查室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一、保密信息的范围</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二、保密承诺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除法律规定或双方另有约定外，未经贵司书面同意，我司不得将贵司的保密信息泄露给任何第三方。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三、保密信息的返还及处理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四、保密期限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我司的保密义务自我司获知贵司保密信息之日起至该等保密信息被合法公开之日止。</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bookmarkEnd w:id="14"/>
    </w:p>
    <w:p>
      <w:pPr>
        <w:keepNext w:val="0"/>
        <w:keepLines w:val="0"/>
        <w:pageBreakBefore/>
        <w:widowControl w:val="0"/>
        <w:kinsoku/>
        <w:wordWrap/>
        <w:overflowPunct/>
        <w:topLinePunct w:val="0"/>
        <w:autoSpaceDE/>
        <w:autoSpaceDN/>
        <w:bidi w:val="0"/>
        <w:adjustRightInd/>
        <w:snapToGrid/>
        <w:spacing w:before="157" w:beforeLines="50" w:after="157" w:afterLines="50" w:line="300" w:lineRule="auto"/>
        <w:ind w:left="0" w:leftChars="0" w:right="0" w:rightChars="0" w:firstLine="0" w:firstLineChars="0"/>
        <w:jc w:val="both"/>
        <w:textAlignment w:val="auto"/>
        <w:outlineLvl w:val="9"/>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附件5：</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廉政承诺书</w:t>
      </w:r>
    </w:p>
    <w:p>
      <w:pPr>
        <w:adjustRightInd w:val="0"/>
        <w:snapToGrid w:val="0"/>
        <w:spacing w:after="240" w:afterLines="100" w:line="300" w:lineRule="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【杭州萧山国际机场有限】公司（以下简称“贵司”）：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贵司与我司拟订立《杭州萧山国际机场T3、T4航站楼增设私密检查室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廉政承诺</w:t>
      </w:r>
    </w:p>
    <w:p>
      <w:pPr>
        <w:numPr>
          <w:ilvl w:val="1"/>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我司应严格遵守国家的法律法规和党的纪律以及行业的廉政建设规定，并组织宣传，形成浓厚的反腐倡廉氛围。</w:t>
      </w:r>
    </w:p>
    <w:p>
      <w:pPr>
        <w:numPr>
          <w:ilvl w:val="1"/>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我司应建立健全廉政建设责任制，明确廉政建设管理部门，公布举报电话，严格监督并认真查处违法违纪行为。</w:t>
      </w:r>
    </w:p>
    <w:p>
      <w:pPr>
        <w:numPr>
          <w:ilvl w:val="1"/>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我司应从国家和集体利益出发，共同促进各合作项目的顺利进行，自觉遵守贵司相关的规章制度和现场管理规定。</w:t>
      </w:r>
    </w:p>
    <w:p>
      <w:pPr>
        <w:numPr>
          <w:ilvl w:val="1"/>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我司及其工作人员承诺：</w:t>
      </w:r>
    </w:p>
    <w:p>
      <w:pPr>
        <w:numPr>
          <w:ilvl w:val="2"/>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不以任何形式，无论是主动或是被动的，向贵司有关人员或贵司聘请的包括但不限于项目设计、造价咨询、审计、</w:t>
      </w:r>
      <w:r>
        <w:rPr>
          <w:rFonts w:hint="eastAsia" w:ascii="仿宋" w:hAnsi="仿宋" w:eastAsia="仿宋" w:cs="仿宋"/>
          <w:color w:val="auto"/>
          <w:sz w:val="23"/>
          <w:szCs w:val="23"/>
          <w:highlight w:val="none"/>
          <w:lang w:eastAsia="zh-CN"/>
        </w:rPr>
        <w:t>评审</w:t>
      </w:r>
      <w:r>
        <w:rPr>
          <w:rFonts w:hint="eastAsia" w:ascii="仿宋" w:hAnsi="仿宋" w:eastAsia="仿宋" w:cs="仿宋"/>
          <w:color w:val="auto"/>
          <w:sz w:val="23"/>
          <w:szCs w:val="23"/>
          <w:highlight w:val="none"/>
        </w:rPr>
        <w:t>专家、顾问等中间机构、第三方人员赠送无论有价或无价的礼金、礼物、酬金、代币券、回扣、中介费、咨询费、好处费等利益、收益或条件；或就上述内容作出任何暗示、许诺、允诺；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不以任何名义为贵司有关人员报销应由贵司或个人支付的费用；不以任何形式接受此项目相关利益方（包括但不限于施工、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、被评估、被检测、被审计、被图审等第三方）有关人员报销应由贵司或个人支付的费用；</w:t>
      </w:r>
    </w:p>
    <w:p>
      <w:pPr>
        <w:numPr>
          <w:ilvl w:val="2"/>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不向贵司有关人员提供宴请、旅游、和健身娱乐等活动；不以任何形式接受此项目施相关利益方（包括但不限于施工、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、被评估、被检测、被审计、被图审等第三方）有关人员提供宴请、旅游、和健身娱乐等活动；</w:t>
      </w:r>
    </w:p>
    <w:p>
      <w:pPr>
        <w:numPr>
          <w:ilvl w:val="2"/>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不为贵司有关人员出国（境）、旅游等提供方便；不以任何形式接受此项目施工方相关利益方（包括但不限于施工、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、被评估、被检测、被审计、被图审等第三方）有关人员提供的出国（境）、旅游等提供方便；</w:t>
      </w:r>
    </w:p>
    <w:p>
      <w:pPr>
        <w:numPr>
          <w:ilvl w:val="2"/>
          <w:numId w:val="7"/>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不为贵司有关人员个人装修住房、婚丧嫁娶、配偶子女工作安排等提供好处或便利条件；不以任何形式接受此项目相关利益方（包括但不限于施工、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、被评估、被检测、被审计、被图审等第三方）有关人员提供个人装修住房、婚丧嫁娶、配偶子女工作安排等提供好处或便利条件。</w:t>
      </w:r>
    </w:p>
    <w:p>
      <w:pPr>
        <w:numPr>
          <w:ilvl w:val="0"/>
          <w:numId w:val="6"/>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如我司违反本承诺书项下廉洁自律承诺，贵司有权：</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2.2.1 立即取消我司</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或在建项目的实施资格；</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2.2.2 扣除我司在主合同项下【</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2.2.3 拒绝我司在一定时期内参与贵司其他项目或经营活动的</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、服务。</w:t>
      </w:r>
    </w:p>
    <w:p>
      <w:pPr>
        <w:numPr>
          <w:ilvl w:val="0"/>
          <w:numId w:val="6"/>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numPr>
          <w:ilvl w:val="0"/>
          <w:numId w:val="6"/>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其他</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p>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10"/>
        <w:pageBreakBefore/>
      </w:pPr>
      <w:bookmarkStart w:id="15" w:name="_Toc27673"/>
      <w:r>
        <w:rPr>
          <w:rFonts w:hint="eastAsia"/>
        </w:rPr>
        <w:t>第四章  工程量清单</w:t>
      </w:r>
      <w:bookmarkEnd w:id="12"/>
      <w:bookmarkEnd w:id="15"/>
    </w:p>
    <w:tbl>
      <w:tblPr>
        <w:tblStyle w:val="13"/>
        <w:tblW w:w="9572" w:type="dxa"/>
        <w:tblInd w:w="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9"/>
        <w:gridCol w:w="3360"/>
        <w:gridCol w:w="870"/>
        <w:gridCol w:w="1275"/>
        <w:gridCol w:w="1320"/>
        <w:gridCol w:w="1229"/>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9572"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16" w:name="_Toc9507"/>
            <w:bookmarkStart w:id="17" w:name="_Toc275274581"/>
            <w:bookmarkStart w:id="18" w:name="_Toc448097409"/>
            <w:r>
              <w:rPr>
                <w:rFonts w:hint="eastAsia" w:ascii="宋体" w:hAnsi="宋体" w:eastAsia="宋体" w:cs="宋体"/>
                <w:b/>
                <w:color w:val="000000"/>
                <w:kern w:val="0"/>
                <w:sz w:val="40"/>
                <w:szCs w:val="40"/>
                <w:u w:val="none"/>
                <w:lang w:bidi="ar"/>
              </w:rPr>
              <w:t>杭州萧山国际机场T3、T4航站楼增设私密检查室项目</w:t>
            </w:r>
            <w:r>
              <w:rPr>
                <w:rFonts w:hint="eastAsia" w:ascii="宋体" w:hAnsi="宋体" w:eastAsia="宋体" w:cs="宋体"/>
                <w:b/>
                <w:i w:val="0"/>
                <w:color w:val="000000"/>
                <w:kern w:val="0"/>
                <w:sz w:val="40"/>
                <w:szCs w:val="40"/>
                <w:u w:val="none"/>
                <w:lang w:val="en-US" w:eastAsia="zh-CN" w:bidi="ar"/>
              </w:rPr>
              <w:t>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22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0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870"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12#槽钢安装（做法详见图纸）</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2.0MM厚不锈钢包边（做法详见图纸）</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40*40MM*1.5MM不锈钢柱安装（含折边及配件，做法详见图纸）</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40*40MM*1.5MM不锈钢梁安装（含折边及配件，做法详见图纸）</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6+1.14+6夹胶白色丝印玻璃安装</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21.250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帆布门帘</w:t>
            </w:r>
            <w:r>
              <w:rPr>
                <w:rFonts w:hint="eastAsia" w:ascii="宋体" w:hAnsi="宋体" w:eastAsia="宋体" w:cs="宋体"/>
                <w:b/>
                <w:bCs/>
                <w:i w:val="0"/>
                <w:color w:val="000000"/>
                <w:kern w:val="0"/>
                <w:sz w:val="18"/>
                <w:szCs w:val="18"/>
                <w:u w:val="none"/>
                <w:lang w:val="en-US" w:eastAsia="zh-CN" w:bidi="ar"/>
              </w:rPr>
              <w:t>加印安检标识</w:t>
            </w:r>
            <w:r>
              <w:rPr>
                <w:rFonts w:hint="eastAsia" w:ascii="宋体" w:hAnsi="宋体" w:eastAsia="宋体" w:cs="宋体"/>
                <w:i w:val="0"/>
                <w:color w:val="000000"/>
                <w:kern w:val="0"/>
                <w:sz w:val="18"/>
                <w:szCs w:val="18"/>
                <w:u w:val="none"/>
                <w:lang w:val="en-US" w:eastAsia="zh-CN" w:bidi="ar"/>
              </w:rPr>
              <w:t>（门洞净尺寸：2.5*1.5米，含轨道等配件）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打玻璃胶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0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870"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安装折叠围挡（主材甲供，根据甲方要求搬运至指定地点布置固定）</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拉丝不锈钢柱直径50*2.0MM 4根（含配件）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40*40MM*1.5MM拉丝不锈钢梁安装（含配件）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帆布门帘加印安检标识（门洞净尺寸：2*3米，含轨道等配件）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0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870"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安装折叠围挡（主材甲供，根据甲方要求搬运至指定地点布置固定）</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拉丝不锈钢柱直径50*2.0MM 4根安装（含配件）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40*40MM*1.5MM拉丝不锈钢梁安装（含配件）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帆布窗帘加印安检标识（门洞净尺寸：2*3米，含轨道等配件）</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0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870"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施工安全监管费 （投标需考虑聘请专业保安（负责门卫、巡逻、施工现场看护、隔离区围界看护等工作，人数每8小时不得少于1人，并配备相应的保卫措施）</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275" w:type="dxa"/>
            <w:tcBorders>
              <w:top w:val="single" w:color="000000" w:sz="4" w:space="0"/>
              <w:left w:val="single" w:color="000000" w:sz="4" w:space="0"/>
            </w:tcBorders>
            <w:shd w:val="clear" w:color="auto" w:fill="FFFFFF"/>
            <w:textDirection w:val="lrTb"/>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2000.000</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0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8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334" w:type="dxa"/>
            <w:gridSpan w:val="5"/>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334" w:type="dxa"/>
            <w:gridSpan w:val="5"/>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29" w:type="dxa"/>
            <w:tcBorders>
              <w:top w:val="single" w:color="000000" w:sz="4" w:space="0"/>
              <w:left w:val="single" w:color="000000" w:sz="4" w:space="0"/>
              <w:bottom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bl>
    <w:p>
      <w:pPr>
        <w:pStyle w:val="10"/>
        <w:jc w:val="center"/>
        <w:rPr>
          <w:rFonts w:hint="eastAsia"/>
        </w:rPr>
      </w:pPr>
    </w:p>
    <w:p>
      <w:pPr>
        <w:pStyle w:val="10"/>
        <w:jc w:val="center"/>
        <w:rPr>
          <w:rFonts w:hint="eastAsia"/>
        </w:rPr>
      </w:pPr>
    </w:p>
    <w:p>
      <w:pPr>
        <w:pStyle w:val="10"/>
        <w:pageBreakBefore/>
      </w:pPr>
      <w:r>
        <w:rPr>
          <w:rFonts w:hint="eastAsia"/>
        </w:rPr>
        <w:t>第</w:t>
      </w:r>
      <w:r>
        <w:rPr>
          <w:rFonts w:hint="eastAsia"/>
          <w:lang w:val="en-US" w:eastAsia="zh-CN"/>
        </w:rPr>
        <w:t>五</w:t>
      </w:r>
      <w:r>
        <w:rPr>
          <w:rFonts w:hint="eastAsia"/>
        </w:rPr>
        <w:t xml:space="preserve">章  </w:t>
      </w:r>
      <w:r>
        <w:rPr>
          <w:rFonts w:hint="eastAsia"/>
          <w:lang w:val="en-US" w:eastAsia="zh-CN"/>
        </w:rPr>
        <w:t>图纸</w:t>
      </w:r>
    </w:p>
    <w:p>
      <w:pPr>
        <w:pStyle w:val="10"/>
        <w:jc w:val="center"/>
        <w:rPr>
          <w:rFonts w:hint="eastAsia" w:eastAsia="黑体"/>
          <w:lang w:eastAsia="zh-CN"/>
        </w:rPr>
      </w:pPr>
      <w:r>
        <w:rPr>
          <w:rFonts w:hint="eastAsia" w:eastAsia="黑体"/>
          <w:lang w:eastAsia="zh-CN"/>
        </w:rPr>
        <w:drawing>
          <wp:inline distT="0" distB="0" distL="114300" distR="114300">
            <wp:extent cx="6120130" cy="3710940"/>
            <wp:effectExtent l="0" t="0" r="13970" b="3810"/>
            <wp:docPr id="2" name="图片 2" descr="168431109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4311092098"/>
                    <pic:cNvPicPr>
                      <a:picLocks noChangeAspect="1"/>
                    </pic:cNvPicPr>
                  </pic:nvPicPr>
                  <pic:blipFill>
                    <a:blip r:embed="rId13"/>
                    <a:stretch>
                      <a:fillRect/>
                    </a:stretch>
                  </pic:blipFill>
                  <pic:spPr>
                    <a:xfrm>
                      <a:off x="0" y="0"/>
                      <a:ext cx="6120130" cy="3710940"/>
                    </a:xfrm>
                    <a:prstGeom prst="rect">
                      <a:avLst/>
                    </a:prstGeom>
                  </pic:spPr>
                </pic:pic>
              </a:graphicData>
            </a:graphic>
          </wp:inline>
        </w:drawing>
      </w:r>
    </w:p>
    <w:p>
      <w:pPr>
        <w:rPr>
          <w:rFonts w:hint="eastAsia"/>
          <w:lang w:eastAsia="zh-CN"/>
        </w:rPr>
      </w:pPr>
    </w:p>
    <w:p>
      <w:pPr>
        <w:pStyle w:val="10"/>
        <w:jc w:val="center"/>
        <w:rPr>
          <w:rFonts w:hint="eastAsia"/>
        </w:rPr>
      </w:pPr>
    </w:p>
    <w:bookmarkEnd w:id="16"/>
    <w:p>
      <w:pPr>
        <w:pStyle w:val="10"/>
        <w:jc w:val="both"/>
        <w:rPr>
          <w:rFonts w:hint="eastAsia"/>
          <w:lang w:val="en-US" w:eastAsia="zh-CN"/>
        </w:rPr>
      </w:pPr>
      <w:r>
        <w:rPr>
          <w:rFonts w:hint="eastAsia"/>
          <w:lang w:val="en-US" w:eastAsia="zh-CN"/>
        </w:rPr>
        <w:t>安检标识：</w:t>
      </w:r>
    </w:p>
    <w:p>
      <w:pPr>
        <w:pStyle w:val="10"/>
        <w:jc w:val="both"/>
        <w:rPr>
          <w:rFonts w:hint="eastAsia" w:eastAsia="黑体"/>
          <w:lang w:eastAsia="zh-CN"/>
        </w:rPr>
      </w:pPr>
      <w:r>
        <w:rPr>
          <w:rFonts w:hint="eastAsia" w:eastAsia="黑体"/>
          <w:lang w:eastAsia="zh-CN"/>
        </w:rPr>
        <w:drawing>
          <wp:inline distT="0" distB="0" distL="114300" distR="114300">
            <wp:extent cx="3772535" cy="4048760"/>
            <wp:effectExtent l="0" t="0" r="18415" b="8890"/>
            <wp:docPr id="3" name="图片 3" descr="安检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检标识"/>
                    <pic:cNvPicPr>
                      <a:picLocks noChangeAspect="1"/>
                    </pic:cNvPicPr>
                  </pic:nvPicPr>
                  <pic:blipFill>
                    <a:blip r:embed="rId14"/>
                    <a:stretch>
                      <a:fillRect/>
                    </a:stretch>
                  </pic:blipFill>
                  <pic:spPr>
                    <a:xfrm>
                      <a:off x="0" y="0"/>
                      <a:ext cx="3772535" cy="4048760"/>
                    </a:xfrm>
                    <a:prstGeom prst="rect">
                      <a:avLst/>
                    </a:prstGeom>
                  </pic:spPr>
                </pic:pic>
              </a:graphicData>
            </a:graphic>
          </wp:inline>
        </w:drawing>
      </w:r>
    </w:p>
    <w:p>
      <w:pPr>
        <w:pStyle w:val="10"/>
        <w:keepNext/>
        <w:pageBreakBefore/>
      </w:pPr>
      <w:bookmarkStart w:id="19" w:name="_Toc17683"/>
      <w:r>
        <w:rPr>
          <w:rFonts w:hint="eastAsia"/>
        </w:rPr>
        <w:t>第</w:t>
      </w:r>
      <w:r>
        <w:rPr>
          <w:rFonts w:hint="eastAsia"/>
          <w:lang w:val="en-US" w:eastAsia="zh-CN"/>
        </w:rPr>
        <w:t>六</w:t>
      </w:r>
      <w:r>
        <w:rPr>
          <w:rFonts w:hint="eastAsia"/>
        </w:rPr>
        <w:t>章</w:t>
      </w:r>
      <w:r>
        <w:t xml:space="preserve"> </w:t>
      </w:r>
      <w:r>
        <w:rPr>
          <w:rFonts w:hint="eastAsia"/>
        </w:rPr>
        <w:t>技术标准及要求</w:t>
      </w:r>
      <w:bookmarkEnd w:id="19"/>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招标范围：主要工作内容具体详见工程量清单</w:t>
      </w:r>
      <w:r>
        <w:rPr>
          <w:rFonts w:hint="eastAsia" w:ascii="宋体" w:hAnsi="宋体" w:cs="宋体"/>
          <w:sz w:val="22"/>
          <w:lang w:val="en-US" w:eastAsia="zh-CN"/>
        </w:rPr>
        <w:t>及图纸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0"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ascii="宋体" w:hAnsi="宋体" w:cs="宋体"/>
          <w:b/>
          <w:color w:val="auto"/>
          <w:sz w:val="22"/>
        </w:rPr>
      </w:pPr>
      <w:r>
        <w:rPr>
          <w:rFonts w:hint="eastAsia" w:ascii="宋体" w:hAnsi="宋体" w:cs="宋体"/>
          <w:b/>
          <w:color w:val="auto"/>
          <w:sz w:val="22"/>
        </w:rPr>
        <w:t>主要材料设备推荐品牌一览表</w:t>
      </w:r>
    </w:p>
    <w:tbl>
      <w:tblPr>
        <w:tblStyle w:val="13"/>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color w:val="auto"/>
                <w:sz w:val="22"/>
              </w:rPr>
            </w:pPr>
            <w:r>
              <w:rPr>
                <w:rFonts w:hint="eastAsia" w:ascii="宋体" w:hAnsi="宋体" w:cs="宋体"/>
                <w:color w:val="auto"/>
                <w:sz w:val="22"/>
              </w:rPr>
              <w:t>序号</w:t>
            </w:r>
          </w:p>
        </w:tc>
        <w:tc>
          <w:tcPr>
            <w:tcW w:w="2783" w:type="dxa"/>
            <w:vAlign w:val="center"/>
          </w:tcPr>
          <w:p>
            <w:pPr>
              <w:snapToGrid w:val="0"/>
              <w:jc w:val="center"/>
              <w:rPr>
                <w:rFonts w:ascii="宋体" w:hAnsi="宋体" w:cs="宋体"/>
                <w:color w:val="auto"/>
                <w:sz w:val="22"/>
              </w:rPr>
            </w:pPr>
            <w:r>
              <w:rPr>
                <w:rFonts w:hint="eastAsia" w:ascii="宋体" w:hAnsi="宋体" w:cs="宋体"/>
                <w:color w:val="auto"/>
                <w:sz w:val="22"/>
              </w:rPr>
              <w:t>材料</w:t>
            </w:r>
          </w:p>
        </w:tc>
        <w:tc>
          <w:tcPr>
            <w:tcW w:w="4829" w:type="dxa"/>
            <w:vAlign w:val="center"/>
          </w:tcPr>
          <w:p>
            <w:pPr>
              <w:snapToGrid w:val="0"/>
              <w:jc w:val="center"/>
              <w:rPr>
                <w:rFonts w:ascii="宋体" w:hAnsi="宋体" w:cs="宋体"/>
                <w:color w:val="auto"/>
                <w:sz w:val="22"/>
              </w:rPr>
            </w:pPr>
            <w:r>
              <w:rPr>
                <w:rFonts w:hint="eastAsia" w:ascii="宋体" w:hAnsi="宋体" w:cs="宋体"/>
                <w:color w:val="auto"/>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eastAsiaTheme="minorEastAsia"/>
                <w:color w:val="auto"/>
                <w:sz w:val="22"/>
                <w:lang w:val="en-US" w:eastAsia="zh-CN"/>
              </w:rPr>
            </w:pPr>
            <w:r>
              <w:rPr>
                <w:rFonts w:hint="eastAsia" w:cs="宋体" w:asciiTheme="minorEastAsia" w:hAnsiTheme="minorEastAsia"/>
                <w:color w:val="auto"/>
                <w:sz w:val="22"/>
                <w:lang w:val="en-US" w:eastAsia="zh-CN"/>
              </w:rPr>
              <w:t>/</w:t>
            </w:r>
          </w:p>
        </w:tc>
        <w:tc>
          <w:tcPr>
            <w:tcW w:w="2783" w:type="dxa"/>
            <w:vAlign w:val="center"/>
          </w:tcPr>
          <w:p>
            <w:pPr>
              <w:snapToGrid w:val="0"/>
              <w:jc w:val="center"/>
              <w:rPr>
                <w:rFonts w:hint="eastAsia" w:cs="宋体" w:asciiTheme="minorEastAsia" w:hAnsiTheme="minorEastAsia" w:eastAsiaTheme="minorEastAsia"/>
                <w:bCs/>
                <w:color w:val="auto"/>
                <w:sz w:val="22"/>
                <w:lang w:val="en-US" w:eastAsia="zh-CN"/>
              </w:rPr>
            </w:pPr>
            <w:r>
              <w:rPr>
                <w:rFonts w:hint="eastAsia" w:cs="宋体" w:asciiTheme="minorEastAsia" w:hAnsiTheme="minorEastAsia"/>
                <w:bCs/>
                <w:color w:val="auto"/>
                <w:sz w:val="22"/>
                <w:lang w:val="en-US" w:eastAsia="zh-CN"/>
              </w:rPr>
              <w:t>/</w:t>
            </w:r>
          </w:p>
        </w:tc>
        <w:tc>
          <w:tcPr>
            <w:tcW w:w="4829" w:type="dxa"/>
            <w:vAlign w:val="center"/>
          </w:tcPr>
          <w:p>
            <w:pPr>
              <w:snapToGrid w:val="0"/>
              <w:jc w:val="center"/>
              <w:rPr>
                <w:rFonts w:hint="eastAsia" w:cs="宋体" w:asciiTheme="minorEastAsia" w:hAnsiTheme="minorEastAsia" w:eastAsiaTheme="minorEastAsia"/>
                <w:bCs/>
                <w:color w:val="auto"/>
                <w:sz w:val="22"/>
                <w:lang w:val="en-US" w:eastAsia="zh-CN"/>
              </w:rPr>
            </w:pPr>
            <w:r>
              <w:rPr>
                <w:rFonts w:hint="eastAsia" w:cs="宋体" w:asciiTheme="minorEastAsia" w:hAnsiTheme="minorEastAsia"/>
                <w:bCs/>
                <w:color w:val="auto"/>
                <w:sz w:val="22"/>
                <w:lang w:val="en-US" w:eastAsia="zh-CN"/>
              </w:rPr>
              <w:t>/</w:t>
            </w:r>
          </w:p>
        </w:tc>
      </w:tr>
    </w:tbl>
    <w:p>
      <w:pPr>
        <w:widowControl/>
        <w:tabs>
          <w:tab w:val="left" w:pos="720"/>
        </w:tabs>
        <w:snapToGrid w:val="0"/>
        <w:spacing w:line="360" w:lineRule="exact"/>
        <w:ind w:firstLine="442" w:firstLineChars="200"/>
        <w:rPr>
          <w:rFonts w:ascii="宋体" w:hAnsi="宋体" w:cs="宋体"/>
          <w:b/>
          <w:sz w:val="22"/>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w:t>
      </w:r>
      <w:r>
        <w:rPr>
          <w:rFonts w:hint="eastAsia" w:ascii="宋体" w:hAnsi="宋体" w:cs="宋体"/>
          <w:b/>
          <w:sz w:val="22"/>
          <w:lang w:eastAsia="zh-CN"/>
        </w:rPr>
        <w:t>招标</w:t>
      </w:r>
      <w:r>
        <w:rPr>
          <w:rFonts w:hint="eastAsia" w:ascii="宋体" w:hAnsi="宋体" w:cs="宋体"/>
          <w:b/>
          <w:sz w:val="22"/>
        </w:rPr>
        <w:t>人认可后方可使用。</w:t>
      </w:r>
      <w:r>
        <w:rPr>
          <w:rFonts w:hint="eastAsia" w:ascii="宋体" w:hAnsi="宋体" w:cs="宋体"/>
          <w:sz w:val="22"/>
        </w:rPr>
        <w:t>投标单位主要设备材料品牌漏填或少填的，中标后由</w:t>
      </w:r>
      <w:r>
        <w:rPr>
          <w:rFonts w:hint="eastAsia" w:ascii="宋体" w:hAnsi="宋体" w:cs="宋体"/>
          <w:sz w:val="22"/>
          <w:lang w:eastAsia="zh-CN"/>
        </w:rPr>
        <w:t>招标</w:t>
      </w:r>
      <w:r>
        <w:rPr>
          <w:rFonts w:hint="eastAsia" w:ascii="宋体" w:hAnsi="宋体" w:cs="宋体"/>
          <w:sz w:val="22"/>
        </w:rPr>
        <w:t>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w:t>
      </w:r>
      <w:r>
        <w:rPr>
          <w:rFonts w:hint="eastAsia" w:ascii="宋体" w:hAnsi="宋体" w:cs="宋体"/>
          <w:sz w:val="22"/>
          <w:lang w:eastAsia="zh-CN"/>
        </w:rPr>
        <w:t>中标</w:t>
      </w:r>
      <w:r>
        <w:rPr>
          <w:rFonts w:hint="eastAsia" w:ascii="宋体" w:hAnsi="宋体" w:cs="宋体"/>
          <w:sz w:val="22"/>
        </w:rPr>
        <w:t>人在选定品牌或制造商时应充分考虑供货等风险，若</w:t>
      </w:r>
      <w:r>
        <w:rPr>
          <w:rFonts w:hint="eastAsia" w:ascii="宋体" w:hAnsi="宋体" w:cs="宋体"/>
          <w:sz w:val="22"/>
          <w:lang w:eastAsia="zh-CN"/>
        </w:rPr>
        <w:t>中标</w:t>
      </w:r>
      <w:r>
        <w:rPr>
          <w:rFonts w:hint="eastAsia" w:ascii="宋体" w:hAnsi="宋体" w:cs="宋体"/>
          <w:sz w:val="22"/>
        </w:rPr>
        <w:t>人选定品牌或制造商在实施时无法供货或无法正常供货，将由</w:t>
      </w:r>
      <w:r>
        <w:rPr>
          <w:rFonts w:hint="eastAsia" w:ascii="宋体" w:hAnsi="宋体" w:cs="宋体"/>
          <w:sz w:val="22"/>
          <w:lang w:eastAsia="zh-CN"/>
        </w:rPr>
        <w:t>招标</w:t>
      </w:r>
      <w:r>
        <w:rPr>
          <w:rFonts w:hint="eastAsia" w:ascii="宋体" w:hAnsi="宋体" w:cs="宋体"/>
          <w:sz w:val="22"/>
        </w:rPr>
        <w:t>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w:t>
      </w:r>
      <w:r>
        <w:rPr>
          <w:rFonts w:hint="eastAsia" w:ascii="宋体" w:hAnsi="宋体" w:cs="宋体"/>
          <w:sz w:val="22"/>
          <w:lang w:eastAsia="zh-CN"/>
        </w:rPr>
        <w:t>中标</w:t>
      </w:r>
      <w:r>
        <w:rPr>
          <w:rFonts w:hint="eastAsia" w:ascii="宋体" w:hAnsi="宋体" w:cs="宋体"/>
          <w:sz w:val="22"/>
        </w:rPr>
        <w:t>人对有缺陷的部位必须无偿地给予修正，并承担一切由此引起的对</w:t>
      </w:r>
      <w:r>
        <w:rPr>
          <w:rFonts w:hint="eastAsia" w:ascii="宋体" w:hAnsi="宋体" w:cs="宋体"/>
          <w:sz w:val="22"/>
          <w:lang w:eastAsia="zh-CN"/>
        </w:rPr>
        <w:t>招标</w:t>
      </w:r>
      <w:r>
        <w:rPr>
          <w:rFonts w:hint="eastAsia" w:ascii="宋体" w:hAnsi="宋体" w:cs="宋体"/>
          <w:sz w:val="22"/>
        </w:rPr>
        <w:t>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w:t>
      </w:r>
      <w:r>
        <w:rPr>
          <w:rFonts w:hint="eastAsia" w:ascii="宋体" w:hAnsi="宋体" w:cs="宋体"/>
          <w:sz w:val="22"/>
          <w:lang w:eastAsia="zh-CN"/>
        </w:rPr>
        <w:t>中标</w:t>
      </w:r>
      <w:r>
        <w:rPr>
          <w:rFonts w:hint="eastAsia" w:ascii="宋体" w:hAnsi="宋体" w:cs="宋体"/>
          <w:sz w:val="22"/>
        </w:rPr>
        <w:t>人应对所选用的设备材料的技术满足度和质量负全部责任，其责任不因该品牌是否为</w:t>
      </w:r>
      <w:r>
        <w:rPr>
          <w:rFonts w:hint="eastAsia" w:ascii="宋体" w:hAnsi="宋体" w:cs="宋体"/>
          <w:sz w:val="22"/>
          <w:lang w:eastAsia="zh-CN"/>
        </w:rPr>
        <w:t>招标</w:t>
      </w:r>
      <w:r>
        <w:rPr>
          <w:rFonts w:hint="eastAsia" w:ascii="宋体" w:hAnsi="宋体" w:cs="宋体"/>
          <w:sz w:val="22"/>
        </w:rPr>
        <w:t>人推荐减轻或更改。当</w:t>
      </w:r>
      <w:r>
        <w:rPr>
          <w:rFonts w:hint="eastAsia" w:ascii="宋体" w:hAnsi="宋体" w:cs="宋体"/>
          <w:sz w:val="22"/>
          <w:lang w:eastAsia="zh-CN"/>
        </w:rPr>
        <w:t>中标</w:t>
      </w:r>
      <w:r>
        <w:rPr>
          <w:rFonts w:hint="eastAsia" w:ascii="宋体" w:hAnsi="宋体" w:cs="宋体"/>
          <w:sz w:val="22"/>
        </w:rPr>
        <w:t>人选定的产品质量达不到设计要求和招标文件要求的技术指标时，</w:t>
      </w:r>
      <w:r>
        <w:rPr>
          <w:rFonts w:hint="eastAsia" w:ascii="宋体" w:hAnsi="宋体" w:cs="宋体"/>
          <w:sz w:val="22"/>
          <w:lang w:eastAsia="zh-CN"/>
        </w:rPr>
        <w:t>招标</w:t>
      </w:r>
      <w:r>
        <w:rPr>
          <w:rFonts w:hint="eastAsia" w:ascii="宋体" w:hAnsi="宋体" w:cs="宋体"/>
          <w:sz w:val="22"/>
        </w:rPr>
        <w:t>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w:t>
      </w:r>
      <w:r>
        <w:rPr>
          <w:rFonts w:hint="eastAsia" w:ascii="宋体" w:hAnsi="宋体" w:cs="宋体"/>
          <w:sz w:val="22"/>
          <w:lang w:eastAsia="zh-CN"/>
        </w:rPr>
        <w:t>招标</w:t>
      </w:r>
      <w:r>
        <w:rPr>
          <w:rFonts w:hint="eastAsia" w:ascii="宋体" w:hAnsi="宋体" w:cs="宋体"/>
          <w:sz w:val="22"/>
        </w:rPr>
        <w:t>人的认可，如</w:t>
      </w:r>
      <w:r>
        <w:rPr>
          <w:rFonts w:hint="eastAsia" w:ascii="宋体" w:hAnsi="宋体" w:cs="宋体"/>
          <w:sz w:val="22"/>
          <w:lang w:eastAsia="zh-CN"/>
        </w:rPr>
        <w:t>中标</w:t>
      </w:r>
      <w:r>
        <w:rPr>
          <w:rFonts w:hint="eastAsia" w:ascii="宋体" w:hAnsi="宋体" w:cs="宋体"/>
          <w:sz w:val="22"/>
        </w:rPr>
        <w:t>人选定的产品不能满足以上要求，</w:t>
      </w:r>
      <w:r>
        <w:rPr>
          <w:rFonts w:hint="eastAsia" w:ascii="宋体" w:hAnsi="宋体" w:cs="宋体"/>
          <w:sz w:val="22"/>
          <w:lang w:eastAsia="zh-CN"/>
        </w:rPr>
        <w:t>招标</w:t>
      </w:r>
      <w:r>
        <w:rPr>
          <w:rFonts w:hint="eastAsia" w:ascii="宋体" w:hAnsi="宋体" w:cs="宋体"/>
          <w:sz w:val="22"/>
        </w:rPr>
        <w:t>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w:t>
      </w:r>
      <w:r>
        <w:rPr>
          <w:rFonts w:hint="eastAsia" w:ascii="宋体" w:hAnsi="宋体" w:cs="宋体"/>
          <w:b/>
          <w:bCs/>
          <w:sz w:val="22"/>
          <w:lang w:eastAsia="zh-CN"/>
        </w:rPr>
        <w:t>中标</w:t>
      </w:r>
      <w:r>
        <w:rPr>
          <w:rFonts w:hint="eastAsia" w:ascii="宋体" w:hAnsi="宋体" w:cs="宋体"/>
          <w:b/>
          <w:bCs/>
          <w:sz w:val="22"/>
        </w:rPr>
        <w:t>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lang w:eastAsia="zh-CN"/>
        </w:rPr>
        <w:t>中标</w:t>
      </w:r>
      <w:r>
        <w:rPr>
          <w:rFonts w:hint="eastAsia" w:ascii="宋体" w:hAnsi="宋体" w:cs="宋体"/>
          <w:sz w:val="22"/>
        </w:rPr>
        <w:t>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lang w:eastAsia="zh-CN"/>
        </w:rPr>
        <w:t>中标</w:t>
      </w:r>
      <w:r>
        <w:rPr>
          <w:rFonts w:hint="eastAsia" w:ascii="宋体" w:hAnsi="宋体" w:cs="宋体"/>
          <w:sz w:val="22"/>
        </w:rPr>
        <w:t>人应在开工前依施工现场情况合理制定施工技术方案和施工组织设计，在服从</w:t>
      </w:r>
      <w:r>
        <w:rPr>
          <w:rFonts w:hint="eastAsia" w:ascii="宋体" w:hAnsi="宋体" w:cs="宋体"/>
          <w:sz w:val="22"/>
          <w:lang w:eastAsia="zh-CN"/>
        </w:rPr>
        <w:t>招标</w:t>
      </w:r>
      <w:r>
        <w:rPr>
          <w:rFonts w:hint="eastAsia" w:ascii="宋体" w:hAnsi="宋体" w:cs="宋体"/>
          <w:sz w:val="22"/>
        </w:rPr>
        <w:t>人的安排和总进度计划要求情况下制定施工方案，并按</w:t>
      </w:r>
      <w:r>
        <w:rPr>
          <w:rFonts w:hint="eastAsia" w:ascii="宋体" w:hAnsi="宋体" w:cs="宋体"/>
          <w:sz w:val="22"/>
          <w:lang w:eastAsia="zh-CN"/>
        </w:rPr>
        <w:t>招标</w:t>
      </w:r>
      <w:r>
        <w:rPr>
          <w:rFonts w:hint="eastAsia" w:ascii="宋体" w:hAnsi="宋体" w:cs="宋体"/>
          <w:sz w:val="22"/>
        </w:rPr>
        <w:t>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w:t>
      </w:r>
      <w:r>
        <w:rPr>
          <w:rFonts w:hint="eastAsia" w:ascii="宋体" w:hAnsi="宋体" w:cs="宋体"/>
          <w:sz w:val="22"/>
          <w:lang w:eastAsia="zh-CN"/>
        </w:rPr>
        <w:t>中标</w:t>
      </w:r>
      <w:r>
        <w:rPr>
          <w:rFonts w:hint="eastAsia" w:ascii="宋体" w:hAnsi="宋体" w:cs="宋体"/>
          <w:sz w:val="22"/>
        </w:rPr>
        <w:t>人在施工过程中，必须无条件地接受</w:t>
      </w:r>
      <w:r>
        <w:rPr>
          <w:rFonts w:hint="eastAsia" w:ascii="宋体" w:hAnsi="宋体" w:cs="宋体"/>
          <w:sz w:val="22"/>
          <w:lang w:eastAsia="zh-CN"/>
        </w:rPr>
        <w:t>招标</w:t>
      </w:r>
      <w:r>
        <w:rPr>
          <w:rFonts w:hint="eastAsia" w:ascii="宋体" w:hAnsi="宋体" w:cs="宋体"/>
          <w:sz w:val="22"/>
        </w:rPr>
        <w:t>人的检查和监督，并执行</w:t>
      </w:r>
      <w:r>
        <w:rPr>
          <w:rFonts w:hint="eastAsia" w:ascii="宋体" w:hAnsi="宋体" w:cs="宋体"/>
          <w:sz w:val="22"/>
          <w:lang w:eastAsia="zh-CN"/>
        </w:rPr>
        <w:t>招标</w:t>
      </w:r>
      <w:r>
        <w:rPr>
          <w:rFonts w:hint="eastAsia" w:ascii="宋体" w:hAnsi="宋体" w:cs="宋体"/>
          <w:sz w:val="22"/>
        </w:rPr>
        <w:t>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w:t>
      </w:r>
      <w:r>
        <w:rPr>
          <w:rFonts w:hint="eastAsia" w:ascii="宋体" w:hAnsi="宋体" w:cs="宋体"/>
          <w:sz w:val="22"/>
          <w:lang w:eastAsia="zh-CN"/>
        </w:rPr>
        <w:t>招标</w:t>
      </w:r>
      <w:r>
        <w:rPr>
          <w:rFonts w:hint="eastAsia" w:ascii="宋体" w:hAnsi="宋体" w:cs="宋体"/>
          <w:sz w:val="22"/>
        </w:rPr>
        <w:t>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w:t>
      </w:r>
      <w:r>
        <w:rPr>
          <w:rFonts w:hint="eastAsia" w:ascii="宋体" w:hAnsi="宋体" w:cs="宋体"/>
          <w:sz w:val="22"/>
          <w:lang w:eastAsia="zh-CN"/>
        </w:rPr>
        <w:t>招标</w:t>
      </w:r>
      <w:r>
        <w:rPr>
          <w:rFonts w:hint="eastAsia" w:ascii="宋体" w:hAnsi="宋体" w:cs="宋体"/>
          <w:sz w:val="22"/>
        </w:rPr>
        <w:t>人的批准，隐蔽工程的任何部分均不得覆盖或使之无法查看。</w:t>
      </w:r>
      <w:r>
        <w:rPr>
          <w:rFonts w:hint="eastAsia" w:ascii="宋体" w:hAnsi="宋体" w:cs="宋体"/>
          <w:sz w:val="22"/>
          <w:lang w:eastAsia="zh-CN"/>
        </w:rPr>
        <w:t>中标</w:t>
      </w:r>
      <w:r>
        <w:rPr>
          <w:rFonts w:hint="eastAsia" w:ascii="宋体" w:hAnsi="宋体" w:cs="宋体"/>
          <w:sz w:val="22"/>
        </w:rPr>
        <w:t>人应保证</w:t>
      </w:r>
      <w:r>
        <w:rPr>
          <w:rFonts w:hint="eastAsia" w:ascii="宋体" w:hAnsi="宋体" w:cs="宋体"/>
          <w:sz w:val="22"/>
          <w:lang w:eastAsia="zh-CN"/>
        </w:rPr>
        <w:t>招标</w:t>
      </w:r>
      <w:r>
        <w:rPr>
          <w:rFonts w:hint="eastAsia" w:ascii="宋体" w:hAnsi="宋体" w:cs="宋体"/>
          <w:sz w:val="22"/>
        </w:rPr>
        <w:t>人有充分的时间，对隐蔽工程进行检查和测量。无论何时，当工程的任何部分已经做好检查准备时，</w:t>
      </w:r>
      <w:r>
        <w:rPr>
          <w:rFonts w:hint="eastAsia" w:ascii="宋体" w:hAnsi="宋体" w:cs="宋体"/>
          <w:sz w:val="22"/>
          <w:lang w:eastAsia="zh-CN"/>
        </w:rPr>
        <w:t>中标</w:t>
      </w:r>
      <w:r>
        <w:rPr>
          <w:rFonts w:hint="eastAsia" w:ascii="宋体" w:hAnsi="宋体" w:cs="宋体"/>
          <w:sz w:val="22"/>
        </w:rPr>
        <w:t>人应通知</w:t>
      </w:r>
      <w:r>
        <w:rPr>
          <w:rFonts w:hint="eastAsia" w:ascii="宋体" w:hAnsi="宋体" w:cs="宋体"/>
          <w:sz w:val="22"/>
          <w:lang w:eastAsia="zh-CN"/>
        </w:rPr>
        <w:t>招标</w:t>
      </w:r>
      <w:r>
        <w:rPr>
          <w:rFonts w:hint="eastAsia" w:ascii="宋体" w:hAnsi="宋体" w:cs="宋体"/>
          <w:sz w:val="22"/>
        </w:rPr>
        <w:t>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w:t>
      </w:r>
      <w:r>
        <w:rPr>
          <w:rFonts w:hint="eastAsia" w:ascii="宋体" w:hAnsi="宋体" w:cs="宋体"/>
          <w:sz w:val="22"/>
          <w:lang w:eastAsia="zh-CN"/>
        </w:rPr>
        <w:t>招标</w:t>
      </w:r>
      <w:r>
        <w:rPr>
          <w:rFonts w:hint="eastAsia" w:ascii="宋体" w:hAnsi="宋体" w:cs="宋体"/>
          <w:sz w:val="22"/>
        </w:rPr>
        <w:t>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1）在指示规定的时间内，将</w:t>
      </w:r>
      <w:r>
        <w:rPr>
          <w:rFonts w:hint="eastAsia" w:ascii="宋体" w:hAnsi="宋体" w:cs="宋体"/>
          <w:sz w:val="22"/>
          <w:lang w:eastAsia="zh-CN"/>
        </w:rPr>
        <w:t>招标</w:t>
      </w:r>
      <w:r>
        <w:rPr>
          <w:rFonts w:hint="eastAsia" w:ascii="宋体" w:hAnsi="宋体" w:cs="宋体"/>
          <w:sz w:val="22"/>
        </w:rPr>
        <w:t>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w:t>
      </w:r>
      <w:r>
        <w:rPr>
          <w:rFonts w:hint="eastAsia" w:ascii="宋体" w:hAnsi="宋体" w:cs="宋体"/>
          <w:sz w:val="22"/>
          <w:lang w:eastAsia="zh-CN"/>
        </w:rPr>
        <w:t>中标</w:t>
      </w:r>
      <w:r>
        <w:rPr>
          <w:rFonts w:hint="eastAsia" w:ascii="宋体" w:hAnsi="宋体" w:cs="宋体"/>
          <w:sz w:val="22"/>
        </w:rPr>
        <w:t>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w:t>
      </w:r>
      <w:r>
        <w:rPr>
          <w:rFonts w:hint="eastAsia" w:ascii="宋体" w:hAnsi="宋体" w:cs="宋体"/>
          <w:sz w:val="22"/>
          <w:lang w:eastAsia="zh-CN"/>
        </w:rPr>
        <w:t>中标</w:t>
      </w:r>
      <w:r>
        <w:rPr>
          <w:rFonts w:hint="eastAsia" w:ascii="宋体" w:hAnsi="宋体" w:cs="宋体"/>
          <w:sz w:val="22"/>
        </w:rPr>
        <w:t>人在指示规定的时间内未执行上述指示时，则</w:t>
      </w:r>
      <w:r>
        <w:rPr>
          <w:rFonts w:hint="eastAsia" w:ascii="宋体" w:hAnsi="宋体" w:cs="宋体"/>
          <w:sz w:val="22"/>
          <w:lang w:eastAsia="zh-CN"/>
        </w:rPr>
        <w:t>招标</w:t>
      </w:r>
      <w:r>
        <w:rPr>
          <w:rFonts w:hint="eastAsia" w:ascii="宋体" w:hAnsi="宋体" w:cs="宋体"/>
          <w:sz w:val="22"/>
        </w:rPr>
        <w:t>人有权雇用他人执行该项指示，所发生的有关费用由</w:t>
      </w:r>
      <w:r>
        <w:rPr>
          <w:rFonts w:hint="eastAsia" w:ascii="宋体" w:hAnsi="宋体" w:cs="宋体"/>
          <w:sz w:val="22"/>
          <w:lang w:eastAsia="zh-CN"/>
        </w:rPr>
        <w:t>中标</w:t>
      </w:r>
      <w:r>
        <w:rPr>
          <w:rFonts w:hint="eastAsia" w:ascii="宋体" w:hAnsi="宋体" w:cs="宋体"/>
          <w:sz w:val="22"/>
        </w:rPr>
        <w:t>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w:t>
      </w:r>
      <w:r>
        <w:rPr>
          <w:rFonts w:hint="eastAsia" w:ascii="宋体" w:hAnsi="宋体" w:cs="宋体"/>
          <w:sz w:val="22"/>
          <w:lang w:eastAsia="zh-CN"/>
        </w:rPr>
        <w:t>招标</w:t>
      </w:r>
      <w:r>
        <w:rPr>
          <w:rFonts w:hint="eastAsia" w:ascii="宋体" w:hAnsi="宋体" w:cs="宋体"/>
          <w:sz w:val="22"/>
        </w:rPr>
        <w:t>人的指示，</w:t>
      </w:r>
      <w:r>
        <w:rPr>
          <w:rFonts w:hint="eastAsia" w:ascii="宋体" w:hAnsi="宋体" w:cs="宋体"/>
          <w:sz w:val="22"/>
          <w:lang w:eastAsia="zh-CN"/>
        </w:rPr>
        <w:t>中标</w:t>
      </w:r>
      <w:r>
        <w:rPr>
          <w:rFonts w:hint="eastAsia" w:ascii="宋体" w:hAnsi="宋体" w:cs="宋体"/>
          <w:sz w:val="22"/>
        </w:rPr>
        <w:t>人应按</w:t>
      </w:r>
      <w:r>
        <w:rPr>
          <w:rFonts w:hint="eastAsia" w:ascii="宋体" w:hAnsi="宋体" w:cs="宋体"/>
          <w:sz w:val="22"/>
          <w:lang w:eastAsia="zh-CN"/>
        </w:rPr>
        <w:t>招标</w:t>
      </w:r>
      <w:r>
        <w:rPr>
          <w:rFonts w:hint="eastAsia" w:ascii="宋体" w:hAnsi="宋体" w:cs="宋体"/>
          <w:sz w:val="22"/>
        </w:rPr>
        <w:t>人认为必要的时间和方式暂停工程或其他任何部分的工作，在暂时停工期间，</w:t>
      </w:r>
      <w:r>
        <w:rPr>
          <w:rFonts w:hint="eastAsia" w:ascii="宋体" w:hAnsi="宋体" w:cs="宋体"/>
          <w:sz w:val="22"/>
          <w:lang w:eastAsia="zh-CN"/>
        </w:rPr>
        <w:t>中标</w:t>
      </w:r>
      <w:r>
        <w:rPr>
          <w:rFonts w:hint="eastAsia" w:ascii="宋体" w:hAnsi="宋体" w:cs="宋体"/>
          <w:sz w:val="22"/>
        </w:rPr>
        <w:t>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lang w:eastAsia="zh-CN"/>
        </w:rPr>
        <w:t>中标</w:t>
      </w:r>
      <w:r>
        <w:rPr>
          <w:rFonts w:hint="eastAsia" w:ascii="宋体" w:hAnsi="宋体" w:cs="宋体"/>
          <w:sz w:val="22"/>
        </w:rPr>
        <w:t>人需就一切有关之材料和整体结构，必须满足相应的技术标准及规范的规定。若产生施工偏差，</w:t>
      </w:r>
      <w:r>
        <w:rPr>
          <w:rFonts w:hint="eastAsia" w:ascii="宋体" w:hAnsi="宋体" w:cs="宋体"/>
          <w:sz w:val="22"/>
          <w:lang w:eastAsia="zh-CN"/>
        </w:rPr>
        <w:t>中标</w:t>
      </w:r>
      <w:r>
        <w:rPr>
          <w:rFonts w:hint="eastAsia" w:ascii="宋体" w:hAnsi="宋体" w:cs="宋体"/>
          <w:sz w:val="22"/>
        </w:rPr>
        <w:t>人必须无条件返工，直至达到相应的技术标准及规范的规定，费用由</w:t>
      </w:r>
      <w:r>
        <w:rPr>
          <w:rFonts w:hint="eastAsia" w:ascii="宋体" w:hAnsi="宋体" w:cs="宋体"/>
          <w:sz w:val="22"/>
          <w:lang w:eastAsia="zh-CN"/>
        </w:rPr>
        <w:t>中标</w:t>
      </w:r>
      <w:r>
        <w:rPr>
          <w:rFonts w:hint="eastAsia" w:ascii="宋体" w:hAnsi="宋体" w:cs="宋体"/>
          <w:sz w:val="22"/>
        </w:rPr>
        <w:t>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lang w:eastAsia="zh-CN"/>
        </w:rPr>
        <w:t>招标</w:t>
      </w:r>
      <w:r>
        <w:rPr>
          <w:rFonts w:hint="eastAsia" w:ascii="宋体" w:hAnsi="宋体" w:cs="宋体"/>
          <w:sz w:val="22"/>
        </w:rPr>
        <w:t>人有权在本工程施工过程中，进行随时地检查、检验和监督，为合同规定提供的材料进行性能试验。检验工作如果超出了</w:t>
      </w:r>
      <w:r>
        <w:rPr>
          <w:rFonts w:hint="eastAsia" w:ascii="宋体" w:hAnsi="宋体" w:cs="宋体"/>
          <w:sz w:val="22"/>
          <w:lang w:eastAsia="zh-CN"/>
        </w:rPr>
        <w:t>中标</w:t>
      </w:r>
      <w:r>
        <w:rPr>
          <w:rFonts w:hint="eastAsia" w:ascii="宋体" w:hAnsi="宋体" w:cs="宋体"/>
          <w:sz w:val="22"/>
        </w:rPr>
        <w:t>人的能力，</w:t>
      </w:r>
      <w:r>
        <w:rPr>
          <w:rFonts w:hint="eastAsia" w:ascii="宋体" w:hAnsi="宋体" w:cs="宋体"/>
          <w:sz w:val="22"/>
          <w:lang w:eastAsia="zh-CN"/>
        </w:rPr>
        <w:t>中标</w:t>
      </w:r>
      <w:r>
        <w:rPr>
          <w:rFonts w:hint="eastAsia" w:ascii="宋体" w:hAnsi="宋体" w:cs="宋体"/>
          <w:sz w:val="22"/>
        </w:rPr>
        <w:t>人应安排到第三方（指除</w:t>
      </w:r>
      <w:r>
        <w:rPr>
          <w:rFonts w:hint="eastAsia" w:ascii="宋体" w:hAnsi="宋体" w:cs="宋体"/>
          <w:sz w:val="22"/>
          <w:lang w:eastAsia="zh-CN"/>
        </w:rPr>
        <w:t>招标</w:t>
      </w:r>
      <w:r>
        <w:rPr>
          <w:rFonts w:hint="eastAsia" w:ascii="宋体" w:hAnsi="宋体" w:cs="宋体"/>
          <w:sz w:val="22"/>
        </w:rPr>
        <w:t>人、</w:t>
      </w:r>
      <w:r>
        <w:rPr>
          <w:rFonts w:hint="eastAsia" w:ascii="宋体" w:hAnsi="宋体" w:cs="宋体"/>
          <w:sz w:val="22"/>
          <w:lang w:eastAsia="zh-CN"/>
        </w:rPr>
        <w:t>中标</w:t>
      </w:r>
      <w:r>
        <w:rPr>
          <w:rFonts w:hint="eastAsia" w:ascii="宋体" w:hAnsi="宋体" w:cs="宋体"/>
          <w:sz w:val="22"/>
        </w:rPr>
        <w:t>人以外的另一方）进行，该第三方必须有检验条件和相应资质。检验工作的任何变化都应征得</w:t>
      </w:r>
      <w:r>
        <w:rPr>
          <w:rFonts w:hint="eastAsia" w:ascii="宋体" w:hAnsi="宋体" w:cs="宋体"/>
          <w:sz w:val="22"/>
          <w:lang w:eastAsia="zh-CN"/>
        </w:rPr>
        <w:t>招标</w:t>
      </w:r>
      <w:r>
        <w:rPr>
          <w:rFonts w:hint="eastAsia" w:ascii="宋体" w:hAnsi="宋体" w:cs="宋体"/>
          <w:sz w:val="22"/>
        </w:rPr>
        <w:t>人的书面确认。如果某些试验项目在其他场所进行，</w:t>
      </w:r>
      <w:r>
        <w:rPr>
          <w:rFonts w:hint="eastAsia" w:ascii="宋体" w:hAnsi="宋体" w:cs="宋体"/>
          <w:b/>
          <w:bCs/>
          <w:sz w:val="22"/>
          <w:lang w:eastAsia="zh-CN"/>
        </w:rPr>
        <w:t>中标</w:t>
      </w:r>
      <w:r>
        <w:rPr>
          <w:rFonts w:hint="eastAsia" w:ascii="宋体" w:hAnsi="宋体" w:cs="宋体"/>
          <w:b/>
          <w:bCs/>
          <w:sz w:val="22"/>
        </w:rPr>
        <w:t>人应替</w:t>
      </w:r>
      <w:r>
        <w:rPr>
          <w:rFonts w:hint="eastAsia" w:ascii="宋体" w:hAnsi="宋体" w:cs="宋体"/>
          <w:b/>
          <w:bCs/>
          <w:sz w:val="22"/>
          <w:lang w:eastAsia="zh-CN"/>
        </w:rPr>
        <w:t>招标</w:t>
      </w:r>
      <w:r>
        <w:rPr>
          <w:rFonts w:hint="eastAsia" w:ascii="宋体" w:hAnsi="宋体" w:cs="宋体"/>
          <w:b/>
          <w:bCs/>
          <w:sz w:val="22"/>
        </w:rPr>
        <w:t>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w:t>
      </w:r>
      <w:r>
        <w:rPr>
          <w:rFonts w:hint="eastAsia" w:ascii="宋体" w:hAnsi="宋体" w:cs="宋体"/>
          <w:b/>
          <w:bCs/>
          <w:sz w:val="22"/>
          <w:lang w:eastAsia="zh-CN"/>
        </w:rPr>
        <w:t>中标</w:t>
      </w:r>
      <w:r>
        <w:rPr>
          <w:rFonts w:hint="eastAsia" w:ascii="宋体" w:hAnsi="宋体" w:cs="宋体"/>
          <w:b/>
          <w:bCs/>
          <w:sz w:val="22"/>
        </w:rPr>
        <w:t>人必须服从</w:t>
      </w:r>
      <w:r>
        <w:rPr>
          <w:rFonts w:hint="eastAsia" w:ascii="宋体" w:hAnsi="宋体" w:cs="宋体"/>
          <w:b/>
          <w:bCs/>
          <w:sz w:val="22"/>
          <w:lang w:eastAsia="zh-CN"/>
        </w:rPr>
        <w:t>招标</w:t>
      </w:r>
      <w:r>
        <w:rPr>
          <w:rFonts w:hint="eastAsia" w:ascii="宋体" w:hAnsi="宋体" w:cs="宋体"/>
          <w:b/>
          <w:bCs/>
          <w:sz w:val="22"/>
        </w:rPr>
        <w:t>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w:t>
      </w:r>
      <w:r>
        <w:rPr>
          <w:rFonts w:hint="eastAsia" w:ascii="宋体" w:hAnsi="宋体" w:cs="宋体"/>
          <w:b/>
          <w:bCs/>
          <w:sz w:val="22"/>
          <w:lang w:eastAsia="zh-CN"/>
        </w:rPr>
        <w:t>中标</w:t>
      </w:r>
      <w:r>
        <w:rPr>
          <w:rFonts w:hint="eastAsia" w:ascii="宋体" w:hAnsi="宋体" w:cs="宋体"/>
          <w:b/>
          <w:bCs/>
          <w:sz w:val="22"/>
        </w:rPr>
        <w:t>人应严格按施工技术方案组织施工，并无条件地接受</w:t>
      </w:r>
      <w:r>
        <w:rPr>
          <w:rFonts w:hint="eastAsia" w:ascii="宋体" w:hAnsi="宋体" w:cs="宋体"/>
          <w:b/>
          <w:bCs/>
          <w:sz w:val="22"/>
          <w:lang w:eastAsia="zh-CN"/>
        </w:rPr>
        <w:t>招标</w:t>
      </w:r>
      <w:r>
        <w:rPr>
          <w:rFonts w:hint="eastAsia" w:ascii="宋体" w:hAnsi="宋体" w:cs="宋体"/>
          <w:b/>
          <w:bCs/>
          <w:sz w:val="22"/>
        </w:rPr>
        <w:t>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w:t>
      </w:r>
      <w:r>
        <w:rPr>
          <w:rFonts w:hint="eastAsia" w:ascii="宋体" w:hAnsi="宋体" w:cs="宋体"/>
          <w:sz w:val="22"/>
          <w:lang w:eastAsia="zh-CN"/>
        </w:rPr>
        <w:t>招标</w:t>
      </w:r>
      <w:r>
        <w:rPr>
          <w:rFonts w:hint="eastAsia" w:ascii="宋体" w:hAnsi="宋体" w:cs="宋体"/>
          <w:sz w:val="22"/>
        </w:rPr>
        <w:t>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需做好施工单位的车辆进出场及材料推放的管理工作，相关费用计入投标报价，中标后不再调整。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本工程开工时间根据甲方提供施工场地时间为准，投标人在投标时须考虑由此造成的工期延长，由此造成的费用不做变更。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本次施工区域可能存在部分障碍物需要拆除、移除，相关费用计入投标报价中，中标后不再调整。</w:t>
      </w:r>
    </w:p>
    <w:bookmarkEnd w:id="20"/>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w:t>
      </w:r>
      <w:r>
        <w:rPr>
          <w:rFonts w:hint="eastAsia" w:ascii="宋体" w:hAnsi="宋体" w:cs="宋体"/>
          <w:sz w:val="22"/>
          <w:lang w:eastAsia="zh-CN"/>
        </w:rPr>
        <w:t>中标</w:t>
      </w:r>
      <w:r>
        <w:rPr>
          <w:rFonts w:hint="eastAsia" w:ascii="宋体" w:hAnsi="宋体" w:cs="宋体"/>
          <w:sz w:val="22"/>
        </w:rPr>
        <w:t>人在现场施工中应负有保护责任和义务，因工程施工引起损坏，由</w:t>
      </w:r>
      <w:r>
        <w:rPr>
          <w:rFonts w:hint="eastAsia" w:ascii="宋体" w:hAnsi="宋体" w:cs="宋体"/>
          <w:sz w:val="22"/>
          <w:lang w:eastAsia="zh-CN"/>
        </w:rPr>
        <w:t>中标</w:t>
      </w:r>
      <w:r>
        <w:rPr>
          <w:rFonts w:hint="eastAsia" w:ascii="宋体" w:hAnsi="宋体" w:cs="宋体"/>
          <w:sz w:val="22"/>
        </w:rPr>
        <w:t>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w:t>
      </w:r>
      <w:r>
        <w:rPr>
          <w:rFonts w:hint="eastAsia" w:ascii="宋体" w:hAnsi="宋体" w:cs="宋体"/>
          <w:sz w:val="22"/>
          <w:lang w:eastAsia="zh-CN"/>
        </w:rPr>
        <w:t>中标</w:t>
      </w:r>
      <w:r>
        <w:rPr>
          <w:rFonts w:hint="eastAsia" w:ascii="宋体" w:hAnsi="宋体" w:cs="宋体"/>
          <w:sz w:val="22"/>
        </w:rPr>
        <w:t>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5.2</w:t>
      </w:r>
      <w:r>
        <w:rPr>
          <w:rFonts w:hint="eastAsia" w:ascii="宋体" w:hAnsi="宋体" w:cs="宋体"/>
          <w:b/>
          <w:sz w:val="22"/>
          <w:lang w:val="en-US" w:eastAsia="zh-CN"/>
        </w:rPr>
        <w:t>中标</w:t>
      </w:r>
      <w:r>
        <w:rPr>
          <w:rFonts w:hint="eastAsia" w:ascii="宋体" w:hAnsi="宋体" w:cs="宋体"/>
          <w:b/>
          <w:sz w:val="22"/>
        </w:rPr>
        <w:t>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ascii="宋体" w:hAnsi="宋体" w:cs="宋体"/>
          <w:b/>
          <w:sz w:val="22"/>
        </w:rPr>
      </w:pPr>
      <w:r>
        <w:rPr>
          <w:rFonts w:hint="eastAsia" w:ascii="宋体" w:hAnsi="宋体" w:cs="宋体"/>
          <w:b/>
          <w:sz w:val="22"/>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5.4发包范围外招标人提出并签证的费用由</w:t>
      </w:r>
      <w:r>
        <w:rPr>
          <w:rFonts w:hint="eastAsia" w:ascii="宋体" w:hAnsi="宋体" w:cs="宋体"/>
          <w:b/>
          <w:sz w:val="22"/>
          <w:lang w:val="en-US" w:eastAsia="zh-CN"/>
        </w:rPr>
        <w:t>投标</w:t>
      </w:r>
      <w:r>
        <w:rPr>
          <w:rFonts w:hint="eastAsia" w:ascii="宋体" w:hAnsi="宋体" w:cs="宋体"/>
          <w:b/>
          <w:sz w:val="22"/>
        </w:rPr>
        <w:t>人在施工前提出并补充编制工料单价预算书。</w:t>
      </w:r>
    </w:p>
    <w:p>
      <w:pPr>
        <w:snapToGrid w:val="0"/>
        <w:spacing w:line="360" w:lineRule="exact"/>
        <w:ind w:firstLine="442" w:firstLineChars="200"/>
        <w:rPr>
          <w:rFonts w:ascii="宋体" w:hAnsi="宋体" w:cs="宋体"/>
          <w:b/>
          <w:sz w:val="22"/>
        </w:rPr>
      </w:pPr>
      <w:r>
        <w:rPr>
          <w:rFonts w:hint="eastAsia" w:ascii="宋体" w:hAnsi="宋体" w:cs="宋体"/>
          <w:b/>
          <w:sz w:val="22"/>
        </w:rPr>
        <w:t>5.5计日工单价最高限价210元/工日。</w:t>
      </w:r>
    </w:p>
    <w:p>
      <w:pPr>
        <w:snapToGrid w:val="0"/>
        <w:spacing w:line="360" w:lineRule="exact"/>
        <w:ind w:firstLine="442" w:firstLineChars="200"/>
        <w:rPr>
          <w:rFonts w:ascii="宋体" w:hAnsi="宋体" w:cs="宋体"/>
          <w:b/>
          <w:sz w:val="22"/>
        </w:rPr>
      </w:pPr>
      <w:r>
        <w:rPr>
          <w:rFonts w:hint="eastAsia" w:ascii="宋体" w:hAnsi="宋体" w:cs="宋体"/>
          <w:b/>
          <w:sz w:val="22"/>
        </w:rPr>
        <w:t>5.6工程施工期间，</w:t>
      </w:r>
      <w:r>
        <w:rPr>
          <w:rFonts w:hint="eastAsia" w:ascii="宋体" w:hAnsi="宋体" w:cs="宋体"/>
          <w:b/>
          <w:sz w:val="22"/>
          <w:lang w:val="en-US" w:eastAsia="zh-CN"/>
        </w:rPr>
        <w:t>中标</w:t>
      </w:r>
      <w:r>
        <w:rPr>
          <w:rFonts w:hint="eastAsia" w:ascii="宋体" w:hAnsi="宋体" w:cs="宋体"/>
          <w:b/>
          <w:sz w:val="22"/>
        </w:rPr>
        <w:t>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4"/>
        <w:ind w:firstLine="442" w:firstLineChars="200"/>
        <w:rPr>
          <w:rFonts w:ascii="宋体" w:hAnsi="宋体" w:cs="宋体"/>
          <w:b/>
          <w:sz w:val="22"/>
        </w:rPr>
      </w:pPr>
      <w:r>
        <w:rPr>
          <w:rFonts w:hint="eastAsia" w:ascii="宋体" w:hAnsi="宋体" w:cs="宋体"/>
          <w:b/>
          <w:sz w:val="22"/>
        </w:rPr>
        <w:t>5.7本项目工程位于机场隔离区内，</w:t>
      </w:r>
      <w:r>
        <w:rPr>
          <w:rFonts w:hint="eastAsia" w:ascii="宋体" w:hAnsi="宋体" w:cs="宋体"/>
          <w:b/>
          <w:sz w:val="22"/>
          <w:lang w:val="en-US" w:eastAsia="zh-CN"/>
        </w:rPr>
        <w:t>中标</w:t>
      </w:r>
      <w:r>
        <w:rPr>
          <w:rFonts w:hint="eastAsia" w:ascii="宋体" w:hAnsi="宋体" w:cs="宋体"/>
          <w:b/>
          <w:sz w:val="22"/>
        </w:rPr>
        <w:t>人必须确保在施工阶段不影响机场正常运行，遵守机场不停航施工管理规定、施工安全条例。</w:t>
      </w:r>
    </w:p>
    <w:p>
      <w:pPr>
        <w:ind w:firstLine="442" w:firstLineChars="200"/>
        <w:rPr>
          <w:rFonts w:ascii="宋体" w:hAnsi="宋体" w:cs="宋体"/>
          <w:b/>
          <w:sz w:val="22"/>
        </w:rPr>
      </w:pPr>
      <w:r>
        <w:rPr>
          <w:rFonts w:hint="eastAsia" w:ascii="宋体" w:hAnsi="宋体" w:cs="宋体"/>
          <w:b/>
          <w:sz w:val="22"/>
        </w:rPr>
        <w:t>5.8</w:t>
      </w:r>
      <w:r>
        <w:rPr>
          <w:rFonts w:hint="eastAsia" w:ascii="宋体" w:hAnsi="宋体" w:cs="宋体"/>
          <w:b/>
          <w:sz w:val="22"/>
          <w:lang w:val="en-US" w:eastAsia="zh-CN"/>
        </w:rPr>
        <w:t>中标</w:t>
      </w:r>
      <w:r>
        <w:rPr>
          <w:rFonts w:hint="eastAsia" w:ascii="宋体" w:hAnsi="宋体" w:cs="宋体"/>
          <w:b/>
          <w:sz w:val="22"/>
        </w:rPr>
        <w:t>人施工人员在进出机场隔离区时必须办理相关证件（有效期一个月）。费用由投标人综合考虑，包含在投标报价中。</w:t>
      </w:r>
    </w:p>
    <w:p>
      <w:pPr>
        <w:ind w:firstLine="442" w:firstLineChars="200"/>
        <w:rPr>
          <w:rFonts w:hint="eastAsia" w:ascii="宋体" w:hAnsi="宋体" w:cs="宋体"/>
          <w:b/>
          <w:color w:val="auto"/>
          <w:sz w:val="22"/>
        </w:rPr>
      </w:pPr>
      <w:r>
        <w:rPr>
          <w:rFonts w:hint="eastAsia" w:ascii="宋体" w:hAnsi="宋体" w:cs="宋体"/>
          <w:b/>
          <w:sz w:val="22"/>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r>
        <w:rPr>
          <w:rFonts w:hint="eastAsia" w:ascii="宋体" w:hAnsi="宋体" w:cs="宋体"/>
          <w:b/>
          <w:color w:val="auto"/>
          <w:sz w:val="22"/>
          <w:highlight w:val="yellow"/>
        </w:rPr>
        <w:t>★投标报价中施工安全监管费按</w:t>
      </w:r>
      <w:r>
        <w:rPr>
          <w:rFonts w:hint="eastAsia" w:ascii="宋体" w:hAnsi="宋体" w:cs="宋体"/>
          <w:b/>
          <w:color w:val="auto"/>
          <w:sz w:val="22"/>
          <w:highlight w:val="yellow"/>
          <w:lang w:val="en-US" w:eastAsia="zh-CN"/>
        </w:rPr>
        <w:t>2000</w:t>
      </w:r>
      <w:r>
        <w:rPr>
          <w:rFonts w:hint="eastAsia" w:ascii="宋体" w:hAnsi="宋体" w:cs="宋体"/>
          <w:b/>
          <w:color w:val="auto"/>
          <w:sz w:val="22"/>
          <w:highlight w:val="yellow"/>
        </w:rPr>
        <w:t>元暂列金额计入，不得优惠</w:t>
      </w:r>
      <w:r>
        <w:rPr>
          <w:rFonts w:hint="eastAsia" w:ascii="宋体" w:hAnsi="宋体" w:cs="宋体"/>
          <w:b/>
          <w:color w:val="auto"/>
          <w:sz w:val="22"/>
        </w:rPr>
        <w:t>。</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lang w:val="en-US" w:eastAsia="zh-CN"/>
        </w:rPr>
        <w:t>中标</w:t>
      </w:r>
      <w:r>
        <w:rPr>
          <w:rFonts w:hint="eastAsia" w:ascii="宋体" w:hAnsi="宋体" w:cs="宋体"/>
          <w:b/>
          <w:sz w:val="22"/>
        </w:rPr>
        <w:t>人须无条件配合</w:t>
      </w:r>
      <w:r>
        <w:rPr>
          <w:rFonts w:hint="eastAsia" w:ascii="宋体" w:hAnsi="宋体" w:cs="宋体"/>
          <w:b/>
          <w:sz w:val="22"/>
          <w:lang w:val="en-US" w:eastAsia="zh-CN"/>
        </w:rPr>
        <w:t>招标</w:t>
      </w:r>
      <w:r>
        <w:rPr>
          <w:rFonts w:hint="eastAsia" w:ascii="宋体" w:hAnsi="宋体" w:cs="宋体"/>
          <w:b/>
          <w:sz w:val="22"/>
        </w:rPr>
        <w:t>人要求，施工前应征得</w:t>
      </w:r>
      <w:r>
        <w:rPr>
          <w:rFonts w:hint="eastAsia" w:ascii="宋体" w:hAnsi="宋体" w:cs="宋体"/>
          <w:b/>
          <w:sz w:val="22"/>
          <w:lang w:val="en-US" w:eastAsia="zh-CN"/>
        </w:rPr>
        <w:t>招标</w:t>
      </w:r>
      <w:r>
        <w:rPr>
          <w:rFonts w:hint="eastAsia" w:ascii="宋体" w:hAnsi="宋体" w:cs="宋体"/>
          <w:b/>
          <w:sz w:val="22"/>
        </w:rPr>
        <w:t>人同意，不得擅自施工，如擅自施工导致的一切后果由</w:t>
      </w:r>
      <w:r>
        <w:rPr>
          <w:rFonts w:hint="eastAsia" w:ascii="宋体" w:hAnsi="宋体" w:cs="宋体"/>
          <w:b/>
          <w:sz w:val="22"/>
          <w:lang w:val="en-US" w:eastAsia="zh-CN"/>
        </w:rPr>
        <w:t>中标</w:t>
      </w:r>
      <w:r>
        <w:rPr>
          <w:rFonts w:hint="eastAsia" w:ascii="宋体" w:hAnsi="宋体" w:cs="宋体"/>
          <w:b/>
          <w:sz w:val="22"/>
        </w:rPr>
        <w:t>人承担。</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11</w:t>
      </w:r>
      <w:r>
        <w:rPr>
          <w:rFonts w:hint="eastAsia" w:ascii="宋体" w:hAnsi="宋体" w:cs="宋体"/>
          <w:b/>
          <w:sz w:val="22"/>
        </w:rPr>
        <w:t>项目开工前</w:t>
      </w:r>
      <w:r>
        <w:rPr>
          <w:rFonts w:hint="eastAsia" w:ascii="宋体" w:hAnsi="宋体" w:cs="宋体"/>
          <w:b/>
          <w:sz w:val="22"/>
          <w:lang w:val="en-US" w:eastAsia="zh-CN"/>
        </w:rPr>
        <w:t>中标</w:t>
      </w:r>
      <w:r>
        <w:rPr>
          <w:rFonts w:hint="eastAsia" w:ascii="宋体" w:hAnsi="宋体" w:cs="宋体"/>
          <w:b/>
          <w:sz w:val="22"/>
        </w:rPr>
        <w:t>人需提供施工进度计划表、施工材料及明细表，待材料、人员、证件全部准备完善并经</w:t>
      </w:r>
      <w:r>
        <w:rPr>
          <w:rFonts w:hint="eastAsia" w:ascii="宋体" w:hAnsi="宋体" w:cs="宋体"/>
          <w:b/>
          <w:sz w:val="22"/>
          <w:lang w:val="en-US" w:eastAsia="zh-CN"/>
        </w:rPr>
        <w:t>招标</w:t>
      </w:r>
      <w:r>
        <w:rPr>
          <w:rFonts w:hint="eastAsia" w:ascii="宋体" w:hAnsi="宋体" w:cs="宋体"/>
          <w:b/>
          <w:sz w:val="22"/>
        </w:rPr>
        <w:t>人同意方可进行施工。</w:t>
      </w:r>
    </w:p>
    <w:p>
      <w:pPr>
        <w:snapToGrid w:val="0"/>
        <w:spacing w:line="360" w:lineRule="exact"/>
        <w:ind w:firstLine="442" w:firstLineChars="200"/>
      </w:pPr>
      <w:r>
        <w:rPr>
          <w:rFonts w:hint="eastAsia" w:ascii="宋体" w:hAnsi="宋体" w:cs="宋体"/>
          <w:b/>
          <w:sz w:val="22"/>
        </w:rPr>
        <w:t>5.</w:t>
      </w:r>
      <w:r>
        <w:rPr>
          <w:rFonts w:ascii="宋体" w:hAnsi="宋体" w:cs="宋体"/>
          <w:b/>
          <w:sz w:val="22"/>
        </w:rPr>
        <w:t>1</w:t>
      </w:r>
      <w:r>
        <w:rPr>
          <w:rFonts w:hint="eastAsia" w:ascii="宋体" w:hAnsi="宋体" w:cs="宋体"/>
          <w:b/>
          <w:sz w:val="22"/>
          <w:lang w:val="en-US" w:eastAsia="zh-CN"/>
        </w:rPr>
        <w:t>2施工现场围挡的设置应当符合机场相关规定，具体做法详见《航站楼施工围挡管理标准》</w:t>
      </w:r>
      <w:r>
        <w:rPr>
          <w:rFonts w:hint="eastAsia" w:ascii="宋体" w:hAnsi="宋体" w:cs="宋体"/>
          <w:b/>
          <w:sz w:val="22"/>
        </w:rPr>
        <w:t>。</w:t>
      </w:r>
    </w:p>
    <w:bookmarkEnd w:id="9"/>
    <w:bookmarkEnd w:id="17"/>
    <w:bookmarkEnd w:id="18"/>
    <w:p>
      <w:pPr>
        <w:pStyle w:val="3"/>
        <w:keepLines w:val="0"/>
        <w:pageBreakBefore/>
        <w:spacing w:before="0" w:after="0" w:line="564" w:lineRule="exact"/>
        <w:ind w:right="57"/>
        <w:rPr>
          <w:sz w:val="32"/>
          <w:szCs w:val="32"/>
        </w:rPr>
      </w:pPr>
      <w:bookmarkStart w:id="21" w:name="_Toc10055"/>
      <w:bookmarkStart w:id="22" w:name="_Toc52907682"/>
      <w:r>
        <w:rPr>
          <w:sz w:val="32"/>
          <w:szCs w:val="32"/>
        </w:rPr>
        <w:t>第</w:t>
      </w:r>
      <w:r>
        <w:rPr>
          <w:rFonts w:hint="eastAsia"/>
          <w:sz w:val="32"/>
          <w:szCs w:val="32"/>
          <w:lang w:val="en-US" w:eastAsia="zh-CN"/>
        </w:rPr>
        <w:t>七</w:t>
      </w:r>
      <w:r>
        <w:rPr>
          <w:sz w:val="32"/>
          <w:szCs w:val="32"/>
        </w:rPr>
        <w:t>章</w:t>
      </w:r>
      <w:r>
        <w:rPr>
          <w:rFonts w:hint="eastAsia"/>
          <w:sz w:val="32"/>
          <w:szCs w:val="32"/>
        </w:rPr>
        <w:t xml:space="preserve">    </w:t>
      </w:r>
      <w:r>
        <w:rPr>
          <w:sz w:val="32"/>
          <w:szCs w:val="32"/>
        </w:rPr>
        <w:t>投标文件格式</w:t>
      </w:r>
      <w:bookmarkEnd w:id="21"/>
      <w:bookmarkEnd w:id="22"/>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pgNumType w:fmt="numberInDash"/>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5"/>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5"/>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5"/>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5"/>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5"/>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numberInDash"/>
          <w:cols w:space="720" w:num="1"/>
        </w:sectPr>
      </w:pPr>
    </w:p>
    <w:p>
      <w:pPr>
        <w:spacing w:line="360" w:lineRule="auto"/>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keepLines/>
        <w:pageBreakBefore/>
        <w:jc w:val="center"/>
        <w:rPr>
          <w:rFonts w:cs="微软雅黑"/>
          <w:b/>
          <w:kern w:val="0"/>
          <w:sz w:val="36"/>
          <w:szCs w:val="36"/>
        </w:rPr>
      </w:pPr>
      <w:bookmarkStart w:id="23" w:name="_Hlk54024727"/>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3"/>
    <w:p>
      <w:pPr>
        <w:pStyle w:val="3"/>
        <w:keepLines w:val="0"/>
        <w:pageBreakBefore/>
        <w:spacing w:before="0" w:after="0" w:line="564" w:lineRule="exact"/>
        <w:ind w:right="57"/>
        <w:rPr>
          <w:rFonts w:hint="eastAsia"/>
          <w:sz w:val="32"/>
          <w:szCs w:val="32"/>
          <w:lang w:val="en-US" w:eastAsia="zh-CN"/>
        </w:rPr>
      </w:pPr>
      <w:bookmarkStart w:id="24" w:name="_Toc11336"/>
      <w:r>
        <w:rPr>
          <w:rFonts w:hint="eastAsia"/>
          <w:sz w:val="32"/>
          <w:szCs w:val="32"/>
          <w:lang w:val="en-US" w:eastAsia="zh-CN"/>
        </w:rPr>
        <w:t>第八章</w:t>
      </w:r>
      <w:r>
        <w:rPr>
          <w:rFonts w:hint="eastAsia"/>
          <w:sz w:val="32"/>
          <w:szCs w:val="32"/>
        </w:rPr>
        <w:t xml:space="preserve"> </w:t>
      </w:r>
      <w:r>
        <w:rPr>
          <w:rFonts w:hint="eastAsia"/>
          <w:sz w:val="32"/>
          <w:szCs w:val="32"/>
          <w:lang w:val="en-US" w:eastAsia="zh-CN"/>
        </w:rPr>
        <w:t>航站楼施工围挡管理标准</w:t>
      </w:r>
      <w:bookmarkEnd w:id="24"/>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1、目的</w:t>
      </w:r>
    </w:p>
    <w:p>
      <w:pPr>
        <w:pStyle w:val="16"/>
        <w:spacing w:beforeLines="0" w:afterLines="0" w:line="560" w:lineRule="exact"/>
        <w:ind w:firstLine="560"/>
        <w:rPr>
          <w:rFonts w:ascii="仿宋_GB2312" w:eastAsia="仿宋_GB2312"/>
          <w:sz w:val="28"/>
          <w:szCs w:val="28"/>
        </w:rPr>
      </w:pPr>
      <w:r>
        <w:rPr>
          <w:rFonts w:hint="eastAsia" w:ascii="仿宋_GB2312" w:eastAsia="仿宋_GB2312"/>
          <w:sz w:val="28"/>
          <w:szCs w:val="28"/>
        </w:rPr>
        <w:t>为了维护航站楼正常的运营秩序，规范楼内在施工改造、设施维护、环境保洁等状态下的围界设置行为，确保航站楼内施工的有序进行、候机环境的舒适美观以及旅客的人身安全，特制定本标准。</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2、适用范围</w:t>
      </w:r>
    </w:p>
    <w:p>
      <w:pPr>
        <w:pStyle w:val="16"/>
        <w:spacing w:beforeLines="0" w:afterLines="0" w:line="560" w:lineRule="exact"/>
        <w:ind w:firstLine="560"/>
        <w:rPr>
          <w:rFonts w:ascii="仿宋_GB2312" w:eastAsia="仿宋_GB2312"/>
          <w:sz w:val="28"/>
          <w:szCs w:val="28"/>
        </w:rPr>
      </w:pPr>
      <w:r>
        <w:rPr>
          <w:rFonts w:hint="eastAsia" w:ascii="仿宋_GB2312" w:eastAsia="仿宋_GB2312"/>
          <w:sz w:val="28"/>
          <w:szCs w:val="28"/>
        </w:rPr>
        <w:t>本标准适用于航站楼内（不含地下车库）在施工改造、设施维护、环境保洁等状态下的各类围界设置，具体包括：航站楼功能布局改造；商业装修；新增设施设备安装；设施设备维修、维护；区域保洁；主题活动、庆典等。</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3、职责</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3.1</w:t>
      </w:r>
      <w:r>
        <w:rPr>
          <w:rFonts w:hint="eastAsia" w:ascii="仿宋_GB2312" w:eastAsia="仿宋_GB2312"/>
          <w:sz w:val="28"/>
          <w:szCs w:val="28"/>
        </w:rPr>
        <w:t>航站区管理中心</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3.1.1负责制定和完善航站楼围界管理标准。</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3.1.2负责航站楼围界设置的受理、审批。</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3.1.3负责航站楼围界设置现场的监管。</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3.2</w:t>
      </w:r>
      <w:r>
        <w:rPr>
          <w:rFonts w:hint="eastAsia" w:ascii="仿宋_GB2312" w:eastAsia="仿宋_GB2312"/>
          <w:sz w:val="28"/>
          <w:szCs w:val="28"/>
        </w:rPr>
        <w:t>各施工、活动组织单位</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3.2.1根据施工、活动实际情况，按照《航站楼围界管理标准》要求，向航站区管理中心提出围界设置申请。</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3.2.2审批通过后，按标准制作并设置围界。</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3.2.3负责围界设置现场的实时监管。</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3.2.4及时纠正围界设置、使用过程中的违规行为，在施工、活动结束后，及时拆除围界，还原现场。</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4、管理标准</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4.1围界的分类</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4.1.1航站楼内的围界是指为实现楼内施工有序进行及确保旅客人身安全而设置的用于隔离旅客与施工改造区域、维保区块、维护设施设备或临时活动场地之间的介质。按照使用对象的不同，分为大型板材围界、立式框架式临时围界、链式临时围界和隔离护栏式围界。</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4.1.2大型板材围界主要用于施工期（停工期）较长、工程量较大的航站楼功能布局改造和商业装修。</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4.1.3立式框架式临时围界主要用于短时、小区域的设施设备维修和维护。</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4.1.4链式临时围界主要用于短时、相对大区域的新增设施设备安装和区域保洁。</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4.1.5隔离护栏式围界主要用于航站楼内旅客流程引导及临时主题活动、庆典的区域隔离。</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4.2围界的申请</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4.2.1</w:t>
      </w:r>
      <w:r>
        <w:rPr>
          <w:rFonts w:hint="eastAsia" w:ascii="仿宋_GB2312" w:eastAsia="仿宋_GB2312"/>
          <w:sz w:val="28"/>
          <w:szCs w:val="28"/>
        </w:rPr>
        <w:t>各施工、活动组织单位在航站楼内组织各项施工改造、商业装修、新增设施设备安装、设施设备维护、区域保洁、主题活动、庆典前，向航站区管理中心申请或报备以上活动时，应同时提出相关围界设置申请，填写《航站楼围界使用申请表》。</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4.2.2对于周期性的短时维修、维护及区域保洁项目，由申请单位向航站区管理中心监管室报备后，经施工管理员现场确认无误后即可实施。</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4.3围界的样式</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4.3.1围界的样式由航站区管理中心统一确定发布。施工、活动组织单位在航站楼内的施工、活动申请批复后可向航</w:t>
      </w:r>
      <w:r>
        <w:rPr>
          <w:rFonts w:hint="eastAsia" w:ascii="仿宋_GB2312" w:eastAsia="仿宋_GB2312"/>
          <w:spacing w:val="-8"/>
          <w:sz w:val="28"/>
          <w:szCs w:val="28"/>
        </w:rPr>
        <w:t>站区管理中心领取相关围界样式版本自行制作或申请借用。</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4.3.</w:t>
      </w:r>
      <w:r>
        <w:rPr>
          <w:rFonts w:hint="eastAsia" w:ascii="仿宋_GB2312" w:eastAsia="仿宋_GB2312"/>
          <w:sz w:val="28"/>
          <w:szCs w:val="28"/>
        </w:rPr>
        <w:t>2隔离护栏式围界由航站区管理中心统一采购、制作、提供。</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4.4围界的设置</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4.4.1围界的制作材料需符合消防环保标准，不得使用可燃、易燃、有异味、易断裂的材质。</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4.4.2围界的设置不得遮挡标示标牌，不得妨碍旅客流程，如无法避免的，应做好解决替代预案。</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4.4.3围界的设置应牢固且不易倒伏，横平竖直。围界应连续设置，确保区域隔离的有效性。</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4.4.4围界应保持整洁，围界附近不得堆放物品。围界使用单位或部门应随时查看围界使用情况，发现破损的，应立即维修或更换。围界内相关物品须摆放整齐，井然有序。申请单位应自觉做好施工物品监管工作。</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4.4.5大型板材围界的设置</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4.4.5.1组织单位应严格按照批准的地点、时间、范围设置围界，不得擅自变动。大型板材围界应符合航站区管理中心提供的样式标准、围布内容须按照航站区管理中心要求进行喷绘，不得擅自增加内容。</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4.4.5.2围界应紧紧围绕改造或装修区域，原则上应不得超过建筑红线区域外沿</w:t>
      </w:r>
      <w:r>
        <w:rPr>
          <w:rFonts w:ascii="仿宋_GB2312" w:eastAsia="仿宋_GB2312"/>
          <w:sz w:val="28"/>
          <w:szCs w:val="28"/>
        </w:rPr>
        <w:t>1</w:t>
      </w:r>
      <w:r>
        <w:rPr>
          <w:rFonts w:hint="eastAsia" w:ascii="仿宋_GB2312" w:eastAsia="仿宋_GB2312"/>
          <w:sz w:val="28"/>
          <w:szCs w:val="28"/>
        </w:rPr>
        <w:t>50厘米设置。</w:t>
      </w:r>
    </w:p>
    <w:p>
      <w:pPr>
        <w:spacing w:beforeLines="0" w:afterLines="0" w:line="560" w:lineRule="exact"/>
        <w:ind w:firstLine="560" w:firstLineChars="200"/>
        <w:rPr>
          <w:rFonts w:ascii="仿宋_GB2312" w:eastAsia="仿宋_GB2312"/>
          <w:spacing w:val="-10"/>
          <w:sz w:val="28"/>
          <w:szCs w:val="28"/>
        </w:rPr>
      </w:pPr>
      <w:r>
        <w:rPr>
          <w:rFonts w:hint="eastAsia" w:ascii="仿宋_GB2312" w:eastAsia="仿宋_GB2312"/>
          <w:sz w:val="28"/>
          <w:szCs w:val="28"/>
        </w:rPr>
        <w:t>4.4.5.3</w:t>
      </w:r>
      <w:r>
        <w:rPr>
          <w:rFonts w:hint="eastAsia" w:ascii="仿宋_GB2312" w:eastAsia="仿宋_GB2312"/>
          <w:spacing w:val="-10"/>
          <w:sz w:val="28"/>
          <w:szCs w:val="28"/>
        </w:rPr>
        <w:t>围界设置的高度为</w:t>
      </w:r>
      <w:r>
        <w:rPr>
          <w:rFonts w:ascii="仿宋_GB2312" w:eastAsia="仿宋_GB2312"/>
          <w:spacing w:val="-10"/>
          <w:sz w:val="28"/>
          <w:szCs w:val="28"/>
        </w:rPr>
        <w:t>3</w:t>
      </w:r>
      <w:r>
        <w:rPr>
          <w:rFonts w:hint="eastAsia" w:ascii="仿宋_GB2312" w:eastAsia="仿宋_GB2312"/>
          <w:spacing w:val="-10"/>
          <w:sz w:val="28"/>
          <w:szCs w:val="28"/>
        </w:rPr>
        <w:t>.5米，必要时应作顶部封闭。</w:t>
      </w:r>
    </w:p>
    <w:p>
      <w:pPr>
        <w:spacing w:beforeLines="0" w:afterLines="0" w:line="560" w:lineRule="exact"/>
        <w:ind w:firstLine="560" w:firstLineChars="200"/>
        <w:rPr>
          <w:rFonts w:ascii="仿宋_GB2312" w:eastAsia="仿宋_GB2312"/>
          <w:spacing w:val="-10"/>
          <w:sz w:val="28"/>
          <w:szCs w:val="28"/>
        </w:rPr>
      </w:pPr>
      <w:r>
        <w:rPr>
          <w:rFonts w:hint="eastAsia" w:ascii="仿宋_GB2312" w:eastAsia="仿宋_GB2312"/>
          <w:sz w:val="28"/>
          <w:szCs w:val="28"/>
        </w:rPr>
        <w:t>4.4.5.4</w:t>
      </w:r>
      <w:r>
        <w:rPr>
          <w:rFonts w:hint="eastAsia" w:ascii="仿宋_GB2312" w:eastAsia="仿宋_GB2312"/>
          <w:spacing w:val="-10"/>
          <w:sz w:val="28"/>
          <w:szCs w:val="28"/>
        </w:rPr>
        <w:t xml:space="preserve">围界内物品的堆放高度不得超过围界顶部水平线。 </w:t>
      </w:r>
    </w:p>
    <w:p>
      <w:pPr>
        <w:spacing w:beforeLines="0" w:afterLines="0" w:line="560" w:lineRule="exact"/>
        <w:ind w:firstLine="560" w:firstLineChars="200"/>
        <w:rPr>
          <w:rFonts w:ascii="仿宋_GB2312" w:eastAsia="仿宋_GB2312"/>
          <w:spacing w:val="-10"/>
          <w:sz w:val="28"/>
          <w:szCs w:val="28"/>
        </w:rPr>
      </w:pPr>
      <w:r>
        <w:rPr>
          <w:rFonts w:hint="eastAsia" w:ascii="仿宋_GB2312" w:eastAsia="仿宋_GB2312"/>
          <w:sz w:val="28"/>
          <w:szCs w:val="28"/>
        </w:rPr>
        <w:t>4.4.5.5围界封闭（顶部除外）管理，围界进出口须装配门锁（门锁建议选用铜制4联密码锁，至少每周更换一次密码）。在施工期间由专人负责锁闭。在围界醒目位置应悬挂</w:t>
      </w:r>
      <w:r>
        <w:rPr>
          <w:rFonts w:hint="eastAsia" w:ascii="仿宋_GB2312" w:eastAsia="仿宋_GB2312"/>
          <w:spacing w:val="-10"/>
          <w:sz w:val="28"/>
          <w:szCs w:val="28"/>
        </w:rPr>
        <w:t>宣传告示栏，注明项目名称、工期、责任人联系方式等内容。</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4.4.6立式框架式临时围界的设置</w:t>
      </w:r>
    </w:p>
    <w:p>
      <w:pPr>
        <w:spacing w:beforeLines="0" w:afterLines="0" w:line="560" w:lineRule="exact"/>
        <w:ind w:firstLine="560" w:firstLineChars="200"/>
        <w:rPr>
          <w:rFonts w:ascii="仿宋_GB2312" w:eastAsia="仿宋_GB2312"/>
          <w:spacing w:val="-10"/>
          <w:sz w:val="28"/>
          <w:szCs w:val="28"/>
        </w:rPr>
      </w:pPr>
      <w:r>
        <w:rPr>
          <w:rFonts w:hint="eastAsia" w:ascii="仿宋_GB2312" w:eastAsia="仿宋_GB2312"/>
          <w:sz w:val="28"/>
          <w:szCs w:val="28"/>
        </w:rPr>
        <w:t>4.4.6.1</w:t>
      </w:r>
      <w:r>
        <w:rPr>
          <w:rFonts w:hint="eastAsia" w:ascii="仿宋_GB2312" w:eastAsia="仿宋_GB2312"/>
          <w:spacing w:val="-10"/>
          <w:sz w:val="28"/>
          <w:szCs w:val="28"/>
        </w:rPr>
        <w:t>围界应紧紧围绕维修区域或维护的设施设备放置。</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4.4.6.2围界放置不得遮挡标示标牌、功能性设施，不得阻碍旅客流程，如无法避免应设置醒目标识或派遣专人进行引导。</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4.4.7链式临时围界的设置</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4.4.7.1围界应根据施工、活动实际需求进行设置，不得阻碍旅客流程，施工、活动结束后，应立即撤除。</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4.4.7.2</w:t>
      </w:r>
      <w:r>
        <w:rPr>
          <w:rFonts w:hint="eastAsia" w:ascii="仿宋_GB2312" w:eastAsia="仿宋_GB2312"/>
          <w:sz w:val="28"/>
          <w:szCs w:val="28"/>
        </w:rPr>
        <w:t>链式临时围界设置时，应将固定方锥摆放整齐，四边通过链条连接封闭，链条应保持悬空，多余部分需塞入方锥内侧，同时应在醒目位置放置施工、活动提示标识。</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4.4.8隔离护栏式围界的设置</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4.4.8.1参照《航站楼隔离护栏管理标准》执行。</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4.5</w:t>
      </w:r>
      <w:r>
        <w:rPr>
          <w:rFonts w:hint="eastAsia" w:ascii="仿宋_GB2312" w:eastAsia="仿宋_GB2312"/>
          <w:sz w:val="28"/>
          <w:szCs w:val="28"/>
        </w:rPr>
        <w:t>围界的撤除</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4.5.1</w:t>
      </w:r>
      <w:r>
        <w:rPr>
          <w:rFonts w:hint="eastAsia" w:ascii="仿宋_GB2312" w:eastAsia="仿宋_GB2312"/>
          <w:sz w:val="28"/>
          <w:szCs w:val="28"/>
        </w:rPr>
        <w:t>施工、活动组织单位在区域使用结束后，应在施工工具、物料、活动设施全部撤离，清理施工垃圾，恢复区域原状后，撤除围界。</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4.5.2</w:t>
      </w:r>
      <w:r>
        <w:rPr>
          <w:rFonts w:hint="eastAsia" w:ascii="仿宋_GB2312" w:eastAsia="仿宋_GB2312"/>
          <w:sz w:val="28"/>
          <w:szCs w:val="28"/>
        </w:rPr>
        <w:t>大型板材围界使用结束后，由建设单位负责拆除，不准随意丢弃在航站楼内。</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4.5.3立式框架式临时围界和链式临时围界使用结束后，由施工、活动组织单位带离，自行保存。</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4.5.4</w:t>
      </w:r>
      <w:r>
        <w:rPr>
          <w:rFonts w:hint="eastAsia" w:ascii="仿宋_GB2312" w:eastAsia="仿宋_GB2312"/>
          <w:sz w:val="28"/>
          <w:szCs w:val="28"/>
        </w:rPr>
        <w:t>隔离护栏式围界使用结束后，由施工、活动组织单位向航站区管理中心清点交接，确定围界完好状况及数量后，存放至规定场所并做好记录。</w:t>
      </w:r>
    </w:p>
    <w:p>
      <w:pPr>
        <w:spacing w:beforeLines="0" w:afterLines="0" w:line="56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、如违反本制度之规定的，按照《杭州萧山国际机场航站楼施工管理规定》有关规定执行。</w:t>
      </w:r>
    </w:p>
    <w:p>
      <w:pPr>
        <w:spacing w:beforeLines="0" w:afterLines="0" w:line="560" w:lineRule="exact"/>
        <w:ind w:firstLine="560" w:firstLineChars="200"/>
        <w:rPr>
          <w:rFonts w:ascii="仿宋_GB2312" w:eastAsia="仿宋_GB2312"/>
          <w:sz w:val="28"/>
          <w:szCs w:val="28"/>
        </w:rPr>
      </w:pPr>
      <w:r>
        <w:rPr>
          <w:rFonts w:hint="eastAsia" w:ascii="仿宋_GB2312" w:eastAsia="仿宋_GB2312"/>
          <w:sz w:val="28"/>
          <w:szCs w:val="28"/>
        </w:rPr>
        <w:t>6、围界一般类型样图</w:t>
      </w:r>
    </w:p>
    <w:p>
      <w:pPr>
        <w:spacing w:line="560" w:lineRule="exact"/>
        <w:rPr>
          <w:rFonts w:ascii="仿宋_GB2312" w:eastAsia="仿宋_GB2312"/>
          <w:sz w:val="30"/>
          <w:szCs w:val="30"/>
        </w:rPr>
      </w:pPr>
      <w:r>
        <w:drawing>
          <wp:anchor distT="0" distB="0" distL="114300" distR="114300" simplePos="0" relativeHeight="251662336" behindDoc="0" locked="0" layoutInCell="1" allowOverlap="0">
            <wp:simplePos x="0" y="0"/>
            <wp:positionH relativeFrom="column">
              <wp:posOffset>67310</wp:posOffset>
            </wp:positionH>
            <wp:positionV relativeFrom="paragraph">
              <wp:posOffset>195580</wp:posOffset>
            </wp:positionV>
            <wp:extent cx="5286375" cy="1781810"/>
            <wp:effectExtent l="0" t="0" r="9525" b="8890"/>
            <wp:wrapTopAndBottom/>
            <wp:docPr id="1" name="图片 10" descr="说明: 微信图片_2018073013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微信图片_20180730135152.jpg"/>
                    <pic:cNvPicPr>
                      <a:picLocks noChangeAspect="1"/>
                    </pic:cNvPicPr>
                  </pic:nvPicPr>
                  <pic:blipFill>
                    <a:blip r:embed="rId15"/>
                    <a:stretch>
                      <a:fillRect/>
                    </a:stretch>
                  </pic:blipFill>
                  <pic:spPr>
                    <a:xfrm>
                      <a:off x="0" y="0"/>
                      <a:ext cx="5286375" cy="1781810"/>
                    </a:xfrm>
                    <a:prstGeom prst="rect">
                      <a:avLst/>
                    </a:prstGeom>
                    <a:noFill/>
                    <a:ln w="9525">
                      <a:noFill/>
                    </a:ln>
                  </pic:spPr>
                </pic:pic>
              </a:graphicData>
            </a:graphic>
          </wp:anchor>
        </w:drawing>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jc w:val="center"/>
        <w:rPr>
          <w:rFonts w:ascii="仿宋_GB2312" w:eastAsia="仿宋_GB2312"/>
          <w:b/>
          <w:bCs/>
          <w:sz w:val="30"/>
          <w:szCs w:val="30"/>
        </w:rPr>
      </w:pPr>
    </w:p>
    <w:p>
      <w:pPr>
        <w:jc w:val="center"/>
        <w:rPr>
          <w:rFonts w:ascii="仿宋_GB2312" w:eastAsia="仿宋_GB2312"/>
          <w:b/>
          <w:bCs/>
          <w:sz w:val="30"/>
          <w:szCs w:val="30"/>
        </w:rPr>
      </w:pPr>
    </w:p>
    <w:p/>
    <w:p>
      <w:pPr>
        <w:widowControl/>
        <w:rPr>
          <w:rFonts w:cs="宋体"/>
          <w:b/>
          <w:sz w:val="32"/>
          <w:szCs w:val="32"/>
        </w:rPr>
      </w:pPr>
    </w:p>
    <w:sectPr>
      <w:footerReference r:id="rId11" w:type="first"/>
      <w:headerReference r:id="rId9" w:type="default"/>
      <w:footerReference r:id="rId10"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MS Gothic">
    <w:panose1 w:val="020B0609070205080204"/>
    <w:charset w:val="80"/>
    <w:family w:val="modern"/>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Univers">
    <w:altName w:val="Segoe Print"/>
    <w:panose1 w:val="00000000000000000000"/>
    <w:charset w:val="00"/>
    <w:family w:val="swiss"/>
    <w:pitch w:val="default"/>
    <w:sig w:usb0="00000000" w:usb1="00000000" w:usb2="00000000" w:usb3="00000000" w:csb0="0000000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DFKai-SB">
    <w:altName w:val="Microsoft JhengHei Light"/>
    <w:panose1 w:val="03000509000000000000"/>
    <w:charset w:val="88"/>
    <w:family w:val="script"/>
    <w:pitch w:val="default"/>
    <w:sig w:usb0="00000000" w:usb1="00000000" w:usb2="00000016" w:usb3="00000000" w:csb0="00100001" w:csb1="00000000"/>
  </w:font>
  <w:font w:name="方正书宋简体">
    <w:altName w:val="宋体"/>
    <w:panose1 w:val="00000000000000000000"/>
    <w:charset w:val="86"/>
    <w:family w:val="auto"/>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CS?o｡ﾀ?">
    <w:altName w:val="Yu Gothic"/>
    <w:panose1 w:val="00000000000000000000"/>
    <w:charset w:val="80"/>
    <w:family w:val="modern"/>
    <w:pitch w:val="default"/>
    <w:sig w:usb0="00000000" w:usb1="00000000" w:usb2="00000010" w:usb3="00000000" w:csb0="00020000" w:csb1="00000000"/>
  </w:font>
  <w:font w:name="Calisto MT">
    <w:panose1 w:val="02040603050505030304"/>
    <w:charset w:val="00"/>
    <w:family w:val="roman"/>
    <w:pitch w:val="default"/>
    <w:sig w:usb0="00000003" w:usb1="00000000" w:usb2="00000000" w:usb3="00000000" w:csb0="20000001"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CommercialPi BT">
    <w:altName w:val="微软雅黑"/>
    <w:panose1 w:val="05020102010206080802"/>
    <w:charset w:val="02"/>
    <w:family w:val="roman"/>
    <w:pitch w:val="default"/>
    <w:sig w:usb0="00000000" w:usb1="00000000" w:usb2="00000000" w:usb3="00000000" w:csb0="00040001" w:csb1="00000000"/>
  </w:font>
  <w:font w:name="仿宋体">
    <w:altName w:val="仿宋"/>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宋体-18030">
    <w:altName w:val="微软雅黑"/>
    <w:panose1 w:val="00000000000000000000"/>
    <w:charset w:val="86"/>
    <w:family w:val="modern"/>
    <w:pitch w:val="default"/>
    <w:sig w:usb0="00000000" w:usb1="00000000" w:usb2="000A005E" w:usb3="00000000" w:csb0="00040001" w:csb1="00000000"/>
  </w:font>
  <w:font w:name="TimesNewRomanPSMT">
    <w:altName w:val="Times New Roman"/>
    <w:panose1 w:val="00000000000000000000"/>
    <w:charset w:val="00"/>
    <w:family w:val="roman"/>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方正仿宋简体">
    <w:altName w:val="宋体"/>
    <w:panose1 w:val="0201060103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Light">
    <w:panose1 w:val="020B0502040204020203"/>
    <w:charset w:val="86"/>
    <w:family w:val="auto"/>
    <w:pitch w:val="default"/>
    <w:sig w:usb0="80000287" w:usb1="2ACF0010" w:usb2="00000016" w:usb3="00000000" w:csb0="0004001F" w:csb1="00000000"/>
  </w:font>
  <w:font w:name="Bahnschrift">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Vrinda">
    <w:altName w:val="Segoe UI Symbol"/>
    <w:panose1 w:val="020B0502040204020203"/>
    <w:charset w:val="00"/>
    <w:family w:val="auto"/>
    <w:pitch w:val="default"/>
    <w:sig w:usb0="00000000"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ins w:id="0" w:author="吴淼清" w:date="2023-05-18T09:54:32Z">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ins w:id="2" w:author="吴淼清" w:date="2023-05-18T09:54:44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511381"/>
                            </w:sdtPr>
                            <w:sdtContent>
                              <w:p>
                                <w:pPr>
                                  <w:pStyle w:val="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sdt>
                      <w:sdtPr>
                        <w:id w:val="3511381"/>
                      </w:sdtPr>
                      <w:sdtContent>
                        <w:p>
                          <w:pPr>
                            <w:pStyle w:val="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2"/>
                      </w:pPr>
                    </w:p>
                  </w:txbxContent>
                </v:textbox>
              </v:shape>
            </w:pict>
          </mc:Fallback>
        </mc:AlternateContent>
      </w:r>
    </w:ins>
  </w:p>
  <w:p>
    <w:pPr>
      <w:pStyle w:val="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ins w:id="4" w:author="吴淼清" w:date="2023-05-18T09:54:44Z">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ins>
  </w:p>
  <w:p>
    <w:pPr>
      <w:pStyle w:val="7"/>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132C69"/>
    <w:multiLevelType w:val="singleLevel"/>
    <w:tmpl w:val="54132C69"/>
    <w:lvl w:ilvl="0" w:tentative="0">
      <w:start w:val="1"/>
      <w:numFmt w:val="decimal"/>
      <w:suff w:val="nothing"/>
      <w:lvlText w:val="%1．"/>
      <w:lvlJc w:val="left"/>
    </w:lvl>
  </w:abstractNum>
  <w:abstractNum w:abstractNumId="4">
    <w:nsid w:val="5D75C5AD"/>
    <w:multiLevelType w:val="singleLevel"/>
    <w:tmpl w:val="5D75C5AD"/>
    <w:lvl w:ilvl="0" w:tentative="0">
      <w:start w:val="1"/>
      <w:numFmt w:val="decimal"/>
      <w:suff w:val="nothing"/>
      <w:lvlText w:val="（%1）"/>
      <w:lvlJc w:val="left"/>
    </w:lvl>
  </w:abstractNum>
  <w:abstractNum w:abstractNumId="5">
    <w:nsid w:val="5FF401CA"/>
    <w:multiLevelType w:val="singleLevel"/>
    <w:tmpl w:val="5FF401CA"/>
    <w:lvl w:ilvl="0" w:tentative="0">
      <w:start w:val="5"/>
      <w:numFmt w:val="chineseCounting"/>
      <w:suff w:val="nothing"/>
      <w:lvlText w:val="%1、"/>
      <w:lvlJc w:val="left"/>
    </w:lvl>
  </w:abstractNum>
  <w:abstractNum w:abstractNumId="6">
    <w:nsid w:val="609CC20A"/>
    <w:multiLevelType w:val="singleLevel"/>
    <w:tmpl w:val="609CC20A"/>
    <w:lvl w:ilvl="0" w:tentative="0">
      <w:start w:val="8"/>
      <w:numFmt w:val="chineseCounting"/>
      <w:suff w:val="nothing"/>
      <w:lvlText w:val="%1、"/>
      <w:lvlJc w:val="left"/>
    </w:lvl>
  </w:abstractNum>
  <w:abstractNum w:abstractNumId="7">
    <w:nsid w:val="636C52E6"/>
    <w:multiLevelType w:val="singleLevel"/>
    <w:tmpl w:val="636C52E6"/>
    <w:lvl w:ilvl="0" w:tentative="0">
      <w:start w:val="1"/>
      <w:numFmt w:val="decimal"/>
      <w:suff w:val="nothing"/>
      <w:lvlText w:val="(%1)"/>
      <w:lvlJc w:val="left"/>
    </w:lvl>
  </w:abstractNum>
  <w:abstractNum w:abstractNumId="8">
    <w:nsid w:val="67839068"/>
    <w:multiLevelType w:val="singleLevel"/>
    <w:tmpl w:val="67839068"/>
    <w:lvl w:ilvl="0" w:tentative="0">
      <w:start w:val="1"/>
      <w:numFmt w:val="chineseCounting"/>
      <w:suff w:val="nothing"/>
      <w:lvlText w:val="%1、"/>
      <w:lvlJc w:val="left"/>
      <w:rPr>
        <w:rFonts w:hint="eastAsia"/>
      </w:rPr>
    </w:lvl>
  </w:abstractNum>
  <w:num w:numId="1">
    <w:abstractNumId w:val="4"/>
  </w:num>
  <w:num w:numId="2">
    <w:abstractNumId w:val="5"/>
  </w:num>
  <w:num w:numId="3">
    <w:abstractNumId w:val="6"/>
  </w:num>
  <w:num w:numId="4">
    <w:abstractNumId w:val="0"/>
  </w:num>
  <w:num w:numId="5">
    <w:abstractNumId w:val="3"/>
  </w:num>
  <w:num w:numId="6">
    <w:abstractNumId w:val="8"/>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1842E5"/>
    <w:rsid w:val="00202EF4"/>
    <w:rsid w:val="00205DDE"/>
    <w:rsid w:val="002D6E53"/>
    <w:rsid w:val="002E389D"/>
    <w:rsid w:val="00306FCE"/>
    <w:rsid w:val="00375BBB"/>
    <w:rsid w:val="00574177"/>
    <w:rsid w:val="005A26E5"/>
    <w:rsid w:val="005A3F8F"/>
    <w:rsid w:val="00602DA2"/>
    <w:rsid w:val="00625098"/>
    <w:rsid w:val="00642119"/>
    <w:rsid w:val="006562EA"/>
    <w:rsid w:val="006A12D1"/>
    <w:rsid w:val="006E5133"/>
    <w:rsid w:val="008171B7"/>
    <w:rsid w:val="00817C3C"/>
    <w:rsid w:val="00820C30"/>
    <w:rsid w:val="00846FFC"/>
    <w:rsid w:val="008C5594"/>
    <w:rsid w:val="00906E38"/>
    <w:rsid w:val="00A967F5"/>
    <w:rsid w:val="00AC6F51"/>
    <w:rsid w:val="00AE2420"/>
    <w:rsid w:val="00B6451B"/>
    <w:rsid w:val="00BA486F"/>
    <w:rsid w:val="00C11D9A"/>
    <w:rsid w:val="00C45FDC"/>
    <w:rsid w:val="00C63C17"/>
    <w:rsid w:val="00D0743B"/>
    <w:rsid w:val="00D2136E"/>
    <w:rsid w:val="00D91BF2"/>
    <w:rsid w:val="00DA7957"/>
    <w:rsid w:val="00DD507F"/>
    <w:rsid w:val="00DF1565"/>
    <w:rsid w:val="00E95BFB"/>
    <w:rsid w:val="00F10D57"/>
    <w:rsid w:val="00F75078"/>
    <w:rsid w:val="00F75276"/>
    <w:rsid w:val="00F81449"/>
    <w:rsid w:val="014F73A6"/>
    <w:rsid w:val="02301858"/>
    <w:rsid w:val="024E408C"/>
    <w:rsid w:val="02B95F5F"/>
    <w:rsid w:val="02C92ADF"/>
    <w:rsid w:val="02CC104F"/>
    <w:rsid w:val="02F1240D"/>
    <w:rsid w:val="03044762"/>
    <w:rsid w:val="03196B6B"/>
    <w:rsid w:val="03F739A7"/>
    <w:rsid w:val="03F870E6"/>
    <w:rsid w:val="03FC3DEA"/>
    <w:rsid w:val="047518C7"/>
    <w:rsid w:val="04EE265D"/>
    <w:rsid w:val="050869C0"/>
    <w:rsid w:val="052F0674"/>
    <w:rsid w:val="057D0D03"/>
    <w:rsid w:val="05BE6E6F"/>
    <w:rsid w:val="05C353ED"/>
    <w:rsid w:val="063840A8"/>
    <w:rsid w:val="063C0E2A"/>
    <w:rsid w:val="066C1019"/>
    <w:rsid w:val="06C30D5A"/>
    <w:rsid w:val="06F910D3"/>
    <w:rsid w:val="073D70B6"/>
    <w:rsid w:val="077E75BF"/>
    <w:rsid w:val="083312CE"/>
    <w:rsid w:val="08A037D7"/>
    <w:rsid w:val="09411BF2"/>
    <w:rsid w:val="09673172"/>
    <w:rsid w:val="09E25A5D"/>
    <w:rsid w:val="09E436C7"/>
    <w:rsid w:val="0A280818"/>
    <w:rsid w:val="0A325507"/>
    <w:rsid w:val="0B2679A8"/>
    <w:rsid w:val="0BF04EE0"/>
    <w:rsid w:val="0C2258A4"/>
    <w:rsid w:val="0C2C721E"/>
    <w:rsid w:val="0CE161CF"/>
    <w:rsid w:val="0D58007A"/>
    <w:rsid w:val="0D662C58"/>
    <w:rsid w:val="0D885C0E"/>
    <w:rsid w:val="0DEE646C"/>
    <w:rsid w:val="0E836117"/>
    <w:rsid w:val="0EE1797F"/>
    <w:rsid w:val="0EF24B25"/>
    <w:rsid w:val="0F3936BA"/>
    <w:rsid w:val="0F3A6E72"/>
    <w:rsid w:val="0F74556B"/>
    <w:rsid w:val="0F751372"/>
    <w:rsid w:val="103144BD"/>
    <w:rsid w:val="10926C44"/>
    <w:rsid w:val="10C41CD7"/>
    <w:rsid w:val="10D201D0"/>
    <w:rsid w:val="10FB2AF8"/>
    <w:rsid w:val="128E3AD2"/>
    <w:rsid w:val="132D3D8B"/>
    <w:rsid w:val="13415C2F"/>
    <w:rsid w:val="134E2C41"/>
    <w:rsid w:val="13506F32"/>
    <w:rsid w:val="13920FC4"/>
    <w:rsid w:val="13C703B6"/>
    <w:rsid w:val="13D363C5"/>
    <w:rsid w:val="13EA0F16"/>
    <w:rsid w:val="14EF431F"/>
    <w:rsid w:val="15495384"/>
    <w:rsid w:val="154D7F76"/>
    <w:rsid w:val="15714686"/>
    <w:rsid w:val="15C55E70"/>
    <w:rsid w:val="162F6BAF"/>
    <w:rsid w:val="16435062"/>
    <w:rsid w:val="168574AC"/>
    <w:rsid w:val="17706602"/>
    <w:rsid w:val="17A3369A"/>
    <w:rsid w:val="17E644B2"/>
    <w:rsid w:val="17F261B0"/>
    <w:rsid w:val="182C65C0"/>
    <w:rsid w:val="19285C70"/>
    <w:rsid w:val="19B6105C"/>
    <w:rsid w:val="19CC472E"/>
    <w:rsid w:val="19D22F7C"/>
    <w:rsid w:val="19E250F9"/>
    <w:rsid w:val="1A06323F"/>
    <w:rsid w:val="1A372ED2"/>
    <w:rsid w:val="1A530242"/>
    <w:rsid w:val="1A5510AA"/>
    <w:rsid w:val="1A905DB0"/>
    <w:rsid w:val="1AC01189"/>
    <w:rsid w:val="1ACC2D1E"/>
    <w:rsid w:val="1AE634A1"/>
    <w:rsid w:val="1B1762CA"/>
    <w:rsid w:val="1B494BCE"/>
    <w:rsid w:val="1B9E32AC"/>
    <w:rsid w:val="1C1F53DB"/>
    <w:rsid w:val="1C23428D"/>
    <w:rsid w:val="1C411E8A"/>
    <w:rsid w:val="1C67300B"/>
    <w:rsid w:val="1C722ABB"/>
    <w:rsid w:val="1DB82B97"/>
    <w:rsid w:val="1DD42994"/>
    <w:rsid w:val="1DDC50BC"/>
    <w:rsid w:val="1DEA2C89"/>
    <w:rsid w:val="1E0004CB"/>
    <w:rsid w:val="1E017959"/>
    <w:rsid w:val="1ECC6715"/>
    <w:rsid w:val="1ED229A2"/>
    <w:rsid w:val="1F4F7C5F"/>
    <w:rsid w:val="1FC32413"/>
    <w:rsid w:val="200A02E6"/>
    <w:rsid w:val="20CE1F53"/>
    <w:rsid w:val="21EC1694"/>
    <w:rsid w:val="23416178"/>
    <w:rsid w:val="238E4739"/>
    <w:rsid w:val="23AA347B"/>
    <w:rsid w:val="254051B5"/>
    <w:rsid w:val="265818D7"/>
    <w:rsid w:val="26CC6707"/>
    <w:rsid w:val="27B369DB"/>
    <w:rsid w:val="27BE0992"/>
    <w:rsid w:val="289D4E0E"/>
    <w:rsid w:val="28BD1AD1"/>
    <w:rsid w:val="29727BB5"/>
    <w:rsid w:val="29F93588"/>
    <w:rsid w:val="2A4954FD"/>
    <w:rsid w:val="2A514A00"/>
    <w:rsid w:val="2A8A2CF9"/>
    <w:rsid w:val="2AE73863"/>
    <w:rsid w:val="2B3A0E18"/>
    <w:rsid w:val="2B400820"/>
    <w:rsid w:val="2B7F6052"/>
    <w:rsid w:val="2BB864A4"/>
    <w:rsid w:val="2C4C3E76"/>
    <w:rsid w:val="2CF05B75"/>
    <w:rsid w:val="2CF25F54"/>
    <w:rsid w:val="2DBD794B"/>
    <w:rsid w:val="2E6A0DCD"/>
    <w:rsid w:val="2EA80B40"/>
    <w:rsid w:val="2F5D728F"/>
    <w:rsid w:val="2F791738"/>
    <w:rsid w:val="2FE921F7"/>
    <w:rsid w:val="2FED39A4"/>
    <w:rsid w:val="304E0C8A"/>
    <w:rsid w:val="320B2964"/>
    <w:rsid w:val="326F6647"/>
    <w:rsid w:val="32E10921"/>
    <w:rsid w:val="3308314E"/>
    <w:rsid w:val="33496CB7"/>
    <w:rsid w:val="335D0864"/>
    <w:rsid w:val="33BA6ECE"/>
    <w:rsid w:val="33F5263D"/>
    <w:rsid w:val="34547575"/>
    <w:rsid w:val="34A7597F"/>
    <w:rsid w:val="350663DF"/>
    <w:rsid w:val="3510022D"/>
    <w:rsid w:val="359C614A"/>
    <w:rsid w:val="35AF3439"/>
    <w:rsid w:val="35EC099F"/>
    <w:rsid w:val="360327D0"/>
    <w:rsid w:val="362B69BA"/>
    <w:rsid w:val="36857170"/>
    <w:rsid w:val="36970B97"/>
    <w:rsid w:val="37857620"/>
    <w:rsid w:val="382607A7"/>
    <w:rsid w:val="3852589B"/>
    <w:rsid w:val="3862043E"/>
    <w:rsid w:val="38815CBD"/>
    <w:rsid w:val="389C7905"/>
    <w:rsid w:val="38B029D5"/>
    <w:rsid w:val="393734D5"/>
    <w:rsid w:val="393E67AA"/>
    <w:rsid w:val="3971636A"/>
    <w:rsid w:val="39EB6FB8"/>
    <w:rsid w:val="3A1B2A12"/>
    <w:rsid w:val="3A9011B9"/>
    <w:rsid w:val="3A980D91"/>
    <w:rsid w:val="3B35055F"/>
    <w:rsid w:val="3B750C23"/>
    <w:rsid w:val="3BBD37BC"/>
    <w:rsid w:val="3C4D7A69"/>
    <w:rsid w:val="3CC82E49"/>
    <w:rsid w:val="3CFB49D2"/>
    <w:rsid w:val="3D082D39"/>
    <w:rsid w:val="3DA2028F"/>
    <w:rsid w:val="3EC1656B"/>
    <w:rsid w:val="3ED14080"/>
    <w:rsid w:val="3EDE30D2"/>
    <w:rsid w:val="3FAA7C29"/>
    <w:rsid w:val="3FC84FD9"/>
    <w:rsid w:val="40F179A3"/>
    <w:rsid w:val="41134D67"/>
    <w:rsid w:val="41443C8D"/>
    <w:rsid w:val="414D50B1"/>
    <w:rsid w:val="4185372B"/>
    <w:rsid w:val="418B2C01"/>
    <w:rsid w:val="419A1761"/>
    <w:rsid w:val="41A76A10"/>
    <w:rsid w:val="41D14192"/>
    <w:rsid w:val="43A65AEB"/>
    <w:rsid w:val="43FE6D40"/>
    <w:rsid w:val="44325442"/>
    <w:rsid w:val="445A5AE3"/>
    <w:rsid w:val="44B107A9"/>
    <w:rsid w:val="455C24D2"/>
    <w:rsid w:val="45C34E0C"/>
    <w:rsid w:val="465945C7"/>
    <w:rsid w:val="466F3FD8"/>
    <w:rsid w:val="467428E9"/>
    <w:rsid w:val="46AC7959"/>
    <w:rsid w:val="46F71F0E"/>
    <w:rsid w:val="476D73D9"/>
    <w:rsid w:val="485E642B"/>
    <w:rsid w:val="4894414B"/>
    <w:rsid w:val="48A96880"/>
    <w:rsid w:val="48FA1F37"/>
    <w:rsid w:val="49133ED6"/>
    <w:rsid w:val="499C225B"/>
    <w:rsid w:val="4A2E626D"/>
    <w:rsid w:val="4AFA4B90"/>
    <w:rsid w:val="4B262160"/>
    <w:rsid w:val="4B686C86"/>
    <w:rsid w:val="4BB817A8"/>
    <w:rsid w:val="4C301F11"/>
    <w:rsid w:val="4C4D7514"/>
    <w:rsid w:val="4C4F6C9A"/>
    <w:rsid w:val="4C7E3EFD"/>
    <w:rsid w:val="4CAB3875"/>
    <w:rsid w:val="4CB50201"/>
    <w:rsid w:val="4CCD127D"/>
    <w:rsid w:val="4D2E1D74"/>
    <w:rsid w:val="4D302A92"/>
    <w:rsid w:val="4D6D2E4B"/>
    <w:rsid w:val="4DAA1422"/>
    <w:rsid w:val="4DE82905"/>
    <w:rsid w:val="4E2F0BC1"/>
    <w:rsid w:val="4E5975F2"/>
    <w:rsid w:val="4E694A6E"/>
    <w:rsid w:val="4E7144A1"/>
    <w:rsid w:val="4F4B60E1"/>
    <w:rsid w:val="4F932486"/>
    <w:rsid w:val="4F9B5BD7"/>
    <w:rsid w:val="50261709"/>
    <w:rsid w:val="50A11CE1"/>
    <w:rsid w:val="50A57469"/>
    <w:rsid w:val="50E70FB1"/>
    <w:rsid w:val="50F334DA"/>
    <w:rsid w:val="513546F9"/>
    <w:rsid w:val="515D3749"/>
    <w:rsid w:val="51E6424E"/>
    <w:rsid w:val="522C1FD0"/>
    <w:rsid w:val="52F62453"/>
    <w:rsid w:val="53572DB9"/>
    <w:rsid w:val="539C3C14"/>
    <w:rsid w:val="544E1C64"/>
    <w:rsid w:val="54666A06"/>
    <w:rsid w:val="55327461"/>
    <w:rsid w:val="566D702A"/>
    <w:rsid w:val="568E6452"/>
    <w:rsid w:val="57262613"/>
    <w:rsid w:val="57310012"/>
    <w:rsid w:val="579A74BA"/>
    <w:rsid w:val="57B16FA6"/>
    <w:rsid w:val="57B42DE1"/>
    <w:rsid w:val="57DF53DB"/>
    <w:rsid w:val="57FF2051"/>
    <w:rsid w:val="580F355F"/>
    <w:rsid w:val="58144BF6"/>
    <w:rsid w:val="586F4D4A"/>
    <w:rsid w:val="589300EC"/>
    <w:rsid w:val="589623CE"/>
    <w:rsid w:val="58D57FA2"/>
    <w:rsid w:val="59825D4A"/>
    <w:rsid w:val="59A95BAF"/>
    <w:rsid w:val="59B801F9"/>
    <w:rsid w:val="59CC18BA"/>
    <w:rsid w:val="5A20261E"/>
    <w:rsid w:val="5A652A1E"/>
    <w:rsid w:val="5A8108AD"/>
    <w:rsid w:val="5AA02D24"/>
    <w:rsid w:val="5AA566A8"/>
    <w:rsid w:val="5AC266C0"/>
    <w:rsid w:val="5B1F7F83"/>
    <w:rsid w:val="5B2D7584"/>
    <w:rsid w:val="5BD80E88"/>
    <w:rsid w:val="5BF24678"/>
    <w:rsid w:val="5BF343EC"/>
    <w:rsid w:val="5D231F56"/>
    <w:rsid w:val="5D4C11AD"/>
    <w:rsid w:val="5D6122D7"/>
    <w:rsid w:val="5D99654F"/>
    <w:rsid w:val="5DD11DF2"/>
    <w:rsid w:val="5DDF6FE6"/>
    <w:rsid w:val="5E09512E"/>
    <w:rsid w:val="5E451778"/>
    <w:rsid w:val="5ED63FC2"/>
    <w:rsid w:val="5EE45516"/>
    <w:rsid w:val="5FD46899"/>
    <w:rsid w:val="5FD61FD6"/>
    <w:rsid w:val="60460965"/>
    <w:rsid w:val="604E0B00"/>
    <w:rsid w:val="6050634D"/>
    <w:rsid w:val="60AA7410"/>
    <w:rsid w:val="60CD4C8A"/>
    <w:rsid w:val="60F071A2"/>
    <w:rsid w:val="610A5F27"/>
    <w:rsid w:val="61354AB5"/>
    <w:rsid w:val="617F742F"/>
    <w:rsid w:val="62016700"/>
    <w:rsid w:val="621E2E05"/>
    <w:rsid w:val="622E5D39"/>
    <w:rsid w:val="63124DBD"/>
    <w:rsid w:val="635903D4"/>
    <w:rsid w:val="646B5557"/>
    <w:rsid w:val="65170A80"/>
    <w:rsid w:val="652C7C55"/>
    <w:rsid w:val="65B36EF1"/>
    <w:rsid w:val="65C97F87"/>
    <w:rsid w:val="65E60C0C"/>
    <w:rsid w:val="6604027D"/>
    <w:rsid w:val="66946F47"/>
    <w:rsid w:val="66C27ADE"/>
    <w:rsid w:val="677036EC"/>
    <w:rsid w:val="682E2769"/>
    <w:rsid w:val="684510B6"/>
    <w:rsid w:val="688D68D7"/>
    <w:rsid w:val="6A4D37F6"/>
    <w:rsid w:val="6A970962"/>
    <w:rsid w:val="6A9E47C4"/>
    <w:rsid w:val="6AAE5576"/>
    <w:rsid w:val="6ABD6C3B"/>
    <w:rsid w:val="6AF76ABC"/>
    <w:rsid w:val="6AFD23D9"/>
    <w:rsid w:val="6B23775C"/>
    <w:rsid w:val="6B402CCB"/>
    <w:rsid w:val="6B5D6B38"/>
    <w:rsid w:val="6BA41B32"/>
    <w:rsid w:val="6BE373CC"/>
    <w:rsid w:val="6BFF0C25"/>
    <w:rsid w:val="6C2966F6"/>
    <w:rsid w:val="6C5E5250"/>
    <w:rsid w:val="6CCA0C5F"/>
    <w:rsid w:val="6DD27E63"/>
    <w:rsid w:val="6E4D7C1E"/>
    <w:rsid w:val="6EA35A1F"/>
    <w:rsid w:val="6EAA3D3E"/>
    <w:rsid w:val="6ED004D7"/>
    <w:rsid w:val="6ED256FD"/>
    <w:rsid w:val="6EE131BA"/>
    <w:rsid w:val="6F74423D"/>
    <w:rsid w:val="7005092F"/>
    <w:rsid w:val="70772316"/>
    <w:rsid w:val="70F76756"/>
    <w:rsid w:val="7114779B"/>
    <w:rsid w:val="712868A1"/>
    <w:rsid w:val="7130783B"/>
    <w:rsid w:val="71562100"/>
    <w:rsid w:val="729A79A5"/>
    <w:rsid w:val="72C316BB"/>
    <w:rsid w:val="72DC013B"/>
    <w:rsid w:val="72F06AFF"/>
    <w:rsid w:val="73D87888"/>
    <w:rsid w:val="73D918B9"/>
    <w:rsid w:val="73E170BF"/>
    <w:rsid w:val="741E53F6"/>
    <w:rsid w:val="742A6E7B"/>
    <w:rsid w:val="743C7B32"/>
    <w:rsid w:val="74457D7C"/>
    <w:rsid w:val="74825AD5"/>
    <w:rsid w:val="74873A10"/>
    <w:rsid w:val="754B5B39"/>
    <w:rsid w:val="75A9354E"/>
    <w:rsid w:val="75B76BAF"/>
    <w:rsid w:val="75BA0406"/>
    <w:rsid w:val="75E60A12"/>
    <w:rsid w:val="75EB06EF"/>
    <w:rsid w:val="761B655E"/>
    <w:rsid w:val="77663D48"/>
    <w:rsid w:val="779E2B03"/>
    <w:rsid w:val="78056F76"/>
    <w:rsid w:val="78FB0FDD"/>
    <w:rsid w:val="7B244D46"/>
    <w:rsid w:val="7C1365AE"/>
    <w:rsid w:val="7CA705F6"/>
    <w:rsid w:val="7CCD2795"/>
    <w:rsid w:val="7D2D0BB7"/>
    <w:rsid w:val="7D4C0316"/>
    <w:rsid w:val="7D8958FB"/>
    <w:rsid w:val="7DFB469E"/>
    <w:rsid w:val="7E8C52A1"/>
    <w:rsid w:val="7EBD2773"/>
    <w:rsid w:val="7EBF0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w:basedOn w:val="1"/>
    <w:next w:val="1"/>
    <w:qFormat/>
    <w:uiPriority w:val="0"/>
    <w:pPr>
      <w:spacing w:after="120"/>
    </w:pPr>
    <w:rPr>
      <w:rFonts w:ascii="Times New Roman" w:hAnsi="Times New Roman"/>
      <w:szCs w:val="24"/>
    </w:rPr>
  </w:style>
  <w:style w:type="paragraph" w:styleId="6">
    <w:name w:val="Plain Text"/>
    <w:basedOn w:val="1"/>
    <w:qFormat/>
    <w:uiPriority w:val="0"/>
    <w:rPr>
      <w:rFonts w:ascii="宋体" w:hAnsi="Courier New" w:eastAsia="宋体" w:cs="Times New Roman"/>
      <w:kern w:val="0"/>
      <w:sz w:val="20"/>
      <w:szCs w:val="21"/>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9">
    <w:name w:val="toc 1"/>
    <w:basedOn w:val="1"/>
    <w:next w:val="1"/>
    <w:qFormat/>
    <w:uiPriority w:val="0"/>
    <w:pPr>
      <w:adjustRightInd w:val="0"/>
      <w:snapToGrid w:val="0"/>
    </w:pPr>
    <w:rPr>
      <w:rFonts w:ascii="Times New Roman" w:hAnsi="Times New Roman" w:eastAsia="仿宋" w:cs="Times New Roman"/>
      <w:szCs w:val="24"/>
    </w:rPr>
  </w:style>
  <w:style w:type="paragraph" w:styleId="10">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2">
    <w:name w:val="page number"/>
    <w:basedOn w:val="11"/>
    <w:qFormat/>
    <w:uiPriority w:val="0"/>
  </w:style>
  <w:style w:type="paragraph" w:customStyle="1" w:styleId="14">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5">
    <w:name w:val="_Style 3"/>
    <w:basedOn w:val="1"/>
    <w:qFormat/>
    <w:uiPriority w:val="0"/>
    <w:pPr>
      <w:ind w:firstLine="420" w:firstLineChars="200"/>
    </w:pPr>
    <w:rPr>
      <w:szCs w:val="20"/>
    </w:rPr>
  </w:style>
  <w:style w:type="paragraph" w:customStyle="1" w:styleId="16">
    <w:name w:val="列出段落1"/>
    <w:basedOn w:val="1"/>
    <w:unhideWhenUsed/>
    <w:qFormat/>
    <w:uiPriority w:val="99"/>
    <w:pPr>
      <w:ind w:firstLine="420" w:firstLineChars="200"/>
    </w:pPr>
    <w:rPr>
      <w:rFonts w:ascii="Calibri" w:hAnsi="Calibri" w:eastAsia="宋体" w:cs="Times New Roman"/>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8">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3558</Words>
  <Characters>20285</Characters>
  <Lines>169</Lines>
  <Paragraphs>47</Paragraphs>
  <ScaleCrop>false</ScaleCrop>
  <LinksUpToDate>false</LinksUpToDate>
  <CharactersWithSpaces>23796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2023-06-02T12:58:38Z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