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场区第五立面整治项目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二Ο二三年六月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18"/>
        </w:rPr>
      </w:pPr>
      <w:bookmarkStart w:id="1" w:name="_Toc525202077"/>
      <w:bookmarkStart w:id="2" w:name="_Toc525132432"/>
      <w:bookmarkStart w:id="3" w:name="_Toc33099959"/>
      <w:bookmarkStart w:id="4" w:name="_Toc32853628"/>
      <w:r>
        <w:rPr>
          <w:rStyle w:val="18"/>
          <w:rFonts w:hint="eastAsia"/>
        </w:rPr>
        <w:t>目</w:t>
      </w:r>
      <w:r>
        <w:rPr>
          <w:rStyle w:val="18"/>
        </w:rPr>
        <w:t xml:space="preserve"> </w:t>
      </w:r>
      <w:r>
        <w:rPr>
          <w:rStyle w:val="18"/>
          <w:rFonts w:hint="eastAsia"/>
        </w:rPr>
        <w:t>录</w:t>
      </w:r>
      <w:bookmarkEnd w:id="0"/>
      <w:bookmarkEnd w:id="1"/>
      <w:bookmarkEnd w:id="2"/>
      <w:bookmarkEnd w:id="3"/>
      <w:bookmarkEnd w:id="4"/>
    </w:p>
    <w:p>
      <w:pPr>
        <w:pStyle w:val="10"/>
        <w:tabs>
          <w:tab w:val="right" w:leader="dot" w:pos="9457"/>
        </w:tabs>
        <w:rPr>
          <w:rFonts w:ascii="微软雅黑" w:cs="微软雅黑"/>
          <w:b/>
          <w:spacing w:val="2"/>
          <w:w w:val="99"/>
          <w:kern w:val="0"/>
          <w:sz w:val="36"/>
          <w:szCs w:val="36"/>
        </w:rPr>
      </w:pPr>
    </w:p>
    <w:p>
      <w:pPr>
        <w:pStyle w:val="10"/>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0"/>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17"/>
          <w:rFonts w:hint="eastAsia" w:ascii="宋体" w:hAnsi="宋体"/>
        </w:rPr>
        <w:t>第一章</w:t>
      </w:r>
      <w:r>
        <w:rPr>
          <w:rStyle w:val="17"/>
          <w:rFonts w:ascii="宋体" w:hAnsi="宋体"/>
        </w:rPr>
        <w:t xml:space="preserve">  </w:t>
      </w:r>
      <w:r>
        <w:rPr>
          <w:rStyle w:val="17"/>
          <w:rFonts w:hint="eastAsia" w:ascii="宋体" w:hAnsi="宋体"/>
        </w:rPr>
        <w:t>招标公告</w:t>
      </w:r>
      <w:r>
        <w:rPr>
          <w:rStyle w:val="17"/>
          <w:rFonts w:ascii="宋体" w:hAnsi="宋体"/>
        </w:rPr>
        <w:t>(</w:t>
      </w:r>
      <w:r>
        <w:rPr>
          <w:rStyle w:val="17"/>
          <w:rFonts w:hint="eastAsia" w:ascii="宋体" w:hAnsi="宋体"/>
        </w:rPr>
        <w:t>适用于公开招标</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17"/>
          <w:rFonts w:hint="eastAsia" w:ascii="宋体" w:hAnsi="宋体"/>
        </w:rPr>
        <w:t>第二章</w:t>
      </w:r>
      <w:r>
        <w:rPr>
          <w:rStyle w:val="17"/>
          <w:rFonts w:ascii="宋体" w:hAnsi="宋体"/>
        </w:rPr>
        <w:t xml:space="preserve">  </w:t>
      </w:r>
      <w:r>
        <w:rPr>
          <w:rStyle w:val="17"/>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17"/>
          <w:rFonts w:hint="eastAsia" w:ascii="宋体" w:hAnsi="宋体"/>
        </w:rPr>
        <w:t>第三章</w:t>
      </w:r>
      <w:r>
        <w:rPr>
          <w:rStyle w:val="17"/>
          <w:rFonts w:ascii="宋体" w:hAnsi="宋体"/>
        </w:rPr>
        <w:t xml:space="preserve">  </w:t>
      </w:r>
      <w:r>
        <w:rPr>
          <w:rStyle w:val="17"/>
          <w:rFonts w:hint="eastAsia" w:ascii="宋体" w:hAnsi="宋体"/>
        </w:rPr>
        <w:t>评标办法</w:t>
      </w:r>
      <w:r>
        <w:rPr>
          <w:rStyle w:val="17"/>
          <w:rFonts w:ascii="宋体" w:hAnsi="宋体"/>
        </w:rPr>
        <w:t>(</w:t>
      </w:r>
      <w:r>
        <w:rPr>
          <w:rStyle w:val="17"/>
          <w:rFonts w:hint="eastAsia" w:ascii="宋体" w:hAnsi="宋体"/>
        </w:rPr>
        <w:t>适用于综合评估法</w:t>
      </w:r>
      <w:r>
        <w:rPr>
          <w:rStyle w:val="17"/>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17"/>
          <w:rFonts w:hint="eastAsia" w:ascii="宋体" w:hAnsi="宋体"/>
        </w:rPr>
        <w:t>第四章</w:t>
      </w:r>
      <w:r>
        <w:rPr>
          <w:rStyle w:val="17"/>
          <w:rFonts w:ascii="宋体" w:hAnsi="宋体"/>
        </w:rPr>
        <w:t xml:space="preserve">  </w:t>
      </w:r>
      <w:r>
        <w:rPr>
          <w:rStyle w:val="17"/>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17"/>
          <w:rFonts w:hint="eastAsia" w:ascii="宋体" w:hAnsi="宋体"/>
        </w:rPr>
        <w:t>第五章</w:t>
      </w:r>
      <w:r>
        <w:rPr>
          <w:rStyle w:val="17"/>
          <w:rFonts w:ascii="宋体" w:hAnsi="宋体"/>
        </w:rPr>
        <w:t xml:space="preserve">  </w:t>
      </w:r>
      <w:r>
        <w:rPr>
          <w:rStyle w:val="17"/>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17"/>
          <w:rFonts w:hint="eastAsia" w:ascii="宋体" w:hAnsi="宋体"/>
        </w:rPr>
        <w:t>第六章</w:t>
      </w:r>
      <w:r>
        <w:rPr>
          <w:rStyle w:val="17"/>
          <w:rFonts w:ascii="宋体" w:hAnsi="宋体"/>
        </w:rPr>
        <w:t xml:space="preserve">  </w:t>
      </w:r>
      <w:r>
        <w:rPr>
          <w:rStyle w:val="17"/>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17"/>
          <w:rFonts w:hint="eastAsia" w:ascii="宋体" w:hAnsi="宋体"/>
        </w:rPr>
        <w:t>第七章</w:t>
      </w:r>
      <w:r>
        <w:rPr>
          <w:rStyle w:val="17"/>
          <w:rFonts w:ascii="宋体" w:hAnsi="宋体"/>
        </w:rPr>
        <w:t xml:space="preserve">  </w:t>
      </w:r>
      <w:r>
        <w:rPr>
          <w:rStyle w:val="17"/>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10"/>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17"/>
          <w:rFonts w:hint="eastAsia" w:ascii="宋体" w:hAnsi="宋体"/>
        </w:rPr>
        <w:t>第八章</w:t>
      </w:r>
      <w:r>
        <w:rPr>
          <w:rStyle w:val="17"/>
          <w:rFonts w:ascii="宋体" w:hAnsi="宋体"/>
        </w:rPr>
        <w:t xml:space="preserve">  </w:t>
      </w:r>
      <w:r>
        <w:rPr>
          <w:rStyle w:val="17"/>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4"/>
        <w:spacing w:line="360" w:lineRule="auto"/>
        <w:ind w:right="57"/>
        <w:jc w:val="center"/>
        <w:rPr>
          <w:rFonts w:ascii="宋体" w:hAnsi="宋体"/>
          <w:color w:val="000000" w:themeColor="text1"/>
          <w:sz w:val="22"/>
          <w:szCs w:val="22"/>
          <w14:textFill>
            <w14:solidFill>
              <w14:schemeClr w14:val="tx1"/>
            </w14:solidFill>
          </w14:textFill>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pStyle w:val="5"/>
        <w:snapToGrid w:val="0"/>
        <w:spacing w:line="360" w:lineRule="exact"/>
        <w:ind w:firstLine="0" w:firstLineChars="0"/>
        <w:rPr>
          <w:rFonts w:ascii="宋体" w:hAnsi="宋体"/>
          <w:color w:val="000000" w:themeColor="text1"/>
          <w:sz w:val="22"/>
          <w:szCs w:val="22"/>
          <w14:textFill>
            <w14:solidFill>
              <w14:schemeClr w14:val="tx1"/>
            </w14:solidFill>
          </w14:textFill>
        </w:rPr>
      </w:pPr>
      <w:bookmarkStart w:id="6" w:name="_bookmark2"/>
      <w:bookmarkEnd w:id="6"/>
      <w:r>
        <w:rPr>
          <w:rFonts w:ascii="宋体" w:hAnsi="宋体"/>
          <w:color w:val="000000" w:themeColor="text1"/>
          <w:sz w:val="22"/>
          <w:szCs w:val="22"/>
          <w14:textFill>
            <w14:solidFill>
              <w14:schemeClr w14:val="tx1"/>
            </w14:solidFill>
          </w14:textFill>
        </w:rPr>
        <w:t>1.招标条件</w:t>
      </w:r>
    </w:p>
    <w:p>
      <w:pPr>
        <w:pStyle w:val="5"/>
        <w:snapToGrid w:val="0"/>
        <w:spacing w:line="360" w:lineRule="exact"/>
        <w:ind w:firstLine="44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u w:val="single"/>
          <w14:textFill>
            <w14:solidFill>
              <w14:schemeClr w14:val="tx1"/>
            </w14:solidFill>
          </w14:textFill>
        </w:rPr>
        <w:t>场区第五立面整治项目</w:t>
      </w:r>
      <w:r>
        <w:rPr>
          <w:rFonts w:ascii="宋体" w:hAnsi="宋体"/>
          <w:b w:val="0"/>
          <w:bCs w:val="0"/>
          <w:color w:val="000000" w:themeColor="text1"/>
          <w:sz w:val="22"/>
          <w:szCs w:val="22"/>
          <w14:textFill>
            <w14:solidFill>
              <w14:schemeClr w14:val="tx1"/>
            </w14:solidFill>
          </w14:textFill>
        </w:rPr>
        <w:t>(项目名称)招标人为</w:t>
      </w:r>
      <w:r>
        <w:rPr>
          <w:rFonts w:hint="eastAsia" w:ascii="宋体" w:hAnsi="宋体"/>
          <w:b w:val="0"/>
          <w:bCs w:val="0"/>
          <w:color w:val="000000" w:themeColor="text1"/>
          <w:sz w:val="22"/>
          <w:szCs w:val="22"/>
          <w:u w:val="single"/>
          <w14:textFill>
            <w14:solidFill>
              <w14:schemeClr w14:val="tx1"/>
            </w14:solidFill>
          </w14:textFill>
        </w:rPr>
        <w:t>杭州萧山国际机场有限公司</w:t>
      </w:r>
      <w:r>
        <w:rPr>
          <w:rFonts w:ascii="宋体" w:hAnsi="宋体"/>
          <w:b w:val="0"/>
          <w:bCs w:val="0"/>
          <w:color w:val="000000" w:themeColor="text1"/>
          <w:sz w:val="22"/>
          <w:szCs w:val="22"/>
          <w14:textFill>
            <w14:solidFill>
              <w14:schemeClr w14:val="tx1"/>
            </w14:solidFill>
          </w14:textFill>
        </w:rPr>
        <w:t>，招标项目资金来自</w:t>
      </w:r>
      <w:r>
        <w:rPr>
          <w:rFonts w:hint="eastAsia" w:ascii="宋体" w:hAnsi="宋体"/>
          <w:b w:val="0"/>
          <w:bCs w:val="0"/>
          <w:color w:val="000000" w:themeColor="text1"/>
          <w:sz w:val="22"/>
          <w:szCs w:val="22"/>
          <w:u w:val="single"/>
          <w14:textFill>
            <w14:solidFill>
              <w14:schemeClr w14:val="tx1"/>
            </w14:solidFill>
          </w14:textFill>
        </w:rPr>
        <w:t>自筹</w:t>
      </w:r>
      <w:r>
        <w:rPr>
          <w:rFonts w:ascii="宋体" w:hAnsi="宋体"/>
          <w:b w:val="0"/>
          <w:bCs w:val="0"/>
          <w:color w:val="000000" w:themeColor="text1"/>
          <w:sz w:val="22"/>
          <w:szCs w:val="22"/>
          <w14:textFill>
            <w14:solidFill>
              <w14:schemeClr w14:val="tx1"/>
            </w14:solidFill>
          </w14:textFill>
        </w:rPr>
        <w:t>，出资比例为</w:t>
      </w:r>
      <w:r>
        <w:rPr>
          <w:rFonts w:hint="eastAsia" w:ascii="宋体" w:hAnsi="宋体"/>
          <w:b w:val="0"/>
          <w:bCs w:val="0"/>
          <w:color w:val="000000" w:themeColor="text1"/>
          <w:sz w:val="22"/>
          <w:szCs w:val="22"/>
          <w:u w:val="single"/>
          <w14:textFill>
            <w14:solidFill>
              <w14:schemeClr w14:val="tx1"/>
            </w14:solidFill>
          </w14:textFill>
        </w:rPr>
        <w:t>100%</w:t>
      </w:r>
      <w:r>
        <w:rPr>
          <w:rFonts w:ascii="宋体" w:hAnsi="宋体"/>
          <w:b w:val="0"/>
          <w:bCs w:val="0"/>
          <w:color w:val="000000" w:themeColor="text1"/>
          <w:sz w:val="22"/>
          <w:szCs w:val="22"/>
          <w14:textFill>
            <w14:solidFill>
              <w14:schemeClr w14:val="tx1"/>
            </w14:solidFill>
          </w14:textFill>
        </w:rPr>
        <w:t>。该项目已具备招标条件，现对</w:t>
      </w:r>
      <w:r>
        <w:rPr>
          <w:rFonts w:hint="eastAsia" w:ascii="宋体" w:hAnsi="宋体"/>
          <w:b w:val="0"/>
          <w:bCs w:val="0"/>
          <w:color w:val="000000" w:themeColor="text1"/>
          <w:sz w:val="22"/>
          <w:szCs w:val="22"/>
          <w14:textFill>
            <w14:solidFill>
              <w14:schemeClr w14:val="tx1"/>
            </w14:solidFill>
          </w14:textFill>
        </w:rPr>
        <w:t>本项目</w:t>
      </w:r>
      <w:r>
        <w:rPr>
          <w:rFonts w:ascii="宋体" w:hAnsi="宋体"/>
          <w:b w:val="0"/>
          <w:bCs w:val="0"/>
          <w:color w:val="000000" w:themeColor="text1"/>
          <w:sz w:val="22"/>
          <w:szCs w:val="22"/>
          <w14:textFill>
            <w14:solidFill>
              <w14:schemeClr w14:val="tx1"/>
            </w14:solidFill>
          </w14:textFill>
        </w:rPr>
        <w:t>进行公开招标。</w:t>
      </w:r>
    </w:p>
    <w:p>
      <w:pPr>
        <w:pStyle w:val="5"/>
        <w:snapToGrid w:val="0"/>
        <w:spacing w:line="360" w:lineRule="exact"/>
        <w:ind w:firstLine="0" w:firstLineChars="0"/>
        <w:rPr>
          <w:rFonts w:ascii="宋体" w:hAnsi="宋体"/>
          <w:color w:val="000000" w:themeColor="text1"/>
          <w:sz w:val="22"/>
          <w:szCs w:val="22"/>
          <w14:textFill>
            <w14:solidFill>
              <w14:schemeClr w14:val="tx1"/>
            </w14:solidFill>
          </w14:textFill>
        </w:rPr>
      </w:pPr>
      <w:bookmarkStart w:id="7" w:name="_bookmark3"/>
      <w:bookmarkEnd w:id="7"/>
      <w:r>
        <w:rPr>
          <w:rFonts w:ascii="宋体" w:hAnsi="宋体"/>
          <w:color w:val="000000" w:themeColor="text1"/>
          <w:sz w:val="22"/>
          <w:szCs w:val="22"/>
          <w14:textFill>
            <w14:solidFill>
              <w14:schemeClr w14:val="tx1"/>
            </w14:solidFill>
          </w14:textFill>
        </w:rPr>
        <w:t>2.</w:t>
      </w:r>
      <w:r>
        <w:rPr>
          <w:rFonts w:hint="eastAsia" w:ascii="宋体" w:hAnsi="宋体"/>
          <w:color w:val="000000" w:themeColor="text1"/>
          <w:sz w:val="22"/>
          <w:szCs w:val="22"/>
          <w14:textFill>
            <w14:solidFill>
              <w14:schemeClr w14:val="tx1"/>
            </w14:solidFill>
          </w14:textFill>
        </w:rPr>
        <w:t>招标范围和内容</w:t>
      </w:r>
    </w:p>
    <w:p>
      <w:pPr>
        <w:pStyle w:val="5"/>
        <w:snapToGrid w:val="0"/>
        <w:spacing w:line="360" w:lineRule="exact"/>
        <w:ind w:firstLine="0" w:firstLineChars="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14:textFill>
            <w14:solidFill>
              <w14:schemeClr w14:val="tx1"/>
            </w14:solidFill>
          </w14:textFill>
        </w:rPr>
        <w:t>2</w:t>
      </w:r>
      <w:r>
        <w:rPr>
          <w:rFonts w:ascii="宋体" w:hAnsi="宋体"/>
          <w:b w:val="0"/>
          <w:bCs w:val="0"/>
          <w:color w:val="000000" w:themeColor="text1"/>
          <w:sz w:val="22"/>
          <w:szCs w:val="22"/>
          <w14:textFill>
            <w14:solidFill>
              <w14:schemeClr w14:val="tx1"/>
            </w14:solidFill>
          </w14:textFill>
        </w:rPr>
        <w:t xml:space="preserve">.1 </w:t>
      </w:r>
      <w:r>
        <w:rPr>
          <w:rFonts w:hint="eastAsia" w:ascii="宋体" w:hAnsi="宋体"/>
          <w:b w:val="0"/>
          <w:bCs w:val="0"/>
          <w:color w:val="000000" w:themeColor="text1"/>
          <w:sz w:val="22"/>
          <w:szCs w:val="22"/>
          <w14:textFill>
            <w14:solidFill>
              <w14:schemeClr w14:val="tx1"/>
            </w14:solidFill>
          </w14:textFill>
        </w:rPr>
        <w:t>招标范围和内容</w:t>
      </w:r>
      <w:r>
        <w:rPr>
          <w:rFonts w:ascii="宋体" w:hAnsi="宋体"/>
          <w:b w:val="0"/>
          <w:bCs w:val="0"/>
          <w:color w:val="000000" w:themeColor="text1"/>
          <w:sz w:val="22"/>
          <w:szCs w:val="22"/>
          <w14:textFill>
            <w14:solidFill>
              <w14:schemeClr w14:val="tx1"/>
            </w14:solidFill>
          </w14:textFill>
        </w:rPr>
        <w:t>：</w:t>
      </w:r>
      <w:r>
        <w:rPr>
          <w:rFonts w:hint="eastAsia" w:ascii="宋体" w:hAnsi="宋体"/>
          <w:b w:val="0"/>
          <w:bCs w:val="0"/>
          <w:color w:val="000000" w:themeColor="text1"/>
          <w:sz w:val="22"/>
          <w:szCs w:val="22"/>
          <w14:textFill>
            <w14:solidFill>
              <w14:schemeClr w14:val="tx1"/>
            </w14:solidFill>
          </w14:textFill>
        </w:rPr>
        <w:t>杭州萧山国际机场场区范围内的钢棚表面油漆已经脱落斑驳，需重新刷油漆；</w:t>
      </w:r>
    </w:p>
    <w:p>
      <w:pPr>
        <w:pStyle w:val="5"/>
        <w:snapToGrid w:val="0"/>
        <w:spacing w:line="360" w:lineRule="exact"/>
        <w:ind w:firstLine="0" w:firstLineChars="0"/>
        <w:rPr>
          <w:rFonts w:ascii="宋体" w:hAnsi="宋体"/>
          <w:b w:val="0"/>
          <w:bCs w:val="0"/>
          <w:color w:val="000000" w:themeColor="text1"/>
          <w:sz w:val="22"/>
          <w:szCs w:val="22"/>
          <w14:textFill>
            <w14:solidFill>
              <w14:schemeClr w14:val="tx1"/>
            </w14:solidFill>
          </w14:textFill>
        </w:rPr>
      </w:pPr>
      <w:r>
        <w:rPr>
          <w:rFonts w:hint="eastAsia" w:ascii="宋体" w:hAnsi="宋体"/>
          <w:b w:val="0"/>
          <w:bCs w:val="0"/>
          <w:color w:val="000000" w:themeColor="text1"/>
          <w:sz w:val="22"/>
          <w:szCs w:val="22"/>
          <w14:textFill>
            <w14:solidFill>
              <w14:schemeClr w14:val="tx1"/>
            </w14:solidFill>
          </w14:textFill>
        </w:rPr>
        <w:t>2.2 工期要求：本工程设</w:t>
      </w:r>
      <w:r>
        <w:rPr>
          <w:rFonts w:ascii="宋体" w:hAnsi="宋体"/>
          <w:b w:val="0"/>
          <w:bCs w:val="0"/>
          <w:color w:val="000000" w:themeColor="text1"/>
          <w:sz w:val="22"/>
          <w:szCs w:val="22"/>
          <w14:textFill>
            <w14:solidFill>
              <w14:schemeClr w14:val="tx1"/>
            </w14:solidFill>
          </w14:textFill>
        </w:rPr>
        <w:t>一个标段，要求合同</w:t>
      </w:r>
      <w:r>
        <w:rPr>
          <w:rFonts w:hint="eastAsia" w:ascii="宋体" w:hAnsi="宋体"/>
          <w:b w:val="0"/>
          <w:bCs w:val="0"/>
          <w:color w:val="000000" w:themeColor="text1"/>
          <w:sz w:val="22"/>
          <w:szCs w:val="22"/>
          <w14:textFill>
            <w14:solidFill>
              <w14:schemeClr w14:val="tx1"/>
            </w14:solidFill>
          </w14:textFill>
        </w:rPr>
        <w:t>签订</w:t>
      </w:r>
      <w:r>
        <w:rPr>
          <w:rFonts w:ascii="宋体" w:hAnsi="宋体"/>
          <w:b w:val="0"/>
          <w:bCs w:val="0"/>
          <w:color w:val="000000" w:themeColor="text1"/>
          <w:sz w:val="22"/>
          <w:szCs w:val="22"/>
          <w14:textFill>
            <w14:solidFill>
              <w14:schemeClr w14:val="tx1"/>
            </w14:solidFill>
          </w14:textFill>
        </w:rPr>
        <w:t>后</w:t>
      </w:r>
      <w:r>
        <w:rPr>
          <w:rFonts w:hint="eastAsia" w:ascii="宋体" w:hAnsi="宋体"/>
          <w:b w:val="0"/>
          <w:bCs w:val="0"/>
          <w:color w:val="000000" w:themeColor="text1"/>
          <w:sz w:val="22"/>
          <w:szCs w:val="22"/>
          <w:u w:val="single"/>
          <w14:textFill>
            <w14:solidFill>
              <w14:schemeClr w14:val="tx1"/>
            </w14:solidFill>
          </w14:textFill>
        </w:rPr>
        <w:t xml:space="preserve"> 30 </w:t>
      </w:r>
      <w:r>
        <w:rPr>
          <w:rFonts w:hint="eastAsia" w:ascii="宋体" w:hAnsi="宋体"/>
          <w:b w:val="0"/>
          <w:bCs w:val="0"/>
          <w:color w:val="000000" w:themeColor="text1"/>
          <w:sz w:val="22"/>
          <w:szCs w:val="22"/>
          <w14:textFill>
            <w14:solidFill>
              <w14:schemeClr w14:val="tx1"/>
            </w14:solidFill>
          </w14:textFill>
        </w:rPr>
        <w:t xml:space="preserve"> 日历天</w:t>
      </w:r>
      <w:r>
        <w:rPr>
          <w:rFonts w:ascii="宋体" w:hAnsi="宋体"/>
          <w:b w:val="0"/>
          <w:bCs w:val="0"/>
          <w:color w:val="000000" w:themeColor="text1"/>
          <w:sz w:val="22"/>
          <w:szCs w:val="22"/>
          <w14:textFill>
            <w14:solidFill>
              <w14:schemeClr w14:val="tx1"/>
            </w14:solidFill>
          </w14:textFill>
        </w:rPr>
        <w:t>内完工</w:t>
      </w:r>
    </w:p>
    <w:p>
      <w:pPr>
        <w:pStyle w:val="5"/>
        <w:spacing w:before="70"/>
        <w:ind w:right="157" w:firstLine="0" w:firstLineChars="0"/>
        <w:rPr>
          <w:rFonts w:ascii="黑体" w:hAnsi="黑体" w:eastAsia="黑体"/>
        </w:rPr>
      </w:pPr>
      <w:bookmarkStart w:id="8" w:name="_bookmark4"/>
      <w:bookmarkEnd w:id="8"/>
      <w:r>
        <w:rPr>
          <w:rFonts w:ascii="黑体" w:hAnsi="黑体" w:eastAsia="黑体"/>
        </w:rPr>
        <w:t>3.投标人资格要求</w:t>
      </w:r>
    </w:p>
    <w:p>
      <w:pPr>
        <w:pStyle w:val="3"/>
        <w:tabs>
          <w:tab w:val="left" w:pos="4394"/>
          <w:tab w:val="left" w:pos="5990"/>
        </w:tabs>
        <w:spacing w:line="331" w:lineRule="auto"/>
        <w:ind w:right="157"/>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①具备</w:t>
      </w:r>
      <w:r>
        <w:rPr>
          <w:rFonts w:hint="eastAsia" w:ascii="宋体" w:hAnsi="宋体" w:cs="宋体"/>
          <w:sz w:val="22"/>
        </w:rPr>
        <w:t>建筑工程施工总承包三级或建筑装修装饰工程专业承包二级</w:t>
      </w:r>
      <w:r>
        <w:rPr>
          <w:rFonts w:hint="eastAsia" w:cs="宋体"/>
        </w:rPr>
        <w:t>及以上资质。</w:t>
      </w:r>
    </w:p>
    <w:p>
      <w:pPr>
        <w:pStyle w:val="3"/>
        <w:tabs>
          <w:tab w:val="left" w:pos="4394"/>
          <w:tab w:val="left" w:pos="5990"/>
        </w:tabs>
        <w:spacing w:line="331" w:lineRule="auto"/>
        <w:ind w:right="157" w:firstLine="419"/>
        <w:rPr>
          <w:rFonts w:cs="宋体"/>
        </w:rPr>
      </w:pPr>
      <w:r>
        <w:rPr>
          <w:rFonts w:hint="eastAsia" w:cs="宋体"/>
        </w:rPr>
        <w:t>②具有有效的《安全生产许可证》。企业法定代表人、企业经理、企业技术负责人及企业分管安全的副经理具有“三类人员”A类证书；项目安全生产专职管理人员具有“三类人员”C类证书。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w:t>
      </w:r>
      <w:r>
        <w:rPr>
          <w:rFonts w:hint="eastAsia" w:ascii="Times New Roman" w:hAnsi="Times New Roma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cs="宋体"/>
        </w:rPr>
      </w:pPr>
      <w:r>
        <w:rPr>
          <w:rFonts w:hint="eastAsia" w:cs="宋体"/>
        </w:rPr>
        <w:t xml:space="preserve">⑤ </w:t>
      </w:r>
      <w:r>
        <w:rPr>
          <w:rFonts w:ascii="Times New Roman" w:hAnsi="Times New Roman" w:eastAsia="Times New Roman"/>
        </w:rPr>
        <w:t>20</w:t>
      </w:r>
      <w:r>
        <w:rPr>
          <w:rFonts w:hint="eastAsia" w:ascii="Times New Roman" w:hAnsi="Times New Roman"/>
        </w:rPr>
        <w:t>20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建筑物外墙刷漆项目  </w:t>
      </w:r>
      <w:r>
        <w:rPr>
          <w:rFonts w:hint="eastAsia" w:cs="宋体"/>
        </w:rPr>
        <w:t>），需提供中标通知书或合同复印件或竣（交）工验收记录（报告）并加盖投标人公章作为证明材料，原件备查。</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rPr>
        <w:t>不接受</w:t>
      </w:r>
      <w:r>
        <w:rPr>
          <w:spacing w:val="6"/>
        </w:rPr>
        <w:t>联合体投标。</w:t>
      </w:r>
    </w:p>
    <w:p>
      <w:pPr>
        <w:pStyle w:val="3"/>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
        <w:tabs>
          <w:tab w:val="left" w:pos="4394"/>
          <w:tab w:val="left" w:pos="5990"/>
        </w:tabs>
        <w:spacing w:line="331" w:lineRule="auto"/>
        <w:ind w:right="157" w:firstLine="419"/>
      </w:pPr>
      <w:r>
        <w:rPr>
          <w:rFonts w:hint="eastAsia"/>
        </w:rPr>
        <w:t>① 具有</w:t>
      </w:r>
      <w:r>
        <w:rPr>
          <w:rFonts w:hint="eastAsia" w:ascii="宋体" w:hAnsi="宋体" w:cs="宋体"/>
          <w:sz w:val="22"/>
        </w:rPr>
        <w:t xml:space="preserve">注册在投标人单位的 </w:t>
      </w:r>
      <w:r>
        <w:rPr>
          <w:rFonts w:hint="eastAsia" w:ascii="宋体" w:hAnsi="宋体" w:cs="宋体"/>
          <w:sz w:val="22"/>
          <w:u w:val="single"/>
        </w:rPr>
        <w:t xml:space="preserve">建筑 </w:t>
      </w:r>
      <w:r>
        <w:rPr>
          <w:rFonts w:hint="eastAsia" w:ascii="宋体" w:hAnsi="宋体" w:cs="宋体"/>
          <w:sz w:val="22"/>
        </w:rPr>
        <w:t>专业</w:t>
      </w:r>
      <w:r>
        <w:rPr>
          <w:rFonts w:hint="eastAsia"/>
        </w:rPr>
        <w:t xml:space="preserve">专业 </w:t>
      </w:r>
      <w:r>
        <w:rPr>
          <w:rFonts w:hint="eastAsia" w:ascii="宋体" w:hAnsi="宋体" w:cs="宋体"/>
          <w:sz w:val="22"/>
          <w:u w:val="single"/>
        </w:rPr>
        <w:t xml:space="preserve">二 </w:t>
      </w:r>
      <w:r>
        <w:rPr>
          <w:rFonts w:hint="eastAsia" w:ascii="宋体" w:hAnsi="宋体" w:cs="宋体"/>
          <w:sz w:val="22"/>
        </w:rPr>
        <w:t>级</w:t>
      </w:r>
      <w:r>
        <w:rPr>
          <w:rFonts w:hint="eastAsia"/>
        </w:rPr>
        <w:t>及以上注册建造师执业证书。</w:t>
      </w:r>
    </w:p>
    <w:p>
      <w:pPr>
        <w:pStyle w:val="3"/>
        <w:tabs>
          <w:tab w:val="left" w:pos="4394"/>
          <w:tab w:val="left" w:pos="5990"/>
        </w:tabs>
        <w:spacing w:line="331" w:lineRule="auto"/>
        <w:ind w:right="157" w:firstLine="419"/>
        <w:rPr>
          <w:rFonts w:cs="宋体"/>
        </w:rPr>
      </w:pPr>
      <w:r>
        <w:rPr>
          <w:rFonts w:hint="eastAsia"/>
          <w:spacing w:val="7"/>
        </w:rPr>
        <w:t>②</w:t>
      </w:r>
      <w:r>
        <w:rPr>
          <w:rFonts w:hint="eastAsia" w:cs="宋体"/>
        </w:rPr>
        <w:t>具有“三类人员”B类证书；</w:t>
      </w:r>
    </w:p>
    <w:p>
      <w:pPr>
        <w:pStyle w:val="3"/>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23</w:t>
      </w:r>
      <w:r>
        <w:rPr>
          <w:rFonts w:hint="eastAsia" w:cs="宋体"/>
        </w:rPr>
        <w:t>年</w:t>
      </w:r>
      <w:r>
        <w:rPr>
          <w:rFonts w:ascii="Times New Roman" w:hAnsi="Times New Roman" w:eastAsia="Times New Roman"/>
        </w:rPr>
        <w:t xml:space="preserve"> </w:t>
      </w:r>
      <w:r>
        <w:rPr>
          <w:rFonts w:hint="eastAsia" w:ascii="Times New Roman" w:hAnsi="Times New Roman"/>
        </w:rPr>
        <w:t>7</w:t>
      </w:r>
      <w:r>
        <w:rPr>
          <w:rFonts w:hint="eastAsia" w:cs="宋体"/>
        </w:rPr>
        <w:t>月12日</w:t>
      </w:r>
      <w:r>
        <w:rPr>
          <w:rFonts w:hint="eastAsia" w:ascii="Times New Roman" w:hAnsi="Times New Roman"/>
        </w:rPr>
        <w:t>9时00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rPr>
        <w:t>23</w:t>
      </w:r>
      <w:r>
        <w:rPr>
          <w:rFonts w:hint="eastAsia" w:cs="宋体"/>
        </w:rPr>
        <w:t>年</w:t>
      </w:r>
      <w:r>
        <w:rPr>
          <w:rFonts w:hint="eastAsia" w:ascii="Times New Roman" w:hAnsi="Times New Roman"/>
        </w:rPr>
        <w:t>7</w:t>
      </w:r>
      <w:r>
        <w:rPr>
          <w:rFonts w:hint="eastAsia" w:cs="宋体"/>
        </w:rPr>
        <w:t>月12日上午</w:t>
      </w:r>
      <w:r>
        <w:rPr>
          <w:rFonts w:hint="eastAsia" w:ascii="Times New Roman" w:hAnsi="Times New Roman"/>
        </w:rPr>
        <w:t>9时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hint="eastAsia" w:ascii="Times New Roman" w:hAnsi="Times New Roman"/>
        </w:rPr>
        <w:t>23</w:t>
      </w:r>
      <w:r>
        <w:rPr>
          <w:rFonts w:hint="eastAsia" w:cs="宋体"/>
        </w:rPr>
        <w:t>年</w:t>
      </w:r>
      <w:r>
        <w:rPr>
          <w:rFonts w:hint="eastAsia" w:ascii="Times New Roman" w:hAnsi="Times New Roman"/>
        </w:rPr>
        <w:t>7</w:t>
      </w:r>
      <w:r>
        <w:rPr>
          <w:rFonts w:hint="eastAsia" w:cs="宋体"/>
        </w:rPr>
        <w:t>月</w:t>
      </w:r>
      <w:r>
        <w:rPr>
          <w:rFonts w:hint="eastAsia" w:ascii="Times New Roman" w:hAnsi="Times New Roman"/>
        </w:rPr>
        <w:t>12</w:t>
      </w:r>
      <w:r>
        <w:rPr>
          <w:rFonts w:hint="eastAsia" w:cs="宋体"/>
        </w:rPr>
        <w:t>日上午</w:t>
      </w:r>
      <w:r>
        <w:rPr>
          <w:rFonts w:hint="eastAsia" w:ascii="Times New Roman" w:hAnsi="Times New Roman"/>
        </w:rPr>
        <w:t>9时</w:t>
      </w:r>
      <w:r>
        <w:rPr>
          <w:rFonts w:hint="eastAsia" w:ascii="Times New Roman" w:hAnsi="Times New Roman" w:eastAsia="Times New Roman"/>
        </w:rPr>
        <w:t>00</w:t>
      </w:r>
      <w:r>
        <w:rPr>
          <w:rFonts w:hint="eastAsia" w:cs="宋体"/>
        </w:rPr>
        <w:t>分(北京时间)前投递至杭州萧山国际机场交通中心B2021，逾期无效。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rPr>
        <w:t>6</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ascii="Times New Roman" w:hAnsi="Times New Roman"/>
        </w:rPr>
      </w:pPr>
      <w:r>
        <w:rPr>
          <w:rFonts w:hint="eastAsia" w:cs="宋体"/>
        </w:rPr>
        <w:t>投标联系人：盛工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联系电话：0571-83837738</w:t>
      </w:r>
    </w:p>
    <w:p>
      <w:pPr>
        <w:pStyle w:val="3"/>
        <w:tabs>
          <w:tab w:val="left" w:pos="4394"/>
          <w:tab w:val="left" w:pos="5990"/>
        </w:tabs>
        <w:spacing w:line="331" w:lineRule="auto"/>
        <w:ind w:right="157" w:firstLine="419"/>
        <w:rPr>
          <w:rFonts w:ascii="Times New Roman" w:hAnsi="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rPr>
        <w:t>孟工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联系电话：0571-83837728</w:t>
      </w:r>
    </w:p>
    <w:p>
      <w:pPr>
        <w:pStyle w:val="4"/>
        <w:spacing w:line="564" w:lineRule="exact"/>
        <w:ind w:right="57"/>
        <w:jc w:val="center"/>
      </w:pPr>
      <w:bookmarkStart w:id="13" w:name="_bookmark9"/>
      <w:bookmarkEnd w:id="13"/>
      <w:bookmarkStart w:id="14" w:name="_bookmark18"/>
      <w:bookmarkEnd w:id="14"/>
      <w:bookmarkStart w:id="15" w:name="_Toc33099962"/>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13"/>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ascii="宋体" w:hAnsi="宋体" w:cs="宋体"/>
                <w:spacing w:val="-2"/>
                <w:szCs w:val="21"/>
              </w:rPr>
            </w:pPr>
            <w:r>
              <w:rPr>
                <w:rFonts w:hint="eastAsia" w:ascii="宋体" w:hAnsi="宋体" w:cs="宋体"/>
                <w:spacing w:val="-2"/>
                <w:szCs w:val="21"/>
              </w:rPr>
              <w:t>联系人：盛工</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ascii="宋体" w:hAnsi="宋体" w:cs="宋体"/>
                <w:spacing w:val="-2"/>
                <w:szCs w:val="21"/>
              </w:rPr>
              <w:t>0571-83837</w:t>
            </w:r>
            <w:r>
              <w:rPr>
                <w:rFonts w:hint="eastAsia" w:ascii="宋体" w:hAnsi="宋体" w:cs="宋体"/>
                <w:spacing w:val="-2"/>
                <w:szCs w:val="21"/>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olor w:val="000000" w:themeColor="text1"/>
                <w:sz w:val="22"/>
                <w14:textFill>
                  <w14:solidFill>
                    <w14:schemeClr w14:val="tx1"/>
                  </w14:solidFill>
                </w14:textFill>
              </w:rPr>
              <w:t>杭州萧山国际机场</w:t>
            </w:r>
            <w:r>
              <w:rPr>
                <w:rFonts w:hint="eastAsia" w:ascii="宋体" w:hAnsi="宋体"/>
                <w:color w:val="000000" w:themeColor="text1"/>
                <w:sz w:val="22"/>
                <w:u w:val="single"/>
                <w14:textFill>
                  <w14:solidFill>
                    <w14:schemeClr w14:val="tx1"/>
                  </w14:solidFill>
                </w14:textFill>
              </w:rPr>
              <w:t>场区第五立面整治项目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rPr>
              <w:t>30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96"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szCs w:val="21"/>
                  </w:rPr>
                  <w:t></w:t>
                </w:r>
              </w:sdtContent>
            </w:sdt>
            <w:r>
              <w:rPr>
                <w:rFonts w:ascii="宋体" w:hAnsi="宋体" w:cs="宋体"/>
                <w:szCs w:val="21"/>
              </w:rPr>
              <w:t>不组织</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ascii="宋体" w:hAnsi="宋体" w:cs="宋体"/>
                <w:szCs w:val="21"/>
              </w:rPr>
              <w:t>组织</w:t>
            </w:r>
          </w:p>
          <w:p>
            <w:pPr>
              <w:adjustRightInd w:val="0"/>
              <w:snapToGrid w:val="0"/>
              <w:rPr>
                <w:rFonts w:ascii="宋体" w:hAnsi="宋体"/>
                <w:szCs w:val="21"/>
              </w:rPr>
            </w:pPr>
            <w:r>
              <w:rPr>
                <w:rFonts w:hint="eastAsia" w:ascii="宋体" w:hAnsi="宋体"/>
                <w:szCs w:val="21"/>
              </w:rPr>
              <w:t>有需要看现场的单独联系机场相关人员进行引领</w:t>
            </w:r>
          </w:p>
          <w:p>
            <w:pPr>
              <w:adjustRightInd w:val="0"/>
              <w:snapToGrid w:val="0"/>
              <w:rPr>
                <w:rFonts w:ascii="宋体" w:hAnsi="宋体"/>
                <w:szCs w:val="21"/>
              </w:rPr>
            </w:pPr>
            <w:r>
              <w:rPr>
                <w:rFonts w:hint="eastAsia" w:ascii="宋体" w:hAnsi="宋体"/>
                <w:szCs w:val="21"/>
              </w:rPr>
              <w:t>联系人：盛工</w:t>
            </w:r>
          </w:p>
          <w:p>
            <w:pPr>
              <w:adjustRightInd w:val="0"/>
              <w:snapToGrid w:val="0"/>
              <w:rPr>
                <w:rFonts w:ascii="宋体" w:hAnsi="宋体" w:cs="宋体"/>
                <w:szCs w:val="21"/>
              </w:rPr>
            </w:pPr>
            <w:r>
              <w:rPr>
                <w:rFonts w:hint="eastAsia" w:ascii="宋体" w:hAnsi="宋体"/>
                <w:szCs w:val="21"/>
              </w:rPr>
              <w:t>电 话：15967180817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(6)</w:t>
            </w:r>
            <w:bookmarkStart w:id="19"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19"/>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rPr>
              <w:t>3年</w:t>
            </w:r>
            <w:r>
              <w:rPr>
                <w:rFonts w:ascii="宋体" w:hAnsi="宋体" w:cs="宋体"/>
                <w:bCs/>
                <w:szCs w:val="21"/>
                <w:u w:val="single"/>
              </w:rPr>
              <w:t xml:space="preserve"> </w:t>
            </w:r>
            <w:r>
              <w:rPr>
                <w:rFonts w:hint="eastAsia" w:ascii="宋体" w:hAnsi="宋体" w:cs="宋体"/>
                <w:bCs/>
                <w:szCs w:val="21"/>
                <w:u w:val="single"/>
              </w:rPr>
              <w:t>7</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u w:val="single"/>
              </w:rPr>
              <w:t>12</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的方式提交至招标人如下邮箱：402743375@qq.com</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17"/>
                <w:rFonts w:ascii="宋体" w:hAnsi="宋体"/>
                <w:szCs w:val="21"/>
              </w:rPr>
              <w:t>http://www.hzairport.com/tender/index.html</w:t>
            </w:r>
            <w:r>
              <w:rPr>
                <w:rStyle w:val="17"/>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Gothic" w:cs="Times New Roman"/>
                    <w:kern w:val="2"/>
                    <w:sz w:val="21"/>
                    <w:szCs w:val="21"/>
                    <w:lang w:val="en-US" w:eastAsia="zh-CN" w:bidi="ar-SA"/>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u w:val="single"/>
                <w:lang w:val="en-US" w:eastAsia="zh-CN"/>
              </w:rPr>
              <w:t>20</w:t>
            </w:r>
            <w:r>
              <w:rPr>
                <w:rFonts w:ascii="宋体" w:hAnsi="宋体" w:cs="宋体"/>
                <w:szCs w:val="21"/>
                <w:u w:val="single"/>
              </w:rPr>
              <w:t xml:space="preserve">   </w:t>
            </w:r>
            <w:bookmarkStart w:id="63" w:name="_GoBack"/>
            <w:bookmarkEnd w:id="63"/>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0"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szCs w:val="21"/>
              </w:rPr>
              <w:t xml:space="preserve"> </w:t>
            </w:r>
            <w:r>
              <w:rPr>
                <w:rFonts w:ascii="宋体" w:hAnsi="宋体" w:cs="Calibri"/>
                <w:szCs w:val="21"/>
              </w:rPr>
              <w:t>h</w:t>
            </w:r>
            <w:r>
              <w:rPr>
                <w:rFonts w:hint="eastAsia" w:ascii="宋体" w:hAnsi="宋体" w:cs="Calibri"/>
                <w:szCs w:val="21"/>
              </w:rPr>
              <w:t>、施工过程中，施工区域周边的车辆、建筑、环境等受到施工影响造成的损失（如表面沾上油漆等），赔偿的费用由施工方自行承担。</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1" w:name="EB191aa127b49d4a8b95623a875e1177a4"/>
            <w:r>
              <w:rPr>
                <w:rFonts w:ascii="宋体" w:hAnsi="宋体"/>
                <w:szCs w:val="21"/>
                <w:u w:val="single"/>
              </w:rPr>
              <w:t>120</w:t>
            </w:r>
            <w:bookmarkEnd w:id="21"/>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7"/>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7"/>
              <w:rPr>
                <w:rFonts w:hAnsi="宋体" w:cs="宋体"/>
              </w:rPr>
            </w:pPr>
            <w:r>
              <w:rPr>
                <w:rFonts w:hAnsi="宋体" w:cs="宋体"/>
              </w:rPr>
              <w:t>1、企业法人营业执照；</w:t>
            </w:r>
          </w:p>
          <w:p>
            <w:pPr>
              <w:pStyle w:val="7"/>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5、法定代表人、企业经理、企业分管安全生产的副经理、企业技术负责人“三类人员”B</w:t>
            </w:r>
            <w:r>
              <w:rPr>
                <w:rFonts w:ascii="宋体" w:hAnsi="宋体" w:cs="宋体"/>
                <w:szCs w:val="21"/>
              </w:rPr>
              <w:t>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7"/>
              <w:rPr>
                <w:rFonts w:hAnsi="宋体" w:cs="宋体"/>
              </w:rPr>
            </w:pPr>
            <w:r>
              <w:rPr>
                <w:rFonts w:hint="eastAsia" w:hAnsi="宋体" w:cs="Times New Roman"/>
              </w:rPr>
              <w:t>9、拟派施工现场专职安全生产管理人员“三类人员”</w:t>
            </w:r>
            <w:r>
              <w:rPr>
                <w:rFonts w:hAnsi="宋体" w:cs="Times New Roman"/>
              </w:rPr>
              <w:t>C类证书；</w:t>
            </w:r>
          </w:p>
          <w:p>
            <w:pPr>
              <w:pStyle w:val="7"/>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2"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2"/>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hint="eastAsia" w:ascii="宋体" w:hAnsi="宋体" w:cs="宋体"/>
                <w:szCs w:val="21"/>
              </w:rPr>
              <w:t>20年1</w:t>
            </w:r>
            <w:r>
              <w:rPr>
                <w:rFonts w:ascii="宋体" w:hAnsi="宋体" w:cs="宋体"/>
                <w:szCs w:val="21"/>
              </w:rPr>
              <w:t>月</w:t>
            </w:r>
            <w:r>
              <w:rPr>
                <w:rFonts w:hint="eastAsia" w:ascii="宋体" w:hAnsi="宋体" w:cs="宋体"/>
                <w:szCs w:val="21"/>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olor w:val="000000" w:themeColor="text1"/>
                <w:sz w:val="22"/>
                <w14:textFill>
                  <w14:solidFill>
                    <w14:schemeClr w14:val="tx1"/>
                  </w14:solidFill>
                </w14:textFill>
              </w:rPr>
              <w:t>杭州萧山国际机场</w:t>
            </w:r>
            <w:r>
              <w:rPr>
                <w:rFonts w:hint="eastAsia" w:ascii="宋体" w:hAnsi="宋体"/>
                <w:color w:val="000000" w:themeColor="text1"/>
                <w:sz w:val="22"/>
                <w:u w:val="single"/>
                <w14:textFill>
                  <w14:solidFill>
                    <w14:schemeClr w14:val="tx1"/>
                  </w14:solidFill>
                </w14:textFill>
              </w:rPr>
              <w:t>场区第五立面整治项目</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rPr>
              <w:t>3</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rPr>
              <w:t>7</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12</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rPr>
              <w:t>3</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rPr>
              <w:t>7</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b/>
                <w:spacing w:val="43"/>
                <w:szCs w:val="21"/>
                <w:u w:val="single"/>
              </w:rPr>
              <w:t>12</w:t>
            </w:r>
            <w:r>
              <w:rPr>
                <w:rFonts w:ascii="宋体" w:hAnsi="宋体" w:cs="宋体"/>
                <w:b/>
                <w:spacing w:val="43"/>
                <w:szCs w:val="21"/>
                <w:u w:val="single"/>
              </w:rPr>
              <w:t xml:space="preserve"> </w:t>
            </w:r>
            <w:r>
              <w:rPr>
                <w:rFonts w:hint="eastAsia" w:ascii="宋体" w:hAnsi="宋体" w:cs="宋体"/>
                <w:szCs w:val="21"/>
              </w:rPr>
              <w:t>日</w:t>
            </w:r>
            <w:r>
              <w:rPr>
                <w:rFonts w:hint="eastAsia" w:ascii="宋体" w:hAnsi="宋体" w:cs="宋体"/>
                <w:b/>
                <w:spacing w:val="43"/>
                <w:szCs w:val="21"/>
                <w:u w:val="single"/>
              </w:rPr>
              <w:t>9</w:t>
            </w:r>
            <w:r>
              <w:rPr>
                <w:rFonts w:hint="eastAsia" w:ascii="宋体" w:hAnsi="宋体" w:cs="宋体"/>
                <w:spacing w:val="-2"/>
                <w:szCs w:val="21"/>
              </w:rPr>
              <w:t>时</w:t>
            </w:r>
            <w:r>
              <w:rPr>
                <w:rFonts w:hint="eastAsia" w:ascii="宋体" w:hAnsi="宋体" w:cs="宋体"/>
                <w:b/>
                <w:spacing w:val="43"/>
                <w:szCs w:val="21"/>
                <w:u w:val="single"/>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szCs w:val="21"/>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17"/>
          <w:rFonts w:ascii="宋体" w:hAnsi="宋体"/>
          <w:sz w:val="22"/>
        </w:rPr>
        <w:t>http://www.hzairport.com/tender/index.html</w:t>
      </w:r>
      <w:r>
        <w:rPr>
          <w:rStyle w:val="17"/>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5553"/>
      <w:bookmarkStart w:id="25" w:name="_Toc220123242"/>
      <w:bookmarkStart w:id="26"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19809803"/>
      <w:bookmarkStart w:id="28" w:name="_Toc22012324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3"/>
    <w:p>
      <w:pPr>
        <w:pStyle w:val="4"/>
        <w:spacing w:line="564" w:lineRule="exact"/>
        <w:ind w:right="57"/>
        <w:jc w:val="center"/>
        <w:rPr>
          <w:b w:val="0"/>
          <w:bCs w:val="0"/>
        </w:rPr>
      </w:pPr>
      <w:bookmarkStart w:id="30" w:name="_Toc33099963"/>
      <w:r>
        <w:rPr>
          <w:rFonts w:hint="eastAsia"/>
          <w:b w:val="0"/>
          <w:bCs w:val="0"/>
        </w:rPr>
        <w:t>第三章</w:t>
      </w:r>
      <w:r>
        <w:rPr>
          <w:b w:val="0"/>
          <w:bCs w:val="0"/>
        </w:rPr>
        <w:t xml:space="preserve">  </w:t>
      </w:r>
      <w:r>
        <w:rPr>
          <w:rFonts w:hint="eastAsia"/>
          <w:b w:val="0"/>
          <w:bCs w:val="0"/>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 xml:space="preserve">1.12.1 </w:t>
      </w:r>
      <w:r>
        <w:rPr>
          <w:rFonts w:hint="eastAsia" w:ascii="宋体" w:hAnsi="宋体" w:cs="宋体"/>
          <w:sz w:val="22"/>
        </w:rPr>
        <w:t>“实质性要求和条件”。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1.投标文件的资信评审(6</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3"/>
        <w:tblW w:w="91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28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shd w:val="clear" w:color="auto" w:fill="BFBFBF"/>
            <w:vAlign w:val="center"/>
          </w:tcPr>
          <w:p>
            <w:pPr>
              <w:snapToGrid w:val="0"/>
              <w:jc w:val="center"/>
              <w:rPr>
                <w:rFonts w:cs="Arial"/>
                <w:b/>
                <w:sz w:val="22"/>
              </w:rPr>
            </w:pPr>
            <w:r>
              <w:rPr>
                <w:rFonts w:cs="Arial"/>
                <w:b/>
                <w:sz w:val="22"/>
              </w:rPr>
              <w:t>序号</w:t>
            </w:r>
          </w:p>
        </w:tc>
        <w:tc>
          <w:tcPr>
            <w:tcW w:w="7287" w:type="dxa"/>
            <w:shd w:val="clear" w:color="auto" w:fill="BFBFBF"/>
            <w:vAlign w:val="center"/>
          </w:tcPr>
          <w:p>
            <w:pPr>
              <w:snapToGrid w:val="0"/>
              <w:jc w:val="center"/>
              <w:rPr>
                <w:rFonts w:cs="Arial"/>
                <w:b/>
                <w:sz w:val="22"/>
              </w:rPr>
            </w:pPr>
            <w:r>
              <w:rPr>
                <w:rFonts w:cs="Arial"/>
                <w:b/>
                <w:sz w:val="22"/>
              </w:rPr>
              <w:t>资信评分细则</w:t>
            </w:r>
          </w:p>
        </w:tc>
        <w:tc>
          <w:tcPr>
            <w:tcW w:w="1163" w:type="dxa"/>
            <w:shd w:val="clear" w:color="auto" w:fill="BFBFBF"/>
            <w:vAlign w:val="center"/>
          </w:tcPr>
          <w:p>
            <w:pPr>
              <w:pStyle w:val="19"/>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vAlign w:val="center"/>
          </w:tcPr>
          <w:p>
            <w:pPr>
              <w:snapToGrid w:val="0"/>
              <w:jc w:val="center"/>
              <w:rPr>
                <w:rFonts w:cs="宋体"/>
                <w:sz w:val="22"/>
              </w:rPr>
            </w:pPr>
            <w:r>
              <w:rPr>
                <w:rFonts w:hint="eastAsia" w:cs="宋体"/>
                <w:sz w:val="22"/>
              </w:rPr>
              <w:t>1</w:t>
            </w:r>
          </w:p>
        </w:tc>
        <w:tc>
          <w:tcPr>
            <w:tcW w:w="7287" w:type="dxa"/>
            <w:vAlign w:val="center"/>
          </w:tcPr>
          <w:p>
            <w:pPr>
              <w:snapToGrid w:val="0"/>
              <w:rPr>
                <w:rFonts w:ascii="宋体" w:hAnsi="宋体" w:cs="宋体"/>
                <w:sz w:val="22"/>
              </w:rPr>
            </w:pPr>
            <w:r>
              <w:rPr>
                <w:rFonts w:hint="eastAsia" w:ascii="宋体" w:hAnsi="宋体" w:cs="宋体"/>
                <w:sz w:val="22"/>
              </w:rPr>
              <w:t>企业实力：投标人企业规模、资质、市场占有率情况，横向比较后评分。</w:t>
            </w:r>
          </w:p>
          <w:p>
            <w:pPr>
              <w:snapToGrid w:val="0"/>
              <w:rPr>
                <w:rFonts w:ascii="Cambria" w:hAnsi="Cambria"/>
                <w:b/>
                <w:bCs/>
                <w:spacing w:val="-1"/>
                <w:sz w:val="22"/>
                <w:szCs w:val="32"/>
              </w:rPr>
            </w:pPr>
            <w:r>
              <w:rPr>
                <w:rFonts w:hint="eastAsia" w:ascii="宋体" w:hAnsi="宋体" w:cs="宋体"/>
                <w:sz w:val="22"/>
              </w:rPr>
              <w:t>备注：提供相关证明材料，未提供不得分。</w:t>
            </w:r>
          </w:p>
        </w:tc>
        <w:tc>
          <w:tcPr>
            <w:tcW w:w="1163"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708" w:type="dxa"/>
            <w:vAlign w:val="center"/>
          </w:tcPr>
          <w:p>
            <w:pPr>
              <w:snapToGrid w:val="0"/>
              <w:jc w:val="center"/>
              <w:rPr>
                <w:rFonts w:cs="宋体"/>
                <w:sz w:val="22"/>
              </w:rPr>
            </w:pPr>
            <w:r>
              <w:rPr>
                <w:rFonts w:hint="eastAsia" w:cs="宋体"/>
                <w:sz w:val="22"/>
              </w:rPr>
              <w:t>2</w:t>
            </w:r>
          </w:p>
        </w:tc>
        <w:tc>
          <w:tcPr>
            <w:tcW w:w="7287" w:type="dxa"/>
            <w:vAlign w:val="center"/>
          </w:tcPr>
          <w:p>
            <w:pPr>
              <w:snapToGrid w:val="0"/>
              <w:rPr>
                <w:spacing w:val="-1"/>
                <w:sz w:val="22"/>
              </w:rPr>
            </w:pPr>
            <w:r>
              <w:rPr>
                <w:rFonts w:hint="eastAsia"/>
                <w:spacing w:val="-1"/>
                <w:sz w:val="22"/>
              </w:rPr>
              <w:t>业绩：</w:t>
            </w:r>
            <w:r>
              <w:rPr>
                <w:spacing w:val="-1"/>
                <w:sz w:val="22"/>
              </w:rPr>
              <w:t>投标人近年（合同签订时间在20</w:t>
            </w:r>
            <w:r>
              <w:rPr>
                <w:rFonts w:hint="eastAsia"/>
                <w:spacing w:val="-1"/>
                <w:sz w:val="22"/>
              </w:rPr>
              <w:t>20</w:t>
            </w:r>
            <w:r>
              <w:rPr>
                <w:spacing w:val="-1"/>
                <w:sz w:val="22"/>
              </w:rPr>
              <w:t>年1月1日至投标截止日期间）具有</w:t>
            </w:r>
            <w:r>
              <w:rPr>
                <w:rFonts w:hint="eastAsia"/>
                <w:spacing w:val="-1"/>
                <w:sz w:val="22"/>
              </w:rPr>
              <w:t>建筑外表面刷漆项目</w:t>
            </w:r>
            <w:r>
              <w:rPr>
                <w:spacing w:val="-1"/>
                <w:sz w:val="22"/>
              </w:rPr>
              <w:t>业绩</w:t>
            </w:r>
            <w:r>
              <w:rPr>
                <w:rFonts w:hint="eastAsia"/>
                <w:spacing w:val="-1"/>
                <w:sz w:val="22"/>
              </w:rPr>
              <w:t>，</w:t>
            </w:r>
            <w:r>
              <w:rPr>
                <w:spacing w:val="-1"/>
                <w:sz w:val="22"/>
              </w:rPr>
              <w:t>每有一个得</w:t>
            </w:r>
            <w:r>
              <w:rPr>
                <w:rFonts w:hint="eastAsia"/>
                <w:spacing w:val="-1"/>
                <w:sz w:val="22"/>
              </w:rPr>
              <w:t>0.5分，最高得3分</w:t>
            </w:r>
            <w:r>
              <w:rPr>
                <w:spacing w:val="-1"/>
                <w:sz w:val="22"/>
              </w:rPr>
              <w:t>。</w:t>
            </w:r>
          </w:p>
          <w:p>
            <w:pPr>
              <w:snapToGrid w:val="0"/>
              <w:rPr>
                <w:rFonts w:ascii="Cambria" w:hAnsi="Cambria"/>
                <w:b/>
                <w:bCs/>
                <w:spacing w:val="-1"/>
                <w:sz w:val="22"/>
                <w:szCs w:val="32"/>
              </w:rPr>
            </w:pPr>
            <w:r>
              <w:rPr>
                <w:rFonts w:ascii="Cambria" w:hAnsi="Cambria"/>
                <w:b/>
                <w:bCs/>
                <w:spacing w:val="-1"/>
                <w:sz w:val="22"/>
                <w:szCs w:val="32"/>
              </w:rPr>
              <w:t>需提供合同复印件并加盖投标人公章</w:t>
            </w:r>
            <w:r>
              <w:rPr>
                <w:rFonts w:hint="eastAsia" w:ascii="Cambria" w:hAnsi="Cambria"/>
                <w:b/>
                <w:bCs/>
                <w:spacing w:val="-1"/>
                <w:sz w:val="22"/>
                <w:szCs w:val="32"/>
              </w:rPr>
              <w:t>，如合同中无法体现业绩评审关键信息的，另提供加盖业主公章的证明文件。</w:t>
            </w:r>
          </w:p>
        </w:tc>
        <w:tc>
          <w:tcPr>
            <w:tcW w:w="1163"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bl>
    <w:p>
      <w:pPr>
        <w:spacing w:line="360" w:lineRule="exact"/>
        <w:ind w:firstLine="442" w:firstLineChars="200"/>
        <w:jc w:val="left"/>
        <w:rPr>
          <w:rFonts w:ascii="宋体" w:hAnsi="宋体" w:cs="宋体"/>
          <w:b/>
          <w:sz w:val="22"/>
        </w:rPr>
      </w:pPr>
      <w:r>
        <w:rPr>
          <w:rFonts w:ascii="宋体" w:hAnsi="宋体" w:cs="宋体"/>
          <w:b/>
          <w:sz w:val="22"/>
        </w:rPr>
        <w:t>2.</w:t>
      </w:r>
      <w:r>
        <w:rPr>
          <w:rFonts w:hint="eastAsia" w:ascii="宋体" w:hAnsi="宋体" w:cs="宋体"/>
          <w:b/>
          <w:sz w:val="22"/>
        </w:rPr>
        <w:t>投标文件的技术评审(14</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pStyle w:val="2"/>
        <w:ind w:firstLine="210"/>
      </w:pPr>
    </w:p>
    <w:p>
      <w:pPr>
        <w:pStyle w:val="2"/>
        <w:ind w:firstLine="210"/>
      </w:pPr>
    </w:p>
    <w:p>
      <w:pPr>
        <w:pStyle w:val="2"/>
        <w:ind w:firstLine="210"/>
      </w:pPr>
    </w:p>
    <w:p>
      <w:pPr>
        <w:pStyle w:val="2"/>
        <w:ind w:firstLine="210"/>
      </w:pPr>
    </w:p>
    <w:p>
      <w:pPr>
        <w:pStyle w:val="2"/>
        <w:ind w:firstLine="210"/>
      </w:pPr>
    </w:p>
    <w:tbl>
      <w:tblPr>
        <w:tblStyle w:val="13"/>
        <w:tblW w:w="91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0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08" w:type="dxa"/>
            <w:shd w:val="clear" w:color="auto" w:fill="BFBFBF"/>
            <w:vAlign w:val="center"/>
          </w:tcPr>
          <w:p>
            <w:pPr>
              <w:pStyle w:val="12"/>
              <w:spacing w:before="0" w:after="0"/>
              <w:rPr>
                <w:rFonts w:ascii="Calibri" w:hAnsi="Calibri" w:cs="宋体"/>
                <w:bCs w:val="0"/>
                <w:sz w:val="22"/>
                <w:szCs w:val="22"/>
              </w:rPr>
            </w:pPr>
            <w:bookmarkStart w:id="31" w:name="_Toc79655975"/>
            <w:r>
              <w:rPr>
                <w:rFonts w:ascii="Calibri" w:hAnsi="Calibri" w:cs="宋体"/>
                <w:bCs w:val="0"/>
                <w:sz w:val="22"/>
                <w:szCs w:val="22"/>
              </w:rPr>
              <w:t>序号</w:t>
            </w:r>
            <w:bookmarkEnd w:id="31"/>
          </w:p>
        </w:tc>
        <w:tc>
          <w:tcPr>
            <w:tcW w:w="7302" w:type="dxa"/>
            <w:shd w:val="clear" w:color="auto" w:fill="BFBFBF"/>
            <w:vAlign w:val="center"/>
          </w:tcPr>
          <w:p>
            <w:pPr>
              <w:pStyle w:val="12"/>
              <w:spacing w:before="0" w:after="0"/>
              <w:rPr>
                <w:rFonts w:ascii="Calibri" w:hAnsi="Calibri" w:cs="宋体"/>
                <w:bCs w:val="0"/>
                <w:sz w:val="22"/>
                <w:szCs w:val="22"/>
              </w:rPr>
            </w:pPr>
            <w:bookmarkStart w:id="32" w:name="_Toc67601926"/>
            <w:bookmarkStart w:id="33" w:name="_Toc79655976"/>
            <w:r>
              <w:rPr>
                <w:rFonts w:hint="eastAsia" w:cs="Arial"/>
                <w:sz w:val="22"/>
              </w:rPr>
              <w:t>技术</w:t>
            </w:r>
            <w:r>
              <w:rPr>
                <w:rFonts w:cs="Arial"/>
                <w:sz w:val="22"/>
              </w:rPr>
              <w:t>评分细则</w:t>
            </w:r>
            <w:bookmarkEnd w:id="32"/>
            <w:bookmarkEnd w:id="33"/>
          </w:p>
        </w:tc>
        <w:tc>
          <w:tcPr>
            <w:tcW w:w="1148" w:type="dxa"/>
            <w:shd w:val="clear" w:color="auto" w:fill="BFBFBF"/>
            <w:vAlign w:val="center"/>
          </w:tcPr>
          <w:p>
            <w:pPr>
              <w:pStyle w:val="19"/>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1</w:t>
            </w:r>
          </w:p>
        </w:tc>
        <w:tc>
          <w:tcPr>
            <w:tcW w:w="7302" w:type="dxa"/>
            <w:vAlign w:val="center"/>
          </w:tcPr>
          <w:p>
            <w:pPr>
              <w:adjustRightInd w:val="0"/>
              <w:snapToGrid w:val="0"/>
            </w:pPr>
            <w:r>
              <w:rPr>
                <w:rFonts w:hint="eastAsia"/>
              </w:rPr>
              <w:t>根据实施方案（包括但不限于拟实施内容的工艺、机具和仪器，配置的技术管理人员和专业工种等）的科学性、合理性、可行性，</w:t>
            </w:r>
            <w:r>
              <w:rPr>
                <w:rFonts w:hint="eastAsia" w:ascii="宋体" w:hAnsi="宋体" w:cs="宋体"/>
                <w:sz w:val="22"/>
              </w:rPr>
              <w:t>由评委进行横向比较综合打分。</w:t>
            </w:r>
          </w:p>
          <w:p>
            <w:pPr>
              <w:pStyle w:val="2"/>
              <w:spacing w:before="0"/>
              <w:ind w:firstLine="0" w:firstLineChars="0"/>
              <w:outlineLvl w:val="9"/>
              <w:rPr>
                <w:b/>
                <w:bCs/>
              </w:rPr>
            </w:pPr>
            <w:r>
              <w:rPr>
                <w:rFonts w:hint="eastAsia" w:ascii="宋体" w:hAnsi="宋体" w:cs="宋体"/>
                <w:sz w:val="22"/>
              </w:rPr>
              <w:t>优良的得2.1-3分，较好的得1.1-2分，一般得0-1分。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2</w:t>
            </w:r>
          </w:p>
        </w:tc>
        <w:tc>
          <w:tcPr>
            <w:tcW w:w="7302" w:type="dxa"/>
            <w:vAlign w:val="center"/>
          </w:tcPr>
          <w:p>
            <w:pPr>
              <w:adjustRightInd w:val="0"/>
              <w:snapToGrid w:val="0"/>
            </w:pPr>
            <w:r>
              <w:rPr>
                <w:rFonts w:hint="eastAsia"/>
              </w:rPr>
              <w:t>根据投标人提出质保期内维修响应承诺，</w:t>
            </w:r>
            <w:r>
              <w:rPr>
                <w:rFonts w:hint="eastAsia" w:ascii="宋体" w:hAnsi="宋体" w:cs="宋体"/>
                <w:sz w:val="22"/>
              </w:rPr>
              <w:t>由评委进行打分。</w:t>
            </w:r>
          </w:p>
          <w:p>
            <w:pPr>
              <w:pStyle w:val="2"/>
              <w:spacing w:before="0"/>
              <w:ind w:firstLine="0" w:firstLineChars="0"/>
              <w:outlineLvl w:val="9"/>
              <w:rPr>
                <w:b/>
                <w:bCs/>
              </w:rPr>
            </w:pPr>
            <w:r>
              <w:rPr>
                <w:rFonts w:hint="eastAsia" w:ascii="宋体" w:hAnsi="宋体" w:cs="宋体"/>
                <w:sz w:val="22"/>
              </w:rPr>
              <w:t>12个月以上得2分，6-12个月的得1分，0-6个月得0分。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3</w:t>
            </w:r>
          </w:p>
        </w:tc>
        <w:tc>
          <w:tcPr>
            <w:tcW w:w="7302" w:type="dxa"/>
            <w:vAlign w:val="center"/>
          </w:tcPr>
          <w:p>
            <w:pPr>
              <w:pStyle w:val="2"/>
              <w:spacing w:before="0"/>
              <w:ind w:firstLine="0" w:firstLineChars="0"/>
              <w:outlineLvl w:val="9"/>
              <w:rPr>
                <w:rFonts w:ascii="宋体" w:hAnsi="宋体" w:cs="宋体"/>
                <w:b/>
                <w:bCs/>
                <w:sz w:val="22"/>
              </w:rPr>
            </w:pPr>
            <w:r>
              <w:rPr>
                <w:rFonts w:hint="eastAsia" w:ascii="宋体" w:hAnsi="宋体" w:cs="宋体"/>
                <w:sz w:val="22"/>
              </w:rPr>
              <w:t>根据投标人给出的涂料品牌进行打分。推荐品牌及以上档次的得2.1-3分，普通中高档次品牌得0-2分，中高档次以下品牌不得分。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4</w:t>
            </w:r>
          </w:p>
        </w:tc>
        <w:tc>
          <w:tcPr>
            <w:tcW w:w="7302" w:type="dxa"/>
            <w:vAlign w:val="center"/>
          </w:tcPr>
          <w:p>
            <w:pPr>
              <w:pStyle w:val="2"/>
              <w:ind w:firstLine="0" w:firstLineChars="0"/>
              <w:rPr>
                <w:rFonts w:ascii="宋体" w:hAnsi="宋体" w:cs="宋体"/>
                <w:sz w:val="22"/>
              </w:rPr>
            </w:pPr>
            <w:r>
              <w:rPr>
                <w:rFonts w:hint="eastAsia" w:ascii="宋体" w:hAnsi="宋体" w:cs="宋体"/>
                <w:sz w:val="22"/>
              </w:rPr>
              <w:t>根据投标人给出的高空作业的方案进行打分，根据其详细程度、安全系数、对施工区域周边的影响程度进行打分。</w:t>
            </w:r>
          </w:p>
          <w:p>
            <w:pPr>
              <w:pStyle w:val="2"/>
              <w:spacing w:before="0"/>
              <w:ind w:firstLine="0" w:firstLineChars="0"/>
              <w:outlineLvl w:val="9"/>
              <w:rPr>
                <w:rFonts w:ascii="宋体" w:hAnsi="宋体" w:cs="宋体"/>
                <w:b/>
                <w:bCs/>
                <w:sz w:val="22"/>
              </w:rPr>
            </w:pPr>
            <w:r>
              <w:rPr>
                <w:rFonts w:hint="eastAsia" w:ascii="宋体" w:hAnsi="宋体" w:cs="宋体"/>
                <w:sz w:val="22"/>
              </w:rPr>
              <w:t>优良的得2.1-3分，较好的得1.1-2分，一般得0-1.0分。</w:t>
            </w:r>
          </w:p>
        </w:tc>
        <w:tc>
          <w:tcPr>
            <w:tcW w:w="1148" w:type="dxa"/>
            <w:vAlign w:val="center"/>
          </w:tcPr>
          <w:p>
            <w:pPr>
              <w:pStyle w:val="19"/>
              <w:snapToGrid w:val="0"/>
              <w:spacing w:before="0" w:after="0" w:line="240" w:lineRule="auto"/>
              <w:outlineLvl w:val="9"/>
              <w:rPr>
                <w:rFonts w:hint="default" w:ascii="Calibri" w:hAnsi="Calibri" w:eastAsia="宋体" w:cs="宋体"/>
                <w:b/>
                <w:bCs/>
                <w:spacing w:val="0"/>
                <w:kern w:val="2"/>
                <w:sz w:val="22"/>
                <w:szCs w:val="22"/>
              </w:rPr>
            </w:pPr>
            <w:r>
              <w:rPr>
                <w:rFonts w:ascii="Calibri" w:hAnsi="Calibri" w:eastAsia="宋体" w:cs="宋体"/>
                <w:spacing w:val="0"/>
                <w:kern w:val="2"/>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8" w:type="dxa"/>
            <w:vAlign w:val="center"/>
          </w:tcPr>
          <w:p>
            <w:pPr>
              <w:snapToGrid w:val="0"/>
              <w:jc w:val="center"/>
              <w:rPr>
                <w:rFonts w:cs="宋体"/>
                <w:sz w:val="22"/>
              </w:rPr>
            </w:pPr>
            <w:r>
              <w:rPr>
                <w:rFonts w:hint="eastAsia" w:cs="宋体"/>
                <w:sz w:val="22"/>
              </w:rPr>
              <w:t>5</w:t>
            </w:r>
          </w:p>
        </w:tc>
        <w:tc>
          <w:tcPr>
            <w:tcW w:w="7302" w:type="dxa"/>
            <w:vAlign w:val="center"/>
          </w:tcPr>
          <w:p>
            <w:pPr>
              <w:pStyle w:val="2"/>
              <w:ind w:firstLine="0" w:firstLineChars="0"/>
              <w:rPr>
                <w:rFonts w:ascii="宋体" w:hAnsi="宋体" w:cs="宋体"/>
                <w:sz w:val="22"/>
              </w:rPr>
            </w:pPr>
            <w:r>
              <w:rPr>
                <w:rFonts w:hint="eastAsia" w:ascii="宋体" w:hAnsi="宋体" w:cs="宋体"/>
                <w:sz w:val="22"/>
              </w:rPr>
              <w:t>据投标人给出的施工方案中底漆和面漆的总层数进行打分，两层以下0分，两层得1分，三层得2分，四层得3分</w:t>
            </w:r>
          </w:p>
        </w:tc>
        <w:tc>
          <w:tcPr>
            <w:tcW w:w="1148" w:type="dxa"/>
            <w:vAlign w:val="center"/>
          </w:tcPr>
          <w:p>
            <w:pPr>
              <w:pStyle w:val="19"/>
              <w:snapToGrid w:val="0"/>
              <w:spacing w:line="240" w:lineRule="auto"/>
              <w:rPr>
                <w:rFonts w:hint="default" w:ascii="Calibri" w:hAnsi="Calibri" w:eastAsia="宋体" w:cs="宋体"/>
                <w:spacing w:val="0"/>
                <w:kern w:val="2"/>
                <w:sz w:val="22"/>
                <w:szCs w:val="22"/>
              </w:rPr>
            </w:pPr>
            <w:r>
              <w:rPr>
                <w:rFonts w:ascii="Calibri" w:hAnsi="Calibri" w:eastAsia="宋体" w:cs="宋体"/>
                <w:spacing w:val="0"/>
                <w:kern w:val="2"/>
                <w:sz w:val="22"/>
                <w:szCs w:val="22"/>
              </w:rPr>
              <w:t>0-3</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1"/>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sym w:font="Wingdings 2" w:char="F052"/>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272164391"/>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次低价法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(1)评分范围：通过符合性审查的所有投标文件进入评分范围。</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(2)评标基准价：评标基准价为所有有效投标报价的次低价。</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rPr>
          <w:rFonts w:ascii="宋体" w:hAnsi="宋体"/>
          <w:sz w:val="24"/>
        </w:rPr>
      </w:pPr>
    </w:p>
    <w:p>
      <w:pPr>
        <w:spacing w:line="360" w:lineRule="exact"/>
        <w:ind w:firstLine="241"/>
        <w:rPr>
          <w:rFonts w:ascii="宋体" w:hAnsi="宋体"/>
          <w:b/>
          <w:sz w:val="24"/>
        </w:rPr>
        <w:sectPr>
          <w:footerReference r:id="rId9" w:type="default"/>
          <w:pgSz w:w="11906" w:h="16838"/>
          <w:pgMar w:top="1701" w:right="1588" w:bottom="1588" w:left="1588" w:header="851" w:footer="992" w:gutter="0"/>
          <w:cols w:space="720" w:num="1"/>
          <w:docGrid w:linePitch="312" w:charSpace="0"/>
        </w:sectPr>
      </w:pPr>
    </w:p>
    <w:p>
      <w:pPr>
        <w:pStyle w:val="4"/>
        <w:spacing w:line="564" w:lineRule="exact"/>
        <w:ind w:right="57"/>
        <w:jc w:val="center"/>
        <w:rPr>
          <w:b w:val="0"/>
          <w:bCs w:val="0"/>
        </w:rPr>
      </w:pPr>
      <w:bookmarkStart w:id="34" w:name="_Toc33099965"/>
      <w:r>
        <w:rPr>
          <w:rFonts w:hint="eastAsia"/>
          <w:b w:val="0"/>
          <w:bCs w:val="0"/>
        </w:rPr>
        <w:t>第四章</w:t>
      </w:r>
      <w:r>
        <w:rPr>
          <w:b w:val="0"/>
          <w:bCs w:val="0"/>
        </w:rPr>
        <w:t xml:space="preserve">  </w:t>
      </w:r>
      <w:r>
        <w:rPr>
          <w:rFonts w:hint="eastAsia"/>
          <w:b w:val="0"/>
          <w:bCs w:val="0"/>
        </w:rPr>
        <w:t>合同条款及格式</w:t>
      </w:r>
      <w:bookmarkEnd w:id="34"/>
    </w:p>
    <w:p>
      <w:pPr>
        <w:spacing w:line="360" w:lineRule="auto"/>
        <w:jc w:val="center"/>
        <w:rPr>
          <w:rFonts w:ascii="黑体" w:hAnsi="黑体" w:eastAsia="黑体" w:cs="黑体"/>
          <w:sz w:val="32"/>
          <w:szCs w:val="32"/>
        </w:rPr>
      </w:pPr>
      <w:r>
        <w:rPr>
          <w:rFonts w:hint="eastAsia" w:ascii="黑体" w:hAnsi="黑体" w:eastAsia="黑体" w:cs="黑体"/>
          <w:sz w:val="32"/>
          <w:szCs w:val="32"/>
        </w:rPr>
        <w:t xml:space="preserve">          合同编号：</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rPr>
          <w:sz w:val="24"/>
        </w:rPr>
      </w:pPr>
    </w:p>
    <w:p>
      <w:pPr>
        <w:tabs>
          <w:tab w:val="left" w:pos="61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ascii="黑体" w:hAnsi="黑体" w:eastAsia="黑体" w:cs="黑体"/>
          <w:sz w:val="30"/>
          <w:szCs w:val="30"/>
        </w:rPr>
      </w:pPr>
    </w:p>
    <w:p>
      <w:pPr>
        <w:tabs>
          <w:tab w:val="left" w:pos="63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乙方：</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ascii="黑体" w:hAnsi="黑体" w:eastAsia="黑体" w:cs="黑体"/>
          <w:sz w:val="32"/>
          <w:szCs w:val="32"/>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按照《中华人民共和国民法典》和《中华人民共和国建筑法》的规定，结合本工程具体情况，双方达成如下协议。</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工程概况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1.1工程名称：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1.2工程地点：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1.3承包范围：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1.4承包方式：</w:t>
      </w:r>
    </w:p>
    <w:p>
      <w:pPr>
        <w:spacing w:line="560" w:lineRule="exact"/>
        <w:ind w:firstLine="480"/>
        <w:rPr>
          <w:rFonts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日竣工。工期总共为</w:t>
      </w:r>
      <w:r>
        <w:rPr>
          <w:rFonts w:hint="eastAsia" w:ascii="仿宋_GB2312" w:eastAsia="仿宋_GB2312"/>
          <w:sz w:val="28"/>
          <w:szCs w:val="28"/>
          <w:u w:val="single"/>
        </w:rPr>
        <w:t xml:space="preserve">     </w:t>
      </w:r>
      <w:r>
        <w:rPr>
          <w:rFonts w:hint="eastAsia" w:ascii="仿宋_GB2312" w:eastAsia="仿宋_GB2312"/>
          <w:sz w:val="28"/>
          <w:szCs w:val="28"/>
        </w:rPr>
        <w:t>个公历日。开工日期具体以甲方开工令为准。</w:t>
      </w:r>
    </w:p>
    <w:p>
      <w:pPr>
        <w:spacing w:line="560" w:lineRule="exact"/>
        <w:ind w:firstLine="480"/>
        <w:rPr>
          <w:rFonts w:ascii="仿宋_GB2312" w:eastAsia="仿宋_GB2312"/>
          <w:sz w:val="28"/>
          <w:szCs w:val="28"/>
        </w:rPr>
      </w:pPr>
      <w:r>
        <w:rPr>
          <w:rFonts w:hint="eastAsia" w:ascii="仿宋_GB2312" w:eastAsia="仿宋_GB2312"/>
          <w:sz w:val="28"/>
          <w:szCs w:val="28"/>
        </w:rPr>
        <w:t xml:space="preserve">1.6工程质量：符合 </w:t>
      </w:r>
      <w:r>
        <w:rPr>
          <w:rFonts w:hint="eastAsia" w:ascii="仿宋_GB2312" w:eastAsia="仿宋_GB2312"/>
          <w:sz w:val="28"/>
          <w:szCs w:val="28"/>
          <w:u w:val="single"/>
        </w:rPr>
        <w:t xml:space="preserve">               </w:t>
      </w:r>
      <w:r>
        <w:rPr>
          <w:rFonts w:hint="eastAsia" w:ascii="仿宋_GB2312" w:eastAsia="仿宋_GB2312"/>
          <w:sz w:val="28"/>
          <w:szCs w:val="28"/>
        </w:rPr>
        <w:t xml:space="preserve">  标准。</w:t>
      </w:r>
    </w:p>
    <w:p>
      <w:pPr>
        <w:spacing w:line="560" w:lineRule="exact"/>
        <w:ind w:firstLine="480"/>
        <w:rPr>
          <w:rFonts w:ascii="仿宋_GB2312" w:eastAsia="仿宋_GB2312"/>
          <w:sz w:val="28"/>
          <w:szCs w:val="28"/>
        </w:rPr>
      </w:pPr>
      <w:r>
        <w:rPr>
          <w:rFonts w:hint="eastAsia" w:ascii="仿宋_GB2312" w:eastAsia="仿宋_GB2312"/>
          <w:sz w:val="28"/>
          <w:szCs w:val="28"/>
        </w:rPr>
        <w:t>1.7合同价：本合同为固定总价合同。</w:t>
      </w:r>
    </w:p>
    <w:p>
      <w:pPr>
        <w:pStyle w:val="2"/>
        <w:ind w:firstLine="210"/>
      </w:pPr>
    </w:p>
    <w:p>
      <w:pPr>
        <w:numPr>
          <w:ilvl w:val="0"/>
          <w:numId w:val="2"/>
        </w:numPr>
        <w:spacing w:line="560" w:lineRule="exact"/>
        <w:rPr>
          <w:rFonts w:ascii="仿宋_GB2312" w:eastAsia="仿宋_GB2312"/>
          <w:sz w:val="28"/>
          <w:szCs w:val="28"/>
        </w:rPr>
      </w:pPr>
      <w:r>
        <w:rPr>
          <w:rFonts w:hint="eastAsia" w:ascii="仿宋_GB2312" w:eastAsia="仿宋_GB2312"/>
          <w:sz w:val="28"/>
          <w:szCs w:val="28"/>
        </w:rPr>
        <w:t>甲方工作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2.1开工前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2.3委托</w:t>
      </w:r>
      <w:r>
        <w:rPr>
          <w:rFonts w:hint="eastAsia" w:ascii="仿宋_GB2312" w:eastAsia="仿宋_GB2312"/>
          <w:sz w:val="28"/>
          <w:szCs w:val="28"/>
          <w:u w:val="single"/>
        </w:rPr>
        <w:t xml:space="preserve">        </w:t>
      </w:r>
      <w:r>
        <w:rPr>
          <w:rFonts w:hint="eastAsia" w:ascii="仿宋_GB2312" w:eastAsia="仿宋_GB2312"/>
          <w:sz w:val="28"/>
          <w:szCs w:val="28"/>
        </w:rPr>
        <w:t>监理公司进行工程监理，监理公司任命</w:t>
      </w:r>
      <w:r>
        <w:rPr>
          <w:rFonts w:hint="eastAsia" w:ascii="仿宋_GB2312" w:eastAsia="仿宋_GB2312"/>
          <w:sz w:val="28"/>
          <w:szCs w:val="28"/>
          <w:u w:val="single"/>
        </w:rPr>
        <w:t xml:space="preserve">        </w:t>
      </w:r>
      <w:r>
        <w:rPr>
          <w:rFonts w:hint="eastAsia" w:ascii="仿宋_GB2312" w:eastAsia="仿宋_GB2312"/>
          <w:sz w:val="28"/>
          <w:szCs w:val="28"/>
        </w:rPr>
        <w:t>为总监理工程师，其职责在监理合同中应明确，并将合同副本交乙方</w:t>
      </w:r>
      <w:r>
        <w:rPr>
          <w:rFonts w:hint="eastAsia" w:ascii="仿宋_GB2312" w:eastAsia="仿宋_GB2312"/>
          <w:sz w:val="28"/>
          <w:szCs w:val="28"/>
          <w:u w:val="single"/>
        </w:rPr>
        <w:t xml:space="preserve">    </w:t>
      </w:r>
      <w:r>
        <w:rPr>
          <w:rFonts w:hint="eastAsia" w:ascii="仿宋_GB2312" w:eastAsia="仿宋_GB2312"/>
          <w:sz w:val="28"/>
          <w:szCs w:val="28"/>
        </w:rPr>
        <w:t>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2.4在施工开始前负责保护好周围建筑物及装修、设备管线、古树名木、绿地等不受损坏，并承担相应费用。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2.5如确实需要拆改原建筑物结构或设备管线，负责到有关部门办理相应审批手续。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2.6协调有关部门做好现场保卫、消防、垃圾处理等工作。</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乙方工作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3.2指派</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关于工期的约定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4.2因甲方未按约定完成工作，影响工期，则工期相应顺延。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rPr>
        <w:t xml:space="preserve">    </w:t>
      </w:r>
      <w:r>
        <w:rPr>
          <w:rFonts w:hint="eastAsia" w:ascii="仿宋_GB2312" w:eastAsia="仿宋_GB2312"/>
          <w:sz w:val="28"/>
          <w:szCs w:val="28"/>
        </w:rPr>
        <w:t>小时以上（一周内累计计算），工期相应顺延。</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关于工程质量及验收的约定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5.3由于乙方提供的材料、设备质量不合格而影响工程质量，其返工费用由乙方承担，工期不顺延。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5.4由于乙方原因造成质量事故，其返工费用由乙方承担，工期不顺延。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5.5工程竣工后，乙方应通知甲方验收，甲方自接到验收通知    日内组织验收，并办理验收、移交手续。如甲方在规定时间内未能组织验收，需及时通知乙方，另定验收日期。</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 xml:space="preserve"> 关于工程价款及结算的约定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rPr>
        <w:t xml:space="preserve">    </w:t>
      </w:r>
      <w:r>
        <w:rPr>
          <w:rFonts w:hint="eastAsia" w:ascii="仿宋_GB2312" w:eastAsia="仿宋_GB2312"/>
          <w:sz w:val="28"/>
          <w:szCs w:val="28"/>
        </w:rPr>
        <w:t>种：</w:t>
      </w:r>
    </w:p>
    <w:p>
      <w:pPr>
        <w:spacing w:line="560" w:lineRule="exact"/>
        <w:ind w:left="480"/>
        <w:rPr>
          <w:rFonts w:ascii="仿宋_GB2312" w:eastAsia="仿宋_GB2312"/>
          <w:sz w:val="28"/>
          <w:szCs w:val="28"/>
        </w:rPr>
      </w:pPr>
      <w:r>
        <w:rPr>
          <w:rFonts w:hint="eastAsia" w:ascii="仿宋_GB2312" w:eastAsia="仿宋_GB2312"/>
          <w:sz w:val="28"/>
          <w:szCs w:val="28"/>
        </w:rPr>
        <w:t>（1）固定总价。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（2）固定单价。可调价格按</w:t>
      </w:r>
      <w:r>
        <w:rPr>
          <w:rFonts w:hint="eastAsia" w:ascii="仿宋_GB2312" w:eastAsia="仿宋_GB2312"/>
          <w:sz w:val="28"/>
          <w:szCs w:val="28"/>
          <w:u w:val="single"/>
        </w:rPr>
        <w:t xml:space="preserve">     </w:t>
      </w:r>
      <w:r>
        <w:rPr>
          <w:rFonts w:hint="eastAsia" w:ascii="仿宋_GB2312" w:eastAsia="仿宋_GB2312"/>
          <w:sz w:val="28"/>
          <w:szCs w:val="28"/>
        </w:rPr>
        <w:t>规则计算。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6.2工程竣工验收后，乙方提出工程结算申请并将有关资料送交甲方。甲方按照以下方式办理款项支付：</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hAnsi="Times New Roman" w:eastAsia="仿宋_GB2312"/>
          <w:sz w:val="28"/>
          <w:szCs w:val="28"/>
        </w:rPr>
        <w:t>质保金：质量保证金为工程结算价的2.5%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 关于材料供应的约定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spacing w:line="560" w:lineRule="exact"/>
        <w:ind w:left="426"/>
        <w:rPr>
          <w:rFonts w:ascii="仿宋_GB2312" w:eastAsia="仿宋_GB2312"/>
          <w:sz w:val="28"/>
          <w:szCs w:val="28"/>
        </w:rPr>
      </w:pPr>
      <w:r>
        <w:rPr>
          <w:rFonts w:hint="eastAsia" w:ascii="仿宋_GB2312" w:eastAsia="仿宋_GB2312"/>
          <w:sz w:val="28"/>
          <w:szCs w:val="28"/>
        </w:rPr>
        <w:t>第八条 有关安全生产和防火的约定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spacing w:line="560" w:lineRule="exact"/>
        <w:ind w:left="426"/>
        <w:rPr>
          <w:rFonts w:ascii="仿宋_GB2312" w:eastAsia="仿宋_GB2312"/>
          <w:sz w:val="28"/>
          <w:szCs w:val="28"/>
        </w:rPr>
      </w:pPr>
      <w:r>
        <w:rPr>
          <w:rFonts w:hint="eastAsia" w:ascii="仿宋_GB2312" w:eastAsia="仿宋_GB2312"/>
          <w:sz w:val="28"/>
          <w:szCs w:val="28"/>
        </w:rPr>
        <w:t>第九条 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9.1由于乙方原因，逾期竣工，每逾期一天，乙方支付甲方</w:t>
      </w:r>
      <w:r>
        <w:rPr>
          <w:rFonts w:hint="eastAsia" w:ascii="仿宋_GB2312" w:eastAsia="仿宋_GB2312"/>
          <w:sz w:val="28"/>
          <w:szCs w:val="28"/>
          <w:u w:val="single"/>
        </w:rPr>
        <w:t xml:space="preserve">     </w:t>
      </w:r>
      <w:r>
        <w:rPr>
          <w:rFonts w:hint="eastAsia" w:ascii="仿宋_GB2312" w:eastAsia="仿宋_GB2312"/>
          <w:sz w:val="28"/>
          <w:szCs w:val="28"/>
        </w:rPr>
        <w:t>元违约金；如延误工期达到</w:t>
      </w:r>
      <w:r>
        <w:rPr>
          <w:rFonts w:hint="eastAsia" w:ascii="仿宋_GB2312" w:eastAsia="仿宋_GB2312"/>
          <w:sz w:val="28"/>
          <w:szCs w:val="28"/>
          <w:u w:val="single"/>
        </w:rPr>
        <w:t xml:space="preserve">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rPr>
        <w:t xml:space="preserve">    </w:t>
      </w:r>
      <w:r>
        <w:rPr>
          <w:rFonts w:hint="eastAsia" w:ascii="仿宋_GB2312" w:eastAsia="仿宋_GB2312"/>
          <w:sz w:val="28"/>
          <w:szCs w:val="28"/>
        </w:rPr>
        <w:t>元；本条规定的违约金不足以弥补甲方损失的，乙方应当另行向甲方承担赔偿责任。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9.2乙方应妥善保护甲方提供的设备及现场堆放的家具、陈设和工程成品，如造成损失，应照价赔偿。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9.3未经甲方同意，乙方擅自拆改原建筑物结构或设备管线，由此发生的损失或事故（包括行政处罚），由乙方负责并承担损失。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9.4除本合同另有约定外，任何一方违约应当就因此给对方造成的损失承担赔偿责任。</w:t>
      </w:r>
    </w:p>
    <w:p>
      <w:pPr>
        <w:spacing w:line="560" w:lineRule="exact"/>
        <w:ind w:left="426"/>
        <w:rPr>
          <w:rFonts w:ascii="仿宋_GB2312" w:eastAsia="仿宋_GB2312"/>
          <w:sz w:val="28"/>
          <w:szCs w:val="28"/>
        </w:rPr>
      </w:pPr>
      <w:r>
        <w:rPr>
          <w:rFonts w:hint="eastAsia" w:ascii="仿宋_GB2312" w:eastAsia="仿宋_GB2312"/>
          <w:sz w:val="28"/>
          <w:szCs w:val="28"/>
        </w:rPr>
        <w:t>第十条 争议或纠纷处理</w:t>
      </w:r>
    </w:p>
    <w:p>
      <w:pPr>
        <w:spacing w:line="560" w:lineRule="exact"/>
        <w:rPr>
          <w:rFonts w:ascii="仿宋_GB2312" w:eastAsia="仿宋_GB2312"/>
          <w:sz w:val="28"/>
          <w:szCs w:val="28"/>
        </w:rPr>
      </w:pPr>
      <w:r>
        <w:rPr>
          <w:rFonts w:hint="eastAsia" w:ascii="仿宋_GB2312" w:eastAsia="仿宋_GB2312"/>
          <w:sz w:val="28"/>
          <w:szCs w:val="28"/>
        </w:rPr>
        <w:t xml:space="preserve">   10.1本合同在履行期间，双方发生争议时，在不影响工作进度的前提下，双方可采取协商解决或请有关部门进行调解。</w:t>
      </w:r>
    </w:p>
    <w:p>
      <w:pPr>
        <w:spacing w:line="560" w:lineRule="exact"/>
        <w:rPr>
          <w:rFonts w:ascii="仿宋_GB2312" w:eastAsia="仿宋_GB2312"/>
          <w:sz w:val="28"/>
          <w:szCs w:val="28"/>
        </w:rPr>
      </w:pPr>
      <w:r>
        <w:rPr>
          <w:rFonts w:hint="eastAsia" w:ascii="仿宋_GB2312" w:eastAsia="仿宋_GB2312"/>
          <w:sz w:val="28"/>
          <w:szCs w:val="28"/>
        </w:rPr>
        <w:t xml:space="preserve">   10.2当事人不愿通过协商、调解解决或者协商、调解不成时，本合同在执行中发生的争议双方同意由甲方所在地人民法院诉讼管辖解决。</w:t>
      </w:r>
    </w:p>
    <w:p>
      <w:pPr>
        <w:spacing w:line="560" w:lineRule="exact"/>
        <w:ind w:left="426"/>
        <w:rPr>
          <w:rFonts w:ascii="仿宋_GB2312" w:eastAsia="仿宋_GB2312"/>
          <w:sz w:val="28"/>
          <w:szCs w:val="28"/>
        </w:rPr>
      </w:pPr>
      <w:r>
        <w:rPr>
          <w:rFonts w:hint="eastAsia" w:ascii="仿宋_GB2312" w:eastAsia="仿宋_GB2312"/>
          <w:sz w:val="28"/>
          <w:szCs w:val="28"/>
        </w:rPr>
        <w:t>第十一条 附则</w:t>
      </w:r>
    </w:p>
    <w:p>
      <w:pPr>
        <w:spacing w:line="560" w:lineRule="exact"/>
        <w:ind w:left="480"/>
        <w:rPr>
          <w:rFonts w:ascii="仿宋_GB2312" w:eastAsia="仿宋_GB2312"/>
          <w:sz w:val="28"/>
          <w:szCs w:val="28"/>
        </w:rPr>
      </w:pPr>
      <w:r>
        <w:rPr>
          <w:rFonts w:hint="eastAsia" w:ascii="仿宋_GB2312" w:eastAsia="仿宋_GB2312"/>
          <w:sz w:val="28"/>
          <w:szCs w:val="28"/>
        </w:rPr>
        <w:t>11.1本工程保修事宜由双方签订保修协议。</w:t>
      </w:r>
    </w:p>
    <w:p>
      <w:pPr>
        <w:spacing w:line="560" w:lineRule="exact"/>
        <w:ind w:left="480"/>
        <w:rPr>
          <w:rFonts w:ascii="仿宋_GB2312" w:eastAsia="仿宋_GB2312"/>
          <w:sz w:val="28"/>
          <w:szCs w:val="28"/>
        </w:rPr>
      </w:pPr>
      <w:r>
        <w:rPr>
          <w:rFonts w:hint="eastAsia" w:ascii="仿宋_GB2312" w:eastAsia="仿宋_GB2312"/>
          <w:sz w:val="28"/>
          <w:szCs w:val="28"/>
        </w:rPr>
        <w:t>11.2本合同一共肆份，甲乙双方各执贰份，具有同等法律效力。</w:t>
      </w:r>
    </w:p>
    <w:p>
      <w:pPr>
        <w:spacing w:line="560" w:lineRule="exact"/>
        <w:ind w:left="480"/>
        <w:rPr>
          <w:rFonts w:ascii="仿宋_GB2312" w:eastAsia="仿宋_GB2312"/>
          <w:sz w:val="28"/>
          <w:szCs w:val="28"/>
        </w:rPr>
      </w:pPr>
      <w:r>
        <w:rPr>
          <w:rFonts w:hint="eastAsia" w:ascii="仿宋_GB2312" w:eastAsia="仿宋_GB2312"/>
          <w:sz w:val="28"/>
          <w:szCs w:val="28"/>
        </w:rPr>
        <w:t xml:space="preserve">11.3本合同履行完成后自动终止。   </w:t>
      </w:r>
    </w:p>
    <w:p>
      <w:pPr>
        <w:spacing w:line="560" w:lineRule="exact"/>
        <w:ind w:left="480"/>
        <w:rPr>
          <w:rFonts w:ascii="仿宋_GB2312" w:hAnsi="宋体" w:eastAsia="仿宋_GB2312"/>
          <w:b/>
          <w:sz w:val="28"/>
          <w:szCs w:val="28"/>
        </w:rPr>
      </w:pPr>
      <w:r>
        <w:rPr>
          <w:rFonts w:hint="eastAsia" w:ascii="仿宋_GB2312" w:eastAsia="仿宋_GB2312"/>
          <w:sz w:val="28"/>
          <w:szCs w:val="28"/>
        </w:rPr>
        <w:t>11.4本合同包含以下附件，附件与本合同具有同等法律效力。</w:t>
      </w:r>
    </w:p>
    <w:p>
      <w:pPr>
        <w:spacing w:line="560" w:lineRule="exact"/>
        <w:rPr>
          <w:rFonts w:ascii="仿宋_GB2312" w:eastAsia="仿宋_GB2312"/>
          <w:sz w:val="28"/>
          <w:szCs w:val="28"/>
          <w:u w:val="single"/>
        </w:rPr>
      </w:pPr>
      <w:r>
        <w:rPr>
          <w:rFonts w:hint="eastAsia" w:ascii="仿宋_GB2312" w:eastAsia="仿宋_GB2312"/>
          <w:sz w:val="28"/>
          <w:szCs w:val="28"/>
        </w:rPr>
        <w:t xml:space="preserve">   （1）工程质量保修书</w:t>
      </w:r>
    </w:p>
    <w:p>
      <w:pPr>
        <w:spacing w:line="560" w:lineRule="exact"/>
        <w:rPr>
          <w:rFonts w:ascii="仿宋_GB2312" w:eastAsia="仿宋_GB2312"/>
          <w:sz w:val="28"/>
          <w:szCs w:val="28"/>
        </w:rPr>
      </w:pPr>
      <w:r>
        <w:rPr>
          <w:rFonts w:hint="eastAsia" w:ascii="仿宋_GB2312" w:eastAsia="仿宋_GB2312"/>
          <w:sz w:val="28"/>
          <w:szCs w:val="28"/>
        </w:rPr>
        <w:t xml:space="preserve">   （2）安全文明施工协议书    </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pStyle w:val="21"/>
        <w:tabs>
          <w:tab w:val="left" w:pos="540"/>
        </w:tabs>
        <w:snapToGrid w:val="0"/>
        <w:spacing w:line="560" w:lineRule="exact"/>
        <w:rPr>
          <w:rFonts w:ascii="黑体" w:hAnsi="黑体" w:eastAsia="黑体" w:cs="黑体"/>
          <w:sz w:val="32"/>
          <w:szCs w:val="32"/>
        </w:rPr>
      </w:pPr>
    </w:p>
    <w:p>
      <w:pPr>
        <w:pStyle w:val="21"/>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21"/>
        <w:tabs>
          <w:tab w:val="left" w:pos="540"/>
        </w:tabs>
        <w:snapToGrid w:val="0"/>
        <w:spacing w:line="560" w:lineRule="exact"/>
        <w:rPr>
          <w:rFonts w:ascii="黑体" w:hAnsi="黑体" w:eastAsia="黑体" w:cs="黑体"/>
          <w:sz w:val="32"/>
          <w:szCs w:val="32"/>
        </w:rPr>
      </w:pPr>
    </w:p>
    <w:p>
      <w:pPr>
        <w:pStyle w:val="21"/>
        <w:snapToGrid w:val="0"/>
        <w:spacing w:before="120" w:after="120" w:line="5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21"/>
        <w:tabs>
          <w:tab w:val="left" w:pos="426"/>
        </w:tabs>
        <w:snapToGrid w:val="0"/>
        <w:spacing w:line="560" w:lineRule="exact"/>
        <w:ind w:firstLine="440"/>
        <w:rPr>
          <w:rFonts w:ascii="仿宋" w:hAnsi="仿宋" w:eastAsia="仿宋" w:cs="仿宋"/>
          <w:sz w:val="22"/>
        </w:rPr>
      </w:pPr>
    </w:p>
    <w:p>
      <w:pPr>
        <w:pStyle w:val="21"/>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21"/>
        <w:tabs>
          <w:tab w:val="left" w:pos="426"/>
        </w:tabs>
        <w:snapToGrid w:val="0"/>
        <w:spacing w:line="560" w:lineRule="exact"/>
        <w:ind w:firstLine="440"/>
        <w:rPr>
          <w:rFonts w:ascii="黑体" w:hAnsi="黑体" w:eastAsia="黑体" w:cs="黑体"/>
          <w:sz w:val="28"/>
          <w:szCs w:val="28"/>
        </w:rPr>
      </w:pPr>
    </w:p>
    <w:p>
      <w:pPr>
        <w:pStyle w:val="21"/>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承包人（全称）：   </w:t>
      </w:r>
    </w:p>
    <w:p>
      <w:pPr>
        <w:pStyle w:val="21"/>
        <w:tabs>
          <w:tab w:val="left" w:pos="426"/>
        </w:tabs>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发包人和承包人根据《中华人民共和国建筑法》和《建设工程质量管理条例》，经协商一致就[]（工程全称）签订工程质量保修书。</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一、工程质量保修范围和内容　</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承包人在质量保修期内，按照有关法律规定和合同约定，承担工程质量保修责任。</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二、质量保修期</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根据《建设工程质量管理条例》及有关规定，工程的质量保修期如下：</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1．地基基础工程和主体结构工程为设计文件规定的工程合理使用年限；</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2．屋面防水工程、有防水要求的卫生间、房间和外墙面的防渗     为    5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3．装修工程为     2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4．电气管线、给排水管道、设备安装工程为     2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5．供热与供冷系统为     2   个采暖期、供冷期；</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6．住宅小区内的给排水设施、道路等配套工程为    2     年；</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7．其他项目保修期限约定如下：</w:t>
      </w:r>
    </w:p>
    <w:p>
      <w:pPr>
        <w:pStyle w:val="21"/>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质量保修期自工程竣工验收合格之日起计算。</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三、缺陷责任期</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工程缺陷责任期为24个月，缺陷责任期自工程竣工验收合格之日起计算。单位工程先于全部工程进行验收，单位工程缺陷责任期自单位工程验收合格之日起算。</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缺陷责任期届满后，缺陷责任期届满后，经发包人确认核实，承包人不存在违约情形以及质量保修不存在问题后15天内无息返还质保金。</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四、质量保修责任</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1．属于保修范围、内容的项目，承包人应当在接到保修通知之日起    天内派人保修。承包人不在约定期限内派人保修的，发包人可以自行委托他人修理。费用从质量保证金中扣除。修复部分的质保期自修复之日起重新开始计算。</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2．发生紧急事故需抢修的，承包人在接到事故通知后，应当立即到达事故现场进行持续抢修直至修复。</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4．质量保修完成后，由发包人组织验收。验收不合格的，发包人有权自行委托第三方修理，全部费用由承包人承担，由发包人与第三方确认后直接从质保金中扣除。</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五、保修费用</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保修费用由造成质量缺陷的责任方承担；对责任方的确定产生疑问或争议的，依发包人委托的鉴定机构所出具的独立报告来确定。</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六、双方约定的其他工程质量保修事项： </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1、在承包人人员到达之前，发包人可采取适当的应急措施，费用由承包人承担。</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a．紧急抢修事故时，为避免损失进一步扩大；</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b．直接影响到工程正常运行或危害人身财产及财产安全时；</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4、因工程质量问题发生工程维修费用或对第三人赔偿损失的，发包人通知承包人应承担的费用或损失金额，承包人应于收到通知后7日内支付通知书中确定的金额。</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1"/>
        <w:tabs>
          <w:tab w:val="left" w:pos="426"/>
        </w:tabs>
        <w:snapToGrid w:val="0"/>
        <w:spacing w:line="560" w:lineRule="exact"/>
        <w:ind w:firstLine="440"/>
        <w:jc w:val="left"/>
        <w:rPr>
          <w:rFonts w:ascii="仿宋" w:hAnsi="仿宋" w:eastAsia="仿宋" w:cs="仿宋"/>
          <w:sz w:val="28"/>
          <w:szCs w:val="28"/>
        </w:rPr>
      </w:pPr>
      <w:r>
        <w:rPr>
          <w:rFonts w:hint="eastAsia" w:ascii="仿宋" w:hAnsi="仿宋" w:eastAsia="仿宋" w:cs="仿宋"/>
          <w:sz w:val="28"/>
          <w:szCs w:val="28"/>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21"/>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6、工程质量保修书由发包人、承包人在工程竣工验收前共同盖章，作为本施工合同附件，其有效期限至质保期届满且发包人书面确认承包人完成全部保修工作止。</w:t>
      </w:r>
    </w:p>
    <w:p>
      <w:pPr>
        <w:pStyle w:val="21"/>
        <w:snapToGrid w:val="0"/>
        <w:spacing w:line="560" w:lineRule="exact"/>
        <w:rPr>
          <w:rFonts w:ascii="仿宋" w:hAnsi="仿宋" w:eastAsia="仿宋" w:cs="仿宋"/>
          <w:sz w:val="28"/>
          <w:szCs w:val="28"/>
        </w:rPr>
      </w:pPr>
    </w:p>
    <w:p>
      <w:pPr>
        <w:pStyle w:val="21"/>
        <w:snapToGrid w:val="0"/>
        <w:spacing w:line="560" w:lineRule="exact"/>
        <w:rPr>
          <w:rFonts w:ascii="仿宋" w:hAnsi="仿宋" w:eastAsia="仿宋" w:cs="仿宋"/>
          <w:sz w:val="28"/>
          <w:szCs w:val="28"/>
        </w:rPr>
      </w:pPr>
    </w:p>
    <w:p>
      <w:pPr>
        <w:pStyle w:val="21"/>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35" w:name="_Hlk534811958"/>
    </w:p>
    <w:p>
      <w:pPr>
        <w:spacing w:before="120" w:beforeLines="50" w:after="120" w:afterLines="50" w:line="560" w:lineRule="exact"/>
        <w:jc w:val="left"/>
        <w:rPr>
          <w:rFonts w:ascii="仿宋_GB2312" w:hAnsi="仿宋_GB2312" w:eastAsia="仿宋_GB2312" w:cs="仿宋_GB2312"/>
          <w:sz w:val="28"/>
          <w:szCs w:val="28"/>
        </w:rPr>
      </w:pPr>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w:t>
      </w:r>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安全文明施工协议书</w:t>
      </w:r>
      <w:bookmarkEnd w:id="35"/>
    </w:p>
    <w:p>
      <w:pPr>
        <w:spacing w:before="120" w:beforeLines="50" w:after="120" w:afterLines="50" w:line="560" w:lineRule="exact"/>
        <w:jc w:val="center"/>
        <w:rPr>
          <w:rFonts w:ascii="黑体" w:hAnsi="黑体" w:eastAsia="黑体" w:cs="黑体"/>
          <w:bCs/>
          <w:color w:val="000000"/>
          <w:sz w:val="32"/>
          <w:szCs w:val="32"/>
        </w:rPr>
      </w:pPr>
    </w:p>
    <w:p>
      <w:pPr>
        <w:pStyle w:val="21"/>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发包人：杭州萧山国际机场有限公司</w:t>
      </w:r>
    </w:p>
    <w:p>
      <w:pPr>
        <w:pStyle w:val="21"/>
        <w:adjustRightInd w:val="0"/>
        <w:snapToGrid w:val="0"/>
        <w:spacing w:line="560" w:lineRule="exact"/>
        <w:rPr>
          <w:rFonts w:ascii="黑体" w:hAnsi="黑体" w:eastAsia="黑体" w:cs="黑体"/>
          <w:sz w:val="28"/>
          <w:szCs w:val="28"/>
        </w:rPr>
      </w:pPr>
    </w:p>
    <w:p>
      <w:pPr>
        <w:pStyle w:val="21"/>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承包人： </w:t>
      </w:r>
    </w:p>
    <w:p>
      <w:pPr>
        <w:pStyle w:val="21"/>
        <w:adjustRightInd w:val="0"/>
        <w:snapToGrid w:val="0"/>
        <w:spacing w:line="560" w:lineRule="exact"/>
        <w:rPr>
          <w:rFonts w:ascii="仿宋_GB2312" w:hAnsi="仿宋_GB2312" w:eastAsia="仿宋_GB2312" w:cs="仿宋_GB2312"/>
          <w:sz w:val="28"/>
          <w:szCs w:val="28"/>
        </w:rPr>
      </w:pP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1"/>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1"/>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21"/>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21"/>
        <w:adjustRightInd w:val="0"/>
        <w:snapToGrid w:val="0"/>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1"/>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1"/>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21"/>
        <w:adjustRightInd w:val="0"/>
        <w:snapToGrid w:val="0"/>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21"/>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施工合同》后，本协议书自发包人、承包人共同盖章后生效。</w:t>
      </w:r>
    </w:p>
    <w:p>
      <w:pPr>
        <w:pStyle w:val="21"/>
        <w:adjustRightInd w:val="0"/>
        <w:snapToGrid w:val="0"/>
        <w:spacing w:line="560" w:lineRule="exact"/>
        <w:ind w:firstLine="560" w:firstLineChars="200"/>
        <w:rPr>
          <w:rFonts w:ascii="仿宋_GB2312" w:hAnsi="仿宋_GB2312" w:eastAsia="仿宋_GB2312" w:cs="仿宋_GB2312"/>
          <w:sz w:val="28"/>
          <w:szCs w:val="28"/>
        </w:rPr>
      </w:pPr>
    </w:p>
    <w:p>
      <w:pPr>
        <w:pStyle w:val="21"/>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发包人（盖章）：                 承包人（盖章）：</w:t>
      </w:r>
    </w:p>
    <w:p>
      <w:pPr>
        <w:pStyle w:val="21"/>
        <w:snapToGrid w:val="0"/>
        <w:spacing w:line="560" w:lineRule="exact"/>
        <w:ind w:firstLine="560"/>
        <w:rPr>
          <w:rFonts w:ascii="仿宋_GB2312" w:hAnsi="仿宋_GB2312" w:eastAsia="仿宋_GB2312" w:cs="仿宋_GB2312"/>
          <w:sz w:val="28"/>
          <w:szCs w:val="28"/>
        </w:rPr>
      </w:pP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4"/>
        <w:spacing w:line="564" w:lineRule="exact"/>
        <w:ind w:right="57"/>
        <w:jc w:val="center"/>
      </w:pPr>
      <w:bookmarkStart w:id="36" w:name="_Toc33099966"/>
      <w:r>
        <w:rPr>
          <w:rFonts w:hint="eastAsia"/>
          <w:b w:val="0"/>
          <w:bCs w:val="0"/>
        </w:rPr>
        <w:t>第五章  工程量清单</w:t>
      </w:r>
      <w:bookmarkEnd w:id="36"/>
    </w:p>
    <w:p>
      <w:pPr>
        <w:adjustRightInd w:val="0"/>
        <w:snapToGrid w:val="0"/>
        <w:jc w:val="left"/>
        <w:outlineLvl w:val="0"/>
        <w:rPr>
          <w:rFonts w:ascii="宋体" w:hAnsi="宋体" w:cs="宋体"/>
          <w:b/>
          <w:bCs/>
          <w:sz w:val="22"/>
        </w:rPr>
      </w:pPr>
    </w:p>
    <w:p>
      <w:pPr>
        <w:adjustRightInd w:val="0"/>
        <w:snapToGrid w:val="0"/>
        <w:ind w:left="142"/>
        <w:jc w:val="left"/>
        <w:outlineLvl w:val="0"/>
        <w:rPr>
          <w:rFonts w:ascii="宋体" w:hAnsi="宋体" w:cs="宋体"/>
          <w:b/>
          <w:bCs/>
          <w:sz w:val="22"/>
        </w:rPr>
      </w:pPr>
      <w:r>
        <w:rPr>
          <w:rFonts w:hint="eastAsia" w:ascii="宋体" w:hAnsi="宋体" w:cs="宋体"/>
          <w:b/>
          <w:bCs/>
          <w:kern w:val="0"/>
          <w:sz w:val="22"/>
        </w:rPr>
        <w:t>场区第五立面整治</w:t>
      </w:r>
    </w:p>
    <w:tbl>
      <w:tblPr>
        <w:tblStyle w:val="13"/>
        <w:tblW w:w="4990" w:type="pct"/>
        <w:tblInd w:w="0" w:type="dxa"/>
        <w:tblLayout w:type="autofit"/>
        <w:tblCellMar>
          <w:top w:w="0" w:type="dxa"/>
          <w:left w:w="108" w:type="dxa"/>
          <w:bottom w:w="0" w:type="dxa"/>
          <w:right w:w="108" w:type="dxa"/>
        </w:tblCellMar>
      </w:tblPr>
      <w:tblGrid>
        <w:gridCol w:w="3856"/>
        <w:gridCol w:w="1098"/>
        <w:gridCol w:w="979"/>
        <w:gridCol w:w="3245"/>
      </w:tblGrid>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名称</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计量单位</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工程量</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备注</w:t>
            </w: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原有漆面的除锈与污渍清理</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按实际情况，以真实锈蚀面积为准，刷漆前打磨掉生锈部位即可</w:t>
            </w: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垃圾外运:现场垃圾清理外运处置</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第一遍底漆（防锈漆）喷涂</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油漆颜色为灰色</w:t>
            </w: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第二遍底漆（防锈漆）喷涂</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油漆颜色为灰色</w:t>
            </w:r>
          </w:p>
        </w:tc>
      </w:tr>
      <w:tr>
        <w:tblPrEx>
          <w:tblCellMar>
            <w:top w:w="0" w:type="dxa"/>
            <w:left w:w="108" w:type="dxa"/>
            <w:bottom w:w="0" w:type="dxa"/>
            <w:right w:w="108" w:type="dxa"/>
          </w:tblCellMar>
        </w:tblPrEx>
        <w:trPr>
          <w:trHeight w:val="45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第三遍氟碳漆喷涂</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m2</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9040</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油漆颜色为灰色</w:t>
            </w: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安全措施:施工时所需的安全措施，由投标人自行考虑</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kern w:val="0"/>
                <w:sz w:val="22"/>
                <w:lang w:bidi="ar"/>
              </w:rPr>
            </w:pP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超高作业人工降效增加费:超高作业人工降效增加费，由投标单位自行考虑</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kern w:val="0"/>
                <w:sz w:val="22"/>
                <w:lang w:bidi="ar"/>
              </w:rPr>
            </w:pPr>
          </w:p>
        </w:tc>
      </w:tr>
      <w:tr>
        <w:tblPrEx>
          <w:tblCellMar>
            <w:top w:w="0" w:type="dxa"/>
            <w:left w:w="108" w:type="dxa"/>
            <w:bottom w:w="0" w:type="dxa"/>
            <w:right w:w="108" w:type="dxa"/>
          </w:tblCellMar>
        </w:tblPrEx>
        <w:trPr>
          <w:trHeight w:val="570" w:hRule="atLeast"/>
        </w:trPr>
        <w:tc>
          <w:tcPr>
            <w:tcW w:w="210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施工保险：施工时对周边车辆及建筑造成损害，当事人需要理赔由投标人自行负责。</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7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主要为油漆喷涂时会有部分飘洒到周边引起损害</w:t>
            </w:r>
          </w:p>
        </w:tc>
      </w:tr>
    </w:tbl>
    <w:p>
      <w:pPr>
        <w:spacing w:line="400" w:lineRule="exact"/>
        <w:ind w:firstLine="550" w:firstLineChars="250"/>
        <w:jc w:val="left"/>
        <w:rPr>
          <w:rFonts w:ascii="宋体" w:hAnsi="宋体" w:cs="宋体"/>
          <w:bCs/>
          <w:sz w:val="22"/>
        </w:rPr>
      </w:pPr>
    </w:p>
    <w:p>
      <w:pPr>
        <w:spacing w:line="400" w:lineRule="exact"/>
        <w:ind w:firstLine="550" w:firstLineChars="250"/>
        <w:jc w:val="left"/>
        <w:rPr>
          <w:rFonts w:ascii="宋体" w:hAnsi="宋体" w:cs="宋体"/>
          <w:sz w:val="22"/>
        </w:rPr>
      </w:pPr>
      <w:r>
        <w:rPr>
          <w:rFonts w:hint="eastAsia" w:ascii="宋体" w:hAnsi="宋体" w:cs="宋体"/>
          <w:bCs/>
          <w:sz w:val="22"/>
        </w:rPr>
        <w:t>本工程所需的材料和设备需经过业主认可的中高档品牌。同档次及以上品牌</w:t>
      </w:r>
    </w:p>
    <w:tbl>
      <w:tblPr>
        <w:tblStyle w:val="13"/>
        <w:tblW w:w="91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267"/>
        <w:gridCol w:w="251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8" w:hRule="atLeast"/>
          <w:jc w:val="center"/>
        </w:trPr>
        <w:tc>
          <w:tcPr>
            <w:tcW w:w="917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bCs/>
                <w:kern w:val="0"/>
                <w:sz w:val="22"/>
              </w:rPr>
            </w:pPr>
            <w:r>
              <w:rPr>
                <w:rFonts w:hint="eastAsia" w:ascii="宋体" w:hAnsi="宋体" w:cs="宋体"/>
                <w:b/>
                <w:bCs/>
                <w:kern w:val="0"/>
                <w:sz w:val="22"/>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4" w:hRule="atLeast"/>
          <w:jc w:val="center"/>
        </w:trPr>
        <w:tc>
          <w:tcPr>
            <w:tcW w:w="126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序号</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126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1</w:t>
            </w:r>
          </w:p>
        </w:tc>
        <w:tc>
          <w:tcPr>
            <w:tcW w:w="25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防锈漆及氟碳漆</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立邦、多乐士、嘉宝莉等</w:t>
            </w:r>
          </w:p>
        </w:tc>
      </w:tr>
    </w:tbl>
    <w:p>
      <w:pPr>
        <w:widowControl/>
        <w:jc w:val="left"/>
        <w:rPr>
          <w:kern w:val="44"/>
          <w:sz w:val="44"/>
          <w:szCs w:val="44"/>
        </w:rPr>
      </w:pPr>
    </w:p>
    <w:p>
      <w:pPr>
        <w:pStyle w:val="4"/>
        <w:spacing w:line="564" w:lineRule="exact"/>
        <w:ind w:right="57" w:firstLine="420"/>
        <w:jc w:val="center"/>
      </w:pPr>
      <w:bookmarkStart w:id="37" w:name="_Toc33099967"/>
      <w:r>
        <w:rPr>
          <w:rFonts w:hint="eastAsia"/>
          <w:b w:val="0"/>
          <w:bCs w:val="0"/>
        </w:rPr>
        <w:t>第六章  图纸</w:t>
      </w:r>
      <w:bookmarkEnd w:id="37"/>
    </w:p>
    <w:p>
      <w:pPr>
        <w:widowControl/>
        <w:jc w:val="left"/>
        <w:rPr>
          <w:kern w:val="44"/>
          <w:sz w:val="44"/>
          <w:szCs w:val="44"/>
        </w:rPr>
      </w:pPr>
      <w:r>
        <w:rPr>
          <w:b/>
          <w:bCs/>
        </w:rPr>
        <w:br w:type="page"/>
      </w:r>
    </w:p>
    <w:p>
      <w:pPr>
        <w:pStyle w:val="4"/>
        <w:spacing w:line="564" w:lineRule="exact"/>
        <w:ind w:right="57" w:firstLine="420"/>
        <w:jc w:val="center"/>
      </w:pPr>
      <w:bookmarkStart w:id="38" w:name="_Toc33099968"/>
      <w:r>
        <w:rPr>
          <w:rFonts w:hint="eastAsia"/>
          <w:b w:val="0"/>
          <w:bCs w:val="0"/>
        </w:rPr>
        <w:t>第七章</w:t>
      </w:r>
      <w:r>
        <w:rPr>
          <w:b w:val="0"/>
          <w:bCs w:val="0"/>
        </w:rPr>
        <w:t xml:space="preserve">  </w:t>
      </w:r>
      <w:r>
        <w:rPr>
          <w:rFonts w:hint="eastAsia"/>
          <w:b w:val="0"/>
          <w:bCs w:val="0"/>
        </w:rPr>
        <w:t>技术标准和要求</w:t>
      </w:r>
      <w:bookmarkEnd w:id="38"/>
    </w:p>
    <w:p>
      <w:pPr>
        <w:pStyle w:val="11"/>
        <w:shd w:val="clear" w:color="auto" w:fill="FFFFFF"/>
        <w:spacing w:before="0" w:beforeAutospacing="0" w:after="0" w:afterAutospacing="0" w:line="360" w:lineRule="exact"/>
        <w:rPr>
          <w:rStyle w:val="15"/>
          <w:rFonts w:ascii="宋体" w:hAnsi="宋体" w:cs="宋体"/>
          <w:snapToGrid w:val="0"/>
          <w:color w:val="333333"/>
          <w:sz w:val="22"/>
          <w:shd w:val="clear" w:color="auto" w:fill="FFFFFF"/>
        </w:rPr>
      </w:pPr>
      <w:r>
        <w:rPr>
          <w:rStyle w:val="15"/>
          <w:rFonts w:hint="eastAsia" w:ascii="宋体" w:hAnsi="宋体" w:cs="宋体"/>
          <w:snapToGrid w:val="0"/>
          <w:color w:val="333333"/>
          <w:sz w:val="22"/>
          <w:shd w:val="clear" w:color="auto" w:fill="FFFFFF"/>
        </w:rPr>
        <w:t>一、表面涂料施工流程</w:t>
      </w:r>
    </w:p>
    <w:p>
      <w:pPr>
        <w:pStyle w:val="11"/>
        <w:shd w:val="clear" w:color="auto" w:fill="FFFFFF"/>
        <w:spacing w:before="0" w:beforeAutospacing="0" w:after="0" w:afterAutospacing="0" w:line="360" w:lineRule="exact"/>
        <w:ind w:firstLine="220" w:firstLineChars="1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1、基层处理‍</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1）先将金属表面上的浮土、砂、灰浆、油污、锈斑、焊渣、毛刺等清除干净。然后进行表面除锈，方法可用手工处理。如金属表面是一般浮铁锈，可先用钢丝刷往复刷打，然后用粗砂布打磨出新的光亮表面，再用旧布或棉纱将打磨下的浮灰、锈擦干净:如果钢构件的金属表面锈蚀比较严重(鳞状锈斑)，先用铲刀将锈鳞铲掉，也可用锤子或刮刀清理，然后用钢丝刷刷打清理，再用砂布打磨光亮为止，即可涂防锈漆。大面积锈蚀可先用砂轮机、风磨机及其它电动除锈工具除锈，然后配以钢丝刷、锉刀、钢铲及砂布等工具，经刷、锉、磨除去剩余铁锈及杂物。如遇有漏水处应及时处理；用细砂纸打磨墙面及金属构件的接缝处，使金属表面露出原有的光泽度。</w:t>
      </w:r>
    </w:p>
    <w:p>
      <w:pPr>
        <w:pStyle w:val="11"/>
        <w:shd w:val="clear" w:color="auto" w:fill="FFFFFF"/>
        <w:spacing w:before="0" w:beforeAutospacing="0" w:after="0" w:afterAutospacing="0" w:line="360" w:lineRule="exact"/>
        <w:ind w:firstLine="220" w:firstLineChars="1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2、喷涂两遍防锈漆</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涂防锈漆时，构件表面必须干燥，如有水珠、水气必须擦干。施涂时一定要涂刷到位、刷满、刷匀。对小型钢结构构件或金属制品花样复杂的可两人合作，一人用棉纱蘸漆揩擦:一人用油刷理顺、理通。对于钢构件中不易涂刷到的缝隙隙处(如角钢组合构件的角钢背)，应在拼装前将拼合缝隙处的除锈和涂漆等工序做完，但铆孔内不得涂入涂料，以免铆接后钉眼中有夹渣。</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按比例调配好材料：第一遍涂层厚薄均匀且不流挂为佳；第二遍涂层以不流挂为准且干燥后不易开裂或脱落为好。（注意：喷枪气压要适中）喷涂时要注意控制距离和角度以及喷枪的移动速度等细节问题。间隔8小时再涂刷第二遍底层涂料（根据天气情况而定）；每道工序之间间隔8小时以上为宜，</w:t>
      </w:r>
      <w:r>
        <w:rPr>
          <w:rFonts w:ascii="Segoe UI" w:hAnsi="Segoe UI" w:eastAsia="Segoe UI" w:cs="Segoe UI"/>
          <w:color w:val="333333"/>
          <w:sz w:val="21"/>
          <w:szCs w:val="21"/>
          <w:shd w:val="clear" w:color="auto" w:fill="FFFFFF"/>
        </w:rPr>
        <w:t>确保涂层均匀，不见底</w:t>
      </w:r>
      <w:r>
        <w:rPr>
          <w:rFonts w:hint="eastAsia" w:ascii="Segoe UI" w:hAnsi="Segoe UI" w:cs="Segoe UI"/>
          <w:color w:val="333333"/>
          <w:sz w:val="21"/>
          <w:szCs w:val="21"/>
          <w:shd w:val="clear" w:color="auto" w:fill="FFFFFF"/>
        </w:rPr>
        <w:t>。</w:t>
      </w:r>
    </w:p>
    <w:p>
      <w:pPr>
        <w:pStyle w:val="11"/>
        <w:shd w:val="clear" w:color="auto" w:fill="FFFFFF"/>
        <w:spacing w:before="0" w:beforeAutospacing="0" w:after="0" w:afterAutospacing="0" w:line="360" w:lineRule="exact"/>
        <w:ind w:firstLine="220" w:firstLineChars="1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3、喷涂保护层氟碳漆</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按比例调配好材料，喷涂工艺同上，面漆成分为氟碳漆，涂膜实干后厚度达到0.15mm以上。</w:t>
      </w:r>
    </w:p>
    <w:p>
      <w:pPr>
        <w:pStyle w:val="11"/>
        <w:shd w:val="clear" w:color="auto" w:fill="FFFFFF"/>
        <w:spacing w:before="0" w:beforeAutospacing="0" w:after="0" w:afterAutospacing="0" w:line="360" w:lineRule="exact"/>
        <w:rPr>
          <w:rFonts w:ascii="宋体" w:hAnsi="宋体" w:cs="宋体"/>
          <w:snapToGrid w:val="0"/>
          <w:color w:val="333333"/>
          <w:sz w:val="22"/>
        </w:rPr>
      </w:pPr>
      <w:r>
        <w:rPr>
          <w:rStyle w:val="15"/>
          <w:rFonts w:hint="eastAsia" w:ascii="宋体" w:hAnsi="宋体" w:cs="宋体"/>
          <w:snapToGrid w:val="0"/>
          <w:color w:val="333333"/>
          <w:sz w:val="22"/>
          <w:shd w:val="clear" w:color="auto" w:fill="FFFFFF"/>
        </w:rPr>
        <w:t>二、表面涂料验收规范介绍</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rPr>
      </w:pPr>
      <w:r>
        <w:rPr>
          <w:rFonts w:hint="eastAsia" w:ascii="宋体" w:hAnsi="宋体" w:cs="宋体"/>
          <w:snapToGrid w:val="0"/>
          <w:color w:val="333333"/>
          <w:sz w:val="22"/>
          <w:shd w:val="clear" w:color="auto" w:fill="FFFFFF"/>
        </w:rPr>
        <w:t>1、检查所用涂料的品种、颜色是否符合选定样品要求，是否符合环保规范。</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rPr>
      </w:pPr>
      <w:r>
        <w:rPr>
          <w:rFonts w:hint="eastAsia" w:ascii="宋体" w:hAnsi="宋体" w:cs="宋体"/>
          <w:snapToGrid w:val="0"/>
          <w:color w:val="333333"/>
          <w:sz w:val="22"/>
          <w:shd w:val="clear" w:color="auto" w:fill="FFFFFF"/>
        </w:rPr>
        <w:t>2、验收涂料应该先从基层开始，还没上漆时就要验收一遍，每上一面漆之后需验收一遍。</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shd w:val="clear" w:color="auto" w:fill="FFFFFF"/>
        </w:rPr>
      </w:pPr>
      <w:r>
        <w:rPr>
          <w:rFonts w:hint="eastAsia" w:ascii="宋体" w:hAnsi="宋体" w:cs="宋体"/>
          <w:snapToGrid w:val="0"/>
          <w:color w:val="333333"/>
          <w:sz w:val="22"/>
          <w:shd w:val="clear" w:color="auto" w:fill="FFFFFF"/>
        </w:rPr>
        <w:t>3、验收表面涂料时候时，要保证表面完全干透。</w:t>
      </w:r>
    </w:p>
    <w:p>
      <w:pPr>
        <w:pStyle w:val="11"/>
        <w:shd w:val="clear" w:color="auto" w:fill="FFFFFF"/>
        <w:spacing w:before="0" w:beforeAutospacing="0" w:after="0" w:afterAutospacing="0" w:line="360" w:lineRule="exact"/>
        <w:ind w:firstLine="440" w:firstLineChars="200"/>
        <w:rPr>
          <w:rFonts w:ascii="宋体" w:hAnsi="宋体" w:cs="宋体"/>
          <w:snapToGrid w:val="0"/>
          <w:color w:val="333333"/>
          <w:sz w:val="22"/>
        </w:rPr>
      </w:pPr>
      <w:r>
        <w:rPr>
          <w:rFonts w:hint="eastAsia" w:ascii="宋体" w:hAnsi="宋体" w:cs="宋体"/>
          <w:snapToGrid w:val="0"/>
          <w:color w:val="333333"/>
          <w:sz w:val="22"/>
          <w:shd w:val="clear" w:color="auto" w:fill="FFFFFF"/>
        </w:rPr>
        <w:t>4、必须保证表面平整，如果验收时没有达到标准，则应该多喷一遍以满足要求。</w:t>
      </w:r>
    </w:p>
    <w:p>
      <w:pPr>
        <w:adjustRightInd w:val="0"/>
        <w:snapToGrid w:val="0"/>
        <w:spacing w:line="360" w:lineRule="auto"/>
        <w:jc w:val="left"/>
        <w:outlineLvl w:val="0"/>
        <w:rPr>
          <w:rFonts w:ascii="宋体" w:hAnsi="宋体" w:cs="Calibri"/>
          <w:b/>
          <w:bCs/>
          <w:sz w:val="22"/>
        </w:rPr>
      </w:pPr>
      <w:r>
        <w:rPr>
          <w:rFonts w:hint="eastAsia" w:ascii="宋体" w:hAnsi="宋体"/>
          <w:b/>
          <w:bCs/>
          <w:sz w:val="22"/>
        </w:rPr>
        <w:t>三、</w:t>
      </w:r>
      <w:r>
        <w:rPr>
          <w:rFonts w:hint="eastAsia" w:ascii="宋体" w:hAnsi="宋体" w:cs="Calibri"/>
          <w:b/>
          <w:bCs/>
          <w:sz w:val="22"/>
        </w:rPr>
        <w:t>技术标准、施工要求</w:t>
      </w:r>
    </w:p>
    <w:p>
      <w:pPr>
        <w:adjustRightInd w:val="0"/>
        <w:snapToGrid w:val="0"/>
        <w:spacing w:line="360" w:lineRule="auto"/>
        <w:ind w:left="440" w:hanging="440" w:hangingChars="200"/>
        <w:jc w:val="left"/>
        <w:outlineLvl w:val="0"/>
        <w:rPr>
          <w:rFonts w:ascii="宋体" w:hAnsi="宋体" w:cs="Calibri"/>
          <w:sz w:val="22"/>
        </w:rPr>
      </w:pPr>
      <w:bookmarkStart w:id="39" w:name="_Toc281397111"/>
      <w:r>
        <w:rPr>
          <w:rFonts w:hint="eastAsia" w:ascii="宋体" w:hAnsi="宋体" w:cs="Calibri"/>
          <w:sz w:val="22"/>
        </w:rPr>
        <w:t>3.1投标人所提供产品的质量、安装施工工艺、测试手段及方法都应符合最新颁布的标准和规范要求。</w:t>
      </w:r>
      <w:bookmarkEnd w:id="39"/>
      <w:bookmarkStart w:id="40" w:name="_Toc281397112"/>
      <w:r>
        <w:rPr>
          <w:rFonts w:hint="eastAsia" w:ascii="宋体" w:hAnsi="宋体" w:cs="Calibri"/>
          <w:sz w:val="22"/>
        </w:rPr>
        <w:t>投标人所提供的设备及系统至少符合下列标准和规范</w:t>
      </w:r>
      <w:bookmarkEnd w:id="40"/>
    </w:p>
    <w:p>
      <w:pPr>
        <w:snapToGrid w:val="0"/>
        <w:spacing w:line="360" w:lineRule="auto"/>
        <w:ind w:firstLine="440" w:firstLineChars="200"/>
        <w:rPr>
          <w:rFonts w:ascii="宋体" w:hAnsi="宋体" w:cs="Calibri"/>
          <w:sz w:val="22"/>
        </w:rPr>
      </w:pPr>
      <w:r>
        <w:rPr>
          <w:rFonts w:hint="eastAsia" w:ascii="宋体" w:hAnsi="宋体" w:cs="Calibri"/>
          <w:sz w:val="22"/>
        </w:rPr>
        <w:t>《智能建筑设计标准》 GB/T50314—2000</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《建筑与建筑群综合布线系统工程设计规范》 GB/T50311—2000</w:t>
      </w:r>
    </w:p>
    <w:p>
      <w:pPr>
        <w:snapToGrid w:val="0"/>
        <w:spacing w:line="360" w:lineRule="auto"/>
        <w:ind w:firstLine="440" w:firstLineChars="200"/>
        <w:rPr>
          <w:rFonts w:ascii="宋体" w:hAnsi="宋体" w:cs="Calibri"/>
          <w:sz w:val="22"/>
        </w:rPr>
      </w:pPr>
      <w:r>
        <w:rPr>
          <w:rFonts w:hint="eastAsia" w:ascii="宋体" w:hAnsi="宋体" w:cs="Calibri"/>
          <w:sz w:val="22"/>
        </w:rPr>
        <w:t>《建筑物防雷设计规范》 GB50057—94</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《建筑与建筑群综合布线系统工程验收规范》 GB/T50312—2000</w:t>
      </w:r>
    </w:p>
    <w:p>
      <w:pPr>
        <w:snapToGrid w:val="0"/>
        <w:spacing w:line="360" w:lineRule="auto"/>
        <w:ind w:firstLine="440" w:firstLineChars="200"/>
        <w:rPr>
          <w:rFonts w:ascii="宋体" w:hAnsi="宋体" w:cs="Calibri"/>
          <w:sz w:val="22"/>
        </w:rPr>
      </w:pPr>
      <w:r>
        <w:rPr>
          <w:rFonts w:hint="eastAsia" w:ascii="宋体" w:hAnsi="宋体" w:cs="Calibri"/>
          <w:sz w:val="22"/>
        </w:rPr>
        <w:t>《通信管道工程施工及验收规范》 YD1139—90</w:t>
      </w:r>
    </w:p>
    <w:p>
      <w:pPr>
        <w:snapToGrid w:val="0"/>
        <w:spacing w:line="360" w:lineRule="auto"/>
        <w:ind w:firstLine="440" w:firstLineChars="200"/>
        <w:rPr>
          <w:rFonts w:ascii="宋体" w:hAnsi="宋体" w:cs="Calibri"/>
          <w:sz w:val="22"/>
        </w:rPr>
      </w:pPr>
      <w:r>
        <w:rPr>
          <w:rFonts w:hint="eastAsia" w:ascii="宋体" w:hAnsi="宋体" w:cs="Calibri"/>
          <w:sz w:val="22"/>
        </w:rPr>
        <w:t>《智能建筑工程质量验收规范》（GB 50339-2003）；</w:t>
      </w:r>
    </w:p>
    <w:p>
      <w:pPr>
        <w:snapToGrid w:val="0"/>
        <w:spacing w:line="360" w:lineRule="auto"/>
        <w:ind w:firstLine="440" w:firstLineChars="200"/>
        <w:rPr>
          <w:rFonts w:ascii="宋体" w:hAnsi="宋体" w:cs="Calibri"/>
          <w:sz w:val="22"/>
        </w:rPr>
      </w:pPr>
      <w:r>
        <w:rPr>
          <w:rFonts w:hint="eastAsia" w:ascii="宋体" w:hAnsi="宋体" w:cs="Calibri"/>
          <w:sz w:val="22"/>
        </w:rPr>
        <w:t>《建筑物电子信息系统防雷技术规范》（GB 50343-2004）；</w:t>
      </w:r>
    </w:p>
    <w:p>
      <w:pPr>
        <w:snapToGrid w:val="0"/>
        <w:spacing w:line="360" w:lineRule="auto"/>
        <w:ind w:firstLine="440" w:firstLineChars="200"/>
        <w:rPr>
          <w:rFonts w:ascii="宋体" w:hAnsi="宋体" w:cs="Calibri"/>
          <w:sz w:val="22"/>
        </w:rPr>
      </w:pPr>
      <w:r>
        <w:rPr>
          <w:rFonts w:hint="eastAsia" w:ascii="宋体" w:hAnsi="宋体" w:cs="Calibri"/>
          <w:sz w:val="22"/>
        </w:rPr>
        <w:t>《安全防范工程技术规范》（GB 50348-2004）</w:t>
      </w:r>
    </w:p>
    <w:p>
      <w:pPr>
        <w:snapToGrid w:val="0"/>
        <w:spacing w:line="360" w:lineRule="auto"/>
        <w:ind w:firstLine="440" w:firstLineChars="200"/>
        <w:rPr>
          <w:rFonts w:ascii="宋体" w:hAnsi="宋体" w:cs="Calibri"/>
          <w:sz w:val="22"/>
        </w:rPr>
      </w:pPr>
      <w:r>
        <w:rPr>
          <w:rFonts w:hint="eastAsia" w:ascii="宋体" w:hAnsi="宋体" w:cs="Calibri"/>
          <w:sz w:val="22"/>
        </w:rPr>
        <w:t>《视频安防监控系统工程设计规范》（GB50395-2007）；</w:t>
      </w:r>
    </w:p>
    <w:p>
      <w:pPr>
        <w:snapToGrid w:val="0"/>
        <w:spacing w:line="360" w:lineRule="auto"/>
        <w:ind w:firstLine="440" w:firstLineChars="200"/>
        <w:rPr>
          <w:rFonts w:ascii="宋体" w:hAnsi="宋体" w:cs="Calibri"/>
          <w:sz w:val="22"/>
        </w:rPr>
      </w:pPr>
      <w:r>
        <w:rPr>
          <w:rFonts w:hint="eastAsia" w:ascii="宋体" w:hAnsi="宋体" w:cs="Calibri"/>
          <w:sz w:val="22"/>
        </w:rPr>
        <w:t>《安全防范系统供电技术要求》（GB/T15408-2011）；</w:t>
      </w:r>
    </w:p>
    <w:p>
      <w:pPr>
        <w:snapToGrid w:val="0"/>
        <w:spacing w:line="360" w:lineRule="auto"/>
        <w:ind w:firstLine="440" w:firstLineChars="200"/>
        <w:rPr>
          <w:rFonts w:ascii="宋体" w:hAnsi="宋体" w:cs="Calibri"/>
          <w:sz w:val="22"/>
        </w:rPr>
      </w:pPr>
      <w:r>
        <w:rPr>
          <w:rFonts w:hint="eastAsia" w:ascii="宋体" w:hAnsi="宋体" w:cs="Calibri"/>
          <w:sz w:val="22"/>
        </w:rPr>
        <w:t>《道路交通安全违法行为图像取证技术规范》（GA/T 832—2014）</w:t>
      </w:r>
    </w:p>
    <w:p>
      <w:pPr>
        <w:snapToGrid w:val="0"/>
        <w:spacing w:line="360" w:lineRule="auto"/>
        <w:ind w:firstLine="440" w:firstLineChars="200"/>
        <w:rPr>
          <w:rFonts w:ascii="宋体" w:hAnsi="宋体" w:cs="Calibri"/>
          <w:sz w:val="22"/>
        </w:rPr>
      </w:pPr>
      <w:r>
        <w:rPr>
          <w:rFonts w:hint="eastAsia" w:ascii="宋体" w:hAnsi="宋体" w:cs="Calibri"/>
          <w:sz w:val="22"/>
        </w:rPr>
        <w:t>《机动车号牌图像自动识别技术规范》（GA833-2016）</w:t>
      </w:r>
    </w:p>
    <w:p>
      <w:pPr>
        <w:snapToGrid w:val="0"/>
        <w:spacing w:line="360" w:lineRule="auto"/>
        <w:ind w:firstLine="440" w:firstLineChars="200"/>
        <w:rPr>
          <w:rFonts w:ascii="宋体" w:hAnsi="宋体" w:cs="Calibri"/>
          <w:sz w:val="22"/>
        </w:rPr>
      </w:pPr>
      <w:r>
        <w:rPr>
          <w:rFonts w:hint="eastAsia" w:ascii="宋体" w:hAnsi="宋体" w:cs="Calibri"/>
          <w:sz w:val="22"/>
        </w:rPr>
        <w:t>《安全防范视频监控联网系统信息传输、交换、控制技术要求》</w:t>
      </w:r>
    </w:p>
    <w:p>
      <w:pPr>
        <w:snapToGrid w:val="0"/>
        <w:spacing w:line="360" w:lineRule="auto"/>
        <w:ind w:firstLine="440" w:firstLineChars="200"/>
        <w:rPr>
          <w:rFonts w:ascii="宋体" w:hAnsi="宋体" w:cs="Calibri"/>
          <w:sz w:val="22"/>
        </w:rPr>
      </w:pPr>
      <w:r>
        <w:rPr>
          <w:rFonts w:hint="eastAsia" w:ascii="宋体" w:hAnsi="宋体" w:cs="Calibri"/>
          <w:sz w:val="22"/>
        </w:rPr>
        <w:t>符合国家和行业现行的有关设计、施工与验收规范、标准及其他相关标准和图集；</w:t>
      </w:r>
    </w:p>
    <w:p>
      <w:pPr>
        <w:snapToGrid w:val="0"/>
        <w:spacing w:line="360" w:lineRule="auto"/>
        <w:ind w:left="440" w:hanging="440" w:hangingChars="200"/>
        <w:rPr>
          <w:rFonts w:ascii="宋体" w:hAnsi="宋体" w:cs="Calibri"/>
          <w:sz w:val="22"/>
        </w:rPr>
      </w:pPr>
      <w:r>
        <w:rPr>
          <w:rFonts w:hint="eastAsia" w:ascii="宋体" w:hAnsi="宋体" w:cs="Calibri"/>
          <w:sz w:val="22"/>
        </w:rPr>
        <w:t>3.2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pPr>
        <w:sectPr>
          <w:pgSz w:w="12240" w:h="15840"/>
          <w:pgMar w:top="1400" w:right="1680" w:bottom="1120" w:left="1580" w:header="0" w:footer="921" w:gutter="0"/>
          <w:cols w:space="720" w:num="1"/>
        </w:sectPr>
      </w:pPr>
    </w:p>
    <w:p>
      <w:pPr>
        <w:pStyle w:val="4"/>
        <w:spacing w:line="564" w:lineRule="exact"/>
        <w:ind w:right="57"/>
        <w:jc w:val="center"/>
        <w:rPr>
          <w:b w:val="0"/>
          <w:bCs w:val="0"/>
        </w:rPr>
      </w:pPr>
      <w:bookmarkStart w:id="41" w:name="_bookmark152"/>
      <w:bookmarkEnd w:id="41"/>
      <w:bookmarkStart w:id="42" w:name="_bookmark150"/>
      <w:bookmarkEnd w:id="42"/>
      <w:bookmarkStart w:id="43" w:name="_bookmark151"/>
      <w:bookmarkEnd w:id="43"/>
      <w:bookmarkStart w:id="44" w:name="_bookmark149"/>
      <w:bookmarkEnd w:id="44"/>
      <w:bookmarkStart w:id="45" w:name="_bookmark148"/>
      <w:bookmarkEnd w:id="45"/>
      <w:bookmarkStart w:id="46" w:name="_Toc33099969"/>
      <w:r>
        <w:rPr>
          <w:rFonts w:hint="eastAsia"/>
          <w:b w:val="0"/>
          <w:bCs w:val="0"/>
        </w:rPr>
        <w:t>第八章</w:t>
      </w:r>
      <w:r>
        <w:rPr>
          <w:b w:val="0"/>
          <w:bCs w:val="0"/>
        </w:rPr>
        <w:t xml:space="preserve">  </w:t>
      </w:r>
      <w:r>
        <w:rPr>
          <w:rFonts w:hint="eastAsia"/>
          <w:b w:val="0"/>
          <w:bCs w:val="0"/>
        </w:rPr>
        <w:t>投标文件格式</w:t>
      </w:r>
      <w:bookmarkEnd w:id="46"/>
    </w:p>
    <w:p>
      <w:pPr>
        <w:pStyle w:val="4"/>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kern w:val="0"/>
          <w:sz w:val="22"/>
        </w:rPr>
      </w:pPr>
      <w:r>
        <w:rPr>
          <w:rFonts w:hint="eastAsia" w:ascii="微软雅黑" w:hAnsi="Times New Roman" w:cs="微软雅黑"/>
          <w:b/>
          <w:kern w:val="0"/>
          <w:sz w:val="36"/>
          <w:szCs w:val="36"/>
        </w:rPr>
        <w:t>目 录</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22"/>
        <w:numPr>
          <w:ilvl w:val="0"/>
          <w:numId w:val="3"/>
        </w:numPr>
        <w:autoSpaceDE w:val="0"/>
        <w:autoSpaceDN w:val="0"/>
        <w:adjustRightInd w:val="0"/>
        <w:spacing w:line="360" w:lineRule="auto"/>
        <w:ind w:right="1738" w:firstLineChars="0"/>
        <w:rPr>
          <w:rFonts w:ascii="微软雅黑" w:hAnsi="Times New Roman" w:cs="微软雅黑"/>
          <w:spacing w:val="-2"/>
          <w:kern w:val="0"/>
          <w:sz w:val="22"/>
        </w:rPr>
      </w:pPr>
      <w:r>
        <w:rPr>
          <w:rFonts w:hint="eastAsia" w:ascii="微软雅黑" w:hAnsi="Times New Roman" w:cs="微软雅黑"/>
          <w:spacing w:val="-2"/>
          <w:kern w:val="0"/>
          <w:sz w:val="22"/>
        </w:rPr>
        <w:t>法</w:t>
      </w:r>
      <w:r>
        <w:rPr>
          <w:rFonts w:ascii="微软雅黑" w:hAnsi="Times New Roman" w:cs="微软雅黑"/>
          <w:spacing w:val="-2"/>
          <w:kern w:val="0"/>
          <w:sz w:val="22"/>
        </w:rPr>
        <w:t>定代表人身份证明或附有法定代表人身份证明的授权委托书；</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22"/>
        <w:numPr>
          <w:ilvl w:val="0"/>
          <w:numId w:val="3"/>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47"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w:t>
      </w: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5．我方在此声明，所递交的投标文件、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6．在合同协议书正式签署生效之前，本投标函连同你方的中标通知书将构成我们双方之间共同遵守的文件，对双方具有约束力。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7.（其他补充说明）</w:t>
      </w:r>
      <w:r>
        <w:rPr>
          <w:rFonts w:ascii="宋体" w:hAnsi="宋体"/>
          <w:sz w:val="22"/>
          <w:u w:val="single"/>
        </w:rPr>
        <w:t xml:space="preserve">                                              </w:t>
      </w:r>
      <w:r>
        <w:rPr>
          <w:rFonts w:hint="eastAsia" w:ascii="宋体" w:hAnsi="宋体"/>
          <w:sz w:val="22"/>
        </w:rPr>
        <w:t>。</w:t>
      </w:r>
    </w:p>
    <w:p>
      <w:pPr>
        <w:pStyle w:val="2"/>
        <w:ind w:firstLine="0" w:firstLineChars="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47"/>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MwvI9cAAAAIAQAADwAAAAAAAAABACAA&#10;AAAiAAAAZHJzL2Rvd25yZXYueG1sUEsBAhQAFAAAAAgAh07iQCiuinw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GNr3Gg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三、已标价工程量清单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四、施工组织设计</w:t>
      </w:r>
    </w:p>
    <w:p>
      <w:pPr>
        <w:pStyle w:val="23"/>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23"/>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23"/>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23"/>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23"/>
        <w:spacing w:line="360" w:lineRule="auto"/>
        <w:ind w:firstLine="420" w:firstLineChars="200"/>
        <w:rPr>
          <w:rFonts w:ascii="宋体" w:hAnsi="宋体"/>
          <w:szCs w:val="21"/>
        </w:rPr>
      </w:pPr>
      <w:r>
        <w:rPr>
          <w:rFonts w:hint="eastAsia" w:ascii="宋体" w:hAnsi="宋体"/>
          <w:szCs w:val="21"/>
        </w:rPr>
        <w:t>附表三  劳动力计划表</w:t>
      </w:r>
    </w:p>
    <w:p>
      <w:pPr>
        <w:pStyle w:val="23"/>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23"/>
        <w:spacing w:line="360" w:lineRule="auto"/>
        <w:ind w:firstLine="420" w:firstLineChars="200"/>
        <w:rPr>
          <w:rFonts w:ascii="宋体" w:hAnsi="宋体"/>
          <w:szCs w:val="21"/>
        </w:rPr>
      </w:pPr>
      <w:r>
        <w:rPr>
          <w:rFonts w:hint="eastAsia" w:ascii="宋体" w:hAnsi="宋体"/>
          <w:szCs w:val="21"/>
        </w:rPr>
        <w:t>附表五  施工总平面图</w:t>
      </w:r>
    </w:p>
    <w:p>
      <w:pPr>
        <w:pStyle w:val="23"/>
        <w:spacing w:line="360" w:lineRule="auto"/>
        <w:ind w:firstLine="420" w:firstLineChars="200"/>
        <w:rPr>
          <w:rFonts w:ascii="宋体" w:hAnsi="宋体"/>
          <w:szCs w:val="21"/>
        </w:rPr>
      </w:pPr>
      <w:r>
        <w:rPr>
          <w:rFonts w:hint="eastAsia" w:ascii="宋体" w:hAnsi="宋体"/>
          <w:szCs w:val="21"/>
        </w:rPr>
        <w:t>附表六  临时用地表</w:t>
      </w:r>
    </w:p>
    <w:p>
      <w:pPr>
        <w:pStyle w:val="23"/>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2" w:type="default"/>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1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13"/>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五、项目管理机构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center"/>
        <w:rPr>
          <w:rFonts w:ascii="黑体" w:hAnsi="Times New Roman" w:eastAsia="黑体" w:cs="黑体"/>
          <w:kern w:val="0"/>
          <w:sz w:val="27"/>
          <w:szCs w:val="27"/>
        </w:rPr>
      </w:pPr>
      <w:r>
        <w:rPr>
          <w:rFonts w:ascii="黑体" w:hAnsi="Times New Roman" w:eastAsia="黑体" w:cs="黑体"/>
          <w:kern w:val="0"/>
          <w:sz w:val="27"/>
          <w:szCs w:val="27"/>
        </w:rPr>
        <w:br w:type="page"/>
      </w:r>
      <w:r>
        <w:rPr>
          <w:rFonts w:hint="eastAsia" w:ascii="黑体" w:hAnsi="Times New Roman" w:eastAsia="黑体" w:cs="黑体"/>
          <w:kern w:val="0"/>
          <w:sz w:val="27"/>
          <w:szCs w:val="27"/>
        </w:rPr>
        <w:t>六、资格审查资料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48" w:name="_Toc227658251"/>
      <w:bookmarkStart w:id="49" w:name="_Toc191897610"/>
      <w:bookmarkStart w:id="50" w:name="_Toc257220590"/>
      <w:bookmarkStart w:id="51" w:name="_Toc208484561"/>
      <w:bookmarkStart w:id="52" w:name="_Toc208051215"/>
      <w:bookmarkStart w:id="53" w:name="_Toc179801514"/>
      <w:bookmarkStart w:id="54" w:name="_Toc204944488"/>
      <w:bookmarkStart w:id="55" w:name="_Toc179623472"/>
      <w:r>
        <w:rPr>
          <w:rFonts w:cs="Arial"/>
          <w:kern w:val="0"/>
          <w:position w:val="-2"/>
        </w:rPr>
        <w:t>3、企业无处于被</w:t>
      </w:r>
      <w:bookmarkEnd w:id="48"/>
      <w:bookmarkEnd w:id="49"/>
      <w:bookmarkEnd w:id="50"/>
      <w:bookmarkEnd w:id="51"/>
      <w:bookmarkEnd w:id="52"/>
      <w:bookmarkEnd w:id="53"/>
      <w:bookmarkEnd w:id="54"/>
      <w:bookmarkEnd w:id="55"/>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13"/>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6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4145"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586"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rPr>
              <w:t>及以上资质。</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w:t>
            </w:r>
            <w:r>
              <w:rPr>
                <w:rFonts w:hint="eastAsia" w:ascii="宋体" w:hAnsi="宋体"/>
                <w:sz w:val="20"/>
                <w:szCs w:val="20"/>
              </w:rPr>
              <w:t>2</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rPr>
              <w:t>20</w:t>
            </w:r>
            <w:r>
              <w:rPr>
                <w:rFonts w:hint="eastAsia" w:ascii="Times New Roman" w:hAnsi="Times New Roman"/>
              </w:rPr>
              <w:t>2</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rPr>
              <w:t>），需提供中标通知书或合同复印件或竣（交）工验收记录（报告）并加盖投标人公章作为证明材料，原件备查。</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ascii="宋体" w:hAnsi="宋体"/>
                <w:spacing w:val="7"/>
                <w:sz w:val="20"/>
                <w:szCs w:val="20"/>
              </w:rPr>
              <w:t xml:space="preserve"> </w:t>
            </w:r>
            <w:r>
              <w:rPr>
                <w:rFonts w:ascii="宋体" w:hAnsi="宋体"/>
                <w:spacing w:val="7"/>
                <w:sz w:val="20"/>
                <w:szCs w:val="20"/>
                <w:u w:val="single" w:color="000000"/>
              </w:rPr>
              <w:tab/>
            </w:r>
            <w:r>
              <w:rPr>
                <w:rFonts w:ascii="宋体" w:hAnsi="宋体"/>
                <w:spacing w:val="6"/>
                <w:sz w:val="20"/>
                <w:szCs w:val="20"/>
              </w:rPr>
              <w:t>(</w:t>
            </w:r>
            <w:r>
              <w:rPr>
                <w:rFonts w:hint="eastAsia" w:ascii="宋体" w:hAnsi="宋体"/>
                <w:spacing w:val="6"/>
                <w:sz w:val="20"/>
                <w:szCs w:val="20"/>
              </w:rPr>
              <w:t>接受或不接受</w:t>
            </w:r>
            <w:r>
              <w:rPr>
                <w:rFonts w:ascii="宋体" w:hAnsi="宋体"/>
                <w:spacing w:val="6"/>
                <w:sz w:val="20"/>
                <w:szCs w:val="20"/>
              </w:rPr>
              <w:t>)</w:t>
            </w:r>
            <w:r>
              <w:rPr>
                <w:rFonts w:hint="eastAsia" w:ascii="宋体" w:hAnsi="宋体"/>
                <w:spacing w:val="6"/>
                <w:sz w:val="20"/>
                <w:szCs w:val="20"/>
              </w:rPr>
              <w:t>联合体投标。联合体投标的，应满足下列要</w:t>
            </w:r>
            <w:r>
              <w:rPr>
                <w:rFonts w:hint="eastAsia" w:ascii="宋体" w:hAnsi="宋体"/>
                <w:spacing w:val="-1"/>
                <w:sz w:val="20"/>
                <w:szCs w:val="20"/>
              </w:rPr>
              <w:t>求：</w:t>
            </w:r>
            <w:r>
              <w:rPr>
                <w:rFonts w:ascii="宋体" w:hAnsi="宋体"/>
                <w:spacing w:val="-1"/>
                <w:sz w:val="20"/>
                <w:szCs w:val="20"/>
                <w:u w:val="single"/>
              </w:rPr>
              <w:t xml:space="preserve">                        </w:t>
            </w:r>
            <w:r>
              <w:rPr>
                <w:rFonts w:ascii="宋体" w:hAnsi="宋体"/>
                <w:spacing w:val="-1"/>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586" w:type="pct"/>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56" w:name="_Toc179623476"/>
      <w:bookmarkStart w:id="57" w:name="_Toc179801518"/>
      <w:bookmarkStart w:id="58" w:name="_Toc204944492"/>
      <w:bookmarkStart w:id="59" w:name="_Toc227658255"/>
      <w:bookmarkStart w:id="60" w:name="_Toc191897614"/>
      <w:bookmarkStart w:id="61" w:name="_Toc208051219"/>
      <w:bookmarkStart w:id="62" w:name="_Toc208484565"/>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56"/>
    <w:bookmarkEnd w:id="57"/>
    <w:bookmarkEnd w:id="58"/>
    <w:bookmarkEnd w:id="59"/>
    <w:bookmarkEnd w:id="60"/>
    <w:bookmarkEnd w:id="61"/>
    <w:bookmarkEnd w:id="62"/>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3909"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872"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3909" w:type="pct"/>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rPr>
              <w:t>级及以上注册建造师执业证书。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872" w:type="pct"/>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13"/>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6"/>
        <w:rPr>
          <w:rFonts w:cs="Arial"/>
        </w:rPr>
      </w:pPr>
    </w:p>
    <w:p>
      <w:pPr>
        <w:pStyle w:val="6"/>
        <w:rPr>
          <w:rFonts w:cs="Arial"/>
          <w:szCs w:val="21"/>
          <w:u w:val="single"/>
        </w:rPr>
      </w:pPr>
    </w:p>
    <w:tbl>
      <w:tblPr>
        <w:tblStyle w:val="13"/>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13"/>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13"/>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24"/>
        <w:spacing w:line="360" w:lineRule="auto"/>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center"/>
        <w:rPr>
          <w:rFonts w:cs="Arial"/>
          <w:b/>
        </w:rPr>
      </w:pP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jc w:val="center"/>
        <w:rPr>
          <w:rFonts w:ascii="宋体" w:hAnsi="宋体" w:cs="宋体"/>
          <w:szCs w:val="21"/>
        </w:rPr>
      </w:pPr>
    </w:p>
    <w:p>
      <w:pPr>
        <w:spacing w:line="360" w:lineRule="auto"/>
        <w:jc w:val="center"/>
        <w:rPr>
          <w:rFonts w:ascii="宋体" w:hAnsi="宋体" w:cs="宋体"/>
          <w:sz w:val="22"/>
        </w:rPr>
      </w:pPr>
      <w:r>
        <w:rPr>
          <w:rFonts w:hint="eastAsia" w:ascii="宋体" w:hAnsi="宋体" w:cs="宋体"/>
          <w:sz w:val="22"/>
        </w:rPr>
        <w:t>投标人(单位公章)：</w:t>
      </w:r>
    </w:p>
    <w:p>
      <w:pPr>
        <w:spacing w:line="360" w:lineRule="auto"/>
        <w:jc w:val="center"/>
        <w:rPr>
          <w:rFonts w:ascii="宋体" w:hAnsi="宋体" w:cs="宋体"/>
          <w:sz w:val="22"/>
        </w:rPr>
      </w:pPr>
      <w:r>
        <w:rPr>
          <w:rFonts w:hint="eastAsia" w:ascii="宋体" w:hAnsi="宋体" w:cs="宋体"/>
          <w:sz w:val="22"/>
        </w:rPr>
        <w:t>法定代表人或委托代理人(签字或盖章)：</w:t>
      </w:r>
    </w:p>
    <w:p>
      <w:pPr>
        <w:spacing w:line="360" w:lineRule="auto"/>
        <w:jc w:val="center"/>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24"/>
        <w:spacing w:line="360" w:lineRule="auto"/>
        <w:jc w:val="center"/>
        <w:rPr>
          <w:rFonts w:ascii="宋体" w:hAnsi="宋体" w:cs="宋体"/>
          <w:b/>
          <w:sz w:val="32"/>
          <w:szCs w:val="32"/>
        </w:rPr>
      </w:pPr>
    </w:p>
    <w:p>
      <w:pPr>
        <w:rPr>
          <w:b/>
          <w:bCs/>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8"/>
          <w:jc w:val="center"/>
        </w:pPr>
        <w:r>
          <w:fldChar w:fldCharType="begin"/>
        </w:r>
        <w:r>
          <w:instrText xml:space="preserve">PAGE   \* MERGEFORMAT</w:instrText>
        </w:r>
        <w:r>
          <w:fldChar w:fldCharType="separate"/>
        </w:r>
        <w:r>
          <w:rPr>
            <w:lang w:val="zh-CN"/>
          </w:rPr>
          <w:t>-</w:t>
        </w:r>
        <w:r>
          <w:t xml:space="preserve"> 20 -</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59</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8"/>
          <w:jc w:val="center"/>
        </w:pPr>
        <w:r>
          <w:fldChar w:fldCharType="begin"/>
        </w:r>
        <w:r>
          <w:instrText xml:space="preserve">PAGE   \* MERGEFORMAT</w:instrText>
        </w:r>
        <w:r>
          <w:fldChar w:fldCharType="separate"/>
        </w:r>
        <w:r>
          <w:rPr>
            <w:lang w:val="zh-CN"/>
          </w:rPr>
          <w:t>-</w:t>
        </w:r>
        <w:r>
          <w:t xml:space="preserve"> 78 -</w:t>
        </w:r>
        <w:r>
          <w:fldChar w:fldCharType="end"/>
        </w:r>
      </w:p>
    </w:sdtContent>
  </w:sdt>
  <w:p>
    <w:pPr>
      <w:pStyle w:val="8"/>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C4BD6E"/>
    <w:multiLevelType w:val="singleLevel"/>
    <w:tmpl w:val="59C4BD6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GE0MDM1YWJkMTc2ZGM2YThlZGY0MGUzMzFkYjAifQ=="/>
  </w:docVars>
  <w:rsids>
    <w:rsidRoot w:val="00000000"/>
    <w:rsid w:val="028C53F2"/>
    <w:rsid w:val="11A606C7"/>
    <w:rsid w:val="2A512A5E"/>
    <w:rsid w:val="37CF044D"/>
    <w:rsid w:val="3A0F26F2"/>
    <w:rsid w:val="526C7ABE"/>
    <w:rsid w:val="541754A3"/>
    <w:rsid w:val="62FC7BB5"/>
    <w:rsid w:val="7487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rPr>
      <w:szCs w:val="24"/>
    </w:rPr>
  </w:style>
  <w:style w:type="paragraph" w:styleId="6">
    <w:name w:val="Normal Indent"/>
    <w:basedOn w:val="1"/>
    <w:qFormat/>
    <w:uiPriority w:val="99"/>
    <w:pPr>
      <w:ind w:firstLine="420" w:firstLineChars="20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Strong"/>
    <w:qFormat/>
    <w:uiPriority w:val="0"/>
    <w:rPr>
      <w:b/>
      <w:bCs/>
    </w:rPr>
  </w:style>
  <w:style w:type="character" w:styleId="16">
    <w:name w:val="page number"/>
    <w:qFormat/>
    <w:uiPriority w:val="0"/>
  </w:style>
  <w:style w:type="character" w:styleId="17">
    <w:name w:val="Hyperlink"/>
    <w:unhideWhenUsed/>
    <w:qFormat/>
    <w:uiPriority w:val="99"/>
    <w:rPr>
      <w:color w:val="0000FF"/>
      <w:u w:val="single"/>
    </w:rPr>
  </w:style>
  <w:style w:type="character" w:customStyle="1" w:styleId="18">
    <w:name w:val="标题 1 Char2"/>
    <w:link w:val="4"/>
    <w:qFormat/>
    <w:uiPriority w:val="0"/>
    <w:rPr>
      <w:b/>
      <w:bCs/>
      <w:kern w:val="44"/>
      <w:sz w:val="44"/>
      <w:szCs w:val="44"/>
    </w:rPr>
  </w:style>
  <w:style w:type="paragraph" w:customStyle="1" w:styleId="19">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0"/>
    <w:pPr>
      <w:ind w:firstLine="420" w:firstLineChars="200"/>
    </w:pPr>
    <w:rPr>
      <w:szCs w:val="20"/>
    </w:rPr>
  </w:style>
  <w:style w:type="paragraph" w:customStyle="1" w:styleId="2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孟庆月</cp:lastModifiedBy>
  <dcterms:modified xsi:type="dcterms:W3CDTF">2023-06-30T07:39:44Z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FF0E4C1CAE5B4CE7BEAA488298AB3DF8</vt:lpwstr>
  </property>
</Properties>
</file>