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560" w:lineRule="exact"/>
        <w:jc w:val="center"/>
        <w:textAlignment w:val="bottom"/>
        <w:rPr>
          <w:rFonts w:ascii="黑体" w:hAnsi="黑体" w:eastAsia="黑体"/>
          <w:b/>
          <w:sz w:val="44"/>
          <w:szCs w:val="44"/>
          <w:highlight w:val="none"/>
        </w:rPr>
      </w:pPr>
    </w:p>
    <w:p>
      <w:pPr>
        <w:widowControl/>
        <w:autoSpaceDE w:val="0"/>
        <w:autoSpaceDN w:val="0"/>
        <w:spacing w:line="560" w:lineRule="exact"/>
        <w:jc w:val="center"/>
        <w:textAlignment w:val="bottom"/>
        <w:rPr>
          <w:rFonts w:ascii="黑体" w:hAnsi="黑体" w:eastAsia="黑体"/>
          <w:b/>
          <w:sz w:val="52"/>
          <w:szCs w:val="52"/>
          <w:highlight w:val="none"/>
        </w:rPr>
      </w:pPr>
    </w:p>
    <w:p>
      <w:pPr>
        <w:widowControl/>
        <w:autoSpaceDE w:val="0"/>
        <w:autoSpaceDN w:val="0"/>
        <w:spacing w:line="560" w:lineRule="exact"/>
        <w:jc w:val="center"/>
        <w:textAlignment w:val="bottom"/>
        <w:rPr>
          <w:rFonts w:ascii="黑体" w:hAnsi="黑体" w:eastAsia="黑体"/>
          <w:b/>
          <w:sz w:val="52"/>
          <w:szCs w:val="52"/>
          <w:highlight w:val="none"/>
        </w:rPr>
      </w:pPr>
    </w:p>
    <w:p>
      <w:pPr>
        <w:widowControl/>
        <w:autoSpaceDE w:val="0"/>
        <w:autoSpaceDN w:val="0"/>
        <w:spacing w:line="360" w:lineRule="auto"/>
        <w:jc w:val="center"/>
        <w:textAlignment w:val="bottom"/>
        <w:rPr>
          <w:rFonts w:ascii="黑体" w:hAnsi="黑体" w:eastAsia="黑体"/>
          <w:sz w:val="52"/>
          <w:szCs w:val="52"/>
          <w:highlight w:val="none"/>
        </w:rPr>
      </w:pPr>
      <w:r>
        <w:rPr>
          <w:rFonts w:hint="eastAsia" w:ascii="黑体" w:hAnsi="黑体" w:eastAsia="黑体"/>
          <w:b/>
          <w:sz w:val="52"/>
          <w:szCs w:val="52"/>
          <w:highlight w:val="none"/>
        </w:rPr>
        <w:t>杭州萧山国际机场</w:t>
      </w:r>
      <w:r>
        <w:rPr>
          <w:rFonts w:hint="eastAsia" w:ascii="黑体" w:hAnsi="黑体" w:eastAsia="黑体"/>
          <w:b/>
          <w:sz w:val="52"/>
          <w:szCs w:val="52"/>
          <w:highlight w:val="none"/>
          <w:lang w:eastAsia="zh-CN"/>
        </w:rPr>
        <w:t>T1航站楼空侧亚运亮化项目</w:t>
      </w:r>
      <w:r>
        <w:rPr>
          <w:rFonts w:ascii="黑体" w:hAnsi="黑体" w:eastAsia="黑体"/>
          <w:b/>
          <w:sz w:val="52"/>
          <w:szCs w:val="52"/>
          <w:highlight w:val="none"/>
        </w:rPr>
        <w:t>招标文件</w:t>
      </w:r>
    </w:p>
    <w:p>
      <w:pPr>
        <w:widowControl/>
        <w:autoSpaceDE w:val="0"/>
        <w:autoSpaceDN w:val="0"/>
        <w:snapToGrid w:val="0"/>
        <w:spacing w:line="560" w:lineRule="exact"/>
        <w:jc w:val="center"/>
        <w:textAlignment w:val="bottom"/>
        <w:rPr>
          <w:rFonts w:ascii="宋体" w:hAnsi="宋体"/>
          <w:b/>
          <w:sz w:val="44"/>
          <w:szCs w:val="44"/>
          <w:highlight w:val="none"/>
        </w:rPr>
      </w:pPr>
    </w:p>
    <w:p>
      <w:pPr>
        <w:widowControl/>
        <w:autoSpaceDE w:val="0"/>
        <w:autoSpaceDN w:val="0"/>
        <w:snapToGrid w:val="0"/>
        <w:spacing w:line="560" w:lineRule="exact"/>
        <w:jc w:val="center"/>
        <w:textAlignment w:val="bottom"/>
        <w:rPr>
          <w:rFonts w:ascii="宋体" w:hAnsi="宋体"/>
          <w:b/>
          <w:sz w:val="32"/>
          <w:szCs w:val="32"/>
          <w:highlight w:val="none"/>
        </w:rPr>
      </w:pPr>
    </w:p>
    <w:p>
      <w:pPr>
        <w:widowControl/>
        <w:autoSpaceDE w:val="0"/>
        <w:autoSpaceDN w:val="0"/>
        <w:snapToGrid w:val="0"/>
        <w:spacing w:line="560" w:lineRule="exact"/>
        <w:textAlignment w:val="bottom"/>
        <w:rPr>
          <w:rFonts w:ascii="宋体" w:hAnsi="宋体"/>
          <w:bCs/>
          <w:sz w:val="32"/>
          <w:szCs w:val="32"/>
          <w:highlight w:val="none"/>
        </w:rPr>
      </w:pPr>
      <w:r>
        <w:rPr>
          <w:rFonts w:ascii="宋体" w:hAnsi="宋体"/>
          <w:b/>
          <w:sz w:val="32"/>
          <w:szCs w:val="32"/>
          <w:highlight w:val="none"/>
        </w:rPr>
        <w:t xml:space="preserve">   </w:t>
      </w:r>
      <w:r>
        <w:rPr>
          <w:rFonts w:hint="eastAsia" w:ascii="宋体" w:hAnsi="宋体"/>
          <w:b/>
          <w:sz w:val="32"/>
          <w:szCs w:val="32"/>
          <w:highlight w:val="none"/>
        </w:rPr>
        <w:t xml:space="preserve">                </w:t>
      </w:r>
      <w:r>
        <w:rPr>
          <w:rFonts w:ascii="宋体" w:hAnsi="宋体"/>
          <w:b/>
          <w:sz w:val="32"/>
          <w:szCs w:val="32"/>
          <w:highlight w:val="none"/>
        </w:rPr>
        <w:t xml:space="preserve">      </w:t>
      </w:r>
      <w:r>
        <w:rPr>
          <w:rFonts w:hint="eastAsia" w:ascii="宋体" w:hAnsi="宋体"/>
          <w:b/>
          <w:sz w:val="32"/>
          <w:szCs w:val="32"/>
          <w:highlight w:val="none"/>
        </w:rPr>
        <w:t xml:space="preserve">    </w:t>
      </w:r>
    </w:p>
    <w:p>
      <w:pPr>
        <w:widowControl/>
        <w:autoSpaceDE w:val="0"/>
        <w:autoSpaceDN w:val="0"/>
        <w:snapToGrid w:val="0"/>
        <w:spacing w:line="560" w:lineRule="exact"/>
        <w:textAlignment w:val="bottom"/>
        <w:rPr>
          <w:rFonts w:ascii="宋体" w:hAnsi="宋体"/>
          <w:b/>
          <w:sz w:val="32"/>
          <w:szCs w:val="32"/>
          <w:highlight w:val="none"/>
        </w:rPr>
      </w:pPr>
      <w:r>
        <w:rPr>
          <w:rFonts w:ascii="宋体" w:hAnsi="宋体"/>
          <w:bCs/>
          <w:sz w:val="32"/>
          <w:szCs w:val="32"/>
          <w:highlight w:val="none"/>
        </w:rPr>
        <w:t xml:space="preserve">                 </w:t>
      </w:r>
      <w:r>
        <w:rPr>
          <w:rFonts w:hint="eastAsia" w:ascii="宋体" w:hAnsi="宋体"/>
          <w:bCs/>
          <w:sz w:val="32"/>
          <w:szCs w:val="32"/>
          <w:highlight w:val="none"/>
        </w:rPr>
        <w:t xml:space="preserve">            </w:t>
      </w:r>
    </w:p>
    <w:p>
      <w:pPr>
        <w:adjustRightInd w:val="0"/>
        <w:snapToGrid w:val="0"/>
        <w:spacing w:line="560" w:lineRule="exact"/>
        <w:jc w:val="center"/>
        <w:textAlignment w:val="bottom"/>
        <w:rPr>
          <w:rFonts w:ascii="宋体" w:hAnsi="宋体"/>
          <w:sz w:val="32"/>
          <w:szCs w:val="32"/>
          <w:highlight w:val="none"/>
        </w:rPr>
      </w:pPr>
    </w:p>
    <w:p>
      <w:pPr>
        <w:adjustRightInd w:val="0"/>
        <w:snapToGrid w:val="0"/>
        <w:spacing w:line="560" w:lineRule="exact"/>
        <w:jc w:val="center"/>
        <w:textAlignment w:val="bottom"/>
        <w:rPr>
          <w:rFonts w:ascii="宋体" w:hAnsi="宋体"/>
          <w:sz w:val="32"/>
          <w:szCs w:val="32"/>
          <w:highlight w:val="none"/>
        </w:rPr>
      </w:pPr>
    </w:p>
    <w:p>
      <w:pPr>
        <w:adjustRightInd w:val="0"/>
        <w:snapToGrid w:val="0"/>
        <w:spacing w:line="560" w:lineRule="exact"/>
        <w:jc w:val="center"/>
        <w:textAlignment w:val="bottom"/>
        <w:rPr>
          <w:rFonts w:ascii="宋体" w:hAnsi="宋体"/>
          <w:sz w:val="32"/>
          <w:szCs w:val="32"/>
          <w:highlight w:val="none"/>
        </w:rPr>
      </w:pPr>
    </w:p>
    <w:p>
      <w:pPr>
        <w:adjustRightInd w:val="0"/>
        <w:snapToGrid w:val="0"/>
        <w:spacing w:line="560" w:lineRule="exact"/>
        <w:jc w:val="center"/>
        <w:textAlignment w:val="bottom"/>
        <w:rPr>
          <w:rFonts w:ascii="宋体" w:hAnsi="宋体"/>
          <w:sz w:val="32"/>
          <w:szCs w:val="32"/>
          <w:highlight w:val="none"/>
        </w:rPr>
      </w:pPr>
    </w:p>
    <w:p>
      <w:pPr>
        <w:adjustRightInd w:val="0"/>
        <w:snapToGrid w:val="0"/>
        <w:spacing w:line="560" w:lineRule="exact"/>
        <w:jc w:val="center"/>
        <w:textAlignment w:val="bottom"/>
        <w:rPr>
          <w:rFonts w:ascii="宋体" w:hAnsi="宋体"/>
          <w:sz w:val="32"/>
          <w:szCs w:val="32"/>
          <w:highlight w:val="none"/>
        </w:rPr>
      </w:pPr>
    </w:p>
    <w:p>
      <w:pPr>
        <w:adjustRightInd w:val="0"/>
        <w:snapToGrid w:val="0"/>
        <w:spacing w:line="560" w:lineRule="exact"/>
        <w:jc w:val="center"/>
        <w:textAlignment w:val="bottom"/>
        <w:rPr>
          <w:rFonts w:ascii="宋体" w:hAnsi="宋体"/>
          <w:sz w:val="32"/>
          <w:szCs w:val="32"/>
          <w:highlight w:val="none"/>
        </w:rPr>
      </w:pPr>
    </w:p>
    <w:p>
      <w:pPr>
        <w:spacing w:line="560" w:lineRule="exact"/>
        <w:jc w:val="center"/>
        <w:rPr>
          <w:rFonts w:eastAsia="黑体" w:cs="Calibri"/>
          <w:sz w:val="32"/>
          <w:szCs w:val="32"/>
          <w:highlight w:val="none"/>
        </w:rPr>
      </w:pPr>
      <w:r>
        <w:rPr>
          <w:rFonts w:hint="eastAsia" w:eastAsia="黑体" w:cs="Calibri"/>
          <w:sz w:val="32"/>
          <w:szCs w:val="32"/>
          <w:highlight w:val="none"/>
        </w:rPr>
        <w:t>杭州萧山国际机场有限公司</w:t>
      </w:r>
    </w:p>
    <w:p>
      <w:pPr>
        <w:pStyle w:val="5"/>
        <w:spacing w:line="560" w:lineRule="exact"/>
        <w:jc w:val="center"/>
        <w:rPr>
          <w:rFonts w:ascii="Calibri" w:hAnsi="Calibri" w:eastAsia="楷体_GB2312" w:cs="Calibri"/>
          <w:sz w:val="24"/>
          <w:szCs w:val="24"/>
          <w:highlight w:val="none"/>
          <w:u w:val="single"/>
        </w:rPr>
      </w:pPr>
      <w:r>
        <w:rPr>
          <w:rFonts w:hint="eastAsia" w:ascii="Calibri" w:hAnsi="Calibri" w:eastAsia="黑体" w:cs="Calibri"/>
          <w:sz w:val="32"/>
          <w:szCs w:val="32"/>
          <w:highlight w:val="none"/>
        </w:rPr>
        <w:t>二</w:t>
      </w:r>
      <w:r>
        <w:rPr>
          <w:rFonts w:hint="eastAsia" w:ascii="黑体" w:hAnsi="黑体" w:eastAsia="黑体" w:cs="Calibri"/>
          <w:sz w:val="32"/>
          <w:szCs w:val="32"/>
          <w:highlight w:val="none"/>
        </w:rPr>
        <w:t>Ο</w:t>
      </w:r>
      <w:r>
        <w:rPr>
          <w:rFonts w:hint="eastAsia" w:ascii="Calibri" w:hAnsi="Calibri" w:eastAsia="黑体" w:cs="Calibri"/>
          <w:sz w:val="32"/>
          <w:szCs w:val="32"/>
          <w:highlight w:val="none"/>
        </w:rPr>
        <w:t>二三年</w:t>
      </w:r>
      <w:r>
        <w:rPr>
          <w:rFonts w:hint="eastAsia" w:ascii="Calibri" w:hAnsi="Calibri" w:eastAsia="黑体" w:cs="Calibri"/>
          <w:sz w:val="32"/>
          <w:szCs w:val="32"/>
          <w:highlight w:val="none"/>
          <w:u w:val="single"/>
        </w:rPr>
        <w:t xml:space="preserve"> 七 </w:t>
      </w:r>
      <w:r>
        <w:rPr>
          <w:rFonts w:ascii="Calibri" w:hAnsi="Calibri" w:eastAsia="黑体" w:cs="Calibri"/>
          <w:sz w:val="32"/>
          <w:szCs w:val="32"/>
          <w:highlight w:val="none"/>
        </w:rPr>
        <w:t>月</w:t>
      </w:r>
    </w:p>
    <w:p>
      <w:pPr>
        <w:snapToGrid w:val="0"/>
        <w:spacing w:line="560" w:lineRule="exact"/>
        <w:jc w:val="center"/>
        <w:rPr>
          <w:rFonts w:ascii="宋体" w:hAnsi="宋体"/>
          <w:b/>
          <w:bCs/>
          <w:sz w:val="32"/>
          <w:szCs w:val="32"/>
          <w:highlight w:val="none"/>
        </w:rPr>
      </w:pPr>
    </w:p>
    <w:p>
      <w:pPr>
        <w:spacing w:line="560" w:lineRule="exact"/>
        <w:jc w:val="center"/>
        <w:rPr>
          <w:b/>
          <w:highlight w:val="none"/>
        </w:rPr>
      </w:pPr>
    </w:p>
    <w:p>
      <w:pPr>
        <w:spacing w:line="560" w:lineRule="exact"/>
        <w:jc w:val="center"/>
        <w:rPr>
          <w:b/>
          <w:bCs/>
          <w:sz w:val="44"/>
          <w:szCs w:val="44"/>
          <w:highlight w:val="none"/>
        </w:rPr>
        <w:sectPr>
          <w:headerReference r:id="rId3" w:type="default"/>
          <w:footerReference r:id="rId4" w:type="default"/>
          <w:footerReference r:id="rId5" w:type="even"/>
          <w:pgSz w:w="11907" w:h="16840"/>
          <w:pgMar w:top="1134" w:right="1134" w:bottom="1134" w:left="1134" w:header="567" w:footer="567" w:gutter="0"/>
          <w:pgNumType w:fmt="numberInDash" w:start="1"/>
          <w:cols w:space="720" w:num="1"/>
        </w:sectPr>
      </w:pPr>
    </w:p>
    <w:sdt>
      <w:sdtPr>
        <w:rPr>
          <w:rFonts w:ascii="宋体" w:hAnsi="宋体" w:eastAsia="宋体"/>
          <w:highlight w:val="none"/>
        </w:rPr>
        <w:id w:val="147480402"/>
        <w15:color w:val="DBDBDB"/>
      </w:sdtPr>
      <w:sdtEndPr>
        <w:rPr>
          <w:rFonts w:asciiTheme="minorHAnsi" w:hAnsiTheme="minorHAnsi" w:eastAsiaTheme="minorEastAsia"/>
          <w:bCs/>
          <w:szCs w:val="44"/>
          <w:highlight w:val="none"/>
        </w:rPr>
      </w:sdtEndPr>
      <w:sdtContent>
        <w:p>
          <w:pPr>
            <w:spacing w:line="560" w:lineRule="exact"/>
            <w:jc w:val="center"/>
            <w:rPr>
              <w:rFonts w:ascii="仿宋_GB2312" w:hAnsi="仿宋_GB2312" w:eastAsia="仿宋_GB2312" w:cs="仿宋_GB2312"/>
              <w:sz w:val="36"/>
              <w:szCs w:val="40"/>
              <w:highlight w:val="none"/>
            </w:rPr>
          </w:pPr>
          <w:r>
            <w:rPr>
              <w:rFonts w:hint="eastAsia" w:ascii="仿宋_GB2312" w:hAnsi="仿宋_GB2312" w:eastAsia="仿宋_GB2312" w:cs="仿宋_GB2312"/>
              <w:sz w:val="44"/>
              <w:szCs w:val="44"/>
              <w:highlight w:val="none"/>
            </w:rPr>
            <w:t>目录</w:t>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asciiTheme="minorHAnsi" w:hAnsiTheme="minorHAnsi" w:eastAsiaTheme="minorEastAsia" w:cstheme="minorBidi"/>
              <w:sz w:val="32"/>
              <w:szCs w:val="32"/>
              <w:highlight w:val="none"/>
              <w14:ligatures w14:val="standardContextual"/>
            </w:rPr>
          </w:pPr>
          <w:r>
            <w:rPr>
              <w:rFonts w:hint="eastAsia" w:ascii="仿宋_GB2312" w:hAnsi="仿宋_GB2312" w:eastAsia="仿宋_GB2312" w:cs="仿宋_GB2312"/>
              <w:b/>
              <w:bCs/>
              <w:sz w:val="56"/>
              <w:szCs w:val="56"/>
              <w:highlight w:val="none"/>
            </w:rPr>
            <w:fldChar w:fldCharType="begin"/>
          </w:r>
          <w:r>
            <w:rPr>
              <w:rFonts w:hint="eastAsia" w:ascii="仿宋_GB2312" w:hAnsi="仿宋_GB2312" w:eastAsia="仿宋_GB2312" w:cs="仿宋_GB2312"/>
              <w:b/>
              <w:bCs/>
              <w:sz w:val="56"/>
              <w:szCs w:val="56"/>
              <w:highlight w:val="none"/>
            </w:rPr>
            <w:instrText xml:space="preserve">TOC \o "1-3" \h \u </w:instrText>
          </w:r>
          <w:r>
            <w:rPr>
              <w:rFonts w:hint="eastAsia" w:ascii="仿宋_GB2312" w:hAnsi="仿宋_GB2312" w:eastAsia="仿宋_GB2312" w:cs="仿宋_GB2312"/>
              <w:b/>
              <w:bCs/>
              <w:sz w:val="56"/>
              <w:szCs w:val="56"/>
              <w:highlight w:val="none"/>
            </w:rPr>
            <w:fldChar w:fldCharType="separate"/>
          </w:r>
          <w:r>
            <w:rPr>
              <w:sz w:val="32"/>
              <w:szCs w:val="32"/>
              <w:highlight w:val="none"/>
            </w:rPr>
            <w:fldChar w:fldCharType="begin"/>
          </w:r>
          <w:r>
            <w:rPr>
              <w:sz w:val="32"/>
              <w:szCs w:val="32"/>
              <w:highlight w:val="none"/>
            </w:rPr>
            <w:instrText xml:space="preserve"> HYPERLINK \l "_Toc139786915" </w:instrText>
          </w:r>
          <w:r>
            <w:rPr>
              <w:sz w:val="32"/>
              <w:szCs w:val="32"/>
              <w:highlight w:val="none"/>
            </w:rPr>
            <w:fldChar w:fldCharType="separate"/>
          </w:r>
          <w:r>
            <w:rPr>
              <w:rFonts w:ascii="仿宋_GB2312" w:hAnsi="仿宋_GB2312" w:eastAsia="仿宋_GB2312" w:cs="仿宋_GB2312"/>
              <w:sz w:val="32"/>
              <w:szCs w:val="32"/>
              <w:highlight w:val="none"/>
            </w:rPr>
            <w:t>第一章 招标公告</w:t>
          </w:r>
          <w:r>
            <w:rPr>
              <w:rFonts w:ascii="仿宋_GB2312" w:hAnsi="仿宋_GB2312" w:eastAsia="仿宋_GB2312" w:cs="仿宋_GB2312"/>
              <w:sz w:val="32"/>
              <w:szCs w:val="32"/>
              <w:highlight w:val="none"/>
            </w:rPr>
            <w:tab/>
          </w:r>
          <w:r>
            <w:rPr>
              <w:rFonts w:ascii="仿宋_GB2312" w:hAnsi="仿宋_GB2312" w:eastAsia="仿宋_GB2312" w:cs="仿宋_GB2312"/>
              <w:sz w:val="32"/>
              <w:szCs w:val="32"/>
              <w:highlight w:val="none"/>
            </w:rPr>
            <w:fldChar w:fldCharType="begin"/>
          </w:r>
          <w:r>
            <w:rPr>
              <w:rFonts w:ascii="仿宋_GB2312" w:hAnsi="仿宋_GB2312" w:eastAsia="仿宋_GB2312" w:cs="仿宋_GB2312"/>
              <w:sz w:val="32"/>
              <w:szCs w:val="32"/>
              <w:highlight w:val="none"/>
            </w:rPr>
            <w:instrText xml:space="preserve"> PAGEREF _Toc139786915 \h </w:instrText>
          </w:r>
          <w:r>
            <w:rPr>
              <w:rFonts w:ascii="仿宋_GB2312" w:hAnsi="仿宋_GB2312" w:eastAsia="仿宋_GB2312" w:cs="仿宋_GB2312"/>
              <w:sz w:val="32"/>
              <w:szCs w:val="32"/>
              <w:highlight w:val="none"/>
            </w:rPr>
            <w:fldChar w:fldCharType="separate"/>
          </w:r>
          <w:r>
            <w:rPr>
              <w:rFonts w:ascii="仿宋_GB2312" w:hAnsi="仿宋_GB2312" w:eastAsia="仿宋_GB2312" w:cs="仿宋_GB2312"/>
              <w:sz w:val="32"/>
              <w:szCs w:val="32"/>
              <w:highlight w:val="none"/>
            </w:rPr>
            <w:t>1</w:t>
          </w:r>
          <w:r>
            <w:rPr>
              <w:rFonts w:ascii="仿宋_GB2312" w:hAnsi="仿宋_GB2312" w:eastAsia="仿宋_GB2312" w:cs="仿宋_GB2312"/>
              <w:sz w:val="32"/>
              <w:szCs w:val="32"/>
              <w:highlight w:val="none"/>
            </w:rPr>
            <w:fldChar w:fldCharType="end"/>
          </w:r>
          <w:r>
            <w:rPr>
              <w:rFonts w:ascii="仿宋_GB2312" w:hAnsi="仿宋_GB2312" w:eastAsia="仿宋_GB2312" w:cs="仿宋_GB2312"/>
              <w:sz w:val="32"/>
              <w:szCs w:val="32"/>
              <w:highlight w:val="none"/>
            </w:rPr>
            <w:fldChar w:fldCharType="end"/>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ascii="仿宋_GB2312" w:hAnsi="仿宋_GB2312" w:eastAsia="仿宋_GB2312" w:cs="仿宋_GB2312"/>
              <w:sz w:val="32"/>
              <w:szCs w:val="32"/>
              <w:highlight w:val="none"/>
            </w:rPr>
          </w:pPr>
          <w:r>
            <w:rPr>
              <w:sz w:val="32"/>
              <w:szCs w:val="32"/>
              <w:highlight w:val="none"/>
            </w:rPr>
            <w:fldChar w:fldCharType="begin"/>
          </w:r>
          <w:r>
            <w:rPr>
              <w:sz w:val="32"/>
              <w:szCs w:val="32"/>
              <w:highlight w:val="none"/>
            </w:rPr>
            <w:instrText xml:space="preserve"> HYPERLINK \l "_Toc139786916" </w:instrText>
          </w:r>
          <w:r>
            <w:rPr>
              <w:sz w:val="32"/>
              <w:szCs w:val="32"/>
              <w:highlight w:val="none"/>
            </w:rPr>
            <w:fldChar w:fldCharType="separate"/>
          </w:r>
          <w:r>
            <w:rPr>
              <w:rFonts w:ascii="仿宋_GB2312" w:hAnsi="仿宋_GB2312" w:eastAsia="仿宋_GB2312" w:cs="仿宋_GB2312"/>
              <w:sz w:val="32"/>
              <w:szCs w:val="32"/>
              <w:highlight w:val="none"/>
            </w:rPr>
            <w:t>第二章 评标办法</w:t>
          </w:r>
          <w:r>
            <w:rPr>
              <w:rFonts w:ascii="仿宋_GB2312" w:hAnsi="仿宋_GB2312" w:eastAsia="仿宋_GB2312" w:cs="仿宋_GB2312"/>
              <w:sz w:val="32"/>
              <w:szCs w:val="32"/>
              <w:highlight w:val="none"/>
            </w:rPr>
            <w:tab/>
          </w:r>
          <w:r>
            <w:rPr>
              <w:rFonts w:ascii="仿宋_GB2312" w:hAnsi="仿宋_GB2312" w:eastAsia="仿宋_GB2312" w:cs="仿宋_GB2312"/>
              <w:sz w:val="32"/>
              <w:szCs w:val="32"/>
              <w:highlight w:val="none"/>
            </w:rPr>
            <w:fldChar w:fldCharType="begin"/>
          </w:r>
          <w:r>
            <w:rPr>
              <w:rFonts w:ascii="仿宋_GB2312" w:hAnsi="仿宋_GB2312" w:eastAsia="仿宋_GB2312" w:cs="仿宋_GB2312"/>
              <w:sz w:val="32"/>
              <w:szCs w:val="32"/>
              <w:highlight w:val="none"/>
            </w:rPr>
            <w:instrText xml:space="preserve"> PAGEREF _Toc139786916 \h </w:instrText>
          </w:r>
          <w:r>
            <w:rPr>
              <w:rFonts w:ascii="仿宋_GB2312" w:hAnsi="仿宋_GB2312" w:eastAsia="仿宋_GB2312" w:cs="仿宋_GB2312"/>
              <w:sz w:val="32"/>
              <w:szCs w:val="32"/>
              <w:highlight w:val="none"/>
            </w:rPr>
            <w:fldChar w:fldCharType="separate"/>
          </w:r>
          <w:r>
            <w:rPr>
              <w:rFonts w:ascii="仿宋_GB2312" w:hAnsi="仿宋_GB2312" w:eastAsia="仿宋_GB2312" w:cs="仿宋_GB2312"/>
              <w:sz w:val="32"/>
              <w:szCs w:val="32"/>
              <w:highlight w:val="none"/>
            </w:rPr>
            <w:t>3</w:t>
          </w:r>
          <w:r>
            <w:rPr>
              <w:rFonts w:ascii="仿宋_GB2312" w:hAnsi="仿宋_GB2312" w:eastAsia="仿宋_GB2312" w:cs="仿宋_GB2312"/>
              <w:sz w:val="32"/>
              <w:szCs w:val="32"/>
              <w:highlight w:val="none"/>
            </w:rPr>
            <w:fldChar w:fldCharType="end"/>
          </w:r>
          <w:r>
            <w:rPr>
              <w:rFonts w:ascii="仿宋_GB2312" w:hAnsi="仿宋_GB2312" w:eastAsia="仿宋_GB2312" w:cs="仿宋_GB2312"/>
              <w:sz w:val="32"/>
              <w:szCs w:val="32"/>
              <w:highlight w:val="none"/>
            </w:rPr>
            <w:fldChar w:fldCharType="end"/>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ascii="仿宋_GB2312" w:hAnsi="仿宋_GB2312" w:eastAsia="仿宋_GB2312" w:cs="仿宋_GB2312"/>
              <w:sz w:val="32"/>
              <w:szCs w:val="32"/>
              <w:highlight w:val="none"/>
            </w:rPr>
          </w:pPr>
          <w:r>
            <w:rPr>
              <w:sz w:val="32"/>
              <w:szCs w:val="32"/>
              <w:highlight w:val="none"/>
            </w:rPr>
            <w:fldChar w:fldCharType="begin"/>
          </w:r>
          <w:r>
            <w:rPr>
              <w:sz w:val="32"/>
              <w:szCs w:val="32"/>
              <w:highlight w:val="none"/>
            </w:rPr>
            <w:instrText xml:space="preserve"> HYPERLINK \l "_Toc139786917" </w:instrText>
          </w:r>
          <w:r>
            <w:rPr>
              <w:sz w:val="32"/>
              <w:szCs w:val="32"/>
              <w:highlight w:val="none"/>
            </w:rPr>
            <w:fldChar w:fldCharType="separate"/>
          </w:r>
          <w:r>
            <w:rPr>
              <w:rFonts w:ascii="仿宋_GB2312" w:hAnsi="仿宋_GB2312" w:eastAsia="仿宋_GB2312" w:cs="仿宋_GB2312"/>
              <w:sz w:val="32"/>
              <w:szCs w:val="32"/>
              <w:highlight w:val="none"/>
            </w:rPr>
            <w:t>第三章 合同条款及格式</w:t>
          </w:r>
          <w:r>
            <w:rPr>
              <w:rFonts w:ascii="仿宋_GB2312" w:hAnsi="仿宋_GB2312" w:eastAsia="仿宋_GB2312" w:cs="仿宋_GB2312"/>
              <w:sz w:val="32"/>
              <w:szCs w:val="32"/>
              <w:highlight w:val="none"/>
            </w:rPr>
            <w:tab/>
          </w:r>
          <w:r>
            <w:rPr>
              <w:rFonts w:ascii="仿宋_GB2312" w:hAnsi="仿宋_GB2312" w:eastAsia="仿宋_GB2312" w:cs="仿宋_GB2312"/>
              <w:sz w:val="32"/>
              <w:szCs w:val="32"/>
              <w:highlight w:val="none"/>
            </w:rPr>
            <w:fldChar w:fldCharType="begin"/>
          </w:r>
          <w:r>
            <w:rPr>
              <w:rFonts w:ascii="仿宋_GB2312" w:hAnsi="仿宋_GB2312" w:eastAsia="仿宋_GB2312" w:cs="仿宋_GB2312"/>
              <w:sz w:val="32"/>
              <w:szCs w:val="32"/>
              <w:highlight w:val="none"/>
            </w:rPr>
            <w:instrText xml:space="preserve"> PAGEREF _Toc139786917 \h </w:instrText>
          </w:r>
          <w:r>
            <w:rPr>
              <w:rFonts w:ascii="仿宋_GB2312" w:hAnsi="仿宋_GB2312" w:eastAsia="仿宋_GB2312" w:cs="仿宋_GB2312"/>
              <w:sz w:val="32"/>
              <w:szCs w:val="32"/>
              <w:highlight w:val="none"/>
            </w:rPr>
            <w:fldChar w:fldCharType="separate"/>
          </w:r>
          <w:r>
            <w:rPr>
              <w:rFonts w:ascii="仿宋_GB2312" w:hAnsi="仿宋_GB2312" w:eastAsia="仿宋_GB2312" w:cs="仿宋_GB2312"/>
              <w:sz w:val="32"/>
              <w:szCs w:val="32"/>
              <w:highlight w:val="none"/>
            </w:rPr>
            <w:t>7</w:t>
          </w:r>
          <w:r>
            <w:rPr>
              <w:rFonts w:ascii="仿宋_GB2312" w:hAnsi="仿宋_GB2312" w:eastAsia="仿宋_GB2312" w:cs="仿宋_GB2312"/>
              <w:sz w:val="32"/>
              <w:szCs w:val="32"/>
              <w:highlight w:val="none"/>
            </w:rPr>
            <w:fldChar w:fldCharType="end"/>
          </w:r>
          <w:r>
            <w:rPr>
              <w:rFonts w:ascii="仿宋_GB2312" w:hAnsi="仿宋_GB2312" w:eastAsia="仿宋_GB2312" w:cs="仿宋_GB2312"/>
              <w:sz w:val="32"/>
              <w:szCs w:val="32"/>
              <w:highlight w:val="none"/>
            </w:rPr>
            <w:fldChar w:fldCharType="end"/>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ascii="仿宋_GB2312" w:hAnsi="仿宋_GB2312" w:eastAsia="仿宋_GB2312" w:cs="仿宋_GB2312"/>
              <w:sz w:val="32"/>
              <w:szCs w:val="32"/>
              <w:highlight w:val="none"/>
            </w:rPr>
          </w:pPr>
          <w:r>
            <w:rPr>
              <w:sz w:val="32"/>
              <w:szCs w:val="32"/>
              <w:highlight w:val="none"/>
            </w:rPr>
            <w:fldChar w:fldCharType="begin"/>
          </w:r>
          <w:r>
            <w:rPr>
              <w:sz w:val="32"/>
              <w:szCs w:val="32"/>
              <w:highlight w:val="none"/>
            </w:rPr>
            <w:instrText xml:space="preserve"> HYPERLINK \l "_Toc139786918" </w:instrText>
          </w:r>
          <w:r>
            <w:rPr>
              <w:sz w:val="32"/>
              <w:szCs w:val="32"/>
              <w:highlight w:val="none"/>
            </w:rPr>
            <w:fldChar w:fldCharType="separate"/>
          </w:r>
          <w:r>
            <w:rPr>
              <w:rFonts w:ascii="仿宋_GB2312" w:hAnsi="仿宋_GB2312" w:eastAsia="仿宋_GB2312" w:cs="仿宋_GB2312"/>
              <w:sz w:val="32"/>
              <w:szCs w:val="32"/>
              <w:highlight w:val="none"/>
            </w:rPr>
            <w:t>第四章 工程量清单</w:t>
          </w:r>
          <w:r>
            <w:rPr>
              <w:rFonts w:ascii="仿宋_GB2312" w:hAnsi="仿宋_GB2312" w:eastAsia="仿宋_GB2312" w:cs="仿宋_GB2312"/>
              <w:sz w:val="32"/>
              <w:szCs w:val="32"/>
              <w:highlight w:val="none"/>
            </w:rPr>
            <w:tab/>
          </w:r>
          <w:r>
            <w:rPr>
              <w:rFonts w:ascii="仿宋_GB2312" w:hAnsi="仿宋_GB2312" w:eastAsia="仿宋_GB2312" w:cs="仿宋_GB2312"/>
              <w:sz w:val="32"/>
              <w:szCs w:val="32"/>
              <w:highlight w:val="none"/>
            </w:rPr>
            <w:fldChar w:fldCharType="begin"/>
          </w:r>
          <w:r>
            <w:rPr>
              <w:rFonts w:ascii="仿宋_GB2312" w:hAnsi="仿宋_GB2312" w:eastAsia="仿宋_GB2312" w:cs="仿宋_GB2312"/>
              <w:sz w:val="32"/>
              <w:szCs w:val="32"/>
              <w:highlight w:val="none"/>
            </w:rPr>
            <w:instrText xml:space="preserve"> PAGEREF _Toc139786918 \h </w:instrText>
          </w:r>
          <w:r>
            <w:rPr>
              <w:rFonts w:ascii="仿宋_GB2312" w:hAnsi="仿宋_GB2312" w:eastAsia="仿宋_GB2312" w:cs="仿宋_GB2312"/>
              <w:sz w:val="32"/>
              <w:szCs w:val="32"/>
              <w:highlight w:val="none"/>
            </w:rPr>
            <w:fldChar w:fldCharType="separate"/>
          </w:r>
          <w:r>
            <w:rPr>
              <w:rFonts w:ascii="仿宋_GB2312" w:hAnsi="仿宋_GB2312" w:eastAsia="仿宋_GB2312" w:cs="仿宋_GB2312"/>
              <w:sz w:val="32"/>
              <w:szCs w:val="32"/>
              <w:highlight w:val="none"/>
            </w:rPr>
            <w:t>58</w:t>
          </w:r>
          <w:r>
            <w:rPr>
              <w:rFonts w:ascii="仿宋_GB2312" w:hAnsi="仿宋_GB2312" w:eastAsia="仿宋_GB2312" w:cs="仿宋_GB2312"/>
              <w:sz w:val="32"/>
              <w:szCs w:val="32"/>
              <w:highlight w:val="none"/>
            </w:rPr>
            <w:fldChar w:fldCharType="end"/>
          </w:r>
          <w:r>
            <w:rPr>
              <w:rFonts w:ascii="仿宋_GB2312" w:hAnsi="仿宋_GB2312" w:eastAsia="仿宋_GB2312" w:cs="仿宋_GB2312"/>
              <w:sz w:val="32"/>
              <w:szCs w:val="32"/>
              <w:highlight w:val="none"/>
            </w:rPr>
            <w:fldChar w:fldCharType="end"/>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ascii="仿宋_GB2312" w:hAnsi="仿宋_GB2312" w:eastAsia="仿宋_GB2312" w:cs="仿宋_GB2312"/>
              <w:sz w:val="32"/>
              <w:szCs w:val="32"/>
              <w:highlight w:val="none"/>
            </w:rPr>
          </w:pPr>
          <w:r>
            <w:rPr>
              <w:sz w:val="32"/>
              <w:szCs w:val="32"/>
              <w:highlight w:val="none"/>
            </w:rPr>
            <w:fldChar w:fldCharType="begin"/>
          </w:r>
          <w:r>
            <w:rPr>
              <w:sz w:val="32"/>
              <w:szCs w:val="32"/>
              <w:highlight w:val="none"/>
            </w:rPr>
            <w:instrText xml:space="preserve"> HYPERLINK \l "_Toc139786919" </w:instrText>
          </w:r>
          <w:r>
            <w:rPr>
              <w:sz w:val="32"/>
              <w:szCs w:val="32"/>
              <w:highlight w:val="none"/>
            </w:rPr>
            <w:fldChar w:fldCharType="separate"/>
          </w:r>
          <w:r>
            <w:rPr>
              <w:rFonts w:ascii="仿宋_GB2312" w:hAnsi="仿宋_GB2312" w:eastAsia="仿宋_GB2312" w:cs="仿宋_GB2312"/>
              <w:sz w:val="32"/>
              <w:szCs w:val="32"/>
              <w:highlight w:val="none"/>
            </w:rPr>
            <w:t>第五章 技术标准及要求</w:t>
          </w:r>
          <w:r>
            <w:rPr>
              <w:rFonts w:ascii="仿宋_GB2312" w:hAnsi="仿宋_GB2312" w:eastAsia="仿宋_GB2312" w:cs="仿宋_GB2312"/>
              <w:sz w:val="32"/>
              <w:szCs w:val="32"/>
              <w:highlight w:val="none"/>
            </w:rPr>
            <w:tab/>
          </w:r>
          <w:r>
            <w:rPr>
              <w:rFonts w:ascii="仿宋_GB2312" w:hAnsi="仿宋_GB2312" w:eastAsia="仿宋_GB2312" w:cs="仿宋_GB2312"/>
              <w:sz w:val="32"/>
              <w:szCs w:val="32"/>
              <w:highlight w:val="none"/>
            </w:rPr>
            <w:fldChar w:fldCharType="begin"/>
          </w:r>
          <w:r>
            <w:rPr>
              <w:rFonts w:ascii="仿宋_GB2312" w:hAnsi="仿宋_GB2312" w:eastAsia="仿宋_GB2312" w:cs="仿宋_GB2312"/>
              <w:sz w:val="32"/>
              <w:szCs w:val="32"/>
              <w:highlight w:val="none"/>
            </w:rPr>
            <w:instrText xml:space="preserve"> PAGEREF _Toc139786919 \h </w:instrText>
          </w:r>
          <w:r>
            <w:rPr>
              <w:rFonts w:ascii="仿宋_GB2312" w:hAnsi="仿宋_GB2312" w:eastAsia="仿宋_GB2312" w:cs="仿宋_GB2312"/>
              <w:sz w:val="32"/>
              <w:szCs w:val="32"/>
              <w:highlight w:val="none"/>
            </w:rPr>
            <w:fldChar w:fldCharType="separate"/>
          </w:r>
          <w:r>
            <w:rPr>
              <w:rFonts w:ascii="仿宋_GB2312" w:hAnsi="仿宋_GB2312" w:eastAsia="仿宋_GB2312" w:cs="仿宋_GB2312"/>
              <w:sz w:val="32"/>
              <w:szCs w:val="32"/>
              <w:highlight w:val="none"/>
            </w:rPr>
            <w:t>59</w:t>
          </w:r>
          <w:r>
            <w:rPr>
              <w:rFonts w:ascii="仿宋_GB2312" w:hAnsi="仿宋_GB2312" w:eastAsia="仿宋_GB2312" w:cs="仿宋_GB2312"/>
              <w:sz w:val="32"/>
              <w:szCs w:val="32"/>
              <w:highlight w:val="none"/>
            </w:rPr>
            <w:fldChar w:fldCharType="end"/>
          </w:r>
          <w:r>
            <w:rPr>
              <w:rFonts w:ascii="仿宋_GB2312" w:hAnsi="仿宋_GB2312" w:eastAsia="仿宋_GB2312" w:cs="仿宋_GB2312"/>
              <w:sz w:val="32"/>
              <w:szCs w:val="32"/>
              <w:highlight w:val="none"/>
            </w:rPr>
            <w:fldChar w:fldCharType="end"/>
          </w:r>
        </w:p>
        <w:p>
          <w:pPr>
            <w:pStyle w:val="8"/>
            <w:keepNext w:val="0"/>
            <w:keepLines w:val="0"/>
            <w:pageBreakBefore w:val="0"/>
            <w:widowControl w:val="0"/>
            <w:tabs>
              <w:tab w:val="right" w:leader="dot" w:pos="9629"/>
            </w:tabs>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asciiTheme="minorHAnsi" w:hAnsiTheme="minorHAnsi" w:eastAsiaTheme="minorEastAsia" w:cstheme="minorBidi"/>
              <w:szCs w:val="22"/>
              <w:highlight w:val="none"/>
              <w14:ligatures w14:val="standardContextual"/>
            </w:rPr>
          </w:pPr>
          <w:r>
            <w:rPr>
              <w:sz w:val="32"/>
              <w:szCs w:val="32"/>
              <w:highlight w:val="none"/>
            </w:rPr>
            <w:fldChar w:fldCharType="begin"/>
          </w:r>
          <w:r>
            <w:rPr>
              <w:sz w:val="32"/>
              <w:szCs w:val="32"/>
              <w:highlight w:val="none"/>
            </w:rPr>
            <w:instrText xml:space="preserve"> HYPERLINK \l "_Toc139786920" </w:instrText>
          </w:r>
          <w:r>
            <w:rPr>
              <w:sz w:val="32"/>
              <w:szCs w:val="32"/>
              <w:highlight w:val="none"/>
            </w:rPr>
            <w:fldChar w:fldCharType="separate"/>
          </w:r>
          <w:r>
            <w:rPr>
              <w:rFonts w:ascii="仿宋_GB2312" w:hAnsi="仿宋_GB2312" w:eastAsia="仿宋_GB2312" w:cs="仿宋_GB2312"/>
              <w:sz w:val="32"/>
              <w:szCs w:val="32"/>
              <w:highlight w:val="none"/>
            </w:rPr>
            <w:t>第六章 投标文件格式</w:t>
          </w:r>
          <w:r>
            <w:rPr>
              <w:rFonts w:ascii="仿宋_GB2312" w:hAnsi="仿宋_GB2312" w:eastAsia="仿宋_GB2312" w:cs="仿宋_GB2312"/>
              <w:sz w:val="32"/>
              <w:szCs w:val="32"/>
              <w:highlight w:val="none"/>
            </w:rPr>
            <w:tab/>
          </w:r>
          <w:r>
            <w:rPr>
              <w:rFonts w:ascii="仿宋_GB2312" w:hAnsi="仿宋_GB2312" w:eastAsia="仿宋_GB2312" w:cs="仿宋_GB2312"/>
              <w:sz w:val="32"/>
              <w:szCs w:val="32"/>
              <w:highlight w:val="none"/>
            </w:rPr>
            <w:fldChar w:fldCharType="begin"/>
          </w:r>
          <w:r>
            <w:rPr>
              <w:rFonts w:ascii="仿宋_GB2312" w:hAnsi="仿宋_GB2312" w:eastAsia="仿宋_GB2312" w:cs="仿宋_GB2312"/>
              <w:sz w:val="32"/>
              <w:szCs w:val="32"/>
              <w:highlight w:val="none"/>
            </w:rPr>
            <w:instrText xml:space="preserve"> PAGEREF _Toc139786920 \h </w:instrText>
          </w:r>
          <w:r>
            <w:rPr>
              <w:rFonts w:ascii="仿宋_GB2312" w:hAnsi="仿宋_GB2312" w:eastAsia="仿宋_GB2312" w:cs="仿宋_GB2312"/>
              <w:sz w:val="32"/>
              <w:szCs w:val="32"/>
              <w:highlight w:val="none"/>
            </w:rPr>
            <w:fldChar w:fldCharType="separate"/>
          </w:r>
          <w:r>
            <w:rPr>
              <w:rFonts w:ascii="仿宋_GB2312" w:hAnsi="仿宋_GB2312" w:eastAsia="仿宋_GB2312" w:cs="仿宋_GB2312"/>
              <w:sz w:val="32"/>
              <w:szCs w:val="32"/>
              <w:highlight w:val="none"/>
            </w:rPr>
            <w:t>64</w:t>
          </w:r>
          <w:r>
            <w:rPr>
              <w:rFonts w:ascii="仿宋_GB2312" w:hAnsi="仿宋_GB2312" w:eastAsia="仿宋_GB2312" w:cs="仿宋_GB2312"/>
              <w:sz w:val="32"/>
              <w:szCs w:val="32"/>
              <w:highlight w:val="none"/>
            </w:rPr>
            <w:fldChar w:fldCharType="end"/>
          </w:r>
          <w:r>
            <w:rPr>
              <w:rFonts w:ascii="仿宋_GB2312" w:hAnsi="仿宋_GB2312" w:eastAsia="仿宋_GB2312" w:cs="仿宋_GB2312"/>
              <w:sz w:val="32"/>
              <w:szCs w:val="32"/>
              <w:highlight w:val="none"/>
            </w:rPr>
            <w:fldChar w:fldCharType="end"/>
          </w:r>
        </w:p>
        <w:p>
          <w:pPr>
            <w:spacing w:line="560" w:lineRule="exact"/>
            <w:rPr>
              <w:b/>
              <w:bCs/>
              <w:sz w:val="44"/>
              <w:szCs w:val="44"/>
              <w:highlight w:val="none"/>
            </w:rPr>
          </w:pPr>
          <w:r>
            <w:rPr>
              <w:rFonts w:hint="eastAsia" w:ascii="仿宋_GB2312" w:hAnsi="仿宋_GB2312" w:eastAsia="仿宋_GB2312" w:cs="仿宋_GB2312"/>
              <w:bCs/>
              <w:sz w:val="36"/>
              <w:szCs w:val="56"/>
              <w:highlight w:val="none"/>
            </w:rPr>
            <w:fldChar w:fldCharType="end"/>
          </w:r>
        </w:p>
      </w:sdtContent>
    </w:sdt>
    <w:p>
      <w:pPr>
        <w:spacing w:line="560" w:lineRule="exact"/>
        <w:jc w:val="center"/>
        <w:rPr>
          <w:b/>
          <w:bCs/>
          <w:sz w:val="44"/>
          <w:szCs w:val="44"/>
          <w:highlight w:val="none"/>
        </w:rPr>
      </w:pPr>
    </w:p>
    <w:p>
      <w:pPr>
        <w:spacing w:line="560" w:lineRule="exact"/>
        <w:jc w:val="center"/>
        <w:rPr>
          <w:b/>
          <w:bCs/>
          <w:sz w:val="44"/>
          <w:szCs w:val="44"/>
          <w:highlight w:val="none"/>
        </w:rPr>
      </w:pPr>
    </w:p>
    <w:p>
      <w:pPr>
        <w:spacing w:line="560" w:lineRule="exact"/>
        <w:jc w:val="center"/>
        <w:rPr>
          <w:b/>
          <w:bCs/>
          <w:sz w:val="44"/>
          <w:szCs w:val="44"/>
          <w:highlight w:val="none"/>
        </w:rPr>
      </w:pPr>
    </w:p>
    <w:p>
      <w:pPr>
        <w:spacing w:line="560" w:lineRule="exact"/>
        <w:jc w:val="center"/>
        <w:rPr>
          <w:b/>
          <w:bCs/>
          <w:sz w:val="44"/>
          <w:szCs w:val="44"/>
          <w:highlight w:val="none"/>
        </w:rPr>
      </w:pPr>
    </w:p>
    <w:p>
      <w:pPr>
        <w:spacing w:line="560" w:lineRule="exact"/>
        <w:jc w:val="center"/>
        <w:rPr>
          <w:b/>
          <w:bCs/>
          <w:sz w:val="44"/>
          <w:szCs w:val="44"/>
          <w:highlight w:val="none"/>
        </w:rPr>
      </w:pPr>
    </w:p>
    <w:p>
      <w:pPr>
        <w:spacing w:line="560" w:lineRule="exact"/>
        <w:jc w:val="center"/>
        <w:rPr>
          <w:b/>
          <w:bCs/>
          <w:sz w:val="44"/>
          <w:szCs w:val="44"/>
          <w:highlight w:val="none"/>
        </w:rPr>
      </w:pPr>
    </w:p>
    <w:p>
      <w:pPr>
        <w:spacing w:line="560" w:lineRule="exact"/>
        <w:jc w:val="center"/>
        <w:rPr>
          <w:b/>
          <w:bCs/>
          <w:sz w:val="44"/>
          <w:szCs w:val="44"/>
          <w:highlight w:val="none"/>
        </w:rPr>
      </w:pPr>
    </w:p>
    <w:p>
      <w:pPr>
        <w:spacing w:line="560" w:lineRule="exact"/>
        <w:jc w:val="center"/>
        <w:rPr>
          <w:b/>
          <w:bCs/>
          <w:sz w:val="44"/>
          <w:szCs w:val="44"/>
          <w:highlight w:val="none"/>
        </w:rPr>
      </w:pPr>
    </w:p>
    <w:p>
      <w:pPr>
        <w:spacing w:line="560" w:lineRule="exact"/>
        <w:jc w:val="center"/>
        <w:rPr>
          <w:b/>
          <w:bCs/>
          <w:sz w:val="44"/>
          <w:szCs w:val="44"/>
          <w:highlight w:val="none"/>
        </w:rPr>
      </w:pPr>
    </w:p>
    <w:p>
      <w:pPr>
        <w:spacing w:line="560" w:lineRule="exact"/>
        <w:jc w:val="center"/>
        <w:rPr>
          <w:b/>
          <w:bCs/>
          <w:sz w:val="44"/>
          <w:szCs w:val="44"/>
          <w:highlight w:val="none"/>
        </w:rPr>
      </w:pPr>
    </w:p>
    <w:p>
      <w:pPr>
        <w:spacing w:line="560" w:lineRule="exact"/>
        <w:jc w:val="center"/>
        <w:rPr>
          <w:b/>
          <w:bCs/>
          <w:sz w:val="44"/>
          <w:szCs w:val="44"/>
          <w:highlight w:val="none"/>
        </w:rPr>
      </w:pPr>
    </w:p>
    <w:p>
      <w:pPr>
        <w:spacing w:line="560" w:lineRule="exact"/>
        <w:jc w:val="center"/>
        <w:rPr>
          <w:b/>
          <w:bCs/>
          <w:sz w:val="44"/>
          <w:szCs w:val="44"/>
          <w:highlight w:val="none"/>
        </w:rPr>
      </w:pPr>
    </w:p>
    <w:p>
      <w:pPr>
        <w:spacing w:line="560" w:lineRule="exact"/>
        <w:jc w:val="center"/>
        <w:rPr>
          <w:b/>
          <w:bCs/>
          <w:sz w:val="44"/>
          <w:szCs w:val="44"/>
          <w:highlight w:val="none"/>
        </w:rPr>
      </w:pPr>
    </w:p>
    <w:p>
      <w:pPr>
        <w:spacing w:line="560" w:lineRule="exact"/>
        <w:rPr>
          <w:b/>
          <w:bCs/>
          <w:sz w:val="44"/>
          <w:szCs w:val="44"/>
          <w:highlight w:val="none"/>
        </w:rPr>
      </w:pPr>
    </w:p>
    <w:p>
      <w:pPr>
        <w:pStyle w:val="9"/>
        <w:pageBreakBefore/>
        <w:spacing w:before="0" w:after="0" w:line="560" w:lineRule="exact"/>
        <w:rPr>
          <w:highlight w:val="none"/>
        </w:rPr>
        <w:sectPr>
          <w:footerReference r:id="rId6" w:type="default"/>
          <w:pgSz w:w="11907" w:h="16840"/>
          <w:pgMar w:top="1134" w:right="1134" w:bottom="1134" w:left="1134" w:header="851" w:footer="992" w:gutter="0"/>
          <w:pgNumType w:fmt="numberInDash"/>
          <w:cols w:space="720" w:num="1"/>
          <w:docGrid w:linePitch="312" w:charSpace="0"/>
        </w:sectPr>
      </w:pPr>
      <w:bookmarkStart w:id="0" w:name="_Toc448097401"/>
    </w:p>
    <w:p>
      <w:pPr>
        <w:pStyle w:val="9"/>
        <w:pageBreakBefore/>
        <w:spacing w:before="0" w:after="0" w:line="560" w:lineRule="exact"/>
        <w:rPr>
          <w:highlight w:val="none"/>
        </w:rPr>
      </w:pPr>
      <w:bookmarkStart w:id="1" w:name="_Toc139786915"/>
      <w:r>
        <w:rPr>
          <w:rFonts w:hint="eastAsia"/>
          <w:highlight w:val="none"/>
        </w:rPr>
        <w:t>第一章 招标公告</w:t>
      </w:r>
      <w:bookmarkEnd w:id="0"/>
      <w:bookmarkEnd w:id="1"/>
    </w:p>
    <w:p>
      <w:pPr>
        <w:widowControl/>
        <w:snapToGrid w:val="0"/>
        <w:spacing w:line="360" w:lineRule="exact"/>
        <w:jc w:val="left"/>
        <w:rPr>
          <w:rFonts w:ascii="仿宋_GB2312" w:hAnsi="仿宋_GB2312" w:eastAsia="仿宋_GB2312" w:cs="仿宋_GB2312"/>
          <w:kern w:val="0"/>
          <w:sz w:val="28"/>
          <w:szCs w:val="28"/>
          <w:highlight w:val="none"/>
        </w:rPr>
      </w:pPr>
      <w:r>
        <w:rPr>
          <w:rFonts w:hint="eastAsia" w:ascii="仿宋_GB2312" w:hAnsi="仿宋_GB2312" w:eastAsia="仿宋_GB2312" w:cs="仿宋_GB2312"/>
          <w:b/>
          <w:bCs/>
          <w:kern w:val="0"/>
          <w:sz w:val="28"/>
          <w:szCs w:val="28"/>
          <w:highlight w:val="none"/>
        </w:rPr>
        <w:t>一、招标内容</w:t>
      </w:r>
    </w:p>
    <w:p>
      <w:pPr>
        <w:widowControl/>
        <w:numPr>
          <w:ilvl w:val="0"/>
          <w:numId w:val="1"/>
        </w:numPr>
        <w:adjustRightInd w:val="0"/>
        <w:snapToGrid w:val="0"/>
        <w:spacing w:line="360" w:lineRule="exact"/>
        <w:ind w:firstLine="562" w:firstLineChars="200"/>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项目概况：</w:t>
      </w:r>
      <w:r>
        <w:rPr>
          <w:rFonts w:hint="eastAsia" w:ascii="仿宋_GB2312" w:hAnsi="仿宋_GB2312" w:eastAsia="仿宋_GB2312" w:cs="仿宋_GB2312"/>
          <w:b/>
          <w:bCs/>
          <w:kern w:val="0"/>
          <w:sz w:val="28"/>
          <w:szCs w:val="28"/>
          <w:highlight w:val="none"/>
          <w:lang w:val="en-US" w:eastAsia="zh-CN"/>
        </w:rPr>
        <w:t>对T1航站楼外立面进行亮化提升，提升杭州机场整体形象</w:t>
      </w:r>
      <w:r>
        <w:rPr>
          <w:rFonts w:hint="eastAsia" w:ascii="仿宋_GB2312" w:hAnsi="仿宋_GB2312" w:eastAsia="仿宋_GB2312" w:cs="仿宋_GB2312"/>
          <w:b/>
          <w:bCs/>
          <w:kern w:val="0"/>
          <w:sz w:val="28"/>
          <w:szCs w:val="28"/>
          <w:highlight w:val="none"/>
        </w:rPr>
        <w:t>。</w:t>
      </w:r>
    </w:p>
    <w:p>
      <w:pPr>
        <w:widowControl/>
        <w:numPr>
          <w:ilvl w:val="0"/>
          <w:numId w:val="1"/>
        </w:numPr>
        <w:adjustRightInd w:val="0"/>
        <w:snapToGrid w:val="0"/>
        <w:spacing w:line="3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实施内容：详见工程量清单和技术标准及要求。</w:t>
      </w:r>
    </w:p>
    <w:p>
      <w:pPr>
        <w:widowControl/>
        <w:numPr>
          <w:ilvl w:val="0"/>
          <w:numId w:val="1"/>
        </w:numPr>
        <w:adjustRightInd w:val="0"/>
        <w:snapToGrid w:val="0"/>
        <w:spacing w:line="3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本项目设一个标段，要求甲方通知进场后1</w:t>
      </w:r>
      <w:r>
        <w:rPr>
          <w:rFonts w:hint="eastAsia" w:ascii="仿宋_GB2312" w:hAnsi="仿宋_GB2312" w:eastAsia="仿宋_GB2312" w:cs="仿宋_GB2312"/>
          <w:kern w:val="0"/>
          <w:sz w:val="28"/>
          <w:szCs w:val="28"/>
          <w:highlight w:val="none"/>
          <w:lang w:val="en-US" w:eastAsia="zh-CN"/>
        </w:rPr>
        <w:t>0</w:t>
      </w:r>
      <w:r>
        <w:rPr>
          <w:rFonts w:hint="eastAsia" w:ascii="仿宋_GB2312" w:hAnsi="仿宋_GB2312" w:eastAsia="仿宋_GB2312" w:cs="仿宋_GB2312"/>
          <w:kern w:val="0"/>
          <w:sz w:val="28"/>
          <w:szCs w:val="28"/>
          <w:highlight w:val="none"/>
        </w:rPr>
        <w:t>日历天内完工。</w:t>
      </w:r>
    </w:p>
    <w:p>
      <w:pPr>
        <w:widowControl/>
        <w:snapToGrid w:val="0"/>
        <w:spacing w:line="360" w:lineRule="exact"/>
        <w:jc w:val="left"/>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二、资格要求 </w:t>
      </w:r>
    </w:p>
    <w:p>
      <w:pPr>
        <w:widowControl/>
        <w:numPr>
          <w:ilvl w:val="0"/>
          <w:numId w:val="2"/>
        </w:numPr>
        <w:adjustRightInd w:val="0"/>
        <w:snapToGrid w:val="0"/>
        <w:spacing w:line="360" w:lineRule="exact"/>
        <w:ind w:left="70" w:leftChars="0" w:firstLine="560" w:firstLineChars="0"/>
        <w:rPr>
          <w:rFonts w:ascii="仿宋_GB2312" w:hAnsi="仿宋_GB2312" w:eastAsia="仿宋_GB2312" w:cs="仿宋_GB2312"/>
          <w:b/>
          <w:bCs/>
          <w:sz w:val="28"/>
          <w:szCs w:val="28"/>
          <w:highlight w:val="none"/>
        </w:rPr>
      </w:pPr>
      <w:r>
        <w:rPr>
          <w:rFonts w:hint="eastAsia" w:ascii="仿宋_GB2312" w:hAnsi="仿宋_GB2312" w:eastAsia="仿宋_GB2312" w:cs="仿宋_GB2312"/>
          <w:b/>
          <w:bCs/>
          <w:kern w:val="0"/>
          <w:sz w:val="28"/>
          <w:szCs w:val="28"/>
          <w:highlight w:val="none"/>
        </w:rPr>
        <w:t>投标人具备</w:t>
      </w:r>
      <w:r>
        <w:rPr>
          <w:rFonts w:hint="eastAsia" w:ascii="仿宋_GB2312" w:hAnsi="仿宋_GB2312" w:eastAsia="仿宋_GB2312" w:cs="仿宋_GB2312"/>
          <w:b/>
          <w:bCs/>
          <w:kern w:val="0"/>
          <w:sz w:val="28"/>
          <w:szCs w:val="28"/>
          <w:highlight w:val="none"/>
          <w:u w:val="single"/>
        </w:rPr>
        <w:t>建筑工程施工总承包三级</w:t>
      </w:r>
      <w:r>
        <w:rPr>
          <w:rFonts w:hint="eastAsia" w:ascii="仿宋_GB2312" w:hAnsi="仿宋_GB2312" w:eastAsia="仿宋_GB2312" w:cs="仿宋_GB2312"/>
          <w:b/>
          <w:bCs/>
          <w:kern w:val="0"/>
          <w:sz w:val="28"/>
          <w:szCs w:val="28"/>
          <w:highlight w:val="none"/>
        </w:rPr>
        <w:t>或</w:t>
      </w:r>
      <w:r>
        <w:rPr>
          <w:rFonts w:hint="eastAsia" w:ascii="仿宋_GB2312" w:hAnsi="仿宋_GB2312" w:eastAsia="仿宋_GB2312" w:cs="仿宋_GB2312"/>
          <w:b/>
          <w:bCs/>
          <w:kern w:val="0"/>
          <w:sz w:val="28"/>
          <w:szCs w:val="28"/>
          <w:highlight w:val="none"/>
          <w:u w:val="single"/>
        </w:rPr>
        <w:t>建筑</w:t>
      </w:r>
      <w:r>
        <w:rPr>
          <w:rFonts w:hint="eastAsia" w:ascii="仿宋_GB2312" w:hAnsi="仿宋_GB2312" w:eastAsia="仿宋_GB2312" w:cs="仿宋_GB2312"/>
          <w:b/>
          <w:bCs/>
          <w:kern w:val="0"/>
          <w:sz w:val="28"/>
          <w:szCs w:val="28"/>
          <w:highlight w:val="none"/>
          <w:u w:val="single"/>
          <w:lang w:val="en-US" w:eastAsia="zh-CN"/>
        </w:rPr>
        <w:t>机电安装</w:t>
      </w:r>
      <w:r>
        <w:rPr>
          <w:rFonts w:hint="eastAsia" w:ascii="仿宋_GB2312" w:hAnsi="仿宋_GB2312" w:eastAsia="仿宋_GB2312" w:cs="仿宋_GB2312"/>
          <w:b/>
          <w:bCs/>
          <w:kern w:val="0"/>
          <w:sz w:val="28"/>
          <w:szCs w:val="28"/>
          <w:highlight w:val="none"/>
          <w:u w:val="single"/>
        </w:rPr>
        <w:t>工程专业承包</w:t>
      </w:r>
      <w:r>
        <w:rPr>
          <w:rFonts w:hint="eastAsia" w:ascii="仿宋_GB2312" w:hAnsi="仿宋_GB2312" w:eastAsia="仿宋_GB2312" w:cs="仿宋_GB2312"/>
          <w:b/>
          <w:bCs/>
          <w:kern w:val="0"/>
          <w:sz w:val="28"/>
          <w:szCs w:val="28"/>
          <w:highlight w:val="none"/>
          <w:u w:val="single"/>
          <w:lang w:val="en-US" w:eastAsia="zh-CN"/>
        </w:rPr>
        <w:t>三</w:t>
      </w:r>
      <w:r>
        <w:rPr>
          <w:rFonts w:hint="eastAsia" w:ascii="仿宋_GB2312" w:hAnsi="仿宋_GB2312" w:eastAsia="仿宋_GB2312" w:cs="仿宋_GB2312"/>
          <w:b/>
          <w:bCs/>
          <w:kern w:val="0"/>
          <w:sz w:val="28"/>
          <w:szCs w:val="28"/>
          <w:highlight w:val="none"/>
          <w:u w:val="single"/>
        </w:rPr>
        <w:t>级</w:t>
      </w:r>
      <w:r>
        <w:rPr>
          <w:rFonts w:hint="eastAsia" w:ascii="仿宋_GB2312" w:hAnsi="仿宋_GB2312" w:eastAsia="仿宋_GB2312" w:cs="仿宋_GB2312"/>
          <w:b/>
          <w:bCs/>
          <w:kern w:val="0"/>
          <w:sz w:val="28"/>
          <w:szCs w:val="28"/>
          <w:highlight w:val="none"/>
        </w:rPr>
        <w:t>及以上资质。</w:t>
      </w:r>
    </w:p>
    <w:p>
      <w:pPr>
        <w:widowControl/>
        <w:numPr>
          <w:ilvl w:val="0"/>
          <w:numId w:val="2"/>
        </w:numPr>
        <w:adjustRightInd w:val="0"/>
        <w:snapToGrid w:val="0"/>
        <w:spacing w:line="360" w:lineRule="exact"/>
        <w:ind w:left="70" w:leftChars="0" w:firstLine="560" w:firstLineChars="0"/>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投标人应具有有效的《安全生产许可证》。</w:t>
      </w:r>
    </w:p>
    <w:p>
      <w:pPr>
        <w:widowControl/>
        <w:numPr>
          <w:ilvl w:val="0"/>
          <w:numId w:val="2"/>
        </w:numPr>
        <w:adjustRightInd w:val="0"/>
        <w:snapToGrid w:val="0"/>
        <w:spacing w:line="360" w:lineRule="exact"/>
        <w:ind w:left="70" w:leftChars="0" w:firstLine="560" w:firstLineChars="0"/>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项目经理资格要求：具有</w:t>
      </w:r>
      <w:r>
        <w:rPr>
          <w:rFonts w:hint="eastAsia" w:ascii="仿宋_GB2312" w:hAnsi="仿宋_GB2312" w:eastAsia="仿宋_GB2312" w:cs="仿宋_GB2312"/>
          <w:b/>
          <w:bCs/>
          <w:kern w:val="0"/>
          <w:sz w:val="28"/>
          <w:szCs w:val="28"/>
          <w:highlight w:val="none"/>
          <w:u w:val="single"/>
          <w:lang w:val="en-US" w:eastAsia="zh-CN"/>
        </w:rPr>
        <w:t>机电工程</w:t>
      </w:r>
      <w:r>
        <w:rPr>
          <w:rFonts w:hint="eastAsia" w:ascii="仿宋_GB2312" w:hAnsi="仿宋_GB2312" w:eastAsia="仿宋_GB2312" w:cs="仿宋_GB2312"/>
          <w:b/>
          <w:bCs/>
          <w:kern w:val="0"/>
          <w:sz w:val="28"/>
          <w:szCs w:val="28"/>
          <w:highlight w:val="none"/>
        </w:rPr>
        <w:t>二级及以上注册建造师执业证书。</w:t>
      </w:r>
    </w:p>
    <w:p>
      <w:pPr>
        <w:widowControl/>
        <w:numPr>
          <w:ilvl w:val="0"/>
          <w:numId w:val="2"/>
        </w:numPr>
        <w:adjustRightInd w:val="0"/>
        <w:snapToGrid w:val="0"/>
        <w:spacing w:line="360" w:lineRule="exact"/>
        <w:ind w:left="70" w:leftChars="0" w:firstLine="560" w:firstLineChars="0"/>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本项目不接受联合体投标。</w:t>
      </w:r>
    </w:p>
    <w:p>
      <w:pPr>
        <w:widowControl/>
        <w:snapToGrid w:val="0"/>
        <w:spacing w:line="360" w:lineRule="exact"/>
        <w:jc w:val="left"/>
        <w:rPr>
          <w:rFonts w:ascii="仿宋_GB2312" w:hAnsi="仿宋_GB2312" w:eastAsia="仿宋_GB2312" w:cs="仿宋_GB2312"/>
          <w:b/>
          <w:bCs/>
          <w:kern w:val="0"/>
          <w:sz w:val="28"/>
          <w:szCs w:val="28"/>
          <w:highlight w:val="none"/>
        </w:rPr>
      </w:pPr>
      <w:bookmarkStart w:id="2" w:name="_Toc448097402"/>
      <w:bookmarkStart w:id="3" w:name="_Toc448097403"/>
      <w:r>
        <w:rPr>
          <w:rFonts w:hint="eastAsia" w:ascii="仿宋_GB2312" w:hAnsi="仿宋_GB2312" w:eastAsia="仿宋_GB2312" w:cs="仿宋_GB2312"/>
          <w:b/>
          <w:bCs/>
          <w:kern w:val="0"/>
          <w:sz w:val="28"/>
          <w:szCs w:val="28"/>
          <w:highlight w:val="none"/>
        </w:rPr>
        <w:t>三、招标文件获取</w:t>
      </w:r>
    </w:p>
    <w:p>
      <w:pPr>
        <w:snapToGrid w:val="0"/>
        <w:spacing w:line="3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凡符合资格条件并有投标意向的潜在投标人，请通过杭州萧山国际机场有限公司主页</w:t>
      </w:r>
      <w:r>
        <w:rPr>
          <w:rFonts w:ascii="仿宋_GB2312" w:hAnsi="仿宋_GB2312" w:eastAsia="仿宋_GB2312" w:cs="仿宋_GB2312"/>
          <w:sz w:val="28"/>
          <w:szCs w:val="28"/>
          <w:highlight w:val="none"/>
        </w:rPr>
        <w:t>http://www.hzairport.com/tender/index.html</w:t>
      </w:r>
      <w:r>
        <w:rPr>
          <w:rFonts w:hint="eastAsia" w:ascii="仿宋_GB2312" w:hAnsi="仿宋_GB2312" w:eastAsia="仿宋_GB2312" w:cs="仿宋_GB2312"/>
          <w:kern w:val="0"/>
          <w:sz w:val="28"/>
          <w:szCs w:val="28"/>
          <w:highlight w:val="none"/>
        </w:rPr>
        <w:t>自行下载招标文件</w:t>
      </w:r>
      <w:r>
        <w:rPr>
          <w:rFonts w:hint="eastAsia" w:ascii="仿宋_GB2312" w:hAnsi="仿宋_GB2312" w:eastAsia="仿宋_GB2312" w:cs="仿宋_GB2312"/>
          <w:sz w:val="28"/>
          <w:szCs w:val="28"/>
          <w:highlight w:val="none"/>
        </w:rPr>
        <w:t>。</w:t>
      </w:r>
    </w:p>
    <w:p>
      <w:pPr>
        <w:snapToGrid w:val="0"/>
        <w:spacing w:line="3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四、踏勘现场</w:t>
      </w:r>
    </w:p>
    <w:p>
      <w:pPr>
        <w:snapToGrid w:val="0"/>
        <w:spacing w:line="360" w:lineRule="exact"/>
        <w:ind w:firstLine="560" w:firstLineChars="200"/>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sz w:val="28"/>
          <w:szCs w:val="28"/>
          <w:highlight w:val="none"/>
        </w:rPr>
        <w:t>招标人组织踏勘现场，集</w:t>
      </w:r>
      <w:r>
        <w:rPr>
          <w:rFonts w:hint="eastAsia" w:ascii="仿宋_GB2312" w:hAnsi="仿宋_GB2312" w:eastAsia="仿宋_GB2312" w:cs="仿宋_GB2312"/>
          <w:color w:val="auto"/>
          <w:sz w:val="28"/>
          <w:szCs w:val="28"/>
          <w:highlight w:val="none"/>
        </w:rPr>
        <w:t>中踏勘时间为</w:t>
      </w:r>
      <w:r>
        <w:rPr>
          <w:rFonts w:hint="eastAsia" w:ascii="仿宋_GB2312" w:hAnsi="仿宋_GB2312" w:eastAsia="仿宋_GB2312" w:cs="仿宋_GB2312"/>
          <w:color w:val="auto"/>
          <w:kern w:val="0"/>
          <w:sz w:val="28"/>
          <w:szCs w:val="28"/>
          <w:highlight w:val="none"/>
          <w:lang w:val="en-US" w:eastAsia="zh-CN"/>
        </w:rPr>
        <w:t>2023</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lang w:val="en-US" w:eastAsia="zh-CN"/>
        </w:rPr>
        <w:t>7</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lang w:val="en-US" w:eastAsia="zh-CN"/>
        </w:rPr>
        <w:t>31</w:t>
      </w:r>
      <w:r>
        <w:rPr>
          <w:rFonts w:hint="eastAsia" w:ascii="仿宋_GB2312" w:hAnsi="仿宋_GB2312" w:eastAsia="仿宋_GB2312" w:cs="仿宋_GB2312"/>
          <w:color w:val="auto"/>
          <w:kern w:val="0"/>
          <w:sz w:val="28"/>
          <w:szCs w:val="28"/>
          <w:highlight w:val="none"/>
        </w:rPr>
        <w:t>日</w:t>
      </w:r>
      <w:r>
        <w:rPr>
          <w:rFonts w:hint="eastAsia" w:ascii="仿宋_GB2312" w:hAnsi="仿宋_GB2312" w:eastAsia="仿宋_GB2312" w:cs="仿宋_GB2312"/>
          <w:color w:val="auto"/>
          <w:kern w:val="0"/>
          <w:sz w:val="28"/>
          <w:szCs w:val="28"/>
          <w:highlight w:val="none"/>
          <w:lang w:val="en-US" w:eastAsia="zh-CN"/>
        </w:rPr>
        <w:t>9</w:t>
      </w:r>
      <w:r>
        <w:rPr>
          <w:rFonts w:hint="eastAsia" w:ascii="仿宋_GB2312" w:hAnsi="仿宋_GB2312" w:eastAsia="仿宋_GB2312" w:cs="仿宋_GB2312"/>
          <w:color w:val="auto"/>
          <w:kern w:val="0"/>
          <w:sz w:val="28"/>
          <w:szCs w:val="28"/>
          <w:highlight w:val="none"/>
        </w:rPr>
        <w:t>时</w:t>
      </w:r>
      <w:r>
        <w:rPr>
          <w:rFonts w:hint="eastAsia" w:ascii="仿宋_GB2312" w:hAnsi="仿宋_GB2312" w:eastAsia="仿宋_GB2312" w:cs="仿宋_GB2312"/>
          <w:color w:val="auto"/>
          <w:kern w:val="0"/>
          <w:sz w:val="28"/>
          <w:szCs w:val="28"/>
          <w:highlight w:val="none"/>
          <w:lang w:val="en-US" w:eastAsia="zh-CN"/>
        </w:rPr>
        <w:t>00</w:t>
      </w:r>
      <w:r>
        <w:rPr>
          <w:rFonts w:hint="eastAsia" w:ascii="仿宋_GB2312" w:hAnsi="仿宋_GB2312" w:eastAsia="仿宋_GB2312" w:cs="仿宋_GB2312"/>
          <w:color w:val="auto"/>
          <w:kern w:val="0"/>
          <w:sz w:val="28"/>
          <w:szCs w:val="28"/>
          <w:highlight w:val="none"/>
        </w:rPr>
        <w:t>分（北京时间）。踏勘集中地点为</w:t>
      </w:r>
      <w:r>
        <w:rPr>
          <w:rFonts w:hint="eastAsia" w:ascii="仿宋_GB2312" w:hAnsi="仿宋_GB2312" w:eastAsia="仿宋_GB2312" w:cs="仿宋_GB2312"/>
          <w:b/>
          <w:bCs/>
          <w:color w:val="auto"/>
          <w:kern w:val="0"/>
          <w:sz w:val="28"/>
          <w:szCs w:val="28"/>
          <w:highlight w:val="none"/>
        </w:rPr>
        <w:t>杭州萧山国际机场物业维修中心</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b/>
          <w:bCs/>
          <w:color w:val="auto"/>
          <w:kern w:val="0"/>
          <w:sz w:val="28"/>
          <w:szCs w:val="28"/>
          <w:highlight w:val="none"/>
        </w:rPr>
        <w:t>由于未参加现场踏勘引起的报价失误等责任由投标人自负。</w:t>
      </w:r>
    </w:p>
    <w:p>
      <w:pPr>
        <w:snapToGrid w:val="0"/>
        <w:spacing w:line="360" w:lineRule="exact"/>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五、招标答疑</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jc w:val="both"/>
        <w:textAlignment w:val="auto"/>
        <w:outlineLvl w:val="9"/>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2023</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lang w:val="en-US" w:eastAsia="zh-CN"/>
        </w:rPr>
        <w:t>8</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lang w:val="en-US" w:eastAsia="zh-CN"/>
        </w:rPr>
        <w:t>2</w:t>
      </w:r>
      <w:r>
        <w:rPr>
          <w:rFonts w:hint="eastAsia" w:ascii="仿宋_GB2312" w:hAnsi="仿宋_GB2312" w:eastAsia="仿宋_GB2312" w:cs="仿宋_GB2312"/>
          <w:color w:val="auto"/>
          <w:kern w:val="0"/>
          <w:sz w:val="28"/>
          <w:szCs w:val="28"/>
          <w:highlight w:val="none"/>
        </w:rPr>
        <w:t>日</w:t>
      </w:r>
      <w:r>
        <w:rPr>
          <w:rFonts w:hint="eastAsia" w:ascii="仿宋_GB2312" w:hAnsi="仿宋_GB2312" w:eastAsia="仿宋_GB2312" w:cs="仿宋_GB2312"/>
          <w:color w:val="auto"/>
          <w:kern w:val="0"/>
          <w:sz w:val="28"/>
          <w:szCs w:val="28"/>
          <w:highlight w:val="none"/>
          <w:lang w:val="en-US" w:eastAsia="zh-CN"/>
        </w:rPr>
        <w:t>9</w:t>
      </w:r>
      <w:r>
        <w:rPr>
          <w:rFonts w:hint="eastAsia" w:ascii="仿宋_GB2312" w:hAnsi="仿宋_GB2312" w:eastAsia="仿宋_GB2312" w:cs="仿宋_GB2312"/>
          <w:color w:val="auto"/>
          <w:kern w:val="0"/>
          <w:sz w:val="28"/>
          <w:szCs w:val="28"/>
          <w:highlight w:val="none"/>
        </w:rPr>
        <w:t>时</w:t>
      </w:r>
      <w:r>
        <w:rPr>
          <w:rFonts w:hint="eastAsia" w:ascii="仿宋_GB2312" w:hAnsi="仿宋_GB2312" w:eastAsia="仿宋_GB2312" w:cs="仿宋_GB2312"/>
          <w:color w:val="auto"/>
          <w:kern w:val="0"/>
          <w:sz w:val="28"/>
          <w:szCs w:val="28"/>
          <w:highlight w:val="none"/>
          <w:lang w:val="en-US" w:eastAsia="zh-CN"/>
        </w:rPr>
        <w:t>00</w:t>
      </w:r>
      <w:r>
        <w:rPr>
          <w:rFonts w:hint="eastAsia" w:ascii="仿宋_GB2312" w:hAnsi="仿宋_GB2312" w:eastAsia="仿宋_GB2312" w:cs="仿宋_GB2312"/>
          <w:color w:val="auto"/>
          <w:kern w:val="0"/>
          <w:sz w:val="28"/>
          <w:szCs w:val="28"/>
          <w:highlight w:val="none"/>
        </w:rPr>
        <w:t>分前，以E-mail及书面形式提交给招标人（邮箱：373285581@qq.com，联系人：吴淼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widowControl/>
        <w:snapToGrid w:val="0"/>
        <w:spacing w:line="360" w:lineRule="exact"/>
        <w:jc w:val="left"/>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六、投标文件的递交</w:t>
      </w:r>
    </w:p>
    <w:p>
      <w:pPr>
        <w:widowControl/>
        <w:numPr>
          <w:ilvl w:val="0"/>
          <w:numId w:val="3"/>
        </w:numPr>
        <w:adjustRightInd w:val="0"/>
        <w:snapToGrid w:val="0"/>
        <w:spacing w:line="3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0"/>
          <w:sz w:val="28"/>
          <w:szCs w:val="28"/>
          <w:highlight w:val="none"/>
        </w:rPr>
        <w:t>投标文件递交截止时间：</w:t>
      </w:r>
      <w:r>
        <w:rPr>
          <w:rFonts w:hint="eastAsia" w:ascii="仿宋_GB2312" w:hAnsi="仿宋_GB2312" w:eastAsia="仿宋_GB2312" w:cs="仿宋_GB2312"/>
          <w:color w:val="auto"/>
          <w:kern w:val="0"/>
          <w:sz w:val="28"/>
          <w:szCs w:val="28"/>
          <w:highlight w:val="none"/>
          <w:lang w:val="en-US" w:eastAsia="zh-CN"/>
        </w:rPr>
        <w:t>2023</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lang w:val="en-US" w:eastAsia="zh-CN"/>
        </w:rPr>
        <w:t>8</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lang w:val="en-US" w:eastAsia="zh-CN"/>
        </w:rPr>
        <w:t>4</w:t>
      </w:r>
      <w:r>
        <w:rPr>
          <w:rFonts w:hint="eastAsia" w:ascii="仿宋_GB2312" w:hAnsi="仿宋_GB2312" w:eastAsia="仿宋_GB2312" w:cs="仿宋_GB2312"/>
          <w:color w:val="auto"/>
          <w:kern w:val="0"/>
          <w:sz w:val="28"/>
          <w:szCs w:val="28"/>
          <w:highlight w:val="none"/>
        </w:rPr>
        <w:t>日</w:t>
      </w:r>
      <w:r>
        <w:rPr>
          <w:rFonts w:hint="eastAsia" w:ascii="仿宋_GB2312" w:hAnsi="仿宋_GB2312" w:eastAsia="仿宋_GB2312" w:cs="仿宋_GB2312"/>
          <w:color w:val="auto"/>
          <w:kern w:val="0"/>
          <w:sz w:val="28"/>
          <w:szCs w:val="28"/>
          <w:highlight w:val="none"/>
          <w:lang w:val="en-US" w:eastAsia="zh-CN"/>
        </w:rPr>
        <w:t>14</w:t>
      </w:r>
      <w:r>
        <w:rPr>
          <w:rFonts w:hint="eastAsia" w:ascii="仿宋_GB2312" w:hAnsi="仿宋_GB2312" w:eastAsia="仿宋_GB2312" w:cs="仿宋_GB2312"/>
          <w:color w:val="auto"/>
          <w:kern w:val="0"/>
          <w:sz w:val="28"/>
          <w:szCs w:val="28"/>
          <w:highlight w:val="none"/>
        </w:rPr>
        <w:t>时</w:t>
      </w:r>
      <w:r>
        <w:rPr>
          <w:rFonts w:hint="eastAsia" w:ascii="仿宋_GB2312" w:hAnsi="仿宋_GB2312" w:eastAsia="仿宋_GB2312" w:cs="仿宋_GB2312"/>
          <w:color w:val="auto"/>
          <w:kern w:val="0"/>
          <w:sz w:val="28"/>
          <w:szCs w:val="28"/>
          <w:highlight w:val="none"/>
          <w:lang w:val="en-US" w:eastAsia="zh-CN"/>
        </w:rPr>
        <w:t>00</w:t>
      </w:r>
      <w:r>
        <w:rPr>
          <w:rFonts w:hint="eastAsia" w:ascii="仿宋_GB2312" w:hAnsi="仿宋_GB2312" w:eastAsia="仿宋_GB2312" w:cs="仿宋_GB2312"/>
          <w:color w:val="auto"/>
          <w:kern w:val="0"/>
          <w:sz w:val="28"/>
          <w:szCs w:val="28"/>
          <w:highlight w:val="none"/>
        </w:rPr>
        <w:t>分前（北京时间）。投标文件在封口处加盖公章并注明是：</w:t>
      </w:r>
      <w:r>
        <w:rPr>
          <w:rFonts w:hint="eastAsia" w:ascii="仿宋_GB2312" w:hAnsi="仿宋_GB2312" w:eastAsia="仿宋_GB2312" w:cs="仿宋_GB2312"/>
          <w:b/>
          <w:bCs/>
          <w:color w:val="auto"/>
          <w:sz w:val="28"/>
          <w:szCs w:val="28"/>
          <w:highlight w:val="none"/>
        </w:rPr>
        <w:t>杭州萧山国际机场</w:t>
      </w:r>
      <w:r>
        <w:rPr>
          <w:rFonts w:hint="eastAsia" w:ascii="仿宋_GB2312" w:hAnsi="仿宋_GB2312" w:eastAsia="仿宋_GB2312" w:cs="仿宋_GB2312"/>
          <w:b/>
          <w:bCs/>
          <w:color w:val="auto"/>
          <w:sz w:val="28"/>
          <w:szCs w:val="28"/>
          <w:highlight w:val="none"/>
          <w:lang w:eastAsia="zh-CN"/>
        </w:rPr>
        <w:t>T1航站楼空侧亚运亮化项目</w:t>
      </w:r>
      <w:r>
        <w:rPr>
          <w:rFonts w:hint="eastAsia" w:ascii="仿宋_GB2312" w:hAnsi="仿宋_GB2312" w:eastAsia="仿宋_GB2312" w:cs="仿宋_GB2312"/>
          <w:b/>
          <w:bCs/>
          <w:color w:val="auto"/>
          <w:sz w:val="28"/>
          <w:szCs w:val="28"/>
          <w:highlight w:val="none"/>
        </w:rPr>
        <w:t>投标文件</w:t>
      </w:r>
      <w:r>
        <w:rPr>
          <w:rFonts w:hint="eastAsia" w:ascii="仿宋_GB2312" w:hAnsi="仿宋_GB2312" w:eastAsia="仿宋_GB2312" w:cs="仿宋_GB2312"/>
          <w:color w:val="auto"/>
          <w:kern w:val="0"/>
          <w:sz w:val="28"/>
          <w:szCs w:val="28"/>
          <w:highlight w:val="none"/>
        </w:rPr>
        <w:t>，并派专人于</w:t>
      </w:r>
      <w:r>
        <w:rPr>
          <w:rFonts w:hint="eastAsia" w:ascii="仿宋_GB2312" w:hAnsi="仿宋_GB2312" w:eastAsia="仿宋_GB2312" w:cs="仿宋_GB2312"/>
          <w:color w:val="auto"/>
          <w:kern w:val="0"/>
          <w:sz w:val="28"/>
          <w:szCs w:val="28"/>
          <w:highlight w:val="none"/>
          <w:lang w:val="en-US" w:eastAsia="zh-CN"/>
        </w:rPr>
        <w:t>2023</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lang w:val="en-US" w:eastAsia="zh-CN"/>
        </w:rPr>
        <w:t>8</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lang w:val="en-US" w:eastAsia="zh-CN"/>
        </w:rPr>
        <w:t>4</w:t>
      </w:r>
      <w:r>
        <w:rPr>
          <w:rFonts w:hint="eastAsia" w:ascii="仿宋_GB2312" w:hAnsi="仿宋_GB2312" w:eastAsia="仿宋_GB2312" w:cs="仿宋_GB2312"/>
          <w:color w:val="auto"/>
          <w:kern w:val="0"/>
          <w:sz w:val="28"/>
          <w:szCs w:val="28"/>
          <w:highlight w:val="none"/>
        </w:rPr>
        <w:t>日</w:t>
      </w:r>
      <w:r>
        <w:rPr>
          <w:rFonts w:hint="eastAsia" w:ascii="仿宋_GB2312" w:hAnsi="仿宋_GB2312" w:eastAsia="仿宋_GB2312" w:cs="仿宋_GB2312"/>
          <w:color w:val="auto"/>
          <w:kern w:val="0"/>
          <w:sz w:val="28"/>
          <w:szCs w:val="28"/>
          <w:highlight w:val="none"/>
          <w:lang w:val="en-US" w:eastAsia="zh-CN"/>
        </w:rPr>
        <w:t>14</w:t>
      </w:r>
      <w:r>
        <w:rPr>
          <w:rFonts w:hint="eastAsia" w:ascii="仿宋_GB2312" w:hAnsi="仿宋_GB2312" w:eastAsia="仿宋_GB2312" w:cs="仿宋_GB2312"/>
          <w:color w:val="auto"/>
          <w:kern w:val="0"/>
          <w:sz w:val="28"/>
          <w:szCs w:val="28"/>
          <w:highlight w:val="none"/>
        </w:rPr>
        <w:t>时</w:t>
      </w:r>
      <w:r>
        <w:rPr>
          <w:rFonts w:hint="eastAsia" w:ascii="仿宋_GB2312" w:hAnsi="仿宋_GB2312" w:eastAsia="仿宋_GB2312" w:cs="仿宋_GB2312"/>
          <w:color w:val="auto"/>
          <w:kern w:val="0"/>
          <w:sz w:val="28"/>
          <w:szCs w:val="28"/>
          <w:highlight w:val="none"/>
          <w:lang w:val="en-US" w:eastAsia="zh-CN"/>
        </w:rPr>
        <w:t>00</w:t>
      </w:r>
      <w:r>
        <w:rPr>
          <w:rFonts w:hint="eastAsia" w:ascii="仿宋_GB2312" w:hAnsi="仿宋_GB2312" w:eastAsia="仿宋_GB2312" w:cs="仿宋_GB2312"/>
          <w:color w:val="auto"/>
          <w:kern w:val="0"/>
          <w:sz w:val="28"/>
          <w:szCs w:val="28"/>
          <w:highlight w:val="none"/>
        </w:rPr>
        <w:t>分前（北京时间）前送至</w:t>
      </w:r>
      <w:r>
        <w:rPr>
          <w:rFonts w:hint="eastAsia" w:ascii="仿宋_GB2312" w:hAnsi="仿宋_GB2312" w:eastAsia="仿宋_GB2312" w:cs="仿宋_GB2312"/>
          <w:b/>
          <w:bCs/>
          <w:color w:val="auto"/>
          <w:kern w:val="0"/>
          <w:sz w:val="28"/>
          <w:szCs w:val="28"/>
          <w:highlight w:val="none"/>
        </w:rPr>
        <w:t>杭州萧山国际机场物业维修中心</w:t>
      </w:r>
      <w:r>
        <w:rPr>
          <w:rFonts w:hint="eastAsia" w:ascii="仿宋_GB2312" w:hAnsi="仿宋_GB2312" w:eastAsia="仿宋_GB2312" w:cs="仿宋_GB2312"/>
          <w:color w:val="auto"/>
          <w:kern w:val="0"/>
          <w:sz w:val="28"/>
          <w:szCs w:val="28"/>
          <w:highlight w:val="none"/>
        </w:rPr>
        <w:t>，逾期无效；若采用投递方式的，请于</w:t>
      </w:r>
      <w:r>
        <w:rPr>
          <w:rFonts w:hint="eastAsia" w:ascii="仿宋_GB2312" w:hAnsi="仿宋_GB2312" w:eastAsia="仿宋_GB2312" w:cs="仿宋_GB2312"/>
          <w:color w:val="auto"/>
          <w:kern w:val="0"/>
          <w:sz w:val="28"/>
          <w:szCs w:val="28"/>
          <w:highlight w:val="none"/>
          <w:lang w:val="en-US" w:eastAsia="zh-CN"/>
        </w:rPr>
        <w:t>2023</w:t>
      </w:r>
      <w:r>
        <w:rPr>
          <w:rFonts w:hint="eastAsia" w:ascii="仿宋_GB2312" w:hAnsi="仿宋_GB2312" w:eastAsia="仿宋_GB2312" w:cs="仿宋_GB2312"/>
          <w:color w:val="auto"/>
          <w:kern w:val="0"/>
          <w:sz w:val="28"/>
          <w:szCs w:val="28"/>
          <w:highlight w:val="none"/>
        </w:rPr>
        <w:t>年</w:t>
      </w:r>
      <w:r>
        <w:rPr>
          <w:rFonts w:hint="eastAsia" w:ascii="仿宋_GB2312" w:hAnsi="仿宋_GB2312" w:eastAsia="仿宋_GB2312" w:cs="仿宋_GB2312"/>
          <w:color w:val="auto"/>
          <w:kern w:val="0"/>
          <w:sz w:val="28"/>
          <w:szCs w:val="28"/>
          <w:highlight w:val="none"/>
          <w:lang w:val="en-US" w:eastAsia="zh-CN"/>
        </w:rPr>
        <w:t>8</w:t>
      </w:r>
      <w:r>
        <w:rPr>
          <w:rFonts w:hint="eastAsia" w:ascii="仿宋_GB2312" w:hAnsi="仿宋_GB2312" w:eastAsia="仿宋_GB2312" w:cs="仿宋_GB2312"/>
          <w:color w:val="auto"/>
          <w:kern w:val="0"/>
          <w:sz w:val="28"/>
          <w:szCs w:val="28"/>
          <w:highlight w:val="none"/>
        </w:rPr>
        <w:t>月</w:t>
      </w:r>
      <w:r>
        <w:rPr>
          <w:rFonts w:hint="eastAsia" w:ascii="仿宋_GB2312" w:hAnsi="仿宋_GB2312" w:eastAsia="仿宋_GB2312" w:cs="仿宋_GB2312"/>
          <w:color w:val="auto"/>
          <w:kern w:val="0"/>
          <w:sz w:val="28"/>
          <w:szCs w:val="28"/>
          <w:highlight w:val="none"/>
          <w:lang w:val="en-US" w:eastAsia="zh-CN"/>
        </w:rPr>
        <w:t>4</w:t>
      </w:r>
      <w:r>
        <w:rPr>
          <w:rFonts w:hint="eastAsia" w:ascii="仿宋_GB2312" w:hAnsi="仿宋_GB2312" w:eastAsia="仿宋_GB2312" w:cs="仿宋_GB2312"/>
          <w:color w:val="auto"/>
          <w:kern w:val="0"/>
          <w:sz w:val="28"/>
          <w:szCs w:val="28"/>
          <w:highlight w:val="none"/>
        </w:rPr>
        <w:t>日</w:t>
      </w:r>
      <w:r>
        <w:rPr>
          <w:rFonts w:hint="eastAsia" w:ascii="仿宋_GB2312" w:hAnsi="仿宋_GB2312" w:eastAsia="仿宋_GB2312" w:cs="仿宋_GB2312"/>
          <w:color w:val="auto"/>
          <w:kern w:val="0"/>
          <w:sz w:val="28"/>
          <w:szCs w:val="28"/>
          <w:highlight w:val="none"/>
          <w:lang w:val="en-US" w:eastAsia="zh-CN"/>
        </w:rPr>
        <w:t>14</w:t>
      </w:r>
      <w:r>
        <w:rPr>
          <w:rFonts w:hint="eastAsia" w:ascii="仿宋_GB2312" w:hAnsi="仿宋_GB2312" w:eastAsia="仿宋_GB2312" w:cs="仿宋_GB2312"/>
          <w:color w:val="auto"/>
          <w:kern w:val="0"/>
          <w:sz w:val="28"/>
          <w:szCs w:val="28"/>
          <w:highlight w:val="none"/>
        </w:rPr>
        <w:t>时</w:t>
      </w:r>
      <w:r>
        <w:rPr>
          <w:rFonts w:hint="eastAsia" w:ascii="仿宋_GB2312" w:hAnsi="仿宋_GB2312" w:eastAsia="仿宋_GB2312" w:cs="仿宋_GB2312"/>
          <w:color w:val="auto"/>
          <w:kern w:val="0"/>
          <w:sz w:val="28"/>
          <w:szCs w:val="28"/>
          <w:highlight w:val="none"/>
          <w:lang w:val="en-US" w:eastAsia="zh-CN"/>
        </w:rPr>
        <w:t>00</w:t>
      </w:r>
      <w:r>
        <w:rPr>
          <w:rFonts w:hint="eastAsia" w:ascii="仿宋_GB2312" w:hAnsi="仿宋_GB2312" w:eastAsia="仿宋_GB2312" w:cs="仿宋_GB2312"/>
          <w:color w:val="auto"/>
          <w:kern w:val="0"/>
          <w:sz w:val="28"/>
          <w:szCs w:val="28"/>
          <w:highlight w:val="none"/>
        </w:rPr>
        <w:t>分前（北京时间）前投递至</w:t>
      </w:r>
      <w:r>
        <w:rPr>
          <w:rFonts w:hint="eastAsia" w:ascii="仿宋_GB2312" w:hAnsi="仿宋_GB2312" w:eastAsia="仿宋_GB2312" w:cs="仿宋_GB2312"/>
          <w:b/>
          <w:bCs/>
          <w:color w:val="auto"/>
          <w:kern w:val="0"/>
          <w:sz w:val="28"/>
          <w:szCs w:val="28"/>
          <w:highlight w:val="none"/>
        </w:rPr>
        <w:t>杭州萧山国际机场物业维修中心</w:t>
      </w:r>
      <w:r>
        <w:rPr>
          <w:rFonts w:hint="eastAsia" w:ascii="仿宋_GB2312" w:hAnsi="仿宋_GB2312" w:eastAsia="仿宋_GB2312" w:cs="仿宋_GB2312"/>
          <w:color w:val="auto"/>
          <w:kern w:val="0"/>
          <w:sz w:val="28"/>
          <w:szCs w:val="28"/>
          <w:highlight w:val="none"/>
        </w:rPr>
        <w:t>，快递面单上注明是：</w:t>
      </w:r>
      <w:r>
        <w:rPr>
          <w:rFonts w:hint="eastAsia" w:ascii="仿宋_GB2312" w:hAnsi="仿宋_GB2312" w:eastAsia="仿宋_GB2312" w:cs="仿宋_GB2312"/>
          <w:b/>
          <w:bCs/>
          <w:color w:val="auto"/>
          <w:sz w:val="28"/>
          <w:szCs w:val="28"/>
          <w:highlight w:val="none"/>
        </w:rPr>
        <w:t>杭州萧山国际机场</w:t>
      </w:r>
      <w:r>
        <w:rPr>
          <w:rFonts w:hint="eastAsia" w:ascii="仿宋_GB2312" w:hAnsi="仿宋_GB2312" w:eastAsia="仿宋_GB2312" w:cs="仿宋_GB2312"/>
          <w:b/>
          <w:bCs/>
          <w:color w:val="auto"/>
          <w:sz w:val="28"/>
          <w:szCs w:val="28"/>
          <w:highlight w:val="none"/>
          <w:lang w:eastAsia="zh-CN"/>
        </w:rPr>
        <w:t>T1航站楼空侧亚运亮化项目</w:t>
      </w:r>
      <w:r>
        <w:rPr>
          <w:rFonts w:hint="eastAsia" w:ascii="仿宋_GB2312" w:hAnsi="仿宋_GB2312" w:eastAsia="仿宋_GB2312" w:cs="仿宋_GB2312"/>
          <w:b/>
          <w:bCs/>
          <w:color w:val="auto"/>
          <w:sz w:val="28"/>
          <w:szCs w:val="28"/>
          <w:highlight w:val="none"/>
        </w:rPr>
        <w:t>投标文件</w:t>
      </w:r>
      <w:r>
        <w:rPr>
          <w:rFonts w:hint="eastAsia" w:ascii="仿宋_GB2312" w:hAnsi="仿宋_GB2312" w:eastAsia="仿宋_GB2312" w:cs="仿宋_GB2312"/>
          <w:b/>
          <w:bCs/>
          <w:color w:val="auto"/>
          <w:kern w:val="0"/>
          <w:sz w:val="28"/>
          <w:szCs w:val="28"/>
          <w:highlight w:val="none"/>
        </w:rPr>
        <w:t>。</w:t>
      </w:r>
    </w:p>
    <w:p>
      <w:pPr>
        <w:widowControl/>
        <w:numPr>
          <w:ilvl w:val="0"/>
          <w:numId w:val="3"/>
        </w:numPr>
        <w:adjustRightInd w:val="0"/>
        <w:snapToGrid w:val="0"/>
        <w:spacing w:line="3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逾期送达或者未送达指定地点的投标文件，招标人不予受理。</w:t>
      </w:r>
    </w:p>
    <w:p>
      <w:pPr>
        <w:widowControl/>
        <w:numPr>
          <w:ilvl w:val="0"/>
          <w:numId w:val="3"/>
        </w:numPr>
        <w:adjustRightInd w:val="0"/>
        <w:snapToGrid w:val="0"/>
        <w:spacing w:line="36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投标文件正本一份，副本二份。</w:t>
      </w:r>
    </w:p>
    <w:p>
      <w:pPr>
        <w:widowControl/>
        <w:numPr>
          <w:ilvl w:val="0"/>
          <w:numId w:val="3"/>
        </w:numPr>
        <w:adjustRightInd w:val="0"/>
        <w:snapToGrid w:val="0"/>
        <w:spacing w:line="3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highlight w:val="none"/>
        </w:rPr>
        <w:t>投标文件封面（或扉页）、投标函以及各类报价表均须加盖投标人单</w:t>
      </w:r>
      <w:r>
        <w:rPr>
          <w:rFonts w:hint="eastAsia" w:ascii="仿宋_GB2312" w:hAnsi="仿宋_GB2312" w:eastAsia="仿宋_GB2312" w:cs="仿宋_GB2312"/>
          <w:sz w:val="28"/>
          <w:szCs w:val="28"/>
          <w:highlight w:val="none"/>
        </w:rPr>
        <w:t>位章，并经法定代表人（或其委托代理人）签字或盖章。</w:t>
      </w:r>
    </w:p>
    <w:p>
      <w:pPr>
        <w:widowControl/>
        <w:numPr>
          <w:ilvl w:val="0"/>
          <w:numId w:val="3"/>
        </w:numPr>
        <w:adjustRightInd w:val="0"/>
        <w:snapToGrid w:val="0"/>
        <w:spacing w:line="3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装订要求为不分册装订，每册采用胶装等方式装订，装订应牢固、不易拆散和换页，不得采用活页装订。</w:t>
      </w:r>
    </w:p>
    <w:p>
      <w:pPr>
        <w:widowControl/>
        <w:numPr>
          <w:ilvl w:val="0"/>
          <w:numId w:val="3"/>
        </w:numPr>
        <w:adjustRightInd w:val="0"/>
        <w:snapToGrid w:val="0"/>
        <w:spacing w:line="3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封套上写明：</w:t>
      </w:r>
    </w:p>
    <w:p>
      <w:pPr>
        <w:autoSpaceDE w:val="0"/>
        <w:autoSpaceDN w:val="0"/>
        <w:adjustRightInd w:val="0"/>
        <w:snapToGrid w:val="0"/>
        <w:spacing w:line="3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招标人的地址：</w:t>
      </w:r>
      <w:r>
        <w:rPr>
          <w:rFonts w:hint="eastAsia" w:ascii="仿宋_GB2312" w:hAnsi="仿宋_GB2312" w:eastAsia="仿宋_GB2312" w:cs="仿宋_GB2312"/>
          <w:sz w:val="28"/>
          <w:szCs w:val="28"/>
          <w:highlight w:val="none"/>
          <w:u w:val="single"/>
        </w:rPr>
        <w:t>杭州萧山国际机场内</w:t>
      </w:r>
    </w:p>
    <w:p>
      <w:pPr>
        <w:autoSpaceDE w:val="0"/>
        <w:autoSpaceDN w:val="0"/>
        <w:adjustRightInd w:val="0"/>
        <w:snapToGrid w:val="0"/>
        <w:spacing w:line="3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招标人名称：</w:t>
      </w:r>
      <w:r>
        <w:rPr>
          <w:rFonts w:hint="eastAsia" w:ascii="仿宋_GB2312" w:hAnsi="仿宋_GB2312" w:eastAsia="仿宋_GB2312" w:cs="仿宋_GB2312"/>
          <w:kern w:val="0"/>
          <w:sz w:val="28"/>
          <w:szCs w:val="28"/>
          <w:highlight w:val="none"/>
          <w:u w:val="single"/>
        </w:rPr>
        <w:t>杭州萧山国际机场有限公司</w:t>
      </w:r>
    </w:p>
    <w:p>
      <w:pPr>
        <w:autoSpaceDE w:val="0"/>
        <w:autoSpaceDN w:val="0"/>
        <w:adjustRightInd w:val="0"/>
        <w:snapToGrid w:val="0"/>
        <w:spacing w:line="3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sz w:val="28"/>
          <w:szCs w:val="28"/>
          <w:highlight w:val="none"/>
        </w:rPr>
        <w:t>项目名称：</w:t>
      </w:r>
      <w:r>
        <w:rPr>
          <w:rFonts w:hint="eastAsia" w:ascii="仿宋_GB2312" w:hAnsi="仿宋_GB2312" w:eastAsia="仿宋_GB2312" w:cs="仿宋_GB2312"/>
          <w:sz w:val="28"/>
          <w:szCs w:val="28"/>
          <w:highlight w:val="none"/>
          <w:u w:val="single"/>
        </w:rPr>
        <w:t>杭州萧山国际机场</w:t>
      </w:r>
      <w:r>
        <w:rPr>
          <w:rFonts w:hint="eastAsia" w:ascii="仿宋_GB2312" w:hAnsi="仿宋_GB2312" w:eastAsia="仿宋_GB2312" w:cs="仿宋_GB2312"/>
          <w:sz w:val="28"/>
          <w:szCs w:val="28"/>
          <w:highlight w:val="none"/>
          <w:u w:val="single"/>
          <w:lang w:eastAsia="zh-CN"/>
        </w:rPr>
        <w:t>T1航站楼空侧亚运亮化项目</w:t>
      </w:r>
      <w:r>
        <w:rPr>
          <w:rFonts w:hint="eastAsia" w:ascii="仿宋_GB2312" w:hAnsi="仿宋_GB2312" w:eastAsia="仿宋_GB2312" w:cs="仿宋_GB2312"/>
          <w:sz w:val="28"/>
          <w:szCs w:val="28"/>
          <w:highlight w:val="none"/>
        </w:rPr>
        <w:t>投标文件</w:t>
      </w:r>
    </w:p>
    <w:p>
      <w:pPr>
        <w:widowControl/>
        <w:adjustRightInd w:val="0"/>
        <w:snapToGrid w:val="0"/>
        <w:spacing w:line="3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color w:val="auto"/>
          <w:kern w:val="0"/>
          <w:sz w:val="28"/>
          <w:szCs w:val="28"/>
          <w:highlight w:val="none"/>
        </w:rPr>
        <w:t>在</w:t>
      </w:r>
      <w:bookmarkStart w:id="30" w:name="_GoBack"/>
      <w:r>
        <w:rPr>
          <w:rFonts w:hint="eastAsia" w:ascii="仿宋_GB2312" w:hAnsi="仿宋_GB2312" w:eastAsia="仿宋_GB2312" w:cs="仿宋_GB2312"/>
          <w:color w:val="auto"/>
          <w:kern w:val="0"/>
          <w:sz w:val="28"/>
          <w:szCs w:val="28"/>
          <w:highlight w:val="none"/>
          <w:u w:val="single"/>
          <w:lang w:val="en-US" w:eastAsia="zh-CN"/>
        </w:rPr>
        <w:t>2023</w:t>
      </w:r>
      <w:r>
        <w:rPr>
          <w:rFonts w:hint="eastAsia" w:ascii="仿宋_GB2312" w:hAnsi="仿宋_GB2312" w:eastAsia="仿宋_GB2312" w:cs="仿宋_GB2312"/>
          <w:color w:val="auto"/>
          <w:kern w:val="0"/>
          <w:sz w:val="28"/>
          <w:szCs w:val="28"/>
          <w:highlight w:val="none"/>
          <w:u w:val="single"/>
        </w:rPr>
        <w:t>年</w:t>
      </w:r>
      <w:r>
        <w:rPr>
          <w:rFonts w:hint="eastAsia" w:ascii="仿宋_GB2312" w:hAnsi="仿宋_GB2312" w:eastAsia="仿宋_GB2312" w:cs="仿宋_GB2312"/>
          <w:color w:val="auto"/>
          <w:kern w:val="0"/>
          <w:sz w:val="28"/>
          <w:szCs w:val="28"/>
          <w:highlight w:val="none"/>
          <w:u w:val="single"/>
          <w:lang w:val="en-US" w:eastAsia="zh-CN"/>
        </w:rPr>
        <w:t>8</w:t>
      </w:r>
      <w:r>
        <w:rPr>
          <w:rFonts w:hint="eastAsia" w:ascii="仿宋_GB2312" w:hAnsi="仿宋_GB2312" w:eastAsia="仿宋_GB2312" w:cs="仿宋_GB2312"/>
          <w:color w:val="auto"/>
          <w:kern w:val="0"/>
          <w:sz w:val="28"/>
          <w:szCs w:val="28"/>
          <w:highlight w:val="none"/>
          <w:u w:val="single"/>
        </w:rPr>
        <w:t>月</w:t>
      </w:r>
      <w:r>
        <w:rPr>
          <w:rFonts w:hint="eastAsia" w:ascii="仿宋_GB2312" w:hAnsi="仿宋_GB2312" w:eastAsia="仿宋_GB2312" w:cs="仿宋_GB2312"/>
          <w:color w:val="auto"/>
          <w:kern w:val="0"/>
          <w:sz w:val="28"/>
          <w:szCs w:val="28"/>
          <w:highlight w:val="none"/>
          <w:u w:val="single"/>
          <w:lang w:val="en-US" w:eastAsia="zh-CN"/>
        </w:rPr>
        <w:t>4</w:t>
      </w:r>
      <w:r>
        <w:rPr>
          <w:rFonts w:hint="eastAsia" w:ascii="仿宋_GB2312" w:hAnsi="仿宋_GB2312" w:eastAsia="仿宋_GB2312" w:cs="仿宋_GB2312"/>
          <w:color w:val="auto"/>
          <w:kern w:val="0"/>
          <w:sz w:val="28"/>
          <w:szCs w:val="28"/>
          <w:highlight w:val="none"/>
          <w:u w:val="single"/>
        </w:rPr>
        <w:t>日</w:t>
      </w:r>
      <w:r>
        <w:rPr>
          <w:rFonts w:hint="eastAsia" w:ascii="仿宋_GB2312" w:hAnsi="仿宋_GB2312" w:eastAsia="仿宋_GB2312" w:cs="仿宋_GB2312"/>
          <w:color w:val="auto"/>
          <w:kern w:val="0"/>
          <w:sz w:val="28"/>
          <w:szCs w:val="28"/>
          <w:highlight w:val="none"/>
          <w:u w:val="single"/>
          <w:lang w:val="en-US" w:eastAsia="zh-CN"/>
        </w:rPr>
        <w:t>14</w:t>
      </w:r>
      <w:r>
        <w:rPr>
          <w:rFonts w:hint="eastAsia" w:ascii="仿宋_GB2312" w:hAnsi="仿宋_GB2312" w:eastAsia="仿宋_GB2312" w:cs="仿宋_GB2312"/>
          <w:color w:val="auto"/>
          <w:kern w:val="0"/>
          <w:sz w:val="28"/>
          <w:szCs w:val="28"/>
          <w:highlight w:val="none"/>
          <w:u w:val="single"/>
        </w:rPr>
        <w:t>时</w:t>
      </w:r>
      <w:r>
        <w:rPr>
          <w:rFonts w:hint="eastAsia" w:ascii="仿宋_GB2312" w:hAnsi="仿宋_GB2312" w:eastAsia="仿宋_GB2312" w:cs="仿宋_GB2312"/>
          <w:color w:val="auto"/>
          <w:kern w:val="0"/>
          <w:sz w:val="28"/>
          <w:szCs w:val="28"/>
          <w:highlight w:val="none"/>
          <w:u w:val="single"/>
          <w:lang w:val="en-US" w:eastAsia="zh-CN"/>
        </w:rPr>
        <w:t>00</w:t>
      </w:r>
      <w:r>
        <w:rPr>
          <w:rFonts w:hint="eastAsia" w:ascii="仿宋_GB2312" w:hAnsi="仿宋_GB2312" w:eastAsia="仿宋_GB2312" w:cs="仿宋_GB2312"/>
          <w:color w:val="auto"/>
          <w:kern w:val="0"/>
          <w:sz w:val="28"/>
          <w:szCs w:val="28"/>
          <w:highlight w:val="none"/>
          <w:u w:val="single"/>
        </w:rPr>
        <w:t>分</w:t>
      </w:r>
      <w:bookmarkEnd w:id="30"/>
      <w:r>
        <w:rPr>
          <w:rFonts w:hint="eastAsia" w:ascii="仿宋_GB2312" w:hAnsi="仿宋_GB2312" w:eastAsia="仿宋_GB2312" w:cs="仿宋_GB2312"/>
          <w:color w:val="auto"/>
          <w:kern w:val="0"/>
          <w:sz w:val="28"/>
          <w:szCs w:val="28"/>
          <w:highlight w:val="none"/>
        </w:rPr>
        <w:t>（即开标时</w:t>
      </w:r>
      <w:r>
        <w:rPr>
          <w:rFonts w:hint="eastAsia" w:ascii="仿宋_GB2312" w:hAnsi="仿宋_GB2312" w:eastAsia="仿宋_GB2312" w:cs="仿宋_GB2312"/>
          <w:kern w:val="0"/>
          <w:sz w:val="28"/>
          <w:szCs w:val="28"/>
          <w:highlight w:val="none"/>
        </w:rPr>
        <w:t>间）前不得开启</w:t>
      </w:r>
    </w:p>
    <w:p>
      <w:pPr>
        <w:widowControl/>
        <w:adjustRightInd w:val="0"/>
        <w:snapToGrid w:val="0"/>
        <w:spacing w:line="360" w:lineRule="exact"/>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七、开标</w:t>
      </w:r>
    </w:p>
    <w:p>
      <w:pPr>
        <w:autoSpaceDE w:val="0"/>
        <w:autoSpaceDN w:val="0"/>
        <w:adjustRightInd w:val="0"/>
        <w:snapToGrid w:val="0"/>
        <w:spacing w:line="3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（1）开标时间同投标截止时间，开标地点为</w:t>
      </w:r>
      <w:r>
        <w:rPr>
          <w:rFonts w:hint="eastAsia" w:ascii="仿宋_GB2312" w:hAnsi="仿宋_GB2312" w:eastAsia="仿宋_GB2312" w:cs="仿宋_GB2312"/>
          <w:b/>
          <w:sz w:val="28"/>
          <w:szCs w:val="28"/>
          <w:highlight w:val="none"/>
        </w:rPr>
        <w:t>杭州萧山国际机场翔越路综合服务楼园区招标中心。</w:t>
      </w:r>
    </w:p>
    <w:p>
      <w:pPr>
        <w:widowControl/>
        <w:adjustRightInd w:val="0"/>
        <w:snapToGrid w:val="0"/>
        <w:spacing w:line="3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（2）由投标人或者其集体推选的代表检查投标文件的密封情况，开标顺序按照后送达先开的顺序。</w:t>
      </w:r>
    </w:p>
    <w:p>
      <w:pPr>
        <w:widowControl/>
        <w:adjustRightInd w:val="0"/>
        <w:snapToGrid w:val="0"/>
        <w:spacing w:line="360" w:lineRule="exact"/>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八、其他说明</w:t>
      </w:r>
    </w:p>
    <w:p>
      <w:pPr>
        <w:widowControl/>
        <w:adjustRightInd w:val="0"/>
        <w:snapToGrid w:val="0"/>
        <w:spacing w:line="360" w:lineRule="exact"/>
        <w:ind w:firstLine="560" w:firstLineChars="200"/>
        <w:rPr>
          <w:rFonts w:ascii="仿宋_GB2312" w:hAnsi="仿宋_GB2312" w:eastAsia="仿宋_GB2312" w:cs="仿宋_GB2312"/>
          <w:b/>
          <w:bCs/>
          <w:kern w:val="0"/>
          <w:sz w:val="28"/>
          <w:szCs w:val="28"/>
          <w:highlight w:val="none"/>
        </w:rPr>
      </w:pPr>
      <w:r>
        <w:rPr>
          <w:rFonts w:hint="eastAsia" w:ascii="仿宋_GB2312" w:hAnsi="仿宋_GB2312" w:eastAsia="仿宋_GB2312" w:cs="仿宋_GB2312"/>
          <w:kern w:val="0"/>
          <w:sz w:val="28"/>
          <w:szCs w:val="28"/>
          <w:highlight w:val="none"/>
        </w:rPr>
        <w:t>（1）采取公开招标和资格后审。</w:t>
      </w:r>
    </w:p>
    <w:p>
      <w:pPr>
        <w:widowControl/>
        <w:adjustRightInd w:val="0"/>
        <w:snapToGrid w:val="0"/>
        <w:spacing w:line="3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（2）评标委员会由3人及以上单数构成。</w:t>
      </w:r>
    </w:p>
    <w:p>
      <w:pPr>
        <w:widowControl/>
        <w:adjustRightInd w:val="0"/>
        <w:snapToGrid w:val="0"/>
        <w:spacing w:line="3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（3）评标委员会成员招标人自行组建。</w:t>
      </w:r>
    </w:p>
    <w:p>
      <w:pPr>
        <w:widowControl/>
        <w:adjustRightInd w:val="0"/>
        <w:snapToGrid w:val="0"/>
        <w:spacing w:line="3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kern w:val="0"/>
          <w:sz w:val="28"/>
          <w:szCs w:val="28"/>
          <w:highlight w:val="none"/>
        </w:rPr>
        <w:t>（4）评标委员会推荐的中标候选人数：1人。</w:t>
      </w:r>
    </w:p>
    <w:p>
      <w:pPr>
        <w:widowControl/>
        <w:adjustRightInd w:val="0"/>
        <w:snapToGrid w:val="0"/>
        <w:spacing w:line="360" w:lineRule="exact"/>
        <w:ind w:firstLine="560" w:firstLineChars="200"/>
        <w:rPr>
          <w:rFonts w:hint="eastAsia" w:ascii="仿宋_GB2312" w:hAnsi="仿宋_GB2312" w:eastAsia="仿宋_GB2312" w:cs="仿宋_GB2312"/>
          <w:kern w:val="0"/>
          <w:sz w:val="28"/>
          <w:szCs w:val="28"/>
          <w:highlight w:val="none"/>
        </w:rPr>
      </w:pPr>
      <w:bookmarkStart w:id="4" w:name="_Toc19218"/>
      <w:bookmarkStart w:id="5" w:name="_Toc3775"/>
      <w:r>
        <w:rPr>
          <w:rFonts w:hint="eastAsia" w:ascii="仿宋_GB2312" w:hAnsi="仿宋_GB2312" w:eastAsia="仿宋_GB2312" w:cs="仿宋_GB2312"/>
          <w:kern w:val="0"/>
          <w:sz w:val="28"/>
          <w:szCs w:val="28"/>
          <w:highlight w:val="none"/>
        </w:rPr>
        <w:t>（5）</w:t>
      </w:r>
      <w:bookmarkEnd w:id="4"/>
      <w:bookmarkEnd w:id="5"/>
      <w:r>
        <w:rPr>
          <w:rFonts w:hint="eastAsia" w:ascii="仿宋_GB2312" w:hAnsi="仿宋_GB2312" w:eastAsia="仿宋_GB2312" w:cs="仿宋_GB2312"/>
          <w:kern w:val="0"/>
          <w:sz w:val="28"/>
          <w:szCs w:val="28"/>
          <w:highlight w:val="none"/>
        </w:rPr>
        <w:t>本次评标采用综合评估法推荐中标候选人。</w:t>
      </w:r>
    </w:p>
    <w:p>
      <w:pPr>
        <w:widowControl/>
        <w:adjustRightInd w:val="0"/>
        <w:snapToGrid w:val="0"/>
        <w:spacing w:line="360" w:lineRule="exact"/>
        <w:ind w:firstLine="560" w:firstLineChars="200"/>
        <w:rPr>
          <w:rFonts w:hint="eastAsia" w:ascii="仿宋_GB2312" w:hAnsi="仿宋_GB2312" w:eastAsia="仿宋_GB2312" w:cs="仿宋_GB2312"/>
          <w:b/>
          <w:bCs/>
          <w:kern w:val="0"/>
          <w:sz w:val="28"/>
          <w:szCs w:val="28"/>
          <w:highlight w:val="none"/>
          <w:lang w:eastAsia="zh-CN"/>
        </w:rPr>
      </w:pPr>
      <w:r>
        <w:rPr>
          <w:rFonts w:hint="eastAsia" w:ascii="仿宋_GB2312" w:hAnsi="仿宋_GB2312" w:eastAsia="仿宋_GB2312" w:cs="仿宋_GB2312"/>
          <w:b/>
          <w:bCs/>
          <w:kern w:val="0"/>
          <w:sz w:val="28"/>
          <w:szCs w:val="28"/>
          <w:highlight w:val="none"/>
          <w:lang w:eastAsia="zh-CN"/>
        </w:rPr>
        <w:t>★（</w:t>
      </w:r>
      <w:r>
        <w:rPr>
          <w:rFonts w:hint="eastAsia" w:ascii="仿宋_GB2312" w:hAnsi="仿宋_GB2312" w:eastAsia="仿宋_GB2312" w:cs="仿宋_GB2312"/>
          <w:b/>
          <w:bCs/>
          <w:kern w:val="0"/>
          <w:sz w:val="28"/>
          <w:szCs w:val="28"/>
          <w:highlight w:val="none"/>
          <w:lang w:val="en-US" w:eastAsia="zh-CN"/>
        </w:rPr>
        <w:t>6</w:t>
      </w:r>
      <w:r>
        <w:rPr>
          <w:rFonts w:hint="eastAsia" w:ascii="仿宋_GB2312" w:hAnsi="仿宋_GB2312" w:eastAsia="仿宋_GB2312" w:cs="仿宋_GB2312"/>
          <w:b/>
          <w:bCs/>
          <w:kern w:val="0"/>
          <w:sz w:val="28"/>
          <w:szCs w:val="28"/>
          <w:highlight w:val="none"/>
          <w:lang w:eastAsia="zh-CN"/>
        </w:rPr>
        <w:t>）</w:t>
      </w:r>
      <w:r>
        <w:rPr>
          <w:rFonts w:hint="eastAsia" w:ascii="仿宋_GB2312" w:hAnsi="仿宋_GB2312" w:eastAsia="仿宋_GB2312" w:cs="仿宋_GB2312"/>
          <w:b/>
          <w:bCs/>
          <w:kern w:val="0"/>
          <w:sz w:val="28"/>
          <w:szCs w:val="28"/>
          <w:highlight w:val="none"/>
          <w:lang w:val="en-US" w:eastAsia="zh-CN"/>
        </w:rPr>
        <w:t>投标人需提供LED泛光灯样品。</w:t>
      </w:r>
    </w:p>
    <w:p>
      <w:pPr>
        <w:widowControl/>
        <w:snapToGrid w:val="0"/>
        <w:spacing w:line="360" w:lineRule="exact"/>
        <w:jc w:val="left"/>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九、重新招标和不再招标</w:t>
      </w:r>
    </w:p>
    <w:p>
      <w:pPr>
        <w:widowControl/>
        <w:adjustRightInd w:val="0"/>
        <w:snapToGrid w:val="0"/>
        <w:spacing w:line="3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（1）重新招标</w:t>
      </w:r>
    </w:p>
    <w:p>
      <w:pPr>
        <w:widowControl/>
        <w:adjustRightInd w:val="0"/>
        <w:snapToGrid w:val="0"/>
        <w:spacing w:line="3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有下列情形之一的，招标人将重新招标：</w:t>
      </w:r>
    </w:p>
    <w:p>
      <w:pPr>
        <w:widowControl/>
        <w:adjustRightInd w:val="0"/>
        <w:snapToGrid w:val="0"/>
        <w:spacing w:line="3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fldChar w:fldCharType="begin"/>
      </w:r>
      <w:r>
        <w:rPr>
          <w:rFonts w:hint="eastAsia" w:ascii="仿宋_GB2312" w:hAnsi="仿宋_GB2312" w:eastAsia="仿宋_GB2312" w:cs="仿宋_GB2312"/>
          <w:kern w:val="0"/>
          <w:sz w:val="28"/>
          <w:szCs w:val="28"/>
          <w:highlight w:val="none"/>
        </w:rPr>
        <w:instrText xml:space="preserve"> = 1 \* GB3 \* MERGEFORMAT </w:instrText>
      </w:r>
      <w:r>
        <w:rPr>
          <w:rFonts w:hint="eastAsia" w:ascii="仿宋_GB2312" w:hAnsi="仿宋_GB2312" w:eastAsia="仿宋_GB2312" w:cs="仿宋_GB2312"/>
          <w:kern w:val="0"/>
          <w:sz w:val="28"/>
          <w:szCs w:val="28"/>
          <w:highlight w:val="none"/>
        </w:rPr>
        <w:fldChar w:fldCharType="separate"/>
      </w:r>
      <w:r>
        <w:rPr>
          <w:rFonts w:hint="eastAsia" w:ascii="仿宋_GB2312" w:hAnsi="仿宋_GB2312" w:eastAsia="仿宋_GB2312" w:cs="仿宋_GB2312"/>
          <w:sz w:val="28"/>
          <w:szCs w:val="28"/>
          <w:highlight w:val="none"/>
        </w:rPr>
        <w:t>①</w:t>
      </w:r>
      <w:r>
        <w:rPr>
          <w:rFonts w:hint="eastAsia" w:ascii="仿宋_GB2312" w:hAnsi="仿宋_GB2312" w:eastAsia="仿宋_GB2312" w:cs="仿宋_GB2312"/>
          <w:kern w:val="0"/>
          <w:sz w:val="28"/>
          <w:szCs w:val="28"/>
          <w:highlight w:val="none"/>
        </w:rPr>
        <w:fldChar w:fldCharType="end"/>
      </w:r>
      <w:r>
        <w:rPr>
          <w:rFonts w:hint="eastAsia" w:ascii="仿宋_GB2312" w:hAnsi="仿宋_GB2312" w:eastAsia="仿宋_GB2312" w:cs="仿宋_GB2312"/>
          <w:kern w:val="0"/>
          <w:sz w:val="28"/>
          <w:szCs w:val="28"/>
          <w:highlight w:val="none"/>
        </w:rPr>
        <w:t>投标截止时间止，投标人少于3个的；</w:t>
      </w:r>
    </w:p>
    <w:p>
      <w:pPr>
        <w:widowControl/>
        <w:adjustRightInd w:val="0"/>
        <w:snapToGrid w:val="0"/>
        <w:spacing w:line="3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fldChar w:fldCharType="begin"/>
      </w:r>
      <w:r>
        <w:rPr>
          <w:rFonts w:hint="eastAsia" w:ascii="仿宋_GB2312" w:hAnsi="仿宋_GB2312" w:eastAsia="仿宋_GB2312" w:cs="仿宋_GB2312"/>
          <w:kern w:val="0"/>
          <w:sz w:val="28"/>
          <w:szCs w:val="28"/>
          <w:highlight w:val="none"/>
        </w:rPr>
        <w:instrText xml:space="preserve"> = 2 \* GB3 \* MERGEFORMAT </w:instrText>
      </w:r>
      <w:r>
        <w:rPr>
          <w:rFonts w:hint="eastAsia" w:ascii="仿宋_GB2312" w:hAnsi="仿宋_GB2312" w:eastAsia="仿宋_GB2312" w:cs="仿宋_GB2312"/>
          <w:kern w:val="0"/>
          <w:sz w:val="28"/>
          <w:szCs w:val="28"/>
          <w:highlight w:val="none"/>
        </w:rPr>
        <w:fldChar w:fldCharType="separate"/>
      </w:r>
      <w:r>
        <w:rPr>
          <w:rFonts w:hint="eastAsia" w:ascii="仿宋_GB2312" w:hAnsi="仿宋_GB2312" w:eastAsia="仿宋_GB2312" w:cs="仿宋_GB2312"/>
          <w:sz w:val="28"/>
          <w:szCs w:val="28"/>
          <w:highlight w:val="none"/>
        </w:rPr>
        <w:t>②</w:t>
      </w:r>
      <w:r>
        <w:rPr>
          <w:rFonts w:hint="eastAsia" w:ascii="仿宋_GB2312" w:hAnsi="仿宋_GB2312" w:eastAsia="仿宋_GB2312" w:cs="仿宋_GB2312"/>
          <w:kern w:val="0"/>
          <w:sz w:val="28"/>
          <w:szCs w:val="28"/>
          <w:highlight w:val="none"/>
        </w:rPr>
        <w:fldChar w:fldCharType="end"/>
      </w:r>
      <w:r>
        <w:rPr>
          <w:rFonts w:hint="eastAsia" w:ascii="仿宋_GB2312" w:hAnsi="仿宋_GB2312" w:eastAsia="仿宋_GB2312" w:cs="仿宋_GB2312"/>
          <w:kern w:val="0"/>
          <w:sz w:val="28"/>
          <w:szCs w:val="28"/>
          <w:highlight w:val="none"/>
        </w:rPr>
        <w:t>所有投标人的报价均偏高，招标人无法接受的；</w:t>
      </w:r>
    </w:p>
    <w:p>
      <w:pPr>
        <w:widowControl/>
        <w:adjustRightInd w:val="0"/>
        <w:snapToGrid w:val="0"/>
        <w:spacing w:line="3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fldChar w:fldCharType="begin"/>
      </w:r>
      <w:r>
        <w:rPr>
          <w:rFonts w:hint="eastAsia" w:ascii="仿宋_GB2312" w:hAnsi="仿宋_GB2312" w:eastAsia="仿宋_GB2312" w:cs="仿宋_GB2312"/>
          <w:kern w:val="0"/>
          <w:sz w:val="28"/>
          <w:szCs w:val="28"/>
          <w:highlight w:val="none"/>
        </w:rPr>
        <w:instrText xml:space="preserve"> = 3 \* GB3 \* MERGEFORMAT </w:instrText>
      </w:r>
      <w:r>
        <w:rPr>
          <w:rFonts w:hint="eastAsia" w:ascii="仿宋_GB2312" w:hAnsi="仿宋_GB2312" w:eastAsia="仿宋_GB2312" w:cs="仿宋_GB2312"/>
          <w:kern w:val="0"/>
          <w:sz w:val="28"/>
          <w:szCs w:val="28"/>
          <w:highlight w:val="none"/>
        </w:rPr>
        <w:fldChar w:fldCharType="separate"/>
      </w:r>
      <w:r>
        <w:rPr>
          <w:rFonts w:hint="eastAsia" w:ascii="仿宋_GB2312" w:hAnsi="仿宋_GB2312" w:eastAsia="仿宋_GB2312" w:cs="仿宋_GB2312"/>
          <w:sz w:val="28"/>
          <w:szCs w:val="28"/>
          <w:highlight w:val="none"/>
        </w:rPr>
        <w:t>③</w:t>
      </w:r>
      <w:r>
        <w:rPr>
          <w:rFonts w:hint="eastAsia" w:ascii="仿宋_GB2312" w:hAnsi="仿宋_GB2312" w:eastAsia="仿宋_GB2312" w:cs="仿宋_GB2312"/>
          <w:kern w:val="0"/>
          <w:sz w:val="28"/>
          <w:szCs w:val="28"/>
          <w:highlight w:val="none"/>
        </w:rPr>
        <w:fldChar w:fldCharType="end"/>
      </w:r>
      <w:r>
        <w:rPr>
          <w:rFonts w:hint="eastAsia" w:ascii="仿宋_GB2312" w:hAnsi="仿宋_GB2312" w:eastAsia="仿宋_GB2312" w:cs="仿宋_GB2312"/>
          <w:kern w:val="0"/>
          <w:sz w:val="28"/>
          <w:szCs w:val="28"/>
          <w:highlight w:val="none"/>
        </w:rPr>
        <w:t>经评标委员会评审后否决所有投标的。</w:t>
      </w:r>
    </w:p>
    <w:p>
      <w:pPr>
        <w:widowControl/>
        <w:adjustRightInd w:val="0"/>
        <w:snapToGrid w:val="0"/>
        <w:spacing w:line="360" w:lineRule="exact"/>
        <w:ind w:firstLine="560" w:firstLineChars="200"/>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投标人少于3个或经评审有效投标人少于3个，招标人不再另行发布通知，重新招标公告发布即表示本项目已进入新一轮招标。</w:t>
      </w:r>
    </w:p>
    <w:p>
      <w:pPr>
        <w:widowControl/>
        <w:adjustRightInd w:val="0"/>
        <w:snapToGrid w:val="0"/>
        <w:spacing w:line="3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（2）不再招标</w:t>
      </w:r>
    </w:p>
    <w:p>
      <w:pPr>
        <w:widowControl/>
        <w:adjustRightInd w:val="0"/>
        <w:snapToGrid w:val="0"/>
        <w:spacing w:line="3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重新招标后投标人仍少于3个或者所有投标被否决的，经批准后可采用其他方式实施。</w:t>
      </w:r>
    </w:p>
    <w:p>
      <w:pPr>
        <w:widowControl/>
        <w:snapToGrid w:val="0"/>
        <w:spacing w:line="360" w:lineRule="exact"/>
        <w:jc w:val="left"/>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十、发布公告的媒介</w:t>
      </w:r>
    </w:p>
    <w:p>
      <w:pPr>
        <w:snapToGrid w:val="0"/>
        <w:spacing w:line="3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本次招标公告在杭州萧山机场有限公司主页http://www.hzairport.com上进行发布。</w:t>
      </w:r>
    </w:p>
    <w:p>
      <w:pPr>
        <w:widowControl/>
        <w:snapToGrid w:val="0"/>
        <w:spacing w:line="360" w:lineRule="exact"/>
        <w:jc w:val="left"/>
        <w:rPr>
          <w:rFonts w:ascii="仿宋_GB2312" w:hAnsi="仿宋_GB2312" w:eastAsia="仿宋_GB2312" w:cs="仿宋_GB2312"/>
          <w:b/>
          <w:bCs/>
          <w:kern w:val="0"/>
          <w:sz w:val="28"/>
          <w:szCs w:val="28"/>
          <w:highlight w:val="none"/>
        </w:rPr>
      </w:pPr>
      <w:r>
        <w:rPr>
          <w:rFonts w:hint="eastAsia" w:ascii="仿宋_GB2312" w:hAnsi="仿宋_GB2312" w:eastAsia="仿宋_GB2312" w:cs="仿宋_GB2312"/>
          <w:b/>
          <w:bCs/>
          <w:kern w:val="0"/>
          <w:sz w:val="28"/>
          <w:szCs w:val="28"/>
          <w:highlight w:val="none"/>
        </w:rPr>
        <w:t>十一、联系方式</w:t>
      </w:r>
    </w:p>
    <w:p>
      <w:pPr>
        <w:widowControl/>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投标联系人：吴淼清        联系电话：0571-86662348 </w:t>
      </w:r>
    </w:p>
    <w:p>
      <w:pPr>
        <w:widowControl/>
        <w:snapToGrid w:val="0"/>
        <w:spacing w:line="360" w:lineRule="exact"/>
        <w:ind w:firstLine="560" w:firstLineChars="200"/>
        <w:jc w:val="left"/>
        <w:rPr>
          <w:rFonts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监督联系人：闻晓丽        联系电话：0571-86662361</w:t>
      </w:r>
    </w:p>
    <w:p>
      <w:pPr>
        <w:spacing w:line="560" w:lineRule="exact"/>
        <w:rPr>
          <w:rFonts w:ascii="仿宋_GB2312" w:hAnsi="仿宋_GB2312" w:eastAsia="仿宋_GB2312" w:cs="仿宋_GB2312"/>
          <w:color w:val="000000" w:themeColor="text1"/>
          <w:sz w:val="28"/>
          <w:szCs w:val="28"/>
          <w:highlight w:val="none"/>
          <w14:textFill>
            <w14:solidFill>
              <w14:schemeClr w14:val="tx1"/>
            </w14:solidFill>
          </w14:textFill>
        </w:rPr>
      </w:pPr>
    </w:p>
    <w:bookmarkEnd w:id="2"/>
    <w:bookmarkEnd w:id="3"/>
    <w:p>
      <w:pPr>
        <w:pStyle w:val="9"/>
        <w:pageBreakBefore/>
        <w:spacing w:before="0" w:after="0" w:line="560" w:lineRule="exact"/>
        <w:rPr>
          <w:highlight w:val="none"/>
        </w:rPr>
      </w:pPr>
      <w:bookmarkStart w:id="6" w:name="_Toc139786916"/>
      <w:bookmarkStart w:id="7" w:name="_Toc568"/>
      <w:bookmarkStart w:id="8" w:name="_Toc27752"/>
      <w:bookmarkStart w:id="9" w:name="_Toc448097404"/>
      <w:bookmarkStart w:id="10" w:name="_Toc24237"/>
      <w:r>
        <w:rPr>
          <w:highlight w:val="none"/>
        </w:rPr>
        <w:t>第</w:t>
      </w:r>
      <w:r>
        <w:rPr>
          <w:rFonts w:hint="eastAsia"/>
          <w:highlight w:val="none"/>
        </w:rPr>
        <w:t>二</w:t>
      </w:r>
      <w:r>
        <w:rPr>
          <w:highlight w:val="none"/>
        </w:rPr>
        <w:t xml:space="preserve">章 </w:t>
      </w:r>
      <w:r>
        <w:rPr>
          <w:rFonts w:hint="eastAsia"/>
          <w:highlight w:val="none"/>
        </w:rPr>
        <w:t>评标办法</w:t>
      </w:r>
      <w:bookmarkEnd w:id="6"/>
      <w:bookmarkEnd w:id="7"/>
    </w:p>
    <w:p>
      <w:pPr>
        <w:autoSpaceDE w:val="0"/>
        <w:autoSpaceDN w:val="0"/>
        <w:adjustRightInd w:val="0"/>
        <w:spacing w:line="360" w:lineRule="atLeast"/>
        <w:jc w:val="left"/>
        <w:rPr>
          <w:rFonts w:ascii="微软雅黑" w:hAnsi="Times New Roman" w:cs="微软雅黑"/>
          <w:kern w:val="0"/>
          <w:sz w:val="10"/>
          <w:szCs w:val="10"/>
          <w:highlight w:val="none"/>
        </w:rPr>
      </w:pPr>
    </w:p>
    <w:bookmarkEnd w:id="8"/>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根据《中华人民共和国招标投标法》、《中华人民共和国招标投标法实施条例》等有关规定，制定本办法。</w:t>
      </w:r>
    </w:p>
    <w:p>
      <w:pPr>
        <w:snapToGrid w:val="0"/>
        <w:spacing w:line="360" w:lineRule="atLeast"/>
        <w:rPr>
          <w:rFonts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一、评标原则</w:t>
      </w:r>
    </w:p>
    <w:p>
      <w:pPr>
        <w:snapToGrid w:val="0"/>
        <w:spacing w:line="360" w:lineRule="atLeas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评标应遵循公平、公正、科学、择优的原则。</w:t>
      </w:r>
    </w:p>
    <w:p>
      <w:pPr>
        <w:snapToGrid w:val="0"/>
        <w:spacing w:line="360" w:lineRule="atLeast"/>
        <w:rPr>
          <w:rFonts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二、评标组织</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评标工作由招标人依法组建的评标委员会负责。</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评标委员会对投标文件作出的评审结论，应当符合有关法律、法规、规章和招标文件的规定。</w:t>
      </w:r>
    </w:p>
    <w:p>
      <w:pPr>
        <w:adjustRightInd w:val="0"/>
        <w:snapToGrid w:val="0"/>
        <w:spacing w:line="360" w:lineRule="atLeast"/>
        <w:ind w:firstLine="560" w:firstLineChars="200"/>
        <w:rPr>
          <w:rFonts w:ascii="仿宋_GB2312" w:hAnsi="仿宋_GB2312" w:eastAsia="仿宋_GB2312" w:cs="仿宋_GB2312"/>
          <w:sz w:val="28"/>
          <w:szCs w:val="28"/>
          <w:highlight w:val="none"/>
        </w:rPr>
      </w:pPr>
      <w:bookmarkStart w:id="11" w:name="_Hlk47377016"/>
      <w:r>
        <w:rPr>
          <w:rFonts w:hint="eastAsia" w:ascii="仿宋_GB2312" w:hAnsi="仿宋_GB2312" w:eastAsia="仿宋_GB2312" w:cs="仿宋_GB2312"/>
          <w:sz w:val="28"/>
          <w:szCs w:val="28"/>
          <w:highlight w:val="none"/>
        </w:rPr>
        <w:t>在任何评标环节中，评标委员会就某项定性的评审结论意见不一致的，由评标委员会全体成员按照少数服从多数的原则，以记名投票方式表决。</w:t>
      </w:r>
      <w:bookmarkEnd w:id="11"/>
    </w:p>
    <w:p>
      <w:pPr>
        <w:snapToGrid w:val="0"/>
        <w:spacing w:line="360" w:lineRule="atLeast"/>
        <w:rPr>
          <w:rFonts w:ascii="仿宋_GB2312" w:hAnsi="仿宋_GB2312" w:eastAsia="仿宋_GB2312" w:cs="仿宋_GB2312"/>
          <w:b/>
          <w:kern w:val="0"/>
          <w:sz w:val="28"/>
          <w:szCs w:val="28"/>
          <w:highlight w:val="none"/>
        </w:rPr>
      </w:pPr>
      <w:r>
        <w:rPr>
          <w:rFonts w:hint="eastAsia" w:ascii="仿宋_GB2312" w:hAnsi="仿宋_GB2312" w:eastAsia="仿宋_GB2312" w:cs="仿宋_GB2312"/>
          <w:b/>
          <w:kern w:val="0"/>
          <w:sz w:val="28"/>
          <w:szCs w:val="28"/>
          <w:highlight w:val="none"/>
        </w:rPr>
        <w:t>三、评标程序和内容</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(一)熟悉招标文件和评标办法；</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(二)投标文件的符合性评审；</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(三)投标文件的技术评审；</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(四)投标文件的商务评审；</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(五)必要时对投标文件中的问题进行询标；</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(六)根据评标办法和标准计算综合得分；</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(七)对投标人进行排序，推荐中标候选人，完成评标报告。</w:t>
      </w:r>
    </w:p>
    <w:p>
      <w:pPr>
        <w:adjustRightInd w:val="0"/>
        <w:snapToGrid w:val="0"/>
        <w:spacing w:line="360" w:lineRule="atLeas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四、评审细则</w:t>
      </w:r>
    </w:p>
    <w:p>
      <w:pPr>
        <w:adjustRightInd w:val="0"/>
        <w:snapToGrid w:val="0"/>
        <w:spacing w:line="360" w:lineRule="atLeast"/>
        <w:ind w:firstLine="562"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(一)符合性评审</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评标委员会应依照招标文件的要求和规定首先对投标人的投标资格和投标文件进行符合性评审，</w:t>
      </w:r>
      <w:r>
        <w:rPr>
          <w:rFonts w:hint="eastAsia" w:ascii="仿宋_GB2312" w:hAnsi="仿宋_GB2312" w:eastAsia="仿宋_GB2312" w:cs="仿宋_GB2312"/>
          <w:b/>
          <w:sz w:val="28"/>
          <w:szCs w:val="28"/>
          <w:highlight w:val="none"/>
        </w:rPr>
        <w:t>审查过程中评标委员会可以要求投标人提交有关证明和证件的原件，以便核验。</w:t>
      </w:r>
      <w:bookmarkStart w:id="12" w:name="_Hlk47377053"/>
      <w:r>
        <w:rPr>
          <w:rFonts w:hint="eastAsia" w:ascii="仿宋_GB2312" w:hAnsi="仿宋_GB2312" w:eastAsia="仿宋_GB2312" w:cs="仿宋_GB2312"/>
          <w:sz w:val="28"/>
          <w:szCs w:val="28"/>
          <w:highlight w:val="none"/>
        </w:rPr>
        <w:t>经评标委员会</w:t>
      </w:r>
      <w:bookmarkStart w:id="13" w:name="_Hlk47446073"/>
      <w:r>
        <w:rPr>
          <w:rFonts w:hint="eastAsia" w:ascii="仿宋_GB2312" w:hAnsi="仿宋_GB2312" w:eastAsia="仿宋_GB2312" w:cs="仿宋_GB2312"/>
          <w:sz w:val="28"/>
          <w:szCs w:val="28"/>
          <w:highlight w:val="none"/>
        </w:rPr>
        <w:t>评审后，符合性审查不予通过，不再进行下一步评审</w:t>
      </w:r>
      <w:bookmarkEnd w:id="13"/>
      <w:r>
        <w:rPr>
          <w:rFonts w:hint="eastAsia" w:ascii="仿宋_GB2312" w:hAnsi="仿宋_GB2312" w:eastAsia="仿宋_GB2312" w:cs="仿宋_GB2312"/>
          <w:sz w:val="28"/>
          <w:szCs w:val="28"/>
          <w:highlight w:val="none"/>
        </w:rPr>
        <w:t>。</w:t>
      </w:r>
      <w:bookmarkEnd w:id="12"/>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atLeast"/>
        <w:ind w:firstLine="562"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(二)询标</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(1)投标文件中有含义不明确的内容、明显文字或计算错误，评标委员会认为需要投标人作出必要澄清、说明的，应当组织询标。</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(2)投标人所留联系方式无法联系上、在规定的时限内投标人不参加询标或不予答复的，投标人自行承担放弃询标机会的后果。</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(3)询标问题及投标人的澄清、说明不得超出投标文件的范围或者改变投标文件的实质性内容。</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(4)评标委员会不得暗示或者诱导投标人作出澄清、说明，不得接受投标人主动提出的澄清、说明。</w:t>
      </w:r>
    </w:p>
    <w:p>
      <w:pPr>
        <w:adjustRightInd w:val="0"/>
        <w:snapToGrid w:val="0"/>
        <w:spacing w:line="360" w:lineRule="atLeast"/>
        <w:ind w:firstLine="562"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(三)错误的修正</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投标报价中用数字表示的数额与用文字表示的数额不一致时，一律以投标函中用文字表示的投标报价为准，计算商务分时不作调整。</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atLeast"/>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atLeast"/>
        <w:ind w:firstLine="562"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(四)评标细则</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本次评标采用</w:t>
      </w:r>
      <w:r>
        <w:rPr>
          <w:rFonts w:hint="eastAsia" w:ascii="仿宋_GB2312" w:hAnsi="仿宋_GB2312" w:eastAsia="仿宋_GB2312" w:cs="仿宋_GB2312"/>
          <w:b/>
          <w:sz w:val="28"/>
          <w:szCs w:val="28"/>
          <w:highlight w:val="none"/>
        </w:rPr>
        <w:t>综合评估法</w:t>
      </w:r>
      <w:r>
        <w:rPr>
          <w:rFonts w:hint="eastAsia" w:ascii="仿宋_GB2312" w:hAnsi="仿宋_GB2312" w:eastAsia="仿宋_GB2312" w:cs="仿宋_GB2312"/>
          <w:sz w:val="28"/>
          <w:szCs w:val="28"/>
          <w:highlight w:val="none"/>
        </w:rPr>
        <w:t>，</w:t>
      </w:r>
      <w:bookmarkStart w:id="14" w:name="_Hlk47988709"/>
      <w:r>
        <w:rPr>
          <w:rFonts w:hint="eastAsia" w:ascii="仿宋_GB2312" w:hAnsi="仿宋_GB2312" w:eastAsia="仿宋_GB2312" w:cs="仿宋_GB2312"/>
          <w:sz w:val="28"/>
          <w:szCs w:val="28"/>
          <w:highlight w:val="none"/>
        </w:rPr>
        <w:t>评标委员会根据评审情况，对技术、商务等方面进行评审。评标委员会根据评审情况，对各投标人的投标文件进行打分。若评标委员会的评分表中计分不在分值范围内的，则该评分表无效。</w:t>
      </w:r>
      <w:bookmarkEnd w:id="14"/>
    </w:p>
    <w:p>
      <w:pPr>
        <w:spacing w:line="360" w:lineRule="atLeast"/>
        <w:ind w:firstLine="562"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 xml:space="preserve">1.投标文件的技术评审( </w:t>
      </w:r>
      <w:r>
        <w:rPr>
          <w:rFonts w:hint="eastAsia" w:ascii="仿宋_GB2312" w:hAnsi="仿宋_GB2312" w:eastAsia="仿宋_GB2312" w:cs="仿宋_GB2312"/>
          <w:b/>
          <w:sz w:val="28"/>
          <w:szCs w:val="28"/>
          <w:highlight w:val="none"/>
          <w:u w:val="single"/>
        </w:rPr>
        <w:t>40</w:t>
      </w:r>
      <w:r>
        <w:rPr>
          <w:rFonts w:hint="eastAsia" w:ascii="仿宋_GB2312" w:hAnsi="仿宋_GB2312" w:eastAsia="仿宋_GB2312" w:cs="仿宋_GB2312"/>
          <w:b/>
          <w:sz w:val="28"/>
          <w:szCs w:val="28"/>
          <w:highlight w:val="none"/>
        </w:rPr>
        <w:t xml:space="preserve"> 分)</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6998"/>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adjustRightInd w:val="0"/>
              <w:snapToGrid w:val="0"/>
              <w:spacing w:line="360" w:lineRule="atLeast"/>
              <w:jc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评分内容</w:t>
            </w:r>
          </w:p>
        </w:tc>
        <w:tc>
          <w:tcPr>
            <w:tcW w:w="6998" w:type="dxa"/>
            <w:vAlign w:val="center"/>
          </w:tcPr>
          <w:p>
            <w:pPr>
              <w:adjustRightInd w:val="0"/>
              <w:snapToGrid w:val="0"/>
              <w:spacing w:line="360" w:lineRule="atLeast"/>
              <w:jc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评分标准</w:t>
            </w:r>
          </w:p>
        </w:tc>
        <w:tc>
          <w:tcPr>
            <w:tcW w:w="904" w:type="dxa"/>
            <w:vAlign w:val="center"/>
          </w:tcPr>
          <w:p>
            <w:pPr>
              <w:tabs>
                <w:tab w:val="left" w:pos="1418"/>
              </w:tabs>
              <w:adjustRightInd w:val="0"/>
              <w:snapToGrid w:val="0"/>
              <w:spacing w:line="360" w:lineRule="atLeast"/>
              <w:jc w:val="center"/>
              <w:rPr>
                <w:rFonts w:ascii="仿宋_GB2312" w:hAnsi="仿宋_GB2312" w:eastAsia="仿宋_GB2312" w:cs="仿宋_GB2312"/>
                <w:b/>
                <w:bCs/>
                <w:spacing w:val="-6"/>
                <w:kern w:val="0"/>
                <w:sz w:val="28"/>
                <w:szCs w:val="28"/>
                <w:highlight w:val="none"/>
              </w:rPr>
            </w:pPr>
            <w:r>
              <w:rPr>
                <w:rFonts w:hint="eastAsia" w:ascii="仿宋_GB2312" w:hAnsi="仿宋_GB2312" w:eastAsia="仿宋_GB2312" w:cs="仿宋_GB2312"/>
                <w:b/>
                <w:bCs/>
                <w:spacing w:val="-6"/>
                <w:kern w:val="0"/>
                <w:sz w:val="28"/>
                <w:szCs w:val="28"/>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施工方案与技术措施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施工方案与技术措施内容的完整性、针对性和可行性，</w:t>
            </w:r>
            <w:r>
              <w:rPr>
                <w:rFonts w:hint="eastAsia" w:ascii="仿宋_GB2312" w:hAnsi="仿宋_GB2312" w:eastAsia="仿宋_GB2312" w:cs="仿宋_GB2312"/>
                <w:sz w:val="28"/>
                <w:szCs w:val="28"/>
                <w:highlight w:val="none"/>
                <w:lang w:eastAsia="zh-Hans"/>
              </w:rPr>
              <w:t>特别是针对本项目重点难点部位</w:t>
            </w:r>
            <w:r>
              <w:rPr>
                <w:rFonts w:hint="eastAsia" w:ascii="仿宋_GB2312" w:hAnsi="仿宋_GB2312" w:eastAsia="仿宋_GB2312" w:cs="仿宋_GB2312"/>
                <w:sz w:val="28"/>
                <w:szCs w:val="28"/>
                <w:highlight w:val="none"/>
              </w:rPr>
              <w:t>；各投标文件横向比较，优秀的得4.2-6分；良好的2.1-4.2分；一般的得0-2.1分。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质量管理体系与措施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施工质量的控制和检验手段是否科学、可靠；各投标文件横向比较，优秀的得4.2-6分；良好的2.1-4.2分；一般的得0-2.1分。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安全管理体系与措施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安全、文明施工及防止FOD入侵等的保证措施是否科学、到位；各投标文件横向比较，优秀的得4.2-6分；良好的2.1-4.2分；一般的得0-2.1分。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环境保护管理体系与措施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市政、市容、环保</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消防等的保证措施是否科学、到位；各投标文件横向比较，优秀的得2.8-4分；良好的1.4-2.8分；一般的得0-1.4分。</w:t>
            </w:r>
          </w:p>
        </w:tc>
        <w:tc>
          <w:tcPr>
            <w:tcW w:w="904" w:type="dxa"/>
            <w:vAlign w:val="center"/>
          </w:tcPr>
          <w:p>
            <w:pPr>
              <w:spacing w:line="360" w:lineRule="atLeas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0-</w:t>
            </w:r>
            <w:r>
              <w:rPr>
                <w:rFonts w:hint="eastAsia" w:ascii="仿宋_GB2312" w:hAnsi="仿宋_GB2312" w:eastAsia="仿宋_GB2312" w:cs="仿宋_GB2312"/>
                <w:sz w:val="28"/>
                <w:szCs w:val="28"/>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工期保证体系及保证措施</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工期承诺及施工进度网络计划、关键节点和线路的技术保证措施是否具有针对性和可行性；现场施工不利条件对施工</w:t>
            </w:r>
            <w:r>
              <w:rPr>
                <w:rFonts w:hint="eastAsia" w:ascii="仿宋_GB2312" w:hAnsi="仿宋_GB2312" w:eastAsia="仿宋_GB2312" w:cs="仿宋_GB2312"/>
                <w:sz w:val="28"/>
                <w:szCs w:val="28"/>
                <w:highlight w:val="none"/>
                <w:lang w:eastAsia="zh-Hans"/>
              </w:rPr>
              <w:t>工期</w:t>
            </w:r>
            <w:r>
              <w:rPr>
                <w:rFonts w:hint="eastAsia" w:ascii="仿宋_GB2312" w:hAnsi="仿宋_GB2312" w:eastAsia="仿宋_GB2312" w:cs="仿宋_GB2312"/>
                <w:sz w:val="28"/>
                <w:szCs w:val="28"/>
                <w:highlight w:val="none"/>
              </w:rPr>
              <w:t>带来</w:t>
            </w:r>
            <w:r>
              <w:rPr>
                <w:rFonts w:hint="eastAsia" w:ascii="仿宋_GB2312" w:hAnsi="仿宋_GB2312" w:eastAsia="仿宋_GB2312" w:cs="仿宋_GB2312"/>
                <w:sz w:val="28"/>
                <w:szCs w:val="28"/>
                <w:highlight w:val="none"/>
                <w:lang w:eastAsia="zh-Hans"/>
              </w:rPr>
              <w:t>的</w:t>
            </w:r>
            <w:r>
              <w:rPr>
                <w:rFonts w:hint="eastAsia" w:ascii="仿宋_GB2312" w:hAnsi="仿宋_GB2312" w:eastAsia="仿宋_GB2312" w:cs="仿宋_GB2312"/>
                <w:sz w:val="28"/>
                <w:szCs w:val="28"/>
                <w:highlight w:val="none"/>
              </w:rPr>
              <w:t>影响</w:t>
            </w:r>
            <w:r>
              <w:rPr>
                <w:rFonts w:hint="eastAsia" w:ascii="仿宋_GB2312" w:hAnsi="仿宋_GB2312" w:eastAsia="仿宋_GB2312" w:cs="仿宋_GB2312"/>
                <w:sz w:val="28"/>
                <w:szCs w:val="28"/>
                <w:highlight w:val="none"/>
                <w:lang w:eastAsia="zh-Hans"/>
              </w:rPr>
              <w:t>及</w:t>
            </w:r>
            <w:r>
              <w:rPr>
                <w:rFonts w:hint="eastAsia" w:ascii="仿宋_GB2312" w:hAnsi="仿宋_GB2312" w:eastAsia="仿宋_GB2312" w:cs="仿宋_GB2312"/>
                <w:sz w:val="28"/>
                <w:szCs w:val="28"/>
                <w:highlight w:val="none"/>
              </w:rPr>
              <w:t>解决办法；配合建设方提请施工相关报批手续；各投标文件横向比较，优秀的得4.2-6分；良好的2.1-4.2分；一般的得0-2.1分。</w:t>
            </w:r>
          </w:p>
        </w:tc>
        <w:tc>
          <w:tcPr>
            <w:tcW w:w="904" w:type="dxa"/>
            <w:vAlign w:val="center"/>
          </w:tcPr>
          <w:p>
            <w:pPr>
              <w:spacing w:line="360" w:lineRule="atLeas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snapToGrid w:val="0"/>
              <w:spacing w:line="360" w:lineRule="atLeas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资源配置计划</w:t>
            </w:r>
          </w:p>
        </w:tc>
        <w:tc>
          <w:tcPr>
            <w:tcW w:w="6998" w:type="dxa"/>
            <w:vAlign w:val="center"/>
          </w:tcPr>
          <w:p>
            <w:pPr>
              <w:snapToGrid w:val="0"/>
              <w:spacing w:line="360" w:lineRule="atLeas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各专业工种的配置和劳动力的投入是否能满足工程的需要；施工机具和检验仪器的投入是否能够满足</w:t>
            </w:r>
            <w:r>
              <w:rPr>
                <w:rFonts w:hint="eastAsia" w:ascii="仿宋_GB2312" w:hAnsi="仿宋_GB2312" w:eastAsia="仿宋_GB2312" w:cs="仿宋_GB2312"/>
                <w:sz w:val="28"/>
                <w:szCs w:val="28"/>
                <w:highlight w:val="none"/>
                <w:lang w:eastAsia="zh-Hans"/>
              </w:rPr>
              <w:t>本项目需要</w:t>
            </w:r>
            <w:r>
              <w:rPr>
                <w:rFonts w:hint="eastAsia" w:ascii="仿宋_GB2312" w:hAnsi="仿宋_GB2312" w:eastAsia="仿宋_GB2312" w:cs="仿宋_GB2312"/>
                <w:sz w:val="28"/>
                <w:szCs w:val="28"/>
                <w:highlight w:val="none"/>
              </w:rPr>
              <w:t>；各投标文件横向比较，优秀的得2.8-4分；良好的1.4-2.8分；一般的得0-1.4分。</w:t>
            </w:r>
          </w:p>
        </w:tc>
        <w:tc>
          <w:tcPr>
            <w:tcW w:w="904" w:type="dxa"/>
            <w:vAlign w:val="center"/>
          </w:tcPr>
          <w:p>
            <w:pPr>
              <w:spacing w:line="360" w:lineRule="atLeas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adjustRightInd w:val="0"/>
              <w:snapToGrid w:val="0"/>
              <w:spacing w:line="360" w:lineRule="atLeast"/>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设备材料</w:t>
            </w:r>
          </w:p>
        </w:tc>
        <w:tc>
          <w:tcPr>
            <w:tcW w:w="6998" w:type="dxa"/>
            <w:vAlign w:val="center"/>
          </w:tcPr>
          <w:p>
            <w:pPr>
              <w:adjustRightInd w:val="0"/>
              <w:snapToGrid w:val="0"/>
              <w:spacing w:line="360" w:lineRule="atLeas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投标人所使用的主要设备材料根据投标人提供的证明文件进行综合打分，优秀的得2.8-4分；良好的1.4-2.8分；一般的得0-1.4分。</w:t>
            </w:r>
          </w:p>
        </w:tc>
        <w:tc>
          <w:tcPr>
            <w:tcW w:w="904" w:type="dxa"/>
            <w:vAlign w:val="center"/>
          </w:tcPr>
          <w:p>
            <w:pPr>
              <w:spacing w:line="360" w:lineRule="atLeas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953" w:type="dxa"/>
            <w:vAlign w:val="center"/>
          </w:tcPr>
          <w:p>
            <w:pPr>
              <w:adjustRightInd w:val="0"/>
              <w:snapToGrid w:val="0"/>
              <w:spacing w:line="360" w:lineRule="atLeast"/>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LED泛光灯</w:t>
            </w:r>
          </w:p>
        </w:tc>
        <w:tc>
          <w:tcPr>
            <w:tcW w:w="6998" w:type="dxa"/>
            <w:vAlign w:val="center"/>
          </w:tcPr>
          <w:p>
            <w:pPr>
              <w:adjustRightInd w:val="0"/>
              <w:snapToGrid w:val="0"/>
              <w:spacing w:line="360" w:lineRule="atLeas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投标人所</w:t>
            </w:r>
            <w:r>
              <w:rPr>
                <w:rFonts w:hint="eastAsia" w:ascii="仿宋_GB2312" w:hAnsi="仿宋_GB2312" w:eastAsia="仿宋_GB2312" w:cs="仿宋_GB2312"/>
                <w:sz w:val="28"/>
                <w:szCs w:val="28"/>
                <w:highlight w:val="none"/>
                <w:lang w:val="en-US" w:eastAsia="zh-CN"/>
              </w:rPr>
              <w:t>使用</w:t>
            </w:r>
            <w:r>
              <w:rPr>
                <w:rFonts w:hint="eastAsia" w:ascii="仿宋_GB2312" w:hAnsi="仿宋_GB2312" w:eastAsia="仿宋_GB2312" w:cs="仿宋_GB2312"/>
                <w:sz w:val="28"/>
                <w:szCs w:val="28"/>
                <w:highlight w:val="none"/>
              </w:rPr>
              <w:t>的</w:t>
            </w:r>
            <w:r>
              <w:rPr>
                <w:rFonts w:hint="eastAsia" w:ascii="仿宋_GB2312" w:hAnsi="仿宋_GB2312" w:eastAsia="仿宋_GB2312" w:cs="仿宋_GB2312"/>
                <w:sz w:val="28"/>
                <w:szCs w:val="28"/>
                <w:highlight w:val="none"/>
                <w:lang w:val="en-US" w:eastAsia="zh-CN"/>
              </w:rPr>
              <w:t>LED泛光灯</w:t>
            </w:r>
            <w:r>
              <w:rPr>
                <w:rFonts w:hint="eastAsia" w:ascii="仿宋_GB2312" w:hAnsi="仿宋_GB2312" w:eastAsia="仿宋_GB2312" w:cs="仿宋_GB2312"/>
                <w:sz w:val="28"/>
                <w:szCs w:val="28"/>
                <w:highlight w:val="none"/>
              </w:rPr>
              <w:t>根据投标人提供的</w:t>
            </w:r>
            <w:r>
              <w:rPr>
                <w:rFonts w:hint="eastAsia" w:ascii="仿宋_GB2312" w:hAnsi="仿宋_GB2312" w:eastAsia="仿宋_GB2312" w:cs="仿宋_GB2312"/>
                <w:sz w:val="28"/>
                <w:szCs w:val="28"/>
                <w:highlight w:val="none"/>
                <w:lang w:val="en-US" w:eastAsia="zh-CN"/>
              </w:rPr>
              <w:t>样品</w:t>
            </w:r>
            <w:r>
              <w:rPr>
                <w:rFonts w:hint="eastAsia" w:ascii="仿宋_GB2312" w:hAnsi="仿宋_GB2312" w:eastAsia="仿宋_GB2312" w:cs="仿宋_GB2312"/>
                <w:sz w:val="28"/>
                <w:szCs w:val="28"/>
                <w:highlight w:val="none"/>
              </w:rPr>
              <w:t>进行综合打分，优秀的得2.8-4分；良好的1.4-2.8分；一般的得0-1.4分。</w:t>
            </w:r>
          </w:p>
        </w:tc>
        <w:tc>
          <w:tcPr>
            <w:tcW w:w="904" w:type="dxa"/>
            <w:vAlign w:val="center"/>
          </w:tcPr>
          <w:p>
            <w:pPr>
              <w:spacing w:line="360" w:lineRule="atLeas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0-4</w:t>
            </w:r>
          </w:p>
        </w:tc>
      </w:tr>
    </w:tbl>
    <w:p>
      <w:pPr>
        <w:adjustRightInd w:val="0"/>
        <w:snapToGrid w:val="0"/>
        <w:spacing w:line="360" w:lineRule="atLeast"/>
        <w:ind w:firstLine="562"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2.投标文件的商务报价评审(</w:t>
      </w:r>
      <w:r>
        <w:rPr>
          <w:rFonts w:hint="eastAsia" w:ascii="仿宋_GB2312" w:hAnsi="仿宋_GB2312" w:eastAsia="仿宋_GB2312" w:cs="仿宋_GB2312"/>
          <w:b/>
          <w:sz w:val="28"/>
          <w:szCs w:val="28"/>
          <w:highlight w:val="none"/>
          <w:u w:val="single"/>
        </w:rPr>
        <w:t xml:space="preserve"> 60 </w:t>
      </w:r>
      <w:r>
        <w:rPr>
          <w:rFonts w:hint="eastAsia" w:ascii="仿宋_GB2312" w:hAnsi="仿宋_GB2312" w:eastAsia="仿宋_GB2312" w:cs="仿宋_GB2312"/>
          <w:b/>
          <w:sz w:val="28"/>
          <w:szCs w:val="28"/>
          <w:highlight w:val="none"/>
        </w:rPr>
        <w:t>分)</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(2)投标报价</w:t>
      </w:r>
      <w:r>
        <w:rPr>
          <w:rFonts w:hint="eastAsia" w:ascii="仿宋_GB2312" w:hAnsi="仿宋_GB2312" w:eastAsia="仿宋_GB2312" w:cs="仿宋_GB2312"/>
          <w:b/>
          <w:bCs/>
          <w:sz w:val="28"/>
          <w:szCs w:val="28"/>
          <w:highlight w:val="none"/>
        </w:rPr>
        <w:t>扣除税金(按投标函承诺的增值税税率扣减)</w:t>
      </w:r>
      <w:r>
        <w:rPr>
          <w:rFonts w:hint="eastAsia" w:ascii="仿宋_GB2312" w:hAnsi="仿宋_GB2312" w:eastAsia="仿宋_GB2312" w:cs="仿宋_GB2312"/>
          <w:sz w:val="28"/>
          <w:szCs w:val="28"/>
          <w:highlight w:val="none"/>
        </w:rPr>
        <w:t>后为评标价(即不含税价)。</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(3)评标基准价由评标委员会依据下述方法计算，除计算差错外，确认后的评标基准价在本次招标期间保持不变。</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计算差错，仅限于以下两种情况：(1)纯算术性四则运算差错；(2)未按约定的计算方法，多计或者少计投标人报价的。由于评标差错，导致否决投标错误，重新评标纠正等其他情况，不属于计算差错。</w:t>
      </w:r>
    </w:p>
    <w:p>
      <w:pPr>
        <w:numPr>
          <w:ilvl w:val="0"/>
          <w:numId w:val="4"/>
        </w:num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评分范围：通过符合性审查的所有投标文件进入评分范围(下称有效评标价)。</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(6)评标基准价：报价平均值与有效评标价中的次低评标价(不足4个的与最低评标价)的算术平均值为评标基准价。</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(7)根据投标文件的有效评标价与评标基准价对比，计算投标人的商务报价的得分值。即：</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a.有效评标价等于评标基准价时，得满分；</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b.有效评标价每低于评标基准价1个百分点，扣0.5分；</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c.有效评标价每高于评标基准价1个百分点，扣1分。</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以上报价得分不足一个百分点时，使用直线插入法计算，保留小数2位。</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投标文件的商务标评分不足30分的，计为30分。</w:t>
      </w:r>
    </w:p>
    <w:p>
      <w:pPr>
        <w:adjustRightInd w:val="0"/>
        <w:snapToGrid w:val="0"/>
        <w:spacing w:line="360" w:lineRule="atLeast"/>
        <w:ind w:firstLine="562"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3.投标文件的综合得分：每个投标人综合得分=技术分+商务分。</w:t>
      </w:r>
    </w:p>
    <w:p>
      <w:pPr>
        <w:adjustRightInd w:val="0"/>
        <w:snapToGrid w:val="0"/>
        <w:spacing w:line="360" w:lineRule="atLeast"/>
        <w:ind w:firstLine="562" w:firstLineChars="200"/>
        <w:rPr>
          <w:rFonts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4.对投标人进行排序，推荐中标候选人</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atLeas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五、完成评标报告</w:t>
      </w:r>
    </w:p>
    <w:p>
      <w:pPr>
        <w:adjustRightInd w:val="0"/>
        <w:snapToGrid w:val="0"/>
        <w:spacing w:line="360" w:lineRule="atLeast"/>
        <w:ind w:firstLine="562"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(一)评标委员会应当向招标人提交书面评标报告</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atLeast"/>
        <w:ind w:firstLine="562"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(二)评标报告应包括以下内容：</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1、开标记录；</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2、评标内容、过程和结果；</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3、询标澄清纪要(若有)；</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4、否决投标情况说明及依据；</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5、推荐中标候选人；</w:t>
      </w:r>
    </w:p>
    <w:p>
      <w:pPr>
        <w:adjustRightInd w:val="0"/>
        <w:snapToGrid w:val="0"/>
        <w:spacing w:line="360" w:lineRule="atLeas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6、其他建议。</w:t>
      </w:r>
    </w:p>
    <w:p>
      <w:pPr>
        <w:pStyle w:val="9"/>
        <w:spacing w:before="0" w:after="0" w:line="560" w:lineRule="exact"/>
        <w:rPr>
          <w:highlight w:val="none"/>
        </w:rPr>
      </w:pPr>
      <w:r>
        <w:rPr>
          <w:rFonts w:ascii="宋体" w:hAnsi="宋体" w:cs="宋体"/>
          <w:sz w:val="22"/>
          <w:highlight w:val="none"/>
        </w:rPr>
        <w:br w:type="page"/>
      </w:r>
    </w:p>
    <w:p>
      <w:pPr>
        <w:pStyle w:val="9"/>
        <w:spacing w:before="0" w:after="0" w:line="560" w:lineRule="exact"/>
        <w:rPr>
          <w:rFonts w:ascii="宋体" w:hAnsi="宋体" w:cs="宋体"/>
          <w:sz w:val="28"/>
          <w:szCs w:val="20"/>
          <w:highlight w:val="none"/>
        </w:rPr>
      </w:pPr>
      <w:bookmarkStart w:id="15" w:name="_Toc139786917"/>
      <w:r>
        <w:rPr>
          <w:rFonts w:hint="eastAsia"/>
          <w:highlight w:val="none"/>
        </w:rPr>
        <w:t>第三章</w:t>
      </w:r>
      <w:r>
        <w:rPr>
          <w:highlight w:val="none"/>
        </w:rPr>
        <w:t xml:space="preserve"> </w:t>
      </w:r>
      <w:r>
        <w:rPr>
          <w:rFonts w:hint="eastAsia"/>
          <w:highlight w:val="none"/>
        </w:rPr>
        <w:t>合同条款及格式</w:t>
      </w:r>
      <w:bookmarkEnd w:id="9"/>
      <w:bookmarkEnd w:id="15"/>
      <w:bookmarkStart w:id="16" w:name="_Toc448097405"/>
    </w:p>
    <w:bookmarkEnd w:id="16"/>
    <w:p>
      <w:pPr>
        <w:spacing w:line="560" w:lineRule="exact"/>
        <w:jc w:val="right"/>
        <w:rPr>
          <w:rFonts w:ascii="仿宋_GB2312" w:hAnsi="仿宋_GB2312" w:eastAsia="仿宋_GB2312" w:cs="仿宋_GB2312"/>
          <w:sz w:val="28"/>
          <w:szCs w:val="28"/>
          <w:highlight w:val="none"/>
        </w:rPr>
      </w:pPr>
      <w:bookmarkStart w:id="17" w:name="_Toc448097407"/>
      <w:r>
        <w:rPr>
          <w:rFonts w:hint="eastAsia" w:ascii="仿宋_GB2312" w:hAnsi="仿宋_GB2312" w:eastAsia="仿宋_GB2312" w:cs="仿宋_GB2312"/>
          <w:bCs/>
          <w:sz w:val="28"/>
          <w:szCs w:val="28"/>
          <w:highlight w:val="none"/>
        </w:rPr>
        <w:t>合同编号：【        】</w:t>
      </w:r>
    </w:p>
    <w:p>
      <w:pPr>
        <w:spacing w:line="560" w:lineRule="exact"/>
        <w:jc w:val="center"/>
        <w:rPr>
          <w:rFonts w:ascii="仿宋" w:hAnsi="仿宋" w:eastAsia="仿宋" w:cs="仿宋"/>
          <w:sz w:val="23"/>
          <w:szCs w:val="23"/>
          <w:highlight w:val="none"/>
        </w:rPr>
      </w:pPr>
    </w:p>
    <w:p>
      <w:pPr>
        <w:spacing w:line="560" w:lineRule="exact"/>
        <w:jc w:val="center"/>
        <w:rPr>
          <w:rFonts w:ascii="仿宋" w:hAnsi="仿宋" w:eastAsia="仿宋" w:cs="仿宋"/>
          <w:sz w:val="23"/>
          <w:szCs w:val="23"/>
          <w:highlight w:val="none"/>
        </w:rPr>
      </w:pPr>
    </w:p>
    <w:p>
      <w:pPr>
        <w:spacing w:line="560" w:lineRule="exact"/>
        <w:jc w:val="center"/>
        <w:rPr>
          <w:rFonts w:ascii="仿宋" w:hAnsi="仿宋" w:eastAsia="仿宋" w:cs="仿宋"/>
          <w:sz w:val="23"/>
          <w:szCs w:val="23"/>
          <w:highlight w:val="none"/>
        </w:rPr>
      </w:pPr>
    </w:p>
    <w:p>
      <w:pPr>
        <w:spacing w:line="560" w:lineRule="exact"/>
        <w:jc w:val="center"/>
        <w:rPr>
          <w:rFonts w:ascii="仿宋" w:hAnsi="仿宋" w:eastAsia="仿宋" w:cs="仿宋"/>
          <w:sz w:val="23"/>
          <w:szCs w:val="23"/>
          <w:highlight w:val="none"/>
        </w:rPr>
      </w:pPr>
    </w:p>
    <w:p>
      <w:pPr>
        <w:spacing w:line="560" w:lineRule="exact"/>
        <w:jc w:val="center"/>
        <w:rPr>
          <w:rFonts w:ascii="黑体" w:hAnsi="黑体" w:eastAsia="黑体" w:cs="黑体"/>
          <w:b/>
          <w:bCs/>
          <w:sz w:val="44"/>
          <w:szCs w:val="44"/>
          <w:highlight w:val="none"/>
        </w:rPr>
      </w:pPr>
      <w:r>
        <w:rPr>
          <w:rFonts w:hint="eastAsia" w:ascii="黑体" w:hAnsi="黑体" w:eastAsia="黑体" w:cs="黑体"/>
          <w:b/>
          <w:bCs/>
          <w:sz w:val="44"/>
          <w:szCs w:val="44"/>
          <w:highlight w:val="none"/>
        </w:rPr>
        <w:t>杭州萧山国际机场</w:t>
      </w:r>
      <w:r>
        <w:rPr>
          <w:rFonts w:hint="eastAsia" w:ascii="黑体" w:hAnsi="黑体" w:eastAsia="黑体" w:cs="黑体"/>
          <w:b/>
          <w:bCs/>
          <w:sz w:val="44"/>
          <w:szCs w:val="44"/>
          <w:highlight w:val="none"/>
          <w:lang w:eastAsia="zh-CN"/>
        </w:rPr>
        <w:t>T1航站楼空侧亚运亮化项目</w:t>
      </w:r>
    </w:p>
    <w:p>
      <w:pPr>
        <w:spacing w:line="560" w:lineRule="exact"/>
        <w:jc w:val="center"/>
        <w:rPr>
          <w:rFonts w:ascii="黑体" w:hAnsi="黑体" w:eastAsia="黑体" w:cs="黑体"/>
          <w:b/>
          <w:bCs/>
          <w:sz w:val="44"/>
          <w:szCs w:val="44"/>
          <w:highlight w:val="none"/>
        </w:rPr>
      </w:pPr>
      <w:r>
        <w:rPr>
          <w:rFonts w:hint="eastAsia" w:ascii="黑体" w:hAnsi="黑体" w:eastAsia="黑体" w:cs="黑体"/>
          <w:b/>
          <w:bCs/>
          <w:sz w:val="44"/>
          <w:szCs w:val="44"/>
          <w:highlight w:val="none"/>
        </w:rPr>
        <w:t>施工合同</w:t>
      </w:r>
    </w:p>
    <w:p>
      <w:pPr>
        <w:spacing w:line="560" w:lineRule="exact"/>
        <w:ind w:firstLine="2070" w:firstLineChars="900"/>
        <w:rPr>
          <w:rFonts w:ascii="黑体" w:hAnsi="黑体" w:eastAsia="黑体" w:cs="黑体"/>
          <w:sz w:val="23"/>
          <w:szCs w:val="23"/>
          <w:highlight w:val="none"/>
        </w:rPr>
      </w:pPr>
    </w:p>
    <w:p>
      <w:pPr>
        <w:spacing w:line="560" w:lineRule="exact"/>
        <w:ind w:firstLine="2070" w:firstLineChars="900"/>
        <w:rPr>
          <w:rFonts w:ascii="黑体" w:hAnsi="黑体" w:eastAsia="黑体" w:cs="黑体"/>
          <w:sz w:val="23"/>
          <w:szCs w:val="23"/>
          <w:highlight w:val="none"/>
        </w:rPr>
      </w:pPr>
    </w:p>
    <w:p>
      <w:pPr>
        <w:spacing w:line="560" w:lineRule="exact"/>
        <w:ind w:firstLine="2070" w:firstLineChars="900"/>
        <w:rPr>
          <w:rFonts w:ascii="黑体" w:hAnsi="黑体" w:eastAsia="黑体" w:cs="黑体"/>
          <w:sz w:val="23"/>
          <w:szCs w:val="23"/>
          <w:highlight w:val="none"/>
        </w:rPr>
      </w:pPr>
    </w:p>
    <w:p>
      <w:pPr>
        <w:spacing w:line="560" w:lineRule="exact"/>
        <w:ind w:firstLine="2070" w:firstLineChars="900"/>
        <w:rPr>
          <w:rFonts w:ascii="黑体" w:hAnsi="黑体" w:eastAsia="黑体" w:cs="黑体"/>
          <w:sz w:val="23"/>
          <w:szCs w:val="23"/>
          <w:highlight w:val="none"/>
        </w:rPr>
      </w:pPr>
    </w:p>
    <w:p>
      <w:pPr>
        <w:spacing w:line="560" w:lineRule="exact"/>
        <w:ind w:firstLine="2070" w:firstLineChars="900"/>
        <w:rPr>
          <w:rFonts w:ascii="黑体" w:hAnsi="黑体" w:eastAsia="黑体" w:cs="黑体"/>
          <w:sz w:val="23"/>
          <w:szCs w:val="23"/>
          <w:highlight w:val="none"/>
        </w:rPr>
      </w:pPr>
    </w:p>
    <w:p>
      <w:pPr>
        <w:spacing w:line="560" w:lineRule="exact"/>
        <w:ind w:firstLine="2070" w:firstLineChars="900"/>
        <w:rPr>
          <w:rFonts w:ascii="黑体" w:hAnsi="黑体" w:eastAsia="黑体" w:cs="黑体"/>
          <w:sz w:val="23"/>
          <w:szCs w:val="23"/>
          <w:highlight w:val="none"/>
        </w:rPr>
      </w:pPr>
    </w:p>
    <w:p>
      <w:pPr>
        <w:spacing w:line="560" w:lineRule="exact"/>
        <w:ind w:firstLine="2070" w:firstLineChars="900"/>
        <w:rPr>
          <w:rFonts w:ascii="黑体" w:hAnsi="黑体" w:eastAsia="黑体" w:cs="黑体"/>
          <w:sz w:val="23"/>
          <w:szCs w:val="23"/>
          <w:highlight w:val="none"/>
        </w:rPr>
      </w:pPr>
    </w:p>
    <w:p>
      <w:pPr>
        <w:spacing w:line="560" w:lineRule="exact"/>
        <w:jc w:val="center"/>
        <w:rPr>
          <w:rFonts w:ascii="黑体" w:hAnsi="黑体" w:eastAsia="黑体" w:cs="黑体"/>
          <w:b/>
          <w:bCs/>
          <w:sz w:val="32"/>
          <w:szCs w:val="44"/>
          <w:highlight w:val="none"/>
        </w:rPr>
      </w:pPr>
      <w:r>
        <w:rPr>
          <w:rFonts w:hint="eastAsia" w:ascii="黑体" w:hAnsi="黑体" w:eastAsia="黑体" w:cs="黑体"/>
          <w:b/>
          <w:bCs/>
          <w:sz w:val="32"/>
          <w:szCs w:val="44"/>
          <w:highlight w:val="none"/>
        </w:rPr>
        <w:t>【 】年【 】月【 】日</w:t>
      </w:r>
    </w:p>
    <w:p>
      <w:pPr>
        <w:adjustRightInd w:val="0"/>
        <w:snapToGrid w:val="0"/>
        <w:spacing w:line="560" w:lineRule="exact"/>
        <w:rPr>
          <w:rFonts w:ascii="黑体" w:hAnsi="黑体" w:eastAsia="黑体" w:cs="黑体"/>
          <w:b w:val="0"/>
          <w:bCs/>
          <w:sz w:val="32"/>
          <w:szCs w:val="32"/>
          <w:highlight w:val="none"/>
        </w:rPr>
      </w:pPr>
      <w:r>
        <w:rPr>
          <w:rFonts w:hint="eastAsia" w:ascii="仿宋" w:hAnsi="仿宋" w:eastAsia="仿宋" w:cs="仿宋"/>
          <w:b/>
          <w:bCs/>
          <w:sz w:val="32"/>
          <w:szCs w:val="44"/>
          <w:highlight w:val="none"/>
        </w:rPr>
        <w:br w:type="page"/>
      </w:r>
      <w:r>
        <w:rPr>
          <w:rFonts w:hint="eastAsia" w:ascii="黑体" w:hAnsi="黑体" w:eastAsia="黑体" w:cs="黑体"/>
          <w:b w:val="0"/>
          <w:bCs/>
          <w:sz w:val="32"/>
          <w:szCs w:val="32"/>
          <w:highlight w:val="none"/>
        </w:rPr>
        <w:t>甲方（发包人）： 杭州萧山国际机场有限公司</w:t>
      </w:r>
    </w:p>
    <w:p>
      <w:pPr>
        <w:adjustRightInd w:val="0"/>
        <w:snapToGrid w:val="0"/>
        <w:spacing w:line="560" w:lineRule="exact"/>
        <w:rPr>
          <w:rFonts w:ascii="黑体" w:hAnsi="黑体" w:eastAsia="黑体" w:cs="黑体"/>
          <w:b w:val="0"/>
          <w:bCs/>
          <w:sz w:val="32"/>
          <w:szCs w:val="32"/>
          <w:highlight w:val="none"/>
        </w:rPr>
      </w:pPr>
      <w:r>
        <w:rPr>
          <w:rFonts w:hint="eastAsia" w:ascii="黑体" w:hAnsi="黑体" w:eastAsia="黑体" w:cs="黑体"/>
          <w:b w:val="0"/>
          <w:bCs/>
          <w:sz w:val="32"/>
          <w:szCs w:val="32"/>
          <w:highlight w:val="none"/>
        </w:rPr>
        <w:t>住所地：杭州萧山国际机场内</w:t>
      </w:r>
    </w:p>
    <w:p>
      <w:pPr>
        <w:adjustRightInd w:val="0"/>
        <w:snapToGrid w:val="0"/>
        <w:spacing w:line="560" w:lineRule="exact"/>
        <w:rPr>
          <w:rFonts w:hint="eastAsia" w:ascii="黑体" w:hAnsi="黑体" w:eastAsia="黑体" w:cs="黑体"/>
          <w:b w:val="0"/>
          <w:bCs/>
          <w:sz w:val="32"/>
          <w:szCs w:val="32"/>
          <w:highlight w:val="none"/>
        </w:rPr>
      </w:pPr>
    </w:p>
    <w:p>
      <w:pPr>
        <w:adjustRightInd w:val="0"/>
        <w:snapToGrid w:val="0"/>
        <w:spacing w:line="560" w:lineRule="exact"/>
        <w:rPr>
          <w:rFonts w:ascii="黑体" w:hAnsi="黑体" w:eastAsia="黑体" w:cs="黑体"/>
          <w:b w:val="0"/>
          <w:bCs/>
          <w:sz w:val="32"/>
          <w:szCs w:val="32"/>
          <w:highlight w:val="none"/>
        </w:rPr>
      </w:pPr>
      <w:r>
        <w:rPr>
          <w:rFonts w:hint="eastAsia" w:ascii="黑体" w:hAnsi="黑体" w:eastAsia="黑体" w:cs="黑体"/>
          <w:b w:val="0"/>
          <w:bCs/>
          <w:sz w:val="32"/>
          <w:szCs w:val="32"/>
          <w:highlight w:val="none"/>
        </w:rPr>
        <w:t>乙方（承包人）:</w:t>
      </w:r>
    </w:p>
    <w:p>
      <w:pPr>
        <w:adjustRightInd w:val="0"/>
        <w:snapToGrid w:val="0"/>
        <w:spacing w:line="560" w:lineRule="exact"/>
        <w:rPr>
          <w:rFonts w:ascii="黑体" w:hAnsi="黑体" w:eastAsia="黑体" w:cs="黑体"/>
          <w:b w:val="0"/>
          <w:bCs/>
          <w:sz w:val="32"/>
          <w:szCs w:val="32"/>
          <w:highlight w:val="none"/>
        </w:rPr>
      </w:pPr>
      <w:r>
        <w:rPr>
          <w:rFonts w:hint="eastAsia" w:ascii="黑体" w:hAnsi="黑体" w:eastAsia="黑体" w:cs="黑体"/>
          <w:b w:val="0"/>
          <w:bCs/>
          <w:sz w:val="32"/>
          <w:szCs w:val="32"/>
          <w:highlight w:val="none"/>
        </w:rPr>
        <w:t>住所地:</w:t>
      </w:r>
    </w:p>
    <w:p>
      <w:pPr>
        <w:adjustRightInd w:val="0"/>
        <w:snapToGrid w:val="0"/>
        <w:spacing w:line="560" w:lineRule="exact"/>
        <w:ind w:firstLine="560" w:firstLineChars="200"/>
        <w:rPr>
          <w:rFonts w:hint="eastAsia" w:ascii="仿宋_GB2312" w:hAnsi="仿宋_GB2312" w:eastAsia="仿宋_GB2312" w:cs="仿宋_GB2312"/>
          <w:sz w:val="28"/>
          <w:szCs w:val="28"/>
          <w:highlight w:val="none"/>
        </w:rPr>
      </w:pP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甲、乙双方根据《中华人民共和国民法典》、《中华人民共和国建筑法》等相关法律法规，就【杭州萧山国际机场</w:t>
      </w:r>
      <w:r>
        <w:rPr>
          <w:rFonts w:hint="eastAsia" w:ascii="仿宋_GB2312" w:hAnsi="仿宋_GB2312" w:eastAsia="仿宋_GB2312" w:cs="仿宋_GB2312"/>
          <w:sz w:val="28"/>
          <w:szCs w:val="28"/>
          <w:highlight w:val="none"/>
          <w:lang w:eastAsia="zh-CN"/>
        </w:rPr>
        <w:t>T1航站楼空侧亚运亮化项目</w:t>
      </w:r>
      <w:r>
        <w:rPr>
          <w:rFonts w:hint="eastAsia" w:ascii="仿宋_GB2312" w:hAnsi="仿宋_GB2312" w:eastAsia="仿宋_GB2312" w:cs="仿宋_GB2312"/>
          <w:sz w:val="28"/>
          <w:szCs w:val="28"/>
          <w:highlight w:val="none"/>
        </w:rPr>
        <w:t>】施工事宜，在自愿、平等、互利的原则基础上，经协商一致，特签订本合同，以共同遵守。</w:t>
      </w:r>
    </w:p>
    <w:p>
      <w:pPr>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一、工程概况</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1.1工程名称：【杭州萧山国际机场</w:t>
      </w:r>
      <w:r>
        <w:rPr>
          <w:rFonts w:hint="eastAsia" w:ascii="仿宋_GB2312" w:hAnsi="仿宋_GB2312" w:eastAsia="仿宋_GB2312" w:cs="仿宋_GB2312"/>
          <w:sz w:val="28"/>
          <w:szCs w:val="28"/>
          <w:highlight w:val="none"/>
          <w:lang w:eastAsia="zh-CN"/>
        </w:rPr>
        <w:t>T1航站楼空侧亚运亮化项目</w:t>
      </w:r>
      <w:r>
        <w:rPr>
          <w:rFonts w:hint="eastAsia" w:ascii="仿宋_GB2312" w:hAnsi="仿宋_GB2312" w:eastAsia="仿宋_GB2312" w:cs="仿宋_GB2312"/>
          <w:sz w:val="28"/>
          <w:szCs w:val="28"/>
          <w:highlight w:val="none"/>
        </w:rPr>
        <w:t>】</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1.2工程地点：【杭州萧山国际机场内】</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1.3工程内容：【对T1航站楼外立面进行亮化提升，提升杭州机场整体形象】</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1.4承包范围和方式：【工程量清单范围内的所有内容，承包方式：包工包料】</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1.5工期：本工程暂定自【 】年【 】月【 】日开工，绝对工期总共为【1</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highlight w:val="none"/>
        </w:rPr>
        <w:t>】日历天，开工日期具体时间以甲方开工令等书面通知为准。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1.6工程质量标准：【符合现行国家有关工程施工验收规范和标准的合格要求】</w:t>
      </w:r>
    </w:p>
    <w:p>
      <w:pPr>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二、合同价格及支付</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 本合同签约合同价为人民币（大写）【 】(¥【 】元)，税率为【 】%，不含税总金额为人民币【 】</w:t>
      </w:r>
      <w:r>
        <w:rPr>
          <w:rFonts w:hint="eastAsia" w:ascii="仿宋_GB2312" w:hAnsi="仿宋_GB2312" w:eastAsia="仿宋_GB2312" w:cs="仿宋_GB2312"/>
          <w:sz w:val="28"/>
          <w:szCs w:val="28"/>
          <w:highlight w:val="none"/>
          <w:lang w:val="en-US" w:eastAsia="zh-CN"/>
        </w:rPr>
        <w:t>元</w:t>
      </w:r>
      <w:r>
        <w:rPr>
          <w:rFonts w:hint="eastAsia" w:ascii="仿宋_GB2312" w:hAnsi="仿宋_GB2312" w:eastAsia="仿宋_GB2312" w:cs="仿宋_GB2312"/>
          <w:sz w:val="28"/>
          <w:szCs w:val="28"/>
          <w:highlight w:val="none"/>
        </w:rPr>
        <w:t>，税额为人民币【 】</w:t>
      </w:r>
      <w:r>
        <w:rPr>
          <w:rFonts w:hint="eastAsia" w:ascii="仿宋_GB2312" w:hAnsi="仿宋_GB2312" w:eastAsia="仿宋_GB2312" w:cs="仿宋_GB2312"/>
          <w:sz w:val="28"/>
          <w:szCs w:val="28"/>
          <w:highlight w:val="none"/>
          <w:lang w:val="en-US" w:eastAsia="zh-CN"/>
        </w:rPr>
        <w:t>元</w:t>
      </w:r>
      <w:r>
        <w:rPr>
          <w:rFonts w:hint="eastAsia" w:ascii="仿宋_GB2312" w:hAnsi="仿宋_GB2312" w:eastAsia="仿宋_GB2312" w:cs="仿宋_GB2312"/>
          <w:sz w:val="28"/>
          <w:szCs w:val="28"/>
          <w:highlight w:val="none"/>
        </w:rPr>
        <w:t>。</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 本合同采用固定单价合同价格形式。</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2.3 上述签约合同总价系根据双方确定的本工程工程量清单以及综合单价计算后确定的暂定合同价格，具体单价见附件1已标价工程量清单。</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本合同约定工程内容范围内综合单价不作调整，合同结算总价应根据实际工程量完成情况经第三方审计后确定。本合同综合单价是完成一个规定清单项目所需的人工费、材料和工程设备费、施工机具使用费和企业管理费、利润，以及一定范围内的风险的费用（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2.4 乙方应在工程竣工验收后【30】日内向甲方提出工程结算申请并将有关竣工结算资料提交甲方。甲方将委托工程造价咨询人进行工程审计。在完成工程审计并办理工程结算且本工程所涉档案资料由乙方全部移交甲方授权代表签字认可后，甲方向乙方支付至工程结算总价的【98.5】%。</w:t>
      </w:r>
      <w:r>
        <w:rPr>
          <w:rFonts w:hint="eastAsia" w:ascii="仿宋_GB2312" w:hAnsi="仿宋_GB2312" w:eastAsia="仿宋_GB2312" w:cs="仿宋_GB2312"/>
          <w:b/>
          <w:bCs/>
          <w:sz w:val="28"/>
          <w:szCs w:val="28"/>
          <w:highlight w:val="none"/>
        </w:rPr>
        <w:t>★施工安全监管费为暂列金额，结算时承包人需提供相应票据作为依据按实结算，税金另计。</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2.5 工程结算总价的【1.5】%留作质量保证金，待缺陷责任期满，经甲方确认乙方不存在任何违约行为且质量保修不存在问题后15天内一并无息支付。缺陷责任期为自工程竣工验收合格之日起算24个月</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sz w:val="28"/>
          <w:szCs w:val="28"/>
          <w:highlight w:val="none"/>
        </w:rPr>
        <w:t>非乙方施工质量原因导致的破损，则不在保修范围内，该种情况由甲方负责判定，但除上述原因外若甲方发现乙方未完全履行质量保修责任，则甲方有权按《工程质量保修书》的约定扣除部分或全部质量保证金，且甲方不承担逾期支付的违约责任。</w:t>
      </w:r>
    </w:p>
    <w:p>
      <w:pPr>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三、工程变更</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3.2 由于乙方自身原因，未按规定的时间和要求上报工程变更费用增减的书面报告和资料，或者对工程变更费用争议部分久拖不决，从而影响工程结算的，甲方将向乙方发出书面函告。发出函告5个自然日后，乙方仍拒不执行的，视作乙方自动放弃权利的主张，甲方将不予结算工程变更费用或争议部分的费用。</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 变更估价原则：</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3.3.1 本合同及已标价的工程量清单或预算书中已有适用工程项目单价的，按已有的单价确定；</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3.3.2 本合同及已标价的工程量清单或预算书中没有适用但有类似工程项目单价的，在合理范围内参照类似项目的单价计算确定。参照方法按下列方式处理：</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①某种材料（包括半成品或成品）等级、标准发生变化的，清单组合子目不变，仅调整不同材料的价格之差。</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②清单项目某一特征或工程内容变化，不影响其他特征及工程内容价格的，其他特征组合标准不变，仅调整发生变化的组合子目价格。</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3.3.3 本合同及已标价的工程量清单或预算书中没有适用或类似工程项目单价的，由乙方按照工程造价管理机构现行的计价依据和信息价并按分部分项工程费+规费+税金，提出适当的单价，经甲方审定后执行。</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3.3.4 无响应价的材料价按施工当期《杭州造价信息》（正刊）萧山区、《杭州造价信息》（正刊）市区、《浙江造价信息》的顺序执行。重新组价的单价若遇有工程造价管理机构发布的信息价缺项的，可由乙方根据变更工程资料、市场调查等取得合法依据的市场价格，提出合理的变更项目单价，并经甲方确认后调整。</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3.4 本工程结算由甲方委托工程造价咨询人按规定进行审核，并按最终审定的工程价款进行结算。核减追加费按核减额（包括造价审计中联系单核减额）超过送审造价5%的幅度以外的核减额的5%计算，费用由乙方支付或由甲方从应付工程价款中扣缴；核增部分以核增额为基数，费率为5%，由乙方直接支付审查费用。</w:t>
      </w:r>
    </w:p>
    <w:p>
      <w:pPr>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四、甲方的权利和义务</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 甲方负责向乙方提供经确认的施工图纸或做法说明，并向乙方进行现场交底，尽最大努力清除影响施工现场的障碍物，向乙方提供施工所需的水、电、气及电讯等设备，并说明使用注意事项，办理施工所涉及的各种申请、批件等手续。</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 指派【 】，职务：【】作为甲方项目负责人，负责合同履行；对工程质量、进度进行监督检查，办理验收、变更、登记手续和其他事宜。</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4.3 在施工开始前负责保护好周围建筑物及装修、设备管线、古树名木、绿地等不受损坏。如确实需要拆改原建筑物结构或设备管线，负责到有关部门办理相应审批手续。</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4.4 甲方有权对乙方的安全施工状况进行检查，发现有达不到安全要求或措施不得力的，应当责令乙方整改整顿，整改仍达不到要求的，甲方有权终止本合同。</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4.5 甲方有权对乙方的施工进度进行监督、检查，协调有关部门做好现场保卫、消防、垃圾处理等工作。</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4.6 甲方应按合同约定向乙方支付工程款项。</w:t>
      </w:r>
    </w:p>
    <w:p>
      <w:pPr>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五、乙方的权利和义务</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 乙方向甲方承诺按照合同约定进行施工、竣工并在质量保修期内承担工程质量保修责任。</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5.2 乙方应参加甲方组织的施工图纸或作法说明的现场交底，拟定施工方案和进度计划，交甲方审定。</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5.3 指派【 】（身份证号【 】，联系电话【 】）为乙方项目经理，负责合同履行。按要求组织施工，保质、保量、按期完成施工任务，解决由乙方负责的各项事宜。乙方应向甲方提供与项目经理签署的劳动合同以及为项目经理缴纳社会保险的证明。</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5.4 乙方负责严格执行施工规范、安全操作规程、防火安全规定、环境保护规定。严格按照图纸或作法说明进行施工，做好各项质量检查记录。乙方人员或设施在施工或非施工期间发生的人身伤亡或设施损毁事故，由乙方承担责任。如对甲方造成损失的，甲方有权要求乙方承担由此给甲方造成的实际损失。</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5.5 乙方应参加竣工验收，并编制工程结算文件、整理项目档案移交甲方。</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5.6 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5.7 施工中未经甲方同意或有关部门批准，不得随意拆改或损坏原建筑物结构及各种设备管线。</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5.8 工程竣工未移交甲方之前，负责对现场的一切设施和工程成品进行保护，并承担风险和费用。</w:t>
      </w:r>
    </w:p>
    <w:p>
      <w:pPr>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5.9 本工程施工用水、用电：由甲方提供水电接口，场内接管、安装水、电表由乙方自行解决。乙方施工前需向机场水电管理部门提出申请，由甲方按以下标准向乙方收取费用：</w:t>
      </w:r>
    </w:p>
    <w:p>
      <w:pPr>
        <w:spacing w:line="56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按杭州萧山供水有限公司目前的供水含税单价4.40元/吨为基础水价，向乙方开具9%增值税发票收取基本水费，并在基础单价上加收2.91元/吨的供水设施服务费（9%的增值税发票）。在合同有效期内，如遇杭州萧山供水有限公司调整供水单价，基础水价也作相应的调整，收费金额保留小数点后两位四舍五入。</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按每月购入电价作为基础电价，向乙方开具13%增值税发票收取基本电费，并在基础单价上加收10%的转供电损耗费（13%增值税发票）。在合同有效期内，如遇甲方每月购入电价调整，基础电价也作相应的调整，收费金额保留小数点后两位四舍五入。</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5.10 未经甲方书面同意，乙方不得将其承包工程全部或部分转包给他人或者肢解以后以分包的名义分别转包给他人。</w:t>
      </w:r>
    </w:p>
    <w:p>
      <w:pPr>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六、工期</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 乙方非因甲方原因不能按期开工、竣工或中途无故停工、窝工影响工期的，工期不顺延，且乙方须向甲方承担工期延误的违约责任。</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 因涉及甲方要求的设计或工程量变更，或非乙方原因造成停电、停水、停气并导致停工【24】小时以上（一周内累计计算），或受不可抗力事件（指战争、动乱、或其它非甲乙双方造成的爆炸、火灾，以及风、雨、雪、震等对工程造成损害的自然灾害或疫情）影响，工期按照甲方签证确认的日期相应顺延。</w:t>
      </w:r>
    </w:p>
    <w:p>
      <w:pPr>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七、工程质量及验收</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7.1 乙方应按甲方要求，执行国家相关的最新技术标准，严格按照施工规范验收标准等组织施工，质量达到一次性合格要求。</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7.2 主要施工材料进场应经甲方检查，验收合格的，方能用于施工。由于乙方提供的材料、设备质量不合格而影响工程质量，其返工费用由乙方承担，工期不顺延。</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7.3 隐蔽工程开始前应通知甲方到场查看，经甲方签证确认后方能继续施工。</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7.4 工程竣工后，乙方应通知甲方验收，甲方自接到验收通知【10】日内组织验收，并办理验收、档案移交以及工程结算手续。工程验收过程中发现的瑕疵，乙方应立即负责免费整改到位，整改不另增加工期和费用，因整改导致逾期完工的，乙方应承担违约责任。</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7.5 由于乙方原因造成质量事故，其返工费用由乙方承担，工期不顺延。</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7.6 工程验收合格不能免除乙方的质量保修责任，如甲方发现属于乙方施工质量问题的事项，乙方仍应免费维修，否则应承担赔偿责任。</w:t>
      </w:r>
    </w:p>
    <w:p>
      <w:pPr>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八、材料供应</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8.1 本工程由乙方负责采购供应的材料、设备，应为符合要求的合格产品，并应按时供应到现场。乙方供应的材料，经甲方验收后，由乙方负责保管，甲方无需另行支付保管费。由于乙方保管不当造成损失，由乙方负责赔偿。</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8.2 凡由乙方采购的材料、设备，如不符合质量要求或规格有差异，应禁止使用。若已使用，对工程造成的损失由乙方负责。</w:t>
      </w:r>
    </w:p>
    <w:p>
      <w:pPr>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九、安全文明施工</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9.1 甲方提供的施工图纸或作法说明，应符合《中华人民共和国消防法》和有关防火设计规范。</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9.3 由于乙方在施工过程中违反有关安全操作规程、消防条例，导致发生安全或火灾事故，乙方应承担由此引发的一切经济损失及相关法律责任。</w:t>
      </w:r>
    </w:p>
    <w:p>
      <w:pPr>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十、违约责任</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10.1 乙方逾期开工、竣工或延误工期的，每逾期一天，乙方支付甲方签约合同价的【1】‰作为违约金；如延误工期达到【5】日的，甲方有权解除本合同，并要求乙方按前述标准支付违约金；本条规定的违约金不足以弥补甲方损失的，乙方应当另行向甲方承担赔偿责任。</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10.2 乙方逾期向甲方提交竣工结算资料的，每逾期一天，应向甲方支付签约合同价的【1】‰作为违约金。</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10.3 因工程质量达不到本合同约定的质量标准导致合同目的无法实现的，甲方有权解除本合同，并要求乙方支付签约合同价的【10】%作为违约金。</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10.4 乙方应妥善保护甲方提供的设备及现场堆放的家具、陈设和工程成品，如造成损失，应照价赔偿。</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10.5 未经甲方同意，乙方擅自拆改原建筑物结构或设备管线，由此发生的损失或事故（包括行政处罚），由乙方负责并承担损失。</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10.7 除本合同另有约定外，乙方违反其在本合同项下其他义务并给甲方造成损失的，须向甲方承担全部赔偿责任。本合同约定的因乙方违约而应向甲方赔偿的损失包括但不限于甲方为本合同项下事宜进行交易以及因合同解除而重新进行交易的费用、重新交易的成交价格与本合同价格的差价损失、因工程延误而导致的损失以及甲方为主张和实现债权而发生的律师费、诉讼费、公证费等一切成本和支出。</w:t>
      </w:r>
    </w:p>
    <w:p>
      <w:pPr>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十一、争议解决</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11.1本合同在履行期间，双方发生争议时，在不影响工作进度的前提下，双方可采取协商解决或请有关部门进行调解。</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11.2当事人不愿通过协商、调解解决或者协商、调解不成时，本合同在执行中发生的争议双方同意由工程所在地人民法院诉讼管辖。</w:t>
      </w:r>
    </w:p>
    <w:p>
      <w:pPr>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十二、不可抗力</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12.2 不可抗力因素造成乙方的直接损失费用，甲方将根据实际情况另行协商，但属于应该预见、预防、乙方没有及时预防或预防不力造成的损失，甲方不负责补偿。</w:t>
      </w: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十三、通知</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bidi="ar"/>
        </w:rPr>
        <w:t>13.1本合同项下的所有通知、请求、主张、要求及其他通信均须采用书面形式以中文语言发出，在按以下地址电子邮件或快递（如DHL快递、EMS和顺丰速运）方式发送给有关各方后视为有效发出或做出：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bidi="ar"/>
        </w:rPr>
        <w:t>发送至甲方：</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bidi="ar"/>
        </w:rPr>
        <w:t>电子邮件：【 】</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bidi="ar"/>
        </w:rPr>
        <w:t>地址：【 】</w:t>
      </w:r>
    </w:p>
    <w:p>
      <w:pPr>
        <w:adjustRightInd w:val="0"/>
        <w:snapToGrid w:val="0"/>
        <w:spacing w:line="560" w:lineRule="exact"/>
        <w:ind w:firstLine="560" w:firstLineChars="200"/>
        <w:rPr>
          <w:rFonts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收件人：【 】</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bidi="ar"/>
        </w:rPr>
        <w:t>联系电话：【 】</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bidi="ar"/>
        </w:rPr>
        <w:t>发送至乙方：</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bidi="ar"/>
        </w:rPr>
        <w:t>电子邮件：【 】</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bidi="ar"/>
        </w:rPr>
        <w:t>地址：【 】</w:t>
      </w:r>
    </w:p>
    <w:p>
      <w:pPr>
        <w:adjustRightInd w:val="0"/>
        <w:snapToGrid w:val="0"/>
        <w:spacing w:line="560" w:lineRule="exact"/>
        <w:ind w:firstLine="560" w:firstLineChars="200"/>
        <w:rPr>
          <w:rFonts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收件人：【 】</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bidi="ar"/>
        </w:rPr>
        <w:t>联系电话：【 】</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bidi="ar"/>
        </w:rPr>
        <w:t>13.2 如任一方变更联系方式，应按照以上方式向另一方发出书面通知，否则上述地址仍为有效送达地址。</w:t>
      </w:r>
    </w:p>
    <w:p>
      <w:pPr>
        <w:adjustRightInd w:val="0"/>
        <w:snapToGrid w:val="0"/>
        <w:spacing w:line="560" w:lineRule="exact"/>
        <w:ind w:firstLine="560"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bidi="ar"/>
        </w:rPr>
        <w:t>13.4 上述地址适用于本合同项下相关司法文书的送达。</w:t>
      </w:r>
    </w:p>
    <w:p>
      <w:pPr>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十四、合同组成</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14.1 本合同文件包括：（1）本合同及附件；（2）中标通知书；（3）询标纪要；（4）招标文件；（5）投标文件。如上述文件内容不一致的，按上述顺序进行解释。</w:t>
      </w:r>
    </w:p>
    <w:p>
      <w:pPr>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十五、合同生效及其他</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15.1 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15.2 本合同未尽事宜，双方可签订补充协议予以确定。补充协议与本合同具有同等法律效力。</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15.3 本合同所订一切条款，未经双方书面确认，任何一方不得擅自变更或者修改。</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15.4 本合同一式【伍】份，甲方持【叁】份，乙方持【贰】份，具有同等法律效力。</w:t>
      </w:r>
    </w:p>
    <w:p>
      <w:pPr>
        <w:spacing w:line="560" w:lineRule="exact"/>
        <w:ind w:firstLine="560"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15.5本合同包含以下附件，附件与本合同具有同等法律效力。</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附件1：已标价工程量清单</w:t>
      </w:r>
    </w:p>
    <w:p>
      <w:pPr>
        <w:spacing w:line="560" w:lineRule="exact"/>
        <w:ind w:firstLine="560" w:firstLineChars="200"/>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附件2：工程质量保修书</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附件3：安全文明施工协议书 </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附件4：保密承诺书</w:t>
      </w:r>
    </w:p>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附件5：廉政承诺书</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（以下无正文）</w:t>
      </w:r>
    </w:p>
    <w:p>
      <w:pPr>
        <w:pageBreakBefore/>
        <w:tabs>
          <w:tab w:val="right" w:pos="8306"/>
        </w:tabs>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（本页为合同编号为【             】的建设工程施工合同的签署页）</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tbl>
      <w:tblPr>
        <w:tblStyle w:val="12"/>
        <w:tblW w:w="9855" w:type="dxa"/>
        <w:tblInd w:w="0" w:type="dxa"/>
        <w:tblLayout w:type="fixed"/>
        <w:tblCellMar>
          <w:top w:w="0" w:type="dxa"/>
          <w:left w:w="108" w:type="dxa"/>
          <w:bottom w:w="0" w:type="dxa"/>
          <w:right w:w="108" w:type="dxa"/>
        </w:tblCellMar>
      </w:tblPr>
      <w:tblGrid>
        <w:gridCol w:w="4928"/>
        <w:gridCol w:w="4927"/>
      </w:tblGrid>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甲方：杭州萧山国际机场有限公司</w:t>
            </w:r>
          </w:p>
        </w:tc>
        <w:tc>
          <w:tcPr>
            <w:tcW w:w="4927" w:type="dxa"/>
          </w:tcPr>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地址：杭州萧山国际机场内</w:t>
            </w:r>
          </w:p>
        </w:tc>
        <w:tc>
          <w:tcPr>
            <w:tcW w:w="4927" w:type="dxa"/>
          </w:tcPr>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地址：</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p>
        </w:tc>
        <w:tc>
          <w:tcPr>
            <w:tcW w:w="4927" w:type="dxa"/>
          </w:tcPr>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或  </w:t>
            </w:r>
          </w:p>
        </w:tc>
        <w:tc>
          <w:tcPr>
            <w:tcW w:w="4927" w:type="dxa"/>
          </w:tcPr>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授权代表：</w:t>
            </w:r>
          </w:p>
        </w:tc>
        <w:tc>
          <w:tcPr>
            <w:tcW w:w="4927" w:type="dxa"/>
          </w:tcPr>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授权代表：</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签字日期：</w:t>
            </w:r>
          </w:p>
        </w:tc>
        <w:tc>
          <w:tcPr>
            <w:tcW w:w="4927" w:type="dxa"/>
          </w:tcPr>
          <w:p>
            <w:pPr>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签字日期：</w:t>
            </w:r>
          </w:p>
        </w:tc>
      </w:tr>
    </w:tbl>
    <w:p>
      <w:pPr>
        <w:adjustRightInd w:val="0"/>
        <w:snapToGrid w:val="0"/>
        <w:spacing w:line="560" w:lineRule="exact"/>
        <w:ind w:firstLine="460" w:firstLineChars="200"/>
        <w:rPr>
          <w:rFonts w:ascii="仿宋" w:hAnsi="仿宋" w:eastAsia="仿宋" w:cs="仿宋"/>
          <w:sz w:val="23"/>
          <w:szCs w:val="23"/>
          <w:highlight w:val="none"/>
        </w:rPr>
      </w:pPr>
    </w:p>
    <w:p>
      <w:pPr>
        <w:adjustRightInd w:val="0"/>
        <w:snapToGrid w:val="0"/>
        <w:spacing w:line="560" w:lineRule="exact"/>
        <w:ind w:firstLine="460" w:firstLineChars="200"/>
        <w:rPr>
          <w:rFonts w:ascii="仿宋" w:hAnsi="仿宋" w:eastAsia="仿宋" w:cs="仿宋"/>
          <w:sz w:val="23"/>
          <w:szCs w:val="23"/>
          <w:highlight w:val="none"/>
        </w:rPr>
      </w:pPr>
    </w:p>
    <w:p>
      <w:pPr>
        <w:adjustRightInd w:val="0"/>
        <w:snapToGrid w:val="0"/>
        <w:spacing w:line="560" w:lineRule="exact"/>
        <w:ind w:firstLine="460" w:firstLineChars="200"/>
        <w:rPr>
          <w:rFonts w:ascii="仿宋" w:hAnsi="仿宋" w:eastAsia="仿宋" w:cs="仿宋"/>
          <w:sz w:val="23"/>
          <w:szCs w:val="23"/>
          <w:highlight w:val="none"/>
        </w:rPr>
      </w:pPr>
    </w:p>
    <w:p>
      <w:pPr>
        <w:adjustRightInd w:val="0"/>
        <w:snapToGrid w:val="0"/>
        <w:spacing w:line="560" w:lineRule="exact"/>
        <w:ind w:firstLine="460" w:firstLineChars="200"/>
        <w:rPr>
          <w:rFonts w:ascii="仿宋" w:hAnsi="仿宋" w:eastAsia="仿宋" w:cs="仿宋"/>
          <w:sz w:val="23"/>
          <w:szCs w:val="23"/>
          <w:highlight w:val="none"/>
        </w:rPr>
      </w:pPr>
    </w:p>
    <w:p>
      <w:pPr>
        <w:adjustRightInd w:val="0"/>
        <w:snapToGrid w:val="0"/>
        <w:spacing w:line="560" w:lineRule="exact"/>
        <w:ind w:firstLine="460" w:firstLineChars="200"/>
        <w:rPr>
          <w:rFonts w:ascii="仿宋" w:hAnsi="仿宋" w:eastAsia="仿宋" w:cs="仿宋"/>
          <w:sz w:val="23"/>
          <w:szCs w:val="23"/>
          <w:highlight w:val="none"/>
        </w:rPr>
      </w:pPr>
    </w:p>
    <w:p>
      <w:pPr>
        <w:adjustRightInd w:val="0"/>
        <w:snapToGrid w:val="0"/>
        <w:spacing w:line="560" w:lineRule="exact"/>
        <w:ind w:firstLine="460" w:firstLineChars="200"/>
        <w:rPr>
          <w:rFonts w:ascii="仿宋" w:hAnsi="仿宋" w:eastAsia="仿宋" w:cs="仿宋"/>
          <w:sz w:val="23"/>
          <w:szCs w:val="23"/>
          <w:highlight w:val="none"/>
        </w:rPr>
      </w:pPr>
    </w:p>
    <w:p>
      <w:pPr>
        <w:adjustRightInd w:val="0"/>
        <w:snapToGrid w:val="0"/>
        <w:spacing w:line="560" w:lineRule="exact"/>
        <w:ind w:firstLine="460" w:firstLineChars="200"/>
        <w:rPr>
          <w:rFonts w:ascii="仿宋" w:hAnsi="仿宋" w:eastAsia="仿宋" w:cs="仿宋"/>
          <w:sz w:val="23"/>
          <w:szCs w:val="23"/>
          <w:highlight w:val="none"/>
        </w:rPr>
      </w:pPr>
    </w:p>
    <w:p>
      <w:pPr>
        <w:adjustRightInd w:val="0"/>
        <w:snapToGrid w:val="0"/>
        <w:spacing w:line="560" w:lineRule="exact"/>
        <w:ind w:firstLine="460" w:firstLineChars="200"/>
        <w:rPr>
          <w:rFonts w:ascii="仿宋" w:hAnsi="仿宋" w:eastAsia="仿宋" w:cs="仿宋"/>
          <w:sz w:val="23"/>
          <w:szCs w:val="23"/>
          <w:highlight w:val="none"/>
        </w:rPr>
      </w:pPr>
    </w:p>
    <w:p>
      <w:pPr>
        <w:adjustRightInd w:val="0"/>
        <w:snapToGrid w:val="0"/>
        <w:spacing w:line="560" w:lineRule="exact"/>
        <w:ind w:firstLine="460" w:firstLineChars="200"/>
        <w:rPr>
          <w:rFonts w:ascii="仿宋" w:hAnsi="仿宋" w:eastAsia="仿宋" w:cs="仿宋"/>
          <w:sz w:val="23"/>
          <w:szCs w:val="23"/>
          <w:highlight w:val="none"/>
        </w:rPr>
      </w:pPr>
    </w:p>
    <w:p>
      <w:pPr>
        <w:spacing w:line="560" w:lineRule="exact"/>
        <w:rPr>
          <w:rFonts w:ascii="仿宋" w:hAnsi="仿宋" w:eastAsia="仿宋" w:cs="仿宋"/>
          <w:sz w:val="23"/>
          <w:szCs w:val="23"/>
          <w:highlight w:val="none"/>
        </w:rPr>
      </w:pPr>
      <w:r>
        <w:rPr>
          <w:rFonts w:hint="eastAsia" w:ascii="仿宋" w:hAnsi="仿宋" w:eastAsia="仿宋" w:cs="仿宋"/>
          <w:sz w:val="23"/>
          <w:szCs w:val="23"/>
          <w:highlight w:val="none"/>
        </w:rPr>
        <w:br w:type="page"/>
      </w:r>
    </w:p>
    <w:p>
      <w:pPr>
        <w:pStyle w:val="13"/>
        <w:tabs>
          <w:tab w:val="left" w:pos="540"/>
        </w:tabs>
        <w:snapToGrid w:val="0"/>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附件1：已标价工程量清单</w:t>
      </w:r>
    </w:p>
    <w:p>
      <w:pPr>
        <w:pStyle w:val="13"/>
        <w:tabs>
          <w:tab w:val="left" w:pos="540"/>
        </w:tabs>
        <w:snapToGrid w:val="0"/>
        <w:spacing w:line="560" w:lineRule="exact"/>
        <w:rPr>
          <w:rFonts w:ascii="仿宋" w:hAnsi="仿宋" w:eastAsia="仿宋" w:cs="仿宋"/>
          <w:b/>
          <w:bCs/>
          <w:sz w:val="23"/>
          <w:szCs w:val="23"/>
          <w:highlight w:val="none"/>
        </w:rPr>
      </w:pPr>
    </w:p>
    <w:p>
      <w:pPr>
        <w:spacing w:line="560" w:lineRule="exact"/>
        <w:rPr>
          <w:rFonts w:ascii="仿宋" w:hAnsi="仿宋" w:eastAsia="仿宋" w:cs="仿宋"/>
          <w:b/>
          <w:bCs/>
          <w:sz w:val="23"/>
          <w:szCs w:val="23"/>
          <w:highlight w:val="none"/>
        </w:rPr>
      </w:pPr>
      <w:r>
        <w:rPr>
          <w:rFonts w:hint="eastAsia" w:ascii="仿宋" w:hAnsi="仿宋" w:eastAsia="仿宋" w:cs="仿宋"/>
          <w:b/>
          <w:bCs/>
          <w:sz w:val="23"/>
          <w:szCs w:val="23"/>
          <w:highlight w:val="none"/>
        </w:rPr>
        <w:br w:type="page"/>
      </w:r>
    </w:p>
    <w:p>
      <w:pPr>
        <w:pStyle w:val="13"/>
        <w:tabs>
          <w:tab w:val="left" w:pos="540"/>
        </w:tabs>
        <w:snapToGrid w:val="0"/>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附件2：</w:t>
      </w:r>
    </w:p>
    <w:p>
      <w:pPr>
        <w:pStyle w:val="13"/>
        <w:snapToGrid w:val="0"/>
        <w:spacing w:line="560" w:lineRule="exact"/>
        <w:jc w:val="center"/>
        <w:rPr>
          <w:rFonts w:ascii="仿宋" w:hAnsi="仿宋" w:eastAsia="仿宋" w:cs="仿宋"/>
          <w:b/>
          <w:bCs/>
          <w:sz w:val="32"/>
          <w:szCs w:val="32"/>
          <w:highlight w:val="none"/>
        </w:rPr>
      </w:pPr>
      <w:r>
        <w:rPr>
          <w:rFonts w:hint="eastAsia" w:ascii="仿宋_GB2312" w:hAnsi="仿宋_GB2312" w:eastAsia="仿宋_GB2312" w:cs="仿宋_GB2312"/>
          <w:b/>
          <w:bCs/>
          <w:sz w:val="32"/>
          <w:szCs w:val="32"/>
          <w:highlight w:val="none"/>
        </w:rPr>
        <w:t>工程质量保修书</w:t>
      </w:r>
    </w:p>
    <w:p>
      <w:pPr>
        <w:pStyle w:val="13"/>
        <w:tabs>
          <w:tab w:val="left" w:pos="426"/>
        </w:tabs>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甲方（全称）：杭州萧山国际机场有限公司</w:t>
      </w:r>
    </w:p>
    <w:p>
      <w:pPr>
        <w:pStyle w:val="13"/>
        <w:tabs>
          <w:tab w:val="left" w:pos="426"/>
        </w:tabs>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乙方（全称）：   </w:t>
      </w:r>
    </w:p>
    <w:p>
      <w:pPr>
        <w:pStyle w:val="13"/>
        <w:tabs>
          <w:tab w:val="left" w:pos="426"/>
        </w:tabs>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甲方和乙方根据《中华人民共和国建筑法》和《建设工程质量管理条例》，经协商一致就【杭州萧山国际机场</w:t>
      </w:r>
      <w:r>
        <w:rPr>
          <w:rFonts w:hint="eastAsia" w:ascii="仿宋_GB2312" w:hAnsi="仿宋_GB2312" w:eastAsia="仿宋_GB2312" w:cs="仿宋_GB2312"/>
          <w:sz w:val="28"/>
          <w:szCs w:val="28"/>
          <w:highlight w:val="none"/>
          <w:lang w:eastAsia="zh-CN"/>
        </w:rPr>
        <w:t>T1航站楼空侧亚运亮化项目</w:t>
      </w:r>
      <w:r>
        <w:rPr>
          <w:rFonts w:hint="eastAsia" w:ascii="仿宋_GB2312" w:hAnsi="仿宋_GB2312" w:eastAsia="仿宋_GB2312" w:cs="仿宋_GB2312"/>
          <w:sz w:val="28"/>
          <w:szCs w:val="28"/>
          <w:highlight w:val="none"/>
        </w:rPr>
        <w:t>】（工程全称）签订工程质量保修书。</w:t>
      </w:r>
    </w:p>
    <w:p>
      <w:pPr>
        <w:pStyle w:val="13"/>
        <w:tabs>
          <w:tab w:val="left" w:pos="426"/>
        </w:tabs>
        <w:snapToGrid w:val="0"/>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一、工程质量保修范围和内容</w:t>
      </w:r>
    </w:p>
    <w:p>
      <w:pPr>
        <w:pStyle w:val="13"/>
        <w:tabs>
          <w:tab w:val="left" w:pos="426"/>
        </w:tabs>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在质量保修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本工程合同承包范围内乙方负责施工的所有工程项目]</w:t>
      </w:r>
    </w:p>
    <w:p>
      <w:pPr>
        <w:pStyle w:val="13"/>
        <w:tabs>
          <w:tab w:val="left" w:pos="426"/>
        </w:tabs>
        <w:snapToGrid w:val="0"/>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二、质量保修期</w:t>
      </w:r>
    </w:p>
    <w:p>
      <w:pPr>
        <w:pStyle w:val="13"/>
        <w:tabs>
          <w:tab w:val="left" w:pos="426"/>
        </w:tabs>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根据《建设工程质量管理条例》及有关规定，工程的质量保修期如下：</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地基基础工程和主体结构工程为设计文件规定的工程合理使用年限；</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屋面防水工程、有防水要求的卫生间、房间和外墙面的防渗为 5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装修工程为 2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电气管线、给排水管道、设备安装工程为 2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供热与供冷系统为 2 个采暖期、供冷期；</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住宅小区内的给排水设施、道路等配套工程为 2 年；</w:t>
      </w:r>
    </w:p>
    <w:p>
      <w:pPr>
        <w:pStyle w:val="13"/>
        <w:numPr>
          <w:ilvl w:val="0"/>
          <w:numId w:val="5"/>
        </w:numPr>
        <w:tabs>
          <w:tab w:val="left" w:pos="426"/>
        </w:tabs>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其他项目保修期限约定如下：【本工程保修期为2年】</w:t>
      </w:r>
    </w:p>
    <w:p>
      <w:pPr>
        <w:pStyle w:val="13"/>
        <w:tabs>
          <w:tab w:val="left" w:pos="426"/>
        </w:tabs>
        <w:snapToGrid w:val="0"/>
        <w:spacing w:line="560" w:lineRule="exact"/>
        <w:ind w:firstLine="44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质量保修期自工程竣工验收合格之日起计算。</w:t>
      </w:r>
    </w:p>
    <w:p>
      <w:pPr>
        <w:pStyle w:val="13"/>
        <w:tabs>
          <w:tab w:val="left" w:pos="426"/>
        </w:tabs>
        <w:snapToGrid w:val="0"/>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三、缺陷责任期</w:t>
      </w:r>
    </w:p>
    <w:p>
      <w:pPr>
        <w:pStyle w:val="13"/>
        <w:tabs>
          <w:tab w:val="left" w:pos="426"/>
        </w:tabs>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工程缺陷责任期为24个月，缺陷责任期自工程竣工验收合格之日起计算。单位工程先于全部工程进行验收，单位工程缺陷责任期自单位工程验收合格之日起算。</w:t>
      </w:r>
    </w:p>
    <w:p>
      <w:pPr>
        <w:pStyle w:val="13"/>
        <w:tabs>
          <w:tab w:val="left" w:pos="426"/>
        </w:tabs>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缺陷责任期届满后，经甲方确认核实，乙方不存在违约情形以及质量保修不存在问题后15天内无息支付质量保证金。</w:t>
      </w:r>
    </w:p>
    <w:p>
      <w:pPr>
        <w:pStyle w:val="13"/>
        <w:tabs>
          <w:tab w:val="left" w:pos="426"/>
        </w:tabs>
        <w:snapToGrid w:val="0"/>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四、质量保修责任</w:t>
      </w:r>
    </w:p>
    <w:p>
      <w:pPr>
        <w:pStyle w:val="13"/>
        <w:tabs>
          <w:tab w:val="left" w:pos="426"/>
        </w:tabs>
        <w:snapToGrid w:val="0"/>
        <w:spacing w:line="560" w:lineRule="exact"/>
        <w:ind w:firstLine="44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属于保修范围、内容的项目，乙方应当在接到保修通知之日起【3】天内派人至甲方现场进行维修。乙方不在约定期限内派人至甲方现场进行维修的，甲方可以自行委托他人修理。费用从质量保证金中扣除。修复部分的质保期自修复完毕之日起重新开始计算。</w:t>
      </w:r>
    </w:p>
    <w:p>
      <w:pPr>
        <w:pStyle w:val="13"/>
        <w:tabs>
          <w:tab w:val="left" w:pos="426"/>
        </w:tabs>
        <w:snapToGrid w:val="0"/>
        <w:spacing w:line="560" w:lineRule="exact"/>
        <w:ind w:firstLine="44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2．发生紧急事故需抢修的，乙方在接到事故通知后，应当立即到达事故现场进行持续抢修直至修复。</w:t>
      </w:r>
    </w:p>
    <w:p>
      <w:pPr>
        <w:pStyle w:val="13"/>
        <w:tabs>
          <w:tab w:val="left" w:pos="426"/>
        </w:tabs>
        <w:snapToGrid w:val="0"/>
        <w:spacing w:line="560" w:lineRule="exact"/>
        <w:ind w:firstLine="44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由乙方实施保修。</w:t>
      </w:r>
    </w:p>
    <w:p>
      <w:pPr>
        <w:pStyle w:val="13"/>
        <w:tabs>
          <w:tab w:val="left" w:pos="426"/>
        </w:tabs>
        <w:snapToGrid w:val="0"/>
        <w:spacing w:line="560" w:lineRule="exact"/>
        <w:ind w:firstLine="44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4．质量保修完成后，由甲方组织验收。验收不合格的，甲方有权自行委托第三方修理，全部费用由乙方承担，由甲方与第三方确认后直接从质量保证金中扣除。</w:t>
      </w:r>
    </w:p>
    <w:p>
      <w:pPr>
        <w:pStyle w:val="13"/>
        <w:tabs>
          <w:tab w:val="left" w:pos="426"/>
        </w:tabs>
        <w:snapToGrid w:val="0"/>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五、保修费用</w:t>
      </w:r>
    </w:p>
    <w:p>
      <w:pPr>
        <w:pStyle w:val="13"/>
        <w:tabs>
          <w:tab w:val="left" w:pos="426"/>
        </w:tabs>
        <w:snapToGrid w:val="0"/>
        <w:spacing w:line="560" w:lineRule="exact"/>
        <w:ind w:firstLine="44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保修费用由造成质量缺陷的责任方承担；对责任方的确定产生疑问或争议的，依甲方委托的鉴定机构所出具的独立报告来确定。</w:t>
      </w:r>
    </w:p>
    <w:p>
      <w:pPr>
        <w:pStyle w:val="13"/>
        <w:tabs>
          <w:tab w:val="left" w:pos="426"/>
        </w:tabs>
        <w:snapToGrid w:val="0"/>
        <w:spacing w:line="56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六、双方约定的其他工程质量保修事项： </w:t>
      </w:r>
    </w:p>
    <w:p>
      <w:pPr>
        <w:pStyle w:val="13"/>
        <w:tabs>
          <w:tab w:val="left" w:pos="426"/>
        </w:tabs>
        <w:snapToGrid w:val="0"/>
        <w:spacing w:line="560" w:lineRule="exact"/>
        <w:ind w:firstLine="44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1．在乙方人员到达之前，甲方可采取适当的应急措施，费用由乙方承担。</w:t>
      </w:r>
    </w:p>
    <w:p>
      <w:pPr>
        <w:pStyle w:val="13"/>
        <w:tabs>
          <w:tab w:val="left" w:pos="426"/>
        </w:tabs>
        <w:snapToGrid w:val="0"/>
        <w:spacing w:line="560" w:lineRule="exact"/>
        <w:ind w:firstLine="44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遇下列特殊情况的，乙方同意甲方或管理单位可以对一定金额（材料安装类5000元，土建类10000元）以内的维修项目进行应急处理，先行委托其他单位进行维修，所产生的维修费用由乙方承担。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a．紧急抢修事故时，为避免损失进一步扩大；</w:t>
      </w:r>
    </w:p>
    <w:p>
      <w:pPr>
        <w:pStyle w:val="13"/>
        <w:tabs>
          <w:tab w:val="left" w:pos="426"/>
        </w:tabs>
        <w:snapToGrid w:val="0"/>
        <w:spacing w:line="560" w:lineRule="exact"/>
        <w:ind w:firstLine="44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b．直接影响到工程正常运行或危害人身财产及财产安全时；</w:t>
      </w:r>
    </w:p>
    <w:p>
      <w:pPr>
        <w:pStyle w:val="13"/>
        <w:tabs>
          <w:tab w:val="left" w:pos="426"/>
        </w:tabs>
        <w:snapToGrid w:val="0"/>
        <w:spacing w:line="560" w:lineRule="exact"/>
        <w:ind w:firstLine="44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13"/>
        <w:tabs>
          <w:tab w:val="left" w:pos="426"/>
        </w:tabs>
        <w:snapToGrid w:val="0"/>
        <w:spacing w:line="560" w:lineRule="exact"/>
        <w:ind w:firstLine="44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4．因工程质量问题发生工程维修费用或对第三人赔偿损失的，甲方通知乙方应承担的费用或损失金额，乙方应于收到通知后7日内支付甲方出具的通知书中确定的金额。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13"/>
        <w:tabs>
          <w:tab w:val="left" w:pos="426"/>
        </w:tabs>
        <w:snapToGrid w:val="0"/>
        <w:spacing w:line="560" w:lineRule="exact"/>
        <w:ind w:firstLine="44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同一工程质量问题经乙方维修两次后，再次发生该质量问题的，甲方工程管理部门有权安排自行维修或委托其他单位维修，所产生相关费用包括维修费等均由乙方承担。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6．工程质量保修书由甲方、乙方在工程竣工验收前共同盖章，作为本施工合同附件，其有效期限至质保期届满且甲方书面确认乙方完成全部保修工作止。</w:t>
      </w:r>
    </w:p>
    <w:p>
      <w:pPr>
        <w:pStyle w:val="13"/>
        <w:snapToGrid w:val="0"/>
        <w:spacing w:line="560" w:lineRule="exact"/>
        <w:rPr>
          <w:rFonts w:ascii="仿宋_GB2312" w:hAnsi="仿宋_GB2312" w:eastAsia="仿宋_GB2312" w:cs="仿宋_GB2312"/>
          <w:sz w:val="28"/>
          <w:szCs w:val="28"/>
          <w:highlight w:val="none"/>
        </w:rPr>
      </w:pPr>
    </w:p>
    <w:p>
      <w:pPr>
        <w:pStyle w:val="13"/>
        <w:snapToGrid w:val="0"/>
        <w:spacing w:line="560" w:lineRule="exact"/>
        <w:rPr>
          <w:rFonts w:ascii="仿宋_GB2312" w:hAnsi="仿宋_GB2312" w:eastAsia="仿宋_GB2312" w:cs="仿宋_GB2312"/>
          <w:sz w:val="28"/>
          <w:szCs w:val="28"/>
          <w:highlight w:val="none"/>
        </w:rPr>
      </w:pPr>
    </w:p>
    <w:p>
      <w:pPr>
        <w:pStyle w:val="13"/>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甲方(公章)：                       乙方(公章)：             </w:t>
      </w:r>
    </w:p>
    <w:p>
      <w:pPr>
        <w:spacing w:line="560" w:lineRule="exact"/>
        <w:jc w:val="left"/>
        <w:rPr>
          <w:rFonts w:ascii="仿宋_GB2312" w:hAnsi="仿宋_GB2312" w:eastAsia="仿宋_GB2312" w:cs="仿宋_GB2312"/>
          <w:sz w:val="28"/>
          <w:szCs w:val="28"/>
          <w:highlight w:val="none"/>
        </w:rPr>
      </w:pPr>
    </w:p>
    <w:p>
      <w:pPr>
        <w:spacing w:line="560" w:lineRule="exact"/>
        <w:jc w:val="left"/>
        <w:rPr>
          <w:rFonts w:ascii="仿宋_GB2312" w:hAnsi="仿宋_GB2312" w:eastAsia="仿宋_GB2312" w:cs="仿宋_GB2312"/>
          <w:sz w:val="28"/>
          <w:szCs w:val="28"/>
          <w:highlight w:val="none"/>
        </w:rPr>
      </w:pPr>
    </w:p>
    <w:p>
      <w:pPr>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pPr>
        <w:spacing w:line="560" w:lineRule="exact"/>
        <w:jc w:val="left"/>
        <w:rPr>
          <w:rFonts w:ascii="黑体" w:hAnsi="黑体" w:eastAsia="黑体" w:cs="黑体"/>
          <w:sz w:val="32"/>
          <w:szCs w:val="32"/>
          <w:highlight w:val="none"/>
        </w:rPr>
      </w:pPr>
      <w:r>
        <w:rPr>
          <w:rFonts w:hint="eastAsia" w:ascii="黑体" w:hAnsi="黑体" w:eastAsia="黑体" w:cs="黑体"/>
          <w:sz w:val="32"/>
          <w:szCs w:val="32"/>
          <w:highlight w:val="none"/>
        </w:rPr>
        <w:t xml:space="preserve">附件3： </w:t>
      </w:r>
      <w:bookmarkStart w:id="18" w:name="_Hlk534811958"/>
    </w:p>
    <w:p>
      <w:pPr>
        <w:spacing w:line="560" w:lineRule="exact"/>
        <w:jc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32"/>
          <w:szCs w:val="32"/>
          <w:highlight w:val="none"/>
        </w:rPr>
        <w:t>安全文明施工协议书</w:t>
      </w:r>
      <w:bookmarkEnd w:id="18"/>
    </w:p>
    <w:p>
      <w:pPr>
        <w:pStyle w:val="13"/>
        <w:tabs>
          <w:tab w:val="left" w:pos="426"/>
        </w:tabs>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甲方（全称）：杭州萧山国际机场有限公司</w:t>
      </w:r>
    </w:p>
    <w:p>
      <w:pPr>
        <w:pStyle w:val="13"/>
        <w:tabs>
          <w:tab w:val="left" w:pos="426"/>
        </w:tabs>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乙方（全称）：   </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为了保护公民人身和国家财产安全，保障机场安全、有序运行和工程施工安全，保持良好的施工、生活秩序和饮食、环境卫生，维护双方的合法利益，明确双方责任，确保【杭州萧山国际机场</w:t>
      </w:r>
      <w:r>
        <w:rPr>
          <w:rFonts w:hint="eastAsia" w:ascii="仿宋_GB2312" w:hAnsi="仿宋_GB2312" w:eastAsia="仿宋_GB2312" w:cs="仿宋_GB2312"/>
          <w:sz w:val="28"/>
          <w:szCs w:val="28"/>
          <w:highlight w:val="none"/>
          <w:lang w:eastAsia="zh-CN"/>
        </w:rPr>
        <w:t>T1航站楼空侧亚运亮化项目</w:t>
      </w:r>
      <w:r>
        <w:rPr>
          <w:rFonts w:hint="eastAsia" w:ascii="仿宋_GB2312" w:hAnsi="仿宋_GB2312" w:eastAsia="仿宋_GB2312" w:cs="仿宋_GB2312"/>
          <w:sz w:val="28"/>
          <w:szCs w:val="28"/>
          <w:highlight w:val="none"/>
        </w:rPr>
        <w:t xml:space="preserve">】工程建设的顺利进行。根据国家现行的有关法律、法规和安全生产规范、规程及标准，经双方协商，签订本《安全文明施工协议书》。 </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一、甲方对乙方实行安全目标管理，安全目标的具体内容是：</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1、无责任死亡事故和群伤事件。</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2、无重大经济责任事故。</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3、无空防安全事故。</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4、无影响机场运行的不安全事件。</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5、无七类重大刑事案件（杀人、绑架、强奸、放火、爆炸、劫持、故意伤害致死）及其它严重、恶性案件。</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6、无因未足额、及时发放工资发生劳资纠纷。</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7、无集体食物中毒事件。</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8、无计划外生育。</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9、无因上述原因引发无序维权事件。</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上述情况的认定按国家和行业的有关规定和标准执行。</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二、甲方的权利和义务</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追究违约责任或责令乙方停工整改直至终止合同。</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11、甲方联系和协调机场公安机关，督促施工单位按有关规定申报暂住登记和申领《居住证》，并协助乙方联系机场公安局商定有关工地安全保卫事宜。</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12、甲方利用施工例会等定期分析和掌握工程的治安情况，通报当前治安形势，交流工作经验，协助处理相关问题。</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13、乙方未按要求配备安全设施、设备、器材，未在限定期限内整改的，甲方有权直接购置并配足，另增加20%的管理费，费用由乙方承担。</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依据民航行业和机场相关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16、甲方对乙方的临时设施（包括临时宿舍）进行统一规划和监管，完成后临时设施场地应按甲方要求恢复原状。</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19、甲方应按合同约定如期支付乙方工程款。</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三、乙方的安全、文明权利和义务</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遵守《中华人民共和国安全生产法》、《中华人民共和国建筑法》、《建设工程安全管理条例》、《浙江省建筑业管理条例》、《建筑施工安全检查标准》、《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（一）安全文明施工管理</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20、落实施工安全责任，所涉工程依法实行总分包制的，总包单位应对施工安全负总责，以安全责任书的方式确定各分包单位的安全责任，乙方应层层签订安全责任书。</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21、乙方应开展风险管理，结合风险评估结果有针对性地制定和落实施工安全技术措施。</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22.1 基坑与降水工程； </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22.2 土方开挖工程； </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22.3 模板工程； </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22.4 起重吊装工程； </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22.5 脚手架工程； </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22.6 焊接、切割、爆破、拆除作业工程； </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22.7国务院建设行政主管部门或其它有关部门规定的其它危险性较大的工程。</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23、乙方不得在机场和机场净空保护区范围内施放烟花、爆竹、气球等升空物体；建筑生活垃圾定点集中堆放，及时清运，不得随意焚烧垃圾等物品制造烟雾；不得饲养动物；不得随意丢弃飘浮物。</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24、乙方必须按照甲方的规划要求搭设临时设施，并经甲方验收合格方准使用。但甲方的验收并不免除乙方对其搭设的临时设施的安全承担全部责任。</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26、乙方应做好装修施工阶段成品保护工作，按照“谁主管、谁负责；谁使用、谁负责；谁管理、谁负责”的原则，制定成品保护管理办法，层层签订成品保护责任书，真正落实成品保护现场管理的各项措施。</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27、为保障民工合法权益，乙方还应承担以下义务：</w:t>
      </w:r>
    </w:p>
    <w:p>
      <w:pPr>
        <w:pStyle w:val="13"/>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3"/>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13"/>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13"/>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13"/>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27.5乙方支付下属劳务单位（或施工班组）进度款之前，有义务查阅下属劳务单位（或施工班组）前期民工工资足额发放的书面材料。</w:t>
      </w:r>
    </w:p>
    <w:p>
      <w:pPr>
        <w:pStyle w:val="13"/>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27.6乙方应制定相关约束性制度，落实措施，预防、杜绝下属劳务单位（或施工班组）无序维权事件发生。</w:t>
      </w:r>
    </w:p>
    <w:p>
      <w:pPr>
        <w:pStyle w:val="13"/>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27.7若民工或下属劳务单位（或施工班组）维权，乙方应负相应举证义务。</w:t>
      </w:r>
    </w:p>
    <w:p>
      <w:pPr>
        <w:pStyle w:val="13"/>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27.8一旦发生民工无序维权，乙方主要领导应当及时到场，督促下属劳务单位（或施工班组）负责人劝离民工，并积极配合甲方相关部门协调处置。</w:t>
      </w:r>
    </w:p>
    <w:p>
      <w:pPr>
        <w:pStyle w:val="13"/>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甲方对乙方的上述工作有随时监督检查的权利，乙方应积极配合甲方的检查。</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（二）空防安全管理  </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28、必须严格遵守民用航空安全、空防管理的法律、法规和机场安全管理的各项规章制度。属于机场不停航施工项目或需进入机场控制区施工的项目，其人员和车辆实行机场控制区通行证管理制度。</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30、进入机场控制区施工的人员和车辆需由甲方派员负责引领并主动接受机场管理人员的安全检查，服从机场相关职能部门的监管，无通行证者一律不得进入。</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（三）不停航施工安全管理（仅指进入控制区从事不停航施工项目）</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33.3施工机具须停放在指定安全区域内。机场开放运行期间，必须严格控制施工机械的活动范围，杜绝出现机具、车辆侵入飞行活动区或超越机场净空限制面等情况。</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（四）社会治安管理</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35、进出口大门应设立门卫，人员和车辆凭甲方制发的施工通行证进出，并接受甲方安保人员或机场公安管理人员查验。</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36、做好内部的治安防范工作，对重要部位和物资、设备，要落实人防、物防和技防的措施，积极配合公安机关组织的治安联防活动。</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37、加强对施工人员的遵纪守法教育，预防“黄、毒、赌”、斗殴、偷窃等违法违纪行为的发生，主动接受甲方和机场公安机关的指导、检查、监督、考核。</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38、认真排查、调处各类矛盾，及时消除不稳定因素，杜绝各类社会矛盾引发的群体性事件的发生。</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39、制定包括重大安全生产事故、重大道路交通事故、重大消防安全事故、重大刑事案件以及群体性事件等突发性事件在内的应急处置预案，一旦发生，及时报告甲方和上级主管部门并做好处置工作。</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40、员工宿舍必须定人定位，不得男女混住，不准留宿身份不明的人员，留客住宿必须经项目部负责人同意，并登记备查，保证生产、生活区的安全。 </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41、加强对施工人员的管理，外来人员拟居住30天以下的，应及时到机场公安机关申报暂住登记；拟居住30天以上的年满16周岁人员， 应在10天内到机场公安机关申领《居住证》。</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42、负责工程建设期间施工队伍中的计划生育工作，做好孕情监测，确保无计划外生育的情况发生。</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（五）消防安全管理</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43、遵守国家消防法律法规，建立和健全消防管理规章制度，明确消防安全责任人，健全消防安全网络（配备专职或兼职消防员），建立消防应急队伍，并报甲方和机场公安局消防部门备案。</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44、制定用火、用电、使用易燃易爆及危险化学物品等各项消防安全操作规程，设置消防通道、消防水源、配备必须的消防设备和灭火器材，并在重点场所重点部位设置消防警示标志。</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45、施工中使用明火，使用电、气进行焊接和切割作业，须经机场公安消防管理部门审查批准，并在施工现场设置专门的防火监护人、接火盆、配足有效的灭火器材、清理附近的可燃物等。</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46、对施工人员进行消防安全教育，使其熟悉本岗位防火措施、遇险报警、初期扑救及自救逃生的知识和技能。</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47、自行搭建临时用房应符合防火设计规范，建立、健全员工宿舍消防安全管理规章制度，加强员工宿舍消防安全、用电安全管理，严禁不按规定用火和私拉乱接电线、严禁使用大功率电器。</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（六）交通安全管理</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48、加强对下属员工、驾驶人员、承运单位的道路交通安全法律法规宣传教育，车辆进出机场和施工场地均应服从交警及其他交通管理人员的指挥和管理。</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50、确保各类运输车辆技术状况良好，不得使用假牌、假证、无号牌、无行驶证、无保险和带故障、检验不合格的运输车辆。</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51、所有运输车辆均应办理施工通行证并按指定路线和限定速度行驶，不得违反车辆装载规定，严禁沿路抛洒装载物。进入控制区施工车辆应安装并开启黄色警示灯。</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52、在施工现场内及进、出口处设置必要的交通标志，预防交通事故的发生。</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53、占用、挖掘道路，跨越道路架设、铺设管线以及大型机械进出机场须提前与甲方协商，征得甲方和机场公安局交警队同意，并采取防护措施和设置明显警示标志方可实施。</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四、违约责任</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13"/>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55、乙方在生产施工中一旦发生责任事故造成甲方或第三方损害而未予赔偿的，甲方有权直接从应付工程款中扣除或支付赔偿费用，如甲方的损失超过应付工程款的，甲方有权向乙方追偿实际损失。乙方违反安全文明施工管理、空防安全管理、不停航施工安全管理、社会治安管理、消防安全管理或交通安全管理条款的并造成甲方损失的，甲方有权要求乙方承担损失赔偿责任。若导致甲方遭受第三方的索赔，则甲方有权要求乙方承担该等赔偿责任。</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56、乙方未尽本协议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13"/>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未尽本协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甲方有权从工程款中直接扣除，不足抵扣部分由乙方及时补足。乙方构成本项违约的事实，以公安部门的接处警记录或实际损害结果的发生为准。</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57、乙方确认本协议约定的违约金、罚款或赔偿金标准合理，乙方同意受甲方依据本协议书所制定的具体违约金、罚款或赔偿金标准的约束，乙方确认其已明白无误地了解该等具体的扣罚标准，乙方承担了该等违约金、罚款和/或赔偿金并不免除其应按合同约定予以全面履行的义务和责任。</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五、本协议书附于《</w:t>
      </w:r>
      <w:r>
        <w:rPr>
          <w:rFonts w:hint="eastAsia" w:ascii="仿宋_GB2312" w:hAnsi="仿宋_GB2312" w:eastAsia="仿宋_GB2312" w:cs="仿宋_GB2312"/>
          <w:sz w:val="28"/>
          <w:szCs w:val="28"/>
          <w:highlight w:val="none"/>
          <w:u w:val="single"/>
        </w:rPr>
        <w:t>杭州萧山国际机场</w:t>
      </w:r>
      <w:r>
        <w:rPr>
          <w:rFonts w:hint="eastAsia" w:ascii="仿宋_GB2312" w:hAnsi="仿宋_GB2312" w:eastAsia="仿宋_GB2312" w:cs="仿宋_GB2312"/>
          <w:sz w:val="28"/>
          <w:szCs w:val="28"/>
          <w:highlight w:val="none"/>
          <w:u w:val="single"/>
          <w:lang w:eastAsia="zh-CN"/>
        </w:rPr>
        <w:t>T1航站楼空侧亚运亮化项目</w:t>
      </w:r>
      <w:r>
        <w:rPr>
          <w:rFonts w:hint="eastAsia" w:ascii="仿宋_GB2312" w:hAnsi="仿宋_GB2312" w:eastAsia="仿宋_GB2312" w:cs="仿宋_GB2312"/>
          <w:sz w:val="28"/>
          <w:szCs w:val="28"/>
          <w:highlight w:val="none"/>
        </w:rPr>
        <w:t>施工合同》后，本协议书自甲方、乙方共同盖章后生效。</w:t>
      </w: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p>
    <w:p>
      <w:pPr>
        <w:pStyle w:val="13"/>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甲方（盖章）：                 乙方（盖章）：</w:t>
      </w:r>
    </w:p>
    <w:p>
      <w:pPr>
        <w:spacing w:line="560" w:lineRule="exact"/>
        <w:rPr>
          <w:rFonts w:ascii="仿宋_GB2312" w:hAnsi="仿宋_GB2312" w:eastAsia="仿宋_GB2312" w:cs="仿宋_GB2312"/>
          <w:sz w:val="28"/>
          <w:szCs w:val="28"/>
          <w:highlight w:val="none"/>
        </w:rPr>
      </w:pPr>
    </w:p>
    <w:p>
      <w:pPr>
        <w:pageBreakBefore/>
        <w:adjustRightInd w:val="0"/>
        <w:snapToGrid w:val="0"/>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附件3附件</w:t>
      </w:r>
    </w:p>
    <w:p>
      <w:pPr>
        <w:adjustRightInd w:val="0"/>
        <w:snapToGrid w:val="0"/>
        <w:spacing w:line="560" w:lineRule="exact"/>
        <w:ind w:firstLine="440" w:firstLineChars="200"/>
        <w:rPr>
          <w:rFonts w:ascii="仿宋_GB2312" w:hAnsi="仿宋_GB2312" w:eastAsia="仿宋_GB2312" w:cs="仿宋_GB2312"/>
          <w:sz w:val="22"/>
          <w:highlight w:val="none"/>
        </w:rPr>
      </w:pPr>
    </w:p>
    <w:p>
      <w:pPr>
        <w:adjustRightInd w:val="0"/>
        <w:snapToGrid w:val="0"/>
        <w:spacing w:line="560" w:lineRule="exact"/>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杭州萧山国际机场基建项目安全文明施工考核办法</w:t>
      </w:r>
    </w:p>
    <w:p>
      <w:pPr>
        <w:widowControl/>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widowControl/>
        <w:adjustRightInd w:val="0"/>
        <w:snapToGrid w:val="0"/>
        <w:spacing w:line="560" w:lineRule="exact"/>
        <w:ind w:firstLine="562"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一、考核原则</w:t>
      </w:r>
    </w:p>
    <w:p>
      <w:pPr>
        <w:widowControl/>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预先通知原则。动力部（包括临时成立的检查小组）对于发现的安全问题隐患，首先开具《安全隐患整改通知书》（以下简称“整改通知书”，附后），施工项目部接到《整改通知书》后在指定期限内未整改到位的，按照本考核办法予以收取违约金，未预先书面通知的不予收取违约金。</w:t>
      </w:r>
    </w:p>
    <w:p>
      <w:pPr>
        <w:widowControl/>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奖励与收取违约金相结合原则。通过考核与评比，在杭州萧山国际机场有限公司或动力部组织的各类检查评比中，获得好评的的施工项目部将按照相关规定予以奖励；对违反国家相关法律、法规和安全生产规范、规程、标准及《杭州萧山国际机场安全文明施工协议书》的，将严格按照本考核办法扣罚。</w:t>
      </w:r>
    </w:p>
    <w:p>
      <w:pPr>
        <w:widowControl/>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考核与结算相结合原则。动力部（包括临时成立的检查小组）对其查出的安全问题隐患，经通知仍未整改的，开具《安全文明施工工作联系单》（以下简称“联系单”，附后）督促跟踪整改，并做好备案记录，一并于项目竣工后结算。</w:t>
      </w:r>
    </w:p>
    <w:p>
      <w:pPr>
        <w:widowControl/>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（四）考核与经济利益直接挂钩原则。以《安全文明施工工作联系单》确认的奖惩数额为准。</w:t>
      </w:r>
    </w:p>
    <w:p>
      <w:pPr>
        <w:widowControl/>
        <w:adjustRightInd w:val="0"/>
        <w:snapToGrid w:val="0"/>
        <w:spacing w:line="560" w:lineRule="exact"/>
        <w:ind w:firstLine="562"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二、适用范围</w:t>
      </w:r>
    </w:p>
    <w:p>
      <w:pPr>
        <w:widowControl/>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本考核办法适用于参与杭州萧山国际机场基本建设的各施工单位。与总包单位签订分包合同的分包单位纳入对总包单位的考核，不作为被考核主体。</w:t>
      </w:r>
    </w:p>
    <w:p>
      <w:pPr>
        <w:widowControl/>
        <w:adjustRightInd w:val="0"/>
        <w:snapToGrid w:val="0"/>
        <w:spacing w:line="560" w:lineRule="exact"/>
        <w:ind w:firstLine="562"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三、考核程序</w:t>
      </w:r>
    </w:p>
    <w:p>
      <w:pPr>
        <w:widowControl/>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widowControl/>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widowControl/>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违约金标准》（以下简称“违约金标准”，附后）开具《安全文明施工工作联系单》，内容包括整改通知书编号、违约金通知单编号和未按要求整改内容描述以及违约金额度，经责任施工或监理项目部签章后，由检查人员签字，检查部门盖章后签发。《安全文明施工工作联系单》一式四份，签发人、责任施工项目部、责任监理项目部各持一份，报动力部一份。</w:t>
      </w:r>
    </w:p>
    <w:p>
      <w:pPr>
        <w:widowControl/>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（四）考核最终汇总兑现。各施工项目部工程结束后由动力部计算出累计收取违约金总数，从工程履约保证金中扣除，但不得超过工程履约保证金的20%，若超出或无履约保证金则直接从工程进度款中扣除。</w:t>
      </w:r>
    </w:p>
    <w:p>
      <w:pPr>
        <w:widowControl/>
        <w:adjustRightInd w:val="0"/>
        <w:snapToGrid w:val="0"/>
        <w:spacing w:line="560" w:lineRule="exact"/>
        <w:ind w:firstLine="562" w:firstLineChars="200"/>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四、其它</w:t>
      </w:r>
    </w:p>
    <w:p>
      <w:pPr>
        <w:widowControl/>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（一）施工项目部突破《杭州萧山国际机场安全文明施工协议书》安全控制目标内容之一的，不属于本办法考核范围，由动力部依据有关规定直接收取违约金。</w:t>
      </w:r>
    </w:p>
    <w:p>
      <w:pPr>
        <w:widowControl/>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（二）《违约金标准》中所称的“协议”是指杭州萧山国际机场有限公司与施工项目部签订的《杭州萧山国际机场安全文明施工协议书》及各种协议文件；“建标”是指《建筑施工安全检查标准》（JGJ59-2011）。</w:t>
      </w:r>
    </w:p>
    <w:p>
      <w:pPr>
        <w:widowControl/>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（三）施工项目部收到《安全文明施工工作联系单》后，在指定期限内仍未整改到位，加倍收取违约金直至整改到位为止。</w:t>
      </w:r>
    </w:p>
    <w:p>
      <w:pPr>
        <w:widowControl/>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（四）本考核办法未作规定，但已违反国家相关法律、法规和安全生产规范、规程、标准及《杭州萧山国际机场安全文明施工协议书》的行为，由动力部参照《违约金标准》相关规定收取违约金。</w:t>
      </w:r>
    </w:p>
    <w:p>
      <w:pPr>
        <w:widowControl/>
        <w:adjustRightInd w:val="0"/>
        <w:snapToGrid w:val="0"/>
        <w:spacing w:line="560" w:lineRule="exact"/>
        <w:ind w:left="420"/>
        <w:jc w:val="center"/>
        <w:rPr>
          <w:rFonts w:ascii="仿宋_GB2312" w:hAnsi="仿宋_GB2312" w:eastAsia="仿宋_GB2312" w:cs="仿宋_GB2312"/>
          <w:sz w:val="22"/>
          <w:highlight w:val="none"/>
        </w:rPr>
      </w:pPr>
      <w:r>
        <w:rPr>
          <w:rFonts w:hint="eastAsia" w:ascii="仿宋_GB2312" w:hAnsi="仿宋_GB2312" w:eastAsia="仿宋_GB2312" w:cs="仿宋_GB2312"/>
          <w:sz w:val="22"/>
          <w:highlight w:val="none"/>
        </w:rPr>
        <w:br w:type="page"/>
      </w:r>
      <w:r>
        <w:rPr>
          <w:rFonts w:hint="eastAsia" w:ascii="仿宋_GB2312" w:hAnsi="仿宋_GB2312" w:eastAsia="仿宋_GB2312" w:cs="仿宋_GB2312"/>
          <w:b/>
          <w:bCs/>
          <w:sz w:val="32"/>
          <w:szCs w:val="32"/>
          <w:highlight w:val="none"/>
        </w:rPr>
        <w:t>基建项目安全文明施工违约金标准</w:t>
      </w:r>
    </w:p>
    <w:p>
      <w:pPr>
        <w:widowControl/>
        <w:adjustRightInd w:val="0"/>
        <w:snapToGrid w:val="0"/>
        <w:spacing w:line="560" w:lineRule="exact"/>
        <w:ind w:firstLine="440" w:firstLineChars="200"/>
        <w:rPr>
          <w:rFonts w:ascii="仿宋_GB2312" w:hAnsi="仿宋_GB2312" w:eastAsia="仿宋_GB2312" w:cs="仿宋_GB2312"/>
          <w:sz w:val="22"/>
          <w:highlight w:val="none"/>
        </w:rPr>
      </w:pPr>
    </w:p>
    <w:tbl>
      <w:tblPr>
        <w:tblStyle w:val="12"/>
        <w:tblW w:w="9825" w:type="dxa"/>
        <w:jc w:val="center"/>
        <w:tblInd w:w="0" w:type="dxa"/>
        <w:tblLayout w:type="fixed"/>
        <w:tblCellMar>
          <w:top w:w="0" w:type="dxa"/>
          <w:left w:w="0" w:type="dxa"/>
          <w:bottom w:w="0" w:type="dxa"/>
          <w:right w:w="0" w:type="dxa"/>
        </w:tblCellMar>
      </w:tblPr>
      <w:tblGrid>
        <w:gridCol w:w="1113"/>
        <w:gridCol w:w="6390"/>
        <w:gridCol w:w="882"/>
        <w:gridCol w:w="1440"/>
      </w:tblGrid>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序列号</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内       容</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依据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扣分标准</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不停航施工</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highlight w:val="none"/>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未按照杭州国际机场不停航施工组织方案、安全保障措施进行施工作业影响机场正常运行或造成不安全事件的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无故不参加各类不停航施工例会、专题会议的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未对施工人员进行空防安全和运行安全教育培训或教育培训无台帐记录的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施工进场前未对施工人员进行安全教育或交底的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管理人员擅离岗位、未实施全程监管或未有效履行安全管理职责的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现场不服从机场或动力部现场管理人员指挥、管理的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未按规定设置或撤除关闭标志、警戒围栏、警示灯具的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施工人员、车辆、机具擅自侵入飞行活动区或超出净空限制面高度的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施工人员攀爬、翻越、跨越隔离围栏及其他安全防护设施或向控制区内传递物品等，尚未影响机场正常运行的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施工人员、车辆、机具擅自超越指定施工活动范围或机具不按指定区域停放的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距控制区围界5米内堆放材料、设备或停放车辆、机具，造成空防安全隐患的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不按要求作业，挖破或挖断地下管线</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未按规定对材料、临时堆放物、施工垃圾采取防风、防尾流吹散措施的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施工现场随意丢弃生活垃圾及易漂浮物的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200元/件</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未做到工完场清，沿线道面、施工现场遗留工具、材料、垃圾未及时清理清扫的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进入控制区施工的车辆存在灯光、转向、制动等机械故障和尾部无放大号的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在控制区内行驶车辆未安装或未开启黄色警示灯的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控制区车辆驾驶员在控制区内有违章驾驶行为的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无应急处置预案和机制，发生紧急情况未能及时有效处置，影响机场正常运行的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发生其它违反《民用机场运行安全管理规定》（191号令）和杭州萧山国际机场安全运行管理规定行为的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空防安全</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highlight w:val="none"/>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highlight w:val="none"/>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进入控制区的人员不服从机场管理人员的管理、检查的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把关不严，提供虚假证明、证件或其它相关资料申办控制区人员通行证的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提供虚假车辆、设备证件、检验记录和保险凭证申办《车辆通行证》的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车辆证件、检验记录和保险凭证过期失效未补办后续手续，仍进入控制区施工作业的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未建立控制区通行证统一保管制度，无控制区通行证管理台帐或台帐记录不全的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发生无证施工人员进入控制区的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发生施工人员转借、涂改、冒用他人通行证的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人员、车辆通行证保管不善，造成丢失；或通行证遗失不及时上报的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500元/张、次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人员调离、辞退、开除，车辆重新调配，或通行证到期，证件未在规定时限内交回注销的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200元/张、次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施工队伍中有违法、犯罪人员，隐瞒不报的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毗邻控制区施工，未安装沿围界监控探头或监控探头存有盲区（段），监控无专人值守或值守人员离岗脱岗的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毗邻控制区施工，沿围界未设置专门看护的固定和巡逻保安岗位、保安人员擅离岗位或保安人员未履职管理的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在机场区域内燃放烟花、爆竹，或施放气球、风筝等升空物体的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在机场区域内饲养猫、狗、鸡、鸭等牲畜、动物的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其它违反民用航空安全、法律、法规和机场空防安全管理规定的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安全生产</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highlight w:val="none"/>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安全生产管理体制</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安全管理制度不健全，项目经理、项目技术负责人等各类管理人员（包括安全员、资料员、质控员）未按相关规定要求到位的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安全制度执行不力，无考核机制或考核制度执行不严</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安全责任制未建立</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安全责任制不健全，未层层签订至班组或岗位的各级安全责任书</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1000元/项</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各级各部门未执行责任制的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经济承包中无安全生产、文明施工目标管理或目标管理不落实</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1000元/项</w:t>
            </w:r>
          </w:p>
        </w:tc>
      </w:tr>
      <w:tr>
        <w:tblPrEx>
          <w:tblLayout w:type="fixed"/>
          <w:tblCellMar>
            <w:top w:w="0" w:type="dxa"/>
            <w:left w:w="0" w:type="dxa"/>
            <w:bottom w:w="0" w:type="dxa"/>
            <w:right w:w="0" w:type="dxa"/>
          </w:tblCellMar>
        </w:tblPrEx>
        <w:trPr>
          <w:trHeight w:val="25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3.1.7</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未制定各工种安全技术操作规程的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500元/项</w:t>
            </w:r>
          </w:p>
        </w:tc>
      </w:tr>
      <w:tr>
        <w:tblPrEx>
          <w:tblLayout w:type="fixed"/>
          <w:tblCellMar>
            <w:top w:w="0" w:type="dxa"/>
            <w:left w:w="0" w:type="dxa"/>
            <w:bottom w:w="0" w:type="dxa"/>
            <w:right w:w="0" w:type="dxa"/>
          </w:tblCellMar>
        </w:tblPrEx>
        <w:trPr>
          <w:trHeight w:val="283"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3.1.8</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专（兼）职安全员不按规定如数到位的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500元/人</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单位内部安全网络未建立或不健全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3.1.10</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拒绝或拖延加入基建安全网络</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无故不参加动力部组织的各种安全会议、网络活动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不按规定开展各级、各类安全教育培训，未按规定设置民工学校</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对施工人员无安全教育或安全教育无针对性</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无日常安全检查、定期安全检查、专项安全检查记录或记录不全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100元/次</w:t>
            </w:r>
          </w:p>
        </w:tc>
      </w:tr>
      <w:tr>
        <w:tblPrEx>
          <w:tblLayout w:type="fixed"/>
          <w:tblCellMar>
            <w:top w:w="0" w:type="dxa"/>
            <w:left w:w="0" w:type="dxa"/>
            <w:bottom w:w="0" w:type="dxa"/>
            <w:right w:w="0" w:type="dxa"/>
          </w:tblCellMar>
        </w:tblPrEx>
        <w:trPr>
          <w:trHeight w:val="22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3.1.15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无安全管理台账或安全管理台账缺失不全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对查出的隐患整改做不到定人、定时间、定措施进行整改落实的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1000元/次</w:t>
            </w:r>
          </w:p>
        </w:tc>
      </w:tr>
      <w:tr>
        <w:tblPrEx>
          <w:tblLayout w:type="fixed"/>
          <w:tblCellMar>
            <w:top w:w="0" w:type="dxa"/>
            <w:left w:w="0" w:type="dxa"/>
            <w:bottom w:w="0" w:type="dxa"/>
            <w:right w:w="0" w:type="dxa"/>
          </w:tblCellMar>
        </w:tblPrEx>
        <w:trPr>
          <w:trHeight w:val="18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3.1.17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对隐患整改通知书所列项目未如期整改完成的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1000元/张</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施工组织</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3.2.1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无施工组织设计或施工组织设计未经审批的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3.2.2</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施工组织设计中无安全措施或安全措施不全面、无针对性</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3.2.3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专业性较强、危险性较大的项目，未单独编制专项安全施工组织设计、未制定专项施工方案或未经过专家论证的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3.2.4</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施工组织设计安全措施未落实或落实有漏项的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500元/条</w:t>
            </w:r>
          </w:p>
        </w:tc>
      </w:tr>
      <w:tr>
        <w:tblPrEx>
          <w:tblLayout w:type="fixed"/>
          <w:tblCellMar>
            <w:top w:w="0" w:type="dxa"/>
            <w:left w:w="0" w:type="dxa"/>
            <w:bottom w:w="0" w:type="dxa"/>
            <w:right w:w="0" w:type="dxa"/>
          </w:tblCellMar>
        </w:tblPrEx>
        <w:trPr>
          <w:trHeight w:val="37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3.2.5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不按规定进行安全技术交底，或交底不全、交底针对性不强</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现场安全设施和措施</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使用国家明令淘汰、禁止使用的危及施工安全的工艺、设备、材料的。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1000元</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地面开挖作业未对毗邻建筑物、构筑物和地下管线等采取专项防护措施的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w:t>
            </w:r>
          </w:p>
        </w:tc>
      </w:tr>
      <w:tr>
        <w:tblPrEx>
          <w:tblLayout w:type="fixed"/>
          <w:tblCellMar>
            <w:top w:w="0" w:type="dxa"/>
            <w:left w:w="0" w:type="dxa"/>
            <w:bottom w:w="0" w:type="dxa"/>
            <w:right w:w="0" w:type="dxa"/>
          </w:tblCellMar>
        </w:tblPrEx>
        <w:trPr>
          <w:trHeight w:val="19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基坑支护无方案或不按方案实施的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未按规定进行基坑支护变形监测和对毗邻建筑物、重要管线、道路进行沉降观测的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5000元/次</w:t>
            </w:r>
          </w:p>
        </w:tc>
      </w:tr>
      <w:tr>
        <w:tblPrEx>
          <w:tblLayout w:type="fixed"/>
          <w:tblCellMar>
            <w:top w:w="0" w:type="dxa"/>
            <w:left w:w="0" w:type="dxa"/>
            <w:bottom w:w="0" w:type="dxa"/>
            <w:right w:w="0" w:type="dxa"/>
          </w:tblCellMar>
        </w:tblPrEx>
        <w:trPr>
          <w:trHeight w:val="257"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支护设施产生局部变形未采取措施调整的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1000元/处</w:t>
            </w:r>
          </w:p>
        </w:tc>
      </w:tr>
      <w:tr>
        <w:tblPrEx>
          <w:tblLayout w:type="fixed"/>
          <w:tblCellMar>
            <w:top w:w="0" w:type="dxa"/>
            <w:left w:w="0" w:type="dxa"/>
            <w:bottom w:w="0" w:type="dxa"/>
            <w:right w:w="0" w:type="dxa"/>
          </w:tblCellMar>
        </w:tblPrEx>
        <w:trPr>
          <w:trHeight w:val="24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基坑施工未设置有效排水措施，或深基础施工采用坑外降水，无防止临近建筑危险沉降措施的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积土、料具堆放、机械设备施工距槽边距离小于设计规定，又无措施的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基坑内作业人员无必要安全防护措施和充足照明的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200元/人、处</w:t>
            </w:r>
          </w:p>
        </w:tc>
      </w:tr>
      <w:tr>
        <w:tblPrEx>
          <w:tblLayout w:type="fixed"/>
          <w:tblCellMar>
            <w:top w:w="0" w:type="dxa"/>
            <w:left w:w="0" w:type="dxa"/>
            <w:bottom w:w="0" w:type="dxa"/>
            <w:right w:w="0" w:type="dxa"/>
          </w:tblCellMar>
        </w:tblPrEx>
        <w:trPr>
          <w:trHeight w:val="24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支模架施工未按施工专项方案实施的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3.3.10</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临边无防护措施，防护设施不规范或有空档、超过间隙的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高处作业不按规定设置防坠网或防坠网规格、材质、覆盖面积不符合要求的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各种洞（井）口、梯口、通道口无防护措施，防护措施不符合要求或不严密，未形成定型化、工具化的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电梯井不封闭，电梯井内每隔两层(不大于l0m)少一道平网的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w:t>
            </w:r>
          </w:p>
        </w:tc>
      </w:tr>
      <w:tr>
        <w:tblPrEx>
          <w:tblLayout w:type="fixed"/>
          <w:tblCellMar>
            <w:top w:w="0" w:type="dxa"/>
            <w:left w:w="0" w:type="dxa"/>
            <w:bottom w:w="0" w:type="dxa"/>
            <w:right w:w="0" w:type="dxa"/>
          </w:tblCellMar>
        </w:tblPrEx>
        <w:trPr>
          <w:trHeight w:val="20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通道口无防护棚，通道口防护不严或防护棚不牢固、材质不符合要求的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3.3.15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脚手架、升降、吊装等设施设备的拆装队伍没有取得资格证书的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500元/个</w:t>
            </w:r>
          </w:p>
        </w:tc>
      </w:tr>
      <w:tr>
        <w:tblPrEx>
          <w:tblLayout w:type="fixed"/>
          <w:tblCellMar>
            <w:top w:w="0" w:type="dxa"/>
            <w:left w:w="0" w:type="dxa"/>
            <w:bottom w:w="0" w:type="dxa"/>
            <w:right w:w="0" w:type="dxa"/>
          </w:tblCellMar>
        </w:tblPrEx>
        <w:trPr>
          <w:trHeight w:val="24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3.3.16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脚手架、脚手板等不按要求搭设，空隙过大或材质不符合要求的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安全密目网不牢固、不严密或材质、设置不符合要求的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脚手架超载或荷载不均匀、堆放杂物或垃圾清理不及时的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3.3.19</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未设专用通道或通道设置不符合要求的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脚手架拆卸时不实行区域隔离，无专人看护等保护性安全措施的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200元/次</w:t>
            </w:r>
          </w:p>
        </w:tc>
      </w:tr>
      <w:tr>
        <w:tblPrEx>
          <w:tblLayout w:type="fixed"/>
          <w:tblCellMar>
            <w:top w:w="0" w:type="dxa"/>
            <w:left w:w="0" w:type="dxa"/>
            <w:bottom w:w="0" w:type="dxa"/>
            <w:right w:w="0" w:type="dxa"/>
          </w:tblCellMar>
        </w:tblPrEx>
        <w:trPr>
          <w:trHeight w:val="298"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3.3.21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移动脚手架安全措施不到位，存在安全隐患的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3.3.22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卸料台搭设不符合设计要求或不按规范要求搭建的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升降、吊装作业未设警戒区、无专业人员指挥、无专人警戒或管理的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升降、吊装设备无围栏、防护门，无安全警示等安全设施的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升降、吊装设备无防坠装置或防坠装置不符合设计、规范要求的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3.3.26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升降、吊装设备钢丝绳绳径倍数不足、磨损、断丝超标，地锚埋没不符合设计要求</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3.3.27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升降、吊装设备无专人日常维护，未按规定定期检验、检查或检查无记录，检验检查出的问题不及时整改的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3.3.28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违章操作或违章使用升降、吊装设备，超重作业的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3.3.29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移动式吊装装置不符合设计、方案和规范要求，存在安全隐患的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3.3.30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钢丝绳、绳卡、地锚等不符合规范和安全要求,或钢丝绳锈蚀、缺油、磨损超标的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3.3.31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无防风、避雷装置和措施，或防风避雷装置措施不符合要求的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3.3.32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各类用电设施、设备、施工机具未做保护接零、无漏电保护装置的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w:t>
            </w:r>
          </w:p>
        </w:tc>
      </w:tr>
      <w:tr>
        <w:tblPrEx>
          <w:tblLayout w:type="fixed"/>
          <w:tblCellMar>
            <w:top w:w="0" w:type="dxa"/>
            <w:left w:w="0" w:type="dxa"/>
            <w:bottom w:w="0" w:type="dxa"/>
            <w:right w:w="0" w:type="dxa"/>
          </w:tblCellMar>
        </w:tblPrEx>
        <w:trPr>
          <w:trHeight w:val="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3.3.33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机具、设备使用无安全防护装置或保险装置的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3.3.34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使用Ⅰ类手持电动工具不按规定穿戴绝缘用品的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3.3.35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施工机具无人操作时未切断电源的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3.3.36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电焊机无防雨罩的，焊把线接头超过3处或绝缘老化的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3.3.37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各机械作业场所无防雨棚和作业台不安全的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现场安全管理</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b/>
                <w:sz w:val="28"/>
                <w:szCs w:val="28"/>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3.4.1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各类操作人员无证上岗的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3.4.2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专业性较强、危险性较大施工作业，现场无专业人员、安全管理人员旁站看护的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3.4.3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作业人员不服管理、违反规章制度和操作规程冒险作业的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3.4.4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施工人员不戴安全帽、高处作业人员不系安全带或不按要求系安全带</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3.4.5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现场未按规定采取设置安全网等保障措施的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3.4.6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施工人员在施工现场抽烟的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b/>
                <w:sz w:val="28"/>
                <w:szCs w:val="28"/>
                <w:highlight w:val="none"/>
              </w:rPr>
              <w:t>.5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施工用电</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trHeight w:val="24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3.5.1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外电小于安全距离无防护措施、防护措施不符合要求的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1000元/处</w:t>
            </w:r>
          </w:p>
        </w:tc>
      </w:tr>
      <w:tr>
        <w:tblPrEx>
          <w:tblLayout w:type="fixed"/>
          <w:tblCellMar>
            <w:top w:w="0" w:type="dxa"/>
            <w:left w:w="0" w:type="dxa"/>
            <w:bottom w:w="0" w:type="dxa"/>
            <w:right w:w="0" w:type="dxa"/>
          </w:tblCellMar>
        </w:tblPrEx>
        <w:trPr>
          <w:trHeight w:val="231"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3.5.2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未采用TN—S接零保护系统的、三级漏电保护系统的；专用保护零线（PE线）设置不符合要求的、或保护零线（PE线）与工作零线（N线）混接的；纯动力电未用四芯电缆的，动力带照明电未使用五芯电缆的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3.5.3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开关箱(末级)无漏电保护或保护器失灵、漏电保护装置参数不匹配</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3.5.4</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违反“—机、一闸、一漏、一箱”的配置原则</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3.5.5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安装位置不当、周围杂物多不便操作、存在安全隐患</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3.5.6</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电箱下引出线混乱、配电箱内多路配电无标记的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3.5.7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电箱无门、无锁、无防雨措施或无责任人的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3.5.8</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室内线路及灯具安全高度低于2.4m未使用安全电压供电的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3.5.9</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潮湿作业环境中未使用36v以下安全电压照明灯具的、手持照明灯未使用36v及以下电源供电</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trHeight w:val="258"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3.5.10</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电线老化、破皮、未按规范包扎的、电线私拉乱接、无过路保护的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w:t>
            </w:r>
          </w:p>
        </w:tc>
      </w:tr>
      <w:tr>
        <w:tblPrEx>
          <w:tblLayout w:type="fixed"/>
          <w:tblCellMar>
            <w:top w:w="0" w:type="dxa"/>
            <w:left w:w="0" w:type="dxa"/>
            <w:bottom w:w="0" w:type="dxa"/>
            <w:right w:w="0" w:type="dxa"/>
          </w:tblCellMar>
        </w:tblPrEx>
        <w:trPr>
          <w:trHeight w:val="353"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3.5.11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电杆、横担、架空线路不符合施工规范要求</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trHeight w:val="367"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3.5.12</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无用电管理档案、无接地极阻值摇测记录、电工巡视维修记录或填写不真实的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200元/项</w:t>
            </w:r>
          </w:p>
        </w:tc>
      </w:tr>
      <w:tr>
        <w:tblPrEx>
          <w:tblLayout w:type="fixed"/>
          <w:tblCellMar>
            <w:top w:w="0" w:type="dxa"/>
            <w:left w:w="0" w:type="dxa"/>
            <w:bottom w:w="0" w:type="dxa"/>
            <w:right w:w="0" w:type="dxa"/>
          </w:tblCellMar>
        </w:tblPrEx>
        <w:trPr>
          <w:trHeight w:val="312"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消防安全与危险品管理</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未制定消防安全管理规章制度或规章制度不健全的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未制定各工种用火、用电、使用易燃材料等各项消防安全操作规程的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4.3</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未健全消防安全网络（配备专职或兼职消防员），并报备的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无专（兼）职义务消防队，或消防队员未掌握基本消防知识和操作技能的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未制定灭火和应急疏散预案并开展消防应急演练的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未组织开展各类防火检查，并及时采取措施整改发现的隐患、问题的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对重大消防安全隐患未能及时整改、处理的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4.8</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未建立消防安全管理台帐或台帐缺失的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4.9</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未组织开展消防安全知识教育培训，施工人员不了解本岗位防火措施、遇险报警、初期扑救及自救逃生的知识和技能的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4.10</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施工现场未设置必要足够安全疏散指示标志、防火禁烟标志机场火警电话的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重点消防部位无人看护或巡视、无消防警示标志牌，值守巡视人员脱岗或不履行职责的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易燃、易爆物品不按规定进行分类存放或管理不善、无人看护、管理的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未设或侵占疏散通道、安全出口、消防通道，或通道出口不畅通、应急照明不符合规定的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工地现场未设置消火水源（消火栓）或消火水源不齐全、不合理，不能满足消防要求的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工地现场灭火器、灭火砂、水桶、铁锹等消防设施、器材配置不全、不足、失效，或被遮挡影响使用，或被挪作他用的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灭火器材无专人维护、保养、检查和登记管理的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违章关闭消防设施、切断电源或挪用消防灭火器材的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动火作业未经机场公安消防管理部门审查批准的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200元/次</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4.19</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施工现场未及时清理地面可燃物，动火作业未清理地面可燃物的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动火作业无接火盆、现场无看火人、灭火器材配备不足、过期、失效的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动火作业火花隔层溅落未采取有效安全措施的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气瓶无标准色标，无防震圈和防护帽的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气瓶横放或气瓶间距小于5米、距明火小于10米又无隔离措施的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乙炔瓶使用或存放时平放或不按规定存放的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发生其它违反国家消防法律法规，消防安全管理规章制度现象的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文明施工</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未编制安全文明施工专项方案</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未按照规定进行安全文明施工检查并作书面记录</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500-5000元</w:t>
            </w:r>
          </w:p>
        </w:tc>
      </w:tr>
      <w:tr>
        <w:tblPrEx>
          <w:tblLayout w:type="fixed"/>
          <w:tblCellMar>
            <w:top w:w="0" w:type="dxa"/>
            <w:left w:w="0" w:type="dxa"/>
            <w:bottom w:w="0" w:type="dxa"/>
            <w:right w:w="0" w:type="dxa"/>
          </w:tblCellMar>
        </w:tblPrEx>
        <w:trPr>
          <w:trHeight w:val="37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未按照规定设置施工告示牌、公示牌</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设置临时通道不符合要求</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5000-30000元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未设置门卫值班室的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未按照规定设置围挡的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未按照规定对施工现场进行硬化处理、设置通道或者未按照规定设置泥浆沉淀池的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5000-30000元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5.8</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未按照规定堆放建筑材料或者废弃物的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设置的脚手架、安全网不符合规定要求的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5.10</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未按照规定采取防止扬尘措施的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未采取有效的遮蔽措施的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施工作业中挖损管线的；若再次发生，加倍收取违约金</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在施工现场焚烧建筑垃圾、生活垃圾以及其他产生有毒有害气体的物质，使用污染严重的燃料或者未按照规定使用农药、化肥的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200-2000元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未按照规定设置办公、生活用房的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未按照规定设置食堂或者制定现场食物中毒应急预案的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未在施工现场设置饮用水设施、设置吸烟区不符合规定或者未按照规定设置厕所的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5.17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监理单位未履行安全文明施工监理职责的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临时宿舍管理</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宿舍区管理制度不健全，未落实日常管理责任人</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宿舍区无专（兼）职治安、防火、卫生管理监督巡视员</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宿舍区未实行封闭管理，留宿外来人员无登记制度、存在男女混居现象的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在尚未竣工的建筑物内设置临设的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临时宿舍、设施未经验收合格投入使用的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临时宿舍、设施无抗大风（10级以上）、防雷击措施的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宿舍区消防器材配备不足或失效的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宿舍内未设置独立的漏电、短路保护器和足够数量的安全插座，存在私拉乱接电线现象的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200元/项</w:t>
            </w:r>
          </w:p>
        </w:tc>
      </w:tr>
      <w:tr>
        <w:tblPrEx>
          <w:tblLayout w:type="fixed"/>
          <w:tblCellMar>
            <w:top w:w="0" w:type="dxa"/>
            <w:left w:w="0" w:type="dxa"/>
            <w:bottom w:w="0" w:type="dxa"/>
            <w:right w:w="0" w:type="dxa"/>
          </w:tblCellMar>
        </w:tblPrEx>
        <w:trPr>
          <w:trHeight w:val="304" w:hRule="atLeast"/>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宿舍内（包括值班室）违规使用大功率电器的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宿舍内混杂堆放工具、用具、易燃易爆或有毒物品的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宿舍内垃圾无人清扫，生活用品放置零乱的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无卫生防病宣传教育,或无保健医药箱、急救器材、急救措施和经培训的急救人员的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食堂卫生管理制度不全，管理不善，设施不全，卫生不符合要求，未按要求设置足够数量开水炉、电热水器或饮用水保温桶等基本生活设施的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宿舍区未提供为作业人员晾晒衣物的场地和设施</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50元/项</w:t>
            </w:r>
          </w:p>
        </w:tc>
      </w:tr>
      <w:tr>
        <w:tblPrEx>
          <w:tblLayout w:type="fixed"/>
          <w:tblCellMar>
            <w:top w:w="0" w:type="dxa"/>
            <w:left w:w="0" w:type="dxa"/>
            <w:bottom w:w="0" w:type="dxa"/>
            <w:right w:w="0" w:type="dxa"/>
          </w:tblCellMar>
        </w:tblPrEx>
        <w:trPr>
          <w:trHeight w:val="33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宿舍区未设置水冲式厕所和符合要求淋浴室的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6.16</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宿舍生活区未设置施工人员学习娱乐场所的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宿舍区墙壁屋顶不严密、门窗不齐全，或通风效果差的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宿舍无保暖、防暑、防蚊虫叮咬措施的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宿舍生活区、大门口及周围毗邻区域垃圾未装容器，垃圾清扫、清运不及时、排水不畅，环境卫生不符合要求的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300元/项</w:t>
            </w:r>
          </w:p>
        </w:tc>
      </w:tr>
    </w:tbl>
    <w:p>
      <w:pPr>
        <w:adjustRightInd w:val="0"/>
        <w:snapToGrid w:val="0"/>
        <w:spacing w:line="560" w:lineRule="exact"/>
        <w:ind w:firstLine="440" w:firstLineChars="200"/>
        <w:rPr>
          <w:rFonts w:ascii="宋体" w:hAnsi="宋体" w:cs="仿宋"/>
          <w:sz w:val="22"/>
          <w:highlight w:val="none"/>
        </w:rPr>
      </w:pPr>
    </w:p>
    <w:p>
      <w:pPr>
        <w:adjustRightInd w:val="0"/>
        <w:snapToGrid w:val="0"/>
        <w:spacing w:line="560" w:lineRule="exact"/>
        <w:ind w:left="420"/>
        <w:jc w:val="center"/>
        <w:rPr>
          <w:rFonts w:ascii="仿宋_GB2312" w:hAnsi="仿宋_GB2312" w:eastAsia="仿宋_GB2312" w:cs="仿宋_GB2312"/>
          <w:sz w:val="28"/>
          <w:szCs w:val="28"/>
          <w:highlight w:val="none"/>
        </w:rPr>
      </w:pPr>
      <w:r>
        <w:rPr>
          <w:rFonts w:hint="eastAsia" w:ascii="宋体" w:hAnsi="宋体" w:cs="仿宋"/>
          <w:sz w:val="22"/>
          <w:highlight w:val="none"/>
        </w:rPr>
        <w:br w:type="page"/>
      </w:r>
      <w:r>
        <w:rPr>
          <w:rFonts w:hint="eastAsia" w:ascii="仿宋_GB2312" w:hAnsi="仿宋_GB2312" w:eastAsia="仿宋_GB2312" w:cs="仿宋_GB2312"/>
          <w:sz w:val="28"/>
          <w:szCs w:val="28"/>
          <w:highlight w:val="none"/>
        </w:rPr>
        <w:t>安全隐患整改通知书</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基建（安）第   号</w:t>
      </w:r>
    </w:p>
    <w:tbl>
      <w:tblPr>
        <w:tblStyle w:val="12"/>
        <w:tblW w:w="9660" w:type="dxa"/>
        <w:jc w:val="center"/>
        <w:tblInd w:w="0" w:type="dxa"/>
        <w:tblLayout w:type="fixed"/>
        <w:tblCellMar>
          <w:top w:w="0" w:type="dxa"/>
          <w:left w:w="0" w:type="dxa"/>
          <w:bottom w:w="0" w:type="dxa"/>
          <w:right w:w="0" w:type="dxa"/>
        </w:tblCellMar>
      </w:tblPr>
      <w:tblGrid>
        <w:gridCol w:w="842"/>
        <w:gridCol w:w="1365"/>
        <w:gridCol w:w="2730"/>
        <w:gridCol w:w="2250"/>
        <w:gridCol w:w="1050"/>
        <w:gridCol w:w="1423"/>
      </w:tblGrid>
      <w:tr>
        <w:tblPrEx>
          <w:tblLayout w:type="fixed"/>
          <w:tblCellMar>
            <w:top w:w="0" w:type="dxa"/>
            <w:left w:w="0" w:type="dxa"/>
            <w:bottom w:w="0" w:type="dxa"/>
            <w:right w:w="0" w:type="dxa"/>
          </w:tblCellMar>
        </w:tblPrEx>
        <w:trPr>
          <w:trHeight w:val="449" w:hRule="atLeast"/>
          <w:jc w:val="center"/>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工程名称</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责任施工项目部</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trHeight w:val="449" w:hRule="atLeast"/>
          <w:jc w:val="center"/>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责任监理项目部</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责任人（甲方）</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trHeight w:val="643"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存在的安全隐患</w:t>
            </w: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整改建议</w:t>
            </w: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整改期限</w:t>
            </w:r>
          </w:p>
        </w:tc>
      </w:tr>
      <w:tr>
        <w:tblPrEx>
          <w:tblLayout w:type="fixed"/>
          <w:tblCellMar>
            <w:top w:w="0" w:type="dxa"/>
            <w:left w:w="0" w:type="dxa"/>
            <w:bottom w:w="0" w:type="dxa"/>
            <w:right w:w="0" w:type="dxa"/>
          </w:tblCellMar>
        </w:tblPrEx>
        <w:trPr>
          <w:trHeight w:val="1488"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trHeight w:val="1421"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trHeight w:val="1346"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trHeight w:val="1451"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trHeight w:val="1944" w:hRule="atLeast"/>
          <w:jc w:val="center"/>
        </w:trPr>
        <w:tc>
          <w:tcPr>
            <w:tcW w:w="493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责任单位项目部（签章）：</w:t>
            </w:r>
          </w:p>
        </w:tc>
        <w:tc>
          <w:tcPr>
            <w:tcW w:w="472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检查人员（签字）：</w:t>
            </w:r>
          </w:p>
          <w:p>
            <w:pPr>
              <w:adjustRightInd w:val="0"/>
              <w:snapToGrid w:val="0"/>
              <w:spacing w:line="560" w:lineRule="exact"/>
              <w:rPr>
                <w:rFonts w:ascii="仿宋_GB2312" w:hAnsi="仿宋_GB2312" w:eastAsia="仿宋_GB2312" w:cs="仿宋_GB2312"/>
                <w:sz w:val="28"/>
                <w:szCs w:val="28"/>
                <w:highlight w:val="none"/>
              </w:rPr>
            </w:pP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检查时间：</w:t>
            </w:r>
          </w:p>
        </w:tc>
      </w:tr>
      <w:tr>
        <w:tblPrEx>
          <w:tblLayout w:type="fixed"/>
          <w:tblCellMar>
            <w:top w:w="0" w:type="dxa"/>
            <w:left w:w="0" w:type="dxa"/>
            <w:bottom w:w="0" w:type="dxa"/>
            <w:right w:w="0" w:type="dxa"/>
          </w:tblCellMar>
        </w:tblPrEx>
        <w:trPr>
          <w:trHeight w:val="1915" w:hRule="atLeast"/>
          <w:jc w:val="center"/>
        </w:trPr>
        <w:tc>
          <w:tcPr>
            <w:tcW w:w="9660"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检查部门（签章）</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                                          </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　　年　　月　　　日</w:t>
            </w:r>
          </w:p>
        </w:tc>
      </w:tr>
    </w:tbl>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注：1、施工项目部收到本通知单后，须在指定时限内完成整改，并递交《施工安全隐患整改回复单》；2、本通知书一式三份，检查人员、责任施工项目部、责任监理项目部各持一份。3、表格中的签章是指签字或盖章。</w:t>
      </w:r>
    </w:p>
    <w:p>
      <w:pPr>
        <w:adjustRightInd w:val="0"/>
        <w:snapToGrid w:val="0"/>
        <w:spacing w:line="560" w:lineRule="exact"/>
        <w:ind w:left="420"/>
        <w:jc w:val="center"/>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r>
        <w:rPr>
          <w:rFonts w:hint="eastAsia" w:ascii="仿宋_GB2312" w:hAnsi="仿宋_GB2312" w:eastAsia="仿宋_GB2312" w:cs="仿宋_GB2312"/>
          <w:sz w:val="28"/>
          <w:szCs w:val="28"/>
          <w:highlight w:val="none"/>
        </w:rPr>
        <w:t>安全文明施工工作联系单（收取违约金）</w:t>
      </w:r>
    </w:p>
    <w:p>
      <w:pPr>
        <w:adjustRightInd w:val="0"/>
        <w:snapToGrid w:val="0"/>
        <w:spacing w:line="560" w:lineRule="exact"/>
        <w:ind w:firstLine="560" w:firstLineChars="200"/>
        <w:jc w:val="righ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基建（安）第   号</w:t>
      </w:r>
    </w:p>
    <w:tbl>
      <w:tblPr>
        <w:tblStyle w:val="12"/>
        <w:tblW w:w="9735" w:type="dxa"/>
        <w:jc w:val="center"/>
        <w:tblInd w:w="0" w:type="dxa"/>
        <w:tblLayout w:type="fixed"/>
        <w:tblCellMar>
          <w:top w:w="0" w:type="dxa"/>
          <w:left w:w="0" w:type="dxa"/>
          <w:bottom w:w="0" w:type="dxa"/>
          <w:right w:w="0" w:type="dxa"/>
        </w:tblCellMar>
      </w:tblPr>
      <w:tblGrid>
        <w:gridCol w:w="1382"/>
        <w:gridCol w:w="527"/>
        <w:gridCol w:w="568"/>
        <w:gridCol w:w="768"/>
        <w:gridCol w:w="104"/>
        <w:gridCol w:w="3148"/>
        <w:gridCol w:w="3238"/>
      </w:tblGrid>
      <w:tr>
        <w:tblPrEx>
          <w:tblLayout w:type="fixed"/>
        </w:tblPrEx>
        <w:trPr>
          <w:trHeight w:val="630" w:hRule="atLeast"/>
          <w:jc w:val="center"/>
        </w:trPr>
        <w:tc>
          <w:tcPr>
            <w:tcW w:w="247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责任单位项目部</w:t>
            </w:r>
          </w:p>
        </w:tc>
        <w:tc>
          <w:tcPr>
            <w:tcW w:w="7258"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trHeight w:val="180" w:hRule="atLeast"/>
          <w:jc w:val="center"/>
        </w:trPr>
        <w:tc>
          <w:tcPr>
            <w:tcW w:w="1382"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整改通知书编号</w:t>
            </w:r>
          </w:p>
        </w:tc>
        <w:tc>
          <w:tcPr>
            <w:tcW w:w="8353"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处   罚    标　　准　　依　　据</w:t>
            </w:r>
          </w:p>
        </w:tc>
      </w:tr>
      <w:tr>
        <w:tblPrEx>
          <w:tblLayout w:type="fixed"/>
          <w:tblCellMar>
            <w:top w:w="0" w:type="dxa"/>
            <w:left w:w="0" w:type="dxa"/>
            <w:bottom w:w="0" w:type="dxa"/>
            <w:right w:w="0" w:type="dxa"/>
          </w:tblCellMar>
        </w:tblPrEx>
        <w:trPr>
          <w:trHeight w:val="333" w:hRule="atLeast"/>
          <w:jc w:val="center"/>
        </w:trPr>
        <w:tc>
          <w:tcPr>
            <w:tcW w:w="1382"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收取违约金数额（元）</w:t>
            </w: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未按要求整改内容描述</w:t>
            </w:r>
          </w:p>
        </w:tc>
      </w:tr>
      <w:tr>
        <w:tblPrEx>
          <w:tblLayout w:type="fixed"/>
          <w:tblCellMar>
            <w:top w:w="0" w:type="dxa"/>
            <w:left w:w="0" w:type="dxa"/>
            <w:bottom w:w="0" w:type="dxa"/>
            <w:right w:w="0" w:type="dxa"/>
          </w:tblCellMar>
        </w:tblPrEx>
        <w:trPr>
          <w:trHeight w:val="974"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trHeight w:val="98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trHeight w:val="1025"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trHeight w:val="95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trHeight w:val="101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trHeight w:val="1040" w:hRule="atLeast"/>
          <w:jc w:val="center"/>
        </w:trPr>
        <w:tc>
          <w:tcPr>
            <w:tcW w:w="13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196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trHeight w:val="630" w:hRule="atLeast"/>
          <w:jc w:val="center"/>
        </w:trPr>
        <w:tc>
          <w:tcPr>
            <w:tcW w:w="1909"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sz w:val="28"/>
                <w:szCs w:val="28"/>
                <w:highlight w:val="none"/>
              </w:rPr>
            </w:pPr>
            <w:r>
              <w:rPr>
                <w:rFonts w:hint="eastAsia" w:ascii="仿宋_GB2312" w:hAnsi="仿宋_GB2312" w:eastAsia="仿宋_GB2312" w:cs="仿宋_GB2312"/>
                <w:sz w:val="28"/>
                <w:szCs w:val="28"/>
                <w:highlight w:val="none"/>
              </w:rPr>
              <w:t>收取违约金合计（元）</w:t>
            </w:r>
          </w:p>
        </w:tc>
        <w:tc>
          <w:tcPr>
            <w:tcW w:w="1440"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c>
          <w:tcPr>
            <w:tcW w:w="31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检查人员</w:t>
            </w: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sz w:val="28"/>
                <w:szCs w:val="28"/>
                <w:highlight w:val="none"/>
              </w:rPr>
            </w:pPr>
          </w:p>
        </w:tc>
      </w:tr>
      <w:tr>
        <w:tblPrEx>
          <w:tblLayout w:type="fixed"/>
          <w:tblCellMar>
            <w:top w:w="0" w:type="dxa"/>
            <w:left w:w="0" w:type="dxa"/>
            <w:bottom w:w="0" w:type="dxa"/>
            <w:right w:w="0" w:type="dxa"/>
          </w:tblCellMar>
        </w:tblPrEx>
        <w:trPr>
          <w:trHeight w:val="1834" w:hRule="atLeast"/>
          <w:jc w:val="center"/>
        </w:trPr>
        <w:tc>
          <w:tcPr>
            <w:tcW w:w="324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责任施工项目部（签章）</w:t>
            </w:r>
          </w:p>
        </w:tc>
        <w:tc>
          <w:tcPr>
            <w:tcW w:w="325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责任监理项目部（签章）</w:t>
            </w:r>
          </w:p>
          <w:p>
            <w:pPr>
              <w:adjustRightInd w:val="0"/>
              <w:snapToGrid w:val="0"/>
              <w:spacing w:line="560" w:lineRule="exact"/>
              <w:rPr>
                <w:rFonts w:ascii="仿宋_GB2312" w:hAnsi="仿宋_GB2312" w:eastAsia="仿宋_GB2312" w:cs="仿宋_GB2312"/>
                <w:sz w:val="28"/>
                <w:szCs w:val="28"/>
                <w:highlight w:val="none"/>
              </w:rPr>
            </w:pPr>
          </w:p>
          <w:p>
            <w:pPr>
              <w:adjustRightInd w:val="0"/>
              <w:snapToGrid w:val="0"/>
              <w:spacing w:line="560" w:lineRule="exact"/>
              <w:rPr>
                <w:rFonts w:ascii="仿宋_GB2312" w:hAnsi="仿宋_GB2312" w:eastAsia="仿宋_GB2312" w:cs="仿宋_GB2312"/>
                <w:sz w:val="28"/>
                <w:szCs w:val="28"/>
                <w:highlight w:val="none"/>
              </w:rPr>
            </w:pPr>
          </w:p>
          <w:p>
            <w:pPr>
              <w:adjustRightInd w:val="0"/>
              <w:snapToGrid w:val="0"/>
              <w:spacing w:line="560" w:lineRule="exact"/>
              <w:rPr>
                <w:rFonts w:ascii="仿宋_GB2312" w:hAnsi="仿宋_GB2312" w:eastAsia="仿宋_GB2312" w:cs="仿宋_GB2312"/>
                <w:sz w:val="28"/>
                <w:szCs w:val="28"/>
                <w:highlight w:val="none"/>
              </w:rPr>
            </w:pPr>
          </w:p>
          <w:p>
            <w:pPr>
              <w:adjustRightInd w:val="0"/>
              <w:snapToGrid w:val="0"/>
              <w:spacing w:line="560" w:lineRule="exact"/>
              <w:rPr>
                <w:rFonts w:ascii="仿宋_GB2312" w:hAnsi="仿宋_GB2312" w:eastAsia="仿宋_GB2312" w:cs="仿宋_GB2312"/>
                <w:sz w:val="28"/>
                <w:szCs w:val="28"/>
                <w:highlight w:val="none"/>
              </w:rPr>
            </w:pP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签发部门（签章）</w:t>
            </w:r>
          </w:p>
          <w:p>
            <w:pPr>
              <w:adjustRightInd w:val="0"/>
              <w:snapToGrid w:val="0"/>
              <w:spacing w:line="560" w:lineRule="exact"/>
              <w:rPr>
                <w:rFonts w:ascii="仿宋_GB2312" w:hAnsi="仿宋_GB2312" w:eastAsia="仿宋_GB2312" w:cs="仿宋_GB2312"/>
                <w:sz w:val="28"/>
                <w:szCs w:val="28"/>
                <w:highlight w:val="none"/>
              </w:rPr>
            </w:pPr>
          </w:p>
          <w:p>
            <w:pPr>
              <w:adjustRightInd w:val="0"/>
              <w:snapToGrid w:val="0"/>
              <w:spacing w:line="560" w:lineRule="exact"/>
              <w:rPr>
                <w:rFonts w:ascii="仿宋_GB2312" w:hAnsi="仿宋_GB2312" w:eastAsia="仿宋_GB2312" w:cs="仿宋_GB2312"/>
                <w:sz w:val="28"/>
                <w:szCs w:val="28"/>
                <w:highlight w:val="none"/>
              </w:rPr>
            </w:pP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   年   月    日</w:t>
            </w: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left"/>
        <w:textAlignment w:val="auto"/>
        <w:outlineLvl w:val="9"/>
        <w:rPr>
          <w:rFonts w:ascii="仿宋_GB2312" w:hAnsi="仿宋_GB2312" w:eastAsia="仿宋_GB2312" w:cs="仿宋_GB2312"/>
          <w:bCs/>
          <w:sz w:val="28"/>
          <w:szCs w:val="28"/>
          <w:highlight w:val="none"/>
        </w:rPr>
      </w:pPr>
      <w:r>
        <w:rPr>
          <w:rFonts w:hint="eastAsia" w:ascii="仿宋_GB2312" w:hAnsi="仿宋_GB2312" w:eastAsia="仿宋_GB2312" w:cs="仿宋_GB2312"/>
          <w:sz w:val="28"/>
          <w:szCs w:val="28"/>
          <w:highlight w:val="none"/>
        </w:rPr>
        <w:t>注：1、本扣分通知单一式四份，动力部、签发人、责任施工项目部和责任监理项目部各持一份。2、表格中的签章是指签字或盖章。</w:t>
      </w:r>
    </w:p>
    <w:p>
      <w:pPr>
        <w:widowControl/>
        <w:spacing w:line="560" w:lineRule="exact"/>
        <w:jc w:val="left"/>
        <w:rPr>
          <w:rFonts w:ascii="仿宋_GB2312" w:hAnsi="仿宋_GB2312" w:eastAsia="仿宋_GB2312" w:cs="仿宋_GB2312"/>
          <w:b/>
          <w:bCs/>
          <w:sz w:val="28"/>
          <w:szCs w:val="28"/>
          <w:highlight w:val="none"/>
        </w:rPr>
        <w:sectPr>
          <w:footerReference r:id="rId7" w:type="default"/>
          <w:pgSz w:w="11907" w:h="16840"/>
          <w:pgMar w:top="1134" w:right="1134" w:bottom="1134" w:left="1134" w:header="851" w:footer="992" w:gutter="0"/>
          <w:pgNumType w:start="1"/>
          <w:cols w:space="720" w:num="1"/>
          <w:docGrid w:linePitch="312" w:charSpace="0"/>
        </w:sectPr>
      </w:pPr>
      <w:bookmarkStart w:id="19" w:name="_Hlk126741364"/>
    </w:p>
    <w:p>
      <w:pPr>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附件4：</w:t>
      </w:r>
    </w:p>
    <w:p>
      <w:pPr>
        <w:adjustRightInd w:val="0"/>
        <w:snapToGrid w:val="0"/>
        <w:spacing w:line="560" w:lineRule="exact"/>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保密承诺书</w:t>
      </w:r>
    </w:p>
    <w:p>
      <w:pPr>
        <w:adjustRightInd w:val="0"/>
        <w:snapToGrid w:val="0"/>
        <w:spacing w:line="560" w:lineRule="exac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杭州萧山国际机场有限公司（以下简称“贵司”）：</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鉴于我司与贵司拟订立《杭州萧山国际机场</w:t>
      </w:r>
      <w:r>
        <w:rPr>
          <w:rFonts w:hint="eastAsia" w:ascii="仿宋_GB2312" w:hAnsi="仿宋_GB2312" w:eastAsia="仿宋_GB2312" w:cs="仿宋_GB2312"/>
          <w:sz w:val="28"/>
          <w:szCs w:val="28"/>
          <w:highlight w:val="none"/>
          <w:lang w:eastAsia="zh-CN"/>
        </w:rPr>
        <w:t>T1航站楼空侧亚运亮化项目</w:t>
      </w:r>
      <w:r>
        <w:rPr>
          <w:rFonts w:hint="eastAsia" w:ascii="仿宋_GB2312" w:hAnsi="仿宋_GB2312" w:eastAsia="仿宋_GB2312" w:cs="仿宋_GB2312"/>
          <w:sz w:val="28"/>
          <w:szCs w:val="28"/>
          <w:highlight w:val="none"/>
        </w:rPr>
        <w:t>施工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一、保密信息的范围</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交易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adjustRightInd w:val="0"/>
        <w:snapToGrid w:val="0"/>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二、保密承诺</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2.1对于贵司的保密信息，我司应严格予以保密，并采取所有保密措施和制度（包括但不仅限于我司为保护其自有商业保密信息所采用的措施和制度）保护该保密信息。</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 除法律规定或双方另有约定外，未经贵司书面同意，我司不得将贵司的保密信息泄露给任何第三方。</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三、保密信息的返还及处理</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四、保密期限</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我司的保密义务自我司获知贵司保密信息之日起至该等保密信息被合法公开之日止。</w:t>
      </w:r>
    </w:p>
    <w:p>
      <w:pPr>
        <w:adjustRightInd w:val="0"/>
        <w:snapToGrid w:val="0"/>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五、违约责任</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_GB2312" w:hAnsi="仿宋_GB2312" w:eastAsia="仿宋_GB2312" w:cs="仿宋_GB2312"/>
          <w:sz w:val="28"/>
          <w:szCs w:val="28"/>
          <w:highlight w:val="none"/>
        </w:rPr>
        <w:sym w:font="Wingdings" w:char="00A8"/>
      </w:r>
      <w:r>
        <w:rPr>
          <w:rFonts w:hint="eastAsia" w:ascii="仿宋_GB2312" w:hAnsi="仿宋_GB2312" w:eastAsia="仿宋_GB2312" w:cs="仿宋_GB2312"/>
          <w:sz w:val="28"/>
          <w:szCs w:val="28"/>
          <w:highlight w:val="none"/>
        </w:rPr>
        <w:t>已缴纳的履约保证金的10%；</w:t>
      </w:r>
      <w:r>
        <w:rPr>
          <w:rFonts w:hint="eastAsia" w:ascii="仿宋_GB2312" w:hAnsi="仿宋_GB2312" w:eastAsia="仿宋_GB2312" w:cs="仿宋_GB2312"/>
          <w:sz w:val="28"/>
          <w:szCs w:val="28"/>
          <w:highlight w:val="none"/>
        </w:rPr>
        <w:sym w:font="Wingdings" w:char="00FE"/>
      </w:r>
      <w:r>
        <w:rPr>
          <w:rFonts w:hint="eastAsia" w:ascii="仿宋_GB2312" w:hAnsi="仿宋_GB2312" w:eastAsia="仿宋_GB2312" w:cs="仿宋_GB2312"/>
          <w:sz w:val="28"/>
          <w:szCs w:val="28"/>
          <w:highlight w:val="none"/>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六、争议解决</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由于本承诺书的履行或解释而产生的或与之有关的任何争议，如双方无法协商解决，应提交贵司住所地人民法院解决。</w:t>
      </w:r>
    </w:p>
    <w:p>
      <w:pPr>
        <w:adjustRightInd w:val="0"/>
        <w:snapToGrid w:val="0"/>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七、其他</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本承诺书经我司法定代表人或授权代表签字（包含签章）并加盖我司公章之日起生效。</w:t>
      </w:r>
    </w:p>
    <w:p>
      <w:pPr>
        <w:adjustRightInd w:val="0"/>
        <w:snapToGrid w:val="0"/>
        <w:spacing w:line="560" w:lineRule="exact"/>
        <w:ind w:firstLine="560" w:firstLineChars="200"/>
        <w:jc w:val="right"/>
        <w:rPr>
          <w:rFonts w:ascii="仿宋_GB2312" w:hAnsi="仿宋_GB2312" w:eastAsia="仿宋_GB2312" w:cs="仿宋_GB2312"/>
          <w:sz w:val="28"/>
          <w:szCs w:val="28"/>
          <w:highlight w:val="none"/>
        </w:rPr>
      </w:pPr>
    </w:p>
    <w:p>
      <w:pPr>
        <w:adjustRightInd w:val="0"/>
        <w:snapToGrid w:val="0"/>
        <w:spacing w:line="560" w:lineRule="exact"/>
        <w:ind w:firstLine="560" w:firstLineChars="200"/>
        <w:jc w:val="righ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法定代表人(或授权代表)签字：【      】</w:t>
      </w:r>
    </w:p>
    <w:p>
      <w:pPr>
        <w:adjustRightInd w:val="0"/>
        <w:snapToGrid w:val="0"/>
        <w:spacing w:line="560" w:lineRule="exact"/>
        <w:ind w:firstLine="560" w:firstLineChars="200"/>
        <w:jc w:val="righ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盖章：【      】</w:t>
      </w:r>
    </w:p>
    <w:p>
      <w:pPr>
        <w:adjustRightInd w:val="0"/>
        <w:snapToGrid w:val="0"/>
        <w:spacing w:line="560" w:lineRule="exact"/>
        <w:ind w:firstLine="560" w:firstLineChars="200"/>
        <w:jc w:val="righ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w:t>
      </w:r>
      <w:bookmarkEnd w:id="19"/>
    </w:p>
    <w:p>
      <w:pPr>
        <w:pageBreakBefore/>
        <w:spacing w:line="560" w:lineRule="exact"/>
        <w:rPr>
          <w:rFonts w:ascii="黑体" w:hAnsi="黑体" w:eastAsia="黑体" w:cs="黑体"/>
          <w:sz w:val="32"/>
          <w:szCs w:val="32"/>
          <w:highlight w:val="none"/>
        </w:rPr>
      </w:pPr>
      <w:r>
        <w:rPr>
          <w:rFonts w:hint="eastAsia" w:ascii="黑体" w:hAnsi="黑体" w:eastAsia="黑体" w:cs="黑体"/>
          <w:sz w:val="32"/>
          <w:szCs w:val="32"/>
          <w:highlight w:val="none"/>
        </w:rPr>
        <w:t>附件5：</w:t>
      </w:r>
    </w:p>
    <w:p>
      <w:pPr>
        <w:adjustRightInd w:val="0"/>
        <w:snapToGrid w:val="0"/>
        <w:spacing w:line="560" w:lineRule="exact"/>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廉政承诺书</w:t>
      </w:r>
    </w:p>
    <w:p>
      <w:pPr>
        <w:adjustRightInd w:val="0"/>
        <w:snapToGrid w:val="0"/>
        <w:spacing w:line="56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杭州萧山国际机场有限公司（以下简称“贵司”）：</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鉴于：贵司与我司拟订立《杭州萧山国际机场</w:t>
      </w:r>
      <w:r>
        <w:rPr>
          <w:rFonts w:hint="eastAsia" w:ascii="仿宋_GB2312" w:hAnsi="仿宋_GB2312" w:eastAsia="仿宋_GB2312" w:cs="仿宋_GB2312"/>
          <w:sz w:val="28"/>
          <w:szCs w:val="28"/>
          <w:highlight w:val="none"/>
          <w:lang w:eastAsia="zh-CN"/>
        </w:rPr>
        <w:t>T1航站楼空侧亚运亮化项目</w:t>
      </w:r>
      <w:r>
        <w:rPr>
          <w:rFonts w:hint="eastAsia" w:ascii="仿宋_GB2312" w:hAnsi="仿宋_GB2312" w:eastAsia="仿宋_GB2312" w:cs="仿宋_GB2312"/>
          <w:sz w:val="28"/>
          <w:szCs w:val="28"/>
          <w:highlight w:val="none"/>
        </w:rPr>
        <w:t>施工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6"/>
        </w:numPr>
        <w:adjustRightInd w:val="0"/>
        <w:snapToGrid w:val="0"/>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廉政承诺</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我司应严格遵守国家的法律法规和党的纪律以及行业的廉政建设规定，并组织宣传，形成浓厚的反腐倡廉氛围。</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如贵司发现我司及我司工作人员有违反廉政规定的行为时，有义务提醒并有权利制止，必要时有权向我司上级主管部门反映或向当地纪律监察部门举报（我司纪检监察部门举报电话：【/】）。</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我司应建立健全廉政建设责任制，明确廉政建设管理部门，公布举报电话，严格监督并认真查处违法违纪行为。</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我司应从国家和集体利益出发，共同促进各合作项目的顺利进行，自觉遵守贵司相关的规章制度和现场管理规定。</w:t>
      </w:r>
    </w:p>
    <w:p>
      <w:pPr>
        <w:numPr>
          <w:ilvl w:val="1"/>
          <w:numId w:val="7"/>
        </w:num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我司及其工作人员承诺：</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以任何形式，无论是主动或是被动的，向贵司有关人员或贵司聘请的包括但不限于项目设计、造价咨询、审计、评审专家、顾问等中间机构、第三方人员赠送无论有价或无价的礼金、礼物、酬金、代币券、回扣、中介费、咨询费、好处费等利益、收益或条件；或就上述内容作出任何暗示、许诺、允诺；不以任何形式接受此项目相关利益方（包括但不限于施工、响应交易、被评估、被检测、被审计、被审图等第三方）有关人员赠送无论有价或无价的礼金、礼物、酬金、或其它代币券、回扣、中介费、咨询费、好处费等利益、收益或条件；</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以任何名义为贵司有关人员报销应由贵司或个人支付的费用；不以任何形式接受此项目相关利益方（包括但不限于施工、响应交易、被评估、被检测、被审计、被图审等第三方）有关人员报销应由贵司或个人支付的费用；</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向贵司有关人员提供宴请、旅游、和健身娱乐等活动；不以任何形式接受此项目施相关利益方（包括但不限于施工、响应交易、被评估、被检测、被审计、被图审等第三方）有关人员提供宴请、旅游、和健身娱乐等活动；</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为贵司有关人员出国（境）、旅游等提供方便；不以任何形式接受此项目施工方相关利益方（包括但不限于施工、响应交易、被评估、被检测、被审计、被图审等第三方）有关人员提供的出国（境）、旅游等提供方便；</w:t>
      </w:r>
    </w:p>
    <w:p>
      <w:pPr>
        <w:numPr>
          <w:ilvl w:val="2"/>
          <w:numId w:val="7"/>
        </w:num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不为贵司有关人员个人装修住房、婚丧嫁娶、配偶子女工作安排等提供好处或便利条件；不以任何形式接受此项目相关利益方（包括但不限于施工、响应交易、被评估、被检测、被审计、被图审等第三方）有关人员提供个人装修住房、婚丧嫁娶、配偶子女工作安排等提供好处或便利条件。</w:t>
      </w:r>
    </w:p>
    <w:p>
      <w:pPr>
        <w:numPr>
          <w:ilvl w:val="0"/>
          <w:numId w:val="6"/>
        </w:numPr>
        <w:adjustRightInd w:val="0"/>
        <w:snapToGrid w:val="0"/>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违约责任</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 我司工作人员违反上述约定条款的，我司应按党、政管理权限和党纪、政纪的处罚规定，给予处理；情节严重的，报请司法机关处理。</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 如我司违反本承诺书项下廉洁自律承诺，贵司有权：</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2.2.1 立即取消我司响应交易、成交或在建项目的实施资格；</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2.2.2 扣除我司在主合同项下【</w:t>
      </w:r>
      <w:r>
        <w:rPr>
          <w:rFonts w:hint="eastAsia" w:ascii="仿宋_GB2312" w:hAnsi="仿宋_GB2312" w:eastAsia="仿宋_GB2312" w:cs="仿宋_GB2312"/>
          <w:sz w:val="28"/>
          <w:szCs w:val="28"/>
          <w:highlight w:val="none"/>
        </w:rPr>
        <w:sym w:font="Wingdings" w:char="00A8"/>
      </w:r>
      <w:r>
        <w:rPr>
          <w:rFonts w:hint="eastAsia" w:ascii="仿宋_GB2312" w:hAnsi="仿宋_GB2312" w:eastAsia="仿宋_GB2312" w:cs="仿宋_GB2312"/>
          <w:sz w:val="28"/>
          <w:szCs w:val="28"/>
          <w:highlight w:val="none"/>
        </w:rPr>
        <w:t>已缴纳的履约保证金的10%；</w:t>
      </w:r>
      <w:r>
        <w:rPr>
          <w:rFonts w:hint="eastAsia" w:ascii="仿宋_GB2312" w:hAnsi="仿宋_GB2312" w:eastAsia="仿宋_GB2312" w:cs="仿宋_GB2312"/>
          <w:sz w:val="28"/>
          <w:szCs w:val="28"/>
          <w:highlight w:val="none"/>
        </w:rPr>
        <w:sym w:font="Wingdings" w:char="00FE"/>
      </w:r>
      <w:r>
        <w:rPr>
          <w:rFonts w:hint="eastAsia" w:ascii="仿宋_GB2312" w:hAnsi="仿宋_GB2312" w:eastAsia="仿宋_GB2312" w:cs="仿宋_GB2312"/>
          <w:sz w:val="28"/>
          <w:szCs w:val="28"/>
          <w:highlight w:val="none"/>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2.2.3 拒绝我司在一定时期内参与贵司其他项目或经营活动的响应交易、服务。</w:t>
      </w:r>
    </w:p>
    <w:p>
      <w:pPr>
        <w:numPr>
          <w:ilvl w:val="0"/>
          <w:numId w:val="6"/>
        </w:numPr>
        <w:adjustRightInd w:val="0"/>
        <w:snapToGrid w:val="0"/>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争议解决</w:t>
      </w:r>
    </w:p>
    <w:p>
      <w:pPr>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由于本承诺书的履行或解释而产生的或与之有关的任何争议，如双方无法协商解决，应提交贵司住所地人民法院解决。</w:t>
      </w:r>
    </w:p>
    <w:p>
      <w:pPr>
        <w:numPr>
          <w:ilvl w:val="0"/>
          <w:numId w:val="6"/>
        </w:numPr>
        <w:adjustRightInd w:val="0"/>
        <w:snapToGrid w:val="0"/>
        <w:spacing w:line="560" w:lineRule="exact"/>
        <w:ind w:firstLine="562" w:firstLineChars="2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其他</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本承诺书经我司法定代表人或授权代表签字（包含签章）并加盖我司公章之日起生效。</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highlight w:val="none"/>
        </w:rPr>
      </w:pPr>
    </w:p>
    <w:p>
      <w:pPr>
        <w:tabs>
          <w:tab w:val="right" w:pos="8306"/>
        </w:tabs>
        <w:adjustRightInd w:val="0"/>
        <w:snapToGrid w:val="0"/>
        <w:spacing w:line="560" w:lineRule="exact"/>
        <w:ind w:firstLine="560" w:firstLineChars="200"/>
        <w:jc w:val="righ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法定代表人(或授权代表)签字：【      】</w:t>
      </w:r>
    </w:p>
    <w:p>
      <w:pPr>
        <w:tabs>
          <w:tab w:val="right" w:pos="8306"/>
        </w:tabs>
        <w:adjustRightInd w:val="0"/>
        <w:snapToGrid w:val="0"/>
        <w:spacing w:line="560" w:lineRule="exact"/>
        <w:ind w:firstLine="560" w:firstLineChars="200"/>
        <w:jc w:val="righ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盖章：【      】</w:t>
      </w:r>
    </w:p>
    <w:p>
      <w:pPr>
        <w:tabs>
          <w:tab w:val="right" w:pos="8306"/>
        </w:tabs>
        <w:adjustRightInd w:val="0"/>
        <w:snapToGrid w:val="0"/>
        <w:spacing w:line="560" w:lineRule="exact"/>
        <w:ind w:firstLine="560" w:firstLineChars="200"/>
        <w:jc w:val="righ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      】</w:t>
      </w:r>
    </w:p>
    <w:p>
      <w:pPr>
        <w:spacing w:line="560" w:lineRule="exact"/>
        <w:ind w:firstLine="560" w:firstLineChars="200"/>
        <w:rPr>
          <w:rFonts w:ascii="仿宋_GB2312" w:hAnsi="仿宋_GB2312" w:eastAsia="仿宋_GB2312" w:cs="仿宋_GB2312"/>
          <w:sz w:val="28"/>
          <w:szCs w:val="28"/>
          <w:highlight w:val="none"/>
        </w:rPr>
      </w:pPr>
    </w:p>
    <w:p>
      <w:pPr>
        <w:spacing w:line="560" w:lineRule="exact"/>
        <w:rPr>
          <w:rFonts w:ascii="宋体" w:hAnsi="宋体" w:eastAsia="宋体" w:cs="宋体"/>
          <w:color w:val="000000"/>
          <w:sz w:val="22"/>
          <w:highlight w:val="none"/>
        </w:rPr>
      </w:pPr>
    </w:p>
    <w:p>
      <w:pPr>
        <w:spacing w:line="560" w:lineRule="exact"/>
        <w:rPr>
          <w:rFonts w:ascii="宋体" w:hAnsi="宋体" w:eastAsia="宋体" w:cs="宋体"/>
          <w:color w:val="000000"/>
          <w:sz w:val="22"/>
          <w:highlight w:val="none"/>
        </w:rPr>
      </w:pPr>
    </w:p>
    <w:p>
      <w:pPr>
        <w:pStyle w:val="9"/>
        <w:pageBreakBefore/>
        <w:numPr>
          <w:ilvl w:val="0"/>
          <w:numId w:val="8"/>
        </w:numPr>
        <w:spacing w:before="0" w:after="0" w:line="560" w:lineRule="exact"/>
        <w:rPr>
          <w:rFonts w:hint="eastAsia"/>
          <w:highlight w:val="none"/>
        </w:rPr>
      </w:pPr>
      <w:bookmarkStart w:id="20" w:name="_Toc139786918"/>
      <w:r>
        <w:rPr>
          <w:rFonts w:hint="eastAsia"/>
          <w:highlight w:val="none"/>
        </w:rPr>
        <w:t>工程量清单</w:t>
      </w:r>
      <w:bookmarkEnd w:id="17"/>
      <w:bookmarkEnd w:id="20"/>
    </w:p>
    <w:p>
      <w:pPr>
        <w:rPr>
          <w:rFonts w:hint="eastAsia"/>
          <w:highlight w:val="none"/>
        </w:rPr>
      </w:pPr>
    </w:p>
    <w:tbl>
      <w:tblPr>
        <w:tblStyle w:val="12"/>
        <w:tblW w:w="966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5"/>
        <w:gridCol w:w="970"/>
        <w:gridCol w:w="2808"/>
        <w:gridCol w:w="715"/>
        <w:gridCol w:w="1078"/>
        <w:gridCol w:w="1085"/>
        <w:gridCol w:w="1266"/>
        <w:gridCol w:w="1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9669" w:type="dxa"/>
            <w:gridSpan w:val="8"/>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T1航站楼空侧亚运亮化项目参考工程量清单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7141" w:type="dxa"/>
            <w:gridSpan w:val="6"/>
            <w:shd w:val="clear" w:color="auto" w:fill="FFFFFF"/>
            <w:vAlign w:val="bottom"/>
          </w:tcPr>
          <w:p>
            <w:pPr>
              <w:jc w:val="left"/>
              <w:rPr>
                <w:rFonts w:hint="eastAsia" w:ascii="宋体" w:hAnsi="宋体" w:eastAsia="宋体" w:cs="宋体"/>
                <w:i w:val="0"/>
                <w:color w:val="000000"/>
                <w:sz w:val="18"/>
                <w:szCs w:val="18"/>
                <w:highlight w:val="none"/>
                <w:u w:val="none"/>
              </w:rPr>
            </w:pPr>
          </w:p>
        </w:tc>
        <w:tc>
          <w:tcPr>
            <w:tcW w:w="2528" w:type="dxa"/>
            <w:gridSpan w:val="2"/>
            <w:tcBorders>
              <w:bottom w:val="single" w:color="auto"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序号</w:t>
            </w:r>
          </w:p>
        </w:tc>
        <w:tc>
          <w:tcPr>
            <w:tcW w:w="970"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定额编号</w:t>
            </w: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名称及说明</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单位</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工程数量</w:t>
            </w:r>
          </w:p>
        </w:tc>
        <w:tc>
          <w:tcPr>
            <w:tcW w:w="1085" w:type="dxa"/>
            <w:tcBorders>
              <w:top w:val="single" w:color="000000" w:sz="4" w:space="0"/>
              <w:left w:val="single" w:color="000000"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综合单价(元)</w:t>
            </w:r>
          </w:p>
        </w:tc>
        <w:tc>
          <w:tcPr>
            <w:tcW w:w="1266" w:type="dxa"/>
            <w:tcBorders>
              <w:top w:val="single" w:color="auto" w:sz="4" w:space="0"/>
              <w:left w:val="single" w:color="auto" w:sz="4" w:space="0"/>
              <w:bottom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合价(元)</w:t>
            </w:r>
          </w:p>
        </w:tc>
        <w:tc>
          <w:tcPr>
            <w:tcW w:w="1262"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1P20A空开安装</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4.000</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auto"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3P32A空开安装</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时控开关</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220V/32A交流接触器</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304不锈钢配电箱（400*300*150MM)</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LED250W泛光灯安装（灯具含支架可调节角度，具有不锈钢金属防坠链，色温：5700K，防雷等级≥10KV（共模），电源防护等级IP65，模组防护等级IP68，电源与模组之间采用并联方式，电源接头处做好防水处理）</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套</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50.000</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穿照明线 铜芯导线截面（mm2以内）6</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m</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2600.000</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PVC线管 公称直径（mm）50（含配件）</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m</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20.000</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PVC线管 公称直径（mm）25（含配件）</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m</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800.000</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塑料防水接线盒150*150</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50.000</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铜芯电力电缆敷设 电缆 YJV5*16</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m</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20.000</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电缆终端头</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m</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明管刷防火涂料</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m2</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42.625</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灯具支架安装制作（50*50厚4MM热镀锌角铁）</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m</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75.000</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登高辅助费</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项</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25"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隔离区施工措施费 （因隔离区内的的施工，投标人须采用相应施工措施，包括施工导致的夜间加班、工效降低、证件办理等需产生的费用必须充分考虑，费用包含在投标报价中）</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项</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施工安全监管费 （投标需考虑聘请专业保安（负责门卫、巡逻、施工现场看护、隔离区围界看护等工作，人数每8小时不得少于1人，并配备相应的保卫措施）</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元</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4000.000</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18</w:t>
            </w:r>
          </w:p>
        </w:tc>
        <w:tc>
          <w:tcPr>
            <w:tcW w:w="970"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000000"/>
                <w:sz w:val="18"/>
                <w:szCs w:val="18"/>
                <w:highlight w:val="none"/>
                <w:u w:val="none"/>
              </w:rPr>
            </w:pPr>
          </w:p>
        </w:tc>
        <w:tc>
          <w:tcPr>
            <w:tcW w:w="2808"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材料搬运及垃圾清理外运</w:t>
            </w:r>
          </w:p>
        </w:tc>
        <w:tc>
          <w:tcPr>
            <w:tcW w:w="71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项</w:t>
            </w:r>
          </w:p>
        </w:tc>
        <w:tc>
          <w:tcPr>
            <w:tcW w:w="1078"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c>
          <w:tcPr>
            <w:tcW w:w="1085"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7141" w:type="dxa"/>
            <w:gridSpan w:val="6"/>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000000"/>
                <w:sz w:val="18"/>
                <w:szCs w:val="18"/>
                <w:highlight w:val="none"/>
                <w:u w:val="none"/>
              </w:rPr>
            </w:pPr>
          </w:p>
        </w:tc>
        <w:tc>
          <w:tcPr>
            <w:tcW w:w="126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7141" w:type="dxa"/>
            <w:gridSpan w:val="6"/>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    计</w:t>
            </w:r>
          </w:p>
        </w:tc>
        <w:tc>
          <w:tcPr>
            <w:tcW w:w="1266" w:type="dxa"/>
            <w:tcBorders>
              <w:top w:val="single" w:color="000000" w:sz="4" w:space="0"/>
              <w:left w:val="single" w:color="000000" w:sz="4" w:space="0"/>
              <w:bottom w:val="single" w:color="000000" w:sz="4" w:space="0"/>
            </w:tcBorders>
            <w:shd w:val="clear" w:color="auto" w:fill="FFFFFF"/>
            <w:vAlign w:val="center"/>
          </w:tcPr>
          <w:p>
            <w:pPr>
              <w:jc w:val="right"/>
              <w:rPr>
                <w:rFonts w:hint="eastAsia" w:ascii="宋体" w:hAnsi="宋体" w:eastAsia="宋体" w:cs="宋体"/>
                <w:i w:val="0"/>
                <w:color w:val="000000"/>
                <w:sz w:val="18"/>
                <w:szCs w:val="18"/>
                <w:highlight w:val="none"/>
                <w:u w:val="none"/>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000000"/>
                <w:sz w:val="20"/>
                <w:szCs w:val="20"/>
                <w:highlight w:val="none"/>
                <w:u w:val="none"/>
              </w:rPr>
            </w:pPr>
          </w:p>
        </w:tc>
      </w:tr>
    </w:tbl>
    <w:p>
      <w:pPr>
        <w:pStyle w:val="9"/>
        <w:keepNext/>
        <w:pageBreakBefore/>
        <w:spacing w:before="0" w:after="0" w:line="560" w:lineRule="exact"/>
        <w:rPr>
          <w:highlight w:val="none"/>
        </w:rPr>
      </w:pPr>
      <w:bookmarkStart w:id="21" w:name="_Toc17683"/>
      <w:bookmarkStart w:id="22" w:name="_Toc139786919"/>
      <w:bookmarkStart w:id="23" w:name="_Toc275274581"/>
      <w:bookmarkStart w:id="24" w:name="_Toc448097409"/>
      <w:r>
        <w:rPr>
          <w:rFonts w:hint="eastAsia"/>
          <w:highlight w:val="none"/>
        </w:rPr>
        <w:t>第五章</w:t>
      </w:r>
      <w:r>
        <w:rPr>
          <w:highlight w:val="none"/>
        </w:rPr>
        <w:t xml:space="preserve"> </w:t>
      </w:r>
      <w:r>
        <w:rPr>
          <w:rFonts w:hint="eastAsia"/>
          <w:highlight w:val="none"/>
        </w:rPr>
        <w:t>技术标准及要求</w:t>
      </w:r>
      <w:bookmarkEnd w:id="21"/>
      <w:bookmarkEnd w:id="22"/>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一、总体要求</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招标范围：主要工作内容具体详见工程量清单</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1.1.1适用法律、法规名称：</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中华人民共和国建筑法</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中华人民共和国民法典</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中华人民共和国招标投标法</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建设工程质量管理条例（国务院279号令）</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bookmarkStart w:id="25" w:name="_Toc66769198"/>
      <w:r>
        <w:rPr>
          <w:rFonts w:hint="eastAsia" w:ascii="仿宋_GB2312" w:hAnsi="仿宋_GB2312" w:eastAsia="仿宋_GB2312" w:cs="仿宋_GB2312"/>
          <w:sz w:val="28"/>
          <w:szCs w:val="28"/>
          <w:highlight w:val="none"/>
        </w:rPr>
        <w:t>二、材料要求</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2.1工程材料选择</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（1）设备材料选择 </w:t>
      </w:r>
    </w:p>
    <w:p>
      <w:pPr>
        <w:widowControl/>
        <w:tabs>
          <w:tab w:val="left" w:pos="720"/>
        </w:tabs>
        <w:snapToGrid w:val="0"/>
        <w:spacing w:line="360" w:lineRule="exact"/>
        <w:ind w:firstLine="560" w:firstLineChars="200"/>
        <w:jc w:val="left"/>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560" w:firstLineChars="200"/>
        <w:jc w:val="left"/>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2)招标人推荐的品牌详见“</w:t>
      </w:r>
      <w:r>
        <w:rPr>
          <w:rFonts w:hint="eastAsia" w:ascii="仿宋_GB2312" w:hAnsi="仿宋_GB2312" w:eastAsia="仿宋_GB2312" w:cs="仿宋_GB2312"/>
          <w:sz w:val="28"/>
          <w:szCs w:val="28"/>
          <w:highlight w:val="none"/>
        </w:rPr>
        <w:t>主要材料设备推荐品牌一览表</w:t>
      </w:r>
      <w:r>
        <w:rPr>
          <w:rFonts w:hint="eastAsia" w:ascii="仿宋_GB2312" w:hAnsi="仿宋_GB2312" w:eastAsia="仿宋_GB2312" w:cs="仿宋_GB2312"/>
          <w:sz w:val="28"/>
          <w:szCs w:val="28"/>
          <w:highlight w:val="none"/>
          <w:lang w:val="zh-CN"/>
        </w:rPr>
        <w:t>”中内容。</w:t>
      </w:r>
    </w:p>
    <w:p>
      <w:pPr>
        <w:keepNext w:val="0"/>
        <w:keepLines w:val="0"/>
        <w:pageBreakBefore w:val="0"/>
        <w:widowControl/>
        <w:tabs>
          <w:tab w:val="left" w:pos="720"/>
        </w:tabs>
        <w:kinsoku/>
        <w:wordWrap/>
        <w:overflowPunct/>
        <w:topLinePunct w:val="0"/>
        <w:autoSpaceDE/>
        <w:autoSpaceDN/>
        <w:bidi w:val="0"/>
        <w:adjustRightInd/>
        <w:snapToGrid w:val="0"/>
        <w:spacing w:line="360" w:lineRule="exact"/>
        <w:ind w:left="0" w:leftChars="0" w:right="0" w:rightChars="0"/>
        <w:jc w:val="center"/>
        <w:textAlignment w:val="auto"/>
        <w:outlineLvl w:val="9"/>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主要材料设备推荐品牌一览表</w:t>
      </w:r>
    </w:p>
    <w:tbl>
      <w:tblPr>
        <w:tblStyle w:val="12"/>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223"/>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376" w:type="dxa"/>
          </w:tcPr>
          <w:p>
            <w:pPr>
              <w:keepNext w:val="0"/>
              <w:keepLines w:val="0"/>
              <w:pageBreakBefore w:val="0"/>
              <w:widowControl/>
              <w:tabs>
                <w:tab w:val="left" w:pos="720"/>
              </w:tabs>
              <w:kinsoku/>
              <w:wordWrap/>
              <w:overflowPunct/>
              <w:topLinePunct w:val="0"/>
              <w:autoSpaceDE/>
              <w:autoSpaceDN/>
              <w:bidi w:val="0"/>
              <w:adjustRightInd/>
              <w:snapToGrid w:val="0"/>
              <w:spacing w:line="360" w:lineRule="exact"/>
              <w:ind w:left="0" w:leftChars="0" w:right="0" w:rightChars="0"/>
              <w:jc w:val="center"/>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序号</w:t>
            </w:r>
          </w:p>
        </w:tc>
        <w:tc>
          <w:tcPr>
            <w:tcW w:w="2223" w:type="dxa"/>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材料</w:t>
            </w:r>
          </w:p>
        </w:tc>
        <w:tc>
          <w:tcPr>
            <w:tcW w:w="6256" w:type="dxa"/>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p>
        </w:tc>
        <w:tc>
          <w:tcPr>
            <w:tcW w:w="2223" w:type="dxa"/>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bCs/>
                <w:sz w:val="28"/>
                <w:szCs w:val="28"/>
                <w:highlight w:val="none"/>
              </w:rPr>
            </w:pPr>
            <w:r>
              <w:rPr>
                <w:rFonts w:hint="eastAsia" w:ascii="仿宋_GB2312" w:hAnsi="仿宋_GB2312" w:eastAsia="仿宋_GB2312" w:cs="仿宋_GB2312"/>
                <w:sz w:val="28"/>
                <w:szCs w:val="28"/>
                <w:highlight w:val="none"/>
              </w:rPr>
              <w:t>电</w:t>
            </w:r>
            <w:r>
              <w:rPr>
                <w:rFonts w:hint="eastAsia" w:ascii="仿宋_GB2312" w:hAnsi="仿宋_GB2312" w:eastAsia="仿宋_GB2312" w:cs="仿宋_GB2312"/>
                <w:sz w:val="28"/>
                <w:szCs w:val="28"/>
                <w:highlight w:val="none"/>
                <w:lang w:val="en-US" w:eastAsia="zh-CN"/>
              </w:rPr>
              <w:t>线、</w:t>
            </w:r>
            <w:r>
              <w:rPr>
                <w:rFonts w:hint="eastAsia" w:ascii="仿宋_GB2312" w:hAnsi="仿宋_GB2312" w:eastAsia="仿宋_GB2312" w:cs="仿宋_GB2312"/>
                <w:sz w:val="28"/>
                <w:szCs w:val="28"/>
                <w:highlight w:val="none"/>
              </w:rPr>
              <w:t>电缆</w:t>
            </w:r>
          </w:p>
        </w:tc>
        <w:tc>
          <w:tcPr>
            <w:tcW w:w="6256" w:type="dxa"/>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ascii="仿宋_GB2312" w:hAnsi="仿宋_GB2312" w:eastAsia="仿宋_GB2312" w:cs="仿宋_GB2312"/>
                <w:bCs/>
                <w:sz w:val="28"/>
                <w:szCs w:val="28"/>
                <w:highlight w:val="none"/>
              </w:rPr>
            </w:pPr>
            <w:r>
              <w:rPr>
                <w:rFonts w:hint="eastAsia" w:ascii="仿宋_GB2312" w:hAnsi="仿宋_GB2312" w:eastAsia="仿宋_GB2312" w:cs="仿宋_GB2312"/>
                <w:sz w:val="28"/>
                <w:szCs w:val="28"/>
                <w:highlight w:val="none"/>
              </w:rPr>
              <w:t>远东电缆、中大元通、浙江万马或“相当于”品牌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p>
        </w:tc>
        <w:tc>
          <w:tcPr>
            <w:tcW w:w="2223" w:type="dxa"/>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i w:val="0"/>
                <w:color w:val="000000"/>
                <w:kern w:val="0"/>
                <w:sz w:val="28"/>
                <w:szCs w:val="28"/>
                <w:highlight w:val="none"/>
                <w:u w:val="none"/>
                <w:lang w:val="en-US" w:eastAsia="zh-CN" w:bidi="ar"/>
              </w:rPr>
              <w:t>时控开关</w:t>
            </w:r>
          </w:p>
        </w:tc>
        <w:tc>
          <w:tcPr>
            <w:tcW w:w="6256" w:type="dxa"/>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正泰</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人民电器</w:t>
            </w:r>
            <w:r>
              <w:rPr>
                <w:rFonts w:hint="eastAsia" w:ascii="仿宋_GB2312" w:hAnsi="仿宋_GB2312" w:eastAsia="仿宋_GB2312" w:cs="仿宋_GB2312"/>
                <w:sz w:val="28"/>
                <w:szCs w:val="28"/>
                <w:highlight w:val="none"/>
              </w:rPr>
              <w:t>、德力西或“相当于”品牌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p>
        </w:tc>
        <w:tc>
          <w:tcPr>
            <w:tcW w:w="2223" w:type="dxa"/>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空开</w:t>
            </w:r>
          </w:p>
        </w:tc>
        <w:tc>
          <w:tcPr>
            <w:tcW w:w="6256" w:type="dxa"/>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施耐德、西门子、ABB或“相当于”品牌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w:t>
            </w:r>
          </w:p>
        </w:tc>
        <w:tc>
          <w:tcPr>
            <w:tcW w:w="2223" w:type="dxa"/>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i w:val="0"/>
                <w:color w:val="000000"/>
                <w:kern w:val="0"/>
                <w:sz w:val="28"/>
                <w:szCs w:val="28"/>
                <w:highlight w:val="none"/>
                <w:u w:val="none"/>
                <w:lang w:val="en-US" w:eastAsia="zh-CN" w:bidi="ar"/>
              </w:rPr>
              <w:t>交流接触器</w:t>
            </w:r>
          </w:p>
        </w:tc>
        <w:tc>
          <w:tcPr>
            <w:tcW w:w="6256" w:type="dxa"/>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施耐德、西门子、ABB或“相当于”品牌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w:t>
            </w:r>
          </w:p>
        </w:tc>
        <w:tc>
          <w:tcPr>
            <w:tcW w:w="2223" w:type="dxa"/>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PVC线</w:t>
            </w:r>
            <w:r>
              <w:rPr>
                <w:rFonts w:hint="eastAsia" w:ascii="仿宋_GB2312" w:hAnsi="仿宋_GB2312" w:eastAsia="仿宋_GB2312" w:cs="仿宋_GB2312"/>
                <w:sz w:val="28"/>
                <w:szCs w:val="28"/>
                <w:highlight w:val="none"/>
                <w:lang w:val="en-US" w:eastAsia="zh-CN"/>
              </w:rPr>
              <w:t>管</w:t>
            </w:r>
          </w:p>
        </w:tc>
        <w:tc>
          <w:tcPr>
            <w:tcW w:w="6256" w:type="dxa"/>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center"/>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中财、公元、伟星或“相当于”品牌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6</w:t>
            </w:r>
          </w:p>
        </w:tc>
        <w:tc>
          <w:tcPr>
            <w:tcW w:w="2223" w:type="dxa"/>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LED泛光灯</w:t>
            </w:r>
          </w:p>
        </w:tc>
        <w:tc>
          <w:tcPr>
            <w:tcW w:w="6256" w:type="dxa"/>
            <w:vAlign w:val="center"/>
          </w:tcPr>
          <w:p>
            <w:pPr>
              <w:keepNext w:val="0"/>
              <w:keepLines w:val="0"/>
              <w:pageBreakBefore w:val="0"/>
              <w:kinsoku/>
              <w:wordWrap/>
              <w:overflowPunct/>
              <w:topLinePunct w:val="0"/>
              <w:autoSpaceDE/>
              <w:autoSpaceDN/>
              <w:bidi w:val="0"/>
              <w:adjustRightInd/>
              <w:snapToGrid w:val="0"/>
              <w:spacing w:line="360" w:lineRule="exact"/>
              <w:ind w:left="0" w:leftChars="0" w:right="0" w:rightChars="0"/>
              <w:jc w:val="both"/>
              <w:textAlignment w:val="auto"/>
              <w:outlineLvl w:val="9"/>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灯具驱动品牌：</w:t>
            </w:r>
            <w:r>
              <w:rPr>
                <w:rFonts w:hint="eastAsia" w:ascii="仿宋_GB2312" w:hAnsi="仿宋_GB2312" w:eastAsia="仿宋_GB2312" w:cs="仿宋_GB2312"/>
                <w:bCs/>
                <w:sz w:val="28"/>
                <w:szCs w:val="28"/>
                <w:highlight w:val="none"/>
              </w:rPr>
              <w:t>茂硕、明纬、英飞特或“相当于”品牌</w:t>
            </w:r>
          </w:p>
          <w:p>
            <w:pPr>
              <w:keepNext w:val="0"/>
              <w:keepLines w:val="0"/>
              <w:pageBreakBefore w:val="0"/>
              <w:kinsoku/>
              <w:wordWrap/>
              <w:overflowPunct/>
              <w:topLinePunct w:val="0"/>
              <w:autoSpaceDE/>
              <w:autoSpaceDN/>
              <w:bidi w:val="0"/>
              <w:adjustRightInd/>
              <w:snapToGrid w:val="0"/>
              <w:spacing w:line="360" w:lineRule="exact"/>
              <w:ind w:left="0" w:leftChars="0" w:right="0" w:rightChars="0"/>
              <w:jc w:val="both"/>
              <w:textAlignment w:val="auto"/>
              <w:outlineLvl w:val="9"/>
              <w:rPr>
                <w:rFonts w:hint="eastAsia"/>
              </w:rPr>
            </w:pPr>
            <w:r>
              <w:rPr>
                <w:rFonts w:hint="eastAsia" w:ascii="仿宋_GB2312" w:hAnsi="仿宋_GB2312" w:eastAsia="仿宋_GB2312" w:cs="仿宋_GB2312"/>
                <w:bCs/>
                <w:sz w:val="28"/>
                <w:szCs w:val="28"/>
                <w:highlight w:val="none"/>
                <w:lang w:val="en-US" w:eastAsia="zh-CN"/>
              </w:rPr>
              <w:t>灯具</w:t>
            </w:r>
            <w:r>
              <w:rPr>
                <w:rFonts w:hint="eastAsia" w:ascii="仿宋_GB2312" w:hAnsi="仿宋_GB2312" w:eastAsia="仿宋_GB2312" w:cs="仿宋_GB2312"/>
                <w:bCs/>
                <w:sz w:val="28"/>
                <w:szCs w:val="28"/>
                <w:highlight w:val="none"/>
              </w:rPr>
              <w:t>芯片品牌：</w:t>
            </w:r>
            <w:r>
              <w:rPr>
                <w:rFonts w:hint="eastAsia" w:ascii="仿宋_GB2312" w:hAnsi="仿宋_GB2312" w:eastAsia="仿宋_GB2312" w:cs="仿宋_GB2312"/>
                <w:bCs/>
                <w:sz w:val="28"/>
                <w:szCs w:val="28"/>
                <w:highlight w:val="none"/>
                <w:lang w:val="en-US" w:eastAsia="zh-CN"/>
              </w:rPr>
              <w:t>科锐、流明</w:t>
            </w:r>
            <w:r>
              <w:rPr>
                <w:rFonts w:hint="eastAsia" w:ascii="仿宋_GB2312" w:hAnsi="仿宋_GB2312" w:eastAsia="仿宋_GB2312" w:cs="仿宋_GB2312"/>
                <w:bCs/>
                <w:sz w:val="28"/>
                <w:szCs w:val="28"/>
                <w:highlight w:val="none"/>
                <w:lang w:eastAsia="zh-CN"/>
              </w:rPr>
              <w:t>、</w:t>
            </w:r>
            <w:r>
              <w:rPr>
                <w:rFonts w:hint="eastAsia" w:ascii="仿宋_GB2312" w:hAnsi="仿宋_GB2312" w:eastAsia="仿宋_GB2312" w:cs="仿宋_GB2312"/>
                <w:bCs/>
                <w:sz w:val="28"/>
                <w:szCs w:val="28"/>
                <w:highlight w:val="none"/>
                <w:lang w:val="en-US" w:eastAsia="zh-CN"/>
              </w:rPr>
              <w:t>欧司朗</w:t>
            </w:r>
            <w:r>
              <w:rPr>
                <w:rFonts w:hint="eastAsia" w:ascii="仿宋_GB2312" w:hAnsi="仿宋_GB2312" w:eastAsia="仿宋_GB2312" w:cs="仿宋_GB2312"/>
                <w:bCs/>
                <w:sz w:val="28"/>
                <w:szCs w:val="28"/>
                <w:highlight w:val="none"/>
              </w:rPr>
              <w:t>或“相当于”品牌</w:t>
            </w:r>
          </w:p>
        </w:tc>
      </w:tr>
    </w:tbl>
    <w:p>
      <w:pPr>
        <w:keepNext w:val="0"/>
        <w:keepLines w:val="0"/>
        <w:pageBreakBefore w:val="0"/>
        <w:widowControl/>
        <w:tabs>
          <w:tab w:val="left" w:pos="720"/>
        </w:tabs>
        <w:kinsoku/>
        <w:wordWrap/>
        <w:overflowPunct/>
        <w:topLinePunct w:val="0"/>
        <w:autoSpaceDE/>
        <w:autoSpaceDN/>
        <w:bidi w:val="0"/>
        <w:adjustRightInd/>
        <w:snapToGrid w:val="0"/>
        <w:spacing w:line="360" w:lineRule="exact"/>
        <w:ind w:left="0" w:leftChars="0" w:right="0" w:rightChars="0" w:firstLine="562" w:firstLineChars="200"/>
        <w:jc w:val="left"/>
        <w:textAlignment w:val="auto"/>
        <w:outlineLvl w:val="9"/>
        <w:rPr>
          <w:rFonts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3)所用各类设备材料须经招标人认可后方可使用。</w:t>
      </w:r>
      <w:r>
        <w:rPr>
          <w:rFonts w:hint="eastAsia" w:ascii="仿宋_GB2312" w:hAnsi="仿宋_GB2312" w:eastAsia="仿宋_GB2312" w:cs="仿宋_GB2312"/>
          <w:sz w:val="28"/>
          <w:szCs w:val="28"/>
          <w:highlight w:val="none"/>
        </w:rPr>
        <w:t>投标单位主要设备材料品牌漏填或少填的，中标后由招标人在推荐品牌中选定，且报价不作调整。</w:t>
      </w:r>
    </w:p>
    <w:p>
      <w:pPr>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4）所用各类设备材料都应符合设计和国家规定的相关技术规范标准要求。 </w:t>
      </w:r>
    </w:p>
    <w:p>
      <w:pPr>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5）所用各类设备材料均有质量合格证书。</w:t>
      </w:r>
    </w:p>
    <w:p>
      <w:pPr>
        <w:widowControl/>
        <w:tabs>
          <w:tab w:val="left" w:pos="720"/>
        </w:tabs>
        <w:snapToGrid w:val="0"/>
        <w:spacing w:line="3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6）中标人在选定品牌或制造商时应充分考虑供货等风险，若中标人选定品牌或制造商在实施时无法供货或无法正常供货，将由招标人在推荐品牌或制造商中予以指定。</w:t>
      </w:r>
    </w:p>
    <w:p>
      <w:pPr>
        <w:widowControl/>
        <w:tabs>
          <w:tab w:val="left" w:pos="720"/>
        </w:tabs>
        <w:snapToGrid w:val="0"/>
        <w:spacing w:line="360" w:lineRule="exact"/>
        <w:ind w:firstLine="560" w:firstLineChars="200"/>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7）</w:t>
      </w:r>
      <w:r>
        <w:rPr>
          <w:rFonts w:hint="eastAsia" w:ascii="仿宋_GB2312" w:hAnsi="仿宋_GB2312" w:eastAsia="仿宋_GB2312" w:cs="仿宋_GB2312"/>
          <w:b/>
          <w:bCs/>
          <w:sz w:val="28"/>
          <w:szCs w:val="28"/>
          <w:highlight w:val="none"/>
        </w:rPr>
        <w:t>本次投标报价</w:t>
      </w:r>
      <w:r>
        <w:rPr>
          <w:rFonts w:hint="eastAsia" w:ascii="仿宋_GB2312" w:hAnsi="仿宋_GB2312" w:eastAsia="仿宋_GB2312" w:cs="仿宋_GB2312"/>
          <w:b/>
          <w:bCs/>
          <w:sz w:val="28"/>
          <w:szCs w:val="28"/>
          <w:highlight w:val="none"/>
          <w:lang w:val="en-US" w:eastAsia="zh-CN"/>
        </w:rPr>
        <w:t>提供的LED泛光灯和制作的灯具支架</w:t>
      </w:r>
      <w:r>
        <w:rPr>
          <w:rFonts w:hint="eastAsia" w:ascii="仿宋_GB2312" w:hAnsi="仿宋_GB2312" w:eastAsia="仿宋_GB2312" w:cs="仿宋_GB2312"/>
          <w:b/>
          <w:bCs/>
          <w:sz w:val="28"/>
          <w:szCs w:val="28"/>
          <w:highlight w:val="none"/>
        </w:rPr>
        <w:t>须达到招标人要求，经招标人确认后方可以实施。</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（2）设备材料的质量保证 </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1）在施工期间内，中标人对有缺陷的部位必须无偿地给予修正，并承担一切由此引起的对招标人或第三者的直接损失，除非该缺陷是由于人为破坏或合同规定的不可抗因素造成的损坏。 </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中标人应对所选用的设备材料的技术满足度和质量负全部责任，其责任不因该品牌是否为招标人推荐减轻或更改。当中标人选定的产品质量达不到设计要求和招标文件要求的技术指标时，招标人保留更换的权利，且中标价不予调整。</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未列入以上品牌推荐表的其它材料和设备，投标人在投标报价时应选择国内优质成熟的产品，施工时需得到招标人的认可，如中标人选定的产品不能满足以上要求，招标人保留更换的权利，且中标价不予调整。</w:t>
      </w:r>
    </w:p>
    <w:p>
      <w:pPr>
        <w:adjustRightInd w:val="0"/>
        <w:snapToGrid w:val="0"/>
        <w:spacing w:line="360" w:lineRule="exact"/>
        <w:ind w:firstLine="562" w:firstLineChars="200"/>
        <w:jc w:val="lef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（3）施工过程中如涉及需拆除原有材料设备（除需利旧的材料设备外），由中标人自行处理，其残值及处置相关费用，由投标人综合考虑，包含在投标报价中。</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三、施工</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3.1一般要求</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中标人必须按照工程量清单及技术规范进行施工，严格按照批准的施工技术方案和施工组织设计进行施工，力争做到“一流的施工管理，一流的工程质量”；同时施工组织实施须遵守机场相关规定要求。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3.2施工准备</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中标人应在开工前依施工现场情况合理制定施工技术方案和施工组织设计，在服从招标人的安排和总进度计划要求情况下制定施工方案，并按招标人批准的施工方案组织施工。</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3.3施工质量</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3.3.1工程施工质量控制</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（3）依据国家及政府有关部门颁布的有关质量管理的法律、法规、标准等，严格控制施工工序质量以及检验和评定工程项目质量。</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3.3.2现场质量监督</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（1）中标人在施工过程中，必须无条件地接受招标人的检查和监督，并执行招标人发出的指令，确保工程质量符合设计要求及相关规范、标准的规定。</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（2）工程中使用的材料均应符合相应技术要求，并符合招标人的指示要求，或在现场进行检验。</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没有招标人的批准，隐蔽工程的任何部分均不得覆盖或使之无法查看。中标人应保证招标人有充分的时间，对隐蔽工程进行检查和测量。无论何时，当工程的任何部分已经做好检查准备时，中标人应通知招标人进行检查。</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（4）招标人有权随时对下述事项发出指示：</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1）在指示规定的时间内，将招标人确认不合格的任何材料从现场运走。</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2）在指示规定的时间内，中标人必须将不合格的任何工程拆除并重新施工。</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（5）如果中标人在指示规定的时间内未执行上述指示时，则招标人有权雇用他人执行该项指示，所发生的有关费用由中标人负担。</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（6）根据招标人的指示，中标人应按招标人认为必要的时间和方式暂停工程或其他任何部分的工作，在暂时停工期间，中标人应对工程进行必要的保护和安全保障。</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3.3.3施工偏差要求</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中标人需就一切有关之材料和整体结构，必须满足相应的技术标准及规范的规定。若产生施工偏差，中标人必须无条件返工，直至达到相应的技术标准及规范的规定，费用由中标人承担。</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3.4检验和验收</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w:t>
      </w:r>
      <w:r>
        <w:rPr>
          <w:rFonts w:hint="eastAsia" w:ascii="仿宋_GB2312" w:hAnsi="仿宋_GB2312" w:eastAsia="仿宋_GB2312" w:cs="仿宋_GB2312"/>
          <w:b/>
          <w:bCs/>
          <w:sz w:val="28"/>
          <w:szCs w:val="28"/>
          <w:highlight w:val="none"/>
        </w:rPr>
        <w:t>中标人应替招标人办理进入现场的手续和亲自陪同。</w:t>
      </w:r>
    </w:p>
    <w:p>
      <w:pPr>
        <w:adjustRightInd w:val="0"/>
        <w:snapToGrid w:val="0"/>
        <w:spacing w:line="360" w:lineRule="exact"/>
        <w:ind w:firstLine="562" w:firstLineChars="200"/>
        <w:jc w:val="lef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3.5施工管理要求</w:t>
      </w:r>
    </w:p>
    <w:p>
      <w:pPr>
        <w:adjustRightInd w:val="0"/>
        <w:snapToGrid w:val="0"/>
        <w:spacing w:line="360" w:lineRule="exact"/>
        <w:ind w:firstLine="562" w:firstLineChars="200"/>
        <w:jc w:val="lef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3.5.1中标人必须服从招标人对于本工程进度、质量、安全施工等要求。</w:t>
      </w:r>
    </w:p>
    <w:p>
      <w:pPr>
        <w:adjustRightInd w:val="0"/>
        <w:snapToGrid w:val="0"/>
        <w:spacing w:line="360" w:lineRule="exact"/>
        <w:ind w:firstLine="562" w:firstLineChars="200"/>
        <w:jc w:val="lef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3.5.2本工程发包范围内的工程项目，一律不得分包。一经发现立即取消承包资格，作违约处理，并承担由此引起的一切经济损失。</w:t>
      </w:r>
    </w:p>
    <w:p>
      <w:pPr>
        <w:adjustRightInd w:val="0"/>
        <w:snapToGrid w:val="0"/>
        <w:spacing w:line="360" w:lineRule="exact"/>
        <w:ind w:firstLine="562" w:firstLineChars="200"/>
        <w:jc w:val="lef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3.5.3中标人应严格按施工技术方案组织施工，并无条件地接受招标人对施工质量的监督和管理。</w:t>
      </w:r>
    </w:p>
    <w:p>
      <w:pPr>
        <w:adjustRightInd w:val="0"/>
        <w:snapToGrid w:val="0"/>
        <w:spacing w:line="360" w:lineRule="exact"/>
        <w:ind w:firstLine="562" w:firstLineChars="200"/>
        <w:jc w:val="lef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3.6主要施工技术要求</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3.6.1进出场道路：投标人现场自行调查了解，所有材料不因场内外道路状况、运输线路、运距发生变化而进行调价。</w:t>
      </w:r>
    </w:p>
    <w:p>
      <w:pPr>
        <w:adjustRightInd w:val="0"/>
        <w:snapToGrid w:val="0"/>
        <w:spacing w:line="3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3.6.2本工程施工用水、用电：由招标人提供水电接口，场内接管、安装水、电表由中标人自行解决。中标人施工前需向机场水电管理部门提出申请，由招标人按以下标准向中标人收取费用：</w:t>
      </w:r>
    </w:p>
    <w:p>
      <w:pPr>
        <w:adjustRightInd w:val="0"/>
        <w:snapToGrid w:val="0"/>
        <w:spacing w:line="3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招标人按杭州萧山供水有限公司目前的供水含税单价4.40元/吨为基础水价，向中标人开具 9% 增值税发票收取基本水费，并在基础单价上加收2.91元/吨的供水设施服务费（9%的增值税发票）。在合同有效期内，如遇杭州萧山供水有限公司调整供水单价，基础水价也作相应的调整，收费金额保留小数点后两位四舍五入。</w:t>
      </w:r>
    </w:p>
    <w:p>
      <w:pPr>
        <w:adjustRightInd w:val="0"/>
        <w:snapToGrid w:val="0"/>
        <w:spacing w:line="360" w:lineRule="exact"/>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招标人按每月购入电价作为基础电价，向中标人开具 13% 增值税发票收取基本电费，并在基础单价上加收10%的转供电损耗费（13%增值税发票）。在合同有效期内，如遇招标人每月购入电价调整，基础电价也作相应的调整，收费金额保留小数点后两位四舍五入。</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3.6.3投标人应到工地踏勘以充分了解工地位置、情况、道路、储存空间、装卸限制及任何其他足以影响投标报价的情况，任何因忽视或误解工地情况而导致的索赔或工期延长申请将不被批准。现场安保工作需服从招标人统一安排、调遣，费用从各施工单位相关报价中扣除。</w:t>
      </w:r>
    </w:p>
    <w:p>
      <w:p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3.6.4本次招标的工程需考虑以下问题：</w:t>
      </w:r>
    </w:p>
    <w:p>
      <w:pPr>
        <w:numPr>
          <w:ilvl w:val="0"/>
          <w:numId w:val="9"/>
        </w:num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需做好施工单位的车辆进出场及材料推放的管理工作，相关费用计入投标报价，中标后不再调整。</w:t>
      </w:r>
    </w:p>
    <w:p>
      <w:pPr>
        <w:numPr>
          <w:ilvl w:val="0"/>
          <w:numId w:val="9"/>
        </w:num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本工程开工时间根据招标人提供施工场地时间为准，投标人在投标时须考虑由此造成的工期延长，由此造成的费用不做变更。</w:t>
      </w:r>
    </w:p>
    <w:p>
      <w:pPr>
        <w:numPr>
          <w:ilvl w:val="0"/>
          <w:numId w:val="9"/>
        </w:numPr>
        <w:adjustRightInd w:val="0"/>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本次施工区域可能存在部分障碍物需要拆除、移除，相关费用计入投标报价中，中标后不再调整。</w:t>
      </w:r>
    </w:p>
    <w:bookmarkEnd w:id="25"/>
    <w:p>
      <w:pPr>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四、产品保护</w:t>
      </w:r>
    </w:p>
    <w:p>
      <w:pPr>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4.1在工程现场及其周围已由其他施工单位完成和在建的建筑产品，中标人在现场施工中应负有保护责任和义务，因工程施工引起损坏，由中标人负责赔偿或修复。</w:t>
      </w:r>
    </w:p>
    <w:p>
      <w:pPr>
        <w:snapToGrid w:val="0"/>
        <w:spacing w:line="360" w:lineRule="exact"/>
        <w:ind w:firstLine="560" w:firstLineChars="200"/>
        <w:jc w:val="left"/>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4.2中标人在施工期间，直至竣工验收尚未正式移交之前，应负责对所有材料及现场进行保护和清洁工作，直至办理完正式移交为止。若在此过程中发生材料丢失和产品损坏，应承担赔偿和修复。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562" w:firstLineChars="200"/>
        <w:jc w:val="left"/>
        <w:rPr>
          <w:rFonts w:ascii="仿宋_GB2312" w:hAnsi="仿宋_GB2312" w:eastAsia="仿宋_GB2312" w:cs="仿宋_GB2312"/>
          <w:b/>
          <w:sz w:val="28"/>
          <w:szCs w:val="28"/>
          <w:highlight w:val="none"/>
        </w:rPr>
      </w:pPr>
      <w:r>
        <w:rPr>
          <w:rFonts w:hint="eastAsia" w:ascii="仿宋_GB2312" w:hAnsi="仿宋_GB2312" w:eastAsia="仿宋_GB2312" w:cs="仿宋_GB2312"/>
          <w:b/>
          <w:kern w:val="0"/>
          <w:sz w:val="28"/>
          <w:szCs w:val="28"/>
          <w:highlight w:val="none"/>
        </w:rPr>
        <w:t>五、其他要求</w:t>
      </w:r>
    </w:p>
    <w:p>
      <w:pPr>
        <w:adjustRightInd w:val="0"/>
        <w:snapToGrid w:val="0"/>
        <w:spacing w:line="360" w:lineRule="exact"/>
        <w:ind w:firstLine="562" w:firstLineChars="200"/>
        <w:jc w:val="lef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5.1施工临设在建设单位指定区域自行搭设，施工进场前方案报招标人同意后方可搭建。施工临设用地、材料堆场等在工程竣工验收通过后10日内自行拆除、彻底清理，并恢复原状。费用由投标人综合考虑，不另行计算。</w:t>
      </w:r>
    </w:p>
    <w:p>
      <w:pPr>
        <w:snapToGrid w:val="0"/>
        <w:spacing w:line="360" w:lineRule="exact"/>
        <w:ind w:firstLine="562" w:firstLineChars="200"/>
        <w:jc w:val="lef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5.2中标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562" w:firstLineChars="200"/>
        <w:jc w:val="lef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5.3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562" w:firstLineChars="200"/>
        <w:jc w:val="lef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5.4发包范围外招标人提出并签证的费用由中标人在施工前提出并补充编制工料单价预算书。</w:t>
      </w:r>
    </w:p>
    <w:p>
      <w:pPr>
        <w:snapToGrid w:val="0"/>
        <w:spacing w:line="360" w:lineRule="exact"/>
        <w:ind w:firstLine="562" w:firstLineChars="200"/>
        <w:jc w:val="lef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5.5计日工单价最高限价210元/工日。</w:t>
      </w:r>
    </w:p>
    <w:p>
      <w:pPr>
        <w:snapToGrid w:val="0"/>
        <w:spacing w:line="360" w:lineRule="exact"/>
        <w:ind w:firstLine="562" w:firstLineChars="200"/>
        <w:jc w:val="lef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5.6工程施工期间，中标人须无条件服从机场公司关于工期进度的统一安排。投标人需充分考虑航站楼施工时间及工期的不确定性，如由于机场运行要求某些时间不得施工等或如遇长时间停工等任何突发情况，请投标人在投标时充分考虑相关费用，中标后不予增加费用。</w:t>
      </w:r>
    </w:p>
    <w:p>
      <w:pPr>
        <w:pStyle w:val="4"/>
        <w:spacing w:line="360" w:lineRule="exact"/>
        <w:ind w:firstLine="562" w:firstLineChars="200"/>
        <w:jc w:val="lef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5.7本项目工程位于机场</w:t>
      </w:r>
      <w:r>
        <w:rPr>
          <w:rFonts w:hint="eastAsia" w:ascii="仿宋_GB2312" w:hAnsi="仿宋_GB2312" w:eastAsia="仿宋_GB2312" w:cs="仿宋_GB2312"/>
          <w:b/>
          <w:sz w:val="28"/>
          <w:szCs w:val="28"/>
          <w:highlight w:val="none"/>
          <w:lang w:val="en-US" w:eastAsia="zh-CN"/>
        </w:rPr>
        <w:t>隔离区内</w:t>
      </w:r>
      <w:r>
        <w:rPr>
          <w:rFonts w:hint="eastAsia" w:ascii="仿宋_GB2312" w:hAnsi="仿宋_GB2312" w:eastAsia="仿宋_GB2312" w:cs="仿宋_GB2312"/>
          <w:b/>
          <w:sz w:val="28"/>
          <w:szCs w:val="28"/>
          <w:highlight w:val="none"/>
        </w:rPr>
        <w:t>，中标人必须确保在施工阶段不影响机场正常运行，遵守机场不停航施工管理规定、施工安全条例。</w:t>
      </w:r>
    </w:p>
    <w:p>
      <w:pPr>
        <w:pStyle w:val="4"/>
        <w:spacing w:line="360" w:lineRule="exact"/>
        <w:ind w:firstLine="562" w:firstLineChars="200"/>
        <w:jc w:val="lef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5.8中标人施工人员在进出机场隔离区时必须办理相关证件。费用由投标人综合考虑，包含在投标报价中。</w:t>
      </w:r>
    </w:p>
    <w:p>
      <w:pPr>
        <w:pStyle w:val="4"/>
        <w:spacing w:line="360" w:lineRule="exact"/>
        <w:ind w:firstLine="562" w:firstLineChars="200"/>
        <w:jc w:val="lef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5.</w:t>
      </w:r>
      <w:r>
        <w:rPr>
          <w:rFonts w:hint="eastAsia" w:ascii="仿宋_GB2312" w:hAnsi="仿宋_GB2312" w:eastAsia="仿宋_GB2312" w:cs="仿宋_GB2312"/>
          <w:b/>
          <w:sz w:val="28"/>
          <w:szCs w:val="28"/>
          <w:highlight w:val="none"/>
          <w:lang w:val="en-US" w:eastAsia="zh-CN"/>
        </w:rPr>
        <w:t>9</w:t>
      </w:r>
      <w:r>
        <w:rPr>
          <w:rFonts w:hint="eastAsia" w:ascii="仿宋_GB2312" w:hAnsi="仿宋_GB2312" w:eastAsia="仿宋_GB2312" w:cs="仿宋_GB2312"/>
          <w:b/>
          <w:sz w:val="28"/>
          <w:szCs w:val="28"/>
          <w:highlight w:val="none"/>
        </w:rPr>
        <w:t>因本项目施工地点位于机场隔离区内，隔离区相关施工措施包括施工导致的夜间加班、工效降低、证件办理等需产生的费用，投标人必须充分考虑，费用包含在隔离区施工措施费报价中。投标人需考虑聘请招标人推荐的机场专业保安，负责门卫、巡逻、施工现场看护、隔离区围界看护等工作，人数每个施工区域每班不得少于1人，并配备相应的保卫措施，保安费用按实结算（结算时中标人需提供相应票据作为依据），★投标报价中施工安全监管费按</w:t>
      </w:r>
      <w:r>
        <w:rPr>
          <w:rFonts w:hint="eastAsia" w:ascii="仿宋_GB2312" w:hAnsi="仿宋_GB2312" w:eastAsia="仿宋_GB2312" w:cs="仿宋_GB2312"/>
          <w:b/>
          <w:sz w:val="28"/>
          <w:szCs w:val="28"/>
          <w:highlight w:val="none"/>
          <w:lang w:val="en-US" w:eastAsia="zh-CN"/>
        </w:rPr>
        <w:t>4</w:t>
      </w:r>
      <w:r>
        <w:rPr>
          <w:rFonts w:ascii="仿宋_GB2312" w:hAnsi="仿宋_GB2312" w:eastAsia="仿宋_GB2312" w:cs="仿宋_GB2312"/>
          <w:b/>
          <w:sz w:val="28"/>
          <w:szCs w:val="28"/>
          <w:highlight w:val="none"/>
        </w:rPr>
        <w:t>000</w:t>
      </w:r>
      <w:r>
        <w:rPr>
          <w:rFonts w:hint="eastAsia" w:ascii="仿宋_GB2312" w:hAnsi="仿宋_GB2312" w:eastAsia="仿宋_GB2312" w:cs="仿宋_GB2312"/>
          <w:b/>
          <w:sz w:val="28"/>
          <w:szCs w:val="28"/>
          <w:highlight w:val="none"/>
        </w:rPr>
        <w:t>元暂列金额计入，不得优惠。</w:t>
      </w:r>
    </w:p>
    <w:p>
      <w:pPr>
        <w:spacing w:line="360" w:lineRule="exact"/>
        <w:ind w:firstLine="562" w:firstLineChars="200"/>
        <w:jc w:val="lef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5.</w:t>
      </w:r>
      <w:r>
        <w:rPr>
          <w:rFonts w:hint="eastAsia" w:ascii="仿宋_GB2312" w:hAnsi="仿宋_GB2312" w:eastAsia="仿宋_GB2312" w:cs="仿宋_GB2312"/>
          <w:b/>
          <w:sz w:val="28"/>
          <w:szCs w:val="28"/>
          <w:highlight w:val="none"/>
          <w:lang w:val="en-US" w:eastAsia="zh-CN"/>
        </w:rPr>
        <w:t>10</w:t>
      </w:r>
      <w:r>
        <w:rPr>
          <w:rFonts w:hint="eastAsia" w:ascii="仿宋_GB2312" w:hAnsi="仿宋_GB2312" w:eastAsia="仿宋_GB2312" w:cs="仿宋_GB2312"/>
          <w:b/>
          <w:sz w:val="28"/>
          <w:szCs w:val="28"/>
          <w:highlight w:val="none"/>
        </w:rPr>
        <w:t>中标人须无条件配合招标人要求，施工前应征得招标人同意，不得擅自施工，如擅自施工导致的一切后果由中标人承担。</w:t>
      </w:r>
    </w:p>
    <w:p>
      <w:pPr>
        <w:spacing w:line="360" w:lineRule="exact"/>
        <w:ind w:firstLine="562" w:firstLineChars="200"/>
        <w:jc w:val="left"/>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5.</w:t>
      </w:r>
      <w:r>
        <w:rPr>
          <w:rFonts w:hint="eastAsia" w:ascii="仿宋_GB2312" w:hAnsi="仿宋_GB2312" w:eastAsia="仿宋_GB2312" w:cs="仿宋_GB2312"/>
          <w:b/>
          <w:sz w:val="28"/>
          <w:szCs w:val="28"/>
          <w:highlight w:val="none"/>
          <w:lang w:val="en-US" w:eastAsia="zh-CN"/>
        </w:rPr>
        <w:t>11</w:t>
      </w:r>
      <w:r>
        <w:rPr>
          <w:rFonts w:hint="eastAsia" w:ascii="仿宋_GB2312" w:hAnsi="仿宋_GB2312" w:eastAsia="仿宋_GB2312" w:cs="仿宋_GB2312"/>
          <w:b/>
          <w:sz w:val="28"/>
          <w:szCs w:val="28"/>
          <w:highlight w:val="none"/>
        </w:rPr>
        <w:t>项目开工前中标人需提供施工进度计划表、施工材料及明细表，待材料、人员、证件全部准备完善并经招标人同意方可进行施工。</w:t>
      </w:r>
    </w:p>
    <w:p>
      <w:pPr>
        <w:snapToGrid w:val="0"/>
        <w:spacing w:line="360" w:lineRule="exact"/>
        <w:ind w:firstLine="562" w:firstLineChars="200"/>
        <w:jc w:val="left"/>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5.1</w:t>
      </w:r>
      <w:r>
        <w:rPr>
          <w:rFonts w:hint="eastAsia" w:ascii="仿宋_GB2312" w:hAnsi="仿宋_GB2312" w:eastAsia="仿宋_GB2312" w:cs="仿宋_GB2312"/>
          <w:b/>
          <w:sz w:val="28"/>
          <w:szCs w:val="28"/>
          <w:highlight w:val="none"/>
          <w:lang w:val="en-US" w:eastAsia="zh-CN"/>
        </w:rPr>
        <w:t>2</w:t>
      </w:r>
      <w:r>
        <w:rPr>
          <w:rFonts w:hint="eastAsia" w:ascii="仿宋_GB2312" w:hAnsi="仿宋_GB2312" w:eastAsia="仿宋_GB2312" w:cs="仿宋_GB2312"/>
          <w:b/>
          <w:sz w:val="28"/>
          <w:szCs w:val="28"/>
          <w:highlight w:val="none"/>
        </w:rPr>
        <w:t>施工现场围挡的设置应当符合机场相关规定。</w:t>
      </w:r>
    </w:p>
    <w:bookmarkEnd w:id="10"/>
    <w:bookmarkEnd w:id="23"/>
    <w:bookmarkEnd w:id="24"/>
    <w:p>
      <w:pPr>
        <w:pStyle w:val="9"/>
        <w:keepNext/>
        <w:pageBreakBefore/>
        <w:spacing w:before="0" w:after="0" w:line="560" w:lineRule="exact"/>
        <w:rPr>
          <w:rFonts w:hint="eastAsia"/>
          <w:highlight w:val="none"/>
        </w:rPr>
      </w:pPr>
      <w:bookmarkStart w:id="26" w:name="_Toc10055"/>
      <w:bookmarkStart w:id="27" w:name="_Toc52907682"/>
      <w:bookmarkStart w:id="28" w:name="_Toc139786920"/>
      <w:r>
        <w:rPr>
          <w:highlight w:val="none"/>
        </w:rPr>
        <w:t>第</w:t>
      </w:r>
      <w:r>
        <w:rPr>
          <w:rFonts w:hint="eastAsia"/>
          <w:highlight w:val="none"/>
        </w:rPr>
        <w:t>六</w:t>
      </w:r>
      <w:r>
        <w:rPr>
          <w:highlight w:val="none"/>
        </w:rPr>
        <w:t>章</w:t>
      </w:r>
      <w:r>
        <w:rPr>
          <w:rFonts w:hint="eastAsia"/>
          <w:highlight w:val="none"/>
        </w:rPr>
        <w:t xml:space="preserve"> </w:t>
      </w:r>
      <w:r>
        <w:rPr>
          <w:highlight w:val="none"/>
        </w:rPr>
        <w:t>投标文件格式</w:t>
      </w:r>
      <w:bookmarkEnd w:id="26"/>
      <w:bookmarkEnd w:id="27"/>
      <w:bookmarkEnd w:id="28"/>
    </w:p>
    <w:p>
      <w:pPr>
        <w:autoSpaceDE w:val="0"/>
        <w:autoSpaceDN w:val="0"/>
        <w:adjustRightInd w:val="0"/>
        <w:spacing w:line="560" w:lineRule="exact"/>
        <w:jc w:val="left"/>
        <w:rPr>
          <w:rFonts w:cs="微软雅黑"/>
          <w:kern w:val="0"/>
          <w:sz w:val="20"/>
          <w:szCs w:val="20"/>
          <w:highlight w:val="none"/>
        </w:rPr>
      </w:pPr>
    </w:p>
    <w:p>
      <w:pPr>
        <w:tabs>
          <w:tab w:val="left" w:pos="2980"/>
        </w:tabs>
        <w:autoSpaceDE w:val="0"/>
        <w:autoSpaceDN w:val="0"/>
        <w:adjustRightInd w:val="0"/>
        <w:spacing w:line="560" w:lineRule="exact"/>
        <w:ind w:left="1880" w:right="-20" w:firstLine="1417" w:firstLineChars="350"/>
        <w:jc w:val="left"/>
        <w:rPr>
          <w:rFonts w:cs="微软雅黑"/>
          <w:kern w:val="0"/>
          <w:sz w:val="24"/>
          <w:szCs w:val="28"/>
          <w:highlight w:val="none"/>
        </w:rPr>
      </w:pPr>
      <w:r>
        <w:rPr>
          <w:rFonts w:cs="微软雅黑"/>
          <w:w w:val="169"/>
          <w:kern w:val="0"/>
          <w:position w:val="-3"/>
          <w:sz w:val="24"/>
          <w:szCs w:val="28"/>
          <w:highlight w:val="none"/>
          <w:u w:val="single"/>
        </w:rPr>
        <w:t xml:space="preserve">       </w:t>
      </w:r>
      <w:r>
        <w:rPr>
          <w:rFonts w:hint="eastAsia" w:cs="微软雅黑"/>
          <w:w w:val="169"/>
          <w:kern w:val="0"/>
          <w:position w:val="-3"/>
          <w:sz w:val="24"/>
          <w:szCs w:val="28"/>
          <w:highlight w:val="none"/>
          <w:u w:val="single"/>
        </w:rPr>
        <w:t xml:space="preserve">           </w:t>
      </w:r>
      <w:r>
        <w:rPr>
          <w:rFonts w:cs="微软雅黑"/>
          <w:w w:val="169"/>
          <w:kern w:val="0"/>
          <w:position w:val="-3"/>
          <w:sz w:val="24"/>
          <w:szCs w:val="28"/>
          <w:highlight w:val="none"/>
          <w:u w:val="single"/>
        </w:rPr>
        <w:t xml:space="preserve">       </w:t>
      </w:r>
      <w:r>
        <w:rPr>
          <w:rFonts w:cs="微软雅黑"/>
          <w:kern w:val="0"/>
          <w:position w:val="-3"/>
          <w:sz w:val="24"/>
          <w:szCs w:val="28"/>
          <w:highlight w:val="none"/>
          <w:u w:val="single"/>
        </w:rPr>
        <w:tab/>
      </w:r>
      <w:r>
        <w:rPr>
          <w:rFonts w:cs="微软雅黑"/>
          <w:kern w:val="0"/>
          <w:position w:val="-3"/>
          <w:sz w:val="24"/>
          <w:szCs w:val="28"/>
          <w:highlight w:val="none"/>
        </w:rPr>
        <w:t>(项目</w:t>
      </w:r>
      <w:r>
        <w:rPr>
          <w:rFonts w:cs="微软雅黑"/>
          <w:spacing w:val="-3"/>
          <w:kern w:val="0"/>
          <w:position w:val="-3"/>
          <w:sz w:val="24"/>
          <w:szCs w:val="28"/>
          <w:highlight w:val="none"/>
        </w:rPr>
        <w:t>名</w:t>
      </w:r>
      <w:r>
        <w:rPr>
          <w:rFonts w:cs="微软雅黑"/>
          <w:kern w:val="0"/>
          <w:position w:val="-3"/>
          <w:sz w:val="24"/>
          <w:szCs w:val="28"/>
          <w:highlight w:val="none"/>
        </w:rPr>
        <w:t>称)</w:t>
      </w:r>
    </w:p>
    <w:p>
      <w:pPr>
        <w:autoSpaceDE w:val="0"/>
        <w:autoSpaceDN w:val="0"/>
        <w:adjustRightInd w:val="0"/>
        <w:spacing w:line="560" w:lineRule="exact"/>
        <w:jc w:val="left"/>
        <w:rPr>
          <w:rFonts w:cs="微软雅黑"/>
          <w:kern w:val="0"/>
          <w:sz w:val="10"/>
          <w:szCs w:val="10"/>
          <w:highlight w:val="none"/>
        </w:rPr>
      </w:pPr>
    </w:p>
    <w:p>
      <w:pPr>
        <w:autoSpaceDE w:val="0"/>
        <w:autoSpaceDN w:val="0"/>
        <w:adjustRightInd w:val="0"/>
        <w:spacing w:line="560" w:lineRule="exact"/>
        <w:jc w:val="left"/>
        <w:rPr>
          <w:rFonts w:cs="微软雅黑"/>
          <w:kern w:val="0"/>
          <w:sz w:val="20"/>
          <w:szCs w:val="20"/>
          <w:highlight w:val="none"/>
        </w:rPr>
      </w:pPr>
    </w:p>
    <w:p>
      <w:pPr>
        <w:autoSpaceDE w:val="0"/>
        <w:autoSpaceDN w:val="0"/>
        <w:adjustRightInd w:val="0"/>
        <w:spacing w:line="560" w:lineRule="exact"/>
        <w:jc w:val="left"/>
        <w:rPr>
          <w:rFonts w:cs="微软雅黑"/>
          <w:kern w:val="0"/>
          <w:sz w:val="20"/>
          <w:szCs w:val="20"/>
          <w:highlight w:val="none"/>
        </w:rPr>
      </w:pPr>
    </w:p>
    <w:p>
      <w:pPr>
        <w:autoSpaceDE w:val="0"/>
        <w:autoSpaceDN w:val="0"/>
        <w:adjustRightInd w:val="0"/>
        <w:spacing w:line="560" w:lineRule="exact"/>
        <w:jc w:val="left"/>
        <w:rPr>
          <w:rFonts w:cs="微软雅黑"/>
          <w:kern w:val="0"/>
          <w:sz w:val="20"/>
          <w:szCs w:val="20"/>
          <w:highlight w:val="none"/>
        </w:rPr>
      </w:pPr>
    </w:p>
    <w:p>
      <w:pPr>
        <w:autoSpaceDE w:val="0"/>
        <w:autoSpaceDN w:val="0"/>
        <w:adjustRightInd w:val="0"/>
        <w:spacing w:line="560" w:lineRule="exact"/>
        <w:jc w:val="left"/>
        <w:rPr>
          <w:rFonts w:hint="eastAsia" w:cs="微软雅黑"/>
          <w:kern w:val="0"/>
          <w:sz w:val="20"/>
          <w:szCs w:val="20"/>
          <w:highlight w:val="none"/>
        </w:rPr>
      </w:pPr>
    </w:p>
    <w:p>
      <w:pPr>
        <w:tabs>
          <w:tab w:val="left" w:pos="3780"/>
          <w:tab w:val="left" w:pos="4440"/>
          <w:tab w:val="left" w:pos="5100"/>
        </w:tabs>
        <w:autoSpaceDE w:val="0"/>
        <w:autoSpaceDN w:val="0"/>
        <w:adjustRightInd w:val="0"/>
        <w:spacing w:line="560" w:lineRule="exact"/>
        <w:ind w:left="3138" w:right="3116"/>
        <w:jc w:val="center"/>
        <w:rPr>
          <w:rFonts w:cs="微软雅黑"/>
          <w:kern w:val="0"/>
          <w:sz w:val="44"/>
          <w:szCs w:val="44"/>
          <w:highlight w:val="none"/>
        </w:rPr>
      </w:pPr>
      <w:r>
        <w:rPr>
          <w:rFonts w:cs="微软雅黑"/>
          <w:kern w:val="0"/>
          <w:sz w:val="44"/>
          <w:szCs w:val="44"/>
          <w:highlight w:val="none"/>
        </w:rPr>
        <w:t>投</w:t>
      </w:r>
      <w:r>
        <w:rPr>
          <w:rFonts w:cs="微软雅黑"/>
          <w:kern w:val="0"/>
          <w:sz w:val="44"/>
          <w:szCs w:val="44"/>
          <w:highlight w:val="none"/>
        </w:rPr>
        <w:tab/>
      </w:r>
      <w:r>
        <w:rPr>
          <w:rFonts w:cs="微软雅黑"/>
          <w:kern w:val="0"/>
          <w:sz w:val="44"/>
          <w:szCs w:val="44"/>
          <w:highlight w:val="none"/>
        </w:rPr>
        <w:t>标</w:t>
      </w:r>
      <w:r>
        <w:rPr>
          <w:rFonts w:cs="微软雅黑"/>
          <w:kern w:val="0"/>
          <w:sz w:val="44"/>
          <w:szCs w:val="44"/>
          <w:highlight w:val="none"/>
        </w:rPr>
        <w:tab/>
      </w:r>
      <w:r>
        <w:rPr>
          <w:rFonts w:cs="微软雅黑"/>
          <w:kern w:val="0"/>
          <w:sz w:val="44"/>
          <w:szCs w:val="44"/>
          <w:highlight w:val="none"/>
        </w:rPr>
        <w:t>文</w:t>
      </w:r>
      <w:r>
        <w:rPr>
          <w:rFonts w:cs="微软雅黑"/>
          <w:kern w:val="0"/>
          <w:sz w:val="44"/>
          <w:szCs w:val="44"/>
          <w:highlight w:val="none"/>
        </w:rPr>
        <w:tab/>
      </w:r>
      <w:r>
        <w:rPr>
          <w:rFonts w:cs="微软雅黑"/>
          <w:w w:val="99"/>
          <w:kern w:val="0"/>
          <w:sz w:val="44"/>
          <w:szCs w:val="44"/>
          <w:highlight w:val="none"/>
        </w:rPr>
        <w:t>件</w:t>
      </w:r>
    </w:p>
    <w:p>
      <w:pPr>
        <w:autoSpaceDE w:val="0"/>
        <w:autoSpaceDN w:val="0"/>
        <w:adjustRightInd w:val="0"/>
        <w:spacing w:line="560" w:lineRule="exact"/>
        <w:jc w:val="left"/>
        <w:rPr>
          <w:rFonts w:cs="微软雅黑"/>
          <w:kern w:val="0"/>
          <w:sz w:val="20"/>
          <w:szCs w:val="20"/>
          <w:highlight w:val="none"/>
        </w:rPr>
      </w:pPr>
    </w:p>
    <w:p>
      <w:pPr>
        <w:autoSpaceDE w:val="0"/>
        <w:autoSpaceDN w:val="0"/>
        <w:adjustRightInd w:val="0"/>
        <w:spacing w:line="560" w:lineRule="exact"/>
        <w:jc w:val="left"/>
        <w:rPr>
          <w:rFonts w:cs="微软雅黑"/>
          <w:kern w:val="0"/>
          <w:sz w:val="20"/>
          <w:szCs w:val="20"/>
          <w:highlight w:val="none"/>
        </w:rPr>
      </w:pPr>
    </w:p>
    <w:p>
      <w:pPr>
        <w:autoSpaceDE w:val="0"/>
        <w:autoSpaceDN w:val="0"/>
        <w:adjustRightInd w:val="0"/>
        <w:spacing w:line="560" w:lineRule="exact"/>
        <w:jc w:val="left"/>
        <w:rPr>
          <w:rFonts w:cs="微软雅黑"/>
          <w:kern w:val="0"/>
          <w:sz w:val="20"/>
          <w:szCs w:val="20"/>
          <w:highlight w:val="none"/>
        </w:rPr>
      </w:pPr>
    </w:p>
    <w:p>
      <w:pPr>
        <w:autoSpaceDE w:val="0"/>
        <w:autoSpaceDN w:val="0"/>
        <w:adjustRightInd w:val="0"/>
        <w:spacing w:line="560" w:lineRule="exact"/>
        <w:jc w:val="left"/>
        <w:rPr>
          <w:rFonts w:cs="微软雅黑"/>
          <w:kern w:val="0"/>
          <w:sz w:val="20"/>
          <w:szCs w:val="20"/>
          <w:highlight w:val="none"/>
        </w:rPr>
      </w:pPr>
    </w:p>
    <w:p>
      <w:pPr>
        <w:autoSpaceDE w:val="0"/>
        <w:autoSpaceDN w:val="0"/>
        <w:adjustRightInd w:val="0"/>
        <w:spacing w:line="560" w:lineRule="exact"/>
        <w:jc w:val="left"/>
        <w:rPr>
          <w:rFonts w:cs="微软雅黑"/>
          <w:kern w:val="0"/>
          <w:sz w:val="20"/>
          <w:szCs w:val="20"/>
          <w:highlight w:val="none"/>
        </w:rPr>
      </w:pPr>
    </w:p>
    <w:p>
      <w:pPr>
        <w:autoSpaceDE w:val="0"/>
        <w:autoSpaceDN w:val="0"/>
        <w:adjustRightInd w:val="0"/>
        <w:spacing w:line="560" w:lineRule="exact"/>
        <w:jc w:val="left"/>
        <w:rPr>
          <w:rFonts w:cs="微软雅黑"/>
          <w:kern w:val="0"/>
          <w:sz w:val="20"/>
          <w:szCs w:val="20"/>
          <w:highlight w:val="none"/>
        </w:rPr>
      </w:pPr>
    </w:p>
    <w:p>
      <w:pPr>
        <w:autoSpaceDE w:val="0"/>
        <w:autoSpaceDN w:val="0"/>
        <w:adjustRightInd w:val="0"/>
        <w:spacing w:line="560" w:lineRule="exact"/>
        <w:jc w:val="left"/>
        <w:rPr>
          <w:rFonts w:cs="微软雅黑"/>
          <w:kern w:val="0"/>
          <w:sz w:val="20"/>
          <w:szCs w:val="20"/>
          <w:highlight w:val="none"/>
        </w:rPr>
      </w:pPr>
    </w:p>
    <w:p>
      <w:pPr>
        <w:autoSpaceDE w:val="0"/>
        <w:autoSpaceDN w:val="0"/>
        <w:adjustRightInd w:val="0"/>
        <w:spacing w:line="560" w:lineRule="exact"/>
        <w:jc w:val="left"/>
        <w:rPr>
          <w:rFonts w:cs="微软雅黑"/>
          <w:kern w:val="0"/>
          <w:sz w:val="20"/>
          <w:szCs w:val="20"/>
          <w:highlight w:val="none"/>
        </w:rPr>
      </w:pPr>
    </w:p>
    <w:p>
      <w:pPr>
        <w:autoSpaceDE w:val="0"/>
        <w:autoSpaceDN w:val="0"/>
        <w:adjustRightInd w:val="0"/>
        <w:spacing w:line="560" w:lineRule="exact"/>
        <w:jc w:val="left"/>
        <w:rPr>
          <w:rFonts w:cs="微软雅黑"/>
          <w:kern w:val="0"/>
          <w:sz w:val="20"/>
          <w:szCs w:val="20"/>
          <w:highlight w:val="none"/>
        </w:rPr>
      </w:pPr>
    </w:p>
    <w:p>
      <w:pPr>
        <w:autoSpaceDE w:val="0"/>
        <w:autoSpaceDN w:val="0"/>
        <w:adjustRightInd w:val="0"/>
        <w:spacing w:line="560" w:lineRule="exact"/>
        <w:jc w:val="left"/>
        <w:rPr>
          <w:rFonts w:hint="eastAsia" w:cs="微软雅黑"/>
          <w:kern w:val="0"/>
          <w:sz w:val="20"/>
          <w:szCs w:val="20"/>
          <w:highlight w:val="none"/>
        </w:rPr>
      </w:pPr>
    </w:p>
    <w:p>
      <w:pPr>
        <w:autoSpaceDE w:val="0"/>
        <w:autoSpaceDN w:val="0"/>
        <w:adjustRightInd w:val="0"/>
        <w:spacing w:line="560" w:lineRule="exact"/>
        <w:ind w:firstLine="480" w:firstLineChars="200"/>
        <w:jc w:val="left"/>
        <w:rPr>
          <w:rFonts w:cs="微软雅黑"/>
          <w:kern w:val="0"/>
          <w:sz w:val="24"/>
          <w:szCs w:val="24"/>
          <w:highlight w:val="none"/>
        </w:rPr>
      </w:pPr>
    </w:p>
    <w:p>
      <w:pPr>
        <w:tabs>
          <w:tab w:val="left" w:pos="6940"/>
          <w:tab w:val="left" w:pos="7520"/>
        </w:tabs>
        <w:autoSpaceDE w:val="0"/>
        <w:autoSpaceDN w:val="0"/>
        <w:adjustRightInd w:val="0"/>
        <w:spacing w:line="560" w:lineRule="exact"/>
        <w:ind w:left="1201" w:right="52"/>
        <w:jc w:val="left"/>
        <w:rPr>
          <w:rFonts w:ascii="宋体" w:hAnsi="宋体" w:cs="微软雅黑"/>
          <w:kern w:val="0"/>
          <w:sz w:val="24"/>
          <w:szCs w:val="28"/>
          <w:highlight w:val="none"/>
        </w:rPr>
      </w:pPr>
      <w:r>
        <w:rPr>
          <w:rFonts w:ascii="宋体" w:hAnsi="宋体" w:cs="微软雅黑"/>
          <w:kern w:val="0"/>
          <w:sz w:val="24"/>
          <w:szCs w:val="28"/>
          <w:highlight w:val="none"/>
        </w:rPr>
        <w:t>投标人：</w:t>
      </w:r>
      <w:r>
        <w:rPr>
          <w:rFonts w:ascii="宋体" w:hAnsi="宋体" w:cs="微软雅黑"/>
          <w:spacing w:val="57"/>
          <w:kern w:val="0"/>
          <w:sz w:val="24"/>
          <w:szCs w:val="28"/>
          <w:highlight w:val="none"/>
          <w:u w:val="single"/>
        </w:rPr>
        <w:t xml:space="preserve"> </w:t>
      </w:r>
      <w:r>
        <w:rPr>
          <w:rFonts w:ascii="宋体" w:hAnsi="宋体" w:cs="微软雅黑"/>
          <w:kern w:val="0"/>
          <w:sz w:val="24"/>
          <w:szCs w:val="28"/>
          <w:highlight w:val="none"/>
          <w:u w:val="single"/>
        </w:rPr>
        <w:tab/>
      </w:r>
      <w:r>
        <w:rPr>
          <w:rFonts w:ascii="宋体" w:hAnsi="宋体" w:cs="微软雅黑"/>
          <w:kern w:val="0"/>
          <w:sz w:val="24"/>
          <w:szCs w:val="28"/>
          <w:highlight w:val="none"/>
        </w:rPr>
        <w:t>(盖</w:t>
      </w:r>
      <w:r>
        <w:rPr>
          <w:rFonts w:ascii="宋体" w:hAnsi="宋体" w:cs="微软雅黑"/>
          <w:spacing w:val="-3"/>
          <w:kern w:val="0"/>
          <w:sz w:val="24"/>
          <w:szCs w:val="28"/>
          <w:highlight w:val="none"/>
        </w:rPr>
        <w:t>单</w:t>
      </w:r>
      <w:r>
        <w:rPr>
          <w:rFonts w:ascii="宋体" w:hAnsi="宋体" w:cs="微软雅黑"/>
          <w:kern w:val="0"/>
          <w:sz w:val="24"/>
          <w:szCs w:val="28"/>
          <w:highlight w:val="none"/>
        </w:rPr>
        <w:t>位</w:t>
      </w:r>
      <w:r>
        <w:rPr>
          <w:rFonts w:ascii="宋体" w:hAnsi="宋体" w:cs="微软雅黑"/>
          <w:spacing w:val="-3"/>
          <w:kern w:val="0"/>
          <w:sz w:val="24"/>
          <w:szCs w:val="28"/>
          <w:highlight w:val="none"/>
        </w:rPr>
        <w:t>章</w:t>
      </w:r>
      <w:r>
        <w:rPr>
          <w:rFonts w:ascii="宋体" w:hAnsi="宋体" w:cs="微软雅黑"/>
          <w:kern w:val="0"/>
          <w:sz w:val="24"/>
          <w:szCs w:val="28"/>
          <w:highlight w:val="none"/>
        </w:rPr>
        <w:t>)</w:t>
      </w:r>
    </w:p>
    <w:p>
      <w:pPr>
        <w:tabs>
          <w:tab w:val="left" w:pos="6940"/>
          <w:tab w:val="left" w:pos="7520"/>
        </w:tabs>
        <w:autoSpaceDE w:val="0"/>
        <w:autoSpaceDN w:val="0"/>
        <w:adjustRightInd w:val="0"/>
        <w:spacing w:line="560" w:lineRule="exact"/>
        <w:ind w:left="1201" w:right="52"/>
        <w:jc w:val="left"/>
        <w:rPr>
          <w:rFonts w:ascii="宋体" w:hAnsi="宋体" w:cs="微软雅黑"/>
          <w:kern w:val="0"/>
          <w:sz w:val="24"/>
          <w:szCs w:val="28"/>
          <w:highlight w:val="none"/>
        </w:rPr>
      </w:pPr>
      <w:r>
        <w:rPr>
          <w:rFonts w:ascii="宋体" w:hAnsi="宋体" w:cs="微软雅黑"/>
          <w:kern w:val="0"/>
          <w:sz w:val="24"/>
          <w:szCs w:val="28"/>
          <w:highlight w:val="none"/>
        </w:rPr>
        <w:t>法定代</w:t>
      </w:r>
      <w:r>
        <w:rPr>
          <w:rFonts w:ascii="宋体" w:hAnsi="宋体" w:cs="微软雅黑"/>
          <w:spacing w:val="-3"/>
          <w:kern w:val="0"/>
          <w:sz w:val="24"/>
          <w:szCs w:val="28"/>
          <w:highlight w:val="none"/>
        </w:rPr>
        <w:t>表</w:t>
      </w:r>
      <w:r>
        <w:rPr>
          <w:rFonts w:ascii="宋体" w:hAnsi="宋体" w:cs="微软雅黑"/>
          <w:kern w:val="0"/>
          <w:sz w:val="24"/>
          <w:szCs w:val="28"/>
          <w:highlight w:val="none"/>
        </w:rPr>
        <w:t>人或其</w:t>
      </w:r>
      <w:r>
        <w:rPr>
          <w:rFonts w:ascii="宋体" w:hAnsi="宋体" w:cs="微软雅黑"/>
          <w:spacing w:val="-3"/>
          <w:kern w:val="0"/>
          <w:sz w:val="24"/>
          <w:szCs w:val="28"/>
          <w:highlight w:val="none"/>
        </w:rPr>
        <w:t>委托</w:t>
      </w:r>
      <w:r>
        <w:rPr>
          <w:rFonts w:ascii="宋体" w:hAnsi="宋体" w:cs="微软雅黑"/>
          <w:kern w:val="0"/>
          <w:sz w:val="24"/>
          <w:szCs w:val="28"/>
          <w:highlight w:val="none"/>
        </w:rPr>
        <w:t>代理人</w:t>
      </w:r>
      <w:r>
        <w:rPr>
          <w:rFonts w:ascii="宋体" w:hAnsi="宋体" w:cs="微软雅黑"/>
          <w:spacing w:val="2"/>
          <w:kern w:val="0"/>
          <w:sz w:val="24"/>
          <w:szCs w:val="28"/>
          <w:highlight w:val="none"/>
        </w:rPr>
        <w:t>：</w:t>
      </w:r>
      <w:r>
        <w:rPr>
          <w:rFonts w:ascii="宋体" w:hAnsi="宋体" w:cs="微软雅黑"/>
          <w:spacing w:val="57"/>
          <w:kern w:val="0"/>
          <w:sz w:val="24"/>
          <w:szCs w:val="28"/>
          <w:highlight w:val="none"/>
          <w:u w:val="single"/>
        </w:rPr>
        <w:t xml:space="preserve"> </w:t>
      </w:r>
      <w:r>
        <w:rPr>
          <w:rFonts w:ascii="宋体" w:hAnsi="宋体" w:cs="微软雅黑"/>
          <w:kern w:val="0"/>
          <w:sz w:val="24"/>
          <w:szCs w:val="28"/>
          <w:highlight w:val="none"/>
          <w:u w:val="single"/>
        </w:rPr>
        <w:tab/>
      </w:r>
      <w:r>
        <w:rPr>
          <w:rFonts w:ascii="宋体" w:hAnsi="宋体" w:cs="微软雅黑"/>
          <w:kern w:val="0"/>
          <w:sz w:val="24"/>
          <w:szCs w:val="28"/>
          <w:highlight w:val="none"/>
        </w:rPr>
        <w:t>(</w:t>
      </w:r>
      <w:r>
        <w:rPr>
          <w:rFonts w:ascii="宋体" w:hAnsi="宋体" w:cs="微软雅黑"/>
          <w:spacing w:val="-3"/>
          <w:kern w:val="0"/>
          <w:sz w:val="24"/>
          <w:szCs w:val="28"/>
          <w:highlight w:val="none"/>
        </w:rPr>
        <w:t>签</w:t>
      </w:r>
      <w:r>
        <w:rPr>
          <w:rFonts w:ascii="宋体" w:hAnsi="宋体" w:cs="微软雅黑"/>
          <w:kern w:val="0"/>
          <w:sz w:val="24"/>
          <w:szCs w:val="28"/>
          <w:highlight w:val="none"/>
        </w:rPr>
        <w:t>字</w:t>
      </w:r>
      <w:r>
        <w:rPr>
          <w:rFonts w:hint="eastAsia" w:ascii="宋体" w:hAnsi="宋体" w:cs="微软雅黑"/>
          <w:kern w:val="0"/>
          <w:sz w:val="24"/>
          <w:szCs w:val="28"/>
          <w:highlight w:val="none"/>
        </w:rPr>
        <w:t>或盖章</w:t>
      </w:r>
      <w:r>
        <w:rPr>
          <w:rFonts w:ascii="宋体" w:hAnsi="宋体" w:cs="微软雅黑"/>
          <w:kern w:val="0"/>
          <w:sz w:val="24"/>
          <w:szCs w:val="28"/>
          <w:highlight w:val="none"/>
        </w:rPr>
        <w:t>)</w:t>
      </w:r>
    </w:p>
    <w:p>
      <w:pPr>
        <w:autoSpaceDE w:val="0"/>
        <w:autoSpaceDN w:val="0"/>
        <w:adjustRightInd w:val="0"/>
        <w:spacing w:line="560" w:lineRule="exact"/>
        <w:jc w:val="left"/>
        <w:rPr>
          <w:rFonts w:cs="微软雅黑"/>
          <w:kern w:val="0"/>
          <w:sz w:val="13"/>
          <w:szCs w:val="13"/>
          <w:highlight w:val="none"/>
        </w:rPr>
      </w:pPr>
    </w:p>
    <w:p>
      <w:pPr>
        <w:tabs>
          <w:tab w:val="left" w:pos="3600"/>
          <w:tab w:val="left" w:pos="4620"/>
          <w:tab w:val="left" w:pos="5520"/>
        </w:tabs>
        <w:autoSpaceDE w:val="0"/>
        <w:autoSpaceDN w:val="0"/>
        <w:adjustRightInd w:val="0"/>
        <w:spacing w:line="560" w:lineRule="exact"/>
        <w:ind w:right="-20" w:firstLine="2280" w:firstLineChars="950"/>
        <w:jc w:val="left"/>
        <w:rPr>
          <w:rFonts w:cs="微软雅黑"/>
          <w:kern w:val="0"/>
          <w:sz w:val="24"/>
          <w:szCs w:val="28"/>
          <w:highlight w:val="none"/>
        </w:rPr>
      </w:pPr>
      <w:r>
        <w:rPr>
          <w:rFonts w:cs="微软雅黑"/>
          <w:kern w:val="0"/>
          <w:sz w:val="24"/>
          <w:szCs w:val="28"/>
          <w:highlight w:val="none"/>
          <w:u w:val="single"/>
        </w:rPr>
        <w:tab/>
      </w:r>
      <w:r>
        <w:rPr>
          <w:rFonts w:cs="微软雅黑"/>
          <w:spacing w:val="2"/>
          <w:kern w:val="0"/>
          <w:sz w:val="24"/>
          <w:szCs w:val="28"/>
          <w:highlight w:val="none"/>
        </w:rPr>
        <w:t>年</w:t>
      </w:r>
      <w:r>
        <w:rPr>
          <w:rFonts w:cs="微软雅黑"/>
          <w:spacing w:val="57"/>
          <w:kern w:val="0"/>
          <w:sz w:val="24"/>
          <w:szCs w:val="28"/>
          <w:highlight w:val="none"/>
          <w:u w:val="single"/>
        </w:rPr>
        <w:t xml:space="preserve"> </w:t>
      </w:r>
      <w:r>
        <w:rPr>
          <w:rFonts w:cs="微软雅黑"/>
          <w:kern w:val="0"/>
          <w:sz w:val="24"/>
          <w:szCs w:val="28"/>
          <w:highlight w:val="none"/>
          <w:u w:val="single"/>
        </w:rPr>
        <w:tab/>
      </w:r>
      <w:r>
        <w:rPr>
          <w:rFonts w:cs="微软雅黑"/>
          <w:spacing w:val="2"/>
          <w:kern w:val="0"/>
          <w:sz w:val="24"/>
          <w:szCs w:val="28"/>
          <w:highlight w:val="none"/>
        </w:rPr>
        <w:t>月</w:t>
      </w:r>
      <w:r>
        <w:rPr>
          <w:rFonts w:cs="微软雅黑"/>
          <w:kern w:val="0"/>
          <w:sz w:val="24"/>
          <w:szCs w:val="28"/>
          <w:highlight w:val="none"/>
          <w:u w:val="single"/>
        </w:rPr>
        <w:tab/>
      </w:r>
      <w:r>
        <w:rPr>
          <w:rFonts w:cs="微软雅黑"/>
          <w:kern w:val="0"/>
          <w:sz w:val="24"/>
          <w:szCs w:val="28"/>
          <w:highlight w:val="none"/>
          <w:u w:val="single"/>
        </w:rPr>
        <w:t xml:space="preserve">     </w:t>
      </w:r>
      <w:r>
        <w:rPr>
          <w:rFonts w:cs="微软雅黑"/>
          <w:kern w:val="0"/>
          <w:sz w:val="24"/>
          <w:szCs w:val="28"/>
          <w:highlight w:val="none"/>
        </w:rPr>
        <w:t>日</w:t>
      </w:r>
    </w:p>
    <w:p>
      <w:pPr>
        <w:tabs>
          <w:tab w:val="left" w:pos="3600"/>
          <w:tab w:val="left" w:pos="4620"/>
          <w:tab w:val="left" w:pos="5640"/>
        </w:tabs>
        <w:autoSpaceDE w:val="0"/>
        <w:autoSpaceDN w:val="0"/>
        <w:adjustRightInd w:val="0"/>
        <w:spacing w:line="560" w:lineRule="exact"/>
        <w:ind w:left="2877" w:right="-20" w:firstLine="480" w:firstLineChars="200"/>
        <w:jc w:val="left"/>
        <w:rPr>
          <w:rFonts w:cs="微软雅黑"/>
          <w:kern w:val="0"/>
          <w:sz w:val="24"/>
          <w:szCs w:val="28"/>
          <w:highlight w:val="none"/>
        </w:rPr>
        <w:sectPr>
          <w:footerReference r:id="rId8" w:type="default"/>
          <w:pgSz w:w="11907" w:h="16840"/>
          <w:pgMar w:top="1134" w:right="1134" w:bottom="1134" w:left="1134" w:header="567" w:footer="567" w:gutter="0"/>
          <w:cols w:space="720" w:num="1"/>
        </w:sectPr>
      </w:pPr>
    </w:p>
    <w:p>
      <w:pPr>
        <w:autoSpaceDE w:val="0"/>
        <w:autoSpaceDN w:val="0"/>
        <w:adjustRightInd w:val="0"/>
        <w:spacing w:line="560" w:lineRule="exact"/>
        <w:jc w:val="center"/>
        <w:rPr>
          <w:rFonts w:cs="微软雅黑"/>
          <w:b/>
          <w:kern w:val="0"/>
          <w:sz w:val="36"/>
          <w:szCs w:val="36"/>
          <w:highlight w:val="none"/>
        </w:rPr>
      </w:pPr>
      <w:r>
        <w:rPr>
          <w:rFonts w:cs="微软雅黑"/>
          <w:b/>
          <w:kern w:val="0"/>
          <w:sz w:val="36"/>
          <w:szCs w:val="36"/>
          <w:highlight w:val="none"/>
        </w:rPr>
        <w:t>目 录</w:t>
      </w:r>
    </w:p>
    <w:p>
      <w:pPr>
        <w:pStyle w:val="14"/>
        <w:numPr>
          <w:ilvl w:val="0"/>
          <w:numId w:val="10"/>
        </w:numPr>
        <w:tabs>
          <w:tab w:val="left" w:pos="360"/>
        </w:tabs>
        <w:autoSpaceDE w:val="0"/>
        <w:autoSpaceDN w:val="0"/>
        <w:adjustRightInd w:val="0"/>
        <w:spacing w:line="560" w:lineRule="exact"/>
        <w:ind w:right="4013" w:firstLineChars="0"/>
        <w:rPr>
          <w:rFonts w:ascii="微软雅黑" w:hAnsi="Times New Roman" w:cs="微软雅黑"/>
          <w:spacing w:val="-2"/>
          <w:kern w:val="0"/>
          <w:sz w:val="22"/>
          <w:highlight w:val="none"/>
        </w:rPr>
      </w:pPr>
      <w:r>
        <w:rPr>
          <w:rFonts w:ascii="微软雅黑" w:hAnsi="Times New Roman" w:cs="微软雅黑"/>
          <w:spacing w:val="-2"/>
          <w:kern w:val="0"/>
          <w:sz w:val="22"/>
          <w:highlight w:val="none"/>
        </w:rPr>
        <w:t>投标函；</w:t>
      </w:r>
    </w:p>
    <w:p>
      <w:pPr>
        <w:pStyle w:val="14"/>
        <w:tabs>
          <w:tab w:val="left" w:pos="360"/>
        </w:tabs>
        <w:autoSpaceDE w:val="0"/>
        <w:autoSpaceDN w:val="0"/>
        <w:adjustRightInd w:val="0"/>
        <w:spacing w:line="560" w:lineRule="exact"/>
        <w:ind w:firstLine="0" w:firstLineChars="0"/>
        <w:rPr>
          <w:rFonts w:ascii="微软雅黑" w:hAnsi="Times New Roman" w:cs="微软雅黑"/>
          <w:spacing w:val="-2"/>
          <w:kern w:val="0"/>
          <w:sz w:val="22"/>
          <w:highlight w:val="none"/>
        </w:rPr>
      </w:pPr>
      <w:r>
        <w:rPr>
          <w:rFonts w:hint="eastAsia" w:ascii="宋体" w:hAnsi="宋体" w:cs="宋体"/>
          <w:kern w:val="0"/>
          <w:sz w:val="22"/>
          <w:highlight w:val="none"/>
        </w:rPr>
        <w:t>二、法定代表人身份证明、</w:t>
      </w:r>
      <w:r>
        <w:rPr>
          <w:rFonts w:ascii="宋体" w:hAnsi="宋体" w:cs="宋体"/>
          <w:kern w:val="0"/>
          <w:sz w:val="22"/>
          <w:highlight w:val="none"/>
        </w:rPr>
        <w:t>法定代表人授权委托书(投标文件</w:t>
      </w:r>
      <w:r>
        <w:rPr>
          <w:rFonts w:hint="eastAsia" w:ascii="宋体" w:hAnsi="宋体" w:cs="宋体"/>
          <w:kern w:val="0"/>
          <w:sz w:val="22"/>
          <w:highlight w:val="none"/>
        </w:rPr>
        <w:t>由</w:t>
      </w:r>
      <w:r>
        <w:rPr>
          <w:rFonts w:ascii="宋体" w:hAnsi="宋体" w:cs="宋体"/>
          <w:kern w:val="0"/>
          <w:sz w:val="22"/>
          <w:highlight w:val="none"/>
        </w:rPr>
        <w:t>委托代理人签字</w:t>
      </w:r>
      <w:r>
        <w:rPr>
          <w:rFonts w:hint="eastAsia" w:ascii="宋体" w:hAnsi="宋体" w:cs="宋体"/>
          <w:kern w:val="0"/>
          <w:sz w:val="22"/>
          <w:highlight w:val="none"/>
        </w:rPr>
        <w:t>时</w:t>
      </w:r>
      <w:r>
        <w:rPr>
          <w:rFonts w:ascii="宋体" w:hAnsi="宋体" w:cs="宋体"/>
          <w:kern w:val="0"/>
          <w:sz w:val="22"/>
          <w:highlight w:val="none"/>
        </w:rPr>
        <w:t>提供</w:t>
      </w:r>
      <w:r>
        <w:rPr>
          <w:rFonts w:hint="eastAsia" w:ascii="宋体" w:hAnsi="宋体" w:cs="宋体"/>
          <w:kern w:val="0"/>
          <w:sz w:val="22"/>
          <w:highlight w:val="none"/>
        </w:rPr>
        <w:t>)</w:t>
      </w:r>
      <w:r>
        <w:rPr>
          <w:rFonts w:ascii="微软雅黑" w:hAnsi="Times New Roman" w:cs="微软雅黑"/>
          <w:spacing w:val="-2"/>
          <w:kern w:val="0"/>
          <w:sz w:val="22"/>
          <w:highlight w:val="none"/>
        </w:rPr>
        <w:t>；</w:t>
      </w:r>
    </w:p>
    <w:p>
      <w:pPr>
        <w:pStyle w:val="14"/>
        <w:tabs>
          <w:tab w:val="left" w:pos="360"/>
        </w:tabs>
        <w:autoSpaceDE w:val="0"/>
        <w:autoSpaceDN w:val="0"/>
        <w:adjustRightInd w:val="0"/>
        <w:spacing w:line="560" w:lineRule="exact"/>
        <w:ind w:right="4013" w:firstLine="0" w:firstLineChars="0"/>
        <w:rPr>
          <w:rFonts w:ascii="微软雅黑" w:hAnsi="Times New Roman" w:cs="微软雅黑"/>
          <w:spacing w:val="-2"/>
          <w:kern w:val="0"/>
          <w:sz w:val="22"/>
          <w:highlight w:val="none"/>
        </w:rPr>
      </w:pPr>
      <w:r>
        <w:rPr>
          <w:rFonts w:hint="eastAsia" w:ascii="微软雅黑" w:hAnsi="Times New Roman" w:cs="微软雅黑"/>
          <w:spacing w:val="-2"/>
          <w:kern w:val="0"/>
          <w:sz w:val="22"/>
          <w:highlight w:val="none"/>
        </w:rPr>
        <w:t>三、</w:t>
      </w:r>
      <w:r>
        <w:rPr>
          <w:rFonts w:ascii="微软雅黑" w:hAnsi="Times New Roman" w:cs="微软雅黑"/>
          <w:spacing w:val="-2"/>
          <w:kern w:val="0"/>
          <w:sz w:val="22"/>
          <w:highlight w:val="none"/>
        </w:rPr>
        <w:t>已标价工程量清单；</w:t>
      </w:r>
    </w:p>
    <w:p>
      <w:pPr>
        <w:pStyle w:val="14"/>
        <w:tabs>
          <w:tab w:val="left" w:pos="360"/>
        </w:tabs>
        <w:autoSpaceDE w:val="0"/>
        <w:autoSpaceDN w:val="0"/>
        <w:adjustRightInd w:val="0"/>
        <w:spacing w:line="560" w:lineRule="exact"/>
        <w:ind w:right="4013" w:firstLine="0" w:firstLineChars="0"/>
        <w:rPr>
          <w:rFonts w:ascii="微软雅黑" w:hAnsi="Times New Roman" w:cs="微软雅黑"/>
          <w:spacing w:val="-2"/>
          <w:kern w:val="0"/>
          <w:sz w:val="22"/>
          <w:highlight w:val="none"/>
        </w:rPr>
      </w:pPr>
      <w:r>
        <w:rPr>
          <w:rFonts w:hint="eastAsia" w:ascii="微软雅黑" w:hAnsi="Times New Roman" w:cs="微软雅黑"/>
          <w:spacing w:val="-2"/>
          <w:kern w:val="0"/>
          <w:sz w:val="22"/>
          <w:highlight w:val="none"/>
        </w:rPr>
        <w:t>四、</w:t>
      </w:r>
      <w:r>
        <w:rPr>
          <w:rFonts w:ascii="微软雅黑" w:hAnsi="Times New Roman" w:cs="微软雅黑"/>
          <w:spacing w:val="-2"/>
          <w:kern w:val="0"/>
          <w:sz w:val="22"/>
          <w:highlight w:val="none"/>
        </w:rPr>
        <w:t>投标人</w:t>
      </w:r>
      <w:r>
        <w:rPr>
          <w:rFonts w:hint="eastAsia" w:ascii="微软雅黑" w:hAnsi="Times New Roman" w:cs="微软雅黑"/>
          <w:spacing w:val="-2"/>
          <w:kern w:val="0"/>
          <w:sz w:val="22"/>
          <w:highlight w:val="none"/>
        </w:rPr>
        <w:t>认为需要提供的</w:t>
      </w:r>
      <w:r>
        <w:rPr>
          <w:rFonts w:ascii="微软雅黑" w:hAnsi="Times New Roman" w:cs="微软雅黑"/>
          <w:spacing w:val="-2"/>
          <w:kern w:val="0"/>
          <w:sz w:val="22"/>
          <w:highlight w:val="none"/>
        </w:rPr>
        <w:t>其他材料。</w:t>
      </w:r>
    </w:p>
    <w:p>
      <w:pPr>
        <w:pStyle w:val="14"/>
        <w:tabs>
          <w:tab w:val="left" w:pos="360"/>
        </w:tabs>
        <w:autoSpaceDE w:val="0"/>
        <w:autoSpaceDN w:val="0"/>
        <w:adjustRightInd w:val="0"/>
        <w:spacing w:line="560" w:lineRule="exact"/>
        <w:ind w:right="4013" w:firstLine="0" w:firstLineChars="0"/>
        <w:rPr>
          <w:rFonts w:ascii="微软雅黑" w:hAnsi="Times New Roman" w:cs="微软雅黑"/>
          <w:b/>
          <w:bCs/>
          <w:spacing w:val="-2"/>
          <w:kern w:val="0"/>
          <w:sz w:val="22"/>
          <w:highlight w:val="none"/>
        </w:rPr>
      </w:pPr>
      <w:r>
        <w:rPr>
          <w:rFonts w:hint="eastAsia" w:ascii="微软雅黑" w:hAnsi="Times New Roman" w:cs="微软雅黑"/>
          <w:b/>
          <w:bCs/>
          <w:spacing w:val="-2"/>
          <w:kern w:val="0"/>
          <w:sz w:val="22"/>
          <w:highlight w:val="none"/>
        </w:rPr>
        <w:t>注：未提供格式的由投标人自行拟定格式。</w:t>
      </w:r>
    </w:p>
    <w:p>
      <w:pPr>
        <w:autoSpaceDE w:val="0"/>
        <w:autoSpaceDN w:val="0"/>
        <w:adjustRightInd w:val="0"/>
        <w:snapToGrid w:val="0"/>
        <w:spacing w:line="560" w:lineRule="exact"/>
        <w:ind w:firstLine="723" w:firstLineChars="200"/>
        <w:rPr>
          <w:rFonts w:ascii="宋体" w:hAnsi="宋体" w:cs="微软雅黑"/>
          <w:b/>
          <w:kern w:val="0"/>
          <w:sz w:val="36"/>
          <w:szCs w:val="36"/>
          <w:highlight w:val="none"/>
        </w:rPr>
      </w:pPr>
      <w:r>
        <w:rPr>
          <w:rFonts w:ascii="宋体" w:hAnsi="宋体" w:cs="微软雅黑"/>
          <w:b/>
          <w:kern w:val="0"/>
          <w:sz w:val="36"/>
          <w:szCs w:val="36"/>
          <w:highlight w:val="none"/>
        </w:rPr>
        <w:br w:type="page"/>
      </w:r>
    </w:p>
    <w:p>
      <w:pPr>
        <w:autoSpaceDE w:val="0"/>
        <w:autoSpaceDN w:val="0"/>
        <w:adjustRightInd w:val="0"/>
        <w:spacing w:line="560" w:lineRule="exact"/>
        <w:jc w:val="center"/>
        <w:rPr>
          <w:rFonts w:cs="微软雅黑"/>
          <w:b/>
          <w:kern w:val="0"/>
          <w:sz w:val="36"/>
          <w:szCs w:val="36"/>
          <w:highlight w:val="none"/>
        </w:rPr>
      </w:pPr>
      <w:r>
        <w:rPr>
          <w:rFonts w:cs="微软雅黑"/>
          <w:b/>
          <w:kern w:val="0"/>
          <w:sz w:val="36"/>
          <w:szCs w:val="36"/>
          <w:highlight w:val="none"/>
        </w:rPr>
        <w:t>一、投标函</w:t>
      </w:r>
    </w:p>
    <w:p>
      <w:pPr>
        <w:keepNext w:val="0"/>
        <w:keepLines w:val="0"/>
        <w:pageBreakBefore w:val="0"/>
        <w:kinsoku/>
        <w:wordWrap/>
        <w:overflowPunct/>
        <w:topLinePunct w:val="0"/>
        <w:autoSpaceDE/>
        <w:autoSpaceDN/>
        <w:bidi w:val="0"/>
        <w:adjustRightInd/>
        <w:snapToGrid w:val="0"/>
        <w:spacing w:line="360" w:lineRule="exact"/>
        <w:ind w:left="0" w:leftChars="0" w:right="0" w:rightChars="0"/>
        <w:textAlignment w:val="auto"/>
        <w:outlineLvl w:val="9"/>
        <w:rPr>
          <w:rFonts w:cs="宋体"/>
          <w:b/>
          <w:sz w:val="22"/>
          <w:highlight w:val="none"/>
        </w:rPr>
      </w:pPr>
      <w:r>
        <w:rPr>
          <w:rFonts w:cs="宋体"/>
          <w:b/>
          <w:sz w:val="22"/>
          <w:highlight w:val="none"/>
          <w:u w:val="single"/>
        </w:rPr>
        <w:t xml:space="preserve">                    </w:t>
      </w:r>
      <w:r>
        <w:rPr>
          <w:rFonts w:cs="宋体"/>
          <w:b/>
          <w:sz w:val="22"/>
          <w:highlight w:val="none"/>
        </w:rPr>
        <w:t>(招标人)：</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440" w:firstLineChars="200"/>
        <w:textAlignment w:val="auto"/>
        <w:outlineLvl w:val="9"/>
        <w:rPr>
          <w:rFonts w:cs="宋体"/>
          <w:b/>
          <w:sz w:val="22"/>
          <w:highlight w:val="none"/>
        </w:rPr>
      </w:pPr>
      <w:r>
        <w:rPr>
          <w:rFonts w:cs="宋体"/>
          <w:sz w:val="22"/>
          <w:highlight w:val="none"/>
        </w:rPr>
        <w:t>我方已全面阅读和研究了</w:t>
      </w:r>
      <w:r>
        <w:rPr>
          <w:rFonts w:cs="宋体"/>
          <w:b/>
          <w:bCs/>
          <w:sz w:val="22"/>
          <w:highlight w:val="none"/>
          <w:u w:val="single"/>
        </w:rPr>
        <w:t xml:space="preserve">                           </w:t>
      </w:r>
      <w:r>
        <w:rPr>
          <w:rFonts w:cs="宋体"/>
          <w:b/>
          <w:bCs/>
          <w:sz w:val="22"/>
          <w:highlight w:val="none"/>
        </w:rPr>
        <w:t>项目</w:t>
      </w:r>
      <w:r>
        <w:rPr>
          <w:rFonts w:cs="宋体"/>
          <w:sz w:val="22"/>
          <w:highlight w:val="none"/>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highlight w:val="none"/>
          <w:u w:val="single"/>
        </w:rPr>
        <w:t xml:space="preserve">       </w:t>
      </w:r>
      <w:r>
        <w:rPr>
          <w:rFonts w:hint="eastAsia" w:cs="宋体"/>
          <w:sz w:val="22"/>
          <w:highlight w:val="none"/>
          <w:u w:val="single"/>
        </w:rPr>
        <w:t xml:space="preserve">           </w:t>
      </w:r>
      <w:r>
        <w:rPr>
          <w:rFonts w:cs="宋体"/>
          <w:kern w:val="0"/>
          <w:sz w:val="22"/>
          <w:highlight w:val="none"/>
        </w:rPr>
        <w:t>(</w:t>
      </w:r>
      <w:r>
        <w:rPr>
          <w:rFonts w:cs="宋体"/>
          <w:spacing w:val="-61"/>
          <w:kern w:val="0"/>
          <w:sz w:val="22"/>
          <w:highlight w:val="none"/>
        </w:rPr>
        <w:t>¥</w:t>
      </w:r>
      <w:r>
        <w:rPr>
          <w:rFonts w:cs="宋体"/>
          <w:spacing w:val="43"/>
          <w:kern w:val="0"/>
          <w:sz w:val="22"/>
          <w:highlight w:val="none"/>
          <w:u w:val="single"/>
        </w:rPr>
        <w:t xml:space="preserve">    </w:t>
      </w:r>
      <w:r>
        <w:rPr>
          <w:rFonts w:hint="eastAsia" w:cs="宋体"/>
          <w:spacing w:val="43"/>
          <w:kern w:val="0"/>
          <w:sz w:val="22"/>
          <w:highlight w:val="none"/>
          <w:u w:val="single"/>
        </w:rPr>
        <w:t xml:space="preserve">         </w:t>
      </w:r>
      <w:r>
        <w:rPr>
          <w:rFonts w:cs="宋体"/>
          <w:spacing w:val="43"/>
          <w:kern w:val="0"/>
          <w:sz w:val="22"/>
          <w:highlight w:val="none"/>
          <w:u w:val="single"/>
        </w:rPr>
        <w:t xml:space="preserve">   </w:t>
      </w:r>
      <w:r>
        <w:rPr>
          <w:rFonts w:cs="宋体"/>
          <w:kern w:val="0"/>
          <w:sz w:val="22"/>
          <w:highlight w:val="none"/>
          <w:u w:val="single"/>
        </w:rPr>
        <w:tab/>
      </w:r>
      <w:r>
        <w:rPr>
          <w:rFonts w:cs="宋体"/>
          <w:kern w:val="0"/>
          <w:sz w:val="22"/>
          <w:highlight w:val="none"/>
          <w:u w:val="single"/>
        </w:rPr>
        <w:tab/>
      </w:r>
      <w:r>
        <w:rPr>
          <w:rFonts w:cs="宋体"/>
          <w:spacing w:val="-12"/>
          <w:kern w:val="0"/>
          <w:sz w:val="22"/>
          <w:highlight w:val="none"/>
        </w:rPr>
        <w:t>)</w:t>
      </w:r>
      <w:r>
        <w:rPr>
          <w:rFonts w:cs="宋体"/>
          <w:kern w:val="0"/>
          <w:sz w:val="22"/>
          <w:highlight w:val="none"/>
        </w:rPr>
        <w:t>；</w:t>
      </w:r>
      <w:r>
        <w:rPr>
          <w:rFonts w:cs="宋体"/>
          <w:sz w:val="22"/>
          <w:highlight w:val="none"/>
        </w:rPr>
        <w:t>项目负责人为：</w:t>
      </w:r>
      <w:r>
        <w:rPr>
          <w:rFonts w:cs="宋体"/>
          <w:sz w:val="22"/>
          <w:highlight w:val="none"/>
          <w:u w:val="single"/>
        </w:rPr>
        <w:t xml:space="preserve">    </w:t>
      </w:r>
      <w:r>
        <w:rPr>
          <w:rFonts w:hint="eastAsia" w:cs="宋体"/>
          <w:sz w:val="22"/>
          <w:highlight w:val="none"/>
          <w:u w:val="single"/>
        </w:rPr>
        <w:t xml:space="preserve">      </w:t>
      </w:r>
      <w:r>
        <w:rPr>
          <w:rFonts w:cs="宋体"/>
          <w:sz w:val="22"/>
          <w:highlight w:val="none"/>
          <w:u w:val="single"/>
        </w:rPr>
        <w:t xml:space="preserve">        </w:t>
      </w:r>
      <w:r>
        <w:rPr>
          <w:rFonts w:cs="宋体"/>
          <w:sz w:val="22"/>
          <w:highlight w:val="none"/>
        </w:rPr>
        <w:t>(身份证号码：</w:t>
      </w:r>
      <w:r>
        <w:rPr>
          <w:rFonts w:cs="宋体"/>
          <w:sz w:val="22"/>
          <w:highlight w:val="none"/>
          <w:u w:val="single"/>
        </w:rPr>
        <w:t xml:space="preserve">             </w:t>
      </w:r>
      <w:r>
        <w:rPr>
          <w:rFonts w:hint="eastAsia" w:cs="宋体"/>
          <w:sz w:val="22"/>
          <w:highlight w:val="none"/>
        </w:rPr>
        <w:t>，电话号码：</w:t>
      </w:r>
      <w:r>
        <w:rPr>
          <w:rFonts w:hint="eastAsia" w:cs="宋体"/>
          <w:sz w:val="22"/>
          <w:highlight w:val="none"/>
          <w:u w:val="single"/>
        </w:rPr>
        <w:t xml:space="preserve">                          </w:t>
      </w:r>
      <w:r>
        <w:rPr>
          <w:rFonts w:cs="宋体"/>
          <w:sz w:val="22"/>
          <w:highlight w:val="none"/>
        </w:rPr>
        <w:t>)</w:t>
      </w:r>
      <w:r>
        <w:rPr>
          <w:rFonts w:hint="eastAsia" w:cs="宋体"/>
          <w:sz w:val="22"/>
          <w:highlight w:val="none"/>
        </w:rPr>
        <w:t>；</w:t>
      </w:r>
      <w:r>
        <w:rPr>
          <w:rFonts w:cs="宋体"/>
          <w:sz w:val="22"/>
          <w:highlight w:val="none"/>
        </w:rPr>
        <w:t>工期</w:t>
      </w:r>
      <w:r>
        <w:rPr>
          <w:rFonts w:cs="宋体"/>
          <w:sz w:val="22"/>
          <w:highlight w:val="none"/>
          <w:u w:val="single"/>
        </w:rPr>
        <w:t xml:space="preserve">  </w:t>
      </w:r>
      <w:r>
        <w:rPr>
          <w:rFonts w:hint="eastAsia" w:cs="宋体"/>
          <w:b/>
          <w:sz w:val="22"/>
          <w:highlight w:val="none"/>
          <w:u w:val="single"/>
        </w:rPr>
        <w:t xml:space="preserve">                                   </w:t>
      </w:r>
      <w:r>
        <w:rPr>
          <w:rFonts w:hint="eastAsia" w:ascii="宋体" w:hAnsi="宋体"/>
          <w:sz w:val="22"/>
          <w:highlight w:val="none"/>
        </w:rPr>
        <w:t>日历天</w:t>
      </w:r>
      <w:r>
        <w:rPr>
          <w:rFonts w:hint="eastAsia" w:cs="宋体"/>
          <w:b/>
          <w:sz w:val="22"/>
          <w:highlight w:val="none"/>
        </w:rPr>
        <w:t>；</w:t>
      </w:r>
      <w:r>
        <w:rPr>
          <w:rFonts w:hint="eastAsia" w:ascii="宋体" w:hAnsi="宋体" w:cs="宋体"/>
          <w:sz w:val="22"/>
          <w:highlight w:val="none"/>
        </w:rPr>
        <w:t>工程质量达到一次验收合格</w:t>
      </w:r>
      <w:r>
        <w:rPr>
          <w:rFonts w:cs="宋体"/>
          <w:sz w:val="22"/>
          <w:highlight w:val="none"/>
        </w:rPr>
        <w:t>。</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440" w:firstLineChars="200"/>
        <w:textAlignment w:val="auto"/>
        <w:outlineLvl w:val="9"/>
        <w:rPr>
          <w:rFonts w:cs="宋体"/>
          <w:b/>
          <w:sz w:val="22"/>
          <w:highlight w:val="none"/>
        </w:rPr>
      </w:pPr>
      <w:r>
        <w:rPr>
          <w:rFonts w:ascii="宋体" w:hAnsi="宋体"/>
          <w:sz w:val="22"/>
          <w:highlight w:val="none"/>
        </w:rPr>
        <w:t>1</w:t>
      </w:r>
      <w:r>
        <w:rPr>
          <w:rFonts w:hint="eastAsia" w:ascii="宋体" w:hAnsi="宋体"/>
          <w:sz w:val="22"/>
          <w:highlight w:val="none"/>
        </w:rPr>
        <w:t>.根据招标人要求，做出如下承诺：</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440" w:firstLineChars="200"/>
        <w:textAlignment w:val="auto"/>
        <w:outlineLvl w:val="9"/>
        <w:rPr>
          <w:rFonts w:ascii="宋体" w:hAnsi="宋体" w:cs="Arial"/>
          <w:b/>
          <w:sz w:val="22"/>
          <w:highlight w:val="none"/>
        </w:rPr>
      </w:pPr>
      <w:r>
        <w:rPr>
          <w:rFonts w:ascii="宋体" w:hAnsi="宋体"/>
          <w:sz w:val="22"/>
          <w:highlight w:val="none"/>
        </w:rPr>
        <w:t>(1</w:t>
      </w:r>
      <w:r>
        <w:rPr>
          <w:rFonts w:hint="eastAsia" w:ascii="宋体" w:hAnsi="宋体"/>
          <w:sz w:val="22"/>
          <w:highlight w:val="none"/>
        </w:rPr>
        <w:t>)</w:t>
      </w:r>
      <w:r>
        <w:rPr>
          <w:rFonts w:hint="eastAsia" w:ascii="宋体" w:hAnsi="宋体" w:cs="Arial"/>
          <w:b/>
          <w:sz w:val="22"/>
          <w:highlight w:val="none"/>
        </w:rPr>
        <w:t>本工程计日工单价为：</w:t>
      </w:r>
      <w:r>
        <w:rPr>
          <w:rFonts w:hint="eastAsia" w:ascii="宋体" w:hAnsi="宋体" w:cs="Arial"/>
          <w:b/>
          <w:sz w:val="22"/>
          <w:highlight w:val="none"/>
          <w:u w:val="single"/>
        </w:rPr>
        <w:t xml:space="preserve">      </w:t>
      </w:r>
      <w:r>
        <w:rPr>
          <w:rFonts w:hint="eastAsia" w:ascii="宋体" w:hAnsi="宋体" w:cs="Arial"/>
          <w:b/>
          <w:sz w:val="22"/>
          <w:highlight w:val="none"/>
        </w:rPr>
        <w:t>元/工日；</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440" w:firstLineChars="200"/>
        <w:textAlignment w:val="auto"/>
        <w:outlineLvl w:val="9"/>
        <w:rPr>
          <w:rFonts w:cs="宋体"/>
          <w:b/>
          <w:sz w:val="22"/>
          <w:highlight w:val="none"/>
        </w:rPr>
      </w:pPr>
      <w:r>
        <w:rPr>
          <w:rFonts w:ascii="宋体" w:hAnsi="宋体"/>
          <w:sz w:val="22"/>
          <w:highlight w:val="none"/>
        </w:rPr>
        <w:t>(2</w:t>
      </w:r>
      <w:r>
        <w:rPr>
          <w:rFonts w:hint="eastAsia" w:ascii="宋体" w:hAnsi="宋体"/>
          <w:sz w:val="22"/>
          <w:highlight w:val="none"/>
        </w:rPr>
        <w:t>)</w:t>
      </w:r>
      <w:r>
        <w:rPr>
          <w:rFonts w:hint="eastAsia" w:ascii="宋体" w:hAnsi="宋体"/>
          <w:b/>
          <w:bCs/>
          <w:sz w:val="22"/>
          <w:highlight w:val="none"/>
        </w:rPr>
        <w:t>我方承诺</w:t>
      </w:r>
      <w:r>
        <w:rPr>
          <w:rFonts w:ascii="宋体" w:hAnsi="宋体"/>
          <w:b/>
          <w:bCs/>
          <w:spacing w:val="-1"/>
          <w:sz w:val="22"/>
          <w:highlight w:val="none"/>
        </w:rPr>
        <w:t>可提供增值税</w:t>
      </w:r>
      <w:r>
        <w:rPr>
          <w:rFonts w:hint="eastAsia" w:ascii="宋体" w:hAnsi="宋体"/>
          <w:b/>
          <w:bCs/>
          <w:spacing w:val="-1"/>
          <w:sz w:val="22"/>
          <w:highlight w:val="none"/>
        </w:rPr>
        <w:t>率为</w:t>
      </w:r>
      <w:r>
        <w:rPr>
          <w:rFonts w:hint="eastAsia" w:ascii="宋体" w:hAnsi="宋体"/>
          <w:b/>
          <w:bCs/>
          <w:spacing w:val="-1"/>
          <w:sz w:val="22"/>
          <w:highlight w:val="none"/>
          <w:u w:val="single"/>
        </w:rPr>
        <w:t xml:space="preserve"> </w:t>
      </w:r>
      <w:r>
        <w:rPr>
          <w:rFonts w:ascii="宋体" w:hAnsi="宋体"/>
          <w:b/>
          <w:bCs/>
          <w:spacing w:val="-1"/>
          <w:sz w:val="22"/>
          <w:highlight w:val="none"/>
          <w:u w:val="single"/>
        </w:rPr>
        <w:t xml:space="preserve">   </w:t>
      </w:r>
      <w:r>
        <w:rPr>
          <w:rFonts w:ascii="宋体" w:hAnsi="宋体"/>
          <w:b/>
          <w:bCs/>
          <w:spacing w:val="-1"/>
          <w:sz w:val="22"/>
          <w:highlight w:val="none"/>
        </w:rPr>
        <w:t>%</w:t>
      </w:r>
      <w:r>
        <w:rPr>
          <w:rFonts w:hint="eastAsia" w:ascii="宋体" w:hAnsi="宋体"/>
          <w:b/>
          <w:bCs/>
          <w:spacing w:val="-1"/>
          <w:sz w:val="22"/>
          <w:highlight w:val="none"/>
        </w:rPr>
        <w:t>的增值税</w:t>
      </w:r>
      <w:r>
        <w:rPr>
          <w:rFonts w:ascii="宋体" w:hAnsi="宋体"/>
          <w:b/>
          <w:bCs/>
          <w:spacing w:val="-1"/>
          <w:sz w:val="22"/>
          <w:highlight w:val="none"/>
        </w:rPr>
        <w:t>专用发票</w:t>
      </w:r>
      <w:r>
        <w:rPr>
          <w:rFonts w:hint="eastAsia" w:ascii="宋体" w:hAnsi="宋体"/>
          <w:b/>
          <w:bCs/>
          <w:sz w:val="22"/>
          <w:highlight w:val="none"/>
        </w:rPr>
        <w:t>；</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440" w:firstLineChars="200"/>
        <w:textAlignment w:val="auto"/>
        <w:outlineLvl w:val="9"/>
        <w:rPr>
          <w:rFonts w:cs="宋体"/>
          <w:b/>
          <w:sz w:val="22"/>
          <w:highlight w:val="none"/>
        </w:rPr>
      </w:pPr>
      <w:r>
        <w:rPr>
          <w:rFonts w:ascii="宋体" w:hAnsi="宋体"/>
          <w:sz w:val="22"/>
          <w:highlight w:val="none"/>
        </w:rPr>
        <w:t>(</w:t>
      </w:r>
      <w:r>
        <w:rPr>
          <w:rFonts w:hint="eastAsia" w:ascii="宋体" w:hAnsi="宋体"/>
          <w:sz w:val="22"/>
          <w:highlight w:val="none"/>
        </w:rPr>
        <w:t>3)如我方中标，在收到中标通知书后，在中标通知书规定的期限内与你方签订合同；</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440" w:firstLineChars="200"/>
        <w:textAlignment w:val="auto"/>
        <w:outlineLvl w:val="9"/>
        <w:rPr>
          <w:kern w:val="0"/>
          <w:sz w:val="22"/>
          <w:highlight w:val="none"/>
        </w:rPr>
      </w:pPr>
      <w:r>
        <w:rPr>
          <w:rFonts w:hint="eastAsia" w:ascii="宋体" w:hAnsi="宋体"/>
          <w:sz w:val="22"/>
          <w:highlight w:val="none"/>
        </w:rPr>
        <w:t>(4)</w:t>
      </w:r>
      <w:r>
        <w:rPr>
          <w:kern w:val="0"/>
          <w:sz w:val="22"/>
          <w:highlight w:val="none"/>
        </w:rPr>
        <w:t>在招投标过程中，廉洁自律并对所获悉的招标人的相关信息予以保密</w:t>
      </w:r>
      <w:r>
        <w:rPr>
          <w:rFonts w:hint="eastAsia"/>
          <w:kern w:val="0"/>
          <w:sz w:val="22"/>
          <w:highlight w:val="none"/>
        </w:rPr>
        <w:t>；</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440" w:firstLineChars="200"/>
        <w:textAlignment w:val="auto"/>
        <w:outlineLvl w:val="9"/>
        <w:rPr>
          <w:rFonts w:ascii="宋体" w:hAnsi="宋体" w:cs="宋体"/>
          <w:sz w:val="22"/>
          <w:highlight w:val="none"/>
        </w:rPr>
      </w:pPr>
      <w:r>
        <w:rPr>
          <w:rFonts w:hint="eastAsia" w:ascii="宋体" w:hAnsi="宋体"/>
          <w:sz w:val="22"/>
          <w:highlight w:val="none"/>
        </w:rPr>
        <w:t>(5)</w:t>
      </w:r>
      <w:r>
        <w:rPr>
          <w:rFonts w:ascii="宋体" w:hAnsi="宋体"/>
          <w:sz w:val="22"/>
          <w:highlight w:val="none"/>
        </w:rPr>
        <w:t>我方承诺</w:t>
      </w:r>
      <w:r>
        <w:rPr>
          <w:rFonts w:hint="eastAsia" w:ascii="宋体" w:hAnsi="宋体"/>
          <w:sz w:val="22"/>
          <w:highlight w:val="none"/>
        </w:rPr>
        <w:t>所递交的投标文件及有关资料内容完整、真实和准确。</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440"/>
        <w:textAlignment w:val="auto"/>
        <w:outlineLvl w:val="9"/>
        <w:rPr>
          <w:rFonts w:cs="宋体"/>
          <w:b/>
          <w:sz w:val="22"/>
          <w:highlight w:val="none"/>
        </w:rPr>
      </w:pPr>
      <w:r>
        <w:rPr>
          <w:kern w:val="0"/>
          <w:sz w:val="22"/>
          <w:highlight w:val="none"/>
        </w:rPr>
        <w:t>以上承诺如有虚假给招标人造成损失的，愿意依法承担</w:t>
      </w:r>
      <w:r>
        <w:rPr>
          <w:rFonts w:hint="eastAsia"/>
          <w:kern w:val="0"/>
          <w:sz w:val="22"/>
          <w:highlight w:val="none"/>
        </w:rPr>
        <w:t>全部</w:t>
      </w:r>
      <w:r>
        <w:rPr>
          <w:kern w:val="0"/>
          <w:sz w:val="22"/>
          <w:highlight w:val="none"/>
        </w:rPr>
        <w:t>责任。如已中标，同意招标人取消我公司中标资格的处理。</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440" w:firstLineChars="200"/>
        <w:textAlignment w:val="auto"/>
        <w:outlineLvl w:val="9"/>
        <w:rPr>
          <w:rFonts w:cs="宋体"/>
          <w:sz w:val="22"/>
          <w:highlight w:val="none"/>
        </w:rPr>
      </w:pPr>
      <w:r>
        <w:rPr>
          <w:rFonts w:hint="eastAsia" w:ascii="宋体" w:hAnsi="宋体"/>
          <w:sz w:val="22"/>
          <w:highlight w:val="none"/>
        </w:rPr>
        <w:t>2.我方已详细审查招标文件包括澄清函和修改文件</w:t>
      </w:r>
      <w:r>
        <w:rPr>
          <w:rFonts w:ascii="宋体" w:hAnsi="宋体"/>
          <w:sz w:val="22"/>
          <w:highlight w:val="none"/>
        </w:rPr>
        <w:t>(若有)、所有</w:t>
      </w:r>
      <w:r>
        <w:rPr>
          <w:rFonts w:hint="eastAsia" w:ascii="宋体" w:hAnsi="宋体"/>
          <w:sz w:val="22"/>
          <w:highlight w:val="none"/>
        </w:rPr>
        <w:t>已</w:t>
      </w:r>
      <w:r>
        <w:rPr>
          <w:rFonts w:ascii="宋体" w:hAnsi="宋体"/>
          <w:sz w:val="22"/>
          <w:highlight w:val="none"/>
        </w:rPr>
        <w:t>提供的资料以及有关附件，我</w:t>
      </w:r>
      <w:r>
        <w:rPr>
          <w:rFonts w:hint="eastAsia" w:ascii="宋体" w:hAnsi="宋体"/>
          <w:sz w:val="22"/>
          <w:highlight w:val="none"/>
        </w:rPr>
        <w:t>方</w:t>
      </w:r>
      <w:r>
        <w:rPr>
          <w:rFonts w:ascii="宋体" w:hAnsi="宋体"/>
          <w:sz w:val="22"/>
          <w:highlight w:val="none"/>
        </w:rPr>
        <w:t>已完全理解上述文件的全部内容</w:t>
      </w:r>
      <w:r>
        <w:rPr>
          <w:rFonts w:hint="eastAsia" w:ascii="宋体" w:hAnsi="宋体"/>
          <w:sz w:val="22"/>
          <w:highlight w:val="none"/>
        </w:rPr>
        <w:t>且无异议</w:t>
      </w:r>
      <w:r>
        <w:rPr>
          <w:rFonts w:ascii="宋体" w:hAnsi="宋体"/>
          <w:sz w:val="22"/>
          <w:highlight w:val="none"/>
        </w:rPr>
        <w:t>，并放弃提出任何误解或不明作为抗辩的权利。</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440" w:firstLineChars="200"/>
        <w:textAlignment w:val="auto"/>
        <w:outlineLvl w:val="9"/>
        <w:rPr>
          <w:rFonts w:cs="宋体"/>
          <w:sz w:val="22"/>
          <w:highlight w:val="none"/>
        </w:rPr>
      </w:pPr>
      <w:r>
        <w:rPr>
          <w:rFonts w:hint="eastAsia" w:ascii="宋体" w:hAnsi="宋体"/>
          <w:sz w:val="22"/>
          <w:highlight w:val="none"/>
        </w:rPr>
        <w:t>3.我方同意按照你方可能提出的要求，提供有关的任何其它数字或资料，并对你方可能不接受最低报价及任何报价表示理解。</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440" w:firstLineChars="200"/>
        <w:textAlignment w:val="auto"/>
        <w:outlineLvl w:val="9"/>
        <w:rPr>
          <w:rFonts w:cs="宋体"/>
          <w:sz w:val="22"/>
          <w:highlight w:val="none"/>
        </w:rPr>
      </w:pPr>
      <w:r>
        <w:rPr>
          <w:rFonts w:hint="eastAsia" w:ascii="宋体" w:hAnsi="宋体"/>
          <w:sz w:val="22"/>
          <w:highlight w:val="none"/>
        </w:rPr>
        <w:t>4.在合同协议书正式签署生效之前，本投标函连同你方的中标通知书将构成我们双方之间共同遵守的文件，对双方具有约束力。</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440" w:firstLineChars="200"/>
        <w:textAlignment w:val="auto"/>
        <w:outlineLvl w:val="9"/>
        <w:rPr>
          <w:rFonts w:cs="宋体"/>
          <w:sz w:val="22"/>
          <w:highlight w:val="none"/>
        </w:rPr>
      </w:pPr>
      <w:r>
        <w:rPr>
          <w:rFonts w:hint="eastAsia" w:ascii="宋体" w:hAnsi="宋体"/>
          <w:sz w:val="22"/>
          <w:highlight w:val="none"/>
        </w:rPr>
        <w:t>5.(其他补充说明)</w:t>
      </w:r>
      <w:r>
        <w:rPr>
          <w:rFonts w:ascii="宋体" w:hAnsi="宋体"/>
          <w:sz w:val="22"/>
          <w:highlight w:val="none"/>
          <w:u w:val="single"/>
        </w:rPr>
        <w:t xml:space="preserve">                                              </w:t>
      </w:r>
      <w:r>
        <w:rPr>
          <w:rFonts w:hint="eastAsia" w:ascii="宋体" w:hAnsi="宋体"/>
          <w:sz w:val="22"/>
          <w:highlight w:val="none"/>
        </w:rPr>
        <w:t>。</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3968" w:firstLineChars="1804"/>
        <w:jc w:val="left"/>
        <w:textAlignment w:val="auto"/>
        <w:outlineLvl w:val="9"/>
        <w:rPr>
          <w:rFonts w:cs="宋体"/>
          <w:sz w:val="22"/>
          <w:highlight w:val="none"/>
        </w:rPr>
      </w:pP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3968" w:firstLineChars="1804"/>
        <w:jc w:val="left"/>
        <w:textAlignment w:val="auto"/>
        <w:outlineLvl w:val="9"/>
        <w:rPr>
          <w:rFonts w:cs="宋体"/>
          <w:sz w:val="22"/>
          <w:highlight w:val="none"/>
        </w:rPr>
      </w:pP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3968" w:firstLineChars="1804"/>
        <w:jc w:val="left"/>
        <w:textAlignment w:val="auto"/>
        <w:outlineLvl w:val="9"/>
        <w:rPr>
          <w:rFonts w:cs="宋体"/>
          <w:sz w:val="22"/>
          <w:highlight w:val="none"/>
        </w:rPr>
      </w:pPr>
      <w:r>
        <w:rPr>
          <w:rFonts w:cs="宋体"/>
          <w:sz w:val="22"/>
          <w:highlight w:val="none"/>
        </w:rPr>
        <w:t>投标人：</w:t>
      </w:r>
      <w:r>
        <w:rPr>
          <w:rFonts w:cs="宋体"/>
          <w:sz w:val="22"/>
          <w:highlight w:val="none"/>
          <w:u w:val="single"/>
        </w:rPr>
        <w:t xml:space="preserve">                </w:t>
      </w:r>
      <w:r>
        <w:rPr>
          <w:rFonts w:cs="宋体"/>
          <w:sz w:val="22"/>
          <w:highlight w:val="none"/>
        </w:rPr>
        <w:t>(盖章)</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3968" w:firstLineChars="1804"/>
        <w:jc w:val="left"/>
        <w:textAlignment w:val="auto"/>
        <w:outlineLvl w:val="9"/>
        <w:rPr>
          <w:rFonts w:cs="宋体"/>
          <w:sz w:val="22"/>
          <w:highlight w:val="none"/>
          <w:u w:val="single"/>
        </w:rPr>
      </w:pPr>
      <w:r>
        <w:rPr>
          <w:rFonts w:cs="宋体"/>
          <w:sz w:val="22"/>
          <w:highlight w:val="none"/>
        </w:rPr>
        <w:t>法定代表或委托代理人：</w:t>
      </w:r>
      <w:r>
        <w:rPr>
          <w:rFonts w:cs="宋体"/>
          <w:sz w:val="22"/>
          <w:highlight w:val="none"/>
          <w:u w:val="single"/>
        </w:rPr>
        <w:t xml:space="preserve">         </w:t>
      </w:r>
      <w:r>
        <w:rPr>
          <w:rFonts w:cs="宋体"/>
          <w:sz w:val="22"/>
          <w:highlight w:val="none"/>
        </w:rPr>
        <w:t>(签字或盖章)</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3968" w:firstLineChars="1804"/>
        <w:jc w:val="left"/>
        <w:textAlignment w:val="auto"/>
        <w:outlineLvl w:val="9"/>
        <w:rPr>
          <w:rFonts w:cs="宋体"/>
          <w:sz w:val="22"/>
          <w:highlight w:val="none"/>
          <w:u w:val="single"/>
        </w:rPr>
      </w:pPr>
      <w:r>
        <w:rPr>
          <w:rFonts w:cs="宋体"/>
          <w:sz w:val="22"/>
          <w:highlight w:val="none"/>
        </w:rPr>
        <w:t>联系人：</w:t>
      </w:r>
      <w:r>
        <w:rPr>
          <w:rFonts w:cs="宋体"/>
          <w:sz w:val="22"/>
          <w:highlight w:val="none"/>
          <w:u w:val="single"/>
        </w:rPr>
        <w:t xml:space="preserve">                    </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3968" w:firstLineChars="1804"/>
        <w:jc w:val="left"/>
        <w:textAlignment w:val="auto"/>
        <w:outlineLvl w:val="9"/>
        <w:rPr>
          <w:rFonts w:cs="宋体"/>
          <w:sz w:val="22"/>
          <w:highlight w:val="none"/>
          <w:u w:val="single"/>
        </w:rPr>
      </w:pPr>
      <w:r>
        <w:rPr>
          <w:rFonts w:cs="宋体"/>
          <w:sz w:val="22"/>
          <w:highlight w:val="none"/>
        </w:rPr>
        <w:t>联系地址：</w:t>
      </w:r>
      <w:r>
        <w:rPr>
          <w:rFonts w:cs="宋体"/>
          <w:sz w:val="22"/>
          <w:highlight w:val="none"/>
          <w:u w:val="single"/>
        </w:rPr>
        <w:t xml:space="preserve">                    </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3968" w:firstLineChars="1804"/>
        <w:jc w:val="left"/>
        <w:textAlignment w:val="auto"/>
        <w:outlineLvl w:val="9"/>
        <w:rPr>
          <w:rFonts w:cs="宋体"/>
          <w:sz w:val="22"/>
          <w:highlight w:val="none"/>
          <w:u w:val="single"/>
        </w:rPr>
      </w:pPr>
      <w:r>
        <w:rPr>
          <w:rFonts w:cs="宋体"/>
          <w:sz w:val="22"/>
          <w:highlight w:val="none"/>
        </w:rPr>
        <w:t>电话：</w:t>
      </w:r>
      <w:r>
        <w:rPr>
          <w:rFonts w:cs="宋体"/>
          <w:sz w:val="22"/>
          <w:highlight w:val="none"/>
          <w:u w:val="single"/>
        </w:rPr>
        <w:t xml:space="preserve">                    </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3968" w:firstLineChars="1804"/>
        <w:jc w:val="left"/>
        <w:textAlignment w:val="auto"/>
        <w:outlineLvl w:val="9"/>
        <w:rPr>
          <w:rFonts w:cs="宋体"/>
          <w:sz w:val="22"/>
          <w:highlight w:val="none"/>
          <w:u w:val="single"/>
        </w:rPr>
      </w:pPr>
      <w:r>
        <w:rPr>
          <w:rFonts w:cs="宋体"/>
          <w:sz w:val="22"/>
          <w:highlight w:val="none"/>
        </w:rPr>
        <w:t>邮编：</w:t>
      </w:r>
      <w:r>
        <w:rPr>
          <w:rFonts w:cs="宋体"/>
          <w:sz w:val="22"/>
          <w:highlight w:val="none"/>
          <w:u w:val="single"/>
        </w:rPr>
        <w:t xml:space="preserve">                    </w:t>
      </w:r>
    </w:p>
    <w:p>
      <w:pPr>
        <w:keepNext w:val="0"/>
        <w:keepLines w:val="0"/>
        <w:pageBreakBefore w:val="0"/>
        <w:kinsoku/>
        <w:wordWrap/>
        <w:overflowPunct/>
        <w:topLinePunct w:val="0"/>
        <w:autoSpaceDE/>
        <w:autoSpaceDN/>
        <w:bidi w:val="0"/>
        <w:adjustRightInd/>
        <w:snapToGrid w:val="0"/>
        <w:spacing w:line="360" w:lineRule="exact"/>
        <w:ind w:left="0" w:leftChars="0" w:right="0" w:rightChars="0" w:firstLine="3968" w:firstLineChars="1804"/>
        <w:jc w:val="left"/>
        <w:textAlignment w:val="auto"/>
        <w:outlineLvl w:val="9"/>
        <w:rPr>
          <w:rFonts w:cs="宋体"/>
          <w:sz w:val="22"/>
          <w:highlight w:val="none"/>
        </w:rPr>
      </w:pPr>
      <w:r>
        <w:rPr>
          <w:rFonts w:cs="宋体"/>
          <w:sz w:val="22"/>
          <w:highlight w:val="none"/>
          <w:u w:val="single"/>
        </w:rPr>
        <w:t xml:space="preserve">       </w:t>
      </w:r>
      <w:r>
        <w:rPr>
          <w:rFonts w:cs="宋体"/>
          <w:sz w:val="22"/>
          <w:highlight w:val="none"/>
        </w:rPr>
        <w:t xml:space="preserve">年 </w:t>
      </w:r>
      <w:r>
        <w:rPr>
          <w:rFonts w:cs="宋体"/>
          <w:sz w:val="22"/>
          <w:highlight w:val="none"/>
          <w:u w:val="single"/>
        </w:rPr>
        <w:t xml:space="preserve">       </w:t>
      </w:r>
      <w:r>
        <w:rPr>
          <w:rFonts w:cs="宋体"/>
          <w:sz w:val="22"/>
          <w:highlight w:val="none"/>
        </w:rPr>
        <w:t xml:space="preserve"> 月</w:t>
      </w:r>
      <w:r>
        <w:rPr>
          <w:rFonts w:cs="宋体"/>
          <w:sz w:val="22"/>
          <w:highlight w:val="none"/>
          <w:u w:val="single"/>
        </w:rPr>
        <w:t xml:space="preserve">      </w:t>
      </w:r>
      <w:r>
        <w:rPr>
          <w:rFonts w:cs="宋体"/>
          <w:sz w:val="22"/>
          <w:highlight w:val="none"/>
        </w:rPr>
        <w:t>日</w:t>
      </w:r>
    </w:p>
    <w:p>
      <w:pPr>
        <w:keepNext w:val="0"/>
        <w:keepLines w:val="0"/>
        <w:pageBreakBefore w:val="0"/>
        <w:widowControl/>
        <w:kinsoku/>
        <w:wordWrap/>
        <w:overflowPunct/>
        <w:topLinePunct w:val="0"/>
        <w:autoSpaceDE/>
        <w:autoSpaceDN/>
        <w:bidi w:val="0"/>
        <w:adjustRightInd/>
        <w:spacing w:line="360" w:lineRule="exact"/>
        <w:ind w:left="0" w:leftChars="0" w:right="0" w:rightChars="0"/>
        <w:jc w:val="left"/>
        <w:textAlignment w:val="auto"/>
        <w:outlineLvl w:val="9"/>
        <w:rPr>
          <w:rFonts w:cs="微软雅黑"/>
          <w:b/>
          <w:kern w:val="0"/>
          <w:sz w:val="36"/>
          <w:szCs w:val="36"/>
          <w:highlight w:val="none"/>
        </w:rPr>
      </w:pPr>
      <w:r>
        <w:rPr>
          <w:rFonts w:cs="微软雅黑"/>
          <w:b/>
          <w:kern w:val="0"/>
          <w:sz w:val="36"/>
          <w:szCs w:val="36"/>
          <w:highlight w:val="none"/>
        </w:rPr>
        <w:br w:type="page"/>
      </w:r>
    </w:p>
    <w:p>
      <w:pPr>
        <w:autoSpaceDE w:val="0"/>
        <w:autoSpaceDN w:val="0"/>
        <w:adjustRightInd w:val="0"/>
        <w:spacing w:line="560" w:lineRule="exact"/>
        <w:jc w:val="center"/>
        <w:rPr>
          <w:rFonts w:cs="微软雅黑"/>
          <w:b/>
          <w:kern w:val="0"/>
          <w:sz w:val="36"/>
          <w:szCs w:val="36"/>
          <w:highlight w:val="none"/>
        </w:rPr>
      </w:pPr>
      <w:r>
        <w:rPr>
          <w:rFonts w:ascii="宋体" w:hAnsi="宋体" w:cs="微软雅黑"/>
          <w:b/>
          <w:kern w:val="0"/>
          <w:sz w:val="36"/>
          <w:szCs w:val="36"/>
          <w:highlight w:val="none"/>
        </w:rPr>
        <w:t>二</w:t>
      </w:r>
      <w:r>
        <w:rPr>
          <w:rFonts w:hint="eastAsia" w:ascii="宋体" w:hAnsi="宋体" w:cs="微软雅黑"/>
          <w:b/>
          <w:kern w:val="0"/>
          <w:sz w:val="36"/>
          <w:szCs w:val="36"/>
          <w:highlight w:val="none"/>
        </w:rPr>
        <w:t>-1</w:t>
      </w:r>
      <w:r>
        <w:rPr>
          <w:rFonts w:cs="微软雅黑"/>
          <w:b/>
          <w:kern w:val="0"/>
          <w:sz w:val="36"/>
          <w:szCs w:val="36"/>
          <w:highlight w:val="none"/>
        </w:rPr>
        <w:t>、法定代表人身份证明</w:t>
      </w:r>
    </w:p>
    <w:p>
      <w:pPr>
        <w:autoSpaceDE w:val="0"/>
        <w:autoSpaceDN w:val="0"/>
        <w:adjustRightInd w:val="0"/>
        <w:spacing w:line="560" w:lineRule="exact"/>
        <w:jc w:val="left"/>
        <w:rPr>
          <w:rFonts w:cs="微软雅黑"/>
          <w:kern w:val="0"/>
          <w:sz w:val="20"/>
          <w:szCs w:val="20"/>
          <w:highlight w:val="none"/>
        </w:rPr>
      </w:pP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u w:val="single"/>
        </w:rPr>
      </w:pPr>
      <w:r>
        <w:rPr>
          <w:rFonts w:cs="Calibri"/>
          <w:szCs w:val="21"/>
          <w:highlight w:val="none"/>
        </w:rPr>
        <w:t>投标人名称：</w:t>
      </w:r>
      <w:r>
        <w:rPr>
          <w:rFonts w:cs="Calibri"/>
          <w:szCs w:val="21"/>
          <w:highlight w:val="none"/>
          <w:u w:val="single"/>
        </w:rPr>
        <w:t xml:space="preserve">                                  </w:t>
      </w: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u w:val="single"/>
        </w:rPr>
      </w:pPr>
      <w:r>
        <w:rPr>
          <w:rFonts w:cs="Calibri"/>
          <w:szCs w:val="21"/>
          <w:highlight w:val="none"/>
        </w:rPr>
        <w:t>单位性质：</w:t>
      </w:r>
      <w:r>
        <w:rPr>
          <w:rFonts w:cs="Calibri"/>
          <w:szCs w:val="21"/>
          <w:highlight w:val="none"/>
          <w:u w:val="single"/>
        </w:rPr>
        <w:t xml:space="preserve">                                    </w:t>
      </w: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u w:val="single"/>
        </w:rPr>
      </w:pPr>
      <w:r>
        <w:rPr>
          <w:rFonts w:cs="Calibri"/>
          <w:szCs w:val="21"/>
          <w:highlight w:val="none"/>
        </w:rPr>
        <w:t>地址：</w:t>
      </w:r>
      <w:r>
        <w:rPr>
          <w:rFonts w:cs="Calibri"/>
          <w:szCs w:val="21"/>
          <w:highlight w:val="none"/>
          <w:u w:val="single"/>
        </w:rPr>
        <w:t xml:space="preserve">                                        </w:t>
      </w: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u w:val="single"/>
        </w:rPr>
      </w:pPr>
      <w:r>
        <w:rPr>
          <w:rFonts w:cs="Calibri"/>
          <w:szCs w:val="21"/>
          <w:highlight w:val="none"/>
        </w:rPr>
        <w:t>成立时间：</w:t>
      </w:r>
      <w:r>
        <w:rPr>
          <w:rFonts w:cs="Calibri"/>
          <w:szCs w:val="21"/>
          <w:highlight w:val="none"/>
          <w:u w:val="single"/>
        </w:rPr>
        <w:t xml:space="preserve">          </w:t>
      </w:r>
      <w:r>
        <w:rPr>
          <w:rFonts w:cs="Calibri"/>
          <w:szCs w:val="21"/>
          <w:highlight w:val="none"/>
        </w:rPr>
        <w:t>年</w:t>
      </w:r>
      <w:r>
        <w:rPr>
          <w:rFonts w:cs="Calibri"/>
          <w:szCs w:val="21"/>
          <w:highlight w:val="none"/>
          <w:u w:val="single"/>
        </w:rPr>
        <w:t xml:space="preserve">           </w:t>
      </w:r>
      <w:r>
        <w:rPr>
          <w:rFonts w:cs="Calibri"/>
          <w:szCs w:val="21"/>
          <w:highlight w:val="none"/>
        </w:rPr>
        <w:t>月</w:t>
      </w:r>
      <w:r>
        <w:rPr>
          <w:rFonts w:cs="Calibri"/>
          <w:szCs w:val="21"/>
          <w:highlight w:val="none"/>
          <w:u w:val="single"/>
        </w:rPr>
        <w:t xml:space="preserve">           </w:t>
      </w:r>
      <w:r>
        <w:rPr>
          <w:rFonts w:cs="Calibri"/>
          <w:szCs w:val="21"/>
          <w:highlight w:val="none"/>
        </w:rPr>
        <w:t>日</w:t>
      </w: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u w:val="single"/>
        </w:rPr>
      </w:pPr>
      <w:r>
        <w:rPr>
          <w:rFonts w:cs="Calibri"/>
          <w:szCs w:val="21"/>
          <w:highlight w:val="none"/>
        </w:rPr>
        <w:t>经营期限：</w:t>
      </w:r>
      <w:r>
        <w:rPr>
          <w:rFonts w:cs="Calibri"/>
          <w:szCs w:val="21"/>
          <w:highlight w:val="none"/>
          <w:u w:val="single"/>
        </w:rPr>
        <w:t xml:space="preserve">                                     </w:t>
      </w: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u w:val="single"/>
        </w:rPr>
      </w:pPr>
      <w:r>
        <w:rPr>
          <w:rFonts w:cs="Calibri"/>
          <w:szCs w:val="21"/>
          <w:highlight w:val="none"/>
        </w:rPr>
        <w:t>姓名：</w:t>
      </w:r>
      <w:r>
        <w:rPr>
          <w:rFonts w:cs="Calibri"/>
          <w:szCs w:val="21"/>
          <w:highlight w:val="none"/>
          <w:u w:val="single"/>
        </w:rPr>
        <w:t xml:space="preserve">         </w:t>
      </w:r>
      <w:r>
        <w:rPr>
          <w:rFonts w:cs="Calibri"/>
          <w:szCs w:val="21"/>
          <w:highlight w:val="none"/>
        </w:rPr>
        <w:t xml:space="preserve">  性别：</w:t>
      </w:r>
      <w:r>
        <w:rPr>
          <w:rFonts w:cs="Calibri"/>
          <w:szCs w:val="21"/>
          <w:highlight w:val="none"/>
          <w:u w:val="single"/>
        </w:rPr>
        <w:t xml:space="preserve">         </w:t>
      </w:r>
      <w:r>
        <w:rPr>
          <w:rFonts w:cs="Calibri"/>
          <w:szCs w:val="21"/>
          <w:highlight w:val="none"/>
        </w:rPr>
        <w:t xml:space="preserve">  年龄：</w:t>
      </w:r>
      <w:r>
        <w:rPr>
          <w:rFonts w:cs="Calibri"/>
          <w:szCs w:val="21"/>
          <w:highlight w:val="none"/>
          <w:u w:val="single"/>
        </w:rPr>
        <w:t xml:space="preserve">         </w:t>
      </w:r>
      <w:r>
        <w:rPr>
          <w:rFonts w:cs="Calibri"/>
          <w:szCs w:val="21"/>
          <w:highlight w:val="none"/>
        </w:rPr>
        <w:t xml:space="preserve">  职务：</w:t>
      </w:r>
      <w:r>
        <w:rPr>
          <w:rFonts w:cs="Calibri"/>
          <w:szCs w:val="21"/>
          <w:highlight w:val="none"/>
          <w:u w:val="single"/>
        </w:rPr>
        <w:t xml:space="preserve">         </w:t>
      </w:r>
      <w:r>
        <w:rPr>
          <w:rFonts w:cs="Calibri"/>
          <w:szCs w:val="21"/>
          <w:highlight w:val="none"/>
        </w:rPr>
        <w:t xml:space="preserve">  </w:t>
      </w: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u w:val="single"/>
        </w:rPr>
      </w:pPr>
      <w:r>
        <w:rPr>
          <w:rFonts w:cs="Calibri"/>
          <w:szCs w:val="21"/>
          <w:highlight w:val="none"/>
        </w:rPr>
        <w:t>身份证号码：</w:t>
      </w:r>
      <w:r>
        <w:rPr>
          <w:rFonts w:cs="Calibri"/>
          <w:szCs w:val="21"/>
          <w:highlight w:val="none"/>
          <w:u w:val="single"/>
        </w:rPr>
        <w:t xml:space="preserve">                           </w:t>
      </w:r>
    </w:p>
    <w:p>
      <w:pPr>
        <w:keepNext w:val="0"/>
        <w:keepLines w:val="0"/>
        <w:pageBreakBefore w:val="0"/>
        <w:widowControl w:val="0"/>
        <w:kinsoku/>
        <w:wordWrap/>
        <w:overflowPunct/>
        <w:topLinePunct w:val="0"/>
        <w:bidi w:val="0"/>
        <w:snapToGrid/>
        <w:spacing w:line="360" w:lineRule="exact"/>
        <w:ind w:left="0" w:leftChars="0" w:right="0" w:rightChars="0" w:firstLine="560"/>
        <w:textAlignment w:val="auto"/>
        <w:outlineLvl w:val="9"/>
        <w:rPr>
          <w:rFonts w:cs="Calibri"/>
          <w:szCs w:val="21"/>
          <w:highlight w:val="none"/>
        </w:rPr>
      </w:pP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rPr>
      </w:pPr>
      <w:r>
        <w:rPr>
          <w:rFonts w:cs="Calibri"/>
          <w:szCs w:val="21"/>
          <w:highlight w:val="none"/>
        </w:rPr>
        <w:t xml:space="preserve">    系</w:t>
      </w:r>
      <w:r>
        <w:rPr>
          <w:rFonts w:cs="Calibri"/>
          <w:szCs w:val="21"/>
          <w:highlight w:val="none"/>
          <w:u w:val="single"/>
        </w:rPr>
        <w:t xml:space="preserve">                          </w:t>
      </w:r>
      <w:r>
        <w:rPr>
          <w:rFonts w:cs="Calibri"/>
          <w:szCs w:val="21"/>
          <w:highlight w:val="none"/>
        </w:rPr>
        <w:t>(投标人名称)的法定代表人。</w:t>
      </w:r>
    </w:p>
    <w:p>
      <w:pPr>
        <w:keepNext w:val="0"/>
        <w:keepLines w:val="0"/>
        <w:pageBreakBefore w:val="0"/>
        <w:widowControl w:val="0"/>
        <w:kinsoku/>
        <w:wordWrap/>
        <w:overflowPunct/>
        <w:topLinePunct w:val="0"/>
        <w:bidi w:val="0"/>
        <w:snapToGrid/>
        <w:spacing w:line="360" w:lineRule="exact"/>
        <w:ind w:left="0" w:leftChars="0" w:right="0" w:rightChars="0" w:firstLine="560"/>
        <w:textAlignment w:val="auto"/>
        <w:outlineLvl w:val="9"/>
        <w:rPr>
          <w:rFonts w:cs="Calibri"/>
          <w:szCs w:val="21"/>
          <w:highlight w:val="none"/>
        </w:rPr>
      </w:pP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rPr>
      </w:pPr>
      <w:r>
        <w:rPr>
          <w:rFonts w:cs="Calibri"/>
          <w:szCs w:val="21"/>
          <w:highlight w:val="none"/>
        </w:rPr>
        <w:t>特此证明。</w:t>
      </w: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rPr>
      </w:pPr>
      <w:r>
        <w:rPr>
          <w:rFonts w:cs="Calibri"/>
          <w:szCs w:val="21"/>
          <w:highlight w:val="none"/>
        </w:rPr>
        <w:t xml:space="preserve">投标人：(盖单位章) </w:t>
      </w:r>
    </w:p>
    <w:p>
      <w:pPr>
        <w:keepNext w:val="0"/>
        <w:keepLines w:val="0"/>
        <w:pageBreakBefore w:val="0"/>
        <w:widowControl w:val="0"/>
        <w:kinsoku/>
        <w:wordWrap/>
        <w:overflowPunct/>
        <w:topLinePunct w:val="0"/>
        <w:bidi w:val="0"/>
        <w:snapToGrid/>
        <w:spacing w:line="360" w:lineRule="exact"/>
        <w:ind w:left="0" w:leftChars="0" w:right="0" w:rightChars="0" w:firstLine="6240" w:firstLineChars="2960"/>
        <w:textAlignment w:val="auto"/>
        <w:outlineLvl w:val="9"/>
        <w:rPr>
          <w:rFonts w:cs="Calibri"/>
          <w:b/>
          <w:szCs w:val="21"/>
          <w:highlight w:val="none"/>
        </w:rPr>
      </w:pPr>
      <w:r>
        <w:rPr>
          <w:rFonts w:cs="Calibri"/>
          <w:b/>
          <w:szCs w:val="21"/>
          <w:highlight w:val="none"/>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highlight w:val="none"/>
        </w:rPr>
        <w:t>日期：   年    月    日</w:t>
      </w:r>
    </w:p>
    <w:p>
      <w:pPr>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jc w:val="center"/>
        <w:textAlignment w:val="auto"/>
        <w:outlineLvl w:val="9"/>
        <w:rPr>
          <w:rFonts w:cs="微软雅黑"/>
          <w:b/>
          <w:kern w:val="0"/>
          <w:sz w:val="36"/>
          <w:szCs w:val="36"/>
          <w:highlight w:val="none"/>
        </w:rPr>
      </w:pPr>
      <w:r>
        <w:rPr>
          <w:rFonts w:cs="Calibri"/>
          <w:szCs w:val="21"/>
          <w:highlight w:val="none"/>
        </w:rPr>
        <w:br w:type="page"/>
      </w:r>
      <w:r>
        <w:rPr>
          <w:rFonts w:hint="eastAsia" w:ascii="宋体" w:hAnsi="宋体" w:cs="微软雅黑"/>
          <w:b/>
          <w:kern w:val="0"/>
          <w:sz w:val="36"/>
          <w:szCs w:val="36"/>
          <w:highlight w:val="none"/>
        </w:rPr>
        <w:t>二-2</w:t>
      </w:r>
      <w:r>
        <w:rPr>
          <w:rFonts w:cs="微软雅黑"/>
          <w:b/>
          <w:kern w:val="0"/>
          <w:sz w:val="36"/>
          <w:szCs w:val="36"/>
          <w:highlight w:val="none"/>
        </w:rPr>
        <w:t>、法定代表人授权委托书</w:t>
      </w:r>
    </w:p>
    <w:p>
      <w:pPr>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firstLine="480" w:firstLineChars="200"/>
        <w:jc w:val="left"/>
        <w:textAlignment w:val="auto"/>
        <w:outlineLvl w:val="9"/>
        <w:rPr>
          <w:rFonts w:cs="微软雅黑"/>
          <w:kern w:val="0"/>
          <w:sz w:val="24"/>
          <w:szCs w:val="24"/>
          <w:highlight w:val="none"/>
        </w:rPr>
      </w:pPr>
    </w:p>
    <w:p>
      <w:pPr>
        <w:keepNext w:val="0"/>
        <w:keepLines w:val="0"/>
        <w:pageBreakBefore w:val="0"/>
        <w:widowControl w:val="0"/>
        <w:kinsoku/>
        <w:wordWrap/>
        <w:overflowPunct/>
        <w:topLinePunct w:val="0"/>
        <w:bidi w:val="0"/>
        <w:snapToGrid/>
        <w:spacing w:line="360" w:lineRule="exact"/>
        <w:ind w:left="0" w:leftChars="0" w:right="0" w:rightChars="0" w:firstLine="420" w:firstLineChars="200"/>
        <w:textAlignment w:val="auto"/>
        <w:outlineLvl w:val="9"/>
        <w:rPr>
          <w:rFonts w:cs="Calibri"/>
          <w:szCs w:val="21"/>
          <w:highlight w:val="none"/>
        </w:rPr>
      </w:pPr>
      <w:r>
        <w:rPr>
          <w:rFonts w:cs="Calibri"/>
          <w:szCs w:val="21"/>
          <w:highlight w:val="none"/>
        </w:rPr>
        <w:t>本人</w:t>
      </w:r>
      <w:r>
        <w:rPr>
          <w:rFonts w:cs="Calibri"/>
          <w:szCs w:val="21"/>
          <w:highlight w:val="none"/>
          <w:u w:val="single"/>
        </w:rPr>
        <w:t xml:space="preserve">        </w:t>
      </w:r>
      <w:r>
        <w:rPr>
          <w:rFonts w:cs="Calibri"/>
          <w:szCs w:val="21"/>
          <w:highlight w:val="none"/>
        </w:rPr>
        <w:t>(姓名)系</w:t>
      </w:r>
      <w:r>
        <w:rPr>
          <w:rFonts w:cs="Calibri"/>
          <w:szCs w:val="21"/>
          <w:highlight w:val="none"/>
          <w:u w:val="single"/>
        </w:rPr>
        <w:t xml:space="preserve">                </w:t>
      </w:r>
      <w:r>
        <w:rPr>
          <w:rFonts w:cs="Calibri"/>
          <w:szCs w:val="21"/>
          <w:highlight w:val="none"/>
        </w:rPr>
        <w:t>(投标人名称)的法定代表人，现委托</w:t>
      </w:r>
      <w:r>
        <w:rPr>
          <w:rFonts w:cs="Calibri"/>
          <w:szCs w:val="21"/>
          <w:highlight w:val="none"/>
          <w:u w:val="single"/>
        </w:rPr>
        <w:t xml:space="preserve">      </w:t>
      </w:r>
      <w:r>
        <w:rPr>
          <w:rFonts w:cs="Calibri"/>
          <w:szCs w:val="21"/>
          <w:highlight w:val="none"/>
        </w:rPr>
        <w:t>(姓名)为我方代理人。代理人根据授权，以我方名义签署、澄清、说明、补正、递交、撤回、修改</w:t>
      </w:r>
      <w:r>
        <w:rPr>
          <w:rFonts w:cs="Calibri"/>
          <w:szCs w:val="21"/>
          <w:highlight w:val="none"/>
          <w:u w:val="single"/>
        </w:rPr>
        <w:t xml:space="preserve">              </w:t>
      </w:r>
      <w:r>
        <w:rPr>
          <w:rFonts w:cs="Calibri"/>
          <w:szCs w:val="21"/>
          <w:highlight w:val="none"/>
        </w:rPr>
        <w:t>(项目名称)投标文件、签订合同和处理有关事宜，其法律后果由我方承担。</w:t>
      </w:r>
    </w:p>
    <w:p>
      <w:pPr>
        <w:keepNext w:val="0"/>
        <w:keepLines w:val="0"/>
        <w:pageBreakBefore w:val="0"/>
        <w:widowControl w:val="0"/>
        <w:kinsoku/>
        <w:wordWrap/>
        <w:overflowPunct/>
        <w:topLinePunct w:val="0"/>
        <w:bidi w:val="0"/>
        <w:snapToGrid/>
        <w:spacing w:line="360" w:lineRule="exact"/>
        <w:ind w:left="0" w:leftChars="0" w:right="0" w:rightChars="0" w:firstLine="420" w:firstLineChars="200"/>
        <w:textAlignment w:val="auto"/>
        <w:outlineLvl w:val="9"/>
        <w:rPr>
          <w:rFonts w:cs="Calibri"/>
          <w:szCs w:val="21"/>
          <w:highlight w:val="none"/>
        </w:rPr>
      </w:pPr>
      <w:r>
        <w:rPr>
          <w:rFonts w:cs="Calibri"/>
          <w:szCs w:val="21"/>
          <w:highlight w:val="none"/>
        </w:rPr>
        <w:t>代理人无转委托权。</w:t>
      </w:r>
    </w:p>
    <w:p>
      <w:pPr>
        <w:keepNext w:val="0"/>
        <w:keepLines w:val="0"/>
        <w:pageBreakBefore w:val="0"/>
        <w:widowControl w:val="0"/>
        <w:kinsoku/>
        <w:wordWrap/>
        <w:overflowPunct/>
        <w:topLinePunct w:val="0"/>
        <w:bidi w:val="0"/>
        <w:snapToGrid/>
        <w:spacing w:line="360" w:lineRule="exact"/>
        <w:ind w:left="0" w:leftChars="0" w:right="0" w:rightChars="0" w:firstLine="420" w:firstLineChars="200"/>
        <w:textAlignment w:val="auto"/>
        <w:outlineLvl w:val="9"/>
        <w:rPr>
          <w:rFonts w:cs="Calibri"/>
          <w:szCs w:val="21"/>
          <w:highlight w:val="none"/>
        </w:rPr>
      </w:pPr>
      <w:r>
        <w:rPr>
          <w:rFonts w:cs="Calibri"/>
          <w:szCs w:val="21"/>
          <w:highlight w:val="none"/>
        </w:rPr>
        <w:t>附：委托代理人身份证复制件。</w:t>
      </w: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rPr>
      </w:pP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rPr>
      </w:pPr>
      <w:r>
        <w:rPr>
          <w:rFonts w:cs="Calibri"/>
          <w:szCs w:val="21"/>
          <w:highlight w:val="none"/>
        </w:rPr>
        <w:t>投标人：(盖单位章)</w:t>
      </w: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rPr>
      </w:pPr>
      <w:r>
        <w:rPr>
          <w:rFonts w:cs="Calibri"/>
          <w:szCs w:val="21"/>
          <w:highlight w:val="none"/>
        </w:rPr>
        <w:t>法定代表人：(签字或盖章)</w:t>
      </w: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rPr>
      </w:pPr>
      <w:r>
        <w:rPr>
          <w:rFonts w:cs="Calibri"/>
          <w:szCs w:val="21"/>
          <w:highlight w:val="none"/>
        </w:rPr>
        <w:t>身份证号码：</w:t>
      </w: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rPr>
      </w:pPr>
    </w:p>
    <w:p>
      <w:pPr>
        <w:keepNext w:val="0"/>
        <w:keepLines w:val="0"/>
        <w:pageBreakBefore w:val="0"/>
        <w:widowControl w:val="0"/>
        <w:tabs>
          <w:tab w:val="left" w:pos="6818"/>
        </w:tabs>
        <w:kinsoku/>
        <w:wordWrap/>
        <w:overflowPunct/>
        <w:topLinePunct w:val="0"/>
        <w:bidi w:val="0"/>
        <w:snapToGrid/>
        <w:spacing w:line="360" w:lineRule="exact"/>
        <w:ind w:left="0" w:leftChars="0" w:right="0" w:rightChars="0"/>
        <w:textAlignment w:val="auto"/>
        <w:outlineLvl w:val="9"/>
        <w:rPr>
          <w:rFonts w:cs="Calibri"/>
          <w:szCs w:val="21"/>
          <w:highlight w:val="none"/>
        </w:rPr>
      </w:pPr>
      <w:r>
        <w:rPr>
          <w:rFonts w:cs="Calibri"/>
          <w:szCs w:val="21"/>
          <w:highlight w:val="none"/>
        </w:rPr>
        <w:t>委托的代理人：(签字或盖章)</w:t>
      </w:r>
      <w:r>
        <w:rPr>
          <w:rFonts w:cs="Calibri"/>
          <w:szCs w:val="21"/>
          <w:highlight w:val="none"/>
        </w:rPr>
        <w:tab/>
      </w: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rPr>
      </w:pPr>
      <w:r>
        <w:rPr>
          <w:rFonts w:cs="Calibri"/>
          <w:szCs w:val="21"/>
          <w:highlight w:val="none"/>
        </w:rPr>
        <w:t>身份证号码：</w:t>
      </w: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rPr>
      </w:pPr>
      <w:r>
        <w:rPr>
          <w:rFonts w:hint="eastAsia" w:cs="Calibri"/>
          <w:szCs w:val="21"/>
          <w:highlight w:val="none"/>
        </w:rPr>
        <w:t>手机号码：</w:t>
      </w: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cs="Calibri"/>
          <w:szCs w:val="21"/>
          <w:highlight w:val="none"/>
        </w:rPr>
      </w:pPr>
      <w:r>
        <w:rPr>
          <w:rFonts w:hint="eastAsia" w:cs="Calibri"/>
          <w:szCs w:val="21"/>
          <w:highlight w:val="none"/>
        </w:rPr>
        <w:t>电子邮箱：</w:t>
      </w:r>
    </w:p>
    <w:p>
      <w:pPr>
        <w:keepNext w:val="0"/>
        <w:keepLines w:val="0"/>
        <w:pageBreakBefore w:val="0"/>
        <w:widowControl w:val="0"/>
        <w:kinsoku/>
        <w:wordWrap/>
        <w:overflowPunct/>
        <w:topLinePunct w:val="0"/>
        <w:bidi w:val="0"/>
        <w:snapToGrid/>
        <w:spacing w:line="360" w:lineRule="exact"/>
        <w:ind w:left="0" w:leftChars="0" w:right="0" w:rightChars="0" w:firstLine="4515" w:firstLineChars="2150"/>
        <w:textAlignment w:val="auto"/>
        <w:outlineLvl w:val="9"/>
        <w:rPr>
          <w:rFonts w:cs="Calibri"/>
          <w:szCs w:val="21"/>
          <w:highlight w:val="none"/>
        </w:rPr>
      </w:pPr>
      <w:r>
        <w:rPr>
          <w:rFonts w:cs="Calibri"/>
          <w:szCs w:val="21"/>
          <w:highlight w:val="none"/>
        </w:rPr>
        <w:t>日期：</w:t>
      </w:r>
      <w:r>
        <w:rPr>
          <w:rFonts w:cs="Calibri"/>
          <w:szCs w:val="21"/>
          <w:highlight w:val="none"/>
          <w:u w:val="single"/>
        </w:rPr>
        <w:t xml:space="preserve">      </w:t>
      </w:r>
      <w:r>
        <w:rPr>
          <w:rFonts w:cs="Calibri"/>
          <w:szCs w:val="21"/>
          <w:highlight w:val="none"/>
        </w:rPr>
        <w:t>年</w:t>
      </w:r>
      <w:r>
        <w:rPr>
          <w:rFonts w:cs="Calibri"/>
          <w:szCs w:val="21"/>
          <w:highlight w:val="none"/>
          <w:u w:val="single"/>
        </w:rPr>
        <w:t xml:space="preserve">      </w:t>
      </w:r>
      <w:r>
        <w:rPr>
          <w:rFonts w:cs="Calibri"/>
          <w:szCs w:val="21"/>
          <w:highlight w:val="none"/>
        </w:rPr>
        <w:t>月</w:t>
      </w:r>
      <w:r>
        <w:rPr>
          <w:rFonts w:cs="Calibri"/>
          <w:szCs w:val="21"/>
          <w:highlight w:val="none"/>
          <w:u w:val="single"/>
        </w:rPr>
        <w:t xml:space="preserve">      </w:t>
      </w:r>
      <w:r>
        <w:rPr>
          <w:rFonts w:cs="Calibri"/>
          <w:szCs w:val="21"/>
          <w:highlight w:val="none"/>
        </w:rPr>
        <w:t>日</w:t>
      </w:r>
    </w:p>
    <w:p>
      <w:pPr>
        <w:snapToGrid w:val="0"/>
        <w:spacing w:line="560" w:lineRule="exact"/>
        <w:rPr>
          <w:rFonts w:cs="Calibri"/>
          <w:szCs w:val="21"/>
          <w:highlight w:val="none"/>
        </w:rPr>
      </w:pPr>
      <w:r>
        <w:rPr>
          <w:rFonts w:cs="Calibri"/>
          <w:b/>
          <w:szCs w:val="21"/>
          <w:highlight w:val="none"/>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highlight w:val="none"/>
        </w:rPr>
        <w:t xml:space="preserve">                                  </w:t>
      </w:r>
    </w:p>
    <w:p>
      <w:pPr>
        <w:spacing w:line="560" w:lineRule="exact"/>
        <w:rPr>
          <w:rFonts w:cs="Calibri"/>
          <w:b/>
          <w:bCs/>
          <w:szCs w:val="21"/>
          <w:highlight w:val="none"/>
        </w:rPr>
      </w:pPr>
      <w:r>
        <w:rPr>
          <w:rFonts w:cs="Calibri"/>
          <w:b/>
          <w:bCs/>
          <w:szCs w:val="21"/>
          <w:highlight w:val="none"/>
        </w:rPr>
        <w:t xml:space="preserve">  </w:t>
      </w:r>
    </w:p>
    <w:p>
      <w:pPr>
        <w:spacing w:line="560" w:lineRule="exact"/>
        <w:rPr>
          <w:rFonts w:cs="Calibri"/>
          <w:b/>
          <w:bCs/>
          <w:szCs w:val="21"/>
          <w:highlight w:val="none"/>
        </w:rPr>
      </w:pPr>
    </w:p>
    <w:p>
      <w:pPr>
        <w:spacing w:line="560" w:lineRule="exact"/>
        <w:rPr>
          <w:rFonts w:cs="Calibri"/>
          <w:szCs w:val="21"/>
          <w:highlight w:val="none"/>
        </w:rPr>
      </w:pPr>
    </w:p>
    <w:p>
      <w:pPr>
        <w:spacing w:line="560" w:lineRule="exact"/>
        <w:rPr>
          <w:rFonts w:cs="Calibri"/>
          <w:szCs w:val="21"/>
          <w:highlight w:val="none"/>
        </w:rPr>
      </w:pPr>
    </w:p>
    <w:p>
      <w:pPr>
        <w:spacing w:line="560" w:lineRule="exact"/>
        <w:rPr>
          <w:rFonts w:cs="Calibri"/>
          <w:szCs w:val="21"/>
          <w:highlight w:val="none"/>
        </w:rPr>
      </w:pPr>
    </w:p>
    <w:p>
      <w:pPr>
        <w:spacing w:line="560" w:lineRule="exact"/>
        <w:rPr>
          <w:rFonts w:cs="Calibri"/>
          <w:szCs w:val="21"/>
          <w:highlight w:val="none"/>
        </w:rPr>
      </w:pPr>
    </w:p>
    <w:p>
      <w:pPr>
        <w:spacing w:line="560" w:lineRule="exact"/>
        <w:rPr>
          <w:rFonts w:cs="Calibri"/>
          <w:szCs w:val="21"/>
          <w:highlight w:val="none"/>
        </w:rPr>
      </w:pPr>
    </w:p>
    <w:p>
      <w:pPr>
        <w:spacing w:line="560" w:lineRule="exact"/>
        <w:rPr>
          <w:rFonts w:cs="Calibri"/>
          <w:szCs w:val="21"/>
          <w:highlight w:val="none"/>
        </w:rPr>
      </w:pPr>
    </w:p>
    <w:p>
      <w:pPr>
        <w:spacing w:line="560" w:lineRule="exact"/>
        <w:rPr>
          <w:rFonts w:cs="Calibri"/>
          <w:szCs w:val="21"/>
          <w:highlight w:val="none"/>
        </w:rPr>
      </w:pPr>
    </w:p>
    <w:p>
      <w:pPr>
        <w:keepNext w:val="0"/>
        <w:keepLines w:val="0"/>
        <w:pageBreakBefore w:val="0"/>
        <w:widowControl w:val="0"/>
        <w:tabs>
          <w:tab w:val="left" w:pos="2420"/>
          <w:tab w:val="left" w:pos="5580"/>
        </w:tabs>
        <w:kinsoku/>
        <w:wordWrap/>
        <w:overflowPunct/>
        <w:topLinePunct w:val="0"/>
        <w:autoSpaceDE w:val="0"/>
        <w:autoSpaceDN w:val="0"/>
        <w:bidi w:val="0"/>
        <w:adjustRightInd w:val="0"/>
        <w:snapToGrid/>
        <w:spacing w:line="360" w:lineRule="exact"/>
        <w:ind w:left="0" w:leftChars="0" w:right="-20" w:rightChars="0" w:firstLine="420" w:firstLineChars="200"/>
        <w:jc w:val="left"/>
        <w:textAlignment w:val="auto"/>
        <w:outlineLvl w:val="9"/>
        <w:rPr>
          <w:rFonts w:cs="微软雅黑"/>
          <w:kern w:val="0"/>
          <w:sz w:val="24"/>
          <w:szCs w:val="24"/>
          <w:highlight w:val="none"/>
        </w:rPr>
      </w:pPr>
      <w:r>
        <w:rPr>
          <w:rFonts w:cs="Calibri"/>
          <w:szCs w:val="21"/>
          <w:highlight w:val="none"/>
        </w:rPr>
        <w:t>注：如投标文件由委托代理人签字或盖章的，投标文件必须附此授权委托书。</w:t>
      </w:r>
      <w:r>
        <w:rPr>
          <w:rFonts w:cs="Calibri"/>
          <w:b/>
          <w:bCs/>
          <w:szCs w:val="21"/>
          <w:highlight w:val="none"/>
        </w:rPr>
        <w:t xml:space="preserve">    </w:t>
      </w:r>
    </w:p>
    <w:p>
      <w:pPr>
        <w:tabs>
          <w:tab w:val="left" w:pos="6640"/>
          <w:tab w:val="left" w:pos="7580"/>
          <w:tab w:val="left" w:pos="8520"/>
        </w:tabs>
        <w:autoSpaceDE w:val="0"/>
        <w:autoSpaceDN w:val="0"/>
        <w:adjustRightInd w:val="0"/>
        <w:spacing w:line="560" w:lineRule="exact"/>
        <w:ind w:left="5907" w:right="-20" w:firstLine="480" w:firstLineChars="200"/>
        <w:jc w:val="left"/>
        <w:rPr>
          <w:rFonts w:cs="微软雅黑"/>
          <w:kern w:val="0"/>
          <w:sz w:val="24"/>
          <w:szCs w:val="21"/>
          <w:highlight w:val="none"/>
        </w:rPr>
        <w:sectPr>
          <w:pgSz w:w="11907" w:h="16840"/>
          <w:pgMar w:top="1134" w:right="1134" w:bottom="1134" w:left="1134" w:header="567" w:footer="567" w:gutter="0"/>
          <w:cols w:space="720" w:num="1"/>
        </w:sectPr>
      </w:pPr>
    </w:p>
    <w:p>
      <w:pPr>
        <w:spacing w:line="560" w:lineRule="exact"/>
        <w:jc w:val="center"/>
        <w:rPr>
          <w:rFonts w:cs="微软雅黑"/>
          <w:b/>
          <w:kern w:val="0"/>
          <w:sz w:val="36"/>
          <w:szCs w:val="36"/>
          <w:highlight w:val="none"/>
        </w:rPr>
      </w:pPr>
      <w:r>
        <w:rPr>
          <w:rFonts w:hint="eastAsia" w:cs="微软雅黑"/>
          <w:b/>
          <w:kern w:val="0"/>
          <w:sz w:val="36"/>
          <w:szCs w:val="36"/>
          <w:highlight w:val="none"/>
        </w:rPr>
        <w:t>三、已标价工程量清单</w:t>
      </w:r>
    </w:p>
    <w:p>
      <w:pPr>
        <w:autoSpaceDE w:val="0"/>
        <w:autoSpaceDN w:val="0"/>
        <w:adjustRightInd w:val="0"/>
        <w:snapToGrid w:val="0"/>
        <w:spacing w:line="560" w:lineRule="exact"/>
        <w:ind w:firstLine="420" w:firstLineChars="200"/>
        <w:rPr>
          <w:rFonts w:ascii="宋体" w:hAnsi="宋体" w:cs="Arial"/>
          <w:kern w:val="0"/>
          <w:szCs w:val="21"/>
          <w:highlight w:val="none"/>
        </w:rPr>
      </w:pPr>
    </w:p>
    <w:p>
      <w:pPr>
        <w:keepLines/>
        <w:pageBreakBefore/>
        <w:spacing w:line="560" w:lineRule="exact"/>
        <w:jc w:val="center"/>
        <w:rPr>
          <w:rFonts w:cs="微软雅黑"/>
          <w:b/>
          <w:kern w:val="0"/>
          <w:sz w:val="36"/>
          <w:szCs w:val="36"/>
          <w:highlight w:val="none"/>
        </w:rPr>
      </w:pPr>
      <w:bookmarkStart w:id="29" w:name="_Hlk54024727"/>
      <w:r>
        <w:rPr>
          <w:rFonts w:hint="eastAsia" w:cs="微软雅黑"/>
          <w:b/>
          <w:kern w:val="0"/>
          <w:sz w:val="36"/>
          <w:szCs w:val="36"/>
          <w:highlight w:val="none"/>
        </w:rPr>
        <w:t>四、投标人认为需要提供的其他材料</w:t>
      </w:r>
    </w:p>
    <w:bookmarkEnd w:id="29"/>
    <w:p>
      <w:pPr>
        <w:autoSpaceDE w:val="0"/>
        <w:autoSpaceDN w:val="0"/>
        <w:adjustRightInd w:val="0"/>
        <w:spacing w:line="560" w:lineRule="exact"/>
        <w:jc w:val="center"/>
        <w:rPr>
          <w:b/>
          <w:sz w:val="24"/>
          <w:highlight w:val="none"/>
        </w:rPr>
      </w:pPr>
    </w:p>
    <w:p/>
    <w:sectPr>
      <w:footerReference r:id="rId11" w:type="first"/>
      <w:headerReference r:id="rId9" w:type="default"/>
      <w:footerReference r:id="rId10"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TimesNewRomanPSMT">
    <w:altName w:val="Times New Roman"/>
    <w:panose1 w:val="00000000000000000000"/>
    <w:charset w:val="00"/>
    <w:family w:val="auto"/>
    <w:pitch w:val="default"/>
    <w:sig w:usb0="00000000" w:usb1="00000000" w:usb2="00000001" w:usb3="00000000" w:csb0="400001BF" w:csb1="DFF7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方正隶书简体">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水柱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- 4 -</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5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fill on="f" focussize="0,0"/>
              <v:stroke on="f" weight="0.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p>
                    <w:pPr>
                      <w:pStyle w:val="2"/>
                    </w:pPr>
                  </w:p>
                </w:txbxContent>
              </v:textbox>
            </v:shape>
          </w:pict>
        </mc:Fallback>
      </mc:AlternateContent>
    </w:r>
  </w:p>
  <w:p>
    <w:pPr>
      <w:pStyle w:val="6"/>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PAGE   \* MERGEFORMAT</w:instrText>
                          </w:r>
                          <w:r>
                            <w:fldChar w:fldCharType="separate"/>
                          </w:r>
                          <w:r>
                            <w:rPr>
                              <w:lang w:val="zh-CN"/>
                            </w:rPr>
                            <w:t>61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61</w:t>
                    </w:r>
                    <w:r>
                      <w:rPr>
                        <w:lang w:val="zh-CN"/>
                      </w:rPr>
                      <w:fldChar w:fldCharType="end"/>
                    </w:r>
                  </w:p>
                </w:txbxContent>
              </v:textbox>
            </v:shape>
          </w:pict>
        </mc:Fallback>
      </mc:AlternateContent>
    </w:r>
  </w:p>
  <w:p>
    <w:pPr>
      <w:pStyle w:val="6"/>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4132C69"/>
    <w:multiLevelType w:val="singleLevel"/>
    <w:tmpl w:val="54132C69"/>
    <w:lvl w:ilvl="0" w:tentative="0">
      <w:start w:val="1"/>
      <w:numFmt w:val="decimal"/>
      <w:suff w:val="nothing"/>
      <w:lvlText w:val="%1．"/>
      <w:lvlJc w:val="left"/>
    </w:lvl>
  </w:abstractNum>
  <w:abstractNum w:abstractNumId="3">
    <w:nsid w:val="5D75C5AD"/>
    <w:multiLevelType w:val="singleLevel"/>
    <w:tmpl w:val="5D75C5AD"/>
    <w:lvl w:ilvl="0" w:tentative="0">
      <w:start w:val="1"/>
      <w:numFmt w:val="decimal"/>
      <w:suff w:val="nothing"/>
      <w:lvlText w:val="（%1）"/>
      <w:lvlJc w:val="left"/>
    </w:lvl>
  </w:abstractNum>
  <w:abstractNum w:abstractNumId="4">
    <w:nsid w:val="6306DE00"/>
    <w:multiLevelType w:val="singleLevel"/>
    <w:tmpl w:val="6306DE00"/>
    <w:lvl w:ilvl="0" w:tentative="0">
      <w:start w:val="4"/>
      <w:numFmt w:val="decimal"/>
      <w:suff w:val="nothing"/>
      <w:lvlText w:val="(%1)"/>
      <w:lvlJc w:val="left"/>
    </w:lvl>
  </w:abstractNum>
  <w:abstractNum w:abstractNumId="5">
    <w:nsid w:val="636C52E6"/>
    <w:multiLevelType w:val="singleLevel"/>
    <w:tmpl w:val="636C52E6"/>
    <w:lvl w:ilvl="0" w:tentative="0">
      <w:start w:val="1"/>
      <w:numFmt w:val="decimal"/>
      <w:suff w:val="nothing"/>
      <w:lvlText w:val="(%1)"/>
      <w:lvlJc w:val="left"/>
    </w:lvl>
  </w:abstractNum>
  <w:abstractNum w:abstractNumId="6">
    <w:nsid w:val="649FCD82"/>
    <w:multiLevelType w:val="singleLevel"/>
    <w:tmpl w:val="649FCD82"/>
    <w:lvl w:ilvl="0" w:tentative="0">
      <w:start w:val="1"/>
      <w:numFmt w:val="decimal"/>
      <w:suff w:val="nothing"/>
      <w:lvlText w:val="（%1）"/>
      <w:lvlJc w:val="left"/>
      <w:pPr>
        <w:ind w:left="70"/>
      </w:pPr>
    </w:lvl>
  </w:abstractNum>
  <w:abstractNum w:abstractNumId="7">
    <w:nsid w:val="649FCE99"/>
    <w:multiLevelType w:val="singleLevel"/>
    <w:tmpl w:val="649FCE99"/>
    <w:lvl w:ilvl="0" w:tentative="0">
      <w:start w:val="1"/>
      <w:numFmt w:val="decimal"/>
      <w:suff w:val="nothing"/>
      <w:lvlText w:val="（%1）"/>
      <w:lvlJc w:val="left"/>
    </w:lvl>
  </w:abstractNum>
  <w:abstractNum w:abstractNumId="8">
    <w:nsid w:val="64AB4C0D"/>
    <w:multiLevelType w:val="singleLevel"/>
    <w:tmpl w:val="64AB4C0D"/>
    <w:lvl w:ilvl="0" w:tentative="0">
      <w:start w:val="4"/>
      <w:numFmt w:val="chineseCounting"/>
      <w:suff w:val="space"/>
      <w:lvlText w:val="第%1章"/>
      <w:lvlJc w:val="left"/>
    </w:lvl>
  </w:abstractNum>
  <w:abstractNum w:abstractNumId="9">
    <w:nsid w:val="67839068"/>
    <w:multiLevelType w:val="singleLevel"/>
    <w:tmpl w:val="67839068"/>
    <w:lvl w:ilvl="0" w:tentative="0">
      <w:start w:val="1"/>
      <w:numFmt w:val="chineseCounting"/>
      <w:suff w:val="nothing"/>
      <w:lvlText w:val="%1、"/>
      <w:lvlJc w:val="left"/>
      <w:rPr>
        <w:rFonts w:hint="eastAsia"/>
      </w:rPr>
    </w:lvl>
  </w:abstractNum>
  <w:num w:numId="1">
    <w:abstractNumId w:val="3"/>
  </w:num>
  <w:num w:numId="2">
    <w:abstractNumId w:val="6"/>
  </w:num>
  <w:num w:numId="3">
    <w:abstractNumId w:val="7"/>
  </w:num>
  <w:num w:numId="4">
    <w:abstractNumId w:val="4"/>
  </w:num>
  <w:num w:numId="5">
    <w:abstractNumId w:val="2"/>
  </w:num>
  <w:num w:numId="6">
    <w:abstractNumId w:val="9"/>
  </w:num>
  <w:num w:numId="7">
    <w:abstractNumId w:val="0"/>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C541D"/>
    <w:rsid w:val="658845D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4">
    <w:name w:val="Normal Indent"/>
    <w:basedOn w:val="1"/>
    <w:uiPriority w:val="0"/>
    <w:pPr>
      <w:ind w:firstLine="420"/>
    </w:pPr>
    <w:rPr>
      <w:rFonts w:ascii="Times New Roman" w:hAnsi="Times New Roman" w:eastAsia="宋体" w:cs="Times New Roman"/>
      <w:szCs w:val="20"/>
    </w:rPr>
  </w:style>
  <w:style w:type="paragraph" w:styleId="5">
    <w:name w:val="Plain Text"/>
    <w:basedOn w:val="1"/>
    <w:uiPriority w:val="0"/>
    <w:rPr>
      <w:rFonts w:ascii="宋体" w:hAnsi="Courier New" w:eastAsia="宋体" w:cs="Times New Roman"/>
      <w:kern w:val="0"/>
      <w:sz w:val="20"/>
      <w:szCs w:val="21"/>
    </w:rPr>
  </w:style>
  <w:style w:type="paragraph" w:styleId="6">
    <w:name w:val="footer"/>
    <w:basedOn w:val="1"/>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t1jiance</dc:creator>
  <cp:lastModifiedBy>吴淼清</cp:lastModifiedBy>
  <dcterms:modified xsi:type="dcterms:W3CDTF">2023-07-27T02:43:21Z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